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17E3B">
      <w:pPr>
        <w:tabs>
          <w:tab w:val="left" w:pos="2070"/>
          <w:tab w:val="center" w:pos="4365"/>
        </w:tabs>
        <w:snapToGrid w:val="0"/>
        <w:rPr>
          <w:rFonts w:ascii="华文中宋" w:hAnsi="华文中宋" w:eastAsia="华文中宋"/>
          <w:color w:val="auto"/>
          <w:sz w:val="30"/>
          <w:szCs w:val="30"/>
          <w:highlight w:val="none"/>
        </w:rPr>
      </w:pPr>
    </w:p>
    <w:p w14:paraId="24883109">
      <w:pPr>
        <w:tabs>
          <w:tab w:val="left" w:pos="2070"/>
          <w:tab w:val="center" w:pos="4365"/>
        </w:tabs>
        <w:snapToGrid w:val="0"/>
        <w:ind w:firstLine="9680" w:firstLineChars="2200"/>
        <w:rPr>
          <w:rFonts w:ascii="华文中宋" w:hAnsi="华文中宋" w:eastAsia="华文中宋"/>
          <w:color w:val="auto"/>
          <w:sz w:val="44"/>
          <w:szCs w:val="44"/>
          <w:highlight w:val="none"/>
        </w:rPr>
      </w:pPr>
    </w:p>
    <w:p w14:paraId="2B3A6A5A">
      <w:pPr>
        <w:tabs>
          <w:tab w:val="left" w:pos="2070"/>
          <w:tab w:val="center" w:pos="4365"/>
        </w:tabs>
        <w:snapToGrid w:val="0"/>
        <w:rPr>
          <w:rFonts w:ascii="华文中宋" w:hAnsi="华文中宋" w:eastAsia="华文中宋"/>
          <w:color w:val="auto"/>
          <w:sz w:val="44"/>
          <w:szCs w:val="44"/>
          <w:highlight w:val="none"/>
        </w:rPr>
      </w:pPr>
      <w:bookmarkStart w:id="77" w:name="_GoBack"/>
      <w:bookmarkEnd w:id="77"/>
    </w:p>
    <w:p w14:paraId="4EF1DFFD">
      <w:pPr>
        <w:tabs>
          <w:tab w:val="left" w:pos="2070"/>
          <w:tab w:val="center" w:pos="4365"/>
        </w:tabs>
        <w:snapToGrid w:val="0"/>
        <w:rPr>
          <w:rFonts w:ascii="华文中宋" w:hAnsi="华文中宋" w:eastAsia="华文中宋"/>
          <w:color w:val="auto"/>
          <w:sz w:val="44"/>
          <w:szCs w:val="44"/>
          <w:highlight w:val="none"/>
        </w:rPr>
      </w:pPr>
    </w:p>
    <w:p w14:paraId="1E587671">
      <w:pPr>
        <w:tabs>
          <w:tab w:val="left" w:pos="2070"/>
          <w:tab w:val="center" w:pos="4365"/>
        </w:tabs>
        <w:snapToGrid w:val="0"/>
        <w:jc w:val="center"/>
        <w:rPr>
          <w:rFonts w:ascii="华文中宋" w:hAnsi="华文中宋" w:eastAsia="华文中宋"/>
          <w:b/>
          <w:color w:val="auto"/>
          <w:sz w:val="96"/>
          <w:szCs w:val="96"/>
          <w:highlight w:val="none"/>
        </w:rPr>
      </w:pPr>
      <w:r>
        <w:rPr>
          <w:rFonts w:hint="eastAsia" w:ascii="华文中宋" w:hAnsi="华文中宋" w:eastAsia="华文中宋"/>
          <w:b/>
          <w:color w:val="auto"/>
          <w:sz w:val="96"/>
          <w:szCs w:val="96"/>
          <w:highlight w:val="none"/>
        </w:rPr>
        <w:t>招 标 文 件</w:t>
      </w:r>
    </w:p>
    <w:p w14:paraId="2EF90085">
      <w:pPr>
        <w:tabs>
          <w:tab w:val="left" w:pos="2070"/>
          <w:tab w:val="center" w:pos="4365"/>
        </w:tabs>
        <w:snapToGrid w:val="0"/>
        <w:jc w:val="center"/>
        <w:rPr>
          <w:rFonts w:ascii="华文中宋" w:hAnsi="华文中宋" w:eastAsia="华文中宋"/>
          <w:color w:val="auto"/>
          <w:sz w:val="44"/>
          <w:szCs w:val="44"/>
          <w:highlight w:val="none"/>
        </w:rPr>
      </w:pPr>
    </w:p>
    <w:p w14:paraId="00750799">
      <w:pPr>
        <w:tabs>
          <w:tab w:val="left" w:pos="2070"/>
          <w:tab w:val="center" w:pos="4365"/>
        </w:tabs>
        <w:snapToGrid w:val="0"/>
        <w:jc w:val="center"/>
        <w:rPr>
          <w:rFonts w:ascii="华文中宋" w:hAnsi="华文中宋" w:eastAsia="华文中宋"/>
          <w:color w:val="auto"/>
          <w:sz w:val="44"/>
          <w:szCs w:val="44"/>
          <w:highlight w:val="none"/>
        </w:rPr>
      </w:pPr>
    </w:p>
    <w:p w14:paraId="3E3F95F2">
      <w:pPr>
        <w:tabs>
          <w:tab w:val="left" w:pos="2070"/>
          <w:tab w:val="center" w:pos="4365"/>
        </w:tabs>
        <w:snapToGrid w:val="0"/>
        <w:jc w:val="center"/>
        <w:rPr>
          <w:rFonts w:ascii="华文中宋" w:hAnsi="华文中宋" w:eastAsia="华文中宋"/>
          <w:color w:val="auto"/>
          <w:sz w:val="44"/>
          <w:szCs w:val="44"/>
          <w:highlight w:val="none"/>
        </w:rPr>
      </w:pPr>
    </w:p>
    <w:p w14:paraId="493402E1">
      <w:pPr>
        <w:spacing w:line="480" w:lineRule="exact"/>
        <w:ind w:firstLine="300" w:firstLineChars="100"/>
        <w:jc w:val="both"/>
        <w:rPr>
          <w:rFonts w:hint="eastAsia" w:ascii="华文中宋" w:hAnsi="华文中宋" w:eastAsia="华文中宋"/>
          <w:color w:val="auto"/>
          <w:sz w:val="30"/>
          <w:szCs w:val="30"/>
          <w:highlight w:val="none"/>
        </w:rPr>
      </w:pPr>
      <w:r>
        <w:rPr>
          <w:rFonts w:hint="eastAsia" w:ascii="华文中宋" w:hAnsi="华文中宋" w:eastAsia="华文中宋"/>
          <w:color w:val="auto"/>
          <w:sz w:val="30"/>
          <w:szCs w:val="30"/>
          <w:highlight w:val="none"/>
        </w:rPr>
        <w:t>项目编号：</w:t>
      </w:r>
      <w:r>
        <w:rPr>
          <w:rFonts w:hint="eastAsia" w:ascii="华文中宋" w:hAnsi="华文中宋" w:eastAsia="华文中宋"/>
          <w:color w:val="auto"/>
          <w:sz w:val="30"/>
          <w:szCs w:val="30"/>
          <w:highlight w:val="none"/>
        </w:rPr>
        <w:t>1402992025AGK00408</w:t>
      </w:r>
    </w:p>
    <w:p w14:paraId="7908F2D1">
      <w:pPr>
        <w:spacing w:line="480" w:lineRule="exact"/>
        <w:jc w:val="center"/>
        <w:rPr>
          <w:rFonts w:hint="eastAsia" w:ascii="华文中宋" w:hAnsi="华文中宋" w:eastAsia="华文中宋"/>
          <w:color w:val="auto"/>
          <w:sz w:val="30"/>
          <w:szCs w:val="30"/>
          <w:highlight w:val="none"/>
        </w:rPr>
      </w:pPr>
      <w:r>
        <w:rPr>
          <w:rFonts w:hint="eastAsia" w:ascii="华文中宋" w:hAnsi="华文中宋" w:eastAsia="华文中宋"/>
          <w:color w:val="auto"/>
          <w:sz w:val="30"/>
          <w:szCs w:val="30"/>
          <w:highlight w:val="none"/>
          <w:lang w:val="en-US" w:eastAsia="zh-CN"/>
        </w:rPr>
        <w:t xml:space="preserve"> </w:t>
      </w:r>
      <w:r>
        <w:rPr>
          <w:rFonts w:hint="eastAsia" w:ascii="华文中宋" w:hAnsi="华文中宋" w:eastAsia="华文中宋"/>
          <w:color w:val="auto"/>
          <w:sz w:val="30"/>
          <w:szCs w:val="30"/>
          <w:highlight w:val="none"/>
        </w:rPr>
        <w:t>项目名称：</w:t>
      </w:r>
      <w:r>
        <w:rPr>
          <w:rFonts w:hint="eastAsia" w:ascii="华文中宋" w:hAnsi="华文中宋" w:eastAsia="华文中宋"/>
          <w:color w:val="auto"/>
          <w:sz w:val="30"/>
          <w:szCs w:val="30"/>
          <w:highlight w:val="none"/>
        </w:rPr>
        <w:t>公安交通管理综合应用平台社会化服务系统升级改造项目</w:t>
      </w:r>
    </w:p>
    <w:p w14:paraId="121CE95A">
      <w:pPr>
        <w:spacing w:line="480" w:lineRule="exact"/>
        <w:ind w:firstLine="1650" w:firstLineChars="550"/>
        <w:jc w:val="both"/>
        <w:rPr>
          <w:rFonts w:hint="eastAsia" w:ascii="华文中宋" w:hAnsi="华文中宋" w:eastAsia="华文中宋"/>
          <w:color w:val="auto"/>
          <w:sz w:val="30"/>
          <w:szCs w:val="30"/>
          <w:highlight w:val="none"/>
          <w:u w:val="single"/>
          <w:shd w:val="clear" w:color="auto" w:fill="auto"/>
        </w:rPr>
      </w:pPr>
    </w:p>
    <w:p w14:paraId="0FC8E5CB">
      <w:pPr>
        <w:spacing w:line="560" w:lineRule="exact"/>
        <w:ind w:firstLine="1050" w:firstLineChars="350"/>
        <w:jc w:val="center"/>
        <w:rPr>
          <w:rFonts w:ascii="华文中宋" w:hAnsi="华文中宋" w:eastAsia="华文中宋"/>
          <w:color w:val="auto"/>
          <w:sz w:val="30"/>
          <w:szCs w:val="30"/>
          <w:highlight w:val="none"/>
        </w:rPr>
      </w:pPr>
    </w:p>
    <w:p w14:paraId="61B792E2">
      <w:pPr>
        <w:spacing w:line="560" w:lineRule="exact"/>
        <w:ind w:firstLine="1050" w:firstLineChars="350"/>
        <w:jc w:val="center"/>
        <w:rPr>
          <w:rFonts w:ascii="华文中宋" w:hAnsi="华文中宋" w:eastAsia="华文中宋"/>
          <w:color w:val="auto"/>
          <w:sz w:val="30"/>
          <w:szCs w:val="30"/>
          <w:highlight w:val="none"/>
        </w:rPr>
      </w:pPr>
    </w:p>
    <w:p w14:paraId="784BEB0A">
      <w:pPr>
        <w:spacing w:line="560" w:lineRule="exact"/>
        <w:ind w:firstLine="1050" w:firstLineChars="350"/>
        <w:jc w:val="center"/>
        <w:rPr>
          <w:rFonts w:ascii="华文中宋" w:hAnsi="华文中宋" w:eastAsia="华文中宋"/>
          <w:color w:val="auto"/>
          <w:sz w:val="30"/>
          <w:szCs w:val="30"/>
          <w:highlight w:val="none"/>
        </w:rPr>
      </w:pPr>
    </w:p>
    <w:p w14:paraId="3501B1F0">
      <w:pPr>
        <w:spacing w:line="560" w:lineRule="exact"/>
        <w:ind w:firstLine="1050" w:firstLineChars="350"/>
        <w:jc w:val="center"/>
        <w:rPr>
          <w:rFonts w:ascii="华文中宋" w:hAnsi="华文中宋" w:eastAsia="华文中宋"/>
          <w:color w:val="auto"/>
          <w:sz w:val="30"/>
          <w:szCs w:val="30"/>
          <w:highlight w:val="none"/>
        </w:rPr>
      </w:pPr>
    </w:p>
    <w:p w14:paraId="0FE23FB2">
      <w:pPr>
        <w:pStyle w:val="15"/>
        <w:rPr>
          <w:rFonts w:ascii="华文中宋" w:hAnsi="华文中宋" w:eastAsia="华文中宋"/>
          <w:color w:val="auto"/>
          <w:sz w:val="30"/>
          <w:szCs w:val="30"/>
          <w:highlight w:val="none"/>
        </w:rPr>
      </w:pPr>
    </w:p>
    <w:p w14:paraId="59DF7C7F">
      <w:pPr>
        <w:pStyle w:val="23"/>
        <w:rPr>
          <w:color w:val="auto"/>
          <w:highlight w:val="none"/>
        </w:rPr>
      </w:pPr>
    </w:p>
    <w:p w14:paraId="170DC048">
      <w:pPr>
        <w:spacing w:line="560" w:lineRule="exact"/>
        <w:ind w:firstLine="1050" w:firstLineChars="350"/>
        <w:jc w:val="center"/>
        <w:rPr>
          <w:rFonts w:ascii="华文中宋" w:hAnsi="华文中宋" w:eastAsia="华文中宋"/>
          <w:color w:val="auto"/>
          <w:sz w:val="30"/>
          <w:szCs w:val="30"/>
          <w:highlight w:val="none"/>
        </w:rPr>
      </w:pPr>
    </w:p>
    <w:p w14:paraId="05004B53">
      <w:pPr>
        <w:tabs>
          <w:tab w:val="left" w:pos="2070"/>
          <w:tab w:val="center" w:pos="4365"/>
        </w:tabs>
        <w:snapToGrid w:val="0"/>
        <w:jc w:val="center"/>
        <w:rPr>
          <w:rFonts w:hint="eastAsia" w:ascii="华文中宋" w:hAnsi="华文中宋" w:eastAsia="华文中宋"/>
          <w:b/>
          <w:color w:val="auto"/>
          <w:sz w:val="28"/>
          <w:szCs w:val="28"/>
          <w:highlight w:val="none"/>
          <w:lang w:val="en-US" w:eastAsia="zh-CN"/>
        </w:rPr>
      </w:pPr>
      <w:r>
        <w:rPr>
          <w:rFonts w:hint="eastAsia" w:ascii="华文中宋" w:hAnsi="华文中宋" w:eastAsia="华文中宋"/>
          <w:b/>
          <w:color w:val="auto"/>
          <w:sz w:val="28"/>
          <w:szCs w:val="28"/>
          <w:highlight w:val="none"/>
          <w:lang w:val="en-US" w:eastAsia="zh-CN"/>
        </w:rPr>
        <w:t>大同市公共资源交易中心（大同市政府采购中心）</w:t>
      </w:r>
    </w:p>
    <w:p w14:paraId="72D33BD8">
      <w:pPr>
        <w:pStyle w:val="26"/>
        <w:outlineLvl w:val="9"/>
        <w:rPr>
          <w:rFonts w:hint="default"/>
          <w:color w:val="auto"/>
          <w:highlight w:val="none"/>
          <w:lang w:val="en-US" w:eastAsia="zh-CN"/>
        </w:rPr>
      </w:pPr>
      <w:r>
        <w:rPr>
          <w:rFonts w:hint="eastAsia" w:ascii="华文中宋" w:hAnsi="华文中宋" w:eastAsia="华文中宋"/>
          <w:b/>
          <w:color w:val="auto"/>
          <w:sz w:val="28"/>
          <w:szCs w:val="28"/>
          <w:highlight w:val="none"/>
          <w:lang w:val="en-US" w:eastAsia="zh-CN"/>
        </w:rPr>
        <w:t>2025年9月</w:t>
      </w:r>
    </w:p>
    <w:p w14:paraId="0058E9AA">
      <w:pPr>
        <w:tabs>
          <w:tab w:val="left" w:pos="2070"/>
          <w:tab w:val="center" w:pos="4365"/>
        </w:tabs>
        <w:snapToGrid w:val="0"/>
        <w:outlineLvl w:val="9"/>
        <w:rPr>
          <w:rFonts w:ascii="华文中宋" w:hAnsi="华文中宋" w:eastAsia="华文中宋"/>
          <w:b/>
          <w:color w:val="auto"/>
          <w:sz w:val="28"/>
          <w:szCs w:val="28"/>
          <w:highlight w:val="none"/>
        </w:rPr>
      </w:pPr>
    </w:p>
    <w:p w14:paraId="20467644">
      <w:pPr>
        <w:outlineLvl w:val="9"/>
        <w:rPr>
          <w:color w:val="auto"/>
          <w:highlight w:val="none"/>
        </w:rPr>
      </w:pPr>
    </w:p>
    <w:p w14:paraId="52CB77AE">
      <w:pPr>
        <w:keepNext w:val="0"/>
        <w:keepLines w:val="0"/>
        <w:pageBreakBefore w:val="0"/>
        <w:widowControl w:val="0"/>
        <w:tabs>
          <w:tab w:val="left" w:pos="2070"/>
          <w:tab w:val="center" w:pos="4365"/>
        </w:tabs>
        <w:kinsoku/>
        <w:wordWrap/>
        <w:overflowPunct/>
        <w:topLinePunct w:val="0"/>
        <w:autoSpaceDE/>
        <w:autoSpaceDN/>
        <w:bidi w:val="0"/>
        <w:adjustRightInd/>
        <w:snapToGrid w:val="0"/>
        <w:spacing w:before="313" w:beforeLines="100" w:after="313" w:afterLines="100"/>
        <w:jc w:val="center"/>
        <w:textAlignment w:val="auto"/>
        <w:rPr>
          <w:rFonts w:hint="eastAsia" w:ascii="华文中宋" w:hAnsi="华文中宋" w:eastAsia="华文中宋"/>
          <w:b/>
          <w:color w:val="auto"/>
          <w:sz w:val="28"/>
          <w:szCs w:val="28"/>
          <w:highlight w:val="none"/>
        </w:rPr>
        <w:sectPr>
          <w:headerReference r:id="rId3" w:type="default"/>
          <w:pgSz w:w="11906" w:h="16838"/>
          <w:pgMar w:top="1134" w:right="1361" w:bottom="1021" w:left="1531"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53D252C9">
      <w:pPr>
        <w:keepNext w:val="0"/>
        <w:keepLines w:val="0"/>
        <w:pageBreakBefore w:val="0"/>
        <w:widowControl w:val="0"/>
        <w:tabs>
          <w:tab w:val="left" w:pos="2070"/>
          <w:tab w:val="center" w:pos="4365"/>
        </w:tabs>
        <w:kinsoku/>
        <w:wordWrap/>
        <w:overflowPunct/>
        <w:topLinePunct w:val="0"/>
        <w:autoSpaceDE/>
        <w:autoSpaceDN/>
        <w:bidi w:val="0"/>
        <w:adjustRightInd/>
        <w:snapToGrid w:val="0"/>
        <w:spacing w:before="313" w:beforeLines="100" w:after="313" w:afterLines="100"/>
        <w:jc w:val="center"/>
        <w:textAlignment w:val="auto"/>
        <w:rPr>
          <w:rFonts w:ascii="华文中宋" w:hAnsi="华文中宋" w:eastAsia="华文中宋"/>
          <w:b/>
          <w:color w:val="auto"/>
          <w:sz w:val="28"/>
          <w:szCs w:val="28"/>
          <w:highlight w:val="none"/>
        </w:rPr>
      </w:pPr>
      <w:r>
        <w:rPr>
          <w:rFonts w:hint="eastAsia" w:ascii="华文中宋" w:hAnsi="华文中宋" w:eastAsia="华文中宋"/>
          <w:b/>
          <w:color w:val="auto"/>
          <w:sz w:val="28"/>
          <w:szCs w:val="28"/>
          <w:highlight w:val="none"/>
        </w:rPr>
        <w:t>目    录</w:t>
      </w:r>
    </w:p>
    <w:p w14:paraId="64F8D3AD">
      <w:pPr>
        <w:pStyle w:val="22"/>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TOC \o "1-2" \h \z \u </w:instrText>
      </w:r>
      <w:r>
        <w:rPr>
          <w:rFonts w:ascii="华文中宋" w:hAnsi="华文中宋" w:eastAsia="华文中宋"/>
          <w:color w:val="auto"/>
          <w:highlight w:val="none"/>
        </w:rPr>
        <w:fldChar w:fldCharType="separate"/>
      </w: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_Toc19559 </w:instrText>
      </w:r>
      <w:r>
        <w:rPr>
          <w:rFonts w:ascii="华文中宋" w:hAnsi="华文中宋" w:eastAsia="华文中宋"/>
          <w:color w:val="auto"/>
          <w:highlight w:val="none"/>
        </w:rPr>
        <w:fldChar w:fldCharType="separate"/>
      </w:r>
      <w:r>
        <w:rPr>
          <w:rFonts w:hint="eastAsia" w:ascii="华文中宋" w:hAnsi="华文中宋" w:eastAsia="华文中宋"/>
          <w:color w:val="auto"/>
          <w:spacing w:val="20"/>
          <w:szCs w:val="28"/>
          <w:highlight w:val="none"/>
        </w:rPr>
        <w:t>第一部分  投标邀请</w:t>
      </w:r>
      <w:r>
        <w:rPr>
          <w:color w:val="auto"/>
          <w:highlight w:val="none"/>
        </w:rPr>
        <w:tab/>
      </w:r>
      <w:r>
        <w:rPr>
          <w:color w:val="auto"/>
          <w:highlight w:val="none"/>
        </w:rPr>
        <w:fldChar w:fldCharType="begin"/>
      </w:r>
      <w:r>
        <w:rPr>
          <w:color w:val="auto"/>
          <w:highlight w:val="none"/>
        </w:rPr>
        <w:instrText xml:space="preserve"> PAGEREF _Toc19559 \h </w:instrText>
      </w:r>
      <w:r>
        <w:rPr>
          <w:color w:val="auto"/>
          <w:highlight w:val="none"/>
        </w:rPr>
        <w:fldChar w:fldCharType="separate"/>
      </w:r>
      <w:r>
        <w:rPr>
          <w:color w:val="auto"/>
          <w:highlight w:val="none"/>
        </w:rPr>
        <w:t>2</w:t>
      </w:r>
      <w:r>
        <w:rPr>
          <w:color w:val="auto"/>
          <w:highlight w:val="none"/>
        </w:rPr>
        <w:fldChar w:fldCharType="end"/>
      </w:r>
      <w:r>
        <w:rPr>
          <w:rFonts w:ascii="华文中宋" w:hAnsi="华文中宋" w:eastAsia="华文中宋"/>
          <w:color w:val="auto"/>
          <w:highlight w:val="none"/>
        </w:rPr>
        <w:fldChar w:fldCharType="end"/>
      </w:r>
    </w:p>
    <w:p w14:paraId="1998BF26">
      <w:pPr>
        <w:pStyle w:val="22"/>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_Toc17050 </w:instrText>
      </w:r>
      <w:r>
        <w:rPr>
          <w:rFonts w:ascii="华文中宋" w:hAnsi="华文中宋" w:eastAsia="华文中宋"/>
          <w:color w:val="auto"/>
          <w:highlight w:val="none"/>
        </w:rPr>
        <w:fldChar w:fldCharType="separate"/>
      </w:r>
      <w:r>
        <w:rPr>
          <w:rFonts w:hint="eastAsia" w:ascii="华文中宋" w:hAnsi="华文中宋" w:eastAsia="华文中宋"/>
          <w:color w:val="auto"/>
          <w:spacing w:val="20"/>
          <w:szCs w:val="28"/>
          <w:highlight w:val="none"/>
        </w:rPr>
        <w:t>第二部分  投标人须知前附表</w:t>
      </w:r>
      <w:r>
        <w:rPr>
          <w:color w:val="auto"/>
          <w:highlight w:val="none"/>
        </w:rPr>
        <w:tab/>
      </w:r>
      <w:r>
        <w:rPr>
          <w:color w:val="auto"/>
          <w:highlight w:val="none"/>
        </w:rPr>
        <w:fldChar w:fldCharType="begin"/>
      </w:r>
      <w:r>
        <w:rPr>
          <w:color w:val="auto"/>
          <w:highlight w:val="none"/>
        </w:rPr>
        <w:instrText xml:space="preserve"> PAGEREF _Toc17050 \h </w:instrText>
      </w:r>
      <w:r>
        <w:rPr>
          <w:color w:val="auto"/>
          <w:highlight w:val="none"/>
        </w:rPr>
        <w:fldChar w:fldCharType="separate"/>
      </w:r>
      <w:r>
        <w:rPr>
          <w:color w:val="auto"/>
          <w:highlight w:val="none"/>
        </w:rPr>
        <w:t>2</w:t>
      </w:r>
      <w:r>
        <w:rPr>
          <w:color w:val="auto"/>
          <w:highlight w:val="none"/>
        </w:rPr>
        <w:fldChar w:fldCharType="end"/>
      </w:r>
      <w:r>
        <w:rPr>
          <w:rFonts w:ascii="华文中宋" w:hAnsi="华文中宋" w:eastAsia="华文中宋"/>
          <w:color w:val="auto"/>
          <w:highlight w:val="none"/>
        </w:rPr>
        <w:fldChar w:fldCharType="end"/>
      </w:r>
    </w:p>
    <w:p w14:paraId="3BA2DC48">
      <w:pPr>
        <w:pStyle w:val="22"/>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_Toc22732 </w:instrText>
      </w:r>
      <w:r>
        <w:rPr>
          <w:rFonts w:ascii="华文中宋" w:hAnsi="华文中宋" w:eastAsia="华文中宋"/>
          <w:color w:val="auto"/>
          <w:highlight w:val="none"/>
        </w:rPr>
        <w:fldChar w:fldCharType="separate"/>
      </w:r>
      <w:r>
        <w:rPr>
          <w:rFonts w:hint="eastAsia" w:ascii="华文中宋" w:hAnsi="华文中宋" w:eastAsia="华文中宋"/>
          <w:color w:val="auto"/>
          <w:spacing w:val="20"/>
          <w:szCs w:val="28"/>
          <w:highlight w:val="none"/>
        </w:rPr>
        <w:t>第三部分  投标人须知</w:t>
      </w:r>
      <w:r>
        <w:rPr>
          <w:color w:val="auto"/>
          <w:highlight w:val="none"/>
        </w:rPr>
        <w:tab/>
      </w:r>
      <w:r>
        <w:rPr>
          <w:color w:val="auto"/>
          <w:highlight w:val="none"/>
        </w:rPr>
        <w:fldChar w:fldCharType="begin"/>
      </w:r>
      <w:r>
        <w:rPr>
          <w:color w:val="auto"/>
          <w:highlight w:val="none"/>
        </w:rPr>
        <w:instrText xml:space="preserve"> PAGEREF _Toc22732 \h </w:instrText>
      </w:r>
      <w:r>
        <w:rPr>
          <w:color w:val="auto"/>
          <w:highlight w:val="none"/>
        </w:rPr>
        <w:fldChar w:fldCharType="separate"/>
      </w:r>
      <w:r>
        <w:rPr>
          <w:color w:val="auto"/>
          <w:highlight w:val="none"/>
        </w:rPr>
        <w:t>9</w:t>
      </w:r>
      <w:r>
        <w:rPr>
          <w:color w:val="auto"/>
          <w:highlight w:val="none"/>
        </w:rPr>
        <w:fldChar w:fldCharType="end"/>
      </w:r>
      <w:r>
        <w:rPr>
          <w:rFonts w:ascii="华文中宋" w:hAnsi="华文中宋" w:eastAsia="华文中宋"/>
          <w:color w:val="auto"/>
          <w:highlight w:val="none"/>
        </w:rPr>
        <w:fldChar w:fldCharType="end"/>
      </w:r>
    </w:p>
    <w:p w14:paraId="0244208A">
      <w:pPr>
        <w:pStyle w:val="23"/>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_Toc12803 </w:instrText>
      </w:r>
      <w:r>
        <w:rPr>
          <w:rFonts w:ascii="华文中宋" w:hAnsi="华文中宋" w:eastAsia="华文中宋"/>
          <w:color w:val="auto"/>
          <w:highlight w:val="none"/>
        </w:rPr>
        <w:fldChar w:fldCharType="separate"/>
      </w:r>
      <w:r>
        <w:rPr>
          <w:rFonts w:hint="default" w:ascii="华文中宋" w:hAnsi="华文中宋" w:eastAsia="华文中宋" w:cs="Times New Roman"/>
          <w:color w:val="auto"/>
          <w:spacing w:val="10"/>
          <w:szCs w:val="24"/>
          <w:highlight w:val="none"/>
        </w:rPr>
        <w:t xml:space="preserve">一、 </w:t>
      </w:r>
      <w:r>
        <w:rPr>
          <w:rFonts w:hint="eastAsia" w:ascii="华文中宋" w:hAnsi="华文中宋" w:eastAsia="华文中宋"/>
          <w:color w:val="auto"/>
          <w:spacing w:val="10"/>
          <w:szCs w:val="24"/>
          <w:highlight w:val="none"/>
        </w:rPr>
        <w:t>总则</w:t>
      </w:r>
      <w:r>
        <w:rPr>
          <w:color w:val="auto"/>
          <w:highlight w:val="none"/>
        </w:rPr>
        <w:tab/>
      </w:r>
      <w:r>
        <w:rPr>
          <w:color w:val="auto"/>
          <w:highlight w:val="none"/>
        </w:rPr>
        <w:fldChar w:fldCharType="begin"/>
      </w:r>
      <w:r>
        <w:rPr>
          <w:color w:val="auto"/>
          <w:highlight w:val="none"/>
        </w:rPr>
        <w:instrText xml:space="preserve"> PAGEREF _Toc12803 \h </w:instrText>
      </w:r>
      <w:r>
        <w:rPr>
          <w:color w:val="auto"/>
          <w:highlight w:val="none"/>
        </w:rPr>
        <w:fldChar w:fldCharType="separate"/>
      </w:r>
      <w:r>
        <w:rPr>
          <w:color w:val="auto"/>
          <w:highlight w:val="none"/>
        </w:rPr>
        <w:t>9</w:t>
      </w:r>
      <w:r>
        <w:rPr>
          <w:color w:val="auto"/>
          <w:highlight w:val="none"/>
        </w:rPr>
        <w:fldChar w:fldCharType="end"/>
      </w:r>
      <w:r>
        <w:rPr>
          <w:rFonts w:ascii="华文中宋" w:hAnsi="华文中宋" w:eastAsia="华文中宋"/>
          <w:color w:val="auto"/>
          <w:highlight w:val="none"/>
        </w:rPr>
        <w:fldChar w:fldCharType="end"/>
      </w:r>
    </w:p>
    <w:p w14:paraId="712F58DD">
      <w:pPr>
        <w:pStyle w:val="23"/>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_Toc105 </w:instrText>
      </w:r>
      <w:r>
        <w:rPr>
          <w:rFonts w:ascii="华文中宋" w:hAnsi="华文中宋" w:eastAsia="华文中宋"/>
          <w:color w:val="auto"/>
          <w:highlight w:val="none"/>
        </w:rPr>
        <w:fldChar w:fldCharType="separate"/>
      </w:r>
      <w:r>
        <w:rPr>
          <w:rFonts w:hint="eastAsia" w:ascii="华文中宋" w:hAnsi="华文中宋" w:eastAsia="华文中宋"/>
          <w:color w:val="auto"/>
          <w:spacing w:val="10"/>
          <w:szCs w:val="24"/>
          <w:highlight w:val="none"/>
        </w:rPr>
        <w:t>二、招标文件</w:t>
      </w:r>
      <w:r>
        <w:rPr>
          <w:color w:val="auto"/>
          <w:highlight w:val="none"/>
        </w:rPr>
        <w:tab/>
      </w:r>
      <w:r>
        <w:rPr>
          <w:color w:val="auto"/>
          <w:highlight w:val="none"/>
        </w:rPr>
        <w:fldChar w:fldCharType="begin"/>
      </w:r>
      <w:r>
        <w:rPr>
          <w:color w:val="auto"/>
          <w:highlight w:val="none"/>
        </w:rPr>
        <w:instrText xml:space="preserve"> PAGEREF _Toc105 \h </w:instrText>
      </w:r>
      <w:r>
        <w:rPr>
          <w:color w:val="auto"/>
          <w:highlight w:val="none"/>
        </w:rPr>
        <w:fldChar w:fldCharType="separate"/>
      </w:r>
      <w:r>
        <w:rPr>
          <w:color w:val="auto"/>
          <w:highlight w:val="none"/>
        </w:rPr>
        <w:t>10</w:t>
      </w:r>
      <w:r>
        <w:rPr>
          <w:color w:val="auto"/>
          <w:highlight w:val="none"/>
        </w:rPr>
        <w:fldChar w:fldCharType="end"/>
      </w:r>
      <w:r>
        <w:rPr>
          <w:rFonts w:ascii="华文中宋" w:hAnsi="华文中宋" w:eastAsia="华文中宋"/>
          <w:color w:val="auto"/>
          <w:highlight w:val="none"/>
        </w:rPr>
        <w:fldChar w:fldCharType="end"/>
      </w:r>
    </w:p>
    <w:p w14:paraId="5165E288">
      <w:pPr>
        <w:pStyle w:val="23"/>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_Toc16073 </w:instrText>
      </w:r>
      <w:r>
        <w:rPr>
          <w:rFonts w:ascii="华文中宋" w:hAnsi="华文中宋" w:eastAsia="华文中宋"/>
          <w:color w:val="auto"/>
          <w:highlight w:val="none"/>
        </w:rPr>
        <w:fldChar w:fldCharType="separate"/>
      </w:r>
      <w:r>
        <w:rPr>
          <w:rFonts w:hint="eastAsia" w:ascii="华文中宋" w:hAnsi="华文中宋" w:eastAsia="华文中宋"/>
          <w:color w:val="auto"/>
          <w:spacing w:val="10"/>
          <w:szCs w:val="24"/>
          <w:highlight w:val="none"/>
        </w:rPr>
        <w:t>三、投标文件</w:t>
      </w:r>
      <w:r>
        <w:rPr>
          <w:color w:val="auto"/>
          <w:highlight w:val="none"/>
        </w:rPr>
        <w:tab/>
      </w:r>
      <w:r>
        <w:rPr>
          <w:color w:val="auto"/>
          <w:highlight w:val="none"/>
        </w:rPr>
        <w:fldChar w:fldCharType="begin"/>
      </w:r>
      <w:r>
        <w:rPr>
          <w:color w:val="auto"/>
          <w:highlight w:val="none"/>
        </w:rPr>
        <w:instrText xml:space="preserve"> PAGEREF _Toc16073 \h </w:instrText>
      </w:r>
      <w:r>
        <w:rPr>
          <w:color w:val="auto"/>
          <w:highlight w:val="none"/>
        </w:rPr>
        <w:fldChar w:fldCharType="separate"/>
      </w:r>
      <w:r>
        <w:rPr>
          <w:color w:val="auto"/>
          <w:highlight w:val="none"/>
        </w:rPr>
        <w:t>11</w:t>
      </w:r>
      <w:r>
        <w:rPr>
          <w:color w:val="auto"/>
          <w:highlight w:val="none"/>
        </w:rPr>
        <w:fldChar w:fldCharType="end"/>
      </w:r>
      <w:r>
        <w:rPr>
          <w:rFonts w:ascii="华文中宋" w:hAnsi="华文中宋" w:eastAsia="华文中宋"/>
          <w:color w:val="auto"/>
          <w:highlight w:val="none"/>
        </w:rPr>
        <w:fldChar w:fldCharType="end"/>
      </w:r>
    </w:p>
    <w:p w14:paraId="7E9695B6">
      <w:pPr>
        <w:pStyle w:val="23"/>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_Toc8165 </w:instrText>
      </w:r>
      <w:r>
        <w:rPr>
          <w:rFonts w:ascii="华文中宋" w:hAnsi="华文中宋" w:eastAsia="华文中宋"/>
          <w:color w:val="auto"/>
          <w:highlight w:val="none"/>
        </w:rPr>
        <w:fldChar w:fldCharType="separate"/>
      </w:r>
      <w:r>
        <w:rPr>
          <w:rFonts w:hint="eastAsia" w:ascii="华文中宋" w:hAnsi="华文中宋" w:eastAsia="华文中宋"/>
          <w:color w:val="auto"/>
          <w:spacing w:val="10"/>
          <w:szCs w:val="24"/>
          <w:highlight w:val="none"/>
        </w:rPr>
        <w:t>四、开标</w:t>
      </w:r>
      <w:r>
        <w:rPr>
          <w:color w:val="auto"/>
          <w:highlight w:val="none"/>
        </w:rPr>
        <w:tab/>
      </w:r>
      <w:r>
        <w:rPr>
          <w:color w:val="auto"/>
          <w:highlight w:val="none"/>
        </w:rPr>
        <w:fldChar w:fldCharType="begin"/>
      </w:r>
      <w:r>
        <w:rPr>
          <w:color w:val="auto"/>
          <w:highlight w:val="none"/>
        </w:rPr>
        <w:instrText xml:space="preserve"> PAGEREF _Toc8165 \h </w:instrText>
      </w:r>
      <w:r>
        <w:rPr>
          <w:color w:val="auto"/>
          <w:highlight w:val="none"/>
        </w:rPr>
        <w:fldChar w:fldCharType="separate"/>
      </w:r>
      <w:r>
        <w:rPr>
          <w:color w:val="auto"/>
          <w:highlight w:val="none"/>
        </w:rPr>
        <w:t>13</w:t>
      </w:r>
      <w:r>
        <w:rPr>
          <w:color w:val="auto"/>
          <w:highlight w:val="none"/>
        </w:rPr>
        <w:fldChar w:fldCharType="end"/>
      </w:r>
      <w:r>
        <w:rPr>
          <w:rFonts w:ascii="华文中宋" w:hAnsi="华文中宋" w:eastAsia="华文中宋"/>
          <w:color w:val="auto"/>
          <w:highlight w:val="none"/>
        </w:rPr>
        <w:fldChar w:fldCharType="end"/>
      </w:r>
    </w:p>
    <w:p w14:paraId="39CF7537">
      <w:pPr>
        <w:pStyle w:val="23"/>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_Toc7438 </w:instrText>
      </w:r>
      <w:r>
        <w:rPr>
          <w:rFonts w:ascii="华文中宋" w:hAnsi="华文中宋" w:eastAsia="华文中宋"/>
          <w:color w:val="auto"/>
          <w:highlight w:val="none"/>
        </w:rPr>
        <w:fldChar w:fldCharType="separate"/>
      </w:r>
      <w:r>
        <w:rPr>
          <w:rFonts w:hint="eastAsia" w:ascii="华文中宋" w:hAnsi="华文中宋" w:eastAsia="华文中宋"/>
          <w:color w:val="auto"/>
          <w:spacing w:val="10"/>
          <w:szCs w:val="24"/>
          <w:highlight w:val="none"/>
        </w:rPr>
        <w:t>五、评标程序和要求</w:t>
      </w:r>
      <w:r>
        <w:rPr>
          <w:color w:val="auto"/>
          <w:highlight w:val="none"/>
        </w:rPr>
        <w:tab/>
      </w:r>
      <w:r>
        <w:rPr>
          <w:color w:val="auto"/>
          <w:highlight w:val="none"/>
        </w:rPr>
        <w:fldChar w:fldCharType="begin"/>
      </w:r>
      <w:r>
        <w:rPr>
          <w:color w:val="auto"/>
          <w:highlight w:val="none"/>
        </w:rPr>
        <w:instrText xml:space="preserve"> PAGEREF _Toc7438 \h </w:instrText>
      </w:r>
      <w:r>
        <w:rPr>
          <w:color w:val="auto"/>
          <w:highlight w:val="none"/>
        </w:rPr>
        <w:fldChar w:fldCharType="separate"/>
      </w:r>
      <w:r>
        <w:rPr>
          <w:color w:val="auto"/>
          <w:highlight w:val="none"/>
        </w:rPr>
        <w:t>13</w:t>
      </w:r>
      <w:r>
        <w:rPr>
          <w:color w:val="auto"/>
          <w:highlight w:val="none"/>
        </w:rPr>
        <w:fldChar w:fldCharType="end"/>
      </w:r>
      <w:r>
        <w:rPr>
          <w:rFonts w:ascii="华文中宋" w:hAnsi="华文中宋" w:eastAsia="华文中宋"/>
          <w:color w:val="auto"/>
          <w:highlight w:val="none"/>
        </w:rPr>
        <w:fldChar w:fldCharType="end"/>
      </w:r>
    </w:p>
    <w:p w14:paraId="6F739AB2">
      <w:pPr>
        <w:pStyle w:val="23"/>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_Toc9353 </w:instrText>
      </w:r>
      <w:r>
        <w:rPr>
          <w:rFonts w:ascii="华文中宋" w:hAnsi="华文中宋" w:eastAsia="华文中宋"/>
          <w:color w:val="auto"/>
          <w:highlight w:val="none"/>
        </w:rPr>
        <w:fldChar w:fldCharType="separate"/>
      </w:r>
      <w:r>
        <w:rPr>
          <w:rFonts w:hint="eastAsia" w:ascii="华文中宋" w:hAnsi="华文中宋" w:eastAsia="华文中宋"/>
          <w:color w:val="auto"/>
          <w:spacing w:val="10"/>
          <w:szCs w:val="24"/>
          <w:highlight w:val="none"/>
        </w:rPr>
        <w:t>六、签订合同</w:t>
      </w:r>
      <w:r>
        <w:rPr>
          <w:color w:val="auto"/>
          <w:highlight w:val="none"/>
        </w:rPr>
        <w:tab/>
      </w:r>
      <w:r>
        <w:rPr>
          <w:color w:val="auto"/>
          <w:highlight w:val="none"/>
        </w:rPr>
        <w:fldChar w:fldCharType="begin"/>
      </w:r>
      <w:r>
        <w:rPr>
          <w:color w:val="auto"/>
          <w:highlight w:val="none"/>
        </w:rPr>
        <w:instrText xml:space="preserve"> PAGEREF _Toc9353 \h </w:instrText>
      </w:r>
      <w:r>
        <w:rPr>
          <w:color w:val="auto"/>
          <w:highlight w:val="none"/>
        </w:rPr>
        <w:fldChar w:fldCharType="separate"/>
      </w:r>
      <w:r>
        <w:rPr>
          <w:color w:val="auto"/>
          <w:highlight w:val="none"/>
        </w:rPr>
        <w:t>16</w:t>
      </w:r>
      <w:r>
        <w:rPr>
          <w:color w:val="auto"/>
          <w:highlight w:val="none"/>
        </w:rPr>
        <w:fldChar w:fldCharType="end"/>
      </w:r>
      <w:r>
        <w:rPr>
          <w:rFonts w:ascii="华文中宋" w:hAnsi="华文中宋" w:eastAsia="华文中宋"/>
          <w:color w:val="auto"/>
          <w:highlight w:val="none"/>
        </w:rPr>
        <w:fldChar w:fldCharType="end"/>
      </w:r>
    </w:p>
    <w:p w14:paraId="03F3CBCE">
      <w:pPr>
        <w:pStyle w:val="23"/>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_Toc12256 </w:instrText>
      </w:r>
      <w:r>
        <w:rPr>
          <w:rFonts w:ascii="华文中宋" w:hAnsi="华文中宋" w:eastAsia="华文中宋"/>
          <w:color w:val="auto"/>
          <w:highlight w:val="none"/>
        </w:rPr>
        <w:fldChar w:fldCharType="separate"/>
      </w:r>
      <w:r>
        <w:rPr>
          <w:rFonts w:hint="eastAsia" w:ascii="华文中宋" w:hAnsi="华文中宋" w:eastAsia="华文中宋"/>
          <w:color w:val="auto"/>
          <w:spacing w:val="10"/>
          <w:szCs w:val="24"/>
          <w:highlight w:val="none"/>
        </w:rPr>
        <w:t>七、服务费</w:t>
      </w:r>
      <w:r>
        <w:rPr>
          <w:color w:val="auto"/>
          <w:highlight w:val="none"/>
        </w:rPr>
        <w:tab/>
      </w:r>
      <w:r>
        <w:rPr>
          <w:color w:val="auto"/>
          <w:highlight w:val="none"/>
        </w:rPr>
        <w:fldChar w:fldCharType="begin"/>
      </w:r>
      <w:r>
        <w:rPr>
          <w:color w:val="auto"/>
          <w:highlight w:val="none"/>
        </w:rPr>
        <w:instrText xml:space="preserve"> PAGEREF _Toc12256 \h </w:instrText>
      </w:r>
      <w:r>
        <w:rPr>
          <w:color w:val="auto"/>
          <w:highlight w:val="none"/>
        </w:rPr>
        <w:fldChar w:fldCharType="separate"/>
      </w:r>
      <w:r>
        <w:rPr>
          <w:color w:val="auto"/>
          <w:highlight w:val="none"/>
        </w:rPr>
        <w:t>17</w:t>
      </w:r>
      <w:r>
        <w:rPr>
          <w:color w:val="auto"/>
          <w:highlight w:val="none"/>
        </w:rPr>
        <w:fldChar w:fldCharType="end"/>
      </w:r>
      <w:r>
        <w:rPr>
          <w:rFonts w:ascii="华文中宋" w:hAnsi="华文中宋" w:eastAsia="华文中宋"/>
          <w:color w:val="auto"/>
          <w:highlight w:val="none"/>
        </w:rPr>
        <w:fldChar w:fldCharType="end"/>
      </w:r>
    </w:p>
    <w:p w14:paraId="331CFF49">
      <w:pPr>
        <w:pStyle w:val="23"/>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_Toc3186 </w:instrText>
      </w:r>
      <w:r>
        <w:rPr>
          <w:rFonts w:ascii="华文中宋" w:hAnsi="华文中宋" w:eastAsia="华文中宋"/>
          <w:color w:val="auto"/>
          <w:highlight w:val="none"/>
        </w:rPr>
        <w:fldChar w:fldCharType="separate"/>
      </w:r>
      <w:r>
        <w:rPr>
          <w:rFonts w:hint="eastAsia" w:ascii="华文中宋" w:hAnsi="华文中宋" w:eastAsia="华文中宋"/>
          <w:color w:val="auto"/>
          <w:spacing w:val="10"/>
          <w:szCs w:val="24"/>
          <w:highlight w:val="none"/>
        </w:rPr>
        <w:t>八、保密和披露</w:t>
      </w:r>
      <w:r>
        <w:rPr>
          <w:color w:val="auto"/>
          <w:highlight w:val="none"/>
        </w:rPr>
        <w:tab/>
      </w:r>
      <w:r>
        <w:rPr>
          <w:color w:val="auto"/>
          <w:highlight w:val="none"/>
        </w:rPr>
        <w:fldChar w:fldCharType="begin"/>
      </w:r>
      <w:r>
        <w:rPr>
          <w:color w:val="auto"/>
          <w:highlight w:val="none"/>
        </w:rPr>
        <w:instrText xml:space="preserve"> PAGEREF _Toc3186 \h </w:instrText>
      </w:r>
      <w:r>
        <w:rPr>
          <w:color w:val="auto"/>
          <w:highlight w:val="none"/>
        </w:rPr>
        <w:fldChar w:fldCharType="separate"/>
      </w:r>
      <w:r>
        <w:rPr>
          <w:color w:val="auto"/>
          <w:highlight w:val="none"/>
        </w:rPr>
        <w:t>17</w:t>
      </w:r>
      <w:r>
        <w:rPr>
          <w:color w:val="auto"/>
          <w:highlight w:val="none"/>
        </w:rPr>
        <w:fldChar w:fldCharType="end"/>
      </w:r>
      <w:r>
        <w:rPr>
          <w:rFonts w:ascii="华文中宋" w:hAnsi="华文中宋" w:eastAsia="华文中宋"/>
          <w:color w:val="auto"/>
          <w:highlight w:val="none"/>
        </w:rPr>
        <w:fldChar w:fldCharType="end"/>
      </w:r>
    </w:p>
    <w:p w14:paraId="5595576F">
      <w:pPr>
        <w:pStyle w:val="23"/>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_Toc3880 </w:instrText>
      </w:r>
      <w:r>
        <w:rPr>
          <w:rFonts w:ascii="华文中宋" w:hAnsi="华文中宋" w:eastAsia="华文中宋"/>
          <w:color w:val="auto"/>
          <w:highlight w:val="none"/>
        </w:rPr>
        <w:fldChar w:fldCharType="separate"/>
      </w:r>
      <w:r>
        <w:rPr>
          <w:rFonts w:hint="eastAsia" w:ascii="华文中宋" w:hAnsi="华文中宋" w:eastAsia="华文中宋"/>
          <w:color w:val="auto"/>
          <w:spacing w:val="10"/>
          <w:szCs w:val="24"/>
          <w:highlight w:val="none"/>
        </w:rPr>
        <w:t>九、询问和质疑</w:t>
      </w:r>
      <w:r>
        <w:rPr>
          <w:color w:val="auto"/>
          <w:highlight w:val="none"/>
        </w:rPr>
        <w:tab/>
      </w:r>
      <w:r>
        <w:rPr>
          <w:color w:val="auto"/>
          <w:highlight w:val="none"/>
        </w:rPr>
        <w:fldChar w:fldCharType="begin"/>
      </w:r>
      <w:r>
        <w:rPr>
          <w:color w:val="auto"/>
          <w:highlight w:val="none"/>
        </w:rPr>
        <w:instrText xml:space="preserve"> PAGEREF _Toc3880 \h </w:instrText>
      </w:r>
      <w:r>
        <w:rPr>
          <w:color w:val="auto"/>
          <w:highlight w:val="none"/>
        </w:rPr>
        <w:fldChar w:fldCharType="separate"/>
      </w:r>
      <w:r>
        <w:rPr>
          <w:color w:val="auto"/>
          <w:highlight w:val="none"/>
        </w:rPr>
        <w:t>17</w:t>
      </w:r>
      <w:r>
        <w:rPr>
          <w:color w:val="auto"/>
          <w:highlight w:val="none"/>
        </w:rPr>
        <w:fldChar w:fldCharType="end"/>
      </w:r>
      <w:r>
        <w:rPr>
          <w:rFonts w:ascii="华文中宋" w:hAnsi="华文中宋" w:eastAsia="华文中宋"/>
          <w:color w:val="auto"/>
          <w:highlight w:val="none"/>
        </w:rPr>
        <w:fldChar w:fldCharType="end"/>
      </w:r>
    </w:p>
    <w:p w14:paraId="485E070F">
      <w:pPr>
        <w:pStyle w:val="23"/>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_Toc16696 </w:instrText>
      </w:r>
      <w:r>
        <w:rPr>
          <w:rFonts w:ascii="华文中宋" w:hAnsi="华文中宋" w:eastAsia="华文中宋"/>
          <w:color w:val="auto"/>
          <w:highlight w:val="none"/>
        </w:rPr>
        <w:fldChar w:fldCharType="separate"/>
      </w:r>
      <w:r>
        <w:rPr>
          <w:rFonts w:hint="eastAsia" w:ascii="华文中宋" w:hAnsi="华文中宋" w:eastAsia="华文中宋"/>
          <w:color w:val="auto"/>
          <w:spacing w:val="10"/>
          <w:szCs w:val="24"/>
          <w:highlight w:val="none"/>
          <w:lang w:eastAsia="zh-CN"/>
        </w:rPr>
        <w:t>十、“政采智贷”</w:t>
      </w:r>
      <w:r>
        <w:rPr>
          <w:color w:val="auto"/>
          <w:highlight w:val="none"/>
        </w:rPr>
        <w:tab/>
      </w:r>
      <w:r>
        <w:rPr>
          <w:color w:val="auto"/>
          <w:highlight w:val="none"/>
        </w:rPr>
        <w:fldChar w:fldCharType="begin"/>
      </w:r>
      <w:r>
        <w:rPr>
          <w:color w:val="auto"/>
          <w:highlight w:val="none"/>
        </w:rPr>
        <w:instrText xml:space="preserve"> PAGEREF _Toc16696 \h </w:instrText>
      </w:r>
      <w:r>
        <w:rPr>
          <w:color w:val="auto"/>
          <w:highlight w:val="none"/>
        </w:rPr>
        <w:fldChar w:fldCharType="separate"/>
      </w:r>
      <w:r>
        <w:rPr>
          <w:color w:val="auto"/>
          <w:highlight w:val="none"/>
        </w:rPr>
        <w:t>18</w:t>
      </w:r>
      <w:r>
        <w:rPr>
          <w:color w:val="auto"/>
          <w:highlight w:val="none"/>
        </w:rPr>
        <w:fldChar w:fldCharType="end"/>
      </w:r>
      <w:r>
        <w:rPr>
          <w:rFonts w:ascii="华文中宋" w:hAnsi="华文中宋" w:eastAsia="华文中宋"/>
          <w:color w:val="auto"/>
          <w:highlight w:val="none"/>
        </w:rPr>
        <w:fldChar w:fldCharType="end"/>
      </w:r>
    </w:p>
    <w:p w14:paraId="1E7A20AC">
      <w:pPr>
        <w:pStyle w:val="22"/>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_Toc12833 </w:instrText>
      </w:r>
      <w:r>
        <w:rPr>
          <w:rFonts w:ascii="华文中宋" w:hAnsi="华文中宋" w:eastAsia="华文中宋"/>
          <w:color w:val="auto"/>
          <w:highlight w:val="none"/>
        </w:rPr>
        <w:fldChar w:fldCharType="separate"/>
      </w:r>
      <w:r>
        <w:rPr>
          <w:rFonts w:hint="eastAsia" w:ascii="华文中宋" w:hAnsi="华文中宋" w:eastAsia="华文中宋"/>
          <w:color w:val="auto"/>
          <w:spacing w:val="20"/>
          <w:szCs w:val="28"/>
          <w:highlight w:val="none"/>
        </w:rPr>
        <w:t>第四部分  采购需求</w:t>
      </w:r>
      <w:r>
        <w:rPr>
          <w:color w:val="auto"/>
          <w:highlight w:val="none"/>
        </w:rPr>
        <w:tab/>
      </w:r>
      <w:r>
        <w:rPr>
          <w:color w:val="auto"/>
          <w:highlight w:val="none"/>
        </w:rPr>
        <w:fldChar w:fldCharType="begin"/>
      </w:r>
      <w:r>
        <w:rPr>
          <w:color w:val="auto"/>
          <w:highlight w:val="none"/>
        </w:rPr>
        <w:instrText xml:space="preserve"> PAGEREF _Toc12833 \h </w:instrText>
      </w:r>
      <w:r>
        <w:rPr>
          <w:color w:val="auto"/>
          <w:highlight w:val="none"/>
        </w:rPr>
        <w:fldChar w:fldCharType="separate"/>
      </w:r>
      <w:r>
        <w:rPr>
          <w:color w:val="auto"/>
          <w:highlight w:val="none"/>
        </w:rPr>
        <w:t>19</w:t>
      </w:r>
      <w:r>
        <w:rPr>
          <w:color w:val="auto"/>
          <w:highlight w:val="none"/>
        </w:rPr>
        <w:fldChar w:fldCharType="end"/>
      </w:r>
      <w:r>
        <w:rPr>
          <w:rFonts w:ascii="华文中宋" w:hAnsi="华文中宋" w:eastAsia="华文中宋"/>
          <w:color w:val="auto"/>
          <w:highlight w:val="none"/>
        </w:rPr>
        <w:fldChar w:fldCharType="end"/>
      </w:r>
    </w:p>
    <w:p w14:paraId="08F99774">
      <w:pPr>
        <w:pStyle w:val="22"/>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_Toc26886 </w:instrText>
      </w:r>
      <w:r>
        <w:rPr>
          <w:rFonts w:ascii="华文中宋" w:hAnsi="华文中宋" w:eastAsia="华文中宋"/>
          <w:color w:val="auto"/>
          <w:highlight w:val="none"/>
        </w:rPr>
        <w:fldChar w:fldCharType="separate"/>
      </w:r>
      <w:r>
        <w:rPr>
          <w:rFonts w:hint="eastAsia" w:ascii="华文中宋" w:hAnsi="华文中宋" w:eastAsia="华文中宋"/>
          <w:color w:val="auto"/>
          <w:spacing w:val="20"/>
          <w:szCs w:val="28"/>
          <w:highlight w:val="none"/>
        </w:rPr>
        <w:t>第五部分  资格审查内容及标准</w:t>
      </w:r>
      <w:r>
        <w:rPr>
          <w:color w:val="auto"/>
          <w:highlight w:val="none"/>
        </w:rPr>
        <w:tab/>
      </w:r>
      <w:r>
        <w:rPr>
          <w:color w:val="auto"/>
          <w:highlight w:val="none"/>
        </w:rPr>
        <w:fldChar w:fldCharType="begin"/>
      </w:r>
      <w:r>
        <w:rPr>
          <w:color w:val="auto"/>
          <w:highlight w:val="none"/>
        </w:rPr>
        <w:instrText xml:space="preserve"> PAGEREF _Toc26886 \h </w:instrText>
      </w:r>
      <w:r>
        <w:rPr>
          <w:color w:val="auto"/>
          <w:highlight w:val="none"/>
        </w:rPr>
        <w:fldChar w:fldCharType="separate"/>
      </w:r>
      <w:r>
        <w:rPr>
          <w:color w:val="auto"/>
          <w:highlight w:val="none"/>
        </w:rPr>
        <w:t>54</w:t>
      </w:r>
      <w:r>
        <w:rPr>
          <w:color w:val="auto"/>
          <w:highlight w:val="none"/>
        </w:rPr>
        <w:fldChar w:fldCharType="end"/>
      </w:r>
      <w:r>
        <w:rPr>
          <w:rFonts w:ascii="华文中宋" w:hAnsi="华文中宋" w:eastAsia="华文中宋"/>
          <w:color w:val="auto"/>
          <w:highlight w:val="none"/>
        </w:rPr>
        <w:fldChar w:fldCharType="end"/>
      </w:r>
    </w:p>
    <w:p w14:paraId="72F38A6A">
      <w:pPr>
        <w:pStyle w:val="22"/>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_Toc2731 </w:instrText>
      </w:r>
      <w:r>
        <w:rPr>
          <w:rFonts w:ascii="华文中宋" w:hAnsi="华文中宋" w:eastAsia="华文中宋"/>
          <w:color w:val="auto"/>
          <w:highlight w:val="none"/>
        </w:rPr>
        <w:fldChar w:fldCharType="separate"/>
      </w:r>
      <w:r>
        <w:rPr>
          <w:rFonts w:hint="eastAsia" w:ascii="华文中宋" w:hAnsi="华文中宋" w:eastAsia="华文中宋"/>
          <w:color w:val="auto"/>
          <w:spacing w:val="20"/>
          <w:szCs w:val="28"/>
          <w:highlight w:val="none"/>
        </w:rPr>
        <w:t>第六部分  评标标准和评标方法</w:t>
      </w:r>
      <w:r>
        <w:rPr>
          <w:color w:val="auto"/>
          <w:highlight w:val="none"/>
        </w:rPr>
        <w:tab/>
      </w:r>
      <w:r>
        <w:rPr>
          <w:color w:val="auto"/>
          <w:highlight w:val="none"/>
        </w:rPr>
        <w:fldChar w:fldCharType="begin"/>
      </w:r>
      <w:r>
        <w:rPr>
          <w:color w:val="auto"/>
          <w:highlight w:val="none"/>
        </w:rPr>
        <w:instrText xml:space="preserve"> PAGEREF _Toc2731 \h </w:instrText>
      </w:r>
      <w:r>
        <w:rPr>
          <w:color w:val="auto"/>
          <w:highlight w:val="none"/>
        </w:rPr>
        <w:fldChar w:fldCharType="separate"/>
      </w:r>
      <w:r>
        <w:rPr>
          <w:color w:val="auto"/>
          <w:highlight w:val="none"/>
        </w:rPr>
        <w:t>55</w:t>
      </w:r>
      <w:r>
        <w:rPr>
          <w:color w:val="auto"/>
          <w:highlight w:val="none"/>
        </w:rPr>
        <w:fldChar w:fldCharType="end"/>
      </w:r>
      <w:r>
        <w:rPr>
          <w:rFonts w:ascii="华文中宋" w:hAnsi="华文中宋" w:eastAsia="华文中宋"/>
          <w:color w:val="auto"/>
          <w:highlight w:val="none"/>
        </w:rPr>
        <w:fldChar w:fldCharType="end"/>
      </w:r>
    </w:p>
    <w:p w14:paraId="663AB7EE">
      <w:pPr>
        <w:pStyle w:val="22"/>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_Toc26929 </w:instrText>
      </w:r>
      <w:r>
        <w:rPr>
          <w:rFonts w:ascii="华文中宋" w:hAnsi="华文中宋" w:eastAsia="华文中宋"/>
          <w:color w:val="auto"/>
          <w:highlight w:val="none"/>
        </w:rPr>
        <w:fldChar w:fldCharType="separate"/>
      </w:r>
      <w:r>
        <w:rPr>
          <w:rFonts w:hint="eastAsia" w:ascii="华文中宋" w:hAnsi="华文中宋" w:eastAsia="华文中宋" w:cs="华文中宋"/>
          <w:color w:val="auto"/>
          <w:spacing w:val="20"/>
          <w:kern w:val="44"/>
          <w:szCs w:val="28"/>
          <w:highlight w:val="none"/>
        </w:rPr>
        <w:t>第七部分  合同</w:t>
      </w:r>
      <w:r>
        <w:rPr>
          <w:rFonts w:hint="eastAsia" w:ascii="华文中宋" w:hAnsi="华文中宋" w:eastAsia="华文中宋" w:cs="华文中宋"/>
          <w:color w:val="auto"/>
          <w:spacing w:val="20"/>
          <w:kern w:val="44"/>
          <w:szCs w:val="28"/>
          <w:highlight w:val="none"/>
          <w:lang w:val="en-US" w:eastAsia="zh-CN"/>
        </w:rPr>
        <w:t>范</w:t>
      </w:r>
      <w:r>
        <w:rPr>
          <w:rFonts w:hint="eastAsia" w:ascii="华文中宋" w:hAnsi="华文中宋" w:eastAsia="华文中宋" w:cs="华文中宋"/>
          <w:color w:val="auto"/>
          <w:spacing w:val="20"/>
          <w:kern w:val="44"/>
          <w:szCs w:val="28"/>
          <w:highlight w:val="none"/>
        </w:rPr>
        <w:t>本</w:t>
      </w:r>
      <w:r>
        <w:rPr>
          <w:color w:val="auto"/>
          <w:highlight w:val="none"/>
        </w:rPr>
        <w:tab/>
      </w:r>
      <w:r>
        <w:rPr>
          <w:color w:val="auto"/>
          <w:highlight w:val="none"/>
        </w:rPr>
        <w:fldChar w:fldCharType="begin"/>
      </w:r>
      <w:r>
        <w:rPr>
          <w:color w:val="auto"/>
          <w:highlight w:val="none"/>
        </w:rPr>
        <w:instrText xml:space="preserve"> PAGEREF _Toc26929 \h </w:instrText>
      </w:r>
      <w:r>
        <w:rPr>
          <w:color w:val="auto"/>
          <w:highlight w:val="none"/>
        </w:rPr>
        <w:fldChar w:fldCharType="separate"/>
      </w:r>
      <w:r>
        <w:rPr>
          <w:color w:val="auto"/>
          <w:highlight w:val="none"/>
        </w:rPr>
        <w:t>59</w:t>
      </w:r>
      <w:r>
        <w:rPr>
          <w:color w:val="auto"/>
          <w:highlight w:val="none"/>
        </w:rPr>
        <w:fldChar w:fldCharType="end"/>
      </w:r>
      <w:r>
        <w:rPr>
          <w:rFonts w:ascii="华文中宋" w:hAnsi="华文中宋" w:eastAsia="华文中宋"/>
          <w:color w:val="auto"/>
          <w:highlight w:val="none"/>
        </w:rPr>
        <w:fldChar w:fldCharType="end"/>
      </w:r>
    </w:p>
    <w:p w14:paraId="3023DE9D">
      <w:pPr>
        <w:pStyle w:val="22"/>
        <w:keepNext w:val="0"/>
        <w:keepLines w:val="0"/>
        <w:pageBreakBefore w:val="0"/>
        <w:widowControl w:val="0"/>
        <w:tabs>
          <w:tab w:val="right" w:leader="dot" w:pos="9014"/>
        </w:tabs>
        <w:kinsoku/>
        <w:wordWrap/>
        <w:overflowPunct/>
        <w:topLinePunct w:val="0"/>
        <w:autoSpaceDE/>
        <w:autoSpaceDN/>
        <w:bidi w:val="0"/>
        <w:adjustRightInd/>
        <w:snapToGrid/>
        <w:spacing w:line="360" w:lineRule="auto"/>
        <w:textAlignment w:val="auto"/>
        <w:rPr>
          <w:color w:val="auto"/>
          <w:highlight w:val="none"/>
        </w:rPr>
      </w:pPr>
      <w:r>
        <w:rPr>
          <w:rFonts w:ascii="华文中宋" w:hAnsi="华文中宋" w:eastAsia="华文中宋"/>
          <w:color w:val="auto"/>
          <w:highlight w:val="none"/>
        </w:rPr>
        <w:fldChar w:fldCharType="begin"/>
      </w:r>
      <w:r>
        <w:rPr>
          <w:rFonts w:ascii="华文中宋" w:hAnsi="华文中宋" w:eastAsia="华文中宋"/>
          <w:color w:val="auto"/>
          <w:highlight w:val="none"/>
        </w:rPr>
        <w:instrText xml:space="preserve"> HYPERLINK \l _Toc3879 </w:instrText>
      </w:r>
      <w:r>
        <w:rPr>
          <w:rFonts w:ascii="华文中宋" w:hAnsi="华文中宋" w:eastAsia="华文中宋"/>
          <w:color w:val="auto"/>
          <w:highlight w:val="none"/>
        </w:rPr>
        <w:fldChar w:fldCharType="separate"/>
      </w:r>
      <w:r>
        <w:rPr>
          <w:rFonts w:hint="eastAsia" w:ascii="华文中宋" w:hAnsi="华文中宋" w:eastAsia="华文中宋" w:cs="华文中宋"/>
          <w:color w:val="auto"/>
          <w:spacing w:val="20"/>
          <w:kern w:val="44"/>
          <w:szCs w:val="28"/>
          <w:highlight w:val="none"/>
        </w:rPr>
        <w:t>第八部分  投标文件内容要求及格式</w:t>
      </w:r>
      <w:r>
        <w:rPr>
          <w:color w:val="auto"/>
          <w:highlight w:val="none"/>
        </w:rPr>
        <w:tab/>
      </w:r>
      <w:r>
        <w:rPr>
          <w:color w:val="auto"/>
          <w:highlight w:val="none"/>
        </w:rPr>
        <w:fldChar w:fldCharType="begin"/>
      </w:r>
      <w:r>
        <w:rPr>
          <w:color w:val="auto"/>
          <w:highlight w:val="none"/>
        </w:rPr>
        <w:instrText xml:space="preserve"> PAGEREF _Toc3879 \h </w:instrText>
      </w:r>
      <w:r>
        <w:rPr>
          <w:color w:val="auto"/>
          <w:highlight w:val="none"/>
        </w:rPr>
        <w:fldChar w:fldCharType="separate"/>
      </w:r>
      <w:r>
        <w:rPr>
          <w:color w:val="auto"/>
          <w:highlight w:val="none"/>
        </w:rPr>
        <w:t>65</w:t>
      </w:r>
      <w:r>
        <w:rPr>
          <w:color w:val="auto"/>
          <w:highlight w:val="none"/>
        </w:rPr>
        <w:fldChar w:fldCharType="end"/>
      </w:r>
      <w:r>
        <w:rPr>
          <w:rFonts w:ascii="华文中宋" w:hAnsi="华文中宋" w:eastAsia="华文中宋"/>
          <w:color w:val="auto"/>
          <w:highlight w:val="none"/>
        </w:rPr>
        <w:fldChar w:fldCharType="end"/>
      </w:r>
    </w:p>
    <w:p w14:paraId="796FA66A">
      <w:pPr>
        <w:keepNext w:val="0"/>
        <w:keepLines w:val="0"/>
        <w:pageBreakBefore w:val="0"/>
        <w:widowControl w:val="0"/>
        <w:kinsoku/>
        <w:wordWrap/>
        <w:overflowPunct/>
        <w:topLinePunct w:val="0"/>
        <w:autoSpaceDE/>
        <w:autoSpaceDN/>
        <w:bidi w:val="0"/>
        <w:adjustRightInd/>
        <w:snapToGrid/>
        <w:spacing w:line="360" w:lineRule="auto"/>
        <w:textAlignment w:val="auto"/>
        <w:rPr>
          <w:rFonts w:ascii="华文中宋" w:hAnsi="华文中宋" w:eastAsia="华文中宋"/>
          <w:color w:val="auto"/>
          <w:highlight w:val="none"/>
        </w:rPr>
        <w:sectPr>
          <w:footerReference r:id="rId4" w:type="default"/>
          <w:pgSz w:w="11906" w:h="16838"/>
          <w:pgMar w:top="1134" w:right="1361" w:bottom="1021" w:left="1531"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ascii="华文中宋" w:hAnsi="华文中宋" w:eastAsia="华文中宋"/>
          <w:color w:val="auto"/>
          <w:highlight w:val="none"/>
        </w:rPr>
        <w:fldChar w:fldCharType="end"/>
      </w:r>
    </w:p>
    <w:p w14:paraId="61905F73">
      <w:pPr>
        <w:pStyle w:val="56"/>
        <w:numPr>
          <w:ilvl w:val="0"/>
          <w:numId w:val="0"/>
        </w:numPr>
        <w:snapToGrid w:val="0"/>
        <w:spacing w:before="0" w:after="0"/>
        <w:rPr>
          <w:rFonts w:ascii="华文中宋" w:hAnsi="华文中宋" w:eastAsia="华文中宋"/>
          <w:color w:val="auto"/>
          <w:szCs w:val="21"/>
          <w:highlight w:val="none"/>
        </w:rPr>
      </w:pPr>
      <w:bookmarkStart w:id="0" w:name="_Toc352761927"/>
      <w:bookmarkStart w:id="1" w:name="_Toc19559"/>
      <w:bookmarkStart w:id="2" w:name="_Toc424378682"/>
      <w:bookmarkStart w:id="3" w:name="_Toc352761928"/>
      <w:bookmarkStart w:id="4" w:name="_Toc17050"/>
      <w:bookmarkStart w:id="5" w:name="_Toc424378683"/>
      <w:r>
        <w:rPr>
          <w:rFonts w:hint="eastAsia" w:ascii="华文中宋" w:hAnsi="华文中宋" w:eastAsia="华文中宋"/>
          <w:color w:val="auto"/>
          <w:spacing w:val="20"/>
          <w:szCs w:val="28"/>
          <w:highlight w:val="none"/>
        </w:rPr>
        <w:t>第一部分  投标邀请</w:t>
      </w:r>
      <w:bookmarkEnd w:id="0"/>
      <w:bookmarkEnd w:id="1"/>
      <w:bookmarkEnd w:id="2"/>
    </w:p>
    <w:p w14:paraId="1DADE136">
      <w:pPr>
        <w:snapToGrid w:val="0"/>
        <w:spacing w:line="440" w:lineRule="exact"/>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根据《中华人民共和国政府采购法》和有关法律法规及规章规定，</w:t>
      </w:r>
      <w:r>
        <w:rPr>
          <w:rFonts w:hint="eastAsia" w:ascii="华文中宋" w:hAnsi="华文中宋" w:eastAsia="华文中宋" w:cs="仿宋"/>
          <w:color w:val="auto"/>
          <w:szCs w:val="21"/>
          <w:highlight w:val="none"/>
          <w:lang w:val="en-US" w:eastAsia="zh-CN"/>
        </w:rPr>
        <w:t>大同市公共资源交易中心（大同市政府采购中心）</w:t>
      </w:r>
      <w:r>
        <w:rPr>
          <w:rFonts w:hint="eastAsia" w:ascii="华文中宋" w:hAnsi="华文中宋" w:eastAsia="华文中宋"/>
          <w:color w:val="auto"/>
          <w:szCs w:val="21"/>
          <w:highlight w:val="none"/>
        </w:rPr>
        <w:t>受采购人委托，对下述项目进行国内公开招标采购，欢迎符合条件的供应商参与投标。</w:t>
      </w:r>
    </w:p>
    <w:p w14:paraId="463700B7">
      <w:pPr>
        <w:spacing w:line="440" w:lineRule="exact"/>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一、项目基本情况</w:t>
      </w:r>
    </w:p>
    <w:p w14:paraId="585F7D36">
      <w:pPr>
        <w:spacing w:line="440" w:lineRule="exact"/>
        <w:ind w:firstLine="420" w:firstLineChars="20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rPr>
        <w:t>1. 项目编号：</w:t>
      </w:r>
      <w:r>
        <w:rPr>
          <w:rFonts w:hint="eastAsia" w:ascii="华文中宋" w:hAnsi="华文中宋" w:eastAsia="华文中宋"/>
          <w:color w:val="auto"/>
          <w:szCs w:val="21"/>
          <w:highlight w:val="none"/>
        </w:rPr>
        <w:t>1402992025AGK00408</w:t>
      </w:r>
    </w:p>
    <w:p w14:paraId="54B61AE7">
      <w:pPr>
        <w:spacing w:line="440" w:lineRule="exact"/>
        <w:ind w:firstLine="420" w:firstLineChars="20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rPr>
        <w:t>2. 项目名称：</w:t>
      </w:r>
      <w:r>
        <w:rPr>
          <w:rFonts w:hint="eastAsia" w:ascii="华文中宋" w:hAnsi="华文中宋" w:eastAsia="华文中宋"/>
          <w:color w:val="auto"/>
          <w:szCs w:val="21"/>
          <w:highlight w:val="none"/>
        </w:rPr>
        <w:t>公安交通管理综合应用平台社会化服务系统升级改造项目</w:t>
      </w:r>
    </w:p>
    <w:p w14:paraId="08C5A478">
      <w:pPr>
        <w:spacing w:line="440" w:lineRule="exact"/>
        <w:ind w:firstLine="420" w:firstLineChars="200"/>
        <w:rPr>
          <w:rFonts w:hint="eastAsia" w:ascii="华文中宋" w:hAnsi="华文中宋" w:eastAsia="华文中宋" w:cs="宋体"/>
          <w:bCs/>
          <w:color w:val="auto"/>
          <w:kern w:val="0"/>
          <w:highlight w:val="none"/>
          <w:lang w:val="en-US" w:eastAsia="zh-CN"/>
        </w:rPr>
      </w:pPr>
      <w:r>
        <w:rPr>
          <w:rFonts w:hint="eastAsia" w:ascii="华文中宋" w:hAnsi="华文中宋" w:eastAsia="华文中宋" w:cs="宋体"/>
          <w:bCs/>
          <w:color w:val="auto"/>
          <w:kern w:val="0"/>
          <w:highlight w:val="none"/>
        </w:rPr>
        <w:t>3. 预算金额：</w:t>
      </w:r>
      <w:r>
        <w:rPr>
          <w:rFonts w:hint="eastAsia" w:ascii="华文中宋" w:hAnsi="华文中宋" w:eastAsia="华文中宋" w:cs="宋体"/>
          <w:bCs/>
          <w:color w:val="auto"/>
          <w:kern w:val="0"/>
          <w:highlight w:val="none"/>
        </w:rPr>
        <w:t>5628800元</w:t>
      </w:r>
    </w:p>
    <w:p w14:paraId="25FACDCF">
      <w:pPr>
        <w:spacing w:line="440" w:lineRule="exact"/>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s="宋体"/>
          <w:bCs/>
          <w:color w:val="auto"/>
          <w:kern w:val="0"/>
          <w:highlight w:val="none"/>
          <w:lang w:val="en-US" w:eastAsia="zh-CN"/>
        </w:rPr>
        <w:t xml:space="preserve">   </w:t>
      </w:r>
      <w:r>
        <w:rPr>
          <w:rFonts w:hint="eastAsia" w:ascii="华文中宋" w:hAnsi="华文中宋" w:eastAsia="华文中宋" w:cs="宋体"/>
          <w:bCs/>
          <w:color w:val="auto"/>
          <w:kern w:val="0"/>
          <w:highlight w:val="none"/>
        </w:rPr>
        <w:t>最高限价：</w:t>
      </w:r>
      <w:r>
        <w:rPr>
          <w:rFonts w:hint="eastAsia" w:ascii="华文中宋" w:hAnsi="华文中宋" w:eastAsia="华文中宋" w:cs="宋体"/>
          <w:bCs/>
          <w:color w:val="auto"/>
          <w:kern w:val="0"/>
          <w:highlight w:val="none"/>
        </w:rPr>
        <w:t>5628800元</w:t>
      </w:r>
    </w:p>
    <w:p w14:paraId="6D6DA90F">
      <w:pPr>
        <w:numPr>
          <w:ilvl w:val="0"/>
          <w:numId w:val="2"/>
        </w:numPr>
        <w:spacing w:line="440" w:lineRule="exact"/>
        <w:ind w:firstLine="420" w:firstLineChars="200"/>
        <w:rPr>
          <w:rFonts w:hint="eastAsia" w:ascii="华文中宋" w:hAnsi="华文中宋" w:eastAsia="华文中宋" w:cs="宋体"/>
          <w:bCs/>
          <w:color w:val="auto"/>
          <w:kern w:val="0"/>
          <w:highlight w:val="none"/>
        </w:rPr>
      </w:pPr>
      <w:r>
        <w:rPr>
          <w:rFonts w:hint="eastAsia" w:ascii="华文中宋" w:hAnsi="华文中宋" w:eastAsia="华文中宋" w:cs="宋体"/>
          <w:bCs/>
          <w:color w:val="auto"/>
          <w:kern w:val="0"/>
          <w:highlight w:val="none"/>
        </w:rPr>
        <w:t>采购需求：</w:t>
      </w:r>
      <w:r>
        <w:rPr>
          <w:rFonts w:hint="eastAsia" w:ascii="华文中宋" w:hAnsi="华文中宋" w:eastAsia="华文中宋" w:cs="宋体"/>
          <w:bCs/>
          <w:color w:val="auto"/>
          <w:kern w:val="0"/>
          <w:highlight w:val="none"/>
        </w:rPr>
        <w:t>按照《2022年道路交通管理工作要点》（公交管〔2022〕1号）、《公安交通管理科技发展规划（2021-2023年）》（公交管〔2020〕300号）部署要求，升级改造社会化服务系统，全面提升社会化服务系统的运行效率、服务能力和信息安全防护水平。</w:t>
      </w:r>
    </w:p>
    <w:p w14:paraId="0A11A551">
      <w:pPr>
        <w:numPr>
          <w:ilvl w:val="0"/>
          <w:numId w:val="0"/>
        </w:numPr>
        <w:spacing w:line="440" w:lineRule="exact"/>
        <w:ind w:firstLine="630" w:firstLineChars="300"/>
        <w:rPr>
          <w:rFonts w:hint="eastAsia" w:ascii="华文中宋" w:hAnsi="华文中宋" w:eastAsia="华文中宋" w:cs="宋体"/>
          <w:bCs/>
          <w:color w:val="auto"/>
          <w:kern w:val="0"/>
          <w:highlight w:val="none"/>
        </w:rPr>
      </w:pPr>
      <w:r>
        <w:rPr>
          <w:rFonts w:hint="eastAsia" w:ascii="华文中宋" w:hAnsi="华文中宋" w:eastAsia="华文中宋" w:cs="宋体"/>
          <w:bCs/>
          <w:color w:val="auto"/>
          <w:kern w:val="0"/>
          <w:highlight w:val="none"/>
        </w:rPr>
        <w:t>具体以第四部分采购需求为准。</w:t>
      </w:r>
    </w:p>
    <w:p w14:paraId="73FEBE4E">
      <w:pPr>
        <w:numPr>
          <w:ilvl w:val="0"/>
          <w:numId w:val="3"/>
        </w:numPr>
        <w:spacing w:line="440" w:lineRule="exact"/>
        <w:ind w:firstLine="420" w:firstLineChars="200"/>
        <w:rPr>
          <w:rFonts w:hint="default" w:ascii="华文中宋" w:hAnsi="华文中宋" w:eastAsia="华文中宋" w:cs="Times New Roman"/>
          <w:color w:val="auto"/>
          <w:szCs w:val="21"/>
          <w:highlight w:val="none"/>
          <w:lang w:val="en-US" w:eastAsia="zh-CN"/>
        </w:rPr>
      </w:pPr>
      <w:r>
        <w:rPr>
          <w:rFonts w:hint="eastAsia" w:ascii="华文中宋" w:hAnsi="华文中宋" w:eastAsia="华文中宋" w:cs="Times New Roman"/>
          <w:color w:val="auto"/>
          <w:szCs w:val="21"/>
          <w:highlight w:val="none"/>
          <w:lang w:val="en-US" w:eastAsia="zh-CN"/>
        </w:rPr>
        <w:t>采购方式：公开招标</w:t>
      </w:r>
    </w:p>
    <w:p w14:paraId="616B9F0E">
      <w:pPr>
        <w:numPr>
          <w:ilvl w:val="0"/>
          <w:numId w:val="3"/>
        </w:numPr>
        <w:spacing w:line="440" w:lineRule="exact"/>
        <w:ind w:left="0" w:leftChars="0" w:firstLine="420" w:firstLineChars="200"/>
        <w:rPr>
          <w:rFonts w:hint="eastAsia" w:ascii="华文中宋" w:hAnsi="华文中宋" w:eastAsia="华文中宋" w:cs="Times New Roman"/>
          <w:color w:val="auto"/>
          <w:szCs w:val="21"/>
          <w:highlight w:val="none"/>
          <w:lang w:val="en-US" w:eastAsia="zh-CN"/>
        </w:rPr>
      </w:pPr>
      <w:r>
        <w:rPr>
          <w:rFonts w:hint="eastAsia" w:ascii="华文中宋" w:hAnsi="华文中宋" w:eastAsia="华文中宋" w:cs="Times New Roman"/>
          <w:color w:val="auto"/>
          <w:szCs w:val="21"/>
          <w:highlight w:val="none"/>
          <w:lang w:val="en-US" w:eastAsia="zh-CN"/>
        </w:rPr>
        <w:t>供货时间：</w:t>
      </w:r>
      <w:r>
        <w:rPr>
          <w:rFonts w:hint="eastAsia" w:ascii="华文中宋" w:hAnsi="华文中宋" w:eastAsia="华文中宋" w:cs="Times New Roman"/>
          <w:color w:val="auto"/>
          <w:szCs w:val="21"/>
          <w:highlight w:val="none"/>
          <w:lang w:val="en-US" w:eastAsia="zh-CN"/>
        </w:rPr>
        <w:t>30天</w:t>
      </w:r>
    </w:p>
    <w:p w14:paraId="426155DE">
      <w:pPr>
        <w:numPr>
          <w:ilvl w:val="0"/>
          <w:numId w:val="3"/>
        </w:numPr>
        <w:spacing w:line="440" w:lineRule="exact"/>
        <w:ind w:left="0" w:leftChars="0" w:firstLine="420" w:firstLineChars="200"/>
        <w:rPr>
          <w:rFonts w:hint="default" w:ascii="华文中宋" w:hAnsi="华文中宋" w:eastAsia="华文中宋" w:cs="Times New Roman"/>
          <w:color w:val="auto"/>
          <w:szCs w:val="21"/>
          <w:highlight w:val="none"/>
          <w:lang w:val="en-US" w:eastAsia="zh-CN"/>
        </w:rPr>
      </w:pPr>
      <w:r>
        <w:rPr>
          <w:rFonts w:hint="eastAsia" w:ascii="华文中宋" w:hAnsi="华文中宋" w:eastAsia="华文中宋" w:cs="Times New Roman"/>
          <w:color w:val="auto"/>
          <w:szCs w:val="21"/>
          <w:highlight w:val="none"/>
          <w:lang w:val="en-US" w:eastAsia="zh-CN"/>
        </w:rPr>
        <w:t>本项目是否接受联合体投标：</w:t>
      </w:r>
      <w:r>
        <w:rPr>
          <w:rFonts w:hint="eastAsia" w:ascii="华文中宋" w:hAnsi="华文中宋" w:eastAsia="华文中宋" w:cs="Times New Roman"/>
          <w:color w:val="auto"/>
          <w:szCs w:val="21"/>
          <w:highlight w:val="none"/>
          <w:lang w:val="en-US" w:eastAsia="zh-CN"/>
        </w:rPr>
        <w:t>否</w:t>
      </w:r>
    </w:p>
    <w:p w14:paraId="0F9175BA">
      <w:pPr>
        <w:spacing w:line="360" w:lineRule="auto"/>
        <w:rPr>
          <w:rFonts w:hint="eastAsia" w:ascii="华文中宋" w:hAnsi="华文中宋" w:eastAsia="华文中宋" w:cs="宋体"/>
          <w:b/>
          <w:bCs w:val="0"/>
          <w:color w:val="auto"/>
          <w:kern w:val="0"/>
          <w:highlight w:val="none"/>
          <w:lang w:val="en-US" w:eastAsia="zh-CN"/>
        </w:rPr>
      </w:pPr>
      <w:bookmarkStart w:id="6" w:name="_Toc14738_WPSOffice_Level2"/>
      <w:bookmarkStart w:id="7" w:name="_Toc10973_WPSOffice_Level2"/>
      <w:bookmarkStart w:id="8" w:name="_Toc20018_WPSOffice_Level2"/>
      <w:r>
        <w:rPr>
          <w:rFonts w:hint="eastAsia" w:ascii="华文中宋" w:hAnsi="华文中宋" w:eastAsia="华文中宋" w:cs="宋体"/>
          <w:b/>
          <w:bCs w:val="0"/>
          <w:color w:val="auto"/>
          <w:kern w:val="0"/>
          <w:highlight w:val="none"/>
          <w:lang w:val="en-US" w:eastAsia="zh-CN"/>
        </w:rPr>
        <w:t>二、申请人的资格要求：</w:t>
      </w:r>
    </w:p>
    <w:p w14:paraId="78AD13E5">
      <w:pPr>
        <w:spacing w:line="360" w:lineRule="auto"/>
        <w:ind w:firstLine="420"/>
        <w:rPr>
          <w:rFonts w:hint="eastAsia" w:ascii="华文中宋" w:hAnsi="华文中宋" w:eastAsia="华文中宋" w:cs="宋体"/>
          <w:bCs/>
          <w:color w:val="auto"/>
          <w:kern w:val="0"/>
          <w:highlight w:val="none"/>
          <w:lang w:val="en-US" w:eastAsia="zh-CN"/>
        </w:rPr>
      </w:pPr>
      <w:r>
        <w:rPr>
          <w:rFonts w:hint="eastAsia" w:ascii="华文中宋" w:hAnsi="华文中宋" w:eastAsia="华文中宋" w:cs="宋体"/>
          <w:bCs/>
          <w:color w:val="auto"/>
          <w:kern w:val="0"/>
          <w:highlight w:val="none"/>
          <w:lang w:val="en-US" w:eastAsia="zh-CN"/>
        </w:rPr>
        <w:t>1. 满足《中华人民共和国政府采购法》第二十二条规定；</w:t>
      </w:r>
    </w:p>
    <w:p w14:paraId="0FEAB794">
      <w:pPr>
        <w:spacing w:line="360" w:lineRule="auto"/>
        <w:ind w:firstLine="420"/>
        <w:rPr>
          <w:rFonts w:hint="default" w:ascii="华文中宋" w:hAnsi="华文中宋" w:eastAsia="华文中宋" w:cs="宋体"/>
          <w:bCs/>
          <w:color w:val="auto"/>
          <w:kern w:val="0"/>
          <w:highlight w:val="none"/>
          <w:lang w:val="en-US" w:eastAsia="zh-CN"/>
        </w:rPr>
      </w:pPr>
      <w:r>
        <w:rPr>
          <w:rFonts w:hint="eastAsia" w:ascii="华文中宋" w:hAnsi="华文中宋" w:eastAsia="华文中宋" w:cs="宋体"/>
          <w:bCs/>
          <w:color w:val="auto"/>
          <w:kern w:val="0"/>
          <w:highlight w:val="none"/>
          <w:lang w:val="en-US" w:eastAsia="zh-CN"/>
        </w:rPr>
        <w:t>2. 落实政府采购政策需满足的资格要求：</w:t>
      </w:r>
      <w:r>
        <w:rPr>
          <w:rFonts w:hint="eastAsia" w:ascii="华文中宋" w:hAnsi="华文中宋" w:eastAsia="华文中宋" w:cs="宋体"/>
          <w:bCs/>
          <w:color w:val="auto"/>
          <w:kern w:val="0"/>
          <w:highlight w:val="none"/>
          <w:lang w:val="en-US" w:eastAsia="zh-CN"/>
        </w:rPr>
        <w:t>无</w:t>
      </w:r>
    </w:p>
    <w:p w14:paraId="01F656AF">
      <w:pPr>
        <w:spacing w:line="360" w:lineRule="auto"/>
        <w:ind w:firstLine="420"/>
        <w:rPr>
          <w:rFonts w:hint="default" w:ascii="华文中宋" w:hAnsi="华文中宋" w:eastAsia="华文中宋"/>
          <w:b/>
          <w:color w:val="auto"/>
          <w:szCs w:val="21"/>
          <w:highlight w:val="none"/>
          <w:lang w:val="en-US"/>
        </w:rPr>
      </w:pPr>
      <w:r>
        <w:rPr>
          <w:rFonts w:hint="eastAsia" w:ascii="华文中宋" w:hAnsi="华文中宋" w:eastAsia="华文中宋" w:cs="宋体"/>
          <w:bCs/>
          <w:color w:val="auto"/>
          <w:kern w:val="0"/>
          <w:highlight w:val="none"/>
          <w:lang w:val="en-US" w:eastAsia="zh-CN"/>
        </w:rPr>
        <w:t>3. 本项目的特定资格要求：</w:t>
      </w:r>
      <w:r>
        <w:rPr>
          <w:rFonts w:hint="eastAsia" w:ascii="华文中宋" w:hAnsi="华文中宋" w:eastAsia="华文中宋" w:cs="宋体"/>
          <w:bCs/>
          <w:color w:val="auto"/>
          <w:kern w:val="0"/>
          <w:highlight w:val="none"/>
          <w:lang w:val="en-US" w:eastAsia="zh-CN"/>
        </w:rPr>
        <w:t>无</w:t>
      </w:r>
    </w:p>
    <w:p w14:paraId="7A3544FE">
      <w:pPr>
        <w:spacing w:line="360" w:lineRule="auto"/>
        <w:rPr>
          <w:rFonts w:ascii="华文中宋" w:hAnsi="华文中宋" w:eastAsia="华文中宋"/>
          <w:b/>
          <w:color w:val="auto"/>
          <w:szCs w:val="21"/>
          <w:highlight w:val="none"/>
        </w:rPr>
      </w:pPr>
      <w:r>
        <w:rPr>
          <w:rFonts w:hint="eastAsia" w:ascii="华文中宋" w:hAnsi="华文中宋" w:eastAsia="华文中宋"/>
          <w:b/>
          <w:color w:val="auto"/>
          <w:szCs w:val="21"/>
          <w:highlight w:val="none"/>
          <w:lang w:eastAsia="zh-CN"/>
        </w:rPr>
        <w:t>三</w:t>
      </w:r>
      <w:r>
        <w:rPr>
          <w:rFonts w:hint="eastAsia" w:ascii="华文中宋" w:hAnsi="华文中宋" w:eastAsia="华文中宋"/>
          <w:b/>
          <w:color w:val="auto"/>
          <w:szCs w:val="21"/>
          <w:highlight w:val="none"/>
        </w:rPr>
        <w:t>、投标、开标方式及评审方式</w:t>
      </w:r>
    </w:p>
    <w:p w14:paraId="03FA8A44">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1. 投标方式：</w:t>
      </w:r>
      <w:r>
        <w:rPr>
          <w:rFonts w:hint="eastAsia" w:ascii="华文中宋" w:hAnsi="华文中宋" w:eastAsia="华文中宋" w:cs="Arial"/>
          <w:color w:val="auto"/>
          <w:szCs w:val="21"/>
          <w:highlight w:val="none"/>
        </w:rPr>
        <w:t>本项目无需递交纸质版投标文件，采用网上提交电子投标文件的方式进行</w:t>
      </w:r>
      <w:r>
        <w:rPr>
          <w:rFonts w:hint="eastAsia" w:ascii="华文中宋" w:hAnsi="华文中宋" w:eastAsia="华文中宋" w:cs="华文中宋"/>
          <w:color w:val="auto"/>
          <w:szCs w:val="21"/>
          <w:highlight w:val="none"/>
        </w:rPr>
        <w:t>。</w:t>
      </w:r>
    </w:p>
    <w:p w14:paraId="5BC88B0B">
      <w:pPr>
        <w:spacing w:line="360" w:lineRule="auto"/>
        <w:ind w:firstLine="420" w:firstLineChars="200"/>
        <w:rPr>
          <w:rFonts w:ascii="华文中宋" w:hAnsi="华文中宋" w:eastAsia="华文中宋" w:cs="Arial"/>
          <w:color w:val="auto"/>
          <w:kern w:val="0"/>
          <w:szCs w:val="21"/>
          <w:highlight w:val="none"/>
        </w:rPr>
      </w:pPr>
      <w:r>
        <w:rPr>
          <w:rFonts w:hint="eastAsia" w:ascii="华文中宋" w:hAnsi="华文中宋" w:eastAsia="华文中宋"/>
          <w:color w:val="auto"/>
          <w:szCs w:val="21"/>
          <w:highlight w:val="none"/>
        </w:rPr>
        <w:t>2. 开标方式：</w:t>
      </w:r>
      <w:r>
        <w:rPr>
          <w:rFonts w:hint="eastAsia" w:ascii="华文中宋" w:hAnsi="华文中宋" w:eastAsia="华文中宋" w:cs="Arial"/>
          <w:color w:val="auto"/>
          <w:kern w:val="0"/>
          <w:szCs w:val="21"/>
          <w:highlight w:val="none"/>
        </w:rPr>
        <w:t>本项目采用网上电子开标的方式进行，各投标人在投标文件解密时间内，登录政采云系统解密文件，如未在解密时间内解密文件的视为自动放弃投标，解密完成后按照系统流程对报价进行确认，如未在解密时间内确认报价的，视为同意开标结果。因不可抗因素导致业务执行系统无法正常运行时，集采机构将等待系统恢复正常后继续进行开标。</w:t>
      </w:r>
    </w:p>
    <w:p w14:paraId="775334D7">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3. 评审方式：本项目采用网上电子评审的方式进行，依据上传至系统的</w:t>
      </w:r>
      <w:r>
        <w:rPr>
          <w:rFonts w:hint="eastAsia" w:ascii="华文中宋" w:hAnsi="华文中宋" w:eastAsia="华文中宋" w:cs="Arial"/>
          <w:color w:val="auto"/>
          <w:szCs w:val="21"/>
          <w:highlight w:val="none"/>
        </w:rPr>
        <w:t>投标</w:t>
      </w:r>
      <w:r>
        <w:rPr>
          <w:rFonts w:hint="eastAsia" w:ascii="华文中宋" w:hAnsi="华文中宋" w:eastAsia="华文中宋"/>
          <w:color w:val="auto"/>
          <w:szCs w:val="21"/>
          <w:highlight w:val="none"/>
        </w:rPr>
        <w:t>文件进行评审，因不可抗因素导致业务执行系统无法正常运行时，集采机构将等待系统恢复正常后继续进行评审。系统不能及时恢复正常时，集采机构将封标，待系统恢复正常后继续或重新进行评审。</w:t>
      </w:r>
    </w:p>
    <w:p w14:paraId="2EEC0BD4">
      <w:pPr>
        <w:spacing w:line="360" w:lineRule="auto"/>
        <w:rPr>
          <w:rFonts w:ascii="华文中宋" w:hAnsi="华文中宋" w:eastAsia="华文中宋"/>
          <w:b/>
          <w:color w:val="auto"/>
          <w:szCs w:val="21"/>
          <w:highlight w:val="none"/>
        </w:rPr>
      </w:pPr>
      <w:r>
        <w:rPr>
          <w:rFonts w:hint="eastAsia" w:ascii="华文中宋" w:hAnsi="华文中宋" w:eastAsia="华文中宋"/>
          <w:b/>
          <w:color w:val="auto"/>
          <w:szCs w:val="21"/>
          <w:highlight w:val="none"/>
          <w:lang w:eastAsia="zh-CN"/>
        </w:rPr>
        <w:t>四</w:t>
      </w:r>
      <w:r>
        <w:rPr>
          <w:rFonts w:hint="eastAsia" w:ascii="华文中宋" w:hAnsi="华文中宋" w:eastAsia="华文中宋"/>
          <w:b/>
          <w:color w:val="auto"/>
          <w:szCs w:val="21"/>
          <w:highlight w:val="none"/>
        </w:rPr>
        <w:t>、</w:t>
      </w:r>
      <w:bookmarkEnd w:id="6"/>
      <w:bookmarkEnd w:id="7"/>
      <w:bookmarkEnd w:id="8"/>
      <w:r>
        <w:rPr>
          <w:rFonts w:hint="eastAsia" w:ascii="华文中宋" w:hAnsi="华文中宋" w:eastAsia="华文中宋"/>
          <w:b/>
          <w:color w:val="auto"/>
          <w:szCs w:val="21"/>
          <w:highlight w:val="none"/>
        </w:rPr>
        <w:t>投标文件获取时间、投标文件上传截止时间、解密时间及开启时间</w:t>
      </w:r>
    </w:p>
    <w:p w14:paraId="2555EDF0">
      <w:pPr>
        <w:spacing w:line="440" w:lineRule="exact"/>
        <w:ind w:firstLine="420" w:firstLineChars="20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lang w:eastAsia="zh-CN"/>
        </w:rPr>
        <w:t>招标</w:t>
      </w:r>
      <w:r>
        <w:rPr>
          <w:rFonts w:hint="eastAsia" w:ascii="华文中宋" w:hAnsi="华文中宋" w:eastAsia="华文中宋"/>
          <w:color w:val="auto"/>
          <w:szCs w:val="21"/>
          <w:highlight w:val="none"/>
        </w:rPr>
        <w:t>文件获取时间：202</w:t>
      </w:r>
      <w:r>
        <w:rPr>
          <w:rFonts w:hint="eastAsia" w:ascii="华文中宋" w:hAnsi="华文中宋" w:eastAsia="华文中宋"/>
          <w:color w:val="auto"/>
          <w:szCs w:val="21"/>
          <w:highlight w:val="none"/>
          <w:lang w:val="en-US" w:eastAsia="zh-CN"/>
        </w:rPr>
        <w:t>5</w:t>
      </w:r>
      <w:r>
        <w:rPr>
          <w:rFonts w:hint="eastAsia" w:ascii="华文中宋" w:hAnsi="华文中宋" w:eastAsia="华文中宋"/>
          <w:color w:val="auto"/>
          <w:szCs w:val="21"/>
          <w:highlight w:val="none"/>
        </w:rPr>
        <w:t>年</w:t>
      </w:r>
      <w:r>
        <w:rPr>
          <w:rFonts w:hint="eastAsia" w:ascii="华文中宋" w:hAnsi="华文中宋" w:eastAsia="华文中宋"/>
          <w:color w:val="auto"/>
          <w:szCs w:val="21"/>
          <w:highlight w:val="none"/>
          <w:lang w:val="en-US" w:eastAsia="zh-CN"/>
        </w:rPr>
        <w:t>9</w:t>
      </w:r>
      <w:r>
        <w:rPr>
          <w:rFonts w:hint="eastAsia" w:ascii="华文中宋" w:hAnsi="华文中宋" w:eastAsia="华文中宋"/>
          <w:color w:val="auto"/>
          <w:szCs w:val="21"/>
          <w:highlight w:val="none"/>
        </w:rPr>
        <w:t>月</w:t>
      </w:r>
      <w:r>
        <w:rPr>
          <w:rFonts w:hint="eastAsia" w:ascii="华文中宋" w:hAnsi="华文中宋" w:eastAsia="华文中宋"/>
          <w:color w:val="auto"/>
          <w:szCs w:val="21"/>
          <w:highlight w:val="none"/>
          <w:lang w:val="en-US" w:eastAsia="zh-CN"/>
        </w:rPr>
        <w:t>22</w:t>
      </w:r>
      <w:r>
        <w:rPr>
          <w:rFonts w:hint="eastAsia" w:ascii="华文中宋" w:hAnsi="华文中宋" w:eastAsia="华文中宋"/>
          <w:color w:val="auto"/>
          <w:szCs w:val="21"/>
          <w:highlight w:val="none"/>
        </w:rPr>
        <w:t>日至202</w:t>
      </w:r>
      <w:r>
        <w:rPr>
          <w:rFonts w:hint="eastAsia" w:ascii="华文中宋" w:hAnsi="华文中宋" w:eastAsia="华文中宋"/>
          <w:color w:val="auto"/>
          <w:szCs w:val="21"/>
          <w:highlight w:val="none"/>
          <w:lang w:val="en-US" w:eastAsia="zh-CN"/>
        </w:rPr>
        <w:t>5</w:t>
      </w:r>
      <w:r>
        <w:rPr>
          <w:rFonts w:hint="eastAsia" w:ascii="华文中宋" w:hAnsi="华文中宋" w:eastAsia="华文中宋"/>
          <w:color w:val="auto"/>
          <w:szCs w:val="21"/>
          <w:highlight w:val="none"/>
        </w:rPr>
        <w:t>年</w:t>
      </w:r>
      <w:r>
        <w:rPr>
          <w:rFonts w:hint="eastAsia" w:ascii="华文中宋" w:hAnsi="华文中宋" w:eastAsia="华文中宋"/>
          <w:color w:val="auto"/>
          <w:szCs w:val="21"/>
          <w:highlight w:val="none"/>
          <w:lang w:val="en-US" w:eastAsia="zh-CN"/>
        </w:rPr>
        <w:t>9</w:t>
      </w:r>
      <w:r>
        <w:rPr>
          <w:rFonts w:hint="eastAsia" w:ascii="华文中宋" w:hAnsi="华文中宋" w:eastAsia="华文中宋"/>
          <w:color w:val="auto"/>
          <w:szCs w:val="21"/>
          <w:highlight w:val="none"/>
        </w:rPr>
        <w:t>月</w:t>
      </w:r>
      <w:r>
        <w:rPr>
          <w:rFonts w:hint="eastAsia" w:ascii="华文中宋" w:hAnsi="华文中宋" w:eastAsia="华文中宋"/>
          <w:color w:val="auto"/>
          <w:szCs w:val="21"/>
          <w:highlight w:val="none"/>
          <w:lang w:val="en-US" w:eastAsia="zh-CN"/>
        </w:rPr>
        <w:t>28</w:t>
      </w:r>
      <w:r>
        <w:rPr>
          <w:rFonts w:hint="eastAsia" w:ascii="华文中宋" w:hAnsi="华文中宋" w:eastAsia="华文中宋"/>
          <w:color w:val="auto"/>
          <w:szCs w:val="21"/>
          <w:highlight w:val="none"/>
        </w:rPr>
        <w:t>日</w:t>
      </w:r>
    </w:p>
    <w:p w14:paraId="1539AFE9">
      <w:pPr>
        <w:spacing w:line="440" w:lineRule="exact"/>
        <w:ind w:firstLine="420" w:firstLineChars="200"/>
        <w:rPr>
          <w:rFonts w:hint="eastAsia"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cs="Times New Roman"/>
          <w:color w:val="auto"/>
          <w:kern w:val="2"/>
          <w:sz w:val="21"/>
          <w:szCs w:val="21"/>
          <w:highlight w:val="none"/>
          <w:lang w:val="en-US" w:eastAsia="zh-CN" w:bidi="ar-SA"/>
        </w:rPr>
        <w:t>获取方式：登陆山西省政府采购网免费下载</w:t>
      </w:r>
    </w:p>
    <w:p w14:paraId="74532CFC">
      <w:pPr>
        <w:spacing w:line="440" w:lineRule="exact"/>
        <w:ind w:firstLine="420" w:firstLineChars="200"/>
        <w:rPr>
          <w:rFonts w:hint="eastAsia"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cs="Times New Roman"/>
          <w:color w:val="auto"/>
          <w:kern w:val="2"/>
          <w:sz w:val="21"/>
          <w:szCs w:val="21"/>
          <w:highlight w:val="none"/>
          <w:lang w:val="en-US" w:eastAsia="zh-CN" w:bidi="ar-SA"/>
        </w:rPr>
        <w:t>投标文件上传截止时间：</w:t>
      </w:r>
      <w:r>
        <w:rPr>
          <w:rFonts w:hint="eastAsia" w:ascii="华文中宋" w:hAnsi="华文中宋" w:eastAsia="华文中宋"/>
          <w:color w:val="auto"/>
          <w:szCs w:val="21"/>
          <w:highlight w:val="none"/>
        </w:rPr>
        <w:t>202</w:t>
      </w:r>
      <w:r>
        <w:rPr>
          <w:rFonts w:hint="eastAsia" w:ascii="华文中宋" w:hAnsi="华文中宋" w:eastAsia="华文中宋"/>
          <w:color w:val="auto"/>
          <w:szCs w:val="21"/>
          <w:highlight w:val="none"/>
          <w:lang w:val="en-US" w:eastAsia="zh-CN"/>
        </w:rPr>
        <w:t>5</w:t>
      </w:r>
      <w:r>
        <w:rPr>
          <w:rFonts w:hint="eastAsia" w:ascii="华文中宋" w:hAnsi="华文中宋" w:eastAsia="华文中宋"/>
          <w:color w:val="auto"/>
          <w:szCs w:val="21"/>
          <w:highlight w:val="none"/>
        </w:rPr>
        <w:t>年</w:t>
      </w:r>
      <w:r>
        <w:rPr>
          <w:rFonts w:hint="eastAsia" w:ascii="华文中宋" w:hAnsi="华文中宋" w:eastAsia="华文中宋"/>
          <w:color w:val="auto"/>
          <w:szCs w:val="21"/>
          <w:highlight w:val="none"/>
          <w:lang w:val="en-US" w:eastAsia="zh-CN"/>
        </w:rPr>
        <w:t>10</w:t>
      </w:r>
      <w:r>
        <w:rPr>
          <w:rFonts w:hint="eastAsia" w:ascii="华文中宋" w:hAnsi="华文中宋" w:eastAsia="华文中宋"/>
          <w:color w:val="auto"/>
          <w:szCs w:val="21"/>
          <w:highlight w:val="none"/>
        </w:rPr>
        <w:t>月</w:t>
      </w:r>
      <w:r>
        <w:rPr>
          <w:rFonts w:hint="eastAsia" w:ascii="华文中宋" w:hAnsi="华文中宋" w:eastAsia="华文中宋"/>
          <w:color w:val="auto"/>
          <w:szCs w:val="21"/>
          <w:highlight w:val="none"/>
          <w:lang w:val="en-US" w:eastAsia="zh-CN"/>
        </w:rPr>
        <w:t>13</w:t>
      </w:r>
      <w:r>
        <w:rPr>
          <w:rFonts w:hint="eastAsia" w:ascii="华文中宋" w:hAnsi="华文中宋" w:eastAsia="华文中宋"/>
          <w:color w:val="auto"/>
          <w:szCs w:val="21"/>
          <w:highlight w:val="none"/>
        </w:rPr>
        <w:t>日</w:t>
      </w:r>
      <w:r>
        <w:rPr>
          <w:rFonts w:hint="eastAsia" w:ascii="华文中宋" w:hAnsi="华文中宋" w:eastAsia="华文中宋" w:cs="Times New Roman"/>
          <w:color w:val="auto"/>
          <w:kern w:val="2"/>
          <w:sz w:val="21"/>
          <w:szCs w:val="21"/>
          <w:highlight w:val="none"/>
          <w:lang w:val="en-US" w:eastAsia="zh-CN" w:bidi="ar-SA"/>
        </w:rPr>
        <w:t>上午9:30</w:t>
      </w:r>
    </w:p>
    <w:p w14:paraId="7FF3B962">
      <w:pPr>
        <w:spacing w:line="440" w:lineRule="exact"/>
        <w:ind w:firstLine="420" w:firstLineChars="200"/>
        <w:rPr>
          <w:rFonts w:hint="eastAsia" w:ascii="华文中宋" w:hAnsi="华文中宋" w:eastAsia="华文中宋" w:cs="Times New Roman"/>
          <w:color w:val="auto"/>
          <w:kern w:val="2"/>
          <w:sz w:val="21"/>
          <w:szCs w:val="21"/>
          <w:highlight w:val="none"/>
          <w:lang w:val="en-US" w:eastAsia="zh-CN" w:bidi="ar-SA"/>
        </w:rPr>
      </w:pPr>
      <w:r>
        <w:rPr>
          <w:rFonts w:hint="eastAsia" w:ascii="华文中宋" w:hAnsi="华文中宋" w:eastAsia="华文中宋" w:cs="Times New Roman"/>
          <w:color w:val="auto"/>
          <w:kern w:val="2"/>
          <w:sz w:val="21"/>
          <w:szCs w:val="21"/>
          <w:highlight w:val="none"/>
          <w:lang w:val="en-US" w:eastAsia="zh-CN" w:bidi="ar-SA"/>
        </w:rPr>
        <w:t xml:space="preserve">投标文件解密时间: </w:t>
      </w:r>
      <w:r>
        <w:rPr>
          <w:rFonts w:hint="eastAsia" w:ascii="华文中宋" w:hAnsi="华文中宋" w:eastAsia="华文中宋"/>
          <w:color w:val="auto"/>
          <w:szCs w:val="21"/>
          <w:highlight w:val="none"/>
        </w:rPr>
        <w:t>202</w:t>
      </w:r>
      <w:r>
        <w:rPr>
          <w:rFonts w:hint="eastAsia" w:ascii="华文中宋" w:hAnsi="华文中宋" w:eastAsia="华文中宋"/>
          <w:color w:val="auto"/>
          <w:szCs w:val="21"/>
          <w:highlight w:val="none"/>
          <w:lang w:val="en-US" w:eastAsia="zh-CN"/>
        </w:rPr>
        <w:t>5</w:t>
      </w:r>
      <w:r>
        <w:rPr>
          <w:rFonts w:hint="eastAsia" w:ascii="华文中宋" w:hAnsi="华文中宋" w:eastAsia="华文中宋"/>
          <w:color w:val="auto"/>
          <w:szCs w:val="21"/>
          <w:highlight w:val="none"/>
        </w:rPr>
        <w:t>年</w:t>
      </w:r>
      <w:r>
        <w:rPr>
          <w:rFonts w:hint="eastAsia" w:ascii="华文中宋" w:hAnsi="华文中宋" w:eastAsia="华文中宋"/>
          <w:color w:val="auto"/>
          <w:szCs w:val="21"/>
          <w:highlight w:val="none"/>
          <w:lang w:val="en-US" w:eastAsia="zh-CN"/>
        </w:rPr>
        <w:t>10</w:t>
      </w:r>
      <w:r>
        <w:rPr>
          <w:rFonts w:hint="eastAsia" w:ascii="华文中宋" w:hAnsi="华文中宋" w:eastAsia="华文中宋"/>
          <w:color w:val="auto"/>
          <w:szCs w:val="21"/>
          <w:highlight w:val="none"/>
        </w:rPr>
        <w:t>月</w:t>
      </w:r>
      <w:r>
        <w:rPr>
          <w:rFonts w:hint="eastAsia" w:ascii="华文中宋" w:hAnsi="华文中宋" w:eastAsia="华文中宋"/>
          <w:color w:val="auto"/>
          <w:szCs w:val="21"/>
          <w:highlight w:val="none"/>
          <w:lang w:val="en-US" w:eastAsia="zh-CN"/>
        </w:rPr>
        <w:t>13</w:t>
      </w:r>
      <w:r>
        <w:rPr>
          <w:rFonts w:hint="eastAsia" w:ascii="华文中宋" w:hAnsi="华文中宋" w:eastAsia="华文中宋"/>
          <w:color w:val="auto"/>
          <w:szCs w:val="21"/>
          <w:highlight w:val="none"/>
        </w:rPr>
        <w:t>日</w:t>
      </w:r>
      <w:r>
        <w:rPr>
          <w:rFonts w:hint="eastAsia" w:ascii="华文中宋" w:hAnsi="华文中宋" w:eastAsia="华文中宋" w:cs="Times New Roman"/>
          <w:color w:val="auto"/>
          <w:kern w:val="2"/>
          <w:sz w:val="21"/>
          <w:szCs w:val="21"/>
          <w:highlight w:val="none"/>
          <w:lang w:val="en-US" w:eastAsia="zh-CN" w:bidi="ar-SA"/>
        </w:rPr>
        <w:t>上午9:30-10:00</w:t>
      </w:r>
    </w:p>
    <w:p w14:paraId="4B1D05B6">
      <w:pPr>
        <w:spacing w:line="440" w:lineRule="exact"/>
        <w:ind w:firstLine="420" w:firstLineChars="20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lang w:eastAsia="zh-CN"/>
        </w:rPr>
        <w:t>投标</w:t>
      </w:r>
      <w:r>
        <w:rPr>
          <w:rFonts w:hint="eastAsia" w:ascii="华文中宋" w:hAnsi="华文中宋" w:eastAsia="华文中宋"/>
          <w:color w:val="auto"/>
          <w:szCs w:val="21"/>
          <w:highlight w:val="none"/>
        </w:rPr>
        <w:t>文件开启时间:</w:t>
      </w:r>
      <w:r>
        <w:rPr>
          <w:rFonts w:hint="eastAsia" w:ascii="华文中宋" w:hAnsi="华文中宋" w:eastAsia="华文中宋"/>
          <w:color w:val="auto"/>
          <w:szCs w:val="21"/>
          <w:highlight w:val="none"/>
          <w:lang w:val="en-US" w:eastAsia="zh-CN"/>
        </w:rPr>
        <w:t xml:space="preserve"> </w:t>
      </w:r>
      <w:r>
        <w:rPr>
          <w:rFonts w:hint="eastAsia" w:ascii="华文中宋" w:hAnsi="华文中宋" w:eastAsia="华文中宋"/>
          <w:color w:val="auto"/>
          <w:szCs w:val="21"/>
          <w:highlight w:val="none"/>
        </w:rPr>
        <w:t>202</w:t>
      </w:r>
      <w:r>
        <w:rPr>
          <w:rFonts w:hint="eastAsia" w:ascii="华文中宋" w:hAnsi="华文中宋" w:eastAsia="华文中宋"/>
          <w:color w:val="auto"/>
          <w:szCs w:val="21"/>
          <w:highlight w:val="none"/>
          <w:lang w:val="en-US" w:eastAsia="zh-CN"/>
        </w:rPr>
        <w:t>5</w:t>
      </w:r>
      <w:r>
        <w:rPr>
          <w:rFonts w:hint="eastAsia" w:ascii="华文中宋" w:hAnsi="华文中宋" w:eastAsia="华文中宋"/>
          <w:color w:val="auto"/>
          <w:szCs w:val="21"/>
          <w:highlight w:val="none"/>
        </w:rPr>
        <w:t>年</w:t>
      </w:r>
      <w:r>
        <w:rPr>
          <w:rFonts w:hint="eastAsia" w:ascii="华文中宋" w:hAnsi="华文中宋" w:eastAsia="华文中宋"/>
          <w:color w:val="auto"/>
          <w:szCs w:val="21"/>
          <w:highlight w:val="none"/>
          <w:lang w:val="en-US" w:eastAsia="zh-CN"/>
        </w:rPr>
        <w:t>10</w:t>
      </w:r>
      <w:r>
        <w:rPr>
          <w:rFonts w:hint="eastAsia" w:ascii="华文中宋" w:hAnsi="华文中宋" w:eastAsia="华文中宋"/>
          <w:color w:val="auto"/>
          <w:szCs w:val="21"/>
          <w:highlight w:val="none"/>
        </w:rPr>
        <w:t>月</w:t>
      </w:r>
      <w:r>
        <w:rPr>
          <w:rFonts w:hint="eastAsia" w:ascii="华文中宋" w:hAnsi="华文中宋" w:eastAsia="华文中宋"/>
          <w:color w:val="auto"/>
          <w:szCs w:val="21"/>
          <w:highlight w:val="none"/>
          <w:lang w:val="en-US" w:eastAsia="zh-CN"/>
        </w:rPr>
        <w:t>13</w:t>
      </w:r>
      <w:r>
        <w:rPr>
          <w:rFonts w:hint="eastAsia" w:ascii="华文中宋" w:hAnsi="华文中宋" w:eastAsia="华文中宋"/>
          <w:color w:val="auto"/>
          <w:szCs w:val="21"/>
          <w:highlight w:val="none"/>
        </w:rPr>
        <w:t>日上午</w:t>
      </w:r>
      <w:r>
        <w:rPr>
          <w:rFonts w:hint="eastAsia" w:ascii="华文中宋" w:hAnsi="华文中宋" w:eastAsia="华文中宋"/>
          <w:color w:val="auto"/>
          <w:szCs w:val="21"/>
          <w:highlight w:val="none"/>
          <w:lang w:val="en-US" w:eastAsia="zh-CN"/>
        </w:rPr>
        <w:t>9</w:t>
      </w:r>
      <w:r>
        <w:rPr>
          <w:rFonts w:hint="eastAsia" w:ascii="华文中宋" w:hAnsi="华文中宋" w:eastAsia="华文中宋"/>
          <w:color w:val="auto"/>
          <w:szCs w:val="21"/>
          <w:highlight w:val="none"/>
        </w:rPr>
        <w:t>:</w:t>
      </w:r>
      <w:r>
        <w:rPr>
          <w:rFonts w:hint="eastAsia" w:ascii="华文中宋" w:hAnsi="华文中宋" w:eastAsia="华文中宋"/>
          <w:color w:val="auto"/>
          <w:szCs w:val="21"/>
          <w:highlight w:val="none"/>
          <w:lang w:val="en-US" w:eastAsia="zh-CN"/>
        </w:rPr>
        <w:t>3</w:t>
      </w:r>
      <w:r>
        <w:rPr>
          <w:rFonts w:hint="eastAsia" w:ascii="华文中宋" w:hAnsi="华文中宋" w:eastAsia="华文中宋"/>
          <w:color w:val="auto"/>
          <w:szCs w:val="21"/>
          <w:highlight w:val="none"/>
        </w:rPr>
        <w:t>0</w:t>
      </w:r>
    </w:p>
    <w:p w14:paraId="7084926A">
      <w:pPr>
        <w:spacing w:line="440" w:lineRule="exact"/>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开启地点：政采云平台</w:t>
      </w:r>
    </w:p>
    <w:p w14:paraId="691BFCB0">
      <w:pPr>
        <w:spacing w:line="360" w:lineRule="auto"/>
        <w:rPr>
          <w:rFonts w:ascii="华文中宋" w:hAnsi="华文中宋" w:eastAsia="华文中宋"/>
          <w:b/>
          <w:color w:val="auto"/>
          <w:szCs w:val="21"/>
          <w:highlight w:val="none"/>
        </w:rPr>
      </w:pPr>
      <w:r>
        <w:rPr>
          <w:rFonts w:hint="eastAsia" w:ascii="华文中宋" w:hAnsi="华文中宋" w:eastAsia="华文中宋"/>
          <w:b/>
          <w:color w:val="auto"/>
          <w:szCs w:val="21"/>
          <w:highlight w:val="none"/>
          <w:lang w:eastAsia="zh-CN"/>
        </w:rPr>
        <w:t>五</w:t>
      </w:r>
      <w:r>
        <w:rPr>
          <w:rFonts w:hint="eastAsia" w:ascii="华文中宋" w:hAnsi="华文中宋" w:eastAsia="华文中宋"/>
          <w:b/>
          <w:color w:val="auto"/>
          <w:szCs w:val="21"/>
          <w:highlight w:val="none"/>
        </w:rPr>
        <w:t>、</w:t>
      </w:r>
      <w:r>
        <w:rPr>
          <w:rFonts w:hint="eastAsia" w:ascii="华文中宋" w:hAnsi="华文中宋" w:eastAsia="华文中宋" w:cs="宋体"/>
          <w:b/>
          <w:color w:val="auto"/>
          <w:kern w:val="0"/>
          <w:szCs w:val="21"/>
          <w:highlight w:val="none"/>
        </w:rPr>
        <w:t>基本信息</w:t>
      </w:r>
    </w:p>
    <w:p w14:paraId="08456029">
      <w:pPr>
        <w:spacing w:line="360" w:lineRule="auto"/>
        <w:ind w:firstLine="420"/>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采购人基本信息</w:t>
      </w:r>
    </w:p>
    <w:p w14:paraId="201CB919">
      <w:pPr>
        <w:snapToGrid w:val="0"/>
        <w:spacing w:line="440" w:lineRule="exact"/>
        <w:ind w:firstLine="420" w:firstLineChars="200"/>
        <w:rPr>
          <w:rFonts w:ascii="华文中宋" w:hAnsi="华文中宋" w:eastAsia="华文中宋" w:cs="宋体"/>
          <w:bCs/>
          <w:color w:val="auto"/>
          <w:kern w:val="0"/>
          <w:highlight w:val="none"/>
        </w:rPr>
      </w:pPr>
      <w:r>
        <w:rPr>
          <w:rFonts w:hint="eastAsia" w:ascii="华文中宋" w:hAnsi="华文中宋" w:eastAsia="华文中宋"/>
          <w:color w:val="auto"/>
          <w:szCs w:val="21"/>
          <w:highlight w:val="none"/>
        </w:rPr>
        <w:t>单位名称：</w:t>
      </w:r>
      <w:r>
        <w:rPr>
          <w:rFonts w:hint="eastAsia" w:ascii="华文中宋" w:hAnsi="华文中宋" w:eastAsia="华文中宋"/>
          <w:color w:val="auto"/>
          <w:szCs w:val="21"/>
          <w:highlight w:val="none"/>
        </w:rPr>
        <w:t>大同市公安局交通警察支队</w:t>
      </w:r>
    </w:p>
    <w:p w14:paraId="13E2C407">
      <w:pPr>
        <w:snapToGrid w:val="0"/>
        <w:spacing w:line="440" w:lineRule="exact"/>
        <w:ind w:firstLine="420" w:firstLineChars="200"/>
        <w:rPr>
          <w:rFonts w:ascii="华文中宋" w:hAnsi="华文中宋" w:eastAsia="华文中宋" w:cs="宋体"/>
          <w:bCs/>
          <w:color w:val="auto"/>
          <w:kern w:val="0"/>
          <w:highlight w:val="none"/>
        </w:rPr>
      </w:pPr>
      <w:r>
        <w:rPr>
          <w:rFonts w:hint="eastAsia" w:ascii="华文中宋" w:hAnsi="华文中宋" w:eastAsia="华文中宋"/>
          <w:color w:val="auto"/>
          <w:szCs w:val="21"/>
          <w:highlight w:val="none"/>
        </w:rPr>
        <w:t>地</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址：</w:t>
      </w:r>
      <w:r>
        <w:rPr>
          <w:rFonts w:hint="eastAsia" w:ascii="华文中宋" w:hAnsi="华文中宋" w:eastAsia="华文中宋"/>
          <w:color w:val="auto"/>
          <w:szCs w:val="21"/>
          <w:highlight w:val="none"/>
        </w:rPr>
        <w:t>大同市平城区大庆东路382号</w:t>
      </w:r>
    </w:p>
    <w:p w14:paraId="1F38FD5E">
      <w:pPr>
        <w:snapToGrid w:val="0"/>
        <w:spacing w:line="440" w:lineRule="exact"/>
        <w:ind w:firstLine="420" w:firstLineChars="200"/>
        <w:rPr>
          <w:rFonts w:hint="default" w:ascii="华文中宋" w:hAnsi="华文中宋" w:eastAsia="华文中宋" w:cs="宋体"/>
          <w:bCs/>
          <w:color w:val="auto"/>
          <w:kern w:val="0"/>
          <w:highlight w:val="none"/>
          <w:lang w:val="en-US" w:eastAsia="zh-CN"/>
        </w:rPr>
      </w:pPr>
      <w:r>
        <w:rPr>
          <w:rFonts w:hint="eastAsia" w:ascii="华文中宋" w:hAnsi="华文中宋" w:eastAsia="华文中宋"/>
          <w:color w:val="auto"/>
          <w:szCs w:val="21"/>
          <w:highlight w:val="none"/>
        </w:rPr>
        <w:t>项目联系人：</w:t>
      </w:r>
      <w:r>
        <w:rPr>
          <w:rFonts w:hint="eastAsia" w:ascii="华文中宋" w:hAnsi="华文中宋" w:eastAsia="华文中宋"/>
          <w:color w:val="auto"/>
          <w:szCs w:val="21"/>
          <w:highlight w:val="none"/>
          <w:lang w:val="en-US" w:eastAsia="zh-CN"/>
        </w:rPr>
        <w:t>刘静</w:t>
      </w:r>
    </w:p>
    <w:p w14:paraId="4320D2FB">
      <w:pPr>
        <w:snapToGrid w:val="0"/>
        <w:spacing w:line="440" w:lineRule="exact"/>
        <w:ind w:firstLine="420" w:firstLineChars="20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rPr>
        <w:t>联系电话：</w:t>
      </w:r>
      <w:r>
        <w:rPr>
          <w:rFonts w:hint="eastAsia" w:ascii="华文中宋" w:hAnsi="华文中宋" w:eastAsia="华文中宋"/>
          <w:color w:val="auto"/>
          <w:szCs w:val="21"/>
          <w:highlight w:val="none"/>
        </w:rPr>
        <w:t>0352-2101216</w:t>
      </w:r>
    </w:p>
    <w:p w14:paraId="7E94C25A">
      <w:pPr>
        <w:snapToGrid w:val="0"/>
        <w:spacing w:line="440" w:lineRule="exact"/>
        <w:ind w:firstLine="420" w:firstLineChars="200"/>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集采机构基本信息</w:t>
      </w:r>
    </w:p>
    <w:p w14:paraId="3A690B68">
      <w:pPr>
        <w:spacing w:line="360" w:lineRule="auto"/>
        <w:ind w:firstLine="42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rPr>
        <w:t>单位名称：大同市公共资源交易中心（大同市政府采购中心）</w:t>
      </w:r>
    </w:p>
    <w:p w14:paraId="4A9AA6A0">
      <w:pPr>
        <w:spacing w:line="360" w:lineRule="auto"/>
        <w:ind w:firstLine="42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rPr>
        <w:t>地址：大同市平城区恒安街209号</w:t>
      </w:r>
    </w:p>
    <w:p w14:paraId="6ADE97C4">
      <w:pPr>
        <w:spacing w:line="360" w:lineRule="auto"/>
        <w:ind w:firstLine="42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rPr>
        <w:t>联系人：</w:t>
      </w:r>
      <w:r>
        <w:rPr>
          <w:rFonts w:hint="eastAsia" w:ascii="华文中宋" w:hAnsi="华文中宋" w:eastAsia="华文中宋"/>
          <w:color w:val="auto"/>
          <w:szCs w:val="21"/>
          <w:highlight w:val="none"/>
          <w:lang w:val="en-US" w:eastAsia="zh-CN"/>
        </w:rPr>
        <w:t>康派人</w:t>
      </w:r>
    </w:p>
    <w:p w14:paraId="5A7FB205">
      <w:pPr>
        <w:spacing w:line="360" w:lineRule="auto"/>
        <w:ind w:firstLine="420"/>
        <w:rPr>
          <w:rFonts w:hint="eastAsia" w:ascii="华文中宋" w:hAnsi="华文中宋" w:eastAsia="华文中宋"/>
          <w:b/>
          <w:color w:val="auto"/>
          <w:szCs w:val="21"/>
          <w:highlight w:val="none"/>
        </w:rPr>
      </w:pPr>
      <w:r>
        <w:rPr>
          <w:rFonts w:hint="eastAsia" w:ascii="华文中宋" w:hAnsi="华文中宋" w:eastAsia="华文中宋"/>
          <w:color w:val="auto"/>
          <w:szCs w:val="21"/>
          <w:highlight w:val="none"/>
        </w:rPr>
        <w:t>联系电话：0352-7982090</w:t>
      </w:r>
    </w:p>
    <w:p w14:paraId="1C035918">
      <w:pPr>
        <w:spacing w:line="360" w:lineRule="auto"/>
        <w:ind w:firstLine="420" w:firstLineChars="200"/>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政采云平台</w:t>
      </w:r>
    </w:p>
    <w:p w14:paraId="68CD26BE">
      <w:pPr>
        <w:snapToGrid w:val="0"/>
        <w:spacing w:line="360" w:lineRule="auto"/>
        <w:ind w:firstLine="420" w:firstLineChars="20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rPr>
        <w:t>技术支持电话：</w:t>
      </w:r>
      <w:r>
        <w:rPr>
          <w:rFonts w:hint="eastAsia" w:ascii="华文中宋" w:hAnsi="华文中宋" w:eastAsia="华文中宋" w:cs="Times New Roman"/>
          <w:color w:val="auto"/>
          <w:szCs w:val="21"/>
          <w:highlight w:val="none"/>
          <w:lang w:val="en-US" w:eastAsia="zh-CN"/>
        </w:rPr>
        <w:t xml:space="preserve">95763 </w:t>
      </w:r>
      <w:r>
        <w:rPr>
          <w:rFonts w:hint="eastAsia" w:ascii="华文中宋" w:hAnsi="华文中宋" w:eastAsia="华文中宋"/>
          <w:color w:val="auto"/>
          <w:szCs w:val="21"/>
          <w:highlight w:val="none"/>
          <w:lang w:val="en-US" w:eastAsia="zh-CN"/>
        </w:rPr>
        <w:t xml:space="preserve">  </w:t>
      </w:r>
      <w:r>
        <w:rPr>
          <w:rFonts w:hint="eastAsia" w:ascii="华文中宋" w:hAnsi="华文中宋" w:eastAsia="华文中宋"/>
          <w:color w:val="auto"/>
          <w:szCs w:val="21"/>
          <w:highlight w:val="none"/>
        </w:rPr>
        <w:t xml:space="preserve">    </w:t>
      </w:r>
    </w:p>
    <w:p w14:paraId="45A7E234">
      <w:pPr>
        <w:snapToGrid w:val="0"/>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注：本招标文件所表述的时间均为北京时间。</w:t>
      </w:r>
    </w:p>
    <w:p w14:paraId="20E344CA">
      <w:pPr>
        <w:rPr>
          <w:color w:val="auto"/>
          <w:highlight w:val="none"/>
        </w:rPr>
      </w:pPr>
      <w:r>
        <w:rPr>
          <w:color w:val="auto"/>
          <w:highlight w:val="none"/>
        </w:rPr>
        <w:br w:type="page"/>
      </w:r>
    </w:p>
    <w:p w14:paraId="21E4D0FC">
      <w:pPr>
        <w:pStyle w:val="56"/>
        <w:numPr>
          <w:ilvl w:val="0"/>
          <w:numId w:val="0"/>
        </w:numPr>
        <w:snapToGrid w:val="0"/>
        <w:spacing w:before="0" w:after="0"/>
        <w:rPr>
          <w:rFonts w:ascii="华文中宋" w:hAnsi="华文中宋" w:eastAsia="华文中宋"/>
          <w:color w:val="auto"/>
          <w:spacing w:val="20"/>
          <w:szCs w:val="28"/>
          <w:highlight w:val="none"/>
        </w:rPr>
      </w:pPr>
      <w:r>
        <w:rPr>
          <w:rFonts w:hint="eastAsia" w:ascii="华文中宋" w:hAnsi="华文中宋" w:eastAsia="华文中宋"/>
          <w:color w:val="auto"/>
          <w:spacing w:val="20"/>
          <w:szCs w:val="28"/>
          <w:highlight w:val="none"/>
        </w:rPr>
        <w:t>第二部分  投标人须知前附表</w:t>
      </w:r>
      <w:bookmarkEnd w:id="3"/>
      <w:bookmarkEnd w:id="4"/>
      <w:bookmarkEnd w:id="5"/>
    </w:p>
    <w:tbl>
      <w:tblPr>
        <w:tblStyle w:val="29"/>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1"/>
        <w:gridCol w:w="6448"/>
      </w:tblGrid>
      <w:tr w14:paraId="0F54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9" w:type="dxa"/>
            <w:vAlign w:val="center"/>
          </w:tcPr>
          <w:p w14:paraId="0D099181">
            <w:pPr>
              <w:snapToGrid w:val="0"/>
              <w:spacing w:line="360" w:lineRule="auto"/>
              <w:jc w:val="center"/>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序号</w:t>
            </w:r>
          </w:p>
        </w:tc>
        <w:tc>
          <w:tcPr>
            <w:tcW w:w="2011" w:type="dxa"/>
            <w:vAlign w:val="center"/>
          </w:tcPr>
          <w:p w14:paraId="5974CDDB">
            <w:pPr>
              <w:snapToGrid w:val="0"/>
              <w:spacing w:line="360" w:lineRule="auto"/>
              <w:jc w:val="center"/>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内容</w:t>
            </w:r>
          </w:p>
        </w:tc>
        <w:tc>
          <w:tcPr>
            <w:tcW w:w="6448" w:type="dxa"/>
            <w:vAlign w:val="center"/>
          </w:tcPr>
          <w:p w14:paraId="3DD03F6A">
            <w:pPr>
              <w:pStyle w:val="17"/>
              <w:snapToGrid w:val="0"/>
              <w:spacing w:line="360" w:lineRule="auto"/>
              <w:jc w:val="center"/>
              <w:rPr>
                <w:rFonts w:ascii="华文中宋" w:hAnsi="华文中宋" w:eastAsia="华文中宋"/>
                <w:color w:val="auto"/>
                <w:highlight w:val="none"/>
              </w:rPr>
            </w:pPr>
            <w:r>
              <w:rPr>
                <w:rFonts w:hint="eastAsia" w:ascii="华文中宋" w:hAnsi="华文中宋" w:eastAsia="华文中宋"/>
                <w:color w:val="auto"/>
                <w:kern w:val="0"/>
                <w:highlight w:val="none"/>
              </w:rPr>
              <w:t>说明与要求</w:t>
            </w:r>
          </w:p>
        </w:tc>
      </w:tr>
      <w:tr w14:paraId="0DE4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649" w:type="dxa"/>
            <w:vAlign w:val="center"/>
          </w:tcPr>
          <w:p w14:paraId="62F37A83">
            <w:pPr>
              <w:snapToGrid w:val="0"/>
              <w:spacing w:line="360" w:lineRule="auto"/>
              <w:jc w:val="center"/>
              <w:rPr>
                <w:rFonts w:ascii="华文中宋" w:hAnsi="华文中宋" w:eastAsia="华文中宋"/>
                <w:b/>
                <w:color w:val="auto"/>
                <w:szCs w:val="21"/>
                <w:highlight w:val="none"/>
              </w:rPr>
            </w:pPr>
            <w:r>
              <w:rPr>
                <w:rFonts w:ascii="华文中宋" w:hAnsi="华文中宋" w:eastAsia="华文中宋"/>
                <w:b/>
                <w:color w:val="auto"/>
                <w:szCs w:val="21"/>
                <w:highlight w:val="none"/>
              </w:rPr>
              <w:t>1</w:t>
            </w:r>
          </w:p>
        </w:tc>
        <w:tc>
          <w:tcPr>
            <w:tcW w:w="2011" w:type="dxa"/>
            <w:vAlign w:val="center"/>
          </w:tcPr>
          <w:p w14:paraId="02F1AFA7">
            <w:pPr>
              <w:pStyle w:val="57"/>
              <w:tabs>
                <w:tab w:val="clear" w:pos="2880"/>
              </w:tabs>
              <w:snapToGrid w:val="0"/>
              <w:spacing w:line="360" w:lineRule="auto"/>
              <w:ind w:left="0" w:leftChars="0" w:firstLine="0" w:firstLineChars="0"/>
              <w:jc w:val="center"/>
              <w:rPr>
                <w:rFonts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投标人应具备的资格要求</w:t>
            </w:r>
          </w:p>
        </w:tc>
        <w:tc>
          <w:tcPr>
            <w:tcW w:w="6448" w:type="dxa"/>
            <w:vAlign w:val="center"/>
          </w:tcPr>
          <w:p w14:paraId="51B16185">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．具备政府采购法第二十二条第一款规定的条件</w:t>
            </w:r>
          </w:p>
          <w:p w14:paraId="3DDE2568">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rPr>
              <w:t>．本包是否接受联合体：</w:t>
            </w:r>
            <w:r>
              <w:rPr>
                <w:rFonts w:hint="eastAsia" w:ascii="华文中宋" w:hAnsi="华文中宋" w:eastAsia="华文中宋"/>
                <w:b w:val="0"/>
                <w:bCs/>
                <w:color w:val="auto"/>
                <w:szCs w:val="21"/>
                <w:highlight w:val="none"/>
                <w:u w:val="none"/>
                <w:lang w:val="en-US" w:eastAsia="zh-CN"/>
              </w:rPr>
              <w:t>否</w:t>
            </w:r>
          </w:p>
          <w:p w14:paraId="42DF19AB">
            <w:pPr>
              <w:spacing w:line="360" w:lineRule="auto"/>
              <w:ind w:firstLine="420" w:firstLineChars="200"/>
              <w:jc w:val="left"/>
              <w:rPr>
                <w:rFonts w:hint="eastAsia" w:ascii="华文中宋" w:hAnsi="华文中宋" w:eastAsia="华文中宋"/>
                <w:b w:val="0"/>
                <w:bCs/>
                <w:color w:val="auto"/>
                <w:szCs w:val="21"/>
                <w:highlight w:val="none"/>
                <w:u w:val="none"/>
                <w:lang w:val="en-US" w:eastAsia="zh-CN"/>
              </w:rPr>
            </w:pPr>
            <w:r>
              <w:rPr>
                <w:rFonts w:ascii="华文中宋" w:hAnsi="华文中宋" w:eastAsia="华文中宋"/>
                <w:color w:val="auto"/>
                <w:highlight w:val="none"/>
              </w:rPr>
              <w:t>3</w:t>
            </w:r>
            <w:r>
              <w:rPr>
                <w:rFonts w:hint="eastAsia" w:ascii="华文中宋" w:hAnsi="华文中宋" w:eastAsia="华文中宋"/>
                <w:color w:val="auto"/>
                <w:highlight w:val="none"/>
              </w:rPr>
              <w:t>．本项目所需的其他特定资格条件：</w:t>
            </w:r>
            <w:r>
              <w:rPr>
                <w:rFonts w:hint="eastAsia" w:ascii="华文中宋" w:hAnsi="华文中宋" w:eastAsia="华文中宋"/>
                <w:b w:val="0"/>
                <w:bCs/>
                <w:color w:val="auto"/>
                <w:szCs w:val="21"/>
                <w:highlight w:val="none"/>
                <w:u w:val="none"/>
                <w:lang w:val="en-US" w:eastAsia="zh-CN"/>
              </w:rPr>
              <w:t>无</w:t>
            </w:r>
          </w:p>
          <w:p w14:paraId="6E8B5B80">
            <w:pPr>
              <w:numPr>
                <w:ilvl w:val="0"/>
                <w:numId w:val="0"/>
              </w:numPr>
              <w:spacing w:line="360" w:lineRule="auto"/>
              <w:ind w:left="420" w:leftChars="200"/>
              <w:rPr>
                <w:rFonts w:ascii="华文中宋" w:hAnsi="华文中宋" w:eastAsia="华文中宋"/>
                <w:bCs/>
                <w:color w:val="auto"/>
                <w:szCs w:val="21"/>
                <w:highlight w:val="none"/>
              </w:rPr>
            </w:pPr>
            <w:r>
              <w:rPr>
                <w:rFonts w:ascii="华文中宋" w:hAnsi="华文中宋" w:eastAsia="华文中宋" w:cs="Times New Roman"/>
                <w:bCs/>
                <w:color w:val="auto"/>
                <w:kern w:val="2"/>
                <w:sz w:val="21"/>
                <w:szCs w:val="21"/>
                <w:highlight w:val="none"/>
                <w:lang w:val="en-US" w:eastAsia="zh-CN" w:bidi="ar-SA"/>
              </w:rPr>
              <w:t>4.</w:t>
            </w:r>
            <w:r>
              <w:rPr>
                <w:rFonts w:hint="eastAsia" w:ascii="华文中宋" w:hAnsi="华文中宋" w:eastAsia="华文中宋" w:cs="Times New Roman"/>
                <w:bCs/>
                <w:color w:val="auto"/>
                <w:kern w:val="2"/>
                <w:sz w:val="21"/>
                <w:szCs w:val="21"/>
                <w:highlight w:val="none"/>
                <w:lang w:val="en-US" w:eastAsia="zh-CN" w:bidi="ar-SA"/>
              </w:rPr>
              <w:t xml:space="preserve"> </w:t>
            </w:r>
            <w:r>
              <w:rPr>
                <w:rFonts w:hint="eastAsia" w:ascii="华文中宋" w:hAnsi="华文中宋" w:eastAsia="华文中宋" w:cs="Times New Roman"/>
                <w:color w:val="auto"/>
                <w:highlight w:val="none"/>
                <w:lang w:val="en-US" w:eastAsia="zh-CN"/>
              </w:rPr>
              <w:t>本项目是否专门面向中小企业项目：</w:t>
            </w:r>
            <w:r>
              <w:rPr>
                <w:rFonts w:hint="eastAsia" w:ascii="华文中宋" w:hAnsi="华文中宋" w:eastAsia="华文中宋" w:cs="Times New Roman"/>
                <w:color w:val="auto"/>
                <w:highlight w:val="none"/>
                <w:lang w:val="en-US" w:eastAsia="zh-CN"/>
              </w:rPr>
              <w:t>否</w:t>
            </w:r>
          </w:p>
        </w:tc>
      </w:tr>
      <w:tr w14:paraId="24153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0F3AE262">
            <w:pPr>
              <w:snapToGrid w:val="0"/>
              <w:spacing w:line="360" w:lineRule="auto"/>
              <w:jc w:val="center"/>
              <w:rPr>
                <w:rFonts w:ascii="华文中宋" w:hAnsi="华文中宋" w:eastAsia="华文中宋"/>
                <w:b/>
                <w:color w:val="auto"/>
                <w:szCs w:val="21"/>
                <w:highlight w:val="none"/>
              </w:rPr>
            </w:pPr>
            <w:r>
              <w:rPr>
                <w:rFonts w:ascii="华文中宋" w:hAnsi="华文中宋" w:eastAsia="华文中宋"/>
                <w:b/>
                <w:color w:val="auto"/>
                <w:szCs w:val="21"/>
                <w:highlight w:val="none"/>
              </w:rPr>
              <w:t>2</w:t>
            </w:r>
          </w:p>
        </w:tc>
        <w:tc>
          <w:tcPr>
            <w:tcW w:w="2011" w:type="dxa"/>
            <w:vAlign w:val="center"/>
          </w:tcPr>
          <w:p w14:paraId="6F9DEF77">
            <w:pPr>
              <w:snapToGrid w:val="0"/>
              <w:spacing w:line="360" w:lineRule="auto"/>
              <w:ind w:firstLine="105" w:firstLineChars="50"/>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投标文件</w:t>
            </w:r>
          </w:p>
          <w:p w14:paraId="0340C04C">
            <w:pPr>
              <w:snapToGrid w:val="0"/>
              <w:spacing w:line="360" w:lineRule="auto"/>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（资格证明文件）</w:t>
            </w:r>
          </w:p>
        </w:tc>
        <w:tc>
          <w:tcPr>
            <w:tcW w:w="6448" w:type="dxa"/>
            <w:vAlign w:val="center"/>
          </w:tcPr>
          <w:p w14:paraId="603DCC23">
            <w:pPr>
              <w:spacing w:line="360" w:lineRule="auto"/>
              <w:ind w:firstLine="420" w:firstLineChars="200"/>
              <w:jc w:val="left"/>
              <w:rPr>
                <w:rFonts w:ascii="华文中宋" w:hAnsi="华文中宋" w:eastAsia="华文中宋"/>
                <w:color w:val="auto"/>
                <w:szCs w:val="21"/>
                <w:highlight w:val="none"/>
              </w:rPr>
            </w:pPr>
            <w:r>
              <w:rPr>
                <w:rFonts w:ascii="华文中宋" w:hAnsi="华文中宋" w:eastAsia="华文中宋"/>
                <w:b/>
                <w:color w:val="auto"/>
                <w:szCs w:val="21"/>
                <w:highlight w:val="none"/>
              </w:rPr>
              <w:t>1</w:t>
            </w:r>
            <w:r>
              <w:rPr>
                <w:rFonts w:hint="eastAsia" w:ascii="华文中宋" w:hAnsi="华文中宋" w:eastAsia="华文中宋"/>
                <w:b/>
                <w:color w:val="auto"/>
                <w:szCs w:val="21"/>
                <w:highlight w:val="none"/>
              </w:rPr>
              <w:t>．投标人代表的证明</w:t>
            </w:r>
            <w:r>
              <w:rPr>
                <w:rFonts w:hint="eastAsia" w:ascii="华文中宋" w:hAnsi="华文中宋" w:eastAsia="华文中宋" w:cs="华文中宋"/>
                <w:b/>
                <w:color w:val="auto"/>
                <w:szCs w:val="21"/>
                <w:highlight w:val="none"/>
              </w:rPr>
              <w:t>（格式见第八部分）</w:t>
            </w:r>
          </w:p>
          <w:p w14:paraId="41B2EC74">
            <w:pPr>
              <w:spacing w:line="360" w:lineRule="auto"/>
              <w:ind w:firstLine="420" w:firstLineChars="200"/>
              <w:jc w:val="left"/>
              <w:rPr>
                <w:rFonts w:ascii="华文中宋" w:hAnsi="华文中宋" w:eastAsia="华文中宋" w:cs="华文中宋"/>
                <w:color w:val="auto"/>
                <w:szCs w:val="21"/>
                <w:highlight w:val="none"/>
              </w:rPr>
            </w:pPr>
            <w:r>
              <w:rPr>
                <w:rFonts w:hint="eastAsia" w:ascii="华文中宋" w:hAnsi="华文中宋" w:eastAsia="华文中宋"/>
                <w:color w:val="auto"/>
                <w:szCs w:val="21"/>
                <w:highlight w:val="none"/>
              </w:rPr>
              <w:t>法定代表人（负责人）参加投标的</w:t>
            </w:r>
            <w:r>
              <w:rPr>
                <w:rFonts w:hint="eastAsia" w:ascii="华文中宋" w:hAnsi="华文中宋" w:eastAsia="华文中宋" w:cs="华文中宋"/>
                <w:color w:val="auto"/>
                <w:szCs w:val="21"/>
                <w:highlight w:val="none"/>
              </w:rPr>
              <w:t>，</w:t>
            </w:r>
            <w:r>
              <w:rPr>
                <w:rFonts w:hint="eastAsia" w:ascii="华文中宋" w:hAnsi="华文中宋" w:eastAsia="华文中宋"/>
                <w:color w:val="auto"/>
                <w:szCs w:val="21"/>
                <w:highlight w:val="none"/>
              </w:rPr>
              <w:t>提供“法定代表人（负责人）证明书”</w:t>
            </w:r>
          </w:p>
          <w:p w14:paraId="2FE9F5D5">
            <w:pPr>
              <w:spacing w:line="360" w:lineRule="auto"/>
              <w:ind w:firstLine="420" w:firstLineChars="200"/>
              <w:jc w:val="left"/>
              <w:rPr>
                <w:rFonts w:ascii="华文中宋" w:hAnsi="华文中宋" w:eastAsia="华文中宋" w:cs="华文中宋"/>
                <w:color w:val="auto"/>
                <w:szCs w:val="21"/>
                <w:highlight w:val="none"/>
              </w:rPr>
            </w:pPr>
            <w:r>
              <w:rPr>
                <w:rFonts w:hint="eastAsia" w:ascii="华文中宋" w:hAnsi="华文中宋" w:eastAsia="华文中宋"/>
                <w:color w:val="auto"/>
                <w:szCs w:val="21"/>
                <w:highlight w:val="none"/>
              </w:rPr>
              <w:t>委托代理人参加投标的</w:t>
            </w:r>
            <w:r>
              <w:rPr>
                <w:rFonts w:hint="eastAsia" w:ascii="华文中宋" w:hAnsi="华文中宋" w:eastAsia="华文中宋" w:cs="华文中宋"/>
                <w:color w:val="auto"/>
                <w:szCs w:val="21"/>
                <w:highlight w:val="none"/>
              </w:rPr>
              <w:t>，</w:t>
            </w:r>
            <w:r>
              <w:rPr>
                <w:rFonts w:hint="eastAsia" w:ascii="华文中宋" w:hAnsi="华文中宋" w:eastAsia="华文中宋"/>
                <w:color w:val="auto"/>
                <w:szCs w:val="21"/>
                <w:highlight w:val="none"/>
              </w:rPr>
              <w:t>提供“法定代表人（负责人）授权委托书</w:t>
            </w:r>
            <w:r>
              <w:rPr>
                <w:rFonts w:hint="eastAsia" w:ascii="华文中宋" w:hAnsi="华文中宋" w:eastAsia="华文中宋" w:cs="华文中宋"/>
                <w:color w:val="auto"/>
                <w:szCs w:val="21"/>
                <w:highlight w:val="none"/>
              </w:rPr>
              <w:t>”</w:t>
            </w:r>
          </w:p>
          <w:p w14:paraId="393D9474">
            <w:pPr>
              <w:spacing w:line="360" w:lineRule="auto"/>
              <w:ind w:firstLine="420" w:firstLineChars="200"/>
              <w:jc w:val="left"/>
              <w:rPr>
                <w:rFonts w:ascii="华文中宋" w:hAnsi="华文中宋" w:eastAsia="华文中宋" w:cs="华文中宋"/>
                <w:color w:val="auto"/>
                <w:szCs w:val="21"/>
                <w:highlight w:val="none"/>
              </w:rPr>
            </w:pPr>
            <w:r>
              <w:rPr>
                <w:rFonts w:hint="eastAsia" w:ascii="华文中宋" w:hAnsi="华文中宋" w:eastAsia="华文中宋"/>
                <w:color w:val="auto"/>
                <w:szCs w:val="21"/>
                <w:highlight w:val="none"/>
              </w:rPr>
              <w:t>自然人参加投标的</w:t>
            </w:r>
            <w:r>
              <w:rPr>
                <w:rFonts w:hint="eastAsia" w:ascii="华文中宋" w:hAnsi="华文中宋" w:eastAsia="华文中宋" w:cs="华文中宋"/>
                <w:color w:val="auto"/>
                <w:szCs w:val="21"/>
                <w:highlight w:val="none"/>
              </w:rPr>
              <w:t>，</w:t>
            </w:r>
            <w:r>
              <w:rPr>
                <w:rFonts w:hint="eastAsia" w:ascii="华文中宋" w:hAnsi="华文中宋" w:eastAsia="华文中宋"/>
                <w:color w:val="auto"/>
                <w:szCs w:val="21"/>
                <w:highlight w:val="none"/>
              </w:rPr>
              <w:t>提供个人身份证明</w:t>
            </w:r>
            <w:r>
              <w:rPr>
                <w:rFonts w:hint="eastAsia" w:ascii="华文中宋" w:hAnsi="华文中宋" w:eastAsia="华文中宋" w:cs="华文中宋"/>
                <w:color w:val="auto"/>
                <w:szCs w:val="21"/>
                <w:highlight w:val="none"/>
              </w:rPr>
              <w:t>扫描件</w:t>
            </w:r>
          </w:p>
          <w:p w14:paraId="0D0ECFD2">
            <w:pPr>
              <w:spacing w:line="360" w:lineRule="auto"/>
              <w:ind w:left="315" w:leftChars="150" w:firstLine="105" w:firstLineChars="50"/>
              <w:rPr>
                <w:rFonts w:ascii="华文中宋" w:hAnsi="华文中宋" w:eastAsia="华文中宋" w:cs="华文中宋"/>
                <w:color w:val="auto"/>
                <w:szCs w:val="21"/>
                <w:highlight w:val="none"/>
              </w:rPr>
            </w:pPr>
            <w:r>
              <w:rPr>
                <w:rFonts w:ascii="华文中宋" w:hAnsi="华文中宋" w:eastAsia="华文中宋" w:cs="华文中宋"/>
                <w:b/>
                <w:color w:val="auto"/>
                <w:szCs w:val="21"/>
                <w:highlight w:val="none"/>
              </w:rPr>
              <w:t>2</w:t>
            </w:r>
            <w:r>
              <w:rPr>
                <w:rFonts w:hint="eastAsia" w:ascii="华文中宋" w:hAnsi="华文中宋" w:eastAsia="华文中宋" w:cs="华文中宋"/>
                <w:b/>
                <w:color w:val="auto"/>
                <w:szCs w:val="21"/>
                <w:highlight w:val="none"/>
              </w:rPr>
              <w:t>．投标函</w:t>
            </w:r>
            <w:r>
              <w:rPr>
                <w:rFonts w:hint="eastAsia" w:ascii="华文中宋" w:hAnsi="华文中宋" w:eastAsia="华文中宋"/>
                <w:b/>
                <w:color w:val="auto"/>
                <w:szCs w:val="21"/>
                <w:highlight w:val="none"/>
              </w:rPr>
              <w:t>（格式见第八部分）</w:t>
            </w:r>
          </w:p>
          <w:p w14:paraId="335BCD10">
            <w:pPr>
              <w:spacing w:line="360" w:lineRule="auto"/>
              <w:ind w:firstLine="420" w:firstLineChars="200"/>
              <w:rPr>
                <w:rFonts w:ascii="华文中宋" w:hAnsi="华文中宋" w:eastAsia="华文中宋"/>
                <w:b/>
                <w:color w:val="auto"/>
                <w:szCs w:val="21"/>
                <w:highlight w:val="none"/>
              </w:rPr>
            </w:pPr>
            <w:r>
              <w:rPr>
                <w:rFonts w:ascii="华文中宋" w:hAnsi="华文中宋" w:eastAsia="华文中宋"/>
                <w:b/>
                <w:color w:val="auto"/>
                <w:szCs w:val="21"/>
                <w:highlight w:val="none"/>
              </w:rPr>
              <w:t>3</w:t>
            </w:r>
            <w:r>
              <w:rPr>
                <w:rFonts w:hint="eastAsia" w:ascii="华文中宋" w:hAnsi="华文中宋" w:eastAsia="华文中宋"/>
                <w:b/>
                <w:color w:val="auto"/>
                <w:szCs w:val="21"/>
                <w:highlight w:val="none"/>
              </w:rPr>
              <w:t>．以下内容</w:t>
            </w:r>
            <w:r>
              <w:rPr>
                <w:rFonts w:hint="eastAsia" w:ascii="华文中宋" w:hAnsi="华文中宋" w:eastAsia="华文中宋"/>
                <w:b/>
                <w:color w:val="auto"/>
                <w:szCs w:val="21"/>
                <w:highlight w:val="none"/>
                <w:lang w:val="en-US" w:eastAsia="zh-CN"/>
              </w:rPr>
              <w:t>仅需</w:t>
            </w:r>
            <w:r>
              <w:rPr>
                <w:rFonts w:hint="eastAsia" w:ascii="华文中宋" w:hAnsi="华文中宋" w:eastAsia="华文中宋"/>
                <w:b/>
                <w:color w:val="auto"/>
                <w:szCs w:val="21"/>
                <w:highlight w:val="none"/>
              </w:rPr>
              <w:t>提供《政府集中采购供应商信用承诺书》</w:t>
            </w:r>
            <w:r>
              <w:rPr>
                <w:rFonts w:hint="eastAsia" w:ascii="华文中宋" w:hAnsi="华文中宋" w:eastAsia="华文中宋"/>
                <w:b/>
                <w:color w:val="auto"/>
                <w:szCs w:val="21"/>
                <w:highlight w:val="none"/>
                <w:lang w:val="en-US" w:eastAsia="zh-CN"/>
              </w:rPr>
              <w:t>一份即可</w:t>
            </w:r>
            <w:r>
              <w:rPr>
                <w:rFonts w:hint="eastAsia" w:ascii="华文中宋" w:hAnsi="华文中宋" w:eastAsia="华文中宋"/>
                <w:b/>
                <w:color w:val="auto"/>
                <w:szCs w:val="21"/>
                <w:highlight w:val="none"/>
              </w:rPr>
              <w:t>（格式见第八部分）</w:t>
            </w:r>
          </w:p>
          <w:p w14:paraId="591A093E">
            <w:pPr>
              <w:spacing w:line="360" w:lineRule="auto"/>
              <w:ind w:left="315" w:leftChars="15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rPr>
              <w:t>具有独立承担民事责任的能力</w:t>
            </w:r>
          </w:p>
          <w:p w14:paraId="4552E8B4">
            <w:pPr>
              <w:spacing w:line="360" w:lineRule="auto"/>
              <w:ind w:left="315" w:left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具有良好的商业信誉和健全的财务会计制度</w:t>
            </w:r>
          </w:p>
          <w:p w14:paraId="3DC8A4BB">
            <w:pPr>
              <w:spacing w:line="360" w:lineRule="auto"/>
              <w:ind w:left="315" w:left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具有依法缴纳税收的良好记录</w:t>
            </w:r>
          </w:p>
          <w:p w14:paraId="3D3ECFCA">
            <w:pPr>
              <w:spacing w:line="360" w:lineRule="auto"/>
              <w:ind w:left="315" w:left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具有依法缴纳社会保障资金的良好记录</w:t>
            </w:r>
          </w:p>
          <w:p w14:paraId="1A1BFE17">
            <w:pPr>
              <w:spacing w:line="360" w:lineRule="auto"/>
              <w:ind w:left="315" w:left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具有履行合同所必需的设备和专业技术能力</w:t>
            </w:r>
          </w:p>
          <w:p w14:paraId="63594AAD">
            <w:pPr>
              <w:spacing w:line="360" w:lineRule="auto"/>
              <w:ind w:left="315" w:left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参加政府采购活动前三年内，在经营活动中没有重大违法记录</w:t>
            </w:r>
          </w:p>
          <w:p w14:paraId="1B313186">
            <w:pPr>
              <w:spacing w:line="360" w:lineRule="auto"/>
              <w:ind w:left="315" w:leftChars="150" w:firstLine="105" w:firstLineChars="50"/>
              <w:rPr>
                <w:rFonts w:hint="eastAsia" w:ascii="华文中宋" w:hAnsi="华文中宋" w:eastAsia="华文中宋"/>
                <w:b/>
                <w:color w:val="auto"/>
                <w:szCs w:val="21"/>
                <w:highlight w:val="none"/>
                <w:lang w:eastAsia="zh-CN"/>
              </w:rPr>
            </w:pPr>
            <w:r>
              <w:rPr>
                <w:rFonts w:hint="eastAsia" w:ascii="华文中宋" w:hAnsi="华文中宋" w:eastAsia="华文中宋"/>
                <w:b/>
                <w:color w:val="auto"/>
                <w:szCs w:val="21"/>
                <w:highlight w:val="none"/>
                <w:lang w:val="en-US" w:eastAsia="zh-CN"/>
              </w:rPr>
              <w:t>4</w:t>
            </w:r>
            <w:r>
              <w:rPr>
                <w:rFonts w:hint="eastAsia" w:ascii="华文中宋" w:hAnsi="华文中宋" w:eastAsia="华文中宋"/>
                <w:b/>
                <w:color w:val="auto"/>
                <w:szCs w:val="21"/>
                <w:highlight w:val="none"/>
              </w:rPr>
              <w:t>．本项目所需的其他特定资格条件</w:t>
            </w:r>
            <w:r>
              <w:rPr>
                <w:rFonts w:hint="eastAsia" w:ascii="华文中宋" w:hAnsi="华文中宋" w:eastAsia="华文中宋"/>
                <w:b/>
                <w:color w:val="auto"/>
                <w:szCs w:val="21"/>
                <w:highlight w:val="none"/>
                <w:lang w:eastAsia="zh-CN"/>
              </w:rPr>
              <w:t>（</w:t>
            </w:r>
            <w:r>
              <w:rPr>
                <w:rFonts w:hint="eastAsia" w:ascii="华文中宋" w:hAnsi="华文中宋" w:eastAsia="华文中宋"/>
                <w:b/>
                <w:color w:val="auto"/>
                <w:szCs w:val="21"/>
                <w:highlight w:val="none"/>
                <w:lang w:val="en-US" w:eastAsia="zh-CN"/>
              </w:rPr>
              <w:t>若有</w:t>
            </w:r>
            <w:r>
              <w:rPr>
                <w:rFonts w:hint="eastAsia" w:ascii="华文中宋" w:hAnsi="华文中宋" w:eastAsia="华文中宋"/>
                <w:b/>
                <w:color w:val="auto"/>
                <w:szCs w:val="21"/>
                <w:highlight w:val="none"/>
                <w:lang w:eastAsia="zh-CN"/>
              </w:rPr>
              <w:t>）</w:t>
            </w:r>
          </w:p>
          <w:p w14:paraId="471A81CA">
            <w:pPr>
              <w:spacing w:line="360" w:lineRule="auto"/>
              <w:ind w:left="315" w:leftChars="150" w:firstLine="105" w:firstLineChars="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按照本部分序号</w:t>
            </w: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w:t>
            </w:r>
            <w:r>
              <w:rPr>
                <w:rFonts w:hint="eastAsia" w:ascii="华文中宋" w:hAnsi="华文中宋" w:eastAsia="华文中宋"/>
                <w:bCs/>
                <w:color w:val="auto"/>
                <w:szCs w:val="21"/>
                <w:highlight w:val="none"/>
              </w:rPr>
              <w:t>其他特定资格条件</w:t>
            </w:r>
            <w:r>
              <w:rPr>
                <w:rFonts w:hint="eastAsia" w:ascii="华文中宋" w:hAnsi="华文中宋" w:eastAsia="华文中宋"/>
                <w:color w:val="auto"/>
                <w:szCs w:val="21"/>
                <w:highlight w:val="none"/>
              </w:rPr>
              <w:t>”规定提交相关证明文件。</w:t>
            </w:r>
          </w:p>
          <w:p w14:paraId="505C222D">
            <w:pPr>
              <w:spacing w:line="360" w:lineRule="auto"/>
              <w:ind w:firstLine="315" w:firstLineChars="150"/>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说明：具体资格审查内容及标准见第五部分。</w:t>
            </w:r>
          </w:p>
        </w:tc>
      </w:tr>
      <w:tr w14:paraId="4E8C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3B5DC7F3">
            <w:pPr>
              <w:snapToGrid w:val="0"/>
              <w:spacing w:line="360" w:lineRule="auto"/>
              <w:jc w:val="center"/>
              <w:rPr>
                <w:rFonts w:ascii="华文中宋" w:hAnsi="华文中宋" w:eastAsia="华文中宋"/>
                <w:b/>
                <w:color w:val="auto"/>
                <w:szCs w:val="21"/>
                <w:highlight w:val="none"/>
              </w:rPr>
            </w:pPr>
            <w:r>
              <w:rPr>
                <w:rFonts w:ascii="华文中宋" w:hAnsi="华文中宋" w:eastAsia="华文中宋"/>
                <w:b/>
                <w:color w:val="auto"/>
                <w:szCs w:val="21"/>
                <w:highlight w:val="none"/>
              </w:rPr>
              <w:t>3</w:t>
            </w:r>
          </w:p>
        </w:tc>
        <w:tc>
          <w:tcPr>
            <w:tcW w:w="2011" w:type="dxa"/>
            <w:vAlign w:val="center"/>
          </w:tcPr>
          <w:p w14:paraId="17EC7233">
            <w:pPr>
              <w:snapToGrid w:val="0"/>
              <w:spacing w:line="360" w:lineRule="auto"/>
              <w:ind w:firstLine="105" w:firstLineChars="50"/>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投标文件</w:t>
            </w:r>
          </w:p>
          <w:p w14:paraId="5E2A3477">
            <w:pPr>
              <w:snapToGrid w:val="0"/>
              <w:spacing w:line="360" w:lineRule="auto"/>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（商务技术文件）</w:t>
            </w:r>
          </w:p>
        </w:tc>
        <w:tc>
          <w:tcPr>
            <w:tcW w:w="6448" w:type="dxa"/>
            <w:vAlign w:val="center"/>
          </w:tcPr>
          <w:p w14:paraId="48F25D9F">
            <w:pPr>
              <w:spacing w:line="360" w:lineRule="auto"/>
              <w:ind w:left="315" w:leftChars="150" w:firstLine="105" w:firstLineChars="50"/>
              <w:rPr>
                <w:rFonts w:ascii="华文中宋" w:hAnsi="华文中宋" w:eastAsia="华文中宋" w:cs="华文中宋"/>
                <w:b/>
                <w:color w:val="auto"/>
                <w:szCs w:val="21"/>
                <w:highlight w:val="none"/>
              </w:rPr>
            </w:pPr>
            <w:r>
              <w:rPr>
                <w:rFonts w:ascii="华文中宋" w:hAnsi="华文中宋" w:eastAsia="华文中宋" w:cs="华文中宋"/>
                <w:b/>
                <w:color w:val="auto"/>
                <w:szCs w:val="21"/>
                <w:highlight w:val="none"/>
              </w:rPr>
              <w:t>1</w:t>
            </w:r>
            <w:r>
              <w:rPr>
                <w:rFonts w:hint="eastAsia" w:ascii="华文中宋" w:hAnsi="华文中宋" w:eastAsia="华文中宋" w:cs="华文中宋"/>
                <w:b/>
                <w:color w:val="auto"/>
                <w:szCs w:val="21"/>
                <w:highlight w:val="none"/>
              </w:rPr>
              <w:t>．对采购需求的响应内容</w:t>
            </w:r>
          </w:p>
          <w:p w14:paraId="484631FA">
            <w:pPr>
              <w:spacing w:line="360" w:lineRule="auto"/>
              <w:ind w:left="315" w:leftChars="150" w:firstLine="105" w:firstLineChars="50"/>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对商务要求的响应内容</w:t>
            </w:r>
          </w:p>
          <w:p w14:paraId="25238E0E">
            <w:pPr>
              <w:spacing w:line="360" w:lineRule="auto"/>
              <w:ind w:left="315" w:leftChars="150" w:firstLine="105" w:firstLineChars="50"/>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对技术要求的响应内容</w:t>
            </w:r>
          </w:p>
          <w:p w14:paraId="518DA8B1">
            <w:pPr>
              <w:spacing w:line="360" w:lineRule="auto"/>
              <w:ind w:firstLine="420" w:firstLineChars="200"/>
              <w:rPr>
                <w:rFonts w:ascii="华文中宋" w:hAnsi="华文中宋" w:eastAsia="华文中宋" w:cs="华文中宋"/>
                <w:b/>
                <w:color w:val="auto"/>
                <w:szCs w:val="21"/>
                <w:highlight w:val="none"/>
              </w:rPr>
            </w:pPr>
            <w:r>
              <w:rPr>
                <w:rFonts w:ascii="华文中宋" w:hAnsi="华文中宋" w:eastAsia="华文中宋" w:cs="华文中宋"/>
                <w:b/>
                <w:color w:val="auto"/>
                <w:szCs w:val="21"/>
                <w:highlight w:val="none"/>
              </w:rPr>
              <w:t>2</w:t>
            </w:r>
            <w:r>
              <w:rPr>
                <w:rFonts w:hint="eastAsia" w:ascii="华文中宋" w:hAnsi="华文中宋" w:eastAsia="华文中宋" w:cs="华文中宋"/>
                <w:b/>
                <w:color w:val="auto"/>
                <w:szCs w:val="21"/>
                <w:highlight w:val="none"/>
              </w:rPr>
              <w:t>．招标文件要求或投标人认为需要提供的其他商务技术材料</w:t>
            </w:r>
            <w:r>
              <w:rPr>
                <w:rFonts w:ascii="华文中宋" w:hAnsi="华文中宋" w:eastAsia="华文中宋" w:cs="华文中宋"/>
                <w:b/>
                <w:color w:val="auto"/>
                <w:szCs w:val="21"/>
                <w:highlight w:val="none"/>
              </w:rPr>
              <w:t>/</w:t>
            </w:r>
            <w:r>
              <w:rPr>
                <w:rFonts w:hint="eastAsia" w:ascii="华文中宋" w:hAnsi="华文中宋" w:eastAsia="华文中宋" w:cs="华文中宋"/>
                <w:b/>
                <w:color w:val="auto"/>
                <w:szCs w:val="21"/>
                <w:highlight w:val="none"/>
              </w:rPr>
              <w:t>文件</w:t>
            </w:r>
          </w:p>
          <w:p w14:paraId="7C56DDC2">
            <w:pPr>
              <w:spacing w:line="360" w:lineRule="auto"/>
              <w:ind w:left="315" w:leftChars="150" w:firstLine="105" w:firstLineChars="50"/>
              <w:rPr>
                <w:rFonts w:ascii="华文中宋" w:hAnsi="华文中宋" w:eastAsia="华文中宋" w:cs="华文中宋"/>
                <w:b/>
                <w:color w:val="auto"/>
                <w:szCs w:val="21"/>
                <w:highlight w:val="none"/>
              </w:rPr>
            </w:pPr>
            <w:r>
              <w:rPr>
                <w:rFonts w:ascii="华文中宋" w:hAnsi="华文中宋" w:eastAsia="华文中宋" w:cs="华文中宋"/>
                <w:b/>
                <w:color w:val="auto"/>
                <w:szCs w:val="21"/>
                <w:highlight w:val="none"/>
              </w:rPr>
              <w:t>3</w:t>
            </w:r>
            <w:r>
              <w:rPr>
                <w:rFonts w:hint="eastAsia" w:ascii="华文中宋" w:hAnsi="华文中宋" w:eastAsia="华文中宋" w:cs="华文中宋"/>
                <w:b/>
                <w:color w:val="auto"/>
                <w:szCs w:val="21"/>
                <w:highlight w:val="none"/>
              </w:rPr>
              <w:t>．开标报价一览表</w:t>
            </w:r>
            <w:r>
              <w:rPr>
                <w:rFonts w:hint="eastAsia" w:ascii="华文中宋" w:hAnsi="华文中宋" w:eastAsia="华文中宋"/>
                <w:b/>
                <w:color w:val="auto"/>
                <w:szCs w:val="21"/>
                <w:highlight w:val="none"/>
              </w:rPr>
              <w:t>（格式见第八部分）</w:t>
            </w:r>
          </w:p>
          <w:p w14:paraId="082361CC">
            <w:pPr>
              <w:spacing w:line="360" w:lineRule="auto"/>
              <w:ind w:firstLine="420" w:firstLineChars="200"/>
              <w:rPr>
                <w:rFonts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说明：涉及相关要求的内容见本文件第四部分相对应内容。</w:t>
            </w:r>
          </w:p>
        </w:tc>
      </w:tr>
      <w:tr w14:paraId="01CD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4F6FE55E">
            <w:pPr>
              <w:snapToGrid w:val="0"/>
              <w:spacing w:line="360" w:lineRule="auto"/>
              <w:jc w:val="center"/>
              <w:rPr>
                <w:rFonts w:hint="eastAsia" w:ascii="华文中宋" w:hAnsi="华文中宋" w:eastAsia="华文中宋"/>
                <w:b/>
                <w:color w:val="auto"/>
                <w:szCs w:val="21"/>
                <w:highlight w:val="none"/>
                <w:lang w:eastAsia="zh-CN"/>
              </w:rPr>
            </w:pPr>
            <w:r>
              <w:rPr>
                <w:rFonts w:hint="eastAsia" w:ascii="华文中宋" w:hAnsi="华文中宋" w:eastAsia="华文中宋"/>
                <w:b/>
                <w:color w:val="auto"/>
                <w:szCs w:val="21"/>
                <w:highlight w:val="none"/>
                <w:lang w:val="en-US" w:eastAsia="zh-CN"/>
              </w:rPr>
              <w:t>4</w:t>
            </w:r>
          </w:p>
        </w:tc>
        <w:tc>
          <w:tcPr>
            <w:tcW w:w="2011" w:type="dxa"/>
            <w:vAlign w:val="center"/>
          </w:tcPr>
          <w:p w14:paraId="071BE0EC">
            <w:pPr>
              <w:snapToGrid w:val="0"/>
              <w:spacing w:line="360" w:lineRule="auto"/>
              <w:ind w:firstLine="105" w:firstLineChars="50"/>
              <w:jc w:val="center"/>
              <w:rPr>
                <w:rFonts w:ascii="华文中宋" w:hAnsi="华文中宋" w:eastAsia="华文中宋" w:cs="宋体"/>
                <w:b/>
                <w:bCs/>
                <w:color w:val="auto"/>
                <w:szCs w:val="21"/>
                <w:highlight w:val="none"/>
              </w:rPr>
            </w:pPr>
            <w:r>
              <w:rPr>
                <w:rFonts w:hint="eastAsia" w:ascii="华文中宋" w:hAnsi="华文中宋" w:eastAsia="华文中宋"/>
                <w:b/>
                <w:color w:val="auto"/>
                <w:szCs w:val="21"/>
                <w:highlight w:val="none"/>
              </w:rPr>
              <w:t>投标有效期</w:t>
            </w:r>
          </w:p>
        </w:tc>
        <w:tc>
          <w:tcPr>
            <w:tcW w:w="6448" w:type="dxa"/>
            <w:vAlign w:val="center"/>
          </w:tcPr>
          <w:p w14:paraId="002EE2A1">
            <w:pPr>
              <w:spacing w:line="360" w:lineRule="auto"/>
              <w:rPr>
                <w:rFonts w:ascii="华文中宋" w:hAnsi="华文中宋" w:eastAsia="华文中宋"/>
                <w:color w:val="auto"/>
                <w:szCs w:val="21"/>
                <w:highlight w:val="none"/>
              </w:rPr>
            </w:pPr>
            <w:r>
              <w:rPr>
                <w:rFonts w:ascii="华文中宋" w:hAnsi="华文中宋" w:eastAsia="华文中宋"/>
                <w:color w:val="auto"/>
                <w:szCs w:val="21"/>
                <w:highlight w:val="none"/>
              </w:rPr>
              <w:t>90</w:t>
            </w:r>
            <w:r>
              <w:rPr>
                <w:rFonts w:hint="eastAsia" w:ascii="华文中宋" w:hAnsi="华文中宋" w:eastAsia="华文中宋"/>
                <w:color w:val="auto"/>
                <w:szCs w:val="21"/>
                <w:highlight w:val="none"/>
              </w:rPr>
              <w:t>个日历天（自投标文件开启时间之日起计算）</w:t>
            </w:r>
          </w:p>
        </w:tc>
      </w:tr>
      <w:tr w14:paraId="4436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692B2FB3">
            <w:pPr>
              <w:snapToGrid w:val="0"/>
              <w:spacing w:line="360" w:lineRule="auto"/>
              <w:jc w:val="center"/>
              <w:rPr>
                <w:rFonts w:hint="eastAsia" w:ascii="华文中宋" w:hAnsi="华文中宋" w:eastAsia="华文中宋"/>
                <w:b/>
                <w:color w:val="auto"/>
                <w:szCs w:val="21"/>
                <w:highlight w:val="none"/>
                <w:lang w:eastAsia="zh-CN"/>
              </w:rPr>
            </w:pPr>
            <w:r>
              <w:rPr>
                <w:rFonts w:hint="eastAsia" w:ascii="华文中宋" w:hAnsi="华文中宋" w:eastAsia="华文中宋"/>
                <w:b/>
                <w:color w:val="auto"/>
                <w:szCs w:val="21"/>
                <w:highlight w:val="none"/>
                <w:lang w:val="en-US" w:eastAsia="zh-CN"/>
              </w:rPr>
              <w:t>5</w:t>
            </w:r>
          </w:p>
        </w:tc>
        <w:tc>
          <w:tcPr>
            <w:tcW w:w="2011" w:type="dxa"/>
            <w:vAlign w:val="center"/>
          </w:tcPr>
          <w:p w14:paraId="6209E45A">
            <w:pPr>
              <w:snapToGrid w:val="0"/>
              <w:spacing w:line="360" w:lineRule="auto"/>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政府采购</w:t>
            </w:r>
          </w:p>
          <w:p w14:paraId="19C97028">
            <w:pPr>
              <w:snapToGrid w:val="0"/>
              <w:spacing w:line="360" w:lineRule="auto"/>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相关政策要求</w:t>
            </w:r>
          </w:p>
          <w:p w14:paraId="0D26FB0F">
            <w:pPr>
              <w:snapToGrid w:val="0"/>
              <w:spacing w:line="360" w:lineRule="auto"/>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（如涉及的话）</w:t>
            </w:r>
          </w:p>
        </w:tc>
        <w:tc>
          <w:tcPr>
            <w:tcW w:w="6448" w:type="dxa"/>
            <w:vAlign w:val="center"/>
          </w:tcPr>
          <w:p w14:paraId="20FDD226">
            <w:pPr>
              <w:spacing w:line="360" w:lineRule="auto"/>
              <w:ind w:firstLine="420" w:firstLineChars="200"/>
              <w:rPr>
                <w:rFonts w:ascii="华文中宋" w:hAnsi="华文中宋" w:eastAsia="华文中宋"/>
                <w:b/>
                <w:color w:val="auto"/>
                <w:szCs w:val="21"/>
                <w:highlight w:val="none"/>
              </w:rPr>
            </w:pPr>
            <w:r>
              <w:rPr>
                <w:rFonts w:ascii="华文中宋" w:hAnsi="华文中宋" w:eastAsia="华文中宋"/>
                <w:b/>
                <w:color w:val="auto"/>
                <w:szCs w:val="21"/>
                <w:highlight w:val="none"/>
              </w:rPr>
              <w:t>1</w:t>
            </w:r>
            <w:r>
              <w:rPr>
                <w:rFonts w:hint="eastAsia" w:ascii="华文中宋" w:hAnsi="华文中宋" w:eastAsia="华文中宋"/>
                <w:b/>
                <w:color w:val="auto"/>
                <w:szCs w:val="21"/>
                <w:highlight w:val="none"/>
              </w:rPr>
              <w:t>．涉及进口产品的要求：</w:t>
            </w:r>
          </w:p>
          <w:p w14:paraId="79730F88">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）本项目采购标的物未特别注明“进口产品”（通过中国海关报关验放进入中国境内且产自境外的产品）字样的，均必须采购国产产品。</w:t>
            </w:r>
          </w:p>
          <w:p w14:paraId="5AC6ADE1">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rPr>
              <w:t>）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2FBBC25B">
            <w:pPr>
              <w:spacing w:line="360" w:lineRule="auto"/>
              <w:ind w:firstLine="420" w:firstLineChars="200"/>
              <w:rPr>
                <w:rFonts w:ascii="华文中宋" w:hAnsi="华文中宋" w:eastAsia="华文中宋"/>
                <w:b/>
                <w:color w:val="auto"/>
                <w:szCs w:val="21"/>
                <w:highlight w:val="none"/>
              </w:rPr>
            </w:pPr>
            <w:r>
              <w:rPr>
                <w:rFonts w:ascii="华文中宋" w:hAnsi="华文中宋" w:eastAsia="华文中宋"/>
                <w:b/>
                <w:color w:val="auto"/>
                <w:szCs w:val="21"/>
                <w:highlight w:val="none"/>
              </w:rPr>
              <w:t>2</w:t>
            </w:r>
            <w:r>
              <w:rPr>
                <w:rFonts w:hint="eastAsia" w:ascii="华文中宋" w:hAnsi="华文中宋" w:eastAsia="华文中宋"/>
                <w:b/>
                <w:color w:val="auto"/>
                <w:szCs w:val="21"/>
                <w:highlight w:val="none"/>
              </w:rPr>
              <w:t>．涉及“节能产品政府采购品目清单”政府强制采购产品的要求：</w:t>
            </w:r>
          </w:p>
          <w:p w14:paraId="56A54F2F">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）本文件列出政府强制采购产品的，投标人必须投报“节能产品政府采购品目清单”范围内的产品，须提供处于有效期之内的节能产品认证证书扫描件。</w:t>
            </w:r>
          </w:p>
          <w:p w14:paraId="52866FE7">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rPr>
              <w:t>）本文件未列出政府强制采购产品的，投标人可投报“节能产品政府采购品目清单、环境标志产品政府采购品目清单”中非政府强制采购产品或其范围以外的产品。</w:t>
            </w:r>
          </w:p>
          <w:p w14:paraId="43877BA6">
            <w:pPr>
              <w:spacing w:line="360" w:lineRule="auto"/>
              <w:ind w:firstLine="420" w:firstLineChars="200"/>
              <w:rPr>
                <w:rFonts w:ascii="华文中宋" w:hAnsi="华文中宋" w:eastAsia="华文中宋"/>
                <w:b/>
                <w:color w:val="auto"/>
                <w:szCs w:val="21"/>
                <w:highlight w:val="none"/>
              </w:rPr>
            </w:pPr>
            <w:r>
              <w:rPr>
                <w:rFonts w:ascii="华文中宋" w:hAnsi="华文中宋" w:eastAsia="华文中宋"/>
                <w:b/>
                <w:color w:val="auto"/>
                <w:szCs w:val="21"/>
                <w:highlight w:val="none"/>
              </w:rPr>
              <w:t>3</w:t>
            </w:r>
            <w:r>
              <w:rPr>
                <w:rFonts w:hint="eastAsia" w:ascii="华文中宋" w:hAnsi="华文中宋" w:eastAsia="华文中宋"/>
                <w:b/>
                <w:color w:val="auto"/>
                <w:szCs w:val="21"/>
                <w:highlight w:val="none"/>
              </w:rPr>
              <w:t>．涉及非政府强制采购产品的要求：</w:t>
            </w:r>
          </w:p>
          <w:p w14:paraId="7AEAD392">
            <w:pPr>
              <w:spacing w:line="360" w:lineRule="auto"/>
              <w:ind w:firstLine="420" w:firstLineChars="20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）投标货物有“节能产品政府采购品目清单、环境标志产品政府采购品目清单”中非政府强制采购产品的</w:t>
            </w:r>
            <w:r>
              <w:rPr>
                <w:rFonts w:hint="eastAsia" w:ascii="华文中宋" w:hAnsi="华文中宋" w:eastAsia="华文中宋"/>
                <w:color w:val="auto"/>
                <w:szCs w:val="21"/>
                <w:highlight w:val="none"/>
                <w:lang w:val="en-US" w:eastAsia="zh-CN"/>
              </w:rPr>
              <w:t>须</w:t>
            </w:r>
            <w:r>
              <w:rPr>
                <w:rFonts w:hint="eastAsia" w:ascii="华文中宋" w:hAnsi="华文中宋" w:eastAsia="华文中宋"/>
                <w:color w:val="auto"/>
                <w:szCs w:val="21"/>
                <w:highlight w:val="none"/>
              </w:rPr>
              <w:t>提供处于有效期之内的节能产品、环境标志产品认证证书扫描件。</w:t>
            </w:r>
          </w:p>
          <w:p w14:paraId="00507921">
            <w:pPr>
              <w:keepNext/>
              <w:keepLines/>
              <w:spacing w:before="72" w:beforeLines="30" w:after="72" w:afterLines="30" w:line="360" w:lineRule="auto"/>
              <w:ind w:firstLine="247" w:firstLineChars="118"/>
              <w:outlineLvl w:val="2"/>
              <w:rPr>
                <w:rFonts w:ascii="仿宋" w:hAnsi="仿宋" w:eastAsia="仿宋"/>
                <w:b/>
                <w:bCs/>
                <w:color w:val="auto"/>
                <w:sz w:val="24"/>
                <w:szCs w:val="32"/>
                <w:highlight w:val="none"/>
              </w:rPr>
            </w:pP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2</w:t>
            </w:r>
            <w:r>
              <w:rPr>
                <w:rFonts w:hint="eastAsia" w:ascii="华文中宋" w:hAnsi="华文中宋" w:eastAsia="华文中宋"/>
                <w:color w:val="auto"/>
                <w:szCs w:val="21"/>
                <w:highlight w:val="none"/>
                <w:lang w:eastAsia="zh-CN"/>
              </w:rPr>
              <w:t>）</w:t>
            </w:r>
            <w:r>
              <w:rPr>
                <w:rFonts w:hint="eastAsia" w:ascii="华文中宋" w:hAnsi="华文中宋" w:eastAsia="华文中宋"/>
                <w:b/>
                <w:color w:val="auto"/>
                <w:szCs w:val="21"/>
                <w:highlight w:val="none"/>
              </w:rPr>
              <w:t>无线局域网产品政府采购政策：</w:t>
            </w:r>
          </w:p>
          <w:p w14:paraId="23AAD8F9">
            <w:pPr>
              <w:spacing w:line="360" w:lineRule="auto"/>
              <w:ind w:firstLine="420" w:firstLineChars="20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本项目如涉及无线局域网产品和含有无线局域网功能的产品属于中国</w:t>
            </w:r>
            <w:r>
              <w:rPr>
                <w:rFonts w:hint="eastAsia" w:ascii="华文中宋" w:hAnsi="华文中宋" w:eastAsia="华文中宋"/>
                <w:color w:val="auto"/>
                <w:szCs w:val="21"/>
                <w:highlight w:val="none"/>
              </w:rPr>
              <w:t>政府采购网公布的《无线局域网认证产品政府采购清单》且在有效期内的，提供《中国政府采购网》公布的无线局域网产品政府采购清单封面及对应页，实行优先采购。</w:t>
            </w:r>
            <w:r>
              <w:rPr>
                <w:rFonts w:hint="eastAsia" w:ascii="华文中宋" w:hAnsi="华文中宋" w:eastAsia="华文中宋"/>
                <w:color w:val="auto"/>
                <w:szCs w:val="21"/>
                <w:highlight w:val="none"/>
                <w:lang w:val="en-US" w:eastAsia="zh-CN"/>
              </w:rPr>
              <w:t>详情参见财库〔2005〕366号文件《无线局域网产品政府采购实施意见》。</w:t>
            </w:r>
          </w:p>
          <w:p w14:paraId="046A05F9">
            <w:pPr>
              <w:spacing w:line="360" w:lineRule="auto"/>
              <w:ind w:firstLine="420" w:firstLineChars="200"/>
              <w:rPr>
                <w:rFonts w:ascii="华文中宋" w:hAnsi="华文中宋" w:eastAsia="华文中宋"/>
                <w:b/>
                <w:color w:val="auto"/>
                <w:szCs w:val="21"/>
                <w:highlight w:val="none"/>
              </w:rPr>
            </w:pPr>
            <w:r>
              <w:rPr>
                <w:rFonts w:ascii="华文中宋" w:hAnsi="华文中宋" w:eastAsia="华文中宋"/>
                <w:b/>
                <w:color w:val="auto"/>
                <w:szCs w:val="21"/>
                <w:highlight w:val="none"/>
              </w:rPr>
              <w:t>4</w:t>
            </w:r>
            <w:r>
              <w:rPr>
                <w:rFonts w:hint="eastAsia" w:ascii="华文中宋" w:hAnsi="华文中宋" w:eastAsia="华文中宋"/>
                <w:b/>
                <w:color w:val="auto"/>
                <w:szCs w:val="21"/>
                <w:highlight w:val="none"/>
              </w:rPr>
              <w:t>．涉及正版软件的要求：</w:t>
            </w:r>
          </w:p>
          <w:p w14:paraId="5C69429B">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本项目</w:t>
            </w:r>
            <w:r>
              <w:rPr>
                <w:rFonts w:hint="eastAsia" w:ascii="华文中宋" w:hAnsi="华文中宋" w:eastAsia="华文中宋"/>
                <w:color w:val="auto"/>
                <w:szCs w:val="21"/>
                <w:highlight w:val="none"/>
                <w:lang w:val="en-US" w:eastAsia="zh-CN"/>
              </w:rPr>
              <w:t>如</w:t>
            </w:r>
            <w:r>
              <w:rPr>
                <w:rFonts w:hint="eastAsia" w:ascii="华文中宋" w:hAnsi="华文中宋" w:eastAsia="华文中宋"/>
                <w:color w:val="auto"/>
                <w:szCs w:val="21"/>
                <w:highlight w:val="none"/>
              </w:rPr>
              <w:t>涉及计算机产品或硬件产品内预装软件的，投标人须填写《正版软件承诺》（格式见第八部分）</w:t>
            </w:r>
            <w:r>
              <w:rPr>
                <w:rFonts w:hint="eastAsia" w:ascii="华文中宋" w:hAnsi="华文中宋" w:eastAsia="华文中宋"/>
                <w:color w:val="auto"/>
                <w:highlight w:val="none"/>
              </w:rPr>
              <w:t>。</w:t>
            </w:r>
          </w:p>
          <w:p w14:paraId="54434971">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b/>
                <w:color w:val="auto"/>
                <w:szCs w:val="21"/>
                <w:highlight w:val="none"/>
              </w:rPr>
              <w:t>5</w:t>
            </w:r>
            <w:r>
              <w:rPr>
                <w:rFonts w:hint="eastAsia" w:ascii="华文中宋" w:hAnsi="华文中宋" w:eastAsia="华文中宋"/>
                <w:b/>
                <w:color w:val="auto"/>
                <w:szCs w:val="21"/>
                <w:highlight w:val="none"/>
              </w:rPr>
              <w:t>．涉及网络安全专用产品的要求：</w:t>
            </w:r>
          </w:p>
          <w:p w14:paraId="0A163F14">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rPr>
              <w:t>投标货物中如</w:t>
            </w:r>
            <w:r>
              <w:rPr>
                <w:rFonts w:hint="eastAsia" w:ascii="华文中宋" w:hAnsi="华文中宋" w:eastAsia="华文中宋"/>
                <w:color w:val="auto"/>
                <w:szCs w:val="21"/>
                <w:highlight w:val="none"/>
                <w:lang w:val="en-US" w:eastAsia="zh-CN"/>
              </w:rPr>
              <w:t>涉及工信部</w:t>
            </w:r>
            <w:r>
              <w:rPr>
                <w:rFonts w:hint="eastAsia" w:ascii="华文中宋" w:hAnsi="华文中宋" w:eastAsia="华文中宋"/>
                <w:color w:val="auto"/>
                <w:szCs w:val="21"/>
                <w:highlight w:val="none"/>
              </w:rPr>
              <w:t>会同有关部门制定下发的《网络关键设备和网络安全专用产品目录》中的产品，须提供提供由具备资格的机构安全认证合格或者安全检测符合要求的有效</w:t>
            </w:r>
            <w:r>
              <w:rPr>
                <w:rFonts w:hint="eastAsia" w:ascii="华文中宋" w:hAnsi="华文中宋" w:eastAsia="华文中宋"/>
                <w:color w:val="auto"/>
                <w:szCs w:val="21"/>
                <w:highlight w:val="none"/>
                <w:lang w:val="en-US" w:eastAsia="zh-CN"/>
              </w:rPr>
              <w:t>证明材料</w:t>
            </w:r>
            <w:r>
              <w:rPr>
                <w:rFonts w:hint="eastAsia" w:ascii="华文中宋" w:hAnsi="华文中宋" w:eastAsia="华文中宋"/>
                <w:color w:val="auto"/>
                <w:szCs w:val="21"/>
                <w:highlight w:val="none"/>
              </w:rPr>
              <w:t>扫描件。</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rPr>
              <w:t>具备资格的机构是指列入《承担网络关键设备和网络安全专用产品安全认证和安全检测任务机构名录》的机构</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详情参加国务院2023年第1号《</w:t>
            </w:r>
            <w:r>
              <w:rPr>
                <w:rFonts w:hint="eastAsia" w:ascii="华文中宋" w:hAnsi="华文中宋" w:eastAsia="华文中宋"/>
                <w:color w:val="auto"/>
                <w:szCs w:val="21"/>
                <w:highlight w:val="none"/>
              </w:rPr>
              <w:t>关于调整网络安全专用产品安全管理有关事项的公告</w:t>
            </w:r>
            <w:r>
              <w:rPr>
                <w:rFonts w:hint="eastAsia" w:ascii="华文中宋" w:hAnsi="华文中宋" w:eastAsia="华文中宋"/>
                <w:color w:val="auto"/>
                <w:szCs w:val="21"/>
                <w:highlight w:val="none"/>
                <w:lang w:val="en-US" w:eastAsia="zh-CN"/>
              </w:rPr>
              <w:t>》。</w:t>
            </w:r>
          </w:p>
          <w:p w14:paraId="6AB66F6B">
            <w:pPr>
              <w:spacing w:line="360" w:lineRule="auto"/>
              <w:ind w:firstLine="420" w:firstLineChars="200"/>
              <w:rPr>
                <w:rFonts w:ascii="华文中宋" w:hAnsi="华文中宋" w:eastAsia="华文中宋"/>
                <w:b/>
                <w:color w:val="auto"/>
                <w:szCs w:val="21"/>
                <w:highlight w:val="none"/>
              </w:rPr>
            </w:pPr>
            <w:r>
              <w:rPr>
                <w:rFonts w:ascii="华文中宋" w:hAnsi="华文中宋" w:eastAsia="华文中宋"/>
                <w:b/>
                <w:color w:val="auto"/>
                <w:szCs w:val="21"/>
                <w:highlight w:val="none"/>
              </w:rPr>
              <w:t>6</w:t>
            </w:r>
            <w:r>
              <w:rPr>
                <w:rFonts w:hint="eastAsia" w:ascii="华文中宋" w:hAnsi="华文中宋" w:eastAsia="华文中宋"/>
                <w:b/>
                <w:color w:val="auto"/>
                <w:szCs w:val="21"/>
                <w:highlight w:val="none"/>
              </w:rPr>
              <w:t>．涉及小型、微型企业参加投标的要求：</w:t>
            </w:r>
          </w:p>
          <w:p w14:paraId="3C9C0B6B">
            <w:pPr>
              <w:pStyle w:val="59"/>
              <w:snapToGrid w:val="0"/>
              <w:spacing w:line="360" w:lineRule="auto"/>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color w:val="auto"/>
                <w:highlight w:val="none"/>
                <w:lang w:val="en-US" w:eastAsia="zh-CN"/>
              </w:rPr>
              <w:t>中小</w:t>
            </w:r>
            <w:r>
              <w:rPr>
                <w:rFonts w:hint="eastAsia" w:ascii="华文中宋" w:hAnsi="华文中宋" w:eastAsia="华文中宋"/>
                <w:color w:val="auto"/>
                <w:highlight w:val="none"/>
              </w:rPr>
              <w:t>企业声明函》（格式见第八部分）。</w:t>
            </w:r>
          </w:p>
          <w:p w14:paraId="45C503D5">
            <w:pPr>
              <w:pStyle w:val="59"/>
              <w:snapToGrid w:val="0"/>
              <w:spacing w:line="360" w:lineRule="auto"/>
              <w:ind w:firstLine="315" w:firstLineChars="150"/>
              <w:rPr>
                <w:rFonts w:hint="eastAsia" w:ascii="华文中宋" w:hAnsi="华文中宋" w:eastAsia="华文中宋"/>
                <w:color w:val="auto"/>
                <w:highlight w:val="none"/>
              </w:rPr>
            </w:pPr>
            <w:r>
              <w:rPr>
                <w:rFonts w:hint="eastAsia" w:ascii="华文中宋" w:hAnsi="华文中宋" w:eastAsia="华文中宋"/>
                <w:color w:val="auto"/>
                <w:highlight w:val="none"/>
              </w:rPr>
              <w:t>（2）</w:t>
            </w:r>
            <w:r>
              <w:rPr>
                <w:rFonts w:hint="eastAsia" w:ascii="华文中宋" w:hAnsi="华文中宋" w:eastAsia="华文中宋"/>
                <w:color w:val="auto"/>
                <w:szCs w:val="21"/>
                <w:highlight w:val="none"/>
              </w:rPr>
              <w:t>企业只有提供</w:t>
            </w:r>
            <w:r>
              <w:rPr>
                <w:rFonts w:hint="eastAsia" w:ascii="华文中宋" w:hAnsi="华文中宋" w:eastAsia="华文中宋"/>
                <w:color w:val="auto"/>
                <w:highlight w:val="none"/>
              </w:rPr>
              <w:t>小型、微企业制造的货物，</w:t>
            </w:r>
            <w:r>
              <w:rPr>
                <w:rFonts w:hint="eastAsia" w:ascii="华文中宋" w:hAnsi="华文中宋" w:eastAsia="华文中宋"/>
                <w:color w:val="auto"/>
                <w:highlight w:val="none"/>
                <w:lang w:val="en-US" w:eastAsia="zh-CN"/>
              </w:rPr>
              <w:t>才能</w:t>
            </w:r>
            <w:r>
              <w:rPr>
                <w:rFonts w:hint="eastAsia" w:ascii="华文中宋" w:hAnsi="华文中宋" w:eastAsia="华文中宋"/>
                <w:color w:val="auto"/>
                <w:highlight w:val="none"/>
              </w:rPr>
              <w:t>享受投标货物的价格折扣</w:t>
            </w:r>
            <w:r>
              <w:rPr>
                <w:rFonts w:hint="eastAsia" w:ascii="华文中宋" w:hAnsi="华文中宋" w:eastAsia="华文中宋"/>
                <w:color w:val="auto"/>
                <w:kern w:val="2"/>
                <w:szCs w:val="22"/>
                <w:highlight w:val="none"/>
              </w:rPr>
              <w:t>。</w:t>
            </w:r>
          </w:p>
          <w:p w14:paraId="5867A9F3">
            <w:pPr>
              <w:pStyle w:val="59"/>
              <w:snapToGrid w:val="0"/>
              <w:spacing w:line="360" w:lineRule="auto"/>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（3）小型、微型企业提供的货物既有中小企业制造货物，也有大型企业制造货物的，不享受价格折扣。</w:t>
            </w:r>
          </w:p>
          <w:p w14:paraId="15F738BC">
            <w:pPr>
              <w:pStyle w:val="59"/>
              <w:snapToGrid w:val="0"/>
              <w:spacing w:line="360" w:lineRule="auto"/>
              <w:ind w:firstLine="315" w:firstLineChars="150"/>
              <w:rPr>
                <w:rFonts w:hint="eastAsia" w:ascii="华文中宋" w:hAnsi="华文中宋" w:eastAsia="华文中宋"/>
                <w:color w:val="auto"/>
                <w:highlight w:val="none"/>
              </w:rPr>
            </w:pPr>
            <w:r>
              <w:rPr>
                <w:rFonts w:hint="eastAsia" w:ascii="华文中宋" w:hAnsi="华文中宋" w:eastAsia="华文中宋"/>
                <w:color w:val="auto"/>
                <w:highlight w:val="none"/>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w:t>
            </w:r>
            <w:r>
              <w:rPr>
                <w:rFonts w:hint="eastAsia" w:ascii="华文中宋" w:hAnsi="华文中宋" w:eastAsia="华文中宋"/>
                <w:color w:val="auto"/>
                <w:highlight w:val="none"/>
                <w:lang w:val="en-US" w:eastAsia="zh-CN"/>
              </w:rPr>
              <w:t>其中联合体中小微企业需按采购文件格式要求，如实填写《中小企业声明函》</w:t>
            </w:r>
            <w:r>
              <w:rPr>
                <w:rFonts w:hint="eastAsia" w:ascii="华文中宋" w:hAnsi="华文中宋" w:eastAsia="华文中宋"/>
                <w:color w:val="auto"/>
                <w:highlight w:val="none"/>
              </w:rPr>
              <w:t>（格式见第八部分）。</w:t>
            </w:r>
          </w:p>
          <w:p w14:paraId="7FE08234">
            <w:pPr>
              <w:pStyle w:val="59"/>
              <w:snapToGrid w:val="0"/>
              <w:spacing w:line="360" w:lineRule="auto"/>
              <w:ind w:firstLine="315" w:firstLineChars="150"/>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rPr>
              <w:t>（5）</w:t>
            </w:r>
            <w:r>
              <w:rPr>
                <w:rFonts w:hint="eastAsia" w:ascii="华文中宋" w:hAnsi="华文中宋" w:eastAsia="华文中宋"/>
                <w:color w:val="auto"/>
                <w:highlight w:val="none"/>
                <w:lang w:val="en-US" w:eastAsia="zh-CN"/>
              </w:rPr>
              <w:t>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第八部分）</w:t>
            </w:r>
          </w:p>
          <w:p w14:paraId="2EDE91BB">
            <w:pPr>
              <w:pStyle w:val="59"/>
              <w:snapToGrid w:val="0"/>
              <w:spacing w:line="360" w:lineRule="auto"/>
              <w:ind w:firstLine="315" w:firstLineChars="150"/>
              <w:rPr>
                <w:rFonts w:hint="eastAsia" w:ascii="华文中宋" w:hAnsi="华文中宋" w:eastAsia="华文中宋"/>
                <w:color w:val="auto"/>
                <w:highlight w:val="none"/>
                <w:u w:val="none"/>
                <w:lang w:eastAsia="zh-CN"/>
              </w:rPr>
            </w:pP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6</w:t>
            </w: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通过</w:t>
            </w:r>
            <w:r>
              <w:rPr>
                <w:rFonts w:hint="eastAsia" w:ascii="华文中宋" w:hAnsi="华文中宋" w:eastAsia="华文中宋"/>
                <w:color w:val="auto"/>
                <w:highlight w:val="none"/>
                <w:u w:val="none"/>
                <w:lang w:eastAsia="zh-CN"/>
              </w:rPr>
              <w:t>享受扶持政策、</w:t>
            </w:r>
            <w:r>
              <w:rPr>
                <w:rFonts w:hint="eastAsia" w:ascii="华文中宋" w:hAnsi="华文中宋" w:eastAsia="华文中宋"/>
                <w:color w:val="auto"/>
                <w:highlight w:val="none"/>
                <w:u w:val="none"/>
                <w:lang w:val="en-US" w:eastAsia="zh-CN"/>
              </w:rPr>
              <w:t>价格折扣并</w:t>
            </w:r>
            <w:r>
              <w:rPr>
                <w:rFonts w:hint="eastAsia" w:ascii="华文中宋" w:hAnsi="华文中宋" w:eastAsia="华文中宋"/>
                <w:color w:val="auto"/>
                <w:highlight w:val="none"/>
                <w:u w:val="none"/>
                <w:lang w:eastAsia="zh-CN"/>
              </w:rPr>
              <w:t>获得政府采购合同的：小微企业不得将合同分包给大中型企业；中型企业不得将合同分包给大型企业。</w:t>
            </w:r>
          </w:p>
          <w:p w14:paraId="300CE911">
            <w:pPr>
              <w:spacing w:line="360" w:lineRule="auto"/>
              <w:ind w:firstLine="420" w:firstLineChars="200"/>
              <w:rPr>
                <w:rFonts w:hint="eastAsia" w:ascii="华文中宋" w:hAnsi="华文中宋" w:eastAsia="华文中宋"/>
                <w:color w:val="auto"/>
                <w:szCs w:val="21"/>
                <w:highlight w:val="none"/>
                <w:u w:val="none"/>
              </w:rPr>
            </w:pP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7）若评标委员会在评审过程中发现有投标人提供的《中小企业声明函》内容不实的，可将有关上报财政部门，经财政部门核实后，按照有关法律法规予以处罚；若投标人发现中标供应商所提供的《中小企业声明函》内容不实，可按照采购文件中规定流程提出相关质疑材料，若质疑成立，集采机构将上报财政部门，经财政部门核实后，按照有关法律法规予以处罚</w:t>
            </w:r>
            <w:r>
              <w:rPr>
                <w:rFonts w:hint="eastAsia" w:ascii="华文中宋" w:hAnsi="华文中宋" w:eastAsia="华文中宋"/>
                <w:color w:val="auto"/>
                <w:szCs w:val="21"/>
                <w:highlight w:val="none"/>
                <w:u w:val="none"/>
              </w:rPr>
              <w:t>。</w:t>
            </w:r>
          </w:p>
          <w:p w14:paraId="524E09B1">
            <w:pPr>
              <w:spacing w:line="360" w:lineRule="auto"/>
              <w:ind w:firstLine="420" w:firstLineChars="200"/>
              <w:rPr>
                <w:rFonts w:ascii="华文中宋" w:hAnsi="华文中宋" w:eastAsia="华文中宋"/>
                <w:b/>
                <w:color w:val="auto"/>
                <w:szCs w:val="21"/>
                <w:highlight w:val="none"/>
              </w:rPr>
            </w:pPr>
            <w:r>
              <w:rPr>
                <w:rFonts w:ascii="华文中宋" w:hAnsi="华文中宋" w:eastAsia="华文中宋"/>
                <w:b/>
                <w:color w:val="auto"/>
                <w:szCs w:val="21"/>
                <w:highlight w:val="none"/>
              </w:rPr>
              <w:t>7</w:t>
            </w:r>
            <w:r>
              <w:rPr>
                <w:rFonts w:hint="eastAsia" w:ascii="华文中宋" w:hAnsi="华文中宋" w:eastAsia="华文中宋"/>
                <w:b/>
                <w:color w:val="auto"/>
                <w:szCs w:val="21"/>
                <w:highlight w:val="none"/>
              </w:rPr>
              <w:t>．涉及残疾人福利性单位参加投标的要求：</w:t>
            </w:r>
          </w:p>
          <w:p w14:paraId="61017F37">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）须根据财库【</w:t>
            </w:r>
            <w:r>
              <w:rPr>
                <w:rFonts w:ascii="华文中宋" w:hAnsi="华文中宋" w:eastAsia="华文中宋"/>
                <w:color w:val="auto"/>
                <w:szCs w:val="21"/>
                <w:highlight w:val="none"/>
              </w:rPr>
              <w:t>2017</w:t>
            </w: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141</w:t>
            </w:r>
            <w:r>
              <w:rPr>
                <w:rFonts w:hint="eastAsia" w:ascii="华文中宋" w:hAnsi="华文中宋" w:eastAsia="华文中宋"/>
                <w:color w:val="auto"/>
                <w:szCs w:val="21"/>
                <w:highlight w:val="none"/>
              </w:rPr>
              <w:t>号《关于促进残疾人就业政府采购政策的通知》的要求，如实填写《残疾人福利性单位声明函》（格式见第八部分）。</w:t>
            </w:r>
          </w:p>
          <w:p w14:paraId="6728DE0D">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rPr>
              <w:t>）残疾人福利性单位提供本企业制造的货物或者服务，或者提供其他残疾人福利性单位制造的货物或服务</w:t>
            </w:r>
            <w:r>
              <w:rPr>
                <w:rFonts w:hint="eastAsia" w:ascii="华文中宋" w:hAnsi="华文中宋" w:eastAsia="华文中宋"/>
                <w:color w:val="auto"/>
                <w:szCs w:val="21"/>
                <w:highlight w:val="none"/>
                <w:lang w:eastAsia="zh-CN"/>
              </w:rPr>
              <w:t>的</w:t>
            </w:r>
            <w:r>
              <w:rPr>
                <w:rFonts w:hint="eastAsia" w:ascii="华文中宋" w:hAnsi="华文中宋" w:eastAsia="华文中宋"/>
                <w:color w:val="auto"/>
                <w:szCs w:val="21"/>
                <w:highlight w:val="none"/>
              </w:rPr>
              <w:t>，</w:t>
            </w:r>
            <w:r>
              <w:rPr>
                <w:rFonts w:hint="eastAsia" w:ascii="华文中宋" w:hAnsi="华文中宋" w:eastAsia="华文中宋"/>
                <w:color w:val="auto"/>
                <w:szCs w:val="21"/>
                <w:highlight w:val="none"/>
                <w:lang w:val="en-US" w:eastAsia="zh-CN"/>
              </w:rPr>
              <w:t>视同小微企业，</w:t>
            </w:r>
            <w:r>
              <w:rPr>
                <w:rFonts w:hint="eastAsia" w:ascii="华文中宋" w:hAnsi="华文中宋" w:eastAsia="华文中宋"/>
                <w:color w:val="auto"/>
                <w:szCs w:val="21"/>
                <w:highlight w:val="none"/>
              </w:rPr>
              <w:t>享受投标货物或服务的价格折扣。</w:t>
            </w:r>
          </w:p>
          <w:p w14:paraId="51345DBC">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b/>
                <w:color w:val="auto"/>
                <w:szCs w:val="21"/>
                <w:highlight w:val="none"/>
              </w:rPr>
              <w:t>8</w:t>
            </w:r>
            <w:r>
              <w:rPr>
                <w:rFonts w:hint="eastAsia" w:ascii="华文中宋" w:hAnsi="华文中宋" w:eastAsia="华文中宋"/>
                <w:b/>
                <w:color w:val="auto"/>
                <w:szCs w:val="21"/>
                <w:highlight w:val="none"/>
              </w:rPr>
              <w:t>．涉及创新产品、创新服务的要求：</w:t>
            </w:r>
          </w:p>
          <w:p w14:paraId="6AED9934">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）投标人投标产品或服务</w:t>
            </w:r>
            <w:r>
              <w:rPr>
                <w:rFonts w:hint="eastAsia" w:ascii="华文中宋" w:hAnsi="华文中宋" w:eastAsia="华文中宋"/>
                <w:color w:val="auto"/>
                <w:szCs w:val="21"/>
                <w:highlight w:val="none"/>
                <w:lang w:val="en-US" w:eastAsia="zh-CN"/>
              </w:rPr>
              <w:t>如</w:t>
            </w:r>
            <w:r>
              <w:rPr>
                <w:rFonts w:hint="eastAsia" w:ascii="华文中宋" w:hAnsi="华文中宋" w:eastAsia="华文中宋"/>
                <w:color w:val="auto"/>
                <w:szCs w:val="21"/>
                <w:highlight w:val="none"/>
              </w:rPr>
              <w:t>属于《山西省创新产品和服务推荐清单》中创新产品或创新服务的，在评审时，享受投标产品价格折扣。</w:t>
            </w:r>
          </w:p>
          <w:p w14:paraId="1F44F6E2">
            <w:pPr>
              <w:pStyle w:val="59"/>
              <w:snapToGrid w:val="0"/>
              <w:spacing w:line="360" w:lineRule="auto"/>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2</w:t>
            </w:r>
            <w:r>
              <w:rPr>
                <w:rFonts w:hint="eastAsia" w:ascii="华文中宋" w:hAnsi="华文中宋" w:eastAsia="华文中宋"/>
                <w:color w:val="auto"/>
                <w:highlight w:val="none"/>
              </w:rPr>
              <w:t>）投标人投标创新产品或创新服务的，需如实填写《创新产品或创新服务明细表》，并提供《山西省创新产品和服务推荐清单》（格式见第八部分）。</w:t>
            </w:r>
          </w:p>
          <w:p w14:paraId="1CE0AE78">
            <w:pPr>
              <w:spacing w:line="360" w:lineRule="auto"/>
              <w:ind w:firstLine="420" w:firstLineChars="200"/>
              <w:rPr>
                <w:rFonts w:ascii="华文中宋" w:hAnsi="华文中宋" w:eastAsia="华文中宋"/>
                <w:b/>
                <w:color w:val="auto"/>
                <w:szCs w:val="21"/>
                <w:highlight w:val="none"/>
              </w:rPr>
            </w:pPr>
            <w:r>
              <w:rPr>
                <w:rFonts w:ascii="华文中宋" w:hAnsi="华文中宋" w:eastAsia="华文中宋"/>
                <w:b/>
                <w:color w:val="auto"/>
                <w:szCs w:val="21"/>
                <w:highlight w:val="none"/>
              </w:rPr>
              <w:t>9</w:t>
            </w:r>
            <w:r>
              <w:rPr>
                <w:rFonts w:hint="eastAsia" w:ascii="华文中宋" w:hAnsi="华文中宋" w:eastAsia="华文中宋"/>
                <w:b/>
                <w:color w:val="auto"/>
                <w:szCs w:val="21"/>
                <w:highlight w:val="none"/>
              </w:rPr>
              <w:t>．涉及监狱企业参加投标的要求：</w:t>
            </w:r>
          </w:p>
          <w:p w14:paraId="2DD448C1">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）监狱企业参加投标视同小、微企业，需提供由省级以上监狱管理局或戒毒管理局出具的属于监狱企业的证明文件。</w:t>
            </w:r>
          </w:p>
          <w:p w14:paraId="1BEE1B31">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rPr>
              <w:t>）监狱企业只有提供本企业制造的货物或服务，或者提供其他小、微企业制造的货物，享受投标货物的价格折扣。</w:t>
            </w:r>
          </w:p>
          <w:p w14:paraId="0D364137">
            <w:pPr>
              <w:pStyle w:val="59"/>
              <w:snapToGrid w:val="0"/>
              <w:spacing w:line="360"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3</w:t>
            </w:r>
            <w:r>
              <w:rPr>
                <w:rFonts w:hint="eastAsia" w:ascii="华文中宋" w:hAnsi="华文中宋" w:eastAsia="华文中宋"/>
                <w:color w:val="auto"/>
                <w:highlight w:val="none"/>
              </w:rPr>
              <w:t>）监狱企业与中型企业组成联合体参加投标的，或者向监狱企业分包，且联合体协议或分包意向协议约定监狱企业的协议金额占到合同金额</w:t>
            </w:r>
            <w:r>
              <w:rPr>
                <w:rFonts w:ascii="华文中宋" w:hAnsi="华文中宋" w:eastAsia="华文中宋"/>
                <w:color w:val="auto"/>
                <w:highlight w:val="none"/>
              </w:rPr>
              <w:t>30%</w:t>
            </w:r>
            <w:r>
              <w:rPr>
                <w:rFonts w:hint="eastAsia" w:ascii="华文中宋" w:hAnsi="华文中宋" w:eastAsia="华文中宋"/>
                <w:color w:val="auto"/>
                <w:highlight w:val="none"/>
              </w:rPr>
              <w:t>以上的，享受投标标的价格折扣，用扣除后的价格参与评审。</w:t>
            </w:r>
          </w:p>
          <w:p w14:paraId="5F90BC18">
            <w:pPr>
              <w:spacing w:line="360" w:lineRule="auto"/>
              <w:ind w:firstLine="420" w:firstLineChars="200"/>
              <w:rPr>
                <w:rFonts w:ascii="华文中宋" w:hAnsi="华文中宋" w:eastAsia="华文中宋"/>
                <w:b/>
                <w:color w:val="auto"/>
                <w:szCs w:val="21"/>
                <w:highlight w:val="none"/>
              </w:rPr>
            </w:pPr>
            <w:r>
              <w:rPr>
                <w:rFonts w:hint="eastAsia" w:ascii="华文中宋" w:hAnsi="华文中宋" w:eastAsia="华文中宋"/>
                <w:b/>
                <w:color w:val="auto"/>
                <w:szCs w:val="21"/>
                <w:highlight w:val="none"/>
                <w:lang w:val="en-US" w:eastAsia="zh-CN"/>
              </w:rPr>
              <w:t>10</w:t>
            </w:r>
            <w:r>
              <w:rPr>
                <w:rFonts w:hint="eastAsia" w:ascii="华文中宋" w:hAnsi="华文中宋" w:eastAsia="华文中宋"/>
                <w:b/>
                <w:color w:val="auto"/>
                <w:szCs w:val="21"/>
                <w:highlight w:val="none"/>
              </w:rPr>
              <w:t>．涉及商品包装和快递包装的要求：</w:t>
            </w:r>
          </w:p>
          <w:p w14:paraId="6E2F6064">
            <w:pPr>
              <w:spacing w:line="360" w:lineRule="auto"/>
              <w:ind w:firstLine="525" w:firstLineChars="25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rPr>
              <w:t>本项目</w:t>
            </w:r>
            <w:r>
              <w:rPr>
                <w:rFonts w:hint="eastAsia" w:ascii="华文中宋" w:hAnsi="华文中宋" w:eastAsia="华文中宋"/>
                <w:color w:val="auto"/>
                <w:szCs w:val="21"/>
                <w:highlight w:val="none"/>
                <w:lang w:val="en-US" w:eastAsia="zh-CN"/>
              </w:rPr>
              <w:t>如</w:t>
            </w:r>
            <w:r>
              <w:rPr>
                <w:rFonts w:hint="eastAsia" w:ascii="华文中宋" w:hAnsi="华文中宋" w:eastAsia="华文中宋"/>
                <w:color w:val="auto"/>
                <w:szCs w:val="21"/>
                <w:highlight w:val="none"/>
              </w:rPr>
              <w:t>涉及商品包装和快递包装要求的，投标人须填写《商品包装和快递包装承诺函》（格式见第八部分）。</w:t>
            </w:r>
          </w:p>
          <w:p w14:paraId="44544F85">
            <w:pPr>
              <w:spacing w:line="360" w:lineRule="auto"/>
              <w:ind w:firstLine="525" w:firstLineChars="250"/>
              <w:rPr>
                <w:rFonts w:ascii="华文中宋" w:hAnsi="华文中宋" w:eastAsia="华文中宋"/>
                <w:color w:val="auto"/>
                <w:szCs w:val="21"/>
                <w:highlight w:val="none"/>
              </w:rPr>
            </w:pPr>
            <w:r>
              <w:rPr>
                <w:rFonts w:hint="eastAsia" w:ascii="华文中宋" w:hAnsi="华文中宋" w:eastAsia="华文中宋"/>
                <w:b/>
                <w:color w:val="auto"/>
                <w:szCs w:val="21"/>
                <w:highlight w:val="none"/>
                <w:lang w:val="en-US" w:eastAsia="zh-CN"/>
              </w:rPr>
              <w:t>专门面向中小企业采购的项目，</w:t>
            </w:r>
            <w:r>
              <w:rPr>
                <w:rFonts w:hint="eastAsia" w:ascii="华文中宋" w:hAnsi="华文中宋" w:eastAsia="华文中宋" w:cs="Times New Roman"/>
                <w:b/>
                <w:bCs/>
                <w:color w:val="auto"/>
                <w:kern w:val="0"/>
                <w:sz w:val="21"/>
                <w:szCs w:val="21"/>
                <w:highlight w:val="none"/>
                <w:lang w:val="en-US" w:eastAsia="zh-CN" w:bidi="ar-SA"/>
              </w:rPr>
              <w:t>不重复执行中小企业发展、促进残疾人就业、支持监狱企业发展的价格优惠政策。</w:t>
            </w:r>
          </w:p>
        </w:tc>
      </w:tr>
      <w:tr w14:paraId="5385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46E6B262">
            <w:pPr>
              <w:snapToGrid w:val="0"/>
              <w:spacing w:line="360" w:lineRule="auto"/>
              <w:jc w:val="center"/>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7</w:t>
            </w:r>
          </w:p>
        </w:tc>
        <w:tc>
          <w:tcPr>
            <w:tcW w:w="2011" w:type="dxa"/>
            <w:vAlign w:val="center"/>
          </w:tcPr>
          <w:p w14:paraId="22BF2A5F">
            <w:pPr>
              <w:pStyle w:val="58"/>
              <w:keepNext w:val="0"/>
              <w:keepLines w:val="0"/>
              <w:numPr>
                <w:ilvl w:val="0"/>
                <w:numId w:val="0"/>
              </w:numPr>
              <w:spacing w:before="0" w:after="0" w:line="360" w:lineRule="auto"/>
              <w:ind w:firstLine="315" w:firstLineChars="150"/>
              <w:jc w:val="center"/>
              <w:rPr>
                <w:rFonts w:ascii="华文中宋" w:hAnsi="华文中宋" w:eastAsia="华文中宋"/>
                <w:color w:val="auto"/>
                <w:szCs w:val="21"/>
                <w:highlight w:val="none"/>
              </w:rPr>
            </w:pPr>
            <w:r>
              <w:rPr>
                <w:rFonts w:hint="eastAsia" w:ascii="华文中宋" w:hAnsi="华文中宋" w:eastAsia="华文中宋"/>
                <w:color w:val="auto"/>
                <w:szCs w:val="21"/>
                <w:highlight w:val="none"/>
              </w:rPr>
              <w:t>现场勘查</w:t>
            </w:r>
          </w:p>
          <w:p w14:paraId="4E04BC67">
            <w:pPr>
              <w:pStyle w:val="58"/>
              <w:keepNext w:val="0"/>
              <w:keepLines w:val="0"/>
              <w:numPr>
                <w:ilvl w:val="0"/>
                <w:numId w:val="0"/>
              </w:numPr>
              <w:spacing w:before="0" w:after="0" w:line="360" w:lineRule="auto"/>
              <w:jc w:val="center"/>
              <w:rPr>
                <w:rFonts w:ascii="华文中宋" w:hAnsi="华文中宋" w:eastAsia="华文中宋"/>
                <w:bCs w:val="0"/>
                <w:color w:val="auto"/>
                <w:szCs w:val="21"/>
                <w:highlight w:val="none"/>
              </w:rPr>
            </w:pPr>
            <w:r>
              <w:rPr>
                <w:rFonts w:hint="eastAsia" w:ascii="华文中宋" w:hAnsi="华文中宋" w:eastAsia="华文中宋"/>
                <w:color w:val="auto"/>
                <w:szCs w:val="21"/>
                <w:highlight w:val="none"/>
              </w:rPr>
              <w:t>（或标前答疑会）</w:t>
            </w:r>
          </w:p>
        </w:tc>
        <w:tc>
          <w:tcPr>
            <w:tcW w:w="6448" w:type="dxa"/>
            <w:vAlign w:val="center"/>
          </w:tcPr>
          <w:p w14:paraId="1DB081E0">
            <w:pPr>
              <w:spacing w:line="360" w:lineRule="auto"/>
              <w:ind w:firstLine="420" w:firstLineChars="200"/>
              <w:rPr>
                <w:rFonts w:hint="default" w:ascii="华文中宋" w:hAnsi="华文中宋" w:eastAsia="华文中宋" w:cs="华文中宋"/>
                <w:b/>
                <w:color w:val="auto"/>
                <w:szCs w:val="21"/>
                <w:highlight w:val="none"/>
                <w:lang w:val="en-US" w:eastAsia="zh-CN"/>
              </w:rPr>
            </w:pPr>
            <w:r>
              <w:rPr>
                <w:rFonts w:hint="eastAsia" w:ascii="华文中宋" w:hAnsi="华文中宋" w:eastAsia="华文中宋" w:cs="华文中宋"/>
                <w:b/>
                <w:color w:val="auto"/>
                <w:szCs w:val="21"/>
                <w:highlight w:val="none"/>
                <w:lang w:val="en-US" w:eastAsia="zh-CN"/>
              </w:rPr>
              <w:t>不组织</w:t>
            </w:r>
          </w:p>
        </w:tc>
      </w:tr>
    </w:tbl>
    <w:p w14:paraId="2F70E175">
      <w:pPr>
        <w:spacing w:line="360" w:lineRule="auto"/>
        <w:rPr>
          <w:color w:val="auto"/>
          <w:highlight w:val="none"/>
        </w:rPr>
      </w:pPr>
    </w:p>
    <w:p w14:paraId="4DD0E048">
      <w:pPr>
        <w:spacing w:line="360" w:lineRule="auto"/>
        <w:rPr>
          <w:color w:val="auto"/>
          <w:highlight w:val="none"/>
        </w:rPr>
      </w:pPr>
    </w:p>
    <w:p w14:paraId="3AF41978">
      <w:pPr>
        <w:spacing w:line="360" w:lineRule="auto"/>
        <w:outlineLvl w:val="9"/>
        <w:rPr>
          <w:color w:val="auto"/>
          <w:highlight w:val="none"/>
        </w:rPr>
      </w:pPr>
    </w:p>
    <w:p w14:paraId="1DDE95A4">
      <w:pPr>
        <w:spacing w:line="360" w:lineRule="auto"/>
        <w:outlineLvl w:val="9"/>
        <w:rPr>
          <w:color w:val="auto"/>
          <w:highlight w:val="none"/>
        </w:rPr>
      </w:pPr>
    </w:p>
    <w:p w14:paraId="27704F46">
      <w:pPr>
        <w:spacing w:line="360" w:lineRule="auto"/>
        <w:outlineLvl w:val="9"/>
        <w:rPr>
          <w:color w:val="auto"/>
          <w:highlight w:val="none"/>
        </w:rPr>
      </w:pPr>
    </w:p>
    <w:p w14:paraId="50B5857B">
      <w:pPr>
        <w:spacing w:line="360" w:lineRule="auto"/>
        <w:outlineLvl w:val="9"/>
        <w:rPr>
          <w:color w:val="auto"/>
          <w:highlight w:val="none"/>
        </w:rPr>
      </w:pPr>
    </w:p>
    <w:p w14:paraId="2A03A978">
      <w:pPr>
        <w:spacing w:line="360" w:lineRule="auto"/>
        <w:outlineLvl w:val="9"/>
        <w:rPr>
          <w:color w:val="auto"/>
          <w:highlight w:val="none"/>
        </w:rPr>
      </w:pPr>
    </w:p>
    <w:p w14:paraId="46BBD224">
      <w:pPr>
        <w:spacing w:line="360" w:lineRule="auto"/>
        <w:outlineLvl w:val="9"/>
        <w:rPr>
          <w:color w:val="auto"/>
          <w:highlight w:val="none"/>
        </w:rPr>
      </w:pPr>
    </w:p>
    <w:p w14:paraId="1BF44E66">
      <w:pPr>
        <w:pStyle w:val="56"/>
        <w:numPr>
          <w:ilvl w:val="0"/>
          <w:numId w:val="0"/>
        </w:numPr>
        <w:snapToGrid w:val="0"/>
        <w:spacing w:before="0" w:after="0" w:line="360" w:lineRule="auto"/>
        <w:jc w:val="both"/>
        <w:outlineLvl w:val="9"/>
        <w:rPr>
          <w:rFonts w:hint="eastAsia" w:ascii="华文中宋" w:hAnsi="华文中宋" w:eastAsia="华文中宋"/>
          <w:color w:val="auto"/>
          <w:spacing w:val="20"/>
          <w:szCs w:val="28"/>
          <w:highlight w:val="none"/>
        </w:rPr>
      </w:pPr>
      <w:bookmarkStart w:id="9" w:name="_Toc352761929"/>
      <w:bookmarkStart w:id="10" w:name="_Toc424378684"/>
    </w:p>
    <w:p w14:paraId="61D0FA99">
      <w:pPr>
        <w:rPr>
          <w:rFonts w:hint="eastAsia" w:ascii="华文中宋" w:hAnsi="华文中宋" w:eastAsia="华文中宋"/>
          <w:color w:val="auto"/>
          <w:spacing w:val="20"/>
          <w:szCs w:val="28"/>
          <w:highlight w:val="none"/>
        </w:rPr>
      </w:pPr>
      <w:r>
        <w:rPr>
          <w:rFonts w:hint="eastAsia" w:ascii="华文中宋" w:hAnsi="华文中宋" w:eastAsia="华文中宋"/>
          <w:color w:val="auto"/>
          <w:spacing w:val="20"/>
          <w:szCs w:val="28"/>
          <w:highlight w:val="none"/>
        </w:rPr>
        <w:br w:type="page"/>
      </w:r>
    </w:p>
    <w:p w14:paraId="35A19794">
      <w:pPr>
        <w:pStyle w:val="56"/>
        <w:numPr>
          <w:ilvl w:val="0"/>
          <w:numId w:val="0"/>
        </w:numPr>
        <w:snapToGrid w:val="0"/>
        <w:spacing w:before="0" w:after="0" w:line="360" w:lineRule="auto"/>
        <w:rPr>
          <w:rFonts w:ascii="华文中宋" w:hAnsi="华文中宋" w:eastAsia="华文中宋"/>
          <w:color w:val="auto"/>
          <w:spacing w:val="20"/>
          <w:szCs w:val="28"/>
          <w:highlight w:val="none"/>
        </w:rPr>
      </w:pPr>
      <w:bookmarkStart w:id="11" w:name="_Toc22732"/>
      <w:r>
        <w:rPr>
          <w:rFonts w:hint="eastAsia" w:ascii="华文中宋" w:hAnsi="华文中宋" w:eastAsia="华文中宋"/>
          <w:color w:val="auto"/>
          <w:spacing w:val="20"/>
          <w:szCs w:val="28"/>
          <w:highlight w:val="none"/>
        </w:rPr>
        <w:t>第三部分  投标人须知</w:t>
      </w:r>
      <w:bookmarkEnd w:id="9"/>
      <w:bookmarkEnd w:id="10"/>
      <w:bookmarkEnd w:id="11"/>
    </w:p>
    <w:p w14:paraId="55DF4525">
      <w:pPr>
        <w:pStyle w:val="3"/>
        <w:numPr>
          <w:ilvl w:val="0"/>
          <w:numId w:val="4"/>
        </w:numPr>
        <w:spacing w:before="31" w:beforeLines="10" w:after="31" w:afterLines="10" w:line="360" w:lineRule="auto"/>
        <w:jc w:val="both"/>
        <w:rPr>
          <w:rFonts w:ascii="华文中宋" w:hAnsi="华文中宋" w:eastAsia="华文中宋"/>
          <w:color w:val="auto"/>
          <w:spacing w:val="10"/>
          <w:sz w:val="24"/>
          <w:szCs w:val="24"/>
          <w:highlight w:val="none"/>
        </w:rPr>
      </w:pPr>
      <w:bookmarkStart w:id="12" w:name="_Toc12803"/>
      <w:bookmarkStart w:id="13" w:name="_Toc424378685"/>
      <w:bookmarkStart w:id="14" w:name="_Toc352761930"/>
      <w:r>
        <w:rPr>
          <w:rFonts w:hint="eastAsia" w:ascii="华文中宋" w:hAnsi="华文中宋" w:eastAsia="华文中宋"/>
          <w:color w:val="auto"/>
          <w:spacing w:val="10"/>
          <w:sz w:val="24"/>
          <w:szCs w:val="24"/>
          <w:highlight w:val="none"/>
        </w:rPr>
        <w:t>总则</w:t>
      </w:r>
      <w:bookmarkEnd w:id="12"/>
      <w:bookmarkEnd w:id="13"/>
      <w:bookmarkEnd w:id="14"/>
    </w:p>
    <w:p w14:paraId="52E585E6">
      <w:pPr>
        <w:pStyle w:val="59"/>
        <w:snapToGrid w:val="0"/>
        <w:spacing w:line="360" w:lineRule="auto"/>
        <w:ind w:firstLine="460" w:firstLineChars="200"/>
        <w:textAlignment w:val="auto"/>
        <w:rPr>
          <w:rFonts w:ascii="华文中宋" w:hAnsi="华文中宋" w:eastAsia="华文中宋"/>
          <w:b/>
          <w:color w:val="auto"/>
          <w:spacing w:val="10"/>
          <w:highlight w:val="none"/>
        </w:rPr>
      </w:pPr>
      <w:r>
        <w:rPr>
          <w:rFonts w:ascii="华文中宋" w:hAnsi="华文中宋" w:eastAsia="华文中宋"/>
          <w:b/>
          <w:color w:val="auto"/>
          <w:spacing w:val="10"/>
          <w:highlight w:val="none"/>
        </w:rPr>
        <w:t xml:space="preserve">1. </w:t>
      </w:r>
      <w:r>
        <w:rPr>
          <w:rFonts w:hint="eastAsia" w:ascii="华文中宋" w:hAnsi="华文中宋" w:eastAsia="华文中宋"/>
          <w:b/>
          <w:color w:val="auto"/>
          <w:spacing w:val="10"/>
          <w:highlight w:val="none"/>
        </w:rPr>
        <w:t>适用范围</w:t>
      </w:r>
    </w:p>
    <w:p w14:paraId="51DFAEE0">
      <w:pPr>
        <w:pStyle w:val="59"/>
        <w:snapToGrid w:val="0"/>
        <w:spacing w:line="360" w:lineRule="auto"/>
        <w:ind w:firstLine="420" w:firstLineChars="200"/>
        <w:textAlignment w:val="auto"/>
        <w:rPr>
          <w:rFonts w:ascii="华文中宋" w:hAnsi="华文中宋" w:eastAsia="华文中宋"/>
          <w:b/>
          <w:color w:val="auto"/>
          <w:spacing w:val="10"/>
          <w:highlight w:val="none"/>
        </w:rPr>
      </w:pPr>
      <w:r>
        <w:rPr>
          <w:rFonts w:hint="eastAsia" w:ascii="华文中宋" w:hAnsi="华文中宋" w:eastAsia="华文中宋"/>
          <w:color w:val="auto"/>
          <w:highlight w:val="none"/>
        </w:rPr>
        <w:t>本招标文件仅适用于本次招投标活动。</w:t>
      </w:r>
    </w:p>
    <w:p w14:paraId="5FC1048E">
      <w:pPr>
        <w:pStyle w:val="59"/>
        <w:tabs>
          <w:tab w:val="left" w:pos="0"/>
        </w:tabs>
        <w:snapToGrid w:val="0"/>
        <w:spacing w:line="360" w:lineRule="auto"/>
        <w:ind w:left="472" w:leftChars="225"/>
        <w:textAlignment w:val="auto"/>
        <w:rPr>
          <w:rFonts w:ascii="华文中宋" w:hAnsi="华文中宋" w:eastAsia="华文中宋"/>
          <w:b/>
          <w:color w:val="auto"/>
          <w:spacing w:val="10"/>
          <w:highlight w:val="none"/>
        </w:rPr>
      </w:pPr>
      <w:r>
        <w:rPr>
          <w:rFonts w:ascii="华文中宋" w:hAnsi="华文中宋" w:eastAsia="华文中宋"/>
          <w:b/>
          <w:color w:val="auto"/>
          <w:spacing w:val="10"/>
          <w:highlight w:val="none"/>
        </w:rPr>
        <w:t xml:space="preserve">2. </w:t>
      </w:r>
      <w:r>
        <w:rPr>
          <w:rFonts w:hint="eastAsia" w:ascii="华文中宋" w:hAnsi="华文中宋" w:eastAsia="华文中宋"/>
          <w:b/>
          <w:color w:val="auto"/>
          <w:spacing w:val="10"/>
          <w:highlight w:val="none"/>
        </w:rPr>
        <w:t>定义</w:t>
      </w:r>
    </w:p>
    <w:p w14:paraId="598FFB1D">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 xml:space="preserve">2.1 </w:t>
      </w:r>
      <w:r>
        <w:rPr>
          <w:rFonts w:hint="eastAsia" w:ascii="华文中宋" w:hAnsi="华文中宋" w:eastAsia="华文中宋"/>
          <w:color w:val="auto"/>
          <w:highlight w:val="none"/>
        </w:rPr>
        <w:t>“采购人”指本次招标活动的采购单位。</w:t>
      </w:r>
    </w:p>
    <w:p w14:paraId="4CC5030A">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 xml:space="preserve">2.2 </w:t>
      </w:r>
      <w:r>
        <w:rPr>
          <w:rFonts w:hint="eastAsia" w:ascii="华文中宋" w:hAnsi="华文中宋" w:eastAsia="华文中宋"/>
          <w:color w:val="auto"/>
          <w:highlight w:val="none"/>
        </w:rPr>
        <w:t>“集采机构”指组织本次招标活动的执行机构，即“</w:t>
      </w:r>
      <w:r>
        <w:rPr>
          <w:rFonts w:hint="eastAsia" w:ascii="华文中宋" w:hAnsi="华文中宋" w:eastAsia="华文中宋" w:cs="仿宋"/>
          <w:color w:val="auto"/>
          <w:highlight w:val="none"/>
          <w:lang w:val="en-US" w:eastAsia="zh-CN"/>
        </w:rPr>
        <w:t>大同市公共资源交易中心（大同市政府采购中心）</w:t>
      </w:r>
      <w:r>
        <w:rPr>
          <w:rFonts w:hint="eastAsia" w:ascii="华文中宋" w:hAnsi="华文中宋" w:eastAsia="华文中宋"/>
          <w:color w:val="auto"/>
          <w:highlight w:val="none"/>
        </w:rPr>
        <w:t>”。</w:t>
      </w:r>
    </w:p>
    <w:p w14:paraId="2B2B3307">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 xml:space="preserve">2.3 </w:t>
      </w:r>
      <w:r>
        <w:rPr>
          <w:rFonts w:hint="eastAsia" w:ascii="华文中宋" w:hAnsi="华文中宋" w:eastAsia="华文中宋"/>
          <w:color w:val="auto"/>
          <w:highlight w:val="none"/>
        </w:rPr>
        <w:t>“投标人”指符合本招标文件规定并向集采机构提交投标文件的供应商。</w:t>
      </w:r>
    </w:p>
    <w:p w14:paraId="7739CC7D">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 xml:space="preserve">2.4 </w:t>
      </w:r>
      <w:r>
        <w:rPr>
          <w:rFonts w:hint="eastAsia" w:ascii="华文中宋" w:hAnsi="华文中宋" w:eastAsia="华文中宋"/>
          <w:color w:val="auto"/>
          <w:highlight w:val="none"/>
        </w:rPr>
        <w:t>“货物”指供应商按招标文件的规定，须向采购人提供的各种形态和种类的物品及其他有关技术资料和材料。</w:t>
      </w:r>
    </w:p>
    <w:p w14:paraId="31834D83">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 xml:space="preserve">2.5 </w:t>
      </w:r>
      <w:r>
        <w:rPr>
          <w:rFonts w:hint="eastAsia" w:ascii="华文中宋" w:hAnsi="华文中宋" w:eastAsia="华文中宋"/>
          <w:color w:val="auto"/>
          <w:highlight w:val="none"/>
        </w:rPr>
        <w:t>“服务”指招标文件所表述的投标人须向采购人提供的服务和应当履行的承诺和义务。</w:t>
      </w:r>
    </w:p>
    <w:p w14:paraId="7E66B2A9">
      <w:pPr>
        <w:pStyle w:val="59"/>
        <w:snapToGrid w:val="0"/>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2.6 </w:t>
      </w:r>
      <w:r>
        <w:rPr>
          <w:rFonts w:hint="eastAsia" w:ascii="华文中宋" w:hAnsi="华文中宋" w:eastAsia="华文中宋"/>
          <w:color w:val="auto"/>
          <w:highlight w:val="none"/>
        </w:rPr>
        <w:t>“电子印章”指可通过政采云电子投标客户端正确读取印章信息的电子印章（电子印章包含</w:t>
      </w:r>
      <w:r>
        <w:rPr>
          <w:rFonts w:hint="eastAsia" w:ascii="华文中宋" w:hAnsi="华文中宋" w:eastAsia="华文中宋"/>
          <w:color w:val="auto"/>
          <w:highlight w:val="none"/>
          <w:lang w:eastAsia="zh-CN"/>
        </w:rPr>
        <w:t>企业电子公章</w:t>
      </w:r>
      <w:r>
        <w:rPr>
          <w:rFonts w:hint="eastAsia" w:ascii="华文中宋" w:hAnsi="华文中宋" w:eastAsia="华文中宋"/>
          <w:color w:val="auto"/>
          <w:highlight w:val="none"/>
        </w:rPr>
        <w:t>、法定代表人电子印章、自然人电子印章）。</w:t>
      </w:r>
    </w:p>
    <w:p w14:paraId="3A201996">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2.7</w:t>
      </w:r>
      <w:r>
        <w:rPr>
          <w:rFonts w:hint="eastAsia" w:ascii="华文中宋" w:hAnsi="华文中宋" w:eastAsia="华文中宋"/>
          <w:color w:val="auto"/>
          <w:highlight w:val="none"/>
        </w:rPr>
        <w:t>本文件规定按日计算期间的，开始当天不计入，从次日开始计算。</w:t>
      </w:r>
    </w:p>
    <w:p w14:paraId="1F5CF6E5">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2.8本文件所称的“以上”、“以下”、“内”、“以内”，包含本数；所称的“不足”，不包含本数。</w:t>
      </w:r>
    </w:p>
    <w:p w14:paraId="5A00FB35">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rPr>
        <w:t>9本须知中单独对货物所描述的要求，只针对涉及采购货物。</w:t>
      </w:r>
    </w:p>
    <w:p w14:paraId="67A58CEB">
      <w:pPr>
        <w:pStyle w:val="59"/>
        <w:tabs>
          <w:tab w:val="left" w:pos="0"/>
        </w:tabs>
        <w:snapToGrid w:val="0"/>
        <w:spacing w:line="360" w:lineRule="auto"/>
        <w:ind w:left="472" w:leftChars="225"/>
        <w:textAlignment w:val="auto"/>
        <w:rPr>
          <w:rFonts w:ascii="华文中宋" w:hAnsi="华文中宋" w:eastAsia="华文中宋"/>
          <w:b/>
          <w:color w:val="auto"/>
          <w:spacing w:val="10"/>
          <w:highlight w:val="none"/>
        </w:rPr>
      </w:pPr>
      <w:r>
        <w:rPr>
          <w:rFonts w:ascii="华文中宋" w:hAnsi="华文中宋" w:eastAsia="华文中宋"/>
          <w:b/>
          <w:color w:val="auto"/>
          <w:spacing w:val="10"/>
          <w:highlight w:val="none"/>
        </w:rPr>
        <w:t xml:space="preserve">3. </w:t>
      </w:r>
      <w:r>
        <w:rPr>
          <w:rFonts w:hint="eastAsia" w:ascii="华文中宋" w:hAnsi="华文中宋" w:eastAsia="华文中宋"/>
          <w:b/>
          <w:color w:val="auto"/>
          <w:spacing w:val="10"/>
          <w:highlight w:val="none"/>
        </w:rPr>
        <w:t>合格的投标人</w:t>
      </w:r>
    </w:p>
    <w:p w14:paraId="756D87C6">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 xml:space="preserve">3.1 </w:t>
      </w:r>
      <w:r>
        <w:rPr>
          <w:rFonts w:hint="eastAsia" w:ascii="华文中宋" w:hAnsi="华文中宋" w:eastAsia="华文中宋"/>
          <w:color w:val="auto"/>
          <w:highlight w:val="none"/>
        </w:rPr>
        <w:t>具有本项目生产、制造、供应及</w:t>
      </w:r>
      <w:r>
        <w:rPr>
          <w:rFonts w:ascii="华文中宋" w:hAnsi="华文中宋" w:eastAsia="华文中宋"/>
          <w:color w:val="auto"/>
          <w:highlight w:val="none"/>
        </w:rPr>
        <w:t>/</w:t>
      </w:r>
      <w:r>
        <w:rPr>
          <w:rFonts w:hint="eastAsia" w:ascii="华文中宋" w:hAnsi="华文中宋" w:eastAsia="华文中宋"/>
          <w:color w:val="auto"/>
          <w:highlight w:val="none"/>
        </w:rPr>
        <w:t>或实施能力，符合、承认并承诺履行本招标文件各项规定的国内供应商。</w:t>
      </w:r>
    </w:p>
    <w:p w14:paraId="4B1A91C3">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 xml:space="preserve">3.2 </w:t>
      </w:r>
      <w:r>
        <w:rPr>
          <w:rFonts w:hint="eastAsia" w:ascii="华文中宋" w:hAnsi="华文中宋" w:eastAsia="华文中宋"/>
          <w:color w:val="auto"/>
          <w:highlight w:val="none"/>
        </w:rPr>
        <w:t>投标人必须是已在中国境内依法登记注册，并持有符合法律法规规定的有效证件的供应商。</w:t>
      </w:r>
    </w:p>
    <w:p w14:paraId="57E1DA9C">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 xml:space="preserve">3.3 </w:t>
      </w:r>
      <w:r>
        <w:rPr>
          <w:rFonts w:hint="eastAsia" w:ascii="华文中宋" w:hAnsi="华文中宋" w:eastAsia="华文中宋"/>
          <w:color w:val="auto"/>
          <w:highlight w:val="none"/>
        </w:rPr>
        <w:t>具备《中华人民共和国政府采购法》第二十二条第一款规定的条件和本项目所需的特定资格条件及有关法律、法规关于供应商的规定，有能力提供招标采购货物</w:t>
      </w:r>
      <w:r>
        <w:rPr>
          <w:rFonts w:ascii="华文中宋" w:hAnsi="华文中宋" w:eastAsia="华文中宋"/>
          <w:color w:val="auto"/>
          <w:highlight w:val="none"/>
        </w:rPr>
        <w:t>/</w:t>
      </w:r>
      <w:r>
        <w:rPr>
          <w:rFonts w:hint="eastAsia" w:ascii="华文中宋" w:hAnsi="华文中宋" w:eastAsia="华文中宋"/>
          <w:color w:val="auto"/>
          <w:highlight w:val="none"/>
        </w:rPr>
        <w:t>服务的供应商。并按照《中华人民共和国政府采购法实施条例》第十七条的规定，提供资格要求证明文件，具体提供的材料详见投标人须知前附表。</w:t>
      </w:r>
    </w:p>
    <w:p w14:paraId="77347A7F">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3.4</w:t>
      </w:r>
      <w:r>
        <w:rPr>
          <w:rFonts w:hint="eastAsia" w:ascii="华文中宋" w:hAnsi="华文中宋" w:eastAsia="华文中宋"/>
          <w:color w:val="auto"/>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6136FD94">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3.5</w:t>
      </w:r>
      <w:r>
        <w:rPr>
          <w:rFonts w:hint="eastAsia" w:ascii="华文中宋" w:hAnsi="华文中宋" w:eastAsia="华文中宋"/>
          <w:color w:val="auto"/>
          <w:highlight w:val="none"/>
        </w:rPr>
        <w:t>本次招标是否允许由两个以上供应商组成一个联合体以一个投标人身份共同参加投标，详见投标人须知前附表。</w:t>
      </w:r>
    </w:p>
    <w:p w14:paraId="6D64C4D3">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1</w:t>
      </w:r>
      <w:r>
        <w:rPr>
          <w:rFonts w:hint="eastAsia" w:ascii="华文中宋" w:hAnsi="华文中宋" w:eastAsia="华文中宋"/>
          <w:color w:val="auto"/>
          <w:highlight w:val="none"/>
        </w:rPr>
        <w:t>）联合体各方均应当符合《政府采购法》第二十二条规定的条件，联合体各方均应按照本部分</w:t>
      </w:r>
      <w:r>
        <w:rPr>
          <w:rFonts w:ascii="华文中宋" w:hAnsi="华文中宋" w:eastAsia="华文中宋"/>
          <w:color w:val="auto"/>
          <w:highlight w:val="none"/>
        </w:rPr>
        <w:t>3.3</w:t>
      </w:r>
      <w:r>
        <w:rPr>
          <w:rFonts w:hint="eastAsia" w:ascii="华文中宋" w:hAnsi="华文中宋" w:eastAsia="华文中宋"/>
          <w:color w:val="auto"/>
          <w:highlight w:val="none"/>
        </w:rPr>
        <w:t>条的要求提供相关材料。</w:t>
      </w:r>
    </w:p>
    <w:p w14:paraId="42D001EB">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2</w:t>
      </w:r>
      <w:r>
        <w:rPr>
          <w:rFonts w:hint="eastAsia" w:ascii="华文中宋" w:hAnsi="华文中宋" w:eastAsia="华文中宋"/>
          <w:color w:val="auto"/>
          <w:highlight w:val="none"/>
        </w:rPr>
        <w:t>）本项目的特殊要求规定投标人特定资格条件的，联合体各方的同类资质按照资质等级较低的确定联合体资质等级。联合体各方不得再单独参加或者与其他供应商另外组成联合体参加本项目同一包的投标。</w:t>
      </w:r>
    </w:p>
    <w:p w14:paraId="308B685E">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3</w:t>
      </w:r>
      <w:r>
        <w:rPr>
          <w:rFonts w:hint="eastAsia" w:ascii="华文中宋" w:hAnsi="华文中宋" w:eastAsia="华文中宋"/>
          <w:color w:val="auto"/>
          <w:highlight w:val="none"/>
        </w:rPr>
        <w:t>）联合体各方之间应当签订联合投标协议，明确约定联合体各方承担的工作和相应的责任，并将联合投标协议连同投标文件一并提交，联合投标协议格式见本招标文件第八部分。</w:t>
      </w:r>
    </w:p>
    <w:p w14:paraId="02DC2243">
      <w:pPr>
        <w:pStyle w:val="59"/>
        <w:snapToGrid w:val="0"/>
        <w:spacing w:line="360" w:lineRule="auto"/>
        <w:ind w:firstLine="525" w:firstLineChars="250"/>
        <w:textAlignment w:val="auto"/>
        <w:rPr>
          <w:rFonts w:ascii="华文中宋" w:hAnsi="华文中宋" w:eastAsia="华文中宋"/>
          <w:b/>
          <w:color w:val="auto"/>
          <w:highlight w:val="none"/>
        </w:rPr>
      </w:pPr>
      <w:r>
        <w:rPr>
          <w:rFonts w:ascii="华文中宋" w:hAnsi="华文中宋" w:eastAsia="华文中宋"/>
          <w:b/>
          <w:color w:val="auto"/>
          <w:highlight w:val="none"/>
        </w:rPr>
        <w:t xml:space="preserve">4. </w:t>
      </w:r>
      <w:r>
        <w:rPr>
          <w:rFonts w:hint="eastAsia" w:ascii="华文中宋" w:hAnsi="华文中宋" w:eastAsia="华文中宋"/>
          <w:b/>
          <w:color w:val="auto"/>
          <w:highlight w:val="none"/>
        </w:rPr>
        <w:t>投标费用</w:t>
      </w:r>
    </w:p>
    <w:p w14:paraId="43EB2E2B">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投标人应当承担所有与准备和参加投标有关的费用，集采机构和采购人在任何情况下均无义务和责任承担这些费用。</w:t>
      </w:r>
    </w:p>
    <w:p w14:paraId="3615A324">
      <w:pPr>
        <w:pStyle w:val="59"/>
        <w:snapToGrid w:val="0"/>
        <w:spacing w:line="360" w:lineRule="auto"/>
        <w:textAlignment w:val="auto"/>
        <w:rPr>
          <w:rFonts w:ascii="华文中宋" w:hAnsi="华文中宋" w:eastAsia="华文中宋"/>
          <w:b/>
          <w:color w:val="auto"/>
          <w:spacing w:val="10"/>
          <w:highlight w:val="none"/>
        </w:rPr>
      </w:pPr>
      <w:r>
        <w:rPr>
          <w:rFonts w:ascii="华文中宋" w:hAnsi="华文中宋" w:eastAsia="华文中宋"/>
          <w:b/>
          <w:color w:val="auto"/>
          <w:spacing w:val="10"/>
          <w:highlight w:val="none"/>
        </w:rPr>
        <w:t xml:space="preserve">    5. </w:t>
      </w:r>
      <w:r>
        <w:rPr>
          <w:rFonts w:hint="eastAsia" w:ascii="华文中宋" w:hAnsi="华文中宋" w:eastAsia="华文中宋"/>
          <w:b/>
          <w:color w:val="auto"/>
          <w:spacing w:val="10"/>
          <w:highlight w:val="none"/>
        </w:rPr>
        <w:t>通知</w:t>
      </w:r>
      <w:r>
        <w:rPr>
          <w:rFonts w:hint="eastAsia" w:ascii="华文中宋" w:hAnsi="华文中宋" w:eastAsia="华文中宋" w:cs="华文中宋"/>
          <w:b/>
          <w:color w:val="auto"/>
          <w:spacing w:val="10"/>
          <w:highlight w:val="none"/>
        </w:rPr>
        <w:t>的告知及获取</w:t>
      </w:r>
    </w:p>
    <w:p w14:paraId="758B3E36">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5.1</w:t>
      </w:r>
      <w:r>
        <w:rPr>
          <w:rFonts w:hint="eastAsia" w:ascii="华文中宋" w:hAnsi="华文中宋" w:eastAsia="华文中宋"/>
          <w:color w:val="auto"/>
          <w:highlight w:val="none"/>
        </w:rPr>
        <w:t>通知的告知</w:t>
      </w:r>
    </w:p>
    <w:p w14:paraId="4ECA95F1">
      <w:pPr>
        <w:pStyle w:val="59"/>
        <w:snapToGrid w:val="0"/>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对与本项目有关的通知，集采机构将以在本次招标公告刊登的媒体上发布公告的形式告知所有已获取了招标文件的投标人及潜在投标人，投标人及潜在投标人可登录山西政府采购平台更正公告中查看本项目是否发布更正公告。</w:t>
      </w:r>
    </w:p>
    <w:p w14:paraId="2BF8E63A">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5.2</w:t>
      </w:r>
      <w:r>
        <w:rPr>
          <w:rFonts w:hint="eastAsia" w:ascii="华文中宋" w:hAnsi="华文中宋" w:eastAsia="华文中宋"/>
          <w:color w:val="auto"/>
          <w:highlight w:val="none"/>
        </w:rPr>
        <w:t>通知的获取</w:t>
      </w:r>
    </w:p>
    <w:p w14:paraId="1086D0F2">
      <w:pPr>
        <w:pStyle w:val="59"/>
        <w:snapToGrid w:val="0"/>
        <w:spacing w:line="360" w:lineRule="auto"/>
        <w:ind w:firstLine="420" w:firstLineChars="200"/>
        <w:rPr>
          <w:rFonts w:ascii="华文中宋" w:hAnsi="华文中宋" w:eastAsia="华文中宋"/>
          <w:color w:val="auto"/>
          <w:highlight w:val="none"/>
        </w:rPr>
      </w:pPr>
      <w:bookmarkStart w:id="15" w:name="_Toc352761931"/>
      <w:bookmarkStart w:id="16" w:name="_Toc424378686"/>
      <w:bookmarkStart w:id="17" w:name="_Toc24133"/>
      <w:r>
        <w:rPr>
          <w:rFonts w:hint="eastAsia" w:ascii="华文中宋" w:hAnsi="华文中宋" w:eastAsia="华文中宋"/>
          <w:color w:val="auto"/>
          <w:highlight w:val="none"/>
        </w:rPr>
        <w:t>对与本项目有关的通知，投标人及潜在供应商可在本次招标公告刊登的媒体上获取，或登录山西政府采购平台获取。</w:t>
      </w:r>
    </w:p>
    <w:p w14:paraId="262EB532">
      <w:pPr>
        <w:pStyle w:val="59"/>
        <w:snapToGrid w:val="0"/>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因</w:t>
      </w:r>
      <w:r>
        <w:rPr>
          <w:rFonts w:hint="eastAsia" w:ascii="华文中宋" w:hAnsi="华文中宋" w:eastAsia="华文中宋"/>
          <w:color w:val="auto"/>
          <w:highlight w:val="none"/>
          <w:lang w:val="en-US" w:eastAsia="zh-CN"/>
        </w:rPr>
        <w:t>网络</w:t>
      </w:r>
      <w:r>
        <w:rPr>
          <w:rFonts w:hint="eastAsia" w:ascii="华文中宋" w:hAnsi="华文中宋" w:eastAsia="华文中宋"/>
          <w:color w:val="auto"/>
          <w:highlight w:val="none"/>
        </w:rPr>
        <w:t>线路故障导致通知延迟获取或无法获取，集采机构不因此承担任何责任，有关的招投标活动可以继续有效地进行。</w:t>
      </w:r>
    </w:p>
    <w:p w14:paraId="02D0CB40">
      <w:pPr>
        <w:pStyle w:val="3"/>
        <w:numPr>
          <w:ilvl w:val="0"/>
          <w:numId w:val="0"/>
        </w:numPr>
        <w:spacing w:before="31" w:beforeLines="10" w:after="31" w:afterLines="10" w:line="360" w:lineRule="auto"/>
        <w:ind w:left="539"/>
        <w:jc w:val="both"/>
        <w:rPr>
          <w:rFonts w:ascii="华文中宋" w:hAnsi="华文中宋" w:eastAsia="华文中宋"/>
          <w:color w:val="auto"/>
          <w:spacing w:val="10"/>
          <w:sz w:val="24"/>
          <w:szCs w:val="24"/>
          <w:highlight w:val="none"/>
        </w:rPr>
      </w:pPr>
      <w:bookmarkStart w:id="18" w:name="_Toc105"/>
      <w:r>
        <w:rPr>
          <w:rFonts w:hint="eastAsia" w:ascii="华文中宋" w:hAnsi="华文中宋" w:eastAsia="华文中宋"/>
          <w:color w:val="auto"/>
          <w:spacing w:val="10"/>
          <w:sz w:val="24"/>
          <w:szCs w:val="24"/>
          <w:highlight w:val="none"/>
        </w:rPr>
        <w:t>二、招标文件</w:t>
      </w:r>
      <w:bookmarkEnd w:id="15"/>
      <w:bookmarkEnd w:id="16"/>
      <w:bookmarkEnd w:id="17"/>
      <w:bookmarkEnd w:id="18"/>
    </w:p>
    <w:p w14:paraId="7F1A6C99">
      <w:pPr>
        <w:pStyle w:val="59"/>
        <w:snapToGrid w:val="0"/>
        <w:spacing w:line="360" w:lineRule="auto"/>
        <w:ind w:firstLine="460" w:firstLineChars="200"/>
        <w:textAlignment w:val="auto"/>
        <w:rPr>
          <w:rFonts w:ascii="华文中宋" w:hAnsi="华文中宋" w:eastAsia="华文中宋"/>
          <w:b/>
          <w:color w:val="auto"/>
          <w:spacing w:val="10"/>
          <w:highlight w:val="none"/>
        </w:rPr>
      </w:pPr>
      <w:r>
        <w:rPr>
          <w:rFonts w:hint="eastAsia" w:ascii="华文中宋" w:hAnsi="华文中宋" w:eastAsia="华文中宋"/>
          <w:b/>
          <w:color w:val="auto"/>
          <w:spacing w:val="10"/>
          <w:highlight w:val="none"/>
          <w:lang w:val="en-US" w:eastAsia="zh-CN"/>
        </w:rPr>
        <w:t>6</w:t>
      </w:r>
      <w:r>
        <w:rPr>
          <w:rFonts w:ascii="华文中宋" w:hAnsi="华文中宋" w:eastAsia="华文中宋"/>
          <w:b/>
          <w:color w:val="auto"/>
          <w:spacing w:val="10"/>
          <w:highlight w:val="none"/>
        </w:rPr>
        <w:t xml:space="preserve">. </w:t>
      </w:r>
      <w:r>
        <w:rPr>
          <w:rFonts w:hint="eastAsia" w:ascii="华文中宋" w:hAnsi="华文中宋" w:eastAsia="华文中宋"/>
          <w:b/>
          <w:color w:val="auto"/>
          <w:spacing w:val="10"/>
          <w:highlight w:val="none"/>
        </w:rPr>
        <w:t>招标文件的内容</w:t>
      </w:r>
    </w:p>
    <w:p w14:paraId="19A6E736">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6</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招标文件由下列八部分内容组成：</w:t>
      </w:r>
    </w:p>
    <w:p w14:paraId="13C6A015">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第一部分 投标邀请</w:t>
      </w:r>
    </w:p>
    <w:p w14:paraId="029E4F85">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第二部分 投标人须知前附表</w:t>
      </w:r>
    </w:p>
    <w:p w14:paraId="4DDE425F">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第三部分 投标人须知</w:t>
      </w:r>
    </w:p>
    <w:p w14:paraId="0C803B1E">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第四部分 采购需求</w:t>
      </w:r>
    </w:p>
    <w:p w14:paraId="5C31C206">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第五部分 资格审查内容及标准</w:t>
      </w:r>
    </w:p>
    <w:p w14:paraId="4573AA5C">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第六部分 评标标准和评分方法</w:t>
      </w:r>
    </w:p>
    <w:p w14:paraId="3A84A3C5">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第七部分 合同</w:t>
      </w:r>
      <w:r>
        <w:rPr>
          <w:rFonts w:hint="eastAsia" w:ascii="华文中宋" w:hAnsi="华文中宋" w:eastAsia="华文中宋"/>
          <w:color w:val="auto"/>
          <w:highlight w:val="none"/>
          <w:lang w:val="en-US" w:eastAsia="zh-CN"/>
        </w:rPr>
        <w:t>范</w:t>
      </w:r>
      <w:r>
        <w:rPr>
          <w:rFonts w:hint="eastAsia" w:ascii="华文中宋" w:hAnsi="华文中宋" w:eastAsia="华文中宋"/>
          <w:color w:val="auto"/>
          <w:highlight w:val="none"/>
        </w:rPr>
        <w:t>本</w:t>
      </w:r>
    </w:p>
    <w:p w14:paraId="48FBE6D7">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第八部分 投标文件</w:t>
      </w:r>
      <w:r>
        <w:rPr>
          <w:rFonts w:hint="eastAsia" w:ascii="华文中宋" w:hAnsi="华文中宋" w:eastAsia="华文中宋" w:cs="华文中宋"/>
          <w:color w:val="auto"/>
          <w:highlight w:val="none"/>
        </w:rPr>
        <w:t>内容要求及</w:t>
      </w:r>
      <w:r>
        <w:rPr>
          <w:rFonts w:hint="eastAsia" w:ascii="华文中宋" w:hAnsi="华文中宋" w:eastAsia="华文中宋"/>
          <w:color w:val="auto"/>
          <w:highlight w:val="none"/>
        </w:rPr>
        <w:t>格式</w:t>
      </w:r>
    </w:p>
    <w:p w14:paraId="59F73213">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6</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招标文件中落实政府采购政策的相关要求详见投标人须知前附表。</w:t>
      </w:r>
    </w:p>
    <w:p w14:paraId="356B10D2">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6</w:t>
      </w:r>
      <w:r>
        <w:rPr>
          <w:rFonts w:ascii="华文中宋" w:hAnsi="华文中宋" w:eastAsia="华文中宋"/>
          <w:color w:val="auto"/>
          <w:highlight w:val="none"/>
        </w:rPr>
        <w:t>.3</w:t>
      </w:r>
      <w:r>
        <w:rPr>
          <w:rFonts w:hint="eastAsia" w:ascii="华文中宋" w:hAnsi="华文中宋" w:eastAsia="华文中宋"/>
          <w:color w:val="auto"/>
          <w:highlight w:val="none"/>
          <w:lang w:val="en-US" w:eastAsia="zh-CN"/>
        </w:rPr>
        <w:t>采购人</w:t>
      </w:r>
      <w:r>
        <w:rPr>
          <w:rFonts w:hint="eastAsia" w:ascii="华文中宋" w:hAnsi="华文中宋" w:eastAsia="华文中宋"/>
          <w:color w:val="auto"/>
          <w:highlight w:val="none"/>
        </w:rPr>
        <w:t>开标后对投标人的信用信息进行查询</w:t>
      </w:r>
      <w:r>
        <w:rPr>
          <w:rFonts w:hint="eastAsia" w:ascii="华文中宋" w:hAnsi="华文中宋" w:eastAsia="华文中宋" w:cs="华文中宋"/>
          <w:color w:val="auto"/>
          <w:highlight w:val="none"/>
        </w:rPr>
        <w:t>，查询渠道为信用中国网（</w:t>
      </w:r>
      <w:r>
        <w:rPr>
          <w:rFonts w:ascii="华文中宋" w:hAnsi="华文中宋" w:eastAsia="华文中宋" w:cs="华文中宋"/>
          <w:color w:val="auto"/>
          <w:highlight w:val="none"/>
        </w:rPr>
        <w:t>http://www.creditchina.gov.cn</w:t>
      </w:r>
      <w:r>
        <w:rPr>
          <w:rFonts w:hint="eastAsia" w:ascii="华文中宋" w:hAnsi="华文中宋" w:eastAsia="华文中宋" w:cs="华文中宋"/>
          <w:color w:val="auto"/>
          <w:highlight w:val="none"/>
        </w:rPr>
        <w:t>）和中国政府采购网（</w:t>
      </w:r>
      <w:r>
        <w:rPr>
          <w:rFonts w:ascii="华文中宋" w:hAnsi="华文中宋" w:eastAsia="华文中宋" w:cs="华文中宋"/>
          <w:color w:val="auto"/>
          <w:highlight w:val="none"/>
        </w:rPr>
        <w:t>http://www.ccgp.gov.cn</w:t>
      </w:r>
      <w:r>
        <w:rPr>
          <w:rFonts w:hint="eastAsia" w:ascii="华文中宋" w:hAnsi="华文中宋" w:eastAsia="华文中宋" w:cs="华文中宋"/>
          <w:color w:val="auto"/>
          <w:highlight w:val="none"/>
        </w:rPr>
        <w:t>）；截止时间为开标当日；</w:t>
      </w:r>
      <w:r>
        <w:rPr>
          <w:rFonts w:hint="eastAsia" w:ascii="华文中宋" w:hAnsi="华文中宋" w:eastAsia="华文中宋" w:cs="华文中宋"/>
          <w:color w:val="auto"/>
          <w:highlight w:val="none"/>
          <w:u w:val="none"/>
        </w:rPr>
        <w:t>查询内容为信用中国网的失信记录情况和中国政府采购网上的政府采购严重违法失信行为信息记录情况；</w:t>
      </w:r>
      <w:r>
        <w:rPr>
          <w:rFonts w:hint="eastAsia" w:ascii="华文中宋" w:hAnsi="华文中宋" w:eastAsia="华文中宋" w:cs="华文中宋"/>
          <w:color w:val="auto"/>
          <w:highlight w:val="none"/>
        </w:rPr>
        <w:t>查询结果予以记录，查询证据存档，查询后存在问题的对投标文件做无效投标处理。</w:t>
      </w:r>
    </w:p>
    <w:p w14:paraId="372C3E60">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6</w:t>
      </w:r>
      <w:r>
        <w:rPr>
          <w:rFonts w:ascii="华文中宋" w:hAnsi="华文中宋" w:eastAsia="华文中宋"/>
          <w:color w:val="auto"/>
          <w:highlight w:val="none"/>
        </w:rPr>
        <w:t>.4</w:t>
      </w:r>
      <w:r>
        <w:rPr>
          <w:rFonts w:hint="eastAsia" w:ascii="华文中宋" w:hAnsi="华文中宋" w:eastAsia="华文中宋"/>
          <w:color w:val="auto"/>
          <w:highlight w:val="none"/>
        </w:rPr>
        <w:t>除非特殊要求，招标文件不单独提供招标项目使用地的自然环境、气候条件、公用设施情况，投标人被视为熟悉上述与履行合同有关的一切情况。</w:t>
      </w:r>
    </w:p>
    <w:p w14:paraId="043F504B">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6</w:t>
      </w:r>
      <w:r>
        <w:rPr>
          <w:rFonts w:ascii="华文中宋" w:hAnsi="华文中宋" w:eastAsia="华文中宋"/>
          <w:color w:val="auto"/>
          <w:highlight w:val="none"/>
        </w:rPr>
        <w:t xml:space="preserve">.5 </w:t>
      </w:r>
      <w:r>
        <w:rPr>
          <w:rFonts w:hint="eastAsia" w:ascii="华文中宋" w:hAnsi="华文中宋" w:eastAsia="华文中宋"/>
          <w:color w:val="auto"/>
          <w:highlight w:val="none"/>
        </w:rPr>
        <w:t>招标文件的解释权归集采机构所有。当对一个问题有多种解释时以集采机构解释为准。</w:t>
      </w:r>
    </w:p>
    <w:p w14:paraId="7596B74B">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6</w:t>
      </w:r>
      <w:r>
        <w:rPr>
          <w:rFonts w:ascii="华文中宋" w:hAnsi="华文中宋" w:eastAsia="华文中宋"/>
          <w:color w:val="auto"/>
          <w:highlight w:val="none"/>
        </w:rPr>
        <w:t>.6</w:t>
      </w:r>
      <w:r>
        <w:rPr>
          <w:rFonts w:hint="eastAsia" w:ascii="华文中宋" w:hAnsi="华文中宋" w:eastAsia="华文中宋"/>
          <w:color w:val="auto"/>
          <w:highlight w:val="none"/>
        </w:rPr>
        <w:t>招标文件未作须知明示，而又有法律、法规规定的，集采机构将依据法律、法规的规定进行解释。</w:t>
      </w:r>
    </w:p>
    <w:p w14:paraId="67034B57">
      <w:pPr>
        <w:pStyle w:val="59"/>
        <w:snapToGrid w:val="0"/>
        <w:spacing w:line="360" w:lineRule="auto"/>
        <w:ind w:firstLine="460" w:firstLineChars="200"/>
        <w:textAlignment w:val="auto"/>
        <w:rPr>
          <w:rFonts w:ascii="华文中宋" w:hAnsi="华文中宋" w:eastAsia="华文中宋"/>
          <w:b/>
          <w:color w:val="auto"/>
          <w:spacing w:val="10"/>
          <w:highlight w:val="none"/>
        </w:rPr>
      </w:pPr>
      <w:r>
        <w:rPr>
          <w:rFonts w:hint="eastAsia" w:ascii="华文中宋" w:hAnsi="华文中宋" w:eastAsia="华文中宋"/>
          <w:b/>
          <w:color w:val="auto"/>
          <w:spacing w:val="10"/>
          <w:highlight w:val="none"/>
          <w:lang w:val="en-US" w:eastAsia="zh-CN"/>
        </w:rPr>
        <w:t>7</w:t>
      </w:r>
      <w:r>
        <w:rPr>
          <w:rFonts w:ascii="华文中宋" w:hAnsi="华文中宋" w:eastAsia="华文中宋"/>
          <w:b/>
          <w:color w:val="auto"/>
          <w:spacing w:val="10"/>
          <w:highlight w:val="none"/>
        </w:rPr>
        <w:t xml:space="preserve">. </w:t>
      </w:r>
      <w:r>
        <w:rPr>
          <w:rFonts w:hint="eastAsia" w:ascii="华文中宋" w:hAnsi="华文中宋" w:eastAsia="华文中宋"/>
          <w:b/>
          <w:color w:val="auto"/>
          <w:spacing w:val="10"/>
          <w:highlight w:val="none"/>
        </w:rPr>
        <w:t>招标文件的澄清和修改</w:t>
      </w:r>
    </w:p>
    <w:p w14:paraId="4CD3818E">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7</w:t>
      </w:r>
      <w:r>
        <w:rPr>
          <w:rFonts w:ascii="华文中宋" w:hAnsi="华文中宋" w:eastAsia="华文中宋"/>
          <w:color w:val="auto"/>
          <w:highlight w:val="none"/>
        </w:rPr>
        <w:t>.1</w:t>
      </w:r>
      <w:r>
        <w:rPr>
          <w:rFonts w:hint="eastAsia" w:ascii="华文中宋" w:hAnsi="华文中宋" w:eastAsia="华文中宋"/>
          <w:color w:val="auto"/>
          <w:highlight w:val="none"/>
        </w:rPr>
        <w:t>集采机构可以对已发出的招标文件进行必要的澄清或者修改，澄清或者修改在原公告发布媒体上发布澄清公告。澄清或者修改的内容为招标文件的组成部分，对所有投标人均具有约束作用。</w:t>
      </w:r>
    </w:p>
    <w:p w14:paraId="7B74170D">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7</w:t>
      </w:r>
      <w:r>
        <w:rPr>
          <w:rFonts w:ascii="华文中宋" w:hAnsi="华文中宋" w:eastAsia="华文中宋"/>
          <w:color w:val="auto"/>
          <w:highlight w:val="none"/>
        </w:rPr>
        <w:t>.2</w:t>
      </w:r>
      <w:r>
        <w:rPr>
          <w:rFonts w:hint="eastAsia" w:ascii="华文中宋" w:hAnsi="华文中宋" w:eastAsia="华文中宋"/>
          <w:color w:val="auto"/>
          <w:highlight w:val="none"/>
        </w:rPr>
        <w:t>澄清或者修改的内容可能影响投标文件编制的，集采机构在投标截止时间至少</w:t>
      </w:r>
      <w:r>
        <w:rPr>
          <w:rFonts w:ascii="华文中宋" w:hAnsi="华文中宋" w:eastAsia="华文中宋"/>
          <w:color w:val="auto"/>
          <w:highlight w:val="none"/>
        </w:rPr>
        <w:t>15</w:t>
      </w:r>
      <w:r>
        <w:rPr>
          <w:rFonts w:hint="eastAsia" w:ascii="华文中宋" w:hAnsi="华文中宋" w:eastAsia="华文中宋"/>
          <w:color w:val="auto"/>
          <w:highlight w:val="none"/>
        </w:rPr>
        <w:t>日前，在</w:t>
      </w:r>
      <w:r>
        <w:rPr>
          <w:rFonts w:hint="eastAsia" w:ascii="华文中宋" w:hAnsi="华文中宋" w:eastAsia="华文中宋"/>
          <w:color w:val="auto"/>
          <w:highlight w:val="none"/>
          <w:lang w:val="en-US" w:eastAsia="zh-CN"/>
        </w:rPr>
        <w:t>本项目原招标</w:t>
      </w:r>
      <w:r>
        <w:rPr>
          <w:rFonts w:hint="eastAsia" w:ascii="华文中宋" w:hAnsi="华文中宋" w:eastAsia="华文中宋"/>
          <w:color w:val="auto"/>
          <w:highlight w:val="none"/>
        </w:rPr>
        <w:t>公告刊登的媒体上以发布公告的形式通知所有获取招标文件的潜在投标人；不足</w:t>
      </w:r>
      <w:r>
        <w:rPr>
          <w:rFonts w:ascii="华文中宋" w:hAnsi="华文中宋" w:eastAsia="华文中宋"/>
          <w:color w:val="auto"/>
          <w:highlight w:val="none"/>
        </w:rPr>
        <w:t>15</w:t>
      </w:r>
      <w:r>
        <w:rPr>
          <w:rFonts w:hint="eastAsia" w:ascii="华文中宋" w:hAnsi="华文中宋" w:eastAsia="华文中宋"/>
          <w:color w:val="auto"/>
          <w:highlight w:val="none"/>
        </w:rPr>
        <w:t>日的，顺延提交投标文件的截止时间。</w:t>
      </w:r>
    </w:p>
    <w:p w14:paraId="62ECFC64">
      <w:pPr>
        <w:pStyle w:val="3"/>
        <w:numPr>
          <w:ilvl w:val="0"/>
          <w:numId w:val="0"/>
        </w:numPr>
        <w:spacing w:before="31" w:beforeLines="10" w:after="31" w:afterLines="10" w:line="360" w:lineRule="auto"/>
        <w:ind w:left="539"/>
        <w:jc w:val="both"/>
        <w:rPr>
          <w:rFonts w:ascii="华文中宋" w:hAnsi="华文中宋" w:eastAsia="华文中宋"/>
          <w:color w:val="auto"/>
          <w:spacing w:val="10"/>
          <w:sz w:val="24"/>
          <w:szCs w:val="24"/>
          <w:highlight w:val="none"/>
        </w:rPr>
      </w:pPr>
      <w:bookmarkStart w:id="19" w:name="_Toc16073"/>
      <w:bookmarkStart w:id="20" w:name="_Toc352761932"/>
      <w:bookmarkStart w:id="21" w:name="_Toc424378687"/>
      <w:bookmarkStart w:id="22" w:name="_Toc12041"/>
      <w:r>
        <w:rPr>
          <w:rFonts w:hint="eastAsia" w:ascii="华文中宋" w:hAnsi="华文中宋" w:eastAsia="华文中宋"/>
          <w:color w:val="auto"/>
          <w:spacing w:val="10"/>
          <w:sz w:val="24"/>
          <w:szCs w:val="24"/>
          <w:highlight w:val="none"/>
        </w:rPr>
        <w:t>三、投标文件</w:t>
      </w:r>
      <w:bookmarkEnd w:id="19"/>
      <w:bookmarkEnd w:id="20"/>
      <w:bookmarkEnd w:id="21"/>
      <w:bookmarkEnd w:id="22"/>
    </w:p>
    <w:p w14:paraId="7EC22803">
      <w:pPr>
        <w:pStyle w:val="59"/>
        <w:snapToGrid w:val="0"/>
        <w:spacing w:line="360" w:lineRule="auto"/>
        <w:ind w:firstLine="460" w:firstLineChars="200"/>
        <w:textAlignment w:val="auto"/>
        <w:rPr>
          <w:rFonts w:ascii="华文中宋" w:hAnsi="华文中宋" w:eastAsia="华文中宋"/>
          <w:b/>
          <w:color w:val="auto"/>
          <w:spacing w:val="10"/>
          <w:highlight w:val="none"/>
        </w:rPr>
      </w:pPr>
      <w:r>
        <w:rPr>
          <w:rFonts w:hint="eastAsia" w:ascii="华文中宋" w:hAnsi="华文中宋" w:eastAsia="华文中宋"/>
          <w:b/>
          <w:color w:val="auto"/>
          <w:spacing w:val="10"/>
          <w:highlight w:val="none"/>
          <w:lang w:val="en-US" w:eastAsia="zh-CN"/>
        </w:rPr>
        <w:t>8</w:t>
      </w:r>
      <w:r>
        <w:rPr>
          <w:rFonts w:ascii="华文中宋" w:hAnsi="华文中宋" w:eastAsia="华文中宋"/>
          <w:b/>
          <w:color w:val="auto"/>
          <w:spacing w:val="10"/>
          <w:highlight w:val="none"/>
        </w:rPr>
        <w:t xml:space="preserve">. </w:t>
      </w:r>
      <w:r>
        <w:rPr>
          <w:rFonts w:hint="eastAsia" w:ascii="华文中宋" w:hAnsi="华文中宋" w:eastAsia="华文中宋"/>
          <w:b/>
          <w:color w:val="auto"/>
          <w:spacing w:val="10"/>
          <w:highlight w:val="none"/>
        </w:rPr>
        <w:t>投标文件的语言和计量单位</w:t>
      </w:r>
    </w:p>
    <w:p w14:paraId="60A5CB3E">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8</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投标人提交的投标文件，包括技术资料、图纸等中的说明以及投标人与集采机构就有关投标的所有来往函电均应使用中文简体字。外文资料必须提供中文译文，并保持与原文一致，否则，产生的不利后果由投标人承担。</w:t>
      </w:r>
    </w:p>
    <w:p w14:paraId="11085EC8">
      <w:pPr>
        <w:pStyle w:val="59"/>
        <w:tabs>
          <w:tab w:val="left" w:pos="7050"/>
        </w:tabs>
        <w:snapToGrid w:val="0"/>
        <w:spacing w:line="360" w:lineRule="auto"/>
        <w:ind w:firstLine="432" w:firstLineChars="206"/>
        <w:textAlignment w:val="auto"/>
        <w:rPr>
          <w:rFonts w:ascii="华文中宋" w:hAnsi="华文中宋" w:eastAsia="华文中宋"/>
          <w:color w:val="auto"/>
          <w:spacing w:val="10"/>
          <w:highlight w:val="none"/>
        </w:rPr>
      </w:pPr>
      <w:r>
        <w:rPr>
          <w:rFonts w:hint="eastAsia" w:ascii="华文中宋" w:hAnsi="华文中宋" w:eastAsia="华文中宋"/>
          <w:color w:val="auto"/>
          <w:highlight w:val="none"/>
          <w:lang w:val="en-US" w:eastAsia="zh-CN"/>
        </w:rPr>
        <w:t>8</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投标文件所使用的计量单位，必须使用国家法定计量单位。</w:t>
      </w:r>
    </w:p>
    <w:p w14:paraId="15D3EA4C">
      <w:pPr>
        <w:pStyle w:val="59"/>
        <w:snapToGrid w:val="0"/>
        <w:spacing w:line="360" w:lineRule="auto"/>
        <w:ind w:firstLine="460" w:firstLineChars="200"/>
        <w:textAlignment w:val="auto"/>
        <w:rPr>
          <w:rFonts w:ascii="华文中宋" w:hAnsi="华文中宋" w:eastAsia="华文中宋"/>
          <w:b/>
          <w:color w:val="auto"/>
          <w:spacing w:val="10"/>
          <w:highlight w:val="none"/>
        </w:rPr>
      </w:pPr>
      <w:r>
        <w:rPr>
          <w:rFonts w:hint="eastAsia" w:ascii="华文中宋" w:hAnsi="华文中宋" w:eastAsia="华文中宋"/>
          <w:b/>
          <w:color w:val="auto"/>
          <w:spacing w:val="10"/>
          <w:highlight w:val="none"/>
          <w:lang w:val="en-US" w:eastAsia="zh-CN"/>
        </w:rPr>
        <w:t>9</w:t>
      </w:r>
      <w:r>
        <w:rPr>
          <w:rFonts w:ascii="华文中宋" w:hAnsi="华文中宋" w:eastAsia="华文中宋"/>
          <w:b/>
          <w:color w:val="auto"/>
          <w:spacing w:val="10"/>
          <w:highlight w:val="none"/>
        </w:rPr>
        <w:t xml:space="preserve">. </w:t>
      </w:r>
      <w:r>
        <w:rPr>
          <w:rFonts w:hint="eastAsia" w:ascii="华文中宋" w:hAnsi="华文中宋" w:eastAsia="华文中宋"/>
          <w:b/>
          <w:color w:val="auto"/>
          <w:spacing w:val="10"/>
          <w:highlight w:val="none"/>
        </w:rPr>
        <w:t>投标文件的组成及相关要求</w:t>
      </w:r>
    </w:p>
    <w:p w14:paraId="748FBDED">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9</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投标文件分为资格证明文件、商务技术文件、开标报价一览表。</w:t>
      </w:r>
    </w:p>
    <w:p w14:paraId="730FB6EB">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9</w:t>
      </w:r>
      <w:r>
        <w:rPr>
          <w:rFonts w:ascii="华文中宋" w:hAnsi="华文中宋" w:eastAsia="华文中宋"/>
          <w:color w:val="auto"/>
          <w:highlight w:val="none"/>
        </w:rPr>
        <w:t>.2</w:t>
      </w:r>
      <w:r>
        <w:rPr>
          <w:rFonts w:hint="eastAsia" w:ascii="华文中宋" w:hAnsi="华文中宋" w:eastAsia="华文中宋"/>
          <w:color w:val="auto"/>
          <w:highlight w:val="none"/>
        </w:rPr>
        <w:t>投标文件要求内容详见投标人须知前附表，有格式的详见本招标文件第八部分。</w:t>
      </w:r>
    </w:p>
    <w:p w14:paraId="18738F18">
      <w:pPr>
        <w:pStyle w:val="59"/>
        <w:snapToGrid w:val="0"/>
        <w:spacing w:line="360" w:lineRule="auto"/>
        <w:ind w:firstLine="420" w:firstLineChars="200"/>
        <w:textAlignment w:val="auto"/>
        <w:rPr>
          <w:rFonts w:ascii="华文中宋" w:hAnsi="华文中宋" w:eastAsia="华文中宋"/>
          <w:b/>
          <w:color w:val="auto"/>
          <w:highlight w:val="none"/>
        </w:rPr>
      </w:pPr>
      <w:r>
        <w:rPr>
          <w:rFonts w:ascii="华文中宋" w:hAnsi="华文中宋" w:eastAsia="华文中宋"/>
          <w:b/>
          <w:color w:val="auto"/>
          <w:highlight w:val="none"/>
        </w:rPr>
        <w:t>1</w:t>
      </w:r>
      <w:r>
        <w:rPr>
          <w:rFonts w:hint="eastAsia" w:ascii="华文中宋" w:hAnsi="华文中宋" w:eastAsia="华文中宋"/>
          <w:b/>
          <w:color w:val="auto"/>
          <w:highlight w:val="none"/>
          <w:lang w:val="en-US" w:eastAsia="zh-CN"/>
        </w:rPr>
        <w:t>0</w:t>
      </w:r>
      <w:r>
        <w:rPr>
          <w:rFonts w:hint="eastAsia" w:ascii="华文中宋" w:hAnsi="华文中宋" w:eastAsia="华文中宋"/>
          <w:b/>
          <w:color w:val="auto"/>
          <w:spacing w:val="10"/>
          <w:highlight w:val="none"/>
        </w:rPr>
        <w:t>．</w:t>
      </w:r>
      <w:r>
        <w:rPr>
          <w:rFonts w:hint="eastAsia" w:ascii="华文中宋" w:hAnsi="华文中宋" w:eastAsia="华文中宋"/>
          <w:b/>
          <w:color w:val="auto"/>
          <w:highlight w:val="none"/>
        </w:rPr>
        <w:t>投标报价</w:t>
      </w:r>
    </w:p>
    <w:p w14:paraId="69808E9F">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0</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所有投标报价均以人民币元为计算单位。只要投报了一个确定数额的总价，无论分项价格是否全部填报了相应的金额或免费字样，报价均被视为已经包含了但并不限于各项购买货物</w:t>
      </w:r>
      <w:r>
        <w:rPr>
          <w:rFonts w:ascii="华文中宋" w:hAnsi="华文中宋" w:eastAsia="华文中宋"/>
          <w:color w:val="auto"/>
          <w:highlight w:val="none"/>
        </w:rPr>
        <w:t>/</w:t>
      </w:r>
      <w:r>
        <w:rPr>
          <w:rFonts w:hint="eastAsia" w:ascii="华文中宋" w:hAnsi="华文中宋" w:eastAsia="华文中宋"/>
          <w:color w:val="auto"/>
          <w:highlight w:val="none"/>
        </w:rPr>
        <w:t>服务及其运送、安装、调试、验收、保险和相关服务等的费用。在其它情况下，由于分项报价填报不完整、不清楚或存在其它任何失误，所导致的任何不利后果均应当由投标人自行承担。</w:t>
      </w:r>
    </w:p>
    <w:p w14:paraId="62A85E9F">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0</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投标人投报多包的，应对每包分别报价并分别填报开标报价一览表。投标人报出的总价为货物</w:t>
      </w:r>
      <w:r>
        <w:rPr>
          <w:rFonts w:ascii="华文中宋" w:hAnsi="华文中宋" w:eastAsia="华文中宋"/>
          <w:color w:val="auto"/>
          <w:highlight w:val="none"/>
        </w:rPr>
        <w:t>/</w:t>
      </w:r>
      <w:r>
        <w:rPr>
          <w:rFonts w:hint="eastAsia" w:ascii="华文中宋" w:hAnsi="华文中宋" w:eastAsia="华文中宋"/>
          <w:color w:val="auto"/>
          <w:highlight w:val="none"/>
        </w:rPr>
        <w:t>服务全部完成交付的最终价格。</w:t>
      </w:r>
    </w:p>
    <w:p w14:paraId="3D8FDC20">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lang w:val="en-US" w:eastAsia="zh-CN"/>
        </w:rPr>
        <w:t>0</w:t>
      </w:r>
      <w:r>
        <w:rPr>
          <w:rFonts w:ascii="华文中宋" w:hAnsi="华文中宋" w:eastAsia="华文中宋"/>
          <w:color w:val="auto"/>
          <w:szCs w:val="21"/>
          <w:highlight w:val="none"/>
        </w:rPr>
        <w:t>.3</w:t>
      </w:r>
      <w:r>
        <w:rPr>
          <w:rFonts w:hint="eastAsia" w:ascii="华文中宋" w:hAnsi="华文中宋" w:eastAsia="华文中宋"/>
          <w:color w:val="auto"/>
          <w:szCs w:val="21"/>
          <w:highlight w:val="none"/>
        </w:rPr>
        <w:t>投标人必须整包进行投标，不得拆包分项投标。</w:t>
      </w:r>
    </w:p>
    <w:p w14:paraId="337D1E32">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lang w:val="en-US" w:eastAsia="zh-CN"/>
        </w:rPr>
        <w:t>0</w:t>
      </w:r>
      <w:r>
        <w:rPr>
          <w:rFonts w:ascii="华文中宋" w:hAnsi="华文中宋" w:eastAsia="华文中宋"/>
          <w:color w:val="auto"/>
          <w:szCs w:val="21"/>
          <w:highlight w:val="none"/>
        </w:rPr>
        <w:t xml:space="preserve">.4 </w:t>
      </w:r>
      <w:r>
        <w:rPr>
          <w:rFonts w:hint="eastAsia" w:ascii="华文中宋" w:hAnsi="华文中宋" w:eastAsia="华文中宋"/>
          <w:color w:val="auto"/>
          <w:szCs w:val="21"/>
          <w:highlight w:val="none"/>
        </w:rPr>
        <w:t>本次招标不接受可选择或可调整的投标和报价。</w:t>
      </w:r>
    </w:p>
    <w:p w14:paraId="4DF9CD01">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lang w:val="en-US" w:eastAsia="zh-CN"/>
        </w:rPr>
        <w:t>0</w:t>
      </w:r>
      <w:r>
        <w:rPr>
          <w:rFonts w:ascii="华文中宋" w:hAnsi="华文中宋" w:eastAsia="华文中宋"/>
          <w:color w:val="auto"/>
          <w:szCs w:val="21"/>
          <w:highlight w:val="none"/>
        </w:rPr>
        <w:t xml:space="preserve">.5 </w:t>
      </w:r>
      <w:r>
        <w:rPr>
          <w:rFonts w:hint="eastAsia" w:ascii="华文中宋" w:hAnsi="华文中宋" w:eastAsia="华文中宋"/>
          <w:color w:val="auto"/>
          <w:szCs w:val="21"/>
          <w:highlight w:val="none"/>
        </w:rPr>
        <w:t>投标人应提供货物</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服务的单价（包含货物报价、装箱、包装、包装物料、送货、安装调试费、保险费用及其他应有的费用）、总价及其他事项。</w:t>
      </w:r>
    </w:p>
    <w:p w14:paraId="1A5AB316">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0</w:t>
      </w:r>
      <w:r>
        <w:rPr>
          <w:rFonts w:ascii="华文中宋" w:hAnsi="华文中宋" w:eastAsia="华文中宋"/>
          <w:color w:val="auto"/>
          <w:highlight w:val="none"/>
        </w:rPr>
        <w:t xml:space="preserve">.6 </w:t>
      </w:r>
      <w:r>
        <w:rPr>
          <w:rFonts w:hint="eastAsia" w:ascii="华文中宋" w:hAnsi="华文中宋" w:eastAsia="华文中宋"/>
          <w:color w:val="auto"/>
          <w:highlight w:val="none"/>
        </w:rPr>
        <w:t>任何超出招标文件要求而额外赠送的货物、服务等其他形式的优惠，在评标时将不作为价格折算的必备条件。</w:t>
      </w:r>
    </w:p>
    <w:p w14:paraId="127F0913">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0</w:t>
      </w:r>
      <w:r>
        <w:rPr>
          <w:rFonts w:ascii="华文中宋" w:hAnsi="华文中宋" w:eastAsia="华文中宋"/>
          <w:color w:val="auto"/>
          <w:highlight w:val="none"/>
        </w:rPr>
        <w:t>.7</w:t>
      </w:r>
      <w:r>
        <w:rPr>
          <w:rFonts w:hint="eastAsia" w:ascii="华文中宋" w:hAnsi="华文中宋" w:eastAsia="华文中宋"/>
          <w:color w:val="auto"/>
          <w:highlight w:val="none"/>
        </w:rPr>
        <w:t>项目实施过程中需要主要辅材的项目，投标人自行设计表格，填写主要辅材清单，注明品牌、型号、产地、单价、数量等内容。</w:t>
      </w:r>
    </w:p>
    <w:p w14:paraId="7E82F7A2">
      <w:pPr>
        <w:pStyle w:val="59"/>
        <w:snapToGrid w:val="0"/>
        <w:spacing w:line="360" w:lineRule="auto"/>
        <w:ind w:firstLine="432" w:firstLineChars="206"/>
        <w:textAlignment w:val="auto"/>
        <w:rPr>
          <w:rFonts w:ascii="华文中宋" w:hAnsi="华文中宋" w:eastAsia="华文中宋"/>
          <w:b/>
          <w:color w:val="auto"/>
          <w:highlight w:val="none"/>
        </w:rPr>
      </w:pPr>
      <w:r>
        <w:rPr>
          <w:rFonts w:ascii="华文中宋" w:hAnsi="华文中宋" w:eastAsia="华文中宋"/>
          <w:b/>
          <w:color w:val="auto"/>
          <w:highlight w:val="none"/>
        </w:rPr>
        <w:t>1</w:t>
      </w:r>
      <w:r>
        <w:rPr>
          <w:rFonts w:hint="eastAsia" w:ascii="华文中宋" w:hAnsi="华文中宋" w:eastAsia="华文中宋"/>
          <w:b/>
          <w:color w:val="auto"/>
          <w:highlight w:val="none"/>
          <w:lang w:val="en-US" w:eastAsia="zh-CN"/>
        </w:rPr>
        <w:t>1</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投标文件填写说明</w:t>
      </w:r>
    </w:p>
    <w:p w14:paraId="7262968D">
      <w:pPr>
        <w:spacing w:line="360" w:lineRule="auto"/>
        <w:ind w:firstLine="432" w:firstLineChars="206"/>
        <w:rPr>
          <w:rFonts w:ascii="华文中宋" w:hAnsi="华文中宋" w:eastAsia="华文中宋"/>
          <w:b/>
          <w:color w:val="auto"/>
          <w:szCs w:val="21"/>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1</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投标人应详细阅读招标文件的全部内容，按招标文件的要求提供投标文件，并对招标文件中的内容做出实质性和完整性的响应，否则，投标人须自行承担由此引起的风险和责任。</w:t>
      </w:r>
    </w:p>
    <w:p w14:paraId="615CDC14">
      <w:pPr>
        <w:spacing w:line="360" w:lineRule="auto"/>
        <w:ind w:firstLine="432" w:firstLineChars="206"/>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1</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招标文件有固定格式要求的须按第八部分提供的统一格式逐项填写；无相应内容可填的项填写“无”、“未测试”、“没有相应指标”、“</w:t>
      </w:r>
      <w:r>
        <w:rPr>
          <w:rFonts w:ascii="华文中宋" w:hAnsi="华文中宋" w:eastAsia="华文中宋"/>
          <w:color w:val="auto"/>
          <w:highlight w:val="none"/>
        </w:rPr>
        <w:t>/</w:t>
      </w:r>
      <w:r>
        <w:rPr>
          <w:rFonts w:hint="eastAsia" w:ascii="华文中宋" w:hAnsi="华文中宋" w:eastAsia="华文中宋"/>
          <w:color w:val="auto"/>
          <w:highlight w:val="none"/>
        </w:rPr>
        <w:t>”等明确的回答。</w:t>
      </w:r>
    </w:p>
    <w:p w14:paraId="3BA49FFF">
      <w:pPr>
        <w:spacing w:line="360" w:lineRule="auto"/>
        <w:ind w:firstLine="432" w:firstLineChars="206"/>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lang w:val="en-US" w:eastAsia="zh-CN"/>
        </w:rPr>
        <w:t>1</w:t>
      </w:r>
      <w:r>
        <w:rPr>
          <w:rFonts w:ascii="华文中宋" w:hAnsi="华文中宋" w:eastAsia="华文中宋"/>
          <w:color w:val="auto"/>
          <w:szCs w:val="21"/>
          <w:highlight w:val="none"/>
        </w:rPr>
        <w:t>.3</w:t>
      </w:r>
      <w:r>
        <w:rPr>
          <w:rFonts w:hint="eastAsia" w:ascii="华文中宋" w:hAnsi="华文中宋" w:eastAsia="华文中宋"/>
          <w:color w:val="auto"/>
          <w:szCs w:val="21"/>
          <w:highlight w:val="none"/>
        </w:rPr>
        <w:t>开标报价一览表须按格式统一填写。</w:t>
      </w:r>
    </w:p>
    <w:p w14:paraId="5822DEB5">
      <w:pPr>
        <w:spacing w:line="360" w:lineRule="auto"/>
        <w:ind w:firstLine="432" w:firstLineChars="206"/>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lang w:val="en-US" w:eastAsia="zh-CN"/>
        </w:rPr>
        <w:t>1</w:t>
      </w:r>
      <w:r>
        <w:rPr>
          <w:rFonts w:ascii="华文中宋" w:hAnsi="华文中宋" w:eastAsia="华文中宋"/>
          <w:color w:val="auto"/>
          <w:szCs w:val="21"/>
          <w:highlight w:val="none"/>
        </w:rPr>
        <w:t>.4</w:t>
      </w:r>
      <w:r>
        <w:rPr>
          <w:rFonts w:hint="eastAsia" w:ascii="华文中宋" w:hAnsi="华文中宋" w:eastAsia="华文中宋"/>
          <w:color w:val="auto"/>
          <w:szCs w:val="21"/>
          <w:highlight w:val="none"/>
        </w:rPr>
        <w:t>投标人必须保证投标文件所提供的全部资料真实</w:t>
      </w:r>
      <w:r>
        <w:rPr>
          <w:rFonts w:hint="eastAsia" w:ascii="华文中宋" w:hAnsi="华文中宋" w:eastAsia="华文中宋"/>
          <w:color w:val="auto"/>
          <w:highlight w:val="none"/>
        </w:rPr>
        <w:t>有效</w:t>
      </w:r>
      <w:r>
        <w:rPr>
          <w:rFonts w:hint="eastAsia" w:ascii="华文中宋" w:hAnsi="华文中宋" w:eastAsia="华文中宋"/>
          <w:color w:val="auto"/>
          <w:szCs w:val="21"/>
          <w:highlight w:val="none"/>
        </w:rPr>
        <w:t>，并接受评标委员会对其中任何资料进一步审查的要求，</w:t>
      </w:r>
      <w:r>
        <w:rPr>
          <w:rFonts w:hint="eastAsia" w:ascii="华文中宋" w:hAnsi="华文中宋" w:eastAsia="华文中宋"/>
          <w:color w:val="auto"/>
          <w:highlight w:val="none"/>
        </w:rPr>
        <w:t>且承担相应的法律责任。</w:t>
      </w:r>
    </w:p>
    <w:p w14:paraId="2FB11462">
      <w:pPr>
        <w:spacing w:line="360" w:lineRule="auto"/>
        <w:ind w:firstLine="432" w:firstLineChars="206"/>
        <w:rPr>
          <w:rFonts w:ascii="华文中宋" w:hAnsi="华文中宋" w:eastAsia="华文中宋"/>
          <w:color w:val="auto"/>
          <w:szCs w:val="21"/>
          <w:highlight w:val="none"/>
        </w:rPr>
      </w:pPr>
      <w:r>
        <w:rPr>
          <w:rFonts w:ascii="华文中宋" w:hAnsi="华文中宋" w:eastAsia="华文中宋"/>
          <w:color w:val="auto"/>
          <w:highlight w:val="none"/>
        </w:rPr>
        <w:t>1</w:t>
      </w:r>
      <w:r>
        <w:rPr>
          <w:rFonts w:hint="eastAsia" w:ascii="华文中宋" w:hAnsi="华文中宋" w:eastAsia="华文中宋"/>
          <w:color w:val="auto"/>
          <w:szCs w:val="21"/>
          <w:highlight w:val="none"/>
          <w:lang w:val="en-US" w:eastAsia="zh-CN"/>
        </w:rPr>
        <w:t>1</w:t>
      </w:r>
      <w:r>
        <w:rPr>
          <w:rFonts w:ascii="华文中宋" w:hAnsi="华文中宋" w:eastAsia="华文中宋"/>
          <w:color w:val="auto"/>
          <w:szCs w:val="21"/>
          <w:highlight w:val="none"/>
        </w:rPr>
        <w:t>.5</w:t>
      </w:r>
      <w:r>
        <w:rPr>
          <w:rFonts w:hint="eastAsia" w:ascii="华文中宋" w:hAnsi="华文中宋" w:eastAsia="华文中宋"/>
          <w:color w:val="auto"/>
          <w:szCs w:val="21"/>
          <w:highlight w:val="none"/>
        </w:rPr>
        <w:t>因投标文件字迹潦草、提交资料不清晰或表达不清楚所引起的不利后果由投标人承担。</w:t>
      </w:r>
    </w:p>
    <w:p w14:paraId="798F6526">
      <w:pPr>
        <w:spacing w:line="360" w:lineRule="auto"/>
        <w:ind w:firstLine="432" w:firstLineChars="206"/>
        <w:rPr>
          <w:rFonts w:ascii="华文中宋" w:hAnsi="华文中宋" w:eastAsia="华文中宋"/>
          <w:b/>
          <w:color w:val="auto"/>
          <w:szCs w:val="21"/>
          <w:highlight w:val="none"/>
        </w:rPr>
      </w:pPr>
      <w:r>
        <w:rPr>
          <w:rFonts w:ascii="华文中宋" w:hAnsi="华文中宋" w:eastAsia="华文中宋"/>
          <w:b/>
          <w:color w:val="auto"/>
          <w:szCs w:val="21"/>
          <w:highlight w:val="none"/>
        </w:rPr>
        <w:t>1</w:t>
      </w:r>
      <w:r>
        <w:rPr>
          <w:rFonts w:hint="eastAsia" w:ascii="华文中宋" w:hAnsi="华文中宋" w:eastAsia="华文中宋"/>
          <w:b/>
          <w:color w:val="auto"/>
          <w:szCs w:val="21"/>
          <w:highlight w:val="none"/>
          <w:lang w:val="en-US" w:eastAsia="zh-CN"/>
        </w:rPr>
        <w:t>2</w:t>
      </w:r>
      <w:r>
        <w:rPr>
          <w:rFonts w:hint="eastAsia" w:ascii="华文中宋" w:hAnsi="华文中宋" w:eastAsia="华文中宋"/>
          <w:b/>
          <w:color w:val="auto"/>
          <w:szCs w:val="21"/>
          <w:highlight w:val="none"/>
        </w:rPr>
        <w:t>．投标有效期限</w:t>
      </w:r>
    </w:p>
    <w:p w14:paraId="760399E5">
      <w:pPr>
        <w:pStyle w:val="59"/>
        <w:snapToGrid w:val="0"/>
        <w:spacing w:line="360" w:lineRule="auto"/>
        <w:ind w:firstLine="432" w:firstLineChars="206"/>
        <w:textAlignment w:val="auto"/>
        <w:rPr>
          <w:rFonts w:ascii="华文中宋" w:hAnsi="华文中宋" w:eastAsia="华文中宋"/>
          <w:color w:val="auto"/>
          <w:highlight w:val="none"/>
        </w:rPr>
      </w:pPr>
      <w:r>
        <w:rPr>
          <w:rFonts w:hint="eastAsia" w:ascii="华文中宋" w:hAnsi="华文中宋" w:eastAsia="华文中宋"/>
          <w:color w:val="auto"/>
          <w:highlight w:val="none"/>
        </w:rPr>
        <w:t>本项目投标有效期见投标人须知前附表。</w:t>
      </w:r>
    </w:p>
    <w:p w14:paraId="2116F4D0">
      <w:pPr>
        <w:spacing w:line="360" w:lineRule="auto"/>
        <w:ind w:firstLine="432" w:firstLineChars="206"/>
        <w:rPr>
          <w:rFonts w:ascii="华文中宋" w:hAnsi="华文中宋" w:eastAsia="华文中宋"/>
          <w:b/>
          <w:color w:val="auto"/>
          <w:szCs w:val="21"/>
          <w:highlight w:val="none"/>
        </w:rPr>
      </w:pPr>
      <w:r>
        <w:rPr>
          <w:rFonts w:ascii="华文中宋" w:hAnsi="华文中宋" w:eastAsia="华文中宋"/>
          <w:b/>
          <w:color w:val="auto"/>
          <w:szCs w:val="21"/>
          <w:highlight w:val="none"/>
        </w:rPr>
        <w:t>1</w:t>
      </w:r>
      <w:r>
        <w:rPr>
          <w:rFonts w:hint="eastAsia" w:ascii="华文中宋" w:hAnsi="华文中宋" w:eastAsia="华文中宋"/>
          <w:b/>
          <w:color w:val="auto"/>
          <w:szCs w:val="21"/>
          <w:highlight w:val="none"/>
          <w:lang w:val="en-US" w:eastAsia="zh-CN"/>
        </w:rPr>
        <w:t>3</w:t>
      </w:r>
      <w:r>
        <w:rPr>
          <w:rFonts w:hint="eastAsia" w:ascii="华文中宋" w:hAnsi="华文中宋" w:eastAsia="华文中宋"/>
          <w:b/>
          <w:color w:val="auto"/>
          <w:szCs w:val="21"/>
          <w:highlight w:val="none"/>
        </w:rPr>
        <w:t>．投标文件的签署</w:t>
      </w:r>
    </w:p>
    <w:p w14:paraId="5E0D2012">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3</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组成投标文件的各种文件均应遵守本条规定。</w:t>
      </w:r>
    </w:p>
    <w:p w14:paraId="7B774566">
      <w:pPr>
        <w:spacing w:line="360" w:lineRule="auto"/>
        <w:ind w:firstLine="432" w:firstLineChars="206"/>
        <w:rPr>
          <w:rFonts w:hint="eastAsia"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3</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上传至山西政府采购平台的</w:t>
      </w:r>
      <w:r>
        <w:rPr>
          <w:rFonts w:ascii="华文中宋" w:hAnsi="华文中宋" w:eastAsia="华文中宋"/>
          <w:color w:val="auto"/>
          <w:highlight w:val="none"/>
        </w:rPr>
        <w:t>投标文件</w:t>
      </w:r>
      <w:r>
        <w:rPr>
          <w:rFonts w:hint="eastAsia" w:ascii="华文中宋" w:hAnsi="华文中宋" w:eastAsia="华文中宋"/>
          <w:color w:val="auto"/>
          <w:highlight w:val="none"/>
        </w:rPr>
        <w:t>须按招标文件</w:t>
      </w:r>
      <w:r>
        <w:rPr>
          <w:rFonts w:hint="eastAsia" w:ascii="华文中宋" w:hAnsi="华文中宋" w:eastAsia="华文中宋"/>
          <w:color w:val="auto"/>
          <w:highlight w:val="none"/>
          <w:lang w:val="en-US" w:eastAsia="zh-CN"/>
        </w:rPr>
        <w:t>格式</w:t>
      </w:r>
      <w:r>
        <w:rPr>
          <w:rFonts w:hint="eastAsia" w:ascii="华文中宋" w:hAnsi="华文中宋" w:eastAsia="华文中宋"/>
          <w:color w:val="auto"/>
          <w:highlight w:val="none"/>
        </w:rPr>
        <w:t>要求加盖电子印章，投标文件</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资格证明文件、商务技术文件</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封面加盖电子印章后，投标文件</w:t>
      </w:r>
      <w:r>
        <w:rPr>
          <w:rFonts w:hint="eastAsia" w:ascii="华文中宋" w:hAnsi="华文中宋" w:eastAsia="华文中宋"/>
          <w:color w:val="auto"/>
          <w:highlight w:val="none"/>
          <w:lang w:val="en-US" w:eastAsia="zh-CN"/>
        </w:rPr>
        <w:t>中相关声明、承诺及投标人认为需要提供的</w:t>
      </w:r>
      <w:r>
        <w:rPr>
          <w:rFonts w:hint="eastAsia" w:ascii="华文中宋" w:hAnsi="华文中宋" w:eastAsia="华文中宋"/>
          <w:color w:val="auto"/>
          <w:highlight w:val="none"/>
        </w:rPr>
        <w:t>其他内容均</w:t>
      </w:r>
      <w:r>
        <w:rPr>
          <w:rFonts w:ascii="华文中宋" w:hAnsi="华文中宋" w:eastAsia="华文中宋"/>
          <w:color w:val="auto"/>
          <w:highlight w:val="none"/>
        </w:rPr>
        <w:t>视为具有法律效力</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但</w:t>
      </w:r>
      <w:r>
        <w:rPr>
          <w:rFonts w:hint="eastAsia" w:ascii="华文中宋" w:hAnsi="华文中宋" w:eastAsia="华文中宋"/>
          <w:color w:val="auto"/>
          <w:highlight w:val="none"/>
        </w:rPr>
        <w:t>投标人在投标文件及相关文件的签订、履行、通知等事项中</w:t>
      </w:r>
      <w:r>
        <w:rPr>
          <w:rFonts w:hint="eastAsia" w:ascii="华文中宋" w:hAnsi="华文中宋" w:eastAsia="华文中宋"/>
          <w:color w:val="auto"/>
          <w:highlight w:val="none"/>
          <w:lang w:val="en-US" w:eastAsia="zh-CN"/>
        </w:rPr>
        <w:t>以及招标文件格式中明确要求加盖公章处</w:t>
      </w: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必</w:t>
      </w:r>
      <w:r>
        <w:rPr>
          <w:rFonts w:hint="eastAsia" w:ascii="华文中宋" w:hAnsi="华文中宋" w:eastAsia="华文中宋"/>
          <w:color w:val="auto"/>
          <w:highlight w:val="none"/>
        </w:rPr>
        <w:t>须在“盖章”、“印章”、“公章”“签章”等处盖电子印章。</w:t>
      </w:r>
    </w:p>
    <w:p w14:paraId="11405AA8">
      <w:pPr>
        <w:spacing w:line="360" w:lineRule="auto"/>
        <w:ind w:firstLine="432" w:firstLineChars="206"/>
        <w:rPr>
          <w:rFonts w:ascii="华文中宋" w:hAnsi="华文中宋" w:eastAsia="华文中宋"/>
          <w:b/>
          <w:color w:val="auto"/>
          <w:kern w:val="0"/>
          <w:szCs w:val="21"/>
          <w:highlight w:val="none"/>
        </w:rPr>
      </w:pPr>
      <w:r>
        <w:rPr>
          <w:rFonts w:ascii="华文中宋" w:hAnsi="华文中宋" w:eastAsia="华文中宋"/>
          <w:b/>
          <w:color w:val="auto"/>
          <w:kern w:val="0"/>
          <w:szCs w:val="21"/>
          <w:highlight w:val="none"/>
        </w:rPr>
        <w:t>1</w:t>
      </w:r>
      <w:r>
        <w:rPr>
          <w:rFonts w:hint="eastAsia" w:ascii="华文中宋" w:hAnsi="华文中宋" w:eastAsia="华文中宋"/>
          <w:b/>
          <w:color w:val="auto"/>
          <w:kern w:val="0"/>
          <w:szCs w:val="21"/>
          <w:highlight w:val="none"/>
          <w:lang w:val="en-US" w:eastAsia="zh-CN"/>
        </w:rPr>
        <w:t>4</w:t>
      </w:r>
      <w:r>
        <w:rPr>
          <w:rFonts w:hint="eastAsia" w:ascii="华文中宋" w:hAnsi="华文中宋" w:eastAsia="华文中宋"/>
          <w:b/>
          <w:color w:val="auto"/>
          <w:kern w:val="0"/>
          <w:szCs w:val="21"/>
          <w:highlight w:val="none"/>
        </w:rPr>
        <w:t>．提交投标文件截止时间</w:t>
      </w:r>
    </w:p>
    <w:p w14:paraId="43C255A2">
      <w:pPr>
        <w:spacing w:line="360" w:lineRule="auto"/>
        <w:ind w:firstLine="432" w:firstLineChars="206"/>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4</w:t>
      </w:r>
      <w:r>
        <w:rPr>
          <w:rFonts w:ascii="华文中宋" w:hAnsi="华文中宋" w:eastAsia="华文中宋"/>
          <w:color w:val="auto"/>
          <w:highlight w:val="none"/>
        </w:rPr>
        <w:t>.1</w:t>
      </w:r>
      <w:r>
        <w:rPr>
          <w:rFonts w:hint="eastAsia" w:ascii="华文中宋" w:hAnsi="华文中宋" w:eastAsia="华文中宋"/>
          <w:color w:val="auto"/>
          <w:highlight w:val="none"/>
        </w:rPr>
        <w:t>投标人须在规定时间对投标文件进行上传并解密，如遇到外部环境原因而造成解密失败的，不利后果由投标人自行承担。</w:t>
      </w:r>
    </w:p>
    <w:p w14:paraId="3ACAF050">
      <w:pPr>
        <w:spacing w:line="360" w:lineRule="auto"/>
        <w:ind w:firstLine="432" w:firstLineChars="206"/>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4</w:t>
      </w:r>
      <w:r>
        <w:rPr>
          <w:rFonts w:ascii="华文中宋" w:hAnsi="华文中宋" w:eastAsia="华文中宋"/>
          <w:color w:val="auto"/>
          <w:highlight w:val="none"/>
        </w:rPr>
        <w:t>.2</w:t>
      </w:r>
      <w:r>
        <w:rPr>
          <w:rFonts w:hint="eastAsia" w:ascii="华文中宋" w:hAnsi="华文中宋" w:eastAsia="华文中宋"/>
          <w:color w:val="auto"/>
          <w:highlight w:val="none"/>
        </w:rPr>
        <w:t>集采机构根据本须知的规定，通过修改招标文件或自行决定延长提交投标文件截止日期的，采购人和投标人受提交截止日期制约的所有权利和义务均延长至新的截止日期。</w:t>
      </w:r>
    </w:p>
    <w:p w14:paraId="643707EC">
      <w:pPr>
        <w:spacing w:line="360" w:lineRule="auto"/>
        <w:ind w:firstLine="432" w:firstLineChars="206"/>
        <w:rPr>
          <w:rFonts w:ascii="华文中宋" w:hAnsi="华文中宋" w:eastAsia="华文中宋"/>
          <w:b/>
          <w:color w:val="auto"/>
          <w:kern w:val="0"/>
          <w:szCs w:val="21"/>
          <w:highlight w:val="none"/>
        </w:rPr>
      </w:pPr>
      <w:r>
        <w:rPr>
          <w:rFonts w:ascii="华文中宋" w:hAnsi="华文中宋" w:eastAsia="华文中宋"/>
          <w:b/>
          <w:color w:val="auto"/>
          <w:kern w:val="0"/>
          <w:szCs w:val="21"/>
          <w:highlight w:val="none"/>
        </w:rPr>
        <w:t>1</w:t>
      </w:r>
      <w:r>
        <w:rPr>
          <w:rFonts w:hint="eastAsia" w:ascii="华文中宋" w:hAnsi="华文中宋" w:eastAsia="华文中宋"/>
          <w:b/>
          <w:color w:val="auto"/>
          <w:kern w:val="0"/>
          <w:szCs w:val="21"/>
          <w:highlight w:val="none"/>
          <w:lang w:val="en-US" w:eastAsia="zh-CN"/>
        </w:rPr>
        <w:t>5</w:t>
      </w:r>
      <w:r>
        <w:rPr>
          <w:rFonts w:hint="eastAsia" w:ascii="华文中宋" w:hAnsi="华文中宋" w:eastAsia="华文中宋"/>
          <w:b/>
          <w:color w:val="auto"/>
          <w:kern w:val="0"/>
          <w:szCs w:val="21"/>
          <w:highlight w:val="none"/>
        </w:rPr>
        <w:t>．投标文件的补充、修改和撤回</w:t>
      </w:r>
    </w:p>
    <w:p w14:paraId="0DA65209">
      <w:pPr>
        <w:spacing w:line="360" w:lineRule="auto"/>
        <w:ind w:firstLine="420" w:firstLineChars="200"/>
        <w:rPr>
          <w:rFonts w:ascii="华文中宋" w:hAnsi="华文中宋" w:eastAsia="华文中宋"/>
          <w:color w:val="auto"/>
          <w:highlight w:val="none"/>
        </w:rPr>
      </w:pPr>
      <w:bookmarkStart w:id="23" w:name="_Toc829"/>
      <w:bookmarkStart w:id="24" w:name="_Toc352761934"/>
      <w:bookmarkStart w:id="25" w:name="_Toc424378689"/>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5</w:t>
      </w:r>
      <w:r>
        <w:rPr>
          <w:rFonts w:ascii="华文中宋" w:hAnsi="华文中宋" w:eastAsia="华文中宋"/>
          <w:color w:val="auto"/>
          <w:highlight w:val="none"/>
        </w:rPr>
        <w:t>.1</w:t>
      </w:r>
      <w:r>
        <w:rPr>
          <w:rFonts w:hint="eastAsia" w:ascii="华文中宋" w:hAnsi="华文中宋" w:eastAsia="华文中宋"/>
          <w:color w:val="auto"/>
          <w:highlight w:val="none"/>
        </w:rPr>
        <w:t>投标人在投标文件解密截止时间前，可以对投标文件进行补充、修改或者撤回，补充、修改的内容作为投标文件的组成部分，补充、修改的内容与</w:t>
      </w:r>
      <w:r>
        <w:rPr>
          <w:rFonts w:hint="eastAsia" w:ascii="华文中宋" w:hAnsi="华文中宋" w:eastAsia="华文中宋"/>
          <w:color w:val="auto"/>
          <w:highlight w:val="none"/>
          <w:lang w:val="en-US" w:eastAsia="zh-CN"/>
        </w:rPr>
        <w:t>投标</w:t>
      </w:r>
      <w:r>
        <w:rPr>
          <w:rFonts w:hint="eastAsia" w:ascii="华文中宋" w:hAnsi="华文中宋" w:eastAsia="华文中宋"/>
          <w:color w:val="auto"/>
          <w:highlight w:val="none"/>
        </w:rPr>
        <w:t>文件不一致的，以补充、修改的内容为准。</w:t>
      </w:r>
    </w:p>
    <w:p w14:paraId="7391421C">
      <w:pPr>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5</w:t>
      </w:r>
      <w:r>
        <w:rPr>
          <w:rFonts w:ascii="华文中宋" w:hAnsi="华文中宋" w:eastAsia="华文中宋"/>
          <w:color w:val="auto"/>
          <w:highlight w:val="none"/>
        </w:rPr>
        <w:t>.2</w:t>
      </w:r>
      <w:r>
        <w:rPr>
          <w:rFonts w:hint="eastAsia" w:ascii="华文中宋" w:hAnsi="华文中宋" w:eastAsia="华文中宋"/>
          <w:color w:val="auto"/>
          <w:highlight w:val="none"/>
        </w:rPr>
        <w:t>在招标文件要求的投标文件提交截止时间之后，投标人不得对其</w:t>
      </w:r>
      <w:r>
        <w:rPr>
          <w:rFonts w:hint="eastAsia" w:ascii="华文中宋" w:hAnsi="华文中宋" w:eastAsia="华文中宋"/>
          <w:color w:val="auto"/>
          <w:highlight w:val="none"/>
          <w:lang w:val="en-US" w:eastAsia="zh-CN"/>
        </w:rPr>
        <w:t>投标</w:t>
      </w:r>
      <w:r>
        <w:rPr>
          <w:rFonts w:hint="eastAsia" w:ascii="华文中宋" w:hAnsi="华文中宋" w:eastAsia="华文中宋"/>
          <w:color w:val="auto"/>
          <w:highlight w:val="none"/>
        </w:rPr>
        <w:t>文件进行补充、修改或撤回。</w:t>
      </w:r>
    </w:p>
    <w:p w14:paraId="08C7784C">
      <w:pPr>
        <w:pStyle w:val="3"/>
        <w:numPr>
          <w:ilvl w:val="0"/>
          <w:numId w:val="0"/>
        </w:numPr>
        <w:spacing w:before="31" w:beforeLines="10" w:after="31" w:afterLines="10" w:line="360" w:lineRule="auto"/>
        <w:ind w:left="539"/>
        <w:jc w:val="both"/>
        <w:rPr>
          <w:rFonts w:ascii="华文中宋" w:hAnsi="华文中宋" w:eastAsia="华文中宋"/>
          <w:color w:val="auto"/>
          <w:spacing w:val="10"/>
          <w:sz w:val="24"/>
          <w:szCs w:val="24"/>
          <w:highlight w:val="none"/>
        </w:rPr>
      </w:pPr>
      <w:bookmarkStart w:id="26" w:name="_Toc8165"/>
      <w:r>
        <w:rPr>
          <w:rFonts w:hint="eastAsia" w:ascii="华文中宋" w:hAnsi="华文中宋" w:eastAsia="华文中宋"/>
          <w:color w:val="auto"/>
          <w:spacing w:val="10"/>
          <w:sz w:val="24"/>
          <w:szCs w:val="24"/>
          <w:highlight w:val="none"/>
        </w:rPr>
        <w:t>四、开标</w:t>
      </w:r>
      <w:bookmarkEnd w:id="23"/>
      <w:bookmarkEnd w:id="24"/>
      <w:bookmarkEnd w:id="25"/>
      <w:bookmarkEnd w:id="26"/>
    </w:p>
    <w:p w14:paraId="62E578CC">
      <w:pPr>
        <w:spacing w:line="360" w:lineRule="auto"/>
        <w:ind w:firstLine="474" w:firstLineChars="226"/>
        <w:rPr>
          <w:rFonts w:ascii="华文中宋" w:hAnsi="华文中宋" w:eastAsia="华文中宋"/>
          <w:b/>
          <w:color w:val="auto"/>
          <w:szCs w:val="21"/>
          <w:highlight w:val="none"/>
        </w:rPr>
      </w:pPr>
      <w:r>
        <w:rPr>
          <w:rFonts w:ascii="华文中宋" w:hAnsi="华文中宋" w:eastAsia="华文中宋"/>
          <w:b/>
          <w:color w:val="auto"/>
          <w:szCs w:val="21"/>
          <w:highlight w:val="none"/>
        </w:rPr>
        <w:t>1</w:t>
      </w:r>
      <w:r>
        <w:rPr>
          <w:rFonts w:hint="eastAsia" w:ascii="华文中宋" w:hAnsi="华文中宋" w:eastAsia="华文中宋"/>
          <w:b/>
          <w:color w:val="auto"/>
          <w:szCs w:val="21"/>
          <w:highlight w:val="none"/>
          <w:lang w:val="en-US" w:eastAsia="zh-CN"/>
        </w:rPr>
        <w:t>6</w:t>
      </w:r>
      <w:r>
        <w:rPr>
          <w:rFonts w:ascii="华文中宋" w:hAnsi="华文中宋" w:eastAsia="华文中宋"/>
          <w:b/>
          <w:color w:val="auto"/>
          <w:szCs w:val="21"/>
          <w:highlight w:val="none"/>
        </w:rPr>
        <w:t xml:space="preserve">. </w:t>
      </w:r>
      <w:r>
        <w:rPr>
          <w:rFonts w:hint="eastAsia" w:ascii="华文中宋" w:hAnsi="华文中宋" w:eastAsia="华文中宋"/>
          <w:b/>
          <w:color w:val="auto"/>
          <w:szCs w:val="21"/>
          <w:highlight w:val="none"/>
        </w:rPr>
        <w:t>开标及其有关事项</w:t>
      </w:r>
    </w:p>
    <w:p w14:paraId="5211A4D3">
      <w:pPr>
        <w:pStyle w:val="59"/>
        <w:snapToGrid w:val="0"/>
        <w:spacing w:line="360" w:lineRule="auto"/>
        <w:ind w:firstLine="474" w:firstLineChars="226"/>
        <w:textAlignment w:val="auto"/>
        <w:rPr>
          <w:rFonts w:ascii="华文中宋" w:hAnsi="华文中宋" w:eastAsia="华文中宋"/>
          <w:color w:val="auto"/>
          <w:highlight w:val="none"/>
        </w:rPr>
      </w:pPr>
      <w:bookmarkStart w:id="27" w:name="_Toc424378690"/>
      <w:bookmarkStart w:id="28" w:name="_Toc352761935"/>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6</w:t>
      </w:r>
      <w:r>
        <w:rPr>
          <w:rFonts w:ascii="华文中宋" w:hAnsi="华文中宋" w:eastAsia="华文中宋"/>
          <w:color w:val="auto"/>
          <w:highlight w:val="none"/>
        </w:rPr>
        <w:t>.1</w:t>
      </w:r>
      <w:r>
        <w:rPr>
          <w:rFonts w:hint="eastAsia" w:ascii="华文中宋" w:hAnsi="华文中宋" w:eastAsia="华文中宋"/>
          <w:color w:val="auto"/>
          <w:highlight w:val="none"/>
        </w:rPr>
        <w:t>投标人不足三家的，不得开标。</w:t>
      </w:r>
    </w:p>
    <w:p w14:paraId="484084BE">
      <w:pPr>
        <w:pStyle w:val="59"/>
        <w:snapToGrid w:val="0"/>
        <w:spacing w:line="360" w:lineRule="auto"/>
        <w:ind w:firstLine="474" w:firstLineChars="226"/>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6</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投标人在政府采购云平台中自行查看开标结果，对开标结果有异议的，可在政府采购云平台提出；对开标结果无异议的，系统在</w:t>
      </w:r>
      <w:r>
        <w:rPr>
          <w:rFonts w:ascii="华文中宋" w:hAnsi="华文中宋" w:eastAsia="华文中宋"/>
          <w:color w:val="auto"/>
          <w:highlight w:val="none"/>
        </w:rPr>
        <w:t>30</w:t>
      </w:r>
      <w:r>
        <w:rPr>
          <w:rFonts w:hint="eastAsia" w:ascii="华文中宋" w:hAnsi="华文中宋" w:eastAsia="华文中宋"/>
          <w:color w:val="auto"/>
          <w:highlight w:val="none"/>
        </w:rPr>
        <w:t>分钟后默认为开标结果已被投标人确认。</w:t>
      </w:r>
    </w:p>
    <w:p w14:paraId="2679127A">
      <w:pPr>
        <w:spacing w:line="360" w:lineRule="auto"/>
        <w:ind w:firstLine="525" w:firstLineChars="250"/>
        <w:rPr>
          <w:rFonts w:ascii="华文中宋" w:hAnsi="华文中宋" w:eastAsia="华文中宋" w:cs="Arial"/>
          <w:color w:val="auto"/>
          <w:kern w:val="0"/>
          <w:szCs w:val="21"/>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6</w:t>
      </w:r>
      <w:r>
        <w:rPr>
          <w:rFonts w:ascii="华文中宋" w:hAnsi="华文中宋" w:eastAsia="华文中宋"/>
          <w:color w:val="auto"/>
          <w:highlight w:val="none"/>
        </w:rPr>
        <w:t>.3</w:t>
      </w:r>
      <w:r>
        <w:rPr>
          <w:rFonts w:hint="eastAsia" w:ascii="华文中宋" w:hAnsi="华文中宋" w:eastAsia="华文中宋"/>
          <w:color w:val="auto"/>
          <w:highlight w:val="none"/>
        </w:rPr>
        <w:t>本项目采用网上电子开标的方式进行，</w:t>
      </w:r>
      <w:r>
        <w:rPr>
          <w:rFonts w:hint="eastAsia" w:ascii="华文中宋" w:hAnsi="华文中宋" w:eastAsia="华文中宋" w:cs="Arial"/>
          <w:color w:val="auto"/>
          <w:kern w:val="0"/>
          <w:szCs w:val="21"/>
          <w:highlight w:val="none"/>
        </w:rPr>
        <w:t>因不可抗因素导致系统无法正常运行时，集采机构将等待系统恢复正常后继续进行开标。系统不能及时恢复正常时，集采机构将封标，待系统恢复正常后继续或重新进行开标。</w:t>
      </w:r>
    </w:p>
    <w:p w14:paraId="6993CFD4">
      <w:pPr>
        <w:pStyle w:val="3"/>
        <w:numPr>
          <w:ilvl w:val="0"/>
          <w:numId w:val="0"/>
        </w:numPr>
        <w:spacing w:before="31" w:beforeLines="10" w:after="31" w:afterLines="10" w:line="360" w:lineRule="auto"/>
        <w:ind w:left="539"/>
        <w:jc w:val="both"/>
        <w:rPr>
          <w:rFonts w:ascii="华文中宋" w:hAnsi="华文中宋" w:eastAsia="华文中宋"/>
          <w:color w:val="auto"/>
          <w:spacing w:val="10"/>
          <w:sz w:val="24"/>
          <w:szCs w:val="24"/>
          <w:highlight w:val="none"/>
        </w:rPr>
      </w:pPr>
      <w:bookmarkStart w:id="29" w:name="_Toc7438"/>
      <w:bookmarkStart w:id="30" w:name="_Toc8119"/>
      <w:r>
        <w:rPr>
          <w:rFonts w:hint="eastAsia" w:ascii="华文中宋" w:hAnsi="华文中宋" w:eastAsia="华文中宋"/>
          <w:color w:val="auto"/>
          <w:spacing w:val="10"/>
          <w:sz w:val="24"/>
          <w:szCs w:val="24"/>
          <w:highlight w:val="none"/>
        </w:rPr>
        <w:t>五、评标程序和要求</w:t>
      </w:r>
      <w:bookmarkEnd w:id="27"/>
      <w:bookmarkEnd w:id="28"/>
      <w:bookmarkEnd w:id="29"/>
      <w:bookmarkEnd w:id="30"/>
    </w:p>
    <w:p w14:paraId="265A5442">
      <w:pPr>
        <w:pStyle w:val="59"/>
        <w:snapToGrid w:val="0"/>
        <w:spacing w:line="360" w:lineRule="auto"/>
        <w:ind w:firstLine="474" w:firstLineChars="226"/>
        <w:textAlignment w:val="auto"/>
        <w:rPr>
          <w:rFonts w:ascii="华文中宋" w:hAnsi="华文中宋" w:eastAsia="华文中宋"/>
          <w:b/>
          <w:color w:val="auto"/>
          <w:highlight w:val="none"/>
        </w:rPr>
      </w:pPr>
      <w:r>
        <w:rPr>
          <w:rFonts w:ascii="华文中宋" w:hAnsi="华文中宋" w:eastAsia="华文中宋"/>
          <w:b/>
          <w:color w:val="auto"/>
          <w:highlight w:val="none"/>
        </w:rPr>
        <w:t>1</w:t>
      </w:r>
      <w:r>
        <w:rPr>
          <w:rFonts w:hint="eastAsia" w:ascii="华文中宋" w:hAnsi="华文中宋" w:eastAsia="华文中宋"/>
          <w:b/>
          <w:color w:val="auto"/>
          <w:highlight w:val="none"/>
          <w:lang w:val="en-US" w:eastAsia="zh-CN"/>
        </w:rPr>
        <w:t>7</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项目组织</w:t>
      </w:r>
    </w:p>
    <w:p w14:paraId="2F4D2D88">
      <w:pPr>
        <w:pStyle w:val="59"/>
        <w:snapToGrid w:val="0"/>
        <w:spacing w:line="360" w:lineRule="auto"/>
        <w:ind w:firstLine="474" w:firstLineChars="226"/>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7</w:t>
      </w:r>
      <w:r>
        <w:rPr>
          <w:rFonts w:ascii="华文中宋" w:hAnsi="华文中宋" w:eastAsia="华文中宋"/>
          <w:color w:val="auto"/>
          <w:highlight w:val="none"/>
        </w:rPr>
        <w:t>.1</w:t>
      </w:r>
      <w:r>
        <w:rPr>
          <w:rFonts w:hint="eastAsia" w:ascii="华文中宋" w:hAnsi="华文中宋" w:eastAsia="华文中宋"/>
          <w:color w:val="auto"/>
          <w:highlight w:val="none"/>
        </w:rPr>
        <w:t>集采机构负责组织评标工作并履行相关职责。</w:t>
      </w:r>
    </w:p>
    <w:p w14:paraId="4C34C2DB">
      <w:pPr>
        <w:pStyle w:val="59"/>
        <w:snapToGrid w:val="0"/>
        <w:spacing w:line="360" w:lineRule="auto"/>
        <w:ind w:firstLine="474" w:firstLineChars="226"/>
        <w:textAlignment w:val="auto"/>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7</w:t>
      </w:r>
      <w:r>
        <w:rPr>
          <w:rFonts w:ascii="华文中宋" w:hAnsi="华文中宋" w:eastAsia="华文中宋"/>
          <w:color w:val="auto"/>
          <w:highlight w:val="none"/>
        </w:rPr>
        <w:t>.2</w:t>
      </w:r>
      <w:r>
        <w:rPr>
          <w:rFonts w:hint="eastAsia" w:ascii="华文中宋" w:hAnsi="华文中宋" w:eastAsia="华文中宋"/>
          <w:color w:val="auto"/>
          <w:highlight w:val="none"/>
        </w:rPr>
        <w:t>本项目采用网上电子评标的方式进行，依据上传至系统的投标文件进行评标，因不可抗因素导致系统无法正常运行时，集采机构将等待系统恢复正常后继续进行评标。系统不能及时恢复正常时，集采机构将封标，待系统恢复正常后继续或重新进行评标。</w:t>
      </w:r>
    </w:p>
    <w:p w14:paraId="072B7B2A">
      <w:pPr>
        <w:pStyle w:val="59"/>
        <w:snapToGrid w:val="0"/>
        <w:spacing w:line="360" w:lineRule="auto"/>
        <w:ind w:firstLine="474" w:firstLineChars="226"/>
        <w:textAlignment w:val="auto"/>
        <w:rPr>
          <w:rFonts w:ascii="华文中宋" w:hAnsi="华文中宋" w:eastAsia="华文中宋"/>
          <w:b/>
          <w:color w:val="auto"/>
          <w:highlight w:val="none"/>
        </w:rPr>
      </w:pPr>
      <w:r>
        <w:rPr>
          <w:rFonts w:ascii="华文中宋" w:hAnsi="华文中宋" w:eastAsia="华文中宋"/>
          <w:b/>
          <w:color w:val="auto"/>
          <w:highlight w:val="none"/>
        </w:rPr>
        <w:t>1</w:t>
      </w:r>
      <w:r>
        <w:rPr>
          <w:rFonts w:hint="eastAsia" w:ascii="华文中宋" w:hAnsi="华文中宋" w:eastAsia="华文中宋"/>
          <w:b/>
          <w:color w:val="auto"/>
          <w:highlight w:val="none"/>
          <w:lang w:val="en-US" w:eastAsia="zh-CN"/>
        </w:rPr>
        <w:t>8</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投标人资格审查</w:t>
      </w:r>
    </w:p>
    <w:p w14:paraId="17878898">
      <w:pPr>
        <w:pStyle w:val="59"/>
        <w:snapToGrid w:val="0"/>
        <w:spacing w:line="360" w:lineRule="auto"/>
        <w:ind w:firstLine="474" w:firstLineChars="226"/>
        <w:textAlignment w:val="auto"/>
        <w:rPr>
          <w:rFonts w:ascii="华文中宋" w:hAnsi="华文中宋" w:eastAsia="华文中宋"/>
          <w:color w:val="auto"/>
          <w:highlight w:val="none"/>
        </w:rPr>
      </w:pPr>
      <w:r>
        <w:rPr>
          <w:rFonts w:hint="eastAsia" w:ascii="华文中宋" w:hAnsi="华文中宋" w:eastAsia="华文中宋"/>
          <w:color w:val="auto"/>
          <w:highlight w:val="none"/>
        </w:rPr>
        <w:t>公开招标采购项目开标结束后，采购人按照招标文件第五部分中资格审查的内容及标准对投标人提交的投标文件（资格证明文件）进行资格审查，以确定投标人是否具备投标资格。审查后合格投标人不足</w:t>
      </w:r>
      <w:r>
        <w:rPr>
          <w:rFonts w:ascii="华文中宋" w:hAnsi="华文中宋" w:eastAsia="华文中宋"/>
          <w:color w:val="auto"/>
          <w:highlight w:val="none"/>
        </w:rPr>
        <w:t>3</w:t>
      </w:r>
      <w:r>
        <w:rPr>
          <w:rFonts w:hint="eastAsia" w:ascii="华文中宋" w:hAnsi="华文中宋" w:eastAsia="华文中宋"/>
          <w:color w:val="auto"/>
          <w:highlight w:val="none"/>
        </w:rPr>
        <w:t>家的不得评标。</w:t>
      </w:r>
    </w:p>
    <w:p w14:paraId="0EA26792">
      <w:pPr>
        <w:pStyle w:val="59"/>
        <w:snapToGrid w:val="0"/>
        <w:spacing w:line="360" w:lineRule="auto"/>
        <w:ind w:firstLine="474" w:firstLineChars="226"/>
        <w:textAlignment w:val="auto"/>
        <w:rPr>
          <w:rFonts w:ascii="华文中宋" w:hAnsi="华文中宋" w:eastAsia="华文中宋"/>
          <w:b/>
          <w:color w:val="auto"/>
          <w:highlight w:val="none"/>
        </w:rPr>
      </w:pPr>
      <w:r>
        <w:rPr>
          <w:rFonts w:hint="eastAsia" w:ascii="华文中宋" w:hAnsi="华文中宋" w:eastAsia="华文中宋"/>
          <w:b/>
          <w:color w:val="auto"/>
          <w:highlight w:val="none"/>
          <w:lang w:val="en-US" w:eastAsia="zh-CN"/>
        </w:rPr>
        <w:t>19</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组建评标委员会</w:t>
      </w:r>
    </w:p>
    <w:p w14:paraId="2EE20B20">
      <w:pPr>
        <w:pStyle w:val="59"/>
        <w:snapToGrid w:val="0"/>
        <w:spacing w:line="360" w:lineRule="auto"/>
        <w:ind w:firstLine="474" w:firstLineChars="226"/>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19</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根据政府采购有关法律法规的规定，依法组建评标委员会，</w:t>
      </w:r>
      <w:r>
        <w:rPr>
          <w:rFonts w:hint="eastAsia" w:ascii="华文中宋" w:hAnsi="华文中宋" w:eastAsia="华文中宋"/>
          <w:color w:val="auto"/>
          <w:highlight w:val="none"/>
        </w:rPr>
        <w:t>评标委员会由采购人代表和有关专家共</w:t>
      </w:r>
      <w:r>
        <w:rPr>
          <w:rFonts w:hint="eastAsia" w:ascii="华文中宋" w:hAnsi="华文中宋" w:eastAsia="华文中宋"/>
          <w:color w:val="auto"/>
          <w:highlight w:val="none"/>
          <w:lang w:val="en-US" w:eastAsia="zh-CN"/>
        </w:rPr>
        <w:t>5</w:t>
      </w:r>
      <w:r>
        <w:rPr>
          <w:rFonts w:hint="eastAsia" w:ascii="华文中宋" w:hAnsi="华文中宋" w:eastAsia="华文中宋"/>
          <w:color w:val="auto"/>
          <w:highlight w:val="none"/>
        </w:rPr>
        <w:t>人组成</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专家人数不少于2/3</w:t>
      </w:r>
      <w:r>
        <w:rPr>
          <w:rFonts w:hint="eastAsia" w:ascii="华文中宋" w:hAnsi="华文中宋" w:eastAsia="华文中宋"/>
          <w:color w:val="auto"/>
          <w:highlight w:val="none"/>
        </w:rPr>
        <w:t>。</w:t>
      </w:r>
    </w:p>
    <w:p w14:paraId="3A12DFE8">
      <w:pPr>
        <w:pStyle w:val="59"/>
        <w:snapToGrid w:val="0"/>
        <w:spacing w:line="360" w:lineRule="auto"/>
        <w:ind w:firstLine="474" w:firstLineChars="226"/>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19</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评标委员会负责对符合资格的投标人的投标文件（商务技术文件）进行符合性审查及评标事务，出具经评标委员会签字的评标报告。</w:t>
      </w:r>
    </w:p>
    <w:p w14:paraId="331AF158">
      <w:pPr>
        <w:pStyle w:val="59"/>
        <w:snapToGrid w:val="0"/>
        <w:spacing w:line="360" w:lineRule="auto"/>
        <w:ind w:firstLine="474" w:firstLineChars="226"/>
        <w:textAlignment w:val="auto"/>
        <w:rPr>
          <w:rFonts w:ascii="华文中宋" w:hAnsi="华文中宋" w:eastAsia="华文中宋"/>
          <w:b/>
          <w:color w:val="auto"/>
          <w:highlight w:val="none"/>
        </w:rPr>
      </w:pPr>
      <w:r>
        <w:rPr>
          <w:rFonts w:ascii="华文中宋" w:hAnsi="华文中宋" w:eastAsia="华文中宋"/>
          <w:b/>
          <w:color w:val="auto"/>
          <w:highlight w:val="none"/>
        </w:rPr>
        <w:t>2</w:t>
      </w:r>
      <w:r>
        <w:rPr>
          <w:rFonts w:hint="eastAsia" w:ascii="华文中宋" w:hAnsi="华文中宋" w:eastAsia="华文中宋"/>
          <w:b/>
          <w:color w:val="auto"/>
          <w:highlight w:val="none"/>
          <w:lang w:val="en-US" w:eastAsia="zh-CN"/>
        </w:rPr>
        <w:t>0</w:t>
      </w:r>
      <w:r>
        <w:rPr>
          <w:rFonts w:ascii="华文中宋" w:hAnsi="华文中宋" w:eastAsia="华文中宋"/>
          <w:b/>
          <w:color w:val="auto"/>
          <w:highlight w:val="none"/>
        </w:rPr>
        <w:t>.</w:t>
      </w:r>
      <w:r>
        <w:rPr>
          <w:rFonts w:hint="eastAsia" w:ascii="华文中宋" w:hAnsi="华文中宋" w:eastAsia="华文中宋"/>
          <w:b/>
          <w:color w:val="auto"/>
          <w:highlight w:val="none"/>
        </w:rPr>
        <w:t>投标文件（商务技术文件）符合性审查</w:t>
      </w:r>
    </w:p>
    <w:p w14:paraId="09B6F8BA">
      <w:pPr>
        <w:pStyle w:val="59"/>
        <w:snapToGrid w:val="0"/>
        <w:spacing w:line="360" w:lineRule="auto"/>
        <w:ind w:firstLine="474" w:firstLineChars="226"/>
        <w:textAlignment w:val="auto"/>
        <w:rPr>
          <w:rFonts w:ascii="华文中宋" w:hAnsi="华文中宋" w:eastAsia="华文中宋"/>
          <w:color w:val="auto"/>
          <w:highlight w:val="none"/>
        </w:rPr>
      </w:pPr>
      <w:r>
        <w:rPr>
          <w:rFonts w:hint="eastAsia" w:ascii="华文中宋" w:hAnsi="华文中宋" w:eastAsia="华文中宋"/>
          <w:color w:val="auto"/>
          <w:highlight w:val="none"/>
        </w:rPr>
        <w:t>评标委员会按照招标文件第六部分评标标准和评标办法中符合性审查的内容及标准对投标文件进行符合性审查，以确定投标文件是否对招标文件的实质性要求作出响应。</w:t>
      </w:r>
    </w:p>
    <w:p w14:paraId="1CA091CC">
      <w:pPr>
        <w:pStyle w:val="59"/>
        <w:snapToGrid w:val="0"/>
        <w:spacing w:line="360" w:lineRule="auto"/>
        <w:ind w:firstLine="474" w:firstLineChars="226"/>
        <w:textAlignment w:val="auto"/>
        <w:rPr>
          <w:rFonts w:ascii="华文中宋" w:hAnsi="华文中宋" w:eastAsia="华文中宋"/>
          <w:b/>
          <w:color w:val="auto"/>
          <w:highlight w:val="none"/>
        </w:rPr>
      </w:pPr>
      <w:r>
        <w:rPr>
          <w:rFonts w:ascii="华文中宋" w:hAnsi="华文中宋" w:eastAsia="华文中宋"/>
          <w:b/>
          <w:color w:val="auto"/>
          <w:highlight w:val="none"/>
        </w:rPr>
        <w:t>2</w:t>
      </w:r>
      <w:r>
        <w:rPr>
          <w:rFonts w:hint="eastAsia" w:ascii="华文中宋" w:hAnsi="华文中宋" w:eastAsia="华文中宋"/>
          <w:b/>
          <w:color w:val="auto"/>
          <w:highlight w:val="none"/>
          <w:lang w:val="en-US" w:eastAsia="zh-CN"/>
        </w:rPr>
        <w:t>1</w:t>
      </w:r>
      <w:r>
        <w:rPr>
          <w:rFonts w:ascii="华文中宋" w:hAnsi="华文中宋" w:eastAsia="华文中宋"/>
          <w:b/>
          <w:color w:val="auto"/>
          <w:highlight w:val="none"/>
        </w:rPr>
        <w:t>.</w:t>
      </w:r>
      <w:r>
        <w:rPr>
          <w:rFonts w:hint="eastAsia" w:ascii="华文中宋" w:hAnsi="华文中宋" w:eastAsia="华文中宋"/>
          <w:b/>
          <w:color w:val="auto"/>
          <w:highlight w:val="none"/>
        </w:rPr>
        <w:t>评审中遵循的原则</w:t>
      </w:r>
    </w:p>
    <w:p w14:paraId="4E97BF83">
      <w:pPr>
        <w:pStyle w:val="59"/>
        <w:snapToGrid w:val="0"/>
        <w:spacing w:line="360" w:lineRule="auto"/>
        <w:ind w:firstLine="474" w:firstLineChars="226"/>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lang w:val="en-US" w:eastAsia="zh-CN"/>
        </w:rPr>
        <w:t>1</w:t>
      </w:r>
      <w:r>
        <w:rPr>
          <w:rFonts w:ascii="华文中宋" w:hAnsi="华文中宋" w:eastAsia="华文中宋"/>
          <w:color w:val="auto"/>
          <w:highlight w:val="none"/>
        </w:rPr>
        <w:t>.1</w:t>
      </w:r>
      <w:r>
        <w:rPr>
          <w:rFonts w:hint="eastAsia" w:ascii="华文中宋" w:hAnsi="华文中宋" w:eastAsia="华文中宋"/>
          <w:color w:val="auto"/>
          <w:highlight w:val="none"/>
        </w:rPr>
        <w:t>审查中，投标人存在下列情况之一的，投标无效</w:t>
      </w:r>
      <w:r>
        <w:rPr>
          <w:rFonts w:hint="eastAsia" w:ascii="华文中宋" w:hAnsi="华文中宋" w:eastAsia="华文中宋" w:cs="华文中宋"/>
          <w:color w:val="auto"/>
          <w:highlight w:val="none"/>
        </w:rPr>
        <w:t>：</w:t>
      </w:r>
    </w:p>
    <w:p w14:paraId="0DB13C3A">
      <w:pPr>
        <w:pStyle w:val="59"/>
        <w:snapToGrid w:val="0"/>
        <w:spacing w:line="360" w:lineRule="auto"/>
        <w:ind w:firstLine="315" w:firstLineChars="15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1</w:t>
      </w:r>
      <w:r>
        <w:rPr>
          <w:rFonts w:hint="eastAsia" w:ascii="华文中宋" w:hAnsi="华文中宋" w:eastAsia="华文中宋"/>
          <w:color w:val="auto"/>
          <w:highlight w:val="none"/>
        </w:rPr>
        <w:t>）投标文件未按</w:t>
      </w:r>
      <w:r>
        <w:rPr>
          <w:rFonts w:hint="eastAsia" w:ascii="华文中宋" w:hAnsi="华文中宋" w:eastAsia="华文中宋"/>
          <w:color w:val="auto"/>
          <w:highlight w:val="none"/>
          <w:lang w:eastAsia="zh-CN"/>
        </w:rPr>
        <w:t>“</w:t>
      </w:r>
      <w:r>
        <w:rPr>
          <w:rFonts w:hint="eastAsia" w:ascii="华文中宋" w:hAnsi="华文中宋" w:eastAsia="华文中宋"/>
          <w:b/>
          <w:color w:val="auto"/>
          <w:szCs w:val="21"/>
          <w:highlight w:val="none"/>
        </w:rPr>
        <w:t>投标文件的签署</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要求签署、盖章的；</w:t>
      </w:r>
    </w:p>
    <w:p w14:paraId="4C0A1D0E">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2</w:t>
      </w:r>
      <w:r>
        <w:rPr>
          <w:rFonts w:hint="eastAsia" w:ascii="华文中宋" w:hAnsi="华文中宋" w:eastAsia="华文中宋"/>
          <w:color w:val="auto"/>
          <w:highlight w:val="none"/>
        </w:rPr>
        <w:t>）不具备招标文件规定的资格要求的；</w:t>
      </w:r>
    </w:p>
    <w:p w14:paraId="3A053858">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3</w:t>
      </w:r>
      <w:r>
        <w:rPr>
          <w:rFonts w:hint="eastAsia" w:ascii="华文中宋" w:hAnsi="华文中宋" w:eastAsia="华文中宋"/>
          <w:color w:val="auto"/>
          <w:highlight w:val="none"/>
        </w:rPr>
        <w:t>）报价超过招标文件规定预算金额或者最高限价的；</w:t>
      </w:r>
    </w:p>
    <w:p w14:paraId="14608D2B">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4</w:t>
      </w:r>
      <w:r>
        <w:rPr>
          <w:rFonts w:hint="eastAsia" w:ascii="华文中宋" w:hAnsi="华文中宋" w:eastAsia="华文中宋"/>
          <w:color w:val="auto"/>
          <w:highlight w:val="none"/>
        </w:rPr>
        <w:t>）投标文件含有采购人不能接受的附加条件的；</w:t>
      </w:r>
    </w:p>
    <w:p w14:paraId="5FB7F66B">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5</w:t>
      </w:r>
      <w:r>
        <w:rPr>
          <w:rFonts w:hint="eastAsia" w:ascii="华文中宋" w:hAnsi="华文中宋" w:eastAsia="华文中宋"/>
          <w:color w:val="auto"/>
          <w:highlight w:val="none"/>
        </w:rPr>
        <w:t>）法律、法规和招标文件规定的其他无效情形的。</w:t>
      </w:r>
    </w:p>
    <w:p w14:paraId="2790C867">
      <w:pPr>
        <w:pStyle w:val="59"/>
        <w:snapToGrid w:val="0"/>
        <w:spacing w:line="360" w:lineRule="auto"/>
        <w:ind w:firstLine="474" w:firstLineChars="226"/>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lang w:val="en-US" w:eastAsia="zh-CN"/>
        </w:rPr>
        <w:t>1</w:t>
      </w:r>
      <w:r>
        <w:rPr>
          <w:rFonts w:ascii="华文中宋" w:hAnsi="华文中宋" w:eastAsia="华文中宋"/>
          <w:color w:val="auto"/>
          <w:highlight w:val="none"/>
        </w:rPr>
        <w:t>.2</w:t>
      </w:r>
      <w:r>
        <w:rPr>
          <w:rFonts w:hint="eastAsia" w:ascii="华文中宋" w:hAnsi="华文中宋" w:eastAsia="华文中宋"/>
          <w:color w:val="auto"/>
          <w:highlight w:val="none"/>
        </w:rPr>
        <w:t>审查中，对明显的文字和计算错误按下述原则处理</w:t>
      </w:r>
      <w:r>
        <w:rPr>
          <w:rFonts w:hint="eastAsia" w:ascii="华文中宋" w:hAnsi="华文中宋" w:eastAsia="华文中宋" w:cs="华文中宋"/>
          <w:color w:val="auto"/>
          <w:highlight w:val="none"/>
        </w:rPr>
        <w:t>：</w:t>
      </w:r>
    </w:p>
    <w:p w14:paraId="1D16E9D6">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1</w:t>
      </w:r>
      <w:r>
        <w:rPr>
          <w:rFonts w:hint="eastAsia" w:ascii="华文中宋" w:hAnsi="华文中宋" w:eastAsia="华文中宋"/>
          <w:color w:val="auto"/>
          <w:highlight w:val="none"/>
        </w:rPr>
        <w:t>）开标报价一览表内容与投标文件中相应内容不一致的</w:t>
      </w:r>
      <w:r>
        <w:rPr>
          <w:rFonts w:ascii="华文中宋" w:hAnsi="华文中宋" w:eastAsia="华文中宋"/>
          <w:color w:val="auto"/>
          <w:highlight w:val="none"/>
        </w:rPr>
        <w:t>,</w:t>
      </w:r>
      <w:r>
        <w:rPr>
          <w:rFonts w:hint="eastAsia" w:ascii="华文中宋" w:hAnsi="华文中宋" w:eastAsia="华文中宋"/>
          <w:color w:val="auto"/>
          <w:highlight w:val="none"/>
        </w:rPr>
        <w:t>以开标报价一览表为准；</w:t>
      </w:r>
    </w:p>
    <w:p w14:paraId="304AE8B5">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2</w:t>
      </w:r>
      <w:r>
        <w:rPr>
          <w:rFonts w:hint="eastAsia" w:ascii="华文中宋" w:hAnsi="华文中宋" w:eastAsia="华文中宋"/>
          <w:color w:val="auto"/>
          <w:highlight w:val="none"/>
        </w:rPr>
        <w:t>）大写金额和小写金额不一致的，以大写金额为准；</w:t>
      </w:r>
    </w:p>
    <w:p w14:paraId="06C2A2A9">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3</w:t>
      </w:r>
      <w:r>
        <w:rPr>
          <w:rFonts w:hint="eastAsia" w:ascii="华文中宋" w:hAnsi="华文中宋" w:eastAsia="华文中宋"/>
          <w:color w:val="auto"/>
          <w:highlight w:val="none"/>
        </w:rPr>
        <w:t>）单价金额小数点或百分比有明显错误的，以开标报价一览表的总价为准，并修改单价；</w:t>
      </w:r>
    </w:p>
    <w:p w14:paraId="68B97DBC">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4</w:t>
      </w:r>
      <w:r>
        <w:rPr>
          <w:rFonts w:hint="eastAsia" w:ascii="华文中宋" w:hAnsi="华文中宋" w:eastAsia="华文中宋"/>
          <w:color w:val="auto"/>
          <w:highlight w:val="none"/>
        </w:rPr>
        <w:t>）总价金额与按单价汇总金额不一致的，以单价金额计算结果为准。</w:t>
      </w:r>
    </w:p>
    <w:p w14:paraId="64F18666">
      <w:pPr>
        <w:pStyle w:val="59"/>
        <w:snapToGrid w:val="0"/>
        <w:spacing w:line="360" w:lineRule="auto"/>
        <w:ind w:firstLine="474" w:firstLineChars="226"/>
        <w:textAlignment w:val="auto"/>
        <w:rPr>
          <w:rFonts w:ascii="华文中宋" w:hAnsi="华文中宋" w:eastAsia="华文中宋"/>
          <w:color w:val="auto"/>
          <w:highlight w:val="none"/>
        </w:rPr>
      </w:pPr>
      <w:r>
        <w:rPr>
          <w:rFonts w:hint="eastAsia" w:ascii="华文中宋" w:hAnsi="华文中宋" w:eastAsia="华文中宋"/>
          <w:color w:val="auto"/>
          <w:highlight w:val="none"/>
        </w:rPr>
        <w:t>评标委员会将要求投标人按上述原则调整确认，投标人确认后的报价对投标人具有约束力，如果投标人不予确认，其投标无效。</w:t>
      </w:r>
    </w:p>
    <w:p w14:paraId="7C694D84">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lang w:val="en-US" w:eastAsia="zh-CN"/>
        </w:rPr>
        <w:t>1</w:t>
      </w:r>
      <w:r>
        <w:rPr>
          <w:rFonts w:ascii="华文中宋" w:hAnsi="华文中宋" w:eastAsia="华文中宋"/>
          <w:color w:val="auto"/>
          <w:highlight w:val="none"/>
        </w:rPr>
        <w:t>.3</w:t>
      </w:r>
      <w:r>
        <w:rPr>
          <w:rFonts w:hint="eastAsia" w:ascii="华文中宋" w:hAnsi="华文中宋" w:eastAsia="华文中宋"/>
          <w:color w:val="auto"/>
          <w:highlight w:val="none"/>
        </w:rPr>
        <w:t>如果多个投标人所投核心产品全部为同一品牌的按下述原则处理：</w:t>
      </w:r>
    </w:p>
    <w:p w14:paraId="1D67B092">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1</w:t>
      </w:r>
      <w:r>
        <w:rPr>
          <w:rFonts w:hint="eastAsia" w:ascii="华文中宋" w:hAnsi="华文中宋" w:eastAsia="华文中宋"/>
          <w:color w:val="auto"/>
          <w:highlight w:val="none"/>
        </w:rPr>
        <w:t>）采用最低评标价法的采购项目，提供相同品牌产品的不同投标人参加同一合同项下投标的，以其中通过资格审查、符合性审查且报价最低的参加评标；报价相同的采取随机抽取方式确定，其他投标无效。</w:t>
      </w:r>
    </w:p>
    <w:p w14:paraId="7666E2AE">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2</w:t>
      </w:r>
      <w:r>
        <w:rPr>
          <w:rFonts w:hint="eastAsia" w:ascii="华文中宋" w:hAnsi="华文中宋" w:eastAsia="华文中宋"/>
          <w:color w:val="auto"/>
          <w:highlight w:val="none"/>
        </w:rPr>
        <w:t>）使用综合评分法的采购项目，提供相同品牌产品且通过资格审查、符合性审查的不同投标人参加同一合同项下投标的，按一家投标人计算，评审后得分最高的同品牌投标人中标或获取中标人资格；评审得分相同的</w:t>
      </w:r>
      <w:r>
        <w:rPr>
          <w:rFonts w:hint="eastAsia" w:ascii="华文中宋" w:hAnsi="华文中宋" w:eastAsia="华文中宋"/>
          <w:color w:val="auto"/>
          <w:highlight w:val="none"/>
          <w:lang w:val="en-US" w:eastAsia="zh-CN"/>
        </w:rPr>
        <w:t>按照报价由低到高的顺序确定</w:t>
      </w:r>
      <w:r>
        <w:rPr>
          <w:rFonts w:hint="eastAsia" w:ascii="华文中宋" w:hAnsi="华文中宋" w:eastAsia="华文中宋"/>
          <w:color w:val="auto"/>
          <w:highlight w:val="none"/>
        </w:rPr>
        <w:t>，其他同品牌投标人不作为中标人或中标候选人。</w:t>
      </w:r>
    </w:p>
    <w:p w14:paraId="22CB028F">
      <w:pPr>
        <w:pStyle w:val="59"/>
        <w:snapToGrid w:val="0"/>
        <w:spacing w:line="360" w:lineRule="auto"/>
        <w:ind w:firstLine="315" w:firstLineChars="150"/>
        <w:textAlignment w:val="auto"/>
        <w:rPr>
          <w:rFonts w:ascii="华文中宋" w:hAnsi="华文中宋" w:eastAsia="华文中宋"/>
          <w:b/>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3</w:t>
      </w:r>
      <w:r>
        <w:rPr>
          <w:rFonts w:hint="eastAsia" w:ascii="华文中宋" w:hAnsi="华文中宋" w:eastAsia="华文中宋"/>
          <w:color w:val="auto"/>
          <w:highlight w:val="none"/>
        </w:rPr>
        <w:t>）非单一产品采购项目，标的物名称中标注“※”的产品为核心产品。多家投标人提供的核心产品品牌全部相同的，按前两款规定处理。</w:t>
      </w:r>
    </w:p>
    <w:p w14:paraId="5C8013EE">
      <w:pPr>
        <w:pStyle w:val="59"/>
        <w:snapToGrid w:val="0"/>
        <w:spacing w:line="360" w:lineRule="auto"/>
        <w:ind w:firstLine="420" w:firstLineChars="200"/>
        <w:textAlignment w:val="auto"/>
        <w:rPr>
          <w:rFonts w:ascii="华文中宋" w:hAnsi="华文中宋" w:eastAsia="华文中宋"/>
          <w:b/>
          <w:color w:val="auto"/>
          <w:highlight w:val="none"/>
        </w:rPr>
      </w:pPr>
      <w:r>
        <w:rPr>
          <w:rFonts w:ascii="华文中宋" w:hAnsi="华文中宋" w:eastAsia="华文中宋"/>
          <w:b/>
          <w:color w:val="auto"/>
          <w:highlight w:val="none"/>
        </w:rPr>
        <w:t>2</w:t>
      </w:r>
      <w:r>
        <w:rPr>
          <w:rFonts w:hint="eastAsia" w:ascii="华文中宋" w:hAnsi="华文中宋" w:eastAsia="华文中宋"/>
          <w:b/>
          <w:color w:val="auto"/>
          <w:highlight w:val="none"/>
          <w:lang w:val="en-US" w:eastAsia="zh-CN"/>
        </w:rPr>
        <w:t>2</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投标的澄清、说明或者补正</w:t>
      </w:r>
    </w:p>
    <w:p w14:paraId="7577A1D4">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lang w:val="en-US" w:eastAsia="zh-CN"/>
        </w:rPr>
        <w:t>2</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对于投标文件中含义不明确、同类问题表述不一致或者有明显文字和计算错误的内容，评标委员会应要求投标人作出必要的澄清、说明或者补正，投标人的澄清、说明或者补正不得超出投标文件的范围或者改变投标文件的实质性内容。</w:t>
      </w:r>
    </w:p>
    <w:p w14:paraId="0CC9BE1B">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lang w:val="en-US" w:eastAsia="zh-CN"/>
        </w:rPr>
        <w:t>2</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评标委员会认为投标人的报价明显低于其他通过符合性审查投标人的报价，有可能影响产品质量或者不能诚信履约的，应当要求其在合理的时间内提供说明，必要时提交相关证明材料；投标人不能证明其报价合理性的，评标委员会应当将其作为无效投标处理。</w:t>
      </w:r>
    </w:p>
    <w:p w14:paraId="43899667">
      <w:pPr>
        <w:pStyle w:val="59"/>
        <w:snapToGrid w:val="0"/>
        <w:spacing w:line="360" w:lineRule="auto"/>
        <w:ind w:firstLine="420" w:firstLineChars="200"/>
        <w:textAlignment w:val="auto"/>
        <w:rPr>
          <w:rFonts w:ascii="华文中宋" w:hAnsi="华文中宋" w:eastAsia="华文中宋"/>
          <w:b/>
          <w:color w:val="auto"/>
          <w:highlight w:val="none"/>
        </w:rPr>
      </w:pPr>
      <w:r>
        <w:rPr>
          <w:rFonts w:ascii="华文中宋" w:hAnsi="华文中宋" w:eastAsia="华文中宋"/>
          <w:b/>
          <w:color w:val="auto"/>
          <w:highlight w:val="none"/>
        </w:rPr>
        <w:t>2</w:t>
      </w:r>
      <w:r>
        <w:rPr>
          <w:rFonts w:hint="eastAsia" w:ascii="华文中宋" w:hAnsi="华文中宋" w:eastAsia="华文中宋"/>
          <w:b/>
          <w:color w:val="auto"/>
          <w:highlight w:val="none"/>
          <w:lang w:val="en-US" w:eastAsia="zh-CN"/>
        </w:rPr>
        <w:t>3</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比较与评价</w:t>
      </w:r>
    </w:p>
    <w:p w14:paraId="6CE3F795">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lang w:val="en-US" w:eastAsia="zh-CN"/>
        </w:rPr>
        <w:t>3</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评标委员会按照招标文件中第六部分规定的评标标准和评标办法，对符合性审查合格的投标文件（商务技术文件）进行商务和技术评估，综合比较和评价。</w:t>
      </w:r>
    </w:p>
    <w:p w14:paraId="32DF71B9">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lang w:val="en-US" w:eastAsia="zh-CN"/>
        </w:rPr>
        <w:t>3</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采用综合评分法评审的应按照招标文件第六部分评标标准和评标办法中规定的评标方法、中标条件以及评分细则进行。</w:t>
      </w:r>
    </w:p>
    <w:p w14:paraId="75B56D80">
      <w:pPr>
        <w:pStyle w:val="59"/>
        <w:snapToGrid w:val="0"/>
        <w:spacing w:line="360" w:lineRule="auto"/>
        <w:ind w:firstLine="420" w:firstLineChars="200"/>
        <w:textAlignment w:val="auto"/>
        <w:rPr>
          <w:rFonts w:ascii="华文中宋" w:hAnsi="华文中宋" w:eastAsia="华文中宋"/>
          <w:b/>
          <w:color w:val="auto"/>
          <w:highlight w:val="none"/>
        </w:rPr>
      </w:pPr>
      <w:r>
        <w:rPr>
          <w:rFonts w:ascii="华文中宋" w:hAnsi="华文中宋" w:eastAsia="华文中宋"/>
          <w:b/>
          <w:color w:val="auto"/>
          <w:highlight w:val="none"/>
        </w:rPr>
        <w:t>2</w:t>
      </w:r>
      <w:r>
        <w:rPr>
          <w:rFonts w:hint="eastAsia" w:ascii="华文中宋" w:hAnsi="华文中宋" w:eastAsia="华文中宋"/>
          <w:b/>
          <w:color w:val="auto"/>
          <w:highlight w:val="none"/>
          <w:lang w:val="en-US" w:eastAsia="zh-CN"/>
        </w:rPr>
        <w:t>4</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评审复核</w:t>
      </w:r>
    </w:p>
    <w:p w14:paraId="029F44F5">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lang w:val="en-US" w:eastAsia="zh-CN"/>
        </w:rPr>
        <w:t>4</w:t>
      </w:r>
      <w:r>
        <w:rPr>
          <w:rFonts w:ascii="华文中宋" w:hAnsi="华文中宋" w:eastAsia="华文中宋"/>
          <w:color w:val="auto"/>
          <w:highlight w:val="none"/>
        </w:rPr>
        <w:t>.1</w:t>
      </w:r>
      <w:r>
        <w:rPr>
          <w:rFonts w:hint="eastAsia" w:ascii="华文中宋" w:hAnsi="华文中宋" w:eastAsia="华文中宋"/>
          <w:color w:val="auto"/>
          <w:highlight w:val="none"/>
        </w:rPr>
        <w:t>评标结果汇总完成后，除下列情形外，任何人不得修改评标结果：</w:t>
      </w:r>
    </w:p>
    <w:p w14:paraId="53AE3AD5">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1</w:t>
      </w:r>
      <w:r>
        <w:rPr>
          <w:rFonts w:hint="eastAsia" w:ascii="华文中宋" w:hAnsi="华文中宋" w:eastAsia="华文中宋"/>
          <w:color w:val="auto"/>
          <w:highlight w:val="none"/>
        </w:rPr>
        <w:t>）分值汇总计算错误的；</w:t>
      </w:r>
    </w:p>
    <w:p w14:paraId="402275AE">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2</w:t>
      </w:r>
      <w:r>
        <w:rPr>
          <w:rFonts w:hint="eastAsia" w:ascii="华文中宋" w:hAnsi="华文中宋" w:eastAsia="华文中宋"/>
          <w:color w:val="auto"/>
          <w:highlight w:val="none"/>
        </w:rPr>
        <w:t>）分项评分超出评分标准范围的；</w:t>
      </w:r>
    </w:p>
    <w:p w14:paraId="51C262D1">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3</w:t>
      </w:r>
      <w:r>
        <w:rPr>
          <w:rFonts w:hint="eastAsia" w:ascii="华文中宋" w:hAnsi="华文中宋" w:eastAsia="华文中宋"/>
          <w:color w:val="auto"/>
          <w:highlight w:val="none"/>
        </w:rPr>
        <w:t>）评标委员会成员对客观评审因素评分不一致的；</w:t>
      </w:r>
    </w:p>
    <w:p w14:paraId="4591AB35">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4</w:t>
      </w:r>
      <w:r>
        <w:rPr>
          <w:rFonts w:hint="eastAsia" w:ascii="华文中宋" w:hAnsi="华文中宋" w:eastAsia="华文中宋"/>
          <w:color w:val="auto"/>
          <w:highlight w:val="none"/>
        </w:rPr>
        <w:t>）经评标委员会认定评分畸高、畸低的。</w:t>
      </w:r>
    </w:p>
    <w:p w14:paraId="42E487E9">
      <w:pPr>
        <w:pStyle w:val="59"/>
        <w:snapToGrid w:val="0"/>
        <w:spacing w:line="360" w:lineRule="auto"/>
        <w:ind w:firstLine="420" w:firstLineChars="200"/>
        <w:textAlignment w:val="auto"/>
        <w:rPr>
          <w:rFonts w:ascii="华文中宋" w:hAnsi="华文中宋" w:eastAsia="华文中宋" w:cs="宋体"/>
          <w:color w:val="auto"/>
          <w:highlight w:val="none"/>
        </w:rPr>
      </w:pPr>
      <w:r>
        <w:rPr>
          <w:rFonts w:hint="eastAsia" w:ascii="华文中宋" w:hAnsi="华文中宋" w:eastAsia="华文中宋" w:cs="宋体"/>
          <w:color w:val="auto"/>
          <w:highlight w:val="none"/>
        </w:rPr>
        <w:t>评标报告签署前，经复核发现存在以上情形之一的，评标委员会应当当场修改评标结果，并在评标报告中记载；评标报告签署后，采购人或者集采机构发现存在以上情形之一的，应当组织原评标委员会进行重新评审，重新评审改变评标结果的，书面报告本级财政部门。</w:t>
      </w:r>
    </w:p>
    <w:p w14:paraId="61443D75">
      <w:pPr>
        <w:pStyle w:val="59"/>
        <w:snapToGrid w:val="0"/>
        <w:spacing w:line="360" w:lineRule="auto"/>
        <w:ind w:firstLine="474" w:firstLineChars="226"/>
        <w:textAlignment w:val="auto"/>
        <w:rPr>
          <w:rFonts w:ascii="华文中宋" w:hAnsi="华文中宋" w:eastAsia="华文中宋"/>
          <w:color w:val="auto"/>
          <w:highlight w:val="none"/>
        </w:rPr>
      </w:pPr>
      <w:r>
        <w:rPr>
          <w:rFonts w:ascii="华文中宋" w:hAnsi="华文中宋" w:eastAsia="华文中宋" w:cs="Arial"/>
          <w:color w:val="auto"/>
          <w:highlight w:val="none"/>
        </w:rPr>
        <w:t>2</w:t>
      </w:r>
      <w:r>
        <w:rPr>
          <w:rFonts w:hint="eastAsia" w:ascii="华文中宋" w:hAnsi="华文中宋" w:eastAsia="华文中宋" w:cs="Arial"/>
          <w:color w:val="auto"/>
          <w:highlight w:val="none"/>
          <w:lang w:val="en-US" w:eastAsia="zh-CN"/>
        </w:rPr>
        <w:t>4</w:t>
      </w:r>
      <w:r>
        <w:rPr>
          <w:rFonts w:ascii="华文中宋" w:hAnsi="华文中宋" w:eastAsia="华文中宋" w:cs="Arial"/>
          <w:color w:val="auto"/>
          <w:highlight w:val="none"/>
        </w:rPr>
        <w:t>.2</w:t>
      </w:r>
      <w:r>
        <w:rPr>
          <w:rFonts w:hint="eastAsia" w:ascii="华文中宋" w:hAnsi="华文中宋" w:eastAsia="华文中宋" w:cs="Arial"/>
          <w:color w:val="auto"/>
          <w:highlight w:val="none"/>
        </w:rPr>
        <w:t>在评审过程中发现投标人有下列情形的，</w:t>
      </w:r>
      <w:r>
        <w:rPr>
          <w:rFonts w:hint="eastAsia" w:ascii="华文中宋" w:hAnsi="华文中宋" w:eastAsia="华文中宋"/>
          <w:color w:val="auto"/>
          <w:highlight w:val="none"/>
        </w:rPr>
        <w:t>评标委员会应认定其投标无效，并书面报告本级财政部门：</w:t>
      </w:r>
    </w:p>
    <w:p w14:paraId="486C0D92">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1</w:t>
      </w:r>
      <w:r>
        <w:rPr>
          <w:rFonts w:hint="eastAsia" w:ascii="华文中宋" w:hAnsi="华文中宋" w:eastAsia="华文中宋"/>
          <w:color w:val="auto"/>
          <w:highlight w:val="none"/>
        </w:rPr>
        <w:t>）有恶意串通的；</w:t>
      </w:r>
    </w:p>
    <w:p w14:paraId="47D6D24F">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2</w:t>
      </w:r>
      <w:r>
        <w:rPr>
          <w:rFonts w:hint="eastAsia" w:ascii="华文中宋" w:hAnsi="华文中宋" w:eastAsia="华文中宋"/>
          <w:color w:val="auto"/>
          <w:highlight w:val="none"/>
        </w:rPr>
        <w:t>）有妨碍其他投标人的竞争行为的；</w:t>
      </w:r>
    </w:p>
    <w:p w14:paraId="5A3A080B">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3</w:t>
      </w:r>
      <w:r>
        <w:rPr>
          <w:rFonts w:hint="eastAsia" w:ascii="华文中宋" w:hAnsi="华文中宋" w:eastAsia="华文中宋"/>
          <w:color w:val="auto"/>
          <w:highlight w:val="none"/>
        </w:rPr>
        <w:t>）有损害采购人或者其他投标人的合法权益的；</w:t>
      </w:r>
    </w:p>
    <w:p w14:paraId="45BE38A4">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4</w:t>
      </w:r>
      <w:r>
        <w:rPr>
          <w:rFonts w:hint="eastAsia" w:ascii="华文中宋" w:hAnsi="华文中宋" w:eastAsia="华文中宋"/>
          <w:color w:val="auto"/>
          <w:highlight w:val="none"/>
        </w:rPr>
        <w:t>）不同投标人的投标文件由同一单位或者个人编制</w:t>
      </w:r>
      <w:r>
        <w:rPr>
          <w:rFonts w:hint="eastAsia" w:ascii="华文中宋" w:hAnsi="华文中宋" w:eastAsia="华文中宋" w:cs="华文中宋"/>
          <w:color w:val="auto"/>
          <w:highlight w:val="none"/>
        </w:rPr>
        <w:t>；</w:t>
      </w:r>
    </w:p>
    <w:p w14:paraId="6F4F555C">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5</w:t>
      </w:r>
      <w:r>
        <w:rPr>
          <w:rFonts w:hint="eastAsia" w:ascii="华文中宋" w:hAnsi="华文中宋" w:eastAsia="华文中宋"/>
          <w:color w:val="auto"/>
          <w:highlight w:val="none"/>
        </w:rPr>
        <w:t>）不同投标人委托同一单位或者个人办理投标事宜；</w:t>
      </w:r>
    </w:p>
    <w:p w14:paraId="6177B794">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6</w:t>
      </w:r>
      <w:r>
        <w:rPr>
          <w:rFonts w:hint="eastAsia" w:ascii="华文中宋" w:hAnsi="华文中宋" w:eastAsia="华文中宋"/>
          <w:color w:val="auto"/>
          <w:highlight w:val="none"/>
        </w:rPr>
        <w:t>）不同投标人的投标文件载明的项目管理成员或者联系人为同一人；</w:t>
      </w:r>
    </w:p>
    <w:p w14:paraId="70E18A01">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7</w:t>
      </w:r>
      <w:r>
        <w:rPr>
          <w:rFonts w:hint="eastAsia" w:ascii="华文中宋" w:hAnsi="华文中宋" w:eastAsia="华文中宋"/>
          <w:color w:val="auto"/>
          <w:highlight w:val="none"/>
        </w:rPr>
        <w:t>）不同投标人的投标文件异常一致或者投标报价呈规律性差异；</w:t>
      </w:r>
    </w:p>
    <w:p w14:paraId="2353772E">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8</w:t>
      </w:r>
      <w:r>
        <w:rPr>
          <w:rFonts w:hint="eastAsia" w:ascii="华文中宋" w:hAnsi="华文中宋" w:eastAsia="华文中宋"/>
          <w:color w:val="auto"/>
          <w:highlight w:val="none"/>
        </w:rPr>
        <w:t>）不同投标人的投标文件相互混装；</w:t>
      </w:r>
    </w:p>
    <w:p w14:paraId="65B86D3C">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9</w:t>
      </w:r>
      <w:r>
        <w:rPr>
          <w:rFonts w:hint="eastAsia" w:ascii="华文中宋" w:hAnsi="华文中宋" w:eastAsia="华文中宋"/>
          <w:color w:val="auto"/>
          <w:highlight w:val="none"/>
        </w:rPr>
        <w:t>）不同投标人的投标保证金从同一单位或者个人的账户转出。</w:t>
      </w:r>
    </w:p>
    <w:p w14:paraId="6005909A">
      <w:pPr>
        <w:pStyle w:val="59"/>
        <w:snapToGrid w:val="0"/>
        <w:spacing w:line="360" w:lineRule="auto"/>
        <w:ind w:left="420" w:leftChars="200"/>
        <w:textAlignment w:val="auto"/>
        <w:rPr>
          <w:rFonts w:ascii="华文中宋" w:hAnsi="华文中宋" w:eastAsia="华文中宋"/>
          <w:color w:val="auto"/>
          <w:highlight w:val="none"/>
        </w:rPr>
      </w:pPr>
      <w:r>
        <w:rPr>
          <w:rFonts w:ascii="华文中宋" w:hAnsi="华文中宋" w:eastAsia="华文中宋"/>
          <w:b/>
          <w:color w:val="auto"/>
          <w:highlight w:val="none"/>
        </w:rPr>
        <w:t>2</w:t>
      </w:r>
      <w:r>
        <w:rPr>
          <w:rFonts w:hint="eastAsia" w:ascii="华文中宋" w:hAnsi="华文中宋" w:eastAsia="华文中宋"/>
          <w:b/>
          <w:color w:val="auto"/>
          <w:highlight w:val="none"/>
          <w:lang w:val="en-US" w:eastAsia="zh-CN"/>
        </w:rPr>
        <w:t>5</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确定</w:t>
      </w:r>
      <w:r>
        <w:rPr>
          <w:rFonts w:ascii="华文中宋" w:hAnsi="华文中宋" w:eastAsia="华文中宋"/>
          <w:b/>
          <w:color w:val="auto"/>
          <w:highlight w:val="none"/>
        </w:rPr>
        <w:t>/</w:t>
      </w:r>
      <w:r>
        <w:rPr>
          <w:rFonts w:hint="eastAsia" w:ascii="华文中宋" w:hAnsi="华文中宋" w:eastAsia="华文中宋"/>
          <w:b/>
          <w:color w:val="auto"/>
          <w:highlight w:val="none"/>
        </w:rPr>
        <w:t>推荐中标候选供应商名单</w:t>
      </w:r>
    </w:p>
    <w:p w14:paraId="40B71330">
      <w:pPr>
        <w:pStyle w:val="15"/>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华文中宋" w:hAnsi="华文中宋" w:eastAsia="华文中宋" w:cs="Times New Roman"/>
          <w:b/>
          <w:bCs/>
          <w:color w:val="auto"/>
          <w:highlight w:val="none"/>
          <w:lang w:val="en-US" w:eastAsia="zh-CN"/>
        </w:rPr>
      </w:pPr>
      <w:r>
        <w:rPr>
          <w:rFonts w:ascii="华文中宋" w:hAnsi="华文中宋" w:eastAsia="华文中宋"/>
          <w:b/>
          <w:bCs/>
          <w:color w:val="auto"/>
          <w:highlight w:val="none"/>
        </w:rPr>
        <w:t>2</w:t>
      </w:r>
      <w:r>
        <w:rPr>
          <w:rFonts w:hint="eastAsia" w:ascii="华文中宋" w:hAnsi="华文中宋" w:eastAsia="华文中宋"/>
          <w:b/>
          <w:bCs/>
          <w:color w:val="auto"/>
          <w:highlight w:val="none"/>
          <w:lang w:val="en-US" w:eastAsia="zh-CN"/>
        </w:rPr>
        <w:t>3</w:t>
      </w:r>
      <w:r>
        <w:rPr>
          <w:rFonts w:ascii="华文中宋" w:hAnsi="华文中宋" w:eastAsia="华文中宋"/>
          <w:b/>
          <w:bCs/>
          <w:color w:val="auto"/>
          <w:highlight w:val="none"/>
        </w:rPr>
        <w:t>.1</w:t>
      </w:r>
      <w:r>
        <w:rPr>
          <w:rFonts w:hint="eastAsia" w:ascii="华文中宋" w:hAnsi="华文中宋" w:eastAsia="华文中宋"/>
          <w:b/>
          <w:bCs/>
          <w:color w:val="auto"/>
          <w:highlight w:val="none"/>
          <w:lang w:val="en-US" w:eastAsia="zh-CN"/>
        </w:rPr>
        <w:t>中标供应商的确定，详见第六</w:t>
      </w:r>
      <w:r>
        <w:rPr>
          <w:rFonts w:hint="eastAsia" w:ascii="华文中宋" w:hAnsi="华文中宋" w:eastAsia="华文中宋" w:cs="Times New Roman"/>
          <w:b/>
          <w:bCs/>
          <w:color w:val="auto"/>
          <w:highlight w:val="none"/>
          <w:lang w:val="en-US" w:eastAsia="zh-CN"/>
        </w:rPr>
        <w:t>部分中评标方法及中标条件的规定。</w:t>
      </w:r>
    </w:p>
    <w:p w14:paraId="3AF4F091">
      <w:pPr>
        <w:spacing w:line="360" w:lineRule="auto"/>
        <w:ind w:firstLine="420" w:firstLineChars="200"/>
        <w:rPr>
          <w:rFonts w:ascii="华文中宋" w:hAnsi="华文中宋" w:eastAsia="华文中宋"/>
          <w:color w:val="auto"/>
          <w:kern w:val="0"/>
          <w:szCs w:val="21"/>
          <w:highlight w:val="none"/>
        </w:rPr>
      </w:pPr>
      <w:r>
        <w:rPr>
          <w:rFonts w:ascii="华文中宋" w:hAnsi="华文中宋" w:eastAsia="华文中宋"/>
          <w:color w:val="auto"/>
          <w:kern w:val="0"/>
          <w:szCs w:val="21"/>
          <w:highlight w:val="none"/>
        </w:rPr>
        <w:t>2</w:t>
      </w:r>
      <w:r>
        <w:rPr>
          <w:rFonts w:hint="eastAsia" w:ascii="华文中宋" w:hAnsi="华文中宋" w:eastAsia="华文中宋"/>
          <w:color w:val="auto"/>
          <w:kern w:val="0"/>
          <w:szCs w:val="21"/>
          <w:highlight w:val="none"/>
          <w:lang w:val="en-US" w:eastAsia="zh-CN"/>
        </w:rPr>
        <w:t>3</w:t>
      </w:r>
      <w:r>
        <w:rPr>
          <w:rFonts w:ascii="华文中宋" w:hAnsi="华文中宋" w:eastAsia="华文中宋"/>
          <w:color w:val="auto"/>
          <w:kern w:val="0"/>
          <w:szCs w:val="21"/>
          <w:highlight w:val="none"/>
        </w:rPr>
        <w:t>.2</w:t>
      </w:r>
      <w:r>
        <w:rPr>
          <w:rFonts w:hint="eastAsia" w:ascii="华文中宋" w:hAnsi="华文中宋" w:eastAsia="华文中宋"/>
          <w:color w:val="auto"/>
          <w:kern w:val="0"/>
          <w:szCs w:val="21"/>
          <w:highlight w:val="none"/>
        </w:rPr>
        <w:t>评审报告由</w:t>
      </w:r>
      <w:r>
        <w:rPr>
          <w:rFonts w:hint="eastAsia" w:ascii="华文中宋" w:hAnsi="华文中宋" w:eastAsia="华文中宋"/>
          <w:color w:val="auto"/>
          <w:kern w:val="0"/>
          <w:szCs w:val="21"/>
          <w:highlight w:val="none"/>
          <w:lang w:val="en-US" w:eastAsia="zh-CN"/>
        </w:rPr>
        <w:t>评审</w:t>
      </w:r>
      <w:r>
        <w:rPr>
          <w:rFonts w:hint="eastAsia" w:ascii="华文中宋" w:hAnsi="华文中宋" w:eastAsia="华文中宋"/>
          <w:color w:val="auto"/>
          <w:kern w:val="0"/>
          <w:szCs w:val="21"/>
          <w:highlight w:val="none"/>
        </w:rPr>
        <w:t>小组全体人员签字认可。</w:t>
      </w:r>
      <w:r>
        <w:rPr>
          <w:rFonts w:hint="eastAsia" w:ascii="华文中宋" w:hAnsi="华文中宋" w:eastAsia="华文中宋"/>
          <w:color w:val="auto"/>
          <w:kern w:val="0"/>
          <w:szCs w:val="21"/>
          <w:highlight w:val="none"/>
          <w:lang w:val="en-US" w:eastAsia="zh-CN"/>
        </w:rPr>
        <w:t>评审</w:t>
      </w:r>
      <w:r>
        <w:rPr>
          <w:rFonts w:hint="eastAsia" w:ascii="华文中宋" w:hAnsi="华文中宋" w:eastAsia="华文中宋"/>
          <w:color w:val="auto"/>
          <w:kern w:val="0"/>
          <w:szCs w:val="21"/>
          <w:highlight w:val="none"/>
        </w:rPr>
        <w:t>小组成员对评审报告有异议的，</w:t>
      </w:r>
      <w:r>
        <w:rPr>
          <w:rFonts w:hint="eastAsia" w:ascii="华文中宋" w:hAnsi="华文中宋" w:eastAsia="华文中宋"/>
          <w:color w:val="auto"/>
          <w:kern w:val="0"/>
          <w:szCs w:val="21"/>
          <w:highlight w:val="none"/>
          <w:lang w:val="en-US" w:eastAsia="zh-CN"/>
        </w:rPr>
        <w:t>评审</w:t>
      </w:r>
      <w:r>
        <w:rPr>
          <w:rFonts w:hint="eastAsia" w:ascii="华文中宋" w:hAnsi="华文中宋" w:eastAsia="华文中宋"/>
          <w:color w:val="auto"/>
          <w:kern w:val="0"/>
          <w:szCs w:val="21"/>
          <w:highlight w:val="none"/>
        </w:rPr>
        <w:t>小组按照少数服从多数的原则推荐</w:t>
      </w:r>
      <w:r>
        <w:rPr>
          <w:rFonts w:hint="eastAsia" w:ascii="华文中宋" w:hAnsi="华文中宋" w:eastAsia="华文中宋"/>
          <w:color w:val="auto"/>
          <w:kern w:val="0"/>
          <w:szCs w:val="21"/>
          <w:highlight w:val="none"/>
          <w:lang w:val="en-US" w:eastAsia="zh-CN"/>
        </w:rPr>
        <w:t>中标</w:t>
      </w:r>
      <w:r>
        <w:rPr>
          <w:rFonts w:hint="eastAsia" w:ascii="华文中宋" w:hAnsi="华文中宋" w:eastAsia="华文中宋"/>
          <w:color w:val="auto"/>
          <w:kern w:val="0"/>
          <w:szCs w:val="21"/>
          <w:highlight w:val="none"/>
        </w:rPr>
        <w:t>候选供应商，采购程序继续进行。</w:t>
      </w:r>
    </w:p>
    <w:p w14:paraId="621DC5F9">
      <w:pPr>
        <w:pStyle w:val="59"/>
        <w:snapToGrid w:val="0"/>
        <w:spacing w:line="360" w:lineRule="auto"/>
        <w:ind w:firstLine="420" w:firstLineChars="200"/>
        <w:textAlignment w:val="auto"/>
        <w:rPr>
          <w:rFonts w:hint="eastAsia" w:ascii="华文中宋" w:hAnsi="华文中宋" w:eastAsia="华文中宋"/>
          <w:color w:val="auto"/>
          <w:highlight w:val="none"/>
        </w:rPr>
      </w:pPr>
      <w:r>
        <w:rPr>
          <w:rFonts w:ascii="华文中宋" w:hAnsi="华文中宋" w:eastAsia="华文中宋"/>
          <w:color w:val="auto"/>
          <w:kern w:val="0"/>
          <w:szCs w:val="21"/>
          <w:highlight w:val="none"/>
        </w:rPr>
        <w:t>2</w:t>
      </w:r>
      <w:r>
        <w:rPr>
          <w:rFonts w:hint="eastAsia" w:ascii="华文中宋" w:hAnsi="华文中宋" w:eastAsia="华文中宋"/>
          <w:color w:val="auto"/>
          <w:kern w:val="0"/>
          <w:szCs w:val="21"/>
          <w:highlight w:val="none"/>
          <w:lang w:val="en-US" w:eastAsia="zh-CN"/>
        </w:rPr>
        <w:t>3</w:t>
      </w:r>
      <w:r>
        <w:rPr>
          <w:rFonts w:ascii="华文中宋" w:hAnsi="华文中宋" w:eastAsia="华文中宋"/>
          <w:color w:val="auto"/>
          <w:kern w:val="0"/>
          <w:szCs w:val="21"/>
          <w:highlight w:val="none"/>
        </w:rPr>
        <w:t>.3</w:t>
      </w:r>
      <w:r>
        <w:rPr>
          <w:rFonts w:hint="eastAsia" w:ascii="华文中宋" w:hAnsi="华文中宋" w:eastAsia="华文中宋"/>
          <w:color w:val="auto"/>
          <w:kern w:val="0"/>
          <w:szCs w:val="21"/>
          <w:highlight w:val="none"/>
        </w:rPr>
        <w:t>对评审报告有异议的</w:t>
      </w:r>
      <w:r>
        <w:rPr>
          <w:rFonts w:hint="eastAsia" w:ascii="华文中宋" w:hAnsi="华文中宋" w:eastAsia="华文中宋"/>
          <w:color w:val="auto"/>
          <w:kern w:val="0"/>
          <w:szCs w:val="21"/>
          <w:highlight w:val="none"/>
          <w:lang w:val="en-US" w:eastAsia="zh-CN"/>
        </w:rPr>
        <w:t>评审</w:t>
      </w:r>
      <w:r>
        <w:rPr>
          <w:rFonts w:hint="eastAsia" w:ascii="华文中宋" w:hAnsi="华文中宋" w:eastAsia="华文中宋"/>
          <w:color w:val="auto"/>
          <w:kern w:val="0"/>
          <w:szCs w:val="21"/>
          <w:highlight w:val="none"/>
        </w:rPr>
        <w:t>小组成员，应当在报告上签署不同意见并说明理由，由</w:t>
      </w:r>
      <w:r>
        <w:rPr>
          <w:rFonts w:hint="eastAsia" w:ascii="华文中宋" w:hAnsi="华文中宋" w:eastAsia="华文中宋"/>
          <w:color w:val="auto"/>
          <w:kern w:val="0"/>
          <w:szCs w:val="21"/>
          <w:highlight w:val="none"/>
          <w:lang w:val="en-US" w:eastAsia="zh-CN"/>
        </w:rPr>
        <w:t>评审</w:t>
      </w:r>
      <w:r>
        <w:rPr>
          <w:rFonts w:hint="eastAsia" w:ascii="华文中宋" w:hAnsi="华文中宋" w:eastAsia="华文中宋"/>
          <w:color w:val="auto"/>
          <w:kern w:val="0"/>
          <w:szCs w:val="21"/>
          <w:highlight w:val="none"/>
        </w:rPr>
        <w:t>小组书面记录相关情况。</w:t>
      </w:r>
      <w:r>
        <w:rPr>
          <w:rFonts w:hint="eastAsia" w:ascii="华文中宋" w:hAnsi="华文中宋" w:eastAsia="华文中宋"/>
          <w:color w:val="auto"/>
          <w:kern w:val="0"/>
          <w:szCs w:val="21"/>
          <w:highlight w:val="none"/>
          <w:lang w:val="en-US" w:eastAsia="zh-CN"/>
        </w:rPr>
        <w:t>评审</w:t>
      </w:r>
      <w:r>
        <w:rPr>
          <w:rFonts w:hint="eastAsia" w:ascii="华文中宋" w:hAnsi="华文中宋" w:eastAsia="华文中宋"/>
          <w:color w:val="auto"/>
          <w:kern w:val="0"/>
          <w:szCs w:val="21"/>
          <w:highlight w:val="none"/>
        </w:rPr>
        <w:t>小组成员拒绝在报告上签字又不书面说明其不同意见和理</w:t>
      </w:r>
      <w:r>
        <w:rPr>
          <w:rFonts w:ascii="华文中宋" w:hAnsi="华文中宋" w:eastAsia="华文中宋"/>
          <w:color w:val="auto"/>
          <w:kern w:val="0"/>
          <w:szCs w:val="21"/>
          <w:highlight w:val="none"/>
        </w:rPr>
        <w:t xml:space="preserve"> </w:t>
      </w:r>
      <w:r>
        <w:rPr>
          <w:rFonts w:hint="eastAsia" w:ascii="华文中宋" w:hAnsi="华文中宋" w:eastAsia="华文中宋"/>
          <w:color w:val="auto"/>
          <w:kern w:val="0"/>
          <w:szCs w:val="21"/>
          <w:highlight w:val="none"/>
        </w:rPr>
        <w:t>由的，视为同意评审报告。</w:t>
      </w:r>
    </w:p>
    <w:p w14:paraId="5C95E5E5">
      <w:pPr>
        <w:pStyle w:val="59"/>
        <w:snapToGrid w:val="0"/>
        <w:spacing w:line="360" w:lineRule="auto"/>
        <w:ind w:firstLine="420" w:firstLineChars="200"/>
        <w:textAlignment w:val="auto"/>
        <w:rPr>
          <w:rFonts w:ascii="华文中宋" w:hAnsi="华文中宋" w:eastAsia="华文中宋"/>
          <w:b/>
          <w:color w:val="auto"/>
          <w:highlight w:val="none"/>
        </w:rPr>
      </w:pPr>
      <w:r>
        <w:rPr>
          <w:rFonts w:ascii="华文中宋" w:hAnsi="华文中宋" w:eastAsia="华文中宋"/>
          <w:b/>
          <w:color w:val="auto"/>
          <w:highlight w:val="none"/>
        </w:rPr>
        <w:t>2</w:t>
      </w:r>
      <w:r>
        <w:rPr>
          <w:rFonts w:hint="eastAsia" w:ascii="华文中宋" w:hAnsi="华文中宋" w:eastAsia="华文中宋"/>
          <w:b/>
          <w:color w:val="auto"/>
          <w:highlight w:val="none"/>
          <w:lang w:val="en-US" w:eastAsia="zh-CN"/>
        </w:rPr>
        <w:t>6</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编写评标报告</w:t>
      </w:r>
    </w:p>
    <w:p w14:paraId="330B6E3E">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评标委员会评审组长根据全体评标成员签字的原始评标记录和评标结果编写评标报告，并由全体评标成员共同签字确认。</w:t>
      </w:r>
    </w:p>
    <w:p w14:paraId="3C1075A3">
      <w:pPr>
        <w:pStyle w:val="59"/>
        <w:snapToGrid w:val="0"/>
        <w:spacing w:line="360" w:lineRule="auto"/>
        <w:ind w:firstLine="420" w:firstLineChars="200"/>
        <w:textAlignment w:val="auto"/>
        <w:rPr>
          <w:rFonts w:ascii="华文中宋" w:hAnsi="华文中宋" w:eastAsia="华文中宋"/>
          <w:b/>
          <w:color w:val="auto"/>
          <w:highlight w:val="none"/>
        </w:rPr>
      </w:pPr>
      <w:r>
        <w:rPr>
          <w:rFonts w:ascii="华文中宋" w:hAnsi="华文中宋" w:eastAsia="华文中宋"/>
          <w:b/>
          <w:color w:val="auto"/>
          <w:highlight w:val="none"/>
        </w:rPr>
        <w:t>2</w:t>
      </w:r>
      <w:r>
        <w:rPr>
          <w:rFonts w:hint="eastAsia" w:ascii="华文中宋" w:hAnsi="华文中宋" w:eastAsia="华文中宋"/>
          <w:b/>
          <w:color w:val="auto"/>
          <w:highlight w:val="none"/>
          <w:lang w:val="en-US" w:eastAsia="zh-CN"/>
        </w:rPr>
        <w:t>7</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评标过程保密</w:t>
      </w:r>
    </w:p>
    <w:p w14:paraId="45A1E40F">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采购人、集采机构要采取必要措施，保证评标在严格保密的情况下进行。除采购人代表、评标现场组织人员外，采购人的其他工作人员以及与评标工作无关的人员不得进入评标现场。</w:t>
      </w:r>
    </w:p>
    <w:p w14:paraId="777369C6">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有关人员对评标情况以及在评标过程中获悉的国家秘密、商业秘密负有保密责任。</w:t>
      </w:r>
    </w:p>
    <w:p w14:paraId="3389ECA4">
      <w:pPr>
        <w:spacing w:line="360" w:lineRule="auto"/>
        <w:ind w:firstLine="474" w:firstLineChars="226"/>
        <w:rPr>
          <w:rFonts w:ascii="华文中宋" w:hAnsi="华文中宋" w:eastAsia="华文中宋"/>
          <w:b/>
          <w:color w:val="auto"/>
          <w:szCs w:val="21"/>
          <w:highlight w:val="none"/>
        </w:rPr>
      </w:pPr>
      <w:r>
        <w:rPr>
          <w:rFonts w:ascii="华文中宋" w:hAnsi="华文中宋" w:eastAsia="华文中宋"/>
          <w:b/>
          <w:color w:val="auto"/>
          <w:szCs w:val="21"/>
          <w:highlight w:val="none"/>
        </w:rPr>
        <w:t>2</w:t>
      </w:r>
      <w:r>
        <w:rPr>
          <w:rFonts w:hint="eastAsia" w:ascii="华文中宋" w:hAnsi="华文中宋" w:eastAsia="华文中宋"/>
          <w:b/>
          <w:color w:val="auto"/>
          <w:szCs w:val="21"/>
          <w:highlight w:val="none"/>
          <w:lang w:val="en-US" w:eastAsia="zh-CN"/>
        </w:rPr>
        <w:t>8</w:t>
      </w:r>
      <w:r>
        <w:rPr>
          <w:rFonts w:ascii="华文中宋" w:hAnsi="华文中宋" w:eastAsia="华文中宋"/>
          <w:b/>
          <w:color w:val="auto"/>
          <w:szCs w:val="21"/>
          <w:highlight w:val="none"/>
        </w:rPr>
        <w:t xml:space="preserve">. </w:t>
      </w:r>
      <w:r>
        <w:rPr>
          <w:rFonts w:hint="eastAsia" w:ascii="华文中宋" w:hAnsi="华文中宋" w:eastAsia="华文中宋"/>
          <w:b/>
          <w:color w:val="auto"/>
          <w:szCs w:val="21"/>
          <w:highlight w:val="none"/>
        </w:rPr>
        <w:t>采购项目废标</w:t>
      </w:r>
    </w:p>
    <w:p w14:paraId="101ABBB6">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lang w:val="en-US" w:eastAsia="zh-CN"/>
        </w:rPr>
        <w:t>8</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在评标过程中，评标委员会发现有下列情形之一的，应对采购项目予以废标：</w:t>
      </w:r>
    </w:p>
    <w:p w14:paraId="3F12D3D3">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1</w:t>
      </w:r>
      <w:r>
        <w:rPr>
          <w:rFonts w:hint="eastAsia" w:ascii="华文中宋" w:hAnsi="华文中宋" w:eastAsia="华文中宋"/>
          <w:color w:val="auto"/>
          <w:highlight w:val="none"/>
        </w:rPr>
        <w:t>）符合专业条件的投标供应商或者对招标文件作实质响应的供应商数量不足</w:t>
      </w:r>
      <w:r>
        <w:rPr>
          <w:rFonts w:ascii="华文中宋" w:hAnsi="华文中宋" w:eastAsia="华文中宋"/>
          <w:color w:val="auto"/>
          <w:highlight w:val="none"/>
        </w:rPr>
        <w:t>3</w:t>
      </w:r>
      <w:r>
        <w:rPr>
          <w:rFonts w:hint="eastAsia" w:ascii="华文中宋" w:hAnsi="华文中宋" w:eastAsia="华文中宋"/>
          <w:color w:val="auto"/>
          <w:highlight w:val="none"/>
        </w:rPr>
        <w:t>家的；</w:t>
      </w:r>
    </w:p>
    <w:p w14:paraId="734AD33E">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2</w:t>
      </w:r>
      <w:r>
        <w:rPr>
          <w:rFonts w:hint="eastAsia" w:ascii="华文中宋" w:hAnsi="华文中宋" w:eastAsia="华文中宋"/>
          <w:color w:val="auto"/>
          <w:highlight w:val="none"/>
        </w:rPr>
        <w:t>）投标人的报价均超过采购预算或最高限价的；</w:t>
      </w:r>
    </w:p>
    <w:p w14:paraId="31F7FBDA">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3</w:t>
      </w:r>
      <w:r>
        <w:rPr>
          <w:rFonts w:hint="eastAsia" w:ascii="华文中宋" w:hAnsi="华文中宋" w:eastAsia="华文中宋"/>
          <w:color w:val="auto"/>
          <w:highlight w:val="none"/>
        </w:rPr>
        <w:t>）出现影响采购公正的违法、违规行为的；</w:t>
      </w:r>
    </w:p>
    <w:p w14:paraId="6572A3F3">
      <w:pPr>
        <w:pStyle w:val="59"/>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4</w:t>
      </w:r>
      <w:r>
        <w:rPr>
          <w:rFonts w:hint="eastAsia" w:ascii="华文中宋" w:hAnsi="华文中宋" w:eastAsia="华文中宋"/>
          <w:color w:val="auto"/>
          <w:highlight w:val="none"/>
        </w:rPr>
        <w:t>）因重大变故，采购任务取消的。</w:t>
      </w:r>
    </w:p>
    <w:p w14:paraId="7CD1E957">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采购项目废标后，评标委员会应做出书面报告。</w:t>
      </w:r>
    </w:p>
    <w:p w14:paraId="78F804F9">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lang w:val="en-US" w:eastAsia="zh-CN"/>
        </w:rPr>
        <w:t>8</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废标后，集采机构将在财政部门指定的媒体上发布废标结果公告。</w:t>
      </w:r>
    </w:p>
    <w:p w14:paraId="0985D782">
      <w:pPr>
        <w:pStyle w:val="3"/>
        <w:numPr>
          <w:ilvl w:val="1"/>
          <w:numId w:val="0"/>
        </w:numPr>
        <w:spacing w:before="31" w:beforeLines="10" w:after="31" w:afterLines="10" w:line="360" w:lineRule="auto"/>
        <w:ind w:firstLine="390" w:firstLineChars="150"/>
        <w:jc w:val="both"/>
        <w:rPr>
          <w:rFonts w:ascii="华文中宋" w:hAnsi="华文中宋" w:eastAsia="华文中宋"/>
          <w:color w:val="auto"/>
          <w:spacing w:val="10"/>
          <w:sz w:val="24"/>
          <w:szCs w:val="24"/>
          <w:highlight w:val="none"/>
        </w:rPr>
      </w:pPr>
      <w:bookmarkStart w:id="31" w:name="_Toc32242"/>
      <w:bookmarkStart w:id="32" w:name="_Toc9353"/>
      <w:bookmarkStart w:id="33" w:name="_Toc424378691"/>
      <w:r>
        <w:rPr>
          <w:rFonts w:hint="eastAsia" w:ascii="华文中宋" w:hAnsi="华文中宋" w:eastAsia="华文中宋"/>
          <w:color w:val="auto"/>
          <w:spacing w:val="10"/>
          <w:sz w:val="24"/>
          <w:szCs w:val="24"/>
          <w:highlight w:val="none"/>
        </w:rPr>
        <w:t>六、签订合同</w:t>
      </w:r>
      <w:bookmarkEnd w:id="31"/>
      <w:bookmarkEnd w:id="32"/>
      <w:bookmarkEnd w:id="33"/>
    </w:p>
    <w:p w14:paraId="6BA1E7CA">
      <w:pPr>
        <w:spacing w:line="360" w:lineRule="auto"/>
        <w:rPr>
          <w:rFonts w:ascii="华文中宋" w:hAnsi="华文中宋" w:eastAsia="华文中宋"/>
          <w:b/>
          <w:color w:val="auto"/>
          <w:szCs w:val="21"/>
          <w:highlight w:val="none"/>
        </w:rPr>
      </w:pPr>
      <w:r>
        <w:rPr>
          <w:rFonts w:ascii="华文中宋" w:hAnsi="华文中宋" w:eastAsia="华文中宋"/>
          <w:b/>
          <w:color w:val="auto"/>
          <w:szCs w:val="21"/>
          <w:highlight w:val="none"/>
        </w:rPr>
        <w:t xml:space="preserve">    </w:t>
      </w:r>
      <w:r>
        <w:rPr>
          <w:rFonts w:hint="eastAsia" w:ascii="华文中宋" w:hAnsi="华文中宋" w:eastAsia="华文中宋"/>
          <w:b/>
          <w:color w:val="auto"/>
          <w:szCs w:val="21"/>
          <w:highlight w:val="none"/>
          <w:lang w:val="en-US" w:eastAsia="zh-CN"/>
        </w:rPr>
        <w:t>29</w:t>
      </w:r>
      <w:r>
        <w:rPr>
          <w:rFonts w:hint="eastAsia" w:ascii="华文中宋" w:hAnsi="华文中宋" w:eastAsia="华文中宋"/>
          <w:b/>
          <w:color w:val="auto"/>
          <w:szCs w:val="21"/>
          <w:highlight w:val="none"/>
        </w:rPr>
        <w:t>．中标通知</w:t>
      </w:r>
    </w:p>
    <w:p w14:paraId="2FBF561E">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29</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中标供应商确定后，集采机构将在刊登本次招标公告的媒体上发布中标公告，中标供应商可在政府采购云平台中自行下载打印中标通知书，但该中标结果的有效性不依赖于未中标的投标人是否知道中标结果。中标通知书对采购人和中标人具有同等法律效力。中标通知书发出以后，采购人改变中标结果或者中标供应商放弃中标，应当承担相应的法律责任。</w:t>
      </w:r>
    </w:p>
    <w:p w14:paraId="48B41187">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29</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集采机构对未中标的投标人不作未中标原因的解释。</w:t>
      </w:r>
    </w:p>
    <w:p w14:paraId="75AEF403">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29</w:t>
      </w:r>
      <w:r>
        <w:rPr>
          <w:rFonts w:ascii="华文中宋" w:hAnsi="华文中宋" w:eastAsia="华文中宋"/>
          <w:color w:val="auto"/>
          <w:highlight w:val="none"/>
        </w:rPr>
        <w:t xml:space="preserve">.3 </w:t>
      </w:r>
      <w:r>
        <w:rPr>
          <w:rFonts w:hint="eastAsia" w:ascii="华文中宋" w:hAnsi="华文中宋" w:eastAsia="华文中宋"/>
          <w:color w:val="auto"/>
          <w:highlight w:val="none"/>
        </w:rPr>
        <w:t>中标通知书是合同的组成部分。</w:t>
      </w:r>
    </w:p>
    <w:p w14:paraId="0308ACD7">
      <w:pPr>
        <w:pStyle w:val="59"/>
        <w:snapToGrid w:val="0"/>
        <w:spacing w:line="360" w:lineRule="auto"/>
        <w:ind w:firstLine="462" w:firstLineChars="220"/>
        <w:textAlignment w:val="auto"/>
        <w:rPr>
          <w:rFonts w:ascii="华文中宋" w:hAnsi="华文中宋" w:eastAsia="华文中宋"/>
          <w:color w:val="auto"/>
          <w:highlight w:val="none"/>
        </w:rPr>
      </w:pPr>
      <w:r>
        <w:rPr>
          <w:rFonts w:ascii="华文中宋" w:hAnsi="华文中宋" w:eastAsia="华文中宋"/>
          <w:b/>
          <w:color w:val="auto"/>
          <w:highlight w:val="none"/>
        </w:rPr>
        <w:t>3</w:t>
      </w:r>
      <w:r>
        <w:rPr>
          <w:rFonts w:hint="eastAsia" w:ascii="华文中宋" w:hAnsi="华文中宋" w:eastAsia="华文中宋"/>
          <w:b/>
          <w:color w:val="auto"/>
          <w:highlight w:val="none"/>
          <w:lang w:val="en-US" w:eastAsia="zh-CN"/>
        </w:rPr>
        <w:t>0</w:t>
      </w:r>
      <w:r>
        <w:rPr>
          <w:rFonts w:hint="eastAsia" w:ascii="华文中宋" w:hAnsi="华文中宋" w:eastAsia="华文中宋"/>
          <w:b/>
          <w:color w:val="auto"/>
          <w:highlight w:val="none"/>
        </w:rPr>
        <w:t>．签订合同</w:t>
      </w:r>
    </w:p>
    <w:p w14:paraId="6EDDC7EA">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3</w:t>
      </w:r>
      <w:r>
        <w:rPr>
          <w:rFonts w:hint="eastAsia" w:ascii="华文中宋" w:hAnsi="华文中宋" w:eastAsia="华文中宋"/>
          <w:color w:val="auto"/>
          <w:highlight w:val="none"/>
          <w:lang w:val="en-US" w:eastAsia="zh-CN"/>
        </w:rPr>
        <w:t>0</w:t>
      </w:r>
      <w:r>
        <w:rPr>
          <w:rFonts w:ascii="华文中宋" w:hAnsi="华文中宋" w:eastAsia="华文中宋"/>
          <w:color w:val="auto"/>
          <w:highlight w:val="none"/>
        </w:rPr>
        <w:t xml:space="preserve">.1 </w:t>
      </w:r>
      <w:r>
        <w:rPr>
          <w:rFonts w:hint="eastAsia" w:ascii="华文中宋" w:hAnsi="华文中宋" w:eastAsia="华文中宋" w:cs="华文中宋"/>
          <w:color w:val="auto"/>
          <w:highlight w:val="none"/>
        </w:rPr>
        <w:t>采购人应当自中标通知书（在系统中自行下载）发出之日起</w:t>
      </w:r>
      <w:r>
        <w:rPr>
          <w:rFonts w:ascii="华文中宋" w:hAnsi="华文中宋" w:eastAsia="华文中宋" w:cs="华文中宋"/>
          <w:color w:val="auto"/>
          <w:highlight w:val="none"/>
        </w:rPr>
        <w:t>30</w:t>
      </w:r>
      <w:r>
        <w:rPr>
          <w:rFonts w:hint="eastAsia" w:ascii="华文中宋" w:hAnsi="华文中宋" w:eastAsia="华文中宋" w:cs="华文中宋"/>
          <w:color w:val="auto"/>
          <w:highlight w:val="none"/>
        </w:rPr>
        <w:t>日内与中标人在</w:t>
      </w:r>
      <w:r>
        <w:rPr>
          <w:rFonts w:hint="eastAsia" w:ascii="华文中宋" w:hAnsi="华文中宋" w:eastAsia="华文中宋"/>
          <w:color w:val="auto"/>
          <w:highlight w:val="none"/>
        </w:rPr>
        <w:t>山西政府采购</w:t>
      </w:r>
      <w:r>
        <w:rPr>
          <w:rFonts w:hint="eastAsia" w:ascii="华文中宋" w:hAnsi="华文中宋" w:eastAsia="华文中宋"/>
          <w:color w:val="auto"/>
          <w:highlight w:val="none"/>
          <w:lang w:val="en-US" w:eastAsia="zh-CN"/>
        </w:rPr>
        <w:t>业务执行系统中</w:t>
      </w:r>
      <w:r>
        <w:rPr>
          <w:rFonts w:hint="eastAsia" w:ascii="华文中宋" w:hAnsi="华文中宋" w:eastAsia="华文中宋" w:cs="华文中宋"/>
          <w:color w:val="auto"/>
          <w:highlight w:val="none"/>
        </w:rPr>
        <w:t>线上签订政府采购合同。</w:t>
      </w:r>
    </w:p>
    <w:p w14:paraId="21FADD11">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3</w:t>
      </w:r>
      <w:r>
        <w:rPr>
          <w:rFonts w:hint="eastAsia" w:ascii="华文中宋" w:hAnsi="华文中宋" w:eastAsia="华文中宋"/>
          <w:color w:val="auto"/>
          <w:highlight w:val="none"/>
          <w:lang w:val="en-US" w:eastAsia="zh-CN"/>
        </w:rPr>
        <w:t>0</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中标人应按照招标文件、投标文件及评标过程中的有关澄清、说明或者补正文件的内容与采购人签订合同。中标人不得再与采购人签订背离合同实质性内容的其它协议或声明。</w:t>
      </w:r>
    </w:p>
    <w:p w14:paraId="1385B963">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3</w:t>
      </w:r>
      <w:r>
        <w:rPr>
          <w:rFonts w:hint="eastAsia" w:ascii="华文中宋" w:hAnsi="华文中宋" w:eastAsia="华文中宋"/>
          <w:color w:val="auto"/>
          <w:highlight w:val="none"/>
          <w:lang w:val="en-US" w:eastAsia="zh-CN"/>
        </w:rPr>
        <w:t>0</w:t>
      </w:r>
      <w:r>
        <w:rPr>
          <w:rFonts w:ascii="华文中宋" w:hAnsi="华文中宋" w:eastAsia="华文中宋"/>
          <w:color w:val="auto"/>
          <w:highlight w:val="none"/>
        </w:rPr>
        <w:t>.3</w:t>
      </w:r>
      <w:r>
        <w:rPr>
          <w:rFonts w:hint="eastAsia" w:ascii="华文中宋" w:hAnsi="华文中宋" w:eastAsia="华文中宋"/>
          <w:color w:val="auto"/>
          <w:highlight w:val="none"/>
        </w:rPr>
        <w:t>本文件第四部分采购需求中要求中标供应商提交履约保证金的，中标供应商须按照规定向采购人提交履约保证金。</w:t>
      </w:r>
    </w:p>
    <w:p w14:paraId="3234FFEE">
      <w:pPr>
        <w:pStyle w:val="3"/>
        <w:numPr>
          <w:ilvl w:val="1"/>
          <w:numId w:val="0"/>
        </w:numPr>
        <w:spacing w:before="31" w:beforeLines="10" w:after="31" w:afterLines="10" w:line="360" w:lineRule="auto"/>
        <w:ind w:left="447"/>
        <w:jc w:val="both"/>
        <w:rPr>
          <w:rFonts w:ascii="华文中宋" w:hAnsi="华文中宋" w:eastAsia="华文中宋"/>
          <w:color w:val="auto"/>
          <w:spacing w:val="10"/>
          <w:sz w:val="24"/>
          <w:szCs w:val="24"/>
          <w:highlight w:val="none"/>
        </w:rPr>
      </w:pPr>
      <w:bookmarkStart w:id="34" w:name="_Toc424378692"/>
      <w:bookmarkStart w:id="35" w:name="_Toc421716587"/>
      <w:bookmarkStart w:id="36" w:name="_Toc12256"/>
      <w:bookmarkStart w:id="37" w:name="_Toc18682"/>
      <w:r>
        <w:rPr>
          <w:rFonts w:hint="eastAsia" w:ascii="华文中宋" w:hAnsi="华文中宋" w:eastAsia="华文中宋"/>
          <w:color w:val="auto"/>
          <w:spacing w:val="10"/>
          <w:sz w:val="24"/>
          <w:szCs w:val="24"/>
          <w:highlight w:val="none"/>
        </w:rPr>
        <w:t>七、服务费</w:t>
      </w:r>
      <w:bookmarkEnd w:id="34"/>
      <w:bookmarkEnd w:id="35"/>
      <w:bookmarkEnd w:id="36"/>
      <w:bookmarkEnd w:id="37"/>
      <w:r>
        <w:rPr>
          <w:rFonts w:hint="eastAsia" w:ascii="华文中宋" w:hAnsi="华文中宋" w:eastAsia="华文中宋"/>
          <w:color w:val="auto"/>
          <w:spacing w:val="10"/>
          <w:sz w:val="24"/>
          <w:szCs w:val="24"/>
          <w:highlight w:val="none"/>
        </w:rPr>
        <w:t>　　</w:t>
      </w:r>
    </w:p>
    <w:p w14:paraId="4E71BF8B">
      <w:pPr>
        <w:pStyle w:val="59"/>
        <w:snapToGrid w:val="0"/>
        <w:spacing w:line="360" w:lineRule="auto"/>
        <w:ind w:firstLine="420" w:firstLineChars="200"/>
        <w:textAlignment w:val="auto"/>
        <w:rPr>
          <w:rFonts w:ascii="华文中宋" w:hAnsi="华文中宋" w:eastAsia="华文中宋"/>
          <w:b/>
          <w:color w:val="auto"/>
          <w:highlight w:val="none"/>
        </w:rPr>
      </w:pPr>
      <w:r>
        <w:rPr>
          <w:rFonts w:ascii="华文中宋" w:hAnsi="华文中宋" w:eastAsia="华文中宋"/>
          <w:b/>
          <w:color w:val="auto"/>
          <w:highlight w:val="none"/>
        </w:rPr>
        <w:t>3</w:t>
      </w:r>
      <w:r>
        <w:rPr>
          <w:rFonts w:hint="eastAsia" w:ascii="华文中宋" w:hAnsi="华文中宋" w:eastAsia="华文中宋"/>
          <w:b/>
          <w:color w:val="auto"/>
          <w:highlight w:val="none"/>
          <w:lang w:val="en-US" w:eastAsia="zh-CN"/>
        </w:rPr>
        <w:t>1</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服务费</w:t>
      </w:r>
    </w:p>
    <w:p w14:paraId="3929080C">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集采机构作为非营利事业法人，是集中采购项目的执行机构，在政府采购活动中不收取任何服务费。</w:t>
      </w:r>
    </w:p>
    <w:p w14:paraId="25E92D8E">
      <w:pPr>
        <w:pStyle w:val="3"/>
        <w:numPr>
          <w:ilvl w:val="1"/>
          <w:numId w:val="0"/>
        </w:numPr>
        <w:spacing w:before="31" w:beforeLines="10" w:after="31" w:afterLines="10" w:line="360" w:lineRule="auto"/>
        <w:ind w:left="420"/>
        <w:jc w:val="both"/>
        <w:rPr>
          <w:rFonts w:ascii="华文中宋" w:hAnsi="华文中宋" w:eastAsia="华文中宋"/>
          <w:color w:val="auto"/>
          <w:spacing w:val="10"/>
          <w:sz w:val="24"/>
          <w:szCs w:val="24"/>
          <w:highlight w:val="none"/>
        </w:rPr>
      </w:pPr>
      <w:bookmarkStart w:id="38" w:name="_Toc421716588"/>
      <w:bookmarkStart w:id="39" w:name="_Toc3186"/>
      <w:bookmarkStart w:id="40" w:name="_Toc424378693"/>
      <w:bookmarkStart w:id="41" w:name="_Toc29869"/>
      <w:r>
        <w:rPr>
          <w:rFonts w:hint="eastAsia" w:ascii="华文中宋" w:hAnsi="华文中宋" w:eastAsia="华文中宋"/>
          <w:color w:val="auto"/>
          <w:spacing w:val="10"/>
          <w:sz w:val="24"/>
          <w:szCs w:val="24"/>
          <w:highlight w:val="none"/>
        </w:rPr>
        <w:t>八、保密和披露</w:t>
      </w:r>
      <w:bookmarkEnd w:id="38"/>
      <w:bookmarkEnd w:id="39"/>
      <w:bookmarkEnd w:id="40"/>
      <w:bookmarkEnd w:id="41"/>
    </w:p>
    <w:p w14:paraId="7B612791">
      <w:pPr>
        <w:pStyle w:val="59"/>
        <w:adjustRightInd/>
        <w:spacing w:line="360" w:lineRule="auto"/>
        <w:ind w:left="1" w:firstLine="25" w:firstLineChars="12"/>
        <w:textAlignment w:val="auto"/>
        <w:rPr>
          <w:rFonts w:ascii="华文中宋" w:hAnsi="华文中宋" w:eastAsia="华文中宋"/>
          <w:b/>
          <w:color w:val="auto"/>
          <w:highlight w:val="none"/>
        </w:rPr>
      </w:pPr>
      <w:r>
        <w:rPr>
          <w:rFonts w:ascii="华文中宋" w:hAnsi="华文中宋" w:eastAsia="华文中宋"/>
          <w:b/>
          <w:color w:val="auto"/>
          <w:highlight w:val="none"/>
        </w:rPr>
        <w:t xml:space="preserve">    3</w:t>
      </w:r>
      <w:r>
        <w:rPr>
          <w:rFonts w:hint="eastAsia" w:ascii="华文中宋" w:hAnsi="华文中宋" w:eastAsia="华文中宋"/>
          <w:b/>
          <w:color w:val="auto"/>
          <w:highlight w:val="none"/>
          <w:lang w:val="en-US" w:eastAsia="zh-CN"/>
        </w:rPr>
        <w:t>2</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保密</w:t>
      </w:r>
    </w:p>
    <w:p w14:paraId="78B05EB3">
      <w:pPr>
        <w:pStyle w:val="59"/>
        <w:snapToGrid w:val="0"/>
        <w:spacing w:line="360" w:lineRule="auto"/>
        <w:ind w:firstLine="420" w:firstLineChars="200"/>
        <w:textAlignment w:val="auto"/>
        <w:rPr>
          <w:rFonts w:ascii="华文中宋" w:hAnsi="华文中宋" w:eastAsia="华文中宋"/>
          <w:color w:val="auto"/>
          <w:highlight w:val="none"/>
        </w:rPr>
      </w:pPr>
      <w:r>
        <w:rPr>
          <w:rFonts w:hint="eastAsia" w:ascii="华文中宋" w:hAnsi="华文中宋" w:eastAsia="华文中宋"/>
          <w:color w:val="auto"/>
          <w:highlight w:val="none"/>
        </w:rPr>
        <w:t>投标人自领取招标文件之日起，须承诺承担本招标项目下的保密义务，不得将因本次招标获得的信息外传。</w:t>
      </w:r>
    </w:p>
    <w:p w14:paraId="359FFD76">
      <w:pPr>
        <w:pStyle w:val="59"/>
        <w:adjustRightInd/>
        <w:spacing w:line="360" w:lineRule="auto"/>
        <w:ind w:firstLine="25" w:firstLineChars="12"/>
        <w:textAlignment w:val="auto"/>
        <w:rPr>
          <w:rFonts w:ascii="华文中宋" w:hAnsi="华文中宋" w:eastAsia="华文中宋"/>
          <w:b/>
          <w:color w:val="auto"/>
          <w:highlight w:val="none"/>
        </w:rPr>
      </w:pPr>
      <w:r>
        <w:rPr>
          <w:rFonts w:ascii="华文中宋" w:hAnsi="华文中宋" w:eastAsia="华文中宋"/>
          <w:b/>
          <w:color w:val="auto"/>
          <w:highlight w:val="none"/>
        </w:rPr>
        <w:t xml:space="preserve">    3</w:t>
      </w:r>
      <w:r>
        <w:rPr>
          <w:rFonts w:hint="eastAsia" w:ascii="华文中宋" w:hAnsi="华文中宋" w:eastAsia="华文中宋"/>
          <w:b/>
          <w:color w:val="auto"/>
          <w:highlight w:val="none"/>
          <w:lang w:val="en-US" w:eastAsia="zh-CN"/>
        </w:rPr>
        <w:t>3</w:t>
      </w:r>
      <w:r>
        <w:rPr>
          <w:rFonts w:ascii="华文中宋" w:hAnsi="华文中宋" w:eastAsia="华文中宋"/>
          <w:b/>
          <w:color w:val="auto"/>
          <w:highlight w:val="none"/>
        </w:rPr>
        <w:t xml:space="preserve">. </w:t>
      </w:r>
      <w:r>
        <w:rPr>
          <w:rFonts w:hint="eastAsia" w:ascii="华文中宋" w:hAnsi="华文中宋" w:eastAsia="华文中宋"/>
          <w:b/>
          <w:color w:val="auto"/>
          <w:highlight w:val="none"/>
        </w:rPr>
        <w:t>披露</w:t>
      </w:r>
    </w:p>
    <w:p w14:paraId="6CB9A89C">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3</w:t>
      </w:r>
      <w:r>
        <w:rPr>
          <w:rFonts w:hint="eastAsia" w:ascii="华文中宋" w:hAnsi="华文中宋" w:eastAsia="华文中宋"/>
          <w:color w:val="auto"/>
          <w:highlight w:val="none"/>
          <w:lang w:val="en-US" w:eastAsia="zh-CN"/>
        </w:rPr>
        <w:t>3</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集采机构有权将投标人提供的所有资料向有关政府部门或评审标书的有关人员披露。</w:t>
      </w:r>
    </w:p>
    <w:p w14:paraId="4834C99E">
      <w:pPr>
        <w:pStyle w:val="59"/>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3</w:t>
      </w:r>
      <w:r>
        <w:rPr>
          <w:rFonts w:hint="eastAsia" w:ascii="华文中宋" w:hAnsi="华文中宋" w:eastAsia="华文中宋"/>
          <w:color w:val="auto"/>
          <w:highlight w:val="none"/>
          <w:lang w:val="en-US" w:eastAsia="zh-CN"/>
        </w:rPr>
        <w:t>3</w:t>
      </w:r>
      <w:r>
        <w:rPr>
          <w:rFonts w:ascii="华文中宋" w:hAnsi="华文中宋" w:eastAsia="华文中宋"/>
          <w:color w:val="auto"/>
          <w:highlight w:val="none"/>
        </w:rPr>
        <w:t xml:space="preserve">.2 </w:t>
      </w:r>
      <w:r>
        <w:rPr>
          <w:rFonts w:hint="eastAsia" w:ascii="华文中宋" w:hAnsi="华文中宋" w:eastAsia="华文中宋"/>
          <w:color w:val="auto"/>
          <w:highlight w:val="none"/>
        </w:rPr>
        <w:t>在集采机构认为适当时或国家机关调查、审查、审计时以及其他符合法律法规规定的情形下，集采机构无须事先征求投标人</w:t>
      </w:r>
      <w:r>
        <w:rPr>
          <w:rFonts w:ascii="华文中宋" w:hAnsi="华文中宋" w:eastAsia="华文中宋"/>
          <w:color w:val="auto"/>
          <w:highlight w:val="none"/>
        </w:rPr>
        <w:t>/</w:t>
      </w:r>
      <w:r>
        <w:rPr>
          <w:rFonts w:hint="eastAsia" w:ascii="华文中宋" w:hAnsi="华文中宋" w:eastAsia="华文中宋"/>
          <w:color w:val="auto"/>
          <w:highlight w:val="none"/>
        </w:rPr>
        <w:t>中标人同意即可披露关于采购过程、合同文本、签署情况的资料、投标人</w:t>
      </w:r>
      <w:r>
        <w:rPr>
          <w:rFonts w:ascii="华文中宋" w:hAnsi="华文中宋" w:eastAsia="华文中宋"/>
          <w:color w:val="auto"/>
          <w:highlight w:val="none"/>
        </w:rPr>
        <w:t>/</w:t>
      </w:r>
      <w:r>
        <w:rPr>
          <w:rFonts w:hint="eastAsia" w:ascii="华文中宋" w:hAnsi="华文中宋" w:eastAsia="华文中宋"/>
          <w:color w:val="auto"/>
          <w:highlight w:val="none"/>
        </w:rPr>
        <w:t>中标人的名称及地址、投标文件的有关信息以及补充条款等，但必须在合理的必要范围内。对任何已经公布过的内容或与之内容相同的资料，以及投标人</w:t>
      </w:r>
      <w:r>
        <w:rPr>
          <w:rFonts w:ascii="华文中宋" w:hAnsi="华文中宋" w:eastAsia="华文中宋"/>
          <w:color w:val="auto"/>
          <w:highlight w:val="none"/>
        </w:rPr>
        <w:t>/</w:t>
      </w:r>
      <w:r>
        <w:rPr>
          <w:rFonts w:hint="eastAsia" w:ascii="华文中宋" w:hAnsi="华文中宋" w:eastAsia="华文中宋"/>
          <w:color w:val="auto"/>
          <w:highlight w:val="none"/>
        </w:rPr>
        <w:t>中标人已经泄露或公开的，无须再承担保密责任。</w:t>
      </w:r>
    </w:p>
    <w:p w14:paraId="11E229F3">
      <w:pPr>
        <w:pStyle w:val="3"/>
        <w:numPr>
          <w:ilvl w:val="1"/>
          <w:numId w:val="0"/>
        </w:numPr>
        <w:spacing w:before="31" w:beforeLines="10" w:after="31" w:afterLines="10" w:line="360" w:lineRule="auto"/>
        <w:ind w:firstLine="390" w:firstLineChars="150"/>
        <w:contextualSpacing/>
        <w:jc w:val="both"/>
        <w:rPr>
          <w:rFonts w:ascii="华文中宋" w:hAnsi="华文中宋" w:eastAsia="华文中宋"/>
          <w:color w:val="auto"/>
          <w:spacing w:val="10"/>
          <w:sz w:val="24"/>
          <w:szCs w:val="24"/>
          <w:highlight w:val="none"/>
        </w:rPr>
      </w:pPr>
      <w:bookmarkStart w:id="42" w:name="_Toc20833"/>
      <w:bookmarkStart w:id="43" w:name="_Toc3880"/>
      <w:bookmarkStart w:id="44" w:name="_Toc352761941"/>
      <w:r>
        <w:rPr>
          <w:rFonts w:hint="eastAsia" w:ascii="华文中宋" w:hAnsi="华文中宋" w:eastAsia="华文中宋"/>
          <w:color w:val="auto"/>
          <w:spacing w:val="10"/>
          <w:sz w:val="24"/>
          <w:szCs w:val="24"/>
          <w:highlight w:val="none"/>
        </w:rPr>
        <w:t>九、询问和质疑</w:t>
      </w:r>
      <w:bookmarkEnd w:id="42"/>
      <w:bookmarkEnd w:id="43"/>
    </w:p>
    <w:p w14:paraId="39D58B45">
      <w:pPr>
        <w:spacing w:line="360" w:lineRule="auto"/>
        <w:ind w:firstLine="420" w:firstLineChars="200"/>
        <w:rPr>
          <w:rFonts w:ascii="华文中宋" w:hAnsi="华文中宋" w:eastAsia="华文中宋"/>
          <w:b/>
          <w:color w:val="auto"/>
          <w:highlight w:val="none"/>
        </w:rPr>
      </w:pPr>
      <w:bookmarkStart w:id="45" w:name="_Toc18768"/>
      <w:r>
        <w:rPr>
          <w:rFonts w:ascii="华文中宋" w:hAnsi="华文中宋" w:eastAsia="华文中宋"/>
          <w:b/>
          <w:color w:val="auto"/>
          <w:highlight w:val="none"/>
        </w:rPr>
        <w:t>3</w:t>
      </w:r>
      <w:r>
        <w:rPr>
          <w:rFonts w:hint="eastAsia" w:ascii="华文中宋" w:hAnsi="华文中宋" w:eastAsia="华文中宋"/>
          <w:b/>
          <w:color w:val="auto"/>
          <w:highlight w:val="none"/>
          <w:lang w:val="en-US" w:eastAsia="zh-CN"/>
        </w:rPr>
        <w:t>4</w:t>
      </w:r>
      <w:r>
        <w:rPr>
          <w:rFonts w:hint="eastAsia" w:ascii="华文中宋" w:hAnsi="华文中宋" w:eastAsia="华文中宋"/>
          <w:b/>
          <w:color w:val="auto"/>
          <w:szCs w:val="21"/>
          <w:highlight w:val="none"/>
        </w:rPr>
        <w:t>．</w:t>
      </w:r>
      <w:r>
        <w:rPr>
          <w:rFonts w:hint="eastAsia" w:ascii="华文中宋" w:hAnsi="华文中宋" w:eastAsia="华文中宋"/>
          <w:b/>
          <w:color w:val="auto"/>
          <w:highlight w:val="none"/>
        </w:rPr>
        <w:t>询问和质疑的线上提交</w:t>
      </w:r>
    </w:p>
    <w:p w14:paraId="35464AA0">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3</w:t>
      </w:r>
      <w:r>
        <w:rPr>
          <w:rFonts w:hint="eastAsia" w:ascii="华文中宋" w:hAnsi="华文中宋" w:eastAsia="华文中宋"/>
          <w:color w:val="auto"/>
          <w:highlight w:val="none"/>
          <w:lang w:val="en-US" w:eastAsia="zh-CN"/>
        </w:rPr>
        <w:t>4</w:t>
      </w:r>
      <w:r>
        <w:rPr>
          <w:rFonts w:hint="eastAsia" w:ascii="华文中宋" w:hAnsi="华文中宋" w:eastAsia="华文中宋"/>
          <w:color w:val="auto"/>
          <w:highlight w:val="none"/>
        </w:rPr>
        <w:t>.1</w:t>
      </w:r>
      <w:r>
        <w:rPr>
          <w:rFonts w:hint="eastAsia" w:ascii="华文中宋" w:hAnsi="华文中宋" w:eastAsia="华文中宋"/>
          <w:color w:val="auto"/>
          <w:highlight w:val="none"/>
          <w:lang w:val="en-US" w:eastAsia="zh-CN"/>
        </w:rPr>
        <w:t>投标供应商</w:t>
      </w:r>
      <w:r>
        <w:rPr>
          <w:rFonts w:hint="eastAsia" w:ascii="华文中宋" w:hAnsi="华文中宋" w:eastAsia="华文中宋"/>
          <w:color w:val="auto"/>
          <w:highlight w:val="none"/>
        </w:rPr>
        <w:t>对</w:t>
      </w:r>
      <w:r>
        <w:rPr>
          <w:rFonts w:hint="eastAsia" w:ascii="华文中宋" w:hAnsi="华文中宋" w:eastAsia="华文中宋"/>
          <w:color w:val="auto"/>
          <w:highlight w:val="none"/>
          <w:lang w:val="en-US" w:eastAsia="zh-CN"/>
        </w:rPr>
        <w:t>招标</w:t>
      </w:r>
      <w:r>
        <w:rPr>
          <w:rFonts w:hint="eastAsia" w:ascii="华文中宋" w:hAnsi="华文中宋" w:eastAsia="华文中宋"/>
          <w:color w:val="auto"/>
          <w:highlight w:val="none"/>
        </w:rPr>
        <w:t>文件（除采购需求、综合评分细则）、</w:t>
      </w:r>
      <w:r>
        <w:rPr>
          <w:rFonts w:hint="eastAsia" w:ascii="华文中宋" w:hAnsi="华文中宋" w:eastAsia="华文中宋"/>
          <w:color w:val="auto"/>
          <w:highlight w:val="none"/>
          <w:lang w:val="en-US" w:eastAsia="zh-CN"/>
        </w:rPr>
        <w:t>评审</w:t>
      </w:r>
      <w:r>
        <w:rPr>
          <w:rFonts w:hint="eastAsia" w:ascii="华文中宋" w:hAnsi="华文中宋" w:eastAsia="华文中宋"/>
          <w:color w:val="auto"/>
          <w:highlight w:val="none"/>
        </w:rPr>
        <w:t>过程、采购结果进行口头询问的，可按第一部分</w:t>
      </w:r>
      <w:r>
        <w:rPr>
          <w:rFonts w:hint="eastAsia" w:ascii="华文中宋" w:hAnsi="华文中宋" w:eastAsia="华文中宋"/>
          <w:color w:val="auto"/>
          <w:highlight w:val="none"/>
          <w:lang w:val="en-US" w:eastAsia="zh-CN"/>
        </w:rPr>
        <w:t>招标</w:t>
      </w:r>
      <w:r>
        <w:rPr>
          <w:rFonts w:hint="eastAsia" w:ascii="华文中宋" w:hAnsi="华文中宋" w:eastAsia="华文中宋"/>
          <w:color w:val="auto"/>
          <w:highlight w:val="none"/>
        </w:rPr>
        <w:t>邀请中载明的联系方式、地址向集采机口头提出询问。</w:t>
      </w:r>
    </w:p>
    <w:p w14:paraId="5D3A8640">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3</w:t>
      </w:r>
      <w:r>
        <w:rPr>
          <w:rFonts w:hint="eastAsia" w:ascii="华文中宋" w:hAnsi="华文中宋" w:eastAsia="华文中宋"/>
          <w:color w:val="auto"/>
          <w:highlight w:val="none"/>
          <w:lang w:val="en-US" w:eastAsia="zh-CN"/>
        </w:rPr>
        <w:t>4</w:t>
      </w:r>
      <w:r>
        <w:rPr>
          <w:rFonts w:hint="eastAsia" w:ascii="华文中宋" w:hAnsi="华文中宋" w:eastAsia="华文中宋"/>
          <w:color w:val="auto"/>
          <w:highlight w:val="none"/>
        </w:rPr>
        <w:t>.2</w:t>
      </w:r>
      <w:r>
        <w:rPr>
          <w:rFonts w:hint="eastAsia" w:ascii="华文中宋" w:hAnsi="华文中宋" w:eastAsia="华文中宋"/>
          <w:color w:val="auto"/>
          <w:highlight w:val="none"/>
          <w:lang w:val="en-US" w:eastAsia="zh-CN"/>
        </w:rPr>
        <w:t>投标</w:t>
      </w:r>
      <w:r>
        <w:rPr>
          <w:rFonts w:hint="eastAsia" w:ascii="华文中宋" w:hAnsi="华文中宋" w:eastAsia="华文中宋"/>
          <w:color w:val="auto"/>
          <w:highlight w:val="none"/>
        </w:rPr>
        <w:t>供应商对</w:t>
      </w:r>
      <w:r>
        <w:rPr>
          <w:rFonts w:hint="eastAsia" w:ascii="华文中宋" w:hAnsi="华文中宋" w:eastAsia="华文中宋"/>
          <w:color w:val="auto"/>
          <w:highlight w:val="none"/>
          <w:lang w:val="en-US" w:eastAsia="zh-CN"/>
        </w:rPr>
        <w:t>招标</w:t>
      </w:r>
      <w:r>
        <w:rPr>
          <w:rFonts w:hint="eastAsia" w:ascii="华文中宋" w:hAnsi="华文中宋" w:eastAsia="华文中宋"/>
          <w:color w:val="auto"/>
          <w:highlight w:val="none"/>
        </w:rPr>
        <w:t>文件的采购需求、综合评分细则进行口头询问的，可按第一部分</w:t>
      </w:r>
      <w:r>
        <w:rPr>
          <w:rFonts w:hint="eastAsia" w:ascii="华文中宋" w:hAnsi="华文中宋" w:eastAsia="华文中宋"/>
          <w:color w:val="auto"/>
          <w:highlight w:val="none"/>
          <w:lang w:val="en-US" w:eastAsia="zh-CN"/>
        </w:rPr>
        <w:t>招标</w:t>
      </w:r>
      <w:r>
        <w:rPr>
          <w:rFonts w:hint="eastAsia" w:ascii="华文中宋" w:hAnsi="华文中宋" w:eastAsia="华文中宋"/>
          <w:color w:val="auto"/>
          <w:highlight w:val="none"/>
        </w:rPr>
        <w:t>邀请中载明的联系方式、地址向采购人口头提出询问。</w:t>
      </w:r>
    </w:p>
    <w:p w14:paraId="69B122CE">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3</w:t>
      </w:r>
      <w:r>
        <w:rPr>
          <w:rFonts w:hint="eastAsia" w:ascii="华文中宋" w:hAnsi="华文中宋" w:eastAsia="华文中宋"/>
          <w:color w:val="auto"/>
          <w:highlight w:val="none"/>
          <w:lang w:val="en-US" w:eastAsia="zh-CN"/>
        </w:rPr>
        <w:t>4</w:t>
      </w:r>
      <w:r>
        <w:rPr>
          <w:rFonts w:hint="eastAsia" w:ascii="华文中宋" w:hAnsi="华文中宋" w:eastAsia="华文中宋"/>
          <w:color w:val="auto"/>
          <w:highlight w:val="none"/>
        </w:rPr>
        <w:t>.3</w:t>
      </w:r>
      <w:r>
        <w:rPr>
          <w:rFonts w:hint="eastAsia" w:ascii="华文中宋" w:hAnsi="华文中宋" w:eastAsia="华文中宋"/>
          <w:color w:val="auto"/>
          <w:highlight w:val="none"/>
          <w:lang w:val="en-US" w:eastAsia="zh-CN"/>
        </w:rPr>
        <w:t>投标</w:t>
      </w:r>
      <w:r>
        <w:rPr>
          <w:rFonts w:hint="eastAsia" w:ascii="华文中宋" w:hAnsi="华文中宋" w:eastAsia="华文中宋"/>
          <w:color w:val="auto"/>
          <w:highlight w:val="none"/>
        </w:rPr>
        <w:t>供应商对</w:t>
      </w:r>
      <w:r>
        <w:rPr>
          <w:rFonts w:hint="eastAsia" w:ascii="华文中宋" w:hAnsi="华文中宋" w:eastAsia="华文中宋"/>
          <w:color w:val="auto"/>
          <w:highlight w:val="none"/>
          <w:lang w:val="en-US" w:eastAsia="zh-CN"/>
        </w:rPr>
        <w:t>招标</w:t>
      </w:r>
      <w:r>
        <w:rPr>
          <w:rFonts w:hint="eastAsia" w:ascii="华文中宋" w:hAnsi="华文中宋" w:eastAsia="华文中宋"/>
          <w:color w:val="auto"/>
          <w:highlight w:val="none"/>
        </w:rPr>
        <w:t>文件的采购需求、综合评分细则、采购过程、采购结果进行书面询问或质疑的，须通过政府采购平台进入“项目质疑管理”，按照系统中询问列表、质疑列表填写相关内容，填写完成后在“被询问/质疑对象机构类型”中选择“采购单位”，向采购人提交询问函或质疑函。</w:t>
      </w:r>
    </w:p>
    <w:p w14:paraId="581A175E">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3</w:t>
      </w:r>
      <w:r>
        <w:rPr>
          <w:rFonts w:hint="eastAsia" w:ascii="华文中宋" w:hAnsi="华文中宋" w:eastAsia="华文中宋"/>
          <w:color w:val="auto"/>
          <w:highlight w:val="none"/>
          <w:lang w:val="en-US" w:eastAsia="zh-CN"/>
        </w:rPr>
        <w:t>4</w:t>
      </w:r>
      <w:r>
        <w:rPr>
          <w:rFonts w:hint="eastAsia" w:ascii="华文中宋" w:hAnsi="华文中宋" w:eastAsia="华文中宋"/>
          <w:color w:val="auto"/>
          <w:highlight w:val="none"/>
        </w:rPr>
        <w:t>.4</w:t>
      </w:r>
      <w:r>
        <w:rPr>
          <w:rFonts w:hint="eastAsia" w:ascii="华文中宋" w:hAnsi="华文中宋" w:eastAsia="华文中宋"/>
          <w:color w:val="auto"/>
          <w:highlight w:val="none"/>
          <w:lang w:val="en-US" w:eastAsia="zh-CN"/>
        </w:rPr>
        <w:t>投标</w:t>
      </w:r>
      <w:r>
        <w:rPr>
          <w:rFonts w:hint="eastAsia" w:ascii="华文中宋" w:hAnsi="华文中宋" w:eastAsia="华文中宋"/>
          <w:color w:val="auto"/>
          <w:highlight w:val="none"/>
        </w:rPr>
        <w:t>供应商对</w:t>
      </w:r>
      <w:r>
        <w:rPr>
          <w:rFonts w:hint="eastAsia" w:ascii="华文中宋" w:hAnsi="华文中宋" w:eastAsia="华文中宋"/>
          <w:color w:val="auto"/>
          <w:highlight w:val="none"/>
          <w:lang w:val="en-US" w:eastAsia="zh-CN"/>
        </w:rPr>
        <w:t>采购</w:t>
      </w:r>
      <w:r>
        <w:rPr>
          <w:rFonts w:hint="eastAsia" w:ascii="华文中宋" w:hAnsi="华文中宋" w:eastAsia="华文中宋"/>
          <w:color w:val="auto"/>
          <w:highlight w:val="none"/>
        </w:rPr>
        <w:t>程序进行书面询问或质疑的，须通过政府采购平台进入“项目质疑管理”，按照系统中询问列表、质疑列表填写相关内容，填写完成后在“被询问/质疑对象机构类型”中选择“代理机构”，向代理机构提交询问函或质疑函。</w:t>
      </w:r>
    </w:p>
    <w:p w14:paraId="63540DCC">
      <w:pPr>
        <w:pStyle w:val="59"/>
        <w:snapToGrid w:val="0"/>
        <w:spacing w:line="360" w:lineRule="auto"/>
        <w:ind w:firstLine="420" w:firstLineChars="200"/>
        <w:textAlignment w:val="auto"/>
        <w:rPr>
          <w:rFonts w:ascii="华文中宋" w:hAnsi="华文中宋" w:eastAsia="华文中宋"/>
          <w:b/>
          <w:color w:val="auto"/>
          <w:highlight w:val="none"/>
        </w:rPr>
      </w:pPr>
      <w:r>
        <w:rPr>
          <w:rFonts w:ascii="华文中宋" w:hAnsi="华文中宋" w:eastAsia="华文中宋"/>
          <w:b/>
          <w:color w:val="auto"/>
          <w:highlight w:val="none"/>
        </w:rPr>
        <w:t>3</w:t>
      </w:r>
      <w:r>
        <w:rPr>
          <w:rFonts w:hint="eastAsia" w:ascii="华文中宋" w:hAnsi="华文中宋" w:eastAsia="华文中宋"/>
          <w:b/>
          <w:color w:val="auto"/>
          <w:highlight w:val="none"/>
          <w:lang w:val="en-US" w:eastAsia="zh-CN"/>
        </w:rPr>
        <w:t>5</w:t>
      </w:r>
      <w:r>
        <w:rPr>
          <w:rFonts w:hint="eastAsia" w:ascii="华文中宋" w:hAnsi="华文中宋" w:eastAsia="华文中宋"/>
          <w:b/>
          <w:color w:val="auto"/>
          <w:highlight w:val="none"/>
        </w:rPr>
        <w:t>．询问和质疑的线上答复</w:t>
      </w:r>
    </w:p>
    <w:p w14:paraId="54E47E45">
      <w:pPr>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3</w:t>
      </w:r>
      <w:r>
        <w:rPr>
          <w:rFonts w:hint="eastAsia" w:ascii="华文中宋" w:hAnsi="华文中宋" w:eastAsia="华文中宋"/>
          <w:color w:val="auto"/>
          <w:highlight w:val="none"/>
          <w:lang w:val="en-US" w:eastAsia="zh-CN"/>
        </w:rPr>
        <w:t>5</w:t>
      </w:r>
      <w:r>
        <w:rPr>
          <w:rFonts w:ascii="华文中宋" w:hAnsi="华文中宋" w:eastAsia="华文中宋"/>
          <w:color w:val="auto"/>
          <w:highlight w:val="none"/>
        </w:rPr>
        <w:t xml:space="preserve">.1 </w:t>
      </w:r>
      <w:r>
        <w:rPr>
          <w:rFonts w:hint="eastAsia" w:ascii="华文中宋" w:hAnsi="华文中宋" w:eastAsia="华文中宋"/>
          <w:color w:val="auto"/>
          <w:highlight w:val="none"/>
        </w:rPr>
        <w:t>向“采购单位”提交询问函或质疑函的，由采购人按照法律法规规定在系统中进行答复；向“代理机构”提交询问函或质疑函的，由代理机构（以下表述为集采机构）按照法律法规规定在系统中进行答复。</w:t>
      </w:r>
    </w:p>
    <w:p w14:paraId="1F88D661">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3</w:t>
      </w:r>
      <w:r>
        <w:rPr>
          <w:rFonts w:hint="eastAsia" w:ascii="华文中宋" w:hAnsi="华文中宋" w:eastAsia="华文中宋"/>
          <w:color w:val="auto"/>
          <w:highlight w:val="none"/>
          <w:lang w:val="en-US" w:eastAsia="zh-CN"/>
        </w:rPr>
        <w:t>5</w:t>
      </w:r>
      <w:r>
        <w:rPr>
          <w:rFonts w:hint="eastAsia" w:ascii="华文中宋" w:hAnsi="华文中宋" w:eastAsia="华文中宋"/>
          <w:color w:val="auto"/>
          <w:highlight w:val="none"/>
        </w:rPr>
        <w:t>.2质疑答复内容不得涉及商业秘密。</w:t>
      </w:r>
    </w:p>
    <w:p w14:paraId="44337104">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3</w:t>
      </w:r>
      <w:r>
        <w:rPr>
          <w:rFonts w:hint="eastAsia" w:ascii="华文中宋" w:hAnsi="华文中宋" w:eastAsia="华文中宋"/>
          <w:color w:val="auto"/>
          <w:szCs w:val="21"/>
          <w:highlight w:val="none"/>
          <w:lang w:val="en-US" w:eastAsia="zh-CN"/>
        </w:rPr>
        <w:t>5</w:t>
      </w:r>
      <w:r>
        <w:rPr>
          <w:rFonts w:hint="eastAsia" w:ascii="华文中宋" w:hAnsi="华文中宋" w:eastAsia="华文中宋"/>
          <w:color w:val="auto"/>
          <w:szCs w:val="21"/>
          <w:highlight w:val="none"/>
        </w:rPr>
        <w:t>.3质疑供应商撤回质疑的，采购人或集采机构终止质疑处理。</w:t>
      </w:r>
    </w:p>
    <w:p w14:paraId="6B5422EF">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3</w:t>
      </w:r>
      <w:r>
        <w:rPr>
          <w:rFonts w:hint="eastAsia" w:ascii="华文中宋" w:hAnsi="华文中宋" w:eastAsia="华文中宋"/>
          <w:color w:val="auto"/>
          <w:szCs w:val="21"/>
          <w:highlight w:val="none"/>
          <w:lang w:val="en-US" w:eastAsia="zh-CN"/>
        </w:rPr>
        <w:t>5</w:t>
      </w:r>
      <w:r>
        <w:rPr>
          <w:rFonts w:hint="eastAsia" w:ascii="华文中宋" w:hAnsi="华文中宋" w:eastAsia="华文中宋"/>
          <w:color w:val="auto"/>
          <w:szCs w:val="21"/>
          <w:highlight w:val="none"/>
        </w:rPr>
        <w:t>.4供应商质疑不成立，或者成立但未对</w:t>
      </w:r>
      <w:r>
        <w:rPr>
          <w:rFonts w:hint="eastAsia" w:ascii="华文中宋" w:hAnsi="华文中宋" w:eastAsia="华文中宋"/>
          <w:color w:val="auto"/>
          <w:szCs w:val="21"/>
          <w:highlight w:val="none"/>
          <w:lang w:val="en-US" w:eastAsia="zh-CN"/>
        </w:rPr>
        <w:t>中标</w:t>
      </w:r>
      <w:r>
        <w:rPr>
          <w:rFonts w:hint="eastAsia" w:ascii="华文中宋" w:hAnsi="华文中宋" w:eastAsia="华文中宋"/>
          <w:color w:val="auto"/>
          <w:szCs w:val="21"/>
          <w:highlight w:val="none"/>
        </w:rPr>
        <w:t>结果构成影响的，继续开展采购活动；认为供应商质疑成立且影响或者可能影响</w:t>
      </w:r>
      <w:r>
        <w:rPr>
          <w:rFonts w:hint="eastAsia" w:ascii="华文中宋" w:hAnsi="华文中宋" w:eastAsia="华文中宋"/>
          <w:color w:val="auto"/>
          <w:szCs w:val="21"/>
          <w:highlight w:val="none"/>
          <w:lang w:val="en-US" w:eastAsia="zh-CN"/>
        </w:rPr>
        <w:t>中标</w:t>
      </w:r>
      <w:r>
        <w:rPr>
          <w:rFonts w:hint="eastAsia" w:ascii="华文中宋" w:hAnsi="华文中宋" w:eastAsia="华文中宋"/>
          <w:color w:val="auto"/>
          <w:szCs w:val="21"/>
          <w:highlight w:val="none"/>
        </w:rPr>
        <w:t>结果的，按照下列情况处理：</w:t>
      </w:r>
    </w:p>
    <w:p w14:paraId="1297A338">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）对</w:t>
      </w:r>
      <w:r>
        <w:rPr>
          <w:rFonts w:hint="eastAsia" w:ascii="华文中宋" w:hAnsi="华文中宋" w:eastAsia="华文中宋"/>
          <w:color w:val="auto"/>
          <w:szCs w:val="21"/>
          <w:highlight w:val="none"/>
          <w:lang w:val="en-US" w:eastAsia="zh-CN"/>
        </w:rPr>
        <w:t>招标</w:t>
      </w:r>
      <w:r>
        <w:rPr>
          <w:rFonts w:hint="eastAsia" w:ascii="华文中宋" w:hAnsi="华文中宋" w:eastAsia="华文中宋"/>
          <w:color w:val="auto"/>
          <w:szCs w:val="21"/>
          <w:highlight w:val="none"/>
        </w:rPr>
        <w:t>文件提出的质疑，依法通过澄清或者修改可以继续开展采购活动的，澄清或者修改</w:t>
      </w:r>
      <w:r>
        <w:rPr>
          <w:rFonts w:hint="eastAsia" w:ascii="华文中宋" w:hAnsi="华文中宋" w:eastAsia="华文中宋"/>
          <w:color w:val="auto"/>
          <w:szCs w:val="21"/>
          <w:highlight w:val="none"/>
          <w:lang w:val="en-US" w:eastAsia="zh-CN"/>
        </w:rPr>
        <w:t>招标</w:t>
      </w:r>
      <w:r>
        <w:rPr>
          <w:rFonts w:hint="eastAsia" w:ascii="华文中宋" w:hAnsi="华文中宋" w:eastAsia="华文中宋"/>
          <w:color w:val="auto"/>
          <w:szCs w:val="21"/>
          <w:highlight w:val="none"/>
        </w:rPr>
        <w:t>文件后继续开展采购活动；否则应修改</w:t>
      </w:r>
      <w:r>
        <w:rPr>
          <w:rFonts w:hint="eastAsia" w:ascii="华文中宋" w:hAnsi="华文中宋" w:eastAsia="华文中宋"/>
          <w:color w:val="auto"/>
          <w:szCs w:val="21"/>
          <w:highlight w:val="none"/>
          <w:lang w:val="en-US" w:eastAsia="zh-CN"/>
        </w:rPr>
        <w:t>招标</w:t>
      </w:r>
      <w:r>
        <w:rPr>
          <w:rFonts w:hint="eastAsia" w:ascii="华文中宋" w:hAnsi="华文中宋" w:eastAsia="华文中宋"/>
          <w:color w:val="auto"/>
          <w:szCs w:val="21"/>
          <w:highlight w:val="none"/>
        </w:rPr>
        <w:t>文件后重新开展采购活动。</w:t>
      </w:r>
    </w:p>
    <w:p w14:paraId="0422D7F7">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rPr>
        <w:t>）对</w:t>
      </w:r>
      <w:r>
        <w:rPr>
          <w:rFonts w:hint="eastAsia" w:ascii="华文中宋" w:hAnsi="华文中宋" w:eastAsia="华文中宋"/>
          <w:color w:val="auto"/>
          <w:szCs w:val="21"/>
          <w:highlight w:val="none"/>
          <w:lang w:val="en-US" w:eastAsia="zh-CN"/>
        </w:rPr>
        <w:t>采购</w:t>
      </w:r>
      <w:r>
        <w:rPr>
          <w:rFonts w:hint="eastAsia" w:ascii="华文中宋" w:hAnsi="华文中宋" w:eastAsia="华文中宋"/>
          <w:color w:val="auto"/>
          <w:szCs w:val="21"/>
          <w:highlight w:val="none"/>
        </w:rPr>
        <w:t>过程、</w:t>
      </w:r>
      <w:r>
        <w:rPr>
          <w:rFonts w:hint="eastAsia" w:ascii="华文中宋" w:hAnsi="华文中宋" w:eastAsia="华文中宋"/>
          <w:color w:val="auto"/>
          <w:szCs w:val="21"/>
          <w:highlight w:val="none"/>
          <w:lang w:val="en-US" w:eastAsia="zh-CN"/>
        </w:rPr>
        <w:t>中标</w:t>
      </w:r>
      <w:r>
        <w:rPr>
          <w:rFonts w:hint="eastAsia" w:ascii="华文中宋" w:hAnsi="华文中宋" w:eastAsia="华文中宋"/>
          <w:color w:val="auto"/>
          <w:szCs w:val="21"/>
          <w:highlight w:val="none"/>
        </w:rPr>
        <w:t>结果提出的质疑，合格供应商符合法定数量时，可以从合格的</w:t>
      </w:r>
      <w:r>
        <w:rPr>
          <w:rFonts w:hint="eastAsia" w:ascii="华文中宋" w:hAnsi="华文中宋" w:eastAsia="华文中宋"/>
          <w:color w:val="auto"/>
          <w:szCs w:val="21"/>
          <w:highlight w:val="none"/>
          <w:lang w:val="en-US" w:eastAsia="zh-CN"/>
        </w:rPr>
        <w:t>中标</w:t>
      </w:r>
      <w:r>
        <w:rPr>
          <w:rFonts w:hint="eastAsia" w:ascii="华文中宋" w:hAnsi="华文中宋" w:eastAsia="华文中宋"/>
          <w:color w:val="auto"/>
          <w:szCs w:val="21"/>
          <w:highlight w:val="none"/>
        </w:rPr>
        <w:t>候选人中另行确定</w:t>
      </w:r>
      <w:r>
        <w:rPr>
          <w:rFonts w:hint="eastAsia" w:ascii="华文中宋" w:hAnsi="华文中宋" w:eastAsia="华文中宋"/>
          <w:color w:val="auto"/>
          <w:szCs w:val="21"/>
          <w:highlight w:val="none"/>
          <w:lang w:val="en-US" w:eastAsia="zh-CN"/>
        </w:rPr>
        <w:t>中标</w:t>
      </w:r>
      <w:r>
        <w:rPr>
          <w:rFonts w:hint="eastAsia" w:ascii="华文中宋" w:hAnsi="华文中宋" w:eastAsia="华文中宋"/>
          <w:color w:val="auto"/>
          <w:szCs w:val="21"/>
          <w:highlight w:val="none"/>
        </w:rPr>
        <w:t>供应商的，应当依法另行确定</w:t>
      </w:r>
      <w:r>
        <w:rPr>
          <w:rFonts w:hint="eastAsia" w:ascii="华文中宋" w:hAnsi="华文中宋" w:eastAsia="华文中宋"/>
          <w:color w:val="auto"/>
          <w:szCs w:val="21"/>
          <w:highlight w:val="none"/>
          <w:lang w:val="en-US" w:eastAsia="zh-CN"/>
        </w:rPr>
        <w:t>中标</w:t>
      </w:r>
      <w:r>
        <w:rPr>
          <w:rFonts w:hint="eastAsia" w:ascii="华文中宋" w:hAnsi="华文中宋" w:eastAsia="华文中宋"/>
          <w:color w:val="auto"/>
          <w:szCs w:val="21"/>
          <w:highlight w:val="none"/>
        </w:rPr>
        <w:t>供应商；否则应重新开展采购活动。</w:t>
      </w:r>
    </w:p>
    <w:p w14:paraId="69C1129B">
      <w:pPr>
        <w:pStyle w:val="59"/>
        <w:snapToGrid w:val="0"/>
        <w:spacing w:line="360" w:lineRule="auto"/>
        <w:ind w:firstLine="315" w:firstLineChars="150"/>
        <w:textAlignment w:val="auto"/>
        <w:rPr>
          <w:rFonts w:hint="eastAsia"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3</w:t>
      </w:r>
      <w:r>
        <w:rPr>
          <w:rFonts w:hint="eastAsia" w:ascii="华文中宋" w:hAnsi="华文中宋" w:eastAsia="华文中宋"/>
          <w:color w:val="auto"/>
          <w:highlight w:val="none"/>
        </w:rPr>
        <w:t>）质疑答复导致</w:t>
      </w:r>
      <w:r>
        <w:rPr>
          <w:rFonts w:hint="eastAsia" w:ascii="华文中宋" w:hAnsi="华文中宋" w:eastAsia="华文中宋"/>
          <w:color w:val="auto"/>
          <w:highlight w:val="none"/>
          <w:lang w:val="en-US" w:eastAsia="zh-CN"/>
        </w:rPr>
        <w:t>中标</w:t>
      </w:r>
      <w:r>
        <w:rPr>
          <w:rFonts w:hint="eastAsia" w:ascii="华文中宋" w:hAnsi="华文中宋" w:eastAsia="华文中宋"/>
          <w:color w:val="auto"/>
          <w:highlight w:val="none"/>
        </w:rPr>
        <w:t>结果改变的，属于采购人答复的，采购人应当将质疑答复结果告知被质疑供应商，将质疑答复内容和重新确定的采购结果函告集采机构，集采机构按照采购人的意见发布结果变更公告，并将有关情况书面报告本级财政部门。属于集采机构答复的，集采机构编制变更公告，经采购人确认后发布结果变更公告，并将有关情况书面报告本级财政部门。</w:t>
      </w:r>
    </w:p>
    <w:p w14:paraId="03B3E159">
      <w:pPr>
        <w:pStyle w:val="59"/>
        <w:snapToGrid w:val="0"/>
        <w:spacing w:line="360" w:lineRule="auto"/>
        <w:ind w:firstLine="520"/>
        <w:textAlignment w:val="auto"/>
        <w:outlineLvl w:val="1"/>
        <w:rPr>
          <w:rFonts w:hint="eastAsia" w:ascii="华文中宋" w:hAnsi="华文中宋" w:eastAsia="华文中宋"/>
          <w:b/>
          <w:color w:val="auto"/>
          <w:spacing w:val="10"/>
          <w:sz w:val="24"/>
          <w:szCs w:val="24"/>
          <w:highlight w:val="none"/>
          <w:lang w:eastAsia="zh-CN"/>
        </w:rPr>
      </w:pPr>
      <w:bookmarkStart w:id="46" w:name="_Toc16696"/>
      <w:bookmarkStart w:id="47" w:name="_Toc12833"/>
      <w:r>
        <w:rPr>
          <w:rFonts w:hint="eastAsia" w:ascii="华文中宋" w:hAnsi="华文中宋" w:eastAsia="华文中宋"/>
          <w:b/>
          <w:color w:val="auto"/>
          <w:spacing w:val="10"/>
          <w:sz w:val="24"/>
          <w:szCs w:val="24"/>
          <w:highlight w:val="none"/>
          <w:lang w:eastAsia="zh-CN"/>
        </w:rPr>
        <w:t>十、“政采智贷”</w:t>
      </w:r>
      <w:bookmarkEnd w:id="46"/>
    </w:p>
    <w:p w14:paraId="5C4B48B1">
      <w:pPr>
        <w:pStyle w:val="15"/>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outlineLvl w:val="9"/>
        <w:rPr>
          <w:rFonts w:hint="eastAsia" w:ascii="华文中宋" w:hAnsi="华文中宋" w:eastAsia="华文中宋" w:cs="Times New Roman"/>
          <w:color w:val="auto"/>
          <w:kern w:val="0"/>
          <w:sz w:val="21"/>
          <w:szCs w:val="21"/>
          <w:highlight w:val="none"/>
          <w:lang w:val="en-US" w:eastAsia="zh-CN" w:bidi="ar-SA"/>
        </w:rPr>
      </w:pPr>
      <w:r>
        <w:rPr>
          <w:rFonts w:hint="eastAsia" w:ascii="华文中宋" w:hAnsi="华文中宋" w:eastAsia="华文中宋" w:cs="Times New Roman"/>
          <w:color w:val="auto"/>
          <w:kern w:val="0"/>
          <w:sz w:val="21"/>
          <w:szCs w:val="21"/>
          <w:highlight w:val="none"/>
          <w:lang w:val="en-US" w:eastAsia="zh-CN" w:bidi="ar-SA"/>
        </w:rPr>
        <w:t>36. 根据财政部门文件精神，凡是在大同市进行工商登记且参加政府采购活动并取得政府采购合同的中小企业，均可向“山西政府采购信用融资平台”上开展“政采智贷”业务的银行申请贷款。</w:t>
      </w:r>
    </w:p>
    <w:p w14:paraId="5DF1E567">
      <w:pPr>
        <w:pStyle w:val="59"/>
        <w:snapToGrid w:val="0"/>
        <w:spacing w:line="360" w:lineRule="auto"/>
        <w:ind w:firstLine="520"/>
        <w:textAlignment w:val="auto"/>
        <w:outlineLvl w:val="9"/>
        <w:rPr>
          <w:rFonts w:hint="eastAsia" w:ascii="华文中宋" w:hAnsi="华文中宋" w:eastAsia="华文中宋"/>
          <w:b/>
          <w:color w:val="auto"/>
          <w:spacing w:val="10"/>
          <w:sz w:val="24"/>
          <w:szCs w:val="24"/>
          <w:highlight w:val="none"/>
          <w:lang w:eastAsia="zh-CN"/>
        </w:rPr>
      </w:pPr>
      <w:r>
        <w:rPr>
          <w:rFonts w:hint="eastAsia" w:ascii="华文中宋" w:hAnsi="华文中宋" w:eastAsia="华文中宋"/>
          <w:color w:val="auto"/>
          <w:highlight w:val="none"/>
          <w:lang w:val="en-US" w:eastAsia="zh-CN"/>
        </w:rPr>
        <w:t>37. 政府采购中标供应商存在融资需求，在签订政府采购合同后，可以进入“山西政府采购网”-“政采智贷”模块-“山西政府采购信用融资平台”选择所在地区-试点银行机构，点击立即申请-立即登录，进行合同融资申请。</w:t>
      </w:r>
    </w:p>
    <w:p w14:paraId="0270AD67">
      <w:pPr>
        <w:pStyle w:val="56"/>
        <w:pageBreakBefore/>
        <w:numPr>
          <w:ilvl w:val="0"/>
          <w:numId w:val="0"/>
        </w:numPr>
        <w:snapToGrid w:val="0"/>
        <w:spacing w:before="0" w:after="0"/>
        <w:rPr>
          <w:rFonts w:ascii="华文中宋" w:hAnsi="华文中宋" w:eastAsia="华文中宋"/>
          <w:color w:val="auto"/>
          <w:spacing w:val="20"/>
          <w:szCs w:val="28"/>
          <w:highlight w:val="none"/>
        </w:rPr>
      </w:pPr>
      <w:r>
        <w:rPr>
          <w:rFonts w:hint="eastAsia" w:ascii="华文中宋" w:hAnsi="华文中宋" w:eastAsia="华文中宋"/>
          <w:color w:val="auto"/>
          <w:spacing w:val="20"/>
          <w:szCs w:val="28"/>
          <w:highlight w:val="none"/>
        </w:rPr>
        <w:t>第四部分</w:t>
      </w:r>
      <w:bookmarkEnd w:id="44"/>
      <w:bookmarkEnd w:id="45"/>
      <w:r>
        <w:rPr>
          <w:rFonts w:hint="eastAsia" w:ascii="华文中宋" w:hAnsi="华文中宋" w:eastAsia="华文中宋"/>
          <w:color w:val="auto"/>
          <w:spacing w:val="20"/>
          <w:szCs w:val="28"/>
          <w:highlight w:val="none"/>
        </w:rPr>
        <w:t xml:space="preserve">  采购需求</w:t>
      </w:r>
      <w:bookmarkEnd w:id="47"/>
    </w:p>
    <w:p w14:paraId="68BB61C2">
      <w:pPr>
        <w:pStyle w:val="59"/>
        <w:snapToGrid w:val="0"/>
        <w:spacing w:line="360" w:lineRule="auto"/>
        <w:textAlignment w:val="auto"/>
        <w:rPr>
          <w:rFonts w:hint="eastAsia" w:ascii="华文中宋" w:hAnsi="华文中宋" w:eastAsia="华文中宋" w:cs="华文中宋"/>
          <w:b/>
          <w:color w:val="auto"/>
          <w:highlight w:val="none"/>
        </w:rPr>
      </w:pPr>
    </w:p>
    <w:p w14:paraId="7ABB9599">
      <w:pPr>
        <w:jc w:val="center"/>
        <w:rPr>
          <w:rFonts w:hint="eastAsia"/>
          <w:color w:val="auto"/>
          <w:sz w:val="28"/>
          <w:szCs w:val="28"/>
          <w:highlight w:val="none"/>
        </w:rPr>
      </w:pPr>
      <w:r>
        <w:rPr>
          <w:rFonts w:hint="eastAsia" w:ascii="宋体" w:hAnsi="宋体" w:eastAsia="宋体" w:cs="宋体"/>
          <w:b/>
          <w:bCs/>
          <w:color w:val="auto"/>
          <w:sz w:val="28"/>
          <w:szCs w:val="28"/>
          <w:highlight w:val="none"/>
        </w:rPr>
        <w:t>公安交通管理综合应用平台社会化服务系统升级改造</w:t>
      </w:r>
      <w:r>
        <w:rPr>
          <w:rFonts w:hint="eastAsia" w:ascii="宋体" w:hAnsi="宋体" w:eastAsia="宋体" w:cs="宋体"/>
          <w:b/>
          <w:bCs/>
          <w:color w:val="auto"/>
          <w:sz w:val="28"/>
          <w:szCs w:val="28"/>
          <w:highlight w:val="none"/>
          <w:lang w:eastAsia="zh-CN"/>
        </w:rPr>
        <w:t>项目</w:t>
      </w:r>
      <w:r>
        <w:rPr>
          <w:rFonts w:hint="eastAsia" w:ascii="宋体" w:hAnsi="宋体" w:cs="宋体"/>
          <w:b/>
          <w:bCs/>
          <w:color w:val="auto"/>
          <w:sz w:val="28"/>
          <w:szCs w:val="28"/>
          <w:highlight w:val="none"/>
          <w:lang w:eastAsia="zh-CN"/>
        </w:rPr>
        <w:t>采购需求</w:t>
      </w:r>
    </w:p>
    <w:p w14:paraId="1F4B08BD">
      <w:pP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eastAsia="zh-CN"/>
        </w:rPr>
        <w:t>一、基本情况</w:t>
      </w:r>
    </w:p>
    <w:p w14:paraId="01CE699F">
      <w:pPr>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z w:val="28"/>
          <w:szCs w:val="28"/>
          <w:highlight w:val="none"/>
          <w:lang w:val="en-US" w:eastAsia="zh-CN"/>
        </w:rPr>
        <w:t>1、项目名称</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lang w:eastAsia="zh-CN"/>
        </w:rPr>
        <w:t>公安交通管理综合应用平台社会化服务系统升级改造项目</w:t>
      </w:r>
    </w:p>
    <w:p w14:paraId="0B9E0EFA">
      <w:pPr>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2、项目概况：</w:t>
      </w:r>
      <w:r>
        <w:rPr>
          <w:rFonts w:hint="eastAsia" w:ascii="仿宋_GB2312" w:hAnsi="仿宋_GB2312" w:eastAsia="仿宋_GB2312" w:cs="仿宋_GB2312"/>
          <w:color w:val="auto"/>
          <w:sz w:val="28"/>
          <w:szCs w:val="28"/>
          <w:highlight w:val="none"/>
          <w:lang w:eastAsia="zh-CN"/>
        </w:rPr>
        <w:t>按照《2022年道路交通管理工作要点》（公交管〔2022〕1号）、《公安交通管理科技发展规划（2021-2023年）》（公交管〔2020〕300号）部署要求，升级改造社会化服务系统，全面提升社会化服务系统的运行效率、服务能力和信息安全防护水平。</w:t>
      </w:r>
    </w:p>
    <w:p w14:paraId="3463F291">
      <w:pPr>
        <w:ind w:firstLine="560" w:firstLineChars="200"/>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val="en-US" w:eastAsia="zh-CN"/>
        </w:rPr>
        <w:t>3</w:t>
      </w:r>
      <w:r>
        <w:rPr>
          <w:rFonts w:hint="eastAsia" w:ascii="仿宋_GB2312" w:hAnsi="仿宋_GB2312" w:eastAsia="仿宋_GB2312" w:cs="仿宋_GB2312"/>
          <w:b/>
          <w:bCs/>
          <w:color w:val="auto"/>
          <w:sz w:val="28"/>
          <w:szCs w:val="28"/>
          <w:highlight w:val="none"/>
          <w:lang w:eastAsia="zh-CN"/>
        </w:rPr>
        <w:t>、采购方式：</w:t>
      </w:r>
      <w:r>
        <w:rPr>
          <w:rFonts w:hint="eastAsia" w:ascii="仿宋_GB2312" w:hAnsi="仿宋_GB2312" w:eastAsia="仿宋_GB2312" w:cs="仿宋_GB2312"/>
          <w:b w:val="0"/>
          <w:bCs w:val="0"/>
          <w:color w:val="auto"/>
          <w:sz w:val="28"/>
          <w:szCs w:val="28"/>
          <w:highlight w:val="none"/>
          <w:lang w:eastAsia="zh-CN"/>
        </w:rPr>
        <w:t>公开招标</w:t>
      </w:r>
    </w:p>
    <w:p w14:paraId="2B8255B9">
      <w:pPr>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eastAsia="zh-CN"/>
        </w:rPr>
        <w:t>采购预算：</w:t>
      </w:r>
      <w:r>
        <w:rPr>
          <w:rFonts w:hint="eastAsia" w:ascii="仿宋_GB2312" w:hAnsi="仿宋_GB2312" w:eastAsia="仿宋_GB2312" w:cs="仿宋_GB2312"/>
          <w:color w:val="auto"/>
          <w:sz w:val="28"/>
          <w:szCs w:val="28"/>
          <w:highlight w:val="none"/>
          <w:lang w:val="en-US" w:eastAsia="zh-CN"/>
        </w:rPr>
        <w:t>5628800元</w:t>
      </w:r>
    </w:p>
    <w:p w14:paraId="0435738C">
      <w:pPr>
        <w:ind w:firstLine="560" w:firstLineChars="200"/>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5、最高限价：</w:t>
      </w:r>
      <w:r>
        <w:rPr>
          <w:rFonts w:hint="eastAsia" w:ascii="仿宋_GB2312" w:hAnsi="仿宋_GB2312" w:eastAsia="仿宋_GB2312" w:cs="仿宋_GB2312"/>
          <w:b w:val="0"/>
          <w:bCs w:val="0"/>
          <w:color w:val="auto"/>
          <w:sz w:val="28"/>
          <w:szCs w:val="28"/>
          <w:highlight w:val="none"/>
          <w:lang w:val="en-US" w:eastAsia="zh-CN"/>
        </w:rPr>
        <w:t>5628800元</w:t>
      </w:r>
    </w:p>
    <w:p w14:paraId="73614159">
      <w:pPr>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6、是否接收代理商投标：</w:t>
      </w:r>
      <w:r>
        <w:rPr>
          <w:rFonts w:hint="eastAsia" w:ascii="仿宋_GB2312" w:hAnsi="仿宋_GB2312" w:eastAsia="仿宋_GB2312" w:cs="仿宋_GB2312"/>
          <w:color w:val="auto"/>
          <w:sz w:val="28"/>
          <w:szCs w:val="28"/>
          <w:highlight w:val="none"/>
          <w:lang w:val="en-US" w:eastAsia="zh-CN"/>
        </w:rPr>
        <w:t>否</w:t>
      </w:r>
    </w:p>
    <w:p w14:paraId="2C858134">
      <w:pPr>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7、是否允许再分包：</w:t>
      </w:r>
      <w:r>
        <w:rPr>
          <w:rFonts w:hint="eastAsia" w:ascii="仿宋_GB2312" w:hAnsi="仿宋_GB2312" w:eastAsia="仿宋_GB2312" w:cs="仿宋_GB2312"/>
          <w:color w:val="auto"/>
          <w:sz w:val="28"/>
          <w:szCs w:val="28"/>
          <w:highlight w:val="none"/>
          <w:lang w:val="en-US" w:eastAsia="zh-CN"/>
        </w:rPr>
        <w:t>否</w:t>
      </w:r>
    </w:p>
    <w:p w14:paraId="009B9FFB">
      <w:pPr>
        <w:pStyle w:val="1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二、资格条件</w:t>
      </w:r>
    </w:p>
    <w:p w14:paraId="3A38210B">
      <w:pPr>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1、《政府采购法》第22条规定:</w:t>
      </w:r>
    </w:p>
    <w:p w14:paraId="03ADF8AE">
      <w:pPr>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2、未被信用中国网(http://www.creditchina.gov.cn)和中国政府采购网(http://www.ccgp.gov.cn)列入失信被执行人、重大税收违法案件当事人名单和政府采购严重违法失信行为信息记录名单;</w:t>
      </w:r>
    </w:p>
    <w:p w14:paraId="4FAB32BD">
      <w:pPr>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3、单位负责人为同一人或者存在直接控股、管理关系的不同投标人，不得参加同一合同项下的政府采购活动;</w:t>
      </w:r>
    </w:p>
    <w:p w14:paraId="2D3A2BF0">
      <w:pPr>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4、落实政府采购政策的资格条件:是否专门面向中小企业:否</w:t>
      </w:r>
    </w:p>
    <w:p w14:paraId="115A7C0D">
      <w:pPr>
        <w:ind w:firstLine="6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5、本项目特定资格要求：无</w:t>
      </w:r>
    </w:p>
    <w:p w14:paraId="12FD61A4">
      <w:pPr>
        <w:ind w:firstLine="6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6、是否允许联合体投标：否</w:t>
      </w:r>
    </w:p>
    <w:p w14:paraId="0D356577">
      <w:pPr>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三、商务要求</w:t>
      </w:r>
    </w:p>
    <w:p w14:paraId="50D4163B">
      <w:pPr>
        <w:ind w:firstLine="560" w:firstLineChars="200"/>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1、供货时间：</w:t>
      </w:r>
      <w:r>
        <w:rPr>
          <w:rFonts w:hint="eastAsia" w:ascii="仿宋_GB2312" w:hAnsi="仿宋_GB2312" w:eastAsia="仿宋_GB2312" w:cs="仿宋_GB2312"/>
          <w:b w:val="0"/>
          <w:bCs w:val="0"/>
          <w:color w:val="auto"/>
          <w:sz w:val="28"/>
          <w:szCs w:val="28"/>
          <w:highlight w:val="none"/>
          <w:lang w:val="en-US" w:eastAsia="zh-CN"/>
        </w:rPr>
        <w:t>30天</w:t>
      </w:r>
    </w:p>
    <w:p w14:paraId="0F610653">
      <w:pPr>
        <w:ind w:firstLine="560"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2、付款方式：</w:t>
      </w:r>
      <w:r>
        <w:rPr>
          <w:rFonts w:hint="eastAsia" w:ascii="仿宋_GB2312" w:hAnsi="仿宋_GB2312" w:eastAsia="仿宋_GB2312" w:cs="仿宋_GB2312"/>
          <w:b w:val="0"/>
          <w:bCs w:val="0"/>
          <w:color w:val="auto"/>
          <w:sz w:val="28"/>
          <w:szCs w:val="28"/>
          <w:highlight w:val="none"/>
          <w:lang w:val="en-US" w:eastAsia="zh-CN"/>
        </w:rPr>
        <w:t>验收合格后一次性付款</w:t>
      </w:r>
    </w:p>
    <w:p w14:paraId="3620BB43">
      <w:pPr>
        <w:ind w:firstLine="560"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3、供货地点:</w:t>
      </w:r>
      <w:r>
        <w:rPr>
          <w:rFonts w:hint="eastAsia" w:ascii="仿宋_GB2312" w:hAnsi="仿宋_GB2312" w:eastAsia="仿宋_GB2312" w:cs="仿宋_GB2312"/>
          <w:b w:val="0"/>
          <w:bCs w:val="0"/>
          <w:color w:val="auto"/>
          <w:sz w:val="28"/>
          <w:szCs w:val="28"/>
          <w:highlight w:val="none"/>
          <w:lang w:val="en-US" w:eastAsia="zh-CN"/>
        </w:rPr>
        <w:t>大同市公安局交通管理支队</w:t>
      </w:r>
    </w:p>
    <w:p w14:paraId="421AE0C1">
      <w:pPr>
        <w:ind w:firstLine="560"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4、质保期及售后服务要求：</w:t>
      </w:r>
    </w:p>
    <w:p w14:paraId="76948D73">
      <w:pPr>
        <w:ind w:firstLine="560"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质保期：一年</w:t>
      </w:r>
    </w:p>
    <w:p w14:paraId="42327D01">
      <w:pPr>
        <w:ind w:firstLine="560"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服务要求：</w:t>
      </w:r>
    </w:p>
    <w:p w14:paraId="1AB2759C">
      <w:pPr>
        <w:ind w:firstLine="560" w:firstLineChars="200"/>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在产品的保修期内，提供7×24小时远程电话支持服务，保修期内如存在缺陷与质量问题的，需在8小时内更换新品，费用由中标企业承担。</w:t>
      </w:r>
    </w:p>
    <w:p w14:paraId="4A21DDE3">
      <w:pPr>
        <w:ind w:firstLine="560" w:firstLineChars="200"/>
        <w:rPr>
          <w:rFonts w:hint="eastAsia" w:ascii="仿宋_GB2312" w:hAnsi="仿宋_GB2312" w:eastAsia="仿宋_GB2312" w:cs="仿宋_GB2312"/>
          <w:b/>
          <w:bCs/>
          <w:color w:val="auto"/>
          <w:sz w:val="28"/>
          <w:szCs w:val="28"/>
          <w:highlight w:val="none"/>
          <w:lang w:eastAsia="zh-CN"/>
        </w:rPr>
      </w:pPr>
    </w:p>
    <w:p w14:paraId="6682BF93">
      <w:pPr>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四、</w:t>
      </w:r>
      <w:r>
        <w:rPr>
          <w:rFonts w:hint="eastAsia" w:ascii="仿宋_GB2312" w:hAnsi="仿宋_GB2312" w:eastAsia="仿宋_GB2312" w:cs="仿宋_GB2312"/>
          <w:b/>
          <w:bCs/>
          <w:color w:val="auto"/>
          <w:sz w:val="28"/>
          <w:szCs w:val="28"/>
          <w:highlight w:val="none"/>
          <w:lang w:val="en-US" w:eastAsia="zh-CN"/>
        </w:rPr>
        <w:t>技术要求</w:t>
      </w:r>
      <w:r>
        <w:rPr>
          <w:rFonts w:hint="eastAsia" w:ascii="仿宋_GB2312" w:hAnsi="仿宋_GB2312" w:eastAsia="仿宋_GB2312" w:cs="仿宋_GB2312"/>
          <w:b/>
          <w:bCs/>
          <w:color w:val="auto"/>
          <w:sz w:val="28"/>
          <w:szCs w:val="28"/>
          <w:highlight w:val="none"/>
          <w:lang w:eastAsia="zh-CN"/>
        </w:rPr>
        <w:t>：</w:t>
      </w:r>
    </w:p>
    <w:tbl>
      <w:tblPr>
        <w:tblStyle w:val="29"/>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7"/>
        <w:gridCol w:w="530"/>
        <w:gridCol w:w="843"/>
        <w:gridCol w:w="5639"/>
        <w:gridCol w:w="481"/>
        <w:gridCol w:w="481"/>
      </w:tblGrid>
      <w:tr w14:paraId="553D1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0" w:hRule="atLeast"/>
        </w:trPr>
        <w:tc>
          <w:tcPr>
            <w:tcW w:w="457" w:type="dxa"/>
            <w:tcBorders>
              <w:top w:val="single" w:color="000000" w:sz="4" w:space="0"/>
              <w:left w:val="single" w:color="000000" w:sz="4" w:space="0"/>
              <w:bottom w:val="single" w:color="000000" w:sz="4" w:space="0"/>
              <w:right w:val="single" w:color="000000" w:sz="4" w:space="0"/>
            </w:tcBorders>
            <w:noWrap/>
            <w:vAlign w:val="center"/>
          </w:tcPr>
          <w:p w14:paraId="31C26FE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39B43C4E">
            <w:pPr>
              <w:jc w:val="center"/>
              <w:rPr>
                <w:rFonts w:hint="eastAsia" w:ascii="宋体" w:hAnsi="宋体" w:eastAsia="宋体" w:cs="宋体"/>
                <w:i w:val="0"/>
                <w:iCs w:val="0"/>
                <w:color w:val="auto"/>
                <w:sz w:val="24"/>
                <w:szCs w:val="24"/>
                <w:highlight w:val="none"/>
                <w:u w:val="none"/>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2038238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设备名称</w:t>
            </w:r>
          </w:p>
        </w:tc>
        <w:tc>
          <w:tcPr>
            <w:tcW w:w="5639" w:type="dxa"/>
            <w:tcBorders>
              <w:top w:val="single" w:color="000000" w:sz="4" w:space="0"/>
              <w:left w:val="single" w:color="000000" w:sz="4" w:space="0"/>
              <w:bottom w:val="single" w:color="000000" w:sz="4" w:space="0"/>
              <w:right w:val="single" w:color="000000" w:sz="4" w:space="0"/>
            </w:tcBorders>
            <w:noWrap/>
            <w:vAlign w:val="center"/>
          </w:tcPr>
          <w:p w14:paraId="4B9F2B8D">
            <w:pPr>
              <w:keepNext w:val="0"/>
              <w:keepLines w:val="0"/>
              <w:widowControl/>
              <w:suppressLineNumbers w:val="0"/>
              <w:jc w:val="center"/>
              <w:textAlignment w:val="center"/>
              <w:rPr>
                <w:rFonts w:hint="default" w:ascii="宋体" w:hAnsi="宋体" w:eastAsia="宋体" w:cs="宋体"/>
                <w:b/>
                <w:bCs/>
                <w:i w:val="0"/>
                <w:iCs w:val="0"/>
                <w:color w:val="auto"/>
                <w:sz w:val="24"/>
                <w:szCs w:val="24"/>
                <w:highlight w:val="none"/>
                <w:u w:val="none"/>
                <w:lang w:val="en-US"/>
              </w:rPr>
            </w:pPr>
            <w:r>
              <w:rPr>
                <w:rFonts w:hint="eastAsia" w:ascii="宋体" w:hAnsi="宋体" w:cs="宋体"/>
                <w:b/>
                <w:bCs/>
                <w:i w:val="0"/>
                <w:iCs w:val="0"/>
                <w:color w:val="auto"/>
                <w:kern w:val="0"/>
                <w:sz w:val="24"/>
                <w:szCs w:val="24"/>
                <w:highlight w:val="none"/>
                <w:u w:val="none"/>
                <w:lang w:val="en-US" w:eastAsia="zh-CN" w:bidi="ar"/>
              </w:rPr>
              <w:t>技术要求</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327FE71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0CBB79A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r>
      <w:tr w14:paraId="65B0A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6" w:hRule="atLeast"/>
        </w:trPr>
        <w:tc>
          <w:tcPr>
            <w:tcW w:w="457" w:type="dxa"/>
            <w:vMerge w:val="restart"/>
            <w:tcBorders>
              <w:top w:val="single" w:color="000000" w:sz="4" w:space="0"/>
              <w:left w:val="single" w:color="000000" w:sz="4" w:space="0"/>
              <w:bottom w:val="single" w:color="000000" w:sz="4" w:space="0"/>
              <w:right w:val="single" w:color="000000" w:sz="4" w:space="0"/>
            </w:tcBorders>
            <w:noWrap/>
            <w:vAlign w:val="center"/>
          </w:tcPr>
          <w:p w14:paraId="4D158B4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9902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统一版系统应用</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263DF5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万兆交换机</w:t>
            </w:r>
          </w:p>
        </w:tc>
        <w:tc>
          <w:tcPr>
            <w:tcW w:w="5639" w:type="dxa"/>
            <w:tcBorders>
              <w:top w:val="single" w:color="000000" w:sz="4" w:space="0"/>
              <w:left w:val="single" w:color="000000" w:sz="4" w:space="0"/>
              <w:bottom w:val="single" w:color="000000" w:sz="4" w:space="0"/>
              <w:right w:val="single" w:color="000000" w:sz="4" w:space="0"/>
            </w:tcBorders>
            <w:noWrap w:val="0"/>
            <w:vAlign w:val="center"/>
          </w:tcPr>
          <w:p w14:paraId="17F4FB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1.交换容量≥2.56Tbps，包转发率≥1260Mpps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2.支持48个万兆SFP+，6个100GE QSFP28</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3.为了提高设备可靠性，支持可插拔的双电源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4.支持统一用户管理功能，屏蔽接入侧差异，支持802.1X/MAC/Portal等多种认证方式，支持对用户进行分组/分域/分时的管理，用户、业务可视可控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5.支持VxLAN功能，支持VxLAN二层网关、三层网关，支持BGP EVPN，实现自动建立隧道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6.支持交换机通过netstream流量采集网络数据并上送给大数据安全平台进行分析检测，并配合SDN控制器对整网进行安全策略管控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7.支持真实业务流实时检测技术，能实时检测网络故障</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35C167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65FD7D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7B31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9"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14:paraId="1ECD7B68">
            <w:pPr>
              <w:jc w:val="center"/>
              <w:rPr>
                <w:rFonts w:hint="eastAsia" w:ascii="宋体" w:hAnsi="宋体" w:eastAsia="宋体" w:cs="宋体"/>
                <w:b/>
                <w:bCs/>
                <w:i w:val="0"/>
                <w:iCs w:val="0"/>
                <w:color w:val="auto"/>
                <w:sz w:val="22"/>
                <w:szCs w:val="22"/>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D112D0">
            <w:pPr>
              <w:jc w:val="center"/>
              <w:rPr>
                <w:rFonts w:hint="eastAsia" w:ascii="宋体" w:hAnsi="宋体" w:eastAsia="宋体" w:cs="宋体"/>
                <w:i w:val="0"/>
                <w:iCs w:val="0"/>
                <w:color w:val="auto"/>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53B382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接入交换机</w:t>
            </w:r>
          </w:p>
        </w:tc>
        <w:tc>
          <w:tcPr>
            <w:tcW w:w="5639" w:type="dxa"/>
            <w:tcBorders>
              <w:top w:val="single" w:color="000000" w:sz="4" w:space="0"/>
              <w:left w:val="single" w:color="000000" w:sz="4" w:space="0"/>
              <w:bottom w:val="single" w:color="000000" w:sz="4" w:space="0"/>
              <w:right w:val="single" w:color="000000" w:sz="4" w:space="0"/>
            </w:tcBorders>
            <w:noWrap w:val="0"/>
            <w:vAlign w:val="center"/>
          </w:tcPr>
          <w:p w14:paraId="2B8CDC7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1.交换容量≥1.5Tbps，包转发率≥600Mpps；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2.支持24个万兆SFP+，2个40GE QSFP28</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3.为了提高设备散热性能，风扇框个数≥3</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5.支持4K个VLAN，支持Guest VLAN、Voice VLAN，支持基于MAC/协议/IP子网/策略/端口的VLAN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6.支持VxLAN功能，支持BGP EVPN；</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6C336D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04DBD8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4002C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14:paraId="0B675334">
            <w:pPr>
              <w:jc w:val="center"/>
              <w:rPr>
                <w:rFonts w:hint="eastAsia" w:ascii="宋体" w:hAnsi="宋体" w:eastAsia="宋体" w:cs="宋体"/>
                <w:b/>
                <w:bCs/>
                <w:i w:val="0"/>
                <w:iCs w:val="0"/>
                <w:color w:val="auto"/>
                <w:sz w:val="22"/>
                <w:szCs w:val="22"/>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A1C2E0">
            <w:pPr>
              <w:jc w:val="center"/>
              <w:rPr>
                <w:rFonts w:hint="eastAsia" w:ascii="宋体" w:hAnsi="宋体" w:eastAsia="宋体" w:cs="宋体"/>
                <w:i w:val="0"/>
                <w:iCs w:val="0"/>
                <w:color w:val="auto"/>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77A578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校时服务器</w:t>
            </w:r>
          </w:p>
        </w:tc>
        <w:tc>
          <w:tcPr>
            <w:tcW w:w="5639" w:type="dxa"/>
            <w:tcBorders>
              <w:top w:val="single" w:color="000000" w:sz="4" w:space="0"/>
              <w:left w:val="single" w:color="000000" w:sz="4" w:space="0"/>
              <w:bottom w:val="single" w:color="000000" w:sz="4" w:space="0"/>
              <w:right w:val="single" w:color="000000" w:sz="4" w:space="0"/>
            </w:tcBorders>
            <w:noWrap w:val="0"/>
            <w:vAlign w:val="center"/>
          </w:tcPr>
          <w:p w14:paraId="3DCCF1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支持GPS、北斗、上级NTP；（选配支持CDMA校时）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支持多网域校时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支持双机热备、级联方案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处理器：嵌入式ARM处理器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同步精度：卫星同步精度&lt;20ns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存储：512M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守时精度：≤28us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跟踪通道数：32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捕获通道数：128</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冷启动捕获灵敏度：-148dBm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热启动捕获灵敏度：-156dBm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热启动时间＜2min；冷启动时间＜20min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授时容量： 10000次/每秒（单千兆网口）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授时精度：≤5us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授时频段：GPS: 1575.42±1.023MHz ，北斗: 1561.098±2.046MHz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接口（4个可插拔模块化输出卡）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NTP输出卡1（RJ45）：NTP1~NTP4，支持端口、双卡绑定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NTP输出卡2（RJ45）：NTP5~NTP8，支持端口、双卡绑定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光输出卡1（ST）：1-4路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RS422/485输出卡1：1-5路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网络管理端口（RJ45）：管理口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NTP输入端口（RJ45）:NTP INP</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PPS授时端口（SMA）：1PPS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10M授时端口（SMA）：10MHZ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串行管理端口（RS232）：串口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1路GPS/BD天线接口 （支持选配2路）</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285056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246D49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7EBD2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8"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14:paraId="4A323334">
            <w:pPr>
              <w:jc w:val="center"/>
              <w:rPr>
                <w:rFonts w:hint="eastAsia" w:ascii="宋体" w:hAnsi="宋体" w:eastAsia="宋体" w:cs="宋体"/>
                <w:b/>
                <w:bCs/>
                <w:i w:val="0"/>
                <w:iCs w:val="0"/>
                <w:color w:val="auto"/>
                <w:sz w:val="22"/>
                <w:szCs w:val="22"/>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DE2C12">
            <w:pPr>
              <w:jc w:val="center"/>
              <w:rPr>
                <w:rFonts w:hint="eastAsia" w:ascii="宋体" w:hAnsi="宋体" w:eastAsia="宋体" w:cs="宋体"/>
                <w:i w:val="0"/>
                <w:iCs w:val="0"/>
                <w:color w:val="auto"/>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14586B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存储</w:t>
            </w:r>
          </w:p>
        </w:tc>
        <w:tc>
          <w:tcPr>
            <w:tcW w:w="5639" w:type="dxa"/>
            <w:tcBorders>
              <w:top w:val="single" w:color="000000" w:sz="4" w:space="0"/>
              <w:left w:val="single" w:color="000000" w:sz="4" w:space="0"/>
              <w:bottom w:val="single" w:color="000000" w:sz="4" w:space="0"/>
              <w:right w:val="single" w:color="000000" w:sz="4" w:space="0"/>
            </w:tcBorders>
            <w:noWrap w:val="0"/>
            <w:vAlign w:val="center"/>
          </w:tcPr>
          <w:p w14:paraId="312FC3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主机：2U12个3.5/2.5寸盘，双控2*10核x86,BBU,SAN/NAS，8*1Gb*1；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内存：双控默认128G*1；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IO口配置2：双控增加8个16Gb FC主机接口*1；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IO口配置3：双控增加4个10Gb 主机接口 ，光纤接口（含SFP)*1；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增值软件：智能文件服务*1；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2.5寸硬盘：2.5英寸企业级SSD硬盘，3.84TB*10；</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33868A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404EA5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0B159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14:paraId="0ED7B692">
            <w:pPr>
              <w:jc w:val="center"/>
              <w:rPr>
                <w:rFonts w:hint="eastAsia" w:ascii="宋体" w:hAnsi="宋体" w:eastAsia="宋体" w:cs="宋体"/>
                <w:b/>
                <w:bCs/>
                <w:i w:val="0"/>
                <w:iCs w:val="0"/>
                <w:color w:val="auto"/>
                <w:sz w:val="22"/>
                <w:szCs w:val="22"/>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B28BF">
            <w:pPr>
              <w:jc w:val="center"/>
              <w:rPr>
                <w:rFonts w:hint="eastAsia" w:ascii="宋体" w:hAnsi="宋体" w:eastAsia="宋体" w:cs="宋体"/>
                <w:i w:val="0"/>
                <w:iCs w:val="0"/>
                <w:color w:val="auto"/>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738B81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KVM切换器</w:t>
            </w:r>
          </w:p>
        </w:tc>
        <w:tc>
          <w:tcPr>
            <w:tcW w:w="5639" w:type="dxa"/>
            <w:tcBorders>
              <w:top w:val="single" w:color="000000" w:sz="4" w:space="0"/>
              <w:left w:val="single" w:color="000000" w:sz="4" w:space="0"/>
              <w:bottom w:val="single" w:color="000000" w:sz="4" w:space="0"/>
              <w:right w:val="single" w:color="000000" w:sz="4" w:space="0"/>
            </w:tcBorders>
            <w:noWrap w:val="0"/>
            <w:vAlign w:val="center"/>
          </w:tcPr>
          <w:p w14:paraId="5C218C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LCD集成KVM切换器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显示、键盘、鼠标、切换器四合一KVM切换系统，采用17寸LCD显示器；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提供额外的第二组外接控制端-可让管理者使用标准的键盘/显示器/鼠标作为控制端；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集成LCD显示器最高支持1280x1024@75Hz，外接显示器最高支持1920*1440@60HZ；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跨平台支持-PC、Mac、Sun等硬件，支持 MS windows, Netware, Unix, Linux等操作系统；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LCD液晶屏可展开至120度，以提供更舒适的检视角度；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控制端锁定功能-在不使用控制端时可将其安全固定在原来位置；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通过OSD菜单，按钮和热键多种方式实现信号的切换；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提供自定义热键灵活控制(Scroll-Lock/ Cap-Lock/ Num-Lock/ L-Alt/ L-Ctrl/ L-Win/ R-Alt/ R-Ctrl/R-Win)；</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支持用户权限控制和分配，最多支持存储8个独立的用户帐号；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支持计算机/服务器名称的搜索；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连接口数量：8路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 连接口类型：VGA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 是否支持多级级联：是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 选配IP卡远程控制：支持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 屏幕尺寸：17寸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 控制方式：面板按键/内置OSD菜单/热键（快捷键）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 鼠标：触摸鼠标板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 屏幕与键鼠滑轨：单滑轨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 屏幕分辨率：1280x1024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安装方式：机架式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 音频接口：无音频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 电源接口：AC 220V</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 USB接口数量：3个</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工作温度：0～50℃ </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13D119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1D3258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3FF03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7" w:type="dxa"/>
            <w:vMerge w:val="restart"/>
            <w:tcBorders>
              <w:top w:val="single" w:color="000000" w:sz="4" w:space="0"/>
              <w:left w:val="single" w:color="000000" w:sz="4" w:space="0"/>
              <w:bottom w:val="single" w:color="000000" w:sz="4" w:space="0"/>
              <w:right w:val="single" w:color="000000" w:sz="4" w:space="0"/>
            </w:tcBorders>
            <w:noWrap/>
            <w:vAlign w:val="center"/>
          </w:tcPr>
          <w:p w14:paraId="6BDC38E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1BA1DB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音视频切片存储</w:t>
            </w:r>
          </w:p>
        </w:tc>
        <w:tc>
          <w:tcPr>
            <w:tcW w:w="843" w:type="dxa"/>
            <w:vMerge w:val="restart"/>
            <w:tcBorders>
              <w:top w:val="single" w:color="000000" w:sz="4" w:space="0"/>
              <w:left w:val="single" w:color="000000" w:sz="4" w:space="0"/>
              <w:bottom w:val="single" w:color="000000" w:sz="4" w:space="0"/>
              <w:right w:val="single" w:color="000000" w:sz="4" w:space="0"/>
            </w:tcBorders>
            <w:noWrap w:val="0"/>
            <w:vAlign w:val="center"/>
          </w:tcPr>
          <w:p w14:paraId="4165FD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车驾管专用智能云存储</w:t>
            </w:r>
          </w:p>
        </w:tc>
        <w:tc>
          <w:tcPr>
            <w:tcW w:w="5639" w:type="dxa"/>
            <w:vMerge w:val="restart"/>
            <w:tcBorders>
              <w:top w:val="single" w:color="000000" w:sz="4" w:space="0"/>
              <w:left w:val="single" w:color="000000" w:sz="4" w:space="0"/>
              <w:bottom w:val="single" w:color="000000" w:sz="4" w:space="0"/>
              <w:right w:val="single" w:color="000000" w:sz="4" w:space="0"/>
            </w:tcBorders>
            <w:noWrap w:val="0"/>
            <w:vAlign w:val="top"/>
          </w:tcPr>
          <w:p w14:paraId="08BE760A">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1、系统对接：支持与公安交通管理综合应用平台社会化服务系统的音视频切片管理系统无缝对接，在音视频切片管理系统的配置管理中填写参数即可连接，支持社会化服务系统内切片系统的拓展AI检测功能；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2、FastDFS对接：支持对接公安交通管理综合应用平台社会化服务系统专用存储FastDFS接口协议；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安全审计：对所有需要登录本系统的用户账户及密码进行统一管理，管理员可在各级组织下新增用户账号和管理用户信息；支持根据不同的用户分配对应的组织机构和角色及设置不同的权限，支持用户登录IP限制。自定义的安全参数来设定触发日志的条件，当用户操作达到设定的条件后则自动自成日志预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4、快速检索：支持海量存储文件的快速检索服务，可按文件名、文件上传IP、存储桶名称、上传时间条件组合查询搜索；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5、存储租户：对存储的租户管理，实现租户的新增、修改、删除、禁用等租户信息维护操作。管理存储租户，可以自定义设置租户存储空间容量、访问IP 地址，未授权IP地址范围内的文件无法上传至对应租户，确保存储来源安全可控；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6、存储桶管理：支持存储桶的创建与管理，支持对不同业务类型的数据制定个性化存储策略，存储桶可自定义容量配额；</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7、过期机制：支持存储桶数据生命周期控制策略，周期性地自动检查并清理桶中的过期数据，根据设置策略决定数据生命周期的不同阶段无需人工干预；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8、集群监测：支持存储集群节点的运行动态监测和异常预警，包括实时监控各存储节点的节点状态、IP地址、磁盘使用容量、内存及网络使用情况等；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磁盘可视化：提供实时健康管理，全方位性能指标监控，对监控各存储节点的磁盘详细状态，磁盘的原始容量、已用容量、磁盘状态等可视化展现；支持磁盘灯光标识识别，页面点击磁盘灯光标识，存储硬件上对应的硬盘指示灯对应发生变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10、同步校时：提供NTP Client向NTP服务器进行周期性同步校时，保证所有服务器或网络设备的时间统一性；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11、视频质量检测：支持视频质量检测管理，如视频无法解析、视频画面异常、画面分辨率过低等异常情况是否存在；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12、视频误差检测：支持检测视频中每帧叠加的日期时间，叠加开始及结束时间；支持检测视频是否存在视频丢帧以及视频丢帧时长等信息；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13、视频内容检测：采用人员、车辆检测算法对画面视频进行分析，检测视频切片业务场景中人、车通用目标对象和检测人和机动车出现的时间点等；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14、接入协议：提供丰富的存储接口，内置FastDFS、S3对象存储协议、POSIX可移植操作系统接口协议、HTTP超文本传输协议等；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15、备份管理：进行数据冗余备份管理，可以选择副本备份数量，其备副本数据会均匀分布在其他节点上，单点故障系统不会丢失数据；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16、三级存储机制：三级分层存储机制，包括内存缓存层、SSD 高速缓存层、硬盘存储层。可根据数据访问频度，自动将热数据迁移至高性能存储池，将冷数据迁移至性能一般的存储池中；</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17、节点负载均衡：支持高数据读写压力下各项节点自动负载均衡，每台节点自动分配处理数据请求，不存在某节点处理请求频率过高或过低的情况；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18、机箱：4U机架式，36盘位高密度配置；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19、处理器：≥2*鲲鹏920,核数: ≥24核，主频: ≥2.6GHz；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20、内存：≥128GB；</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21、SSD：≥2*480G/SSD；</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22、硬盘：≥36*16TB/SATA/企业级；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23、电源：1+1冗余电源；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24、网络：2*万兆网卡+2*千兆网口；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25、音视频加速卡：支持AI智能推理，算力32TFLOPS@FP16 ；支持 32 路 1920*1080 30fps 的 H.264/H.265 解码；支持 16 路 1920*1080 30fps 的 H.264/H.265 编码。</w:t>
            </w:r>
          </w:p>
        </w:tc>
        <w:tc>
          <w:tcPr>
            <w:tcW w:w="481" w:type="dxa"/>
            <w:vMerge w:val="restart"/>
            <w:tcBorders>
              <w:top w:val="single" w:color="000000" w:sz="4" w:space="0"/>
              <w:left w:val="single" w:color="000000" w:sz="4" w:space="0"/>
              <w:bottom w:val="single" w:color="000000" w:sz="4" w:space="0"/>
              <w:right w:val="single" w:color="000000" w:sz="4" w:space="0"/>
            </w:tcBorders>
            <w:noWrap/>
            <w:vAlign w:val="center"/>
          </w:tcPr>
          <w:p w14:paraId="5DF0E1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81" w:type="dxa"/>
            <w:vMerge w:val="restart"/>
            <w:tcBorders>
              <w:top w:val="single" w:color="000000" w:sz="4" w:space="0"/>
              <w:left w:val="single" w:color="000000" w:sz="4" w:space="0"/>
              <w:bottom w:val="single" w:color="000000" w:sz="4" w:space="0"/>
              <w:right w:val="single" w:color="000000" w:sz="4" w:space="0"/>
            </w:tcBorders>
            <w:noWrap/>
            <w:vAlign w:val="center"/>
          </w:tcPr>
          <w:p w14:paraId="716EB9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5C981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14:paraId="50B5FD85">
            <w:pPr>
              <w:jc w:val="center"/>
              <w:rPr>
                <w:rFonts w:hint="eastAsia" w:ascii="宋体" w:hAnsi="宋体" w:eastAsia="宋体" w:cs="宋体"/>
                <w:b/>
                <w:bCs/>
                <w:i w:val="0"/>
                <w:iCs w:val="0"/>
                <w:color w:val="auto"/>
                <w:sz w:val="22"/>
                <w:szCs w:val="22"/>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F4E8D9">
            <w:pPr>
              <w:jc w:val="center"/>
              <w:rPr>
                <w:rFonts w:hint="eastAsia" w:ascii="宋体" w:hAnsi="宋体" w:eastAsia="宋体" w:cs="宋体"/>
                <w:i w:val="0"/>
                <w:iCs w:val="0"/>
                <w:color w:val="auto"/>
                <w:sz w:val="22"/>
                <w:szCs w:val="22"/>
                <w:highlight w:val="none"/>
                <w:u w:val="none"/>
              </w:rPr>
            </w:pPr>
          </w:p>
        </w:tc>
        <w:tc>
          <w:tcPr>
            <w:tcW w:w="8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EFBFD0">
            <w:pPr>
              <w:jc w:val="center"/>
              <w:rPr>
                <w:rFonts w:hint="eastAsia" w:ascii="宋体" w:hAnsi="宋体" w:eastAsia="宋体" w:cs="宋体"/>
                <w:i w:val="0"/>
                <w:iCs w:val="0"/>
                <w:color w:val="auto"/>
                <w:sz w:val="22"/>
                <w:szCs w:val="22"/>
                <w:highlight w:val="none"/>
                <w:u w:val="none"/>
              </w:rPr>
            </w:pPr>
          </w:p>
        </w:tc>
        <w:tc>
          <w:tcPr>
            <w:tcW w:w="5639" w:type="dxa"/>
            <w:vMerge w:val="continue"/>
            <w:tcBorders>
              <w:top w:val="single" w:color="000000" w:sz="4" w:space="0"/>
              <w:left w:val="single" w:color="000000" w:sz="4" w:space="0"/>
              <w:bottom w:val="single" w:color="000000" w:sz="4" w:space="0"/>
              <w:right w:val="single" w:color="000000" w:sz="4" w:space="0"/>
            </w:tcBorders>
            <w:noWrap w:val="0"/>
            <w:vAlign w:val="top"/>
          </w:tcPr>
          <w:p w14:paraId="42FE8787">
            <w:pPr>
              <w:jc w:val="left"/>
              <w:rPr>
                <w:rFonts w:hint="eastAsia" w:ascii="宋体" w:hAnsi="宋体" w:eastAsia="宋体" w:cs="宋体"/>
                <w:i w:val="0"/>
                <w:iCs w:val="0"/>
                <w:color w:val="auto"/>
                <w:sz w:val="22"/>
                <w:szCs w:val="22"/>
                <w:highlight w:val="none"/>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ign w:val="center"/>
          </w:tcPr>
          <w:p w14:paraId="5E9504AB">
            <w:pPr>
              <w:jc w:val="center"/>
              <w:rPr>
                <w:rFonts w:hint="eastAsia" w:ascii="宋体" w:hAnsi="宋体" w:eastAsia="宋体" w:cs="宋体"/>
                <w:i w:val="0"/>
                <w:iCs w:val="0"/>
                <w:color w:val="auto"/>
                <w:sz w:val="22"/>
                <w:szCs w:val="22"/>
                <w:highlight w:val="none"/>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ign w:val="center"/>
          </w:tcPr>
          <w:p w14:paraId="6D55F345">
            <w:pPr>
              <w:jc w:val="center"/>
              <w:rPr>
                <w:rFonts w:hint="eastAsia" w:ascii="宋体" w:hAnsi="宋体" w:eastAsia="宋体" w:cs="宋体"/>
                <w:i w:val="0"/>
                <w:iCs w:val="0"/>
                <w:color w:val="auto"/>
                <w:sz w:val="22"/>
                <w:szCs w:val="22"/>
                <w:highlight w:val="none"/>
                <w:u w:val="none"/>
              </w:rPr>
            </w:pPr>
          </w:p>
        </w:tc>
      </w:tr>
      <w:tr w14:paraId="31255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9"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14:paraId="248F5348">
            <w:pPr>
              <w:jc w:val="center"/>
              <w:rPr>
                <w:rFonts w:hint="eastAsia" w:ascii="宋体" w:hAnsi="宋体" w:eastAsia="宋体" w:cs="宋体"/>
                <w:b/>
                <w:bCs/>
                <w:i w:val="0"/>
                <w:iCs w:val="0"/>
                <w:color w:val="auto"/>
                <w:sz w:val="22"/>
                <w:szCs w:val="22"/>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F24FAC">
            <w:pPr>
              <w:jc w:val="center"/>
              <w:rPr>
                <w:rFonts w:hint="eastAsia" w:ascii="宋体" w:hAnsi="宋体" w:eastAsia="宋体" w:cs="宋体"/>
                <w:i w:val="0"/>
                <w:iCs w:val="0"/>
                <w:color w:val="auto"/>
                <w:sz w:val="22"/>
                <w:szCs w:val="22"/>
                <w:highlight w:val="none"/>
                <w:u w:val="none"/>
              </w:rPr>
            </w:pPr>
          </w:p>
        </w:tc>
        <w:tc>
          <w:tcPr>
            <w:tcW w:w="8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33A74C">
            <w:pPr>
              <w:jc w:val="center"/>
              <w:rPr>
                <w:rFonts w:hint="eastAsia" w:ascii="宋体" w:hAnsi="宋体" w:eastAsia="宋体" w:cs="宋体"/>
                <w:i w:val="0"/>
                <w:iCs w:val="0"/>
                <w:color w:val="auto"/>
                <w:sz w:val="22"/>
                <w:szCs w:val="22"/>
                <w:highlight w:val="none"/>
                <w:u w:val="none"/>
              </w:rPr>
            </w:pPr>
          </w:p>
        </w:tc>
        <w:tc>
          <w:tcPr>
            <w:tcW w:w="5639" w:type="dxa"/>
            <w:vMerge w:val="continue"/>
            <w:tcBorders>
              <w:top w:val="single" w:color="000000" w:sz="4" w:space="0"/>
              <w:left w:val="single" w:color="000000" w:sz="4" w:space="0"/>
              <w:bottom w:val="single" w:color="000000" w:sz="4" w:space="0"/>
              <w:right w:val="single" w:color="000000" w:sz="4" w:space="0"/>
            </w:tcBorders>
            <w:noWrap w:val="0"/>
            <w:vAlign w:val="top"/>
          </w:tcPr>
          <w:p w14:paraId="7E4AE360">
            <w:pPr>
              <w:jc w:val="left"/>
              <w:rPr>
                <w:rFonts w:hint="eastAsia" w:ascii="宋体" w:hAnsi="宋体" w:eastAsia="宋体" w:cs="宋体"/>
                <w:i w:val="0"/>
                <w:iCs w:val="0"/>
                <w:color w:val="auto"/>
                <w:sz w:val="22"/>
                <w:szCs w:val="22"/>
                <w:highlight w:val="none"/>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ign w:val="center"/>
          </w:tcPr>
          <w:p w14:paraId="49A4305D">
            <w:pPr>
              <w:jc w:val="center"/>
              <w:rPr>
                <w:rFonts w:hint="eastAsia" w:ascii="宋体" w:hAnsi="宋体" w:eastAsia="宋体" w:cs="宋体"/>
                <w:i w:val="0"/>
                <w:iCs w:val="0"/>
                <w:color w:val="auto"/>
                <w:sz w:val="22"/>
                <w:szCs w:val="22"/>
                <w:highlight w:val="none"/>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ign w:val="center"/>
          </w:tcPr>
          <w:p w14:paraId="25402945">
            <w:pPr>
              <w:jc w:val="center"/>
              <w:rPr>
                <w:rFonts w:hint="eastAsia" w:ascii="宋体" w:hAnsi="宋体" w:eastAsia="宋体" w:cs="宋体"/>
                <w:i w:val="0"/>
                <w:iCs w:val="0"/>
                <w:color w:val="auto"/>
                <w:sz w:val="22"/>
                <w:szCs w:val="22"/>
                <w:highlight w:val="none"/>
                <w:u w:val="none"/>
              </w:rPr>
            </w:pPr>
          </w:p>
        </w:tc>
      </w:tr>
      <w:tr w14:paraId="0D958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6" w:hRule="atLeast"/>
        </w:trPr>
        <w:tc>
          <w:tcPr>
            <w:tcW w:w="457" w:type="dxa"/>
            <w:vMerge w:val="restart"/>
            <w:tcBorders>
              <w:top w:val="single" w:color="000000" w:sz="4" w:space="0"/>
              <w:left w:val="single" w:color="000000" w:sz="4" w:space="0"/>
              <w:bottom w:val="single" w:color="000000" w:sz="4" w:space="0"/>
              <w:right w:val="single" w:color="000000" w:sz="4" w:space="0"/>
            </w:tcBorders>
            <w:noWrap/>
            <w:vAlign w:val="center"/>
          </w:tcPr>
          <w:p w14:paraId="7C163C5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97F2E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音视频共享及视频切片管理平台</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1DAEEC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音视频联网软件</w:t>
            </w:r>
          </w:p>
        </w:tc>
        <w:tc>
          <w:tcPr>
            <w:tcW w:w="5639" w:type="dxa"/>
            <w:tcBorders>
              <w:top w:val="single" w:color="000000" w:sz="4" w:space="0"/>
              <w:left w:val="single" w:color="000000" w:sz="4" w:space="0"/>
              <w:bottom w:val="single" w:color="000000" w:sz="4" w:space="0"/>
              <w:right w:val="single" w:color="000000" w:sz="4" w:space="0"/>
            </w:tcBorders>
            <w:noWrap w:val="0"/>
            <w:vAlign w:val="center"/>
          </w:tcPr>
          <w:p w14:paraId="29DE74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1.视频接入：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1）支持以GB/T 28181协议为标准的国内主流视频共享平台或视频联网平台接入。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2）支持海康、大华、宇视等国内主流视频监控设备商的摄像机直接接入。兼容具有GB/T 28181功能的前端NVR的视频接入。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3）国标网络校时。按照国标 GB/T 28181 要求，支持NTP 协议或SIP 协议进行时钟同步。确保前端设备、服务器、存储等设备与社会化服务系统的时钟保持一致。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2.流媒体服务：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1）支持UDP、TCP两种协议的rtp流转发。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2）支持基于RTSP实时流传输协议的视频流推送/拉取服务，以及基于http-flv方式的推流服务。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3）支持视频流推送/拉取的鉴权服务，确保数据安全性。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4）视频编解码。支持交管行业主流视频解码播放，包括GB28181、H.264、H.265以及SVAC视频编码规格，提供基于Chrome内核浏览器无插件模式下的万能解码服务。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5）支持N宫格轮训播放；支持前端设备实时视频流查看；支持按时间拖拉、倍速播放等对前端设备录像进行回拨；支持对前端设备的云台控制。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6）支持音视频转发，提供基于模拟矩阵、数字矩阵的上墙服务。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7）支持多节点分布式部署。</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3.接口服务：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按照《公安交通管理综合应用平台社会化服务系统升级改造技术方案》，提供摄像机备案管理和视频巡检类接口，对接社会化服务系统。支持社会化服务系统实现基于JS无插件方式的实时视频播放、历史视频点播、图像抓拍、多画面同步播放、异步回放、视频巡检等应用场景需求，以及摄像机方向、放大/缩小、变焦等控制管理需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4.控制台管理：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1）支持前端设备在线情况、实时推/拉流数据、服务器硬件资源等的图形化实时显示。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2）提供设备基础信息管理、摄像机国标编码自动配置、前端NRV通道快捷查询等管理功能。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3）节点管理。实现流媒体管理，多节点协同管理功能。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5、访问控制：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1）用户管理。提供用户访问配置管理、接入密钥管理。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2）权限管理。提供访问权限管理、数据接入权限管理。能创建不同权限、不同角色的用户账号，对系统内的信息进行查看和访问。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6、同步回放：不少于16路。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7、视频分辨率：支持5MP/3MP/1080P/720P/D1/2CIF/CIF/QCIF。</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8、视频压缩标准：H.265/H.264/MPEG4/MJPEG。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9、网络视频接入协议：GB28181-2022、ONVIF、SDK以及厂家私有协议，兼容GB/T 28181-2016、GB/T 28181-2011及补充协议规定。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10、音频压缩标准：AAC、G.711A。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11、音频采样率：16bit。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12、音频编码码流：64Kbps。</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2E7972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3E0D7E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14:paraId="57A91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0"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14:paraId="31C5B50F">
            <w:pPr>
              <w:jc w:val="center"/>
              <w:rPr>
                <w:rFonts w:hint="eastAsia" w:ascii="宋体" w:hAnsi="宋体" w:eastAsia="宋体" w:cs="宋体"/>
                <w:b/>
                <w:bCs/>
                <w:i w:val="0"/>
                <w:iCs w:val="0"/>
                <w:color w:val="auto"/>
                <w:sz w:val="22"/>
                <w:szCs w:val="22"/>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48788D">
            <w:pPr>
              <w:jc w:val="center"/>
              <w:rPr>
                <w:rFonts w:hint="eastAsia" w:ascii="宋体" w:hAnsi="宋体" w:eastAsia="宋体" w:cs="宋体"/>
                <w:i w:val="0"/>
                <w:iCs w:val="0"/>
                <w:color w:val="auto"/>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5432DD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机动车检验业务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音视频切片管理软件</w:t>
            </w:r>
          </w:p>
        </w:tc>
        <w:tc>
          <w:tcPr>
            <w:tcW w:w="5639" w:type="dxa"/>
            <w:tcBorders>
              <w:top w:val="single" w:color="000000" w:sz="4" w:space="0"/>
              <w:left w:val="single" w:color="000000" w:sz="4" w:space="0"/>
              <w:bottom w:val="single" w:color="000000" w:sz="4" w:space="0"/>
              <w:right w:val="single" w:color="000000" w:sz="4" w:space="0"/>
            </w:tcBorders>
            <w:noWrap w:val="0"/>
            <w:vAlign w:val="top"/>
          </w:tcPr>
          <w:p w14:paraId="17B81E82">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1、音视频切片：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机动车检验业务音视频切片服务：根据音视频共享平台提供的切片指令中包含的硬盘录像机、摄像头、录像开始与结束时间等信息，从目标录像机设备切片相应的业务视频。要求能支持当前主流的海康、大华等主要视频监控厂家的设备。支持基于前端摄像机的实时视频流切片和基于NVR视频存储的历史录像切片两种方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按照《公安交通管理综合应用平台社会化服务系统升级改造技术方案》，提供音视频切片管理接口，对接社会化服务系统，接收社会化服务系统的切片指令后，自动拉取视频平台视频流进行切片，按业务流水主键存储至支队视频存储设备后，将视频切片结果地址信息上传至社会化服务系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2、切片视频存储：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1）支持切片视频实时存储，对视频平台的视频流实时转化成视频切片文件存储，提供切片存储的周期性管理。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2）支持对不同场景业务类型的视频自定义配置存储时长、切片视频是否压缩。</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3）提供冷热数据存储策略，支持对不同场景业务类型的视频配置冷热数据转换，按切片视频的调用频率、存储时间来设定冷热数据的转换条件。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4）切片存储包含原始防伪信息，支持对电子数据完整性校验，当人为篡改数据库信息时，实现业务数据的锁定，以及业务防篡改功能。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3、视频质量检测：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1）支持对切片视频质量的智能化检测，可以定期检测排查视频无法播放、播放无画面、视频无法解析、录像未完成、黑屏花屏等问题进行检测。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2）支持对视频质量检测结果进行统计并形成错误记录表，并提供异常视频查看验证功能。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4、切片视频调阅：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1）支持在线播放切片录像并查看对应录像的业务信息及视频参数，可根据业务流水号、摄像机编号、业务办理时间查询播放对应视频。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2）支持切片视频文件的在线播放和下载，支持公安网跨边界访问社会化服务网络切片视频。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3）支持对任意视频切片抓拍并保存，实现将任一帧抓拍的图像保存成JPEG或BMP的格式。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5、安全要求：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1）提供安全的加密认证服务，支持对切片文件点播url进行权限认证和时效认证。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2）提供安全传输服务。防止电子图片、视频片段在传输、存储和校对过程中被非法篡改，加密信息里应包含切片的基本点位信息和业务流水信息。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3）支持加解密播放服务。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6、兼容性。支持前端摄像机实时取流切片和基于前端NVR视频存储的历史录像切片；支持rtsp实时拉流录像、GB/T 28181历史视频录像、兼容海康、大华、宇视主流设备厂家SDK接入方式录像视频切片。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7、并发性。视频文件存储、下载并发不低于每秒20路。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8、实时性。前端摄像机实时取流切片方式的，机动车检验项目切片。前端NVR视频存储的历史录像切片的，在机动车检验项目结束后2分钟内完成切片。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9、视频质量检测。监控点摄像机数据异常、黑屏、蓝屏、清晰度异常、角度异常、取流超时等异常检测准确率95%以上、响应时长不超过1秒</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10、产品经公安部交通安全产品质量监督检测中心检测通过，方可上线使用。</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092233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50AD31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14:paraId="5A3CB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3"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14:paraId="17D1B189">
            <w:pPr>
              <w:jc w:val="center"/>
              <w:rPr>
                <w:rFonts w:hint="eastAsia" w:ascii="宋体" w:hAnsi="宋体" w:eastAsia="宋体" w:cs="宋体"/>
                <w:b/>
                <w:bCs/>
                <w:i w:val="0"/>
                <w:iCs w:val="0"/>
                <w:color w:val="auto"/>
                <w:sz w:val="22"/>
                <w:szCs w:val="22"/>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17187F">
            <w:pPr>
              <w:jc w:val="center"/>
              <w:rPr>
                <w:rFonts w:hint="eastAsia" w:ascii="宋体" w:hAnsi="宋体" w:eastAsia="宋体" w:cs="宋体"/>
                <w:i w:val="0"/>
                <w:iCs w:val="0"/>
                <w:color w:val="auto"/>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0795B8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机动车查验业务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音视频切片管理软件</w:t>
            </w:r>
          </w:p>
        </w:tc>
        <w:tc>
          <w:tcPr>
            <w:tcW w:w="5639" w:type="dxa"/>
            <w:tcBorders>
              <w:top w:val="single" w:color="000000" w:sz="4" w:space="0"/>
              <w:left w:val="single" w:color="000000" w:sz="4" w:space="0"/>
              <w:bottom w:val="single" w:color="000000" w:sz="4" w:space="0"/>
              <w:right w:val="single" w:color="000000" w:sz="4" w:space="0"/>
            </w:tcBorders>
            <w:noWrap w:val="0"/>
            <w:vAlign w:val="top"/>
          </w:tcPr>
          <w:p w14:paraId="099059EF">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1、音视频切片：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机动车查验业务音视频切片服务：根据音视频共享平台提供的切片指令中包含的硬盘录像机、摄像头、录像开始与结束时间等信息，从目标录像机设备切片相应的业务视频。要求能支持当前主流的海康、大华等主要视频监控厂家的设备。支持基于前端摄像机的实时视频流切片和基于NVR视频存储的历史录像切片两种方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按照《公安交通管理综合应用平台社会化服务系统升级改造技术方案》，提供音视频切片管理接口，对接社会化服务系统，接收社会化服务系统的切片指令后，自动拉取视频平台视频流进行切片，按业务流水主键存储至支队视频存储设备后，将视频切片结果地址信息上传至社会化服务系统。2、切片视频存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1）支持切片视频实时存储，对视频平台的视频流实时转化成视频切片文件存储，提供切片存储的周期性管理。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2）支持对不同场景业务类型的视频自定义配置存储时长、切片视频是否压缩。</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3）提供冷热数据存储策略，支持对不同场景业务类型的视频配置冷热数据转换，按切片视频的调用频率、存储时间来设定冷热数据的转换条件。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4）切片存储包含原始防伪信息，支持对电子数据完整性校验，当人为篡改数据库信息时，实现业务数据的锁定，以及业务防篡改功能。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3、视频质量检测：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1）支持对切片视频质量的智能化检测，可以定期检测排查视频无法播放、播放无画面、视频无法解析、录像未完成、黑屏花屏等问题进行检测。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2）支持对视频质量检测结果进行统计并形成错误记录表，并提供异常视频查看验证功能。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4、切片视频调阅：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1）支持在线播放切片录像并查看对应录像的业务信息及视频参数，可根据业务流水号、摄像机编号、业务办理时间查询播放对应视频。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2）支持切片视频文件的在线播放和下载，支持公安网跨边界访问社会化服务网络切片视频。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3）支持对任意视频切片抓拍并保存，实现将任一帧抓拍的图像保存成JPEG或BMP的格式。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5、安全要求：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1）提供安全的加密认证服务，支持对切片文件点播url进行权限认证和时效认证。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2）提供安全传输服务。防止电子图片、视频片段在传输、存储和校对过程中被非法篡改，加密信息里应包含切片的基本点位信息和业务流水信息。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3）支持加解密播放服务。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6、兼容性。支持前端摄像机实时取流切片和基于前端NVR视频存储的历史录像切片；支持rtsp实时拉流录像、GB/T 28181历史视频录像、兼容海康、大华、宇视主流设备厂家SDK接入方式录像视频切片。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7、并发性。视频文件存储、下载并发不低于每秒20路。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8、实时性。前端摄像机实时取流切片方式的，机动车查验项目结束后10S内完成业务切片。前端NVR视频存储的历史录像切片的，在机动车查验项目结束后2分钟内完成切片。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9、视频质量检测。监控点摄像机数据异常、黑屏、蓝屏、清晰度异常、角度异常、取流超时等异常检测准确率95%以上、响应时长不超过2秒。</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10、产品经公安部交通安全产品质量监督检测中心检测通过，方可上线使用。</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291117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553CBA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14:paraId="3308E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4"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14:paraId="1CABEA29">
            <w:pPr>
              <w:jc w:val="center"/>
              <w:rPr>
                <w:rFonts w:hint="eastAsia" w:ascii="宋体" w:hAnsi="宋体" w:eastAsia="宋体" w:cs="宋体"/>
                <w:b/>
                <w:bCs/>
                <w:i w:val="0"/>
                <w:iCs w:val="0"/>
                <w:color w:val="auto"/>
                <w:sz w:val="22"/>
                <w:szCs w:val="22"/>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DA0794">
            <w:pPr>
              <w:jc w:val="center"/>
              <w:rPr>
                <w:rFonts w:hint="eastAsia" w:ascii="宋体" w:hAnsi="宋体" w:eastAsia="宋体" w:cs="宋体"/>
                <w:i w:val="0"/>
                <w:iCs w:val="0"/>
                <w:color w:val="auto"/>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351F8B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车驾管考试业务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音视频切片管理软件</w:t>
            </w:r>
          </w:p>
        </w:tc>
        <w:tc>
          <w:tcPr>
            <w:tcW w:w="5639" w:type="dxa"/>
            <w:tcBorders>
              <w:top w:val="single" w:color="000000" w:sz="4" w:space="0"/>
              <w:left w:val="single" w:color="000000" w:sz="4" w:space="0"/>
              <w:bottom w:val="single" w:color="000000" w:sz="4" w:space="0"/>
              <w:right w:val="single" w:color="000000" w:sz="4" w:space="0"/>
            </w:tcBorders>
            <w:noWrap w:val="0"/>
            <w:vAlign w:val="top"/>
          </w:tcPr>
          <w:p w14:paraId="3381B980">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1、音视频切片：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驾驶人科目二考试、科目三考试音视频切片服务：根据音视频共享平台提供的切片指令中包含的硬盘录像机、摄像头、录像开始与结束时间等信息，从目标录像机设备切片相应的业务视频。要求能支持当前主流的海康、大华等主要视频监控厂家的设备。支持基于前端摄像机的实时视频流切片和基于NVR视频存储的历史录像切片两种方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按照《公安交通管理综合应用平台社会化服务系统升级改造技术方案》，提供音视频切片管理接口，对接社会化服务系统，接收社会化服务系统的切片指令后，自动拉取视频平台视频流进行切片，按业务流水主键存储至支队视频存储设备后，将视频切片结果地址信息上传至社会化服务系统。2、切片视频存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1）支持切片视频实时存储，对视频平台的视频流实时转化成视频切片文件存储，提供切片存储的周期性管理。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2）支持对不同场景业务类型的视频自定义配置存储时长、切片视频是否压缩。</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3）提供冷热数据存储策略，支持对不同场景业务类型的视频配置冷热数据转换，按切片视频的调用频率、存储时间来设定冷热数据的转换条件。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4）切片存储包含原始防伪信息，支持对电子数据完整性校验，当人为篡改数据库信息时，实现业务数据的锁定，以及业务防篡改功能。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3、视频质量检测：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1）支持对切片视频质量的智能化检测，可以定期检测排查视频无法播放、播放无画面、视频无法解析、录像未完成、黑屏花屏等问题进行检测。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2）支持对视频质量检测结果进行统计并形成错误记录表，并提供异常视频查看验证功能。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4、切片视频调阅：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1）支持在线播放切片录像并查看对应录像的业务信息及视频参数，可根据业务流水号、摄像机编号、业务办理时间查询播放对应视频。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2）支持切片视频文件的在线播放和下载，支持公安网跨边界访问社会化服务网络切片视频。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3）支持对任意视频切片抓拍并保存，实现将任一帧抓拍的图像保存成JPEG或BMP的格式。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5、安全要求：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1）提供安全的加密认证服务，支持对切片文件点播url进行权限认证和时效认证。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2）提供安全传输服务。防止电子图片、视频片段在传输、存储和校对过程中被非法篡改，加密信息里应包含切片的基本点位信息和业务流水信息。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3）支持加解密播放服务。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6、兼容性。支持前端摄像机实时取流切片和基于前端NVR视频存储的历史录像切片；支持rtsp实时拉流录像、GB/T 28181历史视频录像、兼容海康、大华、宇视主流设备厂家SDK接入方式录像视频切片。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7、并发性。视频文件存储、下载并发不低于每秒20路。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实时性。前端摄像机实时取流切片方式的，机动车驾驶人科目二考试项目、科目三考试结束后10S内完成业务切片。前端NVR视频存储的历史录像切片的，在驾驶人科目二考试项目、科目三考试结束后2分钟内完成切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9、视频质量检测。监控点摄像机数据异常、黑屏、蓝屏、清晰度异常、角度异常、取流超时等异常检测准确率95%以上、响应时长不超过3秒。</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10、产品经公安部交通安全产品质量监督检测中心检测通过，方可上线使用。</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3B934D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49AE4F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14:paraId="57EA2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8" w:hRule="atLeast"/>
        </w:trPr>
        <w:tc>
          <w:tcPr>
            <w:tcW w:w="457" w:type="dxa"/>
            <w:tcBorders>
              <w:top w:val="single" w:color="000000" w:sz="4" w:space="0"/>
              <w:left w:val="single" w:color="000000" w:sz="4" w:space="0"/>
              <w:bottom w:val="single" w:color="000000" w:sz="4" w:space="0"/>
              <w:right w:val="single" w:color="000000" w:sz="4" w:space="0"/>
            </w:tcBorders>
            <w:noWrap/>
            <w:vAlign w:val="center"/>
          </w:tcPr>
          <w:p w14:paraId="7257E6B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704E18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视频图像融合接入网关</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06F84E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视频网关</w:t>
            </w:r>
          </w:p>
        </w:tc>
        <w:tc>
          <w:tcPr>
            <w:tcW w:w="5639" w:type="dxa"/>
            <w:tcBorders>
              <w:top w:val="single" w:color="000000" w:sz="4" w:space="0"/>
              <w:left w:val="single" w:color="000000" w:sz="4" w:space="0"/>
              <w:bottom w:val="single" w:color="000000" w:sz="4" w:space="0"/>
              <w:right w:val="single" w:color="000000" w:sz="4" w:space="0"/>
            </w:tcBorders>
            <w:noWrap w:val="0"/>
            <w:vAlign w:val="center"/>
          </w:tcPr>
          <w:p w14:paraId="7AFC4D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1、视频联网：支持GB/T 28181-2022标准，兼容GB/T 28181-2016标准和GB/T 28181-2011标准；支持H.264、H.265以及SVAC视频编码规格；支持国内主流厂商的视频监控平台接入，包括但不限于：海康、大华、宇视、科达、华为、天地伟业、锐菲、汉邦高科、英飞拓等；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2、集成指挥平台：无缝接入“公安交通集成指挥平台” 提供视频显示、控制、目录查询、状态检测及上报、录像查询和下载、流媒体转发等服务；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3、视综应用平台：支持公安科信“视频图像信息综合应用平台”与“公安交通集成指挥平台”之间视频级联和资源共享，支持对不同应用平台场景化策略管理和权限控制；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综合应用平台：无缝接入“公安交通管理综合应用平台”和“公安交通管理综合应用平台社会化服务系统”，提供车驾管业务场所的视频实时监控和历史视频的调阅，实现音视频监控设备的集中统一管理和运行监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应用支持：提供“公安交通管理综合应用平台”和“公安交通管理综合应用平台社会化服务系统”对切片视频的调用能力，开放标准车驾管视频切片数据调用接口。提供标准SDK及三方应用管理，满足不同应用下的国标视频联网、视频解码及无插件多画面视频组织与播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可视化管理：支持网关接入及分发可视化动态配置；支持实时视频浏览，资源选择性共享与接入资源数统计，联网设备在线统计分析；支持设备状态、平台状态、并发量、网络流量、集群性能等进行记录和监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7、播放服务：支持SDK、OCX、JSX多种模式视频播放控制服务；支持浏览器无插件实时视频的浏览，包括多画面浏览实现选择1,4,9,16多种画面分割模式以及全屏显示，可提供多种分辨率的选择；</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8、通讯协议：支持UDP、TCP和KCP协议，提供可靠传输保障；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9、音频服务：支持AAC、711等多种音频编码的解码服务，可支持浏览器无插件音视频同步播放；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10、运行环境：支持在国产化的操作系统、浏览器环境中实现资源管理及多路视频播放，建立安全可控的实时视频联网服务；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11、质量控制：支持国标增强协议，提供视频通信QoS服务；支持视频防抖动、视频画面恢复、稳定视频通信、视频风暴抑制等，保障视频在边界网络通信中的稳定性；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12、集群模式：具备较强的扩展能力，支持集群负载均衡，能实现多台堆叠扩容；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13、并发数量：码流转发量：256路@4Mbps；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14、接入模式：支持视频专网、公安网独立部署，支持单网架构或双网架构模式，以适配不同网络架构下的应用场景。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15、接入数量：监控联网平台：支持同时接入20个；设备量：最大支持管理150000个；</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16、节点数量：双网双平台架构，提供2节点；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单个节点配置：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17、CPU：2*鲲鹏920,核数:24核，主频:2.6GHz;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18、内存：64GB；</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19、硬盘：1*960GB SSD；</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20、网络：1*万兆光口+2*千兆电口；</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7CF3DE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0B48F7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14:paraId="475F9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3" w:hRule="atLeast"/>
        </w:trPr>
        <w:tc>
          <w:tcPr>
            <w:tcW w:w="457" w:type="dxa"/>
            <w:tcBorders>
              <w:top w:val="single" w:color="000000" w:sz="4" w:space="0"/>
              <w:left w:val="single" w:color="000000" w:sz="4" w:space="0"/>
              <w:bottom w:val="single" w:color="000000" w:sz="4" w:space="0"/>
              <w:right w:val="single" w:color="000000" w:sz="4" w:space="0"/>
            </w:tcBorders>
            <w:noWrap/>
            <w:vAlign w:val="center"/>
          </w:tcPr>
          <w:p w14:paraId="08C6E52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5B421D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人脸比对服务</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38C0C1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人脸比对服务</w:t>
            </w:r>
          </w:p>
        </w:tc>
        <w:tc>
          <w:tcPr>
            <w:tcW w:w="5639" w:type="dxa"/>
            <w:tcBorders>
              <w:top w:val="single" w:color="000000" w:sz="4" w:space="0"/>
              <w:left w:val="single" w:color="000000" w:sz="4" w:space="0"/>
              <w:bottom w:val="single" w:color="000000" w:sz="4" w:space="0"/>
              <w:right w:val="single" w:color="000000" w:sz="4" w:space="0"/>
            </w:tcBorders>
            <w:noWrap w:val="0"/>
            <w:vAlign w:val="center"/>
          </w:tcPr>
          <w:p w14:paraId="6C7A54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1、与公安交通管理综合应用平台（六合一平台）无缝对接。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2、与山西省常口库无缝对接。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3、单次人脸比对响应时间&lt;1s。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4、拒识率。指将相同的人脸误认为是不同的人脸，&lt;=5%。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5、误识率。指将不同的人脸误认为是相同的人脸，而加以接收的出错概率，&lt;=十万分之一。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人脸比对QPS（即每秒的响应请求数）可扩展。要求认证的业务量明显上升时，通过纵向和横向扩展，在其他比对性能不变的前提下，可实现QPS的线性增长。纵向扩展：对于单台服务器，在其他比对性能不变的前提下，通过增加计算能力，人脸比对服务所能承载的QPS线性的增长。如：增加CPU、GPU核数。横向扩展：对于集群，在其他比对性能不变的前提下，通过增加服务器数量，人脸比对服务所能承载的QPS线性的增长；支持10QPS（最多可扩展至100QP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7、支持负载和性能监控功能。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8、支持活体检测功能。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9、硬件平台支持: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CPU：Intel Gold 6226*2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两张图形解析卡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内存：256G</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硬盘：240G SSD *2</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数据盘HDD:4T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网卡：万兆网卡 * 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342BE1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30C295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2DEA4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7" w:type="dxa"/>
            <w:vMerge w:val="restart"/>
            <w:tcBorders>
              <w:top w:val="single" w:color="000000" w:sz="4" w:space="0"/>
              <w:left w:val="single" w:color="000000" w:sz="4" w:space="0"/>
              <w:bottom w:val="single" w:color="000000" w:sz="4" w:space="0"/>
              <w:right w:val="single" w:color="000000" w:sz="4" w:space="0"/>
            </w:tcBorders>
            <w:noWrap/>
            <w:vAlign w:val="center"/>
          </w:tcPr>
          <w:p w14:paraId="59CAFF9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w:t>
            </w:r>
          </w:p>
        </w:tc>
        <w:tc>
          <w:tcPr>
            <w:tcW w:w="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1A4151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万兆数据安全边界</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446BFA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安全数据交换系统</w:t>
            </w:r>
          </w:p>
        </w:tc>
        <w:tc>
          <w:tcPr>
            <w:tcW w:w="5639" w:type="dxa"/>
            <w:tcBorders>
              <w:top w:val="single" w:color="000000" w:sz="4" w:space="0"/>
              <w:left w:val="single" w:color="000000" w:sz="4" w:space="0"/>
              <w:bottom w:val="single" w:color="000000" w:sz="4" w:space="0"/>
              <w:right w:val="single" w:color="000000" w:sz="4" w:space="0"/>
            </w:tcBorders>
            <w:noWrap w:val="0"/>
            <w:vAlign w:val="center"/>
          </w:tcPr>
          <w:p w14:paraId="59768A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安全数据交换系统由数据交换内主机和数据交换外主机2台独立的主机设备构成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1、硬件要求：2U标准机架式机箱，配置专用冗余电源。采用国产化 CPU，国产化操作系统。单台设备接口配置要求： ≥6个千兆电口、 ≥4个千兆光口、 ≥4个万兆光口。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2、性能要求：交换能力≥4000Mbps，支持服务≥60个；</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3、功能要求：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1）支持主流关系型数据库数据交换：Oracle、DB2、SQL Server、GreenPlum、Sybase、MYSQL的各种版本，及支持达梦、Gbase、神舟通用等国产数据库，及支持Cassandra、UDB等大数据数据库。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2）支持灵活多样的数据库数据获取方式，如：触发器、奉献、快照日志、同表双向、全表同步、升序增量等。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3）支持字段级数据内容审查，如：身份证、枚举值、数字范围、字符长度等。只有符合条件的数据内容才允许交换。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4）支持共享、客户端、FTP、NFS等多种模式的文件交换服务。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5）支持源端和目标端文件同步模式混合使用。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6）支持灵活的文件交换冲突选项：覆盖、放弃、重命名等处理策略。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7）支持源端文件同步完成后多种处理方式，如：不做处理、移除、删除等。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8）持各种数据库之间的异构交换，如：数据库软硬件平台异构、数据库种类异构、数据库版本异构、数据库字符集异构、数据结构异构等。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9）支持账户防暴力破解功能，账户错误登录次数一旦达到设置阀值上限，则被锁定30分钟。账户登录成功后，若在设定时间阀值内没有操作行为，则该账户自动退出登录。</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7D8D9F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0CAAEB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14:paraId="218F6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9"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14:paraId="0CFDBEBA">
            <w:pPr>
              <w:jc w:val="center"/>
              <w:rPr>
                <w:rFonts w:hint="eastAsia" w:ascii="宋体" w:hAnsi="宋体" w:eastAsia="宋体" w:cs="宋体"/>
                <w:b/>
                <w:bCs/>
                <w:i w:val="0"/>
                <w:iCs w:val="0"/>
                <w:color w:val="auto"/>
                <w:sz w:val="22"/>
                <w:szCs w:val="22"/>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912A7F">
            <w:pPr>
              <w:jc w:val="center"/>
              <w:rPr>
                <w:rFonts w:hint="eastAsia" w:ascii="宋体" w:hAnsi="宋体" w:eastAsia="宋体" w:cs="宋体"/>
                <w:i w:val="0"/>
                <w:iCs w:val="0"/>
                <w:color w:val="auto"/>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6DC7BF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集控探针</w:t>
            </w:r>
          </w:p>
        </w:tc>
        <w:tc>
          <w:tcPr>
            <w:tcW w:w="5639" w:type="dxa"/>
            <w:tcBorders>
              <w:top w:val="single" w:color="000000" w:sz="4" w:space="0"/>
              <w:left w:val="single" w:color="000000" w:sz="4" w:space="0"/>
              <w:bottom w:val="single" w:color="000000" w:sz="4" w:space="0"/>
              <w:right w:val="single" w:color="000000" w:sz="4" w:space="0"/>
            </w:tcBorders>
            <w:noWrap w:val="0"/>
            <w:vAlign w:val="center"/>
          </w:tcPr>
          <w:p w14:paraId="202EF6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1.外形：标准机架式机箱</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2.网络接口：≥4个千兆网络接口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3.操作系统：国产化操作系统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4.支持SYSLOG协议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5.支持SNMPv2/SNMPv3协议</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267D21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784674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1CAB9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8"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14:paraId="30023DFD">
            <w:pPr>
              <w:jc w:val="center"/>
              <w:rPr>
                <w:rFonts w:hint="eastAsia" w:ascii="宋体" w:hAnsi="宋体" w:eastAsia="宋体" w:cs="宋体"/>
                <w:b/>
                <w:bCs/>
                <w:i w:val="0"/>
                <w:iCs w:val="0"/>
                <w:color w:val="auto"/>
                <w:sz w:val="22"/>
                <w:szCs w:val="22"/>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2D5B8A">
            <w:pPr>
              <w:jc w:val="center"/>
              <w:rPr>
                <w:rFonts w:hint="eastAsia" w:ascii="宋体" w:hAnsi="宋体" w:eastAsia="宋体" w:cs="宋体"/>
                <w:i w:val="0"/>
                <w:iCs w:val="0"/>
                <w:color w:val="auto"/>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153D5A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隔离网闸</w:t>
            </w:r>
          </w:p>
        </w:tc>
        <w:tc>
          <w:tcPr>
            <w:tcW w:w="5639" w:type="dxa"/>
            <w:tcBorders>
              <w:top w:val="single" w:color="000000" w:sz="4" w:space="0"/>
              <w:left w:val="single" w:color="000000" w:sz="4" w:space="0"/>
              <w:bottom w:val="single" w:color="000000" w:sz="4" w:space="0"/>
              <w:right w:val="single" w:color="000000" w:sz="4" w:space="0"/>
            </w:tcBorders>
            <w:noWrap w:val="0"/>
            <w:vAlign w:val="center"/>
          </w:tcPr>
          <w:p w14:paraId="480473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1.硬件要求：标准机架式设备，冗余电源；国产化CPU，国产化操作系统；内外网接口要求：各提供≥4个千兆电口、≥8个千兆光口、≥4个万兆光口，内存≥16GB，硬盘≥4TB。</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2.性能要求：文件传输速率≥7500Mbps。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3.主要功能：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1）产品串联部署在网络环境中，基于默认禁止的传输规则，提供应用数据的交换，并具有关键字、文件类型和病毒过滤等功能，支持双机冗余部署提高可用性。此外，产品支持IPV6网络环境。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2）文件交换支持NFS、SMBFS、SAMBA等文件系统；文件服务器可以是Windows、Linux/Unix等系统平台；提供文件交换支持增量传输、发送后删除、发送后转移、改名传输等发送策略；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3）数据库同步支持支持Oracle、SQL Server、Sybase、Db2、MySQL等主流数据库；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4）登陆管理界面具备双因子认证。</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173404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3DD388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2073F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40"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14:paraId="1660A9A3">
            <w:pPr>
              <w:jc w:val="center"/>
              <w:rPr>
                <w:rFonts w:hint="eastAsia" w:ascii="宋体" w:hAnsi="宋体" w:eastAsia="宋体" w:cs="宋体"/>
                <w:b/>
                <w:bCs/>
                <w:i w:val="0"/>
                <w:iCs w:val="0"/>
                <w:color w:val="auto"/>
                <w:sz w:val="22"/>
                <w:szCs w:val="22"/>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BC35A4">
            <w:pPr>
              <w:jc w:val="center"/>
              <w:rPr>
                <w:rFonts w:hint="eastAsia" w:ascii="宋体" w:hAnsi="宋体" w:eastAsia="宋体" w:cs="宋体"/>
                <w:i w:val="0"/>
                <w:iCs w:val="0"/>
                <w:color w:val="auto"/>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09161D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防火墙</w:t>
            </w:r>
          </w:p>
        </w:tc>
        <w:tc>
          <w:tcPr>
            <w:tcW w:w="5639" w:type="dxa"/>
            <w:tcBorders>
              <w:top w:val="single" w:color="000000" w:sz="4" w:space="0"/>
              <w:left w:val="single" w:color="000000" w:sz="4" w:space="0"/>
              <w:bottom w:val="single" w:color="000000" w:sz="4" w:space="0"/>
              <w:right w:val="single" w:color="000000" w:sz="4" w:space="0"/>
            </w:tcBorders>
            <w:noWrap w:val="0"/>
            <w:vAlign w:val="center"/>
          </w:tcPr>
          <w:p w14:paraId="53F7F4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1、产品不少于 6个千兆电口，网络层吞吐量≥20Gbps，应用层吞吐量≥15Gbps。并采用国产处理器和国产操作系，包含三年硬件质保和软件升级服务。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2、支持路由模式、透明模式、虚拟网线模式、旁路镜像模式等多种部署方式。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3、支持链路健康检查功能，支持基于多种协议对链路可用性进行探测，探测协议至少包括DNS解析、ARP探测和PING方式。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4、支持聚合接口功能，最多支持将4个物理接口聚合成一个更高性能的逻辑链路接口。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5、支持静态路由、策略路由和多播路由协议，并支持BGP、RIP、OSPF等动态路由协议。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6、支持多种地址转换功能，支持源地址转换SNAT，目的地址转换DNAT和双向地址转换双向NAT，支持IPv4／IPv6下地址转换，至少包括NAT64和NAT46两种方式。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7、支持IPv4/IPv6双栈模式，实现网络与其他支持IPv4或IPv6协议的主机进行正常通信。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8、支持多维度安全策略设置，可基于时间、用户、应用、IP、域名等内容进行安全策略设置。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9、支持用户账号全生命周期保护功能，包括用户账号多余入口检测、用户账号弱口令检测、用户账号暴力破解检测、失陷账号检测，防止因账号被暴力破解导致的非法提权情况发生。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10、支持应用控制策略生命周期管理，包含安全策略的变更时间、变更类型和策略变更用户，并对变更内容记录日志，方便安全策略管控。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11、支持对SMTP、HTTP、FTP、SMB、POP3、HTTPS、IMAP等协议进行病毒防御。产品支持对多重压缩文件的病毒检测能力，支持不小于12层压缩文件病毒检测与处置。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12、具备入侵防御检测引擎，支持对各类漏洞利用攻击进行检测与防护，产品支持超过7200种特征规则数量。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13、支持僵尸网络检测功能，防止失陷主机威胁内网扩散。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具备Web应用攻击检测引擎，支持文件包含攻击、抵御注入式攻击（包含SQL注入、系统命令注入）、信息泄露攻击、跨站脚本（XSS）、网站扫描、WEBSHELL后门攻击、跨站请求伪造、目录遍历攻击、WEB整站系统漏洞等应用层攻击行为，安全特征规则超过3320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15、支持Cookie攻击防护功能，并通过日志记录Cookie被篡改。</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2C53D7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618D29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6CEC2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1"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14:paraId="5C50C474">
            <w:pPr>
              <w:jc w:val="center"/>
              <w:rPr>
                <w:rFonts w:hint="eastAsia" w:ascii="宋体" w:hAnsi="宋体" w:eastAsia="宋体" w:cs="宋体"/>
                <w:b/>
                <w:bCs/>
                <w:i w:val="0"/>
                <w:iCs w:val="0"/>
                <w:color w:val="auto"/>
                <w:sz w:val="22"/>
                <w:szCs w:val="22"/>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B15439">
            <w:pPr>
              <w:jc w:val="center"/>
              <w:rPr>
                <w:rFonts w:hint="eastAsia" w:ascii="宋体" w:hAnsi="宋体" w:eastAsia="宋体" w:cs="宋体"/>
                <w:i w:val="0"/>
                <w:iCs w:val="0"/>
                <w:color w:val="auto"/>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5DF30A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网络入侵防御系统</w:t>
            </w:r>
          </w:p>
        </w:tc>
        <w:tc>
          <w:tcPr>
            <w:tcW w:w="5639" w:type="dxa"/>
            <w:tcBorders>
              <w:top w:val="single" w:color="000000" w:sz="4" w:space="0"/>
              <w:left w:val="single" w:color="000000" w:sz="4" w:space="0"/>
              <w:bottom w:val="single" w:color="000000" w:sz="4" w:space="0"/>
              <w:right w:val="single" w:color="000000" w:sz="4" w:space="0"/>
            </w:tcBorders>
            <w:noWrap w:val="0"/>
            <w:vAlign w:val="center"/>
          </w:tcPr>
          <w:p w14:paraId="298806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1、产品采用国产处理器和国产操作系统。产品不少于6个10/100/1000M以太网电口，4千兆光口。网络层吞吐量≥10Gbps，提供三年硬件质保和软件升级服务。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2、具备路由、透明、虚拟网线、旁路镜像、混合等多种部署方式，适应复杂使用环境的接入要求。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3、支持静态路由、动态路由和路由告警功能。支持基于IP地址、端口、地域、协议、应用等维度配置策略路由策略，支持多种负载均衡算法，包括加权、带宽比例、轮询、线路排序等。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4、支持对HTTP、HTTPS、FTP、SMTP、POP3、IMAP协议进行病毒检测和查杀，支持最大16层的压缩文件查杀。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5、产品内置IPS检测引擎，支持口令暴力破解、恶意软件、服务器与客户端漏洞攻击等检测和防护，支持超过7000种特征规则。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6、支持多链路出站负载，支持基于源/目的IP、源/目的端口、协议、ISP、应用类型以及国家地域来进行选路的策略路由选路功能；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7、支持针对SMTP、POP3、IMAP邮件协议的内容检测，如邮件附件病毒检测、邮件内容恶意链接检测，邮件异常账号检测等，支持根据邮件附件类型进行文件过滤；支持针对HTTP、FTP协议内容检测与病毒查杀；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8、支持SYN Flood、ICMP Flood、UDP Flood、DNS Flood等DoS/DDoS攻击防护；支持IP地址扫描和端口扫描防护；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9、具备独立的热门威胁库，支持木马、勒索软件、蠕虫、挖矿病毒等种类，特征总数在60万条以上；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10、支持产品安全能力图谱，可展示设备对资产防护的有效性，对当前的风险预测、风险防御、风险检测能力进行展示；同时展示当前设备的安全能力等级，展示每日安全能力的更新情况；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11、支持安全策略一体化配置，通过一条策略快速实现不同安全功能的配置，简化策略配置工作。</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0FA58A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56C69D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2E1F5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7"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14:paraId="201FBEF7">
            <w:pPr>
              <w:jc w:val="center"/>
              <w:rPr>
                <w:rFonts w:hint="eastAsia" w:ascii="宋体" w:hAnsi="宋体" w:eastAsia="宋体" w:cs="宋体"/>
                <w:b/>
                <w:bCs/>
                <w:i w:val="0"/>
                <w:iCs w:val="0"/>
                <w:color w:val="auto"/>
                <w:sz w:val="22"/>
                <w:szCs w:val="22"/>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81D1CF">
            <w:pPr>
              <w:jc w:val="center"/>
              <w:rPr>
                <w:rFonts w:hint="eastAsia" w:ascii="宋体" w:hAnsi="宋体" w:eastAsia="宋体" w:cs="宋体"/>
                <w:i w:val="0"/>
                <w:iCs w:val="0"/>
                <w:color w:val="auto"/>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116640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交换机</w:t>
            </w:r>
          </w:p>
        </w:tc>
        <w:tc>
          <w:tcPr>
            <w:tcW w:w="5639" w:type="dxa"/>
            <w:tcBorders>
              <w:top w:val="single" w:color="000000" w:sz="4" w:space="0"/>
              <w:left w:val="single" w:color="000000" w:sz="4" w:space="0"/>
              <w:bottom w:val="single" w:color="000000" w:sz="4" w:space="0"/>
              <w:right w:val="single" w:color="000000" w:sz="4" w:space="0"/>
            </w:tcBorders>
            <w:noWrap w:val="0"/>
            <w:vAlign w:val="center"/>
          </w:tcPr>
          <w:p w14:paraId="656C02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1、接口配置：≥24个千兆电口，≥4个万兆光口。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2、交换容量≥4.42Tbps ，包转发率≥168Mpps，支持全端口线速转发。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3、支持M-LAG技术，跨设备链路聚合（非堆叠技术实现），要求配对的设备有独立的控制平面。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4、支持统一管理、统一查看状态、VLAN等配置管理；支持终端识别、终端准入、安全防护及安全画像可视；支持安全日志显示对应安全事件，包括DDOS攻击、爆破攻击、IP冲突、ARP扫描攻击等；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5、支持查看安全事件记录、终端类型异常记录、终端在端口迁移次数、终端地址异常记录等安全事件的记录统计；</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725E71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45E156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57ADF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2" w:hRule="atLeast"/>
        </w:trPr>
        <w:tc>
          <w:tcPr>
            <w:tcW w:w="457" w:type="dxa"/>
            <w:vMerge w:val="restart"/>
            <w:tcBorders>
              <w:top w:val="single" w:color="000000" w:sz="4" w:space="0"/>
              <w:left w:val="single" w:color="000000" w:sz="4" w:space="0"/>
              <w:bottom w:val="single" w:color="000000" w:sz="4" w:space="0"/>
              <w:right w:val="single" w:color="000000" w:sz="4" w:space="0"/>
            </w:tcBorders>
            <w:noWrap/>
            <w:vAlign w:val="center"/>
          </w:tcPr>
          <w:p w14:paraId="6D54267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w:t>
            </w:r>
          </w:p>
        </w:tc>
        <w:tc>
          <w:tcPr>
            <w:tcW w:w="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43E6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万兆视频安全边界</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3B9946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视频接入认证设备</w:t>
            </w:r>
          </w:p>
        </w:tc>
        <w:tc>
          <w:tcPr>
            <w:tcW w:w="5639" w:type="dxa"/>
            <w:tcBorders>
              <w:top w:val="single" w:color="000000" w:sz="4" w:space="0"/>
              <w:left w:val="single" w:color="000000" w:sz="4" w:space="0"/>
              <w:bottom w:val="single" w:color="000000" w:sz="4" w:space="0"/>
              <w:right w:val="single" w:color="000000" w:sz="4" w:space="0"/>
            </w:tcBorders>
            <w:noWrap w:val="0"/>
            <w:vAlign w:val="center"/>
          </w:tcPr>
          <w:p w14:paraId="57FC47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硬件配置和性能指标                                      1、标准2U机架式，视频接入认证服务器、标配冗余电源。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2、网络接口：10/100/1000Mbps（电口）×6，万兆SFP+（光纤口）×4；其他接口：USB × 2个、VGA × 1个，CONSOLE × 1个；</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3、应用吞吐量：7.2Gbps、图像传输性能线性：线性7500Mbps,1250路1080p图像传输能力（单路码流6Mbps）、延时&lt;50ms、图像码率支持&lt;20Mbps（单路）、并发数&gt;2000、无故障运行时间≧50000小时。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基本功能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1、系统管理灵活，可使用公安U-key认证方式或用户名口令方式，基于WEB方式管理维护；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2、支持标准SIP信令控制协议，支持GB/T28181-2011 《安全防范视频监控联网系统信息传输、交换、控制技术要求》；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3、支持海康、大华、宇视科技、科达、东方网力等国内外视频监控厂商的信令控制协议，提供相关功能截图；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4、支持海能达、承联、普天等指挥系统厂商的信令控制协议；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5、支持协议扩展，通过修改协议模板即可实现新厂商接入；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6、能够在IPV4和IPV6协议环境下，对视频流使用用户、源端IP地址、目的端IP地址、访问时间进行控制；可对视频流进行丢帧、插帧处理；可对信令协议做register、play等关键字过滤，控制操作类型；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7、系统支持配置参数导入方式支持新的视频厂商协议安全接入，提供专门的参数导入操作界面，而无需通过后台操作；系统支持网口聚合功能,实现链路的冗余。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8、提供控制信令的黑白名单过滤；提供视频流格式黑白名单过滤；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9、提供基于用户身份的黑白名单过滤，可细化至用户访问源目标IP、时间段；提供非标准/标准SIP控制信令支持；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10、支持简单二次API接口函数的开发，实现新视频厂商平台的安全接入；支持视频通用接口组件及大并发数的分发，支持系统图像数据的大规模二次分发；详细的日志访问及记录能力；系统可扩展支持冗余电源。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11、警用数字证书登陆对接公安内部警用数字证书网关，实现UKey登陆；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12、双机热备、负载均衡，抢占式双机热备功能；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13、自适应负载均衡功能、备机作为负载机功能；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14、国标28181服务上下级在线状态；在线连接查看，包括在线时长、流量；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15、优化访问控制，实现用户级通道控制测评需求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16、PDT服务pSIP解析、PDT服务日志、pSIP协议识别，非法传输告警、PDT稳定性增强、标准SIP服务标准SIP服务，支持音视频同传；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17、标准SIP服务日志、H323视频会议优化设置界面、H323服务日志</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18、H323终端控制功能、H323流量统计功能、信产SIP服务新增信产SIP服务、信产SIP服务日志、信产SIP流量统计功能；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19、WebRTC支持通过配置转发服务，支持以STUN、HTTPS的WebRTC协议穿透、告警处理支持一键处理低中级告警、流量报表优化流量报表功能；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20、通过公安部安全测评的视频安全交换产品及厂商目录。</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4074CF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3CC294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68B9B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8"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14:paraId="0E9E6112">
            <w:pPr>
              <w:jc w:val="center"/>
              <w:rPr>
                <w:rFonts w:hint="eastAsia" w:ascii="宋体" w:hAnsi="宋体" w:eastAsia="宋体" w:cs="宋体"/>
                <w:b/>
                <w:bCs/>
                <w:i w:val="0"/>
                <w:iCs w:val="0"/>
                <w:color w:val="auto"/>
                <w:sz w:val="22"/>
                <w:szCs w:val="22"/>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7D4E10">
            <w:pPr>
              <w:jc w:val="center"/>
              <w:rPr>
                <w:rFonts w:hint="eastAsia" w:ascii="宋体" w:hAnsi="宋体" w:eastAsia="宋体" w:cs="宋体"/>
                <w:i w:val="0"/>
                <w:iCs w:val="0"/>
                <w:color w:val="auto"/>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7E7721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视频用户认证设备</w:t>
            </w:r>
          </w:p>
        </w:tc>
        <w:tc>
          <w:tcPr>
            <w:tcW w:w="5639" w:type="dxa"/>
            <w:tcBorders>
              <w:top w:val="single" w:color="000000" w:sz="4" w:space="0"/>
              <w:left w:val="single" w:color="000000" w:sz="4" w:space="0"/>
              <w:bottom w:val="single" w:color="000000" w:sz="4" w:space="0"/>
              <w:right w:val="single" w:color="000000" w:sz="4" w:space="0"/>
            </w:tcBorders>
            <w:noWrap w:val="0"/>
            <w:vAlign w:val="center"/>
          </w:tcPr>
          <w:p w14:paraId="7E16E3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硬件配置和性能指标                                      1、标准2U机架式，用户接入认证服务器；标配冗余电源。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2、网络接口：10/100/1000Mbps（电口）×6，万兆SFP+（光纤口）×4；其他接口：USB × 2个、VGA × 1个，CONSOLE × 1个；</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3、应用吞吐量：7.2Gbps、图像传输性能线性：线性7500Mbps,1250路1080p图像传输能力（单路码流6Mbps）、延时&lt;50ms、图像码率支持&lt;20Mbps（单路）、并发数&gt;2000、无故障运行时间≧50000小时。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基本功能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1、系统管理灵活，可使用公安U-key认证方式或用户名口令方式，基于WEB方式管理维护；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2、支持标准SIP信令控制协议，支持GB/T28181-2011 《安全防范视频监控联网系统信息传输、交换、控制技术要求》；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3、支持海康、大华、宇视科技、科达、东方网力等国内外视频监控厂商的信令控制协议，提供相关功能截图；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4、支持海能达、承联、普天等指挥系统厂商的信令控制协议；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5、支持协议扩展，通过修改协议模板即可实现新厂商接入；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6、能够在IPV4和IPV6协议环境下，对视频流使用用户、源端IP地址、目的端IP地址、访问时间进行控制；可对视频流进行丢帧、插帧处理；可对信令协议做register、play等关键字过滤，控制操作类型；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7、系统支持配置参数导入方式支持新的视频厂商协议安全接入，提供专门的参数导入操作界面，而无需通过后台操作；系统支持网口聚合功能,实现链路的冗余。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8、提供控制信令的黑白名单过滤；提供视频流格式黑白名单过滤；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9、提供基于用户身份的黑白名单过滤，可细化至用户访问源目标IP、时间段；提供非标准/标准SIP控制信令支持；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10、支持简单二次API接口函数的开发，实现新视频厂商平台的安全接入；支持视频通用接口组件及大并发数的分发，支持系统图像数据的大规模二次分发；详细的日志访问及记录能力；系统可扩展支持冗余电源。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11、警用数字证书登陆对接公安内部警用数字证书网关，实现UKey登陆；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12、双机热备、负载均衡，抢占式双机热备功能；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13、自适应负载均衡功能、备机作为负载机功能；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14、国标28181服务上下级在线状态；在线连接查看，包括在线时长、流量；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15、优化访问控制，实现用户级通道控制测评需求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16、PDT服务pSIP解析、PDT服务日志、pSIP协议识别，非法传输告警、PDT稳定性增强、标准SIP服务标准SIP服务，支持音视频同传；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17、标准SIP服务日志、H323视频会议优化设置界面、H323服务日志</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18、H323终端控制功能、H323流量统计功能、信产SIP服务新增信产SIP服务、信产SIP服务日志、信产SIP流量统计功能；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19、WebRTC支持通过配置转发服务，支持以STUN、HTTPS的WebRTC协议穿透、告警处理支持一键处理低中级告警、流量报表优化流量报表功能；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20、通过公安部安全测评的视频安全交换产品及厂商目录。</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4E70DC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4F47E4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4E60F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8"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14:paraId="68BD9D58">
            <w:pPr>
              <w:jc w:val="center"/>
              <w:rPr>
                <w:rFonts w:hint="eastAsia" w:ascii="宋体" w:hAnsi="宋体" w:eastAsia="宋体" w:cs="宋体"/>
                <w:b/>
                <w:bCs/>
                <w:i w:val="0"/>
                <w:iCs w:val="0"/>
                <w:color w:val="auto"/>
                <w:sz w:val="22"/>
                <w:szCs w:val="22"/>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F62355">
            <w:pPr>
              <w:jc w:val="center"/>
              <w:rPr>
                <w:rFonts w:hint="eastAsia" w:ascii="宋体" w:hAnsi="宋体" w:eastAsia="宋体" w:cs="宋体"/>
                <w:i w:val="0"/>
                <w:iCs w:val="0"/>
                <w:color w:val="auto"/>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6273FC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集控探针</w:t>
            </w:r>
          </w:p>
        </w:tc>
        <w:tc>
          <w:tcPr>
            <w:tcW w:w="5639" w:type="dxa"/>
            <w:tcBorders>
              <w:top w:val="single" w:color="000000" w:sz="4" w:space="0"/>
              <w:left w:val="single" w:color="000000" w:sz="4" w:space="0"/>
              <w:bottom w:val="single" w:color="000000" w:sz="4" w:space="0"/>
              <w:right w:val="single" w:color="000000" w:sz="4" w:space="0"/>
            </w:tcBorders>
            <w:noWrap w:val="0"/>
            <w:vAlign w:val="center"/>
          </w:tcPr>
          <w:p w14:paraId="71F4AB9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硬件配置和性能指标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1、标准2U机架式，标配冗余电源。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2、网络接口：10/100/1000Mbps（电口）×6；其他接口：CONSOLE × 1个、USB × 2个；</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3、应用吞吐量：应用吞吐量：300Mbps。</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基本功能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用于链路中设备监管，支持Syslog、SNMP、Telnet、Ping等。</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7CAF99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67ED91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572A2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3"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14:paraId="04EB7680">
            <w:pPr>
              <w:jc w:val="center"/>
              <w:rPr>
                <w:rFonts w:hint="eastAsia" w:ascii="宋体" w:hAnsi="宋体" w:eastAsia="宋体" w:cs="宋体"/>
                <w:b/>
                <w:bCs/>
                <w:i w:val="0"/>
                <w:iCs w:val="0"/>
                <w:color w:val="auto"/>
                <w:sz w:val="22"/>
                <w:szCs w:val="22"/>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4E1B4">
            <w:pPr>
              <w:jc w:val="center"/>
              <w:rPr>
                <w:rFonts w:hint="eastAsia" w:ascii="宋体" w:hAnsi="宋体" w:eastAsia="宋体" w:cs="宋体"/>
                <w:i w:val="0"/>
                <w:iCs w:val="0"/>
                <w:color w:val="auto"/>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6AB51B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视频安全接入系统</w:t>
            </w:r>
          </w:p>
        </w:tc>
        <w:tc>
          <w:tcPr>
            <w:tcW w:w="5639" w:type="dxa"/>
            <w:tcBorders>
              <w:top w:val="single" w:color="000000" w:sz="4" w:space="0"/>
              <w:left w:val="single" w:color="000000" w:sz="4" w:space="0"/>
              <w:bottom w:val="single" w:color="000000" w:sz="4" w:space="0"/>
              <w:right w:val="single" w:color="000000" w:sz="4" w:space="0"/>
            </w:tcBorders>
            <w:noWrap w:val="0"/>
            <w:vAlign w:val="center"/>
          </w:tcPr>
          <w:p w14:paraId="79CA49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硬件配置和性能指标                                                                                                                                                                                                          标准2U机箱，标配单电源；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配备1块液晶屏和整机健康监控声光报警装置。 内、外网主机各包含接口：单板10/100/1000Mbps（电口）×6，万兆SFP+（光纤口）×4；单板CONSOLE × 1个，USB × 2个，VGA×1个（内置）；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1、支持SIP、GB/T 28181、DB33、H.323、ONVIF、RTSP、国电B类接口等通用协议；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2、支持近30种视频厂商(海康、大华、超清、广州金鹏、航天二院、迪威、东方网力等)协议；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3、支持视频功能类型过滤，包括实时点播、历史回放、录像下载、云台控制、回放控制、录像检索、设备查询等；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4、支持视频格式过滤，包括G.711、G.729、H.264、H.263、MP4、PS等；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5、支持用户认证，包括口令、证书等认证方式；并支持用户在线时段控制；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6、支持提供抗攻击功能，能够正常配置启用产品的抗攻击功能；能顾识别和防御SYN Flood、ICMP Flood等攻击且不影响正常业务；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7、为了符合GB/T19001-2016/ISO 9001:2015《质量管理体系要求》，关键隔离设备作为边界产品，认证范围应包含边界安全产品的软件开发，提供相关证明材料；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8、为了数据传输的安全性，产品的软件开发层面需要</w:t>
            </w:r>
            <w:r>
              <w:rPr>
                <w:rFonts w:hint="eastAsia" w:ascii="宋体" w:hAnsi="宋体" w:cs="宋体"/>
                <w:i w:val="0"/>
                <w:iCs w:val="0"/>
                <w:color w:val="auto"/>
                <w:kern w:val="0"/>
                <w:sz w:val="22"/>
                <w:szCs w:val="22"/>
                <w:highlight w:val="none"/>
                <w:u w:val="none"/>
                <w:lang w:val="en-US" w:eastAsia="zh-CN" w:bidi="ar"/>
              </w:rPr>
              <w:t>通过</w:t>
            </w:r>
            <w:r>
              <w:rPr>
                <w:rFonts w:hint="eastAsia" w:ascii="宋体" w:hAnsi="宋体" w:eastAsia="宋体" w:cs="宋体"/>
                <w:i w:val="0"/>
                <w:iCs w:val="0"/>
                <w:color w:val="auto"/>
                <w:kern w:val="0"/>
                <w:sz w:val="22"/>
                <w:szCs w:val="22"/>
                <w:highlight w:val="none"/>
                <w:u w:val="none"/>
                <w:lang w:val="en-US" w:eastAsia="zh-CN" w:bidi="ar"/>
              </w:rPr>
              <w:t>涉密信息系统产品检测；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9、产品入围通过公安部组织测试的接入平台安全产品名单。</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0E9CF1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4F497B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12F6D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0"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14:paraId="07F84795">
            <w:pPr>
              <w:jc w:val="center"/>
              <w:rPr>
                <w:rFonts w:hint="eastAsia" w:ascii="宋体" w:hAnsi="宋体" w:eastAsia="宋体" w:cs="宋体"/>
                <w:b/>
                <w:bCs/>
                <w:i w:val="0"/>
                <w:iCs w:val="0"/>
                <w:color w:val="auto"/>
                <w:sz w:val="22"/>
                <w:szCs w:val="22"/>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D99FB">
            <w:pPr>
              <w:jc w:val="center"/>
              <w:rPr>
                <w:rFonts w:hint="eastAsia" w:ascii="宋体" w:hAnsi="宋体" w:eastAsia="宋体" w:cs="宋体"/>
                <w:i w:val="0"/>
                <w:iCs w:val="0"/>
                <w:color w:val="auto"/>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2ADE4E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网络入侵防御系统</w:t>
            </w:r>
          </w:p>
        </w:tc>
        <w:tc>
          <w:tcPr>
            <w:tcW w:w="5639" w:type="dxa"/>
            <w:tcBorders>
              <w:top w:val="single" w:color="000000" w:sz="4" w:space="0"/>
              <w:left w:val="single" w:color="000000" w:sz="4" w:space="0"/>
              <w:bottom w:val="single" w:color="000000" w:sz="4" w:space="0"/>
              <w:right w:val="single" w:color="000000" w:sz="4" w:space="0"/>
            </w:tcBorders>
            <w:noWrap w:val="0"/>
            <w:vAlign w:val="center"/>
          </w:tcPr>
          <w:p w14:paraId="262F5C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1、产品采用国产处理器和国产操作系统。产品不少于6个10/100/1000M以太网电口，4千兆光口。网络层吞吐量≥10Gbps，提供三年硬件质保和软件升级服务。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2、具备路由、透明、虚拟网线、旁路镜像、混合等多种部署方式，适应复杂使用环境的接入要求。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3、支持静态路由、动态路由和路由告警功能。支持基于IP地址、端口、地域、协议、应用等维度配置策略路由策略，支持多种负载均衡算法，包括加权、带宽比例、轮询、线路排序等。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4、支持对HTTP、HTTPS、FTP、SMTP、POP3、IMAP协议进行病毒检测和查杀，支持最大16层的压缩文件查杀。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5、产品内置IPS检测引擎，支持口令暴力破解、恶意软件、服务器与客户端漏洞攻击等检测和防护，支持超过7000种特征规则。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6、支持多链路出站负载，支持基于源/目的IP、源/目的端口、协议、ISP、应用类型以及国家地域来进行选路的策略路由选路功能；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7、支持针对SMTP、POP3、IMAP邮件协议的内容检测，如邮件附件病毒检测、邮件内容恶意链接检测，邮件异常账号检测等，支持根据邮件附件类型进行文件过滤；支持针对HTTP、FTP协议内容检测与病毒查杀；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8、支持SYN Flood、ICMP Flood、UDP Flood、DNS Flood等DoS/DDoS攻击防护；支持IP地址扫描和端口扫描防护；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9、具备独立的热门威胁库，支持木马、勒索软件、蠕虫、挖矿病毒等种类，特征总数在60万条以上；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10、支持产品安全能力图谱，可展示设备对资产防护的有效性，对当前的风险预测、风险防御、风险检测能力进行展示；同时展示当前设备的安全能力等级，展示每日安全能力的更新情况；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11、支持安全策略一体化配置，通过一条策略快速实现不同安全功能的配置，简化策略配置工作。</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112F5B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393EE8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4E0ED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14:paraId="4C005D48">
            <w:pPr>
              <w:jc w:val="center"/>
              <w:rPr>
                <w:rFonts w:hint="eastAsia" w:ascii="宋体" w:hAnsi="宋体" w:eastAsia="宋体" w:cs="宋体"/>
                <w:b/>
                <w:bCs/>
                <w:i w:val="0"/>
                <w:iCs w:val="0"/>
                <w:color w:val="auto"/>
                <w:sz w:val="22"/>
                <w:szCs w:val="22"/>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E20549">
            <w:pPr>
              <w:jc w:val="center"/>
              <w:rPr>
                <w:rFonts w:hint="eastAsia" w:ascii="宋体" w:hAnsi="宋体" w:eastAsia="宋体" w:cs="宋体"/>
                <w:i w:val="0"/>
                <w:iCs w:val="0"/>
                <w:color w:val="auto"/>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348C93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防火墙</w:t>
            </w:r>
          </w:p>
        </w:tc>
        <w:tc>
          <w:tcPr>
            <w:tcW w:w="5639" w:type="dxa"/>
            <w:tcBorders>
              <w:top w:val="single" w:color="000000" w:sz="4" w:space="0"/>
              <w:left w:val="single" w:color="000000" w:sz="4" w:space="0"/>
              <w:bottom w:val="single" w:color="000000" w:sz="4" w:space="0"/>
              <w:right w:val="single" w:color="000000" w:sz="4" w:space="0"/>
            </w:tcBorders>
            <w:noWrap w:val="0"/>
            <w:vAlign w:val="center"/>
          </w:tcPr>
          <w:p w14:paraId="3B69D6C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1、产品不少于 6个千兆电口，不少于4个千兆光口，2万兆光口，支持冗余电源。网络层吞吐量≥40Gbps，应用层吞吐量≥18Gbps。产品采用标准机架式架构2U，并采用国产处理器和国产操作系统，包含三年硬件质保和软件升级服务。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2、支持路由模式、透明模式、虚拟网线模式、旁路镜像模式等多种部署方式。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3、支持链路健康检查功能，支持基于多种协议对链路可用性进行探测，探测协议至少包括DNS解析、ARP探测和PING方式。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4、支持聚合接口功能，最多支持将4个物理接口聚合成一个更高性能的逻辑链路接口。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5、支持静态路由、策略路由和多播路由协议，并支持BGP、RIP、OSPF等动态路由协议。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6、支持多种地址转换功能，支持源地址转换SNAT，目的地址转换DNAT和双向地址转换双向NAT，支持IPv4／IPv6下地址转换，至少包括NAT64和NAT46两种方式。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7、支持IPv4/IPv6双栈模式，实现网络与其他支持IPv4或IPv6协议的主机进行正常通信。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8、支持多维度安全策略设置，可基于时间、用户、应用、IP、域名等内容进行安全策略设置。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9、支持用户账号全生命周期保护功能，包括用户账号多余入口检测、用户账号弱口令检测、用户账号暴力破解检测、失陷账号检测，防止因账号被暴力破解导致的非法提权情况发生。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10、支持应用控制策略生命周期管理，包含安全策略的变更时间、变更类型和策略变更用户，并对变更内容记录日志，方便安全策略管控。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11、支持对SMTP、HTTP、FTP、SMB、POP3、HTTPS、IMAP等协议进行病毒防御。产品支持对多重压缩文件的病毒检测能力，支持不小于12层压缩文件病毒检测与处置。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12、具备入侵防御检测引擎，支持对各类漏洞利用攻击进行检测与防护，产品支持超过7200种特征规则数量。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13、支持僵尸网络检测功能，防止失陷主机威胁内网扩散。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具备Web应用攻击检测引擎，支持文件包含攻击、抵御注入式攻击（包含SQL注入、系统命令注入）、信息泄露攻击、跨站脚本（XSS）、网站扫描、WEBSHELL后门攻击、跨站请求伪造、目录遍历攻击、WEB整站系统漏洞等应用层攻击行为，安全特征规则超过3320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15、支持Cookie攻击防护功能，并通过日志记录Cookie被篡改。</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06DC91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030325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25578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7"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14:paraId="5280394A">
            <w:pPr>
              <w:jc w:val="center"/>
              <w:rPr>
                <w:rFonts w:hint="eastAsia" w:ascii="宋体" w:hAnsi="宋体" w:eastAsia="宋体" w:cs="宋体"/>
                <w:b/>
                <w:bCs/>
                <w:i w:val="0"/>
                <w:iCs w:val="0"/>
                <w:color w:val="auto"/>
                <w:sz w:val="22"/>
                <w:szCs w:val="22"/>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05945">
            <w:pPr>
              <w:jc w:val="center"/>
              <w:rPr>
                <w:rFonts w:hint="eastAsia" w:ascii="宋体" w:hAnsi="宋体" w:eastAsia="宋体" w:cs="宋体"/>
                <w:i w:val="0"/>
                <w:iCs w:val="0"/>
                <w:color w:val="auto"/>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245539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交换机</w:t>
            </w:r>
          </w:p>
        </w:tc>
        <w:tc>
          <w:tcPr>
            <w:tcW w:w="5639" w:type="dxa"/>
            <w:tcBorders>
              <w:top w:val="single" w:color="000000" w:sz="4" w:space="0"/>
              <w:left w:val="single" w:color="000000" w:sz="4" w:space="0"/>
              <w:bottom w:val="single" w:color="000000" w:sz="4" w:space="0"/>
              <w:right w:val="single" w:color="000000" w:sz="4" w:space="0"/>
            </w:tcBorders>
            <w:noWrap w:val="0"/>
            <w:vAlign w:val="center"/>
          </w:tcPr>
          <w:p w14:paraId="263B1E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1、接口配置：≥24个千兆电口，≥4个万兆光口。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2、交换容量≥4.42Tbps ，包转发率≥168Mpps，支持全端口线速转发。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3、支持M-LAG技术，跨设备链路聚合（非堆叠技术实现），要求配对的设备有独立的控制平面。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4、支持统一管理、统一查看状态、VLAN等配置管理；支持终端识别、终端准入、安全防护及安全画像可视；支持安全日志显示对应安全事件，包括DDOS攻击、爆破攻击、IP冲突、ARP扫描攻击等；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5、支持查看安全事件记录、终端类型异常记录、终端在端口迁移次数、终端地址异常记录等安全事件的记录统计；</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50E39A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62FD2F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4691A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1" w:hRule="atLeast"/>
        </w:trPr>
        <w:tc>
          <w:tcPr>
            <w:tcW w:w="457" w:type="dxa"/>
            <w:vMerge w:val="restart"/>
            <w:tcBorders>
              <w:top w:val="single" w:color="000000" w:sz="4" w:space="0"/>
              <w:left w:val="single" w:color="000000" w:sz="4" w:space="0"/>
              <w:bottom w:val="single" w:color="000000" w:sz="4" w:space="0"/>
              <w:right w:val="single" w:color="000000" w:sz="4" w:space="0"/>
            </w:tcBorders>
            <w:noWrap/>
            <w:vAlign w:val="center"/>
          </w:tcPr>
          <w:p w14:paraId="337A9D5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8</w:t>
            </w:r>
          </w:p>
        </w:tc>
        <w:tc>
          <w:tcPr>
            <w:tcW w:w="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668B11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系统安全防护</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46C974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虚拟化堡垒机</w:t>
            </w:r>
          </w:p>
        </w:tc>
        <w:tc>
          <w:tcPr>
            <w:tcW w:w="5639" w:type="dxa"/>
            <w:tcBorders>
              <w:top w:val="single" w:color="000000" w:sz="4" w:space="0"/>
              <w:left w:val="single" w:color="000000" w:sz="4" w:space="0"/>
              <w:bottom w:val="single" w:color="000000" w:sz="4" w:space="0"/>
              <w:right w:val="single" w:color="000000" w:sz="4" w:space="0"/>
            </w:tcBorders>
            <w:noWrap w:val="0"/>
            <w:vAlign w:val="center"/>
          </w:tcPr>
          <w:p w14:paraId="79B076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1、运维授权数≥100，支持以B/S方式管理，采用https加密方式访问；包含三年软件升级服务。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2、支持密码保管员手动备份资产账号密码；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3、支持用户在登录时选择认证方式。从手机令牌、USBKEY，内置动态令牌认证方式中切换；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4、支持RDP安全模式（RDP、NLA、TLS、ANY）设置，以适应RDP-Tcp属性中的所有功能配置，包括加密级别为客户端兼容、低、高、符合FIPS标准等加密级别；</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5、应用发布支持RemoteApp方式的应用发布效果，运行发布程序的效果与本地运行程序的效果无明显差异；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6、支持PLSQL、pgAdmin、DBeaver、Navicat、浏览器等常用软件的应用发布；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7、支持在授权基础上自定义访问审批流程，可设置一级或多级审批人，每级审批可指定通过投票数，需逐级审批通过才可最终发起运维操作；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8、全面支持IPV6，设备自身可以配置IPV6地址供客户端访问，并且支持目标设备配置IPV6地址实现单点登陆和审计；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9、支持web页面直接发起运维，无需安装任何控件，并同时支持调用SecureCRT、Xshell、Putty、WinSCP、FileZilla、RDP等客户端工具实现单点登陆，不改变运维人员操作习惯。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10、支持键盘、剪切板、窗口标题、文件传输记录，并且对图形资源的审计回放时，可以从某个键盘、剪切板、窗口标题、文件传输记录的指定位置开始回放；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11、支持自定义报表，可记录审计报表模板，可生成图形报表，并提供EXCEL、WORD、PDF、HTML等格式导出；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支持定期变更目标设备真实口令，支持自定义口令变更周期和口令强度。口令变更方式至少支持手动指定固定口令、通过密码表生成口令、依照设备挂载的口令策略生成随机口令、依照密码策略生成同一口令等方式。</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6E1A0A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258A35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14:paraId="7C4E5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1"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14:paraId="690ABDA8">
            <w:pPr>
              <w:jc w:val="center"/>
              <w:rPr>
                <w:rFonts w:hint="eastAsia" w:ascii="宋体" w:hAnsi="宋体" w:eastAsia="宋体" w:cs="宋体"/>
                <w:b/>
                <w:bCs/>
                <w:i w:val="0"/>
                <w:iCs w:val="0"/>
                <w:color w:val="auto"/>
                <w:sz w:val="22"/>
                <w:szCs w:val="22"/>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FA0F87">
            <w:pPr>
              <w:jc w:val="center"/>
              <w:rPr>
                <w:rFonts w:hint="eastAsia" w:ascii="宋体" w:hAnsi="宋体" w:eastAsia="宋体" w:cs="宋体"/>
                <w:i w:val="0"/>
                <w:iCs w:val="0"/>
                <w:color w:val="auto"/>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3BC308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虚拟化日志审计</w:t>
            </w:r>
          </w:p>
        </w:tc>
        <w:tc>
          <w:tcPr>
            <w:tcW w:w="5639" w:type="dxa"/>
            <w:tcBorders>
              <w:top w:val="single" w:color="000000" w:sz="4" w:space="0"/>
              <w:left w:val="single" w:color="000000" w:sz="4" w:space="0"/>
              <w:bottom w:val="single" w:color="000000" w:sz="4" w:space="0"/>
              <w:right w:val="single" w:color="000000" w:sz="4" w:space="0"/>
            </w:tcBorders>
            <w:noWrap w:val="0"/>
            <w:vAlign w:val="center"/>
          </w:tcPr>
          <w:p w14:paraId="091237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1、至少具有100个主机审计许可证书;包含三年软件升级服务。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2、支持主动、被动相结合的数据采集方式，支持通过Agent采集日志数据，支持通过syslog、SNMP Trap、JDBC、WMI、webservice、FTP、文件\文件夹读取、Kafka等多种方式完成日志收集；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3、支持通过正则、分隔符、json、xml的可视方式进行自定义规则解析，支持对解析结果字段的新增、合并、映射。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4、支持对每个日志源设置过滤条件规则，自动过滤无用日志，满足根据实际业务需求减少采集对象发送到核心服务器的安全事件数，减少对网络带宽和数据库存储空间的占用。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5、支持TLS加密方式进行日志传输，支持日志传输状态、最近同步时间进行监控，可统计每个日志源的今日传输量和传输总量。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6、支持将检索查询的条件收藏为查询模版，支持查询模版创建、导入导出、删除功能，支持历史搜索记录功能；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7、支持解码小工具，按照不同的解码方式解码成不同的目标内容，编码格式包括base64、Unicode、GBK、HEX、UTF-8等；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支持网站攻击、漏洞利用、C&amp;C通信、暴力破解、拒绝服务、主机脆弱性、主机异常、恶意软件、账号异常、权限异常、侦查探测等内置关联分析规则，内置关联分析规则数量达到350条以上，支持自定义关联分析规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9、支持SM3国密算法，保障日志完整性，可以有效防止日志篡改等攻击行为；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10、支持对日志进行归一化操作，对日志等级进行映射，根据不同日志源统计不同等级下的日志数量。</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5EE71E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59A8DB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14:paraId="59C35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8"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14:paraId="734C9276">
            <w:pPr>
              <w:jc w:val="center"/>
              <w:rPr>
                <w:rFonts w:hint="eastAsia" w:ascii="宋体" w:hAnsi="宋体" w:eastAsia="宋体" w:cs="宋体"/>
                <w:b/>
                <w:bCs/>
                <w:i w:val="0"/>
                <w:iCs w:val="0"/>
                <w:color w:val="auto"/>
                <w:sz w:val="22"/>
                <w:szCs w:val="22"/>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683979">
            <w:pPr>
              <w:jc w:val="center"/>
              <w:rPr>
                <w:rFonts w:hint="eastAsia" w:ascii="宋体" w:hAnsi="宋体" w:eastAsia="宋体" w:cs="宋体"/>
                <w:i w:val="0"/>
                <w:iCs w:val="0"/>
                <w:color w:val="auto"/>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15E60D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虚拟化数据库审计</w:t>
            </w:r>
          </w:p>
        </w:tc>
        <w:tc>
          <w:tcPr>
            <w:tcW w:w="5639" w:type="dxa"/>
            <w:tcBorders>
              <w:top w:val="single" w:color="000000" w:sz="4" w:space="0"/>
              <w:left w:val="single" w:color="000000" w:sz="4" w:space="0"/>
              <w:bottom w:val="single" w:color="000000" w:sz="4" w:space="0"/>
              <w:right w:val="single" w:color="000000" w:sz="4" w:space="0"/>
            </w:tcBorders>
            <w:noWrap w:val="0"/>
            <w:vAlign w:val="center"/>
          </w:tcPr>
          <w:p w14:paraId="047EEB8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支持多种数据库类型的审计，支持Oracle数据库审计、SQL-Server数据库审计、DB2数据库审计、MySQL数据库审计、Informix数据库审计、达梦数据库审计、人大金仓数据库审计、postgresql数据库审计、sysbase数据库审计、cache数据库；数据库流量（单向）≥400Mb/s，SQL处理性能≥10000条/s；提供三年软件升级服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2、支持白名单审计，系统使用审计白名单将非关注的内容进行过滤，不进行记录，降低了存储空间和无用信息的堆砌，白名单内容包括以下4个维度:SQL模板、业务系统、URL地址及数据库条件；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3、支持自动基线学习数据库语义语法，并支持提取参数自动生成SQL模板，可以减少审计日志的重复写入和节省磁盘的存储空间；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4、支持基于SQL命令的webshell检测，提供webshell日志查询；可通过查看webshell攻击的时间、源IP、业务系统、webshell规则发现威。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5、精细化日志秒级查询通过SQL串模式抽取保障磁盘IO的读写性能；分离式存储SQL语句保障数据审计速度快；</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6、支持以时间、源IP、客户端程序、业务系统、数据库用户、数据库名、操作类型、表名、返回行数、影响行数、响应时长、响应码、策略、规则、风险级别、SQL模版为条件的数据库风险查询。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7、提供管理员权限设置和分权管理，提供三权分立功能，系统可以对使用人员的操作进行审计记录，可以由审计员进行查询，具有自身安全审计功能。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8、可将日志信息（语句信息、会话信息、风险信息等全量审计日志）通过Syslog、Kafka等方式发送到第三方日志管理平台统一管理。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内置大量SQL安全规则，包括如下：导出方式窃取、备份方式窃取、导出可执行程序、备份方式写入恶意代码、系统命令执行、读注册表、写注册表、暴露系统信息、高权存储过程、执行本地代码、常见运维工具使用grant、业务系统使用grant、客户端sp_addrolemember提权、web端sp_addrolemember提权、查询内置敏感表、篡改内置敏感表等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10、支持自定义HTTP访问安全策略，可设置风险等级、风险类型、客户端IP、客户端工具、请求方法、请求关键字、请求状态、请求URL、响应码、执行时长、响应大小、命中次数、规则生效时间表等条件。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11、支持策略设置，可对审计过滤、白名单、黑名单、防统方、入侵检测、自定义规则、智能告警、异常通讯等策略模块进行一键式开关；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12、支持自动清理，通过设置数据磁盘空间最大阈值和最小阈值，或设置自动清理一定天数前的审计日志，可设置自动清理同时进行审计日志转储。</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492041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50E644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14:paraId="30C7A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8"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14:paraId="0A977B93">
            <w:pPr>
              <w:jc w:val="center"/>
              <w:rPr>
                <w:rFonts w:hint="eastAsia" w:ascii="宋体" w:hAnsi="宋体" w:eastAsia="宋体" w:cs="宋体"/>
                <w:b/>
                <w:bCs/>
                <w:i w:val="0"/>
                <w:iCs w:val="0"/>
                <w:color w:val="auto"/>
                <w:sz w:val="22"/>
                <w:szCs w:val="22"/>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27073">
            <w:pPr>
              <w:jc w:val="center"/>
              <w:rPr>
                <w:rFonts w:hint="eastAsia" w:ascii="宋体" w:hAnsi="宋体" w:eastAsia="宋体" w:cs="宋体"/>
                <w:i w:val="0"/>
                <w:iCs w:val="0"/>
                <w:color w:val="auto"/>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02DA68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防火墙</w:t>
            </w:r>
          </w:p>
        </w:tc>
        <w:tc>
          <w:tcPr>
            <w:tcW w:w="5639" w:type="dxa"/>
            <w:tcBorders>
              <w:top w:val="single" w:color="000000" w:sz="4" w:space="0"/>
              <w:left w:val="single" w:color="000000" w:sz="4" w:space="0"/>
              <w:bottom w:val="single" w:color="000000" w:sz="4" w:space="0"/>
              <w:right w:val="single" w:color="000000" w:sz="4" w:space="0"/>
            </w:tcBorders>
            <w:noWrap w:val="0"/>
            <w:vAlign w:val="center"/>
          </w:tcPr>
          <w:p w14:paraId="79D25C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1、产品不少于 6个千兆电口，以及不少于4个千兆光口，2万兆光口，支持冗余电源。网络层吞吐量≥40Gbps，应用层吞吐量≥18Gbps。产品采用标准机架式架构2U，并采用国产处理器和国产操作系统，包含三年硬件质保和软件升级服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2、支持路由模式、透明模式、虚拟网线模式、旁路镜像模式等多种部署方式。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3、支持链路健康检查功能，支持基于多种协议对链路可用性进行探测，探测协议至少包括DNS解析、ARP探测和PING方式。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4、支持聚合接口功能，最多支持将4个物理接口聚合成一个更高性能的逻辑链路接口。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5、支持静态路由、策略路由和多播路由协议，并支持BGP、RIP、OSPF等动态路由协议。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6、支持多种地址转换功能，支持源地址转换SNAT，目的地址转换DNAT和双向地址转换双向NAT，支持IPv4／IPv6下地址转换，至少包括NAT64和NAT46两种方式。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7、支持IPv4/IPv6双栈模式，实现网络与其他支持IPv4或IPv6协议的主机进行正常通信。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8、支持多维度安全策略设置，可基于时间、用户、应用、IP、域名等内容进行安全策略设置。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9、支持用户账号全生命周期保护功能，包括用户账号多余入口检测、用户账号弱口令检测、用户账号暴力破解检测、失陷账号检测，防止因账号被暴力破解导致的非法提权情况发生。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10、支持应用控制策略生命周期管理，包含安全策略的变更时间、变更类型和策略变更用户，并对变更内容记录日志，方便安全策略管控。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11、支持对SMTP、HTTP、FTP、SMB、POP3、HTTPS、IMAP等协议进行病毒防御。产品支持对多重压缩文件的病毒检测能力，支持不小于12层压缩文件病毒检测与处置。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12、具备入侵防御检测引擎，支持对各类漏洞利用攻击进行检测与防护，产品支持超过7200种特征规则数量。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13、支持僵尸网络检测功能，防止失陷主机威胁内网扩散。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具备Web应用攻击检测引擎，支持文件包含攻击、抵御注入式攻击（包含SQL注入、系统命令注入）、信息泄露攻击、跨站脚本（XSS）、网站扫描、WEBSHELL后门攻击、跨站请求伪造、目录遍历攻击、WEB整站系统漏洞等应用层攻击行为，安全特征规则超过3320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15、支持Cookie攻击防护功能，并通过日志记录Cookie被篡改。</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2EDF7B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32061E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4A4D9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14:paraId="685EF3C6">
            <w:pPr>
              <w:jc w:val="center"/>
              <w:rPr>
                <w:rFonts w:hint="eastAsia" w:ascii="宋体" w:hAnsi="宋体" w:eastAsia="宋体" w:cs="宋体"/>
                <w:b/>
                <w:bCs/>
                <w:i w:val="0"/>
                <w:iCs w:val="0"/>
                <w:color w:val="auto"/>
                <w:sz w:val="22"/>
                <w:szCs w:val="22"/>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DD766">
            <w:pPr>
              <w:jc w:val="center"/>
              <w:rPr>
                <w:rFonts w:hint="eastAsia" w:ascii="宋体" w:hAnsi="宋体" w:eastAsia="宋体" w:cs="宋体"/>
                <w:i w:val="0"/>
                <w:iCs w:val="0"/>
                <w:color w:val="auto"/>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155D7B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全网行为管理</w:t>
            </w:r>
          </w:p>
        </w:tc>
        <w:tc>
          <w:tcPr>
            <w:tcW w:w="5639" w:type="dxa"/>
            <w:tcBorders>
              <w:top w:val="single" w:color="000000" w:sz="4" w:space="0"/>
              <w:left w:val="single" w:color="000000" w:sz="4" w:space="0"/>
              <w:bottom w:val="single" w:color="000000" w:sz="4" w:space="0"/>
              <w:right w:val="single" w:color="000000" w:sz="4" w:space="0"/>
            </w:tcBorders>
            <w:noWrap w:val="0"/>
            <w:vAlign w:val="center"/>
          </w:tcPr>
          <w:p w14:paraId="21889A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采用国产化处理器和操作系统，支持不少于6个10/100/1000M以太网电口，网络层吞吐量（大包）≥5.8Gbps，应用层吞吐量≥750Mbps，带宽性能≥500Mbps，支持用户数≥4000，准入终端数（默认客户端授权数）≥2000，面板不可配置液晶屏防止数据泄密，出于安全性考虑，不得在WEB 维护界面中设置系统切换选项。包含三年硬件质保和软件升级服务。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部署方式：支持网关模式，支持NAT、路由转发、DHCP、GRE、OSPF等功能；支持网桥模式，以透明方式串接在网络中；必须支持多路桥接功能，最多可支持32组网桥模式；支持旁路模式，无需更改网络配置，实现上网行为审计；旁路支持主主、主备模式部署；必须支持两台及两台以上设备同时做主机的部署模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3.全面支持IPv6：支持部署在IPv6环境中，设备接口及部署模式均支持ipv6配置，所有核心功能（上网认证、应用控制、流量控制、内容审计、日志报表等）都支持IPv6；</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4.Web访问质量检测：针对内网用户的web访问质量进行检测，对整体网络提供清晰的整体网络质量评级;支持对单用户进行定向web访问质量检测；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5.DNS代理：支持DNS代理，能够基于用户、域名、目标DNS，指定代理策略生效，代理策略可以设置为：重定向至DNS服务器、解析为IP、丢弃、重定向至指定线路；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6.告警管理：支持攻击、双机切换告警、移动终端管理告警、web关键字过滤告警、杀毒告警、设备流量超限告警、磁盘/CPU/内存异常告警等；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7.CA认证：支持基于802.1x的外部CA证书认证，同时支持在线证书状态查询（OCSP）;</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终端识别发现：自动发现网络里面的终端，并获取IP、Mac、厂商、操作系统、首次发现时间等信息，设备必须支持PC、移动设备、哑终端、专用设备的发现：至少支持Windows、Linux、MAC、瘦客户机等PC；至少支持手机、平板等移动设备；至少支持服务器、交换机、无线控制器等7类网络设备；至少支持打印机、投影仪、电视、摄像头、门禁系统等10类哑终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9.杀软检查：支持20款以上主流杀毒软件的运行情况、软件版本、病毒库更新时间检查，对不满足检查要求的终端可违规修复、提示用户、限制权限、禁止上网；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10.外设管控：支持对终端上U盘和移动硬盘接入设置可读写、拒绝、可读、告警; 支持阻断终端用户使用外设，防止终端用户从内网拷贝信息，必须支持存储设备、网络设备、蓝牙设备、摄像头、打印机的使用管控;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11.能够针对各种URL类型做识别和分类，同时所有URL类型都支持区分“网站浏览”、“文件上传”、“其他上传”、“HTTPS”等细分行为并分别做权限控制；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12.支持SSL中间人解密和客户端解密，确保数据传输的透明性与安全性。</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3D015F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463E5B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779E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7"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14:paraId="7F014C5F">
            <w:pPr>
              <w:jc w:val="center"/>
              <w:rPr>
                <w:rFonts w:hint="eastAsia" w:ascii="宋体" w:hAnsi="宋体" w:eastAsia="宋体" w:cs="宋体"/>
                <w:b/>
                <w:bCs/>
                <w:i w:val="0"/>
                <w:iCs w:val="0"/>
                <w:color w:val="auto"/>
                <w:sz w:val="22"/>
                <w:szCs w:val="22"/>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C5DEF6">
            <w:pPr>
              <w:jc w:val="center"/>
              <w:rPr>
                <w:rFonts w:hint="eastAsia" w:ascii="宋体" w:hAnsi="宋体" w:eastAsia="宋体" w:cs="宋体"/>
                <w:i w:val="0"/>
                <w:iCs w:val="0"/>
                <w:color w:val="auto"/>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45EFF7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安全感知管理平台</w:t>
            </w:r>
          </w:p>
        </w:tc>
        <w:tc>
          <w:tcPr>
            <w:tcW w:w="5639" w:type="dxa"/>
            <w:tcBorders>
              <w:top w:val="single" w:color="000000" w:sz="4" w:space="0"/>
              <w:left w:val="single" w:color="000000" w:sz="4" w:space="0"/>
              <w:bottom w:val="single" w:color="000000" w:sz="4" w:space="0"/>
              <w:right w:val="single" w:color="000000" w:sz="4" w:space="0"/>
            </w:tcBorders>
            <w:noWrap w:val="0"/>
            <w:vAlign w:val="center"/>
          </w:tcPr>
          <w:p w14:paraId="188E4F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1、产品为软件部署形态，流量处理能力≥2G，日志处理能力≥4000，包含三年软件升级服务。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资产发现：支持资产属性重新识别，当发现资产数据不准确时，可清空该资产属性，如主机名、备注、操作系统、标签、地理位置、硬件信息、应用软件信息、账号信息、责任人信息、端口信息等，重新发起识别后，平台会自动补齐资产属性，可批量操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3、支持自定义配置资产指纹识别规则，可基于流量行为细化资产类型，支持资产类型识别规则自定义和属性指纹特征自定义。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4、支持随机生成临时管理员用户名和密码，供外援安全人员进行使用：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（1）随机用户名为临时自动创建管理员，只具备指定资产对应的：处置中心、脆弱性、日志检索的查看和操作权限，具备处置、上传附件等下级管理处置的权限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（2）密码为随机生成的密码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（3）工单下发临时账户生成并开始算有效期，有效性上限与处理时间上限一致，有效期到后临时账号自动删除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（4）重新下发会再次生成一个临时账号和随机密码，并重新更新有效期。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支持弱密码检测，能够基于UEBA学习技术（无监督自我学习）提取登陆成功的特征，通过UEBA技术对响应体内容和登录跳转路径进行持续学习训练登录成功特征，包括响应体内容Json、响应体关键字Keyword、响应体MD5值、响应体长度Length、登录跳转路径Location，可实时自动生成学习到的登陆成功规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支持挖矿专项检测页面，具备挖矿攻击事前、事中和事后全链路的检测分析能力，综合运用威胁情报、IPS特征规则和行为关联分析技术，如检测发现文件传输（上传下载）阶段的异常，对挖矿早期的准备动作即告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支持SIEM日志关联分析结果的可视化展示。包括数据分布、安全事件趋势图、关联规则告警趋势图、接入设备概况等，可提供每一台设备专项分析的页面。如防火墙外部攻击场景分析、VPN账号异常场景分析、Windows服务器主机异常场景分析等，通过设备专项页面对每一台设备安全情况深度专业化分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支持利用EBA技术进行资产的行为分析，对这些对象进行持续的学习和行为画像构建，以基线画像的形式检测异于基线的异常行为作为入口点，结合以降维、聚类、决策树为主的计算处理模型发现异常用户/资产行为。共含有27种异常行为学习模型；并支持用户对EBA基线进行自定义调整，优化模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9、支持同品牌防火墙、终端安全响应系统、上网行为管理等设备的配置核查并上报结果，提供自动化监测和配置引导。</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10、支持快捷菜单悬浮控件，平台全部功能可根据使用习惯自定义添加到快捷控件，方便使用，提高运维工作效率。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11、可快速生成月度、季度、年度PPT报表，包含网络安全整体解读、网络安全风险详情、告警及事件响应盘点等，帮助用户高效汇报，体现安全工作价值。</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12、支持整体展示服务器脆弱性风险、热点漏洞情况、脆弱性风险详情（漏洞风险、配置风险、弱密码、web明文传输、可用性风险），支持第三方漏扫报告导入合解析，可按资产组分类上传。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支持流量实时识别漏洞分析，漏洞分析类型包含配置错误漏洞、OpenSSH漏洞、OpenLDAP等操作系统、数据库、Web等，页面上支持展示业务脆弱性风险分布、漏洞类型分析、漏洞态势与危害和处置建议，并支持导出脆弱性感知报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14、在攻击事件支持对每一次通信的请求包与响应包进行上下文关联分析，不得对单个数据包进行孤立分析。需基于攻击者的全部行为事件，按照时间顺序进行整合，构建具备高置信度的攻击链条。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15、支持综合安全风险、主机安全风险、脆弱性感知、外部感知、工单、摘要、处置报告多种方式呈现，也支持自定义时间导出PPT报告。</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78EBBB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258E33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14:paraId="756D9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9"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14:paraId="117610FB">
            <w:pPr>
              <w:jc w:val="center"/>
              <w:rPr>
                <w:rFonts w:hint="eastAsia" w:ascii="宋体" w:hAnsi="宋体" w:eastAsia="宋体" w:cs="宋体"/>
                <w:b/>
                <w:bCs/>
                <w:i w:val="0"/>
                <w:iCs w:val="0"/>
                <w:color w:val="auto"/>
                <w:sz w:val="22"/>
                <w:szCs w:val="22"/>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04B3AD">
            <w:pPr>
              <w:jc w:val="center"/>
              <w:rPr>
                <w:rFonts w:hint="eastAsia" w:ascii="宋体" w:hAnsi="宋体" w:eastAsia="宋体" w:cs="宋体"/>
                <w:i w:val="0"/>
                <w:iCs w:val="0"/>
                <w:color w:val="auto"/>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4003D4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虚拟化潜伏威胁探针</w:t>
            </w:r>
          </w:p>
        </w:tc>
        <w:tc>
          <w:tcPr>
            <w:tcW w:w="5639" w:type="dxa"/>
            <w:tcBorders>
              <w:top w:val="single" w:color="000000" w:sz="4" w:space="0"/>
              <w:left w:val="single" w:color="000000" w:sz="4" w:space="0"/>
              <w:bottom w:val="single" w:color="000000" w:sz="4" w:space="0"/>
              <w:right w:val="single" w:color="000000" w:sz="4" w:space="0"/>
            </w:tcBorders>
            <w:noWrap w:val="0"/>
            <w:vAlign w:val="center"/>
          </w:tcPr>
          <w:p w14:paraId="5A82C9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1、产品为软件部署形态，与安全感知平台为同一品牌且均为国产品牌，网络层吞吐量≥1.5Gbps，应用层吞吐量：≥750Mbps，包含三年软件升级服务。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2、基础检测功能：具备报文检测引擎,可实现IP碎片重组、TCP流重组、应用层协议识别与解析等；具备多种的入侵攻击模式或恶意UR监测模式，可完成模式匹配并生成事件，可提取URL记录和域名记录。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3、网站攻击检测：支持SQL注入、XSS攻击、网页木马、网站扫描、WEBSHELL、跨站请求伪造、系统命令注入、文件包含攻击、目录遍历攻击、信息泄露攻击、Web整站系统漏洞等网站攻击检测。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4、敏感信息检测：支持敏感数据泄密功能检测能力，可自定义敏感信息，支持根据文件类型和敏感关键字进行信息过滤。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5、异常流量检测：支持标准端口运行非标准协议，非标准端口运行标准协议的异常流量检测，端口类型包括3389、53、80/8080、21、69、443、25、110、143、22等。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6、高级检测：支持5种类型日志传输模式,包含标准模式、精简模式、高级模式、局域网模式、自定义模式，适应不同应用场景需求。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7、违规访问检测：支持IP，IP组，服务，端口，访问时间等定义访问策略，主动建立针对性的业务和应用访问逻辑规则，包括白名单和黑名单方式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8、沙盒对接：支持将流量还原的文件发送至沙盒分析；可支持第三方沙盒对接。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9、抓包分析：支持流量抓包分析，可定义抓包数量、接口、IP地址、端口或自定义过滤表达式。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10、特征库：内置URL库、IPS漏洞特征识别库、应用识别库、WEB应用防护识别库、僵尸网络识别库、实时漏洞分析识别库、恶意链接库、白名单库。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11、支持5种场景的日志传输模式,包含标准模式、精简模式、高级模式、局域网模式、自定义模式，适应不同应用场景需求。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12、支持与第三方安全分析平台kafka对接，将采集的数据上报至第三方安全分析平台。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13、违规访问：检测内网主机的访问情况是否符合规定，需要人工事先进行梳理好访问关系再进行配置。策略从上到下进行匹配，可以通过右侧置顶功能对策略优先级进行调节。</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18EF57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139BB4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r>
      <w:tr w14:paraId="6F241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9"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14:paraId="75A55E34">
            <w:pPr>
              <w:jc w:val="center"/>
              <w:rPr>
                <w:rFonts w:hint="eastAsia" w:ascii="宋体" w:hAnsi="宋体" w:eastAsia="宋体" w:cs="宋体"/>
                <w:b/>
                <w:bCs/>
                <w:i w:val="0"/>
                <w:iCs w:val="0"/>
                <w:color w:val="auto"/>
                <w:sz w:val="22"/>
                <w:szCs w:val="22"/>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7B60B9">
            <w:pPr>
              <w:jc w:val="center"/>
              <w:rPr>
                <w:rFonts w:hint="eastAsia" w:ascii="宋体" w:hAnsi="宋体" w:eastAsia="宋体" w:cs="宋体"/>
                <w:i w:val="0"/>
                <w:iCs w:val="0"/>
                <w:color w:val="auto"/>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71C148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WEB应用防护系统</w:t>
            </w:r>
          </w:p>
        </w:tc>
        <w:tc>
          <w:tcPr>
            <w:tcW w:w="5639" w:type="dxa"/>
            <w:tcBorders>
              <w:top w:val="single" w:color="000000" w:sz="4" w:space="0"/>
              <w:left w:val="single" w:color="000000" w:sz="4" w:space="0"/>
              <w:bottom w:val="single" w:color="000000" w:sz="4" w:space="0"/>
              <w:right w:val="single" w:color="000000" w:sz="4" w:space="0"/>
            </w:tcBorders>
            <w:noWrap w:val="0"/>
            <w:vAlign w:val="center"/>
          </w:tcPr>
          <w:p w14:paraId="318347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采用国产处理器和国产操作系统，不少于6个10/100/1000M以太网电口，4千兆光口，网络层吞吐量≥10Gbps，应用层吞吐量≥4Gbps，HTTP最大并发连接数≥400万，HTTP最大请求速率≥10万/秒；提供三年硬件质保和软件升级服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支持虚拟网线部署、透明部署、路由部署、旁路镜像等多种部署方式，适应复杂使用环境的接入要求；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3、支持HTTP、HTTPS协议流量检测；支持XML、JSON格式解析；支持伪静态解析；支持通过X-Forwarded-For、Cdn-Src-Ip、Clientip三种方式识别访问的源IP、并用于日志记录和联动封锁；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4、支持识别HTTP异常，包含HTTP方法过滤、HTTP头部字段Referer、User-Agent等注入检测、Host检测、URL溢出检测、POST实体溢出检测、HTTP头部溢出检测、range字段防护、multipart头部字段异常检测；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5、支持超过6000种防护规则。其中Web应用防护规则超过4800种，Web实时漏洞分析规则超过1200种；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支持Cookie攻击防护，支持检测到篡改时将Cookie替换为*，支持自定义需要防护的Cookie属性范围，包括防护所有Cookie属性、防护指定Cookie属性、不防护指定Cookie属性；支持自定义Web应用防护规则，通过基于正则表达式自定义规则匹配类型、动作、危险等级、动作、攻击影响、描述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产品原生支持BOT防护功能，可过滤机器人自动化流量，非联动其他组件或产品，并支持用户自定义URL保护范围和保护阈值；支持自定义开关获取访问者设备指纹信息；支持自定义BOT防护排除功能，支持通过IP地址白名单、User-Agent、URL前缀的方式排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支持漏洞防扫描，包括404页面检测、WAF规则拦截频率检测、目录访问频率检测、使用不常见的HTTP请求方法、匹配强弱规则扫描、敏感文件扫描等扫描行为特征，支持自定义封锁扫描IP封锁时间、支持隐藏服务器信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9、支持识别和拦截中低频、分布式等高级WEB口令爆破攻击方式；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10、支持通过被动扫描功能，业务系统进行黑链检测、Webshell检测、漏洞风险检测、配置风险检测、弱口令账户检测。</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70990F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23F182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24150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0"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14:paraId="2AA667CE">
            <w:pPr>
              <w:jc w:val="center"/>
              <w:rPr>
                <w:rFonts w:hint="eastAsia" w:ascii="宋体" w:hAnsi="宋体" w:eastAsia="宋体" w:cs="宋体"/>
                <w:b/>
                <w:bCs/>
                <w:i w:val="0"/>
                <w:iCs w:val="0"/>
                <w:color w:val="auto"/>
                <w:sz w:val="22"/>
                <w:szCs w:val="22"/>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E460B">
            <w:pPr>
              <w:jc w:val="center"/>
              <w:rPr>
                <w:rFonts w:hint="eastAsia" w:ascii="宋体" w:hAnsi="宋体" w:eastAsia="宋体" w:cs="宋体"/>
                <w:i w:val="0"/>
                <w:iCs w:val="0"/>
                <w:color w:val="auto"/>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12C274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网络入侵防御系统</w:t>
            </w:r>
          </w:p>
        </w:tc>
        <w:tc>
          <w:tcPr>
            <w:tcW w:w="5639" w:type="dxa"/>
            <w:tcBorders>
              <w:top w:val="single" w:color="000000" w:sz="4" w:space="0"/>
              <w:left w:val="single" w:color="000000" w:sz="4" w:space="0"/>
              <w:bottom w:val="single" w:color="000000" w:sz="4" w:space="0"/>
              <w:right w:val="single" w:color="000000" w:sz="4" w:space="0"/>
            </w:tcBorders>
            <w:noWrap w:val="0"/>
            <w:vAlign w:val="center"/>
          </w:tcPr>
          <w:p w14:paraId="1E0AB2F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1、产品采用国产处理器和国产操作系统。产品不少于6个10/100/1000M以太网电口，4千兆光口。网络层吞吐量≥10Gbps，提供三年硬件质保和软件升级服务。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2、具备路由、透明、虚拟网线、旁路镜像、混合等多种部署方式，适应复杂使用环境的接入要求。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3、支持静态路由、动态路由和路由告警功能。支持基于IP地址、端口、地域、协议、应用等维度配置策略路由策略，支持多种负载均衡算法，包括加权、带宽比例、轮询、线路排序等。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4、支持对HTTP、HTTPS、FTP、SMTP、POP3、IMAP协议进行病毒检测和查杀，支持最大16层的压缩文件查杀。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5、产品内置IPS检测引擎，支持口令暴力破解、恶意软件、服务器与客户端漏洞攻击等检测和防护，支持超过7000种特征规则。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6、支持多链路出站负载，支持基于源/目的IP、源/目的端口、协议、ISP、应用类型以及国家地域来进行选路的策略路由选路功能；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7、支持针对SMTP、POP3、IMAP邮件协议的内容检测，如邮件附件病毒检测、邮件内容恶意链接检测，邮件异常账号检测等，支持根据邮件附件类型进行文件过滤；支持针对HTTP、FTP协议内容检测与病毒查杀；</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8、支持SYN Flood、ICMP Flood、UDP Flood、DNS Flood等DoS/DDoS攻击防护；支持IP地址扫描和端口扫描防护；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9、具备独立的热门威胁库，支持木马、勒索软件、蠕虫、挖矿病毒等种类，特征总数在60万条以上；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10、支持产品安全能力图谱，可展示设备对资产防护的有效性，对当前的风险预测、风险防御、风险检测能力进行展示；同时展示当前设备的安全能力等级，展示每日安全能力的更新情况；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11、支持安全策略一体化配置，通过一条策略快速实现不同安全功能的配置，简化策略配置工作</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6464E1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3D24B0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36D77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9"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14:paraId="7F97EC9E">
            <w:pPr>
              <w:jc w:val="center"/>
              <w:rPr>
                <w:rFonts w:hint="eastAsia" w:ascii="宋体" w:hAnsi="宋体" w:eastAsia="宋体" w:cs="宋体"/>
                <w:b/>
                <w:bCs/>
                <w:i w:val="0"/>
                <w:iCs w:val="0"/>
                <w:color w:val="auto"/>
                <w:sz w:val="22"/>
                <w:szCs w:val="22"/>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C0FE77">
            <w:pPr>
              <w:jc w:val="center"/>
              <w:rPr>
                <w:rFonts w:hint="eastAsia" w:ascii="宋体" w:hAnsi="宋体" w:eastAsia="宋体" w:cs="宋体"/>
                <w:i w:val="0"/>
                <w:iCs w:val="0"/>
                <w:color w:val="auto"/>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184A5E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备份一体机</w:t>
            </w:r>
          </w:p>
        </w:tc>
        <w:tc>
          <w:tcPr>
            <w:tcW w:w="5639" w:type="dxa"/>
            <w:tcBorders>
              <w:top w:val="single" w:color="000000" w:sz="4" w:space="0"/>
              <w:left w:val="single" w:color="000000" w:sz="4" w:space="0"/>
              <w:bottom w:val="single" w:color="000000" w:sz="4" w:space="0"/>
              <w:right w:val="single" w:color="000000" w:sz="4" w:space="0"/>
            </w:tcBorders>
            <w:noWrap w:val="0"/>
            <w:vAlign w:val="center"/>
          </w:tcPr>
          <w:p w14:paraId="0BF9CE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1、2U机架式设备，配置2颗国产化CPU，核心数≥16，主频≥2.5GHz，内存≥128GB，本次配置2块480GB 企业级SSD，6块4T 企业级SATA磁盘；支持千兆、10GE以太网接口，本次要求每个存储节点配置4个千兆口，2个10GE接口。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2.支持对VMware vSphere、Openstack等主流虚拟化平台无代理备份，支持虚拟机的全量、增量和差异备份，支持虚拟机整机和指定虚拟磁盘的备份及恢复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3.支持VMware vSphere、Sangfor HCI、H3C CAS、Microsoft Hyper-V、Citrix Hypervisor、RedHat RHV、ZStack、安恒、易讯通、WinHong、Halsign等虚拟化平台备份，支持Oracle、SQLServer（MSSQL）和MySQL数据库备份；支持Windows和Linux系统的文件备份，授权许可不限制客户端数量。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4.支持虚拟机副本容灾功能，只需两节点即可实现数据中心级数据容灾，结合虚拟机瞬时恢复功能实现分钟级RTO</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5.支持对虚拟机深度有效数据提取，只备份有效数据，排除交换分区等数据，有效节约备份空间；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6.支持一键检测功能，支持用户自行检测系统健康状态，检测包括CPU、内存、硬盘、网口等硬件故障、告警等问题，同时支持检测各类存储服务是否正常启动。针对问题能够提出解决推荐办法。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7.支持备份系统可控制系统服务，支持对系统服务进行启动、停止等操作。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8.智能监控平台，能够清楚展示当前存储的关键硬件和逻辑资源，并且能够在监控视图中根据当前状态给予客户提示，以达到快速清晰告警的目的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9.支持对MySQL、SQL Server和Oracle等主流数据库和应用程序的在线备份，有成熟的软件模块，提供图形化向导界面，备份过程中可自动发现识别业务主机中安装的数据库，包括Oracle、SQLServer和MySQL实例，无需手动人为干预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10.支持虚拟机批量备份中应用关联的虚拟机备份的数据时间点一致（并行快照）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支持整机全场景恢复，无需部署配置操作系统、应用和数据库等系统环境，实现全场景带业务逻辑的整机灾难重建，无需人工手动安装驱动、更改注册表信息、应用配置信息等，极大降低灾难重建恢复难度和效率。</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56F7FA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7B69FE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48245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9"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14:paraId="315CD7C1">
            <w:pPr>
              <w:jc w:val="center"/>
              <w:rPr>
                <w:rFonts w:hint="eastAsia" w:ascii="宋体" w:hAnsi="宋体" w:eastAsia="宋体" w:cs="宋体"/>
                <w:b/>
                <w:bCs/>
                <w:i w:val="0"/>
                <w:iCs w:val="0"/>
                <w:color w:val="auto"/>
                <w:sz w:val="22"/>
                <w:szCs w:val="22"/>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3E14D3">
            <w:pPr>
              <w:jc w:val="center"/>
              <w:rPr>
                <w:rFonts w:hint="eastAsia" w:ascii="宋体" w:hAnsi="宋体" w:eastAsia="宋体" w:cs="宋体"/>
                <w:i w:val="0"/>
                <w:iCs w:val="0"/>
                <w:color w:val="auto"/>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3AA829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主动安全监测系统</w:t>
            </w:r>
          </w:p>
        </w:tc>
        <w:tc>
          <w:tcPr>
            <w:tcW w:w="5639" w:type="dxa"/>
            <w:tcBorders>
              <w:top w:val="single" w:color="000000" w:sz="4" w:space="0"/>
              <w:left w:val="single" w:color="000000" w:sz="4" w:space="0"/>
              <w:bottom w:val="single" w:color="000000" w:sz="4" w:space="0"/>
              <w:right w:val="single" w:color="000000" w:sz="4" w:space="0"/>
            </w:tcBorders>
            <w:noWrap w:val="0"/>
            <w:vAlign w:val="center"/>
          </w:tcPr>
          <w:p w14:paraId="1DB44B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硬件指标：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1.形态：软硬件一体化；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规格：独立机架服务器；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电源：800W 1+1交流冗余电源;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内存：不小于64GB;</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数据处理性能：并发会话不低于50万;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网络接口：不少于2个千兆以太网电口和2万兆光口（单模多模可选）;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硬盘存储：≥2*480GB SSD（Raid 1)+3*4TB SAS（Raid 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CPU：支持国产化芯片；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操作系统：支持国产化操作系统；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数据存储周期：不少于180天；</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2.授权：不少于5000个资产探测授权;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功能指标：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1.支持多种数据采集能力，包括分光/分流/交换机镜像，无代理远程探测采集，浏览器插件形式采集以及传感器探针采集；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2.具备数据过滤能力，对指定范围内IP地址进行数据过滤或只对指定范围内的IP地址进行数据分析；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3.具备资产主动发现和识别能力，够发主动现接入专网中的中的各类设备资产，识别设备资产类型、名称、品牌、型号、版本等并自动分类统计，能够自动区分视频监控设备 、终端PC、IP电话、应用服务器、网络设备、网络打印机、安全运维类设备等类别。</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4.支持漏洞检测能力：支持对视频网中视频监控类设备、应用系统、Windows/Linux 操作系统、数据库、服务器、网络设备等进行漏洞检测，支持检测统中的中危以上安全漏洞，支持提供漏洞整改方案；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5.支持弱口令检测能力：支持对视频网中视频类设备/应用系统的空口令、默认口令、弱口令等进行检测；支持对操作系统远程桌面、常见数据库（如：SQL server、MySQL、Mongodb、Elasticsearch、Oracle等）、常见协议（SNMP、SSH、Telnet、FTP等）的空口令、默认口令、弱口令等进行检测；</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支持违规外联监测能力：能够对专网设备通过NAT边界、多网卡、网络代理、私接外网路由、网络设备串线、无线WIFI等方式导致的单台或多台设备的内外网互联行为进行监测告警，支持记录所有违规外联事件发生的起止时间、网段信息、内网设备IP、MAC地址、外联出口地址、位置信息、外联次数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7．支持对边界违规通道监测能力：支持对违规搭建网闸设备、WIFI路由设备、多网卡多IP设备、网中网、专网交换机串线、DHCP服务、网络代理服务、可解析互联网域名的DNS 服务等违规网络边界通道行为进行监控；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支持网络空间测绘能力，构建从监测系统自身到全网资产的专网空间测绘地图，分析和标注网络中存在的非合规空间链路路径和节点，排查网内存在的非合规或不受控路由节点，包括互联网节点、私网路由节点、第三方专网路由节点以及未知网络路由节点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9.具备网络攻击监管能力，分析网络中攻击和病毒传播行为，包括定向探测、恶意扫描、敏感端口嗅探、失败连接以及木马病毒、蠕虫病毒、域名病毒等传播行为；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10.具备异常访问监管能力，监测网内设备对指定业务系统、应用或数据库端口进行高频次/异常的访问行为，监测全网异常的跨域访问行为，定位访问设备的源地址、目标地址、归属、协议以及会话总数等信息。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11.具备信令安全监管能力，通过旁路方式获取原始数据包，还原信令类型、格式和内容，对控制信令进行格式检查和内容过滤审计，对高危、异常控制信令进行告警；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12.具备违规行为监管能力，依据管理要求监测违规入网设备/违规游戏主机/违规站点搭建/远程控制软件/违规通讯服务以及违规数据传输等行为；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13.支持风险隐患监管能力，主动监测网内存在的高危端口(服务)/不受控站点/匿名FTP服务等安全风险隐患；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14.支持安全事件自动化取证能力，定位涉事资产和对威胁行为提取网络原始数据包、明细会话记录以及行为数据等；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15.提供灵活的报表自定义功能，根据策略自动生成安全监测日报、周报和月报表。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提供3年软硬件维保和系统升级服务。</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181045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630238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02674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8"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14:paraId="1C5A5223">
            <w:pPr>
              <w:jc w:val="center"/>
              <w:rPr>
                <w:rFonts w:hint="eastAsia" w:ascii="宋体" w:hAnsi="宋体" w:eastAsia="宋体" w:cs="宋体"/>
                <w:b/>
                <w:bCs/>
                <w:i w:val="0"/>
                <w:iCs w:val="0"/>
                <w:color w:val="auto"/>
                <w:sz w:val="22"/>
                <w:szCs w:val="22"/>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73FDAA">
            <w:pPr>
              <w:jc w:val="center"/>
              <w:rPr>
                <w:rFonts w:hint="eastAsia" w:ascii="宋体" w:hAnsi="宋体" w:eastAsia="宋体" w:cs="宋体"/>
                <w:i w:val="0"/>
                <w:iCs w:val="0"/>
                <w:color w:val="auto"/>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316CAE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交换机</w:t>
            </w:r>
          </w:p>
        </w:tc>
        <w:tc>
          <w:tcPr>
            <w:tcW w:w="5639" w:type="dxa"/>
            <w:tcBorders>
              <w:top w:val="single" w:color="000000" w:sz="4" w:space="0"/>
              <w:left w:val="single" w:color="000000" w:sz="4" w:space="0"/>
              <w:bottom w:val="single" w:color="000000" w:sz="4" w:space="0"/>
              <w:right w:val="single" w:color="000000" w:sz="4" w:space="0"/>
            </w:tcBorders>
            <w:noWrap w:val="0"/>
            <w:vAlign w:val="center"/>
          </w:tcPr>
          <w:p w14:paraId="2267993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1、接口配置：≥24个千兆电口，≥4个万兆光口。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2、交换容量≥4.42Tbps ，包转发率≥168Mpps，支持全端口线速转发。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3、支持M-LAG技术，跨设备链路聚合（非堆叠技术实现），要求配对的设备有独立的控制平面。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4、支持统一管理、统一查看状态、VLAN等配置管理；支持终端识别、终端准入、安全防护及安全画像可视；支持安全日志显示对应安全事件，包括DDOS攻击、爆破攻击、IP冲突、ARP扫描攻击等；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5、支持查看安全事件记录、终端类型异常记录、终端在端口迁移次数、终端地址异常记录等安全事件的记录统计；</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7196C5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201321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r>
      <w:tr w14:paraId="29E68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9" w:hRule="atLeast"/>
        </w:trPr>
        <w:tc>
          <w:tcPr>
            <w:tcW w:w="457" w:type="dxa"/>
            <w:vMerge w:val="restart"/>
            <w:tcBorders>
              <w:top w:val="single" w:color="000000" w:sz="4" w:space="0"/>
              <w:left w:val="single" w:color="000000" w:sz="4" w:space="0"/>
              <w:bottom w:val="single" w:color="000000" w:sz="4" w:space="0"/>
              <w:right w:val="single" w:color="000000" w:sz="4" w:space="0"/>
            </w:tcBorders>
            <w:noWrap/>
            <w:vAlign w:val="center"/>
          </w:tcPr>
          <w:p w14:paraId="39EDA19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w:t>
            </w:r>
          </w:p>
        </w:tc>
        <w:tc>
          <w:tcPr>
            <w:tcW w:w="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151CEB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技术服务</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472F0F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业务迁移</w:t>
            </w:r>
          </w:p>
        </w:tc>
        <w:tc>
          <w:tcPr>
            <w:tcW w:w="5639" w:type="dxa"/>
            <w:tcBorders>
              <w:top w:val="single" w:color="000000" w:sz="4" w:space="0"/>
              <w:left w:val="single" w:color="000000" w:sz="4" w:space="0"/>
              <w:bottom w:val="single" w:color="000000" w:sz="4" w:space="0"/>
              <w:right w:val="single" w:color="000000" w:sz="4" w:space="0"/>
            </w:tcBorders>
            <w:noWrap w:val="0"/>
            <w:vAlign w:val="top"/>
          </w:tcPr>
          <w:p w14:paraId="1D1C5AD2">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1、按照分批切换原则，推进驾驶理论考试、考试监管、机动车查验/检验等系统切换；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2、组建业务迁移运行稳定工作团队，开展系统功能和流程测试、外挂系统测试联通；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3、社会化服务机构接入联调，数据链路调优，推进考场、检测站、登记服务站等分批接入</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67C965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6B5910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r>
      <w:tr w14:paraId="4206C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8"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14:paraId="75837169">
            <w:pPr>
              <w:jc w:val="center"/>
              <w:rPr>
                <w:rFonts w:hint="eastAsia" w:ascii="宋体" w:hAnsi="宋体" w:eastAsia="宋体" w:cs="宋体"/>
                <w:b/>
                <w:bCs/>
                <w:i w:val="0"/>
                <w:iCs w:val="0"/>
                <w:color w:val="auto"/>
                <w:sz w:val="22"/>
                <w:szCs w:val="22"/>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2A5BC5">
            <w:pPr>
              <w:jc w:val="center"/>
              <w:rPr>
                <w:rFonts w:hint="eastAsia" w:ascii="宋体" w:hAnsi="宋体" w:eastAsia="宋体" w:cs="宋体"/>
                <w:i w:val="0"/>
                <w:iCs w:val="0"/>
                <w:color w:val="auto"/>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43F401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数据迁移</w:t>
            </w:r>
          </w:p>
        </w:tc>
        <w:tc>
          <w:tcPr>
            <w:tcW w:w="5639" w:type="dxa"/>
            <w:tcBorders>
              <w:top w:val="single" w:color="000000" w:sz="4" w:space="0"/>
              <w:left w:val="single" w:color="000000" w:sz="4" w:space="0"/>
              <w:bottom w:val="single" w:color="000000" w:sz="4" w:space="0"/>
              <w:right w:val="single" w:color="000000" w:sz="4" w:space="0"/>
            </w:tcBorders>
            <w:noWrap w:val="0"/>
            <w:vAlign w:val="top"/>
          </w:tcPr>
          <w:p w14:paraId="09FF2072">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1、按照循序渐进方式，制定数据库迁移方案，数据迁移包含：驾驶理论考试、考试监管软件、机动车登记、机动车查验和机动车查验业务的数据；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2、支持数据转换工具的开发，对不符合标准数据统一转换；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3、对未归档业务的文本、图片以及影像化资料，全部导入；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4、系统日志信息，对任务运行日志、登录日志等，导入到社会化服务系统。</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5149D6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4A1F90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r>
      <w:tr w14:paraId="44940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8"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ign w:val="center"/>
          </w:tcPr>
          <w:p w14:paraId="3EB2385F">
            <w:pPr>
              <w:jc w:val="center"/>
              <w:rPr>
                <w:rFonts w:hint="eastAsia" w:ascii="宋体" w:hAnsi="宋体" w:eastAsia="宋体" w:cs="宋体"/>
                <w:b/>
                <w:bCs/>
                <w:i w:val="0"/>
                <w:iCs w:val="0"/>
                <w:color w:val="auto"/>
                <w:sz w:val="22"/>
                <w:szCs w:val="22"/>
                <w:highlight w:val="none"/>
                <w:u w:val="none"/>
              </w:rPr>
            </w:pPr>
          </w:p>
        </w:tc>
        <w:tc>
          <w:tcPr>
            <w:tcW w:w="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31C854">
            <w:pPr>
              <w:jc w:val="center"/>
              <w:rPr>
                <w:rFonts w:hint="eastAsia" w:ascii="宋体" w:hAnsi="宋体" w:eastAsia="宋体" w:cs="宋体"/>
                <w:i w:val="0"/>
                <w:iCs w:val="0"/>
                <w:color w:val="auto"/>
                <w:sz w:val="22"/>
                <w:szCs w:val="22"/>
                <w:highlight w:val="none"/>
                <w:u w:val="none"/>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220EE5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系统安装调试</w:t>
            </w:r>
          </w:p>
        </w:tc>
        <w:tc>
          <w:tcPr>
            <w:tcW w:w="5639" w:type="dxa"/>
            <w:tcBorders>
              <w:top w:val="single" w:color="000000" w:sz="4" w:space="0"/>
              <w:left w:val="single" w:color="000000" w:sz="4" w:space="0"/>
              <w:bottom w:val="single" w:color="000000" w:sz="4" w:space="0"/>
              <w:right w:val="single" w:color="000000" w:sz="4" w:space="0"/>
            </w:tcBorders>
            <w:noWrap w:val="0"/>
            <w:vAlign w:val="top"/>
          </w:tcPr>
          <w:p w14:paraId="39C8B844">
            <w:pPr>
              <w:keepNext w:val="0"/>
              <w:keepLines w:val="0"/>
              <w:widowControl/>
              <w:suppressLineNumbers w:val="0"/>
              <w:jc w:val="left"/>
              <w:textAlignment w:val="top"/>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1、负责编制施工的设计方案、安装调试方案和时间进度方案；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2、负责组织设备安装施工，解决设备安装过程中的各种技术问题；</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3、系统培训服务，根据建设内容，培训对应业务人员、社会机构等；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4、安装调试的包装、运输、辅材等。</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26E6BB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noWrap/>
            <w:vAlign w:val="center"/>
          </w:tcPr>
          <w:p w14:paraId="29FE2B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r>
    </w:tbl>
    <w:p w14:paraId="60FACDA2">
      <w:pPr>
        <w:rPr>
          <w:rFonts w:hint="eastAsia"/>
          <w:color w:val="auto"/>
          <w:highlight w:val="none"/>
          <w:lang w:eastAsia="zh-CN"/>
        </w:rPr>
      </w:pPr>
      <w:r>
        <w:rPr>
          <w:rFonts w:hint="eastAsia"/>
          <w:color w:val="auto"/>
          <w:highlight w:val="none"/>
          <w:lang w:eastAsia="zh-CN"/>
        </w:rPr>
        <w:t>注：标注“★”的为重要技术指标，投标人所投产品必须满足否则投标无效</w:t>
      </w:r>
    </w:p>
    <w:p w14:paraId="72A5C543">
      <w:pPr>
        <w:pStyle w:val="59"/>
        <w:snapToGrid w:val="0"/>
        <w:spacing w:line="360" w:lineRule="auto"/>
        <w:textAlignment w:val="auto"/>
        <w:rPr>
          <w:rFonts w:hint="eastAsia" w:ascii="华文中宋" w:hAnsi="华文中宋" w:eastAsia="华文中宋" w:cs="华文中宋"/>
          <w:b/>
          <w:color w:val="auto"/>
          <w:highlight w:val="none"/>
        </w:rPr>
      </w:pPr>
    </w:p>
    <w:p w14:paraId="65F236F5">
      <w:pPr>
        <w:pStyle w:val="59"/>
        <w:snapToGrid w:val="0"/>
        <w:spacing w:line="360" w:lineRule="auto"/>
        <w:textAlignment w:val="auto"/>
        <w:rPr>
          <w:rFonts w:ascii="华文中宋" w:hAnsi="华文中宋" w:eastAsia="华文中宋" w:cs="华文中宋"/>
          <w:b/>
          <w:color w:val="auto"/>
          <w:highlight w:val="none"/>
        </w:rPr>
      </w:pPr>
      <w:r>
        <w:rPr>
          <w:rFonts w:hint="eastAsia" w:ascii="华文中宋" w:hAnsi="华文中宋" w:eastAsia="华文中宋" w:cs="华文中宋"/>
          <w:b/>
          <w:color w:val="auto"/>
          <w:highlight w:val="none"/>
        </w:rPr>
        <w:t>其他</w:t>
      </w:r>
    </w:p>
    <w:p w14:paraId="6B25D1EA">
      <w:pPr>
        <w:pStyle w:val="59"/>
        <w:snapToGrid w:val="0"/>
        <w:spacing w:line="360" w:lineRule="auto"/>
        <w:ind w:firstLine="420" w:firstLineChars="200"/>
        <w:textAlignment w:val="auto"/>
        <w:rPr>
          <w:rFonts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投标人须保持登陆山西政府采购平台，随时准备对评标委员会在平台上的询问予以解答。</w:t>
      </w:r>
    </w:p>
    <w:p w14:paraId="1982646F">
      <w:pPr>
        <w:rPr>
          <w:rFonts w:ascii="华文中宋" w:hAnsi="华文中宋" w:eastAsia="华文中宋"/>
          <w:color w:val="auto"/>
          <w:szCs w:val="21"/>
          <w:highlight w:val="none"/>
        </w:rPr>
      </w:pPr>
      <w:bookmarkStart w:id="48" w:name="_Toc424378696"/>
      <w:bookmarkStart w:id="49" w:name="_Toc352761948"/>
    </w:p>
    <w:p w14:paraId="0F05F9F0">
      <w:pPr>
        <w:pStyle w:val="56"/>
        <w:pageBreakBefore/>
        <w:numPr>
          <w:ilvl w:val="0"/>
          <w:numId w:val="0"/>
        </w:numPr>
        <w:snapToGrid w:val="0"/>
        <w:spacing w:before="0" w:after="0"/>
        <w:rPr>
          <w:rFonts w:ascii="华文中宋" w:hAnsi="华文中宋" w:eastAsia="华文中宋"/>
          <w:b/>
          <w:color w:val="auto"/>
          <w:highlight w:val="none"/>
        </w:rPr>
      </w:pPr>
      <w:bookmarkStart w:id="50" w:name="_Toc26886"/>
      <w:bookmarkStart w:id="51" w:name="_Toc28436"/>
      <w:r>
        <w:rPr>
          <w:rFonts w:hint="eastAsia" w:ascii="华文中宋" w:hAnsi="华文中宋" w:eastAsia="华文中宋"/>
          <w:color w:val="auto"/>
          <w:spacing w:val="20"/>
          <w:szCs w:val="28"/>
          <w:highlight w:val="none"/>
        </w:rPr>
        <w:t>第五部分</w:t>
      </w:r>
      <w:bookmarkEnd w:id="48"/>
      <w:bookmarkEnd w:id="49"/>
      <w:r>
        <w:rPr>
          <w:rFonts w:hint="eastAsia" w:ascii="华文中宋" w:hAnsi="华文中宋" w:eastAsia="华文中宋"/>
          <w:color w:val="auto"/>
          <w:spacing w:val="20"/>
          <w:szCs w:val="28"/>
          <w:highlight w:val="none"/>
        </w:rPr>
        <w:t xml:space="preserve">  资格审查内容及标准</w:t>
      </w:r>
      <w:bookmarkEnd w:id="50"/>
      <w:bookmarkEnd w:id="51"/>
      <w:bookmarkStart w:id="52" w:name="_Toc400718590"/>
    </w:p>
    <w:p w14:paraId="7611CEE0">
      <w:pPr>
        <w:pStyle w:val="59"/>
        <w:snapToGrid w:val="0"/>
        <w:spacing w:line="480" w:lineRule="exact"/>
        <w:rPr>
          <w:rFonts w:ascii="华文中宋" w:hAnsi="华文中宋" w:eastAsia="华文中宋"/>
          <w:b/>
          <w:color w:val="auto"/>
          <w:highlight w:val="none"/>
        </w:rPr>
      </w:pPr>
      <w:r>
        <w:rPr>
          <w:rFonts w:hint="eastAsia" w:ascii="华文中宋" w:hAnsi="华文中宋" w:eastAsia="华文中宋"/>
          <w:b/>
          <w:color w:val="auto"/>
          <w:highlight w:val="none"/>
        </w:rPr>
        <w:t>资格审查内容及标准</w:t>
      </w:r>
    </w:p>
    <w:tbl>
      <w:tblPr>
        <w:tblStyle w:val="2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659"/>
        <w:gridCol w:w="5387"/>
      </w:tblGrid>
      <w:tr w14:paraId="2F06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51" w:type="dxa"/>
            <w:vAlign w:val="center"/>
          </w:tcPr>
          <w:p w14:paraId="3449DC44">
            <w:pPr>
              <w:jc w:val="center"/>
              <w:rPr>
                <w:color w:val="auto"/>
                <w:highlight w:val="none"/>
              </w:rPr>
            </w:pPr>
            <w:r>
              <w:rPr>
                <w:rFonts w:hint="eastAsia" w:ascii="华文中宋" w:hAnsi="华文中宋" w:eastAsia="华文中宋"/>
                <w:color w:val="auto"/>
                <w:highlight w:val="none"/>
              </w:rPr>
              <w:t>序号</w:t>
            </w:r>
          </w:p>
        </w:tc>
        <w:tc>
          <w:tcPr>
            <w:tcW w:w="2659" w:type="dxa"/>
            <w:vAlign w:val="center"/>
          </w:tcPr>
          <w:p w14:paraId="1CE17B46">
            <w:pPr>
              <w:jc w:val="center"/>
              <w:rPr>
                <w:color w:val="auto"/>
                <w:highlight w:val="none"/>
              </w:rPr>
            </w:pPr>
            <w:r>
              <w:rPr>
                <w:rFonts w:hint="eastAsia" w:ascii="华文中宋" w:hAnsi="华文中宋" w:eastAsia="华文中宋"/>
                <w:color w:val="auto"/>
                <w:highlight w:val="none"/>
              </w:rPr>
              <w:t>内容</w:t>
            </w:r>
          </w:p>
        </w:tc>
        <w:tc>
          <w:tcPr>
            <w:tcW w:w="5387" w:type="dxa"/>
            <w:vAlign w:val="center"/>
          </w:tcPr>
          <w:p w14:paraId="63436CED">
            <w:pPr>
              <w:jc w:val="center"/>
              <w:rPr>
                <w:color w:val="auto"/>
                <w:highlight w:val="none"/>
              </w:rPr>
            </w:pPr>
            <w:r>
              <w:rPr>
                <w:rFonts w:hint="eastAsia" w:ascii="华文中宋" w:hAnsi="华文中宋" w:eastAsia="华文中宋"/>
                <w:color w:val="auto"/>
                <w:highlight w:val="none"/>
              </w:rPr>
              <w:t>标准</w:t>
            </w:r>
          </w:p>
        </w:tc>
      </w:tr>
      <w:tr w14:paraId="727C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trPr>
        <w:tc>
          <w:tcPr>
            <w:tcW w:w="851" w:type="dxa"/>
            <w:vAlign w:val="center"/>
          </w:tcPr>
          <w:p w14:paraId="21839EC1">
            <w:pPr>
              <w:jc w:val="center"/>
              <w:rPr>
                <w:color w:val="auto"/>
                <w:highlight w:val="none"/>
              </w:rPr>
            </w:pPr>
            <w:r>
              <w:rPr>
                <w:rFonts w:ascii="华文中宋" w:hAnsi="华文中宋" w:eastAsia="华文中宋"/>
                <w:color w:val="auto"/>
                <w:highlight w:val="none"/>
              </w:rPr>
              <w:t>1</w:t>
            </w:r>
          </w:p>
        </w:tc>
        <w:tc>
          <w:tcPr>
            <w:tcW w:w="2659" w:type="dxa"/>
            <w:vAlign w:val="center"/>
          </w:tcPr>
          <w:p w14:paraId="425DB9AD">
            <w:pPr>
              <w:rPr>
                <w:color w:val="auto"/>
                <w:highlight w:val="none"/>
              </w:rPr>
            </w:pPr>
            <w:r>
              <w:rPr>
                <w:rFonts w:hint="eastAsia" w:ascii="华文中宋" w:hAnsi="华文中宋" w:eastAsia="华文中宋"/>
                <w:color w:val="auto"/>
                <w:highlight w:val="none"/>
              </w:rPr>
              <w:t>投标人代表的证明</w:t>
            </w:r>
          </w:p>
        </w:tc>
        <w:tc>
          <w:tcPr>
            <w:tcW w:w="5387" w:type="dxa"/>
          </w:tcPr>
          <w:p w14:paraId="1F1F2749">
            <w:pPr>
              <w:ind w:firstLine="420" w:firstLineChars="200"/>
              <w:rPr>
                <w:color w:val="auto"/>
                <w:highlight w:val="none"/>
              </w:rPr>
            </w:pPr>
            <w:r>
              <w:rPr>
                <w:rFonts w:hint="eastAsia" w:ascii="华文中宋" w:hAnsi="华文中宋" w:eastAsia="华文中宋"/>
                <w:color w:val="auto"/>
                <w:highlight w:val="none"/>
              </w:rPr>
              <w:t>法定代表人（负责人）参加投标的，提供“法定代表人（负责人）证明书”</w:t>
            </w:r>
          </w:p>
          <w:p w14:paraId="4106B197">
            <w:pPr>
              <w:ind w:firstLine="420" w:firstLineChars="200"/>
              <w:rPr>
                <w:color w:val="auto"/>
                <w:highlight w:val="none"/>
              </w:rPr>
            </w:pPr>
            <w:r>
              <w:rPr>
                <w:rFonts w:hint="eastAsia" w:ascii="华文中宋" w:hAnsi="华文中宋" w:eastAsia="华文中宋"/>
                <w:color w:val="auto"/>
                <w:highlight w:val="none"/>
              </w:rPr>
              <w:t>委托代理人参加投标的，提供“法定代表人（负责人）授权委托书”</w:t>
            </w:r>
          </w:p>
          <w:p w14:paraId="1C6EEB0D">
            <w:pPr>
              <w:ind w:firstLine="420" w:firstLineChars="200"/>
              <w:rPr>
                <w:color w:val="auto"/>
                <w:highlight w:val="none"/>
              </w:rPr>
            </w:pPr>
            <w:r>
              <w:rPr>
                <w:rFonts w:hint="eastAsia" w:ascii="华文中宋" w:hAnsi="华文中宋" w:eastAsia="华文中宋"/>
                <w:color w:val="auto"/>
                <w:highlight w:val="none"/>
              </w:rPr>
              <w:t>自然人参加投标的，提供个人身份证明扫描件</w:t>
            </w:r>
          </w:p>
          <w:p w14:paraId="4C818A52">
            <w:pPr>
              <w:ind w:firstLine="420" w:firstLineChars="200"/>
              <w:rPr>
                <w:b/>
                <w:color w:val="auto"/>
                <w:highlight w:val="none"/>
              </w:rPr>
            </w:pPr>
            <w:r>
              <w:rPr>
                <w:rFonts w:hint="eastAsia" w:ascii="华文中宋" w:hAnsi="华文中宋" w:eastAsia="华文中宋"/>
                <w:b/>
                <w:color w:val="auto"/>
                <w:highlight w:val="none"/>
              </w:rPr>
              <w:t>内容齐全。</w:t>
            </w:r>
          </w:p>
        </w:tc>
      </w:tr>
      <w:tr w14:paraId="3CD6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51" w:type="dxa"/>
            <w:vAlign w:val="center"/>
          </w:tcPr>
          <w:p w14:paraId="329EB968">
            <w:pPr>
              <w:jc w:val="center"/>
              <w:rPr>
                <w:rFonts w:ascii="华文中宋" w:hAnsi="华文中宋" w:eastAsia="华文中宋"/>
                <w:color w:val="auto"/>
                <w:highlight w:val="none"/>
              </w:rPr>
            </w:pPr>
            <w:r>
              <w:rPr>
                <w:rFonts w:ascii="华文中宋" w:hAnsi="华文中宋" w:eastAsia="华文中宋"/>
                <w:color w:val="auto"/>
                <w:highlight w:val="none"/>
              </w:rPr>
              <w:t>2</w:t>
            </w:r>
          </w:p>
        </w:tc>
        <w:tc>
          <w:tcPr>
            <w:tcW w:w="2659" w:type="dxa"/>
            <w:vAlign w:val="center"/>
          </w:tcPr>
          <w:p w14:paraId="1BF00DFC">
            <w:pPr>
              <w:rPr>
                <w:rFonts w:ascii="华文中宋" w:hAnsi="华文中宋" w:eastAsia="华文中宋"/>
                <w:color w:val="auto"/>
                <w:highlight w:val="none"/>
              </w:rPr>
            </w:pPr>
            <w:r>
              <w:rPr>
                <w:rFonts w:hint="eastAsia" w:ascii="华文中宋" w:hAnsi="华文中宋" w:eastAsia="华文中宋"/>
                <w:color w:val="auto"/>
                <w:highlight w:val="none"/>
              </w:rPr>
              <w:t>投标函</w:t>
            </w:r>
          </w:p>
        </w:tc>
        <w:tc>
          <w:tcPr>
            <w:tcW w:w="5387" w:type="dxa"/>
            <w:vAlign w:val="center"/>
          </w:tcPr>
          <w:p w14:paraId="1FFCFA23">
            <w:pPr>
              <w:ind w:firstLine="315" w:firstLineChars="150"/>
              <w:jc w:val="both"/>
              <w:rPr>
                <w:rFonts w:ascii="华文中宋" w:hAnsi="华文中宋" w:eastAsia="华文中宋"/>
                <w:color w:val="auto"/>
                <w:highlight w:val="none"/>
              </w:rPr>
            </w:pPr>
            <w:r>
              <w:rPr>
                <w:rFonts w:hint="eastAsia" w:ascii="华文中宋" w:hAnsi="华文中宋" w:eastAsia="华文中宋"/>
                <w:color w:val="auto"/>
                <w:highlight w:val="none"/>
              </w:rPr>
              <w:t>《投标函》</w:t>
            </w:r>
            <w:r>
              <w:rPr>
                <w:rFonts w:hint="eastAsia" w:ascii="华文中宋" w:hAnsi="华文中宋" w:eastAsia="华文中宋"/>
                <w:b/>
                <w:color w:val="auto"/>
                <w:highlight w:val="none"/>
              </w:rPr>
              <w:t>内容齐全，电子印章符合要求。</w:t>
            </w:r>
          </w:p>
        </w:tc>
      </w:tr>
      <w:tr w14:paraId="6F6D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2" w:hRule="atLeast"/>
        </w:trPr>
        <w:tc>
          <w:tcPr>
            <w:tcW w:w="851" w:type="dxa"/>
            <w:vAlign w:val="center"/>
          </w:tcPr>
          <w:p w14:paraId="19F2A40F">
            <w:pPr>
              <w:jc w:val="center"/>
              <w:rPr>
                <w:rFonts w:hint="eastAsia" w:eastAsia="宋体"/>
                <w:color w:val="auto"/>
                <w:highlight w:val="none"/>
                <w:lang w:val="en-US" w:eastAsia="zh-CN"/>
              </w:rPr>
            </w:pPr>
            <w:r>
              <w:rPr>
                <w:rFonts w:hint="eastAsia" w:ascii="华文中宋" w:hAnsi="华文中宋" w:eastAsia="华文中宋"/>
                <w:color w:val="auto"/>
                <w:highlight w:val="none"/>
                <w:lang w:val="en-US" w:eastAsia="zh-CN"/>
              </w:rPr>
              <w:t>3</w:t>
            </w:r>
          </w:p>
        </w:tc>
        <w:tc>
          <w:tcPr>
            <w:tcW w:w="2659" w:type="dxa"/>
            <w:vAlign w:val="center"/>
          </w:tcPr>
          <w:p w14:paraId="76A9FC85">
            <w:pPr>
              <w:rPr>
                <w:color w:val="auto"/>
                <w:highlight w:val="none"/>
              </w:rPr>
            </w:pPr>
            <w:r>
              <w:rPr>
                <w:rFonts w:hint="eastAsia" w:ascii="华文中宋" w:hAnsi="华文中宋" w:eastAsia="华文中宋"/>
                <w:color w:val="auto"/>
                <w:highlight w:val="none"/>
              </w:rPr>
              <w:t>具有独立承担民事责任的能力</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具有健全的财务会计制度</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具有依法缴纳税收的良好记录</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具有依法缴纳社会保障资金的良好记录</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具有履行合同的能力</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参加政府采购活动前三年内，在经营活动中没有重大违法记录</w:t>
            </w:r>
          </w:p>
        </w:tc>
        <w:tc>
          <w:tcPr>
            <w:tcW w:w="5387" w:type="dxa"/>
            <w:vAlign w:val="center"/>
          </w:tcPr>
          <w:p w14:paraId="26CC3393">
            <w:pPr>
              <w:ind w:firstLine="420" w:firstLineChars="200"/>
              <w:rPr>
                <w:color w:val="auto"/>
                <w:highlight w:val="none"/>
              </w:rPr>
            </w:pPr>
            <w:r>
              <w:rPr>
                <w:rFonts w:hint="eastAsia" w:ascii="华文中宋" w:hAnsi="华文中宋" w:eastAsia="华文中宋"/>
                <w:color w:val="auto"/>
                <w:highlight w:val="none"/>
              </w:rPr>
              <w:t>按照《政府集中采购供应商信用承诺书》格式填写，仅提供承诺书即可。</w:t>
            </w:r>
          </w:p>
        </w:tc>
      </w:tr>
      <w:tr w14:paraId="659B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851" w:type="dxa"/>
            <w:vAlign w:val="center"/>
          </w:tcPr>
          <w:p w14:paraId="68E9F48B">
            <w:pPr>
              <w:jc w:val="center"/>
              <w:rPr>
                <w:rFonts w:hint="eastAsia" w:eastAsia="宋体"/>
                <w:color w:val="auto"/>
                <w:highlight w:val="none"/>
                <w:lang w:val="en-US" w:eastAsia="zh-CN"/>
              </w:rPr>
            </w:pPr>
            <w:r>
              <w:rPr>
                <w:rFonts w:hint="eastAsia" w:eastAsia="宋体"/>
                <w:color w:val="auto"/>
                <w:highlight w:val="none"/>
                <w:lang w:val="en-US" w:eastAsia="zh-CN"/>
              </w:rPr>
              <w:t>4</w:t>
            </w:r>
          </w:p>
        </w:tc>
        <w:tc>
          <w:tcPr>
            <w:tcW w:w="2659" w:type="dxa"/>
            <w:vAlign w:val="center"/>
          </w:tcPr>
          <w:p w14:paraId="160FFFF9">
            <w:pPr>
              <w:jc w:val="both"/>
              <w:rPr>
                <w:color w:val="auto"/>
                <w:highlight w:val="none"/>
              </w:rPr>
            </w:pPr>
            <w:r>
              <w:rPr>
                <w:rFonts w:hint="eastAsia" w:ascii="华文中宋" w:hAnsi="华文中宋" w:eastAsia="华文中宋"/>
                <w:color w:val="auto"/>
                <w:highlight w:val="none"/>
              </w:rPr>
              <w:t>投标主体</w:t>
            </w:r>
          </w:p>
        </w:tc>
        <w:tc>
          <w:tcPr>
            <w:tcW w:w="5387" w:type="dxa"/>
            <w:vAlign w:val="center"/>
          </w:tcPr>
          <w:p w14:paraId="05EDA816">
            <w:pPr>
              <w:ind w:firstLine="420"/>
              <w:jc w:val="both"/>
              <w:rPr>
                <w:rFonts w:ascii="华文中宋" w:hAnsi="华文中宋" w:eastAsia="华文中宋"/>
                <w:color w:val="auto"/>
                <w:highlight w:val="none"/>
              </w:rPr>
            </w:pPr>
            <w:r>
              <w:rPr>
                <w:rFonts w:hint="eastAsia" w:ascii="华文中宋" w:hAnsi="华文中宋" w:eastAsia="华文中宋"/>
                <w:color w:val="auto"/>
                <w:highlight w:val="none"/>
              </w:rPr>
              <w:t>对是否允许联合体</w:t>
            </w:r>
            <w:r>
              <w:rPr>
                <w:rFonts w:hint="eastAsia" w:ascii="华文中宋" w:hAnsi="华文中宋" w:eastAsia="华文中宋"/>
                <w:color w:val="auto"/>
                <w:highlight w:val="none"/>
                <w:lang w:val="en-US" w:eastAsia="zh-CN"/>
              </w:rPr>
              <w:t>投标</w:t>
            </w:r>
            <w:r>
              <w:rPr>
                <w:rFonts w:hint="eastAsia" w:ascii="华文中宋" w:hAnsi="华文中宋" w:eastAsia="华文中宋"/>
                <w:color w:val="auto"/>
                <w:highlight w:val="none"/>
              </w:rPr>
              <w:t>进行审查。</w:t>
            </w:r>
          </w:p>
          <w:p w14:paraId="37B8801D">
            <w:pPr>
              <w:ind w:firstLine="420"/>
              <w:jc w:val="both"/>
              <w:rPr>
                <w:rFonts w:ascii="华文中宋" w:hAnsi="华文中宋" w:eastAsia="华文中宋"/>
                <w:color w:val="auto"/>
                <w:highlight w:val="none"/>
              </w:rPr>
            </w:pPr>
            <w:r>
              <w:rPr>
                <w:rFonts w:hint="eastAsia" w:ascii="华文中宋" w:hAnsi="华文中宋" w:eastAsia="华文中宋"/>
                <w:color w:val="auto"/>
                <w:highlight w:val="none"/>
              </w:rPr>
              <w:t>如本项目允许联合体</w:t>
            </w:r>
            <w:r>
              <w:rPr>
                <w:rFonts w:hint="eastAsia" w:ascii="华文中宋" w:hAnsi="华文中宋" w:eastAsia="华文中宋"/>
                <w:color w:val="auto"/>
                <w:highlight w:val="none"/>
                <w:lang w:val="en-US" w:eastAsia="zh-CN"/>
              </w:rPr>
              <w:t>投标</w:t>
            </w:r>
            <w:r>
              <w:rPr>
                <w:rFonts w:hint="eastAsia" w:ascii="华文中宋" w:hAnsi="华文中宋" w:eastAsia="华文中宋"/>
                <w:color w:val="auto"/>
                <w:highlight w:val="none"/>
              </w:rPr>
              <w:t>，且</w:t>
            </w:r>
            <w:r>
              <w:rPr>
                <w:rFonts w:hint="eastAsia" w:ascii="华文中宋" w:hAnsi="华文中宋" w:eastAsia="华文中宋"/>
                <w:color w:val="auto"/>
                <w:highlight w:val="none"/>
                <w:lang w:val="en-US" w:eastAsia="zh-CN"/>
              </w:rPr>
              <w:t>投标</w:t>
            </w:r>
            <w:r>
              <w:rPr>
                <w:rFonts w:hint="eastAsia" w:ascii="华文中宋" w:hAnsi="华文中宋" w:eastAsia="华文中宋"/>
                <w:color w:val="auto"/>
                <w:highlight w:val="none"/>
              </w:rPr>
              <w:t>供应商为联合体投标，须对联合体各方签订的联合体协议进行审查。</w:t>
            </w:r>
          </w:p>
          <w:p w14:paraId="416C3568">
            <w:pPr>
              <w:ind w:firstLine="420"/>
              <w:jc w:val="both"/>
              <w:rPr>
                <w:rFonts w:ascii="华文中宋" w:hAnsi="华文中宋" w:eastAsia="华文中宋"/>
                <w:color w:val="auto"/>
                <w:highlight w:val="none"/>
              </w:rPr>
            </w:pPr>
            <w:r>
              <w:rPr>
                <w:rFonts w:hint="eastAsia" w:ascii="华文中宋" w:hAnsi="华文中宋" w:eastAsia="华文中宋"/>
                <w:color w:val="auto"/>
                <w:highlight w:val="none"/>
              </w:rPr>
              <w:t>如本项目不接受联合体投标，投标人不得为联合体。</w:t>
            </w:r>
          </w:p>
          <w:p w14:paraId="09EB4A9A">
            <w:pPr>
              <w:ind w:firstLine="315" w:firstLineChars="150"/>
              <w:jc w:val="both"/>
              <w:rPr>
                <w:b/>
                <w:color w:val="auto"/>
                <w:highlight w:val="none"/>
              </w:rPr>
            </w:pPr>
            <w:r>
              <w:rPr>
                <w:rFonts w:ascii="华文中宋" w:hAnsi="华文中宋" w:eastAsia="华文中宋"/>
                <w:color w:val="auto"/>
                <w:highlight w:val="none"/>
              </w:rPr>
              <w:t xml:space="preserve"> </w:t>
            </w:r>
            <w:r>
              <w:rPr>
                <w:rFonts w:hint="eastAsia" w:ascii="华文中宋" w:hAnsi="华文中宋" w:eastAsia="华文中宋"/>
                <w:color w:val="auto"/>
                <w:highlight w:val="none"/>
              </w:rPr>
              <w:t>如</w:t>
            </w:r>
            <w:r>
              <w:rPr>
                <w:rFonts w:hint="eastAsia" w:ascii="华文中宋" w:hAnsi="华文中宋" w:eastAsia="华文中宋"/>
                <w:color w:val="auto"/>
                <w:highlight w:val="none"/>
                <w:lang w:val="en-US" w:eastAsia="zh-CN"/>
              </w:rPr>
              <w:t>投标</w:t>
            </w:r>
            <w:r>
              <w:rPr>
                <w:rFonts w:hint="eastAsia" w:ascii="华文中宋" w:hAnsi="华文中宋" w:eastAsia="华文中宋"/>
                <w:color w:val="auto"/>
                <w:highlight w:val="none"/>
              </w:rPr>
              <w:t>供应商为非联合体投标，本项无须提交响应资料。</w:t>
            </w:r>
            <w:r>
              <w:rPr>
                <w:rFonts w:ascii="华文中宋" w:hAnsi="华文中宋" w:eastAsia="华文中宋"/>
                <w:b/>
                <w:color w:val="auto"/>
                <w:highlight w:val="none"/>
              </w:rPr>
              <w:t xml:space="preserve"> </w:t>
            </w:r>
          </w:p>
        </w:tc>
      </w:tr>
    </w:tbl>
    <w:p w14:paraId="3D8F39A2">
      <w:pPr>
        <w:spacing w:line="360" w:lineRule="exact"/>
        <w:ind w:left="1050" w:hanging="1050" w:hangingChars="5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说明：</w:t>
      </w:r>
    </w:p>
    <w:p w14:paraId="445B9F26">
      <w:pPr>
        <w:spacing w:line="360" w:lineRule="exact"/>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．资格检查的内容若有一项未提供或达不到检查标准，将导致其不具备投标资格，且不允许在开标后补正。</w:t>
      </w:r>
    </w:p>
    <w:p w14:paraId="254D16F6">
      <w:pPr>
        <w:spacing w:line="360" w:lineRule="exact"/>
        <w:ind w:firstLine="420" w:firstLineChars="200"/>
        <w:rPr>
          <w:rFonts w:ascii="华文中宋" w:hAnsi="华文中宋" w:eastAsia="华文中宋"/>
          <w:color w:val="auto"/>
          <w:szCs w:val="21"/>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rPr>
        <w:t>．</w:t>
      </w:r>
      <w:r>
        <w:rPr>
          <w:rFonts w:hint="eastAsia" w:ascii="华文中宋" w:hAnsi="华文中宋" w:eastAsia="华文中宋"/>
          <w:color w:val="auto"/>
          <w:szCs w:val="21"/>
          <w:highlight w:val="none"/>
        </w:rPr>
        <w:t>依法免税或不需要缴纳社会保障金的投标人，应提供相应的证明文件</w:t>
      </w:r>
      <w:r>
        <w:rPr>
          <w:rFonts w:hint="eastAsia" w:ascii="华文中宋" w:hAnsi="华文中宋" w:eastAsia="华文中宋" w:cs="华文中宋"/>
          <w:color w:val="auto"/>
          <w:szCs w:val="21"/>
          <w:highlight w:val="none"/>
        </w:rPr>
        <w:t>扫描件加盖</w:t>
      </w:r>
      <w:r>
        <w:rPr>
          <w:rFonts w:hint="eastAsia" w:ascii="华文中宋" w:hAnsi="华文中宋" w:eastAsia="华文中宋" w:cs="华文中宋"/>
          <w:color w:val="auto"/>
          <w:szCs w:val="21"/>
          <w:highlight w:val="none"/>
          <w:lang w:eastAsia="zh-CN"/>
        </w:rPr>
        <w:t>企业电子公章</w:t>
      </w:r>
      <w:r>
        <w:rPr>
          <w:rFonts w:hint="eastAsia" w:ascii="华文中宋" w:hAnsi="华文中宋" w:eastAsia="华文中宋"/>
          <w:color w:val="auto"/>
          <w:szCs w:val="21"/>
          <w:highlight w:val="none"/>
        </w:rPr>
        <w:t>。</w:t>
      </w:r>
    </w:p>
    <w:p w14:paraId="2D26F6FB">
      <w:pPr>
        <w:spacing w:line="360" w:lineRule="exact"/>
        <w:ind w:firstLine="420" w:firstLineChars="200"/>
        <w:rPr>
          <w:rFonts w:ascii="华文中宋" w:hAnsi="华文中宋" w:eastAsia="华文中宋"/>
          <w:color w:val="auto"/>
          <w:highlight w:val="none"/>
        </w:rPr>
      </w:pPr>
      <w:r>
        <w:rPr>
          <w:rFonts w:ascii="华文中宋" w:hAnsi="华文中宋" w:eastAsia="华文中宋"/>
          <w:color w:val="auto"/>
          <w:highlight w:val="none"/>
        </w:rPr>
        <w:t>3</w:t>
      </w:r>
      <w:r>
        <w:rPr>
          <w:rFonts w:hint="eastAsia" w:ascii="华文中宋" w:hAnsi="华文中宋" w:eastAsia="华文中宋"/>
          <w:color w:val="auto"/>
          <w:highlight w:val="none"/>
        </w:rPr>
        <w:t>．投标人提供的其他材料，不作为资格检查的内容。</w:t>
      </w:r>
    </w:p>
    <w:p w14:paraId="095A57AD">
      <w:pPr>
        <w:pStyle w:val="56"/>
        <w:pageBreakBefore/>
        <w:numPr>
          <w:ilvl w:val="0"/>
          <w:numId w:val="0"/>
        </w:numPr>
        <w:snapToGrid w:val="0"/>
        <w:spacing w:before="0" w:after="0"/>
        <w:rPr>
          <w:rFonts w:ascii="华文中宋" w:hAnsi="华文中宋" w:eastAsia="华文中宋"/>
          <w:b/>
          <w:color w:val="auto"/>
          <w:highlight w:val="none"/>
        </w:rPr>
      </w:pPr>
      <w:bookmarkStart w:id="53" w:name="_Toc28161"/>
      <w:bookmarkStart w:id="54" w:name="_Toc2731"/>
      <w:r>
        <w:rPr>
          <w:rFonts w:hint="eastAsia" w:ascii="华文中宋" w:hAnsi="华文中宋" w:eastAsia="华文中宋"/>
          <w:color w:val="auto"/>
          <w:spacing w:val="20"/>
          <w:szCs w:val="28"/>
          <w:highlight w:val="none"/>
        </w:rPr>
        <w:t>第六部分  评标标准和评标方法</w:t>
      </w:r>
      <w:bookmarkEnd w:id="53"/>
      <w:bookmarkEnd w:id="54"/>
    </w:p>
    <w:p w14:paraId="173EB2B5">
      <w:pPr>
        <w:pStyle w:val="59"/>
        <w:numPr>
          <w:ilvl w:val="0"/>
          <w:numId w:val="5"/>
        </w:numPr>
        <w:snapToGrid w:val="0"/>
        <w:spacing w:line="480" w:lineRule="exact"/>
        <w:rPr>
          <w:rFonts w:ascii="华文中宋" w:hAnsi="华文中宋" w:eastAsia="华文中宋"/>
          <w:b/>
          <w:color w:val="auto"/>
          <w:highlight w:val="none"/>
        </w:rPr>
      </w:pPr>
      <w:r>
        <w:rPr>
          <w:rFonts w:hint="eastAsia" w:ascii="华文中宋" w:hAnsi="华文中宋" w:eastAsia="华文中宋"/>
          <w:b/>
          <w:color w:val="auto"/>
          <w:highlight w:val="none"/>
        </w:rPr>
        <w:t>符合性审查的内容及标准</w:t>
      </w:r>
    </w:p>
    <w:tbl>
      <w:tblPr>
        <w:tblStyle w:val="29"/>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2679"/>
        <w:gridCol w:w="5289"/>
      </w:tblGrid>
      <w:tr w14:paraId="795D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412DCA28">
            <w:pPr>
              <w:jc w:val="center"/>
              <w:rPr>
                <w:color w:val="auto"/>
                <w:highlight w:val="none"/>
              </w:rPr>
            </w:pPr>
            <w:r>
              <w:rPr>
                <w:rFonts w:hint="eastAsia" w:ascii="华文中宋" w:hAnsi="华文中宋" w:eastAsia="华文中宋"/>
                <w:color w:val="auto"/>
                <w:highlight w:val="none"/>
              </w:rPr>
              <w:t>序号</w:t>
            </w:r>
          </w:p>
        </w:tc>
        <w:tc>
          <w:tcPr>
            <w:tcW w:w="2679" w:type="dxa"/>
            <w:vAlign w:val="center"/>
          </w:tcPr>
          <w:p w14:paraId="158970BD">
            <w:pPr>
              <w:jc w:val="center"/>
              <w:rPr>
                <w:color w:val="auto"/>
                <w:highlight w:val="none"/>
              </w:rPr>
            </w:pPr>
            <w:r>
              <w:rPr>
                <w:rFonts w:hint="eastAsia" w:ascii="华文中宋" w:hAnsi="华文中宋" w:eastAsia="华文中宋"/>
                <w:color w:val="auto"/>
                <w:highlight w:val="none"/>
              </w:rPr>
              <w:t>内容</w:t>
            </w:r>
          </w:p>
        </w:tc>
        <w:tc>
          <w:tcPr>
            <w:tcW w:w="5289" w:type="dxa"/>
            <w:vAlign w:val="center"/>
          </w:tcPr>
          <w:p w14:paraId="7A9F7F86">
            <w:pPr>
              <w:jc w:val="center"/>
              <w:rPr>
                <w:color w:val="auto"/>
                <w:highlight w:val="none"/>
              </w:rPr>
            </w:pPr>
            <w:r>
              <w:rPr>
                <w:rFonts w:hint="eastAsia" w:ascii="华文中宋" w:hAnsi="华文中宋" w:eastAsia="华文中宋"/>
                <w:color w:val="auto"/>
                <w:highlight w:val="none"/>
              </w:rPr>
              <w:t>标准</w:t>
            </w:r>
          </w:p>
        </w:tc>
      </w:tr>
      <w:tr w14:paraId="7BD8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70F6CD05">
            <w:pPr>
              <w:jc w:val="center"/>
              <w:rPr>
                <w:color w:val="auto"/>
                <w:highlight w:val="none"/>
              </w:rPr>
            </w:pPr>
            <w:r>
              <w:rPr>
                <w:color w:val="auto"/>
                <w:highlight w:val="none"/>
              </w:rPr>
              <w:t>1</w:t>
            </w:r>
          </w:p>
        </w:tc>
        <w:tc>
          <w:tcPr>
            <w:tcW w:w="2679" w:type="dxa"/>
            <w:vAlign w:val="center"/>
          </w:tcPr>
          <w:p w14:paraId="07B3C4C5">
            <w:pPr>
              <w:rPr>
                <w:color w:val="auto"/>
                <w:highlight w:val="none"/>
              </w:rPr>
            </w:pPr>
            <w:r>
              <w:rPr>
                <w:rFonts w:hint="eastAsia" w:ascii="华文中宋" w:hAnsi="华文中宋" w:eastAsia="华文中宋"/>
                <w:color w:val="auto"/>
                <w:highlight w:val="none"/>
              </w:rPr>
              <w:t>投标文件的报价</w:t>
            </w:r>
          </w:p>
        </w:tc>
        <w:tc>
          <w:tcPr>
            <w:tcW w:w="5289" w:type="dxa"/>
          </w:tcPr>
          <w:p w14:paraId="2FF713CA">
            <w:pPr>
              <w:ind w:firstLine="420" w:firstLineChars="200"/>
              <w:rPr>
                <w:color w:val="auto"/>
                <w:highlight w:val="none"/>
              </w:rPr>
            </w:pPr>
            <w:r>
              <w:rPr>
                <w:rFonts w:hint="eastAsia" w:ascii="华文中宋" w:hAnsi="华文中宋" w:eastAsia="华文中宋"/>
                <w:color w:val="auto"/>
                <w:highlight w:val="none"/>
              </w:rPr>
              <w:t>所有投标报价均以人民币</w:t>
            </w:r>
            <w:r>
              <w:rPr>
                <w:rFonts w:ascii="华文中宋" w:hAnsi="华文中宋" w:eastAsia="华文中宋"/>
                <w:color w:val="auto"/>
                <w:highlight w:val="none"/>
              </w:rPr>
              <w:t>/</w:t>
            </w:r>
            <w:r>
              <w:rPr>
                <w:rFonts w:hint="eastAsia" w:ascii="华文中宋" w:hAnsi="华文中宋" w:eastAsia="华文中宋"/>
                <w:color w:val="auto"/>
                <w:highlight w:val="none"/>
              </w:rPr>
              <w:t>元为计算单位。</w:t>
            </w:r>
          </w:p>
          <w:p w14:paraId="7ECB6C12">
            <w:pPr>
              <w:ind w:firstLine="420" w:firstLineChars="200"/>
              <w:rPr>
                <w:color w:val="auto"/>
                <w:highlight w:val="none"/>
              </w:rPr>
            </w:pPr>
            <w:r>
              <w:rPr>
                <w:rFonts w:hint="eastAsia" w:ascii="华文中宋" w:hAnsi="华文中宋" w:eastAsia="华文中宋"/>
                <w:color w:val="auto"/>
                <w:highlight w:val="none"/>
              </w:rPr>
              <w:t>投标人投报多包的，应对每包分别报价并分别填报开标报价一览表。</w:t>
            </w:r>
          </w:p>
          <w:p w14:paraId="25ACB9DD">
            <w:pPr>
              <w:ind w:firstLine="420" w:firstLineChars="200"/>
              <w:rPr>
                <w:color w:val="auto"/>
                <w:highlight w:val="none"/>
              </w:rPr>
            </w:pPr>
            <w:r>
              <w:rPr>
                <w:rFonts w:hint="eastAsia" w:ascii="华文中宋" w:hAnsi="华文中宋" w:eastAsia="华文中宋"/>
                <w:color w:val="auto"/>
                <w:highlight w:val="none"/>
              </w:rPr>
              <w:t>不接受可选择或可调整的报价。</w:t>
            </w:r>
          </w:p>
          <w:p w14:paraId="46658C0B">
            <w:pPr>
              <w:ind w:firstLine="420" w:firstLineChars="200"/>
              <w:rPr>
                <w:color w:val="auto"/>
                <w:highlight w:val="none"/>
              </w:rPr>
            </w:pPr>
            <w:r>
              <w:rPr>
                <w:rFonts w:hint="eastAsia" w:ascii="华文中宋" w:hAnsi="华文中宋" w:eastAsia="华文中宋"/>
                <w:color w:val="auto"/>
                <w:highlight w:val="none"/>
              </w:rPr>
              <w:t>不接受超出本项目预算金额的报价</w:t>
            </w:r>
          </w:p>
        </w:tc>
      </w:tr>
      <w:tr w14:paraId="40D1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929" w:type="dxa"/>
            <w:vAlign w:val="center"/>
          </w:tcPr>
          <w:p w14:paraId="6DADF08B">
            <w:pPr>
              <w:jc w:val="center"/>
              <w:rPr>
                <w:color w:val="auto"/>
                <w:highlight w:val="none"/>
              </w:rPr>
            </w:pPr>
            <w:r>
              <w:rPr>
                <w:color w:val="auto"/>
                <w:highlight w:val="none"/>
              </w:rPr>
              <w:t>2</w:t>
            </w:r>
          </w:p>
        </w:tc>
        <w:tc>
          <w:tcPr>
            <w:tcW w:w="2679" w:type="dxa"/>
            <w:vAlign w:val="center"/>
          </w:tcPr>
          <w:p w14:paraId="676E5916">
            <w:pPr>
              <w:rPr>
                <w:rFonts w:hint="eastAsia" w:ascii="华文中宋" w:hAnsi="华文中宋" w:eastAsia="华文中宋"/>
                <w:color w:val="auto"/>
                <w:highlight w:val="none"/>
              </w:rPr>
            </w:pPr>
            <w:r>
              <w:rPr>
                <w:rFonts w:hint="eastAsia" w:ascii="华文中宋" w:hAnsi="华文中宋" w:eastAsia="华文中宋"/>
                <w:color w:val="auto"/>
                <w:highlight w:val="none"/>
                <w:lang w:val="en-US" w:eastAsia="zh-CN"/>
              </w:rPr>
              <w:t>投标</w:t>
            </w:r>
            <w:r>
              <w:rPr>
                <w:rFonts w:hint="eastAsia" w:ascii="华文中宋" w:hAnsi="华文中宋" w:eastAsia="华文中宋"/>
                <w:color w:val="auto"/>
                <w:highlight w:val="none"/>
              </w:rPr>
              <w:t>文件签章</w:t>
            </w:r>
          </w:p>
        </w:tc>
        <w:tc>
          <w:tcPr>
            <w:tcW w:w="5289" w:type="dxa"/>
            <w:vAlign w:val="center"/>
          </w:tcPr>
          <w:p w14:paraId="2E6BA98A">
            <w:pPr>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lang w:val="en-US" w:eastAsia="zh-CN"/>
              </w:rPr>
              <w:t>投标</w:t>
            </w:r>
            <w:r>
              <w:rPr>
                <w:rFonts w:hint="eastAsia" w:ascii="华文中宋" w:hAnsi="华文中宋" w:eastAsia="华文中宋"/>
                <w:color w:val="auto"/>
                <w:highlight w:val="none"/>
              </w:rPr>
              <w:t>文件的签章符合</w:t>
            </w:r>
            <w:r>
              <w:rPr>
                <w:rFonts w:hint="eastAsia" w:ascii="华文中宋" w:hAnsi="华文中宋" w:eastAsia="华文中宋"/>
                <w:color w:val="auto"/>
                <w:highlight w:val="none"/>
                <w:lang w:val="en-US" w:eastAsia="zh-CN"/>
              </w:rPr>
              <w:t>招标</w:t>
            </w:r>
            <w:r>
              <w:rPr>
                <w:rFonts w:hint="eastAsia" w:ascii="华文中宋" w:hAnsi="华文中宋" w:eastAsia="华文中宋"/>
                <w:color w:val="auto"/>
                <w:highlight w:val="none"/>
              </w:rPr>
              <w:t>文件要求。</w:t>
            </w:r>
          </w:p>
        </w:tc>
      </w:tr>
      <w:tr w14:paraId="1325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restart"/>
            <w:vAlign w:val="center"/>
          </w:tcPr>
          <w:p w14:paraId="670F0514">
            <w:pPr>
              <w:jc w:val="center"/>
              <w:rPr>
                <w:color w:val="auto"/>
                <w:highlight w:val="none"/>
              </w:rPr>
            </w:pPr>
            <w:r>
              <w:rPr>
                <w:color w:val="auto"/>
                <w:highlight w:val="none"/>
              </w:rPr>
              <w:t>3</w:t>
            </w:r>
          </w:p>
        </w:tc>
        <w:tc>
          <w:tcPr>
            <w:tcW w:w="2679" w:type="dxa"/>
            <w:vMerge w:val="restart"/>
            <w:vAlign w:val="center"/>
          </w:tcPr>
          <w:p w14:paraId="35694535">
            <w:pPr>
              <w:rPr>
                <w:rFonts w:ascii="华文中宋" w:hAnsi="华文中宋" w:eastAsia="华文中宋"/>
                <w:color w:val="auto"/>
                <w:highlight w:val="none"/>
              </w:rPr>
            </w:pPr>
            <w:r>
              <w:rPr>
                <w:rFonts w:hint="eastAsia" w:ascii="华文中宋" w:hAnsi="华文中宋" w:eastAsia="华文中宋"/>
                <w:color w:val="auto"/>
                <w:highlight w:val="none"/>
              </w:rPr>
              <w:t>采购需求</w:t>
            </w:r>
          </w:p>
        </w:tc>
        <w:tc>
          <w:tcPr>
            <w:tcW w:w="5289" w:type="dxa"/>
          </w:tcPr>
          <w:p w14:paraId="358ACF1C">
            <w:pPr>
              <w:ind w:firstLine="420" w:firstLineChars="200"/>
              <w:rPr>
                <w:color w:val="auto"/>
                <w:highlight w:val="none"/>
              </w:rPr>
            </w:pPr>
            <w:r>
              <w:rPr>
                <w:rFonts w:hint="eastAsia" w:ascii="华文中宋" w:hAnsi="华文中宋" w:eastAsia="华文中宋"/>
                <w:color w:val="auto"/>
                <w:highlight w:val="none"/>
              </w:rPr>
              <w:t>对照本文件第四部分中“商务要求”内容和投标文件的响应内容进行审查，没有做出实质性响应的做无效投标处理。</w:t>
            </w:r>
          </w:p>
        </w:tc>
      </w:tr>
      <w:tr w14:paraId="65B7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929" w:type="dxa"/>
            <w:vMerge w:val="continue"/>
            <w:vAlign w:val="center"/>
          </w:tcPr>
          <w:p w14:paraId="67D8FC57">
            <w:pPr>
              <w:jc w:val="center"/>
              <w:rPr>
                <w:color w:val="auto"/>
                <w:highlight w:val="none"/>
              </w:rPr>
            </w:pPr>
          </w:p>
        </w:tc>
        <w:tc>
          <w:tcPr>
            <w:tcW w:w="2679" w:type="dxa"/>
            <w:vMerge w:val="continue"/>
            <w:vAlign w:val="center"/>
          </w:tcPr>
          <w:p w14:paraId="5711BC58">
            <w:pPr>
              <w:rPr>
                <w:color w:val="auto"/>
                <w:highlight w:val="none"/>
              </w:rPr>
            </w:pPr>
          </w:p>
        </w:tc>
        <w:tc>
          <w:tcPr>
            <w:tcW w:w="5289" w:type="dxa"/>
          </w:tcPr>
          <w:p w14:paraId="073359FE">
            <w:pPr>
              <w:ind w:firstLine="420" w:firstLineChars="200"/>
              <w:rPr>
                <w:color w:val="auto"/>
                <w:highlight w:val="none"/>
              </w:rPr>
            </w:pPr>
            <w:r>
              <w:rPr>
                <w:rFonts w:hint="eastAsia" w:ascii="华文中宋" w:hAnsi="华文中宋" w:eastAsia="华文中宋"/>
                <w:color w:val="auto"/>
                <w:highlight w:val="none"/>
              </w:rPr>
              <w:t>对照本文件第四部分中</w:t>
            </w:r>
            <w:r>
              <w:rPr>
                <w:rFonts w:hint="eastAsia"/>
                <w:color w:val="auto"/>
                <w:highlight w:val="none"/>
                <w:lang w:eastAsia="zh-CN"/>
              </w:rPr>
              <w:t>“★”</w:t>
            </w:r>
            <w:r>
              <w:rPr>
                <w:rFonts w:hint="eastAsia" w:ascii="华文中宋" w:hAnsi="华文中宋" w:eastAsia="华文中宋"/>
                <w:color w:val="auto"/>
                <w:highlight w:val="none"/>
                <w:lang w:val="en-US" w:eastAsia="zh-CN"/>
              </w:rPr>
              <w:t>要求</w:t>
            </w:r>
            <w:r>
              <w:rPr>
                <w:rFonts w:hint="eastAsia" w:ascii="华文中宋" w:hAnsi="华文中宋" w:eastAsia="华文中宋"/>
                <w:color w:val="auto"/>
                <w:highlight w:val="none"/>
              </w:rPr>
              <w:t>的响应内容进行审查，没有做出实质性响应的做无效</w:t>
            </w:r>
            <w:r>
              <w:rPr>
                <w:rFonts w:hint="eastAsia" w:ascii="华文中宋" w:hAnsi="华文中宋" w:eastAsia="华文中宋"/>
                <w:color w:val="auto"/>
                <w:highlight w:val="none"/>
                <w:lang w:val="en-US" w:eastAsia="zh-CN"/>
              </w:rPr>
              <w:t>投标</w:t>
            </w:r>
            <w:r>
              <w:rPr>
                <w:rFonts w:hint="eastAsia" w:ascii="华文中宋" w:hAnsi="华文中宋" w:eastAsia="华文中宋"/>
                <w:color w:val="auto"/>
                <w:highlight w:val="none"/>
              </w:rPr>
              <w:t>处理。</w:t>
            </w:r>
          </w:p>
        </w:tc>
      </w:tr>
      <w:tr w14:paraId="0D93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29" w:type="dxa"/>
            <w:vAlign w:val="center"/>
          </w:tcPr>
          <w:p w14:paraId="47715DB0">
            <w:pPr>
              <w:jc w:val="center"/>
              <w:rPr>
                <w:rFonts w:hint="eastAsia" w:eastAsia="宋体"/>
                <w:color w:val="auto"/>
                <w:highlight w:val="none"/>
                <w:lang w:val="en-US" w:eastAsia="zh-CN"/>
              </w:rPr>
            </w:pPr>
            <w:r>
              <w:rPr>
                <w:rFonts w:hint="eastAsia"/>
                <w:color w:val="auto"/>
                <w:highlight w:val="none"/>
                <w:lang w:val="en-US" w:eastAsia="zh-CN"/>
              </w:rPr>
              <w:t>4</w:t>
            </w:r>
          </w:p>
        </w:tc>
        <w:tc>
          <w:tcPr>
            <w:tcW w:w="2679" w:type="dxa"/>
            <w:vAlign w:val="center"/>
          </w:tcPr>
          <w:p w14:paraId="3A200202">
            <w:pPr>
              <w:rPr>
                <w:color w:val="auto"/>
                <w:highlight w:val="none"/>
              </w:rPr>
            </w:pPr>
            <w:r>
              <w:rPr>
                <w:rFonts w:hint="eastAsia" w:ascii="华文中宋" w:hAnsi="华文中宋" w:eastAsia="华文中宋"/>
                <w:color w:val="auto"/>
                <w:highlight w:val="none"/>
              </w:rPr>
              <w:t>进口产品</w:t>
            </w:r>
          </w:p>
        </w:tc>
        <w:tc>
          <w:tcPr>
            <w:tcW w:w="5289" w:type="dxa"/>
          </w:tcPr>
          <w:p w14:paraId="5606F0E3">
            <w:pPr>
              <w:ind w:firstLine="420" w:firstLineChars="200"/>
              <w:rPr>
                <w:color w:val="auto"/>
                <w:highlight w:val="none"/>
              </w:rPr>
            </w:pPr>
            <w:r>
              <w:rPr>
                <w:rFonts w:hint="eastAsia" w:ascii="华文中宋" w:hAnsi="华文中宋" w:eastAsia="华文中宋"/>
                <w:color w:val="auto"/>
                <w:highlight w:val="none"/>
              </w:rPr>
              <w:t>本项目采购标的物未特别注明“进口产品”字样的，若投标人投报进口产品的做无效投标处理。</w:t>
            </w:r>
          </w:p>
        </w:tc>
      </w:tr>
    </w:tbl>
    <w:p w14:paraId="47453BC8">
      <w:pPr>
        <w:pStyle w:val="59"/>
        <w:snapToGrid w:val="0"/>
        <w:spacing w:line="480" w:lineRule="exact"/>
        <w:ind w:left="945" w:hanging="945" w:hangingChars="450"/>
        <w:rPr>
          <w:rFonts w:ascii="华文中宋" w:hAnsi="华文中宋" w:eastAsia="华文中宋"/>
          <w:color w:val="auto"/>
          <w:highlight w:val="none"/>
        </w:rPr>
      </w:pPr>
      <w:r>
        <w:rPr>
          <w:rFonts w:hint="eastAsia" w:ascii="华文中宋" w:hAnsi="华文中宋" w:eastAsia="华文中宋"/>
          <w:color w:val="auto"/>
          <w:highlight w:val="none"/>
        </w:rPr>
        <w:t>说明：</w:t>
      </w:r>
    </w:p>
    <w:p w14:paraId="066202EE">
      <w:pPr>
        <w:pStyle w:val="59"/>
        <w:snapToGrid w:val="0"/>
        <w:spacing w:line="480" w:lineRule="exact"/>
        <w:ind w:left="945" w:leftChars="200" w:hanging="525" w:hangingChars="250"/>
        <w:rPr>
          <w:rFonts w:ascii="华文中宋" w:hAnsi="华文中宋" w:eastAsia="华文中宋"/>
          <w:color w:val="auto"/>
          <w:highlight w:val="none"/>
        </w:rPr>
      </w:pPr>
      <w:r>
        <w:rPr>
          <w:rFonts w:ascii="华文中宋" w:hAnsi="华文中宋" w:eastAsia="华文中宋"/>
          <w:color w:val="auto"/>
          <w:highlight w:val="none"/>
        </w:rPr>
        <w:t xml:space="preserve">1. </w:t>
      </w:r>
      <w:r>
        <w:rPr>
          <w:rFonts w:hint="eastAsia" w:ascii="华文中宋" w:hAnsi="华文中宋" w:eastAsia="华文中宋"/>
          <w:color w:val="auto"/>
          <w:highlight w:val="none"/>
        </w:rPr>
        <w:t>符合性检查的内容，经评标委员会共同认定没有做出实质性响应的，将导致投标无效。</w:t>
      </w:r>
    </w:p>
    <w:p w14:paraId="28788E0F">
      <w:pPr>
        <w:pStyle w:val="59"/>
        <w:snapToGrid w:val="0"/>
        <w:spacing w:line="480" w:lineRule="exact"/>
        <w:ind w:firstLine="420" w:firstLineChars="200"/>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color w:val="auto"/>
          <w:highlight w:val="none"/>
        </w:rPr>
        <w:t>．审查时，对特殊情况的处理评标委员会要遵循招标文件第三部分投标人须知第</w:t>
      </w:r>
      <w:r>
        <w:rPr>
          <w:rFonts w:hint="eastAsia" w:ascii="华文中宋" w:hAnsi="华文中宋" w:eastAsia="华文中宋"/>
          <w:color w:val="auto"/>
          <w:highlight w:val="none"/>
          <w:lang w:val="en-US" w:eastAsia="zh-CN"/>
        </w:rPr>
        <w:t>21</w:t>
      </w:r>
      <w:r>
        <w:rPr>
          <w:rFonts w:hint="eastAsia" w:ascii="华文中宋" w:hAnsi="华文中宋" w:eastAsia="华文中宋"/>
          <w:color w:val="auto"/>
          <w:highlight w:val="none"/>
        </w:rPr>
        <w:t>条规定的原则。</w:t>
      </w:r>
    </w:p>
    <w:p w14:paraId="2BEFA7FE">
      <w:pPr>
        <w:pStyle w:val="59"/>
        <w:snapToGrid w:val="0"/>
        <w:spacing w:line="480" w:lineRule="exact"/>
        <w:rPr>
          <w:rFonts w:ascii="华文中宋" w:hAnsi="华文中宋" w:eastAsia="华文中宋"/>
          <w:color w:val="auto"/>
          <w:highlight w:val="none"/>
        </w:rPr>
      </w:pPr>
      <w:r>
        <w:rPr>
          <w:rFonts w:hint="eastAsia" w:ascii="华文中宋" w:hAnsi="华文中宋" w:eastAsia="华文中宋"/>
          <w:b/>
          <w:color w:val="auto"/>
          <w:highlight w:val="none"/>
        </w:rPr>
        <w:t>二、落实政府采购政策性要求的评审内容及标准</w:t>
      </w:r>
    </w:p>
    <w:p w14:paraId="063278D0">
      <w:pPr>
        <w:spacing w:line="360" w:lineRule="auto"/>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（一）本项目采购标的物未特别注明“进口产品”（通过中国海关报关验放进入中国境内且产自关境外的产品）字样的，均必须采购国产产品，否则投标无效；</w:t>
      </w:r>
      <w:r>
        <w:rPr>
          <w:rFonts w:hint="eastAsia" w:ascii="华文中宋" w:hAnsi="华文中宋" w:eastAsia="华文中宋"/>
          <w:color w:val="auto"/>
          <w:szCs w:val="21"/>
          <w:highlight w:val="none"/>
        </w:rPr>
        <w:t>特别注明“进口产品”字样的，如无能够满足采购需求的国产产品，在综合得分相同前提下优先采购向我国企业转让技术、与我国企业签订消化吸收再创新方案的供应商的进口产品。</w:t>
      </w:r>
      <w:r>
        <w:rPr>
          <w:rFonts w:hint="eastAsia" w:ascii="华文中宋" w:hAnsi="华文中宋" w:eastAsia="华文中宋"/>
          <w:color w:val="auto"/>
          <w:highlight w:val="none"/>
        </w:rPr>
        <w:t>如果有能够满足采购需求的国产产品参与，应当按照公平竞争的原则进行评审。</w:t>
      </w:r>
    </w:p>
    <w:p w14:paraId="1E6F9E4F">
      <w:pPr>
        <w:pStyle w:val="59"/>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二）本文件列出政府强制采购产品的，投标人必须投报“节能产品政府采购品目清单”范围内的产品，须提供处于有效期之内的节能产品认证证书扫描件，并将政府强制采购产品如实填写到《政府强制采购产品明细表》（格式见第八部分）。</w:t>
      </w:r>
    </w:p>
    <w:p w14:paraId="63F2E583">
      <w:pPr>
        <w:pStyle w:val="59"/>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（三）本文件未列出政府强制采购产品的，投标人可投报“节能产品政府采购品目清单、环境标志产品政府采购品目清单”中非政府强制采购产品或其范围以外的产品</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并提供处于有效期之内的节能产品、环境标志产品认证证书扫描件</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并需如实填写《非政府强制采购产品明细表》（格式见第八部分）。</w:t>
      </w:r>
    </w:p>
    <w:p w14:paraId="77F2570D">
      <w:pPr>
        <w:pStyle w:val="59"/>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四</w:t>
      </w:r>
      <w:r>
        <w:rPr>
          <w:rFonts w:hint="eastAsia" w:ascii="华文中宋" w:hAnsi="华文中宋" w:eastAsia="华文中宋"/>
          <w:color w:val="auto"/>
          <w:highlight w:val="none"/>
        </w:rPr>
        <w:t>）本项目采购标的物涉及计算机产品或硬件产品内预装软件的，投标人须填写《正版软件承诺》。</w:t>
      </w:r>
    </w:p>
    <w:p w14:paraId="350C6805">
      <w:pPr>
        <w:pStyle w:val="59"/>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五</w:t>
      </w:r>
      <w:r>
        <w:rPr>
          <w:rFonts w:hint="eastAsia" w:ascii="华文中宋" w:hAnsi="华文中宋" w:eastAsia="华文中宋"/>
          <w:color w:val="auto"/>
          <w:highlight w:val="none"/>
        </w:rPr>
        <w:t>）</w:t>
      </w:r>
      <w:r>
        <w:rPr>
          <w:rFonts w:hint="eastAsia" w:ascii="华文中宋" w:hAnsi="华文中宋" w:eastAsia="华文中宋"/>
          <w:color w:val="auto"/>
          <w:szCs w:val="21"/>
          <w:highlight w:val="none"/>
        </w:rPr>
        <w:t>投标货物中如含有</w:t>
      </w:r>
      <w:r>
        <w:rPr>
          <w:rFonts w:hint="eastAsia" w:ascii="华文中宋" w:hAnsi="华文中宋" w:eastAsia="华文中宋"/>
          <w:color w:val="auto"/>
          <w:szCs w:val="21"/>
          <w:highlight w:val="none"/>
          <w:lang w:val="en-US" w:eastAsia="zh-CN"/>
        </w:rPr>
        <w:t>工信部</w:t>
      </w:r>
      <w:r>
        <w:rPr>
          <w:rFonts w:hint="eastAsia" w:ascii="华文中宋" w:hAnsi="华文中宋" w:eastAsia="华文中宋"/>
          <w:color w:val="auto"/>
          <w:szCs w:val="21"/>
          <w:highlight w:val="none"/>
        </w:rPr>
        <w:t>会同有关部门制定下发的《网络关键设备和网络安全专用产品目录》中的产品，须提供提供由具备资格的机构安全认证合格或者安全检测符合要求的有效</w:t>
      </w:r>
      <w:r>
        <w:rPr>
          <w:rFonts w:hint="eastAsia" w:ascii="华文中宋" w:hAnsi="华文中宋" w:eastAsia="华文中宋"/>
          <w:color w:val="auto"/>
          <w:szCs w:val="21"/>
          <w:highlight w:val="none"/>
          <w:lang w:val="en-US" w:eastAsia="zh-CN"/>
        </w:rPr>
        <w:t>证明材料</w:t>
      </w:r>
      <w:r>
        <w:rPr>
          <w:rFonts w:hint="eastAsia" w:ascii="华文中宋" w:hAnsi="华文中宋" w:eastAsia="华文中宋"/>
          <w:color w:val="auto"/>
          <w:szCs w:val="21"/>
          <w:highlight w:val="none"/>
        </w:rPr>
        <w:t>扫描件</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rPr>
        <w:t>具备资格的机构是指列入《承担网络关键设备和网络安全专用产品安全认证和安全检测任务机构名录》的机构</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highlight w:val="none"/>
        </w:rPr>
        <w:t>否则将可能导致投标无效。</w:t>
      </w:r>
    </w:p>
    <w:p w14:paraId="6B413A6B">
      <w:pPr>
        <w:pStyle w:val="59"/>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六</w:t>
      </w:r>
      <w:r>
        <w:rPr>
          <w:rFonts w:hint="eastAsia" w:ascii="华文中宋" w:hAnsi="华文中宋" w:eastAsia="华文中宋"/>
          <w:color w:val="auto"/>
          <w:highlight w:val="none"/>
        </w:rPr>
        <w:t>）小型、微型企业参加本项目的评审标准</w:t>
      </w:r>
    </w:p>
    <w:p w14:paraId="7B29ABBB">
      <w:pPr>
        <w:pStyle w:val="59"/>
        <w:snapToGrid w:val="0"/>
        <w:spacing w:line="480" w:lineRule="exact"/>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1. </w:t>
      </w:r>
      <w:r>
        <w:rPr>
          <w:rFonts w:hint="eastAsia" w:ascii="华文中宋" w:hAnsi="华文中宋" w:eastAsia="华文中宋"/>
          <w:color w:val="auto"/>
          <w:highlight w:val="none"/>
        </w:rPr>
        <w:t>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color w:val="auto"/>
          <w:highlight w:val="none"/>
          <w:lang w:val="en-US" w:eastAsia="zh-CN"/>
        </w:rPr>
        <w:t>中小</w:t>
      </w:r>
      <w:r>
        <w:rPr>
          <w:rFonts w:hint="eastAsia" w:ascii="华文中宋" w:hAnsi="华文中宋" w:eastAsia="华文中宋"/>
          <w:color w:val="auto"/>
          <w:highlight w:val="none"/>
        </w:rPr>
        <w:t>企业声明函》。</w:t>
      </w:r>
    </w:p>
    <w:p w14:paraId="1CF8AF03">
      <w:pPr>
        <w:pStyle w:val="59"/>
        <w:snapToGrid w:val="0"/>
        <w:spacing w:line="480" w:lineRule="exact"/>
        <w:ind w:firstLine="420" w:firstLineChars="200"/>
        <w:rPr>
          <w:rFonts w:ascii="华文中宋" w:hAnsi="华文中宋" w:eastAsia="华文中宋"/>
          <w:color w:val="auto"/>
          <w:highlight w:val="none"/>
          <w:u w:val="none"/>
        </w:rPr>
      </w:pPr>
      <w:r>
        <w:rPr>
          <w:rFonts w:hint="eastAsia" w:ascii="华文中宋" w:hAnsi="华文中宋" w:eastAsia="华文中宋"/>
          <w:color w:val="auto"/>
          <w:highlight w:val="none"/>
          <w:u w:val="none"/>
        </w:rPr>
        <w:t xml:space="preserve">2. </w:t>
      </w:r>
      <w:r>
        <w:rPr>
          <w:rFonts w:hint="eastAsia" w:ascii="华文中宋" w:hAnsi="华文中宋" w:eastAsia="华文中宋"/>
          <w:color w:val="auto"/>
          <w:szCs w:val="21"/>
          <w:highlight w:val="none"/>
        </w:rPr>
        <w:t>企业只有提供</w:t>
      </w:r>
      <w:r>
        <w:rPr>
          <w:rFonts w:hint="eastAsia" w:ascii="华文中宋" w:hAnsi="华文中宋" w:eastAsia="华文中宋"/>
          <w:color w:val="auto"/>
          <w:highlight w:val="none"/>
        </w:rPr>
        <w:t>小型、微企业制造的货物，</w:t>
      </w:r>
      <w:r>
        <w:rPr>
          <w:rFonts w:hint="eastAsia" w:ascii="华文中宋" w:hAnsi="华文中宋" w:eastAsia="华文中宋"/>
          <w:color w:val="auto"/>
          <w:highlight w:val="none"/>
          <w:lang w:val="en-US" w:eastAsia="zh-CN"/>
        </w:rPr>
        <w:t>才能</w:t>
      </w:r>
      <w:r>
        <w:rPr>
          <w:rFonts w:hint="eastAsia" w:ascii="华文中宋" w:hAnsi="华文中宋" w:eastAsia="华文中宋"/>
          <w:color w:val="auto"/>
          <w:highlight w:val="none"/>
        </w:rPr>
        <w:t>享受投标货物的价格折扣</w:t>
      </w:r>
      <w:r>
        <w:rPr>
          <w:rFonts w:hint="eastAsia" w:ascii="华文中宋" w:hAnsi="华文中宋" w:eastAsia="华文中宋"/>
          <w:color w:val="auto"/>
          <w:highlight w:val="none"/>
          <w:lang w:eastAsia="zh-CN"/>
        </w:rPr>
        <w:t>，</w:t>
      </w:r>
      <w:r>
        <w:rPr>
          <w:rFonts w:hint="eastAsia" w:ascii="华文中宋" w:hAnsi="华文中宋" w:eastAsia="华文中宋"/>
          <w:color w:val="auto"/>
          <w:kern w:val="2"/>
          <w:szCs w:val="22"/>
          <w:highlight w:val="none"/>
        </w:rPr>
        <w:t>如非专门面向中小企业项目，按规定执行价格评审优惠政策小微企业的价格折扣比例为</w:t>
      </w:r>
      <w:r>
        <w:rPr>
          <w:rFonts w:hint="eastAsia" w:ascii="华文中宋" w:hAnsi="华文中宋" w:eastAsia="华文中宋"/>
          <w:color w:val="auto"/>
          <w:kern w:val="2"/>
          <w:szCs w:val="22"/>
          <w:highlight w:val="none"/>
          <w:lang w:val="en-US" w:eastAsia="zh-CN"/>
        </w:rPr>
        <w:t xml:space="preserve">15 </w:t>
      </w:r>
      <w:r>
        <w:rPr>
          <w:rFonts w:ascii="华文中宋" w:hAnsi="华文中宋" w:eastAsia="华文中宋"/>
          <w:color w:val="auto"/>
          <w:kern w:val="2"/>
          <w:szCs w:val="22"/>
          <w:highlight w:val="none"/>
        </w:rPr>
        <w:t>%</w:t>
      </w:r>
      <w:r>
        <w:rPr>
          <w:rFonts w:hint="eastAsia" w:ascii="华文中宋" w:hAnsi="华文中宋" w:eastAsia="华文中宋"/>
          <w:color w:val="auto"/>
          <w:kern w:val="2"/>
          <w:szCs w:val="22"/>
          <w:highlight w:val="none"/>
        </w:rPr>
        <w:t>；如专门面向中小企业项目，按规定不再执行价格评审优惠政策。</w:t>
      </w:r>
    </w:p>
    <w:p w14:paraId="2480F79F">
      <w:pPr>
        <w:pStyle w:val="59"/>
        <w:snapToGrid w:val="0"/>
        <w:spacing w:line="480" w:lineRule="exact"/>
        <w:ind w:firstLine="420" w:firstLineChars="200"/>
        <w:rPr>
          <w:rFonts w:ascii="华文中宋" w:hAnsi="华文中宋" w:eastAsia="华文中宋"/>
          <w:color w:val="auto"/>
          <w:highlight w:val="none"/>
          <w:u w:val="none"/>
        </w:rPr>
      </w:pPr>
      <w:r>
        <w:rPr>
          <w:rFonts w:hint="eastAsia" w:ascii="华文中宋" w:hAnsi="华文中宋" w:eastAsia="华文中宋"/>
          <w:color w:val="auto"/>
          <w:highlight w:val="none"/>
          <w:u w:val="none"/>
        </w:rPr>
        <w:t>3. 小型、微型企业提供的货物既有中小企业制造货物，也有大型企业制造货物的，不享受价格折扣。</w:t>
      </w:r>
    </w:p>
    <w:p w14:paraId="1F3F9605">
      <w:pPr>
        <w:pStyle w:val="59"/>
        <w:snapToGrid w:val="0"/>
        <w:spacing w:line="480" w:lineRule="exact"/>
        <w:ind w:firstLine="420" w:firstLineChars="200"/>
        <w:rPr>
          <w:rFonts w:hint="eastAsia" w:ascii="华文中宋" w:hAnsi="华文中宋" w:eastAsia="华文中宋"/>
          <w:color w:val="auto"/>
          <w:highlight w:val="none"/>
          <w:u w:val="none"/>
        </w:rPr>
      </w:pPr>
      <w:r>
        <w:rPr>
          <w:rFonts w:hint="eastAsia" w:ascii="华文中宋" w:hAnsi="华文中宋" w:eastAsia="华文中宋"/>
          <w:color w:val="auto"/>
          <w:highlight w:val="none"/>
          <w:u w:val="none"/>
        </w:rPr>
        <w:t>4. 联合体价格折扣：本项目若允许联合体参加，大中型企业与小型、微型企业组成联合体的，联合协议约定小型、微型企业的合同份额占到合同总金额30%以上的，对联合体的报价给予</w:t>
      </w:r>
      <w:r>
        <w:rPr>
          <w:rFonts w:hint="eastAsia" w:ascii="华文中宋" w:hAnsi="华文中宋" w:eastAsia="华文中宋"/>
          <w:color w:val="auto"/>
          <w:highlight w:val="none"/>
          <w:u w:val="none"/>
          <w:lang w:val="en-US" w:eastAsia="zh-CN"/>
        </w:rPr>
        <w:t>一定比例</w:t>
      </w:r>
      <w:r>
        <w:rPr>
          <w:rFonts w:hint="eastAsia" w:ascii="华文中宋" w:hAnsi="华文中宋" w:eastAsia="华文中宋"/>
          <w:color w:val="auto"/>
          <w:highlight w:val="none"/>
          <w:u w:val="none"/>
        </w:rPr>
        <w:t>的</w:t>
      </w:r>
      <w:r>
        <w:rPr>
          <w:rFonts w:hint="eastAsia" w:ascii="华文中宋" w:hAnsi="华文中宋" w:eastAsia="华文中宋"/>
          <w:color w:val="auto"/>
          <w:highlight w:val="none"/>
          <w:u w:val="none"/>
          <w:lang w:val="en-US" w:eastAsia="zh-CN"/>
        </w:rPr>
        <w:t>价格</w:t>
      </w:r>
      <w:r>
        <w:rPr>
          <w:rFonts w:hint="eastAsia" w:ascii="华文中宋" w:hAnsi="华文中宋" w:eastAsia="华文中宋"/>
          <w:color w:val="auto"/>
          <w:highlight w:val="none"/>
          <w:u w:val="none"/>
        </w:rPr>
        <w:t>扣除，用扣除后价格参加评审。组成联合体小微企业与联合体内其他企业之间存在直接控 股、管理关系的，不享受价格扣除优惠政策。</w:t>
      </w:r>
    </w:p>
    <w:p w14:paraId="4BC7B17E">
      <w:pPr>
        <w:pStyle w:val="59"/>
        <w:snapToGrid w:val="0"/>
        <w:spacing w:line="480" w:lineRule="exact"/>
        <w:ind w:firstLine="420" w:firstLineChars="200"/>
        <w:rPr>
          <w:rFonts w:ascii="华文中宋" w:hAnsi="华文中宋" w:eastAsia="华文中宋"/>
          <w:color w:val="auto"/>
          <w:highlight w:val="none"/>
          <w:u w:val="none"/>
        </w:rPr>
      </w:pPr>
      <w:r>
        <w:rPr>
          <w:rFonts w:hint="eastAsia" w:ascii="华文中宋" w:hAnsi="华文中宋" w:eastAsia="华文中宋"/>
          <w:color w:val="auto"/>
          <w:highlight w:val="none"/>
          <w:u w:val="none"/>
        </w:rPr>
        <w:t>5. 大中型企业向小型、微型企业分包的价格折扣：大中型企业向一家或者多家小型、微型企业分包的，分包意向协议约定小型、微型企业的合同份额占到合同总金额30%以上的，对大中型企业的报价给予</w:t>
      </w:r>
      <w:r>
        <w:rPr>
          <w:rFonts w:hint="eastAsia" w:ascii="华文中宋" w:hAnsi="华文中宋" w:eastAsia="华文中宋"/>
          <w:color w:val="auto"/>
          <w:highlight w:val="none"/>
          <w:u w:val="none"/>
          <w:lang w:val="en-US" w:eastAsia="zh-CN"/>
        </w:rPr>
        <w:t>一定比例</w:t>
      </w:r>
      <w:r>
        <w:rPr>
          <w:rFonts w:hint="eastAsia" w:ascii="华文中宋" w:hAnsi="华文中宋" w:eastAsia="华文中宋"/>
          <w:color w:val="auto"/>
          <w:highlight w:val="none"/>
          <w:u w:val="none"/>
        </w:rPr>
        <w:t>的</w:t>
      </w:r>
      <w:r>
        <w:rPr>
          <w:rFonts w:hint="eastAsia" w:ascii="华文中宋" w:hAnsi="华文中宋" w:eastAsia="华文中宋"/>
          <w:color w:val="auto"/>
          <w:highlight w:val="none"/>
          <w:u w:val="none"/>
          <w:lang w:val="en-US" w:eastAsia="zh-CN"/>
        </w:rPr>
        <w:t>价格</w:t>
      </w:r>
      <w:r>
        <w:rPr>
          <w:rFonts w:hint="eastAsia" w:ascii="华文中宋" w:hAnsi="华文中宋" w:eastAsia="华文中宋"/>
          <w:color w:val="auto"/>
          <w:highlight w:val="none"/>
          <w:u w:val="none"/>
        </w:rPr>
        <w:t>扣除，用扣除后价格参加评审。接受分包 的小微企业与分包企业之间存在直接控 股、管理关系的，不享受价格扣除优惠政策。</w:t>
      </w:r>
    </w:p>
    <w:p w14:paraId="47211A3E">
      <w:pPr>
        <w:pStyle w:val="59"/>
        <w:snapToGrid w:val="0"/>
        <w:spacing w:line="480" w:lineRule="exact"/>
        <w:ind w:firstLine="315" w:firstLineChars="150"/>
        <w:rPr>
          <w:rFonts w:hint="eastAsia" w:ascii="华文中宋" w:hAnsi="华文中宋" w:eastAsia="华文中宋"/>
          <w:color w:val="auto"/>
          <w:highlight w:val="none"/>
          <w:u w:val="none"/>
          <w:lang w:eastAsia="zh-CN"/>
        </w:rPr>
      </w:pPr>
      <w:r>
        <w:rPr>
          <w:rFonts w:hint="eastAsia" w:ascii="华文中宋" w:hAnsi="华文中宋" w:eastAsia="华文中宋"/>
          <w:color w:val="auto"/>
          <w:highlight w:val="none"/>
          <w:u w:val="none"/>
          <w:lang w:val="en-US" w:eastAsia="zh-CN"/>
        </w:rPr>
        <w:t>6. 通过</w:t>
      </w:r>
      <w:r>
        <w:rPr>
          <w:rFonts w:hint="eastAsia" w:ascii="华文中宋" w:hAnsi="华文中宋" w:eastAsia="华文中宋"/>
          <w:color w:val="auto"/>
          <w:highlight w:val="none"/>
          <w:u w:val="none"/>
        </w:rPr>
        <w:t>享受扶持政策</w:t>
      </w: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价格折扣并</w:t>
      </w:r>
      <w:r>
        <w:rPr>
          <w:rFonts w:hint="eastAsia" w:ascii="华文中宋" w:hAnsi="华文中宋" w:eastAsia="华文中宋"/>
          <w:color w:val="auto"/>
          <w:highlight w:val="none"/>
          <w:u w:val="none"/>
        </w:rPr>
        <w:t>获得政府采购合同的</w:t>
      </w: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rPr>
        <w:t>小微企业不得将合同分包给大中型企业</w:t>
      </w: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rPr>
        <w:t>中型企业不得将合同分包给大型企业</w:t>
      </w:r>
      <w:r>
        <w:rPr>
          <w:rFonts w:hint="eastAsia" w:ascii="华文中宋" w:hAnsi="华文中宋" w:eastAsia="华文中宋"/>
          <w:color w:val="auto"/>
          <w:highlight w:val="none"/>
          <w:u w:val="none"/>
          <w:lang w:eastAsia="zh-CN"/>
        </w:rPr>
        <w:t>。</w:t>
      </w:r>
    </w:p>
    <w:p w14:paraId="4CE23BD7">
      <w:pPr>
        <w:pStyle w:val="59"/>
        <w:snapToGrid w:val="0"/>
        <w:spacing w:line="480" w:lineRule="exact"/>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七</w:t>
      </w:r>
      <w:r>
        <w:rPr>
          <w:rFonts w:hint="eastAsia" w:ascii="华文中宋" w:hAnsi="华文中宋" w:eastAsia="华文中宋"/>
          <w:color w:val="auto"/>
          <w:highlight w:val="none"/>
        </w:rPr>
        <w:t>）残疾人福利性单位参加本项目的评审标准</w:t>
      </w:r>
    </w:p>
    <w:p w14:paraId="014CED70">
      <w:pPr>
        <w:pStyle w:val="59"/>
        <w:snapToGrid w:val="0"/>
        <w:spacing w:line="480" w:lineRule="exact"/>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1. </w:t>
      </w:r>
      <w:r>
        <w:rPr>
          <w:rFonts w:hint="eastAsia" w:ascii="华文中宋" w:hAnsi="华文中宋" w:eastAsia="华文中宋"/>
          <w:color w:val="auto"/>
          <w:highlight w:val="none"/>
        </w:rPr>
        <w:t>须根据财库【</w:t>
      </w:r>
      <w:r>
        <w:rPr>
          <w:rFonts w:ascii="华文中宋" w:hAnsi="华文中宋" w:eastAsia="华文中宋"/>
          <w:color w:val="auto"/>
          <w:highlight w:val="none"/>
        </w:rPr>
        <w:t>2017</w:t>
      </w:r>
      <w:r>
        <w:rPr>
          <w:rFonts w:hint="eastAsia" w:ascii="华文中宋" w:hAnsi="华文中宋" w:eastAsia="华文中宋"/>
          <w:color w:val="auto"/>
          <w:highlight w:val="none"/>
        </w:rPr>
        <w:t>】</w:t>
      </w:r>
      <w:r>
        <w:rPr>
          <w:rFonts w:ascii="华文中宋" w:hAnsi="华文中宋" w:eastAsia="华文中宋"/>
          <w:color w:val="auto"/>
          <w:highlight w:val="none"/>
        </w:rPr>
        <w:t>141</w:t>
      </w:r>
      <w:r>
        <w:rPr>
          <w:rFonts w:hint="eastAsia" w:ascii="华文中宋" w:hAnsi="华文中宋" w:eastAsia="华文中宋"/>
          <w:color w:val="auto"/>
          <w:highlight w:val="none"/>
        </w:rPr>
        <w:t>号《关于促进残疾人就业政府采购政策的通知》的要求，如实填写《残疾人福利性单位声明函》，残疾人福利性单位参加本项目投标时，享受</w:t>
      </w:r>
      <w:r>
        <w:rPr>
          <w:rFonts w:hint="eastAsia" w:ascii="华文中宋" w:hAnsi="华文中宋" w:eastAsia="华文中宋"/>
          <w:color w:val="auto"/>
          <w:highlight w:val="none"/>
          <w:lang w:val="en-US" w:eastAsia="zh-CN"/>
        </w:rPr>
        <w:t>等同于小微企业</w:t>
      </w:r>
      <w:r>
        <w:rPr>
          <w:rFonts w:hint="eastAsia" w:ascii="华文中宋" w:hAnsi="华文中宋" w:eastAsia="华文中宋"/>
          <w:color w:val="auto"/>
          <w:highlight w:val="none"/>
        </w:rPr>
        <w:t>的价格折扣，用扣除后的价格参与评审。</w:t>
      </w:r>
    </w:p>
    <w:p w14:paraId="16B8E5BA">
      <w:pPr>
        <w:pStyle w:val="59"/>
        <w:snapToGrid w:val="0"/>
        <w:spacing w:line="480" w:lineRule="exact"/>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2. </w:t>
      </w:r>
      <w:r>
        <w:rPr>
          <w:rFonts w:hint="eastAsia" w:ascii="华文中宋" w:hAnsi="华文中宋" w:eastAsia="华文中宋"/>
          <w:color w:val="auto"/>
          <w:highlight w:val="none"/>
        </w:rPr>
        <w:t>享受政府采购支持政策的残疾人福利性单位应当同时满足以下条件：</w:t>
      </w:r>
    </w:p>
    <w:p w14:paraId="6BD979D9">
      <w:pPr>
        <w:pStyle w:val="59"/>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1</w:t>
      </w:r>
      <w:r>
        <w:rPr>
          <w:rFonts w:hint="eastAsia" w:ascii="华文中宋" w:hAnsi="华文中宋" w:eastAsia="华文中宋"/>
          <w:color w:val="auto"/>
          <w:highlight w:val="none"/>
        </w:rPr>
        <w:t>）安置的残疾人占本单位在职职工人数的比例不低于</w:t>
      </w:r>
      <w:r>
        <w:rPr>
          <w:rFonts w:ascii="华文中宋" w:hAnsi="华文中宋" w:eastAsia="华文中宋"/>
          <w:color w:val="auto"/>
          <w:highlight w:val="none"/>
        </w:rPr>
        <w:t>25%</w:t>
      </w:r>
      <w:r>
        <w:rPr>
          <w:rFonts w:hint="eastAsia" w:ascii="华文中宋" w:hAnsi="华文中宋" w:eastAsia="华文中宋"/>
          <w:color w:val="auto"/>
          <w:highlight w:val="none"/>
        </w:rPr>
        <w:t>（含</w:t>
      </w:r>
      <w:r>
        <w:rPr>
          <w:rFonts w:ascii="华文中宋" w:hAnsi="华文中宋" w:eastAsia="华文中宋"/>
          <w:color w:val="auto"/>
          <w:highlight w:val="none"/>
        </w:rPr>
        <w:t>25%</w:t>
      </w:r>
      <w:r>
        <w:rPr>
          <w:rFonts w:hint="eastAsia" w:ascii="华文中宋" w:hAnsi="华文中宋" w:eastAsia="华文中宋"/>
          <w:color w:val="auto"/>
          <w:highlight w:val="none"/>
        </w:rPr>
        <w:t>），并且安置的残疾人人数不少于</w:t>
      </w:r>
      <w:r>
        <w:rPr>
          <w:rFonts w:ascii="华文中宋" w:hAnsi="华文中宋" w:eastAsia="华文中宋"/>
          <w:color w:val="auto"/>
          <w:highlight w:val="none"/>
        </w:rPr>
        <w:t>10</w:t>
      </w:r>
      <w:r>
        <w:rPr>
          <w:rFonts w:hint="eastAsia" w:ascii="华文中宋" w:hAnsi="华文中宋" w:eastAsia="华文中宋"/>
          <w:color w:val="auto"/>
          <w:highlight w:val="none"/>
        </w:rPr>
        <w:t>人（含</w:t>
      </w:r>
      <w:r>
        <w:rPr>
          <w:rFonts w:ascii="华文中宋" w:hAnsi="华文中宋" w:eastAsia="华文中宋"/>
          <w:color w:val="auto"/>
          <w:highlight w:val="none"/>
        </w:rPr>
        <w:t>10</w:t>
      </w:r>
      <w:r>
        <w:rPr>
          <w:rFonts w:hint="eastAsia" w:ascii="华文中宋" w:hAnsi="华文中宋" w:eastAsia="华文中宋"/>
          <w:color w:val="auto"/>
          <w:highlight w:val="none"/>
        </w:rPr>
        <w:t>人）；</w:t>
      </w:r>
    </w:p>
    <w:p w14:paraId="46D0DC2C">
      <w:pPr>
        <w:pStyle w:val="59"/>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2</w:t>
      </w:r>
      <w:r>
        <w:rPr>
          <w:rFonts w:hint="eastAsia" w:ascii="华文中宋" w:hAnsi="华文中宋" w:eastAsia="华文中宋"/>
          <w:color w:val="auto"/>
          <w:highlight w:val="none"/>
        </w:rPr>
        <w:t>）依法与安置的每位残疾人签订了一年以上（含一年）的劳动合同或服务协议；</w:t>
      </w:r>
    </w:p>
    <w:p w14:paraId="160A416F">
      <w:pPr>
        <w:pStyle w:val="59"/>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3</w:t>
      </w:r>
      <w:r>
        <w:rPr>
          <w:rFonts w:hint="eastAsia" w:ascii="华文中宋" w:hAnsi="华文中宋" w:eastAsia="华文中宋"/>
          <w:color w:val="auto"/>
          <w:highlight w:val="none"/>
        </w:rPr>
        <w:t>）为安置的每位残疾人按月足额缴纳了基本养老保险、基本医疗保险、失业保险、工伤保险和生育保险等社会保险费；</w:t>
      </w:r>
    </w:p>
    <w:p w14:paraId="572D79D8">
      <w:pPr>
        <w:pStyle w:val="59"/>
        <w:snapToGrid w:val="0"/>
        <w:spacing w:line="480" w:lineRule="exact"/>
        <w:rPr>
          <w:rFonts w:ascii="华文中宋" w:hAnsi="华文中宋" w:eastAsia="华文中宋"/>
          <w:color w:val="auto"/>
          <w:highlight w:val="none"/>
        </w:rPr>
      </w:pPr>
      <w:r>
        <w:rPr>
          <w:rFonts w:hint="eastAsia" w:ascii="华文中宋" w:hAnsi="华文中宋" w:eastAsia="华文中宋"/>
          <w:color w:val="auto"/>
          <w:highlight w:val="none"/>
        </w:rPr>
        <w:t>　（</w:t>
      </w:r>
      <w:r>
        <w:rPr>
          <w:rFonts w:ascii="华文中宋" w:hAnsi="华文中宋" w:eastAsia="华文中宋"/>
          <w:color w:val="auto"/>
          <w:highlight w:val="none"/>
        </w:rPr>
        <w:t>4</w:t>
      </w:r>
      <w:r>
        <w:rPr>
          <w:rFonts w:hint="eastAsia" w:ascii="华文中宋" w:hAnsi="华文中宋" w:eastAsia="华文中宋"/>
          <w:color w:val="auto"/>
          <w:highlight w:val="none"/>
        </w:rPr>
        <w:t>）通过银行等金融机构向安置的每位残疾人，按月支付了不低于单位所在区县适用的经省级人民政府批准的月最低工资标准的工资；</w:t>
      </w:r>
    </w:p>
    <w:p w14:paraId="03610593">
      <w:pPr>
        <w:pStyle w:val="59"/>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5</w:t>
      </w:r>
      <w:r>
        <w:rPr>
          <w:rFonts w:hint="eastAsia" w:ascii="华文中宋" w:hAnsi="华文中宋" w:eastAsia="华文中宋"/>
          <w:color w:val="auto"/>
          <w:highlight w:val="none"/>
        </w:rPr>
        <w:t>）提供本单位制造的货物、承担的工程或者服务（以下简称产品），或者提供其他残疾人福利性单位制造的货物（不包括使用非残疾人福利性单位注册商标的货物）;</w:t>
      </w:r>
    </w:p>
    <w:p w14:paraId="04867F26">
      <w:pPr>
        <w:pStyle w:val="59"/>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6</w:t>
      </w:r>
      <w:r>
        <w:rPr>
          <w:rFonts w:hint="eastAsia" w:ascii="华文中宋" w:hAnsi="华文中宋" w:eastAsia="华文中宋"/>
          <w:color w:val="auto"/>
          <w:highlight w:val="none"/>
        </w:rPr>
        <w:t>）前款所称残疾人是指法定劳动年龄内，持有《中华人民共和国残疾人证》或者《中华人民共和国残疾军人证（</w:t>
      </w:r>
      <w:r>
        <w:rPr>
          <w:rFonts w:ascii="华文中宋" w:hAnsi="华文中宋" w:eastAsia="华文中宋"/>
          <w:color w:val="auto"/>
          <w:highlight w:val="none"/>
        </w:rPr>
        <w:t>1</w:t>
      </w:r>
      <w:r>
        <w:rPr>
          <w:rFonts w:hint="eastAsia" w:ascii="华文中宋" w:hAnsi="华文中宋" w:eastAsia="华文中宋"/>
          <w:color w:val="auto"/>
          <w:highlight w:val="none"/>
        </w:rPr>
        <w:t>至</w:t>
      </w:r>
      <w:r>
        <w:rPr>
          <w:rFonts w:ascii="华文中宋" w:hAnsi="华文中宋" w:eastAsia="华文中宋"/>
          <w:color w:val="auto"/>
          <w:highlight w:val="none"/>
        </w:rPr>
        <w:t>8</w:t>
      </w:r>
      <w:r>
        <w:rPr>
          <w:rFonts w:hint="eastAsia" w:ascii="华文中宋" w:hAnsi="华文中宋" w:eastAsia="华文中宋"/>
          <w:color w:val="auto"/>
          <w:highlight w:val="none"/>
        </w:rPr>
        <w:t>级）》的自然人，包括具有劳动条件和劳动意愿的精神残疾人。在职职工人数是指与残疾人福利性单位建立劳动关系并依法签订劳动合同或者服务协议的雇员人数；</w:t>
      </w:r>
    </w:p>
    <w:p w14:paraId="6F81DD61">
      <w:pPr>
        <w:pStyle w:val="59"/>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7</w:t>
      </w:r>
      <w:r>
        <w:rPr>
          <w:rFonts w:hint="eastAsia" w:ascii="华文中宋" w:hAnsi="华文中宋" w:eastAsia="华文中宋"/>
          <w:color w:val="auto"/>
          <w:highlight w:val="none"/>
        </w:rPr>
        <w:t>）供应商提供的《残疾人福利性单位声明函》与事实不符的，依照《政府采购法》第七十七条第一款的规定追究法律责任；</w:t>
      </w:r>
    </w:p>
    <w:p w14:paraId="70DE5F7C">
      <w:pPr>
        <w:pStyle w:val="59"/>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8</w:t>
      </w:r>
      <w:r>
        <w:rPr>
          <w:rFonts w:hint="eastAsia" w:ascii="华文中宋" w:hAnsi="华文中宋" w:eastAsia="华文中宋"/>
          <w:color w:val="auto"/>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B118060">
      <w:pPr>
        <w:pStyle w:val="59"/>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八</w:t>
      </w:r>
      <w:r>
        <w:rPr>
          <w:rFonts w:hint="eastAsia" w:ascii="华文中宋" w:hAnsi="华文中宋" w:eastAsia="华文中宋"/>
          <w:color w:val="auto"/>
          <w:highlight w:val="none"/>
        </w:rPr>
        <w:t>）本项目涉及创新产品、创新服务的评审标准</w:t>
      </w:r>
    </w:p>
    <w:p w14:paraId="11EB30CF">
      <w:pPr>
        <w:pStyle w:val="59"/>
        <w:snapToGrid w:val="0"/>
        <w:spacing w:line="480" w:lineRule="exact"/>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1. </w:t>
      </w:r>
      <w:r>
        <w:rPr>
          <w:rFonts w:hint="eastAsia" w:ascii="华文中宋" w:hAnsi="华文中宋" w:eastAsia="华文中宋"/>
          <w:color w:val="auto"/>
          <w:highlight w:val="none"/>
        </w:rPr>
        <w:t>投标人投标产品或服务属于《山西省创新产品和服务推荐清单》中创新产品或创新服务的，在评审时，享受投标产品</w:t>
      </w:r>
      <w:r>
        <w:rPr>
          <w:rFonts w:ascii="华文中宋" w:hAnsi="华文中宋" w:eastAsia="华文中宋"/>
          <w:color w:val="auto"/>
          <w:highlight w:val="none"/>
        </w:rPr>
        <w:t>10%</w:t>
      </w:r>
      <w:r>
        <w:rPr>
          <w:rFonts w:hint="eastAsia" w:ascii="华文中宋" w:hAnsi="华文中宋" w:eastAsia="华文中宋"/>
          <w:color w:val="auto"/>
          <w:highlight w:val="none"/>
        </w:rPr>
        <w:t>的价格折扣，以折扣后的价格参与评审。</w:t>
      </w:r>
    </w:p>
    <w:p w14:paraId="5F7B1ECF">
      <w:pPr>
        <w:pStyle w:val="59"/>
        <w:snapToGrid w:val="0"/>
        <w:spacing w:line="480" w:lineRule="exact"/>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2. </w:t>
      </w:r>
      <w:r>
        <w:rPr>
          <w:rFonts w:hint="eastAsia" w:ascii="华文中宋" w:hAnsi="华文中宋" w:eastAsia="华文中宋"/>
          <w:color w:val="auto"/>
          <w:highlight w:val="none"/>
        </w:rPr>
        <w:t>投标人投标创新产品或创新服务的，需如实填写《创新产品或创新服务明细表》，并提供《山西省创新产品和服务推荐清单》。</w:t>
      </w:r>
    </w:p>
    <w:p w14:paraId="197100DF">
      <w:pPr>
        <w:pStyle w:val="59"/>
        <w:snapToGrid w:val="0"/>
        <w:spacing w:line="480" w:lineRule="exact"/>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3. </w:t>
      </w:r>
      <w:r>
        <w:rPr>
          <w:rFonts w:hint="eastAsia" w:ascii="华文中宋" w:hAnsi="华文中宋" w:eastAsia="华文中宋"/>
          <w:color w:val="auto"/>
          <w:highlight w:val="none"/>
        </w:rPr>
        <w:t>创新产品或创新服务的价格折扣政策可与其他政府采购政策叠加。</w:t>
      </w:r>
    </w:p>
    <w:p w14:paraId="73299867">
      <w:pPr>
        <w:pStyle w:val="59"/>
        <w:snapToGrid w:val="0"/>
        <w:spacing w:line="480" w:lineRule="exact"/>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九</w:t>
      </w:r>
      <w:r>
        <w:rPr>
          <w:rFonts w:hint="eastAsia" w:ascii="华文中宋" w:hAnsi="华文中宋" w:eastAsia="华文中宋"/>
          <w:color w:val="auto"/>
          <w:highlight w:val="none"/>
        </w:rPr>
        <w:t>）监狱企业参加本项目的评审标准</w:t>
      </w:r>
    </w:p>
    <w:p w14:paraId="7295AD5C">
      <w:pPr>
        <w:pStyle w:val="59"/>
        <w:snapToGrid w:val="0"/>
        <w:spacing w:line="480" w:lineRule="exact"/>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1. </w:t>
      </w:r>
      <w:r>
        <w:rPr>
          <w:rFonts w:hint="eastAsia" w:ascii="华文中宋" w:hAnsi="华文中宋" w:eastAsia="华文中宋"/>
          <w:color w:val="auto"/>
          <w:highlight w:val="none"/>
        </w:rPr>
        <w:t>监狱企业参加投标视同小微企业，需提供由省级以上监狱管理局或戒毒管理局出具的属于监狱企业的证明文件。</w:t>
      </w:r>
    </w:p>
    <w:p w14:paraId="1B36116B">
      <w:pPr>
        <w:pStyle w:val="59"/>
        <w:snapToGrid w:val="0"/>
        <w:spacing w:line="480" w:lineRule="exact"/>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2. 监狱企业只有提供本企业制造的货物或服务，或者提供其他小、微企业制造的货物，享受</w:t>
      </w:r>
      <w:r>
        <w:rPr>
          <w:rFonts w:hint="eastAsia" w:ascii="华文中宋" w:hAnsi="华文中宋" w:eastAsia="华文中宋"/>
          <w:color w:val="auto"/>
          <w:highlight w:val="none"/>
          <w:lang w:val="en-US" w:eastAsia="zh-CN"/>
        </w:rPr>
        <w:t>等同于小微企业</w:t>
      </w:r>
      <w:r>
        <w:rPr>
          <w:rFonts w:hint="eastAsia" w:ascii="华文中宋" w:hAnsi="华文中宋" w:eastAsia="华文中宋"/>
          <w:color w:val="auto"/>
          <w:highlight w:val="none"/>
        </w:rPr>
        <w:t>的价格折扣。</w:t>
      </w:r>
    </w:p>
    <w:p w14:paraId="52ED0F3C">
      <w:pPr>
        <w:pStyle w:val="59"/>
        <w:snapToGrid w:val="0"/>
        <w:spacing w:line="480" w:lineRule="exact"/>
        <w:ind w:firstLine="420" w:firstLineChars="200"/>
        <w:rPr>
          <w:rFonts w:ascii="华文中宋" w:hAnsi="华文中宋" w:eastAsia="华文中宋"/>
          <w:color w:val="auto"/>
          <w:highlight w:val="none"/>
        </w:rPr>
      </w:pPr>
      <w:r>
        <w:rPr>
          <w:rFonts w:ascii="华文中宋" w:hAnsi="华文中宋" w:eastAsia="华文中宋"/>
          <w:color w:val="auto"/>
          <w:highlight w:val="none"/>
        </w:rPr>
        <w:t xml:space="preserve">3. </w:t>
      </w:r>
      <w:r>
        <w:rPr>
          <w:rFonts w:hint="eastAsia" w:ascii="华文中宋" w:hAnsi="华文中宋" w:eastAsia="华文中宋"/>
          <w:color w:val="auto"/>
          <w:highlight w:val="none"/>
        </w:rPr>
        <w:t>监狱企业与中型企业组成联合体参加投标的，或者向监狱企业分包，且联合体协议或分包意向协议约定监狱企业的协议金额占到合同金额</w:t>
      </w:r>
      <w:r>
        <w:rPr>
          <w:rFonts w:ascii="华文中宋" w:hAnsi="华文中宋" w:eastAsia="华文中宋"/>
          <w:color w:val="auto"/>
          <w:highlight w:val="none"/>
        </w:rPr>
        <w:t>30%</w:t>
      </w:r>
      <w:r>
        <w:rPr>
          <w:rFonts w:hint="eastAsia" w:ascii="华文中宋" w:hAnsi="华文中宋" w:eastAsia="华文中宋"/>
          <w:color w:val="auto"/>
          <w:highlight w:val="none"/>
        </w:rPr>
        <w:t>以上的，享受投标标的</w:t>
      </w:r>
      <w:r>
        <w:rPr>
          <w:rFonts w:hint="eastAsia" w:ascii="华文中宋" w:hAnsi="华文中宋" w:eastAsia="华文中宋"/>
          <w:color w:val="auto"/>
          <w:highlight w:val="none"/>
          <w:lang w:val="en-US" w:eastAsia="zh-CN"/>
        </w:rPr>
        <w:t>一定比例</w:t>
      </w:r>
      <w:r>
        <w:rPr>
          <w:rFonts w:hint="eastAsia" w:ascii="华文中宋" w:hAnsi="华文中宋" w:eastAsia="华文中宋"/>
          <w:color w:val="auto"/>
          <w:highlight w:val="none"/>
        </w:rPr>
        <w:t>的价格扣除，用扣除后的价格参与评审。</w:t>
      </w:r>
    </w:p>
    <w:p w14:paraId="53D89EF9">
      <w:pPr>
        <w:pStyle w:val="59"/>
        <w:snapToGrid w:val="0"/>
        <w:spacing w:line="480" w:lineRule="exact"/>
        <w:ind w:firstLine="420" w:firstLineChars="200"/>
        <w:rPr>
          <w:rFonts w:hint="eastAsia" w:ascii="华文中宋" w:hAnsi="华文中宋" w:eastAsia="华文中宋"/>
          <w:i w:val="0"/>
          <w:iCs w:val="0"/>
          <w:color w:val="auto"/>
          <w:highlight w:val="none"/>
          <w:u w:val="none"/>
          <w:lang w:eastAsia="zh-CN"/>
        </w:rPr>
      </w:pPr>
      <w:r>
        <w:rPr>
          <w:rFonts w:hint="eastAsia" w:ascii="华文中宋" w:hAnsi="华文中宋" w:eastAsia="华文中宋"/>
          <w:i w:val="0"/>
          <w:iCs w:val="0"/>
          <w:color w:val="auto"/>
          <w:highlight w:val="none"/>
          <w:u w:val="none"/>
          <w:lang w:eastAsia="zh-CN"/>
        </w:rPr>
        <w:t>（</w:t>
      </w:r>
      <w:r>
        <w:rPr>
          <w:rFonts w:hint="eastAsia" w:ascii="华文中宋" w:hAnsi="华文中宋" w:eastAsia="华文中宋"/>
          <w:i w:val="0"/>
          <w:iCs w:val="0"/>
          <w:color w:val="auto"/>
          <w:highlight w:val="none"/>
          <w:u w:val="none"/>
          <w:lang w:val="en-US" w:eastAsia="zh-CN"/>
        </w:rPr>
        <w:t>十</w:t>
      </w:r>
      <w:r>
        <w:rPr>
          <w:rFonts w:hint="eastAsia" w:ascii="华文中宋" w:hAnsi="华文中宋" w:eastAsia="华文中宋"/>
          <w:i w:val="0"/>
          <w:iCs w:val="0"/>
          <w:color w:val="auto"/>
          <w:highlight w:val="none"/>
          <w:u w:val="none"/>
          <w:lang w:eastAsia="zh-CN"/>
        </w:rPr>
        <w:t>）</w:t>
      </w:r>
      <w:r>
        <w:rPr>
          <w:rFonts w:hint="eastAsia" w:ascii="华文中宋" w:hAnsi="华文中宋" w:eastAsia="华文中宋"/>
          <w:i w:val="0"/>
          <w:iCs w:val="0"/>
          <w:color w:val="auto"/>
          <w:highlight w:val="none"/>
          <w:u w:val="none"/>
          <w:lang w:val="en-US" w:eastAsia="zh-CN"/>
        </w:rPr>
        <w:t>专门面向中小企业采购的项目，不重复执行中小企业发展、促进残疾人就业、支持监狱企业发展的价格优惠政策。</w:t>
      </w:r>
    </w:p>
    <w:p w14:paraId="3DDD9C69">
      <w:pPr>
        <w:pStyle w:val="59"/>
        <w:snapToGrid w:val="0"/>
        <w:spacing w:line="480" w:lineRule="exact"/>
        <w:ind w:firstLine="420" w:firstLineChars="200"/>
        <w:rPr>
          <w:rFonts w:ascii="华文中宋" w:hAnsi="华文中宋" w:eastAsia="华文中宋"/>
          <w:i w:val="0"/>
          <w:iCs w:val="0"/>
          <w:color w:val="auto"/>
          <w:highlight w:val="none"/>
          <w:u w:val="none"/>
        </w:rPr>
      </w:pPr>
      <w:r>
        <w:rPr>
          <w:rFonts w:hint="eastAsia" w:ascii="华文中宋" w:hAnsi="华文中宋" w:eastAsia="华文中宋"/>
          <w:i w:val="0"/>
          <w:iCs w:val="0"/>
          <w:color w:val="auto"/>
          <w:highlight w:val="none"/>
          <w:u w:val="none"/>
        </w:rPr>
        <w:t>（</w:t>
      </w:r>
      <w:r>
        <w:rPr>
          <w:rFonts w:hint="eastAsia" w:ascii="华文中宋" w:hAnsi="华文中宋" w:eastAsia="华文中宋"/>
          <w:i w:val="0"/>
          <w:iCs w:val="0"/>
          <w:color w:val="auto"/>
          <w:highlight w:val="none"/>
          <w:u w:val="none"/>
          <w:lang w:val="en-US" w:eastAsia="zh-CN"/>
        </w:rPr>
        <w:t>十一</w:t>
      </w:r>
      <w:r>
        <w:rPr>
          <w:rFonts w:hint="eastAsia" w:ascii="华文中宋" w:hAnsi="华文中宋" w:eastAsia="华文中宋"/>
          <w:i w:val="0"/>
          <w:iCs w:val="0"/>
          <w:color w:val="auto"/>
          <w:highlight w:val="none"/>
          <w:u w:val="none"/>
        </w:rPr>
        <w:t>）本项目涉及商品包装和快递包装的评审标准</w:t>
      </w:r>
    </w:p>
    <w:p w14:paraId="5E265105">
      <w:pPr>
        <w:pStyle w:val="59"/>
        <w:snapToGrid w:val="0"/>
        <w:spacing w:line="480" w:lineRule="exact"/>
        <w:rPr>
          <w:rFonts w:hint="eastAsia" w:ascii="华文中宋" w:hAnsi="华文中宋" w:eastAsia="华文中宋"/>
          <w:i w:val="0"/>
          <w:iCs w:val="0"/>
          <w:color w:val="auto"/>
          <w:highlight w:val="none"/>
          <w:u w:val="none"/>
        </w:rPr>
      </w:pPr>
      <w:r>
        <w:rPr>
          <w:rFonts w:hint="eastAsia" w:ascii="华文中宋" w:hAnsi="华文中宋" w:eastAsia="华文中宋"/>
          <w:i w:val="0"/>
          <w:iCs w:val="0"/>
          <w:color w:val="auto"/>
          <w:highlight w:val="none"/>
          <w:u w:val="none"/>
        </w:rPr>
        <w:t>本文件列出商品包装和快递包装要求的，投标人须填写《商品包装和快递包装承诺函》。</w:t>
      </w:r>
    </w:p>
    <w:p w14:paraId="2B73AC7A">
      <w:pPr>
        <w:pStyle w:val="59"/>
        <w:keepNext w:val="0"/>
        <w:keepLines w:val="0"/>
        <w:pageBreakBefore w:val="0"/>
        <w:widowControl w:val="0"/>
        <w:kinsoku/>
        <w:wordWrap/>
        <w:overflowPunct/>
        <w:topLinePunct w:val="0"/>
        <w:autoSpaceDE/>
        <w:autoSpaceDN/>
        <w:bidi w:val="0"/>
        <w:adjustRightInd w:val="0"/>
        <w:snapToGrid w:val="0"/>
        <w:spacing w:line="480" w:lineRule="exact"/>
        <w:textAlignment w:val="baseline"/>
        <w:rPr>
          <w:rFonts w:ascii="华文中宋" w:hAnsi="华文中宋" w:eastAsia="华文中宋"/>
          <w:b/>
          <w:color w:val="auto"/>
          <w:highlight w:val="none"/>
        </w:rPr>
      </w:pPr>
      <w:r>
        <w:rPr>
          <w:rFonts w:hint="eastAsia" w:ascii="华文中宋" w:hAnsi="华文中宋" w:eastAsia="华文中宋"/>
          <w:b/>
          <w:color w:val="auto"/>
          <w:highlight w:val="none"/>
        </w:rPr>
        <w:t>三、无效投标的情形</w:t>
      </w:r>
    </w:p>
    <w:p w14:paraId="0C46CF1A">
      <w:pPr>
        <w:pStyle w:val="59"/>
        <w:snapToGrid w:val="0"/>
        <w:spacing w:line="480" w:lineRule="exact"/>
        <w:ind w:firstLine="420" w:firstLineChars="200"/>
        <w:rPr>
          <w:rFonts w:hint="eastAsia" w:ascii="华文中宋" w:hAnsi="华文中宋" w:eastAsia="华文中宋" w:cs="Times New Roman"/>
          <w:i w:val="0"/>
          <w:iCs w:val="0"/>
          <w:color w:val="auto"/>
          <w:highlight w:val="none"/>
          <w:u w:val="none"/>
        </w:rPr>
      </w:pPr>
      <w:r>
        <w:rPr>
          <w:rFonts w:hint="eastAsia" w:ascii="华文中宋" w:hAnsi="华文中宋" w:eastAsia="华文中宋" w:cs="Times New Roman"/>
          <w:i w:val="0"/>
          <w:iCs w:val="0"/>
          <w:color w:val="auto"/>
          <w:highlight w:val="none"/>
          <w:u w:val="none"/>
        </w:rPr>
        <w:t>未通过资格性、符合性审查的投标文件为无效投标。</w:t>
      </w:r>
    </w:p>
    <w:p w14:paraId="4F0E9107">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jc w:val="both"/>
        <w:textAlignment w:val="auto"/>
        <w:outlineLvl w:val="9"/>
        <w:rPr>
          <w:rFonts w:hint="eastAsia" w:ascii="华文中宋" w:hAnsi="华文中宋" w:eastAsia="华文中宋" w:cs="Times New Roman"/>
          <w:b/>
          <w:color w:val="auto"/>
          <w:kern w:val="0"/>
          <w:sz w:val="21"/>
          <w:szCs w:val="21"/>
          <w:highlight w:val="none"/>
          <w:lang w:val="en-US" w:eastAsia="zh-CN" w:bidi="ar-SA"/>
        </w:rPr>
      </w:pPr>
      <w:r>
        <w:rPr>
          <w:rFonts w:hint="eastAsia" w:ascii="华文中宋" w:hAnsi="华文中宋" w:eastAsia="华文中宋" w:cs="Times New Roman"/>
          <w:b/>
          <w:color w:val="auto"/>
          <w:kern w:val="0"/>
          <w:sz w:val="21"/>
          <w:szCs w:val="21"/>
          <w:highlight w:val="none"/>
          <w:lang w:val="en-US" w:eastAsia="zh-CN" w:bidi="ar-SA"/>
        </w:rPr>
        <w:t>四、评标方法及中标条件</w:t>
      </w:r>
    </w:p>
    <w:bookmarkEnd w:id="52"/>
    <w:p w14:paraId="49EAB52F">
      <w:pPr>
        <w:pStyle w:val="59"/>
        <w:snapToGrid w:val="0"/>
        <w:spacing w:line="480" w:lineRule="exact"/>
        <w:ind w:firstLine="420" w:firstLineChars="200"/>
        <w:rPr>
          <w:rFonts w:hint="eastAsia" w:ascii="华文中宋" w:hAnsi="华文中宋" w:eastAsia="华文中宋"/>
          <w:color w:val="auto"/>
          <w:highlight w:val="none"/>
        </w:rPr>
      </w:pPr>
      <w:r>
        <w:rPr>
          <w:rFonts w:hint="eastAsia" w:ascii="华文中宋" w:hAnsi="华文中宋" w:eastAsia="华文中宋" w:cs="Times New Roman"/>
          <w:i w:val="0"/>
          <w:iCs w:val="0"/>
          <w:color w:val="auto"/>
          <w:highlight w:val="none"/>
          <w:u w:val="none"/>
          <w:lang w:val="en-US" w:eastAsia="zh-CN"/>
        </w:rPr>
        <w:t>本项目采购人授权评标委员直接确定中标供应商，评委会按照评审得分由高到低的顺序，推荐综合得分排名第一的供应商为中标供应商，并编写评审报告。评审得分相同的，按照最后报价由低到高的顺序推荐。评审得分且最后报价相同的，按照技术得分由高到低的顺序推荐。</w:t>
      </w:r>
    </w:p>
    <w:p w14:paraId="228E7D64">
      <w:pPr>
        <w:pStyle w:val="59"/>
        <w:snapToGrid w:val="0"/>
        <w:spacing w:line="480" w:lineRule="exact"/>
        <w:ind w:firstLine="420" w:firstLineChars="200"/>
        <w:rPr>
          <w:rFonts w:hint="eastAsia" w:ascii="华文中宋" w:hAnsi="华文中宋" w:eastAsia="华文中宋"/>
          <w:color w:val="auto"/>
          <w:highlight w:val="none"/>
        </w:rPr>
      </w:pPr>
    </w:p>
    <w:p w14:paraId="070A6191">
      <w:pPr>
        <w:pStyle w:val="59"/>
        <w:snapToGrid w:val="0"/>
        <w:spacing w:line="480" w:lineRule="exact"/>
        <w:ind w:firstLine="420" w:firstLineChars="200"/>
        <w:rPr>
          <w:rFonts w:hint="eastAsia" w:ascii="华文中宋" w:hAnsi="华文中宋" w:eastAsia="华文中宋"/>
          <w:color w:val="auto"/>
          <w:highlight w:val="none"/>
        </w:rPr>
      </w:pPr>
    </w:p>
    <w:p w14:paraId="43578AC6">
      <w:pPr>
        <w:pStyle w:val="59"/>
        <w:snapToGrid w:val="0"/>
        <w:spacing w:line="480" w:lineRule="exact"/>
        <w:ind w:firstLine="420" w:firstLineChars="200"/>
        <w:rPr>
          <w:rFonts w:hint="eastAsia" w:ascii="华文中宋" w:hAnsi="华文中宋" w:eastAsia="华文中宋"/>
          <w:color w:val="auto"/>
          <w:highlight w:val="none"/>
        </w:rPr>
      </w:pPr>
    </w:p>
    <w:p w14:paraId="0D436225">
      <w:pPr>
        <w:pStyle w:val="59"/>
        <w:snapToGrid w:val="0"/>
        <w:spacing w:line="480" w:lineRule="exact"/>
        <w:ind w:firstLine="420" w:firstLineChars="200"/>
        <w:rPr>
          <w:rFonts w:hint="eastAsia" w:ascii="华文中宋" w:hAnsi="华文中宋" w:eastAsia="华文中宋"/>
          <w:color w:val="auto"/>
          <w:highlight w:val="none"/>
        </w:rPr>
      </w:pPr>
    </w:p>
    <w:p w14:paraId="7C2484DE">
      <w:pPr>
        <w:pStyle w:val="59"/>
        <w:snapToGrid w:val="0"/>
        <w:spacing w:line="480" w:lineRule="exact"/>
        <w:ind w:firstLine="420" w:firstLineChars="200"/>
        <w:rPr>
          <w:rFonts w:hint="eastAsia" w:ascii="华文中宋" w:hAnsi="华文中宋" w:eastAsia="华文中宋"/>
          <w:color w:val="auto"/>
          <w:highlight w:val="none"/>
        </w:rPr>
      </w:pPr>
    </w:p>
    <w:p w14:paraId="2E3042C5">
      <w:pPr>
        <w:pStyle w:val="59"/>
        <w:snapToGrid w:val="0"/>
        <w:spacing w:line="480" w:lineRule="exact"/>
        <w:ind w:firstLine="420" w:firstLineChars="200"/>
        <w:rPr>
          <w:rFonts w:hint="eastAsia" w:ascii="华文中宋" w:hAnsi="华文中宋" w:eastAsia="华文中宋"/>
          <w:color w:val="auto"/>
          <w:highlight w:val="none"/>
        </w:rPr>
      </w:pPr>
    </w:p>
    <w:p w14:paraId="385596EA">
      <w:pPr>
        <w:pStyle w:val="59"/>
        <w:snapToGrid w:val="0"/>
        <w:spacing w:line="480" w:lineRule="exact"/>
        <w:ind w:firstLine="420" w:firstLineChars="200"/>
        <w:rPr>
          <w:rFonts w:hint="eastAsia" w:ascii="华文中宋" w:hAnsi="华文中宋" w:eastAsia="华文中宋"/>
          <w:color w:val="auto"/>
          <w:highlight w:val="none"/>
        </w:rPr>
      </w:pPr>
    </w:p>
    <w:p w14:paraId="290A8542">
      <w:pPr>
        <w:rPr>
          <w:rFonts w:hint="eastAsia" w:ascii="华文中宋" w:hAnsi="华文中宋" w:eastAsia="华文中宋"/>
          <w:color w:val="auto"/>
          <w:sz w:val="32"/>
          <w:szCs w:val="32"/>
          <w:highlight w:val="none"/>
        </w:rPr>
      </w:pPr>
      <w:r>
        <w:rPr>
          <w:rFonts w:hint="eastAsia" w:ascii="华文中宋" w:hAnsi="华文中宋" w:eastAsia="华文中宋"/>
          <w:color w:val="auto"/>
          <w:sz w:val="32"/>
          <w:szCs w:val="32"/>
          <w:highlight w:val="none"/>
        </w:rPr>
        <w:br w:type="page"/>
      </w:r>
    </w:p>
    <w:p w14:paraId="0BC9A550">
      <w:pPr>
        <w:spacing w:line="220" w:lineRule="atLeast"/>
        <w:jc w:val="center"/>
        <w:outlineLvl w:val="1"/>
        <w:rPr>
          <w:rFonts w:hint="eastAsia" w:ascii="华文中宋" w:hAnsi="华文中宋" w:eastAsia="华文中宋" w:cs="华文中宋"/>
          <w:b/>
          <w:color w:val="auto"/>
          <w:spacing w:val="20"/>
          <w:kern w:val="44"/>
          <w:sz w:val="28"/>
          <w:szCs w:val="28"/>
          <w:highlight w:val="none"/>
        </w:rPr>
      </w:pPr>
      <w:r>
        <w:rPr>
          <w:rFonts w:hint="eastAsia" w:ascii="华文中宋" w:hAnsi="华文中宋" w:eastAsia="华文中宋"/>
          <w:color w:val="auto"/>
          <w:sz w:val="32"/>
          <w:szCs w:val="32"/>
          <w:highlight w:val="none"/>
        </w:rPr>
        <w:t>综合评分法细则</w:t>
      </w:r>
      <w:bookmarkStart w:id="55" w:name="_Toc5560"/>
      <w:bookmarkStart w:id="56" w:name="_Toc26929"/>
      <w:bookmarkStart w:id="57" w:name="_Toc352761952"/>
      <w:bookmarkStart w:id="58" w:name="_Toc424378697"/>
    </w:p>
    <w:tbl>
      <w:tblPr>
        <w:tblStyle w:val="29"/>
        <w:tblW w:w="9630" w:type="dxa"/>
        <w:tblInd w:w="93"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Layout w:type="autofit"/>
        <w:tblCellMar>
          <w:top w:w="0" w:type="dxa"/>
          <w:left w:w="108" w:type="dxa"/>
          <w:bottom w:w="0" w:type="dxa"/>
          <w:right w:w="108" w:type="dxa"/>
        </w:tblCellMar>
      </w:tblPr>
      <w:tblGrid>
        <w:gridCol w:w="706"/>
        <w:gridCol w:w="750"/>
        <w:gridCol w:w="6900"/>
        <w:gridCol w:w="1274"/>
      </w:tblGrid>
      <w:tr w14:paraId="4AC01AD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108" w:type="dxa"/>
            <w:bottom w:w="0" w:type="dxa"/>
            <w:right w:w="108" w:type="dxa"/>
          </w:tblCellMar>
        </w:tblPrEx>
        <w:trPr>
          <w:trHeight w:val="285" w:hRule="atLeast"/>
        </w:trPr>
        <w:tc>
          <w:tcPr>
            <w:tcW w:w="706" w:type="dxa"/>
            <w:tcBorders>
              <w:tl2br w:val="nil"/>
              <w:tr2bl w:val="nil"/>
            </w:tcBorders>
            <w:shd w:val="clear" w:color="auto" w:fill="auto"/>
            <w:vAlign w:val="center"/>
          </w:tcPr>
          <w:p w14:paraId="00D2B9AA">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750" w:type="dxa"/>
            <w:tcBorders>
              <w:tl2br w:val="nil"/>
              <w:tr2bl w:val="nil"/>
            </w:tcBorders>
            <w:shd w:val="clear" w:color="auto" w:fill="auto"/>
            <w:vAlign w:val="center"/>
          </w:tcPr>
          <w:p w14:paraId="6E1B720E">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类型</w:t>
            </w:r>
          </w:p>
        </w:tc>
        <w:tc>
          <w:tcPr>
            <w:tcW w:w="6900" w:type="dxa"/>
            <w:tcBorders>
              <w:tl2br w:val="nil"/>
              <w:tr2bl w:val="nil"/>
            </w:tcBorders>
            <w:shd w:val="clear" w:color="auto" w:fill="auto"/>
            <w:vAlign w:val="center"/>
          </w:tcPr>
          <w:p w14:paraId="6C2D0552">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评分标准</w:t>
            </w:r>
          </w:p>
        </w:tc>
        <w:tc>
          <w:tcPr>
            <w:tcW w:w="1274" w:type="dxa"/>
            <w:tcBorders>
              <w:tl2br w:val="nil"/>
              <w:tr2bl w:val="nil"/>
            </w:tcBorders>
            <w:shd w:val="clear" w:color="auto" w:fill="auto"/>
            <w:vAlign w:val="center"/>
          </w:tcPr>
          <w:p w14:paraId="6BD0DABE">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分值权重</w:t>
            </w:r>
          </w:p>
        </w:tc>
      </w:tr>
      <w:tr w14:paraId="5CCDBDD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108" w:type="dxa"/>
            <w:bottom w:w="0" w:type="dxa"/>
            <w:right w:w="108" w:type="dxa"/>
          </w:tblCellMar>
        </w:tblPrEx>
        <w:trPr>
          <w:trHeight w:val="285" w:hRule="atLeast"/>
        </w:trPr>
        <w:tc>
          <w:tcPr>
            <w:tcW w:w="706" w:type="dxa"/>
            <w:tcBorders>
              <w:tl2br w:val="nil"/>
              <w:tr2bl w:val="nil"/>
            </w:tcBorders>
            <w:shd w:val="clear" w:color="auto" w:fill="auto"/>
            <w:vAlign w:val="top"/>
          </w:tcPr>
          <w:p w14:paraId="33E567F0">
            <w:pPr>
              <w:keepNext w:val="0"/>
              <w:keepLines w:val="0"/>
              <w:widowControl/>
              <w:suppressLineNumbers w:val="0"/>
              <w:jc w:val="righ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750" w:type="dxa"/>
            <w:tcBorders>
              <w:tl2br w:val="nil"/>
              <w:tr2bl w:val="nil"/>
            </w:tcBorders>
            <w:shd w:val="clear" w:color="auto" w:fill="auto"/>
            <w:vAlign w:val="top"/>
          </w:tcPr>
          <w:p w14:paraId="470BC9A8">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报价</w:t>
            </w:r>
          </w:p>
        </w:tc>
        <w:tc>
          <w:tcPr>
            <w:tcW w:w="6900" w:type="dxa"/>
            <w:tcBorders>
              <w:tl2br w:val="nil"/>
              <w:tr2bl w:val="nil"/>
            </w:tcBorders>
            <w:shd w:val="clear" w:color="auto" w:fill="auto"/>
            <w:vAlign w:val="top"/>
          </w:tcPr>
          <w:p w14:paraId="36D7E610">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（最低报价/投标报价）*最大分值</w:t>
            </w:r>
          </w:p>
        </w:tc>
        <w:tc>
          <w:tcPr>
            <w:tcW w:w="1274" w:type="dxa"/>
            <w:tcBorders>
              <w:tl2br w:val="nil"/>
              <w:tr2bl w:val="nil"/>
            </w:tcBorders>
            <w:shd w:val="clear" w:color="auto" w:fill="auto"/>
            <w:vAlign w:val="top"/>
          </w:tcPr>
          <w:p w14:paraId="489262F3">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0~30</w:t>
            </w:r>
          </w:p>
        </w:tc>
      </w:tr>
      <w:tr w14:paraId="5BA14B8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108" w:type="dxa"/>
            <w:bottom w:w="0" w:type="dxa"/>
            <w:right w:w="108" w:type="dxa"/>
          </w:tblCellMar>
        </w:tblPrEx>
        <w:trPr>
          <w:trHeight w:val="285" w:hRule="atLeast"/>
        </w:trPr>
        <w:tc>
          <w:tcPr>
            <w:tcW w:w="706" w:type="dxa"/>
            <w:tcBorders>
              <w:tl2br w:val="nil"/>
              <w:tr2bl w:val="nil"/>
            </w:tcBorders>
            <w:shd w:val="clear" w:color="auto" w:fill="auto"/>
            <w:vAlign w:val="center"/>
          </w:tcPr>
          <w:p w14:paraId="3BBDEB39">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750" w:type="dxa"/>
            <w:tcBorders>
              <w:tl2br w:val="nil"/>
              <w:tr2bl w:val="nil"/>
            </w:tcBorders>
            <w:shd w:val="clear" w:color="auto" w:fill="auto"/>
            <w:vAlign w:val="center"/>
          </w:tcPr>
          <w:p w14:paraId="6FC8424C">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类型</w:t>
            </w:r>
          </w:p>
        </w:tc>
        <w:tc>
          <w:tcPr>
            <w:tcW w:w="6900" w:type="dxa"/>
            <w:tcBorders>
              <w:tl2br w:val="nil"/>
              <w:tr2bl w:val="nil"/>
            </w:tcBorders>
            <w:shd w:val="clear" w:color="auto" w:fill="auto"/>
            <w:vAlign w:val="center"/>
          </w:tcPr>
          <w:p w14:paraId="5C9B835E">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评分标准</w:t>
            </w:r>
          </w:p>
        </w:tc>
        <w:tc>
          <w:tcPr>
            <w:tcW w:w="1274" w:type="dxa"/>
            <w:tcBorders>
              <w:tl2br w:val="nil"/>
              <w:tr2bl w:val="nil"/>
            </w:tcBorders>
            <w:shd w:val="clear" w:color="auto" w:fill="auto"/>
            <w:vAlign w:val="center"/>
          </w:tcPr>
          <w:p w14:paraId="37774F96">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分值权重</w:t>
            </w:r>
          </w:p>
        </w:tc>
      </w:tr>
      <w:tr w14:paraId="1C3194E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108" w:type="dxa"/>
            <w:bottom w:w="0" w:type="dxa"/>
            <w:right w:w="108" w:type="dxa"/>
          </w:tblCellMar>
        </w:tblPrEx>
        <w:trPr>
          <w:trHeight w:val="1200" w:hRule="atLeast"/>
        </w:trPr>
        <w:tc>
          <w:tcPr>
            <w:tcW w:w="706" w:type="dxa"/>
            <w:tcBorders>
              <w:tl2br w:val="nil"/>
              <w:tr2bl w:val="nil"/>
            </w:tcBorders>
            <w:shd w:val="clear" w:color="auto" w:fill="auto"/>
            <w:vAlign w:val="top"/>
          </w:tcPr>
          <w:p w14:paraId="7E6ECCAD">
            <w:pPr>
              <w:keepNext w:val="0"/>
              <w:keepLines w:val="0"/>
              <w:widowControl/>
              <w:suppressLineNumbers w:val="0"/>
              <w:jc w:val="righ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750" w:type="dxa"/>
            <w:tcBorders>
              <w:tl2br w:val="nil"/>
              <w:tr2bl w:val="nil"/>
            </w:tcBorders>
            <w:shd w:val="clear" w:color="auto" w:fill="auto"/>
            <w:vAlign w:val="top"/>
          </w:tcPr>
          <w:p w14:paraId="3D688A37">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商务资信</w:t>
            </w:r>
          </w:p>
        </w:tc>
        <w:tc>
          <w:tcPr>
            <w:tcW w:w="6900" w:type="dxa"/>
            <w:tcBorders>
              <w:tl2br w:val="nil"/>
              <w:tr2bl w:val="nil"/>
            </w:tcBorders>
            <w:shd w:val="clear" w:color="auto" w:fill="auto"/>
            <w:vAlign w:val="top"/>
          </w:tcPr>
          <w:p w14:paraId="4EC5EB33">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近三年同类项目业绩投标文件提交截止日前三年内每承担过一项同类项目计1分，最高得5分。（同类项目业绩是以投标人自身合同为准，要求必须提供与最终用户签订的合同首页、合同金额所在页、签字盖章页。）</w:t>
            </w:r>
          </w:p>
        </w:tc>
        <w:tc>
          <w:tcPr>
            <w:tcW w:w="1274" w:type="dxa"/>
            <w:tcBorders>
              <w:tl2br w:val="nil"/>
              <w:tr2bl w:val="nil"/>
            </w:tcBorders>
            <w:shd w:val="clear" w:color="auto" w:fill="auto"/>
            <w:vAlign w:val="top"/>
          </w:tcPr>
          <w:p w14:paraId="261DA1F1">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0~5</w:t>
            </w:r>
          </w:p>
        </w:tc>
      </w:tr>
      <w:tr w14:paraId="6C59B8B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108" w:type="dxa"/>
            <w:bottom w:w="0" w:type="dxa"/>
            <w:right w:w="108" w:type="dxa"/>
          </w:tblCellMar>
        </w:tblPrEx>
        <w:trPr>
          <w:trHeight w:val="1080" w:hRule="atLeast"/>
        </w:trPr>
        <w:tc>
          <w:tcPr>
            <w:tcW w:w="706" w:type="dxa"/>
            <w:tcBorders>
              <w:tl2br w:val="nil"/>
              <w:tr2bl w:val="nil"/>
            </w:tcBorders>
            <w:shd w:val="clear" w:color="auto" w:fill="auto"/>
            <w:vAlign w:val="top"/>
          </w:tcPr>
          <w:p w14:paraId="6ED15794">
            <w:pPr>
              <w:keepNext w:val="0"/>
              <w:keepLines w:val="0"/>
              <w:widowControl/>
              <w:suppressLineNumbers w:val="0"/>
              <w:jc w:val="righ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750" w:type="dxa"/>
            <w:tcBorders>
              <w:tl2br w:val="nil"/>
              <w:tr2bl w:val="nil"/>
            </w:tcBorders>
            <w:shd w:val="clear" w:color="auto" w:fill="auto"/>
            <w:vAlign w:val="top"/>
          </w:tcPr>
          <w:p w14:paraId="1D2BDB69">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商务资信</w:t>
            </w:r>
          </w:p>
        </w:tc>
        <w:tc>
          <w:tcPr>
            <w:tcW w:w="6900" w:type="dxa"/>
            <w:tcBorders>
              <w:tl2br w:val="nil"/>
              <w:tr2bl w:val="nil"/>
            </w:tcBorders>
            <w:shd w:val="clear" w:color="auto" w:fill="auto"/>
            <w:vAlign w:val="top"/>
          </w:tcPr>
          <w:p w14:paraId="23426727">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节能、环保产品 投标货物包含最新发布的“节能产品政府采购品目清单、环境标志产品政府采购品目清单”中非政府强制采购产品，并能提供处于有效期之内的节能产品、环境标志产品认证证书的，每提供一个证书得1分，最高得2分。</w:t>
            </w:r>
          </w:p>
        </w:tc>
        <w:tc>
          <w:tcPr>
            <w:tcW w:w="1274" w:type="dxa"/>
            <w:tcBorders>
              <w:tl2br w:val="nil"/>
              <w:tr2bl w:val="nil"/>
            </w:tcBorders>
            <w:shd w:val="clear" w:color="auto" w:fill="auto"/>
            <w:vAlign w:val="top"/>
          </w:tcPr>
          <w:p w14:paraId="1C5FBFF7">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0~2</w:t>
            </w:r>
          </w:p>
        </w:tc>
      </w:tr>
      <w:tr w14:paraId="1A8F83C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108" w:type="dxa"/>
            <w:bottom w:w="0" w:type="dxa"/>
            <w:right w:w="108" w:type="dxa"/>
          </w:tblCellMar>
        </w:tblPrEx>
        <w:trPr>
          <w:trHeight w:val="1020" w:hRule="atLeast"/>
        </w:trPr>
        <w:tc>
          <w:tcPr>
            <w:tcW w:w="706" w:type="dxa"/>
            <w:tcBorders>
              <w:tl2br w:val="nil"/>
              <w:tr2bl w:val="nil"/>
            </w:tcBorders>
            <w:shd w:val="clear" w:color="auto" w:fill="auto"/>
            <w:vAlign w:val="top"/>
          </w:tcPr>
          <w:p w14:paraId="473D20AA">
            <w:pPr>
              <w:keepNext w:val="0"/>
              <w:keepLines w:val="0"/>
              <w:widowControl/>
              <w:suppressLineNumbers w:val="0"/>
              <w:jc w:val="righ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750" w:type="dxa"/>
            <w:tcBorders>
              <w:tl2br w:val="nil"/>
              <w:tr2bl w:val="nil"/>
            </w:tcBorders>
            <w:shd w:val="clear" w:color="auto" w:fill="auto"/>
            <w:vAlign w:val="top"/>
          </w:tcPr>
          <w:p w14:paraId="3DC2B07F">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技术</w:t>
            </w:r>
          </w:p>
        </w:tc>
        <w:tc>
          <w:tcPr>
            <w:tcW w:w="6900" w:type="dxa"/>
            <w:tcBorders>
              <w:tl2br w:val="nil"/>
              <w:tr2bl w:val="nil"/>
            </w:tcBorders>
            <w:shd w:val="clear" w:color="auto" w:fill="auto"/>
            <w:vAlign w:val="top"/>
          </w:tcPr>
          <w:p w14:paraId="0A2470AD">
            <w:pPr>
              <w:keepNext w:val="0"/>
              <w:keepLines w:val="0"/>
              <w:widowControl/>
              <w:suppressLineNumbers w:val="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货物技术指标 根据投标人提供的货物技术指标进行综合评审：</w:t>
            </w:r>
          </w:p>
          <w:p w14:paraId="29FA2292">
            <w:pPr>
              <w:keepNext w:val="0"/>
              <w:keepLines w:val="0"/>
              <w:widowControl/>
              <w:suppressLineNumbers w:val="0"/>
              <w:jc w:val="left"/>
              <w:textAlignment w:val="top"/>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（1）满足招标文件要求的全部技术指标得20分。</w:t>
            </w:r>
          </w:p>
          <w:p w14:paraId="5F9E00A3">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（2）非标注“★”项技术指标有负偏离的，有一项扣2分，扣完为止</w:t>
            </w:r>
          </w:p>
        </w:tc>
        <w:tc>
          <w:tcPr>
            <w:tcW w:w="1274" w:type="dxa"/>
            <w:tcBorders>
              <w:tl2br w:val="nil"/>
              <w:tr2bl w:val="nil"/>
            </w:tcBorders>
            <w:shd w:val="clear" w:color="auto" w:fill="auto"/>
            <w:vAlign w:val="top"/>
          </w:tcPr>
          <w:p w14:paraId="4C4A35A2">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0~20</w:t>
            </w:r>
          </w:p>
        </w:tc>
      </w:tr>
      <w:tr w14:paraId="2DC4CC1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108" w:type="dxa"/>
            <w:bottom w:w="0" w:type="dxa"/>
            <w:right w:w="108" w:type="dxa"/>
          </w:tblCellMar>
        </w:tblPrEx>
        <w:trPr>
          <w:trHeight w:val="1890" w:hRule="atLeast"/>
        </w:trPr>
        <w:tc>
          <w:tcPr>
            <w:tcW w:w="706" w:type="dxa"/>
            <w:tcBorders>
              <w:tl2br w:val="nil"/>
              <w:tr2bl w:val="nil"/>
            </w:tcBorders>
            <w:shd w:val="clear" w:color="auto" w:fill="auto"/>
            <w:vAlign w:val="top"/>
          </w:tcPr>
          <w:p w14:paraId="67C1EA0D">
            <w:pPr>
              <w:keepNext w:val="0"/>
              <w:keepLines w:val="0"/>
              <w:widowControl/>
              <w:suppressLineNumbers w:val="0"/>
              <w:jc w:val="righ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750" w:type="dxa"/>
            <w:tcBorders>
              <w:tl2br w:val="nil"/>
              <w:tr2bl w:val="nil"/>
            </w:tcBorders>
            <w:shd w:val="clear" w:color="auto" w:fill="auto"/>
            <w:vAlign w:val="top"/>
          </w:tcPr>
          <w:p w14:paraId="64967E71">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技术</w:t>
            </w:r>
          </w:p>
        </w:tc>
        <w:tc>
          <w:tcPr>
            <w:tcW w:w="6900" w:type="dxa"/>
            <w:tcBorders>
              <w:tl2br w:val="nil"/>
              <w:tr2bl w:val="nil"/>
            </w:tcBorders>
            <w:shd w:val="clear" w:color="auto" w:fill="auto"/>
            <w:vAlign w:val="top"/>
          </w:tcPr>
          <w:p w14:paraId="0DE673B4">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整体实施方案 根据投标人提供的整体实施方案进行综合评审，方案内容包括但不限于： ①现状需求分析； ②重点、难点分析及对策； ③实施（升级改造）方案； ④供货、运输、安装方案； ⑤实施时间进度计划; ⑥系统对接、测试、验收方案。 缺少1项内容扣3分， 各项内容中每有一处存在缺陷（缺陷是指：投标内容与采购需求不符或内容编排混乱）扣1分，扣完为止（其中“项”指上述①②③④⑤⑥所述内容)。</w:t>
            </w:r>
          </w:p>
        </w:tc>
        <w:tc>
          <w:tcPr>
            <w:tcW w:w="1274" w:type="dxa"/>
            <w:tcBorders>
              <w:tl2br w:val="nil"/>
              <w:tr2bl w:val="nil"/>
            </w:tcBorders>
            <w:shd w:val="clear" w:color="auto" w:fill="auto"/>
            <w:vAlign w:val="top"/>
          </w:tcPr>
          <w:p w14:paraId="7776519D">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0~18</w:t>
            </w:r>
          </w:p>
        </w:tc>
      </w:tr>
      <w:tr w14:paraId="030058D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108" w:type="dxa"/>
            <w:bottom w:w="0" w:type="dxa"/>
            <w:right w:w="108" w:type="dxa"/>
          </w:tblCellMar>
        </w:tblPrEx>
        <w:trPr>
          <w:trHeight w:val="1440" w:hRule="atLeast"/>
        </w:trPr>
        <w:tc>
          <w:tcPr>
            <w:tcW w:w="706" w:type="dxa"/>
            <w:tcBorders>
              <w:tl2br w:val="nil"/>
              <w:tr2bl w:val="nil"/>
            </w:tcBorders>
            <w:shd w:val="clear" w:color="auto" w:fill="auto"/>
            <w:vAlign w:val="top"/>
          </w:tcPr>
          <w:p w14:paraId="307945EF">
            <w:pPr>
              <w:keepNext w:val="0"/>
              <w:keepLines w:val="0"/>
              <w:widowControl/>
              <w:suppressLineNumbers w:val="0"/>
              <w:jc w:val="righ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750" w:type="dxa"/>
            <w:tcBorders>
              <w:tl2br w:val="nil"/>
              <w:tr2bl w:val="nil"/>
            </w:tcBorders>
            <w:shd w:val="clear" w:color="auto" w:fill="auto"/>
            <w:vAlign w:val="top"/>
          </w:tcPr>
          <w:p w14:paraId="4E0ECEFA">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技术</w:t>
            </w:r>
          </w:p>
        </w:tc>
        <w:tc>
          <w:tcPr>
            <w:tcW w:w="6900" w:type="dxa"/>
            <w:tcBorders>
              <w:tl2br w:val="nil"/>
              <w:tr2bl w:val="nil"/>
            </w:tcBorders>
            <w:shd w:val="clear" w:color="auto" w:fill="auto"/>
            <w:vAlign w:val="top"/>
          </w:tcPr>
          <w:p w14:paraId="34BB057F">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项目人员配备 根据拟投入本项目团队成员的专业技术水平进行评审，类似信息系统项目管理师证书、ITSS服务项目经理证书、注册信息安全工程师证书，以上证书每提供一个得1分,最高得3分。 注：以上人员不重复记分，须提供以上人员的证书复印件，不提供的不得分。</w:t>
            </w:r>
          </w:p>
        </w:tc>
        <w:tc>
          <w:tcPr>
            <w:tcW w:w="1274" w:type="dxa"/>
            <w:tcBorders>
              <w:tl2br w:val="nil"/>
              <w:tr2bl w:val="nil"/>
            </w:tcBorders>
            <w:shd w:val="clear" w:color="auto" w:fill="auto"/>
            <w:vAlign w:val="top"/>
          </w:tcPr>
          <w:p w14:paraId="2F7DF450">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0~3</w:t>
            </w:r>
          </w:p>
        </w:tc>
      </w:tr>
      <w:tr w14:paraId="206891C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108" w:type="dxa"/>
            <w:bottom w:w="0" w:type="dxa"/>
            <w:right w:w="108" w:type="dxa"/>
          </w:tblCellMar>
        </w:tblPrEx>
        <w:trPr>
          <w:trHeight w:val="1620" w:hRule="atLeast"/>
        </w:trPr>
        <w:tc>
          <w:tcPr>
            <w:tcW w:w="706" w:type="dxa"/>
            <w:tcBorders>
              <w:tl2br w:val="nil"/>
              <w:tr2bl w:val="nil"/>
            </w:tcBorders>
            <w:shd w:val="clear" w:color="auto" w:fill="auto"/>
            <w:vAlign w:val="top"/>
          </w:tcPr>
          <w:p w14:paraId="4206C073">
            <w:pPr>
              <w:keepNext w:val="0"/>
              <w:keepLines w:val="0"/>
              <w:widowControl/>
              <w:suppressLineNumbers w:val="0"/>
              <w:jc w:val="righ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750" w:type="dxa"/>
            <w:tcBorders>
              <w:tl2br w:val="nil"/>
              <w:tr2bl w:val="nil"/>
            </w:tcBorders>
            <w:shd w:val="clear" w:color="auto" w:fill="auto"/>
            <w:vAlign w:val="top"/>
          </w:tcPr>
          <w:p w14:paraId="34398057">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技术</w:t>
            </w:r>
          </w:p>
        </w:tc>
        <w:tc>
          <w:tcPr>
            <w:tcW w:w="6900" w:type="dxa"/>
            <w:tcBorders>
              <w:tl2br w:val="nil"/>
              <w:tr2bl w:val="nil"/>
            </w:tcBorders>
            <w:shd w:val="clear" w:color="auto" w:fill="auto"/>
            <w:vAlign w:val="top"/>
          </w:tcPr>
          <w:p w14:paraId="691F9769">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保障措施 根据投标人提供的保障措施进行综合评审,方案内容包括但不限于： ①相关数据保障措施; ②质量保障措施； ③进度保障措施； ④安全保障措施； ⑤技术保障措施； 缺少1项内容扣1分， 各项内容中每有一处存在缺陷（缺陷是指：投标内容与采购需求不符或内容编排混乱）扣0.5分，扣完为止（其中“项”指上述①②③④⑤所述内容)。</w:t>
            </w:r>
          </w:p>
        </w:tc>
        <w:tc>
          <w:tcPr>
            <w:tcW w:w="1274" w:type="dxa"/>
            <w:tcBorders>
              <w:tl2br w:val="nil"/>
              <w:tr2bl w:val="nil"/>
            </w:tcBorders>
            <w:shd w:val="clear" w:color="auto" w:fill="auto"/>
            <w:vAlign w:val="top"/>
          </w:tcPr>
          <w:p w14:paraId="761C152F">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0~5</w:t>
            </w:r>
          </w:p>
        </w:tc>
      </w:tr>
      <w:tr w14:paraId="1C93E78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108" w:type="dxa"/>
            <w:bottom w:w="0" w:type="dxa"/>
            <w:right w:w="108" w:type="dxa"/>
          </w:tblCellMar>
        </w:tblPrEx>
        <w:trPr>
          <w:trHeight w:val="1580" w:hRule="atLeast"/>
        </w:trPr>
        <w:tc>
          <w:tcPr>
            <w:tcW w:w="706" w:type="dxa"/>
            <w:tcBorders>
              <w:tl2br w:val="nil"/>
              <w:tr2bl w:val="nil"/>
            </w:tcBorders>
            <w:shd w:val="clear" w:color="auto" w:fill="auto"/>
            <w:vAlign w:val="top"/>
          </w:tcPr>
          <w:p w14:paraId="2575BBBE">
            <w:pPr>
              <w:keepNext w:val="0"/>
              <w:keepLines w:val="0"/>
              <w:widowControl/>
              <w:suppressLineNumbers w:val="0"/>
              <w:jc w:val="righ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750" w:type="dxa"/>
            <w:tcBorders>
              <w:tl2br w:val="nil"/>
              <w:tr2bl w:val="nil"/>
            </w:tcBorders>
            <w:shd w:val="clear" w:color="auto" w:fill="auto"/>
            <w:vAlign w:val="top"/>
          </w:tcPr>
          <w:p w14:paraId="30EE3DC4">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技术</w:t>
            </w:r>
          </w:p>
        </w:tc>
        <w:tc>
          <w:tcPr>
            <w:tcW w:w="6900" w:type="dxa"/>
            <w:tcBorders>
              <w:tl2br w:val="nil"/>
              <w:tr2bl w:val="nil"/>
            </w:tcBorders>
            <w:shd w:val="clear" w:color="auto" w:fill="auto"/>
            <w:vAlign w:val="top"/>
          </w:tcPr>
          <w:p w14:paraId="64B1EED3">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突发事件应急预案 根据投标人提供的应急预案进行综合评审,方案内容包括但不限于： ①应急管理体系、应急制度； ②应急小组人员配备; ③应急事件响应、处置方案。 缺少1项内容扣2分， 各项内容中每有一处存在缺陷（缺陷是指：投标内容与采购需求不符或内容编排混乱）扣1分，扣完为止（其中“项”指上述①②③所述内容）。</w:t>
            </w:r>
          </w:p>
        </w:tc>
        <w:tc>
          <w:tcPr>
            <w:tcW w:w="1274" w:type="dxa"/>
            <w:tcBorders>
              <w:tl2br w:val="nil"/>
              <w:tr2bl w:val="nil"/>
            </w:tcBorders>
            <w:shd w:val="clear" w:color="auto" w:fill="auto"/>
            <w:vAlign w:val="top"/>
          </w:tcPr>
          <w:p w14:paraId="7669CB16">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0~6</w:t>
            </w:r>
          </w:p>
        </w:tc>
      </w:tr>
      <w:tr w14:paraId="2E52828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108" w:type="dxa"/>
            <w:bottom w:w="0" w:type="dxa"/>
            <w:right w:w="108" w:type="dxa"/>
          </w:tblCellMar>
        </w:tblPrEx>
        <w:trPr>
          <w:trHeight w:val="1620" w:hRule="atLeast"/>
        </w:trPr>
        <w:tc>
          <w:tcPr>
            <w:tcW w:w="706" w:type="dxa"/>
            <w:tcBorders>
              <w:tl2br w:val="nil"/>
              <w:tr2bl w:val="nil"/>
            </w:tcBorders>
            <w:shd w:val="clear" w:color="auto" w:fill="auto"/>
            <w:vAlign w:val="top"/>
          </w:tcPr>
          <w:p w14:paraId="2BC8F305">
            <w:pPr>
              <w:keepNext w:val="0"/>
              <w:keepLines w:val="0"/>
              <w:widowControl/>
              <w:suppressLineNumbers w:val="0"/>
              <w:jc w:val="righ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750" w:type="dxa"/>
            <w:tcBorders>
              <w:tl2br w:val="nil"/>
              <w:tr2bl w:val="nil"/>
            </w:tcBorders>
            <w:shd w:val="clear" w:color="auto" w:fill="auto"/>
            <w:vAlign w:val="top"/>
          </w:tcPr>
          <w:p w14:paraId="673E0562">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技术</w:t>
            </w:r>
          </w:p>
        </w:tc>
        <w:tc>
          <w:tcPr>
            <w:tcW w:w="6900" w:type="dxa"/>
            <w:tcBorders>
              <w:tl2br w:val="nil"/>
              <w:tr2bl w:val="nil"/>
            </w:tcBorders>
            <w:shd w:val="clear" w:color="auto" w:fill="auto"/>
            <w:vAlign w:val="top"/>
          </w:tcPr>
          <w:p w14:paraId="7CE17DE3">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培训方案 根据投标人提供的整体培训方案进行综合评审，方案内容包括但不限于： ①培训内容构成； ②培训组织方式； ③培训时间计划； ④培训目标成果； ⑤培训团队配置。 缺少1项内容扣1分， 各项内容中每有一处存在缺陷（缺陷是指：投标内容与采购需求不符或内容编排混乱）扣0.5分，扣完为止（其中“项”指上述①②③④⑤所述内容)。</w:t>
            </w:r>
          </w:p>
        </w:tc>
        <w:tc>
          <w:tcPr>
            <w:tcW w:w="1274" w:type="dxa"/>
            <w:tcBorders>
              <w:tl2br w:val="nil"/>
              <w:tr2bl w:val="nil"/>
            </w:tcBorders>
            <w:shd w:val="clear" w:color="auto" w:fill="auto"/>
            <w:vAlign w:val="top"/>
          </w:tcPr>
          <w:p w14:paraId="21552A11">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0~5</w:t>
            </w:r>
          </w:p>
        </w:tc>
      </w:tr>
      <w:tr w14:paraId="712F5FFA">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shd w:val="clear" w:color="auto" w:fill="auto"/>
          <w:tblCellMar>
            <w:top w:w="0" w:type="dxa"/>
            <w:left w:w="108" w:type="dxa"/>
            <w:bottom w:w="0" w:type="dxa"/>
            <w:right w:w="108" w:type="dxa"/>
          </w:tblCellMar>
        </w:tblPrEx>
        <w:trPr>
          <w:trHeight w:val="1540" w:hRule="atLeast"/>
        </w:trPr>
        <w:tc>
          <w:tcPr>
            <w:tcW w:w="706" w:type="dxa"/>
            <w:tcBorders>
              <w:tl2br w:val="nil"/>
              <w:tr2bl w:val="nil"/>
            </w:tcBorders>
            <w:shd w:val="clear" w:color="auto" w:fill="auto"/>
            <w:vAlign w:val="top"/>
          </w:tcPr>
          <w:p w14:paraId="0C6538C0">
            <w:pPr>
              <w:keepNext w:val="0"/>
              <w:keepLines w:val="0"/>
              <w:widowControl/>
              <w:suppressLineNumbers w:val="0"/>
              <w:jc w:val="righ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750" w:type="dxa"/>
            <w:tcBorders>
              <w:tl2br w:val="nil"/>
              <w:tr2bl w:val="nil"/>
            </w:tcBorders>
            <w:shd w:val="clear" w:color="auto" w:fill="auto"/>
            <w:vAlign w:val="top"/>
          </w:tcPr>
          <w:p w14:paraId="28F1AE9B">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技术</w:t>
            </w:r>
          </w:p>
        </w:tc>
        <w:tc>
          <w:tcPr>
            <w:tcW w:w="6900" w:type="dxa"/>
            <w:tcBorders>
              <w:tl2br w:val="nil"/>
              <w:tr2bl w:val="nil"/>
            </w:tcBorders>
            <w:shd w:val="clear" w:color="auto" w:fill="auto"/>
            <w:vAlign w:val="top"/>
          </w:tcPr>
          <w:p w14:paraId="42029130">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售后服务方案 根据投标人提供的售后服务方案进行综合评审，方案内容包括但不限于： ①售后服务方案； ②售后服务网点配置; ③售后服务承诺。 缺少1项内容扣2分，各项内容中每有一处存在缺陷（缺陷是指：投标内容与采购需求不符或内容编排混 乱）扣1分，扣完为止（其中“项”指上述①②③所述内容）。</w:t>
            </w:r>
          </w:p>
        </w:tc>
        <w:tc>
          <w:tcPr>
            <w:tcW w:w="1274" w:type="dxa"/>
            <w:tcBorders>
              <w:tl2br w:val="nil"/>
              <w:tr2bl w:val="nil"/>
            </w:tcBorders>
            <w:shd w:val="clear" w:color="auto" w:fill="auto"/>
            <w:vAlign w:val="top"/>
          </w:tcPr>
          <w:p w14:paraId="72273DA1">
            <w:pPr>
              <w:keepNext w:val="0"/>
              <w:keepLines w:val="0"/>
              <w:widowControl/>
              <w:suppressLineNumbers w:val="0"/>
              <w:jc w:val="left"/>
              <w:textAlignment w:val="top"/>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0~6</w:t>
            </w:r>
          </w:p>
        </w:tc>
      </w:tr>
    </w:tbl>
    <w:p w14:paraId="216BB53A">
      <w:pPr>
        <w:rPr>
          <w:rFonts w:hint="eastAsia" w:ascii="华文中宋" w:hAnsi="华文中宋" w:eastAsia="华文中宋" w:cs="华文中宋"/>
          <w:b/>
          <w:color w:val="auto"/>
          <w:spacing w:val="20"/>
          <w:kern w:val="44"/>
          <w:sz w:val="28"/>
          <w:szCs w:val="28"/>
          <w:highlight w:val="none"/>
        </w:rPr>
      </w:pPr>
    </w:p>
    <w:p w14:paraId="5FC07357">
      <w:pPr>
        <w:rPr>
          <w:rFonts w:hint="eastAsia" w:ascii="华文中宋" w:hAnsi="华文中宋" w:eastAsia="华文中宋" w:cs="华文中宋"/>
          <w:b/>
          <w:color w:val="auto"/>
          <w:spacing w:val="20"/>
          <w:kern w:val="44"/>
          <w:sz w:val="28"/>
          <w:szCs w:val="28"/>
          <w:highlight w:val="none"/>
        </w:rPr>
      </w:pPr>
      <w:r>
        <w:rPr>
          <w:rFonts w:hint="eastAsia" w:ascii="华文中宋" w:hAnsi="华文中宋" w:eastAsia="华文中宋" w:cs="华文中宋"/>
          <w:b/>
          <w:color w:val="auto"/>
          <w:spacing w:val="20"/>
          <w:kern w:val="44"/>
          <w:sz w:val="28"/>
          <w:szCs w:val="28"/>
          <w:highlight w:val="none"/>
        </w:rPr>
        <w:br w:type="page"/>
      </w:r>
    </w:p>
    <w:p w14:paraId="430BB2B6">
      <w:pPr>
        <w:wordWrap w:val="0"/>
        <w:spacing w:line="360" w:lineRule="auto"/>
        <w:ind w:right="315"/>
        <w:jc w:val="center"/>
        <w:outlineLvl w:val="0"/>
        <w:rPr>
          <w:rFonts w:ascii="宋体" w:hAnsi="宋体" w:cs="宋体"/>
          <w:b/>
          <w:bCs/>
          <w:color w:val="auto"/>
          <w:spacing w:val="-20"/>
          <w:kern w:val="44"/>
          <w:sz w:val="48"/>
          <w:szCs w:val="48"/>
          <w:highlight w:val="none"/>
        </w:rPr>
      </w:pPr>
      <w:r>
        <w:rPr>
          <w:rFonts w:hint="eastAsia" w:ascii="华文中宋" w:hAnsi="华文中宋" w:eastAsia="华文中宋" w:cs="华文中宋"/>
          <w:b/>
          <w:color w:val="auto"/>
          <w:spacing w:val="20"/>
          <w:kern w:val="44"/>
          <w:sz w:val="28"/>
          <w:szCs w:val="28"/>
          <w:highlight w:val="none"/>
        </w:rPr>
        <w:t>第七部分  合同</w:t>
      </w:r>
      <w:r>
        <w:rPr>
          <w:rFonts w:hint="eastAsia" w:ascii="华文中宋" w:hAnsi="华文中宋" w:eastAsia="华文中宋" w:cs="华文中宋"/>
          <w:b/>
          <w:color w:val="auto"/>
          <w:spacing w:val="20"/>
          <w:kern w:val="44"/>
          <w:sz w:val="28"/>
          <w:szCs w:val="28"/>
          <w:highlight w:val="none"/>
          <w:lang w:val="en-US" w:eastAsia="zh-CN"/>
        </w:rPr>
        <w:t>范</w:t>
      </w:r>
      <w:r>
        <w:rPr>
          <w:rFonts w:hint="eastAsia" w:ascii="华文中宋" w:hAnsi="华文中宋" w:eastAsia="华文中宋" w:cs="华文中宋"/>
          <w:b/>
          <w:color w:val="auto"/>
          <w:spacing w:val="20"/>
          <w:kern w:val="44"/>
          <w:sz w:val="28"/>
          <w:szCs w:val="28"/>
          <w:highlight w:val="none"/>
        </w:rPr>
        <w:t>本</w:t>
      </w:r>
      <w:bookmarkEnd w:id="55"/>
      <w:bookmarkEnd w:id="56"/>
      <w:bookmarkEnd w:id="57"/>
      <w:bookmarkEnd w:id="58"/>
    </w:p>
    <w:p w14:paraId="1E36247A">
      <w:pPr>
        <w:pStyle w:val="15"/>
        <w:spacing w:after="0"/>
        <w:jc w:val="center"/>
        <w:rPr>
          <w:rFonts w:ascii="宋体" w:hAnsi="宋体" w:cs="宋体"/>
          <w:b/>
          <w:bCs/>
          <w:color w:val="auto"/>
          <w:spacing w:val="-20"/>
          <w:kern w:val="44"/>
          <w:sz w:val="48"/>
          <w:szCs w:val="48"/>
          <w:highlight w:val="none"/>
        </w:rPr>
      </w:pPr>
    </w:p>
    <w:p w14:paraId="605F1CB9">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需方：</w:t>
      </w:r>
    </w:p>
    <w:p w14:paraId="640D017B">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供方：</w:t>
      </w:r>
    </w:p>
    <w:p w14:paraId="432F8CED">
      <w:pPr>
        <w:spacing w:line="360" w:lineRule="auto"/>
        <w:ind w:firstLine="420" w:firstLineChars="200"/>
        <w:rPr>
          <w:color w:val="auto"/>
          <w:szCs w:val="21"/>
          <w:highlight w:val="none"/>
        </w:rPr>
      </w:pPr>
      <w:r>
        <w:rPr>
          <w:rFonts w:hint="eastAsia" w:ascii="华文中宋" w:hAnsi="华文中宋" w:eastAsia="华文中宋"/>
          <w:color w:val="auto"/>
          <w:szCs w:val="21"/>
          <w:highlight w:val="none"/>
        </w:rPr>
        <w:t>供方在</w:t>
      </w:r>
      <w:r>
        <w:rPr>
          <w:rFonts w:hint="eastAsia" w:ascii="华文中宋" w:hAnsi="华文中宋" w:eastAsia="华文中宋"/>
          <w:color w:val="auto"/>
          <w:szCs w:val="21"/>
          <w:highlight w:val="none"/>
          <w:lang w:val="en-US" w:eastAsia="zh-CN"/>
        </w:rPr>
        <w:t>大同市公共资源交易中心（大同市政府采购中心）</w:t>
      </w:r>
      <w:r>
        <w:rPr>
          <w:rFonts w:hint="eastAsia" w:ascii="华文中宋" w:hAnsi="华文中宋" w:eastAsia="华文中宋"/>
          <w:color w:val="auto"/>
          <w:szCs w:val="21"/>
          <w:highlight w:val="none"/>
        </w:rPr>
        <w:t>组织的</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项目</w:t>
      </w:r>
      <w:r>
        <w:rPr>
          <w:rFonts w:hint="eastAsia" w:ascii="华文中宋" w:hAnsi="华文中宋" w:eastAsia="华文中宋"/>
          <w:color w:val="auto"/>
          <w:szCs w:val="21"/>
          <w:highlight w:val="none"/>
          <w:lang w:val="en-US" w:eastAsia="zh-CN"/>
        </w:rPr>
        <w:t>公开招标</w:t>
      </w:r>
      <w:r>
        <w:rPr>
          <w:rFonts w:hint="eastAsia" w:ascii="华文中宋" w:hAnsi="华文中宋" w:eastAsia="华文中宋"/>
          <w:color w:val="auto"/>
          <w:szCs w:val="21"/>
          <w:highlight w:val="none"/>
        </w:rPr>
        <w:t>采购中成交，经双方协商一致，签订本合同。</w:t>
      </w:r>
    </w:p>
    <w:p w14:paraId="06F3004C">
      <w:pPr>
        <w:spacing w:line="360" w:lineRule="auto"/>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一、货物条款</w:t>
      </w:r>
    </w:p>
    <w:p w14:paraId="0B8E39E2">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rPr>
        <w:t>供方向需方提供以下货物</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服务</w:t>
      </w:r>
    </w:p>
    <w:p w14:paraId="4CAB346A">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（具体品牌、数量、技术参数及质保期等清单后附）</w:t>
      </w:r>
    </w:p>
    <w:p w14:paraId="31718743">
      <w:pPr>
        <w:spacing w:line="360" w:lineRule="auto"/>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二、合同总金额</w:t>
      </w:r>
      <w:r>
        <w:rPr>
          <w:rFonts w:ascii="华文中宋" w:hAnsi="华文中宋" w:eastAsia="华文中宋"/>
          <w:b/>
          <w:color w:val="auto"/>
          <w:szCs w:val="21"/>
          <w:highlight w:val="none"/>
        </w:rPr>
        <w:t>:</w:t>
      </w:r>
    </w:p>
    <w:p w14:paraId="06531DD0">
      <w:pPr>
        <w:spacing w:line="360" w:lineRule="auto"/>
        <w:ind w:firstLine="420" w:firstLineChars="200"/>
        <w:rPr>
          <w:rFonts w:ascii="华文中宋" w:hAnsi="华文中宋" w:eastAsia="华文中宋"/>
          <w:color w:val="auto"/>
          <w:szCs w:val="21"/>
          <w:highlight w:val="none"/>
          <w:u w:val="single"/>
        </w:rPr>
      </w:pPr>
      <w:r>
        <w:rPr>
          <w:rFonts w:hint="eastAsia" w:ascii="华文中宋" w:hAnsi="华文中宋" w:eastAsia="华文中宋" w:cs="宋体"/>
          <w:color w:val="auto"/>
          <w:szCs w:val="21"/>
          <w:highlight w:val="none"/>
        </w:rPr>
        <w:t>人民币（大写）：（小写）：</w:t>
      </w:r>
      <w:r>
        <w:rPr>
          <w:rFonts w:ascii="华文中宋" w:hAnsi="华文中宋" w:eastAsia="华文中宋"/>
          <w:color w:val="auto"/>
          <w:szCs w:val="21"/>
          <w:highlight w:val="none"/>
        </w:rPr>
        <w:t>Y</w:t>
      </w:r>
    </w:p>
    <w:p w14:paraId="4BC5A06F">
      <w:pPr>
        <w:spacing w:line="360" w:lineRule="auto"/>
        <w:ind w:firstLine="420" w:firstLineChars="200"/>
        <w:rPr>
          <w:rFonts w:ascii="华文中宋" w:hAnsi="华文中宋" w:eastAsia="华文中宋" w:cs="宋体"/>
          <w:color w:val="auto"/>
          <w:szCs w:val="21"/>
          <w:highlight w:val="none"/>
        </w:rPr>
      </w:pPr>
      <w:r>
        <w:rPr>
          <w:rFonts w:hint="eastAsia" w:ascii="华文中宋" w:hAnsi="华文中宋" w:eastAsia="华文中宋" w:cs="宋体"/>
          <w:color w:val="auto"/>
          <w:szCs w:val="21"/>
          <w:highlight w:val="none"/>
        </w:rPr>
        <w:t>合同总金额包含</w:t>
      </w:r>
      <w:r>
        <w:rPr>
          <w:rFonts w:hint="eastAsia" w:ascii="华文中宋" w:hAnsi="华文中宋" w:eastAsia="华文中宋" w:cs="宋体"/>
          <w:color w:val="auto"/>
          <w:szCs w:val="21"/>
          <w:highlight w:val="none"/>
          <w:lang w:val="en-US" w:eastAsia="zh-CN"/>
        </w:rPr>
        <w:t>货物、软件开发、</w:t>
      </w:r>
      <w:r>
        <w:rPr>
          <w:rFonts w:hint="eastAsia" w:ascii="华文中宋" w:hAnsi="华文中宋" w:eastAsia="华文中宋" w:cs="宋体"/>
          <w:color w:val="auto"/>
          <w:szCs w:val="21"/>
          <w:highlight w:val="none"/>
        </w:rPr>
        <w:t>包装、仓储、运输、装卸、安装调试、税费、保险费、供方应当提供的伴随服务</w:t>
      </w:r>
      <w:r>
        <w:rPr>
          <w:rFonts w:ascii="华文中宋" w:hAnsi="华文中宋" w:eastAsia="华文中宋" w:cs="宋体"/>
          <w:color w:val="auto"/>
          <w:szCs w:val="21"/>
          <w:highlight w:val="none"/>
        </w:rPr>
        <w:t>/</w:t>
      </w:r>
      <w:r>
        <w:rPr>
          <w:rFonts w:hint="eastAsia" w:ascii="华文中宋" w:hAnsi="华文中宋" w:eastAsia="华文中宋" w:cs="宋体"/>
          <w:color w:val="auto"/>
          <w:szCs w:val="21"/>
          <w:highlight w:val="none"/>
        </w:rPr>
        <w:t>售后服务费用以及验收合格之前与质保期内备品备件发生的所有费用。此价格为合同执行不变价，不因国家政策变化而变化。</w:t>
      </w:r>
    </w:p>
    <w:p w14:paraId="42FD45A4">
      <w:pPr>
        <w:spacing w:line="360" w:lineRule="auto"/>
        <w:rPr>
          <w:rFonts w:ascii="华文中宋" w:hAnsi="华文中宋" w:eastAsia="华文中宋"/>
          <w:b/>
          <w:color w:val="auto"/>
          <w:szCs w:val="21"/>
          <w:highlight w:val="none"/>
        </w:rPr>
      </w:pPr>
      <w:bookmarkStart w:id="59" w:name="bookmark1"/>
      <w:r>
        <w:rPr>
          <w:rFonts w:hint="eastAsia" w:ascii="华文中宋" w:hAnsi="华文中宋" w:eastAsia="华文中宋" w:cs="宋体"/>
          <w:b/>
          <w:color w:val="auto"/>
          <w:szCs w:val="21"/>
          <w:highlight w:val="none"/>
        </w:rPr>
        <w:t>三</w:t>
      </w:r>
      <w:bookmarkEnd w:id="59"/>
      <w:r>
        <w:rPr>
          <w:rFonts w:hint="eastAsia" w:ascii="华文中宋" w:hAnsi="华文中宋" w:eastAsia="华文中宋" w:cs="宋体"/>
          <w:b/>
          <w:color w:val="auto"/>
          <w:szCs w:val="21"/>
          <w:highlight w:val="none"/>
        </w:rPr>
        <w:t>、合同资金支付</w:t>
      </w:r>
    </w:p>
    <w:p w14:paraId="53EB8BB2">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s="宋体"/>
          <w:color w:val="auto"/>
          <w:szCs w:val="21"/>
          <w:highlight w:val="none"/>
        </w:rPr>
        <w:t>资金支付方式：</w:t>
      </w:r>
    </w:p>
    <w:p w14:paraId="7FAAA03D">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s="宋体"/>
          <w:color w:val="auto"/>
          <w:szCs w:val="21"/>
          <w:highlight w:val="none"/>
        </w:rPr>
        <w:t>资金支付条件及时间：</w:t>
      </w:r>
    </w:p>
    <w:p w14:paraId="0C209418">
      <w:pPr>
        <w:spacing w:line="360" w:lineRule="auto"/>
        <w:rPr>
          <w:rFonts w:ascii="华文中宋" w:hAnsi="华文中宋" w:eastAsia="华文中宋"/>
          <w:b/>
          <w:color w:val="auto"/>
          <w:szCs w:val="21"/>
          <w:highlight w:val="none"/>
        </w:rPr>
      </w:pPr>
      <w:bookmarkStart w:id="60" w:name="bookmark2"/>
      <w:r>
        <w:rPr>
          <w:rFonts w:hint="eastAsia" w:ascii="华文中宋" w:hAnsi="华文中宋" w:eastAsia="华文中宋" w:cs="宋体"/>
          <w:b/>
          <w:color w:val="auto"/>
          <w:szCs w:val="21"/>
          <w:highlight w:val="none"/>
        </w:rPr>
        <w:t>四</w:t>
      </w:r>
      <w:bookmarkEnd w:id="60"/>
      <w:r>
        <w:rPr>
          <w:rFonts w:hint="eastAsia" w:ascii="华文中宋" w:hAnsi="华文中宋" w:eastAsia="华文中宋" w:cs="宋体"/>
          <w:b/>
          <w:color w:val="auto"/>
          <w:szCs w:val="21"/>
          <w:highlight w:val="none"/>
        </w:rPr>
        <w:t>、履约保证金缴纳方式及退还</w:t>
      </w:r>
    </w:p>
    <w:p w14:paraId="31E73C61">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s="宋体"/>
          <w:color w:val="auto"/>
          <w:szCs w:val="21"/>
          <w:highlight w:val="none"/>
        </w:rPr>
        <w:t>履约保证金缴纳方式：</w:t>
      </w:r>
      <w:r>
        <w:rPr>
          <w:rFonts w:hint="eastAsia" w:ascii="华文中宋" w:hAnsi="华文中宋" w:eastAsia="华文中宋"/>
          <w:color w:val="auto"/>
          <w:szCs w:val="21"/>
          <w:highlight w:val="none"/>
        </w:rPr>
        <w:t>签订合同后</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 xml:space="preserve"> ）</w:t>
      </w:r>
      <w:r>
        <w:rPr>
          <w:rFonts w:hint="eastAsia" w:ascii="华文中宋" w:hAnsi="华文中宋" w:eastAsia="华文中宋"/>
          <w:color w:val="auto"/>
          <w:szCs w:val="21"/>
          <w:highlight w:val="none"/>
        </w:rPr>
        <w:t>个工作日内（或收到成交通知书后</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 xml:space="preserve"> ）</w:t>
      </w:r>
      <w:r>
        <w:rPr>
          <w:rFonts w:hint="eastAsia" w:ascii="华文中宋" w:hAnsi="华文中宋" w:eastAsia="华文中宋"/>
          <w:color w:val="auto"/>
          <w:szCs w:val="21"/>
          <w:highlight w:val="none"/>
        </w:rPr>
        <w:t>个工作日内），以支票、汇票、本票或者金融机构、担保机构出具的保函等非现金形式向采购人提交合同额（</w:t>
      </w:r>
      <w:r>
        <w:rPr>
          <w:rFonts w:ascii="华文中宋" w:hAnsi="华文中宋" w:eastAsia="华文中宋" w:cs="华文中宋"/>
          <w:color w:val="auto"/>
          <w:spacing w:val="6"/>
          <w:szCs w:val="21"/>
          <w:highlight w:val="none"/>
        </w:rPr>
        <w:t>____</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）的履约保证金。</w:t>
      </w:r>
    </w:p>
    <w:p w14:paraId="6538AD52">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s="宋体"/>
          <w:color w:val="auto"/>
          <w:szCs w:val="21"/>
          <w:highlight w:val="none"/>
        </w:rPr>
        <w:t>履约保证金退还的方式：</w:t>
      </w:r>
    </w:p>
    <w:p w14:paraId="36337B56">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s="宋体"/>
          <w:color w:val="auto"/>
          <w:szCs w:val="21"/>
          <w:highlight w:val="none"/>
        </w:rPr>
        <w:t>履约保证金退还的条件及时间：供方按合同规定履行完毕供方责任，供方缴纳的履约保证金自项目验收合格之日起</w:t>
      </w:r>
      <w:r>
        <w:rPr>
          <w:rFonts w:hint="eastAsia" w:ascii="华文中宋" w:hAnsi="华文中宋" w:eastAsia="华文中宋"/>
          <w:color w:val="auto"/>
          <w:szCs w:val="21"/>
          <w:highlight w:val="none"/>
        </w:rPr>
        <w:t>（</w:t>
      </w:r>
      <w:r>
        <w:rPr>
          <w:rFonts w:ascii="华文中宋" w:hAnsi="华文中宋" w:eastAsia="华文中宋" w:cs="华文中宋"/>
          <w:color w:val="auto"/>
          <w:spacing w:val="6"/>
          <w:szCs w:val="21"/>
          <w:highlight w:val="none"/>
        </w:rPr>
        <w:t>____</w:t>
      </w:r>
      <w:r>
        <w:rPr>
          <w:rFonts w:hint="eastAsia" w:ascii="华文中宋" w:hAnsi="华文中宋" w:eastAsia="华文中宋"/>
          <w:color w:val="auto"/>
          <w:szCs w:val="21"/>
          <w:highlight w:val="none"/>
        </w:rPr>
        <w:t>）月</w:t>
      </w:r>
      <w:r>
        <w:rPr>
          <w:rFonts w:hint="eastAsia" w:ascii="华文中宋" w:hAnsi="华文中宋" w:eastAsia="华文中宋" w:cs="宋体"/>
          <w:color w:val="auto"/>
          <w:szCs w:val="21"/>
          <w:highlight w:val="none"/>
        </w:rPr>
        <w:t>后</w:t>
      </w:r>
      <w:r>
        <w:rPr>
          <w:rFonts w:hint="eastAsia" w:ascii="华文中宋" w:hAnsi="华文中宋" w:eastAsia="华文中宋"/>
          <w:color w:val="auto"/>
          <w:szCs w:val="21"/>
          <w:highlight w:val="none"/>
        </w:rPr>
        <w:t>（</w:t>
      </w:r>
      <w:r>
        <w:rPr>
          <w:rFonts w:ascii="华文中宋" w:hAnsi="华文中宋" w:eastAsia="华文中宋" w:cs="华文中宋"/>
          <w:color w:val="auto"/>
          <w:spacing w:val="6"/>
          <w:szCs w:val="21"/>
          <w:highlight w:val="none"/>
        </w:rPr>
        <w:t>____</w:t>
      </w:r>
      <w:r>
        <w:rPr>
          <w:rFonts w:hint="eastAsia" w:ascii="华文中宋" w:hAnsi="华文中宋" w:eastAsia="华文中宋"/>
          <w:color w:val="auto"/>
          <w:szCs w:val="21"/>
          <w:highlight w:val="none"/>
        </w:rPr>
        <w:t>）</w:t>
      </w:r>
      <w:r>
        <w:rPr>
          <w:rFonts w:hint="eastAsia" w:ascii="华文中宋" w:hAnsi="华文中宋" w:eastAsia="华文中宋" w:cs="宋体"/>
          <w:color w:val="auto"/>
          <w:szCs w:val="21"/>
          <w:highlight w:val="none"/>
        </w:rPr>
        <w:t>个工作日内采购人无息退还。</w:t>
      </w:r>
    </w:p>
    <w:p w14:paraId="1F2EF918">
      <w:pPr>
        <w:spacing w:line="360" w:lineRule="auto"/>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五、售后服务及承诺</w:t>
      </w:r>
    </w:p>
    <w:p w14:paraId="5CDC63A5">
      <w:pPr>
        <w:spacing w:line="360" w:lineRule="auto"/>
        <w:ind w:firstLine="420" w:firstLineChars="200"/>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供方向需方承诺：</w:t>
      </w:r>
    </w:p>
    <w:p w14:paraId="46E90815">
      <w:pPr>
        <w:spacing w:line="360" w:lineRule="auto"/>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六、交货</w:t>
      </w:r>
    </w:p>
    <w:p w14:paraId="171C9630">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交货期限：</w:t>
      </w:r>
    </w:p>
    <w:p w14:paraId="18F14B5C">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rPr>
        <w:t>交货地点：</w:t>
      </w:r>
    </w:p>
    <w:p w14:paraId="7E1F3B7C">
      <w:pPr>
        <w:spacing w:line="360" w:lineRule="auto"/>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七、交验</w:t>
      </w:r>
    </w:p>
    <w:p w14:paraId="1284F7A6">
      <w:pPr>
        <w:spacing w:line="360" w:lineRule="auto"/>
        <w:ind w:firstLine="420" w:firstLineChars="200"/>
        <w:rPr>
          <w:rFonts w:ascii="华文中宋" w:hAnsi="华文中宋" w:eastAsia="华文中宋" w:cs="宋体"/>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s="宋体"/>
          <w:color w:val="auto"/>
          <w:szCs w:val="21"/>
          <w:highlight w:val="none"/>
        </w:rPr>
        <w:t>．验收由需方组织进行，必要时可邀请国家认可的质量检测机构参加验收工作，需方验收供方所交的货物后要制作填写</w:t>
      </w:r>
      <w:r>
        <w:rPr>
          <w:rFonts w:hint="eastAsia" w:ascii="华文中宋" w:hAnsi="华文中宋" w:eastAsia="华文中宋"/>
          <w:color w:val="auto"/>
          <w:szCs w:val="21"/>
          <w:highlight w:val="none"/>
        </w:rPr>
        <w:t>“</w:t>
      </w:r>
      <w:r>
        <w:rPr>
          <w:rFonts w:hint="eastAsia" w:ascii="华文中宋" w:hAnsi="华文中宋" w:eastAsia="华文中宋" w:cs="宋体"/>
          <w:color w:val="auto"/>
          <w:szCs w:val="21"/>
          <w:highlight w:val="none"/>
        </w:rPr>
        <w:t>合同履约情况验收报告</w:t>
      </w:r>
      <w:r>
        <w:rPr>
          <w:rFonts w:hint="eastAsia" w:ascii="华文中宋" w:hAnsi="华文中宋" w:eastAsia="华文中宋"/>
          <w:color w:val="auto"/>
          <w:szCs w:val="21"/>
          <w:highlight w:val="none"/>
        </w:rPr>
        <w:t>”</w:t>
      </w:r>
      <w:r>
        <w:rPr>
          <w:rFonts w:hint="eastAsia" w:ascii="华文中宋" w:hAnsi="华文中宋" w:eastAsia="华文中宋" w:cs="宋体"/>
          <w:color w:val="auto"/>
          <w:szCs w:val="21"/>
          <w:highlight w:val="none"/>
        </w:rPr>
        <w:t>。验收结果须供需双方共同确认。</w:t>
      </w:r>
    </w:p>
    <w:p w14:paraId="5E9B0636">
      <w:pPr>
        <w:spacing w:line="360" w:lineRule="auto"/>
        <w:ind w:firstLine="420" w:firstLineChars="200"/>
        <w:rPr>
          <w:rFonts w:ascii="华文中宋" w:hAnsi="华文中宋" w:eastAsia="华文中宋" w:cs="宋体"/>
          <w:color w:val="auto"/>
          <w:szCs w:val="21"/>
          <w:highlight w:val="none"/>
        </w:rPr>
      </w:pPr>
      <w:r>
        <w:rPr>
          <w:rFonts w:ascii="华文中宋" w:hAnsi="华文中宋" w:eastAsia="华文中宋"/>
          <w:color w:val="auto"/>
          <w:szCs w:val="21"/>
          <w:highlight w:val="none"/>
        </w:rPr>
        <w:t>2</w:t>
      </w:r>
      <w:r>
        <w:rPr>
          <w:rFonts w:hint="eastAsia" w:ascii="华文中宋" w:hAnsi="华文中宋" w:eastAsia="华文中宋" w:cs="宋体"/>
          <w:color w:val="auto"/>
          <w:szCs w:val="21"/>
          <w:highlight w:val="none"/>
        </w:rPr>
        <w:t>．交货时供方就所投产品提供生产厂家完整的随机资料，包括完整的使用和维修手册、产品说明书等，同时需方有权要求供方对产品的合法供货渠道进行说明，经核实如供方提供非法渠道的商品，视为欺诈，为维护需方的合法权益，供方要承担商品价值双倍的赔偿；同时，依据国家法律法规追究其他责任，并连带追究所投产品生产企业的责任。</w:t>
      </w:r>
    </w:p>
    <w:p w14:paraId="311FA2AD">
      <w:pPr>
        <w:spacing w:line="360" w:lineRule="auto"/>
        <w:ind w:firstLine="420" w:firstLineChars="200"/>
        <w:rPr>
          <w:rFonts w:ascii="华文中宋" w:hAnsi="华文中宋" w:eastAsia="华文中宋" w:cs="宋体"/>
          <w:color w:val="auto"/>
          <w:szCs w:val="21"/>
          <w:highlight w:val="none"/>
        </w:rPr>
      </w:pPr>
      <w:r>
        <w:rPr>
          <w:rFonts w:ascii="华文中宋" w:hAnsi="华文中宋" w:eastAsia="华文中宋"/>
          <w:color w:val="auto"/>
          <w:szCs w:val="21"/>
          <w:highlight w:val="none"/>
        </w:rPr>
        <w:t>3</w:t>
      </w:r>
      <w:r>
        <w:rPr>
          <w:rFonts w:hint="eastAsia" w:ascii="华文中宋" w:hAnsi="华文中宋" w:eastAsia="华文中宋"/>
          <w:color w:val="auto"/>
          <w:szCs w:val="21"/>
          <w:highlight w:val="none"/>
        </w:rPr>
        <w:t>．供方所供商品包装需符合《商品包装政府采购需求标准（试行）》，快递包装需符合《快递包装政府采购需求标准（试行）》</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必要时需方可要求供方提供商品包装、快递包装的检测报告。</w:t>
      </w:r>
    </w:p>
    <w:p w14:paraId="7BC76C61">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s="宋体"/>
          <w:color w:val="auto"/>
          <w:szCs w:val="21"/>
          <w:highlight w:val="none"/>
        </w:rPr>
        <w:t>4</w:t>
      </w:r>
      <w:r>
        <w:rPr>
          <w:rFonts w:hint="eastAsia" w:ascii="华文中宋" w:hAnsi="华文中宋" w:eastAsia="华文中宋" w:cs="宋体"/>
          <w:color w:val="auto"/>
          <w:szCs w:val="21"/>
          <w:highlight w:val="none"/>
        </w:rPr>
        <w:t>．供方交付产品中的软件应无知识产权纠纷，若出现知识产权纠纷等法律问题，由供方自行承担。</w:t>
      </w:r>
    </w:p>
    <w:p w14:paraId="3B60CCCB">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5</w:t>
      </w:r>
      <w:r>
        <w:rPr>
          <w:rFonts w:hint="eastAsia" w:ascii="华文中宋" w:hAnsi="华文中宋" w:eastAsia="华文中宋"/>
          <w:color w:val="auto"/>
          <w:szCs w:val="21"/>
          <w:highlight w:val="none"/>
        </w:rPr>
        <w:t>．</w:t>
      </w:r>
      <w:r>
        <w:rPr>
          <w:rFonts w:hint="eastAsia" w:ascii="华文中宋" w:hAnsi="华文中宋" w:eastAsia="华文中宋" w:cs="宋体"/>
          <w:color w:val="auto"/>
          <w:szCs w:val="21"/>
          <w:highlight w:val="none"/>
        </w:rPr>
        <w:t>需方要按照</w:t>
      </w:r>
      <w:r>
        <w:rPr>
          <w:rFonts w:hint="eastAsia" w:ascii="华文中宋" w:hAnsi="华文中宋" w:eastAsia="华文中宋" w:cs="宋体"/>
          <w:color w:val="auto"/>
          <w:szCs w:val="21"/>
          <w:highlight w:val="none"/>
          <w:lang w:val="en-US" w:eastAsia="zh-CN"/>
        </w:rPr>
        <w:t>采购</w:t>
      </w:r>
      <w:r>
        <w:rPr>
          <w:rFonts w:hint="eastAsia" w:ascii="华文中宋" w:hAnsi="华文中宋" w:eastAsia="华文中宋" w:cs="宋体"/>
          <w:color w:val="auto"/>
          <w:szCs w:val="21"/>
          <w:highlight w:val="none"/>
        </w:rPr>
        <w:t>文件中的验收标准来进行验收，按照与履约验收挂钩的资金支付条件及时间执行。</w:t>
      </w:r>
    </w:p>
    <w:p w14:paraId="3A709DF9">
      <w:pPr>
        <w:spacing w:line="360" w:lineRule="auto"/>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八、需方责任</w:t>
      </w:r>
    </w:p>
    <w:p w14:paraId="0D1B40F4">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s="宋体"/>
          <w:color w:val="auto"/>
          <w:szCs w:val="21"/>
          <w:highlight w:val="none"/>
        </w:rPr>
        <w:t>．及时办理付款手续</w:t>
      </w:r>
      <w:r>
        <w:rPr>
          <w:rFonts w:hint="eastAsia" w:ascii="华文中宋" w:hAnsi="华文中宋" w:eastAsia="华文中宋"/>
          <w:color w:val="auto"/>
          <w:szCs w:val="21"/>
          <w:highlight w:val="none"/>
        </w:rPr>
        <w:t>。</w:t>
      </w:r>
      <w:r>
        <w:rPr>
          <w:rFonts w:hint="eastAsia" w:ascii="华文中宋" w:hAnsi="华文中宋" w:eastAsia="华文中宋" w:cs="宋体"/>
          <w:color w:val="auto"/>
          <w:szCs w:val="21"/>
          <w:highlight w:val="none"/>
        </w:rPr>
        <w:t>不得以机构变动、人员更替、政策调整等为由延迟付款，不得将谈判文件和合同中未规定的义务作为向供应商付款的条件。</w:t>
      </w:r>
    </w:p>
    <w:p w14:paraId="6492894C">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2</w:t>
      </w:r>
      <w:r>
        <w:rPr>
          <w:rFonts w:hint="eastAsia" w:ascii="华文中宋" w:hAnsi="华文中宋" w:eastAsia="华文中宋" w:cs="宋体"/>
          <w:color w:val="auto"/>
          <w:szCs w:val="21"/>
          <w:highlight w:val="none"/>
        </w:rPr>
        <w:t>．负责提供工作场地，协助供方办理有关</w:t>
      </w:r>
      <w:r>
        <w:rPr>
          <w:rFonts w:hint="eastAsia" w:ascii="华文中宋" w:hAnsi="华文中宋" w:eastAsia="华文中宋"/>
          <w:color w:val="auto"/>
          <w:szCs w:val="21"/>
          <w:highlight w:val="none"/>
        </w:rPr>
        <w:t>事宜</w:t>
      </w:r>
      <w:r>
        <w:rPr>
          <w:rFonts w:hint="eastAsia" w:ascii="华文中宋" w:hAnsi="华文中宋" w:eastAsia="华文中宋" w:cs="宋体"/>
          <w:color w:val="auto"/>
          <w:szCs w:val="21"/>
          <w:highlight w:val="none"/>
        </w:rPr>
        <w:t>。</w:t>
      </w:r>
    </w:p>
    <w:p w14:paraId="1C474A76">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3</w:t>
      </w:r>
      <w:r>
        <w:rPr>
          <w:rFonts w:hint="eastAsia" w:ascii="华文中宋" w:hAnsi="华文中宋" w:eastAsia="华文中宋" w:cs="宋体"/>
          <w:color w:val="auto"/>
          <w:szCs w:val="21"/>
          <w:highlight w:val="none"/>
        </w:rPr>
        <w:t>．对合同条款及价格负有保密义务。</w:t>
      </w:r>
    </w:p>
    <w:p w14:paraId="6BBBE8F5">
      <w:pPr>
        <w:spacing w:line="360" w:lineRule="auto"/>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九、供方责任</w:t>
      </w:r>
    </w:p>
    <w:p w14:paraId="192E5700">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s="宋体"/>
          <w:color w:val="auto"/>
          <w:szCs w:val="21"/>
          <w:highlight w:val="none"/>
        </w:rPr>
        <w:t>．保证所供货物均为响应文件承诺的，符合相关质量检测标准，具有该产品的出厂标准或国家鉴定证书。</w:t>
      </w:r>
    </w:p>
    <w:p w14:paraId="06B3B304">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2</w:t>
      </w:r>
      <w:r>
        <w:rPr>
          <w:rFonts w:hint="eastAsia" w:ascii="华文中宋" w:hAnsi="华文中宋" w:eastAsia="华文中宋" w:cs="宋体"/>
          <w:color w:val="auto"/>
          <w:szCs w:val="21"/>
          <w:highlight w:val="none"/>
        </w:rPr>
        <w:t>．保证售后服务，严格依据响应文件及相关承诺，进行保修、维护等服务</w:t>
      </w:r>
      <w:r>
        <w:rPr>
          <w:rFonts w:hint="eastAsia" w:ascii="华文中宋" w:hAnsi="华文中宋" w:eastAsia="华文中宋"/>
          <w:color w:val="auto"/>
          <w:szCs w:val="21"/>
          <w:highlight w:val="none"/>
        </w:rPr>
        <w:t>。</w:t>
      </w:r>
    </w:p>
    <w:p w14:paraId="161D5D1F">
      <w:pPr>
        <w:spacing w:line="360" w:lineRule="auto"/>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十、违约责任</w:t>
      </w:r>
    </w:p>
    <w:p w14:paraId="034F77AE">
      <w:pPr>
        <w:spacing w:line="360" w:lineRule="auto"/>
        <w:ind w:firstLine="420" w:firstLineChars="200"/>
        <w:rPr>
          <w:rFonts w:ascii="华文中宋" w:hAnsi="华文中宋" w:eastAsia="华文中宋" w:cs="宋体"/>
          <w:color w:val="auto"/>
          <w:szCs w:val="21"/>
          <w:highlight w:val="none"/>
        </w:rPr>
      </w:pPr>
      <w:bookmarkStart w:id="61" w:name="bookmark8"/>
      <w:r>
        <w:rPr>
          <w:rFonts w:ascii="华文中宋" w:hAnsi="华文中宋" w:eastAsia="华文中宋"/>
          <w:color w:val="auto"/>
          <w:szCs w:val="21"/>
          <w:highlight w:val="none"/>
        </w:rPr>
        <w:t>1</w:t>
      </w:r>
      <w:bookmarkEnd w:id="61"/>
      <w:r>
        <w:rPr>
          <w:rFonts w:hint="eastAsia" w:ascii="华文中宋" w:hAnsi="华文中宋" w:eastAsia="华文中宋" w:cs="宋体"/>
          <w:color w:val="auto"/>
          <w:szCs w:val="21"/>
          <w:highlight w:val="none"/>
        </w:rPr>
        <w:t>．需方无正当理由逾期支付货款的，每逾期一日向供方偿付合同款总额</w:t>
      </w:r>
      <w:r>
        <w:rPr>
          <w:rFonts w:hint="eastAsia" w:ascii="华文中宋" w:hAnsi="华文中宋" w:eastAsia="华文中宋"/>
          <w:color w:val="auto"/>
          <w:szCs w:val="21"/>
          <w:highlight w:val="none"/>
        </w:rPr>
        <w:t>（</w:t>
      </w:r>
      <w:r>
        <w:rPr>
          <w:rFonts w:ascii="华文中宋" w:hAnsi="华文中宋" w:eastAsia="华文中宋" w:cs="华文中宋"/>
          <w:color w:val="auto"/>
          <w:spacing w:val="6"/>
          <w:szCs w:val="21"/>
          <w:highlight w:val="none"/>
        </w:rPr>
        <w:t>____</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w:t>
      </w:r>
      <w:r>
        <w:rPr>
          <w:rFonts w:hint="eastAsia" w:ascii="华文中宋" w:hAnsi="华文中宋" w:eastAsia="华文中宋" w:cs="宋体"/>
          <w:color w:val="auto"/>
          <w:szCs w:val="21"/>
          <w:highlight w:val="none"/>
        </w:rPr>
        <w:t>的违约金，逾期付款超过</w:t>
      </w:r>
      <w:r>
        <w:rPr>
          <w:rFonts w:hint="eastAsia" w:ascii="华文中宋" w:hAnsi="华文中宋" w:eastAsia="华文中宋"/>
          <w:color w:val="auto"/>
          <w:szCs w:val="21"/>
          <w:highlight w:val="none"/>
        </w:rPr>
        <w:t>（</w:t>
      </w:r>
      <w:r>
        <w:rPr>
          <w:rFonts w:ascii="华文中宋" w:hAnsi="华文中宋" w:eastAsia="华文中宋" w:cs="华文中宋"/>
          <w:color w:val="auto"/>
          <w:spacing w:val="6"/>
          <w:szCs w:val="21"/>
          <w:highlight w:val="none"/>
        </w:rPr>
        <w:t>____</w:t>
      </w:r>
      <w:r>
        <w:rPr>
          <w:rFonts w:hint="eastAsia" w:ascii="华文中宋" w:hAnsi="华文中宋" w:eastAsia="华文中宋"/>
          <w:color w:val="auto"/>
          <w:szCs w:val="21"/>
          <w:highlight w:val="none"/>
        </w:rPr>
        <w:t>）</w:t>
      </w:r>
      <w:r>
        <w:rPr>
          <w:rFonts w:hint="eastAsia" w:ascii="华文中宋" w:hAnsi="华文中宋" w:eastAsia="华文中宋" w:cs="宋体"/>
          <w:color w:val="auto"/>
          <w:szCs w:val="21"/>
          <w:highlight w:val="none"/>
        </w:rPr>
        <w:t>日，供方有权解除合同，届时需方向供方退还已收到的货物及履约保证金，并赔偿由此给供方造成的全部经济损失。</w:t>
      </w:r>
    </w:p>
    <w:p w14:paraId="1A66DC45">
      <w:pPr>
        <w:spacing w:line="360" w:lineRule="auto"/>
        <w:ind w:firstLine="420" w:firstLineChars="200"/>
        <w:rPr>
          <w:rFonts w:ascii="华文中宋" w:hAnsi="华文中宋" w:eastAsia="华文中宋"/>
          <w:color w:val="auto"/>
          <w:szCs w:val="21"/>
          <w:highlight w:val="none"/>
        </w:rPr>
      </w:pPr>
      <w:bookmarkStart w:id="62" w:name="bookmark9"/>
      <w:r>
        <w:rPr>
          <w:rFonts w:ascii="华文中宋" w:hAnsi="华文中宋" w:eastAsia="华文中宋"/>
          <w:color w:val="auto"/>
          <w:szCs w:val="21"/>
          <w:highlight w:val="none"/>
        </w:rPr>
        <w:t>2</w:t>
      </w:r>
      <w:bookmarkEnd w:id="62"/>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供方所交的货物品种、型号、规格、质量、商品包装、快递包装不符合合同规定标准，需方有权拒收。同时，供方向需方支付合同款总额（</w:t>
      </w:r>
      <w:r>
        <w:rPr>
          <w:rFonts w:ascii="华文中宋" w:hAnsi="华文中宋" w:eastAsia="华文中宋"/>
          <w:color w:val="auto"/>
          <w:szCs w:val="21"/>
          <w:highlight w:val="none"/>
        </w:rPr>
        <w:t>____%</w:t>
      </w:r>
      <w:r>
        <w:rPr>
          <w:rFonts w:hint="eastAsia" w:ascii="华文中宋" w:hAnsi="华文中宋" w:eastAsia="华文中宋"/>
          <w:color w:val="auto"/>
          <w:szCs w:val="21"/>
          <w:highlight w:val="none"/>
        </w:rPr>
        <w:t>）的违约金。</w:t>
      </w:r>
    </w:p>
    <w:p w14:paraId="0205CEF7">
      <w:pPr>
        <w:spacing w:line="360" w:lineRule="auto"/>
        <w:ind w:firstLine="420" w:firstLineChars="200"/>
        <w:rPr>
          <w:rFonts w:ascii="华文中宋" w:hAnsi="华文中宋" w:eastAsia="华文中宋"/>
          <w:color w:val="auto"/>
          <w:szCs w:val="21"/>
          <w:highlight w:val="none"/>
        </w:rPr>
      </w:pPr>
      <w:bookmarkStart w:id="63" w:name="bookmark10"/>
      <w:r>
        <w:rPr>
          <w:rFonts w:ascii="华文中宋" w:hAnsi="华文中宋" w:eastAsia="华文中宋"/>
          <w:color w:val="auto"/>
          <w:szCs w:val="21"/>
          <w:highlight w:val="none"/>
        </w:rPr>
        <w:t>3</w:t>
      </w:r>
      <w:bookmarkEnd w:id="63"/>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供方不能交付货物时，供方向需方偿付合同款总额（</w:t>
      </w:r>
      <w:r>
        <w:rPr>
          <w:rFonts w:ascii="华文中宋" w:hAnsi="华文中宋" w:eastAsia="华文中宋"/>
          <w:color w:val="auto"/>
          <w:szCs w:val="21"/>
          <w:highlight w:val="none"/>
        </w:rPr>
        <w:t>____%</w:t>
      </w:r>
      <w:r>
        <w:rPr>
          <w:rFonts w:hint="eastAsia" w:ascii="华文中宋" w:hAnsi="华文中宋" w:eastAsia="华文中宋"/>
          <w:color w:val="auto"/>
          <w:szCs w:val="21"/>
          <w:highlight w:val="none"/>
        </w:rPr>
        <w:t>）的违约金。</w:t>
      </w:r>
    </w:p>
    <w:p w14:paraId="5E6EFAB6">
      <w:pPr>
        <w:spacing w:line="360" w:lineRule="auto"/>
        <w:ind w:firstLine="420" w:firstLineChars="200"/>
        <w:rPr>
          <w:rFonts w:ascii="华文中宋" w:hAnsi="华文中宋" w:eastAsia="华文中宋"/>
          <w:color w:val="auto"/>
          <w:szCs w:val="21"/>
          <w:highlight w:val="none"/>
        </w:rPr>
      </w:pPr>
      <w:bookmarkStart w:id="64" w:name="bookmark11"/>
      <w:r>
        <w:rPr>
          <w:rFonts w:ascii="华文中宋" w:hAnsi="华文中宋" w:eastAsia="华文中宋"/>
          <w:color w:val="auto"/>
          <w:szCs w:val="21"/>
          <w:highlight w:val="none"/>
        </w:rPr>
        <w:t>4</w:t>
      </w:r>
      <w:bookmarkEnd w:id="64"/>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供方逾期交付货物时，每逾</w:t>
      </w: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日供方向需方偿付合同款总额（</w:t>
      </w:r>
      <w:r>
        <w:rPr>
          <w:rFonts w:ascii="华文中宋" w:hAnsi="华文中宋" w:eastAsia="华文中宋"/>
          <w:color w:val="auto"/>
          <w:szCs w:val="21"/>
          <w:highlight w:val="none"/>
        </w:rPr>
        <w:t>____%</w:t>
      </w:r>
      <w:r>
        <w:rPr>
          <w:rFonts w:hint="eastAsia" w:ascii="华文中宋" w:hAnsi="华文中宋" w:eastAsia="华文中宋"/>
          <w:color w:val="auto"/>
          <w:szCs w:val="21"/>
          <w:highlight w:val="none"/>
        </w:rPr>
        <w:t>）的滞纳金。逾期交货超过</w:t>
      </w:r>
      <w:r>
        <w:rPr>
          <w:rFonts w:ascii="华文中宋" w:hAnsi="华文中宋" w:eastAsia="华文中宋"/>
          <w:color w:val="auto"/>
          <w:szCs w:val="21"/>
          <w:highlight w:val="none"/>
        </w:rPr>
        <w:t xml:space="preserve"> 30</w:t>
      </w:r>
      <w:r>
        <w:rPr>
          <w:rFonts w:hint="eastAsia" w:ascii="华文中宋" w:hAnsi="华文中宋" w:eastAsia="华文中宋"/>
          <w:color w:val="auto"/>
          <w:szCs w:val="21"/>
          <w:highlight w:val="none"/>
        </w:rPr>
        <w:t>天后，需方有权决定是否继续履行合同。</w:t>
      </w:r>
    </w:p>
    <w:p w14:paraId="334DBA16">
      <w:pPr>
        <w:spacing w:line="360" w:lineRule="auto"/>
        <w:ind w:firstLine="420" w:firstLineChars="200"/>
        <w:rPr>
          <w:rFonts w:ascii="华文中宋" w:hAnsi="华文中宋" w:eastAsia="华文中宋"/>
          <w:color w:val="auto"/>
          <w:szCs w:val="21"/>
          <w:highlight w:val="none"/>
        </w:rPr>
      </w:pPr>
      <w:bookmarkStart w:id="65" w:name="bookmark12"/>
      <w:r>
        <w:rPr>
          <w:rFonts w:ascii="华文中宋" w:hAnsi="华文中宋" w:eastAsia="华文中宋"/>
          <w:color w:val="auto"/>
          <w:szCs w:val="21"/>
          <w:highlight w:val="none"/>
        </w:rPr>
        <w:t>5</w:t>
      </w:r>
      <w:bookmarkEnd w:id="65"/>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供方在履约中，未履行供方责任的，履约保证金不予退还。</w:t>
      </w:r>
    </w:p>
    <w:p w14:paraId="10A9B6AB">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6.</w:t>
      </w:r>
      <w:r>
        <w:rPr>
          <w:rFonts w:hint="eastAsia" w:ascii="华文中宋" w:hAnsi="华文中宋" w:eastAsia="华文中宋"/>
          <w:color w:val="auto"/>
          <w:szCs w:val="21"/>
          <w:highlight w:val="none"/>
        </w:rPr>
        <w:t>供方在履约中，未完全履行供方责任的，需方可按（</w:t>
      </w:r>
      <w:r>
        <w:rPr>
          <w:rFonts w:ascii="华文中宋" w:hAnsi="华文中宋" w:eastAsia="华文中宋"/>
          <w:color w:val="auto"/>
          <w:szCs w:val="21"/>
          <w:highlight w:val="none"/>
        </w:rPr>
        <w:t>____%</w:t>
      </w:r>
      <w:r>
        <w:rPr>
          <w:rFonts w:hint="eastAsia" w:ascii="华文中宋" w:hAnsi="华文中宋" w:eastAsia="华文中宋"/>
          <w:color w:val="auto"/>
          <w:szCs w:val="21"/>
          <w:highlight w:val="none"/>
        </w:rPr>
        <w:t>）扣除履约保证金。</w:t>
      </w:r>
    </w:p>
    <w:p w14:paraId="011497BF">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7.</w:t>
      </w:r>
      <w:r>
        <w:rPr>
          <w:rFonts w:hint="eastAsia" w:ascii="华文中宋" w:hAnsi="华文中宋" w:eastAsia="华文中宋"/>
          <w:color w:val="auto"/>
          <w:szCs w:val="21"/>
          <w:highlight w:val="none"/>
        </w:rPr>
        <w:t>因需方错告或变更到货地点而绐供方造成的损失，由需方负担。</w:t>
      </w:r>
    </w:p>
    <w:p w14:paraId="2A65359F">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8.</w:t>
      </w:r>
      <w:r>
        <w:rPr>
          <w:rFonts w:hint="eastAsia" w:ascii="华文中宋" w:hAnsi="华文中宋" w:eastAsia="华文中宋"/>
          <w:color w:val="auto"/>
          <w:szCs w:val="21"/>
          <w:highlight w:val="none"/>
        </w:rPr>
        <w:t>因需方原因导致合同变更、中止或者终止政府釆购合同的，需方应当对供方受到的损失予以赔偿或者补供，贴偿或者补偿金额：（</w:t>
      </w:r>
      <w:r>
        <w:rPr>
          <w:rFonts w:ascii="华文中宋" w:hAnsi="华文中宋" w:eastAsia="华文中宋"/>
          <w:color w:val="auto"/>
          <w:szCs w:val="21"/>
          <w:highlight w:val="none"/>
        </w:rPr>
        <w:t>____</w:t>
      </w:r>
      <w:r>
        <w:rPr>
          <w:rFonts w:hint="eastAsia" w:ascii="华文中宋" w:hAnsi="华文中宋" w:eastAsia="华文中宋"/>
          <w:color w:val="auto"/>
          <w:szCs w:val="21"/>
          <w:highlight w:val="none"/>
        </w:rPr>
        <w:t>）。</w:t>
      </w:r>
    </w:p>
    <w:p w14:paraId="46116F0B">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9.</w:t>
      </w:r>
      <w:r>
        <w:rPr>
          <w:rFonts w:hint="eastAsia" w:ascii="华文中宋" w:hAnsi="华文中宋" w:eastAsia="华文中宋"/>
          <w:color w:val="auto"/>
          <w:szCs w:val="21"/>
          <w:highlight w:val="none"/>
        </w:rPr>
        <w:t>符合履约保证金退还的条件及时间，需方逾期退还履约保证金的，每逾</w:t>
      </w: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日需方向供方偿付履约保证金总额（</w:t>
      </w:r>
      <w:r>
        <w:rPr>
          <w:rFonts w:ascii="华文中宋" w:hAnsi="华文中宋" w:eastAsia="华文中宋"/>
          <w:color w:val="auto"/>
          <w:szCs w:val="21"/>
          <w:highlight w:val="none"/>
        </w:rPr>
        <w:t>____%</w:t>
      </w:r>
      <w:r>
        <w:rPr>
          <w:rFonts w:hint="eastAsia" w:ascii="华文中宋" w:hAnsi="华文中宋" w:eastAsia="华文中宋"/>
          <w:color w:val="auto"/>
          <w:szCs w:val="21"/>
          <w:highlight w:val="none"/>
        </w:rPr>
        <w:t>）的滞纳金。</w:t>
      </w:r>
    </w:p>
    <w:p w14:paraId="22756142">
      <w:pPr>
        <w:spacing w:line="360" w:lineRule="auto"/>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十一、不可抗力</w:t>
      </w:r>
    </w:p>
    <w:p w14:paraId="02373AAB">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供需双方的任何一方由于不可抗力的原因不能履行合同时，应及时向对方通报不能履行或不能完全履行理由；在取得有关主管机关证明以后，允许延期履行、部分履行或者不履行合同，根据情况可部分或全部免予承担违约责任。</w:t>
      </w:r>
    </w:p>
    <w:p w14:paraId="5EA12FC6">
      <w:pPr>
        <w:spacing w:line="360" w:lineRule="auto"/>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十二、争议解决</w:t>
      </w:r>
    </w:p>
    <w:p w14:paraId="29F3F217">
      <w:pPr>
        <w:spacing w:line="360" w:lineRule="auto"/>
        <w:ind w:firstLine="420" w:firstLineChars="200"/>
        <w:rPr>
          <w:rFonts w:ascii="华文中宋" w:hAnsi="华文中宋" w:eastAsia="华文中宋" w:cs="宋体"/>
          <w:color w:val="auto"/>
          <w:szCs w:val="21"/>
          <w:highlight w:val="none"/>
        </w:rPr>
      </w:pPr>
      <w:r>
        <w:rPr>
          <w:rFonts w:hint="eastAsia" w:ascii="华文中宋" w:hAnsi="华文中宋" w:eastAsia="华文中宋"/>
          <w:color w:val="auto"/>
          <w:szCs w:val="21"/>
          <w:highlight w:val="none"/>
        </w:rPr>
        <w:t>供需双方在执行合同中发生争议，应通过协商解决。如协商不成，</w:t>
      </w:r>
      <w:r>
        <w:rPr>
          <w:rFonts w:hint="eastAsia" w:ascii="华文中宋" w:hAnsi="华文中宋" w:eastAsia="华文中宋" w:cs="宋体"/>
          <w:color w:val="auto"/>
          <w:szCs w:val="21"/>
          <w:highlight w:val="none"/>
        </w:rPr>
        <w:t>双方均可向需方住所地有管辖权的人民法院提起诉讼。</w:t>
      </w:r>
    </w:p>
    <w:p w14:paraId="79B51F3F">
      <w:pPr>
        <w:spacing w:line="360" w:lineRule="auto"/>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十三、合同生效及其他</w:t>
      </w:r>
    </w:p>
    <w:p w14:paraId="3386C11E">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s="宋体"/>
          <w:color w:val="auto"/>
          <w:szCs w:val="21"/>
          <w:highlight w:val="none"/>
        </w:rPr>
        <w:t>1.</w:t>
      </w:r>
      <w:r>
        <w:rPr>
          <w:rFonts w:hint="eastAsia" w:ascii="华文中宋" w:hAnsi="华文中宋" w:eastAsia="华文中宋" w:cs="宋体"/>
          <w:color w:val="auto"/>
          <w:szCs w:val="21"/>
          <w:highlight w:val="none"/>
        </w:rPr>
        <w:t>合同由供、需双方法定代表人或授权代表签字并加盖公章或合同专用章之日起生效</w:t>
      </w:r>
      <w:r>
        <w:rPr>
          <w:rFonts w:hint="eastAsia" w:ascii="华文中宋" w:hAnsi="华文中宋" w:eastAsia="华文中宋"/>
          <w:color w:val="auto"/>
          <w:szCs w:val="21"/>
          <w:highlight w:val="none"/>
        </w:rPr>
        <w:t>。</w:t>
      </w:r>
    </w:p>
    <w:p w14:paraId="1429B75A">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2</w:t>
      </w:r>
      <w:r>
        <w:rPr>
          <w:rFonts w:ascii="华文中宋" w:hAnsi="华文中宋" w:eastAsia="华文中宋" w:cs="宋体"/>
          <w:color w:val="auto"/>
          <w:szCs w:val="21"/>
          <w:highlight w:val="none"/>
        </w:rPr>
        <w:t>.</w:t>
      </w:r>
      <w:r>
        <w:rPr>
          <w:rFonts w:hint="eastAsia" w:ascii="华文中宋" w:hAnsi="华文中宋" w:eastAsia="华文中宋" w:cs="宋体"/>
          <w:color w:val="auto"/>
          <w:szCs w:val="21"/>
          <w:highlight w:val="none"/>
        </w:rPr>
        <w:t>本合同一式</w:t>
      </w:r>
      <w:r>
        <w:rPr>
          <w:rFonts w:hint="eastAsia" w:ascii="华文中宋" w:hAnsi="华文中宋" w:eastAsia="华文中宋"/>
          <w:color w:val="auto"/>
          <w:szCs w:val="21"/>
          <w:highlight w:val="none"/>
        </w:rPr>
        <w:t>（</w:t>
      </w:r>
      <w:r>
        <w:rPr>
          <w:rFonts w:ascii="华文中宋" w:hAnsi="华文中宋" w:eastAsia="华文中宋" w:cs="华文中宋"/>
          <w:color w:val="auto"/>
          <w:spacing w:val="6"/>
          <w:szCs w:val="21"/>
          <w:highlight w:val="none"/>
        </w:rPr>
        <w:t>____</w:t>
      </w:r>
      <w:r>
        <w:rPr>
          <w:rFonts w:hint="eastAsia" w:ascii="华文中宋" w:hAnsi="华文中宋" w:eastAsia="华文中宋"/>
          <w:color w:val="auto"/>
          <w:szCs w:val="21"/>
          <w:highlight w:val="none"/>
        </w:rPr>
        <w:t>）</w:t>
      </w:r>
      <w:r>
        <w:rPr>
          <w:rFonts w:hint="eastAsia" w:ascii="华文中宋" w:hAnsi="华文中宋" w:eastAsia="华文中宋" w:cs="宋体"/>
          <w:color w:val="auto"/>
          <w:szCs w:val="21"/>
          <w:highlight w:val="none"/>
        </w:rPr>
        <w:t>份。</w:t>
      </w:r>
    </w:p>
    <w:p w14:paraId="02B80B40">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3</w:t>
      </w:r>
      <w:r>
        <w:rPr>
          <w:rFonts w:ascii="华文中宋" w:hAnsi="华文中宋" w:eastAsia="华文中宋" w:cs="宋体"/>
          <w:color w:val="auto"/>
          <w:szCs w:val="21"/>
          <w:highlight w:val="none"/>
        </w:rPr>
        <w:t>.</w:t>
      </w:r>
      <w:r>
        <w:rPr>
          <w:rFonts w:hint="eastAsia" w:ascii="华文中宋" w:hAnsi="华文中宋" w:eastAsia="华文中宋" w:cs="宋体"/>
          <w:color w:val="auto"/>
          <w:szCs w:val="21"/>
          <w:highlight w:val="none"/>
        </w:rPr>
        <w:t>合同执行过程中出现的未尽事宜，双方在不违背合同和谈判文件的前提下协商解决。协商结果以“纪要”形式供需双方签字盖章确认，作为合同附件，与合同具有同等效力。</w:t>
      </w:r>
    </w:p>
    <w:p w14:paraId="31245BAB">
      <w:pPr>
        <w:spacing w:line="360" w:lineRule="auto"/>
        <w:rPr>
          <w:rFonts w:ascii="华文中宋" w:hAnsi="华文中宋" w:eastAsia="华文中宋"/>
          <w:b/>
          <w:color w:val="auto"/>
          <w:szCs w:val="21"/>
          <w:highlight w:val="none"/>
        </w:rPr>
      </w:pPr>
      <w:r>
        <w:rPr>
          <w:rFonts w:hint="eastAsia" w:ascii="华文中宋" w:hAnsi="华文中宋" w:eastAsia="华文中宋"/>
          <w:b/>
          <w:color w:val="auto"/>
          <w:szCs w:val="21"/>
          <w:highlight w:val="none"/>
        </w:rPr>
        <w:t>十四、下列文件为本合同不可分割部分</w:t>
      </w:r>
    </w:p>
    <w:p w14:paraId="473D63AE">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lang w:val="en-US" w:eastAsia="zh-CN"/>
        </w:rPr>
        <w:t>招标</w:t>
      </w:r>
      <w:r>
        <w:rPr>
          <w:rFonts w:hint="eastAsia" w:ascii="华文中宋" w:hAnsi="华文中宋" w:eastAsia="华文中宋"/>
          <w:color w:val="auto"/>
          <w:szCs w:val="21"/>
          <w:highlight w:val="none"/>
        </w:rPr>
        <w:t>文件</w:t>
      </w:r>
      <w:r>
        <w:rPr>
          <w:rFonts w:hint="eastAsia" w:ascii="华文中宋" w:hAnsi="华文中宋" w:eastAsia="华文中宋" w:cs="宋体"/>
          <w:color w:val="auto"/>
          <w:szCs w:val="21"/>
          <w:highlight w:val="none"/>
        </w:rPr>
        <w:t>（含澄清或修改文件）</w:t>
      </w:r>
    </w:p>
    <w:p w14:paraId="55036681">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lang w:val="en-US" w:eastAsia="zh-CN"/>
        </w:rPr>
        <w:t>投标</w:t>
      </w:r>
      <w:r>
        <w:rPr>
          <w:rFonts w:hint="eastAsia" w:ascii="华文中宋" w:hAnsi="华文中宋" w:eastAsia="华文中宋"/>
          <w:color w:val="auto"/>
          <w:szCs w:val="21"/>
          <w:highlight w:val="none"/>
        </w:rPr>
        <w:t>文件</w:t>
      </w:r>
      <w:r>
        <w:rPr>
          <w:rFonts w:hint="eastAsia" w:ascii="华文中宋" w:hAnsi="华文中宋" w:eastAsia="华文中宋" w:cs="宋体"/>
          <w:color w:val="auto"/>
          <w:szCs w:val="21"/>
          <w:highlight w:val="none"/>
        </w:rPr>
        <w:t>（含澄清或说明文件）</w:t>
      </w:r>
    </w:p>
    <w:p w14:paraId="4523AE67">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3.</w:t>
      </w:r>
      <w:r>
        <w:rPr>
          <w:rFonts w:hint="eastAsia" w:ascii="华文中宋" w:hAnsi="华文中宋" w:eastAsia="华文中宋"/>
          <w:color w:val="auto"/>
          <w:szCs w:val="21"/>
          <w:highlight w:val="none"/>
          <w:lang w:val="en-US" w:eastAsia="zh-CN"/>
        </w:rPr>
        <w:t>中标</w:t>
      </w:r>
      <w:r>
        <w:rPr>
          <w:rFonts w:hint="eastAsia" w:ascii="华文中宋" w:hAnsi="华文中宋" w:eastAsia="华文中宋"/>
          <w:color w:val="auto"/>
          <w:szCs w:val="21"/>
          <w:highlight w:val="none"/>
        </w:rPr>
        <w:t>供应商所做的其他承诺</w:t>
      </w:r>
    </w:p>
    <w:p w14:paraId="09EF8153">
      <w:pPr>
        <w:spacing w:line="360" w:lineRule="auto"/>
        <w:ind w:firstLine="315" w:firstLineChars="150"/>
        <w:rPr>
          <w:rFonts w:ascii="华文中宋" w:hAnsi="华文中宋" w:eastAsia="华文中宋"/>
          <w:color w:val="auto"/>
          <w:szCs w:val="21"/>
          <w:highlight w:val="none"/>
        </w:rPr>
      </w:pPr>
      <w:r>
        <w:rPr>
          <w:rFonts w:ascii="华文中宋" w:hAnsi="华文中宋" w:eastAsia="华文中宋"/>
          <w:color w:val="auto"/>
          <w:szCs w:val="21"/>
          <w:highlight w:val="none"/>
        </w:rPr>
        <w:t>4</w:t>
      </w:r>
      <w:r>
        <w:rPr>
          <w:rFonts w:hint="eastAsia" w:ascii="华文中宋" w:hAnsi="华文中宋" w:eastAsia="华文中宋" w:cs="宋体"/>
          <w:color w:val="auto"/>
          <w:szCs w:val="21"/>
          <w:highlight w:val="none"/>
        </w:rPr>
        <w:t>、项目验收标准、程序</w:t>
      </w:r>
    </w:p>
    <w:p w14:paraId="48541C1B">
      <w:pPr>
        <w:spacing w:line="360" w:lineRule="auto"/>
        <w:rPr>
          <w:rFonts w:ascii="华文中宋" w:hAnsi="华文中宋" w:eastAsia="华文中宋"/>
          <w:color w:val="auto"/>
          <w:szCs w:val="21"/>
          <w:highlight w:val="none"/>
        </w:rPr>
      </w:pPr>
      <w:r>
        <w:rPr>
          <w:rFonts w:hint="eastAsia" w:ascii="华文中宋" w:hAnsi="华文中宋" w:eastAsia="华文中宋" w:cs="宋体"/>
          <w:color w:val="auto"/>
          <w:szCs w:val="21"/>
          <w:highlight w:val="none"/>
        </w:rPr>
        <w:t>需方</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章</w:t>
      </w:r>
      <w:r>
        <w:rPr>
          <w:rFonts w:ascii="华文中宋" w:hAnsi="华文中宋" w:eastAsia="华文中宋"/>
          <w:color w:val="auto"/>
          <w:szCs w:val="21"/>
          <w:highlight w:val="none"/>
        </w:rPr>
        <w:t xml:space="preserve">):                                     </w:t>
      </w:r>
      <w:r>
        <w:rPr>
          <w:rFonts w:hint="eastAsia" w:ascii="华文中宋" w:hAnsi="华文中宋" w:eastAsia="华文中宋" w:cs="宋体"/>
          <w:color w:val="auto"/>
          <w:szCs w:val="21"/>
          <w:highlight w:val="none"/>
        </w:rPr>
        <w:t>供方</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章</w:t>
      </w:r>
      <w:r>
        <w:rPr>
          <w:rFonts w:ascii="华文中宋" w:hAnsi="华文中宋" w:eastAsia="华文中宋"/>
          <w:color w:val="auto"/>
          <w:szCs w:val="21"/>
          <w:highlight w:val="none"/>
        </w:rPr>
        <w:t>)</w:t>
      </w:r>
      <w:r>
        <w:rPr>
          <w:rFonts w:hint="eastAsia" w:ascii="华文中宋" w:hAnsi="华文中宋" w:eastAsia="华文中宋" w:cs="宋体"/>
          <w:color w:val="auto"/>
          <w:szCs w:val="21"/>
          <w:highlight w:val="none"/>
        </w:rPr>
        <w:t>：</w:t>
      </w:r>
    </w:p>
    <w:p w14:paraId="6737A6B5">
      <w:pPr>
        <w:spacing w:line="360" w:lineRule="auto"/>
        <w:rPr>
          <w:rFonts w:ascii="华文中宋" w:hAnsi="华文中宋" w:eastAsia="华文中宋"/>
          <w:color w:val="auto"/>
          <w:szCs w:val="21"/>
          <w:highlight w:val="none"/>
        </w:rPr>
      </w:pPr>
      <w:r>
        <w:rPr>
          <w:rFonts w:hint="eastAsia" w:ascii="华文中宋" w:hAnsi="华文中宋" w:eastAsia="华文中宋" w:cs="宋体"/>
          <w:color w:val="auto"/>
          <w:szCs w:val="21"/>
          <w:highlight w:val="none"/>
        </w:rPr>
        <w:t>法定代表人</w:t>
      </w:r>
      <w:r>
        <w:rPr>
          <w:rFonts w:ascii="华文中宋" w:hAnsi="华文中宋" w:eastAsia="华文中宋"/>
          <w:color w:val="auto"/>
          <w:szCs w:val="21"/>
          <w:highlight w:val="none"/>
        </w:rPr>
        <w:t xml:space="preserve">:                                  </w:t>
      </w:r>
      <w:r>
        <w:rPr>
          <w:rFonts w:hint="eastAsia" w:ascii="华文中宋" w:hAnsi="华文中宋" w:eastAsia="华文中宋" w:cs="宋体"/>
          <w:color w:val="auto"/>
          <w:szCs w:val="21"/>
          <w:highlight w:val="none"/>
        </w:rPr>
        <w:t>法定代表人</w:t>
      </w:r>
      <w:r>
        <w:rPr>
          <w:rFonts w:ascii="华文中宋" w:hAnsi="华文中宋" w:eastAsia="华文中宋"/>
          <w:color w:val="auto"/>
          <w:szCs w:val="21"/>
          <w:highlight w:val="none"/>
        </w:rPr>
        <w:t>:</w:t>
      </w:r>
    </w:p>
    <w:p w14:paraId="3BB14303">
      <w:pPr>
        <w:spacing w:line="360" w:lineRule="auto"/>
        <w:rPr>
          <w:rFonts w:ascii="华文中宋" w:hAnsi="华文中宋" w:eastAsia="华文中宋"/>
          <w:color w:val="auto"/>
          <w:szCs w:val="21"/>
          <w:highlight w:val="none"/>
        </w:rPr>
      </w:pPr>
      <w:r>
        <w:rPr>
          <w:rFonts w:hint="eastAsia" w:ascii="华文中宋" w:hAnsi="华文中宋" w:eastAsia="华文中宋" w:cs="宋体"/>
          <w:color w:val="auto"/>
          <w:szCs w:val="21"/>
          <w:highlight w:val="none"/>
        </w:rPr>
        <w:t>授权代表</w:t>
      </w:r>
      <w:r>
        <w:rPr>
          <w:rFonts w:ascii="华文中宋" w:hAnsi="华文中宋" w:eastAsia="华文中宋"/>
          <w:color w:val="auto"/>
          <w:szCs w:val="21"/>
          <w:highlight w:val="none"/>
        </w:rPr>
        <w:t xml:space="preserve">:                                    </w:t>
      </w:r>
      <w:r>
        <w:rPr>
          <w:rFonts w:hint="eastAsia" w:ascii="华文中宋" w:hAnsi="华文中宋" w:eastAsia="华文中宋" w:cs="宋体"/>
          <w:color w:val="auto"/>
          <w:szCs w:val="21"/>
          <w:highlight w:val="none"/>
        </w:rPr>
        <w:t>授权代表</w:t>
      </w:r>
      <w:r>
        <w:rPr>
          <w:rFonts w:ascii="华文中宋" w:hAnsi="华文中宋" w:eastAsia="华文中宋"/>
          <w:color w:val="auto"/>
          <w:szCs w:val="21"/>
          <w:highlight w:val="none"/>
        </w:rPr>
        <w:t>:</w:t>
      </w:r>
    </w:p>
    <w:p w14:paraId="353A4BFA">
      <w:pPr>
        <w:spacing w:line="360" w:lineRule="auto"/>
        <w:rPr>
          <w:rFonts w:ascii="华文中宋" w:hAnsi="华文中宋" w:eastAsia="华文中宋"/>
          <w:color w:val="auto"/>
          <w:szCs w:val="21"/>
          <w:highlight w:val="none"/>
        </w:rPr>
      </w:pPr>
      <w:r>
        <w:rPr>
          <w:rFonts w:hint="eastAsia" w:ascii="华文中宋" w:hAnsi="华文中宋" w:eastAsia="华文中宋" w:cs="宋体"/>
          <w:color w:val="auto"/>
          <w:szCs w:val="21"/>
          <w:highlight w:val="none"/>
        </w:rPr>
        <w:t>地址：                                       地址：</w:t>
      </w:r>
    </w:p>
    <w:p w14:paraId="00163DB6">
      <w:pPr>
        <w:spacing w:line="360" w:lineRule="auto"/>
        <w:rPr>
          <w:rFonts w:ascii="华文中宋" w:hAnsi="华文中宋" w:eastAsia="华文中宋"/>
          <w:color w:val="auto"/>
          <w:szCs w:val="21"/>
          <w:highlight w:val="none"/>
        </w:rPr>
      </w:pPr>
      <w:r>
        <w:rPr>
          <w:rFonts w:hint="eastAsia" w:ascii="华文中宋" w:hAnsi="华文中宋" w:eastAsia="华文中宋" w:cs="宋体"/>
          <w:color w:val="auto"/>
          <w:szCs w:val="21"/>
          <w:highlight w:val="none"/>
        </w:rPr>
        <w:t>电话：                                       电话：</w:t>
      </w:r>
    </w:p>
    <w:p w14:paraId="58FD0F2E">
      <w:pPr>
        <w:spacing w:line="360" w:lineRule="auto"/>
        <w:rPr>
          <w:rFonts w:ascii="华文中宋" w:hAnsi="华文中宋" w:eastAsia="华文中宋"/>
          <w:color w:val="auto"/>
          <w:szCs w:val="21"/>
          <w:highlight w:val="none"/>
        </w:rPr>
      </w:pPr>
      <w:r>
        <w:rPr>
          <w:rFonts w:hint="eastAsia" w:ascii="华文中宋" w:hAnsi="华文中宋" w:eastAsia="华文中宋" w:cs="宋体"/>
          <w:color w:val="auto"/>
          <w:szCs w:val="21"/>
          <w:highlight w:val="none"/>
        </w:rPr>
        <w:t>开户银行</w:t>
      </w:r>
      <w:r>
        <w:rPr>
          <w:rFonts w:ascii="华文中宋" w:hAnsi="华文中宋" w:eastAsia="华文中宋"/>
          <w:color w:val="auto"/>
          <w:szCs w:val="21"/>
          <w:highlight w:val="none"/>
        </w:rPr>
        <w:t xml:space="preserve">:                                    </w:t>
      </w:r>
      <w:r>
        <w:rPr>
          <w:rFonts w:hint="eastAsia" w:ascii="华文中宋" w:hAnsi="华文中宋" w:eastAsia="华文中宋" w:cs="宋体"/>
          <w:color w:val="auto"/>
          <w:szCs w:val="21"/>
          <w:highlight w:val="none"/>
        </w:rPr>
        <w:t>开户银行</w:t>
      </w:r>
      <w:r>
        <w:rPr>
          <w:rFonts w:ascii="华文中宋" w:hAnsi="华文中宋" w:eastAsia="华文中宋"/>
          <w:color w:val="auto"/>
          <w:szCs w:val="21"/>
          <w:highlight w:val="none"/>
        </w:rPr>
        <w:t>:</w:t>
      </w:r>
    </w:p>
    <w:p w14:paraId="5E18D3F1">
      <w:pPr>
        <w:spacing w:line="360" w:lineRule="auto"/>
        <w:rPr>
          <w:rFonts w:ascii="华文中宋" w:hAnsi="华文中宋" w:eastAsia="华文中宋"/>
          <w:color w:val="auto"/>
          <w:szCs w:val="21"/>
          <w:highlight w:val="none"/>
        </w:rPr>
      </w:pPr>
      <w:r>
        <w:rPr>
          <w:rFonts w:hint="eastAsia" w:ascii="华文中宋" w:hAnsi="华文中宋" w:eastAsia="华文中宋" w:cs="宋体"/>
          <w:color w:val="auto"/>
          <w:szCs w:val="21"/>
          <w:highlight w:val="none"/>
        </w:rPr>
        <w:t>账号：                                       账号：</w:t>
      </w:r>
    </w:p>
    <w:p w14:paraId="0AA1F615">
      <w:pPr>
        <w:spacing w:line="360" w:lineRule="auto"/>
        <w:ind w:right="420"/>
        <w:rPr>
          <w:rFonts w:ascii="华文中宋" w:hAnsi="华文中宋" w:eastAsia="华文中宋"/>
          <w:color w:val="auto"/>
          <w:szCs w:val="21"/>
          <w:highlight w:val="none"/>
        </w:rPr>
      </w:pPr>
      <w:r>
        <w:rPr>
          <w:rFonts w:hint="eastAsia" w:ascii="华文中宋" w:hAnsi="华文中宋" w:eastAsia="华文中宋" w:cs="宋体"/>
          <w:color w:val="auto"/>
          <w:szCs w:val="21"/>
          <w:highlight w:val="none"/>
        </w:rPr>
        <w:t>本合同的签署地</w:t>
      </w:r>
      <w:r>
        <w:rPr>
          <w:rFonts w:ascii="华文中宋" w:hAnsi="华文中宋" w:eastAsia="华文中宋"/>
          <w:color w:val="auto"/>
          <w:szCs w:val="21"/>
          <w:highlight w:val="none"/>
        </w:rPr>
        <w:t>:</w:t>
      </w:r>
    </w:p>
    <w:p w14:paraId="11CB22DA">
      <w:pPr>
        <w:wordWrap w:val="0"/>
        <w:spacing w:line="360" w:lineRule="auto"/>
        <w:ind w:right="315"/>
        <w:jc w:val="right"/>
        <w:rPr>
          <w:rFonts w:ascii="华文中宋" w:hAnsi="华文中宋" w:eastAsia="华文中宋" w:cs="宋体"/>
          <w:color w:val="auto"/>
          <w:szCs w:val="21"/>
          <w:highlight w:val="none"/>
        </w:rPr>
      </w:pPr>
      <w:r>
        <w:rPr>
          <w:rFonts w:hint="eastAsia" w:ascii="华文中宋" w:hAnsi="华文中宋" w:eastAsia="华文中宋" w:cs="宋体"/>
          <w:color w:val="auto"/>
          <w:szCs w:val="21"/>
          <w:highlight w:val="none"/>
        </w:rPr>
        <w:t>日期：   年  月  日</w:t>
      </w:r>
    </w:p>
    <w:p w14:paraId="463A2AC0">
      <w:pPr>
        <w:spacing w:line="360" w:lineRule="auto"/>
        <w:rPr>
          <w:rFonts w:eastAsia="华文中宋"/>
          <w:color w:val="auto"/>
          <w:szCs w:val="21"/>
          <w:highlight w:val="none"/>
        </w:rPr>
      </w:pPr>
    </w:p>
    <w:p w14:paraId="0AFEC54B">
      <w:pPr>
        <w:rPr>
          <w:color w:val="auto"/>
          <w:highlight w:val="none"/>
        </w:rPr>
      </w:pPr>
      <w:r>
        <w:rPr>
          <w:rFonts w:hint="eastAsia" w:ascii="华文中宋" w:hAnsi="华文中宋" w:eastAsia="华文中宋" w:cs="华文中宋"/>
          <w:b w:val="0"/>
          <w:bCs/>
          <w:color w:val="auto"/>
          <w:spacing w:val="20"/>
          <w:kern w:val="44"/>
          <w:sz w:val="21"/>
          <w:szCs w:val="21"/>
          <w:highlight w:val="none"/>
          <w:lang w:eastAsia="zh-CN"/>
        </w:rPr>
        <w:t>（</w:t>
      </w:r>
      <w:r>
        <w:rPr>
          <w:rFonts w:hint="eastAsia" w:ascii="华文中宋" w:hAnsi="华文中宋" w:eastAsia="华文中宋" w:cs="华文中宋"/>
          <w:b w:val="0"/>
          <w:bCs/>
          <w:color w:val="auto"/>
          <w:spacing w:val="20"/>
          <w:kern w:val="44"/>
          <w:sz w:val="21"/>
          <w:szCs w:val="21"/>
          <w:highlight w:val="none"/>
          <w:lang w:val="en-US" w:eastAsia="zh-CN"/>
        </w:rPr>
        <w:t>此范本仅做参考，以实际签订合同为主</w:t>
      </w:r>
      <w:r>
        <w:rPr>
          <w:rFonts w:hint="eastAsia" w:ascii="华文中宋" w:hAnsi="华文中宋" w:eastAsia="华文中宋" w:cs="华文中宋"/>
          <w:b w:val="0"/>
          <w:bCs/>
          <w:color w:val="auto"/>
          <w:spacing w:val="20"/>
          <w:kern w:val="44"/>
          <w:sz w:val="21"/>
          <w:szCs w:val="21"/>
          <w:highlight w:val="none"/>
          <w:lang w:eastAsia="zh-CN"/>
        </w:rPr>
        <w:t>）</w:t>
      </w:r>
    </w:p>
    <w:p w14:paraId="0D771D7C">
      <w:pPr>
        <w:rPr>
          <w:color w:val="auto"/>
          <w:highlight w:val="none"/>
        </w:rPr>
      </w:pPr>
    </w:p>
    <w:p w14:paraId="08082553">
      <w:pPr>
        <w:widowControl/>
        <w:jc w:val="left"/>
        <w:rPr>
          <w:rFonts w:hint="eastAsia" w:ascii="华文中宋" w:hAnsi="华文中宋" w:eastAsia="华文中宋" w:cs="华文中宋"/>
          <w:b/>
          <w:color w:val="auto"/>
          <w:spacing w:val="20"/>
          <w:kern w:val="44"/>
          <w:sz w:val="28"/>
          <w:szCs w:val="28"/>
          <w:highlight w:val="none"/>
        </w:rPr>
      </w:pPr>
      <w:bookmarkStart w:id="66" w:name="_Toc4492"/>
    </w:p>
    <w:p w14:paraId="5AB9F840">
      <w:pPr>
        <w:rPr>
          <w:rFonts w:hint="eastAsia" w:ascii="华文中宋" w:hAnsi="华文中宋" w:eastAsia="华文中宋" w:cs="华文中宋"/>
          <w:b/>
          <w:color w:val="auto"/>
          <w:spacing w:val="20"/>
          <w:kern w:val="44"/>
          <w:sz w:val="28"/>
          <w:szCs w:val="28"/>
          <w:highlight w:val="none"/>
        </w:rPr>
      </w:pPr>
      <w:r>
        <w:rPr>
          <w:rFonts w:hint="eastAsia" w:ascii="华文中宋" w:hAnsi="华文中宋" w:eastAsia="华文中宋" w:cs="华文中宋"/>
          <w:b/>
          <w:color w:val="auto"/>
          <w:spacing w:val="20"/>
          <w:kern w:val="44"/>
          <w:sz w:val="28"/>
          <w:szCs w:val="28"/>
          <w:highlight w:val="none"/>
        </w:rPr>
        <w:br w:type="page"/>
      </w:r>
    </w:p>
    <w:p w14:paraId="3FD8CD33">
      <w:pPr>
        <w:pStyle w:val="25"/>
        <w:keepNext/>
        <w:keepLines/>
        <w:widowControl w:val="0"/>
        <w:adjustRightInd w:val="0"/>
        <w:snapToGrid w:val="0"/>
        <w:spacing w:before="0" w:beforeAutospacing="0" w:after="0" w:afterAutospacing="0"/>
        <w:jc w:val="center"/>
        <w:outlineLvl w:val="0"/>
        <w:rPr>
          <w:rFonts w:ascii="华文中宋" w:hAnsi="华文中宋" w:eastAsia="华文中宋" w:cs="华文中宋"/>
          <w:color w:val="auto"/>
          <w:spacing w:val="20"/>
          <w:szCs w:val="28"/>
          <w:highlight w:val="none"/>
        </w:rPr>
      </w:pPr>
      <w:bookmarkStart w:id="67" w:name="_Toc3879"/>
      <w:r>
        <w:rPr>
          <w:rFonts w:hint="eastAsia" w:ascii="华文中宋" w:hAnsi="华文中宋" w:eastAsia="华文中宋" w:cs="华文中宋"/>
          <w:b/>
          <w:color w:val="auto"/>
          <w:spacing w:val="20"/>
          <w:kern w:val="44"/>
          <w:sz w:val="28"/>
          <w:szCs w:val="28"/>
          <w:highlight w:val="none"/>
        </w:rPr>
        <w:t>第八部分  投标文件内容要求及格式</w:t>
      </w:r>
      <w:bookmarkEnd w:id="66"/>
      <w:bookmarkEnd w:id="67"/>
    </w:p>
    <w:p w14:paraId="2663100D">
      <w:pPr>
        <w:spacing w:line="480" w:lineRule="exact"/>
        <w:ind w:firstLine="434"/>
        <w:rPr>
          <w:rFonts w:ascii="华文中宋" w:hAnsi="华文中宋" w:eastAsia="华文中宋" w:cs="华文中宋"/>
          <w:b/>
          <w:color w:val="auto"/>
          <w:szCs w:val="21"/>
          <w:highlight w:val="none"/>
        </w:rPr>
      </w:pPr>
      <w:bookmarkStart w:id="68" w:name="_Toc175644062"/>
      <w:bookmarkStart w:id="69" w:name="_Toc86202633"/>
      <w:bookmarkStart w:id="70" w:name="_Toc326248014"/>
    </w:p>
    <w:p w14:paraId="444CDEDA">
      <w:pPr>
        <w:spacing w:line="480" w:lineRule="exact"/>
        <w:ind w:firstLine="434"/>
        <w:rPr>
          <w:rFonts w:ascii="华文中宋" w:hAnsi="华文中宋" w:eastAsia="华文中宋" w:cs="华文中宋"/>
          <w:color w:val="auto"/>
          <w:szCs w:val="21"/>
          <w:highlight w:val="none"/>
        </w:rPr>
      </w:pPr>
      <w:r>
        <w:rPr>
          <w:rFonts w:hint="eastAsia" w:ascii="华文中宋" w:hAnsi="华文中宋" w:eastAsia="华文中宋" w:cs="华文中宋"/>
          <w:b/>
          <w:color w:val="auto"/>
          <w:sz w:val="24"/>
          <w:highlight w:val="none"/>
        </w:rPr>
        <w:t>投标人提交投标文件须知</w:t>
      </w:r>
      <w:bookmarkEnd w:id="68"/>
      <w:bookmarkEnd w:id="69"/>
      <w:bookmarkEnd w:id="70"/>
    </w:p>
    <w:p w14:paraId="3183E394">
      <w:pPr>
        <w:spacing w:line="480" w:lineRule="exact"/>
        <w:ind w:firstLine="434"/>
        <w:rPr>
          <w:rFonts w:ascii="华文中宋" w:hAnsi="华文中宋" w:eastAsia="华文中宋" w:cs="华文中宋"/>
          <w:color w:val="auto"/>
          <w:szCs w:val="21"/>
          <w:highlight w:val="none"/>
        </w:rPr>
      </w:pPr>
      <w:r>
        <w:rPr>
          <w:rFonts w:ascii="华文中宋" w:hAnsi="华文中宋" w:eastAsia="华文中宋" w:cs="华文中宋"/>
          <w:color w:val="auto"/>
          <w:szCs w:val="21"/>
          <w:highlight w:val="none"/>
        </w:rPr>
        <w:t xml:space="preserve">1. </w:t>
      </w:r>
      <w:r>
        <w:rPr>
          <w:rFonts w:hint="eastAsia" w:ascii="华文中宋" w:hAnsi="华文中宋" w:eastAsia="华文中宋" w:cs="华文中宋"/>
          <w:color w:val="auto"/>
          <w:szCs w:val="21"/>
          <w:highlight w:val="none"/>
        </w:rPr>
        <w:t>投标人按照本部分</w:t>
      </w:r>
      <w:r>
        <w:rPr>
          <w:rFonts w:hint="eastAsia" w:ascii="华文中宋" w:hAnsi="华文中宋" w:eastAsia="华文中宋"/>
          <w:color w:val="auto"/>
          <w:szCs w:val="21"/>
          <w:highlight w:val="none"/>
        </w:rPr>
        <w:t>的</w:t>
      </w:r>
      <w:r>
        <w:rPr>
          <w:rFonts w:hint="eastAsia" w:ascii="华文中宋" w:hAnsi="华文中宋" w:eastAsia="华文中宋" w:cs="华文中宋"/>
          <w:color w:val="auto"/>
          <w:szCs w:val="21"/>
          <w:highlight w:val="none"/>
        </w:rPr>
        <w:t>顺序编排投标文件（资格证明文件、商务技术文件），编排中涉及</w:t>
      </w:r>
      <w:r>
        <w:rPr>
          <w:rFonts w:hint="eastAsia" w:ascii="华文中宋" w:hAnsi="华文中宋" w:eastAsia="华文中宋"/>
          <w:color w:val="auto"/>
          <w:szCs w:val="21"/>
          <w:highlight w:val="none"/>
        </w:rPr>
        <w:t>格式资料</w:t>
      </w:r>
      <w:r>
        <w:rPr>
          <w:rFonts w:hint="eastAsia" w:ascii="华文中宋" w:hAnsi="华文中宋" w:eastAsia="华文中宋" w:cs="华文中宋"/>
          <w:color w:val="auto"/>
          <w:szCs w:val="21"/>
          <w:highlight w:val="none"/>
        </w:rPr>
        <w:t>的，应按照本部分提供的内容和格式（所有表格的格式可扩展）填写提交。</w:t>
      </w:r>
    </w:p>
    <w:p w14:paraId="70DC5094">
      <w:pPr>
        <w:spacing w:line="480" w:lineRule="exact"/>
        <w:ind w:firstLine="434"/>
        <w:rPr>
          <w:rFonts w:ascii="华文中宋" w:hAnsi="华文中宋" w:eastAsia="华文中宋" w:cs="华文中宋"/>
          <w:color w:val="auto"/>
          <w:szCs w:val="21"/>
          <w:highlight w:val="none"/>
        </w:rPr>
      </w:pPr>
      <w:r>
        <w:rPr>
          <w:rFonts w:ascii="华文中宋" w:hAnsi="华文中宋" w:eastAsia="华文中宋" w:cs="华文中宋"/>
          <w:color w:val="auto"/>
          <w:szCs w:val="21"/>
          <w:highlight w:val="none"/>
        </w:rPr>
        <w:t xml:space="preserve">2. </w:t>
      </w:r>
      <w:r>
        <w:rPr>
          <w:rFonts w:hint="eastAsia" w:ascii="华文中宋" w:hAnsi="华文中宋" w:eastAsia="华文中宋" w:cs="华文中宋"/>
          <w:color w:val="auto"/>
          <w:szCs w:val="21"/>
          <w:highlight w:val="none"/>
        </w:rPr>
        <w:t>全部声明和问题的回答及所附材料</w:t>
      </w:r>
      <w:r>
        <w:rPr>
          <w:rFonts w:hint="eastAsia" w:ascii="华文中宋" w:hAnsi="华文中宋" w:eastAsia="华文中宋"/>
          <w:color w:val="auto"/>
          <w:szCs w:val="21"/>
          <w:highlight w:val="none"/>
        </w:rPr>
        <w:t>必须</w:t>
      </w:r>
      <w:r>
        <w:rPr>
          <w:rFonts w:hint="eastAsia" w:ascii="华文中宋" w:hAnsi="华文中宋" w:eastAsia="华文中宋" w:cs="华文中宋"/>
          <w:color w:val="auto"/>
          <w:szCs w:val="21"/>
          <w:highlight w:val="none"/>
        </w:rPr>
        <w:t>是真实的、准确的和完整的。</w:t>
      </w:r>
    </w:p>
    <w:p w14:paraId="4FD957E4">
      <w:pPr>
        <w:pStyle w:val="2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ascii="华文中宋" w:hAnsi="华文中宋" w:eastAsia="华文中宋" w:cs="华文中宋"/>
          <w:color w:val="auto"/>
          <w:sz w:val="21"/>
          <w:szCs w:val="21"/>
          <w:highlight w:val="none"/>
        </w:rPr>
        <w:t xml:space="preserve">3. </w:t>
      </w:r>
      <w:r>
        <w:rPr>
          <w:rFonts w:hint="eastAsia" w:ascii="华文中宋" w:hAnsi="华文中宋" w:eastAsia="华文中宋" w:cs="华文中宋"/>
          <w:color w:val="auto"/>
          <w:sz w:val="21"/>
          <w:szCs w:val="21"/>
          <w:highlight w:val="none"/>
        </w:rPr>
        <w:t>按招标文件要求“格式”提供的材料，如有调整，内容及签署必须完整、有效，且没有本文件不可接受的条件。</w:t>
      </w:r>
    </w:p>
    <w:p w14:paraId="50E82994">
      <w:pPr>
        <w:rPr>
          <w:rFonts w:ascii="华文中宋" w:hAnsi="华文中宋" w:eastAsia="华文中宋" w:cs="华文中宋"/>
          <w:b/>
          <w:color w:val="auto"/>
          <w:spacing w:val="20"/>
          <w:highlight w:val="none"/>
        </w:rPr>
      </w:pPr>
      <w:r>
        <w:rPr>
          <w:rFonts w:ascii="华文中宋" w:hAnsi="华文中宋" w:eastAsia="华文中宋"/>
          <w:b/>
          <w:color w:val="auto"/>
          <w:spacing w:val="20"/>
          <w:highlight w:val="none"/>
        </w:rPr>
        <w:br w:type="page"/>
      </w:r>
    </w:p>
    <w:p w14:paraId="19A688D7">
      <w:pPr>
        <w:rPr>
          <w:rFonts w:ascii="华文中宋" w:hAnsi="华文中宋" w:eastAsia="华文中宋" w:cs="华文中宋"/>
          <w:b/>
          <w:color w:val="auto"/>
          <w:spacing w:val="20"/>
          <w:sz w:val="24"/>
          <w:highlight w:val="none"/>
        </w:rPr>
      </w:pPr>
      <w:r>
        <w:rPr>
          <w:rFonts w:hint="eastAsia" w:ascii="华文中宋" w:hAnsi="华文中宋" w:eastAsia="华文中宋" w:cs="华文中宋"/>
          <w:b/>
          <w:color w:val="auto"/>
          <w:spacing w:val="20"/>
          <w:sz w:val="24"/>
          <w:highlight w:val="none"/>
        </w:rPr>
        <w:t>资格证明文件格式</w:t>
      </w:r>
    </w:p>
    <w:p w14:paraId="2F6D6721">
      <w:pPr>
        <w:rPr>
          <w:rFonts w:ascii="华文中宋" w:hAnsi="华文中宋" w:eastAsia="华文中宋" w:cs="华文中宋"/>
          <w:b/>
          <w:color w:val="auto"/>
          <w:spacing w:val="20"/>
          <w:szCs w:val="21"/>
          <w:highlight w:val="none"/>
        </w:rPr>
      </w:pPr>
    </w:p>
    <w:p w14:paraId="28A92BCC">
      <w:pPr>
        <w:rPr>
          <w:rFonts w:ascii="华文中宋" w:hAnsi="华文中宋" w:eastAsia="华文中宋" w:cs="华文中宋"/>
          <w:b/>
          <w:color w:val="auto"/>
          <w:sz w:val="24"/>
          <w:highlight w:val="none"/>
        </w:rPr>
      </w:pPr>
      <w:r>
        <w:rPr>
          <w:rFonts w:hint="eastAsia" w:ascii="华文中宋" w:hAnsi="华文中宋" w:eastAsia="华文中宋" w:cs="华文中宋"/>
          <w:b/>
          <w:color w:val="auto"/>
          <w:spacing w:val="20"/>
          <w:sz w:val="24"/>
          <w:highlight w:val="none"/>
        </w:rPr>
        <w:t>投标文件（资格证明文件）</w:t>
      </w:r>
      <w:r>
        <w:rPr>
          <w:rFonts w:hint="eastAsia" w:ascii="华文中宋" w:hAnsi="华文中宋" w:eastAsia="华文中宋" w:cs="华文中宋"/>
          <w:b/>
          <w:color w:val="auto"/>
          <w:sz w:val="24"/>
          <w:highlight w:val="none"/>
        </w:rPr>
        <w:t>封面及目录格式</w:t>
      </w:r>
    </w:p>
    <w:p w14:paraId="0585DF04">
      <w:pPr>
        <w:jc w:val="center"/>
        <w:rPr>
          <w:rFonts w:ascii="华文中宋" w:hAnsi="华文中宋" w:eastAsia="华文中宋" w:cs="华文中宋"/>
          <w:color w:val="auto"/>
          <w:szCs w:val="21"/>
          <w:highlight w:val="none"/>
        </w:rPr>
      </w:pPr>
    </w:p>
    <w:p w14:paraId="21888613">
      <w:pPr>
        <w:jc w:val="center"/>
        <w:rPr>
          <w:rFonts w:ascii="华文中宋" w:hAnsi="华文中宋" w:eastAsia="华文中宋" w:cs="华文中宋"/>
          <w:b/>
          <w:color w:val="auto"/>
          <w:spacing w:val="60"/>
          <w:sz w:val="84"/>
          <w:szCs w:val="84"/>
          <w:highlight w:val="none"/>
        </w:rPr>
      </w:pPr>
      <w:r>
        <w:rPr>
          <w:rFonts w:hint="eastAsia" w:ascii="华文中宋" w:hAnsi="华文中宋" w:eastAsia="华文中宋" w:cs="华文中宋"/>
          <w:b/>
          <w:color w:val="auto"/>
          <w:spacing w:val="60"/>
          <w:sz w:val="84"/>
          <w:szCs w:val="84"/>
          <w:highlight w:val="none"/>
        </w:rPr>
        <w:t>投 标 文 件</w:t>
      </w:r>
    </w:p>
    <w:p w14:paraId="0EFB5C50">
      <w:pPr>
        <w:jc w:val="center"/>
        <w:rPr>
          <w:rFonts w:ascii="华文中宋" w:hAnsi="华文中宋" w:eastAsia="华文中宋" w:cs="华文中宋"/>
          <w:b/>
          <w:color w:val="auto"/>
          <w:spacing w:val="60"/>
          <w:sz w:val="52"/>
          <w:szCs w:val="52"/>
          <w:highlight w:val="none"/>
        </w:rPr>
      </w:pPr>
      <w:r>
        <w:rPr>
          <w:rFonts w:hint="eastAsia" w:ascii="华文中宋" w:hAnsi="华文中宋" w:eastAsia="华文中宋" w:cs="华文中宋"/>
          <w:b/>
          <w:color w:val="auto"/>
          <w:spacing w:val="60"/>
          <w:sz w:val="52"/>
          <w:szCs w:val="52"/>
          <w:highlight w:val="none"/>
        </w:rPr>
        <w:t>（资格证明文件）</w:t>
      </w:r>
    </w:p>
    <w:p w14:paraId="11B5B524">
      <w:pPr>
        <w:ind w:firstLine="540" w:firstLineChars="150"/>
        <w:rPr>
          <w:rFonts w:ascii="华文中宋" w:hAnsi="华文中宋" w:eastAsia="华文中宋" w:cs="华文中宋"/>
          <w:b/>
          <w:color w:val="auto"/>
          <w:spacing w:val="20"/>
          <w:sz w:val="32"/>
          <w:szCs w:val="32"/>
          <w:highlight w:val="none"/>
        </w:rPr>
      </w:pPr>
    </w:p>
    <w:p w14:paraId="57EE2DA6">
      <w:pPr>
        <w:ind w:firstLine="540" w:firstLineChars="150"/>
        <w:rPr>
          <w:rFonts w:ascii="华文中宋" w:hAnsi="华文中宋" w:eastAsia="华文中宋" w:cs="华文中宋"/>
          <w:b/>
          <w:color w:val="auto"/>
          <w:spacing w:val="20"/>
          <w:sz w:val="32"/>
          <w:szCs w:val="32"/>
          <w:highlight w:val="none"/>
        </w:rPr>
      </w:pPr>
    </w:p>
    <w:p w14:paraId="39CAA255">
      <w:pPr>
        <w:pStyle w:val="15"/>
        <w:rPr>
          <w:color w:val="auto"/>
          <w:highlight w:val="none"/>
        </w:rPr>
      </w:pPr>
    </w:p>
    <w:p w14:paraId="0B65C3EC">
      <w:pPr>
        <w:ind w:firstLine="540" w:firstLineChars="150"/>
        <w:rPr>
          <w:rFonts w:ascii="华文中宋" w:hAnsi="华文中宋" w:eastAsia="华文中宋" w:cs="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t>项目名称</w:t>
      </w:r>
      <w:r>
        <w:rPr>
          <w:rFonts w:ascii="华文中宋" w:hAnsi="华文中宋" w:eastAsia="华文中宋" w:cs="华文中宋"/>
          <w:b/>
          <w:color w:val="auto"/>
          <w:spacing w:val="20"/>
          <w:sz w:val="32"/>
          <w:szCs w:val="32"/>
          <w:highlight w:val="none"/>
        </w:rPr>
        <w:t>:</w:t>
      </w:r>
    </w:p>
    <w:p w14:paraId="532309CC">
      <w:pPr>
        <w:ind w:firstLine="540" w:firstLineChars="150"/>
        <w:rPr>
          <w:rFonts w:ascii="华文中宋" w:hAnsi="华文中宋" w:eastAsia="华文中宋" w:cs="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t>项目编号：</w:t>
      </w:r>
    </w:p>
    <w:p w14:paraId="2FE38098">
      <w:pPr>
        <w:ind w:firstLine="540" w:firstLineChars="150"/>
        <w:rPr>
          <w:rFonts w:ascii="华文中宋" w:hAnsi="华文中宋" w:eastAsia="华文中宋" w:cs="华文中宋"/>
          <w:b/>
          <w:color w:val="auto"/>
          <w:spacing w:val="20"/>
          <w:sz w:val="32"/>
          <w:szCs w:val="32"/>
          <w:highlight w:val="none"/>
        </w:rPr>
      </w:pPr>
    </w:p>
    <w:p w14:paraId="6E037902">
      <w:pPr>
        <w:jc w:val="center"/>
        <w:rPr>
          <w:rFonts w:ascii="华文中宋" w:hAnsi="华文中宋" w:eastAsia="华文中宋" w:cs="华文中宋"/>
          <w:b/>
          <w:color w:val="auto"/>
          <w:sz w:val="32"/>
          <w:szCs w:val="32"/>
          <w:highlight w:val="none"/>
        </w:rPr>
      </w:pPr>
    </w:p>
    <w:p w14:paraId="58B4BE2F">
      <w:pPr>
        <w:jc w:val="center"/>
        <w:rPr>
          <w:rFonts w:ascii="华文中宋" w:hAnsi="华文中宋" w:eastAsia="华文中宋" w:cs="华文中宋"/>
          <w:b/>
          <w:color w:val="auto"/>
          <w:sz w:val="32"/>
          <w:szCs w:val="32"/>
          <w:highlight w:val="none"/>
        </w:rPr>
      </w:pPr>
    </w:p>
    <w:p w14:paraId="37886B7C">
      <w:pPr>
        <w:jc w:val="center"/>
        <w:rPr>
          <w:rFonts w:ascii="华文中宋" w:hAnsi="华文中宋" w:eastAsia="华文中宋" w:cs="华文中宋"/>
          <w:b/>
          <w:color w:val="auto"/>
          <w:sz w:val="32"/>
          <w:szCs w:val="32"/>
          <w:highlight w:val="none"/>
        </w:rPr>
      </w:pPr>
    </w:p>
    <w:p w14:paraId="49ACEC4E">
      <w:pPr>
        <w:jc w:val="center"/>
        <w:rPr>
          <w:rFonts w:ascii="华文中宋" w:hAnsi="华文中宋" w:eastAsia="华文中宋" w:cs="华文中宋"/>
          <w:b/>
          <w:color w:val="auto"/>
          <w:spacing w:val="20"/>
          <w:sz w:val="32"/>
          <w:szCs w:val="32"/>
          <w:highlight w:val="none"/>
        </w:rPr>
      </w:pPr>
    </w:p>
    <w:p w14:paraId="0C42F57D">
      <w:pPr>
        <w:jc w:val="center"/>
        <w:rPr>
          <w:rFonts w:ascii="华文中宋" w:hAnsi="华文中宋" w:eastAsia="华文中宋" w:cs="华文中宋"/>
          <w:b/>
          <w:color w:val="auto"/>
          <w:spacing w:val="20"/>
          <w:sz w:val="32"/>
          <w:szCs w:val="32"/>
          <w:highlight w:val="none"/>
        </w:rPr>
      </w:pPr>
    </w:p>
    <w:p w14:paraId="5C899238">
      <w:pPr>
        <w:spacing w:line="360" w:lineRule="auto"/>
        <w:ind w:firstLine="1440" w:firstLineChars="400"/>
        <w:jc w:val="left"/>
        <w:rPr>
          <w:rFonts w:ascii="华文中宋" w:hAnsi="华文中宋" w:eastAsia="华文中宋" w:cs="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t>投标供应商单位名称：（</w:t>
      </w:r>
      <w:r>
        <w:rPr>
          <w:rFonts w:hint="eastAsia" w:ascii="华文中宋" w:hAnsi="华文中宋" w:eastAsia="华文中宋"/>
          <w:b/>
          <w:color w:val="auto"/>
          <w:spacing w:val="20"/>
          <w:sz w:val="32"/>
          <w:szCs w:val="32"/>
          <w:highlight w:val="none"/>
          <w:lang w:eastAsia="zh-CN"/>
        </w:rPr>
        <w:t>企业电子公章</w:t>
      </w:r>
      <w:r>
        <w:rPr>
          <w:rFonts w:hint="eastAsia" w:ascii="华文中宋" w:hAnsi="华文中宋" w:eastAsia="华文中宋" w:cs="华文中宋"/>
          <w:b/>
          <w:color w:val="auto"/>
          <w:spacing w:val="20"/>
          <w:sz w:val="32"/>
          <w:szCs w:val="32"/>
          <w:highlight w:val="none"/>
        </w:rPr>
        <w:t>）</w:t>
      </w:r>
    </w:p>
    <w:p w14:paraId="6C3F17C4">
      <w:pPr>
        <w:jc w:val="center"/>
        <w:rPr>
          <w:rFonts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二〇   年  月  日</w:t>
      </w:r>
    </w:p>
    <w:p w14:paraId="4503E4E0">
      <w:pPr>
        <w:rPr>
          <w:rFonts w:ascii="华文中宋" w:hAnsi="华文中宋" w:eastAsia="华文中宋" w:cs="华文中宋"/>
          <w:b/>
          <w:color w:val="auto"/>
          <w:highlight w:val="none"/>
        </w:rPr>
      </w:pPr>
      <w:r>
        <w:rPr>
          <w:rFonts w:ascii="华文中宋" w:hAnsi="华文中宋" w:eastAsia="华文中宋"/>
          <w:b/>
          <w:color w:val="auto"/>
          <w:spacing w:val="20"/>
          <w:sz w:val="32"/>
          <w:szCs w:val="32"/>
          <w:highlight w:val="none"/>
        </w:rPr>
        <w:br w:type="page"/>
      </w:r>
    </w:p>
    <w:p w14:paraId="5A28B544">
      <w:pPr>
        <w:jc w:val="center"/>
        <w:outlineLvl w:val="1"/>
        <w:rPr>
          <w:rFonts w:ascii="华文中宋" w:hAnsi="华文中宋" w:eastAsia="华文中宋" w:cs="华文中宋"/>
          <w:b/>
          <w:color w:val="auto"/>
          <w:sz w:val="24"/>
          <w:highlight w:val="none"/>
        </w:rPr>
      </w:pPr>
      <w:bookmarkStart w:id="71" w:name="_Toc15715"/>
      <w:r>
        <w:rPr>
          <w:rFonts w:hint="eastAsia" w:ascii="华文中宋" w:hAnsi="华文中宋" w:eastAsia="华文中宋" w:cs="华文中宋"/>
          <w:b/>
          <w:color w:val="auto"/>
          <w:sz w:val="24"/>
          <w:highlight w:val="none"/>
        </w:rPr>
        <w:t>资  格  证  明  文  件</w:t>
      </w:r>
      <w:bookmarkEnd w:id="71"/>
    </w:p>
    <w:p w14:paraId="2F0DE279">
      <w:pPr>
        <w:jc w:val="center"/>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目  录</w:t>
      </w:r>
    </w:p>
    <w:p w14:paraId="2BF8B7ED">
      <w:pPr>
        <w:pStyle w:val="25"/>
        <w:widowControl w:val="0"/>
        <w:snapToGrid w:val="0"/>
        <w:spacing w:before="0" w:beforeAutospacing="0" w:after="0" w:afterAutospacing="0" w:line="400" w:lineRule="exact"/>
        <w:jc w:val="both"/>
        <w:rPr>
          <w:rFonts w:ascii="华文中宋" w:hAnsi="华文中宋" w:eastAsia="华文中宋" w:cs="华文中宋"/>
          <w:color w:val="auto"/>
          <w:highlight w:val="none"/>
        </w:rPr>
      </w:pPr>
      <w:r>
        <w:rPr>
          <w:rFonts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rPr>
        <w:t>、投标人代表的证明………………………………………………………………页码</w:t>
      </w:r>
    </w:p>
    <w:p w14:paraId="1CC15A38">
      <w:pPr>
        <w:pStyle w:val="25"/>
        <w:widowControl w:val="0"/>
        <w:snapToGrid w:val="0"/>
        <w:spacing w:before="0" w:beforeAutospacing="0" w:after="0" w:afterAutospacing="0" w:line="400" w:lineRule="exact"/>
        <w:jc w:val="both"/>
        <w:rPr>
          <w:rFonts w:ascii="华文中宋" w:hAnsi="华文中宋" w:eastAsia="华文中宋" w:cs="华文中宋"/>
          <w:color w:val="auto"/>
          <w:highlight w:val="none"/>
        </w:rPr>
      </w:pPr>
      <w:r>
        <w:rPr>
          <w:rFonts w:ascii="华文中宋" w:hAnsi="华文中宋" w:eastAsia="华文中宋" w:cs="华文中宋"/>
          <w:color w:val="auto"/>
          <w:sz w:val="21"/>
          <w:szCs w:val="21"/>
          <w:highlight w:val="none"/>
        </w:rPr>
        <w:t>2</w:t>
      </w:r>
      <w:r>
        <w:rPr>
          <w:rFonts w:hint="eastAsia" w:ascii="华文中宋" w:hAnsi="华文中宋" w:eastAsia="华文中宋" w:cs="华文中宋"/>
          <w:color w:val="auto"/>
          <w:sz w:val="21"/>
          <w:szCs w:val="21"/>
          <w:highlight w:val="none"/>
        </w:rPr>
        <w:t>、投标函……………………………………………………………………………</w:t>
      </w:r>
    </w:p>
    <w:p w14:paraId="1959A543">
      <w:pPr>
        <w:pStyle w:val="25"/>
        <w:widowControl w:val="0"/>
        <w:snapToGrid w:val="0"/>
        <w:spacing w:before="0" w:beforeAutospacing="0" w:after="0" w:afterAutospacing="0" w:line="400" w:lineRule="exact"/>
        <w:jc w:val="both"/>
        <w:rPr>
          <w:rFonts w:hint="eastAsia"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3</w:t>
      </w:r>
      <w:r>
        <w:rPr>
          <w:rFonts w:hint="eastAsia" w:ascii="华文中宋" w:hAnsi="华文中宋" w:eastAsia="华文中宋" w:cs="华文中宋"/>
          <w:color w:val="auto"/>
          <w:sz w:val="21"/>
          <w:szCs w:val="21"/>
          <w:highlight w:val="none"/>
        </w:rPr>
        <w:t>、《政府集中采购供应商信用承诺书》…………………………………………</w:t>
      </w:r>
    </w:p>
    <w:p w14:paraId="7E82DC3C">
      <w:pPr>
        <w:pStyle w:val="25"/>
        <w:widowControl w:val="0"/>
        <w:snapToGrid w:val="0"/>
        <w:spacing w:before="0" w:beforeAutospacing="0" w:after="0" w:afterAutospacing="0" w:line="400" w:lineRule="exact"/>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4、</w:t>
      </w:r>
      <w:r>
        <w:rPr>
          <w:rFonts w:hint="eastAsia" w:ascii="华文中宋" w:hAnsi="华文中宋" w:eastAsia="华文中宋" w:cs="华文中宋"/>
          <w:color w:val="auto"/>
          <w:sz w:val="21"/>
          <w:szCs w:val="21"/>
          <w:highlight w:val="none"/>
        </w:rPr>
        <w:t>本项目要求的其他特定资格条件（若有）……………………………………</w:t>
      </w:r>
    </w:p>
    <w:p w14:paraId="559B5062">
      <w:pPr>
        <w:pStyle w:val="25"/>
        <w:widowControl w:val="0"/>
        <w:snapToGrid w:val="0"/>
        <w:spacing w:before="0" w:beforeAutospacing="0" w:after="0" w:afterAutospacing="0" w:line="400" w:lineRule="exact"/>
        <w:jc w:val="both"/>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5</w:t>
      </w:r>
      <w:r>
        <w:rPr>
          <w:rFonts w:hint="eastAsia" w:ascii="华文中宋" w:hAnsi="华文中宋" w:eastAsia="华文中宋" w:cs="华文中宋"/>
          <w:color w:val="auto"/>
          <w:sz w:val="21"/>
          <w:szCs w:val="21"/>
          <w:highlight w:val="none"/>
        </w:rPr>
        <w:t>、联合体投标协议（若有）………………………………………………………</w:t>
      </w:r>
    </w:p>
    <w:p w14:paraId="02A8B889">
      <w:pPr>
        <w:pStyle w:val="25"/>
        <w:widowControl w:val="0"/>
        <w:snapToGrid w:val="0"/>
        <w:spacing w:before="0" w:beforeAutospacing="0" w:after="0" w:afterAutospacing="0" w:line="400" w:lineRule="exact"/>
        <w:jc w:val="both"/>
        <w:rPr>
          <w:rFonts w:hint="eastAsia" w:ascii="华文中宋" w:hAnsi="华文中宋" w:eastAsia="华文中宋" w:cs="华文中宋"/>
          <w:color w:val="auto"/>
          <w:sz w:val="21"/>
          <w:szCs w:val="21"/>
          <w:highlight w:val="none"/>
        </w:rPr>
      </w:pPr>
    </w:p>
    <w:p w14:paraId="0EF564BB">
      <w:pPr>
        <w:snapToGrid w:val="0"/>
        <w:spacing w:line="276" w:lineRule="auto"/>
        <w:rPr>
          <w:rFonts w:ascii="华文中宋" w:hAnsi="华文中宋" w:eastAsia="华文中宋"/>
          <w:b/>
          <w:bCs/>
          <w:color w:val="auto"/>
          <w:spacing w:val="20"/>
          <w:szCs w:val="21"/>
          <w:highlight w:val="none"/>
        </w:rPr>
      </w:pPr>
      <w:r>
        <w:rPr>
          <w:rFonts w:ascii="华文仿宋" w:hAnsi="华文仿宋" w:eastAsia="华文仿宋"/>
          <w:b/>
          <w:color w:val="auto"/>
          <w:sz w:val="30"/>
          <w:highlight w:val="none"/>
        </w:rPr>
        <w:br w:type="page"/>
      </w:r>
      <w:r>
        <w:rPr>
          <w:rFonts w:hint="eastAsia" w:ascii="华文中宋" w:hAnsi="华文中宋" w:eastAsia="华文中宋" w:cs="华文中宋"/>
          <w:b/>
          <w:color w:val="auto"/>
          <w:sz w:val="24"/>
          <w:highlight w:val="none"/>
        </w:rPr>
        <w:t>（一）投标人</w:t>
      </w:r>
      <w:r>
        <w:rPr>
          <w:rFonts w:hint="eastAsia" w:ascii="华文中宋" w:hAnsi="华文中宋" w:eastAsia="华文中宋" w:cs="华文中宋"/>
          <w:b/>
          <w:bCs/>
          <w:color w:val="auto"/>
          <w:spacing w:val="20"/>
          <w:sz w:val="24"/>
          <w:highlight w:val="none"/>
        </w:rPr>
        <w:t>代表的证明</w:t>
      </w:r>
      <w:r>
        <w:rPr>
          <w:rFonts w:hint="eastAsia" w:ascii="华文中宋" w:hAnsi="华文中宋" w:eastAsia="华文中宋" w:cs="华文中宋"/>
          <w:b/>
          <w:color w:val="auto"/>
          <w:sz w:val="24"/>
          <w:highlight w:val="none"/>
        </w:rPr>
        <w:t>格式</w:t>
      </w:r>
    </w:p>
    <w:p w14:paraId="61BE767B">
      <w:pPr>
        <w:snapToGrid w:val="0"/>
        <w:spacing w:line="276" w:lineRule="auto"/>
        <w:ind w:left="560" w:hanging="560" w:hangingChars="200"/>
        <w:jc w:val="center"/>
        <w:rPr>
          <w:rFonts w:ascii="华文中宋" w:hAnsi="华文中宋" w:eastAsia="华文中宋" w:cs="华文中宋"/>
          <w:bCs/>
          <w:color w:val="auto"/>
          <w:spacing w:val="6"/>
          <w:sz w:val="24"/>
          <w:highlight w:val="none"/>
        </w:rPr>
      </w:pPr>
      <w:r>
        <w:rPr>
          <w:rFonts w:hint="eastAsia" w:ascii="华文中宋" w:hAnsi="华文中宋" w:eastAsia="华文中宋" w:cs="华文中宋"/>
          <w:b/>
          <w:color w:val="auto"/>
          <w:spacing w:val="20"/>
          <w:sz w:val="24"/>
          <w:highlight w:val="none"/>
        </w:rPr>
        <w:t>法定代表人（负责人）身份证明书</w:t>
      </w:r>
    </w:p>
    <w:p w14:paraId="3491BEA9">
      <w:pPr>
        <w:spacing w:line="360" w:lineRule="auto"/>
        <w:rPr>
          <w:rFonts w:ascii="华文中宋" w:hAnsi="华文中宋" w:eastAsia="华文中宋" w:cs="华文中宋"/>
          <w:color w:val="auto"/>
          <w:spacing w:val="6"/>
          <w:szCs w:val="21"/>
          <w:highlight w:val="none"/>
          <w:u w:val="single"/>
        </w:rPr>
      </w:pPr>
      <w:r>
        <w:rPr>
          <w:rFonts w:hint="eastAsia" w:ascii="华文中宋" w:hAnsi="华文中宋" w:eastAsia="华文中宋" w:cs="华文中宋"/>
          <w:color w:val="auto"/>
          <w:spacing w:val="6"/>
          <w:szCs w:val="21"/>
          <w:highlight w:val="none"/>
        </w:rPr>
        <w:t>单位名称：</w:t>
      </w:r>
    </w:p>
    <w:p w14:paraId="6FE10287">
      <w:pPr>
        <w:spacing w:line="360" w:lineRule="auto"/>
        <w:rPr>
          <w:rFonts w:ascii="华文中宋" w:hAnsi="华文中宋" w:eastAsia="华文中宋" w:cs="华文中宋"/>
          <w:color w:val="auto"/>
          <w:spacing w:val="6"/>
          <w:szCs w:val="21"/>
          <w:highlight w:val="none"/>
          <w:u w:val="single"/>
        </w:rPr>
      </w:pPr>
      <w:r>
        <w:rPr>
          <w:rFonts w:hint="eastAsia" w:ascii="华文中宋" w:hAnsi="华文中宋" w:eastAsia="华文中宋" w:cs="华文中宋"/>
          <w:color w:val="auto"/>
          <w:spacing w:val="6"/>
          <w:szCs w:val="21"/>
          <w:highlight w:val="none"/>
        </w:rPr>
        <w:t>单位性质：</w:t>
      </w:r>
    </w:p>
    <w:p w14:paraId="750989F5">
      <w:pPr>
        <w:spacing w:line="360" w:lineRule="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地    址：</w:t>
      </w:r>
    </w:p>
    <w:p w14:paraId="6082C337">
      <w:pPr>
        <w:spacing w:line="360" w:lineRule="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成立时间：      年    月    日</w:t>
      </w:r>
    </w:p>
    <w:p w14:paraId="511CB227">
      <w:pPr>
        <w:spacing w:line="360" w:lineRule="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 xml:space="preserve">经营期限：    </w:t>
      </w:r>
    </w:p>
    <w:p w14:paraId="1726D795">
      <w:pPr>
        <w:spacing w:line="360" w:lineRule="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 xml:space="preserve">姓    名：                      性  别：                 </w:t>
      </w:r>
    </w:p>
    <w:p w14:paraId="63C6533B">
      <w:pPr>
        <w:spacing w:line="360" w:lineRule="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 xml:space="preserve">身份证号：                      职  务：         </w:t>
      </w:r>
    </w:p>
    <w:p w14:paraId="4D0319A9">
      <w:pPr>
        <w:spacing w:line="360" w:lineRule="auto"/>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 xml:space="preserve">系 </w:t>
      </w:r>
      <w:r>
        <w:rPr>
          <w:rFonts w:hint="eastAsia" w:ascii="华文中宋" w:hAnsi="华文中宋" w:eastAsia="华文中宋" w:cs="华文中宋"/>
          <w:color w:val="auto"/>
          <w:spacing w:val="6"/>
          <w:szCs w:val="21"/>
          <w:highlight w:val="none"/>
          <w:u w:val="single"/>
        </w:rPr>
        <w:t xml:space="preserve">      （投标人名称）          </w:t>
      </w:r>
      <w:r>
        <w:rPr>
          <w:rFonts w:hint="eastAsia" w:ascii="华文中宋" w:hAnsi="华文中宋" w:eastAsia="华文中宋" w:cs="华文中宋"/>
          <w:color w:val="auto"/>
          <w:spacing w:val="6"/>
          <w:szCs w:val="21"/>
          <w:highlight w:val="none"/>
        </w:rPr>
        <w:t xml:space="preserve">的法定代表人（负责人）。 </w:t>
      </w:r>
    </w:p>
    <w:p w14:paraId="1D692A0C">
      <w:pPr>
        <w:spacing w:line="360" w:lineRule="auto"/>
        <w:ind w:firstLine="444" w:firstLineChars="200"/>
        <w:rPr>
          <w:rFonts w:ascii="华文中宋" w:hAnsi="华文中宋" w:eastAsia="华文中宋" w:cs="华文中宋"/>
          <w:color w:val="auto"/>
          <w:szCs w:val="21"/>
          <w:highlight w:val="none"/>
        </w:rPr>
      </w:pPr>
      <w:r>
        <w:rPr>
          <w:rFonts w:hint="eastAsia" w:ascii="华文中宋" w:hAnsi="华文中宋" w:eastAsia="华文中宋" w:cs="华文中宋"/>
          <w:color w:val="auto"/>
          <w:spacing w:val="6"/>
          <w:szCs w:val="21"/>
          <w:highlight w:val="none"/>
        </w:rPr>
        <w:t>特此证明</w:t>
      </w:r>
      <w:r>
        <w:rPr>
          <w:rFonts w:ascii="华文中宋" w:hAnsi="华文中宋" w:eastAsia="华文中宋" w:cs="华文中宋"/>
          <w:color w:val="auto"/>
          <w:spacing w:val="20"/>
          <w:szCs w:val="21"/>
          <w:highlight w:val="none"/>
        </w:rPr>
        <w:tab/>
      </w:r>
      <w:r>
        <w:rPr>
          <w:rFonts w:ascii="华文中宋" w:hAnsi="华文中宋" w:eastAsia="华文中宋" w:cs="华文中宋"/>
          <w:color w:val="auto"/>
          <w:spacing w:val="20"/>
          <w:szCs w:val="21"/>
          <w:highlight w:val="none"/>
        </w:rPr>
        <w:tab/>
      </w:r>
    </w:p>
    <w:p w14:paraId="4CB95DDA">
      <w:pPr>
        <w:spacing w:line="276" w:lineRule="auto"/>
        <w:rPr>
          <w:rFonts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附法定代表人（负责人）有效的身份证正反两面</w:t>
      </w:r>
      <w:r>
        <w:rPr>
          <w:rFonts w:hint="eastAsia" w:ascii="华文中宋" w:hAnsi="华文中宋" w:eastAsia="华文中宋"/>
          <w:b/>
          <w:color w:val="auto"/>
          <w:szCs w:val="21"/>
          <w:highlight w:val="none"/>
        </w:rPr>
        <w:t>扫描件</w:t>
      </w:r>
    </w:p>
    <w:tbl>
      <w:tblPr>
        <w:tblStyle w:val="29"/>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478D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trPr>
        <w:tc>
          <w:tcPr>
            <w:tcW w:w="4615" w:type="dxa"/>
          </w:tcPr>
          <w:p w14:paraId="1CBDD2B7">
            <w:pPr>
              <w:spacing w:line="276" w:lineRule="auto"/>
              <w:rPr>
                <w:rFonts w:ascii="华文中宋" w:hAnsi="华文中宋" w:eastAsia="华文中宋" w:cs="华文中宋"/>
                <w:b/>
                <w:color w:val="auto"/>
                <w:szCs w:val="21"/>
                <w:highlight w:val="none"/>
              </w:rPr>
            </w:pPr>
          </w:p>
        </w:tc>
        <w:tc>
          <w:tcPr>
            <w:tcW w:w="4615" w:type="dxa"/>
          </w:tcPr>
          <w:p w14:paraId="0B1EDB66">
            <w:pPr>
              <w:spacing w:line="276" w:lineRule="auto"/>
              <w:rPr>
                <w:rFonts w:ascii="华文中宋" w:hAnsi="华文中宋" w:eastAsia="华文中宋" w:cs="华文中宋"/>
                <w:b/>
                <w:color w:val="auto"/>
                <w:szCs w:val="21"/>
                <w:highlight w:val="none"/>
              </w:rPr>
            </w:pPr>
          </w:p>
        </w:tc>
      </w:tr>
    </w:tbl>
    <w:p w14:paraId="50165FBF">
      <w:pPr>
        <w:snapToGrid w:val="0"/>
        <w:spacing w:line="360" w:lineRule="auto"/>
        <w:jc w:val="center"/>
        <w:rPr>
          <w:rFonts w:hint="eastAsia" w:ascii="华文中宋" w:hAnsi="华文中宋" w:eastAsia="华文中宋" w:cs="华文中宋"/>
          <w:b/>
          <w:color w:val="auto"/>
          <w:sz w:val="24"/>
          <w:highlight w:val="none"/>
        </w:rPr>
      </w:pPr>
    </w:p>
    <w:p w14:paraId="3065CE05">
      <w:pPr>
        <w:spacing w:line="360" w:lineRule="auto"/>
        <w:ind w:left="31680" w:hanging="315" w:hangingChars="150"/>
        <w:jc w:val="righ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投标人：（企业电子公章）</w:t>
      </w:r>
    </w:p>
    <w:p w14:paraId="34798A72">
      <w:pPr>
        <w:snapToGrid w:val="0"/>
        <w:spacing w:before="100" w:beforeAutospacing="1" w:after="100" w:afterAutospacing="1" w:line="360" w:lineRule="auto"/>
        <w:jc w:val="right"/>
        <w:rPr>
          <w:rFonts w:ascii="华文中宋" w:hAnsi="华文中宋" w:eastAsia="华文中宋"/>
          <w:b/>
          <w:bCs/>
          <w:color w:val="auto"/>
          <w:sz w:val="24"/>
          <w:highlight w:val="none"/>
        </w:rPr>
      </w:pPr>
      <w:r>
        <w:rPr>
          <w:rFonts w:hint="eastAsia" w:ascii="华文中宋" w:hAnsi="华文中宋" w:eastAsia="华文中宋"/>
          <w:color w:val="auto"/>
          <w:szCs w:val="21"/>
          <w:highlight w:val="none"/>
        </w:rPr>
        <w:t>日</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期：</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年</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月</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日</w:t>
      </w:r>
    </w:p>
    <w:p w14:paraId="729D794D">
      <w:pPr>
        <w:snapToGrid w:val="0"/>
        <w:spacing w:line="360" w:lineRule="auto"/>
        <w:jc w:val="center"/>
        <w:rPr>
          <w:rFonts w:hint="eastAsia" w:ascii="华文中宋" w:hAnsi="华文中宋" w:eastAsia="华文中宋" w:cs="华文中宋"/>
          <w:b/>
          <w:color w:val="auto"/>
          <w:sz w:val="24"/>
          <w:highlight w:val="none"/>
        </w:rPr>
      </w:pPr>
    </w:p>
    <w:p w14:paraId="09BEAFBF">
      <w:pPr>
        <w:snapToGrid w:val="0"/>
        <w:spacing w:line="360" w:lineRule="auto"/>
        <w:jc w:val="center"/>
        <w:rPr>
          <w:rFonts w:hint="eastAsia" w:ascii="华文中宋" w:hAnsi="华文中宋" w:eastAsia="华文中宋" w:cs="华文中宋"/>
          <w:b/>
          <w:color w:val="auto"/>
          <w:sz w:val="24"/>
          <w:highlight w:val="none"/>
        </w:rPr>
      </w:pPr>
    </w:p>
    <w:p w14:paraId="07B65B26">
      <w:pPr>
        <w:snapToGrid w:val="0"/>
        <w:spacing w:line="360" w:lineRule="auto"/>
        <w:jc w:val="center"/>
        <w:rPr>
          <w:rFonts w:hint="eastAsia" w:ascii="华文中宋" w:hAnsi="华文中宋" w:eastAsia="华文中宋" w:cs="华文中宋"/>
          <w:b/>
          <w:color w:val="auto"/>
          <w:sz w:val="24"/>
          <w:highlight w:val="none"/>
        </w:rPr>
      </w:pPr>
    </w:p>
    <w:p w14:paraId="6EBF2F4A">
      <w:pPr>
        <w:pStyle w:val="16"/>
        <w:rPr>
          <w:rFonts w:hint="eastAsia" w:ascii="华文中宋" w:hAnsi="华文中宋" w:eastAsia="华文中宋" w:cs="华文中宋"/>
          <w:b/>
          <w:color w:val="auto"/>
          <w:sz w:val="24"/>
          <w:highlight w:val="none"/>
        </w:rPr>
      </w:pPr>
    </w:p>
    <w:p w14:paraId="0811DAF1">
      <w:pPr>
        <w:rPr>
          <w:rFonts w:hint="eastAsia" w:ascii="华文中宋" w:hAnsi="华文中宋" w:eastAsia="华文中宋" w:cs="华文中宋"/>
          <w:b/>
          <w:color w:val="auto"/>
          <w:sz w:val="24"/>
          <w:highlight w:val="none"/>
        </w:rPr>
      </w:pPr>
    </w:p>
    <w:p w14:paraId="60FE64C5">
      <w:pPr>
        <w:pStyle w:val="16"/>
        <w:rPr>
          <w:rFonts w:hint="eastAsia" w:ascii="华文中宋" w:hAnsi="华文中宋" w:eastAsia="华文中宋" w:cs="华文中宋"/>
          <w:b/>
          <w:color w:val="auto"/>
          <w:sz w:val="24"/>
          <w:highlight w:val="none"/>
        </w:rPr>
      </w:pPr>
    </w:p>
    <w:p w14:paraId="255DBC95">
      <w:pPr>
        <w:rPr>
          <w:rFonts w:hint="eastAsia"/>
          <w:color w:val="auto"/>
          <w:highlight w:val="none"/>
        </w:rPr>
      </w:pPr>
    </w:p>
    <w:p w14:paraId="361D0CAA">
      <w:pPr>
        <w:snapToGrid w:val="0"/>
        <w:spacing w:line="360" w:lineRule="auto"/>
        <w:jc w:val="center"/>
        <w:rPr>
          <w:rFonts w:hint="eastAsia" w:ascii="华文中宋" w:hAnsi="华文中宋" w:eastAsia="华文中宋" w:cs="华文中宋"/>
          <w:b/>
          <w:color w:val="auto"/>
          <w:sz w:val="24"/>
          <w:highlight w:val="none"/>
        </w:rPr>
      </w:pPr>
    </w:p>
    <w:p w14:paraId="11E72E96">
      <w:pPr>
        <w:snapToGrid w:val="0"/>
        <w:spacing w:line="360" w:lineRule="auto"/>
        <w:jc w:val="center"/>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法定代表人（负责人）授权委托书</w:t>
      </w:r>
    </w:p>
    <w:p w14:paraId="5468397D">
      <w:pPr>
        <w:snapToGrid w:val="0"/>
        <w:spacing w:line="360" w:lineRule="auto"/>
        <w:rPr>
          <w:rFonts w:ascii="华文中宋" w:hAnsi="华文中宋" w:eastAsia="华文中宋" w:cs="华文中宋"/>
          <w:b/>
          <w:color w:val="auto"/>
          <w:szCs w:val="21"/>
          <w:highlight w:val="none"/>
        </w:rPr>
      </w:pPr>
      <w:r>
        <w:rPr>
          <w:rFonts w:hint="eastAsia" w:ascii="华文中宋" w:hAnsi="华文中宋" w:eastAsia="华文中宋"/>
          <w:color w:val="auto"/>
          <w:szCs w:val="21"/>
          <w:highlight w:val="none"/>
          <w:lang w:val="en-US" w:eastAsia="zh-CN"/>
        </w:rPr>
        <w:t>大同市公共资源交易中心（大同市政府采购中心）</w:t>
      </w:r>
      <w:r>
        <w:rPr>
          <w:rFonts w:hint="eastAsia" w:ascii="华文中宋" w:hAnsi="华文中宋" w:eastAsia="华文中宋" w:cs="华文中宋"/>
          <w:b/>
          <w:color w:val="auto"/>
          <w:szCs w:val="21"/>
          <w:highlight w:val="none"/>
        </w:rPr>
        <w:t>：</w:t>
      </w:r>
    </w:p>
    <w:p w14:paraId="02835BFC">
      <w:pPr>
        <w:snapToGrid w:val="0"/>
        <w:spacing w:line="360" w:lineRule="auto"/>
        <w:ind w:firstLine="420" w:firstLineChars="200"/>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本授权委托书声明：注册于</w:t>
      </w:r>
      <w:r>
        <w:rPr>
          <w:rFonts w:hint="eastAsia" w:ascii="华文中宋" w:hAnsi="华文中宋" w:eastAsia="华文中宋" w:cs="华文中宋"/>
          <w:color w:val="auto"/>
          <w:szCs w:val="21"/>
          <w:highlight w:val="none"/>
          <w:u w:val="single"/>
        </w:rPr>
        <w:t>（投标人住址）</w:t>
      </w:r>
      <w:r>
        <w:rPr>
          <w:rFonts w:hint="eastAsia" w:ascii="华文中宋" w:hAnsi="华文中宋" w:eastAsia="华文中宋" w:cs="华文中宋"/>
          <w:color w:val="auto"/>
          <w:szCs w:val="21"/>
          <w:highlight w:val="none"/>
        </w:rPr>
        <w:t>的</w:t>
      </w:r>
      <w:r>
        <w:rPr>
          <w:rFonts w:hint="eastAsia" w:ascii="华文中宋" w:hAnsi="华文中宋" w:eastAsia="华文中宋" w:cs="华文中宋"/>
          <w:color w:val="auto"/>
          <w:szCs w:val="21"/>
          <w:highlight w:val="none"/>
          <w:u w:val="single"/>
        </w:rPr>
        <w:t>（投标人名称）</w:t>
      </w:r>
      <w:r>
        <w:rPr>
          <w:rFonts w:hint="eastAsia" w:ascii="华文中宋" w:hAnsi="华文中宋" w:eastAsia="华文中宋" w:cs="华文中宋"/>
          <w:color w:val="auto"/>
          <w:szCs w:val="21"/>
          <w:highlight w:val="none"/>
        </w:rPr>
        <w:t>法定代表人（负责人）</w:t>
      </w:r>
      <w:r>
        <w:rPr>
          <w:rFonts w:hint="eastAsia" w:ascii="华文中宋" w:hAnsi="华文中宋" w:eastAsia="华文中宋" w:cs="华文中宋"/>
          <w:color w:val="auto"/>
          <w:szCs w:val="21"/>
          <w:highlight w:val="none"/>
          <w:u w:val="single"/>
        </w:rPr>
        <w:t>（法定代表人姓名、职务）</w:t>
      </w:r>
      <w:r>
        <w:rPr>
          <w:rFonts w:hint="eastAsia" w:ascii="华文中宋" w:hAnsi="华文中宋" w:eastAsia="华文中宋" w:cs="华文中宋"/>
          <w:color w:val="auto"/>
          <w:szCs w:val="21"/>
          <w:highlight w:val="none"/>
        </w:rPr>
        <w:t>代表本公司授权</w:t>
      </w:r>
      <w:r>
        <w:rPr>
          <w:rFonts w:hint="eastAsia" w:ascii="华文中宋" w:hAnsi="华文中宋" w:eastAsia="华文中宋" w:cs="华文中宋"/>
          <w:color w:val="auto"/>
          <w:szCs w:val="21"/>
          <w:highlight w:val="none"/>
          <w:u w:val="single"/>
        </w:rPr>
        <w:t>（投标人代表姓名、职务）</w:t>
      </w:r>
      <w:r>
        <w:rPr>
          <w:rFonts w:hint="eastAsia" w:ascii="华文中宋" w:hAnsi="华文中宋" w:eastAsia="华文中宋" w:cs="华文中宋"/>
          <w:color w:val="auto"/>
          <w:szCs w:val="21"/>
          <w:highlight w:val="none"/>
        </w:rPr>
        <w:t>为本公司的合法代理人，就贵方组织</w:t>
      </w:r>
      <w:r>
        <w:rPr>
          <w:rFonts w:hint="eastAsia" w:ascii="华文中宋" w:hAnsi="华文中宋" w:eastAsia="华文中宋" w:cs="华文中宋"/>
          <w:color w:val="auto"/>
          <w:spacing w:val="6"/>
          <w:szCs w:val="21"/>
          <w:highlight w:val="none"/>
          <w:u w:val="single"/>
        </w:rPr>
        <w:t>（项目名称、项目编号）</w:t>
      </w:r>
      <w:r>
        <w:rPr>
          <w:rFonts w:hint="eastAsia" w:ascii="华文中宋" w:hAnsi="华文中宋" w:eastAsia="华文中宋" w:cs="华文中宋"/>
          <w:color w:val="auto"/>
          <w:szCs w:val="21"/>
          <w:highlight w:val="none"/>
        </w:rPr>
        <w:t>项目，以本公司名义处理一切与之有关的事务。</w:t>
      </w:r>
    </w:p>
    <w:p w14:paraId="5C735282">
      <w:pPr>
        <w:snapToGrid w:val="0"/>
        <w:spacing w:line="360" w:lineRule="auto"/>
        <w:ind w:firstLine="420" w:firstLineChars="200"/>
        <w:rPr>
          <w:rFonts w:ascii="华文中宋" w:hAnsi="华文中宋" w:eastAsia="华文中宋" w:cs="华文中宋"/>
          <w:b/>
          <w:color w:val="auto"/>
          <w:szCs w:val="21"/>
          <w:highlight w:val="none"/>
        </w:rPr>
      </w:pPr>
      <w:r>
        <w:rPr>
          <w:rFonts w:hint="eastAsia" w:ascii="华文中宋" w:hAnsi="华文中宋" w:eastAsia="华文中宋" w:cs="华文中宋"/>
          <w:color w:val="auto"/>
          <w:szCs w:val="21"/>
          <w:highlight w:val="none"/>
        </w:rPr>
        <w:t>本授权书于    年  月  日生效，特此声明</w:t>
      </w:r>
    </w:p>
    <w:p w14:paraId="03FF90F3">
      <w:pPr>
        <w:spacing w:line="276" w:lineRule="auto"/>
        <w:rPr>
          <w:rFonts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附投标人代表有效的身份证正反两面</w:t>
      </w:r>
      <w:r>
        <w:rPr>
          <w:rFonts w:hint="eastAsia" w:ascii="华文中宋" w:hAnsi="华文中宋" w:eastAsia="华文中宋"/>
          <w:b/>
          <w:color w:val="auto"/>
          <w:szCs w:val="21"/>
          <w:highlight w:val="none"/>
        </w:rPr>
        <w:t>扫描件</w:t>
      </w:r>
    </w:p>
    <w:tbl>
      <w:tblPr>
        <w:tblStyle w:val="29"/>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AA8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atLeast"/>
        </w:trPr>
        <w:tc>
          <w:tcPr>
            <w:tcW w:w="4615" w:type="dxa"/>
          </w:tcPr>
          <w:p w14:paraId="265A8785">
            <w:pPr>
              <w:spacing w:line="276" w:lineRule="auto"/>
              <w:rPr>
                <w:rFonts w:ascii="华文中宋" w:hAnsi="华文中宋" w:eastAsia="华文中宋" w:cs="华文中宋"/>
                <w:b/>
                <w:color w:val="auto"/>
                <w:szCs w:val="21"/>
                <w:highlight w:val="none"/>
              </w:rPr>
            </w:pPr>
          </w:p>
        </w:tc>
        <w:tc>
          <w:tcPr>
            <w:tcW w:w="4615" w:type="dxa"/>
          </w:tcPr>
          <w:p w14:paraId="616DD13A">
            <w:pPr>
              <w:spacing w:line="276" w:lineRule="auto"/>
              <w:rPr>
                <w:rFonts w:ascii="华文中宋" w:hAnsi="华文中宋" w:eastAsia="华文中宋" w:cs="华文中宋"/>
                <w:b/>
                <w:color w:val="auto"/>
                <w:szCs w:val="21"/>
                <w:highlight w:val="none"/>
              </w:rPr>
            </w:pPr>
          </w:p>
        </w:tc>
      </w:tr>
    </w:tbl>
    <w:p w14:paraId="08168142">
      <w:pPr>
        <w:spacing w:line="276" w:lineRule="auto"/>
        <w:rPr>
          <w:rFonts w:ascii="华文中宋" w:hAnsi="华文中宋" w:eastAsia="华文中宋"/>
          <w:b/>
          <w:color w:val="auto"/>
          <w:szCs w:val="21"/>
          <w:highlight w:val="none"/>
        </w:rPr>
      </w:pPr>
    </w:p>
    <w:p w14:paraId="4EC8E5F7">
      <w:pPr>
        <w:spacing w:line="360" w:lineRule="auto"/>
        <w:ind w:left="31680" w:hanging="315" w:hangingChars="150"/>
        <w:jc w:val="righ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投标人：（企业电子公章）</w:t>
      </w:r>
    </w:p>
    <w:p w14:paraId="10CFA9A6">
      <w:pPr>
        <w:pStyle w:val="15"/>
        <w:jc w:val="center"/>
        <w:rPr>
          <w:rFonts w:ascii="华文中宋" w:hAnsi="华文中宋" w:eastAsia="华文中宋"/>
          <w:color w:val="auto"/>
          <w:highlight w:val="none"/>
        </w:rPr>
      </w:pP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lang w:val="en-US" w:eastAsia="zh-CN"/>
        </w:rPr>
        <w:t xml:space="preserve">     </w:t>
      </w:r>
      <w:r>
        <w:rPr>
          <w:rFonts w:hint="eastAsia" w:ascii="华文中宋" w:hAnsi="华文中宋" w:eastAsia="华文中宋"/>
          <w:color w:val="auto"/>
          <w:szCs w:val="21"/>
          <w:highlight w:val="none"/>
        </w:rPr>
        <w:t>法定代表人：（签字或盖章）</w:t>
      </w:r>
    </w:p>
    <w:p w14:paraId="3170D775">
      <w:pPr>
        <w:spacing w:line="276" w:lineRule="auto"/>
        <w:jc w:val="right"/>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 xml:space="preserve">  </w:t>
      </w:r>
      <w:r>
        <w:rPr>
          <w:rFonts w:hint="eastAsia" w:ascii="华文中宋" w:hAnsi="华文中宋" w:eastAsia="华文中宋"/>
          <w:color w:val="auto"/>
          <w:szCs w:val="21"/>
          <w:highlight w:val="none"/>
        </w:rPr>
        <w:t>日</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期：</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年</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月</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日</w:t>
      </w:r>
    </w:p>
    <w:p w14:paraId="7D0B1F22">
      <w:pPr>
        <w:snapToGrid w:val="0"/>
        <w:spacing w:before="100" w:beforeAutospacing="1" w:after="100" w:afterAutospacing="1" w:line="360" w:lineRule="auto"/>
        <w:jc w:val="right"/>
        <w:rPr>
          <w:rFonts w:ascii="华文中宋" w:hAnsi="华文中宋" w:eastAsia="华文中宋"/>
          <w:b/>
          <w:bCs/>
          <w:color w:val="auto"/>
          <w:sz w:val="24"/>
          <w:highlight w:val="none"/>
        </w:rPr>
      </w:pPr>
    </w:p>
    <w:p w14:paraId="28219B8B">
      <w:pPr>
        <w:spacing w:line="276" w:lineRule="auto"/>
        <w:rPr>
          <w:rFonts w:ascii="华文中宋" w:hAnsi="华文中宋" w:eastAsia="华文中宋"/>
          <w:b/>
          <w:color w:val="auto"/>
          <w:szCs w:val="21"/>
          <w:highlight w:val="none"/>
        </w:rPr>
      </w:pPr>
    </w:p>
    <w:p w14:paraId="35C7FE5B">
      <w:pPr>
        <w:pStyle w:val="16"/>
        <w:rPr>
          <w:rFonts w:ascii="华文中宋" w:hAnsi="华文中宋" w:eastAsia="华文中宋"/>
          <w:b/>
          <w:color w:val="auto"/>
          <w:szCs w:val="21"/>
          <w:highlight w:val="none"/>
        </w:rPr>
      </w:pPr>
    </w:p>
    <w:p w14:paraId="26434615">
      <w:pPr>
        <w:rPr>
          <w:rFonts w:ascii="华文中宋" w:hAnsi="华文中宋" w:eastAsia="华文中宋"/>
          <w:b/>
          <w:color w:val="auto"/>
          <w:szCs w:val="21"/>
          <w:highlight w:val="none"/>
        </w:rPr>
      </w:pPr>
    </w:p>
    <w:p w14:paraId="6432F45F">
      <w:pPr>
        <w:pStyle w:val="16"/>
        <w:rPr>
          <w:color w:val="auto"/>
          <w:highlight w:val="none"/>
        </w:rPr>
      </w:pPr>
    </w:p>
    <w:p w14:paraId="172A3F3D">
      <w:pPr>
        <w:spacing w:line="276" w:lineRule="auto"/>
        <w:rPr>
          <w:rFonts w:ascii="华文中宋" w:hAnsi="华文中宋" w:eastAsia="华文中宋" w:cs="华文中宋"/>
          <w:bCs/>
          <w:color w:val="auto"/>
          <w:sz w:val="24"/>
          <w:highlight w:val="none"/>
        </w:rPr>
      </w:pPr>
      <w:r>
        <w:rPr>
          <w:rFonts w:ascii="华文中宋" w:hAnsi="华文中宋" w:eastAsia="华文中宋"/>
          <w:b/>
          <w:color w:val="auto"/>
          <w:szCs w:val="21"/>
          <w:highlight w:val="none"/>
        </w:rPr>
        <w:br w:type="page"/>
      </w:r>
      <w:r>
        <w:rPr>
          <w:rFonts w:hint="eastAsia" w:ascii="华文中宋" w:hAnsi="华文中宋" w:eastAsia="华文中宋" w:cs="华文中宋"/>
          <w:b/>
          <w:color w:val="auto"/>
          <w:sz w:val="24"/>
          <w:highlight w:val="none"/>
        </w:rPr>
        <w:t>（二）投标函格式</w:t>
      </w:r>
    </w:p>
    <w:p w14:paraId="717BA3EC">
      <w:pPr>
        <w:spacing w:line="276" w:lineRule="auto"/>
        <w:jc w:val="center"/>
        <w:rPr>
          <w:rFonts w:ascii="华文中宋" w:hAnsi="华文中宋" w:eastAsia="华文中宋" w:cs="华文中宋"/>
          <w:bCs/>
          <w:color w:val="auto"/>
          <w:sz w:val="24"/>
          <w:highlight w:val="none"/>
        </w:rPr>
      </w:pPr>
      <w:r>
        <w:rPr>
          <w:rFonts w:hint="eastAsia" w:ascii="华文中宋" w:hAnsi="华文中宋" w:eastAsia="华文中宋" w:cs="华文中宋"/>
          <w:b/>
          <w:color w:val="auto"/>
          <w:sz w:val="24"/>
          <w:highlight w:val="none"/>
        </w:rPr>
        <w:t>投  标  函</w:t>
      </w:r>
    </w:p>
    <w:p w14:paraId="020B801D">
      <w:pPr>
        <w:tabs>
          <w:tab w:val="left" w:pos="4860"/>
        </w:tabs>
        <w:spacing w:line="360" w:lineRule="auto"/>
        <w:rPr>
          <w:rFonts w:ascii="华文中宋" w:hAnsi="华文中宋" w:eastAsia="华文中宋" w:cs="华文中宋"/>
          <w:color w:val="auto"/>
          <w:highlight w:val="none"/>
        </w:rPr>
      </w:pPr>
      <w:bookmarkStart w:id="72" w:name="PO_3000009613_PM031_8"/>
      <w:r>
        <w:rPr>
          <w:rFonts w:hint="eastAsia" w:ascii="华文中宋" w:hAnsi="华文中宋" w:eastAsia="华文中宋"/>
          <w:bCs/>
          <w:color w:val="auto"/>
          <w:szCs w:val="21"/>
          <w:highlight w:val="none"/>
          <w:lang w:val="en-US" w:eastAsia="zh-CN"/>
        </w:rPr>
        <w:t>大同市公共资源交易中心（大同市政府采购中心）</w:t>
      </w:r>
      <w:bookmarkEnd w:id="72"/>
      <w:r>
        <w:rPr>
          <w:rFonts w:hint="eastAsia" w:ascii="华文中宋" w:hAnsi="华文中宋" w:eastAsia="华文中宋" w:cs="华文中宋"/>
          <w:color w:val="auto"/>
          <w:szCs w:val="21"/>
          <w:highlight w:val="none"/>
        </w:rPr>
        <w:t>：</w:t>
      </w:r>
    </w:p>
    <w:p w14:paraId="5B4EED51">
      <w:pPr>
        <w:pStyle w:val="25"/>
        <w:widowControl w:val="0"/>
        <w:snapToGrid w:val="0"/>
        <w:spacing w:before="0" w:beforeAutospacing="0" w:after="0" w:afterAutospacing="0" w:line="360" w:lineRule="auto"/>
        <w:ind w:firstLine="420" w:firstLineChars="200"/>
        <w:jc w:val="both"/>
        <w:rPr>
          <w:rFonts w:ascii="华文中宋" w:hAnsi="华文中宋" w:eastAsia="华文中宋" w:cs="华文中宋"/>
          <w:color w:val="auto"/>
          <w:sz w:val="21"/>
          <w:szCs w:val="21"/>
          <w:highlight w:val="none"/>
        </w:rPr>
      </w:pPr>
      <w:r>
        <w:rPr>
          <w:rFonts w:ascii="华文中宋" w:hAnsi="华文中宋" w:eastAsia="华文中宋" w:cs="华文中宋"/>
          <w:color w:val="auto"/>
          <w:kern w:val="2"/>
          <w:sz w:val="21"/>
          <w:szCs w:val="21"/>
          <w:highlight w:val="none"/>
          <w:u w:val="single"/>
        </w:rPr>
        <w:t>(</w:t>
      </w:r>
      <w:r>
        <w:rPr>
          <w:rFonts w:hint="eastAsia" w:ascii="华文中宋" w:hAnsi="华文中宋" w:eastAsia="华文中宋" w:cs="华文中宋"/>
          <w:color w:val="auto"/>
          <w:kern w:val="2"/>
          <w:sz w:val="21"/>
          <w:szCs w:val="21"/>
          <w:highlight w:val="none"/>
          <w:u w:val="single"/>
        </w:rPr>
        <w:t>投标人名称</w:t>
      </w:r>
      <w:r>
        <w:rPr>
          <w:rFonts w:ascii="华文中宋" w:hAnsi="华文中宋" w:eastAsia="华文中宋" w:cs="华文中宋"/>
          <w:color w:val="auto"/>
          <w:kern w:val="2"/>
          <w:sz w:val="21"/>
          <w:szCs w:val="21"/>
          <w:highlight w:val="none"/>
          <w:u w:val="single"/>
        </w:rPr>
        <w:t>)</w:t>
      </w:r>
      <w:r>
        <w:rPr>
          <w:rFonts w:hint="eastAsia" w:ascii="华文中宋" w:hAnsi="华文中宋" w:eastAsia="华文中宋" w:cs="华文中宋"/>
          <w:color w:val="auto"/>
          <w:kern w:val="2"/>
          <w:sz w:val="21"/>
          <w:szCs w:val="21"/>
          <w:highlight w:val="none"/>
        </w:rPr>
        <w:t>授权</w:t>
      </w:r>
      <w:r>
        <w:rPr>
          <w:rFonts w:ascii="华文中宋" w:hAnsi="华文中宋" w:eastAsia="华文中宋" w:cs="华文中宋"/>
          <w:color w:val="auto"/>
          <w:kern w:val="2"/>
          <w:sz w:val="21"/>
          <w:szCs w:val="21"/>
          <w:highlight w:val="none"/>
          <w:u w:val="single"/>
        </w:rPr>
        <w:t>(</w:t>
      </w:r>
      <w:r>
        <w:rPr>
          <w:rFonts w:hint="eastAsia" w:ascii="华文中宋" w:hAnsi="华文中宋" w:eastAsia="华文中宋" w:cs="华文中宋"/>
          <w:color w:val="auto"/>
          <w:kern w:val="2"/>
          <w:sz w:val="21"/>
          <w:szCs w:val="21"/>
          <w:highlight w:val="none"/>
          <w:u w:val="single"/>
        </w:rPr>
        <w:t>投标人代表姓名</w:t>
      </w:r>
      <w:r>
        <w:rPr>
          <w:rFonts w:ascii="华文中宋" w:hAnsi="华文中宋" w:eastAsia="华文中宋" w:cs="华文中宋"/>
          <w:color w:val="auto"/>
          <w:kern w:val="2"/>
          <w:sz w:val="21"/>
          <w:szCs w:val="21"/>
          <w:highlight w:val="none"/>
          <w:u w:val="single"/>
        </w:rPr>
        <w:t>)(</w:t>
      </w:r>
      <w:r>
        <w:rPr>
          <w:rFonts w:hint="eastAsia" w:ascii="华文中宋" w:hAnsi="华文中宋" w:eastAsia="华文中宋" w:cs="华文中宋"/>
          <w:color w:val="auto"/>
          <w:kern w:val="2"/>
          <w:sz w:val="21"/>
          <w:szCs w:val="21"/>
          <w:highlight w:val="none"/>
          <w:u w:val="single"/>
        </w:rPr>
        <w:t>职务</w:t>
      </w:r>
      <w:r>
        <w:rPr>
          <w:rFonts w:ascii="华文中宋" w:hAnsi="华文中宋" w:eastAsia="华文中宋" w:cs="华文中宋"/>
          <w:color w:val="auto"/>
          <w:kern w:val="2"/>
          <w:sz w:val="21"/>
          <w:szCs w:val="21"/>
          <w:highlight w:val="none"/>
          <w:u w:val="single"/>
        </w:rPr>
        <w:t>)</w:t>
      </w:r>
      <w:r>
        <w:rPr>
          <w:rFonts w:hint="eastAsia" w:ascii="华文中宋" w:hAnsi="华文中宋" w:eastAsia="华文中宋" w:cs="华文中宋"/>
          <w:color w:val="auto"/>
          <w:kern w:val="2"/>
          <w:sz w:val="21"/>
          <w:szCs w:val="21"/>
          <w:highlight w:val="none"/>
        </w:rPr>
        <w:t>为我方代表，参加贵方组织的</w:t>
      </w:r>
      <w:r>
        <w:rPr>
          <w:rFonts w:ascii="华文中宋" w:hAnsi="华文中宋" w:eastAsia="华文中宋" w:cs="华文中宋"/>
          <w:color w:val="auto"/>
          <w:kern w:val="2"/>
          <w:sz w:val="21"/>
          <w:szCs w:val="21"/>
          <w:highlight w:val="none"/>
          <w:u w:val="single"/>
        </w:rPr>
        <w:t>(</w:t>
      </w:r>
      <w:r>
        <w:rPr>
          <w:rFonts w:hint="eastAsia" w:ascii="华文中宋" w:hAnsi="华文中宋" w:eastAsia="华文中宋" w:cs="华文中宋"/>
          <w:color w:val="auto"/>
          <w:kern w:val="2"/>
          <w:sz w:val="21"/>
          <w:szCs w:val="21"/>
          <w:highlight w:val="none"/>
          <w:u w:val="single"/>
        </w:rPr>
        <w:t>项目名称、项目编号</w:t>
      </w:r>
      <w:r>
        <w:rPr>
          <w:rFonts w:ascii="华文中宋" w:hAnsi="华文中宋" w:eastAsia="华文中宋" w:cs="华文中宋"/>
          <w:color w:val="auto"/>
          <w:kern w:val="2"/>
          <w:sz w:val="21"/>
          <w:szCs w:val="21"/>
          <w:highlight w:val="none"/>
          <w:u w:val="single"/>
        </w:rPr>
        <w:t>)</w:t>
      </w:r>
      <w:r>
        <w:rPr>
          <w:rFonts w:hint="eastAsia" w:ascii="华文中宋" w:hAnsi="华文中宋" w:eastAsia="华文中宋" w:cs="华文中宋"/>
          <w:color w:val="auto"/>
          <w:kern w:val="2"/>
          <w:sz w:val="21"/>
          <w:szCs w:val="21"/>
          <w:highlight w:val="none"/>
        </w:rPr>
        <w:t>招标的有关活动，并对此项目进行投标，</w:t>
      </w:r>
      <w:r>
        <w:rPr>
          <w:rFonts w:hint="eastAsia" w:ascii="华文中宋" w:hAnsi="华文中宋" w:eastAsia="华文中宋"/>
          <w:color w:val="auto"/>
          <w:sz w:val="21"/>
          <w:szCs w:val="21"/>
          <w:highlight w:val="none"/>
        </w:rPr>
        <w:t>为此我方对以下内容作出完全响应：</w:t>
      </w:r>
    </w:p>
    <w:p w14:paraId="30F96089">
      <w:pPr>
        <w:pStyle w:val="25"/>
        <w:widowControl w:val="0"/>
        <w:tabs>
          <w:tab w:val="left" w:pos="1711"/>
        </w:tabs>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highlight w:val="none"/>
        </w:rPr>
      </w:pPr>
      <w:r>
        <w:rPr>
          <w:rFonts w:ascii="华文中宋" w:hAnsi="华文中宋" w:eastAsia="华文中宋" w:cs="华文中宋"/>
          <w:color w:val="auto"/>
          <w:sz w:val="21"/>
          <w:szCs w:val="21"/>
          <w:highlight w:val="none"/>
        </w:rPr>
        <w:t>1</w:t>
      </w:r>
      <w:r>
        <w:rPr>
          <w:rFonts w:hint="eastAsia" w:ascii="华文中宋" w:hAnsi="华文中宋" w:eastAsia="华文中宋"/>
          <w:b/>
          <w:color w:val="auto"/>
          <w:highlight w:val="none"/>
        </w:rPr>
        <w:t>．</w:t>
      </w:r>
      <w:r>
        <w:rPr>
          <w:rFonts w:hint="eastAsia" w:ascii="华文中宋" w:hAnsi="华文中宋" w:eastAsia="华文中宋" w:cs="华文中宋"/>
          <w:color w:val="auto"/>
          <w:sz w:val="21"/>
          <w:szCs w:val="21"/>
          <w:highlight w:val="none"/>
        </w:rPr>
        <w:t>我方已仔细研究了本项目招标文件的全部内容，愿意以投标报价、招标文件要求及合同约定完成项目。</w:t>
      </w:r>
    </w:p>
    <w:p w14:paraId="07A9FAD5">
      <w:pPr>
        <w:pStyle w:val="25"/>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highlight w:val="none"/>
        </w:rPr>
      </w:pPr>
      <w:r>
        <w:rPr>
          <w:rFonts w:ascii="华文中宋" w:hAnsi="华文中宋" w:eastAsia="华文中宋" w:cs="华文中宋"/>
          <w:color w:val="auto"/>
          <w:sz w:val="21"/>
          <w:szCs w:val="21"/>
          <w:highlight w:val="none"/>
        </w:rPr>
        <w:t>2</w:t>
      </w:r>
      <w:r>
        <w:rPr>
          <w:rFonts w:hint="eastAsia" w:ascii="华文中宋" w:hAnsi="华文中宋" w:eastAsia="华文中宋"/>
          <w:b/>
          <w:color w:val="auto"/>
          <w:highlight w:val="none"/>
        </w:rPr>
        <w:t>．</w:t>
      </w:r>
      <w:r>
        <w:rPr>
          <w:rFonts w:hint="eastAsia" w:ascii="华文中宋" w:hAnsi="华文中宋" w:eastAsia="华文中宋" w:cs="华文中宋"/>
          <w:color w:val="auto"/>
          <w:sz w:val="21"/>
          <w:szCs w:val="21"/>
          <w:highlight w:val="none"/>
        </w:rPr>
        <w:t>我方同意在本项目招标文件中规定的投标有效期</w:t>
      </w:r>
      <w:r>
        <w:rPr>
          <w:rFonts w:ascii="华文中宋" w:hAnsi="华文中宋" w:eastAsia="华文中宋" w:cs="华文中宋"/>
          <w:color w:val="auto"/>
          <w:sz w:val="21"/>
          <w:szCs w:val="21"/>
          <w:highlight w:val="none"/>
          <w:u w:val="single"/>
        </w:rPr>
        <w:t>90</w:t>
      </w:r>
      <w:r>
        <w:rPr>
          <w:rFonts w:hint="eastAsia" w:ascii="华文中宋" w:hAnsi="华文中宋" w:eastAsia="华文中宋" w:cs="华文中宋"/>
          <w:color w:val="auto"/>
          <w:sz w:val="21"/>
          <w:szCs w:val="21"/>
          <w:highlight w:val="none"/>
        </w:rPr>
        <w:t>个日历天内（</w:t>
      </w:r>
      <w:r>
        <w:rPr>
          <w:rFonts w:hint="eastAsia" w:ascii="华文中宋" w:hAnsi="华文中宋" w:eastAsia="华文中宋"/>
          <w:color w:val="auto"/>
          <w:sz w:val="21"/>
          <w:szCs w:val="21"/>
          <w:highlight w:val="none"/>
        </w:rPr>
        <w:t>自投标文件开启时间之日起计算</w:t>
      </w:r>
      <w:r>
        <w:rPr>
          <w:rFonts w:hint="eastAsia" w:ascii="华文中宋" w:hAnsi="华文中宋" w:eastAsia="华文中宋" w:cs="华文中宋"/>
          <w:color w:val="auto"/>
          <w:sz w:val="21"/>
          <w:szCs w:val="21"/>
          <w:highlight w:val="none"/>
        </w:rPr>
        <w:t>）遵守本投标文件中的承诺且在此期限期满之前均具有约束力。如果中标，投标有效期延长至合同履约完毕。</w:t>
      </w:r>
    </w:p>
    <w:p w14:paraId="649749DD">
      <w:pPr>
        <w:pStyle w:val="25"/>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highlight w:val="none"/>
        </w:rPr>
      </w:pPr>
      <w:r>
        <w:rPr>
          <w:rFonts w:ascii="华文中宋" w:hAnsi="华文中宋" w:eastAsia="华文中宋" w:cs="华文中宋"/>
          <w:color w:val="auto"/>
          <w:sz w:val="21"/>
          <w:szCs w:val="21"/>
          <w:highlight w:val="none"/>
        </w:rPr>
        <w:t>3</w:t>
      </w:r>
      <w:r>
        <w:rPr>
          <w:rFonts w:hint="eastAsia" w:ascii="华文中宋" w:hAnsi="华文中宋" w:eastAsia="华文中宋"/>
          <w:b/>
          <w:color w:val="auto"/>
          <w:highlight w:val="none"/>
        </w:rPr>
        <w:t>．</w:t>
      </w:r>
      <w:r>
        <w:rPr>
          <w:rFonts w:hint="eastAsia" w:ascii="华文中宋" w:hAnsi="华文中宋" w:eastAsia="华文中宋" w:cs="华文中宋"/>
          <w:color w:val="auto"/>
          <w:sz w:val="21"/>
          <w:szCs w:val="21"/>
          <w:highlight w:val="none"/>
        </w:rPr>
        <w:t>我方承诺已经具备《中华人民共和国政府采购法》中规定的参加政府采购活动的供应商应当具备的全部条件和本招标文件规定的特定资格要求。</w:t>
      </w:r>
    </w:p>
    <w:p w14:paraId="7362DE46">
      <w:pPr>
        <w:snapToGrid w:val="0"/>
        <w:spacing w:line="360" w:lineRule="auto"/>
        <w:ind w:firstLine="420" w:firstLineChars="200"/>
        <w:rPr>
          <w:rFonts w:ascii="华文中宋" w:hAnsi="华文中宋" w:eastAsia="华文中宋" w:cs="华文中宋"/>
          <w:color w:val="auto"/>
          <w:szCs w:val="21"/>
          <w:highlight w:val="none"/>
        </w:rPr>
      </w:pPr>
      <w:r>
        <w:rPr>
          <w:rFonts w:ascii="华文中宋" w:hAnsi="华文中宋" w:eastAsia="华文中宋" w:cs="华文中宋"/>
          <w:color w:val="auto"/>
          <w:szCs w:val="21"/>
          <w:highlight w:val="none"/>
        </w:rPr>
        <w:t>4</w:t>
      </w:r>
      <w:r>
        <w:rPr>
          <w:rFonts w:hint="eastAsia" w:ascii="华文中宋" w:hAnsi="华文中宋" w:eastAsia="华文中宋"/>
          <w:b/>
          <w:color w:val="auto"/>
          <w:highlight w:val="none"/>
        </w:rPr>
        <w:t>．</w:t>
      </w:r>
      <w:r>
        <w:rPr>
          <w:rFonts w:hint="eastAsia" w:ascii="华文中宋" w:hAnsi="华文中宋" w:eastAsia="华文中宋" w:cs="华文中宋"/>
          <w:color w:val="auto"/>
          <w:szCs w:val="21"/>
          <w:highlight w:val="none"/>
        </w:rPr>
        <w:t>我方承诺提供符合招标文件规定的投标文件；我方承诺投标文件</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olor w:val="auto"/>
          <w:highlight w:val="none"/>
          <w:lang w:val="en-US" w:eastAsia="zh-CN"/>
        </w:rPr>
        <w:t>资格证明文件、商务技术文件</w:t>
      </w:r>
      <w:r>
        <w:rPr>
          <w:rFonts w:hint="eastAsia" w:ascii="华文中宋" w:hAnsi="华文中宋" w:eastAsia="华文中宋"/>
          <w:color w:val="auto"/>
          <w:highlight w:val="none"/>
          <w:lang w:eastAsia="zh-CN"/>
        </w:rPr>
        <w:t>）</w:t>
      </w:r>
      <w:r>
        <w:rPr>
          <w:rFonts w:hint="eastAsia" w:ascii="华文中宋" w:hAnsi="华文中宋" w:eastAsia="华文中宋" w:cs="华文中宋"/>
          <w:color w:val="auto"/>
          <w:szCs w:val="21"/>
          <w:highlight w:val="none"/>
        </w:rPr>
        <w:t>封面加盖电子印章后，投标文件</w:t>
      </w:r>
      <w:r>
        <w:rPr>
          <w:rFonts w:hint="eastAsia" w:ascii="华文中宋" w:hAnsi="华文中宋" w:eastAsia="华文中宋" w:cs="华文中宋"/>
          <w:color w:val="auto"/>
          <w:szCs w:val="21"/>
          <w:highlight w:val="none"/>
          <w:lang w:val="en-US" w:eastAsia="zh-CN"/>
        </w:rPr>
        <w:t>中</w:t>
      </w:r>
      <w:r>
        <w:rPr>
          <w:rFonts w:hint="eastAsia" w:ascii="华文中宋" w:hAnsi="华文中宋" w:eastAsia="华文中宋"/>
          <w:color w:val="auto"/>
          <w:highlight w:val="none"/>
          <w:lang w:val="en-US" w:eastAsia="zh-CN"/>
        </w:rPr>
        <w:t>相关声明、承诺及我方认为需要提供的</w:t>
      </w:r>
      <w:r>
        <w:rPr>
          <w:rFonts w:hint="eastAsia" w:ascii="华文中宋" w:hAnsi="华文中宋" w:eastAsia="华文中宋"/>
          <w:color w:val="auto"/>
          <w:highlight w:val="none"/>
        </w:rPr>
        <w:t>其他内容均</w:t>
      </w:r>
      <w:r>
        <w:rPr>
          <w:rFonts w:ascii="华文中宋" w:hAnsi="华文中宋" w:eastAsia="华文中宋"/>
          <w:color w:val="auto"/>
          <w:highlight w:val="none"/>
        </w:rPr>
        <w:t>视为具有法律效力</w:t>
      </w:r>
      <w:r>
        <w:rPr>
          <w:rFonts w:hint="eastAsia" w:ascii="华文中宋" w:hAnsi="华文中宋" w:eastAsia="华文中宋" w:cs="华文中宋"/>
          <w:color w:val="auto"/>
          <w:szCs w:val="21"/>
          <w:highlight w:val="none"/>
        </w:rPr>
        <w:t>。</w:t>
      </w:r>
    </w:p>
    <w:p w14:paraId="72C721A5">
      <w:pPr>
        <w:pStyle w:val="25"/>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highlight w:val="none"/>
        </w:rPr>
      </w:pPr>
      <w:r>
        <w:rPr>
          <w:rFonts w:ascii="华文中宋" w:hAnsi="华文中宋" w:eastAsia="华文中宋" w:cs="华文中宋"/>
          <w:color w:val="auto"/>
          <w:sz w:val="21"/>
          <w:szCs w:val="21"/>
          <w:highlight w:val="none"/>
        </w:rPr>
        <w:t>5</w:t>
      </w:r>
      <w:r>
        <w:rPr>
          <w:rFonts w:hint="eastAsia" w:ascii="华文中宋" w:hAnsi="华文中宋" w:eastAsia="华文中宋"/>
          <w:b/>
          <w:color w:val="auto"/>
          <w:highlight w:val="none"/>
        </w:rPr>
        <w:t>．</w:t>
      </w:r>
      <w:r>
        <w:rPr>
          <w:rFonts w:hint="eastAsia" w:ascii="华文中宋" w:hAnsi="华文中宋" w:eastAsia="华文中宋" w:cs="华文中宋"/>
          <w:color w:val="auto"/>
          <w:sz w:val="21"/>
          <w:szCs w:val="21"/>
          <w:highlight w:val="none"/>
        </w:rPr>
        <w:t>我方按招标文件要求提供和交付的货物的投标报价详见开标报价一览表。</w:t>
      </w:r>
    </w:p>
    <w:p w14:paraId="6C3006F9">
      <w:pPr>
        <w:pStyle w:val="25"/>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highlight w:val="none"/>
        </w:rPr>
      </w:pPr>
      <w:r>
        <w:rPr>
          <w:rFonts w:ascii="华文中宋" w:hAnsi="华文中宋" w:eastAsia="华文中宋" w:cs="华文中宋"/>
          <w:color w:val="auto"/>
          <w:sz w:val="21"/>
          <w:szCs w:val="21"/>
          <w:highlight w:val="none"/>
        </w:rPr>
        <w:t>6</w:t>
      </w:r>
      <w:r>
        <w:rPr>
          <w:rFonts w:hint="eastAsia" w:ascii="华文中宋" w:hAnsi="华文中宋" w:eastAsia="华文中宋"/>
          <w:b/>
          <w:color w:val="auto"/>
          <w:highlight w:val="none"/>
        </w:rPr>
        <w:t>．</w:t>
      </w:r>
      <w:r>
        <w:rPr>
          <w:rFonts w:hint="eastAsia" w:ascii="华文中宋" w:hAnsi="华文中宋" w:eastAsia="华文中宋" w:cs="华文中宋"/>
          <w:color w:val="auto"/>
          <w:sz w:val="21"/>
          <w:szCs w:val="21"/>
          <w:highlight w:val="none"/>
        </w:rPr>
        <w:t>我方完全理解投标报价超过招标文件公布的预算金额或最高限价时，导致投标无效。</w:t>
      </w:r>
    </w:p>
    <w:p w14:paraId="37540F58">
      <w:pPr>
        <w:pStyle w:val="25"/>
        <w:widowControl w:val="0"/>
        <w:tabs>
          <w:tab w:val="left" w:pos="1680"/>
        </w:tabs>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highlight w:val="none"/>
        </w:rPr>
      </w:pPr>
      <w:r>
        <w:rPr>
          <w:rFonts w:ascii="华文中宋" w:hAnsi="华文中宋" w:eastAsia="华文中宋" w:cs="华文中宋"/>
          <w:color w:val="auto"/>
          <w:sz w:val="21"/>
          <w:szCs w:val="21"/>
          <w:highlight w:val="none"/>
        </w:rPr>
        <w:t>7</w:t>
      </w:r>
      <w:r>
        <w:rPr>
          <w:rFonts w:hint="eastAsia" w:ascii="华文中宋" w:hAnsi="华文中宋" w:eastAsia="华文中宋"/>
          <w:b/>
          <w:color w:val="auto"/>
          <w:highlight w:val="none"/>
        </w:rPr>
        <w:t>．</w:t>
      </w:r>
      <w:r>
        <w:rPr>
          <w:rFonts w:hint="eastAsia" w:ascii="华文中宋" w:hAnsi="华文中宋" w:eastAsia="华文中宋" w:cs="华文中宋"/>
          <w:color w:val="auto"/>
          <w:sz w:val="21"/>
          <w:szCs w:val="21"/>
          <w:highlight w:val="none"/>
        </w:rPr>
        <w:t>我方保证忠实地执行双方所签订的合同，并承担合同规定的责任和义务。</w:t>
      </w:r>
    </w:p>
    <w:p w14:paraId="4AE458DA">
      <w:pPr>
        <w:pStyle w:val="25"/>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highlight w:val="none"/>
        </w:rPr>
      </w:pPr>
      <w:r>
        <w:rPr>
          <w:rFonts w:ascii="华文中宋" w:hAnsi="华文中宋" w:eastAsia="华文中宋" w:cs="华文中宋"/>
          <w:color w:val="auto"/>
          <w:sz w:val="21"/>
          <w:szCs w:val="21"/>
          <w:highlight w:val="none"/>
        </w:rPr>
        <w:t>8</w:t>
      </w:r>
      <w:r>
        <w:rPr>
          <w:rFonts w:hint="eastAsia" w:ascii="华文中宋" w:hAnsi="华文中宋" w:eastAsia="华文中宋"/>
          <w:b/>
          <w:color w:val="auto"/>
          <w:highlight w:val="none"/>
        </w:rPr>
        <w:t>．</w:t>
      </w:r>
      <w:r>
        <w:rPr>
          <w:rFonts w:hint="eastAsia" w:ascii="华文中宋" w:hAnsi="华文中宋" w:eastAsia="华文中宋" w:cs="华文中宋"/>
          <w:color w:val="auto"/>
          <w:sz w:val="21"/>
          <w:szCs w:val="21"/>
          <w:highlight w:val="none"/>
        </w:rPr>
        <w:t>我方承诺完全满足和响应招标文件中的各项商务和技术要求。</w:t>
      </w:r>
    </w:p>
    <w:p w14:paraId="1A3F0CE3">
      <w:pPr>
        <w:pStyle w:val="25"/>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9</w:t>
      </w:r>
      <w:r>
        <w:rPr>
          <w:rFonts w:hint="eastAsia" w:ascii="华文中宋" w:hAnsi="华文中宋" w:eastAsia="华文中宋"/>
          <w:b/>
          <w:color w:val="auto"/>
          <w:sz w:val="21"/>
          <w:szCs w:val="21"/>
          <w:highlight w:val="none"/>
        </w:rPr>
        <w:t>．</w:t>
      </w:r>
      <w:r>
        <w:rPr>
          <w:rFonts w:hint="eastAsia" w:ascii="华文中宋" w:hAnsi="华文中宋" w:eastAsia="华文中宋" w:cs="华文中宋"/>
          <w:color w:val="auto"/>
          <w:sz w:val="21"/>
          <w:szCs w:val="21"/>
          <w:highlight w:val="none"/>
        </w:rPr>
        <w:t>我方保证遵守招标文件的所有规定。</w:t>
      </w:r>
    </w:p>
    <w:p w14:paraId="3C16AAB3">
      <w:pPr>
        <w:pStyle w:val="25"/>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sz w:val="21"/>
          <w:szCs w:val="21"/>
          <w:highlight w:val="none"/>
        </w:rPr>
      </w:pPr>
      <w:r>
        <w:rPr>
          <w:rFonts w:ascii="华文中宋" w:hAnsi="华文中宋" w:eastAsia="华文中宋"/>
          <w:color w:val="auto"/>
          <w:sz w:val="21"/>
          <w:szCs w:val="21"/>
          <w:highlight w:val="none"/>
        </w:rPr>
        <w:t>10</w:t>
      </w:r>
      <w:r>
        <w:rPr>
          <w:rFonts w:hint="eastAsia" w:ascii="华文中宋" w:hAnsi="华文中宋" w:eastAsia="华文中宋"/>
          <w:b/>
          <w:color w:val="auto"/>
          <w:sz w:val="21"/>
          <w:szCs w:val="21"/>
          <w:highlight w:val="none"/>
        </w:rPr>
        <w:t>．</w:t>
      </w:r>
      <w:r>
        <w:rPr>
          <w:rFonts w:hint="eastAsia" w:ascii="华文中宋" w:hAnsi="华文中宋" w:eastAsia="华文中宋" w:cs="华文中宋"/>
          <w:color w:val="auto"/>
          <w:sz w:val="21"/>
          <w:szCs w:val="21"/>
          <w:highlight w:val="none"/>
        </w:rPr>
        <w:t>我方对贵方在本次招标公告刊登的媒体上发布的公告或与本项目有关的通知，我方会</w:t>
      </w:r>
      <w:r>
        <w:rPr>
          <w:rFonts w:hint="eastAsia" w:ascii="华文中宋" w:hAnsi="华文中宋" w:eastAsia="华文中宋"/>
          <w:color w:val="auto"/>
          <w:sz w:val="21"/>
          <w:szCs w:val="21"/>
          <w:highlight w:val="none"/>
        </w:rPr>
        <w:t>及时查看获取。若因</w:t>
      </w:r>
      <w:r>
        <w:rPr>
          <w:rFonts w:hint="eastAsia" w:ascii="华文中宋" w:hAnsi="华文中宋" w:eastAsia="华文中宋" w:cs="华文中宋"/>
          <w:color w:val="auto"/>
          <w:sz w:val="21"/>
          <w:szCs w:val="21"/>
          <w:highlight w:val="none"/>
        </w:rPr>
        <w:t>线路故障等其他原因导致通知延迟</w:t>
      </w:r>
      <w:r>
        <w:rPr>
          <w:rFonts w:hint="eastAsia" w:ascii="华文中宋" w:hAnsi="华文中宋" w:eastAsia="华文中宋"/>
          <w:color w:val="auto"/>
          <w:sz w:val="21"/>
          <w:szCs w:val="21"/>
          <w:highlight w:val="none"/>
        </w:rPr>
        <w:t>获取</w:t>
      </w:r>
      <w:r>
        <w:rPr>
          <w:rFonts w:hint="eastAsia" w:ascii="华文中宋" w:hAnsi="华文中宋" w:eastAsia="华文中宋" w:cs="华文中宋"/>
          <w:color w:val="auto"/>
          <w:sz w:val="21"/>
          <w:szCs w:val="21"/>
          <w:highlight w:val="none"/>
        </w:rPr>
        <w:t>或无法</w:t>
      </w:r>
      <w:r>
        <w:rPr>
          <w:rFonts w:hint="eastAsia" w:ascii="华文中宋" w:hAnsi="华文中宋" w:eastAsia="华文中宋"/>
          <w:color w:val="auto"/>
          <w:sz w:val="21"/>
          <w:szCs w:val="21"/>
          <w:highlight w:val="none"/>
        </w:rPr>
        <w:t>获取</w:t>
      </w:r>
      <w:r>
        <w:rPr>
          <w:rFonts w:hint="eastAsia" w:ascii="华文中宋" w:hAnsi="华文中宋" w:eastAsia="华文中宋" w:cs="华文中宋"/>
          <w:color w:val="auto"/>
          <w:sz w:val="21"/>
          <w:szCs w:val="21"/>
          <w:highlight w:val="none"/>
        </w:rPr>
        <w:t>，责任由我方自负。</w:t>
      </w:r>
    </w:p>
    <w:p w14:paraId="012D8842">
      <w:pPr>
        <w:pStyle w:val="25"/>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11</w:t>
      </w:r>
      <w:r>
        <w:rPr>
          <w:rFonts w:hint="eastAsia" w:ascii="华文中宋" w:hAnsi="华文中宋" w:eastAsia="华文中宋"/>
          <w:b/>
          <w:color w:val="auto"/>
          <w:sz w:val="21"/>
          <w:szCs w:val="21"/>
          <w:highlight w:val="none"/>
        </w:rPr>
        <w:t>．</w:t>
      </w:r>
      <w:r>
        <w:rPr>
          <w:rFonts w:hint="eastAsia" w:ascii="华文中宋" w:hAnsi="华文中宋" w:eastAsia="华文中宋" w:cs="华文中宋"/>
          <w:color w:val="auto"/>
          <w:sz w:val="21"/>
          <w:szCs w:val="21"/>
          <w:highlight w:val="none"/>
        </w:rPr>
        <w:t>我方如果在投标文件解密后规定的投标有效期内撤回投标，</w:t>
      </w:r>
      <w:r>
        <w:rPr>
          <w:rFonts w:hint="eastAsia" w:ascii="华文中宋" w:hAnsi="华文中宋" w:eastAsia="华文中宋" w:cs="华文中宋"/>
          <w:color w:val="auto"/>
          <w:sz w:val="21"/>
          <w:szCs w:val="21"/>
          <w:highlight w:val="none"/>
          <w:lang w:val="en-US" w:eastAsia="zh-CN"/>
        </w:rPr>
        <w:t>贵方不予退回我方提交的保证金</w:t>
      </w:r>
      <w:r>
        <w:rPr>
          <w:rFonts w:hint="eastAsia" w:ascii="华文中宋" w:hAnsi="华文中宋" w:eastAsia="华文中宋" w:cs="华文中宋"/>
          <w:color w:val="auto"/>
          <w:sz w:val="21"/>
          <w:szCs w:val="21"/>
          <w:highlight w:val="none"/>
        </w:rPr>
        <w:t>。</w:t>
      </w:r>
    </w:p>
    <w:p w14:paraId="1538EB1E">
      <w:pPr>
        <w:pStyle w:val="25"/>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12</w:t>
      </w:r>
      <w:r>
        <w:rPr>
          <w:rFonts w:hint="eastAsia" w:ascii="华文中宋" w:hAnsi="华文中宋" w:eastAsia="华文中宋"/>
          <w:b/>
          <w:color w:val="auto"/>
          <w:sz w:val="21"/>
          <w:szCs w:val="21"/>
          <w:highlight w:val="none"/>
        </w:rPr>
        <w:t>．</w:t>
      </w:r>
      <w:r>
        <w:rPr>
          <w:rFonts w:hint="eastAsia" w:ascii="华文中宋" w:hAnsi="华文中宋" w:eastAsia="华文中宋" w:cs="华文中宋"/>
          <w:color w:val="auto"/>
          <w:sz w:val="21"/>
          <w:szCs w:val="21"/>
          <w:highlight w:val="none"/>
        </w:rPr>
        <w:t>我方完全理解贵方不一定接受最低价的投标或收到的任何投标。</w:t>
      </w:r>
    </w:p>
    <w:p w14:paraId="1876A0E0">
      <w:pPr>
        <w:pStyle w:val="25"/>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13</w:t>
      </w:r>
      <w:r>
        <w:rPr>
          <w:rFonts w:hint="eastAsia" w:ascii="华文中宋" w:hAnsi="华文中宋" w:eastAsia="华文中宋"/>
          <w:b/>
          <w:color w:val="auto"/>
          <w:sz w:val="21"/>
          <w:szCs w:val="21"/>
          <w:highlight w:val="none"/>
        </w:rPr>
        <w:t>．</w:t>
      </w:r>
      <w:r>
        <w:rPr>
          <w:rFonts w:hint="eastAsia" w:ascii="华文中宋" w:hAnsi="华文中宋" w:eastAsia="华文中宋" w:cs="华文中宋"/>
          <w:color w:val="auto"/>
          <w:sz w:val="21"/>
          <w:szCs w:val="21"/>
          <w:highlight w:val="none"/>
        </w:rPr>
        <w:t>我方愿意向贵方提供任何与本项投标有关的数据、情况和技术资料。若贵方需要，我方愿意提供我方做出的一切承诺的证明材料。</w:t>
      </w:r>
    </w:p>
    <w:p w14:paraId="2784E4AF">
      <w:pPr>
        <w:pStyle w:val="25"/>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14</w:t>
      </w:r>
      <w:r>
        <w:rPr>
          <w:rFonts w:hint="eastAsia" w:ascii="华文中宋" w:hAnsi="华文中宋" w:eastAsia="华文中宋"/>
          <w:b/>
          <w:color w:val="auto"/>
          <w:sz w:val="21"/>
          <w:szCs w:val="21"/>
          <w:highlight w:val="none"/>
        </w:rPr>
        <w:t>．</w:t>
      </w:r>
      <w:r>
        <w:rPr>
          <w:rFonts w:hint="eastAsia" w:ascii="华文中宋" w:hAnsi="华文中宋" w:eastAsia="华文中宋" w:cs="华文中宋"/>
          <w:color w:val="auto"/>
          <w:sz w:val="21"/>
          <w:szCs w:val="21"/>
          <w:highlight w:val="none"/>
        </w:rPr>
        <w:t>我方已详细审核全部投标文件，包括投标文件修改书（如有的话）、参考资料及有关附件，确认无误。</w:t>
      </w:r>
    </w:p>
    <w:p w14:paraId="4D3B0D04">
      <w:pPr>
        <w:pStyle w:val="25"/>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15</w:t>
      </w:r>
      <w:r>
        <w:rPr>
          <w:rFonts w:hint="eastAsia" w:ascii="华文中宋" w:hAnsi="华文中宋" w:eastAsia="华文中宋"/>
          <w:b/>
          <w:color w:val="auto"/>
          <w:sz w:val="21"/>
          <w:szCs w:val="21"/>
          <w:highlight w:val="none"/>
        </w:rPr>
        <w:t>．</w:t>
      </w:r>
      <w:r>
        <w:rPr>
          <w:rFonts w:hint="eastAsia" w:ascii="华文中宋" w:hAnsi="华文中宋" w:eastAsia="华文中宋" w:cs="华文中宋"/>
          <w:color w:val="auto"/>
          <w:sz w:val="21"/>
          <w:szCs w:val="21"/>
          <w:highlight w:val="none"/>
        </w:rPr>
        <w:t>采购人若需追加采购本项目招标文件所列货物及相关服务的，在不改变合同其他实质性条款的前提下，我方按相同或更优惠的折扣率保证供货。</w:t>
      </w:r>
    </w:p>
    <w:p w14:paraId="51544703">
      <w:pPr>
        <w:pStyle w:val="25"/>
        <w:widowControl w:val="0"/>
        <w:adjustRightInd w:val="0"/>
        <w:snapToGrid w:val="0"/>
        <w:spacing w:before="0" w:beforeAutospacing="0" w:after="0" w:afterAutospacing="0" w:line="360" w:lineRule="auto"/>
        <w:ind w:firstLine="420" w:firstLineChars="200"/>
        <w:jc w:val="both"/>
        <w:rPr>
          <w:rFonts w:hint="eastAsia"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16</w:t>
      </w:r>
      <w:r>
        <w:rPr>
          <w:rFonts w:hint="eastAsia" w:ascii="华文中宋" w:hAnsi="华文中宋" w:eastAsia="华文中宋"/>
          <w:b/>
          <w:color w:val="auto"/>
          <w:sz w:val="21"/>
          <w:szCs w:val="21"/>
          <w:highlight w:val="none"/>
        </w:rPr>
        <w:t>．</w:t>
      </w:r>
      <w:r>
        <w:rPr>
          <w:rFonts w:hint="eastAsia" w:ascii="华文中宋" w:hAnsi="华文中宋" w:eastAsia="华文中宋" w:cs="华文中宋"/>
          <w:color w:val="auto"/>
          <w:sz w:val="21"/>
          <w:szCs w:val="21"/>
          <w:highlight w:val="none"/>
        </w:rPr>
        <w:t>我方承诺接受招标文件中合同文本全部条款且无任何异议。</w:t>
      </w:r>
    </w:p>
    <w:p w14:paraId="00B0E79A">
      <w:pPr>
        <w:pStyle w:val="25"/>
        <w:widowControl w:val="0"/>
        <w:adjustRightInd w:val="0"/>
        <w:snapToGrid w:val="0"/>
        <w:spacing w:before="0" w:beforeAutospacing="0" w:after="0" w:afterAutospacing="0" w:line="360" w:lineRule="auto"/>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lang w:val="en-US" w:eastAsia="zh-CN"/>
        </w:rPr>
        <w:t>17. 我方承诺投标项目若涉及缴纳保证金的，保证金从我方基本账户上转出。</w:t>
      </w:r>
    </w:p>
    <w:p w14:paraId="3F0793EF">
      <w:pPr>
        <w:snapToGrid w:val="0"/>
        <w:spacing w:line="360" w:lineRule="auto"/>
        <w:ind w:firstLine="420" w:firstLineChars="200"/>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所有有关本次投标的一切往来联系方式为：</w:t>
      </w:r>
    </w:p>
    <w:p w14:paraId="38E22906">
      <w:pPr>
        <w:snapToGrid w:val="0"/>
        <w:spacing w:line="360" w:lineRule="auto"/>
        <w:ind w:firstLine="420" w:firstLineChars="200"/>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地址：</w:t>
      </w:r>
      <w:r>
        <w:rPr>
          <w:rFonts w:ascii="华文中宋" w:hAnsi="华文中宋" w:eastAsia="华文中宋" w:cs="华文中宋"/>
          <w:color w:val="auto"/>
          <w:szCs w:val="21"/>
          <w:highlight w:val="none"/>
        </w:rPr>
        <w:tab/>
      </w:r>
      <w:r>
        <w:rPr>
          <w:rFonts w:ascii="华文中宋" w:hAnsi="华文中宋" w:eastAsia="华文中宋" w:cs="华文中宋"/>
          <w:color w:val="auto"/>
          <w:szCs w:val="21"/>
          <w:highlight w:val="none"/>
        </w:rPr>
        <w:tab/>
      </w:r>
    </w:p>
    <w:p w14:paraId="257BFBBB">
      <w:pPr>
        <w:snapToGrid w:val="0"/>
        <w:spacing w:line="360" w:lineRule="auto"/>
        <w:ind w:firstLine="420" w:firstLineChars="200"/>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电话：</w:t>
      </w:r>
      <w:r>
        <w:rPr>
          <w:rFonts w:ascii="华文中宋" w:hAnsi="华文中宋" w:eastAsia="华文中宋" w:cs="华文中宋"/>
          <w:color w:val="auto"/>
          <w:szCs w:val="21"/>
          <w:highlight w:val="none"/>
        </w:rPr>
        <w:tab/>
      </w:r>
    </w:p>
    <w:p w14:paraId="28082688">
      <w:pPr>
        <w:tabs>
          <w:tab w:val="left" w:pos="480"/>
        </w:tabs>
        <w:snapToGrid w:val="0"/>
        <w:spacing w:line="360" w:lineRule="auto"/>
        <w:ind w:firstLine="420" w:firstLineChars="200"/>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投标人代表姓名：</w:t>
      </w:r>
    </w:p>
    <w:p w14:paraId="4AF9DF8B">
      <w:pPr>
        <w:tabs>
          <w:tab w:val="left" w:pos="480"/>
        </w:tabs>
        <w:snapToGrid w:val="0"/>
        <w:spacing w:line="360" w:lineRule="auto"/>
        <w:ind w:firstLine="420" w:firstLineChars="200"/>
        <w:jc w:val="right"/>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投标人：（</w:t>
      </w:r>
      <w:r>
        <w:rPr>
          <w:rFonts w:hint="eastAsia" w:ascii="华文中宋" w:hAnsi="华文中宋" w:eastAsia="华文中宋" w:cs="华文中宋"/>
          <w:color w:val="auto"/>
          <w:szCs w:val="21"/>
          <w:highlight w:val="none"/>
          <w:lang w:eastAsia="zh-CN"/>
        </w:rPr>
        <w:t>企业电子公章</w:t>
      </w:r>
      <w:r>
        <w:rPr>
          <w:rFonts w:hint="eastAsia" w:ascii="华文中宋" w:hAnsi="华文中宋" w:eastAsia="华文中宋" w:cs="华文中宋"/>
          <w:color w:val="auto"/>
          <w:szCs w:val="21"/>
          <w:highlight w:val="none"/>
        </w:rPr>
        <w:t>）</w:t>
      </w:r>
    </w:p>
    <w:p w14:paraId="6EAA61B8">
      <w:pPr>
        <w:tabs>
          <w:tab w:val="left" w:pos="480"/>
        </w:tabs>
        <w:snapToGrid w:val="0"/>
        <w:spacing w:line="360" w:lineRule="auto"/>
        <w:ind w:firstLine="420" w:firstLineChars="200"/>
        <w:jc w:val="right"/>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color w:val="auto"/>
          <w:szCs w:val="21"/>
          <w:highlight w:val="none"/>
        </w:rPr>
        <w:t>日 期：    年    月    日</w:t>
      </w:r>
    </w:p>
    <w:p w14:paraId="42B8762E">
      <w:pPr>
        <w:spacing w:line="480" w:lineRule="auto"/>
        <w:rPr>
          <w:rFonts w:hint="eastAsia" w:ascii="华文中宋" w:hAnsi="华文中宋" w:eastAsia="华文中宋" w:cs="华文中宋"/>
          <w:b/>
          <w:color w:val="auto"/>
          <w:kern w:val="0"/>
          <w:sz w:val="24"/>
          <w:highlight w:val="none"/>
        </w:rPr>
      </w:pPr>
    </w:p>
    <w:p w14:paraId="4796F2E0">
      <w:pPr>
        <w:spacing w:line="480" w:lineRule="auto"/>
        <w:rPr>
          <w:rFonts w:hint="eastAsia" w:ascii="华文中宋" w:hAnsi="华文中宋" w:eastAsia="华文中宋" w:cs="华文中宋"/>
          <w:b/>
          <w:color w:val="auto"/>
          <w:kern w:val="0"/>
          <w:sz w:val="24"/>
          <w:highlight w:val="none"/>
        </w:rPr>
      </w:pPr>
    </w:p>
    <w:p w14:paraId="1C06E236">
      <w:pPr>
        <w:spacing w:line="480" w:lineRule="auto"/>
        <w:rPr>
          <w:rFonts w:ascii="华文中宋" w:hAnsi="华文中宋" w:eastAsia="华文中宋"/>
          <w:color w:val="auto"/>
          <w:szCs w:val="21"/>
          <w:highlight w:val="none"/>
        </w:rPr>
      </w:pPr>
      <w:r>
        <w:rPr>
          <w:rFonts w:hint="eastAsia" w:ascii="华文中宋" w:hAnsi="华文中宋" w:eastAsia="华文中宋" w:cs="华文中宋"/>
          <w:b/>
          <w:color w:val="auto"/>
          <w:kern w:val="0"/>
          <w:sz w:val="24"/>
          <w:highlight w:val="none"/>
        </w:rPr>
        <w:t>（</w:t>
      </w:r>
      <w:r>
        <w:rPr>
          <w:rFonts w:hint="eastAsia" w:ascii="华文中宋" w:hAnsi="华文中宋" w:eastAsia="华文中宋" w:cs="华文中宋"/>
          <w:b/>
          <w:color w:val="auto"/>
          <w:kern w:val="0"/>
          <w:sz w:val="24"/>
          <w:highlight w:val="none"/>
          <w:lang w:eastAsia="zh-CN"/>
        </w:rPr>
        <w:t>三</w:t>
      </w:r>
      <w:r>
        <w:rPr>
          <w:rFonts w:hint="eastAsia" w:ascii="华文中宋" w:hAnsi="华文中宋" w:eastAsia="华文中宋" w:cs="华文中宋"/>
          <w:b/>
          <w:color w:val="auto"/>
          <w:kern w:val="0"/>
          <w:sz w:val="24"/>
          <w:highlight w:val="none"/>
        </w:rPr>
        <w:t>）以下内容提供《政府集中采购供应商信用承诺书》一份。</w:t>
      </w:r>
    </w:p>
    <w:p w14:paraId="0B82FE60">
      <w:pPr>
        <w:spacing w:line="360" w:lineRule="auto"/>
        <w:ind w:firstLine="420" w:firstLineChars="200"/>
        <w:rPr>
          <w:rFonts w:hint="eastAsia" w:ascii="华文中宋" w:hAnsi="华文中宋" w:eastAsia="华文中宋"/>
          <w:color w:val="auto"/>
          <w:kern w:val="0"/>
          <w:szCs w:val="21"/>
          <w:highlight w:val="none"/>
        </w:rPr>
      </w:pPr>
      <w:r>
        <w:rPr>
          <w:rFonts w:hint="eastAsia" w:ascii="华文中宋" w:hAnsi="华文中宋" w:eastAsia="华文中宋"/>
          <w:color w:val="auto"/>
          <w:kern w:val="0"/>
          <w:szCs w:val="21"/>
          <w:highlight w:val="none"/>
        </w:rPr>
        <w:t>具有独立承担民事责任的能力</w:t>
      </w:r>
    </w:p>
    <w:p w14:paraId="0BF95CFF">
      <w:pPr>
        <w:spacing w:line="360" w:lineRule="auto"/>
        <w:ind w:firstLine="420" w:firstLineChars="200"/>
        <w:rPr>
          <w:rFonts w:ascii="华文中宋" w:hAnsi="华文中宋" w:eastAsia="华文中宋"/>
          <w:color w:val="auto"/>
          <w:kern w:val="0"/>
          <w:szCs w:val="21"/>
          <w:highlight w:val="none"/>
        </w:rPr>
      </w:pPr>
      <w:r>
        <w:rPr>
          <w:rFonts w:hint="eastAsia" w:ascii="华文中宋" w:hAnsi="华文中宋" w:eastAsia="华文中宋"/>
          <w:color w:val="auto"/>
          <w:kern w:val="0"/>
          <w:szCs w:val="21"/>
          <w:highlight w:val="none"/>
        </w:rPr>
        <w:t>具有良好的商业信誉和健全的财务会计制度</w:t>
      </w:r>
    </w:p>
    <w:p w14:paraId="5CC17E9F">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具有依法缴纳税收的良好记录</w:t>
      </w:r>
    </w:p>
    <w:p w14:paraId="1872D9E1">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具有依法缴纳社会保障资金的良好记录</w:t>
      </w:r>
    </w:p>
    <w:p w14:paraId="1C5D5939">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具有履行合同</w:t>
      </w:r>
      <w:r>
        <w:rPr>
          <w:rFonts w:hint="eastAsia" w:ascii="华文中宋" w:hAnsi="华文中宋" w:eastAsia="华文中宋"/>
          <w:color w:val="auto"/>
          <w:szCs w:val="21"/>
          <w:highlight w:val="none"/>
        </w:rPr>
        <w:t>所必需的设备和专业技术能力</w:t>
      </w:r>
    </w:p>
    <w:p w14:paraId="202755F8">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参加政府采购活动前三年内，在经营活动中没有重大违法记录</w:t>
      </w:r>
    </w:p>
    <w:p w14:paraId="1C3C9985">
      <w:pPr>
        <w:spacing w:line="360" w:lineRule="auto"/>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政府集中采购供应商信用承诺书格式</w:t>
      </w:r>
    </w:p>
    <w:p w14:paraId="2C701A53">
      <w:pPr>
        <w:spacing w:line="360" w:lineRule="auto"/>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政府集中采购供应商信用承诺书</w:t>
      </w:r>
    </w:p>
    <w:p w14:paraId="474BC06B">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单位名称</w:t>
      </w:r>
      <w:r>
        <w:rPr>
          <w:rFonts w:ascii="华文中宋" w:hAnsi="华文中宋" w:eastAsia="华文中宋"/>
          <w:color w:val="auto"/>
          <w:szCs w:val="21"/>
          <w:highlight w:val="none"/>
        </w:rPr>
        <w:t>:</w:t>
      </w:r>
    </w:p>
    <w:p w14:paraId="427B44BC">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w:t>
      </w:r>
    </w:p>
    <w:p w14:paraId="170945C1">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项目编号：</w:t>
      </w:r>
    </w:p>
    <w:p w14:paraId="18C0B15F">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为维护政府采购市场秩序</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遵循公开透明、公平竞争、公正原则和诚实信用原则</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个人自愿做出以下承诺</w:t>
      </w:r>
      <w:r>
        <w:rPr>
          <w:rFonts w:ascii="华文中宋" w:hAnsi="华文中宋" w:eastAsia="华文中宋"/>
          <w:color w:val="auto"/>
          <w:szCs w:val="21"/>
          <w:highlight w:val="none"/>
        </w:rPr>
        <w:t>:</w:t>
      </w:r>
    </w:p>
    <w:p w14:paraId="6DD41F58">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 xml:space="preserve">1.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本人严格遵守国家法律、法规和规章</w:t>
      </w:r>
      <w:r>
        <w:rPr>
          <w:rFonts w:ascii="华文中宋" w:hAnsi="华文中宋" w:eastAsia="华文中宋"/>
          <w:color w:val="auto"/>
          <w:szCs w:val="21"/>
          <w:highlight w:val="none"/>
        </w:rPr>
        <w:t>,</w:t>
      </w:r>
      <w:r>
        <w:rPr>
          <w:rFonts w:hint="eastAsia" w:ascii="华文中宋" w:hAnsi="华文中宋" w:eastAsia="华文中宋"/>
          <w:color w:val="auto"/>
          <w:kern w:val="0"/>
          <w:szCs w:val="21"/>
          <w:highlight w:val="none"/>
        </w:rPr>
        <w:t>具有独立承担民事责任的能力</w:t>
      </w:r>
      <w:r>
        <w:rPr>
          <w:rFonts w:hint="eastAsia" w:ascii="华文中宋" w:hAnsi="华文中宋" w:eastAsia="华文中宋"/>
          <w:color w:val="auto"/>
          <w:kern w:val="0"/>
          <w:szCs w:val="21"/>
          <w:highlight w:val="none"/>
          <w:lang w:eastAsia="zh-CN"/>
        </w:rPr>
        <w:t>，</w:t>
      </w:r>
      <w:r>
        <w:rPr>
          <w:rFonts w:hint="eastAsia" w:ascii="华文中宋" w:hAnsi="华文中宋" w:eastAsia="华文中宋"/>
          <w:color w:val="auto"/>
          <w:szCs w:val="21"/>
          <w:highlight w:val="none"/>
        </w:rPr>
        <w:t>全面履行应尽的责任和义务</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全面做到履约守信</w:t>
      </w:r>
      <w:r>
        <w:rPr>
          <w:rFonts w:ascii="华文中宋" w:hAnsi="华文中宋" w:eastAsia="华文中宋"/>
          <w:color w:val="auto"/>
          <w:szCs w:val="21"/>
          <w:highlight w:val="none"/>
        </w:rPr>
        <w:t>;</w:t>
      </w:r>
    </w:p>
    <w:p w14:paraId="51735695">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 xml:space="preserve">2.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本人具有良好的商业信誉和健全的财务会计制度（具有投标截止日前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个月内会计师事务所出具的审计报告，或投标截止日前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个月内经审计的财务报告，或基本开户银行出具的资信证明，或财政部门认可的政府采购专业担保机构出具的投标担保函）；</w:t>
      </w:r>
    </w:p>
    <w:p w14:paraId="011D7526">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 xml:space="preserve">3.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本人具有履行合同所必需的设备和专业技术能力；</w:t>
      </w:r>
    </w:p>
    <w:p w14:paraId="085517A0">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 xml:space="preserve">4.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42F68292">
      <w:pPr>
        <w:spacing w:line="360" w:lineRule="auto"/>
        <w:ind w:firstLine="420" w:firstLineChars="200"/>
        <w:rPr>
          <w:rFonts w:ascii="华文中宋" w:hAnsi="华文中宋" w:eastAsia="华文中宋" w:cs="华文中宋"/>
          <w:color w:val="auto"/>
          <w:szCs w:val="21"/>
          <w:highlight w:val="none"/>
        </w:rPr>
      </w:pPr>
      <w:r>
        <w:rPr>
          <w:rFonts w:ascii="华文中宋" w:hAnsi="华文中宋" w:eastAsia="华文中宋"/>
          <w:color w:val="auto"/>
          <w:szCs w:val="21"/>
          <w:highlight w:val="none"/>
        </w:rPr>
        <w:t xml:space="preserve">5.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本人参加政府采购活动前三年内，在经营活动中没有因违法经营受到刑事处罚或者责令停产停业、吊销许可证或者执照、较大数额罚款等行政处罚；</w:t>
      </w:r>
      <w:r>
        <w:rPr>
          <w:rFonts w:hint="eastAsia" w:ascii="华文中宋" w:hAnsi="华文中宋" w:eastAsia="华文中宋" w:cs="华文中宋"/>
          <w:color w:val="auto"/>
          <w:szCs w:val="21"/>
          <w:highlight w:val="none"/>
        </w:rPr>
        <w:t>在投标前查询了在信用中国网中的信用信息，本公司</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w:t>
      </w:r>
      <w:r>
        <w:rPr>
          <w:rFonts w:hint="eastAsia" w:ascii="华文中宋" w:hAnsi="华文中宋" w:eastAsia="华文中宋" w:cs="华文中宋"/>
          <w:color w:val="auto"/>
          <w:szCs w:val="21"/>
          <w:highlight w:val="none"/>
        </w:rPr>
        <w:t>未列入失信被执行人、重大税收违法案件当事人名单；查询了在中国政府采购网中的政府采购严重违法失信行为信息，本公司未列入政府采购严重违法失信行为记录名单；</w:t>
      </w:r>
    </w:p>
    <w:p w14:paraId="0EEA0C83">
      <w:pPr>
        <w:spacing w:line="360" w:lineRule="auto"/>
        <w:ind w:firstLine="420" w:firstLineChars="200"/>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6. 承诺本单位</w:t>
      </w:r>
      <w:r>
        <w:rPr>
          <w:rFonts w:hint="eastAsia" w:ascii="华文中宋" w:hAnsi="华文中宋" w:eastAsia="华文中宋"/>
          <w:color w:val="auto"/>
          <w:szCs w:val="21"/>
          <w:highlight w:val="none"/>
        </w:rPr>
        <w:t>/本人</w:t>
      </w:r>
      <w:r>
        <w:rPr>
          <w:rFonts w:hint="eastAsia" w:ascii="华文中宋" w:hAnsi="华文中宋" w:eastAsia="华文中宋"/>
          <w:color w:val="auto"/>
          <w:szCs w:val="21"/>
          <w:highlight w:val="none"/>
          <w:lang w:val="en-US" w:eastAsia="zh-CN"/>
        </w:rPr>
        <w:t>提交的保证金是从我单位/本人基本账户转出；</w:t>
      </w:r>
    </w:p>
    <w:p w14:paraId="24B9166A">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7</w:t>
      </w:r>
      <w:r>
        <w:rPr>
          <w:rFonts w:hint="eastAsia" w:ascii="华文中宋" w:hAnsi="华文中宋" w:eastAsia="华文中宋"/>
          <w:color w:val="auto"/>
          <w:szCs w:val="21"/>
          <w:highlight w:val="none"/>
        </w:rPr>
        <w:t>. 承诺本单位/本人提供的所有投标（响应）资料均合法、真实、有效,无任何伪造、篡改、虚假成份,并对所提供资料的真实性负责；</w:t>
      </w:r>
    </w:p>
    <w:p w14:paraId="026CA6F0">
      <w:pPr>
        <w:spacing w:line="360" w:lineRule="auto"/>
        <w:ind w:firstLine="420" w:firstLineChars="20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8</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本人若违背承诺约定</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愿意依法承担相应的法律责任</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并同意将不良行为在信用中国或中国政府采购网公示。</w:t>
      </w:r>
    </w:p>
    <w:p w14:paraId="7E4AD0DE">
      <w:pPr>
        <w:pStyle w:val="16"/>
        <w:rPr>
          <w:rFonts w:hint="eastAsia"/>
          <w:color w:val="auto"/>
          <w:highlight w:val="none"/>
        </w:rPr>
      </w:pPr>
    </w:p>
    <w:p w14:paraId="0734321D">
      <w:pPr>
        <w:tabs>
          <w:tab w:val="left" w:pos="480"/>
        </w:tabs>
        <w:snapToGrid w:val="0"/>
        <w:spacing w:line="360" w:lineRule="auto"/>
        <w:ind w:firstLine="420" w:firstLineChars="200"/>
        <w:jc w:val="right"/>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投标人：（</w:t>
      </w:r>
      <w:r>
        <w:rPr>
          <w:rFonts w:hint="eastAsia" w:ascii="华文中宋" w:hAnsi="华文中宋" w:eastAsia="华文中宋" w:cs="华文中宋"/>
          <w:color w:val="auto"/>
          <w:szCs w:val="21"/>
          <w:highlight w:val="none"/>
          <w:lang w:eastAsia="zh-CN"/>
        </w:rPr>
        <w:t>企业电子公章</w:t>
      </w:r>
      <w:r>
        <w:rPr>
          <w:rFonts w:hint="eastAsia" w:ascii="华文中宋" w:hAnsi="华文中宋" w:eastAsia="华文中宋" w:cs="华文中宋"/>
          <w:color w:val="auto"/>
          <w:szCs w:val="21"/>
          <w:highlight w:val="none"/>
        </w:rPr>
        <w:t>）</w:t>
      </w:r>
    </w:p>
    <w:p w14:paraId="07DF4DCD">
      <w:pPr>
        <w:tabs>
          <w:tab w:val="left" w:pos="480"/>
        </w:tabs>
        <w:snapToGrid w:val="0"/>
        <w:spacing w:line="360" w:lineRule="auto"/>
        <w:ind w:firstLine="420" w:firstLineChars="200"/>
        <w:jc w:val="right"/>
        <w:rPr>
          <w:rFonts w:hint="eastAsia" w:ascii="华文中宋" w:hAnsi="华文中宋" w:eastAsia="华文中宋" w:cs="华文中宋"/>
          <w:b/>
          <w:color w:val="auto"/>
          <w:kern w:val="0"/>
          <w:sz w:val="24"/>
          <w:highlight w:val="none"/>
        </w:rPr>
      </w:pPr>
      <w:r>
        <w:rPr>
          <w:rFonts w:hint="eastAsia" w:ascii="华文中宋" w:hAnsi="华文中宋" w:eastAsia="华文中宋" w:cs="华文中宋"/>
          <w:color w:val="auto"/>
          <w:szCs w:val="21"/>
          <w:highlight w:val="none"/>
        </w:rPr>
        <w:t>日 期：    年    月    日</w:t>
      </w:r>
    </w:p>
    <w:p w14:paraId="7A88785B">
      <w:pPr>
        <w:pStyle w:val="16"/>
        <w:rPr>
          <w:rFonts w:hint="eastAsia" w:ascii="华文中宋" w:hAnsi="华文中宋" w:eastAsia="华文中宋"/>
          <w:color w:val="auto"/>
          <w:szCs w:val="21"/>
          <w:highlight w:val="none"/>
        </w:rPr>
      </w:pPr>
    </w:p>
    <w:p w14:paraId="28D1A844">
      <w:pPr>
        <w:pStyle w:val="16"/>
        <w:rPr>
          <w:rFonts w:hint="eastAsia" w:ascii="华文中宋" w:hAnsi="华文中宋" w:eastAsia="华文中宋"/>
          <w:color w:val="auto"/>
          <w:szCs w:val="21"/>
          <w:highlight w:val="none"/>
        </w:rPr>
      </w:pPr>
    </w:p>
    <w:p w14:paraId="062C0351">
      <w:pPr>
        <w:spacing w:line="360" w:lineRule="auto"/>
        <w:ind w:left="360" w:hanging="360" w:hangingChars="150"/>
        <w:rPr>
          <w:rFonts w:hint="eastAsia" w:ascii="华文中宋" w:hAnsi="华文中宋" w:eastAsia="华文中宋" w:cs="华文中宋"/>
          <w:b/>
          <w:color w:val="auto"/>
          <w:kern w:val="0"/>
          <w:sz w:val="24"/>
          <w:highlight w:val="none"/>
          <w:lang w:eastAsia="zh-CN"/>
        </w:rPr>
      </w:pPr>
      <w:r>
        <w:rPr>
          <w:rFonts w:hint="eastAsia" w:ascii="华文中宋" w:hAnsi="华文中宋" w:eastAsia="华文中宋" w:cs="华文中宋"/>
          <w:b/>
          <w:color w:val="auto"/>
          <w:kern w:val="2"/>
          <w:sz w:val="24"/>
          <w:szCs w:val="24"/>
          <w:highlight w:val="none"/>
          <w:lang w:val="en-US" w:eastAsia="zh-CN" w:bidi="ar-SA"/>
        </w:rPr>
        <w:t>（四）</w:t>
      </w:r>
      <w:r>
        <w:rPr>
          <w:rFonts w:hint="eastAsia" w:ascii="华文中宋" w:hAnsi="华文中宋" w:eastAsia="华文中宋" w:cs="华文中宋"/>
          <w:b/>
          <w:color w:val="auto"/>
          <w:kern w:val="0"/>
          <w:sz w:val="24"/>
          <w:highlight w:val="none"/>
        </w:rPr>
        <w:t>本项目要求的其他特定资格条件</w:t>
      </w:r>
      <w:r>
        <w:rPr>
          <w:rFonts w:hint="eastAsia" w:ascii="华文中宋" w:hAnsi="华文中宋" w:eastAsia="华文中宋" w:cs="华文中宋"/>
          <w:b/>
          <w:color w:val="auto"/>
          <w:kern w:val="0"/>
          <w:sz w:val="24"/>
          <w:highlight w:val="none"/>
          <w:lang w:eastAsia="zh-CN"/>
        </w:rPr>
        <w:t>（</w:t>
      </w:r>
      <w:r>
        <w:rPr>
          <w:rFonts w:hint="eastAsia" w:ascii="华文中宋" w:hAnsi="华文中宋" w:eastAsia="华文中宋" w:cs="华文中宋"/>
          <w:b/>
          <w:color w:val="auto"/>
          <w:kern w:val="0"/>
          <w:sz w:val="24"/>
          <w:highlight w:val="none"/>
          <w:lang w:val="en-US" w:eastAsia="zh-CN"/>
        </w:rPr>
        <w:t>若有</w:t>
      </w:r>
      <w:r>
        <w:rPr>
          <w:rFonts w:hint="eastAsia" w:ascii="华文中宋" w:hAnsi="华文中宋" w:eastAsia="华文中宋" w:cs="华文中宋"/>
          <w:b/>
          <w:color w:val="auto"/>
          <w:kern w:val="0"/>
          <w:sz w:val="24"/>
          <w:highlight w:val="none"/>
          <w:lang w:eastAsia="zh-CN"/>
        </w:rPr>
        <w:t>）</w:t>
      </w:r>
    </w:p>
    <w:p w14:paraId="4E066B19">
      <w:pPr>
        <w:spacing w:line="360" w:lineRule="auto"/>
        <w:ind w:firstLine="420" w:firstLineChars="200"/>
        <w:rPr>
          <w:rFonts w:hint="eastAsia" w:ascii="华文中宋" w:hAnsi="华文中宋" w:eastAsia="华文中宋"/>
          <w:color w:val="auto"/>
          <w:szCs w:val="21"/>
          <w:highlight w:val="none"/>
        </w:rPr>
      </w:pPr>
      <w:r>
        <w:rPr>
          <w:rFonts w:hint="eastAsia" w:ascii="华文中宋" w:hAnsi="华文中宋" w:eastAsia="华文中宋" w:cs="华文中宋"/>
          <w:color w:val="auto"/>
          <w:szCs w:val="21"/>
          <w:highlight w:val="none"/>
        </w:rPr>
        <w:t>按照投标文件第二部分投标人须知前附表序号</w:t>
      </w:r>
      <w:r>
        <w:rPr>
          <w:rFonts w:ascii="华文中宋" w:hAnsi="华文中宋" w:eastAsia="华文中宋" w:cs="华文中宋"/>
          <w:color w:val="auto"/>
          <w:szCs w:val="21"/>
          <w:highlight w:val="none"/>
        </w:rPr>
        <w:t xml:space="preserve">1 </w:t>
      </w:r>
      <w:r>
        <w:rPr>
          <w:rFonts w:hint="eastAsia" w:ascii="华文中宋" w:hAnsi="华文中宋" w:eastAsia="华文中宋" w:cs="华文中宋"/>
          <w:color w:val="auto"/>
          <w:szCs w:val="21"/>
          <w:highlight w:val="none"/>
        </w:rPr>
        <w:t>“</w:t>
      </w:r>
      <w:r>
        <w:rPr>
          <w:rFonts w:hint="eastAsia" w:ascii="华文中宋" w:hAnsi="华文中宋" w:eastAsia="华文中宋" w:cs="华文中宋"/>
          <w:bCs/>
          <w:color w:val="auto"/>
          <w:szCs w:val="21"/>
          <w:highlight w:val="none"/>
        </w:rPr>
        <w:t>其他特定资格条件</w:t>
      </w:r>
      <w:r>
        <w:rPr>
          <w:rFonts w:hint="eastAsia" w:ascii="华文中宋" w:hAnsi="华文中宋" w:eastAsia="华文中宋" w:cs="华文中宋"/>
          <w:color w:val="auto"/>
          <w:szCs w:val="21"/>
          <w:highlight w:val="none"/>
        </w:rPr>
        <w:t>”规定提交相关证明文件</w:t>
      </w:r>
      <w:r>
        <w:rPr>
          <w:rFonts w:hint="eastAsia" w:ascii="华文中宋" w:hAnsi="华文中宋" w:eastAsia="华文中宋"/>
          <w:color w:val="auto"/>
          <w:szCs w:val="21"/>
          <w:highlight w:val="none"/>
        </w:rPr>
        <w:t>；（扫描件）</w:t>
      </w:r>
    </w:p>
    <w:p w14:paraId="77EECD15">
      <w:pPr>
        <w:pStyle w:val="16"/>
        <w:rPr>
          <w:rFonts w:hint="eastAsia"/>
          <w:color w:val="auto"/>
          <w:highlight w:val="none"/>
        </w:rPr>
      </w:pPr>
    </w:p>
    <w:p w14:paraId="3F685FDB">
      <w:pPr>
        <w:spacing w:line="360" w:lineRule="auto"/>
        <w:jc w:val="left"/>
        <w:rPr>
          <w:rFonts w:ascii="华文中宋" w:hAnsi="华文中宋" w:eastAsia="华文中宋" w:cs="华文中宋"/>
          <w:b/>
          <w:color w:val="auto"/>
          <w:sz w:val="24"/>
          <w:highlight w:val="none"/>
        </w:rPr>
      </w:pPr>
      <w:r>
        <w:rPr>
          <w:rFonts w:hint="eastAsia" w:ascii="华文中宋" w:hAnsi="华文中宋" w:eastAsia="华文中宋" w:cs="华文中宋"/>
          <w:b/>
          <w:color w:val="auto"/>
          <w:kern w:val="0"/>
          <w:sz w:val="24"/>
          <w:highlight w:val="none"/>
        </w:rPr>
        <w:t>（</w:t>
      </w:r>
      <w:r>
        <w:rPr>
          <w:rFonts w:hint="eastAsia" w:ascii="华文中宋" w:hAnsi="华文中宋" w:eastAsia="华文中宋" w:cs="华文中宋"/>
          <w:b/>
          <w:color w:val="auto"/>
          <w:kern w:val="0"/>
          <w:sz w:val="24"/>
          <w:highlight w:val="none"/>
          <w:lang w:val="en-US" w:eastAsia="zh-CN"/>
        </w:rPr>
        <w:t>五</w:t>
      </w:r>
      <w:r>
        <w:rPr>
          <w:rFonts w:hint="eastAsia" w:ascii="华文中宋" w:hAnsi="华文中宋" w:eastAsia="华文中宋" w:cs="华文中宋"/>
          <w:b/>
          <w:color w:val="auto"/>
          <w:kern w:val="0"/>
          <w:sz w:val="24"/>
          <w:highlight w:val="none"/>
        </w:rPr>
        <w:t>）</w:t>
      </w:r>
      <w:r>
        <w:rPr>
          <w:rFonts w:hint="eastAsia" w:ascii="华文中宋" w:hAnsi="华文中宋" w:eastAsia="华文中宋" w:cs="华文中宋"/>
          <w:b/>
          <w:color w:val="auto"/>
          <w:sz w:val="24"/>
          <w:highlight w:val="none"/>
        </w:rPr>
        <w:t>联合体投标注意事项</w:t>
      </w:r>
      <w:r>
        <w:rPr>
          <w:rFonts w:hint="eastAsia" w:ascii="华文中宋" w:hAnsi="华文中宋" w:eastAsia="华文中宋" w:cs="华文中宋"/>
          <w:b/>
          <w:color w:val="auto"/>
          <w:kern w:val="0"/>
          <w:sz w:val="24"/>
          <w:highlight w:val="none"/>
          <w:lang w:eastAsia="zh-CN"/>
        </w:rPr>
        <w:t>（</w:t>
      </w:r>
      <w:r>
        <w:rPr>
          <w:rFonts w:hint="eastAsia" w:ascii="华文中宋" w:hAnsi="华文中宋" w:eastAsia="华文中宋" w:cs="华文中宋"/>
          <w:b/>
          <w:color w:val="auto"/>
          <w:kern w:val="0"/>
          <w:sz w:val="24"/>
          <w:highlight w:val="none"/>
          <w:lang w:val="en-US" w:eastAsia="zh-CN"/>
        </w:rPr>
        <w:t>若有</w:t>
      </w:r>
      <w:r>
        <w:rPr>
          <w:rFonts w:hint="eastAsia" w:ascii="华文中宋" w:hAnsi="华文中宋" w:eastAsia="华文中宋" w:cs="华文中宋"/>
          <w:b/>
          <w:color w:val="auto"/>
          <w:kern w:val="0"/>
          <w:sz w:val="24"/>
          <w:highlight w:val="none"/>
          <w:lang w:eastAsia="zh-CN"/>
        </w:rPr>
        <w:t>）</w:t>
      </w:r>
    </w:p>
    <w:p w14:paraId="477FA463">
      <w:pPr>
        <w:pStyle w:val="25"/>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highlight w:val="none"/>
        </w:rPr>
      </w:pPr>
      <w:r>
        <w:rPr>
          <w:rFonts w:ascii="华文中宋" w:hAnsi="华文中宋" w:eastAsia="华文中宋" w:cs="华文中宋"/>
          <w:color w:val="auto"/>
          <w:sz w:val="21"/>
          <w:szCs w:val="21"/>
          <w:highlight w:val="none"/>
        </w:rPr>
        <w:t xml:space="preserve">1. </w:t>
      </w:r>
      <w:r>
        <w:rPr>
          <w:rFonts w:hint="eastAsia" w:ascii="华文中宋" w:hAnsi="华文中宋" w:eastAsia="华文中宋" w:cs="华文中宋"/>
          <w:color w:val="auto"/>
          <w:sz w:val="21"/>
          <w:szCs w:val="21"/>
          <w:highlight w:val="none"/>
        </w:rPr>
        <w:t>联合体各方均应当符合《政府采购法》第二十二条规定的条件，联合体各方均应按照采购文件要求提供相关材料。</w:t>
      </w:r>
    </w:p>
    <w:p w14:paraId="42A3FA55">
      <w:pPr>
        <w:pStyle w:val="25"/>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highlight w:val="none"/>
        </w:rPr>
      </w:pPr>
      <w:r>
        <w:rPr>
          <w:rFonts w:ascii="华文中宋" w:hAnsi="华文中宋" w:eastAsia="华文中宋" w:cs="华文中宋"/>
          <w:color w:val="auto"/>
          <w:sz w:val="21"/>
          <w:szCs w:val="21"/>
          <w:highlight w:val="none"/>
        </w:rPr>
        <w:t xml:space="preserve">2. </w:t>
      </w:r>
      <w:r>
        <w:rPr>
          <w:rFonts w:hint="eastAsia" w:ascii="华文中宋" w:hAnsi="华文中宋" w:eastAsia="华文中宋" w:cs="华文中宋"/>
          <w:color w:val="auto"/>
          <w:sz w:val="21"/>
          <w:szCs w:val="21"/>
          <w:highlight w:val="none"/>
        </w:rPr>
        <w:t>本项目有特定资格条件要求的，联合体各方的同类资质按照资质等级较低的确定联合体资质等级。联合体各方不得再单独参加或者与其他供应商另外组成联合体参加本项目同一包的采购活动。</w:t>
      </w:r>
    </w:p>
    <w:p w14:paraId="77D1D2B0">
      <w:pPr>
        <w:spacing w:line="360" w:lineRule="auto"/>
        <w:ind w:firstLine="420" w:firstLineChars="200"/>
        <w:jc w:val="left"/>
        <w:rPr>
          <w:rFonts w:hint="eastAsia" w:ascii="华文中宋" w:hAnsi="华文中宋" w:eastAsia="华文中宋" w:cs="华文中宋"/>
          <w:b/>
          <w:color w:val="auto"/>
          <w:sz w:val="24"/>
          <w:highlight w:val="none"/>
        </w:rPr>
      </w:pPr>
      <w:r>
        <w:rPr>
          <w:rFonts w:ascii="华文中宋" w:hAnsi="华文中宋" w:eastAsia="华文中宋" w:cs="华文中宋"/>
          <w:color w:val="auto"/>
          <w:highlight w:val="none"/>
        </w:rPr>
        <w:t xml:space="preserve">3. </w:t>
      </w:r>
      <w:r>
        <w:rPr>
          <w:rFonts w:hint="eastAsia" w:ascii="华文中宋" w:hAnsi="华文中宋" w:eastAsia="华文中宋" w:cs="华文中宋"/>
          <w:color w:val="auto"/>
          <w:highlight w:val="none"/>
        </w:rPr>
        <w:t>联合体各方之间应当签订联合投标协议，明确约定联合体各方承担的工作和相应的责任，并将联合投标协议连同投标文件一并提交。</w:t>
      </w:r>
    </w:p>
    <w:p w14:paraId="72A55F0A">
      <w:pPr>
        <w:spacing w:line="300" w:lineRule="exact"/>
        <w:ind w:firstLine="360" w:firstLineChars="150"/>
        <w:jc w:val="left"/>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联合投标协议书格式</w:t>
      </w:r>
    </w:p>
    <w:p w14:paraId="30993077">
      <w:pPr>
        <w:spacing w:line="300" w:lineRule="exact"/>
        <w:jc w:val="center"/>
        <w:rPr>
          <w:rFonts w:ascii="华文中宋" w:hAnsi="华文中宋" w:eastAsia="华文中宋" w:cs="华文中宋"/>
          <w:b/>
          <w:color w:val="auto"/>
          <w:szCs w:val="21"/>
          <w:highlight w:val="none"/>
        </w:rPr>
      </w:pPr>
      <w:r>
        <w:rPr>
          <w:rFonts w:hint="eastAsia" w:ascii="华文中宋" w:hAnsi="华文中宋" w:eastAsia="华文中宋" w:cs="华文中宋"/>
          <w:b/>
          <w:color w:val="auto"/>
          <w:sz w:val="24"/>
          <w:highlight w:val="none"/>
        </w:rPr>
        <w:t>《联合投标协议书》</w:t>
      </w:r>
    </w:p>
    <w:p w14:paraId="1FE6475A">
      <w:pPr>
        <w:pStyle w:val="2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联合投标各方：</w:t>
      </w:r>
    </w:p>
    <w:p w14:paraId="269E6482">
      <w:pPr>
        <w:pStyle w:val="2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甲方：</w:t>
      </w:r>
    </w:p>
    <w:p w14:paraId="5B92EDEF">
      <w:pPr>
        <w:pStyle w:val="2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法定代表人：</w:t>
      </w:r>
    </w:p>
    <w:p w14:paraId="569F84F3">
      <w:pPr>
        <w:pStyle w:val="2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住所：</w:t>
      </w:r>
    </w:p>
    <w:p w14:paraId="46B9F7C6">
      <w:pPr>
        <w:pStyle w:val="2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乙方：</w:t>
      </w:r>
    </w:p>
    <w:p w14:paraId="075B53B8">
      <w:pPr>
        <w:pStyle w:val="2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法定代表人：</w:t>
      </w:r>
    </w:p>
    <w:p w14:paraId="78CB0A5D">
      <w:pPr>
        <w:pStyle w:val="2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住所：</w:t>
      </w:r>
    </w:p>
    <w:p w14:paraId="29DD9B4B">
      <w:pPr>
        <w:pStyle w:val="2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（如果有的话，可按甲、乙、丙、丁…序列增加）</w:t>
      </w:r>
    </w:p>
    <w:p w14:paraId="13253557">
      <w:pPr>
        <w:pStyle w:val="2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根据《政府采购法》第二十四条之规定，为响应</w:t>
      </w:r>
      <w:bookmarkStart w:id="73" w:name="PO_3000009613_PM031_9"/>
      <w:r>
        <w:rPr>
          <w:rFonts w:ascii="华文中宋" w:hAnsi="华文中宋" w:eastAsia="华文中宋" w:cs="华文中宋"/>
          <w:color w:val="auto"/>
          <w:sz w:val="21"/>
          <w:szCs w:val="21"/>
          <w:highlight w:val="none"/>
        </w:rPr>
        <w:t>[项目采购-采购组织机构_9]</w:t>
      </w:r>
      <w:bookmarkEnd w:id="73"/>
      <w:r>
        <w:rPr>
          <w:rFonts w:hint="eastAsia" w:ascii="华文中宋" w:hAnsi="华文中宋" w:eastAsia="华文中宋" w:cs="华文中宋"/>
          <w:color w:val="auto"/>
          <w:sz w:val="21"/>
          <w:szCs w:val="21"/>
          <w:highlight w:val="none"/>
        </w:rPr>
        <w:t>组织实施的项目（项目名称、招标编号）的招标活动，各方经协商，就联合进行投标之事宜，达成如下协议：</w:t>
      </w:r>
    </w:p>
    <w:p w14:paraId="6C28AD05">
      <w:pPr>
        <w:pStyle w:val="2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一、各方一致决定，以</w:t>
      </w:r>
      <w:r>
        <w:rPr>
          <w:rFonts w:ascii="华文中宋" w:hAnsi="华文中宋" w:eastAsia="华文中宋" w:cs="华文中宋"/>
          <w:color w:val="auto"/>
          <w:spacing w:val="6"/>
          <w:szCs w:val="21"/>
          <w:highlight w:val="none"/>
        </w:rPr>
        <w:t>____________</w:t>
      </w:r>
      <w:r>
        <w:rPr>
          <w:rFonts w:hint="eastAsia" w:ascii="华文中宋" w:hAnsi="华文中宋" w:eastAsia="华文中宋" w:cs="华文中宋"/>
          <w:color w:val="auto"/>
          <w:sz w:val="21"/>
          <w:szCs w:val="21"/>
          <w:highlight w:val="none"/>
        </w:rPr>
        <w:t>为主办人进行投标，并按照招标文件的规定分别提交资格文件。</w:t>
      </w:r>
    </w:p>
    <w:p w14:paraId="187C0D2E">
      <w:pPr>
        <w:pStyle w:val="2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二、在本次投标过程中，主办人法定代表人或授权代理人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677B7CAB">
      <w:pPr>
        <w:pStyle w:val="2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三、联合投标其余各方保证对主办人为响应本次招标而提供的货物和相关服务提供全部质量保证及售后服务支持。</w:t>
      </w:r>
    </w:p>
    <w:p w14:paraId="20349E7E">
      <w:pPr>
        <w:pStyle w:val="2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四、本次联合投标中，甲方承担的工作和义务为</w:t>
      </w:r>
      <w:r>
        <w:rPr>
          <w:rFonts w:ascii="华文中宋" w:hAnsi="华文中宋" w:eastAsia="华文中宋" w:cs="华文中宋"/>
          <w:color w:val="auto"/>
          <w:sz w:val="21"/>
          <w:szCs w:val="21"/>
          <w:highlight w:val="none"/>
        </w:rPr>
        <w:t>:</w:t>
      </w:r>
    </w:p>
    <w:p w14:paraId="3CD6C69C">
      <w:pPr>
        <w:pStyle w:val="2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乙方承担的工作和义务为：</w:t>
      </w:r>
    </w:p>
    <w:p w14:paraId="6F07CA49">
      <w:pPr>
        <w:pStyle w:val="2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五、本协议提交招标方后，联合投标各方不得以任何形式对上述实质内容进行修改或撤销。</w:t>
      </w:r>
    </w:p>
    <w:p w14:paraId="3074C30E">
      <w:pPr>
        <w:pStyle w:val="2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六、本协议一式三份，甲、乙双方各持一份，另一份作为投标文件的组成部分。</w:t>
      </w:r>
    </w:p>
    <w:p w14:paraId="5C6A0A78">
      <w:pPr>
        <w:spacing w:line="360" w:lineRule="auto"/>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甲方（</w:t>
      </w:r>
      <w:r>
        <w:rPr>
          <w:rFonts w:hint="eastAsia" w:ascii="华文中宋" w:hAnsi="华文中宋" w:eastAsia="华文中宋"/>
          <w:color w:val="auto"/>
          <w:spacing w:val="20"/>
          <w:szCs w:val="21"/>
          <w:highlight w:val="none"/>
          <w:lang w:eastAsia="zh-CN"/>
        </w:rPr>
        <w:t>企业电子公章</w:t>
      </w:r>
      <w:r>
        <w:rPr>
          <w:rFonts w:hint="eastAsia" w:ascii="华文中宋" w:hAnsi="华文中宋" w:eastAsia="华文中宋"/>
          <w:color w:val="auto"/>
          <w:szCs w:val="21"/>
          <w:highlight w:val="none"/>
        </w:rPr>
        <w:t xml:space="preserve">）：                 </w:t>
      </w:r>
      <w:r>
        <w:rPr>
          <w:rFonts w:hint="eastAsia" w:ascii="华文中宋" w:hAnsi="华文中宋" w:eastAsia="华文中宋" w:cs="华文中宋"/>
          <w:color w:val="auto"/>
          <w:szCs w:val="21"/>
          <w:highlight w:val="none"/>
        </w:rPr>
        <w:t>乙方（</w:t>
      </w:r>
      <w:r>
        <w:rPr>
          <w:rFonts w:hint="eastAsia" w:ascii="华文中宋" w:hAnsi="华文中宋" w:eastAsia="华文中宋"/>
          <w:color w:val="auto"/>
          <w:spacing w:val="20"/>
          <w:szCs w:val="21"/>
          <w:highlight w:val="none"/>
          <w:lang w:eastAsia="zh-CN"/>
        </w:rPr>
        <w:t>企业电子公章</w:t>
      </w:r>
      <w:r>
        <w:rPr>
          <w:rFonts w:hint="eastAsia" w:ascii="华文中宋" w:hAnsi="华文中宋" w:eastAsia="华文中宋" w:cs="华文中宋"/>
          <w:color w:val="auto"/>
          <w:szCs w:val="21"/>
          <w:highlight w:val="none"/>
        </w:rPr>
        <w:t>）：</w:t>
      </w:r>
    </w:p>
    <w:p w14:paraId="010FB610">
      <w:pPr>
        <w:spacing w:line="360" w:lineRule="auto"/>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法定代表人（</w:t>
      </w:r>
      <w:r>
        <w:rPr>
          <w:rFonts w:hint="eastAsia" w:ascii="华文中宋" w:hAnsi="华文中宋" w:eastAsia="华文中宋"/>
          <w:color w:val="auto"/>
          <w:spacing w:val="20"/>
          <w:szCs w:val="21"/>
          <w:highlight w:val="none"/>
        </w:rPr>
        <w:t>法定代表人电子印章</w:t>
      </w:r>
      <w:r>
        <w:rPr>
          <w:rFonts w:hint="eastAsia" w:ascii="华文中宋" w:hAnsi="华文中宋" w:eastAsia="华文中宋"/>
          <w:color w:val="auto"/>
          <w:szCs w:val="21"/>
          <w:highlight w:val="none"/>
        </w:rPr>
        <w:t xml:space="preserve">）：    </w:t>
      </w:r>
      <w:r>
        <w:rPr>
          <w:rFonts w:hint="eastAsia" w:ascii="华文中宋" w:hAnsi="华文中宋" w:eastAsia="华文中宋" w:cs="华文中宋"/>
          <w:color w:val="auto"/>
          <w:szCs w:val="21"/>
          <w:highlight w:val="none"/>
        </w:rPr>
        <w:t>法定代表人（</w:t>
      </w:r>
      <w:r>
        <w:rPr>
          <w:rFonts w:hint="eastAsia" w:ascii="华文中宋" w:hAnsi="华文中宋" w:eastAsia="华文中宋"/>
          <w:color w:val="auto"/>
          <w:spacing w:val="20"/>
          <w:szCs w:val="21"/>
          <w:highlight w:val="none"/>
        </w:rPr>
        <w:t>法定代表人电子印章</w:t>
      </w:r>
      <w:r>
        <w:rPr>
          <w:rFonts w:hint="eastAsia" w:ascii="华文中宋" w:hAnsi="华文中宋" w:eastAsia="华文中宋" w:cs="华文中宋"/>
          <w:color w:val="auto"/>
          <w:szCs w:val="21"/>
          <w:highlight w:val="none"/>
        </w:rPr>
        <w:t>）：</w:t>
      </w:r>
    </w:p>
    <w:p w14:paraId="52A79D68">
      <w:pPr>
        <w:spacing w:line="360" w:lineRule="auto"/>
        <w:rPr>
          <w:color w:val="auto"/>
          <w:highlight w:val="none"/>
        </w:rPr>
      </w:pPr>
      <w:r>
        <w:rPr>
          <w:rFonts w:hint="eastAsia" w:ascii="华文中宋" w:hAnsi="华文中宋" w:eastAsia="华文中宋" w:cs="华文中宋"/>
          <w:color w:val="auto"/>
          <w:szCs w:val="21"/>
          <w:highlight w:val="none"/>
        </w:rPr>
        <w:t>20  年  月  日                             20  年  月  日</w:t>
      </w:r>
    </w:p>
    <w:p w14:paraId="7CFE500C">
      <w:pPr>
        <w:rPr>
          <w:rFonts w:hint="eastAsia" w:ascii="华文中宋" w:hAnsi="华文中宋" w:eastAsia="华文中宋" w:cs="华文中宋"/>
          <w:b/>
          <w:color w:val="auto"/>
          <w:spacing w:val="20"/>
          <w:sz w:val="28"/>
          <w:szCs w:val="28"/>
          <w:highlight w:val="none"/>
        </w:rPr>
      </w:pPr>
      <w:r>
        <w:rPr>
          <w:rFonts w:hint="eastAsia" w:ascii="华文中宋" w:hAnsi="华文中宋" w:eastAsia="华文中宋" w:cs="华文中宋"/>
          <w:b/>
          <w:color w:val="auto"/>
          <w:spacing w:val="20"/>
          <w:sz w:val="28"/>
          <w:szCs w:val="28"/>
          <w:highlight w:val="none"/>
        </w:rPr>
        <w:br w:type="page"/>
      </w:r>
    </w:p>
    <w:p w14:paraId="30D50CB0">
      <w:pPr>
        <w:rPr>
          <w:rFonts w:ascii="华文中宋" w:hAnsi="华文中宋" w:eastAsia="华文中宋" w:cs="华文中宋"/>
          <w:b/>
          <w:color w:val="auto"/>
          <w:spacing w:val="20"/>
          <w:sz w:val="28"/>
          <w:szCs w:val="28"/>
          <w:highlight w:val="none"/>
        </w:rPr>
      </w:pPr>
      <w:r>
        <w:rPr>
          <w:rFonts w:hint="eastAsia" w:ascii="华文中宋" w:hAnsi="华文中宋" w:eastAsia="华文中宋" w:cs="华文中宋"/>
          <w:b/>
          <w:color w:val="auto"/>
          <w:spacing w:val="20"/>
          <w:sz w:val="28"/>
          <w:szCs w:val="28"/>
          <w:highlight w:val="none"/>
        </w:rPr>
        <w:t>商务技术文件格式</w:t>
      </w:r>
    </w:p>
    <w:p w14:paraId="1B17DBAC">
      <w:pPr>
        <w:rPr>
          <w:rFonts w:ascii="华文中宋" w:hAnsi="华文中宋" w:eastAsia="华文中宋" w:cs="华文中宋"/>
          <w:b/>
          <w:color w:val="auto"/>
          <w:sz w:val="24"/>
          <w:highlight w:val="none"/>
        </w:rPr>
      </w:pPr>
      <w:r>
        <w:rPr>
          <w:rFonts w:hint="eastAsia" w:ascii="华文中宋" w:hAnsi="华文中宋" w:eastAsia="华文中宋" w:cs="华文中宋"/>
          <w:b/>
          <w:color w:val="auto"/>
          <w:spacing w:val="20"/>
          <w:sz w:val="24"/>
          <w:highlight w:val="none"/>
        </w:rPr>
        <w:t>投标文件（商务技术文件）</w:t>
      </w:r>
      <w:r>
        <w:rPr>
          <w:rFonts w:hint="eastAsia" w:ascii="华文中宋" w:hAnsi="华文中宋" w:eastAsia="华文中宋" w:cs="华文中宋"/>
          <w:b/>
          <w:color w:val="auto"/>
          <w:sz w:val="24"/>
          <w:highlight w:val="none"/>
        </w:rPr>
        <w:t>封面及目录格式</w:t>
      </w:r>
    </w:p>
    <w:p w14:paraId="6B688BB5">
      <w:pPr>
        <w:rPr>
          <w:rFonts w:ascii="华文中宋" w:hAnsi="华文中宋" w:eastAsia="华文中宋" w:cs="华文中宋"/>
          <w:b/>
          <w:color w:val="auto"/>
          <w:sz w:val="24"/>
          <w:highlight w:val="none"/>
        </w:rPr>
      </w:pPr>
    </w:p>
    <w:p w14:paraId="4AFE24D9">
      <w:pPr>
        <w:jc w:val="right"/>
        <w:rPr>
          <w:rFonts w:ascii="华文中宋" w:hAnsi="华文中宋" w:eastAsia="华文中宋" w:cs="华文中宋"/>
          <w:color w:val="auto"/>
          <w:szCs w:val="21"/>
          <w:highlight w:val="none"/>
        </w:rPr>
      </w:pPr>
    </w:p>
    <w:p w14:paraId="27164FD4">
      <w:pPr>
        <w:pStyle w:val="15"/>
        <w:rPr>
          <w:color w:val="auto"/>
          <w:highlight w:val="none"/>
        </w:rPr>
      </w:pPr>
    </w:p>
    <w:p w14:paraId="2CCB7323">
      <w:pPr>
        <w:jc w:val="center"/>
        <w:rPr>
          <w:rFonts w:ascii="华文中宋" w:hAnsi="华文中宋" w:eastAsia="华文中宋" w:cs="华文中宋"/>
          <w:b/>
          <w:color w:val="auto"/>
          <w:spacing w:val="60"/>
          <w:sz w:val="84"/>
          <w:szCs w:val="84"/>
          <w:highlight w:val="none"/>
        </w:rPr>
      </w:pPr>
      <w:r>
        <w:rPr>
          <w:rFonts w:hint="eastAsia" w:ascii="华文中宋" w:hAnsi="华文中宋" w:eastAsia="华文中宋" w:cs="华文中宋"/>
          <w:b/>
          <w:color w:val="auto"/>
          <w:spacing w:val="60"/>
          <w:sz w:val="84"/>
          <w:szCs w:val="84"/>
          <w:highlight w:val="none"/>
        </w:rPr>
        <w:t>投 标 文 件</w:t>
      </w:r>
    </w:p>
    <w:p w14:paraId="15225FE3">
      <w:pPr>
        <w:jc w:val="center"/>
        <w:rPr>
          <w:rFonts w:ascii="华文中宋" w:hAnsi="华文中宋" w:eastAsia="华文中宋" w:cs="华文中宋"/>
          <w:b/>
          <w:color w:val="auto"/>
          <w:spacing w:val="60"/>
          <w:sz w:val="48"/>
          <w:szCs w:val="48"/>
          <w:highlight w:val="none"/>
        </w:rPr>
      </w:pPr>
      <w:r>
        <w:rPr>
          <w:rFonts w:hint="eastAsia" w:ascii="华文中宋" w:hAnsi="华文中宋" w:eastAsia="华文中宋" w:cs="华文中宋"/>
          <w:b/>
          <w:color w:val="auto"/>
          <w:spacing w:val="60"/>
          <w:sz w:val="48"/>
          <w:szCs w:val="48"/>
          <w:highlight w:val="none"/>
        </w:rPr>
        <w:t>（商务技术文件）</w:t>
      </w:r>
    </w:p>
    <w:p w14:paraId="31F489F8">
      <w:pPr>
        <w:rPr>
          <w:rFonts w:ascii="华文中宋" w:hAnsi="华文中宋" w:eastAsia="华文中宋" w:cs="华文中宋"/>
          <w:b/>
          <w:color w:val="auto"/>
          <w:sz w:val="44"/>
          <w:szCs w:val="44"/>
          <w:highlight w:val="none"/>
        </w:rPr>
      </w:pPr>
    </w:p>
    <w:p w14:paraId="320D91FC">
      <w:pPr>
        <w:pStyle w:val="15"/>
        <w:rPr>
          <w:color w:val="auto"/>
          <w:highlight w:val="none"/>
        </w:rPr>
      </w:pPr>
    </w:p>
    <w:p w14:paraId="3010DFB3">
      <w:pPr>
        <w:ind w:firstLine="540" w:firstLineChars="150"/>
        <w:rPr>
          <w:rFonts w:ascii="华文中宋" w:hAnsi="华文中宋" w:eastAsia="华文中宋" w:cs="华文中宋"/>
          <w:b/>
          <w:color w:val="auto"/>
          <w:sz w:val="44"/>
          <w:szCs w:val="44"/>
          <w:highlight w:val="none"/>
        </w:rPr>
      </w:pPr>
      <w:r>
        <w:rPr>
          <w:rFonts w:hint="eastAsia" w:ascii="华文中宋" w:hAnsi="华文中宋" w:eastAsia="华文中宋" w:cs="华文中宋"/>
          <w:b/>
          <w:color w:val="auto"/>
          <w:spacing w:val="20"/>
          <w:sz w:val="32"/>
          <w:szCs w:val="32"/>
          <w:highlight w:val="none"/>
        </w:rPr>
        <w:t>项目名称</w:t>
      </w:r>
      <w:r>
        <w:rPr>
          <w:rFonts w:hint="eastAsia" w:ascii="华文中宋" w:hAnsi="华文中宋" w:eastAsia="华文中宋" w:cs="华文中宋"/>
          <w:b/>
          <w:color w:val="auto"/>
          <w:sz w:val="32"/>
          <w:szCs w:val="32"/>
          <w:highlight w:val="none"/>
        </w:rPr>
        <w:t>：</w:t>
      </w:r>
    </w:p>
    <w:p w14:paraId="66400774">
      <w:pPr>
        <w:ind w:firstLine="540" w:firstLineChars="150"/>
        <w:rPr>
          <w:rFonts w:ascii="华文中宋" w:hAnsi="华文中宋" w:eastAsia="华文中宋" w:cs="华文中宋"/>
          <w:b/>
          <w:color w:val="auto"/>
          <w:sz w:val="44"/>
          <w:szCs w:val="44"/>
          <w:highlight w:val="none"/>
        </w:rPr>
      </w:pPr>
      <w:r>
        <w:rPr>
          <w:rFonts w:hint="eastAsia" w:ascii="华文中宋" w:hAnsi="华文中宋" w:eastAsia="华文中宋" w:cs="华文中宋"/>
          <w:b/>
          <w:color w:val="auto"/>
          <w:spacing w:val="20"/>
          <w:sz w:val="32"/>
          <w:szCs w:val="32"/>
          <w:highlight w:val="none"/>
        </w:rPr>
        <w:t>项目编号：</w:t>
      </w:r>
    </w:p>
    <w:p w14:paraId="47AA1998">
      <w:pPr>
        <w:jc w:val="center"/>
        <w:rPr>
          <w:rFonts w:ascii="华文中宋" w:hAnsi="华文中宋" w:eastAsia="华文中宋" w:cs="华文中宋"/>
          <w:b/>
          <w:color w:val="auto"/>
          <w:sz w:val="32"/>
          <w:szCs w:val="32"/>
          <w:highlight w:val="none"/>
        </w:rPr>
      </w:pPr>
    </w:p>
    <w:p w14:paraId="0BE1875C">
      <w:pPr>
        <w:jc w:val="center"/>
        <w:rPr>
          <w:rFonts w:ascii="华文中宋" w:hAnsi="华文中宋" w:eastAsia="华文中宋" w:cs="华文中宋"/>
          <w:b/>
          <w:color w:val="auto"/>
          <w:sz w:val="32"/>
          <w:szCs w:val="32"/>
          <w:highlight w:val="none"/>
        </w:rPr>
      </w:pPr>
    </w:p>
    <w:p w14:paraId="7AEAFC70">
      <w:pPr>
        <w:jc w:val="center"/>
        <w:rPr>
          <w:rFonts w:ascii="华文中宋" w:hAnsi="华文中宋" w:eastAsia="华文中宋" w:cs="华文中宋"/>
          <w:b/>
          <w:color w:val="auto"/>
          <w:sz w:val="32"/>
          <w:szCs w:val="32"/>
          <w:highlight w:val="none"/>
        </w:rPr>
      </w:pPr>
    </w:p>
    <w:p w14:paraId="724BFA44">
      <w:pPr>
        <w:jc w:val="center"/>
        <w:rPr>
          <w:rFonts w:ascii="华文中宋" w:hAnsi="华文中宋" w:eastAsia="华文中宋" w:cs="华文中宋"/>
          <w:b/>
          <w:color w:val="auto"/>
          <w:sz w:val="32"/>
          <w:szCs w:val="32"/>
          <w:highlight w:val="none"/>
        </w:rPr>
      </w:pPr>
    </w:p>
    <w:p w14:paraId="21EF3E0B">
      <w:pPr>
        <w:jc w:val="center"/>
        <w:rPr>
          <w:rFonts w:ascii="华文中宋" w:hAnsi="华文中宋" w:eastAsia="华文中宋" w:cs="华文中宋"/>
          <w:b/>
          <w:color w:val="auto"/>
          <w:spacing w:val="20"/>
          <w:sz w:val="32"/>
          <w:szCs w:val="32"/>
          <w:highlight w:val="none"/>
        </w:rPr>
      </w:pPr>
    </w:p>
    <w:p w14:paraId="624E57BF">
      <w:pPr>
        <w:jc w:val="center"/>
        <w:rPr>
          <w:rFonts w:ascii="华文中宋" w:hAnsi="华文中宋" w:eastAsia="华文中宋" w:cs="华文中宋"/>
          <w:b/>
          <w:color w:val="auto"/>
          <w:spacing w:val="20"/>
          <w:sz w:val="32"/>
          <w:szCs w:val="32"/>
          <w:highlight w:val="none"/>
        </w:rPr>
      </w:pPr>
    </w:p>
    <w:p w14:paraId="38607A95">
      <w:pPr>
        <w:pStyle w:val="15"/>
        <w:rPr>
          <w:color w:val="auto"/>
          <w:highlight w:val="none"/>
        </w:rPr>
      </w:pPr>
    </w:p>
    <w:p w14:paraId="4557E9C9">
      <w:pPr>
        <w:jc w:val="center"/>
        <w:rPr>
          <w:rFonts w:ascii="华文中宋" w:hAnsi="华文中宋" w:eastAsia="华文中宋" w:cs="华文中宋"/>
          <w:b/>
          <w:color w:val="auto"/>
          <w:spacing w:val="20"/>
          <w:sz w:val="32"/>
          <w:szCs w:val="32"/>
          <w:highlight w:val="none"/>
        </w:rPr>
      </w:pPr>
    </w:p>
    <w:p w14:paraId="3207FA24">
      <w:pPr>
        <w:spacing w:line="360" w:lineRule="auto"/>
        <w:ind w:firstLine="1440" w:firstLineChars="400"/>
        <w:jc w:val="left"/>
        <w:rPr>
          <w:rFonts w:ascii="华文中宋" w:hAnsi="华文中宋" w:eastAsia="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t>投标供应商单位名称：（</w:t>
      </w:r>
      <w:r>
        <w:rPr>
          <w:rFonts w:hint="eastAsia" w:ascii="华文中宋" w:hAnsi="华文中宋" w:eastAsia="华文中宋"/>
          <w:b/>
          <w:color w:val="auto"/>
          <w:spacing w:val="20"/>
          <w:sz w:val="32"/>
          <w:szCs w:val="32"/>
          <w:highlight w:val="none"/>
          <w:lang w:eastAsia="zh-CN"/>
        </w:rPr>
        <w:t>企业电子公章</w:t>
      </w:r>
      <w:r>
        <w:rPr>
          <w:rFonts w:hint="eastAsia" w:ascii="华文中宋" w:hAnsi="华文中宋" w:eastAsia="华文中宋" w:cs="华文中宋"/>
          <w:b/>
          <w:color w:val="auto"/>
          <w:spacing w:val="20"/>
          <w:sz w:val="32"/>
          <w:szCs w:val="32"/>
          <w:highlight w:val="none"/>
        </w:rPr>
        <w:t>）</w:t>
      </w:r>
    </w:p>
    <w:p w14:paraId="02F019D3">
      <w:pPr>
        <w:jc w:val="center"/>
        <w:rPr>
          <w:rFonts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二〇  年  月  日</w:t>
      </w:r>
    </w:p>
    <w:p w14:paraId="501CCA17">
      <w:pPr>
        <w:jc w:val="center"/>
        <w:rPr>
          <w:rFonts w:ascii="华文中宋" w:hAnsi="华文中宋" w:eastAsia="华文中宋"/>
          <w:b/>
          <w:color w:val="auto"/>
          <w:spacing w:val="20"/>
          <w:sz w:val="32"/>
          <w:szCs w:val="32"/>
          <w:highlight w:val="none"/>
        </w:rPr>
      </w:pPr>
      <w:r>
        <w:rPr>
          <w:rFonts w:ascii="华文中宋" w:hAnsi="华文中宋" w:eastAsia="华文中宋"/>
          <w:b/>
          <w:color w:val="auto"/>
          <w:spacing w:val="20"/>
          <w:sz w:val="32"/>
          <w:szCs w:val="32"/>
          <w:highlight w:val="none"/>
        </w:rPr>
        <w:br w:type="page"/>
      </w:r>
    </w:p>
    <w:p w14:paraId="4772A52E">
      <w:pPr>
        <w:jc w:val="center"/>
        <w:rPr>
          <w:rFonts w:hint="eastAsia" w:ascii="华文中宋" w:hAnsi="华文中宋" w:eastAsia="华文中宋" w:cs="华文中宋"/>
          <w:b/>
          <w:color w:val="auto"/>
          <w:sz w:val="24"/>
          <w:highlight w:val="none"/>
        </w:rPr>
      </w:pPr>
    </w:p>
    <w:p w14:paraId="10FB695C">
      <w:pPr>
        <w:jc w:val="center"/>
        <w:outlineLvl w:val="1"/>
        <w:rPr>
          <w:rFonts w:ascii="华文中宋" w:hAnsi="华文中宋" w:eastAsia="华文中宋" w:cs="华文中宋"/>
          <w:b/>
          <w:color w:val="auto"/>
          <w:sz w:val="24"/>
          <w:highlight w:val="none"/>
        </w:rPr>
      </w:pPr>
      <w:bookmarkStart w:id="74" w:name="_Toc3528"/>
      <w:r>
        <w:rPr>
          <w:rFonts w:hint="eastAsia" w:ascii="华文中宋" w:hAnsi="华文中宋" w:eastAsia="华文中宋" w:cs="华文中宋"/>
          <w:b/>
          <w:color w:val="auto"/>
          <w:sz w:val="24"/>
          <w:highlight w:val="none"/>
        </w:rPr>
        <w:t>商  务  技  术  文  件</w:t>
      </w:r>
      <w:bookmarkEnd w:id="74"/>
    </w:p>
    <w:p w14:paraId="179C6FEE">
      <w:pPr>
        <w:spacing w:line="400" w:lineRule="exact"/>
        <w:ind w:firstLine="4111" w:firstLineChars="1713"/>
        <w:rPr>
          <w:rFonts w:ascii="华文中宋" w:hAnsi="华文中宋" w:eastAsia="华文中宋" w:cs="华文中宋"/>
          <w:b/>
          <w:color w:val="auto"/>
          <w:sz w:val="24"/>
          <w:highlight w:val="none"/>
        </w:rPr>
      </w:pPr>
    </w:p>
    <w:p w14:paraId="4A424CED">
      <w:pPr>
        <w:spacing w:line="400" w:lineRule="exact"/>
        <w:ind w:firstLine="3991" w:firstLineChars="1663"/>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目    录</w:t>
      </w:r>
    </w:p>
    <w:p w14:paraId="460E9A9A">
      <w:pPr>
        <w:pStyle w:val="17"/>
        <w:snapToGrid w:val="0"/>
        <w:spacing w:line="360" w:lineRule="auto"/>
        <w:rPr>
          <w:rFonts w:hint="eastAsia" w:ascii="华文中宋" w:hAnsi="华文中宋" w:eastAsia="华文中宋" w:cs="Times New Roman"/>
          <w:color w:val="auto"/>
          <w:kern w:val="0"/>
          <w:highlight w:val="none"/>
          <w:lang w:eastAsia="zh-CN"/>
        </w:rPr>
      </w:pPr>
      <w:r>
        <w:rPr>
          <w:rFonts w:hint="eastAsia" w:ascii="华文中宋" w:hAnsi="华文中宋" w:eastAsia="华文中宋" w:cs="Times New Roman"/>
          <w:color w:val="auto"/>
          <w:kern w:val="0"/>
          <w:highlight w:val="none"/>
        </w:rPr>
        <w:t xml:space="preserve">1. </w:t>
      </w:r>
      <w:r>
        <w:rPr>
          <w:rFonts w:hint="eastAsia" w:ascii="华文中宋" w:hAnsi="华文中宋" w:eastAsia="华文中宋" w:cs="Times New Roman"/>
          <w:color w:val="auto"/>
          <w:kern w:val="0"/>
          <w:highlight w:val="none"/>
          <w:lang w:val="en-US" w:eastAsia="zh-CN"/>
        </w:rPr>
        <w:t>中小</w:t>
      </w:r>
      <w:r>
        <w:rPr>
          <w:rFonts w:hint="eastAsia" w:ascii="华文中宋" w:hAnsi="华文中宋" w:eastAsia="华文中宋" w:cs="Times New Roman"/>
          <w:color w:val="auto"/>
          <w:kern w:val="0"/>
          <w:highlight w:val="none"/>
        </w:rPr>
        <w:t>企业声明函</w:t>
      </w:r>
      <w:r>
        <w:rPr>
          <w:rFonts w:hint="eastAsia" w:ascii="华文中宋" w:hAnsi="华文中宋" w:eastAsia="华文中宋" w:cs="Times New Roman"/>
          <w:color w:val="auto"/>
          <w:kern w:val="0"/>
          <w:highlight w:val="none"/>
          <w:lang w:eastAsia="zh-CN"/>
        </w:rPr>
        <w:t>（</w:t>
      </w:r>
      <w:r>
        <w:rPr>
          <w:rFonts w:hint="eastAsia" w:ascii="华文中宋" w:hAnsi="华文中宋" w:eastAsia="华文中宋" w:cs="Times New Roman"/>
          <w:color w:val="auto"/>
          <w:kern w:val="0"/>
          <w:highlight w:val="none"/>
          <w:lang w:val="en-US" w:eastAsia="zh-CN"/>
        </w:rPr>
        <w:t>若有</w:t>
      </w:r>
      <w:r>
        <w:rPr>
          <w:rFonts w:hint="eastAsia" w:ascii="华文中宋" w:hAnsi="华文中宋" w:eastAsia="华文中宋" w:cs="Times New Roman"/>
          <w:color w:val="auto"/>
          <w:kern w:val="0"/>
          <w:highlight w:val="none"/>
          <w:lang w:eastAsia="zh-CN"/>
        </w:rPr>
        <w:t>）</w:t>
      </w:r>
    </w:p>
    <w:p w14:paraId="2923A572">
      <w:pPr>
        <w:pStyle w:val="17"/>
        <w:snapToGrid w:val="0"/>
        <w:spacing w:line="360" w:lineRule="auto"/>
        <w:ind w:firstLine="420" w:firstLineChars="200"/>
        <w:rPr>
          <w:rFonts w:hint="eastAsia" w:ascii="华文中宋" w:hAnsi="华文中宋" w:eastAsia="华文中宋" w:cs="Times New Roman"/>
          <w:color w:val="auto"/>
          <w:kern w:val="0"/>
          <w:highlight w:val="none"/>
        </w:rPr>
      </w:pPr>
      <w:r>
        <w:rPr>
          <w:rFonts w:hint="eastAsia" w:ascii="华文中宋" w:hAnsi="华文中宋" w:eastAsia="华文中宋" w:cs="Times New Roman"/>
          <w:color w:val="auto"/>
          <w:kern w:val="0"/>
          <w:highlight w:val="none"/>
        </w:rPr>
        <w:t>残疾人福利性单位声明函</w:t>
      </w:r>
      <w:r>
        <w:rPr>
          <w:rFonts w:hint="eastAsia" w:ascii="华文中宋" w:hAnsi="华文中宋" w:eastAsia="华文中宋" w:cs="Times New Roman"/>
          <w:color w:val="auto"/>
          <w:kern w:val="0"/>
          <w:highlight w:val="none"/>
          <w:lang w:eastAsia="zh-CN"/>
        </w:rPr>
        <w:t>（</w:t>
      </w:r>
      <w:r>
        <w:rPr>
          <w:rFonts w:hint="eastAsia" w:ascii="华文中宋" w:hAnsi="华文中宋" w:eastAsia="华文中宋" w:cs="Times New Roman"/>
          <w:color w:val="auto"/>
          <w:kern w:val="0"/>
          <w:highlight w:val="none"/>
          <w:lang w:val="en-US" w:eastAsia="zh-CN"/>
        </w:rPr>
        <w:t>若有</w:t>
      </w:r>
      <w:r>
        <w:rPr>
          <w:rFonts w:hint="eastAsia" w:ascii="华文中宋" w:hAnsi="华文中宋" w:eastAsia="华文中宋" w:cs="Times New Roman"/>
          <w:color w:val="auto"/>
          <w:kern w:val="0"/>
          <w:highlight w:val="none"/>
          <w:lang w:eastAsia="zh-CN"/>
        </w:rPr>
        <w:t>）</w:t>
      </w:r>
      <w:r>
        <w:rPr>
          <w:rFonts w:hint="eastAsia" w:ascii="华文中宋" w:hAnsi="华文中宋" w:eastAsia="华文中宋" w:cs="Times New Roman"/>
          <w:color w:val="auto"/>
          <w:kern w:val="0"/>
          <w:highlight w:val="none"/>
        </w:rPr>
        <w:t>……………………………………………………页码</w:t>
      </w:r>
    </w:p>
    <w:p w14:paraId="6BDFB823">
      <w:pPr>
        <w:pStyle w:val="17"/>
        <w:snapToGrid w:val="0"/>
        <w:spacing w:line="360" w:lineRule="auto"/>
        <w:rPr>
          <w:rFonts w:hint="eastAsia" w:ascii="华文中宋" w:hAnsi="华文中宋" w:eastAsia="华文中宋" w:cs="Times New Roman"/>
          <w:color w:val="auto"/>
          <w:kern w:val="0"/>
          <w:highlight w:val="none"/>
        </w:rPr>
      </w:pPr>
      <w:r>
        <w:rPr>
          <w:rFonts w:hint="eastAsia" w:ascii="华文中宋" w:hAnsi="华文中宋" w:eastAsia="华文中宋" w:cs="Times New Roman"/>
          <w:color w:val="auto"/>
          <w:kern w:val="0"/>
          <w:highlight w:val="none"/>
        </w:rPr>
        <w:t>2. 创新产品或创新服务明细表……………………………………………………………</w:t>
      </w:r>
    </w:p>
    <w:p w14:paraId="4ADF355A">
      <w:pPr>
        <w:pStyle w:val="17"/>
        <w:snapToGrid w:val="0"/>
        <w:spacing w:line="360" w:lineRule="auto"/>
        <w:rPr>
          <w:rFonts w:hint="eastAsia" w:ascii="华文中宋" w:hAnsi="华文中宋" w:eastAsia="华文中宋" w:cs="Times New Roman"/>
          <w:color w:val="auto"/>
          <w:kern w:val="0"/>
          <w:highlight w:val="none"/>
        </w:rPr>
      </w:pPr>
      <w:r>
        <w:rPr>
          <w:rFonts w:hint="eastAsia" w:ascii="华文中宋" w:hAnsi="华文中宋" w:eastAsia="华文中宋" w:cs="Times New Roman"/>
          <w:color w:val="auto"/>
          <w:kern w:val="0"/>
          <w:highlight w:val="none"/>
          <w:lang w:val="en-US" w:eastAsia="zh-CN"/>
        </w:rPr>
        <w:t xml:space="preserve">3. </w:t>
      </w:r>
      <w:r>
        <w:rPr>
          <w:rFonts w:hint="eastAsia" w:ascii="华文中宋" w:hAnsi="华文中宋" w:eastAsia="华文中宋" w:cs="Times New Roman"/>
          <w:color w:val="auto"/>
          <w:kern w:val="0"/>
          <w:highlight w:val="none"/>
        </w:rPr>
        <w:t>对采购需求的响应内容……………………………………………………………………</w:t>
      </w:r>
    </w:p>
    <w:p w14:paraId="01C31787">
      <w:pPr>
        <w:pStyle w:val="17"/>
        <w:snapToGrid w:val="0"/>
        <w:spacing w:line="360" w:lineRule="auto"/>
        <w:rPr>
          <w:rFonts w:hint="eastAsia" w:ascii="华文中宋" w:hAnsi="华文中宋" w:eastAsia="华文中宋" w:cs="Times New Roman"/>
          <w:color w:val="auto"/>
          <w:kern w:val="0"/>
          <w:highlight w:val="none"/>
        </w:rPr>
      </w:pPr>
      <w:r>
        <w:rPr>
          <w:rFonts w:hint="eastAsia" w:ascii="华文中宋" w:hAnsi="华文中宋" w:eastAsia="华文中宋" w:cs="Times New Roman"/>
          <w:color w:val="auto"/>
          <w:kern w:val="0"/>
          <w:highlight w:val="none"/>
          <w:lang w:val="en-US" w:eastAsia="zh-CN"/>
        </w:rPr>
        <w:t>4</w:t>
      </w:r>
      <w:r>
        <w:rPr>
          <w:rFonts w:hint="eastAsia" w:ascii="华文中宋" w:hAnsi="华文中宋" w:eastAsia="华文中宋" w:cs="Times New Roman"/>
          <w:color w:val="auto"/>
          <w:kern w:val="0"/>
          <w:highlight w:val="none"/>
        </w:rPr>
        <w:t>．招标文件要求或投标人认为需要提供的其他商务技术材料/文件………………………</w:t>
      </w:r>
    </w:p>
    <w:p w14:paraId="05ABEA41">
      <w:pPr>
        <w:pStyle w:val="17"/>
        <w:snapToGrid w:val="0"/>
        <w:spacing w:line="360" w:lineRule="auto"/>
        <w:rPr>
          <w:rFonts w:hint="eastAsia" w:ascii="华文中宋" w:hAnsi="华文中宋" w:eastAsia="华文中宋" w:cs="Times New Roman"/>
          <w:color w:val="auto"/>
          <w:kern w:val="0"/>
          <w:highlight w:val="none"/>
        </w:rPr>
      </w:pPr>
      <w:r>
        <w:rPr>
          <w:rFonts w:hint="eastAsia" w:ascii="华文中宋" w:hAnsi="华文中宋" w:eastAsia="华文中宋" w:cs="Times New Roman"/>
          <w:color w:val="auto"/>
          <w:kern w:val="0"/>
          <w:highlight w:val="none"/>
          <w:lang w:val="en-US" w:eastAsia="zh-CN"/>
        </w:rPr>
        <w:t>5</w:t>
      </w:r>
      <w:r>
        <w:rPr>
          <w:rFonts w:hint="eastAsia" w:ascii="华文中宋" w:hAnsi="华文中宋" w:eastAsia="华文中宋" w:cs="Times New Roman"/>
          <w:color w:val="auto"/>
          <w:kern w:val="0"/>
          <w:highlight w:val="none"/>
        </w:rPr>
        <w:t>．开标报价一览表……………………………………………………………………………</w:t>
      </w:r>
    </w:p>
    <w:p w14:paraId="093D5AB0">
      <w:pPr>
        <w:pStyle w:val="17"/>
        <w:snapToGrid w:val="0"/>
        <w:spacing w:line="360" w:lineRule="auto"/>
        <w:rPr>
          <w:rFonts w:hint="eastAsia" w:ascii="华文中宋" w:hAnsi="华文中宋" w:eastAsia="华文中宋" w:cs="Times New Roman"/>
          <w:color w:val="auto"/>
          <w:kern w:val="0"/>
          <w:highlight w:val="none"/>
        </w:rPr>
      </w:pPr>
    </w:p>
    <w:p w14:paraId="59EFAB5A">
      <w:pPr>
        <w:pStyle w:val="17"/>
        <w:snapToGrid w:val="0"/>
        <w:spacing w:line="360" w:lineRule="auto"/>
        <w:rPr>
          <w:rFonts w:hint="eastAsia" w:ascii="华文中宋" w:hAnsi="华文中宋" w:eastAsia="华文中宋" w:cs="Times New Roman"/>
          <w:color w:val="auto"/>
          <w:kern w:val="0"/>
          <w:highlight w:val="none"/>
        </w:rPr>
      </w:pPr>
    </w:p>
    <w:p w14:paraId="773C679D">
      <w:pPr>
        <w:pStyle w:val="17"/>
        <w:snapToGrid w:val="0"/>
        <w:spacing w:line="360" w:lineRule="auto"/>
        <w:rPr>
          <w:rFonts w:hint="eastAsia" w:ascii="华文中宋" w:hAnsi="华文中宋" w:eastAsia="华文中宋" w:cs="Times New Roman"/>
          <w:color w:val="auto"/>
          <w:kern w:val="0"/>
          <w:highlight w:val="none"/>
        </w:rPr>
      </w:pPr>
    </w:p>
    <w:p w14:paraId="2A95E553">
      <w:pPr>
        <w:snapToGrid w:val="0"/>
        <w:ind w:left="420" w:hanging="420" w:hangingChars="200"/>
        <w:rPr>
          <w:rFonts w:ascii="华文中宋" w:hAnsi="华文中宋" w:eastAsia="华文中宋" w:cs="华文中宋"/>
          <w:b/>
          <w:color w:val="auto"/>
          <w:highlight w:val="none"/>
        </w:rPr>
      </w:pPr>
    </w:p>
    <w:p w14:paraId="585E2A6C">
      <w:pPr>
        <w:snapToGrid w:val="0"/>
        <w:ind w:left="420" w:hanging="420" w:hangingChars="200"/>
        <w:rPr>
          <w:rFonts w:ascii="华文中宋" w:hAnsi="华文中宋" w:eastAsia="华文中宋" w:cs="华文中宋"/>
          <w:b/>
          <w:color w:val="auto"/>
          <w:highlight w:val="none"/>
        </w:rPr>
      </w:pPr>
    </w:p>
    <w:p w14:paraId="5C0ADB5B">
      <w:pPr>
        <w:spacing w:line="480" w:lineRule="exact"/>
        <w:rPr>
          <w:rFonts w:ascii="华文中宋" w:hAnsi="华文中宋" w:eastAsia="华文中宋" w:cs="华文中宋"/>
          <w:b/>
          <w:color w:val="auto"/>
          <w:highlight w:val="none"/>
        </w:rPr>
      </w:pPr>
    </w:p>
    <w:p w14:paraId="78F554DF">
      <w:pPr>
        <w:spacing w:line="480" w:lineRule="exact"/>
        <w:rPr>
          <w:rFonts w:ascii="华文中宋" w:hAnsi="华文中宋" w:eastAsia="华文中宋" w:cs="华文中宋"/>
          <w:b/>
          <w:color w:val="auto"/>
          <w:highlight w:val="none"/>
        </w:rPr>
      </w:pPr>
    </w:p>
    <w:p w14:paraId="7B2DA76D">
      <w:pPr>
        <w:spacing w:line="480" w:lineRule="exact"/>
        <w:rPr>
          <w:rFonts w:ascii="华文中宋" w:hAnsi="华文中宋" w:eastAsia="华文中宋" w:cs="华文中宋"/>
          <w:b/>
          <w:color w:val="auto"/>
          <w:highlight w:val="none"/>
        </w:rPr>
      </w:pPr>
    </w:p>
    <w:p w14:paraId="34EBCCE9">
      <w:pPr>
        <w:spacing w:line="480" w:lineRule="exact"/>
        <w:rPr>
          <w:rFonts w:ascii="华文中宋" w:hAnsi="华文中宋" w:eastAsia="华文中宋" w:cs="华文中宋"/>
          <w:b/>
          <w:color w:val="auto"/>
          <w:highlight w:val="none"/>
        </w:rPr>
      </w:pPr>
    </w:p>
    <w:p w14:paraId="33244B0A">
      <w:pPr>
        <w:spacing w:line="480" w:lineRule="exact"/>
        <w:rPr>
          <w:rFonts w:ascii="华文中宋" w:hAnsi="华文中宋" w:eastAsia="华文中宋" w:cs="华文中宋"/>
          <w:b/>
          <w:color w:val="auto"/>
          <w:highlight w:val="none"/>
        </w:rPr>
      </w:pPr>
    </w:p>
    <w:p w14:paraId="60DAE160">
      <w:pPr>
        <w:spacing w:line="480" w:lineRule="exact"/>
        <w:rPr>
          <w:rFonts w:ascii="华文中宋" w:hAnsi="华文中宋" w:eastAsia="华文中宋" w:cs="华文中宋"/>
          <w:b/>
          <w:color w:val="auto"/>
          <w:highlight w:val="none"/>
        </w:rPr>
      </w:pPr>
    </w:p>
    <w:p w14:paraId="6249BC44">
      <w:pPr>
        <w:spacing w:line="480" w:lineRule="exact"/>
        <w:rPr>
          <w:rFonts w:ascii="华文中宋" w:hAnsi="华文中宋" w:eastAsia="华文中宋" w:cs="华文中宋"/>
          <w:b/>
          <w:color w:val="auto"/>
          <w:highlight w:val="none"/>
        </w:rPr>
      </w:pPr>
    </w:p>
    <w:p w14:paraId="703CD78C">
      <w:pPr>
        <w:spacing w:line="480" w:lineRule="exact"/>
        <w:rPr>
          <w:rFonts w:ascii="华文中宋" w:hAnsi="华文中宋" w:eastAsia="华文中宋" w:cs="华文中宋"/>
          <w:b/>
          <w:color w:val="auto"/>
          <w:highlight w:val="none"/>
        </w:rPr>
      </w:pPr>
    </w:p>
    <w:p w14:paraId="22AB4633">
      <w:pPr>
        <w:spacing w:line="480" w:lineRule="exact"/>
        <w:rPr>
          <w:rFonts w:ascii="华文中宋" w:hAnsi="华文中宋" w:eastAsia="华文中宋" w:cs="华文中宋"/>
          <w:b/>
          <w:color w:val="auto"/>
          <w:highlight w:val="none"/>
        </w:rPr>
      </w:pPr>
    </w:p>
    <w:p w14:paraId="0BC7D751">
      <w:pPr>
        <w:spacing w:line="480" w:lineRule="exact"/>
        <w:rPr>
          <w:rFonts w:ascii="华文中宋" w:hAnsi="华文中宋" w:eastAsia="华文中宋" w:cs="华文中宋"/>
          <w:b/>
          <w:color w:val="auto"/>
          <w:highlight w:val="none"/>
        </w:rPr>
      </w:pPr>
    </w:p>
    <w:p w14:paraId="11DC5622">
      <w:pPr>
        <w:spacing w:line="480" w:lineRule="exact"/>
        <w:rPr>
          <w:rFonts w:ascii="华文中宋" w:hAnsi="华文中宋" w:eastAsia="华文中宋" w:cs="华文中宋"/>
          <w:b/>
          <w:color w:val="auto"/>
          <w:highlight w:val="none"/>
        </w:rPr>
      </w:pPr>
    </w:p>
    <w:p w14:paraId="2392994D">
      <w:pPr>
        <w:spacing w:line="480" w:lineRule="exact"/>
        <w:rPr>
          <w:rFonts w:ascii="华文中宋" w:hAnsi="华文中宋" w:eastAsia="华文中宋" w:cs="华文中宋"/>
          <w:b/>
          <w:color w:val="auto"/>
          <w:highlight w:val="none"/>
        </w:rPr>
      </w:pPr>
    </w:p>
    <w:p w14:paraId="4D70AF21">
      <w:pPr>
        <w:spacing w:line="480" w:lineRule="exact"/>
        <w:rPr>
          <w:rFonts w:ascii="华文中宋" w:hAnsi="华文中宋" w:eastAsia="华文中宋" w:cs="华文中宋"/>
          <w:b/>
          <w:color w:val="auto"/>
          <w:highlight w:val="none"/>
        </w:rPr>
      </w:pPr>
    </w:p>
    <w:p w14:paraId="2CE38807">
      <w:pPr>
        <w:rPr>
          <w:color w:val="auto"/>
          <w:highlight w:val="none"/>
        </w:rPr>
      </w:pPr>
    </w:p>
    <w:p w14:paraId="792B9CF2">
      <w:pPr>
        <w:rPr>
          <w:rFonts w:hint="eastAsia" w:ascii="华文中宋" w:hAnsi="华文中宋" w:eastAsia="华文中宋"/>
          <w:b/>
          <w:color w:val="auto"/>
          <w:sz w:val="24"/>
          <w:highlight w:val="none"/>
        </w:rPr>
      </w:pPr>
      <w:bookmarkStart w:id="75" w:name="OLE_LINK14"/>
      <w:bookmarkStart w:id="76" w:name="OLE_LINK13"/>
      <w:r>
        <w:rPr>
          <w:rFonts w:hint="eastAsia" w:ascii="华文中宋" w:hAnsi="华文中宋" w:eastAsia="华文中宋"/>
          <w:b/>
          <w:color w:val="auto"/>
          <w:sz w:val="24"/>
          <w:highlight w:val="none"/>
        </w:rPr>
        <w:br w:type="page"/>
      </w:r>
    </w:p>
    <w:p w14:paraId="3623A3E8">
      <w:pPr>
        <w:spacing w:line="360" w:lineRule="auto"/>
        <w:rPr>
          <w:rFonts w:hint="eastAsia" w:ascii="华文中宋" w:hAnsi="华文中宋" w:eastAsia="华文中宋"/>
          <w:b/>
          <w:color w:val="auto"/>
          <w:sz w:val="24"/>
          <w:szCs w:val="24"/>
          <w:highlight w:val="none"/>
          <w:lang w:val="en-US" w:eastAsia="zh-CN"/>
        </w:rPr>
      </w:pPr>
      <w:r>
        <w:rPr>
          <w:rFonts w:hint="eastAsia" w:ascii="华文中宋" w:hAnsi="华文中宋" w:eastAsia="华文中宋"/>
          <w:b/>
          <w:color w:val="auto"/>
          <w:sz w:val="24"/>
          <w:highlight w:val="none"/>
        </w:rPr>
        <w:t>（一）</w:t>
      </w:r>
      <w:r>
        <w:rPr>
          <w:rFonts w:hint="eastAsia" w:ascii="华文中宋" w:hAnsi="华文中宋" w:eastAsia="华文中宋"/>
          <w:b/>
          <w:color w:val="auto"/>
          <w:sz w:val="24"/>
          <w:szCs w:val="24"/>
          <w:highlight w:val="none"/>
          <w:lang w:val="en-US" w:eastAsia="zh-CN"/>
        </w:rPr>
        <w:t>中小</w:t>
      </w:r>
      <w:r>
        <w:rPr>
          <w:rFonts w:hint="eastAsia" w:ascii="华文中宋" w:hAnsi="华文中宋" w:eastAsia="华文中宋"/>
          <w:b/>
          <w:color w:val="auto"/>
          <w:sz w:val="24"/>
          <w:szCs w:val="24"/>
          <w:highlight w:val="none"/>
        </w:rPr>
        <w:t>企业声明函格式</w:t>
      </w:r>
      <w:r>
        <w:rPr>
          <w:rFonts w:hint="eastAsia" w:ascii="华文中宋" w:hAnsi="华文中宋" w:eastAsia="华文中宋"/>
          <w:b/>
          <w:color w:val="auto"/>
          <w:sz w:val="24"/>
          <w:szCs w:val="24"/>
          <w:highlight w:val="none"/>
          <w:lang w:eastAsia="zh-CN"/>
        </w:rPr>
        <w:t>（</w:t>
      </w:r>
      <w:r>
        <w:rPr>
          <w:rFonts w:hint="eastAsia" w:ascii="华文中宋" w:hAnsi="华文中宋" w:eastAsia="华文中宋"/>
          <w:b/>
          <w:color w:val="auto"/>
          <w:sz w:val="24"/>
          <w:szCs w:val="24"/>
          <w:highlight w:val="none"/>
          <w:lang w:val="en-US" w:eastAsia="zh-CN"/>
        </w:rPr>
        <w:t>若有</w:t>
      </w:r>
      <w:r>
        <w:rPr>
          <w:rFonts w:hint="eastAsia" w:ascii="华文中宋" w:hAnsi="华文中宋" w:eastAsia="华文中宋"/>
          <w:b/>
          <w:color w:val="auto"/>
          <w:sz w:val="24"/>
          <w:szCs w:val="24"/>
          <w:highlight w:val="none"/>
          <w:lang w:eastAsia="zh-CN"/>
        </w:rPr>
        <w:t>）</w:t>
      </w:r>
    </w:p>
    <w:p w14:paraId="050E58EA">
      <w:pPr>
        <w:tabs>
          <w:tab w:val="left" w:pos="1680"/>
        </w:tabs>
        <w:snapToGrid w:val="0"/>
        <w:spacing w:line="360" w:lineRule="auto"/>
        <w:jc w:val="center"/>
        <w:rPr>
          <w:rFonts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lang w:val="en-US" w:eastAsia="zh-CN"/>
        </w:rPr>
        <w:t>中小</w:t>
      </w:r>
      <w:r>
        <w:rPr>
          <w:rFonts w:hint="eastAsia" w:ascii="华文中宋" w:hAnsi="华文中宋" w:eastAsia="华文中宋"/>
          <w:b/>
          <w:color w:val="auto"/>
          <w:sz w:val="24"/>
          <w:szCs w:val="24"/>
          <w:highlight w:val="none"/>
        </w:rPr>
        <w:t>企业声明函</w:t>
      </w:r>
    </w:p>
    <w:p w14:paraId="408E24C6">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本公司</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联合体</w:t>
      </w:r>
      <w:r>
        <w:rPr>
          <w:rFonts w:ascii="华文中宋" w:hAnsi="华文中宋" w:eastAsia="华文中宋"/>
          <w:color w:val="auto"/>
          <w:highlight w:val="none"/>
          <w:u w:val="single"/>
        </w:rPr>
        <w:t>)</w:t>
      </w:r>
      <w:r>
        <w:rPr>
          <w:rFonts w:hint="eastAsia" w:ascii="华文中宋" w:hAnsi="华文中宋" w:eastAsia="华文中宋"/>
          <w:color w:val="auto"/>
          <w:highlight w:val="none"/>
        </w:rPr>
        <w:t>郑重声明</w:t>
      </w:r>
      <w:r>
        <w:rPr>
          <w:rFonts w:ascii="华文中宋" w:hAnsi="华文中宋" w:eastAsia="华文中宋"/>
          <w:color w:val="auto"/>
          <w:highlight w:val="none"/>
        </w:rPr>
        <w:t>,</w:t>
      </w:r>
      <w:r>
        <w:rPr>
          <w:rFonts w:hint="eastAsia" w:ascii="华文中宋" w:hAnsi="华文中宋" w:eastAsia="华文中宋"/>
          <w:color w:val="auto"/>
          <w:highlight w:val="none"/>
        </w:rPr>
        <w:t>根据《政府采购促进中小企业发展管理办法》</w:t>
      </w:r>
      <w:r>
        <w:rPr>
          <w:rFonts w:ascii="华文中宋" w:hAnsi="华文中宋" w:eastAsia="华文中宋"/>
          <w:color w:val="auto"/>
          <w:highlight w:val="none"/>
        </w:rPr>
        <w:t>(</w:t>
      </w:r>
      <w:r>
        <w:rPr>
          <w:rFonts w:hint="eastAsia" w:ascii="华文中宋" w:hAnsi="华文中宋" w:eastAsia="华文中宋"/>
          <w:color w:val="auto"/>
          <w:highlight w:val="none"/>
        </w:rPr>
        <w:t>财库</w:t>
      </w:r>
      <w:r>
        <w:rPr>
          <w:rFonts w:ascii="华文中宋" w:hAnsi="华文中宋" w:eastAsia="华文中宋"/>
          <w:color w:val="auto"/>
          <w:highlight w:val="none"/>
        </w:rPr>
        <w:t xml:space="preserve">(2020 ) 46 </w:t>
      </w:r>
      <w:r>
        <w:rPr>
          <w:rFonts w:hint="eastAsia" w:ascii="华文中宋" w:hAnsi="华文中宋" w:eastAsia="华文中宋"/>
          <w:color w:val="auto"/>
          <w:highlight w:val="none"/>
        </w:rPr>
        <w:t>号</w:t>
      </w:r>
      <w:r>
        <w:rPr>
          <w:rFonts w:ascii="华文中宋" w:hAnsi="华文中宋" w:eastAsia="华文中宋"/>
          <w:color w:val="auto"/>
          <w:highlight w:val="none"/>
        </w:rPr>
        <w:t>)</w:t>
      </w:r>
      <w:r>
        <w:rPr>
          <w:rFonts w:hint="eastAsia" w:ascii="华文中宋" w:hAnsi="华文中宋" w:eastAsia="华文中宋"/>
          <w:color w:val="auto"/>
          <w:highlight w:val="none"/>
        </w:rPr>
        <w:t>的规定</w:t>
      </w:r>
      <w:r>
        <w:rPr>
          <w:rFonts w:ascii="华文中宋" w:hAnsi="华文中宋" w:eastAsia="华文中宋"/>
          <w:color w:val="auto"/>
          <w:highlight w:val="none"/>
        </w:rPr>
        <w:t>,</w:t>
      </w:r>
      <w:r>
        <w:rPr>
          <w:rFonts w:hint="eastAsia" w:ascii="华文中宋" w:hAnsi="华文中宋" w:eastAsia="华文中宋"/>
          <w:color w:val="auto"/>
          <w:highlight w:val="none"/>
        </w:rPr>
        <w:t>本公司</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联合体</w:t>
      </w:r>
      <w:r>
        <w:rPr>
          <w:rFonts w:ascii="华文中宋" w:hAnsi="华文中宋" w:eastAsia="华文中宋"/>
          <w:color w:val="auto"/>
          <w:highlight w:val="none"/>
          <w:u w:val="single"/>
        </w:rPr>
        <w:t>)</w:t>
      </w:r>
      <w:r>
        <w:rPr>
          <w:rFonts w:hint="eastAsia" w:ascii="华文中宋" w:hAnsi="华文中宋" w:eastAsia="华文中宋"/>
          <w:color w:val="auto"/>
          <w:highlight w:val="none"/>
        </w:rPr>
        <w:t>参加</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单位名称</w:t>
      </w:r>
      <w:r>
        <w:rPr>
          <w:rFonts w:ascii="华文中宋" w:hAnsi="华文中宋" w:eastAsia="华文中宋"/>
          <w:color w:val="auto"/>
          <w:highlight w:val="none"/>
          <w:u w:val="single"/>
        </w:rPr>
        <w:t>)</w:t>
      </w:r>
      <w:r>
        <w:rPr>
          <w:rFonts w:hint="eastAsia" w:ascii="华文中宋" w:hAnsi="华文中宋" w:eastAsia="华文中宋"/>
          <w:color w:val="auto"/>
          <w:highlight w:val="none"/>
        </w:rPr>
        <w:t>的</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项目名称</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（包号）</w:t>
      </w:r>
      <w:r>
        <w:rPr>
          <w:rFonts w:hint="eastAsia" w:ascii="华文中宋" w:hAnsi="华文中宋" w:eastAsia="华文中宋"/>
          <w:color w:val="auto"/>
          <w:highlight w:val="none"/>
        </w:rPr>
        <w:t>采购活动</w:t>
      </w:r>
      <w:r>
        <w:rPr>
          <w:rFonts w:ascii="华文中宋" w:hAnsi="华文中宋" w:eastAsia="华文中宋"/>
          <w:color w:val="auto"/>
          <w:highlight w:val="none"/>
        </w:rPr>
        <w:t>,</w:t>
      </w:r>
      <w:r>
        <w:rPr>
          <w:rFonts w:hint="eastAsia" w:ascii="华文中宋" w:hAnsi="华文中宋" w:eastAsia="华文中宋"/>
          <w:color w:val="auto"/>
          <w:highlight w:val="none"/>
        </w:rPr>
        <w:t>提供的货物全部由符合政策要求的</w:t>
      </w:r>
      <w:r>
        <w:rPr>
          <w:rFonts w:hint="eastAsia" w:ascii="华文中宋" w:hAnsi="华文中宋" w:eastAsia="华文中宋"/>
          <w:color w:val="auto"/>
          <w:highlight w:val="none"/>
          <w:lang w:eastAsia="zh-CN"/>
        </w:rPr>
        <w:t>中小</w:t>
      </w:r>
      <w:r>
        <w:rPr>
          <w:rFonts w:hint="eastAsia" w:ascii="华文中宋" w:hAnsi="华文中宋" w:eastAsia="华文中宋"/>
          <w:color w:val="auto"/>
          <w:highlight w:val="none"/>
        </w:rPr>
        <w:t>企业制造。相关企业</w:t>
      </w:r>
      <w:r>
        <w:rPr>
          <w:rFonts w:ascii="华文中宋" w:hAnsi="华文中宋" w:eastAsia="华文中宋"/>
          <w:color w:val="auto"/>
          <w:highlight w:val="none"/>
        </w:rPr>
        <w:t>(</w:t>
      </w:r>
      <w:r>
        <w:rPr>
          <w:rFonts w:hint="eastAsia" w:ascii="华文中宋" w:hAnsi="华文中宋" w:eastAsia="华文中宋"/>
          <w:color w:val="auto"/>
          <w:highlight w:val="none"/>
        </w:rPr>
        <w:t>含联合体中的</w:t>
      </w:r>
      <w:r>
        <w:rPr>
          <w:rFonts w:hint="eastAsia" w:ascii="华文中宋" w:hAnsi="华文中宋" w:eastAsia="华文中宋"/>
          <w:color w:val="auto"/>
          <w:highlight w:val="none"/>
          <w:lang w:eastAsia="zh-CN"/>
        </w:rPr>
        <w:t>中小</w:t>
      </w:r>
      <w:r>
        <w:rPr>
          <w:rFonts w:hint="eastAsia" w:ascii="华文中宋" w:hAnsi="华文中宋" w:eastAsia="华文中宋"/>
          <w:color w:val="auto"/>
          <w:highlight w:val="none"/>
        </w:rPr>
        <w:t>企业、签订分包意向协议的</w:t>
      </w:r>
      <w:r>
        <w:rPr>
          <w:rFonts w:hint="eastAsia" w:ascii="华文中宋" w:hAnsi="华文中宋" w:eastAsia="华文中宋"/>
          <w:color w:val="auto"/>
          <w:highlight w:val="none"/>
          <w:lang w:eastAsia="zh-CN"/>
        </w:rPr>
        <w:t>中小</w:t>
      </w:r>
      <w:r>
        <w:rPr>
          <w:rFonts w:hint="eastAsia" w:ascii="华文中宋" w:hAnsi="华文中宋" w:eastAsia="华文中宋"/>
          <w:color w:val="auto"/>
          <w:highlight w:val="none"/>
        </w:rPr>
        <w:t>企业</w:t>
      </w:r>
      <w:r>
        <w:rPr>
          <w:rFonts w:ascii="华文中宋" w:hAnsi="华文中宋" w:eastAsia="华文中宋"/>
          <w:color w:val="auto"/>
          <w:highlight w:val="none"/>
        </w:rPr>
        <w:t>)</w:t>
      </w:r>
      <w:r>
        <w:rPr>
          <w:rFonts w:hint="eastAsia" w:ascii="华文中宋" w:hAnsi="华文中宋" w:eastAsia="华文中宋"/>
          <w:color w:val="auto"/>
          <w:highlight w:val="none"/>
        </w:rPr>
        <w:t>的具体情况如下</w:t>
      </w:r>
      <w:r>
        <w:rPr>
          <w:rFonts w:ascii="华文中宋" w:hAnsi="华文中宋" w:eastAsia="华文中宋"/>
          <w:color w:val="auto"/>
          <w:highlight w:val="none"/>
        </w:rPr>
        <w:t>:</w:t>
      </w:r>
    </w:p>
    <w:p w14:paraId="550BF7AC">
      <w:pPr>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1.</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标的名称</w:t>
      </w:r>
      <w:r>
        <w:rPr>
          <w:rFonts w:ascii="华文中宋" w:hAnsi="华文中宋" w:eastAsia="华文中宋"/>
          <w:color w:val="auto"/>
          <w:highlight w:val="none"/>
          <w:u w:val="single"/>
        </w:rPr>
        <w:t>)</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hint="eastAsia" w:ascii="华文中宋" w:hAnsi="华文中宋" w:eastAsia="华文中宋"/>
          <w:color w:val="auto"/>
          <w:highlight w:val="none"/>
          <w:u w:val="single"/>
        </w:rPr>
        <w:t>（所属行业）</w:t>
      </w:r>
      <w:r>
        <w:rPr>
          <w:rFonts w:hint="eastAsia" w:ascii="华文中宋" w:hAnsi="华文中宋" w:eastAsia="华文中宋"/>
          <w:color w:val="auto"/>
          <w:highlight w:val="none"/>
        </w:rPr>
        <w:t>；制造商为（</w:t>
      </w:r>
      <w:r>
        <w:rPr>
          <w:rFonts w:hint="eastAsia" w:ascii="华文中宋" w:hAnsi="华文中宋" w:eastAsia="华文中宋"/>
          <w:color w:val="auto"/>
          <w:highlight w:val="none"/>
          <w:u w:val="single"/>
        </w:rPr>
        <w:t>企业名称</w:t>
      </w:r>
      <w:r>
        <w:rPr>
          <w:rFonts w:hint="eastAsia" w:ascii="华文中宋" w:hAnsi="华文中宋" w:eastAsia="华文中宋"/>
          <w:color w:val="auto"/>
          <w:highlight w:val="none"/>
        </w:rPr>
        <w:t>），从业人员（</w:t>
      </w:r>
      <w:r>
        <w:rPr>
          <w:rFonts w:hint="eastAsia" w:ascii="华文中宋" w:hAnsi="华文中宋" w:eastAsia="华文中宋"/>
          <w:color w:val="auto"/>
          <w:highlight w:val="none"/>
          <w:u w:val="single"/>
        </w:rPr>
        <w:t>人数</w:t>
      </w:r>
      <w:r>
        <w:rPr>
          <w:rFonts w:hint="eastAsia" w:ascii="华文中宋" w:hAnsi="华文中宋" w:eastAsia="华文中宋"/>
          <w:color w:val="auto"/>
          <w:highlight w:val="none"/>
        </w:rPr>
        <w:t>）人</w:t>
      </w:r>
      <w:r>
        <w:rPr>
          <w:rFonts w:ascii="华文中宋" w:hAnsi="华文中宋" w:eastAsia="华文中宋"/>
          <w:color w:val="auto"/>
          <w:highlight w:val="none"/>
        </w:rPr>
        <w:t>,</w:t>
      </w:r>
      <w:r>
        <w:rPr>
          <w:rFonts w:hint="eastAsia" w:ascii="华文中宋" w:hAnsi="华文中宋" w:eastAsia="华文中宋"/>
          <w:color w:val="auto"/>
          <w:highlight w:val="none"/>
        </w:rPr>
        <w:t>营业收入为（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资产总额为（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ascii="华文中宋" w:hAnsi="华文中宋" w:eastAsia="华文中宋"/>
          <w:color w:val="auto"/>
          <w:highlight w:val="none"/>
        </w:rPr>
        <w:t>(</w:t>
      </w:r>
      <w:r>
        <w:rPr>
          <w:rFonts w:hint="eastAsia" w:ascii="华文中宋" w:hAnsi="华文中宋" w:eastAsia="华文中宋"/>
          <w:color w:val="auto"/>
          <w:highlight w:val="none"/>
          <w:u w:val="single"/>
          <w:lang w:val="en-US" w:eastAsia="zh-CN"/>
        </w:rPr>
        <w:t>中型企业、</w:t>
      </w:r>
      <w:r>
        <w:rPr>
          <w:rFonts w:hint="eastAsia" w:ascii="华文中宋" w:hAnsi="华文中宋" w:eastAsia="华文中宋"/>
          <w:color w:val="auto"/>
          <w:highlight w:val="none"/>
          <w:u w:val="single"/>
        </w:rPr>
        <w:t>小型企业、微型企业</w:t>
      </w:r>
      <w:r>
        <w:rPr>
          <w:rFonts w:ascii="华文中宋" w:hAnsi="华文中宋" w:eastAsia="华文中宋"/>
          <w:color w:val="auto"/>
          <w:highlight w:val="none"/>
        </w:rPr>
        <w:t>);</w:t>
      </w:r>
    </w:p>
    <w:p w14:paraId="22C5D236">
      <w:pPr>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2.</w:t>
      </w:r>
      <w:r>
        <w:rPr>
          <w:rFonts w:ascii="华文中宋" w:hAnsi="华文中宋" w:eastAsia="华文中宋"/>
          <w:color w:val="auto"/>
          <w:highlight w:val="none"/>
          <w:u w:val="single"/>
        </w:rPr>
        <w:t>(</w:t>
      </w:r>
      <w:r>
        <w:rPr>
          <w:rFonts w:hint="eastAsia" w:ascii="华文中宋" w:hAnsi="华文中宋" w:eastAsia="华文中宋"/>
          <w:color w:val="auto"/>
          <w:highlight w:val="none"/>
          <w:u w:val="single"/>
        </w:rPr>
        <w:t>标的名称</w:t>
      </w:r>
      <w:r>
        <w:rPr>
          <w:rFonts w:ascii="华文中宋" w:hAnsi="华文中宋" w:eastAsia="华文中宋"/>
          <w:color w:val="auto"/>
          <w:highlight w:val="none"/>
          <w:u w:val="single"/>
        </w:rPr>
        <w:t>)</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hint="eastAsia" w:ascii="华文中宋" w:hAnsi="华文中宋" w:eastAsia="华文中宋"/>
          <w:color w:val="auto"/>
          <w:highlight w:val="none"/>
          <w:u w:val="single"/>
        </w:rPr>
        <w:t>（所属行业）</w:t>
      </w:r>
      <w:r>
        <w:rPr>
          <w:rFonts w:hint="eastAsia" w:ascii="华文中宋" w:hAnsi="华文中宋" w:eastAsia="华文中宋"/>
          <w:color w:val="auto"/>
          <w:highlight w:val="none"/>
        </w:rPr>
        <w:t>；制造商为（</w:t>
      </w:r>
      <w:r>
        <w:rPr>
          <w:rFonts w:hint="eastAsia" w:ascii="华文中宋" w:hAnsi="华文中宋" w:eastAsia="华文中宋"/>
          <w:color w:val="auto"/>
          <w:highlight w:val="none"/>
          <w:u w:val="single"/>
        </w:rPr>
        <w:t>企业名称</w:t>
      </w:r>
      <w:r>
        <w:rPr>
          <w:rFonts w:hint="eastAsia" w:ascii="华文中宋" w:hAnsi="华文中宋" w:eastAsia="华文中宋"/>
          <w:color w:val="auto"/>
          <w:highlight w:val="none"/>
        </w:rPr>
        <w:t>），从业人员（</w:t>
      </w:r>
      <w:r>
        <w:rPr>
          <w:rFonts w:hint="eastAsia" w:ascii="华文中宋" w:hAnsi="华文中宋" w:eastAsia="华文中宋"/>
          <w:color w:val="auto"/>
          <w:highlight w:val="none"/>
          <w:u w:val="single"/>
        </w:rPr>
        <w:t>人数</w:t>
      </w:r>
      <w:r>
        <w:rPr>
          <w:rFonts w:hint="eastAsia" w:ascii="华文中宋" w:hAnsi="华文中宋" w:eastAsia="华文中宋"/>
          <w:color w:val="auto"/>
          <w:highlight w:val="none"/>
        </w:rPr>
        <w:t>）人</w:t>
      </w:r>
      <w:r>
        <w:rPr>
          <w:rFonts w:ascii="华文中宋" w:hAnsi="华文中宋" w:eastAsia="华文中宋"/>
          <w:color w:val="auto"/>
          <w:highlight w:val="none"/>
        </w:rPr>
        <w:t>,</w:t>
      </w:r>
      <w:r>
        <w:rPr>
          <w:rFonts w:hint="eastAsia" w:ascii="华文中宋" w:hAnsi="华文中宋" w:eastAsia="华文中宋"/>
          <w:color w:val="auto"/>
          <w:highlight w:val="none"/>
        </w:rPr>
        <w:t>营业收入为（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资产总额为（</w:t>
      </w:r>
      <w:r>
        <w:rPr>
          <w:rFonts w:hint="eastAsia" w:ascii="华文中宋" w:hAnsi="华文中宋" w:eastAsia="华文中宋"/>
          <w:color w:val="auto"/>
          <w:highlight w:val="none"/>
          <w:u w:val="single"/>
        </w:rPr>
        <w:t>小写</w:t>
      </w:r>
      <w:r>
        <w:rPr>
          <w:rFonts w:hint="eastAsia" w:ascii="华文中宋" w:hAnsi="华文中宋" w:eastAsia="华文中宋"/>
          <w:color w:val="auto"/>
          <w:highlight w:val="none"/>
        </w:rPr>
        <w:t>）万元</w:t>
      </w:r>
      <w:r>
        <w:rPr>
          <w:rFonts w:ascii="华文中宋" w:hAnsi="华文中宋" w:eastAsia="华文中宋"/>
          <w:color w:val="auto"/>
          <w:highlight w:val="none"/>
        </w:rPr>
        <w:t>,</w:t>
      </w:r>
      <w:r>
        <w:rPr>
          <w:rFonts w:hint="eastAsia" w:ascii="华文中宋" w:hAnsi="华文中宋" w:eastAsia="华文中宋"/>
          <w:color w:val="auto"/>
          <w:highlight w:val="none"/>
        </w:rPr>
        <w:t>属于</w:t>
      </w:r>
      <w:r>
        <w:rPr>
          <w:rFonts w:ascii="华文中宋" w:hAnsi="华文中宋" w:eastAsia="华文中宋"/>
          <w:color w:val="auto"/>
          <w:highlight w:val="none"/>
        </w:rPr>
        <w:t>(</w:t>
      </w:r>
      <w:r>
        <w:rPr>
          <w:rFonts w:hint="eastAsia" w:ascii="华文中宋" w:hAnsi="华文中宋" w:eastAsia="华文中宋"/>
          <w:color w:val="auto"/>
          <w:highlight w:val="none"/>
          <w:u w:val="single"/>
          <w:lang w:val="en-US" w:eastAsia="zh-CN"/>
        </w:rPr>
        <w:t>中型企业、</w:t>
      </w:r>
      <w:r>
        <w:rPr>
          <w:rFonts w:hint="eastAsia" w:ascii="华文中宋" w:hAnsi="华文中宋" w:eastAsia="华文中宋"/>
          <w:color w:val="auto"/>
          <w:highlight w:val="none"/>
          <w:u w:val="single"/>
        </w:rPr>
        <w:t>小型企业、微型企业</w:t>
      </w:r>
      <w:r>
        <w:rPr>
          <w:rFonts w:ascii="华文中宋" w:hAnsi="华文中宋" w:eastAsia="华文中宋"/>
          <w:color w:val="auto"/>
          <w:highlight w:val="none"/>
        </w:rPr>
        <w:t>);</w:t>
      </w:r>
    </w:p>
    <w:p w14:paraId="43DBB12E">
      <w:pPr>
        <w:spacing w:line="360" w:lineRule="auto"/>
        <w:ind w:firstLine="420" w:firstLineChars="200"/>
        <w:rPr>
          <w:rFonts w:ascii="华文中宋" w:hAnsi="华文中宋" w:eastAsia="华文中宋"/>
          <w:color w:val="auto"/>
          <w:highlight w:val="none"/>
        </w:rPr>
      </w:pPr>
      <w:r>
        <w:rPr>
          <w:rFonts w:ascii="华文中宋" w:hAnsi="华文中宋" w:eastAsia="华文中宋"/>
          <w:color w:val="auto"/>
          <w:highlight w:val="none"/>
        </w:rPr>
        <w:t>3.</w:t>
      </w:r>
      <w:r>
        <w:rPr>
          <w:rFonts w:hint="eastAsia" w:ascii="华文中宋" w:hAnsi="华文中宋" w:eastAsia="华文中宋"/>
          <w:color w:val="auto"/>
          <w:highlight w:val="none"/>
        </w:rPr>
        <w:t>…………</w:t>
      </w:r>
    </w:p>
    <w:p w14:paraId="5C1A4232">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以上企业，不属于大企业的分支机构，不存在控股股东为大企业的情形，也不存在与大企业的负责人为同一人的情形。</w:t>
      </w:r>
    </w:p>
    <w:p w14:paraId="728F25A4">
      <w:pPr>
        <w:spacing w:line="360" w:lineRule="auto"/>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本企业对上述声明内容的真实性负责。如有虚假</w:t>
      </w:r>
      <w:r>
        <w:rPr>
          <w:rFonts w:ascii="华文中宋" w:hAnsi="华文中宋" w:eastAsia="华文中宋"/>
          <w:color w:val="auto"/>
          <w:highlight w:val="none"/>
        </w:rPr>
        <w:t>,</w:t>
      </w:r>
      <w:r>
        <w:rPr>
          <w:rFonts w:hint="eastAsia" w:ascii="华文中宋" w:hAnsi="华文中宋" w:eastAsia="华文中宋"/>
          <w:color w:val="auto"/>
          <w:highlight w:val="none"/>
        </w:rPr>
        <w:t>将依法承担相应责任。</w:t>
      </w:r>
    </w:p>
    <w:p w14:paraId="4B06F83D">
      <w:pPr>
        <w:spacing w:line="360" w:lineRule="auto"/>
        <w:ind w:right="210"/>
        <w:jc w:val="right"/>
        <w:rPr>
          <w:rFonts w:ascii="华文中宋" w:hAnsi="华文中宋" w:eastAsia="华文中宋"/>
          <w:color w:val="auto"/>
          <w:highlight w:val="none"/>
        </w:rPr>
      </w:pPr>
      <w:r>
        <w:rPr>
          <w:rFonts w:hint="eastAsia" w:ascii="华文中宋" w:hAnsi="华文中宋" w:eastAsia="华文中宋"/>
          <w:color w:val="auto"/>
          <w:szCs w:val="21"/>
          <w:highlight w:val="none"/>
        </w:rPr>
        <w:t>投标人</w:t>
      </w:r>
      <w:r>
        <w:rPr>
          <w:rFonts w:ascii="华文中宋" w:hAnsi="华文中宋" w:eastAsia="华文中宋"/>
          <w:color w:val="auto"/>
          <w:highlight w:val="none"/>
        </w:rPr>
        <w:t>(</w:t>
      </w:r>
      <w:r>
        <w:rPr>
          <w:rFonts w:hint="eastAsia" w:ascii="华文中宋" w:hAnsi="华文中宋" w:eastAsia="华文中宋"/>
          <w:color w:val="auto"/>
          <w:highlight w:val="none"/>
          <w:lang w:eastAsia="zh-CN"/>
        </w:rPr>
        <w:t>企业电子公章</w:t>
      </w:r>
      <w:r>
        <w:rPr>
          <w:rFonts w:ascii="华文中宋" w:hAnsi="华文中宋" w:eastAsia="华文中宋"/>
          <w:color w:val="auto"/>
          <w:highlight w:val="none"/>
        </w:rPr>
        <w:t>)</w:t>
      </w:r>
      <w:r>
        <w:rPr>
          <w:rFonts w:hint="eastAsia" w:ascii="华文中宋" w:hAnsi="华文中宋" w:eastAsia="华文中宋"/>
          <w:color w:val="auto"/>
          <w:highlight w:val="none"/>
        </w:rPr>
        <w:t>：</w:t>
      </w:r>
    </w:p>
    <w:p w14:paraId="78B05204">
      <w:pPr>
        <w:spacing w:line="360" w:lineRule="auto"/>
        <w:ind w:right="420" w:firstLine="7140" w:firstLineChars="3400"/>
        <w:rPr>
          <w:rFonts w:ascii="华文中宋" w:hAnsi="华文中宋" w:eastAsia="华文中宋"/>
          <w:color w:val="auto"/>
          <w:highlight w:val="none"/>
        </w:rPr>
      </w:pPr>
      <w:r>
        <w:rPr>
          <w:rFonts w:hint="eastAsia" w:ascii="华文中宋" w:hAnsi="华文中宋" w:eastAsia="华文中宋"/>
          <w:color w:val="auto"/>
          <w:highlight w:val="none"/>
        </w:rPr>
        <w:t>日期</w:t>
      </w:r>
      <w:r>
        <w:rPr>
          <w:rFonts w:ascii="华文中宋" w:hAnsi="华文中宋" w:eastAsia="华文中宋"/>
          <w:color w:val="auto"/>
          <w:highlight w:val="none"/>
        </w:rPr>
        <w:t>:</w:t>
      </w:r>
    </w:p>
    <w:p w14:paraId="2DE45E48">
      <w:pPr>
        <w:spacing w:line="360" w:lineRule="auto"/>
        <w:jc w:val="left"/>
        <w:rPr>
          <w:rFonts w:hint="eastAsia" w:ascii="华文中宋" w:hAnsi="华文中宋" w:eastAsia="华文中宋"/>
          <w:color w:val="auto"/>
          <w:highlight w:val="none"/>
        </w:rPr>
      </w:pPr>
      <w:r>
        <w:rPr>
          <w:rFonts w:hint="eastAsia" w:ascii="华文中宋" w:hAnsi="华文中宋" w:eastAsia="华文中宋"/>
          <w:color w:val="auto"/>
          <w:highlight w:val="none"/>
        </w:rPr>
        <w:t>注：从业人员、营业收入、资产总额填报上一年度数据</w:t>
      </w:r>
      <w:r>
        <w:rPr>
          <w:rFonts w:ascii="华文中宋" w:hAnsi="华文中宋" w:eastAsia="华文中宋"/>
          <w:color w:val="auto"/>
          <w:highlight w:val="none"/>
        </w:rPr>
        <w:t>,</w:t>
      </w:r>
      <w:r>
        <w:rPr>
          <w:rFonts w:hint="eastAsia" w:ascii="华文中宋" w:hAnsi="华文中宋" w:eastAsia="华文中宋"/>
          <w:color w:val="auto"/>
          <w:highlight w:val="none"/>
        </w:rPr>
        <w:t>无一年度数据的新成立企业可不填报。</w:t>
      </w:r>
    </w:p>
    <w:p w14:paraId="0E406F41">
      <w:pPr>
        <w:spacing w:line="360" w:lineRule="auto"/>
        <w:ind w:firstLine="420" w:firstLineChars="200"/>
        <w:jc w:val="left"/>
        <w:rPr>
          <w:rFonts w:hint="eastAsia" w:eastAsia="宋体"/>
          <w:color w:val="auto"/>
          <w:sz w:val="24"/>
          <w:highlight w:val="none"/>
          <w:lang w:val="en-US" w:eastAsia="zh-CN"/>
        </w:rPr>
      </w:pPr>
      <w:r>
        <w:rPr>
          <w:rFonts w:hint="eastAsia" w:ascii="华文中宋" w:hAnsi="华文中宋" w:eastAsia="华文中宋"/>
          <w:color w:val="auto"/>
          <w:highlight w:val="none"/>
        </w:rPr>
        <w:t>按照</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关于印发中小企业划型标准规定的通知</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工信部联企业[2011]300号</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中小企业划型标准规定：</w:t>
      </w:r>
      <w:r>
        <w:rPr>
          <w:rFonts w:hint="eastAsia" w:ascii="华文中宋" w:hAnsi="华文中宋" w:eastAsia="华文中宋"/>
          <w:b/>
          <w:bCs/>
          <w:color w:val="auto"/>
          <w:highlight w:val="none"/>
          <w:lang w:val="en-US" w:eastAsia="zh-CN"/>
        </w:rPr>
        <w:t>本项目所属行业为软件和信息技术服务业。</w:t>
      </w:r>
    </w:p>
    <w:p w14:paraId="24603A18">
      <w:pPr>
        <w:spacing w:line="360" w:lineRule="auto"/>
        <w:jc w:val="left"/>
        <w:rPr>
          <w:rFonts w:hint="eastAsia" w:ascii="华文中宋" w:hAnsi="华文中宋" w:eastAsia="华文中宋" w:cs="华文中宋"/>
          <w:b/>
          <w:color w:val="auto"/>
          <w:spacing w:val="6"/>
          <w:sz w:val="24"/>
          <w:highlight w:val="none"/>
        </w:rPr>
      </w:pPr>
    </w:p>
    <w:p w14:paraId="37123E33">
      <w:pPr>
        <w:pStyle w:val="16"/>
        <w:rPr>
          <w:rFonts w:hint="eastAsia" w:ascii="华文中宋" w:hAnsi="华文中宋" w:eastAsia="华文中宋" w:cs="华文中宋"/>
          <w:b/>
          <w:color w:val="auto"/>
          <w:spacing w:val="6"/>
          <w:sz w:val="24"/>
          <w:highlight w:val="none"/>
        </w:rPr>
      </w:pPr>
    </w:p>
    <w:p w14:paraId="57F0FD3C">
      <w:pPr>
        <w:rPr>
          <w:rFonts w:hint="eastAsia"/>
          <w:color w:val="auto"/>
          <w:highlight w:val="none"/>
        </w:rPr>
      </w:pPr>
    </w:p>
    <w:p w14:paraId="7922C0B6">
      <w:pPr>
        <w:spacing w:line="360" w:lineRule="auto"/>
        <w:jc w:val="left"/>
        <w:rPr>
          <w:rFonts w:hint="eastAsia" w:ascii="华文中宋" w:hAnsi="华文中宋" w:eastAsia="华文中宋" w:cs="华文中宋"/>
          <w:b/>
          <w:color w:val="auto"/>
          <w:spacing w:val="6"/>
          <w:sz w:val="24"/>
          <w:highlight w:val="none"/>
          <w:lang w:eastAsia="zh-CN"/>
        </w:rPr>
      </w:pPr>
      <w:r>
        <w:rPr>
          <w:rFonts w:hint="eastAsia" w:ascii="华文中宋" w:hAnsi="华文中宋" w:eastAsia="华文中宋" w:cs="华文中宋"/>
          <w:b/>
          <w:color w:val="auto"/>
          <w:spacing w:val="6"/>
          <w:sz w:val="24"/>
          <w:highlight w:val="none"/>
        </w:rPr>
        <w:t>残疾人福利性单位声明函</w:t>
      </w:r>
      <w:r>
        <w:rPr>
          <w:rFonts w:hint="eastAsia" w:ascii="华文中宋" w:hAnsi="华文中宋" w:eastAsia="华文中宋" w:cs="华文中宋"/>
          <w:b/>
          <w:color w:val="auto"/>
          <w:sz w:val="24"/>
          <w:highlight w:val="none"/>
        </w:rPr>
        <w:t>格式</w:t>
      </w:r>
      <w:bookmarkEnd w:id="75"/>
      <w:bookmarkEnd w:id="76"/>
      <w:r>
        <w:rPr>
          <w:rFonts w:hint="eastAsia" w:ascii="华文中宋" w:hAnsi="华文中宋" w:eastAsia="华文中宋" w:cs="华文中宋"/>
          <w:b/>
          <w:color w:val="auto"/>
          <w:sz w:val="24"/>
          <w:highlight w:val="none"/>
          <w:lang w:eastAsia="zh-CN"/>
        </w:rPr>
        <w:t>（</w:t>
      </w:r>
      <w:r>
        <w:rPr>
          <w:rFonts w:hint="eastAsia" w:ascii="华文中宋" w:hAnsi="华文中宋" w:eastAsia="华文中宋" w:cs="华文中宋"/>
          <w:b/>
          <w:color w:val="auto"/>
          <w:sz w:val="24"/>
          <w:highlight w:val="none"/>
          <w:lang w:val="en-US" w:eastAsia="zh-CN"/>
        </w:rPr>
        <w:t>若有</w:t>
      </w:r>
      <w:r>
        <w:rPr>
          <w:rFonts w:hint="eastAsia" w:ascii="华文中宋" w:hAnsi="华文中宋" w:eastAsia="华文中宋" w:cs="华文中宋"/>
          <w:b/>
          <w:color w:val="auto"/>
          <w:sz w:val="24"/>
          <w:highlight w:val="none"/>
          <w:lang w:eastAsia="zh-CN"/>
        </w:rPr>
        <w:t>）</w:t>
      </w:r>
    </w:p>
    <w:p w14:paraId="105A1A81">
      <w:pPr>
        <w:spacing w:line="360" w:lineRule="auto"/>
        <w:jc w:val="center"/>
        <w:rPr>
          <w:rFonts w:ascii="华文中宋" w:hAnsi="华文中宋" w:eastAsia="华文中宋" w:cs="华文中宋"/>
          <w:b/>
          <w:color w:val="auto"/>
          <w:sz w:val="24"/>
          <w:highlight w:val="none"/>
        </w:rPr>
      </w:pPr>
      <w:r>
        <w:rPr>
          <w:rFonts w:hint="eastAsia" w:ascii="华文中宋" w:hAnsi="华文中宋" w:eastAsia="华文中宋" w:cs="华文中宋"/>
          <w:b/>
          <w:color w:val="auto"/>
          <w:spacing w:val="6"/>
          <w:sz w:val="24"/>
          <w:highlight w:val="none"/>
        </w:rPr>
        <w:t>残疾人福利性单位声明函</w:t>
      </w:r>
    </w:p>
    <w:p w14:paraId="3DA1B299">
      <w:pPr>
        <w:spacing w:line="360" w:lineRule="auto"/>
        <w:ind w:firstLine="444" w:firstLineChars="200"/>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本单位郑重声明，根据《财政部民政部中国残疾人联合会关于促进残疾人就业政府采购政策的通知》（财库</w:t>
      </w:r>
      <w:r>
        <w:rPr>
          <w:rFonts w:hint="eastAsia" w:ascii="华文中宋" w:hAnsi="华文中宋" w:eastAsia="华文中宋" w:cs="华文中宋"/>
          <w:color w:val="auto"/>
          <w:szCs w:val="21"/>
          <w:highlight w:val="none"/>
        </w:rPr>
        <w:t>〔</w:t>
      </w:r>
      <w:r>
        <w:rPr>
          <w:rFonts w:ascii="华文中宋" w:hAnsi="华文中宋" w:eastAsia="华文中宋" w:cs="华文中宋"/>
          <w:color w:val="auto"/>
          <w:szCs w:val="21"/>
          <w:highlight w:val="none"/>
        </w:rPr>
        <w:t>2017</w:t>
      </w:r>
      <w:r>
        <w:rPr>
          <w:rFonts w:hint="eastAsia" w:ascii="华文中宋" w:hAnsi="华文中宋" w:eastAsia="华文中宋" w:cs="华文中宋"/>
          <w:color w:val="auto"/>
          <w:szCs w:val="21"/>
          <w:highlight w:val="none"/>
        </w:rPr>
        <w:t>〕</w:t>
      </w:r>
      <w:r>
        <w:rPr>
          <w:rFonts w:ascii="华文中宋" w:hAnsi="华文中宋" w:eastAsia="华文中宋" w:cs="华文中宋"/>
          <w:color w:val="auto"/>
          <w:szCs w:val="21"/>
          <w:highlight w:val="none"/>
        </w:rPr>
        <w:t xml:space="preserve"> 141</w:t>
      </w:r>
      <w:r>
        <w:rPr>
          <w:rFonts w:hint="eastAsia" w:ascii="华文中宋" w:hAnsi="华文中宋" w:eastAsia="华文中宋" w:cs="华文中宋"/>
          <w:color w:val="auto"/>
          <w:spacing w:val="6"/>
          <w:szCs w:val="21"/>
          <w:highlight w:val="none"/>
        </w:rPr>
        <w:t>号）的规定，本单位为符合条件的残疾人福利性单位，且本单位参加</w:t>
      </w:r>
      <w:r>
        <w:rPr>
          <w:rFonts w:ascii="华文中宋" w:hAnsi="华文中宋" w:eastAsia="华文中宋" w:cs="华文中宋"/>
          <w:color w:val="auto"/>
          <w:spacing w:val="6"/>
          <w:szCs w:val="21"/>
          <w:highlight w:val="none"/>
        </w:rPr>
        <w:t>______</w:t>
      </w:r>
      <w:r>
        <w:rPr>
          <w:rFonts w:hint="eastAsia" w:ascii="华文中宋" w:hAnsi="华文中宋" w:eastAsia="华文中宋" w:cs="华文中宋"/>
          <w:color w:val="auto"/>
          <w:spacing w:val="6"/>
          <w:szCs w:val="21"/>
          <w:highlight w:val="none"/>
        </w:rPr>
        <w:t>单位的</w:t>
      </w:r>
      <w:r>
        <w:rPr>
          <w:rFonts w:ascii="华文中宋" w:hAnsi="华文中宋" w:eastAsia="华文中宋" w:cs="华文中宋"/>
          <w:color w:val="auto"/>
          <w:spacing w:val="6"/>
          <w:szCs w:val="21"/>
          <w:highlight w:val="none"/>
        </w:rPr>
        <w:t>______</w:t>
      </w:r>
      <w:r>
        <w:rPr>
          <w:rFonts w:hint="eastAsia" w:ascii="华文中宋" w:hAnsi="华文中宋" w:eastAsia="华文中宋" w:cs="华文中宋"/>
          <w:color w:val="auto"/>
          <w:spacing w:val="6"/>
          <w:szCs w:val="21"/>
          <w:highlight w:val="none"/>
        </w:rPr>
        <w:t>项目（项目编号：</w:t>
      </w:r>
      <w:r>
        <w:rPr>
          <w:rFonts w:ascii="华文中宋" w:hAnsi="华文中宋" w:eastAsia="华文中宋" w:cs="华文中宋"/>
          <w:color w:val="auto"/>
          <w:spacing w:val="6"/>
          <w:szCs w:val="21"/>
          <w:highlight w:val="none"/>
        </w:rPr>
        <w:t>____________</w:t>
      </w:r>
      <w:r>
        <w:rPr>
          <w:rFonts w:hint="eastAsia" w:ascii="华文中宋" w:hAnsi="华文中宋" w:eastAsia="华文中宋" w:cs="华文中宋"/>
          <w:color w:val="auto"/>
          <w:spacing w:val="6"/>
          <w:szCs w:val="21"/>
          <w:highlight w:val="none"/>
        </w:rPr>
        <w:t>包号：</w:t>
      </w:r>
      <w:r>
        <w:rPr>
          <w:rFonts w:ascii="华文中宋" w:hAnsi="华文中宋" w:eastAsia="华文中宋" w:cs="华文中宋"/>
          <w:color w:val="auto"/>
          <w:spacing w:val="6"/>
          <w:szCs w:val="21"/>
          <w:highlight w:val="none"/>
        </w:rPr>
        <w:t>_____</w:t>
      </w:r>
      <w:r>
        <w:rPr>
          <w:rFonts w:hint="eastAsia" w:ascii="华文中宋" w:hAnsi="华文中宋" w:eastAsia="华文中宋" w:cs="华文中宋"/>
          <w:color w:val="auto"/>
          <w:spacing w:val="6"/>
          <w:szCs w:val="21"/>
          <w:highlight w:val="none"/>
        </w:rPr>
        <w:t>）采购活动提供本单位制造的货物（由本单位承担工程</w:t>
      </w:r>
      <w:r>
        <w:rPr>
          <w:rFonts w:ascii="华文中宋" w:hAnsi="华文中宋" w:eastAsia="华文中宋" w:cs="华文中宋"/>
          <w:color w:val="auto"/>
          <w:spacing w:val="6"/>
          <w:szCs w:val="21"/>
          <w:highlight w:val="none"/>
        </w:rPr>
        <w:t>/</w:t>
      </w:r>
      <w:r>
        <w:rPr>
          <w:rFonts w:hint="eastAsia" w:ascii="华文中宋" w:hAnsi="华文中宋" w:eastAsia="华文中宋" w:cs="华文中宋"/>
          <w:color w:val="auto"/>
          <w:spacing w:val="6"/>
          <w:szCs w:val="21"/>
          <w:highlight w:val="none"/>
        </w:rPr>
        <w:t>提供服务），或者提供其他残疾人福利性单位制造的货物（不包括使用非残疾人福利性单位注册商标的货物）。</w:t>
      </w:r>
    </w:p>
    <w:p w14:paraId="2BC276CF">
      <w:pPr>
        <w:spacing w:line="360" w:lineRule="auto"/>
        <w:ind w:firstLine="444" w:firstLineChars="200"/>
        <w:rPr>
          <w:rFonts w:ascii="华文中宋" w:hAnsi="华文中宋" w:eastAsia="华文中宋" w:cs="华文中宋"/>
          <w:color w:val="auto"/>
          <w:spacing w:val="6"/>
          <w:szCs w:val="21"/>
          <w:highlight w:val="none"/>
        </w:rPr>
      </w:pPr>
      <w:r>
        <w:rPr>
          <w:rFonts w:hint="eastAsia" w:ascii="华文中宋" w:hAnsi="华文中宋" w:eastAsia="华文中宋" w:cs="华文中宋"/>
          <w:color w:val="auto"/>
          <w:spacing w:val="6"/>
          <w:szCs w:val="21"/>
          <w:highlight w:val="none"/>
        </w:rPr>
        <w:t>本单位对上述声明的真实性负责。如有虚假，将依法承担相应责任。</w:t>
      </w:r>
    </w:p>
    <w:p w14:paraId="20F8D29B">
      <w:pPr>
        <w:tabs>
          <w:tab w:val="left" w:pos="4860"/>
        </w:tabs>
        <w:spacing w:line="360" w:lineRule="auto"/>
        <w:ind w:right="1560" w:firstLine="420" w:firstLineChars="200"/>
        <w:jc w:val="right"/>
        <w:rPr>
          <w:rFonts w:ascii="华文中宋" w:hAnsi="华文中宋" w:eastAsia="华文中宋" w:cs="华文中宋"/>
          <w:color w:val="auto"/>
          <w:spacing w:val="6"/>
          <w:szCs w:val="21"/>
          <w:highlight w:val="none"/>
        </w:rPr>
      </w:pPr>
      <w:r>
        <w:rPr>
          <w:rFonts w:hint="eastAsia" w:ascii="华文中宋" w:hAnsi="华文中宋" w:eastAsia="华文中宋"/>
          <w:color w:val="auto"/>
          <w:szCs w:val="21"/>
          <w:highlight w:val="none"/>
        </w:rPr>
        <w:t>投标人</w:t>
      </w:r>
      <w:r>
        <w:rPr>
          <w:rFonts w:hint="eastAsia" w:ascii="华文中宋" w:hAnsi="华文中宋" w:eastAsia="华文中宋" w:cs="华文中宋"/>
          <w:color w:val="auto"/>
          <w:spacing w:val="6"/>
          <w:szCs w:val="21"/>
          <w:highlight w:val="none"/>
        </w:rPr>
        <w:t>（</w:t>
      </w:r>
      <w:r>
        <w:rPr>
          <w:rFonts w:hint="eastAsia" w:ascii="华文中宋" w:hAnsi="华文中宋" w:eastAsia="华文中宋" w:cs="华文中宋"/>
          <w:color w:val="auto"/>
          <w:spacing w:val="20"/>
          <w:szCs w:val="21"/>
          <w:highlight w:val="none"/>
          <w:lang w:eastAsia="zh-CN"/>
        </w:rPr>
        <w:t>企业电子公章</w:t>
      </w:r>
      <w:r>
        <w:rPr>
          <w:rFonts w:hint="eastAsia" w:ascii="华文中宋" w:hAnsi="华文中宋" w:eastAsia="华文中宋" w:cs="华文中宋"/>
          <w:color w:val="auto"/>
          <w:spacing w:val="6"/>
          <w:szCs w:val="21"/>
          <w:highlight w:val="none"/>
        </w:rPr>
        <w:t>）：</w:t>
      </w:r>
    </w:p>
    <w:p w14:paraId="53D5C395">
      <w:pPr>
        <w:tabs>
          <w:tab w:val="left" w:pos="4860"/>
        </w:tabs>
        <w:spacing w:line="360" w:lineRule="auto"/>
        <w:ind w:right="1560" w:firstLine="444" w:firstLineChars="200"/>
        <w:jc w:val="right"/>
        <w:rPr>
          <w:rFonts w:ascii="华文中宋" w:hAnsi="华文中宋" w:eastAsia="华文中宋" w:cs="华文中宋"/>
          <w:b/>
          <w:color w:val="auto"/>
          <w:sz w:val="24"/>
          <w:highlight w:val="none"/>
        </w:rPr>
      </w:pPr>
      <w:r>
        <w:rPr>
          <w:rFonts w:hint="eastAsia" w:ascii="华文中宋" w:hAnsi="华文中宋" w:eastAsia="华文中宋" w:cs="华文中宋"/>
          <w:color w:val="auto"/>
          <w:spacing w:val="6"/>
          <w:szCs w:val="21"/>
          <w:highlight w:val="none"/>
        </w:rPr>
        <w:t>日期：</w:t>
      </w:r>
    </w:p>
    <w:p w14:paraId="18C3458C">
      <w:pPr>
        <w:spacing w:line="360" w:lineRule="auto"/>
        <w:ind w:firstLine="420" w:firstLineChars="200"/>
        <w:rPr>
          <w:rFonts w:hint="eastAsia" w:ascii="华文中宋" w:hAnsi="华文中宋" w:eastAsia="华文中宋" w:cs="Arial"/>
          <w:b/>
          <w:color w:val="auto"/>
          <w:highlight w:val="none"/>
        </w:rPr>
      </w:pPr>
      <w:r>
        <w:rPr>
          <w:rFonts w:hint="eastAsia" w:ascii="华文中宋" w:hAnsi="华文中宋" w:eastAsia="华文中宋" w:cs="华文中宋"/>
          <w:b/>
          <w:color w:val="auto"/>
          <w:szCs w:val="21"/>
          <w:highlight w:val="none"/>
        </w:rPr>
        <w:t>注：</w:t>
      </w:r>
      <w:r>
        <w:rPr>
          <w:rFonts w:hint="eastAsia" w:ascii="华文中宋" w:hAnsi="华文中宋" w:eastAsia="华文中宋" w:cs="Arial"/>
          <w:b/>
          <w:color w:val="auto"/>
          <w:highlight w:val="none"/>
        </w:rPr>
        <w:t>中标供应商为残疾人福利性单位的，集采机构随中标结果同时公告其《残疾人福利性单位声明函》</w:t>
      </w:r>
    </w:p>
    <w:p w14:paraId="51824233">
      <w:pPr>
        <w:pStyle w:val="16"/>
        <w:rPr>
          <w:rFonts w:hint="eastAsia" w:ascii="华文中宋" w:hAnsi="华文中宋" w:eastAsia="华文中宋" w:cs="Arial"/>
          <w:b/>
          <w:color w:val="auto"/>
          <w:highlight w:val="none"/>
        </w:rPr>
      </w:pPr>
    </w:p>
    <w:p w14:paraId="463F49B3">
      <w:pPr>
        <w:rPr>
          <w:rFonts w:hint="eastAsia"/>
          <w:color w:val="auto"/>
          <w:highlight w:val="none"/>
        </w:rPr>
      </w:pPr>
    </w:p>
    <w:p w14:paraId="32C3A3B0">
      <w:pPr>
        <w:spacing w:line="360" w:lineRule="exact"/>
        <w:ind w:left="360" w:hanging="360" w:hangingChars="150"/>
        <w:rPr>
          <w:rFonts w:hint="eastAsia" w:ascii="华文中宋" w:hAnsi="华文中宋" w:eastAsia="华文中宋"/>
          <w:b/>
          <w:color w:val="auto"/>
          <w:sz w:val="24"/>
          <w:highlight w:val="none"/>
          <w:lang w:eastAsia="zh-CN"/>
        </w:rPr>
      </w:pPr>
      <w:r>
        <w:rPr>
          <w:rFonts w:hint="eastAsia" w:ascii="华文中宋" w:hAnsi="华文中宋" w:eastAsia="华文中宋" w:cs="华文中宋"/>
          <w:b/>
          <w:color w:val="auto"/>
          <w:sz w:val="24"/>
          <w:highlight w:val="none"/>
        </w:rPr>
        <w:t>（二）创新产品或创新服务明细表</w:t>
      </w:r>
      <w:r>
        <w:rPr>
          <w:rFonts w:hint="eastAsia" w:ascii="华文中宋" w:hAnsi="华文中宋" w:eastAsia="华文中宋" w:cs="华文中宋"/>
          <w:b/>
          <w:color w:val="auto"/>
          <w:sz w:val="24"/>
          <w:highlight w:val="none"/>
          <w:lang w:eastAsia="zh-CN"/>
        </w:rPr>
        <w:t>（</w:t>
      </w:r>
      <w:r>
        <w:rPr>
          <w:rFonts w:hint="eastAsia" w:ascii="华文中宋" w:hAnsi="华文中宋" w:eastAsia="华文中宋" w:cs="华文中宋"/>
          <w:b/>
          <w:color w:val="auto"/>
          <w:sz w:val="24"/>
          <w:highlight w:val="none"/>
          <w:lang w:val="en-US" w:eastAsia="zh-CN"/>
        </w:rPr>
        <w:t>若有</w:t>
      </w:r>
      <w:r>
        <w:rPr>
          <w:rFonts w:hint="eastAsia" w:ascii="华文中宋" w:hAnsi="华文中宋" w:eastAsia="华文中宋" w:cs="华文中宋"/>
          <w:b/>
          <w:color w:val="auto"/>
          <w:sz w:val="24"/>
          <w:highlight w:val="none"/>
          <w:lang w:eastAsia="zh-CN"/>
        </w:rPr>
        <w:t>）</w:t>
      </w:r>
    </w:p>
    <w:p w14:paraId="372EE889">
      <w:pPr>
        <w:spacing w:line="360" w:lineRule="auto"/>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创新产品或创新服务明细表</w:t>
      </w:r>
    </w:p>
    <w:tbl>
      <w:tblPr>
        <w:tblStyle w:val="29"/>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276"/>
        <w:gridCol w:w="709"/>
        <w:gridCol w:w="1134"/>
        <w:gridCol w:w="1275"/>
        <w:gridCol w:w="709"/>
        <w:gridCol w:w="992"/>
        <w:gridCol w:w="1063"/>
      </w:tblGrid>
      <w:tr w14:paraId="0EB9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831" w:type="dxa"/>
            <w:vAlign w:val="center"/>
          </w:tcPr>
          <w:p w14:paraId="374CF80D">
            <w:pPr>
              <w:spacing w:line="360" w:lineRule="auto"/>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包号</w:t>
            </w:r>
            <w:r>
              <w:rPr>
                <w:rFonts w:ascii="华文中宋" w:hAnsi="华文中宋" w:eastAsia="华文中宋"/>
                <w:bCs/>
                <w:color w:val="auto"/>
                <w:szCs w:val="21"/>
                <w:highlight w:val="none"/>
              </w:rPr>
              <w:t>/</w:t>
            </w:r>
            <w:r>
              <w:rPr>
                <w:rFonts w:hint="eastAsia" w:ascii="华文中宋" w:hAnsi="华文中宋" w:eastAsia="华文中宋"/>
                <w:bCs/>
                <w:color w:val="auto"/>
                <w:szCs w:val="21"/>
                <w:highlight w:val="none"/>
              </w:rPr>
              <w:t>序号</w:t>
            </w:r>
          </w:p>
        </w:tc>
        <w:tc>
          <w:tcPr>
            <w:tcW w:w="1276" w:type="dxa"/>
            <w:vAlign w:val="center"/>
          </w:tcPr>
          <w:p w14:paraId="468E042D">
            <w:pPr>
              <w:spacing w:line="360" w:lineRule="auto"/>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产品名称</w:t>
            </w:r>
          </w:p>
        </w:tc>
        <w:tc>
          <w:tcPr>
            <w:tcW w:w="709" w:type="dxa"/>
            <w:vAlign w:val="center"/>
          </w:tcPr>
          <w:p w14:paraId="5A71EA17">
            <w:pPr>
              <w:spacing w:line="360" w:lineRule="auto"/>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品牌</w:t>
            </w:r>
          </w:p>
        </w:tc>
        <w:tc>
          <w:tcPr>
            <w:tcW w:w="1134" w:type="dxa"/>
            <w:vAlign w:val="center"/>
          </w:tcPr>
          <w:p w14:paraId="3DD96493">
            <w:pPr>
              <w:spacing w:line="360" w:lineRule="auto"/>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规格型号</w:t>
            </w:r>
          </w:p>
        </w:tc>
        <w:tc>
          <w:tcPr>
            <w:tcW w:w="1275" w:type="dxa"/>
            <w:vAlign w:val="center"/>
          </w:tcPr>
          <w:p w14:paraId="27731C41">
            <w:pPr>
              <w:spacing w:line="360" w:lineRule="auto"/>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产地及厂家</w:t>
            </w:r>
          </w:p>
        </w:tc>
        <w:tc>
          <w:tcPr>
            <w:tcW w:w="709" w:type="dxa"/>
            <w:vAlign w:val="center"/>
          </w:tcPr>
          <w:p w14:paraId="08CC2C30">
            <w:pPr>
              <w:spacing w:line="360" w:lineRule="auto"/>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数量</w:t>
            </w:r>
          </w:p>
        </w:tc>
        <w:tc>
          <w:tcPr>
            <w:tcW w:w="992" w:type="dxa"/>
            <w:vAlign w:val="center"/>
          </w:tcPr>
          <w:p w14:paraId="226775A9">
            <w:pPr>
              <w:spacing w:line="360" w:lineRule="auto"/>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单价</w:t>
            </w:r>
          </w:p>
        </w:tc>
        <w:tc>
          <w:tcPr>
            <w:tcW w:w="1063" w:type="dxa"/>
            <w:vAlign w:val="center"/>
          </w:tcPr>
          <w:p w14:paraId="1BF76D54">
            <w:pPr>
              <w:spacing w:line="360" w:lineRule="auto"/>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总价</w:t>
            </w:r>
          </w:p>
        </w:tc>
      </w:tr>
      <w:tr w14:paraId="3591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831" w:type="dxa"/>
            <w:vAlign w:val="center"/>
          </w:tcPr>
          <w:p w14:paraId="7729E51C">
            <w:pPr>
              <w:spacing w:line="360" w:lineRule="auto"/>
              <w:jc w:val="center"/>
              <w:rPr>
                <w:rFonts w:ascii="华文中宋" w:hAnsi="华文中宋" w:eastAsia="华文中宋"/>
                <w:bCs/>
                <w:color w:val="auto"/>
                <w:szCs w:val="21"/>
                <w:highlight w:val="none"/>
              </w:rPr>
            </w:pPr>
          </w:p>
        </w:tc>
        <w:tc>
          <w:tcPr>
            <w:tcW w:w="1276" w:type="dxa"/>
            <w:vAlign w:val="center"/>
          </w:tcPr>
          <w:p w14:paraId="31AB88B2">
            <w:pPr>
              <w:spacing w:line="360" w:lineRule="auto"/>
              <w:jc w:val="center"/>
              <w:rPr>
                <w:rFonts w:ascii="华文中宋" w:hAnsi="华文中宋" w:eastAsia="华文中宋"/>
                <w:bCs/>
                <w:color w:val="auto"/>
                <w:szCs w:val="21"/>
                <w:highlight w:val="none"/>
              </w:rPr>
            </w:pPr>
          </w:p>
        </w:tc>
        <w:tc>
          <w:tcPr>
            <w:tcW w:w="709" w:type="dxa"/>
            <w:vAlign w:val="center"/>
          </w:tcPr>
          <w:p w14:paraId="670422ED">
            <w:pPr>
              <w:spacing w:line="360" w:lineRule="auto"/>
              <w:jc w:val="center"/>
              <w:rPr>
                <w:rFonts w:ascii="华文中宋" w:hAnsi="华文中宋" w:eastAsia="华文中宋"/>
                <w:bCs/>
                <w:color w:val="auto"/>
                <w:szCs w:val="21"/>
                <w:highlight w:val="none"/>
              </w:rPr>
            </w:pPr>
          </w:p>
        </w:tc>
        <w:tc>
          <w:tcPr>
            <w:tcW w:w="1134" w:type="dxa"/>
            <w:vAlign w:val="center"/>
          </w:tcPr>
          <w:p w14:paraId="3778B761">
            <w:pPr>
              <w:spacing w:line="360" w:lineRule="auto"/>
              <w:jc w:val="center"/>
              <w:rPr>
                <w:rFonts w:ascii="华文中宋" w:hAnsi="华文中宋" w:eastAsia="华文中宋"/>
                <w:bCs/>
                <w:color w:val="auto"/>
                <w:szCs w:val="21"/>
                <w:highlight w:val="none"/>
                <w:vertAlign w:val="superscript"/>
              </w:rPr>
            </w:pPr>
          </w:p>
        </w:tc>
        <w:tc>
          <w:tcPr>
            <w:tcW w:w="1275" w:type="dxa"/>
            <w:vAlign w:val="center"/>
          </w:tcPr>
          <w:p w14:paraId="578CC02E">
            <w:pPr>
              <w:spacing w:line="360" w:lineRule="auto"/>
              <w:jc w:val="center"/>
              <w:rPr>
                <w:rFonts w:ascii="华文中宋" w:hAnsi="华文中宋" w:eastAsia="华文中宋"/>
                <w:bCs/>
                <w:color w:val="auto"/>
                <w:szCs w:val="21"/>
                <w:highlight w:val="none"/>
                <w:vertAlign w:val="superscript"/>
              </w:rPr>
            </w:pPr>
          </w:p>
        </w:tc>
        <w:tc>
          <w:tcPr>
            <w:tcW w:w="709" w:type="dxa"/>
            <w:vAlign w:val="center"/>
          </w:tcPr>
          <w:p w14:paraId="5F47B1CD">
            <w:pPr>
              <w:spacing w:line="360" w:lineRule="auto"/>
              <w:jc w:val="center"/>
              <w:rPr>
                <w:rFonts w:ascii="华文中宋" w:hAnsi="华文中宋" w:eastAsia="华文中宋"/>
                <w:bCs/>
                <w:color w:val="auto"/>
                <w:szCs w:val="21"/>
                <w:highlight w:val="none"/>
              </w:rPr>
            </w:pPr>
          </w:p>
        </w:tc>
        <w:tc>
          <w:tcPr>
            <w:tcW w:w="992" w:type="dxa"/>
            <w:vAlign w:val="center"/>
          </w:tcPr>
          <w:p w14:paraId="506511F2">
            <w:pPr>
              <w:spacing w:line="360" w:lineRule="auto"/>
              <w:jc w:val="center"/>
              <w:rPr>
                <w:rFonts w:ascii="华文中宋" w:hAnsi="华文中宋" w:eastAsia="华文中宋"/>
                <w:bCs/>
                <w:color w:val="auto"/>
                <w:szCs w:val="21"/>
                <w:highlight w:val="none"/>
              </w:rPr>
            </w:pPr>
          </w:p>
        </w:tc>
        <w:tc>
          <w:tcPr>
            <w:tcW w:w="1063" w:type="dxa"/>
            <w:vAlign w:val="center"/>
          </w:tcPr>
          <w:p w14:paraId="7BE0E8C5">
            <w:pPr>
              <w:spacing w:line="360" w:lineRule="auto"/>
              <w:jc w:val="center"/>
              <w:rPr>
                <w:rFonts w:ascii="华文中宋" w:hAnsi="华文中宋" w:eastAsia="华文中宋"/>
                <w:bCs/>
                <w:color w:val="auto"/>
                <w:szCs w:val="21"/>
                <w:highlight w:val="none"/>
              </w:rPr>
            </w:pPr>
          </w:p>
        </w:tc>
      </w:tr>
      <w:tr w14:paraId="3D8D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831" w:type="dxa"/>
            <w:vAlign w:val="center"/>
          </w:tcPr>
          <w:p w14:paraId="79402C06">
            <w:pPr>
              <w:spacing w:line="360" w:lineRule="auto"/>
              <w:jc w:val="center"/>
              <w:rPr>
                <w:rFonts w:ascii="华文中宋" w:hAnsi="华文中宋" w:eastAsia="华文中宋"/>
                <w:bCs/>
                <w:color w:val="auto"/>
                <w:szCs w:val="21"/>
                <w:highlight w:val="none"/>
              </w:rPr>
            </w:pPr>
          </w:p>
        </w:tc>
        <w:tc>
          <w:tcPr>
            <w:tcW w:w="1276" w:type="dxa"/>
            <w:vAlign w:val="center"/>
          </w:tcPr>
          <w:p w14:paraId="0AD7C81B">
            <w:pPr>
              <w:spacing w:line="360" w:lineRule="auto"/>
              <w:jc w:val="center"/>
              <w:rPr>
                <w:rFonts w:ascii="华文中宋" w:hAnsi="华文中宋" w:eastAsia="华文中宋"/>
                <w:bCs/>
                <w:color w:val="auto"/>
                <w:szCs w:val="21"/>
                <w:highlight w:val="none"/>
              </w:rPr>
            </w:pPr>
          </w:p>
        </w:tc>
        <w:tc>
          <w:tcPr>
            <w:tcW w:w="709" w:type="dxa"/>
            <w:vAlign w:val="center"/>
          </w:tcPr>
          <w:p w14:paraId="72E84044">
            <w:pPr>
              <w:spacing w:line="360" w:lineRule="auto"/>
              <w:jc w:val="center"/>
              <w:rPr>
                <w:rFonts w:ascii="华文中宋" w:hAnsi="华文中宋" w:eastAsia="华文中宋"/>
                <w:bCs/>
                <w:color w:val="auto"/>
                <w:szCs w:val="21"/>
                <w:highlight w:val="none"/>
              </w:rPr>
            </w:pPr>
          </w:p>
        </w:tc>
        <w:tc>
          <w:tcPr>
            <w:tcW w:w="1134" w:type="dxa"/>
            <w:vAlign w:val="center"/>
          </w:tcPr>
          <w:p w14:paraId="34A24E84">
            <w:pPr>
              <w:spacing w:line="360" w:lineRule="auto"/>
              <w:jc w:val="center"/>
              <w:rPr>
                <w:rFonts w:ascii="华文中宋" w:hAnsi="华文中宋" w:eastAsia="华文中宋"/>
                <w:bCs/>
                <w:color w:val="auto"/>
                <w:szCs w:val="21"/>
                <w:highlight w:val="none"/>
                <w:vertAlign w:val="superscript"/>
              </w:rPr>
            </w:pPr>
          </w:p>
        </w:tc>
        <w:tc>
          <w:tcPr>
            <w:tcW w:w="1275" w:type="dxa"/>
            <w:vAlign w:val="center"/>
          </w:tcPr>
          <w:p w14:paraId="23E25276">
            <w:pPr>
              <w:spacing w:line="360" w:lineRule="auto"/>
              <w:jc w:val="center"/>
              <w:rPr>
                <w:rFonts w:ascii="华文中宋" w:hAnsi="华文中宋" w:eastAsia="华文中宋"/>
                <w:bCs/>
                <w:color w:val="auto"/>
                <w:szCs w:val="21"/>
                <w:highlight w:val="none"/>
                <w:vertAlign w:val="superscript"/>
              </w:rPr>
            </w:pPr>
          </w:p>
        </w:tc>
        <w:tc>
          <w:tcPr>
            <w:tcW w:w="709" w:type="dxa"/>
            <w:vAlign w:val="center"/>
          </w:tcPr>
          <w:p w14:paraId="6455EC13">
            <w:pPr>
              <w:spacing w:line="360" w:lineRule="auto"/>
              <w:jc w:val="center"/>
              <w:rPr>
                <w:rFonts w:ascii="华文中宋" w:hAnsi="华文中宋" w:eastAsia="华文中宋"/>
                <w:bCs/>
                <w:color w:val="auto"/>
                <w:szCs w:val="21"/>
                <w:highlight w:val="none"/>
              </w:rPr>
            </w:pPr>
          </w:p>
        </w:tc>
        <w:tc>
          <w:tcPr>
            <w:tcW w:w="992" w:type="dxa"/>
            <w:vAlign w:val="center"/>
          </w:tcPr>
          <w:p w14:paraId="1BC9C3DC">
            <w:pPr>
              <w:spacing w:line="360" w:lineRule="auto"/>
              <w:jc w:val="center"/>
              <w:rPr>
                <w:rFonts w:ascii="华文中宋" w:hAnsi="华文中宋" w:eastAsia="华文中宋"/>
                <w:bCs/>
                <w:color w:val="auto"/>
                <w:szCs w:val="21"/>
                <w:highlight w:val="none"/>
              </w:rPr>
            </w:pPr>
          </w:p>
        </w:tc>
        <w:tc>
          <w:tcPr>
            <w:tcW w:w="1063" w:type="dxa"/>
            <w:vAlign w:val="center"/>
          </w:tcPr>
          <w:p w14:paraId="35EEAE0E">
            <w:pPr>
              <w:spacing w:line="360" w:lineRule="auto"/>
              <w:jc w:val="center"/>
              <w:rPr>
                <w:rFonts w:ascii="华文中宋" w:hAnsi="华文中宋" w:eastAsia="华文中宋"/>
                <w:bCs/>
                <w:color w:val="auto"/>
                <w:szCs w:val="21"/>
                <w:highlight w:val="none"/>
              </w:rPr>
            </w:pPr>
          </w:p>
        </w:tc>
      </w:tr>
      <w:tr w14:paraId="653A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vAlign w:val="center"/>
          </w:tcPr>
          <w:p w14:paraId="43445D68">
            <w:pPr>
              <w:spacing w:line="360" w:lineRule="auto"/>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创新产品或创新服务价格合计：</w:t>
            </w:r>
          </w:p>
        </w:tc>
      </w:tr>
    </w:tbl>
    <w:p w14:paraId="1CF5E909">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说明：</w:t>
      </w:r>
    </w:p>
    <w:p w14:paraId="2F4341E6">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 xml:space="preserve">1. </w:t>
      </w:r>
      <w:r>
        <w:rPr>
          <w:rFonts w:hint="eastAsia" w:ascii="华文中宋" w:hAnsi="华文中宋" w:eastAsia="华文中宋"/>
          <w:color w:val="auto"/>
          <w:szCs w:val="21"/>
          <w:highlight w:val="none"/>
        </w:rPr>
        <w:t>投标人如实填写表格，无相应内容可填的，填写“无”、“未测试”、“没有相应指标”等明确的回答文字，或用“</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”来表示。</w:t>
      </w:r>
    </w:p>
    <w:p w14:paraId="0566C69B">
      <w:pPr>
        <w:spacing w:line="360" w:lineRule="auto"/>
        <w:ind w:firstLine="420" w:firstLineChars="200"/>
        <w:rPr>
          <w:rFonts w:hint="eastAsia" w:ascii="华文中宋" w:hAnsi="华文中宋" w:eastAsia="华文中宋"/>
          <w:color w:val="auto"/>
          <w:szCs w:val="21"/>
          <w:highlight w:val="none"/>
        </w:rPr>
      </w:pPr>
      <w:r>
        <w:rPr>
          <w:rFonts w:ascii="华文中宋" w:hAnsi="华文中宋" w:eastAsia="华文中宋"/>
          <w:color w:val="auto"/>
          <w:szCs w:val="21"/>
          <w:highlight w:val="none"/>
        </w:rPr>
        <w:t xml:space="preserve">2. </w:t>
      </w:r>
      <w:r>
        <w:rPr>
          <w:rFonts w:hint="eastAsia" w:ascii="华文中宋" w:hAnsi="华文中宋" w:eastAsia="华文中宋"/>
          <w:color w:val="auto"/>
          <w:szCs w:val="21"/>
          <w:highlight w:val="none"/>
        </w:rPr>
        <w:t>投标人投标产品包含创新产品或创新服务，需填写此表后，提供《山西省创新产品和服务推荐清单》。</w:t>
      </w:r>
    </w:p>
    <w:p w14:paraId="075CD355">
      <w:pPr>
        <w:spacing w:line="360" w:lineRule="auto"/>
        <w:ind w:right="210"/>
        <w:jc w:val="right"/>
        <w:rPr>
          <w:rFonts w:ascii="华文中宋" w:hAnsi="华文中宋" w:eastAsia="华文中宋"/>
          <w:color w:val="auto"/>
          <w:highlight w:val="none"/>
        </w:rPr>
      </w:pPr>
      <w:r>
        <w:rPr>
          <w:rFonts w:hint="eastAsia" w:ascii="华文中宋" w:hAnsi="华文中宋" w:eastAsia="华文中宋"/>
          <w:color w:val="auto"/>
          <w:szCs w:val="21"/>
          <w:highlight w:val="none"/>
        </w:rPr>
        <w:t>投标人</w:t>
      </w:r>
      <w:r>
        <w:rPr>
          <w:rFonts w:ascii="华文中宋" w:hAnsi="华文中宋" w:eastAsia="华文中宋"/>
          <w:color w:val="auto"/>
          <w:highlight w:val="none"/>
        </w:rPr>
        <w:t>(</w:t>
      </w:r>
      <w:r>
        <w:rPr>
          <w:rFonts w:hint="eastAsia" w:ascii="华文中宋" w:hAnsi="华文中宋" w:eastAsia="华文中宋"/>
          <w:color w:val="auto"/>
          <w:highlight w:val="none"/>
          <w:lang w:eastAsia="zh-CN"/>
        </w:rPr>
        <w:t>企业电子公章</w:t>
      </w:r>
      <w:r>
        <w:rPr>
          <w:rFonts w:ascii="华文中宋" w:hAnsi="华文中宋" w:eastAsia="华文中宋"/>
          <w:color w:val="auto"/>
          <w:highlight w:val="none"/>
        </w:rPr>
        <w:t>)</w:t>
      </w:r>
      <w:r>
        <w:rPr>
          <w:rFonts w:hint="eastAsia" w:ascii="华文中宋" w:hAnsi="华文中宋" w:eastAsia="华文中宋"/>
          <w:color w:val="auto"/>
          <w:highlight w:val="none"/>
        </w:rPr>
        <w:t>：</w:t>
      </w:r>
    </w:p>
    <w:p w14:paraId="3CEDE723">
      <w:pPr>
        <w:spacing w:line="360" w:lineRule="auto"/>
        <w:ind w:right="420" w:firstLine="7140" w:firstLineChars="3400"/>
        <w:rPr>
          <w:rFonts w:ascii="华文中宋" w:hAnsi="华文中宋" w:eastAsia="华文中宋"/>
          <w:color w:val="auto"/>
          <w:highlight w:val="none"/>
        </w:rPr>
      </w:pPr>
      <w:r>
        <w:rPr>
          <w:rFonts w:hint="eastAsia" w:ascii="华文中宋" w:hAnsi="华文中宋" w:eastAsia="华文中宋"/>
          <w:color w:val="auto"/>
          <w:highlight w:val="none"/>
        </w:rPr>
        <w:t>日期</w:t>
      </w:r>
      <w:r>
        <w:rPr>
          <w:rFonts w:ascii="华文中宋" w:hAnsi="华文中宋" w:eastAsia="华文中宋"/>
          <w:color w:val="auto"/>
          <w:highlight w:val="none"/>
        </w:rPr>
        <w:t>:</w:t>
      </w:r>
    </w:p>
    <w:p w14:paraId="66D2ADBD">
      <w:pPr>
        <w:spacing w:line="360" w:lineRule="exact"/>
        <w:ind w:left="360" w:hanging="360" w:hangingChars="150"/>
        <w:rPr>
          <w:rFonts w:hint="eastAsia" w:ascii="华文中宋" w:hAnsi="华文中宋" w:eastAsia="华文中宋" w:cs="华文中宋"/>
          <w:b/>
          <w:color w:val="auto"/>
          <w:sz w:val="24"/>
          <w:highlight w:val="none"/>
        </w:rPr>
      </w:pPr>
    </w:p>
    <w:p w14:paraId="03D9EBE2">
      <w:pPr>
        <w:spacing w:line="360" w:lineRule="exact"/>
        <w:ind w:left="360" w:hanging="360" w:hangingChars="150"/>
        <w:rPr>
          <w:rFonts w:hint="eastAsia" w:ascii="华文中宋" w:hAnsi="华文中宋" w:eastAsia="华文中宋" w:cs="华文中宋"/>
          <w:b/>
          <w:color w:val="auto"/>
          <w:sz w:val="24"/>
          <w:highlight w:val="none"/>
        </w:rPr>
      </w:pPr>
    </w:p>
    <w:p w14:paraId="6CD7B5D2">
      <w:pPr>
        <w:numPr>
          <w:ilvl w:val="0"/>
          <w:numId w:val="0"/>
        </w:numPr>
        <w:spacing w:line="360" w:lineRule="exact"/>
        <w:ind w:left="360" w:leftChars="0" w:hanging="360" w:hangingChars="15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kern w:val="2"/>
          <w:sz w:val="24"/>
          <w:szCs w:val="24"/>
          <w:highlight w:val="none"/>
          <w:lang w:val="en-US" w:eastAsia="zh-CN" w:bidi="ar-SA"/>
        </w:rPr>
        <w:t xml:space="preserve"> （三）</w:t>
      </w:r>
      <w:r>
        <w:rPr>
          <w:rFonts w:hint="eastAsia" w:ascii="华文中宋" w:hAnsi="华文中宋" w:eastAsia="华文中宋" w:cs="华文中宋"/>
          <w:b/>
          <w:color w:val="auto"/>
          <w:sz w:val="24"/>
          <w:highlight w:val="none"/>
          <w:lang w:val="en-US" w:eastAsia="zh-CN"/>
        </w:rPr>
        <w:t>“节能产品政府采购品目清单”政府强制采购产品（若有）</w:t>
      </w:r>
    </w:p>
    <w:p w14:paraId="0566E166">
      <w:pPr>
        <w:pStyle w:val="15"/>
        <w:numPr>
          <w:ilvl w:val="0"/>
          <w:numId w:val="0"/>
        </w:numPr>
        <w:rPr>
          <w:rFonts w:hint="eastAsia"/>
          <w:color w:val="auto"/>
          <w:highlight w:val="none"/>
        </w:rPr>
      </w:pPr>
    </w:p>
    <w:p w14:paraId="636AD95B">
      <w:pPr>
        <w:spacing w:line="360" w:lineRule="auto"/>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格式资料：</w:t>
      </w:r>
    </w:p>
    <w:p w14:paraId="3C6E35E8">
      <w:pPr>
        <w:spacing w:line="360" w:lineRule="auto"/>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《政府强制采购产品明细表</w:t>
      </w:r>
      <w:r>
        <w:rPr>
          <w:rFonts w:hint="eastAsia" w:ascii="华文中宋" w:hAnsi="华文中宋" w:eastAsia="华文中宋" w:cs="华文中宋"/>
          <w:b/>
          <w:bCs/>
          <w:color w:val="auto"/>
          <w:sz w:val="21"/>
          <w:szCs w:val="21"/>
          <w:highlight w:val="none"/>
        </w:rPr>
        <w:t>》</w:t>
      </w:r>
      <w:r>
        <w:rPr>
          <w:rFonts w:hint="eastAsia" w:ascii="华文中宋" w:hAnsi="华文中宋" w:eastAsia="华文中宋" w:cs="华文中宋"/>
          <w:b/>
          <w:color w:val="auto"/>
          <w:sz w:val="21"/>
          <w:szCs w:val="21"/>
          <w:highlight w:val="none"/>
        </w:rPr>
        <w:t>格式</w:t>
      </w:r>
    </w:p>
    <w:p w14:paraId="171A00F8">
      <w:pPr>
        <w:tabs>
          <w:tab w:val="left" w:pos="1680"/>
        </w:tabs>
        <w:snapToGrid w:val="0"/>
        <w:spacing w:line="360" w:lineRule="auto"/>
        <w:jc w:val="center"/>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政府强制采购产品明细表</w:t>
      </w:r>
    </w:p>
    <w:tbl>
      <w:tblPr>
        <w:tblStyle w:val="29"/>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134"/>
        <w:gridCol w:w="992"/>
        <w:gridCol w:w="1063"/>
        <w:gridCol w:w="1701"/>
        <w:gridCol w:w="2016"/>
      </w:tblGrid>
      <w:tr w14:paraId="108F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863" w:type="dxa"/>
            <w:vAlign w:val="center"/>
          </w:tcPr>
          <w:p w14:paraId="50B9AEE9">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包号</w:t>
            </w:r>
            <w:r>
              <w:rPr>
                <w:rFonts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rPr>
              <w:t>序号</w:t>
            </w:r>
          </w:p>
        </w:tc>
        <w:tc>
          <w:tcPr>
            <w:tcW w:w="1134" w:type="dxa"/>
            <w:vAlign w:val="center"/>
          </w:tcPr>
          <w:p w14:paraId="5DF6E336">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产品名称</w:t>
            </w:r>
          </w:p>
        </w:tc>
        <w:tc>
          <w:tcPr>
            <w:tcW w:w="992" w:type="dxa"/>
            <w:vAlign w:val="center"/>
          </w:tcPr>
          <w:p w14:paraId="3B6E1C02">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制造商</w:t>
            </w:r>
          </w:p>
        </w:tc>
        <w:tc>
          <w:tcPr>
            <w:tcW w:w="1063" w:type="dxa"/>
            <w:vAlign w:val="center"/>
          </w:tcPr>
          <w:p w14:paraId="0AB78B24">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产品型号</w:t>
            </w:r>
          </w:p>
        </w:tc>
        <w:tc>
          <w:tcPr>
            <w:tcW w:w="1701" w:type="dxa"/>
            <w:vAlign w:val="center"/>
          </w:tcPr>
          <w:p w14:paraId="62772338">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认证证书编号</w:t>
            </w:r>
          </w:p>
        </w:tc>
        <w:tc>
          <w:tcPr>
            <w:tcW w:w="2016" w:type="dxa"/>
            <w:vAlign w:val="center"/>
          </w:tcPr>
          <w:p w14:paraId="39B7C59E">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认证证书有</w:t>
            </w:r>
          </w:p>
          <w:p w14:paraId="19E0F2AF">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效截止日期</w:t>
            </w:r>
          </w:p>
        </w:tc>
      </w:tr>
      <w:tr w14:paraId="543E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63" w:type="dxa"/>
          </w:tcPr>
          <w:p w14:paraId="6A24473F">
            <w:pPr>
              <w:spacing w:line="360" w:lineRule="auto"/>
              <w:rPr>
                <w:rFonts w:ascii="华文中宋" w:hAnsi="华文中宋" w:eastAsia="华文中宋" w:cs="华文中宋"/>
                <w:color w:val="auto"/>
                <w:szCs w:val="21"/>
                <w:highlight w:val="none"/>
              </w:rPr>
            </w:pPr>
          </w:p>
        </w:tc>
        <w:tc>
          <w:tcPr>
            <w:tcW w:w="1134" w:type="dxa"/>
          </w:tcPr>
          <w:p w14:paraId="36DBE88C">
            <w:pPr>
              <w:spacing w:line="360" w:lineRule="auto"/>
              <w:rPr>
                <w:rFonts w:ascii="华文中宋" w:hAnsi="华文中宋" w:eastAsia="华文中宋" w:cs="华文中宋"/>
                <w:color w:val="auto"/>
                <w:szCs w:val="21"/>
                <w:highlight w:val="none"/>
              </w:rPr>
            </w:pPr>
          </w:p>
        </w:tc>
        <w:tc>
          <w:tcPr>
            <w:tcW w:w="992" w:type="dxa"/>
          </w:tcPr>
          <w:p w14:paraId="70BD7470">
            <w:pPr>
              <w:spacing w:line="360" w:lineRule="auto"/>
              <w:rPr>
                <w:rFonts w:ascii="华文中宋" w:hAnsi="华文中宋" w:eastAsia="华文中宋" w:cs="华文中宋"/>
                <w:color w:val="auto"/>
                <w:szCs w:val="21"/>
                <w:highlight w:val="none"/>
              </w:rPr>
            </w:pPr>
          </w:p>
        </w:tc>
        <w:tc>
          <w:tcPr>
            <w:tcW w:w="1063" w:type="dxa"/>
          </w:tcPr>
          <w:p w14:paraId="5FDC9CA7">
            <w:pPr>
              <w:spacing w:line="360" w:lineRule="auto"/>
              <w:rPr>
                <w:rFonts w:ascii="华文中宋" w:hAnsi="华文中宋" w:eastAsia="华文中宋" w:cs="华文中宋"/>
                <w:color w:val="auto"/>
                <w:szCs w:val="21"/>
                <w:highlight w:val="none"/>
              </w:rPr>
            </w:pPr>
          </w:p>
        </w:tc>
        <w:tc>
          <w:tcPr>
            <w:tcW w:w="1701" w:type="dxa"/>
          </w:tcPr>
          <w:p w14:paraId="35062EE1">
            <w:pPr>
              <w:spacing w:line="360" w:lineRule="auto"/>
              <w:rPr>
                <w:rFonts w:ascii="华文中宋" w:hAnsi="华文中宋" w:eastAsia="华文中宋" w:cs="华文中宋"/>
                <w:color w:val="auto"/>
                <w:szCs w:val="21"/>
                <w:highlight w:val="none"/>
              </w:rPr>
            </w:pPr>
          </w:p>
        </w:tc>
        <w:tc>
          <w:tcPr>
            <w:tcW w:w="2016" w:type="dxa"/>
          </w:tcPr>
          <w:p w14:paraId="29EE561B">
            <w:pPr>
              <w:spacing w:line="360" w:lineRule="auto"/>
              <w:rPr>
                <w:rFonts w:ascii="华文中宋" w:hAnsi="华文中宋" w:eastAsia="华文中宋" w:cs="华文中宋"/>
                <w:color w:val="auto"/>
                <w:szCs w:val="21"/>
                <w:highlight w:val="none"/>
              </w:rPr>
            </w:pPr>
          </w:p>
        </w:tc>
      </w:tr>
      <w:tr w14:paraId="4052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63" w:type="dxa"/>
          </w:tcPr>
          <w:p w14:paraId="1014CA46">
            <w:pPr>
              <w:spacing w:line="360" w:lineRule="auto"/>
              <w:rPr>
                <w:rFonts w:ascii="华文中宋" w:hAnsi="华文中宋" w:eastAsia="华文中宋" w:cs="华文中宋"/>
                <w:color w:val="auto"/>
                <w:szCs w:val="21"/>
                <w:highlight w:val="none"/>
              </w:rPr>
            </w:pPr>
          </w:p>
        </w:tc>
        <w:tc>
          <w:tcPr>
            <w:tcW w:w="1134" w:type="dxa"/>
          </w:tcPr>
          <w:p w14:paraId="55C83738">
            <w:pPr>
              <w:spacing w:line="360" w:lineRule="auto"/>
              <w:rPr>
                <w:rFonts w:ascii="华文中宋" w:hAnsi="华文中宋" w:eastAsia="华文中宋" w:cs="华文中宋"/>
                <w:color w:val="auto"/>
                <w:szCs w:val="21"/>
                <w:highlight w:val="none"/>
              </w:rPr>
            </w:pPr>
          </w:p>
        </w:tc>
        <w:tc>
          <w:tcPr>
            <w:tcW w:w="992" w:type="dxa"/>
          </w:tcPr>
          <w:p w14:paraId="05486DF8">
            <w:pPr>
              <w:spacing w:line="360" w:lineRule="auto"/>
              <w:rPr>
                <w:rFonts w:ascii="华文中宋" w:hAnsi="华文中宋" w:eastAsia="华文中宋" w:cs="华文中宋"/>
                <w:color w:val="auto"/>
                <w:szCs w:val="21"/>
                <w:highlight w:val="none"/>
              </w:rPr>
            </w:pPr>
          </w:p>
        </w:tc>
        <w:tc>
          <w:tcPr>
            <w:tcW w:w="1063" w:type="dxa"/>
          </w:tcPr>
          <w:p w14:paraId="33C6E50D">
            <w:pPr>
              <w:spacing w:line="360" w:lineRule="auto"/>
              <w:rPr>
                <w:rFonts w:ascii="华文中宋" w:hAnsi="华文中宋" w:eastAsia="华文中宋" w:cs="华文中宋"/>
                <w:color w:val="auto"/>
                <w:szCs w:val="21"/>
                <w:highlight w:val="none"/>
              </w:rPr>
            </w:pPr>
          </w:p>
        </w:tc>
        <w:tc>
          <w:tcPr>
            <w:tcW w:w="1701" w:type="dxa"/>
          </w:tcPr>
          <w:p w14:paraId="76BA60B2">
            <w:pPr>
              <w:spacing w:line="360" w:lineRule="auto"/>
              <w:rPr>
                <w:rFonts w:ascii="华文中宋" w:hAnsi="华文中宋" w:eastAsia="华文中宋" w:cs="华文中宋"/>
                <w:color w:val="auto"/>
                <w:szCs w:val="21"/>
                <w:highlight w:val="none"/>
              </w:rPr>
            </w:pPr>
          </w:p>
        </w:tc>
        <w:tc>
          <w:tcPr>
            <w:tcW w:w="2016" w:type="dxa"/>
          </w:tcPr>
          <w:p w14:paraId="22CCBD55">
            <w:pPr>
              <w:spacing w:line="360" w:lineRule="auto"/>
              <w:rPr>
                <w:rFonts w:ascii="华文中宋" w:hAnsi="华文中宋" w:eastAsia="华文中宋" w:cs="华文中宋"/>
                <w:color w:val="auto"/>
                <w:szCs w:val="21"/>
                <w:highlight w:val="none"/>
              </w:rPr>
            </w:pPr>
          </w:p>
        </w:tc>
      </w:tr>
    </w:tbl>
    <w:p w14:paraId="69623B11">
      <w:pPr>
        <w:spacing w:line="360" w:lineRule="auto"/>
        <w:ind w:firstLine="420" w:firstLineChars="20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rPr>
        <w:t>认证证书附后（有效期之内的节能产品认证证书扫描件）。</w:t>
      </w:r>
    </w:p>
    <w:p w14:paraId="0DD048B5">
      <w:pPr>
        <w:pStyle w:val="16"/>
        <w:rPr>
          <w:rFonts w:hint="eastAsia"/>
          <w:color w:val="auto"/>
          <w:highlight w:val="none"/>
        </w:rPr>
      </w:pPr>
    </w:p>
    <w:p w14:paraId="70857F14">
      <w:pPr>
        <w:spacing w:line="360" w:lineRule="auto"/>
        <w:ind w:right="210"/>
        <w:jc w:val="right"/>
        <w:rPr>
          <w:rFonts w:ascii="华文中宋" w:hAnsi="华文中宋" w:eastAsia="华文中宋"/>
          <w:color w:val="auto"/>
          <w:highlight w:val="none"/>
        </w:rPr>
      </w:pPr>
      <w:r>
        <w:rPr>
          <w:rFonts w:hint="eastAsia" w:ascii="华文中宋" w:hAnsi="华文中宋" w:eastAsia="华文中宋"/>
          <w:color w:val="auto"/>
          <w:szCs w:val="21"/>
          <w:highlight w:val="none"/>
        </w:rPr>
        <w:t>投标人</w:t>
      </w:r>
      <w:r>
        <w:rPr>
          <w:rFonts w:ascii="华文中宋" w:hAnsi="华文中宋" w:eastAsia="华文中宋"/>
          <w:color w:val="auto"/>
          <w:highlight w:val="none"/>
        </w:rPr>
        <w:t>(</w:t>
      </w:r>
      <w:r>
        <w:rPr>
          <w:rFonts w:hint="eastAsia" w:ascii="华文中宋" w:hAnsi="华文中宋" w:eastAsia="华文中宋"/>
          <w:color w:val="auto"/>
          <w:highlight w:val="none"/>
          <w:lang w:eastAsia="zh-CN"/>
        </w:rPr>
        <w:t>企业电子公章</w:t>
      </w:r>
      <w:r>
        <w:rPr>
          <w:rFonts w:ascii="华文中宋" w:hAnsi="华文中宋" w:eastAsia="华文中宋"/>
          <w:color w:val="auto"/>
          <w:highlight w:val="none"/>
        </w:rPr>
        <w:t>)</w:t>
      </w:r>
      <w:r>
        <w:rPr>
          <w:rFonts w:hint="eastAsia" w:ascii="华文中宋" w:hAnsi="华文中宋" w:eastAsia="华文中宋"/>
          <w:color w:val="auto"/>
          <w:highlight w:val="none"/>
        </w:rPr>
        <w:t>：</w:t>
      </w:r>
    </w:p>
    <w:p w14:paraId="25EBF335">
      <w:pPr>
        <w:spacing w:line="360" w:lineRule="auto"/>
        <w:ind w:right="420" w:firstLine="7140" w:firstLineChars="3400"/>
        <w:rPr>
          <w:rFonts w:ascii="华文中宋" w:hAnsi="华文中宋" w:eastAsia="华文中宋"/>
          <w:color w:val="auto"/>
          <w:highlight w:val="none"/>
        </w:rPr>
      </w:pPr>
      <w:r>
        <w:rPr>
          <w:rFonts w:hint="eastAsia" w:ascii="华文中宋" w:hAnsi="华文中宋" w:eastAsia="华文中宋"/>
          <w:color w:val="auto"/>
          <w:highlight w:val="none"/>
        </w:rPr>
        <w:t>日期</w:t>
      </w:r>
      <w:r>
        <w:rPr>
          <w:rFonts w:ascii="华文中宋" w:hAnsi="华文中宋" w:eastAsia="华文中宋"/>
          <w:color w:val="auto"/>
          <w:highlight w:val="none"/>
        </w:rPr>
        <w:t>:</w:t>
      </w:r>
    </w:p>
    <w:p w14:paraId="0F1B493C">
      <w:pPr>
        <w:spacing w:line="360" w:lineRule="auto"/>
        <w:ind w:right="420"/>
        <w:rPr>
          <w:rFonts w:hint="eastAsia" w:ascii="华文中宋" w:hAnsi="华文中宋" w:eastAsia="华文中宋" w:cs="华文中宋"/>
          <w:b/>
          <w:color w:val="auto"/>
          <w:sz w:val="24"/>
          <w:highlight w:val="none"/>
        </w:rPr>
      </w:pPr>
    </w:p>
    <w:p w14:paraId="36CCC563">
      <w:pPr>
        <w:spacing w:line="360" w:lineRule="auto"/>
        <w:ind w:right="420"/>
        <w:rPr>
          <w:rFonts w:hint="eastAsia" w:ascii="华文中宋" w:hAnsi="华文中宋" w:eastAsia="华文中宋" w:cs="华文中宋"/>
          <w:b/>
          <w:color w:val="auto"/>
          <w:sz w:val="24"/>
          <w:highlight w:val="none"/>
        </w:rPr>
      </w:pPr>
    </w:p>
    <w:p w14:paraId="079ED7F6">
      <w:pPr>
        <w:spacing w:line="360" w:lineRule="auto"/>
        <w:ind w:right="420"/>
        <w:rPr>
          <w:rFonts w:hint="eastAsia" w:ascii="华文中宋" w:hAnsi="华文中宋" w:eastAsia="华文中宋" w:cs="华文中宋"/>
          <w:b/>
          <w:color w:val="auto"/>
          <w:sz w:val="24"/>
          <w:highlight w:val="none"/>
          <w:lang w:eastAsia="zh-CN"/>
        </w:rPr>
      </w:pPr>
      <w:r>
        <w:rPr>
          <w:rFonts w:hint="eastAsia" w:ascii="华文中宋" w:hAnsi="华文中宋" w:eastAsia="华文中宋" w:cs="华文中宋"/>
          <w:b/>
          <w:color w:val="auto"/>
          <w:sz w:val="24"/>
          <w:highlight w:val="none"/>
        </w:rPr>
        <w:t>非政府强制采购产品明细表格式</w:t>
      </w:r>
      <w:r>
        <w:rPr>
          <w:rFonts w:hint="eastAsia" w:ascii="华文中宋" w:hAnsi="华文中宋" w:eastAsia="华文中宋" w:cs="华文中宋"/>
          <w:b/>
          <w:color w:val="auto"/>
          <w:sz w:val="24"/>
          <w:highlight w:val="none"/>
          <w:lang w:eastAsia="zh-CN"/>
        </w:rPr>
        <w:t>（</w:t>
      </w:r>
      <w:r>
        <w:rPr>
          <w:rFonts w:hint="eastAsia" w:ascii="华文中宋" w:hAnsi="华文中宋" w:eastAsia="华文中宋" w:cs="华文中宋"/>
          <w:b/>
          <w:color w:val="auto"/>
          <w:sz w:val="24"/>
          <w:highlight w:val="none"/>
          <w:lang w:val="en-US" w:eastAsia="zh-CN"/>
        </w:rPr>
        <w:t>若有</w:t>
      </w:r>
      <w:r>
        <w:rPr>
          <w:rFonts w:hint="eastAsia" w:ascii="华文中宋" w:hAnsi="华文中宋" w:eastAsia="华文中宋" w:cs="华文中宋"/>
          <w:b/>
          <w:color w:val="auto"/>
          <w:sz w:val="24"/>
          <w:highlight w:val="none"/>
          <w:lang w:eastAsia="zh-CN"/>
        </w:rPr>
        <w:t>）</w:t>
      </w:r>
    </w:p>
    <w:p w14:paraId="5A4F5C88">
      <w:pPr>
        <w:spacing w:line="360" w:lineRule="auto"/>
        <w:ind w:left="2100" w:firstLine="420"/>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非政府强制采购产品明细表</w:t>
      </w:r>
    </w:p>
    <w:tbl>
      <w:tblPr>
        <w:tblStyle w:val="29"/>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1134"/>
        <w:gridCol w:w="1134"/>
        <w:gridCol w:w="1276"/>
        <w:gridCol w:w="1701"/>
        <w:gridCol w:w="2100"/>
      </w:tblGrid>
      <w:tr w14:paraId="41B1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8" w:hRule="atLeast"/>
          <w:jc w:val="center"/>
        </w:trPr>
        <w:tc>
          <w:tcPr>
            <w:tcW w:w="1733" w:type="dxa"/>
            <w:vAlign w:val="center"/>
          </w:tcPr>
          <w:p w14:paraId="7B5C37EB">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包号</w:t>
            </w:r>
            <w:r>
              <w:rPr>
                <w:rFonts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rPr>
              <w:t>序号</w:t>
            </w:r>
          </w:p>
        </w:tc>
        <w:tc>
          <w:tcPr>
            <w:tcW w:w="1134" w:type="dxa"/>
            <w:vAlign w:val="center"/>
          </w:tcPr>
          <w:p w14:paraId="20EBA033">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产品名称</w:t>
            </w:r>
          </w:p>
        </w:tc>
        <w:tc>
          <w:tcPr>
            <w:tcW w:w="1134" w:type="dxa"/>
            <w:vAlign w:val="center"/>
          </w:tcPr>
          <w:p w14:paraId="085734F4">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制造商</w:t>
            </w:r>
          </w:p>
        </w:tc>
        <w:tc>
          <w:tcPr>
            <w:tcW w:w="1276" w:type="dxa"/>
            <w:vAlign w:val="center"/>
          </w:tcPr>
          <w:p w14:paraId="2CFBFD5E">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产品型号</w:t>
            </w:r>
          </w:p>
        </w:tc>
        <w:tc>
          <w:tcPr>
            <w:tcW w:w="1701" w:type="dxa"/>
            <w:vAlign w:val="center"/>
          </w:tcPr>
          <w:p w14:paraId="765FDA95">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产品认证证书号</w:t>
            </w:r>
          </w:p>
        </w:tc>
        <w:tc>
          <w:tcPr>
            <w:tcW w:w="2100" w:type="dxa"/>
            <w:vAlign w:val="center"/>
          </w:tcPr>
          <w:p w14:paraId="5656CE86">
            <w:pPr>
              <w:spacing w:line="360" w:lineRule="auto"/>
              <w:jc w:val="center"/>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认证证书有效截止日期</w:t>
            </w:r>
          </w:p>
        </w:tc>
      </w:tr>
      <w:tr w14:paraId="097F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7630F118">
            <w:pPr>
              <w:spacing w:line="360" w:lineRule="auto"/>
              <w:rPr>
                <w:rFonts w:ascii="华文中宋" w:hAnsi="华文中宋" w:eastAsia="华文中宋" w:cs="华文中宋"/>
                <w:color w:val="auto"/>
                <w:szCs w:val="21"/>
                <w:highlight w:val="none"/>
              </w:rPr>
            </w:pPr>
          </w:p>
        </w:tc>
        <w:tc>
          <w:tcPr>
            <w:tcW w:w="1134" w:type="dxa"/>
          </w:tcPr>
          <w:p w14:paraId="5D94AD75">
            <w:pPr>
              <w:spacing w:line="360" w:lineRule="auto"/>
              <w:rPr>
                <w:rFonts w:ascii="华文中宋" w:hAnsi="华文中宋" w:eastAsia="华文中宋" w:cs="华文中宋"/>
                <w:color w:val="auto"/>
                <w:szCs w:val="21"/>
                <w:highlight w:val="none"/>
              </w:rPr>
            </w:pPr>
          </w:p>
        </w:tc>
        <w:tc>
          <w:tcPr>
            <w:tcW w:w="1134" w:type="dxa"/>
          </w:tcPr>
          <w:p w14:paraId="22E0A07D">
            <w:pPr>
              <w:spacing w:line="360" w:lineRule="auto"/>
              <w:rPr>
                <w:rFonts w:ascii="华文中宋" w:hAnsi="华文中宋" w:eastAsia="华文中宋" w:cs="华文中宋"/>
                <w:color w:val="auto"/>
                <w:szCs w:val="21"/>
                <w:highlight w:val="none"/>
              </w:rPr>
            </w:pPr>
          </w:p>
        </w:tc>
        <w:tc>
          <w:tcPr>
            <w:tcW w:w="1276" w:type="dxa"/>
          </w:tcPr>
          <w:p w14:paraId="3A7026B0">
            <w:pPr>
              <w:spacing w:line="360" w:lineRule="auto"/>
              <w:rPr>
                <w:rFonts w:ascii="华文中宋" w:hAnsi="华文中宋" w:eastAsia="华文中宋" w:cs="华文中宋"/>
                <w:color w:val="auto"/>
                <w:szCs w:val="21"/>
                <w:highlight w:val="none"/>
              </w:rPr>
            </w:pPr>
          </w:p>
        </w:tc>
        <w:tc>
          <w:tcPr>
            <w:tcW w:w="1701" w:type="dxa"/>
          </w:tcPr>
          <w:p w14:paraId="359DB8A8">
            <w:pPr>
              <w:spacing w:line="360" w:lineRule="auto"/>
              <w:rPr>
                <w:rFonts w:ascii="华文中宋" w:hAnsi="华文中宋" w:eastAsia="华文中宋" w:cs="华文中宋"/>
                <w:color w:val="auto"/>
                <w:szCs w:val="21"/>
                <w:highlight w:val="none"/>
              </w:rPr>
            </w:pPr>
          </w:p>
        </w:tc>
        <w:tc>
          <w:tcPr>
            <w:tcW w:w="2100" w:type="dxa"/>
          </w:tcPr>
          <w:p w14:paraId="781E0291">
            <w:pPr>
              <w:spacing w:line="360" w:lineRule="auto"/>
              <w:rPr>
                <w:rFonts w:ascii="华文中宋" w:hAnsi="华文中宋" w:eastAsia="华文中宋" w:cs="华文中宋"/>
                <w:color w:val="auto"/>
                <w:szCs w:val="21"/>
                <w:highlight w:val="none"/>
              </w:rPr>
            </w:pPr>
          </w:p>
        </w:tc>
      </w:tr>
      <w:tr w14:paraId="6CFD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33" w:type="dxa"/>
          </w:tcPr>
          <w:p w14:paraId="0C9DFF7E">
            <w:pPr>
              <w:spacing w:line="360" w:lineRule="auto"/>
              <w:rPr>
                <w:rFonts w:ascii="华文中宋" w:hAnsi="华文中宋" w:eastAsia="华文中宋" w:cs="华文中宋"/>
                <w:color w:val="auto"/>
                <w:szCs w:val="21"/>
                <w:highlight w:val="none"/>
              </w:rPr>
            </w:pPr>
          </w:p>
        </w:tc>
        <w:tc>
          <w:tcPr>
            <w:tcW w:w="1134" w:type="dxa"/>
          </w:tcPr>
          <w:p w14:paraId="394F5D50">
            <w:pPr>
              <w:spacing w:line="360" w:lineRule="auto"/>
              <w:rPr>
                <w:rFonts w:ascii="华文中宋" w:hAnsi="华文中宋" w:eastAsia="华文中宋" w:cs="华文中宋"/>
                <w:color w:val="auto"/>
                <w:szCs w:val="21"/>
                <w:highlight w:val="none"/>
              </w:rPr>
            </w:pPr>
          </w:p>
        </w:tc>
        <w:tc>
          <w:tcPr>
            <w:tcW w:w="1134" w:type="dxa"/>
          </w:tcPr>
          <w:p w14:paraId="55600780">
            <w:pPr>
              <w:spacing w:line="360" w:lineRule="auto"/>
              <w:rPr>
                <w:rFonts w:ascii="华文中宋" w:hAnsi="华文中宋" w:eastAsia="华文中宋" w:cs="华文中宋"/>
                <w:color w:val="auto"/>
                <w:szCs w:val="21"/>
                <w:highlight w:val="none"/>
              </w:rPr>
            </w:pPr>
          </w:p>
        </w:tc>
        <w:tc>
          <w:tcPr>
            <w:tcW w:w="1276" w:type="dxa"/>
          </w:tcPr>
          <w:p w14:paraId="448C0C35">
            <w:pPr>
              <w:spacing w:line="360" w:lineRule="auto"/>
              <w:rPr>
                <w:rFonts w:ascii="华文中宋" w:hAnsi="华文中宋" w:eastAsia="华文中宋" w:cs="华文中宋"/>
                <w:color w:val="auto"/>
                <w:szCs w:val="21"/>
                <w:highlight w:val="none"/>
              </w:rPr>
            </w:pPr>
          </w:p>
        </w:tc>
        <w:tc>
          <w:tcPr>
            <w:tcW w:w="1701" w:type="dxa"/>
          </w:tcPr>
          <w:p w14:paraId="4FE96F15">
            <w:pPr>
              <w:spacing w:line="360" w:lineRule="auto"/>
              <w:rPr>
                <w:rFonts w:ascii="华文中宋" w:hAnsi="华文中宋" w:eastAsia="华文中宋" w:cs="华文中宋"/>
                <w:color w:val="auto"/>
                <w:szCs w:val="21"/>
                <w:highlight w:val="none"/>
              </w:rPr>
            </w:pPr>
          </w:p>
        </w:tc>
        <w:tc>
          <w:tcPr>
            <w:tcW w:w="2100" w:type="dxa"/>
          </w:tcPr>
          <w:p w14:paraId="624D5D69">
            <w:pPr>
              <w:spacing w:line="360" w:lineRule="auto"/>
              <w:rPr>
                <w:rFonts w:ascii="华文中宋" w:hAnsi="华文中宋" w:eastAsia="华文中宋" w:cs="华文中宋"/>
                <w:color w:val="auto"/>
                <w:szCs w:val="21"/>
                <w:highlight w:val="none"/>
              </w:rPr>
            </w:pPr>
          </w:p>
        </w:tc>
      </w:tr>
    </w:tbl>
    <w:p w14:paraId="5EF75092">
      <w:pPr>
        <w:pStyle w:val="25"/>
        <w:widowControl w:val="0"/>
        <w:adjustRightInd w:val="0"/>
        <w:snapToGrid w:val="0"/>
        <w:spacing w:before="0" w:beforeAutospacing="0" w:after="0" w:afterAutospacing="0" w:line="480" w:lineRule="exact"/>
        <w:ind w:firstLine="420" w:firstLineChars="200"/>
        <w:rPr>
          <w:rFonts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 xml:space="preserve">1. </w:t>
      </w:r>
      <w:r>
        <w:rPr>
          <w:rFonts w:hint="eastAsia" w:ascii="华文中宋" w:hAnsi="华文中宋" w:eastAsia="华文中宋" w:cs="华文中宋"/>
          <w:color w:val="auto"/>
          <w:sz w:val="21"/>
          <w:szCs w:val="21"/>
          <w:highlight w:val="none"/>
        </w:rPr>
        <w:t>投报“品目清单”中非政府强制采购产品。</w:t>
      </w:r>
    </w:p>
    <w:p w14:paraId="5EFC4D19">
      <w:pPr>
        <w:pStyle w:val="25"/>
        <w:widowControl w:val="0"/>
        <w:adjustRightInd w:val="0"/>
        <w:snapToGrid w:val="0"/>
        <w:spacing w:before="0" w:beforeAutospacing="0" w:after="0" w:afterAutospacing="0" w:line="480" w:lineRule="exact"/>
        <w:ind w:firstLine="420" w:firstLineChars="200"/>
        <w:rPr>
          <w:rFonts w:hint="eastAsia"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 xml:space="preserve">2. </w:t>
      </w:r>
      <w:r>
        <w:rPr>
          <w:rFonts w:hint="eastAsia" w:ascii="华文中宋" w:hAnsi="华文中宋" w:eastAsia="华文中宋" w:cs="华文中宋"/>
          <w:color w:val="auto"/>
          <w:sz w:val="21"/>
          <w:szCs w:val="21"/>
          <w:highlight w:val="none"/>
        </w:rPr>
        <w:t>认证证书附后（有效期之内的节能产品、环境标志产品证书）。</w:t>
      </w:r>
    </w:p>
    <w:p w14:paraId="65A40FD7">
      <w:pPr>
        <w:pStyle w:val="25"/>
        <w:widowControl w:val="0"/>
        <w:adjustRightInd w:val="0"/>
        <w:snapToGrid w:val="0"/>
        <w:spacing w:before="0" w:beforeAutospacing="0" w:after="0" w:afterAutospacing="0" w:line="480" w:lineRule="exact"/>
        <w:ind w:firstLine="420" w:firstLineChars="200"/>
        <w:rPr>
          <w:rFonts w:hint="eastAsia" w:ascii="华文中宋" w:hAnsi="华文中宋" w:eastAsia="华文中宋" w:cs="华文中宋"/>
          <w:color w:val="auto"/>
          <w:sz w:val="21"/>
          <w:szCs w:val="21"/>
          <w:highlight w:val="none"/>
        </w:rPr>
      </w:pPr>
    </w:p>
    <w:p w14:paraId="2E8FEA44">
      <w:pPr>
        <w:spacing w:line="360" w:lineRule="auto"/>
        <w:ind w:right="210"/>
        <w:jc w:val="right"/>
        <w:rPr>
          <w:rFonts w:ascii="华文中宋" w:hAnsi="华文中宋" w:eastAsia="华文中宋"/>
          <w:color w:val="auto"/>
          <w:highlight w:val="none"/>
        </w:rPr>
      </w:pPr>
      <w:r>
        <w:rPr>
          <w:rFonts w:hint="eastAsia" w:ascii="华文中宋" w:hAnsi="华文中宋" w:eastAsia="华文中宋"/>
          <w:color w:val="auto"/>
          <w:szCs w:val="21"/>
          <w:highlight w:val="none"/>
        </w:rPr>
        <w:t>投标人</w:t>
      </w:r>
      <w:r>
        <w:rPr>
          <w:rFonts w:ascii="华文中宋" w:hAnsi="华文中宋" w:eastAsia="华文中宋"/>
          <w:color w:val="auto"/>
          <w:highlight w:val="none"/>
        </w:rPr>
        <w:t>(</w:t>
      </w:r>
      <w:r>
        <w:rPr>
          <w:rFonts w:hint="eastAsia" w:ascii="华文中宋" w:hAnsi="华文中宋" w:eastAsia="华文中宋"/>
          <w:color w:val="auto"/>
          <w:highlight w:val="none"/>
          <w:lang w:eastAsia="zh-CN"/>
        </w:rPr>
        <w:t>企业电子公章</w:t>
      </w:r>
      <w:r>
        <w:rPr>
          <w:rFonts w:ascii="华文中宋" w:hAnsi="华文中宋" w:eastAsia="华文中宋"/>
          <w:color w:val="auto"/>
          <w:highlight w:val="none"/>
        </w:rPr>
        <w:t>)</w:t>
      </w:r>
      <w:r>
        <w:rPr>
          <w:rFonts w:hint="eastAsia" w:ascii="华文中宋" w:hAnsi="华文中宋" w:eastAsia="华文中宋"/>
          <w:color w:val="auto"/>
          <w:highlight w:val="none"/>
        </w:rPr>
        <w:t>：</w:t>
      </w:r>
    </w:p>
    <w:p w14:paraId="28535D2A">
      <w:pPr>
        <w:spacing w:line="360" w:lineRule="auto"/>
        <w:ind w:right="420" w:firstLine="7140" w:firstLineChars="3400"/>
        <w:rPr>
          <w:rFonts w:ascii="华文中宋" w:hAnsi="华文中宋" w:eastAsia="华文中宋"/>
          <w:color w:val="auto"/>
          <w:highlight w:val="none"/>
        </w:rPr>
      </w:pPr>
      <w:r>
        <w:rPr>
          <w:rFonts w:hint="eastAsia" w:ascii="华文中宋" w:hAnsi="华文中宋" w:eastAsia="华文中宋"/>
          <w:color w:val="auto"/>
          <w:highlight w:val="none"/>
        </w:rPr>
        <w:t>日期</w:t>
      </w:r>
      <w:r>
        <w:rPr>
          <w:rFonts w:ascii="华文中宋" w:hAnsi="华文中宋" w:eastAsia="华文中宋"/>
          <w:color w:val="auto"/>
          <w:highlight w:val="none"/>
        </w:rPr>
        <w:t>:</w:t>
      </w:r>
    </w:p>
    <w:p w14:paraId="10B79396">
      <w:pPr>
        <w:pStyle w:val="16"/>
        <w:rPr>
          <w:rFonts w:hint="eastAsia" w:ascii="华文中宋" w:hAnsi="华文中宋" w:eastAsia="华文中宋"/>
          <w:color w:val="auto"/>
          <w:szCs w:val="21"/>
          <w:highlight w:val="none"/>
        </w:rPr>
      </w:pPr>
    </w:p>
    <w:p w14:paraId="677E3DC2">
      <w:pPr>
        <w:rPr>
          <w:rFonts w:hint="eastAsia"/>
          <w:color w:val="auto"/>
          <w:highlight w:val="none"/>
        </w:rPr>
      </w:pPr>
    </w:p>
    <w:p w14:paraId="554EE63B">
      <w:pPr>
        <w:spacing w:line="480" w:lineRule="exact"/>
        <w:jc w:val="left"/>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正版软件承诺格式</w:t>
      </w:r>
    </w:p>
    <w:p w14:paraId="669AF75E">
      <w:pPr>
        <w:spacing w:line="480" w:lineRule="exact"/>
        <w:ind w:firstLine="3254" w:firstLineChars="1356"/>
        <w:rPr>
          <w:rFonts w:ascii="华文中宋" w:hAnsi="华文中宋" w:eastAsia="华文中宋" w:cs="华文中宋"/>
          <w:color w:val="auto"/>
          <w:szCs w:val="21"/>
          <w:highlight w:val="none"/>
        </w:rPr>
      </w:pPr>
      <w:r>
        <w:rPr>
          <w:rFonts w:hint="eastAsia" w:ascii="华文中宋" w:hAnsi="华文中宋" w:eastAsia="华文中宋" w:cs="华文中宋"/>
          <w:b/>
          <w:color w:val="auto"/>
          <w:sz w:val="24"/>
          <w:highlight w:val="none"/>
        </w:rPr>
        <w:t>正版软件承诺</w:t>
      </w:r>
    </w:p>
    <w:p w14:paraId="42E063D6">
      <w:pPr>
        <w:pStyle w:val="2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本投标人现参与</w:t>
      </w:r>
      <w:r>
        <w:rPr>
          <w:rFonts w:hint="eastAsia" w:ascii="华文中宋" w:hAnsi="华文中宋" w:eastAsia="华文中宋" w:cs="华文中宋"/>
          <w:color w:val="auto"/>
          <w:spacing w:val="6"/>
          <w:sz w:val="21"/>
          <w:szCs w:val="21"/>
          <w:highlight w:val="none"/>
          <w:u w:val="single"/>
        </w:rPr>
        <w:t>（项目名称、项目编号、包号）</w:t>
      </w:r>
      <w:r>
        <w:rPr>
          <w:rFonts w:hint="eastAsia" w:ascii="华文中宋" w:hAnsi="华文中宋" w:eastAsia="华文中宋" w:cs="华文中宋"/>
          <w:color w:val="auto"/>
          <w:sz w:val="21"/>
          <w:szCs w:val="21"/>
          <w:highlight w:val="none"/>
        </w:rPr>
        <w:t>的采购活动，本公司承诺投报的计算机产品预装正版操作系统，投报的硬件产品内的预装软件为正版软件。</w:t>
      </w:r>
    </w:p>
    <w:p w14:paraId="4AA04BD0">
      <w:pPr>
        <w:pStyle w:val="2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59CC062A">
      <w:pPr>
        <w:spacing w:line="360" w:lineRule="auto"/>
        <w:ind w:right="210" w:firstLine="420" w:firstLineChars="200"/>
        <w:jc w:val="left"/>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3994E4A5">
      <w:pPr>
        <w:spacing w:line="360" w:lineRule="auto"/>
        <w:ind w:right="210"/>
        <w:jc w:val="right"/>
        <w:rPr>
          <w:rFonts w:ascii="华文中宋" w:hAnsi="华文中宋" w:eastAsia="华文中宋"/>
          <w:color w:val="auto"/>
          <w:highlight w:val="none"/>
        </w:rPr>
      </w:pPr>
      <w:r>
        <w:rPr>
          <w:rFonts w:hint="eastAsia" w:ascii="华文中宋" w:hAnsi="华文中宋" w:eastAsia="华文中宋"/>
          <w:color w:val="auto"/>
          <w:szCs w:val="21"/>
          <w:highlight w:val="none"/>
        </w:rPr>
        <w:t>投标人</w:t>
      </w:r>
      <w:r>
        <w:rPr>
          <w:rFonts w:ascii="华文中宋" w:hAnsi="华文中宋" w:eastAsia="华文中宋"/>
          <w:color w:val="auto"/>
          <w:highlight w:val="none"/>
        </w:rPr>
        <w:t>(</w:t>
      </w:r>
      <w:r>
        <w:rPr>
          <w:rFonts w:hint="eastAsia" w:ascii="华文中宋" w:hAnsi="华文中宋" w:eastAsia="华文中宋"/>
          <w:color w:val="auto"/>
          <w:highlight w:val="none"/>
          <w:lang w:eastAsia="zh-CN"/>
        </w:rPr>
        <w:t>企业电子公章</w:t>
      </w:r>
      <w:r>
        <w:rPr>
          <w:rFonts w:ascii="华文中宋" w:hAnsi="华文中宋" w:eastAsia="华文中宋"/>
          <w:color w:val="auto"/>
          <w:highlight w:val="none"/>
        </w:rPr>
        <w:t>)</w:t>
      </w:r>
      <w:r>
        <w:rPr>
          <w:rFonts w:hint="eastAsia" w:ascii="华文中宋" w:hAnsi="华文中宋" w:eastAsia="华文中宋"/>
          <w:color w:val="auto"/>
          <w:highlight w:val="none"/>
        </w:rPr>
        <w:t>：</w:t>
      </w:r>
    </w:p>
    <w:p w14:paraId="2B5E2D24">
      <w:pPr>
        <w:spacing w:line="360" w:lineRule="auto"/>
        <w:ind w:right="420" w:firstLine="7140" w:firstLineChars="3400"/>
        <w:rPr>
          <w:rFonts w:ascii="华文中宋" w:hAnsi="华文中宋" w:eastAsia="华文中宋"/>
          <w:color w:val="auto"/>
          <w:highlight w:val="none"/>
        </w:rPr>
      </w:pPr>
      <w:r>
        <w:rPr>
          <w:rFonts w:hint="eastAsia" w:ascii="华文中宋" w:hAnsi="华文中宋" w:eastAsia="华文中宋"/>
          <w:color w:val="auto"/>
          <w:highlight w:val="none"/>
        </w:rPr>
        <w:t>日期</w:t>
      </w:r>
      <w:r>
        <w:rPr>
          <w:rFonts w:ascii="华文中宋" w:hAnsi="华文中宋" w:eastAsia="华文中宋"/>
          <w:color w:val="auto"/>
          <w:highlight w:val="none"/>
        </w:rPr>
        <w:t>:</w:t>
      </w:r>
    </w:p>
    <w:p w14:paraId="34887D96">
      <w:pPr>
        <w:pStyle w:val="25"/>
        <w:widowControl w:val="0"/>
        <w:adjustRightInd w:val="0"/>
        <w:snapToGrid w:val="0"/>
        <w:spacing w:before="0" w:beforeAutospacing="0" w:after="0" w:afterAutospacing="0" w:line="480" w:lineRule="exact"/>
        <w:ind w:firstLine="480" w:firstLineChars="200"/>
        <w:jc w:val="both"/>
        <w:rPr>
          <w:rFonts w:hint="eastAsia" w:ascii="华文中宋" w:hAnsi="华文中宋" w:eastAsia="华文中宋" w:cs="华文中宋"/>
          <w:b/>
          <w:color w:val="auto"/>
          <w:sz w:val="24"/>
          <w:highlight w:val="none"/>
        </w:rPr>
      </w:pPr>
    </w:p>
    <w:p w14:paraId="615CF57D">
      <w:pPr>
        <w:spacing w:line="480" w:lineRule="exact"/>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网络安全专用产品说明</w:t>
      </w:r>
    </w:p>
    <w:p w14:paraId="094C2766">
      <w:pPr>
        <w:spacing w:line="480" w:lineRule="exact"/>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按照国家财政部、工信部、公安部以及其他部委联合下发《关于调整网络安全专用产品安全管理有关事项的公告》有关要求：</w:t>
      </w:r>
    </w:p>
    <w:p w14:paraId="73BE4C08">
      <w:pPr>
        <w:spacing w:line="480" w:lineRule="exact"/>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1D0B27AF">
      <w:pPr>
        <w:spacing w:line="480" w:lineRule="exact"/>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具备资格的机构是指列入《承担网络关键设备和网络安全专用产品安全认证和安全检测任务机构名录》的机构。</w:t>
      </w:r>
    </w:p>
    <w:p w14:paraId="5C47790B">
      <w:pPr>
        <w:spacing w:line="480" w:lineRule="exact"/>
        <w:ind w:firstLine="480" w:firstLineChars="200"/>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国家互联网信息办公室、工业和信息化部、公安部、国家认证认可监督管理委员会发布更新《网络关键设备和网络安全专用产品目录》、《承担网络关键设备和网络安全专用产品安全认证和安全检测任务机构名录》。国家互联网信息办公室会同工业和信息化部、公安部、国家认证认可监督管理委员会统一公布和更新符合要求的网络关键设备和网络安全专用产品清单，供社会查询和使用。</w:t>
      </w:r>
    </w:p>
    <w:p w14:paraId="4BDC1F98">
      <w:pPr>
        <w:pStyle w:val="16"/>
        <w:rPr>
          <w:rFonts w:hint="eastAsia" w:ascii="华文中宋" w:hAnsi="华文中宋" w:eastAsia="华文中宋" w:cs="华文中宋"/>
          <w:b w:val="0"/>
          <w:bCs/>
          <w:color w:val="auto"/>
          <w:sz w:val="24"/>
          <w:highlight w:val="none"/>
          <w:lang w:val="en-US" w:eastAsia="zh-CN"/>
        </w:rPr>
      </w:pPr>
    </w:p>
    <w:p w14:paraId="1851D5B3">
      <w:pPr>
        <w:pStyle w:val="16"/>
        <w:rPr>
          <w:rFonts w:hint="eastAsia"/>
          <w:color w:val="auto"/>
          <w:highlight w:val="none"/>
          <w:lang w:val="en-US" w:eastAsia="zh-CN"/>
        </w:rPr>
      </w:pPr>
    </w:p>
    <w:p w14:paraId="242690EF">
      <w:pPr>
        <w:spacing w:line="480" w:lineRule="exact"/>
        <w:jc w:val="left"/>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商品包装和快递包装承诺格式</w:t>
      </w:r>
    </w:p>
    <w:p w14:paraId="427EFB94">
      <w:pPr>
        <w:spacing w:line="480" w:lineRule="exact"/>
        <w:jc w:val="center"/>
        <w:rPr>
          <w:rFonts w:ascii="华文中宋" w:hAnsi="华文中宋" w:eastAsia="华文中宋" w:cs="华文中宋"/>
          <w:color w:val="auto"/>
          <w:sz w:val="21"/>
          <w:szCs w:val="21"/>
          <w:highlight w:val="none"/>
        </w:rPr>
      </w:pPr>
      <w:r>
        <w:rPr>
          <w:rFonts w:hint="eastAsia" w:ascii="华文中宋" w:hAnsi="华文中宋" w:eastAsia="华文中宋" w:cs="华文中宋"/>
          <w:b/>
          <w:color w:val="auto"/>
          <w:sz w:val="24"/>
          <w:highlight w:val="none"/>
        </w:rPr>
        <w:t>商品包装和快递包装承诺</w:t>
      </w:r>
    </w:p>
    <w:p w14:paraId="21446D79">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本投标人现参与</w:t>
      </w:r>
      <w:r>
        <w:rPr>
          <w:rFonts w:hint="eastAsia" w:ascii="华文中宋" w:hAnsi="华文中宋" w:eastAsia="华文中宋" w:cs="华文中宋"/>
          <w:color w:val="auto"/>
          <w:spacing w:val="6"/>
          <w:szCs w:val="21"/>
          <w:highlight w:val="none"/>
          <w:u w:val="single"/>
        </w:rPr>
        <w:t>（项目名称、项目编号、包号）</w:t>
      </w:r>
      <w:r>
        <w:rPr>
          <w:rFonts w:hint="eastAsia" w:ascii="华文中宋" w:hAnsi="华文中宋" w:eastAsia="华文中宋" w:cs="华文中宋"/>
          <w:color w:val="auto"/>
          <w:kern w:val="0"/>
          <w:szCs w:val="21"/>
          <w:highlight w:val="none"/>
        </w:rPr>
        <w:t>的采购活动，本公司承诺所供商品包装符合《商品包装政府采购需求标准（试行）》，快递包装符合《快递包装政府采购需求标准（试行）》。</w:t>
      </w:r>
    </w:p>
    <w:p w14:paraId="1EEB58D3">
      <w:pPr>
        <w:pStyle w:val="25"/>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4D47BB2E">
      <w:pPr>
        <w:pStyle w:val="25"/>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58F69764">
      <w:pPr>
        <w:spacing w:line="360" w:lineRule="auto"/>
        <w:ind w:right="210"/>
        <w:jc w:val="right"/>
        <w:rPr>
          <w:rFonts w:ascii="华文中宋" w:hAnsi="华文中宋" w:eastAsia="华文中宋"/>
          <w:color w:val="auto"/>
          <w:highlight w:val="none"/>
        </w:rPr>
      </w:pPr>
      <w:r>
        <w:rPr>
          <w:rFonts w:hint="eastAsia" w:ascii="华文中宋" w:hAnsi="华文中宋" w:eastAsia="华文中宋"/>
          <w:color w:val="auto"/>
          <w:szCs w:val="21"/>
          <w:highlight w:val="none"/>
        </w:rPr>
        <w:t>投标人</w:t>
      </w:r>
      <w:r>
        <w:rPr>
          <w:rFonts w:ascii="华文中宋" w:hAnsi="华文中宋" w:eastAsia="华文中宋"/>
          <w:color w:val="auto"/>
          <w:highlight w:val="none"/>
        </w:rPr>
        <w:t>(</w:t>
      </w:r>
      <w:r>
        <w:rPr>
          <w:rFonts w:hint="eastAsia" w:ascii="华文中宋" w:hAnsi="华文中宋" w:eastAsia="华文中宋"/>
          <w:color w:val="auto"/>
          <w:highlight w:val="none"/>
          <w:lang w:eastAsia="zh-CN"/>
        </w:rPr>
        <w:t>企业电子公章</w:t>
      </w:r>
      <w:r>
        <w:rPr>
          <w:rFonts w:ascii="华文中宋" w:hAnsi="华文中宋" w:eastAsia="华文中宋"/>
          <w:color w:val="auto"/>
          <w:highlight w:val="none"/>
        </w:rPr>
        <w:t>)</w:t>
      </w:r>
      <w:r>
        <w:rPr>
          <w:rFonts w:hint="eastAsia" w:ascii="华文中宋" w:hAnsi="华文中宋" w:eastAsia="华文中宋"/>
          <w:color w:val="auto"/>
          <w:highlight w:val="none"/>
        </w:rPr>
        <w:t>：</w:t>
      </w:r>
    </w:p>
    <w:p w14:paraId="7FC9F3B6">
      <w:pPr>
        <w:spacing w:line="360" w:lineRule="auto"/>
        <w:ind w:right="420" w:firstLine="7140" w:firstLineChars="3400"/>
        <w:rPr>
          <w:rFonts w:ascii="华文中宋" w:hAnsi="华文中宋" w:eastAsia="华文中宋"/>
          <w:color w:val="auto"/>
          <w:highlight w:val="none"/>
        </w:rPr>
      </w:pPr>
      <w:r>
        <w:rPr>
          <w:rFonts w:hint="eastAsia" w:ascii="华文中宋" w:hAnsi="华文中宋" w:eastAsia="华文中宋"/>
          <w:color w:val="auto"/>
          <w:highlight w:val="none"/>
        </w:rPr>
        <w:t>日期</w:t>
      </w:r>
      <w:r>
        <w:rPr>
          <w:rFonts w:ascii="华文中宋" w:hAnsi="华文中宋" w:eastAsia="华文中宋"/>
          <w:color w:val="auto"/>
          <w:highlight w:val="none"/>
        </w:rPr>
        <w:t>:</w:t>
      </w:r>
    </w:p>
    <w:p w14:paraId="052DE064">
      <w:pPr>
        <w:pStyle w:val="25"/>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p>
    <w:p w14:paraId="10458105">
      <w:pPr>
        <w:spacing w:line="360" w:lineRule="exact"/>
        <w:ind w:left="360" w:hanging="360" w:hangingChars="150"/>
        <w:rPr>
          <w:rFonts w:hint="eastAsia" w:ascii="华文中宋" w:hAnsi="华文中宋" w:eastAsia="华文中宋" w:cs="华文中宋"/>
          <w:color w:val="auto"/>
          <w:szCs w:val="21"/>
          <w:highlight w:val="none"/>
        </w:rPr>
      </w:pPr>
      <w:r>
        <w:rPr>
          <w:rFonts w:hint="eastAsia" w:ascii="华文中宋" w:hAnsi="华文中宋" w:eastAsia="华文中宋" w:cs="华文中宋"/>
          <w:b/>
          <w:color w:val="auto"/>
          <w:sz w:val="24"/>
          <w:highlight w:val="none"/>
        </w:rPr>
        <w:t>（</w:t>
      </w:r>
      <w:r>
        <w:rPr>
          <w:rFonts w:hint="eastAsia" w:ascii="华文中宋" w:hAnsi="华文中宋" w:eastAsia="华文中宋" w:cs="华文中宋"/>
          <w:b/>
          <w:color w:val="auto"/>
          <w:sz w:val="24"/>
          <w:highlight w:val="none"/>
          <w:lang w:val="en-US" w:eastAsia="zh-CN"/>
        </w:rPr>
        <w:t>四</w:t>
      </w:r>
      <w:r>
        <w:rPr>
          <w:rFonts w:hint="eastAsia" w:ascii="华文中宋" w:hAnsi="华文中宋" w:eastAsia="华文中宋" w:cs="华文中宋"/>
          <w:b/>
          <w:color w:val="auto"/>
          <w:sz w:val="24"/>
          <w:highlight w:val="none"/>
        </w:rPr>
        <w:t>）对</w:t>
      </w:r>
      <w:r>
        <w:rPr>
          <w:rFonts w:hint="eastAsia" w:ascii="华文中宋" w:hAnsi="华文中宋" w:eastAsia="华文中宋" w:cs="华文中宋"/>
          <w:b/>
          <w:color w:val="auto"/>
          <w:sz w:val="24"/>
          <w:highlight w:val="none"/>
          <w:lang w:val="en-US" w:eastAsia="zh-CN"/>
        </w:rPr>
        <w:t>人员配置</w:t>
      </w:r>
      <w:r>
        <w:rPr>
          <w:rFonts w:hint="eastAsia" w:ascii="华文中宋" w:hAnsi="华文中宋" w:eastAsia="华文中宋" w:cs="华文中宋"/>
          <w:b/>
          <w:color w:val="auto"/>
          <w:sz w:val="24"/>
          <w:highlight w:val="none"/>
        </w:rPr>
        <w:t>的响应内容</w:t>
      </w:r>
    </w:p>
    <w:p w14:paraId="6A370621">
      <w:pPr>
        <w:pStyle w:val="25"/>
        <w:widowControl w:val="0"/>
        <w:adjustRightInd w:val="0"/>
        <w:snapToGrid w:val="0"/>
        <w:spacing w:before="0" w:beforeAutospacing="0" w:after="0" w:afterAutospacing="0" w:line="480" w:lineRule="exact"/>
        <w:ind w:firstLine="420" w:firstLineChars="200"/>
        <w:jc w:val="both"/>
        <w:rPr>
          <w:rFonts w:hint="eastAsia" w:ascii="华文中宋" w:hAnsi="华文中宋" w:eastAsia="华文中宋" w:cs="华文中宋"/>
          <w:color w:val="auto"/>
          <w:sz w:val="21"/>
          <w:szCs w:val="21"/>
          <w:highlight w:val="none"/>
        </w:rPr>
      </w:pPr>
    </w:p>
    <w:p w14:paraId="1CC4D436">
      <w:pPr>
        <w:spacing w:line="588" w:lineRule="exact"/>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lang w:val="en-US" w:eastAsia="zh-CN"/>
        </w:rPr>
        <w:t>项目总负责人</w:t>
      </w:r>
      <w:r>
        <w:rPr>
          <w:rFonts w:hint="eastAsia" w:ascii="华文中宋" w:hAnsi="华文中宋" w:eastAsia="华文中宋"/>
          <w:b/>
          <w:color w:val="auto"/>
          <w:sz w:val="24"/>
          <w:highlight w:val="none"/>
        </w:rPr>
        <w:t>情况表</w:t>
      </w:r>
    </w:p>
    <w:p w14:paraId="6506EADA">
      <w:pPr>
        <w:ind w:firstLine="210" w:firstLineChars="100"/>
        <w:jc w:val="left"/>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rPr>
        <w:t xml:space="preserve">项目名称：  </w:t>
      </w:r>
      <w:r>
        <w:rPr>
          <w:rFonts w:hint="eastAsia" w:ascii="华文中宋" w:hAnsi="华文中宋" w:eastAsia="华文中宋"/>
          <w:color w:val="auto"/>
          <w:szCs w:val="21"/>
          <w:highlight w:val="none"/>
          <w:lang w:val="en-US" w:eastAsia="zh-CN"/>
        </w:rPr>
        <w:t xml:space="preserve">            包号：</w:t>
      </w:r>
    </w:p>
    <w:tbl>
      <w:tblPr>
        <w:tblStyle w:val="29"/>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92"/>
        <w:gridCol w:w="1417"/>
        <w:gridCol w:w="1418"/>
        <w:gridCol w:w="1417"/>
        <w:gridCol w:w="1843"/>
      </w:tblGrid>
      <w:tr w14:paraId="26F8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8" w:type="dxa"/>
            <w:tcBorders>
              <w:top w:val="single" w:color="auto" w:sz="4" w:space="0"/>
              <w:left w:val="single" w:color="auto" w:sz="4" w:space="0"/>
              <w:bottom w:val="single" w:color="auto" w:sz="4" w:space="0"/>
              <w:right w:val="single" w:color="auto" w:sz="4" w:space="0"/>
            </w:tcBorders>
            <w:noWrap w:val="0"/>
            <w:vAlign w:val="center"/>
          </w:tcPr>
          <w:p w14:paraId="413E2D04">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项目总负责</w:t>
            </w:r>
            <w:r>
              <w:rPr>
                <w:rFonts w:hint="eastAsia" w:ascii="华文中宋" w:hAnsi="华文中宋" w:eastAsia="华文中宋"/>
                <w:color w:val="auto"/>
                <w:szCs w:val="21"/>
                <w:highlight w:val="none"/>
              </w:rPr>
              <w:t>人员姓名</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BAD0099">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年龄</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7C1A3D9">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岗位</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504E913">
            <w:pPr>
              <w:jc w:val="left"/>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lang w:val="en-US" w:eastAsia="zh-CN"/>
              </w:rPr>
              <w:t>职务</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3A4E4BD">
            <w:pPr>
              <w:jc w:val="left"/>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lang w:val="en-US" w:eastAsia="zh-CN"/>
              </w:rPr>
              <w:t>详细地址</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8C3448D">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联系方式</w:t>
            </w:r>
          </w:p>
        </w:tc>
      </w:tr>
      <w:tr w14:paraId="6E67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noWrap w:val="0"/>
            <w:vAlign w:val="top"/>
          </w:tcPr>
          <w:p w14:paraId="470952A1">
            <w:pPr>
              <w:jc w:val="left"/>
              <w:rPr>
                <w:rFonts w:ascii="华文中宋" w:hAnsi="华文中宋" w:eastAsia="华文中宋"/>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4948410">
            <w:pPr>
              <w:jc w:val="left"/>
              <w:rPr>
                <w:rFonts w:ascii="华文中宋" w:hAnsi="华文中宋" w:eastAsia="华文中宋"/>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792C883E">
            <w:pPr>
              <w:jc w:val="left"/>
              <w:rPr>
                <w:rFonts w:ascii="华文中宋" w:hAnsi="华文中宋" w:eastAsia="华文中宋"/>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64DA48F">
            <w:pPr>
              <w:jc w:val="left"/>
              <w:rPr>
                <w:rFonts w:ascii="华文中宋" w:hAnsi="华文中宋" w:eastAsia="华文中宋"/>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53A5E831">
            <w:pPr>
              <w:jc w:val="left"/>
              <w:rPr>
                <w:rFonts w:ascii="华文中宋" w:hAnsi="华文中宋" w:eastAsia="华文中宋"/>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0E12CF57">
            <w:pPr>
              <w:jc w:val="left"/>
              <w:rPr>
                <w:rFonts w:ascii="华文中宋" w:hAnsi="华文中宋" w:eastAsia="华文中宋"/>
                <w:color w:val="auto"/>
                <w:szCs w:val="21"/>
                <w:highlight w:val="none"/>
              </w:rPr>
            </w:pPr>
          </w:p>
        </w:tc>
      </w:tr>
      <w:tr w14:paraId="45F5F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noWrap w:val="0"/>
            <w:vAlign w:val="top"/>
          </w:tcPr>
          <w:p w14:paraId="37E572C2">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p>
        </w:tc>
        <w:tc>
          <w:tcPr>
            <w:tcW w:w="992" w:type="dxa"/>
            <w:tcBorders>
              <w:top w:val="single" w:color="auto" w:sz="4" w:space="0"/>
              <w:left w:val="single" w:color="auto" w:sz="4" w:space="0"/>
              <w:bottom w:val="single" w:color="auto" w:sz="4" w:space="0"/>
              <w:right w:val="single" w:color="auto" w:sz="4" w:space="0"/>
            </w:tcBorders>
            <w:noWrap w:val="0"/>
            <w:vAlign w:val="top"/>
          </w:tcPr>
          <w:p w14:paraId="56038C84">
            <w:pPr>
              <w:jc w:val="left"/>
              <w:rPr>
                <w:rFonts w:ascii="华文中宋" w:hAnsi="华文中宋" w:eastAsia="华文中宋"/>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636D4769">
            <w:pPr>
              <w:jc w:val="left"/>
              <w:rPr>
                <w:rFonts w:ascii="华文中宋" w:hAnsi="华文中宋" w:eastAsia="华文中宋"/>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15FA1EF">
            <w:pPr>
              <w:jc w:val="left"/>
              <w:rPr>
                <w:rFonts w:ascii="华文中宋" w:hAnsi="华文中宋" w:eastAsia="华文中宋"/>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01E711D9">
            <w:pPr>
              <w:jc w:val="left"/>
              <w:rPr>
                <w:rFonts w:ascii="华文中宋" w:hAnsi="华文中宋" w:eastAsia="华文中宋"/>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27E186B5">
            <w:pPr>
              <w:jc w:val="left"/>
              <w:rPr>
                <w:rFonts w:ascii="华文中宋" w:hAnsi="华文中宋" w:eastAsia="华文中宋"/>
                <w:color w:val="auto"/>
                <w:szCs w:val="21"/>
                <w:highlight w:val="none"/>
              </w:rPr>
            </w:pPr>
          </w:p>
        </w:tc>
      </w:tr>
    </w:tbl>
    <w:p w14:paraId="68413052">
      <w:pPr>
        <w:spacing w:line="588" w:lineRule="exact"/>
        <w:jc w:val="center"/>
        <w:rPr>
          <w:rFonts w:hint="eastAsia" w:ascii="华文中宋" w:hAnsi="华文中宋" w:eastAsia="华文中宋"/>
          <w:color w:val="auto"/>
          <w:szCs w:val="21"/>
          <w:highlight w:val="none"/>
        </w:rPr>
      </w:pPr>
      <w:r>
        <w:rPr>
          <w:rFonts w:hint="eastAsia" w:ascii="华文中宋" w:hAnsi="华文中宋" w:eastAsia="华文中宋"/>
          <w:b/>
          <w:color w:val="auto"/>
          <w:sz w:val="24"/>
          <w:highlight w:val="none"/>
          <w:lang w:val="en-US" w:eastAsia="zh-CN"/>
        </w:rPr>
        <w:t>售后总负责人</w:t>
      </w:r>
      <w:r>
        <w:rPr>
          <w:rFonts w:hint="eastAsia" w:ascii="华文中宋" w:hAnsi="华文中宋" w:eastAsia="华文中宋"/>
          <w:b/>
          <w:color w:val="auto"/>
          <w:sz w:val="24"/>
          <w:highlight w:val="none"/>
        </w:rPr>
        <w:t>情况表</w:t>
      </w:r>
    </w:p>
    <w:p w14:paraId="2F336AA9">
      <w:pPr>
        <w:ind w:firstLine="105" w:firstLineChars="50"/>
        <w:jc w:val="left"/>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rPr>
        <w:t xml:space="preserve">项目名称：   </w:t>
      </w:r>
      <w:r>
        <w:rPr>
          <w:rFonts w:hint="eastAsia" w:ascii="华文中宋" w:hAnsi="华文中宋" w:eastAsia="华文中宋"/>
          <w:color w:val="auto"/>
          <w:szCs w:val="21"/>
          <w:highlight w:val="none"/>
          <w:lang w:val="en-US" w:eastAsia="zh-CN"/>
        </w:rPr>
        <w:t xml:space="preserve">            包号：</w:t>
      </w:r>
    </w:p>
    <w:tbl>
      <w:tblPr>
        <w:tblStyle w:val="29"/>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92"/>
        <w:gridCol w:w="1417"/>
        <w:gridCol w:w="1418"/>
        <w:gridCol w:w="1417"/>
        <w:gridCol w:w="1843"/>
      </w:tblGrid>
      <w:tr w14:paraId="1FC8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noWrap w:val="0"/>
            <w:vAlign w:val="center"/>
          </w:tcPr>
          <w:p w14:paraId="08985762">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售后总负责</w:t>
            </w:r>
            <w:r>
              <w:rPr>
                <w:rFonts w:hint="eastAsia" w:ascii="华文中宋" w:hAnsi="华文中宋" w:eastAsia="华文中宋"/>
                <w:color w:val="auto"/>
                <w:szCs w:val="21"/>
                <w:highlight w:val="none"/>
              </w:rPr>
              <w:t>人员姓名</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69E11D3">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年龄</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C28C583">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岗位</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F3188B1">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职务</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BC802D0">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详细地址</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20F2803">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联系方式</w:t>
            </w:r>
          </w:p>
        </w:tc>
      </w:tr>
      <w:tr w14:paraId="2D9B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noWrap w:val="0"/>
            <w:vAlign w:val="top"/>
          </w:tcPr>
          <w:p w14:paraId="0EC7F899">
            <w:pPr>
              <w:jc w:val="left"/>
              <w:rPr>
                <w:rFonts w:ascii="华文中宋" w:hAnsi="华文中宋" w:eastAsia="华文中宋"/>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5540F76F">
            <w:pPr>
              <w:jc w:val="left"/>
              <w:rPr>
                <w:rFonts w:ascii="华文中宋" w:hAnsi="华文中宋" w:eastAsia="华文中宋"/>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75D41BE3">
            <w:pPr>
              <w:jc w:val="left"/>
              <w:rPr>
                <w:rFonts w:ascii="华文中宋" w:hAnsi="华文中宋" w:eastAsia="华文中宋"/>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AE92401">
            <w:pPr>
              <w:jc w:val="left"/>
              <w:rPr>
                <w:rFonts w:ascii="华文中宋" w:hAnsi="华文中宋" w:eastAsia="华文中宋"/>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7D60C445">
            <w:pPr>
              <w:jc w:val="left"/>
              <w:rPr>
                <w:rFonts w:ascii="华文中宋" w:hAnsi="华文中宋" w:eastAsia="华文中宋"/>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2C750445">
            <w:pPr>
              <w:jc w:val="left"/>
              <w:rPr>
                <w:rFonts w:ascii="华文中宋" w:hAnsi="华文中宋" w:eastAsia="华文中宋"/>
                <w:color w:val="auto"/>
                <w:szCs w:val="21"/>
                <w:highlight w:val="none"/>
              </w:rPr>
            </w:pPr>
          </w:p>
        </w:tc>
      </w:tr>
      <w:tr w14:paraId="48CF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noWrap w:val="0"/>
            <w:vAlign w:val="top"/>
          </w:tcPr>
          <w:p w14:paraId="558199CE">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p>
        </w:tc>
        <w:tc>
          <w:tcPr>
            <w:tcW w:w="992" w:type="dxa"/>
            <w:tcBorders>
              <w:top w:val="single" w:color="auto" w:sz="4" w:space="0"/>
              <w:left w:val="single" w:color="auto" w:sz="4" w:space="0"/>
              <w:bottom w:val="single" w:color="auto" w:sz="4" w:space="0"/>
              <w:right w:val="single" w:color="auto" w:sz="4" w:space="0"/>
            </w:tcBorders>
            <w:noWrap w:val="0"/>
            <w:vAlign w:val="top"/>
          </w:tcPr>
          <w:p w14:paraId="099AEF35">
            <w:pPr>
              <w:jc w:val="left"/>
              <w:rPr>
                <w:rFonts w:ascii="华文中宋" w:hAnsi="华文中宋" w:eastAsia="华文中宋"/>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4C09CCAD">
            <w:pPr>
              <w:jc w:val="left"/>
              <w:rPr>
                <w:rFonts w:ascii="华文中宋" w:hAnsi="华文中宋" w:eastAsia="华文中宋"/>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54BE925">
            <w:pPr>
              <w:jc w:val="left"/>
              <w:rPr>
                <w:rFonts w:ascii="华文中宋" w:hAnsi="华文中宋" w:eastAsia="华文中宋"/>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389E1E80">
            <w:pPr>
              <w:jc w:val="left"/>
              <w:rPr>
                <w:rFonts w:ascii="华文中宋" w:hAnsi="华文中宋" w:eastAsia="华文中宋"/>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3899626F">
            <w:pPr>
              <w:jc w:val="left"/>
              <w:rPr>
                <w:rFonts w:ascii="华文中宋" w:hAnsi="华文中宋" w:eastAsia="华文中宋"/>
                <w:color w:val="auto"/>
                <w:szCs w:val="21"/>
                <w:highlight w:val="none"/>
              </w:rPr>
            </w:pPr>
          </w:p>
        </w:tc>
      </w:tr>
    </w:tbl>
    <w:p w14:paraId="054401B0">
      <w:pPr>
        <w:spacing w:line="588" w:lineRule="exact"/>
        <w:jc w:val="left"/>
        <w:rPr>
          <w:rFonts w:ascii="华文中宋" w:hAnsi="华文中宋" w:eastAsia="华文中宋"/>
          <w:b/>
          <w:color w:val="auto"/>
          <w:sz w:val="24"/>
          <w:highlight w:val="none"/>
        </w:rPr>
      </w:pPr>
      <w:r>
        <w:rPr>
          <w:rFonts w:ascii="华文中宋" w:hAnsi="华文中宋" w:eastAsia="华文中宋"/>
          <w:color w:val="auto"/>
          <w:highlight w:val="none"/>
        </w:rPr>
        <w:tab/>
      </w:r>
      <w:r>
        <w:rPr>
          <w:rFonts w:ascii="华文中宋" w:hAnsi="华文中宋" w:eastAsia="华文中宋"/>
          <w:color w:val="auto"/>
          <w:highlight w:val="none"/>
        </w:rPr>
        <w:tab/>
      </w:r>
      <w:r>
        <w:rPr>
          <w:rFonts w:ascii="华文中宋" w:hAnsi="华文中宋" w:eastAsia="华文中宋"/>
          <w:color w:val="auto"/>
          <w:highlight w:val="none"/>
        </w:rPr>
        <w:tab/>
      </w:r>
      <w:r>
        <w:rPr>
          <w:rFonts w:ascii="华文中宋" w:hAnsi="华文中宋" w:eastAsia="华文中宋"/>
          <w:color w:val="auto"/>
          <w:highlight w:val="none"/>
        </w:rPr>
        <w:tab/>
      </w:r>
      <w:r>
        <w:rPr>
          <w:rFonts w:ascii="华文中宋" w:hAnsi="华文中宋" w:eastAsia="华文中宋"/>
          <w:color w:val="auto"/>
          <w:highlight w:val="none"/>
        </w:rPr>
        <w:tab/>
      </w:r>
      <w:r>
        <w:rPr>
          <w:rFonts w:ascii="华文中宋" w:hAnsi="华文中宋" w:eastAsia="华文中宋"/>
          <w:color w:val="auto"/>
          <w:highlight w:val="none"/>
        </w:rPr>
        <w:tab/>
      </w:r>
      <w:r>
        <w:rPr>
          <w:rFonts w:ascii="华文中宋" w:hAnsi="华文中宋" w:eastAsia="华文中宋"/>
          <w:color w:val="auto"/>
          <w:highlight w:val="none"/>
        </w:rPr>
        <w:tab/>
      </w:r>
    </w:p>
    <w:p w14:paraId="49D9491D">
      <w:pPr>
        <w:spacing w:line="588" w:lineRule="exact"/>
        <w:jc w:val="center"/>
        <w:rPr>
          <w:rFonts w:ascii="华文中宋" w:hAnsi="华文中宋" w:eastAsia="华文中宋"/>
          <w:color w:val="auto"/>
          <w:szCs w:val="21"/>
          <w:highlight w:val="none"/>
        </w:rPr>
      </w:pPr>
      <w:r>
        <w:rPr>
          <w:rFonts w:hint="eastAsia" w:ascii="华文中宋" w:hAnsi="华文中宋" w:eastAsia="华文中宋"/>
          <w:b/>
          <w:color w:val="auto"/>
          <w:sz w:val="24"/>
          <w:highlight w:val="none"/>
          <w:lang w:val="en-US" w:eastAsia="zh-CN"/>
        </w:rPr>
        <w:t>服务团队配置</w:t>
      </w:r>
      <w:r>
        <w:rPr>
          <w:rFonts w:hint="eastAsia" w:ascii="华文中宋" w:hAnsi="华文中宋" w:eastAsia="华文中宋"/>
          <w:b/>
          <w:color w:val="auto"/>
          <w:sz w:val="24"/>
          <w:highlight w:val="none"/>
        </w:rPr>
        <w:t>基本情况表</w:t>
      </w:r>
    </w:p>
    <w:p w14:paraId="67F57182">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w:t>
      </w:r>
      <w:r>
        <w:rPr>
          <w:rFonts w:ascii="华文中宋" w:hAnsi="华文中宋" w:eastAsia="华文中宋"/>
          <w:color w:val="auto"/>
          <w:szCs w:val="21"/>
          <w:highlight w:val="none"/>
        </w:rPr>
        <w:t xml:space="preserve">                        </w:t>
      </w:r>
      <w:r>
        <w:rPr>
          <w:rFonts w:hint="eastAsia" w:ascii="华文中宋" w:hAnsi="华文中宋" w:eastAsia="华文中宋"/>
          <w:color w:val="auto"/>
          <w:szCs w:val="21"/>
          <w:highlight w:val="none"/>
        </w:rPr>
        <w:t>包号：</w:t>
      </w:r>
    </w:p>
    <w:tbl>
      <w:tblPr>
        <w:tblStyle w:val="29"/>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945"/>
        <w:gridCol w:w="1245"/>
        <w:gridCol w:w="1590"/>
        <w:gridCol w:w="1245"/>
        <w:gridCol w:w="1260"/>
        <w:gridCol w:w="1260"/>
      </w:tblGrid>
      <w:tr w14:paraId="40C8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vAlign w:val="center"/>
          </w:tcPr>
          <w:p w14:paraId="0E9E8E53">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人员姓名</w:t>
            </w:r>
          </w:p>
        </w:tc>
        <w:tc>
          <w:tcPr>
            <w:tcW w:w="945" w:type="dxa"/>
            <w:vAlign w:val="center"/>
          </w:tcPr>
          <w:p w14:paraId="69BC57BE">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年龄</w:t>
            </w:r>
          </w:p>
        </w:tc>
        <w:tc>
          <w:tcPr>
            <w:tcW w:w="1245" w:type="dxa"/>
            <w:vAlign w:val="center"/>
          </w:tcPr>
          <w:p w14:paraId="32C4A95D">
            <w:pPr>
              <w:jc w:val="left"/>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rPr>
              <w:t>岗位</w:t>
            </w:r>
            <w:r>
              <w:rPr>
                <w:rFonts w:hint="eastAsia" w:ascii="华文中宋" w:hAnsi="华文中宋" w:eastAsia="华文中宋"/>
                <w:color w:val="auto"/>
                <w:szCs w:val="21"/>
                <w:highlight w:val="none"/>
                <w:lang w:val="en-US" w:eastAsia="zh-CN"/>
              </w:rPr>
              <w:t>配置</w:t>
            </w:r>
          </w:p>
        </w:tc>
        <w:tc>
          <w:tcPr>
            <w:tcW w:w="1590" w:type="dxa"/>
            <w:vAlign w:val="center"/>
          </w:tcPr>
          <w:p w14:paraId="790EB525">
            <w:pPr>
              <w:jc w:val="left"/>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lang w:val="en-US" w:eastAsia="zh-CN"/>
              </w:rPr>
              <w:t>人员专业能力</w:t>
            </w:r>
          </w:p>
        </w:tc>
        <w:tc>
          <w:tcPr>
            <w:tcW w:w="1245" w:type="dxa"/>
            <w:vAlign w:val="center"/>
          </w:tcPr>
          <w:p w14:paraId="0B61A623">
            <w:pPr>
              <w:jc w:val="left"/>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从业经验</w:t>
            </w:r>
          </w:p>
        </w:tc>
        <w:tc>
          <w:tcPr>
            <w:tcW w:w="1260" w:type="dxa"/>
            <w:vAlign w:val="center"/>
          </w:tcPr>
          <w:p w14:paraId="037926F1">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详细地址</w:t>
            </w:r>
          </w:p>
        </w:tc>
        <w:tc>
          <w:tcPr>
            <w:tcW w:w="1260" w:type="dxa"/>
            <w:vAlign w:val="center"/>
          </w:tcPr>
          <w:p w14:paraId="13BAC894">
            <w:pPr>
              <w:jc w:val="left"/>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rPr>
              <w:t>联系方式</w:t>
            </w:r>
          </w:p>
        </w:tc>
      </w:tr>
      <w:tr w14:paraId="3682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tcPr>
          <w:p w14:paraId="59C97E57">
            <w:pPr>
              <w:jc w:val="left"/>
              <w:rPr>
                <w:rFonts w:ascii="华文中宋" w:hAnsi="华文中宋" w:eastAsia="华文中宋"/>
                <w:color w:val="auto"/>
                <w:szCs w:val="21"/>
                <w:highlight w:val="none"/>
              </w:rPr>
            </w:pPr>
          </w:p>
        </w:tc>
        <w:tc>
          <w:tcPr>
            <w:tcW w:w="945" w:type="dxa"/>
          </w:tcPr>
          <w:p w14:paraId="6E59CB93">
            <w:pPr>
              <w:jc w:val="left"/>
              <w:rPr>
                <w:rFonts w:ascii="华文中宋" w:hAnsi="华文中宋" w:eastAsia="华文中宋"/>
                <w:color w:val="auto"/>
                <w:szCs w:val="21"/>
                <w:highlight w:val="none"/>
              </w:rPr>
            </w:pPr>
          </w:p>
        </w:tc>
        <w:tc>
          <w:tcPr>
            <w:tcW w:w="1245" w:type="dxa"/>
          </w:tcPr>
          <w:p w14:paraId="6F64E032">
            <w:pPr>
              <w:jc w:val="left"/>
              <w:rPr>
                <w:rFonts w:ascii="华文中宋" w:hAnsi="华文中宋" w:eastAsia="华文中宋"/>
                <w:color w:val="auto"/>
                <w:szCs w:val="21"/>
                <w:highlight w:val="none"/>
              </w:rPr>
            </w:pPr>
          </w:p>
        </w:tc>
        <w:tc>
          <w:tcPr>
            <w:tcW w:w="1590" w:type="dxa"/>
          </w:tcPr>
          <w:p w14:paraId="43B3197B">
            <w:pPr>
              <w:jc w:val="left"/>
              <w:rPr>
                <w:rFonts w:ascii="华文中宋" w:hAnsi="华文中宋" w:eastAsia="华文中宋"/>
                <w:color w:val="auto"/>
                <w:szCs w:val="21"/>
                <w:highlight w:val="none"/>
              </w:rPr>
            </w:pPr>
          </w:p>
        </w:tc>
        <w:tc>
          <w:tcPr>
            <w:tcW w:w="1245" w:type="dxa"/>
          </w:tcPr>
          <w:p w14:paraId="356B1FDF">
            <w:pPr>
              <w:jc w:val="left"/>
              <w:rPr>
                <w:rFonts w:ascii="华文中宋" w:hAnsi="华文中宋" w:eastAsia="华文中宋"/>
                <w:color w:val="auto"/>
                <w:szCs w:val="21"/>
                <w:highlight w:val="none"/>
              </w:rPr>
            </w:pPr>
          </w:p>
        </w:tc>
        <w:tc>
          <w:tcPr>
            <w:tcW w:w="1260" w:type="dxa"/>
          </w:tcPr>
          <w:p w14:paraId="7D20A525">
            <w:pPr>
              <w:jc w:val="left"/>
              <w:rPr>
                <w:rFonts w:ascii="华文中宋" w:hAnsi="华文中宋" w:eastAsia="华文中宋"/>
                <w:color w:val="auto"/>
                <w:szCs w:val="21"/>
                <w:highlight w:val="none"/>
              </w:rPr>
            </w:pPr>
          </w:p>
        </w:tc>
        <w:tc>
          <w:tcPr>
            <w:tcW w:w="1260" w:type="dxa"/>
          </w:tcPr>
          <w:p w14:paraId="675B4C8C">
            <w:pPr>
              <w:jc w:val="left"/>
              <w:rPr>
                <w:rFonts w:ascii="华文中宋" w:hAnsi="华文中宋" w:eastAsia="华文中宋"/>
                <w:color w:val="auto"/>
                <w:szCs w:val="21"/>
                <w:highlight w:val="none"/>
              </w:rPr>
            </w:pPr>
          </w:p>
        </w:tc>
      </w:tr>
      <w:tr w14:paraId="6763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1575" w:type="dxa"/>
          </w:tcPr>
          <w:p w14:paraId="6C9E071D">
            <w:pPr>
              <w:jc w:val="left"/>
              <w:rPr>
                <w:rFonts w:ascii="华文中宋" w:hAnsi="华文中宋" w:eastAsia="华文中宋"/>
                <w:color w:val="auto"/>
                <w:szCs w:val="21"/>
                <w:highlight w:val="none"/>
              </w:rPr>
            </w:pPr>
          </w:p>
        </w:tc>
        <w:tc>
          <w:tcPr>
            <w:tcW w:w="945" w:type="dxa"/>
          </w:tcPr>
          <w:p w14:paraId="57AAB92D">
            <w:pPr>
              <w:jc w:val="left"/>
              <w:rPr>
                <w:rFonts w:ascii="华文中宋" w:hAnsi="华文中宋" w:eastAsia="华文中宋"/>
                <w:color w:val="auto"/>
                <w:szCs w:val="21"/>
                <w:highlight w:val="none"/>
              </w:rPr>
            </w:pPr>
          </w:p>
        </w:tc>
        <w:tc>
          <w:tcPr>
            <w:tcW w:w="1245" w:type="dxa"/>
          </w:tcPr>
          <w:p w14:paraId="06457EC5">
            <w:pPr>
              <w:jc w:val="left"/>
              <w:rPr>
                <w:rFonts w:ascii="华文中宋" w:hAnsi="华文中宋" w:eastAsia="华文中宋"/>
                <w:color w:val="auto"/>
                <w:szCs w:val="21"/>
                <w:highlight w:val="none"/>
              </w:rPr>
            </w:pPr>
          </w:p>
        </w:tc>
        <w:tc>
          <w:tcPr>
            <w:tcW w:w="1590" w:type="dxa"/>
          </w:tcPr>
          <w:p w14:paraId="28FF5AAC">
            <w:pPr>
              <w:jc w:val="left"/>
              <w:rPr>
                <w:rFonts w:ascii="华文中宋" w:hAnsi="华文中宋" w:eastAsia="华文中宋"/>
                <w:color w:val="auto"/>
                <w:szCs w:val="21"/>
                <w:highlight w:val="none"/>
              </w:rPr>
            </w:pPr>
          </w:p>
        </w:tc>
        <w:tc>
          <w:tcPr>
            <w:tcW w:w="1245" w:type="dxa"/>
          </w:tcPr>
          <w:p w14:paraId="3F98A085">
            <w:pPr>
              <w:jc w:val="left"/>
              <w:rPr>
                <w:rFonts w:ascii="华文中宋" w:hAnsi="华文中宋" w:eastAsia="华文中宋"/>
                <w:color w:val="auto"/>
                <w:szCs w:val="21"/>
                <w:highlight w:val="none"/>
              </w:rPr>
            </w:pPr>
          </w:p>
        </w:tc>
        <w:tc>
          <w:tcPr>
            <w:tcW w:w="1260" w:type="dxa"/>
          </w:tcPr>
          <w:p w14:paraId="440A0516">
            <w:pPr>
              <w:jc w:val="left"/>
              <w:rPr>
                <w:rFonts w:ascii="华文中宋" w:hAnsi="华文中宋" w:eastAsia="华文中宋"/>
                <w:color w:val="auto"/>
                <w:szCs w:val="21"/>
                <w:highlight w:val="none"/>
              </w:rPr>
            </w:pPr>
          </w:p>
        </w:tc>
        <w:tc>
          <w:tcPr>
            <w:tcW w:w="1260" w:type="dxa"/>
          </w:tcPr>
          <w:p w14:paraId="3DF6EA5F">
            <w:pPr>
              <w:jc w:val="left"/>
              <w:rPr>
                <w:rFonts w:ascii="华文中宋" w:hAnsi="华文中宋" w:eastAsia="华文中宋"/>
                <w:color w:val="auto"/>
                <w:szCs w:val="21"/>
                <w:highlight w:val="none"/>
              </w:rPr>
            </w:pPr>
          </w:p>
        </w:tc>
      </w:tr>
      <w:tr w14:paraId="0123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5" w:type="dxa"/>
          </w:tcPr>
          <w:p w14:paraId="4358FE10">
            <w:pPr>
              <w:jc w:val="left"/>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rPr>
              <w:t>……</w:t>
            </w:r>
          </w:p>
        </w:tc>
        <w:tc>
          <w:tcPr>
            <w:tcW w:w="945" w:type="dxa"/>
          </w:tcPr>
          <w:p w14:paraId="33927A4C">
            <w:pPr>
              <w:jc w:val="left"/>
              <w:rPr>
                <w:rFonts w:ascii="华文中宋" w:hAnsi="华文中宋" w:eastAsia="华文中宋"/>
                <w:color w:val="auto"/>
                <w:szCs w:val="21"/>
                <w:highlight w:val="none"/>
              </w:rPr>
            </w:pPr>
          </w:p>
        </w:tc>
        <w:tc>
          <w:tcPr>
            <w:tcW w:w="1245" w:type="dxa"/>
          </w:tcPr>
          <w:p w14:paraId="616A5896">
            <w:pPr>
              <w:jc w:val="left"/>
              <w:rPr>
                <w:rFonts w:ascii="华文中宋" w:hAnsi="华文中宋" w:eastAsia="华文中宋"/>
                <w:color w:val="auto"/>
                <w:szCs w:val="21"/>
                <w:highlight w:val="none"/>
              </w:rPr>
            </w:pPr>
          </w:p>
        </w:tc>
        <w:tc>
          <w:tcPr>
            <w:tcW w:w="1590" w:type="dxa"/>
          </w:tcPr>
          <w:p w14:paraId="009A8000">
            <w:pPr>
              <w:jc w:val="left"/>
              <w:rPr>
                <w:rFonts w:ascii="华文中宋" w:hAnsi="华文中宋" w:eastAsia="华文中宋"/>
                <w:color w:val="auto"/>
                <w:szCs w:val="21"/>
                <w:highlight w:val="none"/>
              </w:rPr>
            </w:pPr>
          </w:p>
        </w:tc>
        <w:tc>
          <w:tcPr>
            <w:tcW w:w="1245" w:type="dxa"/>
          </w:tcPr>
          <w:p w14:paraId="023708A8">
            <w:pPr>
              <w:jc w:val="left"/>
              <w:rPr>
                <w:rFonts w:ascii="华文中宋" w:hAnsi="华文中宋" w:eastAsia="华文中宋"/>
                <w:color w:val="auto"/>
                <w:szCs w:val="21"/>
                <w:highlight w:val="none"/>
              </w:rPr>
            </w:pPr>
          </w:p>
        </w:tc>
        <w:tc>
          <w:tcPr>
            <w:tcW w:w="1260" w:type="dxa"/>
          </w:tcPr>
          <w:p w14:paraId="10C37DC8">
            <w:pPr>
              <w:jc w:val="left"/>
              <w:rPr>
                <w:rFonts w:ascii="华文中宋" w:hAnsi="华文中宋" w:eastAsia="华文中宋"/>
                <w:color w:val="auto"/>
                <w:szCs w:val="21"/>
                <w:highlight w:val="none"/>
              </w:rPr>
            </w:pPr>
          </w:p>
        </w:tc>
        <w:tc>
          <w:tcPr>
            <w:tcW w:w="1260" w:type="dxa"/>
          </w:tcPr>
          <w:p w14:paraId="59D64738">
            <w:pPr>
              <w:jc w:val="left"/>
              <w:rPr>
                <w:rFonts w:ascii="华文中宋" w:hAnsi="华文中宋" w:eastAsia="华文中宋"/>
                <w:color w:val="auto"/>
                <w:szCs w:val="21"/>
                <w:highlight w:val="none"/>
              </w:rPr>
            </w:pPr>
          </w:p>
        </w:tc>
      </w:tr>
    </w:tbl>
    <w:p w14:paraId="2B3FA579">
      <w:pPr>
        <w:spacing w:line="588" w:lineRule="exact"/>
        <w:ind w:firstLine="480"/>
        <w:jc w:val="center"/>
        <w:rPr>
          <w:rFonts w:hint="eastAsia" w:ascii="华文中宋" w:hAnsi="华文中宋" w:eastAsia="华文中宋"/>
          <w:b/>
          <w:color w:val="auto"/>
          <w:sz w:val="24"/>
          <w:highlight w:val="none"/>
        </w:rPr>
      </w:pPr>
    </w:p>
    <w:p w14:paraId="7CE98D8F">
      <w:pPr>
        <w:spacing w:line="588" w:lineRule="exact"/>
        <w:ind w:firstLine="480"/>
        <w:jc w:val="center"/>
        <w:rPr>
          <w:rFonts w:hint="eastAsia" w:ascii="华文中宋" w:hAnsi="华文中宋" w:eastAsia="华文中宋"/>
          <w:b/>
          <w:color w:val="auto"/>
          <w:sz w:val="24"/>
          <w:highlight w:val="none"/>
        </w:rPr>
      </w:pPr>
    </w:p>
    <w:p w14:paraId="0596586B">
      <w:pPr>
        <w:pStyle w:val="20"/>
        <w:rPr>
          <w:rFonts w:hint="eastAsia"/>
          <w:color w:val="auto"/>
          <w:highlight w:val="none"/>
        </w:rPr>
      </w:pPr>
    </w:p>
    <w:p w14:paraId="5B8437ED">
      <w:pPr>
        <w:spacing w:line="360" w:lineRule="exact"/>
        <w:rPr>
          <w:rFonts w:hint="eastAsia" w:ascii="华文中宋" w:hAnsi="华文中宋" w:eastAsia="华文中宋" w:cs="华文中宋"/>
          <w:b/>
          <w:color w:val="auto"/>
          <w:sz w:val="24"/>
          <w:highlight w:val="none"/>
        </w:rPr>
      </w:pPr>
    </w:p>
    <w:p w14:paraId="40C0A976">
      <w:pPr>
        <w:spacing w:line="360" w:lineRule="exact"/>
        <w:ind w:left="360" w:hanging="360" w:hangingChars="150"/>
        <w:rPr>
          <w:rFonts w:hint="eastAsia" w:ascii="华文中宋" w:hAnsi="华文中宋" w:eastAsia="华文中宋" w:cs="华文中宋"/>
          <w:b/>
          <w:color w:val="auto"/>
          <w:sz w:val="24"/>
          <w:highlight w:val="none"/>
        </w:rPr>
      </w:pPr>
    </w:p>
    <w:p w14:paraId="19BFF3A3">
      <w:pPr>
        <w:spacing w:line="360" w:lineRule="exact"/>
        <w:ind w:left="360" w:hanging="360" w:hangingChars="150"/>
        <w:rPr>
          <w:rFonts w:hint="eastAsia" w:ascii="华文中宋" w:hAnsi="华文中宋" w:eastAsia="华文中宋" w:cs="华文中宋"/>
          <w:color w:val="auto"/>
          <w:szCs w:val="21"/>
          <w:highlight w:val="none"/>
        </w:rPr>
      </w:pPr>
      <w:r>
        <w:rPr>
          <w:rFonts w:hint="eastAsia" w:ascii="华文中宋" w:hAnsi="华文中宋" w:eastAsia="华文中宋" w:cs="华文中宋"/>
          <w:b/>
          <w:color w:val="auto"/>
          <w:sz w:val="24"/>
          <w:highlight w:val="none"/>
        </w:rPr>
        <w:t>（</w:t>
      </w:r>
      <w:r>
        <w:rPr>
          <w:rFonts w:hint="eastAsia" w:ascii="华文中宋" w:hAnsi="华文中宋" w:eastAsia="华文中宋" w:cs="华文中宋"/>
          <w:b/>
          <w:color w:val="auto"/>
          <w:sz w:val="24"/>
          <w:highlight w:val="none"/>
          <w:lang w:val="en-US" w:eastAsia="zh-CN"/>
        </w:rPr>
        <w:t>五</w:t>
      </w:r>
      <w:r>
        <w:rPr>
          <w:rFonts w:hint="eastAsia" w:ascii="华文中宋" w:hAnsi="华文中宋" w:eastAsia="华文中宋" w:cs="华文中宋"/>
          <w:b/>
          <w:color w:val="auto"/>
          <w:sz w:val="24"/>
          <w:highlight w:val="none"/>
        </w:rPr>
        <w:t>）对采购需求的响应内容</w:t>
      </w:r>
    </w:p>
    <w:p w14:paraId="62D25514">
      <w:pPr>
        <w:spacing w:line="360" w:lineRule="auto"/>
        <w:ind w:left="315" w:leftChars="150" w:firstLine="105" w:firstLineChars="50"/>
        <w:rPr>
          <w:rFonts w:hint="eastAsia" w:ascii="华文中宋" w:hAnsi="华文中宋" w:eastAsia="华文中宋" w:cs="华文中宋"/>
          <w:color w:val="auto"/>
          <w:szCs w:val="21"/>
          <w:highlight w:val="none"/>
        </w:rPr>
      </w:pPr>
    </w:p>
    <w:p w14:paraId="24D72A9A">
      <w:pPr>
        <w:spacing w:line="360" w:lineRule="auto"/>
        <w:ind w:left="315" w:leftChars="150" w:firstLine="105" w:firstLineChars="50"/>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对商务要求的响应内容</w:t>
      </w:r>
    </w:p>
    <w:p w14:paraId="417EFC24">
      <w:pPr>
        <w:pStyle w:val="15"/>
        <w:rPr>
          <w:rFonts w:hint="default" w:eastAsia="华文中宋"/>
          <w:color w:val="auto"/>
          <w:highlight w:val="none"/>
          <w:lang w:val="en-US" w:eastAsia="zh-CN"/>
        </w:rPr>
      </w:pPr>
      <w:r>
        <w:rPr>
          <w:rFonts w:hint="eastAsia" w:eastAsia="华文中宋"/>
          <w:color w:val="auto"/>
          <w:highlight w:val="none"/>
          <w:lang w:val="en-US" w:eastAsia="zh-CN"/>
        </w:rPr>
        <w:t>参考格式：</w:t>
      </w:r>
    </w:p>
    <w:p w14:paraId="789CF192">
      <w:pPr>
        <w:pStyle w:val="15"/>
        <w:numPr>
          <w:ilvl w:val="0"/>
          <w:numId w:val="0"/>
        </w:numPr>
        <w:jc w:val="center"/>
        <w:rPr>
          <w:rFonts w:hint="default"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商务需求偏离表</w:t>
      </w:r>
    </w:p>
    <w:tbl>
      <w:tblPr>
        <w:tblStyle w:val="29"/>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562"/>
        <w:gridCol w:w="3725"/>
        <w:gridCol w:w="2337"/>
        <w:gridCol w:w="721"/>
      </w:tblGrid>
      <w:tr w14:paraId="54D8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26" w:type="dxa"/>
            <w:tcBorders>
              <w:tl2br w:val="nil"/>
              <w:tr2bl w:val="nil"/>
            </w:tcBorders>
            <w:shd w:val="clear" w:color="auto" w:fill="auto"/>
            <w:vAlign w:val="center"/>
          </w:tcPr>
          <w:p w14:paraId="272A0D25">
            <w:pPr>
              <w:adjustRightInd w:val="0"/>
              <w:snapToGrid w:val="0"/>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序号</w:t>
            </w:r>
          </w:p>
        </w:tc>
        <w:tc>
          <w:tcPr>
            <w:tcW w:w="1562" w:type="dxa"/>
            <w:tcBorders>
              <w:tl2br w:val="nil"/>
              <w:tr2bl w:val="nil"/>
            </w:tcBorders>
            <w:shd w:val="clear" w:color="auto" w:fill="auto"/>
            <w:vAlign w:val="center"/>
          </w:tcPr>
          <w:p w14:paraId="335CB5B6">
            <w:pPr>
              <w:adjustRightInd w:val="0"/>
              <w:snapToGrid w:val="0"/>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项目</w:t>
            </w:r>
          </w:p>
        </w:tc>
        <w:tc>
          <w:tcPr>
            <w:tcW w:w="3725" w:type="dxa"/>
            <w:tcBorders>
              <w:tl2br w:val="nil"/>
              <w:tr2bl w:val="nil"/>
            </w:tcBorders>
            <w:shd w:val="clear" w:color="auto" w:fill="auto"/>
            <w:vAlign w:val="center"/>
          </w:tcPr>
          <w:p w14:paraId="40D205EC">
            <w:pPr>
              <w:jc w:val="center"/>
              <w:rPr>
                <w:rFonts w:hint="default"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招标文件要求</w:t>
            </w:r>
          </w:p>
        </w:tc>
        <w:tc>
          <w:tcPr>
            <w:tcW w:w="2337" w:type="dxa"/>
            <w:tcBorders>
              <w:tl2br w:val="nil"/>
              <w:tr2bl w:val="nil"/>
            </w:tcBorders>
            <w:shd w:val="clear" w:color="auto" w:fill="auto"/>
            <w:vAlign w:val="center"/>
          </w:tcPr>
          <w:p w14:paraId="7E87810C">
            <w:pPr>
              <w:adjustRightInd w:val="0"/>
              <w:snapToGrid w:val="0"/>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投标响应（响应参数值须为具体参数值，不接受范围值）</w:t>
            </w:r>
          </w:p>
        </w:tc>
        <w:tc>
          <w:tcPr>
            <w:tcW w:w="721" w:type="dxa"/>
            <w:tcBorders>
              <w:tl2br w:val="nil"/>
              <w:tr2bl w:val="nil"/>
            </w:tcBorders>
            <w:shd w:val="clear" w:color="auto" w:fill="auto"/>
            <w:vAlign w:val="center"/>
          </w:tcPr>
          <w:p w14:paraId="12B96536">
            <w:pPr>
              <w:adjustRightInd w:val="0"/>
              <w:snapToGrid w:val="0"/>
              <w:jc w:val="center"/>
              <w:rPr>
                <w:rFonts w:hint="default"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偏离情况</w:t>
            </w:r>
          </w:p>
        </w:tc>
      </w:tr>
      <w:tr w14:paraId="03A7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26" w:type="dxa"/>
            <w:tcBorders>
              <w:tl2br w:val="nil"/>
              <w:tr2bl w:val="nil"/>
            </w:tcBorders>
            <w:shd w:val="clear" w:color="auto" w:fill="auto"/>
            <w:vAlign w:val="center"/>
          </w:tcPr>
          <w:p w14:paraId="10DC12E5">
            <w:pPr>
              <w:adjustRightInd w:val="0"/>
              <w:snapToGrid w:val="0"/>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1</w:t>
            </w:r>
          </w:p>
        </w:tc>
        <w:tc>
          <w:tcPr>
            <w:tcW w:w="1562" w:type="dxa"/>
            <w:tcBorders>
              <w:tl2br w:val="nil"/>
              <w:tr2bl w:val="nil"/>
            </w:tcBorders>
            <w:shd w:val="clear" w:color="auto" w:fill="auto"/>
            <w:vAlign w:val="center"/>
          </w:tcPr>
          <w:p w14:paraId="025FA7D6">
            <w:pPr>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报价</w:t>
            </w:r>
          </w:p>
        </w:tc>
        <w:tc>
          <w:tcPr>
            <w:tcW w:w="3725" w:type="dxa"/>
            <w:tcBorders>
              <w:tl2br w:val="nil"/>
              <w:tr2bl w:val="nil"/>
            </w:tcBorders>
            <w:shd w:val="clear" w:color="auto" w:fill="auto"/>
            <w:vAlign w:val="center"/>
          </w:tcPr>
          <w:p w14:paraId="75AD7466">
            <w:pPr>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最高限价：5628800元</w:t>
            </w:r>
          </w:p>
        </w:tc>
        <w:tc>
          <w:tcPr>
            <w:tcW w:w="2337" w:type="dxa"/>
            <w:tcBorders>
              <w:tl2br w:val="nil"/>
              <w:tr2bl w:val="nil"/>
            </w:tcBorders>
            <w:shd w:val="clear" w:color="auto" w:fill="auto"/>
            <w:vAlign w:val="center"/>
          </w:tcPr>
          <w:p w14:paraId="4B1A3FE4">
            <w:pPr>
              <w:adjustRightInd w:val="0"/>
              <w:snapToGrid w:val="0"/>
              <w:jc w:val="left"/>
              <w:rPr>
                <w:rFonts w:hint="eastAsia" w:ascii="华文中宋" w:hAnsi="华文中宋" w:eastAsia="华文中宋" w:cs="华文中宋"/>
                <w:color w:val="auto"/>
                <w:kern w:val="2"/>
                <w:sz w:val="21"/>
                <w:szCs w:val="21"/>
                <w:highlight w:val="none"/>
                <w:lang w:val="en-US" w:eastAsia="zh-CN" w:bidi="ar-SA"/>
              </w:rPr>
            </w:pPr>
          </w:p>
        </w:tc>
        <w:tc>
          <w:tcPr>
            <w:tcW w:w="721" w:type="dxa"/>
            <w:tcBorders>
              <w:tl2br w:val="nil"/>
              <w:tr2bl w:val="nil"/>
            </w:tcBorders>
            <w:shd w:val="clear" w:color="auto" w:fill="auto"/>
            <w:vAlign w:val="center"/>
          </w:tcPr>
          <w:p w14:paraId="71A866FD">
            <w:pPr>
              <w:adjustRightInd w:val="0"/>
              <w:snapToGrid w:val="0"/>
              <w:jc w:val="left"/>
              <w:rPr>
                <w:rFonts w:hint="eastAsia" w:ascii="华文中宋" w:hAnsi="华文中宋" w:eastAsia="华文中宋" w:cs="华文中宋"/>
                <w:color w:val="auto"/>
                <w:kern w:val="2"/>
                <w:sz w:val="21"/>
                <w:szCs w:val="21"/>
                <w:highlight w:val="none"/>
                <w:lang w:val="en-US" w:eastAsia="zh-CN" w:bidi="ar-SA"/>
              </w:rPr>
            </w:pPr>
          </w:p>
        </w:tc>
      </w:tr>
      <w:tr w14:paraId="234C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26" w:type="dxa"/>
            <w:tcBorders>
              <w:tl2br w:val="nil"/>
              <w:tr2bl w:val="nil"/>
            </w:tcBorders>
            <w:shd w:val="clear" w:color="auto" w:fill="auto"/>
            <w:vAlign w:val="center"/>
          </w:tcPr>
          <w:p w14:paraId="53E21C74">
            <w:pPr>
              <w:adjustRightInd w:val="0"/>
              <w:snapToGrid w:val="0"/>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2</w:t>
            </w:r>
          </w:p>
        </w:tc>
        <w:tc>
          <w:tcPr>
            <w:tcW w:w="1562" w:type="dxa"/>
            <w:tcBorders>
              <w:tl2br w:val="nil"/>
              <w:tr2bl w:val="nil"/>
            </w:tcBorders>
            <w:shd w:val="clear" w:color="auto" w:fill="auto"/>
            <w:vAlign w:val="center"/>
          </w:tcPr>
          <w:p w14:paraId="067029BF">
            <w:pPr>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供货时间</w:t>
            </w:r>
          </w:p>
        </w:tc>
        <w:tc>
          <w:tcPr>
            <w:tcW w:w="3725" w:type="dxa"/>
            <w:tcBorders>
              <w:tl2br w:val="nil"/>
              <w:tr2bl w:val="nil"/>
            </w:tcBorders>
            <w:shd w:val="clear" w:color="auto" w:fill="auto"/>
            <w:vAlign w:val="center"/>
          </w:tcPr>
          <w:p w14:paraId="1CB9CFAA">
            <w:pPr>
              <w:jc w:val="center"/>
              <w:rPr>
                <w:rFonts w:hint="default" w:ascii="华文中宋" w:hAnsi="华文中宋" w:eastAsia="华文中宋" w:cs="华文中宋"/>
                <w:color w:val="auto"/>
                <w:kern w:val="2"/>
                <w:sz w:val="21"/>
                <w:szCs w:val="21"/>
                <w:highlight w:val="none"/>
                <w:lang w:val="en-US" w:eastAsia="zh-CN" w:bidi="ar-SA"/>
              </w:rPr>
            </w:pPr>
            <w:r>
              <w:rPr>
                <w:rFonts w:hint="default" w:ascii="华文中宋" w:hAnsi="华文中宋" w:eastAsia="华文中宋" w:cs="华文中宋"/>
                <w:color w:val="auto"/>
                <w:kern w:val="2"/>
                <w:sz w:val="21"/>
                <w:szCs w:val="21"/>
                <w:highlight w:val="none"/>
                <w:lang w:val="en-US" w:eastAsia="zh-CN" w:bidi="ar-SA"/>
              </w:rPr>
              <w:t>30天</w:t>
            </w:r>
          </w:p>
        </w:tc>
        <w:tc>
          <w:tcPr>
            <w:tcW w:w="2337" w:type="dxa"/>
            <w:tcBorders>
              <w:tl2br w:val="nil"/>
              <w:tr2bl w:val="nil"/>
            </w:tcBorders>
            <w:shd w:val="clear" w:color="auto" w:fill="auto"/>
            <w:vAlign w:val="center"/>
          </w:tcPr>
          <w:p w14:paraId="7374F977">
            <w:pPr>
              <w:adjustRightInd w:val="0"/>
              <w:snapToGrid w:val="0"/>
              <w:jc w:val="left"/>
              <w:rPr>
                <w:rFonts w:hint="eastAsia" w:ascii="华文中宋" w:hAnsi="华文中宋" w:eastAsia="华文中宋" w:cs="华文中宋"/>
                <w:color w:val="auto"/>
                <w:kern w:val="2"/>
                <w:sz w:val="21"/>
                <w:szCs w:val="21"/>
                <w:highlight w:val="none"/>
                <w:lang w:val="en-US" w:eastAsia="zh-CN" w:bidi="ar-SA"/>
              </w:rPr>
            </w:pPr>
          </w:p>
        </w:tc>
        <w:tc>
          <w:tcPr>
            <w:tcW w:w="721" w:type="dxa"/>
            <w:tcBorders>
              <w:tl2br w:val="nil"/>
              <w:tr2bl w:val="nil"/>
            </w:tcBorders>
            <w:shd w:val="clear" w:color="auto" w:fill="auto"/>
            <w:vAlign w:val="center"/>
          </w:tcPr>
          <w:p w14:paraId="4BAD50CC">
            <w:pPr>
              <w:adjustRightInd w:val="0"/>
              <w:snapToGrid w:val="0"/>
              <w:jc w:val="left"/>
              <w:rPr>
                <w:rFonts w:hint="eastAsia" w:ascii="华文中宋" w:hAnsi="华文中宋" w:eastAsia="华文中宋" w:cs="华文中宋"/>
                <w:color w:val="auto"/>
                <w:kern w:val="2"/>
                <w:sz w:val="21"/>
                <w:szCs w:val="21"/>
                <w:highlight w:val="none"/>
                <w:lang w:val="en-US" w:eastAsia="zh-CN" w:bidi="ar-SA"/>
              </w:rPr>
            </w:pPr>
          </w:p>
        </w:tc>
      </w:tr>
      <w:tr w14:paraId="1DA3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26" w:type="dxa"/>
            <w:tcBorders>
              <w:tl2br w:val="nil"/>
              <w:tr2bl w:val="nil"/>
            </w:tcBorders>
            <w:shd w:val="clear" w:color="auto" w:fill="auto"/>
            <w:vAlign w:val="center"/>
          </w:tcPr>
          <w:p w14:paraId="5562EFA2">
            <w:pPr>
              <w:adjustRightInd w:val="0"/>
              <w:snapToGrid w:val="0"/>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3</w:t>
            </w:r>
          </w:p>
        </w:tc>
        <w:tc>
          <w:tcPr>
            <w:tcW w:w="1562" w:type="dxa"/>
            <w:tcBorders>
              <w:tl2br w:val="nil"/>
              <w:tr2bl w:val="nil"/>
            </w:tcBorders>
            <w:shd w:val="clear" w:color="auto" w:fill="auto"/>
            <w:vAlign w:val="center"/>
          </w:tcPr>
          <w:p w14:paraId="7E32BD60">
            <w:pPr>
              <w:jc w:val="center"/>
              <w:rPr>
                <w:rFonts w:hint="default"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付款方式</w:t>
            </w:r>
          </w:p>
        </w:tc>
        <w:tc>
          <w:tcPr>
            <w:tcW w:w="3725" w:type="dxa"/>
            <w:tcBorders>
              <w:tl2br w:val="nil"/>
              <w:tr2bl w:val="nil"/>
            </w:tcBorders>
            <w:shd w:val="clear" w:color="auto" w:fill="auto"/>
            <w:vAlign w:val="center"/>
          </w:tcPr>
          <w:p w14:paraId="539B7AFE">
            <w:pPr>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验收合格后一次性付款</w:t>
            </w:r>
          </w:p>
        </w:tc>
        <w:tc>
          <w:tcPr>
            <w:tcW w:w="2337" w:type="dxa"/>
            <w:tcBorders>
              <w:tl2br w:val="nil"/>
              <w:tr2bl w:val="nil"/>
            </w:tcBorders>
            <w:shd w:val="clear" w:color="auto" w:fill="auto"/>
            <w:vAlign w:val="center"/>
          </w:tcPr>
          <w:p w14:paraId="3EAEDAC6">
            <w:pPr>
              <w:adjustRightInd w:val="0"/>
              <w:snapToGrid w:val="0"/>
              <w:jc w:val="left"/>
              <w:rPr>
                <w:rFonts w:hint="eastAsia" w:ascii="华文中宋" w:hAnsi="华文中宋" w:eastAsia="华文中宋" w:cs="华文中宋"/>
                <w:color w:val="auto"/>
                <w:kern w:val="2"/>
                <w:sz w:val="21"/>
                <w:szCs w:val="21"/>
                <w:highlight w:val="none"/>
                <w:lang w:val="en-US" w:eastAsia="zh-CN" w:bidi="ar-SA"/>
              </w:rPr>
            </w:pPr>
          </w:p>
        </w:tc>
        <w:tc>
          <w:tcPr>
            <w:tcW w:w="721" w:type="dxa"/>
            <w:tcBorders>
              <w:tl2br w:val="nil"/>
              <w:tr2bl w:val="nil"/>
            </w:tcBorders>
            <w:shd w:val="clear" w:color="auto" w:fill="auto"/>
            <w:vAlign w:val="center"/>
          </w:tcPr>
          <w:p w14:paraId="155D5A87">
            <w:pPr>
              <w:adjustRightInd w:val="0"/>
              <w:snapToGrid w:val="0"/>
              <w:jc w:val="left"/>
              <w:rPr>
                <w:rFonts w:hint="eastAsia" w:ascii="华文中宋" w:hAnsi="华文中宋" w:eastAsia="华文中宋" w:cs="华文中宋"/>
                <w:color w:val="auto"/>
                <w:kern w:val="2"/>
                <w:sz w:val="21"/>
                <w:szCs w:val="21"/>
                <w:highlight w:val="none"/>
                <w:lang w:val="en-US" w:eastAsia="zh-CN" w:bidi="ar-SA"/>
              </w:rPr>
            </w:pPr>
          </w:p>
        </w:tc>
      </w:tr>
      <w:tr w14:paraId="1455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6" w:type="dxa"/>
            <w:tcBorders>
              <w:tl2br w:val="nil"/>
              <w:tr2bl w:val="nil"/>
            </w:tcBorders>
            <w:shd w:val="clear" w:color="auto" w:fill="auto"/>
            <w:vAlign w:val="center"/>
          </w:tcPr>
          <w:p w14:paraId="4C609025">
            <w:pPr>
              <w:adjustRightInd w:val="0"/>
              <w:snapToGrid w:val="0"/>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4</w:t>
            </w:r>
          </w:p>
        </w:tc>
        <w:tc>
          <w:tcPr>
            <w:tcW w:w="1562" w:type="dxa"/>
            <w:tcBorders>
              <w:tl2br w:val="nil"/>
              <w:tr2bl w:val="nil"/>
            </w:tcBorders>
            <w:shd w:val="clear" w:color="auto" w:fill="auto"/>
            <w:vAlign w:val="center"/>
          </w:tcPr>
          <w:p w14:paraId="4CC7BB4D">
            <w:pPr>
              <w:pStyle w:val="15"/>
              <w:numPr>
                <w:ilvl w:val="0"/>
                <w:numId w:val="0"/>
              </w:numPr>
              <w:jc w:val="center"/>
              <w:rPr>
                <w:rFonts w:hint="default"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质保期及售后服务要求</w:t>
            </w:r>
          </w:p>
        </w:tc>
        <w:tc>
          <w:tcPr>
            <w:tcW w:w="3725" w:type="dxa"/>
            <w:tcBorders>
              <w:tl2br w:val="nil"/>
              <w:tr2bl w:val="nil"/>
            </w:tcBorders>
            <w:shd w:val="clear" w:color="auto" w:fill="auto"/>
            <w:vAlign w:val="center"/>
          </w:tcPr>
          <w:p w14:paraId="6036EDC3">
            <w:pPr>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质保期：一年</w:t>
            </w:r>
          </w:p>
          <w:p w14:paraId="6D4D65CE">
            <w:pPr>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服务要求：在产品的保修期内，提供7×24小时远程电话支持服务，保修期内如存在缺陷与质量问题的，需在8小时内更换新品，费用由中标企业承担。</w:t>
            </w:r>
          </w:p>
        </w:tc>
        <w:tc>
          <w:tcPr>
            <w:tcW w:w="2337" w:type="dxa"/>
            <w:tcBorders>
              <w:tl2br w:val="nil"/>
              <w:tr2bl w:val="nil"/>
            </w:tcBorders>
            <w:shd w:val="clear" w:color="auto" w:fill="auto"/>
            <w:vAlign w:val="center"/>
          </w:tcPr>
          <w:p w14:paraId="5EAB3936">
            <w:pPr>
              <w:adjustRightInd w:val="0"/>
              <w:snapToGrid w:val="0"/>
              <w:jc w:val="left"/>
              <w:rPr>
                <w:rFonts w:hint="eastAsia" w:ascii="华文中宋" w:hAnsi="华文中宋" w:eastAsia="华文中宋" w:cs="华文中宋"/>
                <w:color w:val="auto"/>
                <w:kern w:val="2"/>
                <w:sz w:val="21"/>
                <w:szCs w:val="21"/>
                <w:highlight w:val="none"/>
                <w:lang w:val="en-US" w:eastAsia="zh-CN" w:bidi="ar-SA"/>
              </w:rPr>
            </w:pPr>
          </w:p>
        </w:tc>
        <w:tc>
          <w:tcPr>
            <w:tcW w:w="721" w:type="dxa"/>
            <w:tcBorders>
              <w:tl2br w:val="nil"/>
              <w:tr2bl w:val="nil"/>
            </w:tcBorders>
            <w:shd w:val="clear" w:color="auto" w:fill="auto"/>
            <w:vAlign w:val="center"/>
          </w:tcPr>
          <w:p w14:paraId="1ADFE419">
            <w:pPr>
              <w:adjustRightInd w:val="0"/>
              <w:snapToGrid w:val="0"/>
              <w:jc w:val="left"/>
              <w:rPr>
                <w:rFonts w:hint="eastAsia" w:ascii="华文中宋" w:hAnsi="华文中宋" w:eastAsia="华文中宋" w:cs="华文中宋"/>
                <w:color w:val="auto"/>
                <w:kern w:val="2"/>
                <w:sz w:val="21"/>
                <w:szCs w:val="21"/>
                <w:highlight w:val="none"/>
                <w:lang w:val="en-US" w:eastAsia="zh-CN" w:bidi="ar-SA"/>
              </w:rPr>
            </w:pPr>
          </w:p>
        </w:tc>
      </w:tr>
      <w:tr w14:paraId="435F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26" w:type="dxa"/>
            <w:tcBorders>
              <w:tl2br w:val="nil"/>
              <w:tr2bl w:val="nil"/>
            </w:tcBorders>
            <w:shd w:val="clear" w:color="auto" w:fill="auto"/>
            <w:vAlign w:val="center"/>
          </w:tcPr>
          <w:p w14:paraId="28B5DDA1">
            <w:pPr>
              <w:adjustRightInd w:val="0"/>
              <w:snapToGrid w:val="0"/>
              <w:jc w:val="center"/>
              <w:rPr>
                <w:rFonts w:hint="default"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5</w:t>
            </w:r>
          </w:p>
        </w:tc>
        <w:tc>
          <w:tcPr>
            <w:tcW w:w="1562" w:type="dxa"/>
            <w:tcBorders>
              <w:tl2br w:val="nil"/>
              <w:tr2bl w:val="nil"/>
            </w:tcBorders>
            <w:shd w:val="clear" w:color="auto" w:fill="auto"/>
            <w:vAlign w:val="center"/>
          </w:tcPr>
          <w:p w14:paraId="574D6655">
            <w:pPr>
              <w:tabs>
                <w:tab w:val="left" w:pos="993"/>
              </w:tabs>
              <w:adjustRightInd w:val="0"/>
              <w:snapToGrid w:val="0"/>
              <w:spacing w:line="240" w:lineRule="auto"/>
              <w:ind w:left="2" w:leftChars="0"/>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供货地点</w:t>
            </w:r>
          </w:p>
        </w:tc>
        <w:tc>
          <w:tcPr>
            <w:tcW w:w="3725" w:type="dxa"/>
            <w:tcBorders>
              <w:tl2br w:val="nil"/>
              <w:tr2bl w:val="nil"/>
            </w:tcBorders>
            <w:shd w:val="clear" w:color="auto" w:fill="auto"/>
            <w:vAlign w:val="center"/>
          </w:tcPr>
          <w:p w14:paraId="1949691E">
            <w:pPr>
              <w:jc w:val="center"/>
              <w:rPr>
                <w:rFonts w:hint="default" w:ascii="华文中宋" w:hAnsi="华文中宋" w:eastAsia="华文中宋" w:cs="华文中宋"/>
                <w:color w:val="auto"/>
                <w:kern w:val="2"/>
                <w:sz w:val="21"/>
                <w:szCs w:val="21"/>
                <w:highlight w:val="none"/>
                <w:lang w:val="en-US" w:eastAsia="zh-CN" w:bidi="ar-SA"/>
              </w:rPr>
            </w:pPr>
            <w:r>
              <w:rPr>
                <w:rFonts w:hint="default" w:ascii="华文中宋" w:hAnsi="华文中宋" w:eastAsia="华文中宋" w:cs="华文中宋"/>
                <w:color w:val="auto"/>
                <w:kern w:val="2"/>
                <w:sz w:val="21"/>
                <w:szCs w:val="21"/>
                <w:highlight w:val="none"/>
                <w:lang w:val="en-US" w:eastAsia="zh-CN" w:bidi="ar-SA"/>
              </w:rPr>
              <w:t>大同市公安局交通管理支队</w:t>
            </w:r>
          </w:p>
        </w:tc>
        <w:tc>
          <w:tcPr>
            <w:tcW w:w="2337" w:type="dxa"/>
            <w:tcBorders>
              <w:tl2br w:val="nil"/>
              <w:tr2bl w:val="nil"/>
            </w:tcBorders>
            <w:shd w:val="clear" w:color="auto" w:fill="auto"/>
            <w:vAlign w:val="center"/>
          </w:tcPr>
          <w:p w14:paraId="570BB4E3">
            <w:pPr>
              <w:adjustRightInd w:val="0"/>
              <w:snapToGrid w:val="0"/>
              <w:jc w:val="left"/>
              <w:rPr>
                <w:rFonts w:hint="eastAsia" w:ascii="华文中宋" w:hAnsi="华文中宋" w:eastAsia="华文中宋" w:cs="华文中宋"/>
                <w:color w:val="auto"/>
                <w:kern w:val="2"/>
                <w:sz w:val="21"/>
                <w:szCs w:val="21"/>
                <w:highlight w:val="none"/>
                <w:lang w:val="en-US" w:eastAsia="zh-CN" w:bidi="ar-SA"/>
              </w:rPr>
            </w:pPr>
          </w:p>
        </w:tc>
        <w:tc>
          <w:tcPr>
            <w:tcW w:w="721" w:type="dxa"/>
            <w:tcBorders>
              <w:tl2br w:val="nil"/>
              <w:tr2bl w:val="nil"/>
            </w:tcBorders>
            <w:shd w:val="clear" w:color="auto" w:fill="auto"/>
            <w:vAlign w:val="center"/>
          </w:tcPr>
          <w:p w14:paraId="18CCD17A">
            <w:pPr>
              <w:adjustRightInd w:val="0"/>
              <w:snapToGrid w:val="0"/>
              <w:jc w:val="left"/>
              <w:rPr>
                <w:rFonts w:hint="eastAsia" w:ascii="华文中宋" w:hAnsi="华文中宋" w:eastAsia="华文中宋" w:cs="华文中宋"/>
                <w:color w:val="auto"/>
                <w:kern w:val="2"/>
                <w:sz w:val="21"/>
                <w:szCs w:val="21"/>
                <w:highlight w:val="none"/>
                <w:lang w:val="en-US" w:eastAsia="zh-CN" w:bidi="ar-SA"/>
              </w:rPr>
            </w:pPr>
          </w:p>
        </w:tc>
      </w:tr>
    </w:tbl>
    <w:p w14:paraId="492BFEB7">
      <w:pPr>
        <w:pStyle w:val="15"/>
        <w:rPr>
          <w:rFonts w:hint="eastAsia" w:ascii="华文中宋" w:hAnsi="华文中宋" w:eastAsia="华文中宋" w:cs="华文中宋"/>
          <w:color w:val="auto"/>
          <w:kern w:val="2"/>
          <w:sz w:val="21"/>
          <w:szCs w:val="21"/>
          <w:highlight w:val="none"/>
          <w:lang w:val="en-US" w:eastAsia="zh-CN" w:bidi="ar-SA"/>
        </w:rPr>
      </w:pPr>
    </w:p>
    <w:p w14:paraId="3521D157">
      <w:pPr>
        <w:pStyle w:val="15"/>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注：</w:t>
      </w:r>
    </w:p>
    <w:p w14:paraId="2BC453AD">
      <w:pPr>
        <w:pStyle w:val="15"/>
        <w:numPr>
          <w:ilvl w:val="0"/>
          <w:numId w:val="6"/>
        </w:numP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对招标文件中的所有商务要求，除本表所列明的所有偏离外，均视作供应商已对之理解和响应。</w:t>
      </w:r>
    </w:p>
    <w:p w14:paraId="23FC7FF1">
      <w:pPr>
        <w:pStyle w:val="15"/>
        <w:numPr>
          <w:ilvl w:val="0"/>
          <w:numId w:val="6"/>
        </w:numPr>
        <w:rPr>
          <w:rFonts w:hint="default"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“偏离情况”列应据实填写“无偏离”、“正偏离”或“负偏离”。</w:t>
      </w:r>
    </w:p>
    <w:p w14:paraId="00BBC076">
      <w:pPr>
        <w:pStyle w:val="15"/>
        <w:numPr>
          <w:ilvl w:val="0"/>
          <w:numId w:val="0"/>
        </w:numPr>
        <w:rPr>
          <w:rFonts w:hint="default" w:ascii="华文中宋" w:hAnsi="华文中宋" w:eastAsia="华文中宋" w:cs="华文中宋"/>
          <w:color w:val="auto"/>
          <w:kern w:val="2"/>
          <w:sz w:val="21"/>
          <w:szCs w:val="21"/>
          <w:highlight w:val="none"/>
          <w:lang w:val="en-US" w:eastAsia="zh-CN" w:bidi="ar-SA"/>
        </w:rPr>
      </w:pPr>
    </w:p>
    <w:p w14:paraId="40E7CF54">
      <w:pPr>
        <w:pStyle w:val="15"/>
        <w:numPr>
          <w:ilvl w:val="0"/>
          <w:numId w:val="0"/>
        </w:numPr>
        <w:jc w:val="right"/>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投标人：（加盖企业公章）</w:t>
      </w:r>
    </w:p>
    <w:p w14:paraId="4D3B01F5">
      <w:pPr>
        <w:pStyle w:val="15"/>
        <w:numPr>
          <w:ilvl w:val="0"/>
          <w:numId w:val="0"/>
        </w:numPr>
        <w:jc w:val="right"/>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日期：    年  月  日</w:t>
      </w:r>
    </w:p>
    <w:p w14:paraId="153F9F82">
      <w:pPr>
        <w:pStyle w:val="15"/>
        <w:numPr>
          <w:ilvl w:val="0"/>
          <w:numId w:val="0"/>
        </w:numPr>
        <w:jc w:val="left"/>
        <w:rPr>
          <w:rFonts w:hint="eastAsia" w:ascii="华文中宋" w:hAnsi="华文中宋" w:eastAsia="华文中宋" w:cs="华文中宋"/>
          <w:color w:val="auto"/>
          <w:szCs w:val="21"/>
          <w:highlight w:val="none"/>
        </w:rPr>
      </w:pPr>
    </w:p>
    <w:p w14:paraId="7D103245">
      <w:pPr>
        <w:pStyle w:val="15"/>
        <w:numPr>
          <w:ilvl w:val="0"/>
          <w:numId w:val="0"/>
        </w:numPr>
        <w:jc w:val="left"/>
        <w:rPr>
          <w:rFonts w:hint="eastAsia" w:ascii="华文中宋" w:hAnsi="华文中宋" w:eastAsia="华文中宋" w:cs="华文中宋"/>
          <w:color w:val="auto"/>
          <w:szCs w:val="21"/>
          <w:highlight w:val="none"/>
        </w:rPr>
      </w:pPr>
    </w:p>
    <w:p w14:paraId="77C1E6E6">
      <w:pPr>
        <w:pStyle w:val="15"/>
        <w:numPr>
          <w:ilvl w:val="0"/>
          <w:numId w:val="0"/>
        </w:numPr>
        <w:jc w:val="left"/>
        <w:rPr>
          <w:rFonts w:hint="eastAsia" w:ascii="华文中宋" w:hAnsi="华文中宋" w:eastAsia="华文中宋" w:cs="华文中宋"/>
          <w:color w:val="auto"/>
          <w:szCs w:val="21"/>
          <w:highlight w:val="none"/>
        </w:rPr>
      </w:pPr>
    </w:p>
    <w:p w14:paraId="3B81A481">
      <w:pPr>
        <w:pStyle w:val="15"/>
        <w:numPr>
          <w:ilvl w:val="0"/>
          <w:numId w:val="0"/>
        </w:numPr>
        <w:jc w:val="left"/>
        <w:rPr>
          <w:rFonts w:hint="eastAsia" w:ascii="华文中宋" w:hAnsi="华文中宋" w:eastAsia="华文中宋" w:cs="华文中宋"/>
          <w:color w:val="auto"/>
          <w:szCs w:val="21"/>
          <w:highlight w:val="none"/>
        </w:rPr>
      </w:pPr>
    </w:p>
    <w:p w14:paraId="6D203B03">
      <w:pPr>
        <w:pStyle w:val="15"/>
        <w:numPr>
          <w:ilvl w:val="0"/>
          <w:numId w:val="0"/>
        </w:numPr>
        <w:jc w:val="left"/>
        <w:rPr>
          <w:rFonts w:hint="eastAsia" w:ascii="华文中宋" w:hAnsi="华文中宋" w:eastAsia="华文中宋" w:cs="华文中宋"/>
          <w:color w:val="auto"/>
          <w:szCs w:val="21"/>
          <w:highlight w:val="none"/>
        </w:rPr>
      </w:pPr>
    </w:p>
    <w:p w14:paraId="1D187F32">
      <w:pPr>
        <w:pStyle w:val="15"/>
        <w:numPr>
          <w:ilvl w:val="0"/>
          <w:numId w:val="0"/>
        </w:numPr>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对技术要求的响应内容</w:t>
      </w:r>
    </w:p>
    <w:p w14:paraId="11389ACB">
      <w:pPr>
        <w:pStyle w:val="23"/>
        <w:rPr>
          <w:rFonts w:hint="eastAsia" w:ascii="华文中宋" w:hAnsi="华文中宋" w:eastAsia="华文中宋" w:cs="华文中宋"/>
          <w:color w:val="auto"/>
          <w:szCs w:val="21"/>
          <w:highlight w:val="none"/>
          <w:lang w:val="en-US" w:eastAsia="zh-CN"/>
        </w:rPr>
      </w:pPr>
    </w:p>
    <w:p w14:paraId="7BC4E9C2">
      <w:pPr>
        <w:pStyle w:val="23"/>
        <w:rPr>
          <w:rFonts w:hint="default" w:eastAsia="华文中宋"/>
          <w:color w:val="auto"/>
          <w:highlight w:val="none"/>
          <w:lang w:val="en-US" w:eastAsia="zh-CN"/>
        </w:rPr>
      </w:pPr>
      <w:r>
        <w:rPr>
          <w:rFonts w:hint="eastAsia" w:ascii="华文中宋" w:hAnsi="华文中宋" w:eastAsia="华文中宋" w:cs="华文中宋"/>
          <w:color w:val="auto"/>
          <w:szCs w:val="21"/>
          <w:highlight w:val="none"/>
          <w:lang w:val="en-US" w:eastAsia="zh-CN"/>
        </w:rPr>
        <w:t>参考格式：</w:t>
      </w:r>
    </w:p>
    <w:p w14:paraId="07C76067">
      <w:pPr>
        <w:pStyle w:val="23"/>
        <w:rPr>
          <w:rFonts w:hint="default"/>
          <w:color w:val="auto"/>
          <w:highlight w:val="none"/>
          <w:lang w:val="en-US" w:eastAsia="zh-CN"/>
        </w:rPr>
      </w:pPr>
    </w:p>
    <w:p w14:paraId="5598A6BF">
      <w:pPr>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技术参数表偏离表</w:t>
      </w:r>
    </w:p>
    <w:tbl>
      <w:tblPr>
        <w:tblStyle w:val="29"/>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998"/>
        <w:gridCol w:w="1970"/>
        <w:gridCol w:w="2393"/>
        <w:gridCol w:w="1365"/>
      </w:tblGrid>
      <w:tr w14:paraId="3E58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91" w:type="dxa"/>
            <w:tcBorders>
              <w:tl2br w:val="nil"/>
              <w:tr2bl w:val="nil"/>
            </w:tcBorders>
            <w:shd w:val="clear" w:color="auto" w:fill="auto"/>
            <w:vAlign w:val="center"/>
          </w:tcPr>
          <w:p w14:paraId="05AE4797">
            <w:pPr>
              <w:adjustRightInd w:val="0"/>
              <w:snapToGrid w:val="0"/>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序号</w:t>
            </w:r>
          </w:p>
        </w:tc>
        <w:tc>
          <w:tcPr>
            <w:tcW w:w="1998" w:type="dxa"/>
            <w:tcBorders>
              <w:tl2br w:val="nil"/>
              <w:tr2bl w:val="nil"/>
            </w:tcBorders>
            <w:shd w:val="clear" w:color="auto" w:fill="auto"/>
            <w:vAlign w:val="center"/>
          </w:tcPr>
          <w:p w14:paraId="2EC17D4F">
            <w:pPr>
              <w:adjustRightInd w:val="0"/>
              <w:snapToGrid w:val="0"/>
              <w:jc w:val="center"/>
              <w:rPr>
                <w:rFonts w:hint="default"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标的名称</w:t>
            </w:r>
          </w:p>
        </w:tc>
        <w:tc>
          <w:tcPr>
            <w:tcW w:w="1970" w:type="dxa"/>
            <w:tcBorders>
              <w:tl2br w:val="nil"/>
              <w:tr2bl w:val="nil"/>
            </w:tcBorders>
            <w:shd w:val="clear" w:color="auto" w:fill="auto"/>
            <w:vAlign w:val="center"/>
          </w:tcPr>
          <w:p w14:paraId="2F786EE2">
            <w:pPr>
              <w:adjustRightInd w:val="0"/>
              <w:snapToGrid w:val="0"/>
              <w:jc w:val="center"/>
              <w:rPr>
                <w:rFonts w:hint="default"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招标文件要求</w:t>
            </w:r>
          </w:p>
        </w:tc>
        <w:tc>
          <w:tcPr>
            <w:tcW w:w="2393" w:type="dxa"/>
            <w:tcBorders>
              <w:tl2br w:val="nil"/>
              <w:tr2bl w:val="nil"/>
            </w:tcBorders>
            <w:shd w:val="clear" w:color="auto" w:fill="auto"/>
            <w:vAlign w:val="center"/>
          </w:tcPr>
          <w:p w14:paraId="4A119064">
            <w:pPr>
              <w:adjustRightInd w:val="0"/>
              <w:snapToGrid w:val="0"/>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投标参数（响应参数值须为具体参数值，不接受范围值）</w:t>
            </w:r>
          </w:p>
        </w:tc>
        <w:tc>
          <w:tcPr>
            <w:tcW w:w="1365" w:type="dxa"/>
            <w:tcBorders>
              <w:tl2br w:val="nil"/>
              <w:tr2bl w:val="nil"/>
            </w:tcBorders>
            <w:shd w:val="clear" w:color="auto" w:fill="auto"/>
            <w:vAlign w:val="center"/>
          </w:tcPr>
          <w:p w14:paraId="53D5F6A9">
            <w:pPr>
              <w:adjustRightInd w:val="0"/>
              <w:snapToGrid w:val="0"/>
              <w:jc w:val="center"/>
              <w:rPr>
                <w:rFonts w:hint="default"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偏离情况</w:t>
            </w:r>
          </w:p>
        </w:tc>
      </w:tr>
      <w:tr w14:paraId="45F8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91" w:type="dxa"/>
            <w:tcBorders>
              <w:tl2br w:val="nil"/>
              <w:tr2bl w:val="nil"/>
            </w:tcBorders>
            <w:shd w:val="clear" w:color="auto" w:fill="auto"/>
            <w:vAlign w:val="center"/>
          </w:tcPr>
          <w:p w14:paraId="139360C9">
            <w:pPr>
              <w:adjustRightInd w:val="0"/>
              <w:snapToGrid w:val="0"/>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1</w:t>
            </w:r>
          </w:p>
        </w:tc>
        <w:tc>
          <w:tcPr>
            <w:tcW w:w="1998" w:type="dxa"/>
            <w:tcBorders>
              <w:tl2br w:val="nil"/>
              <w:tr2bl w:val="nil"/>
            </w:tcBorders>
            <w:shd w:val="clear" w:color="auto" w:fill="auto"/>
            <w:vAlign w:val="center"/>
          </w:tcPr>
          <w:p w14:paraId="697466CA">
            <w:pPr>
              <w:adjustRightInd w:val="0"/>
              <w:snapToGrid w:val="0"/>
              <w:jc w:val="center"/>
              <w:rPr>
                <w:rFonts w:hint="eastAsia" w:ascii="华文中宋" w:hAnsi="华文中宋" w:eastAsia="华文中宋" w:cs="华文中宋"/>
                <w:color w:val="auto"/>
                <w:kern w:val="2"/>
                <w:sz w:val="21"/>
                <w:szCs w:val="21"/>
                <w:highlight w:val="none"/>
                <w:lang w:val="en-US" w:eastAsia="zh-CN" w:bidi="ar-SA"/>
              </w:rPr>
            </w:pPr>
          </w:p>
        </w:tc>
        <w:tc>
          <w:tcPr>
            <w:tcW w:w="1970" w:type="dxa"/>
            <w:tcBorders>
              <w:tl2br w:val="nil"/>
              <w:tr2bl w:val="nil"/>
            </w:tcBorders>
            <w:shd w:val="clear" w:color="auto" w:fill="auto"/>
            <w:vAlign w:val="center"/>
          </w:tcPr>
          <w:p w14:paraId="5F8CFF08">
            <w:pPr>
              <w:adjustRightInd w:val="0"/>
              <w:snapToGrid w:val="0"/>
              <w:jc w:val="left"/>
              <w:rPr>
                <w:rFonts w:hint="eastAsia" w:ascii="华文中宋" w:hAnsi="华文中宋" w:eastAsia="华文中宋" w:cs="华文中宋"/>
                <w:color w:val="auto"/>
                <w:kern w:val="2"/>
                <w:sz w:val="21"/>
                <w:szCs w:val="21"/>
                <w:highlight w:val="none"/>
                <w:lang w:val="en-US" w:eastAsia="zh-CN" w:bidi="ar-SA"/>
              </w:rPr>
            </w:pPr>
          </w:p>
        </w:tc>
        <w:tc>
          <w:tcPr>
            <w:tcW w:w="2393" w:type="dxa"/>
            <w:tcBorders>
              <w:tl2br w:val="nil"/>
              <w:tr2bl w:val="nil"/>
            </w:tcBorders>
            <w:shd w:val="clear" w:color="auto" w:fill="auto"/>
            <w:vAlign w:val="center"/>
          </w:tcPr>
          <w:p w14:paraId="56BD543B">
            <w:pPr>
              <w:adjustRightInd w:val="0"/>
              <w:snapToGrid w:val="0"/>
              <w:jc w:val="left"/>
              <w:rPr>
                <w:rFonts w:hint="eastAsia" w:ascii="华文中宋" w:hAnsi="华文中宋" w:eastAsia="华文中宋" w:cs="华文中宋"/>
                <w:color w:val="auto"/>
                <w:kern w:val="2"/>
                <w:sz w:val="21"/>
                <w:szCs w:val="21"/>
                <w:highlight w:val="none"/>
                <w:lang w:val="en-US" w:eastAsia="zh-CN" w:bidi="ar-SA"/>
              </w:rPr>
            </w:pPr>
          </w:p>
        </w:tc>
        <w:tc>
          <w:tcPr>
            <w:tcW w:w="1365" w:type="dxa"/>
            <w:tcBorders>
              <w:tl2br w:val="nil"/>
              <w:tr2bl w:val="nil"/>
            </w:tcBorders>
            <w:shd w:val="clear" w:color="auto" w:fill="auto"/>
            <w:vAlign w:val="center"/>
          </w:tcPr>
          <w:p w14:paraId="659ADCC1">
            <w:pPr>
              <w:adjustRightInd w:val="0"/>
              <w:snapToGrid w:val="0"/>
              <w:jc w:val="left"/>
              <w:rPr>
                <w:rFonts w:hint="eastAsia" w:ascii="华文中宋" w:hAnsi="华文中宋" w:eastAsia="华文中宋" w:cs="华文中宋"/>
                <w:color w:val="auto"/>
                <w:kern w:val="2"/>
                <w:sz w:val="21"/>
                <w:szCs w:val="21"/>
                <w:highlight w:val="none"/>
                <w:lang w:val="en-US" w:eastAsia="zh-CN" w:bidi="ar-SA"/>
              </w:rPr>
            </w:pPr>
          </w:p>
        </w:tc>
      </w:tr>
      <w:tr w14:paraId="7003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91" w:type="dxa"/>
            <w:tcBorders>
              <w:tl2br w:val="nil"/>
              <w:tr2bl w:val="nil"/>
            </w:tcBorders>
            <w:shd w:val="clear" w:color="auto" w:fill="auto"/>
            <w:vAlign w:val="center"/>
          </w:tcPr>
          <w:p w14:paraId="55BC64DE">
            <w:pPr>
              <w:adjustRightInd w:val="0"/>
              <w:snapToGrid w:val="0"/>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2</w:t>
            </w:r>
          </w:p>
        </w:tc>
        <w:tc>
          <w:tcPr>
            <w:tcW w:w="1998" w:type="dxa"/>
            <w:tcBorders>
              <w:tl2br w:val="nil"/>
              <w:tr2bl w:val="nil"/>
            </w:tcBorders>
            <w:shd w:val="clear" w:color="auto" w:fill="auto"/>
            <w:vAlign w:val="center"/>
          </w:tcPr>
          <w:p w14:paraId="3C2221AE">
            <w:pPr>
              <w:adjustRightInd w:val="0"/>
              <w:snapToGrid w:val="0"/>
              <w:jc w:val="center"/>
              <w:rPr>
                <w:rFonts w:hint="eastAsia" w:ascii="华文中宋" w:hAnsi="华文中宋" w:eastAsia="华文中宋" w:cs="华文中宋"/>
                <w:color w:val="auto"/>
                <w:kern w:val="2"/>
                <w:sz w:val="21"/>
                <w:szCs w:val="21"/>
                <w:highlight w:val="none"/>
                <w:lang w:val="en-US" w:eastAsia="zh-CN" w:bidi="ar-SA"/>
              </w:rPr>
            </w:pPr>
          </w:p>
        </w:tc>
        <w:tc>
          <w:tcPr>
            <w:tcW w:w="1970" w:type="dxa"/>
            <w:tcBorders>
              <w:tl2br w:val="nil"/>
              <w:tr2bl w:val="nil"/>
            </w:tcBorders>
            <w:shd w:val="clear" w:color="auto" w:fill="auto"/>
            <w:vAlign w:val="center"/>
          </w:tcPr>
          <w:p w14:paraId="65B7223E">
            <w:pPr>
              <w:adjustRightInd w:val="0"/>
              <w:snapToGrid w:val="0"/>
              <w:jc w:val="left"/>
              <w:rPr>
                <w:rFonts w:hint="eastAsia" w:ascii="华文中宋" w:hAnsi="华文中宋" w:eastAsia="华文中宋" w:cs="华文中宋"/>
                <w:color w:val="auto"/>
                <w:kern w:val="2"/>
                <w:sz w:val="21"/>
                <w:szCs w:val="21"/>
                <w:highlight w:val="none"/>
                <w:lang w:val="en-US" w:eastAsia="zh-CN" w:bidi="ar-SA"/>
              </w:rPr>
            </w:pPr>
          </w:p>
        </w:tc>
        <w:tc>
          <w:tcPr>
            <w:tcW w:w="2393" w:type="dxa"/>
            <w:tcBorders>
              <w:tl2br w:val="nil"/>
              <w:tr2bl w:val="nil"/>
            </w:tcBorders>
            <w:shd w:val="clear" w:color="auto" w:fill="auto"/>
            <w:vAlign w:val="center"/>
          </w:tcPr>
          <w:p w14:paraId="68C87D0E">
            <w:pPr>
              <w:adjustRightInd w:val="0"/>
              <w:snapToGrid w:val="0"/>
              <w:jc w:val="left"/>
              <w:rPr>
                <w:rFonts w:hint="eastAsia" w:ascii="华文中宋" w:hAnsi="华文中宋" w:eastAsia="华文中宋" w:cs="华文中宋"/>
                <w:color w:val="auto"/>
                <w:kern w:val="2"/>
                <w:sz w:val="21"/>
                <w:szCs w:val="21"/>
                <w:highlight w:val="none"/>
                <w:lang w:val="en-US" w:eastAsia="zh-CN" w:bidi="ar-SA"/>
              </w:rPr>
            </w:pPr>
          </w:p>
        </w:tc>
        <w:tc>
          <w:tcPr>
            <w:tcW w:w="1365" w:type="dxa"/>
            <w:tcBorders>
              <w:tl2br w:val="nil"/>
              <w:tr2bl w:val="nil"/>
            </w:tcBorders>
            <w:shd w:val="clear" w:color="auto" w:fill="auto"/>
            <w:vAlign w:val="center"/>
          </w:tcPr>
          <w:p w14:paraId="3D42CD6B">
            <w:pPr>
              <w:adjustRightInd w:val="0"/>
              <w:snapToGrid w:val="0"/>
              <w:jc w:val="left"/>
              <w:rPr>
                <w:rFonts w:hint="eastAsia" w:ascii="华文中宋" w:hAnsi="华文中宋" w:eastAsia="华文中宋" w:cs="华文中宋"/>
                <w:color w:val="auto"/>
                <w:kern w:val="2"/>
                <w:sz w:val="21"/>
                <w:szCs w:val="21"/>
                <w:highlight w:val="none"/>
                <w:lang w:val="en-US" w:eastAsia="zh-CN" w:bidi="ar-SA"/>
              </w:rPr>
            </w:pPr>
          </w:p>
        </w:tc>
      </w:tr>
      <w:tr w14:paraId="59E8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91" w:type="dxa"/>
            <w:tcBorders>
              <w:tl2br w:val="nil"/>
              <w:tr2bl w:val="nil"/>
            </w:tcBorders>
            <w:shd w:val="clear" w:color="auto" w:fill="auto"/>
            <w:vAlign w:val="center"/>
          </w:tcPr>
          <w:p w14:paraId="7BBB75B4">
            <w:pPr>
              <w:adjustRightInd w:val="0"/>
              <w:snapToGrid w:val="0"/>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3</w:t>
            </w:r>
          </w:p>
        </w:tc>
        <w:tc>
          <w:tcPr>
            <w:tcW w:w="1998" w:type="dxa"/>
            <w:tcBorders>
              <w:tl2br w:val="nil"/>
              <w:tr2bl w:val="nil"/>
            </w:tcBorders>
            <w:shd w:val="clear" w:color="auto" w:fill="auto"/>
            <w:vAlign w:val="center"/>
          </w:tcPr>
          <w:p w14:paraId="43E33F67">
            <w:pPr>
              <w:adjustRightInd w:val="0"/>
              <w:snapToGrid w:val="0"/>
              <w:jc w:val="center"/>
              <w:rPr>
                <w:rFonts w:hint="eastAsia" w:ascii="华文中宋" w:hAnsi="华文中宋" w:eastAsia="华文中宋" w:cs="华文中宋"/>
                <w:color w:val="auto"/>
                <w:kern w:val="2"/>
                <w:sz w:val="21"/>
                <w:szCs w:val="21"/>
                <w:highlight w:val="none"/>
                <w:lang w:val="en-US" w:eastAsia="zh-CN" w:bidi="ar-SA"/>
              </w:rPr>
            </w:pPr>
          </w:p>
        </w:tc>
        <w:tc>
          <w:tcPr>
            <w:tcW w:w="1970" w:type="dxa"/>
            <w:tcBorders>
              <w:tl2br w:val="nil"/>
              <w:tr2bl w:val="nil"/>
            </w:tcBorders>
            <w:shd w:val="clear" w:color="auto" w:fill="auto"/>
            <w:vAlign w:val="center"/>
          </w:tcPr>
          <w:p w14:paraId="293C9A8E">
            <w:pPr>
              <w:adjustRightInd w:val="0"/>
              <w:snapToGrid w:val="0"/>
              <w:jc w:val="left"/>
              <w:rPr>
                <w:rFonts w:hint="eastAsia" w:ascii="华文中宋" w:hAnsi="华文中宋" w:eastAsia="华文中宋" w:cs="华文中宋"/>
                <w:color w:val="auto"/>
                <w:kern w:val="2"/>
                <w:sz w:val="21"/>
                <w:szCs w:val="21"/>
                <w:highlight w:val="none"/>
                <w:lang w:val="en-US" w:eastAsia="zh-CN" w:bidi="ar-SA"/>
              </w:rPr>
            </w:pPr>
          </w:p>
        </w:tc>
        <w:tc>
          <w:tcPr>
            <w:tcW w:w="2393" w:type="dxa"/>
            <w:tcBorders>
              <w:tl2br w:val="nil"/>
              <w:tr2bl w:val="nil"/>
            </w:tcBorders>
            <w:shd w:val="clear" w:color="auto" w:fill="auto"/>
            <w:vAlign w:val="center"/>
          </w:tcPr>
          <w:p w14:paraId="680759F9">
            <w:pPr>
              <w:adjustRightInd w:val="0"/>
              <w:snapToGrid w:val="0"/>
              <w:jc w:val="left"/>
              <w:rPr>
                <w:rFonts w:hint="eastAsia" w:ascii="华文中宋" w:hAnsi="华文中宋" w:eastAsia="华文中宋" w:cs="华文中宋"/>
                <w:color w:val="auto"/>
                <w:kern w:val="2"/>
                <w:sz w:val="21"/>
                <w:szCs w:val="21"/>
                <w:highlight w:val="none"/>
                <w:lang w:val="en-US" w:eastAsia="zh-CN" w:bidi="ar-SA"/>
              </w:rPr>
            </w:pPr>
          </w:p>
        </w:tc>
        <w:tc>
          <w:tcPr>
            <w:tcW w:w="1365" w:type="dxa"/>
            <w:tcBorders>
              <w:tl2br w:val="nil"/>
              <w:tr2bl w:val="nil"/>
            </w:tcBorders>
            <w:shd w:val="clear" w:color="auto" w:fill="auto"/>
            <w:vAlign w:val="center"/>
          </w:tcPr>
          <w:p w14:paraId="65E7C27D">
            <w:pPr>
              <w:adjustRightInd w:val="0"/>
              <w:snapToGrid w:val="0"/>
              <w:jc w:val="left"/>
              <w:rPr>
                <w:rFonts w:hint="eastAsia" w:ascii="华文中宋" w:hAnsi="华文中宋" w:eastAsia="华文中宋" w:cs="华文中宋"/>
                <w:color w:val="auto"/>
                <w:kern w:val="2"/>
                <w:sz w:val="21"/>
                <w:szCs w:val="21"/>
                <w:highlight w:val="none"/>
                <w:lang w:val="en-US" w:eastAsia="zh-CN" w:bidi="ar-SA"/>
              </w:rPr>
            </w:pPr>
          </w:p>
        </w:tc>
      </w:tr>
    </w:tbl>
    <w:p w14:paraId="1BE19A5C">
      <w:pPr>
        <w:rPr>
          <w:rFonts w:hint="default" w:ascii="华文中宋" w:hAnsi="华文中宋" w:eastAsia="华文中宋" w:cs="华文中宋"/>
          <w:color w:val="auto"/>
          <w:kern w:val="2"/>
          <w:sz w:val="21"/>
          <w:szCs w:val="21"/>
          <w:highlight w:val="none"/>
          <w:lang w:val="en-US" w:eastAsia="zh-CN" w:bidi="ar-SA"/>
        </w:rPr>
      </w:pPr>
    </w:p>
    <w:p w14:paraId="071B30D6">
      <w:pPr>
        <w:pStyle w:val="15"/>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注：</w:t>
      </w:r>
    </w:p>
    <w:p w14:paraId="153C1839">
      <w:pPr>
        <w:pStyle w:val="15"/>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1、请根据“第四部分  采购需求”中“四、技术要求”的内容进行填报，可以根据实际情况对偏离表格式进行调整。</w:t>
      </w:r>
    </w:p>
    <w:p w14:paraId="0E36F1F0">
      <w:pPr>
        <w:pStyle w:val="15"/>
        <w:rPr>
          <w:rFonts w:hint="default"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2、“偏离情况”列应据实填写“无偏离”、“正偏离”或“负偏离”。</w:t>
      </w:r>
    </w:p>
    <w:p w14:paraId="3CC7CE86">
      <w:pPr>
        <w:pStyle w:val="15"/>
        <w:numPr>
          <w:ilvl w:val="0"/>
          <w:numId w:val="0"/>
        </w:numPr>
        <w:rPr>
          <w:rFonts w:hint="default" w:ascii="华文中宋" w:hAnsi="华文中宋" w:eastAsia="华文中宋" w:cs="华文中宋"/>
          <w:color w:val="auto"/>
          <w:kern w:val="2"/>
          <w:sz w:val="21"/>
          <w:szCs w:val="21"/>
          <w:highlight w:val="none"/>
          <w:lang w:val="en-US" w:eastAsia="zh-CN" w:bidi="ar-SA"/>
        </w:rPr>
      </w:pPr>
    </w:p>
    <w:p w14:paraId="4BED46F5">
      <w:pPr>
        <w:pStyle w:val="15"/>
        <w:numPr>
          <w:ilvl w:val="0"/>
          <w:numId w:val="0"/>
        </w:numPr>
        <w:jc w:val="right"/>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投标人：（加盖企业公章）</w:t>
      </w:r>
    </w:p>
    <w:p w14:paraId="390BCE52">
      <w:pPr>
        <w:pStyle w:val="15"/>
        <w:numPr>
          <w:ilvl w:val="0"/>
          <w:numId w:val="0"/>
        </w:numPr>
        <w:jc w:val="right"/>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日期：    年  月  日</w:t>
      </w:r>
    </w:p>
    <w:p w14:paraId="5C578506">
      <w:pPr>
        <w:pStyle w:val="15"/>
        <w:rPr>
          <w:color w:val="auto"/>
          <w:highlight w:val="none"/>
        </w:rPr>
      </w:pPr>
    </w:p>
    <w:p w14:paraId="54EB39CD">
      <w:pPr>
        <w:pStyle w:val="16"/>
        <w:ind w:left="0" w:leftChars="0" w:firstLine="0" w:firstLineChars="0"/>
        <w:jc w:val="center"/>
        <w:rPr>
          <w:rFonts w:hint="eastAsia" w:ascii="华文中宋" w:hAnsi="华文中宋" w:eastAsia="华文中宋" w:cs="Times New Roman"/>
          <w:b/>
          <w:color w:val="auto"/>
          <w:sz w:val="24"/>
          <w:highlight w:val="none"/>
          <w:lang w:val="en-US" w:eastAsia="zh-CN"/>
        </w:rPr>
      </w:pPr>
      <w:r>
        <w:rPr>
          <w:rFonts w:hint="eastAsia" w:ascii="华文中宋" w:hAnsi="华文中宋" w:eastAsia="华文中宋" w:cs="Times New Roman"/>
          <w:b/>
          <w:color w:val="auto"/>
          <w:sz w:val="24"/>
          <w:highlight w:val="none"/>
          <w:lang w:val="en-US" w:eastAsia="zh-CN"/>
        </w:rPr>
        <w:t>服务方案</w:t>
      </w:r>
    </w:p>
    <w:p w14:paraId="2F169C31">
      <w:pPr>
        <w:pStyle w:val="16"/>
        <w:ind w:left="0" w:leftChars="0" w:firstLine="0" w:firstLineChars="0"/>
        <w:jc w:val="center"/>
        <w:rPr>
          <w:rFonts w:hint="eastAsia" w:ascii="华文中宋" w:hAnsi="华文中宋" w:eastAsia="华文中宋" w:cs="Times New Roman"/>
          <w:b/>
          <w:color w:val="auto"/>
          <w:sz w:val="24"/>
          <w:highlight w:val="none"/>
          <w:lang w:val="en-US" w:eastAsia="zh-CN"/>
        </w:rPr>
      </w:pPr>
    </w:p>
    <w:p w14:paraId="51E91C73">
      <w:pPr>
        <w:pStyle w:val="16"/>
        <w:ind w:left="0" w:leftChars="0" w:firstLine="720" w:firstLineChars="300"/>
        <w:rPr>
          <w:rFonts w:hint="default" w:ascii="华文中宋" w:hAnsi="华文中宋" w:eastAsia="华文中宋" w:cs="Times New Roman"/>
          <w:b/>
          <w:color w:val="auto"/>
          <w:sz w:val="24"/>
          <w:highlight w:val="none"/>
          <w:lang w:val="en-US" w:eastAsia="zh-CN"/>
        </w:rPr>
      </w:pPr>
      <w:r>
        <w:rPr>
          <w:rFonts w:hint="eastAsia" w:ascii="华文中宋" w:hAnsi="华文中宋" w:eastAsia="华文中宋" w:cs="Times New Roman"/>
          <w:b/>
          <w:color w:val="auto"/>
          <w:sz w:val="24"/>
          <w:highlight w:val="none"/>
          <w:lang w:val="en-US" w:eastAsia="zh-CN"/>
        </w:rPr>
        <w:t>格式自拟。</w:t>
      </w:r>
    </w:p>
    <w:p w14:paraId="258214A2">
      <w:pPr>
        <w:numPr>
          <w:ilvl w:val="0"/>
          <w:numId w:val="0"/>
        </w:numPr>
        <w:spacing w:line="360" w:lineRule="exact"/>
        <w:ind w:left="360" w:leftChars="0" w:hanging="360" w:hangingChars="150"/>
        <w:rPr>
          <w:rFonts w:hint="eastAsia" w:ascii="华文中宋" w:hAnsi="华文中宋" w:eastAsia="华文中宋" w:cs="华文中宋"/>
          <w:b/>
          <w:color w:val="auto"/>
          <w:kern w:val="2"/>
          <w:sz w:val="24"/>
          <w:szCs w:val="24"/>
          <w:highlight w:val="none"/>
          <w:lang w:val="en-US" w:eastAsia="zh-CN" w:bidi="ar-SA"/>
        </w:rPr>
      </w:pPr>
    </w:p>
    <w:p w14:paraId="30A057D1">
      <w:pPr>
        <w:numPr>
          <w:ilvl w:val="0"/>
          <w:numId w:val="0"/>
        </w:numPr>
        <w:spacing w:line="360" w:lineRule="exact"/>
        <w:ind w:left="360" w:leftChars="0" w:hanging="360" w:hangingChars="150"/>
        <w:rPr>
          <w:rFonts w:hint="eastAsia" w:ascii="华文中宋" w:hAnsi="华文中宋" w:eastAsia="华文中宋" w:cs="华文中宋"/>
          <w:b/>
          <w:color w:val="auto"/>
          <w:kern w:val="2"/>
          <w:sz w:val="24"/>
          <w:szCs w:val="24"/>
          <w:highlight w:val="none"/>
          <w:lang w:val="en-US" w:eastAsia="zh-CN" w:bidi="ar-SA"/>
        </w:rPr>
      </w:pPr>
    </w:p>
    <w:p w14:paraId="718F174F">
      <w:pPr>
        <w:numPr>
          <w:ilvl w:val="0"/>
          <w:numId w:val="0"/>
        </w:numPr>
        <w:spacing w:line="360" w:lineRule="exact"/>
        <w:ind w:left="360" w:leftChars="0" w:hanging="360" w:hangingChars="150"/>
        <w:rPr>
          <w:rFonts w:hint="eastAsia" w:ascii="华文中宋" w:hAnsi="华文中宋" w:eastAsia="华文中宋" w:cs="华文中宋"/>
          <w:b/>
          <w:color w:val="auto"/>
          <w:kern w:val="2"/>
          <w:sz w:val="24"/>
          <w:szCs w:val="24"/>
          <w:highlight w:val="none"/>
          <w:lang w:val="en-US" w:eastAsia="zh-CN" w:bidi="ar-SA"/>
        </w:rPr>
      </w:pPr>
    </w:p>
    <w:p w14:paraId="60BFCBB1">
      <w:pPr>
        <w:numPr>
          <w:ilvl w:val="0"/>
          <w:numId w:val="0"/>
        </w:numPr>
        <w:spacing w:line="360" w:lineRule="exact"/>
        <w:ind w:left="360" w:leftChars="0" w:hanging="360" w:hangingChars="150"/>
        <w:rPr>
          <w:rFonts w:hint="eastAsia" w:ascii="华文中宋" w:hAnsi="华文中宋" w:eastAsia="华文中宋" w:cs="华文中宋"/>
          <w:b/>
          <w:color w:val="auto"/>
          <w:kern w:val="2"/>
          <w:sz w:val="24"/>
          <w:szCs w:val="24"/>
          <w:highlight w:val="none"/>
          <w:lang w:val="en-US" w:eastAsia="zh-CN" w:bidi="ar-SA"/>
        </w:rPr>
      </w:pPr>
    </w:p>
    <w:p w14:paraId="126C8CA3">
      <w:pPr>
        <w:numPr>
          <w:ilvl w:val="0"/>
          <w:numId w:val="0"/>
        </w:numPr>
        <w:spacing w:line="360" w:lineRule="exact"/>
        <w:ind w:left="360" w:leftChars="0" w:hanging="360" w:hangingChars="150"/>
        <w:rPr>
          <w:rFonts w:hint="eastAsia" w:ascii="华文中宋" w:hAnsi="华文中宋" w:eastAsia="华文中宋" w:cs="华文中宋"/>
          <w:b/>
          <w:color w:val="auto"/>
          <w:kern w:val="2"/>
          <w:sz w:val="24"/>
          <w:szCs w:val="24"/>
          <w:highlight w:val="none"/>
          <w:lang w:val="en-US" w:eastAsia="zh-CN" w:bidi="ar-SA"/>
        </w:rPr>
      </w:pPr>
    </w:p>
    <w:p w14:paraId="512057FC">
      <w:pPr>
        <w:numPr>
          <w:ilvl w:val="0"/>
          <w:numId w:val="0"/>
        </w:numPr>
        <w:spacing w:line="360" w:lineRule="exact"/>
        <w:ind w:left="360" w:leftChars="0" w:hanging="360" w:hangingChars="150"/>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kern w:val="2"/>
          <w:sz w:val="24"/>
          <w:szCs w:val="24"/>
          <w:highlight w:val="none"/>
          <w:lang w:val="en-US" w:eastAsia="zh-CN" w:bidi="ar-SA"/>
        </w:rPr>
        <w:t>（六）</w:t>
      </w:r>
      <w:r>
        <w:rPr>
          <w:rFonts w:hint="eastAsia" w:ascii="华文中宋" w:hAnsi="华文中宋" w:eastAsia="华文中宋" w:cs="华文中宋"/>
          <w:b/>
          <w:color w:val="auto"/>
          <w:sz w:val="24"/>
          <w:highlight w:val="none"/>
        </w:rPr>
        <w:t>招标文件要求或投标人认为需要提供的其他商务技术材料</w:t>
      </w:r>
      <w:r>
        <w:rPr>
          <w:rFonts w:ascii="华文中宋" w:hAnsi="华文中宋" w:eastAsia="华文中宋" w:cs="华文中宋"/>
          <w:b/>
          <w:color w:val="auto"/>
          <w:sz w:val="24"/>
          <w:highlight w:val="none"/>
        </w:rPr>
        <w:t>/</w:t>
      </w:r>
      <w:r>
        <w:rPr>
          <w:rFonts w:hint="eastAsia" w:ascii="华文中宋" w:hAnsi="华文中宋" w:eastAsia="华文中宋" w:cs="华文中宋"/>
          <w:b/>
          <w:color w:val="auto"/>
          <w:sz w:val="24"/>
          <w:highlight w:val="none"/>
        </w:rPr>
        <w:t>文件；</w:t>
      </w:r>
    </w:p>
    <w:p w14:paraId="44CBA218">
      <w:pPr>
        <w:pStyle w:val="15"/>
        <w:numPr>
          <w:ilvl w:val="0"/>
          <w:numId w:val="0"/>
        </w:numPr>
        <w:rPr>
          <w:color w:val="auto"/>
          <w:highlight w:val="none"/>
        </w:rPr>
      </w:pPr>
    </w:p>
    <w:p w14:paraId="502D6FAC">
      <w:pPr>
        <w:pStyle w:val="16"/>
        <w:ind w:left="0" w:leftChars="0" w:firstLine="720" w:firstLineChars="300"/>
        <w:rPr>
          <w:rFonts w:hint="eastAsia"/>
          <w:color w:val="auto"/>
          <w:highlight w:val="none"/>
        </w:rPr>
      </w:pPr>
      <w:r>
        <w:rPr>
          <w:rFonts w:hint="eastAsia" w:ascii="华文中宋" w:hAnsi="华文中宋" w:eastAsia="华文中宋"/>
          <w:b/>
          <w:color w:val="auto"/>
          <w:sz w:val="24"/>
          <w:highlight w:val="none"/>
          <w:lang w:val="en-US" w:eastAsia="zh-CN"/>
        </w:rPr>
        <w:t>格式自拟。</w:t>
      </w:r>
    </w:p>
    <w:p w14:paraId="059ED2BB">
      <w:pPr>
        <w:pStyle w:val="16"/>
        <w:rPr>
          <w:rFonts w:hint="eastAsia"/>
          <w:color w:val="auto"/>
          <w:highlight w:val="none"/>
        </w:rPr>
      </w:pPr>
    </w:p>
    <w:p w14:paraId="4744C665">
      <w:pPr>
        <w:spacing w:line="360" w:lineRule="auto"/>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w:t>
      </w:r>
      <w:r>
        <w:rPr>
          <w:rFonts w:hint="eastAsia" w:ascii="华文中宋" w:hAnsi="华文中宋" w:eastAsia="华文中宋"/>
          <w:b/>
          <w:color w:val="auto"/>
          <w:sz w:val="24"/>
          <w:highlight w:val="none"/>
          <w:lang w:val="en-US" w:eastAsia="zh-CN"/>
        </w:rPr>
        <w:t>七</w:t>
      </w:r>
      <w:r>
        <w:rPr>
          <w:rFonts w:hint="eastAsia" w:ascii="华文中宋" w:hAnsi="华文中宋" w:eastAsia="华文中宋"/>
          <w:b/>
          <w:color w:val="auto"/>
          <w:sz w:val="24"/>
          <w:highlight w:val="none"/>
        </w:rPr>
        <w:t>）开标报价一览表格式（以包为单位分别填写）</w:t>
      </w:r>
    </w:p>
    <w:p w14:paraId="7F157BFC">
      <w:pPr>
        <w:spacing w:line="360" w:lineRule="auto"/>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开标报价一览表</w:t>
      </w:r>
    </w:p>
    <w:p w14:paraId="5C0BFBF3">
      <w:pPr>
        <w:spacing w:line="360" w:lineRule="auto"/>
        <w:ind w:firstLine="525" w:firstLineChars="2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w:t>
      </w:r>
    </w:p>
    <w:p w14:paraId="6545DB2E">
      <w:pPr>
        <w:spacing w:line="360" w:lineRule="auto"/>
        <w:ind w:firstLine="525" w:firstLineChars="2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项目编号：</w:t>
      </w:r>
    </w:p>
    <w:tbl>
      <w:tblPr>
        <w:tblStyle w:val="29"/>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286"/>
        <w:gridCol w:w="686"/>
        <w:gridCol w:w="941"/>
        <w:gridCol w:w="934"/>
        <w:gridCol w:w="904"/>
        <w:gridCol w:w="869"/>
        <w:gridCol w:w="690"/>
        <w:gridCol w:w="759"/>
        <w:gridCol w:w="1217"/>
      </w:tblGrid>
      <w:tr w14:paraId="6084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76" w:type="dxa"/>
            <w:vAlign w:val="center"/>
          </w:tcPr>
          <w:p w14:paraId="68D15828">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序号</w:t>
            </w:r>
          </w:p>
        </w:tc>
        <w:tc>
          <w:tcPr>
            <w:tcW w:w="1286" w:type="dxa"/>
            <w:vAlign w:val="center"/>
          </w:tcPr>
          <w:p w14:paraId="6481745E">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lang w:val="en-US" w:eastAsia="zh-CN"/>
              </w:rPr>
              <w:t>标的</w:t>
            </w:r>
            <w:r>
              <w:rPr>
                <w:rFonts w:hint="eastAsia" w:ascii="华文中宋" w:hAnsi="华文中宋" w:eastAsia="华文中宋"/>
                <w:bCs/>
                <w:color w:val="auto"/>
                <w:szCs w:val="21"/>
                <w:highlight w:val="none"/>
              </w:rPr>
              <w:t>名称</w:t>
            </w:r>
          </w:p>
        </w:tc>
        <w:tc>
          <w:tcPr>
            <w:tcW w:w="686" w:type="dxa"/>
            <w:vAlign w:val="center"/>
          </w:tcPr>
          <w:p w14:paraId="051F266D">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品牌</w:t>
            </w:r>
          </w:p>
        </w:tc>
        <w:tc>
          <w:tcPr>
            <w:tcW w:w="941" w:type="dxa"/>
            <w:vAlign w:val="center"/>
          </w:tcPr>
          <w:p w14:paraId="3FB6CE2F">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规格型号</w:t>
            </w:r>
          </w:p>
        </w:tc>
        <w:tc>
          <w:tcPr>
            <w:tcW w:w="934" w:type="dxa"/>
            <w:vAlign w:val="center"/>
          </w:tcPr>
          <w:p w14:paraId="6720F061">
            <w:pPr>
              <w:jc w:val="center"/>
              <w:rPr>
                <w:rFonts w:hint="default" w:ascii="华文中宋" w:hAnsi="华文中宋" w:eastAsia="华文中宋"/>
                <w:bCs/>
                <w:color w:val="auto"/>
                <w:szCs w:val="21"/>
                <w:highlight w:val="none"/>
                <w:lang w:val="en-US" w:eastAsia="zh-CN"/>
              </w:rPr>
            </w:pPr>
            <w:r>
              <w:rPr>
                <w:rFonts w:hint="eastAsia" w:ascii="华文中宋" w:hAnsi="华文中宋" w:eastAsia="华文中宋"/>
                <w:bCs/>
                <w:color w:val="auto"/>
                <w:szCs w:val="21"/>
                <w:highlight w:val="none"/>
                <w:lang w:val="en-US" w:eastAsia="zh-CN"/>
              </w:rPr>
              <w:t>详细技术参数</w:t>
            </w:r>
          </w:p>
        </w:tc>
        <w:tc>
          <w:tcPr>
            <w:tcW w:w="904" w:type="dxa"/>
            <w:vAlign w:val="center"/>
          </w:tcPr>
          <w:p w14:paraId="4553DBE5">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产地或厂家</w:t>
            </w:r>
          </w:p>
        </w:tc>
        <w:tc>
          <w:tcPr>
            <w:tcW w:w="869" w:type="dxa"/>
            <w:vAlign w:val="center"/>
          </w:tcPr>
          <w:p w14:paraId="3701F668">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数量</w:t>
            </w:r>
          </w:p>
        </w:tc>
        <w:tc>
          <w:tcPr>
            <w:tcW w:w="690" w:type="dxa"/>
            <w:vAlign w:val="center"/>
          </w:tcPr>
          <w:p w14:paraId="218AF70C">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单价</w:t>
            </w:r>
          </w:p>
        </w:tc>
        <w:tc>
          <w:tcPr>
            <w:tcW w:w="759" w:type="dxa"/>
            <w:vAlign w:val="center"/>
          </w:tcPr>
          <w:p w14:paraId="759EE1F4">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合价</w:t>
            </w:r>
          </w:p>
        </w:tc>
        <w:tc>
          <w:tcPr>
            <w:tcW w:w="1217" w:type="dxa"/>
            <w:vAlign w:val="center"/>
          </w:tcPr>
          <w:p w14:paraId="31E9B1C3">
            <w:pPr>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供货期</w:t>
            </w:r>
          </w:p>
        </w:tc>
      </w:tr>
      <w:tr w14:paraId="6A38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vAlign w:val="center"/>
          </w:tcPr>
          <w:p w14:paraId="772CE4F6">
            <w:pPr>
              <w:jc w:val="center"/>
              <w:rPr>
                <w:rFonts w:hint="eastAsia" w:ascii="华文中宋" w:hAnsi="华文中宋" w:eastAsia="华文中宋"/>
                <w:bCs/>
                <w:color w:val="auto"/>
                <w:szCs w:val="21"/>
                <w:highlight w:val="none"/>
                <w:lang w:val="en-US" w:eastAsia="zh-CN"/>
              </w:rPr>
            </w:pPr>
            <w:r>
              <w:rPr>
                <w:rFonts w:hint="eastAsia" w:ascii="华文中宋" w:hAnsi="华文中宋" w:eastAsia="华文中宋"/>
                <w:bCs/>
                <w:color w:val="auto"/>
                <w:szCs w:val="21"/>
                <w:highlight w:val="none"/>
                <w:lang w:val="en-US" w:eastAsia="zh-CN"/>
              </w:rPr>
              <w:t>1</w:t>
            </w:r>
          </w:p>
        </w:tc>
        <w:tc>
          <w:tcPr>
            <w:tcW w:w="1286" w:type="dxa"/>
            <w:vAlign w:val="center"/>
          </w:tcPr>
          <w:p w14:paraId="2C5625F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华文中宋" w:hAnsi="华文中宋" w:eastAsia="华文中宋"/>
                <w:bCs/>
                <w:color w:val="auto"/>
                <w:szCs w:val="21"/>
                <w:highlight w:val="none"/>
              </w:rPr>
            </w:pPr>
          </w:p>
        </w:tc>
        <w:tc>
          <w:tcPr>
            <w:tcW w:w="686" w:type="dxa"/>
            <w:vAlign w:val="center"/>
          </w:tcPr>
          <w:p w14:paraId="3BFD8569">
            <w:pPr>
              <w:jc w:val="center"/>
              <w:rPr>
                <w:rFonts w:ascii="华文中宋" w:hAnsi="华文中宋" w:eastAsia="华文中宋"/>
                <w:bCs/>
                <w:color w:val="auto"/>
                <w:szCs w:val="21"/>
                <w:highlight w:val="none"/>
              </w:rPr>
            </w:pPr>
          </w:p>
        </w:tc>
        <w:tc>
          <w:tcPr>
            <w:tcW w:w="941" w:type="dxa"/>
            <w:vAlign w:val="center"/>
          </w:tcPr>
          <w:p w14:paraId="2075CF61">
            <w:pPr>
              <w:jc w:val="center"/>
              <w:rPr>
                <w:rFonts w:ascii="华文中宋" w:hAnsi="华文中宋" w:eastAsia="华文中宋"/>
                <w:bCs/>
                <w:color w:val="auto"/>
                <w:szCs w:val="21"/>
                <w:highlight w:val="none"/>
                <w:vertAlign w:val="superscript"/>
              </w:rPr>
            </w:pPr>
          </w:p>
        </w:tc>
        <w:tc>
          <w:tcPr>
            <w:tcW w:w="934" w:type="dxa"/>
            <w:vAlign w:val="center"/>
          </w:tcPr>
          <w:p w14:paraId="7DE303EE">
            <w:pPr>
              <w:jc w:val="center"/>
              <w:rPr>
                <w:rFonts w:ascii="华文中宋" w:hAnsi="华文中宋" w:eastAsia="华文中宋"/>
                <w:bCs/>
                <w:color w:val="auto"/>
                <w:szCs w:val="21"/>
                <w:highlight w:val="none"/>
                <w:vertAlign w:val="superscript"/>
              </w:rPr>
            </w:pPr>
          </w:p>
        </w:tc>
        <w:tc>
          <w:tcPr>
            <w:tcW w:w="904" w:type="dxa"/>
            <w:vAlign w:val="center"/>
          </w:tcPr>
          <w:p w14:paraId="3FBAF070">
            <w:pPr>
              <w:jc w:val="center"/>
              <w:rPr>
                <w:rFonts w:ascii="华文中宋" w:hAnsi="华文中宋" w:eastAsia="华文中宋"/>
                <w:bCs/>
                <w:color w:val="auto"/>
                <w:szCs w:val="21"/>
                <w:highlight w:val="none"/>
                <w:vertAlign w:val="superscript"/>
              </w:rPr>
            </w:pPr>
          </w:p>
        </w:tc>
        <w:tc>
          <w:tcPr>
            <w:tcW w:w="869" w:type="dxa"/>
            <w:vAlign w:val="center"/>
          </w:tcPr>
          <w:p w14:paraId="006029F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华文中宋" w:hAnsi="华文中宋" w:eastAsia="华文中宋"/>
                <w:bCs/>
                <w:color w:val="auto"/>
                <w:szCs w:val="21"/>
                <w:highlight w:val="none"/>
              </w:rPr>
            </w:pPr>
          </w:p>
        </w:tc>
        <w:tc>
          <w:tcPr>
            <w:tcW w:w="690" w:type="dxa"/>
            <w:vAlign w:val="center"/>
          </w:tcPr>
          <w:p w14:paraId="53B7B772">
            <w:pPr>
              <w:jc w:val="center"/>
              <w:rPr>
                <w:rFonts w:ascii="华文中宋" w:hAnsi="华文中宋" w:eastAsia="华文中宋"/>
                <w:bCs/>
                <w:color w:val="auto"/>
                <w:szCs w:val="21"/>
                <w:highlight w:val="none"/>
              </w:rPr>
            </w:pPr>
          </w:p>
        </w:tc>
        <w:tc>
          <w:tcPr>
            <w:tcW w:w="759" w:type="dxa"/>
            <w:vAlign w:val="center"/>
          </w:tcPr>
          <w:p w14:paraId="6E4B1F3F">
            <w:pPr>
              <w:jc w:val="center"/>
              <w:rPr>
                <w:rFonts w:ascii="华文中宋" w:hAnsi="华文中宋" w:eastAsia="华文中宋"/>
                <w:bCs/>
                <w:color w:val="auto"/>
                <w:szCs w:val="21"/>
                <w:highlight w:val="none"/>
              </w:rPr>
            </w:pPr>
          </w:p>
        </w:tc>
        <w:tc>
          <w:tcPr>
            <w:tcW w:w="1217" w:type="dxa"/>
            <w:vAlign w:val="center"/>
          </w:tcPr>
          <w:p w14:paraId="5EFAF933">
            <w:pPr>
              <w:jc w:val="center"/>
              <w:rPr>
                <w:rFonts w:ascii="华文中宋" w:hAnsi="华文中宋" w:eastAsia="华文中宋"/>
                <w:bCs/>
                <w:color w:val="auto"/>
                <w:szCs w:val="21"/>
                <w:highlight w:val="none"/>
              </w:rPr>
            </w:pPr>
          </w:p>
        </w:tc>
      </w:tr>
      <w:tr w14:paraId="0B02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vAlign w:val="center"/>
          </w:tcPr>
          <w:p w14:paraId="647E7C84">
            <w:pPr>
              <w:jc w:val="center"/>
              <w:rPr>
                <w:rFonts w:hint="eastAsia" w:ascii="华文中宋" w:hAnsi="华文中宋" w:eastAsia="华文中宋"/>
                <w:bCs/>
                <w:color w:val="auto"/>
                <w:szCs w:val="21"/>
                <w:highlight w:val="none"/>
                <w:lang w:val="en-US" w:eastAsia="zh-CN"/>
              </w:rPr>
            </w:pPr>
            <w:r>
              <w:rPr>
                <w:rFonts w:hint="eastAsia" w:ascii="华文中宋" w:hAnsi="华文中宋" w:eastAsia="华文中宋"/>
                <w:bCs/>
                <w:color w:val="auto"/>
                <w:szCs w:val="21"/>
                <w:highlight w:val="none"/>
                <w:lang w:val="en-US" w:eastAsia="zh-CN"/>
              </w:rPr>
              <w:t>2</w:t>
            </w:r>
          </w:p>
        </w:tc>
        <w:tc>
          <w:tcPr>
            <w:tcW w:w="1286" w:type="dxa"/>
            <w:vAlign w:val="center"/>
          </w:tcPr>
          <w:p w14:paraId="16B9C24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华文中宋" w:hAnsi="华文中宋" w:eastAsia="华文中宋"/>
                <w:bCs/>
                <w:color w:val="auto"/>
                <w:szCs w:val="21"/>
                <w:highlight w:val="none"/>
              </w:rPr>
            </w:pPr>
          </w:p>
        </w:tc>
        <w:tc>
          <w:tcPr>
            <w:tcW w:w="686" w:type="dxa"/>
            <w:vAlign w:val="center"/>
          </w:tcPr>
          <w:p w14:paraId="7E7D7FB1">
            <w:pPr>
              <w:jc w:val="center"/>
              <w:rPr>
                <w:rFonts w:ascii="华文中宋" w:hAnsi="华文中宋" w:eastAsia="华文中宋"/>
                <w:bCs/>
                <w:color w:val="auto"/>
                <w:szCs w:val="21"/>
                <w:highlight w:val="none"/>
              </w:rPr>
            </w:pPr>
          </w:p>
        </w:tc>
        <w:tc>
          <w:tcPr>
            <w:tcW w:w="941" w:type="dxa"/>
            <w:vAlign w:val="center"/>
          </w:tcPr>
          <w:p w14:paraId="365E760C">
            <w:pPr>
              <w:jc w:val="center"/>
              <w:rPr>
                <w:rFonts w:ascii="华文中宋" w:hAnsi="华文中宋" w:eastAsia="华文中宋"/>
                <w:bCs/>
                <w:color w:val="auto"/>
                <w:szCs w:val="21"/>
                <w:highlight w:val="none"/>
                <w:vertAlign w:val="superscript"/>
              </w:rPr>
            </w:pPr>
          </w:p>
        </w:tc>
        <w:tc>
          <w:tcPr>
            <w:tcW w:w="934" w:type="dxa"/>
            <w:vAlign w:val="center"/>
          </w:tcPr>
          <w:p w14:paraId="0EBF3994">
            <w:pPr>
              <w:jc w:val="center"/>
              <w:rPr>
                <w:rFonts w:ascii="华文中宋" w:hAnsi="华文中宋" w:eastAsia="华文中宋"/>
                <w:bCs/>
                <w:color w:val="auto"/>
                <w:szCs w:val="21"/>
                <w:highlight w:val="none"/>
                <w:vertAlign w:val="superscript"/>
              </w:rPr>
            </w:pPr>
          </w:p>
        </w:tc>
        <w:tc>
          <w:tcPr>
            <w:tcW w:w="904" w:type="dxa"/>
            <w:vAlign w:val="center"/>
          </w:tcPr>
          <w:p w14:paraId="09422227">
            <w:pPr>
              <w:jc w:val="center"/>
              <w:rPr>
                <w:rFonts w:ascii="华文中宋" w:hAnsi="华文中宋" w:eastAsia="华文中宋"/>
                <w:bCs/>
                <w:color w:val="auto"/>
                <w:szCs w:val="21"/>
                <w:highlight w:val="none"/>
                <w:vertAlign w:val="superscript"/>
              </w:rPr>
            </w:pPr>
          </w:p>
        </w:tc>
        <w:tc>
          <w:tcPr>
            <w:tcW w:w="869" w:type="dxa"/>
            <w:vAlign w:val="center"/>
          </w:tcPr>
          <w:p w14:paraId="50B33AD9">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华文中宋" w:hAnsi="华文中宋" w:eastAsia="华文中宋"/>
                <w:bCs/>
                <w:color w:val="auto"/>
                <w:szCs w:val="21"/>
                <w:highlight w:val="none"/>
              </w:rPr>
            </w:pPr>
          </w:p>
        </w:tc>
        <w:tc>
          <w:tcPr>
            <w:tcW w:w="690" w:type="dxa"/>
            <w:vAlign w:val="center"/>
          </w:tcPr>
          <w:p w14:paraId="65B92704">
            <w:pPr>
              <w:jc w:val="center"/>
              <w:rPr>
                <w:rFonts w:ascii="华文中宋" w:hAnsi="华文中宋" w:eastAsia="华文中宋"/>
                <w:bCs/>
                <w:color w:val="auto"/>
                <w:szCs w:val="21"/>
                <w:highlight w:val="none"/>
              </w:rPr>
            </w:pPr>
          </w:p>
        </w:tc>
        <w:tc>
          <w:tcPr>
            <w:tcW w:w="759" w:type="dxa"/>
            <w:vAlign w:val="center"/>
          </w:tcPr>
          <w:p w14:paraId="04455053">
            <w:pPr>
              <w:jc w:val="center"/>
              <w:rPr>
                <w:rFonts w:ascii="华文中宋" w:hAnsi="华文中宋" w:eastAsia="华文中宋"/>
                <w:bCs/>
                <w:color w:val="auto"/>
                <w:szCs w:val="21"/>
                <w:highlight w:val="none"/>
              </w:rPr>
            </w:pPr>
          </w:p>
        </w:tc>
        <w:tc>
          <w:tcPr>
            <w:tcW w:w="1217" w:type="dxa"/>
            <w:vAlign w:val="center"/>
          </w:tcPr>
          <w:p w14:paraId="79E1EED4">
            <w:pPr>
              <w:jc w:val="center"/>
              <w:rPr>
                <w:rFonts w:ascii="华文中宋" w:hAnsi="华文中宋" w:eastAsia="华文中宋"/>
                <w:bCs/>
                <w:color w:val="auto"/>
                <w:szCs w:val="21"/>
                <w:highlight w:val="none"/>
              </w:rPr>
            </w:pPr>
          </w:p>
        </w:tc>
      </w:tr>
      <w:tr w14:paraId="3EC7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vAlign w:val="center"/>
          </w:tcPr>
          <w:p w14:paraId="67A9C055">
            <w:pPr>
              <w:jc w:val="center"/>
              <w:rPr>
                <w:rFonts w:hint="eastAsia" w:ascii="华文中宋" w:hAnsi="华文中宋" w:eastAsia="华文中宋"/>
                <w:bCs/>
                <w:color w:val="auto"/>
                <w:szCs w:val="21"/>
                <w:highlight w:val="none"/>
                <w:lang w:val="en-US" w:eastAsia="zh-CN"/>
              </w:rPr>
            </w:pPr>
            <w:r>
              <w:rPr>
                <w:rFonts w:hint="eastAsia" w:ascii="华文中宋" w:hAnsi="华文中宋" w:eastAsia="华文中宋"/>
                <w:bCs/>
                <w:color w:val="auto"/>
                <w:szCs w:val="21"/>
                <w:highlight w:val="none"/>
                <w:lang w:val="en-US" w:eastAsia="zh-CN"/>
              </w:rPr>
              <w:t>3</w:t>
            </w:r>
          </w:p>
        </w:tc>
        <w:tc>
          <w:tcPr>
            <w:tcW w:w="1286" w:type="dxa"/>
            <w:vAlign w:val="center"/>
          </w:tcPr>
          <w:p w14:paraId="7423C98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华文中宋" w:hAnsi="华文中宋" w:eastAsia="华文中宋"/>
                <w:bCs/>
                <w:color w:val="auto"/>
                <w:szCs w:val="21"/>
                <w:highlight w:val="none"/>
              </w:rPr>
            </w:pPr>
          </w:p>
        </w:tc>
        <w:tc>
          <w:tcPr>
            <w:tcW w:w="686" w:type="dxa"/>
            <w:vAlign w:val="center"/>
          </w:tcPr>
          <w:p w14:paraId="2B8F0A75">
            <w:pPr>
              <w:jc w:val="center"/>
              <w:rPr>
                <w:rFonts w:ascii="华文中宋" w:hAnsi="华文中宋" w:eastAsia="华文中宋"/>
                <w:bCs/>
                <w:color w:val="auto"/>
                <w:szCs w:val="21"/>
                <w:highlight w:val="none"/>
              </w:rPr>
            </w:pPr>
          </w:p>
        </w:tc>
        <w:tc>
          <w:tcPr>
            <w:tcW w:w="941" w:type="dxa"/>
            <w:vAlign w:val="center"/>
          </w:tcPr>
          <w:p w14:paraId="1DA7B2A0">
            <w:pPr>
              <w:jc w:val="center"/>
              <w:rPr>
                <w:rFonts w:ascii="华文中宋" w:hAnsi="华文中宋" w:eastAsia="华文中宋"/>
                <w:bCs/>
                <w:color w:val="auto"/>
                <w:szCs w:val="21"/>
                <w:highlight w:val="none"/>
                <w:vertAlign w:val="superscript"/>
              </w:rPr>
            </w:pPr>
          </w:p>
        </w:tc>
        <w:tc>
          <w:tcPr>
            <w:tcW w:w="934" w:type="dxa"/>
            <w:vAlign w:val="center"/>
          </w:tcPr>
          <w:p w14:paraId="4965925B">
            <w:pPr>
              <w:jc w:val="center"/>
              <w:rPr>
                <w:rFonts w:ascii="华文中宋" w:hAnsi="华文中宋" w:eastAsia="华文中宋"/>
                <w:bCs/>
                <w:color w:val="auto"/>
                <w:szCs w:val="21"/>
                <w:highlight w:val="none"/>
                <w:vertAlign w:val="superscript"/>
              </w:rPr>
            </w:pPr>
          </w:p>
        </w:tc>
        <w:tc>
          <w:tcPr>
            <w:tcW w:w="904" w:type="dxa"/>
            <w:vAlign w:val="center"/>
          </w:tcPr>
          <w:p w14:paraId="1F4B24E9">
            <w:pPr>
              <w:jc w:val="center"/>
              <w:rPr>
                <w:rFonts w:ascii="华文中宋" w:hAnsi="华文中宋" w:eastAsia="华文中宋"/>
                <w:bCs/>
                <w:color w:val="auto"/>
                <w:szCs w:val="21"/>
                <w:highlight w:val="none"/>
                <w:vertAlign w:val="superscript"/>
              </w:rPr>
            </w:pPr>
          </w:p>
        </w:tc>
        <w:tc>
          <w:tcPr>
            <w:tcW w:w="869" w:type="dxa"/>
            <w:vAlign w:val="center"/>
          </w:tcPr>
          <w:p w14:paraId="4C29F75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华文中宋" w:hAnsi="华文中宋" w:eastAsia="华文中宋"/>
                <w:bCs/>
                <w:color w:val="auto"/>
                <w:szCs w:val="21"/>
                <w:highlight w:val="none"/>
              </w:rPr>
            </w:pPr>
          </w:p>
        </w:tc>
        <w:tc>
          <w:tcPr>
            <w:tcW w:w="690" w:type="dxa"/>
            <w:vAlign w:val="center"/>
          </w:tcPr>
          <w:p w14:paraId="38D15660">
            <w:pPr>
              <w:jc w:val="center"/>
              <w:rPr>
                <w:rFonts w:ascii="华文中宋" w:hAnsi="华文中宋" w:eastAsia="华文中宋"/>
                <w:bCs/>
                <w:color w:val="auto"/>
                <w:szCs w:val="21"/>
                <w:highlight w:val="none"/>
              </w:rPr>
            </w:pPr>
          </w:p>
        </w:tc>
        <w:tc>
          <w:tcPr>
            <w:tcW w:w="759" w:type="dxa"/>
            <w:vAlign w:val="center"/>
          </w:tcPr>
          <w:p w14:paraId="107BBF3D">
            <w:pPr>
              <w:jc w:val="center"/>
              <w:rPr>
                <w:rFonts w:ascii="华文中宋" w:hAnsi="华文中宋" w:eastAsia="华文中宋"/>
                <w:bCs/>
                <w:color w:val="auto"/>
                <w:szCs w:val="21"/>
                <w:highlight w:val="none"/>
              </w:rPr>
            </w:pPr>
          </w:p>
        </w:tc>
        <w:tc>
          <w:tcPr>
            <w:tcW w:w="1217" w:type="dxa"/>
            <w:vAlign w:val="center"/>
          </w:tcPr>
          <w:p w14:paraId="44593A82">
            <w:pPr>
              <w:jc w:val="center"/>
              <w:rPr>
                <w:rFonts w:ascii="华文中宋" w:hAnsi="华文中宋" w:eastAsia="华文中宋"/>
                <w:bCs/>
                <w:color w:val="auto"/>
                <w:szCs w:val="21"/>
                <w:highlight w:val="none"/>
              </w:rPr>
            </w:pPr>
          </w:p>
        </w:tc>
      </w:tr>
      <w:tr w14:paraId="1641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76" w:type="dxa"/>
            <w:vAlign w:val="center"/>
          </w:tcPr>
          <w:p w14:paraId="2F92F1CB">
            <w:pPr>
              <w:jc w:val="center"/>
              <w:rPr>
                <w:rFonts w:hint="default" w:ascii="华文中宋" w:hAnsi="华文中宋" w:eastAsia="华文中宋"/>
                <w:bCs/>
                <w:color w:val="auto"/>
                <w:szCs w:val="21"/>
                <w:highlight w:val="none"/>
                <w:lang w:val="en-US" w:eastAsia="zh-CN"/>
              </w:rPr>
            </w:pPr>
            <w:r>
              <w:rPr>
                <w:rFonts w:hint="eastAsia" w:ascii="华文中宋" w:hAnsi="华文中宋" w:eastAsia="华文中宋"/>
                <w:bCs/>
                <w:color w:val="auto"/>
                <w:szCs w:val="21"/>
                <w:highlight w:val="none"/>
                <w:lang w:val="en-US" w:eastAsia="zh-CN"/>
              </w:rPr>
              <w:t>...</w:t>
            </w:r>
          </w:p>
        </w:tc>
        <w:tc>
          <w:tcPr>
            <w:tcW w:w="1286" w:type="dxa"/>
            <w:vAlign w:val="center"/>
          </w:tcPr>
          <w:p w14:paraId="477C341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华文中宋" w:hAnsi="华文中宋" w:eastAsia="华文中宋"/>
                <w:bCs/>
                <w:color w:val="auto"/>
                <w:szCs w:val="21"/>
                <w:highlight w:val="none"/>
              </w:rPr>
            </w:pPr>
          </w:p>
        </w:tc>
        <w:tc>
          <w:tcPr>
            <w:tcW w:w="686" w:type="dxa"/>
            <w:vAlign w:val="center"/>
          </w:tcPr>
          <w:p w14:paraId="2AF4D974">
            <w:pPr>
              <w:jc w:val="center"/>
              <w:rPr>
                <w:rFonts w:ascii="华文中宋" w:hAnsi="华文中宋" w:eastAsia="华文中宋"/>
                <w:bCs/>
                <w:color w:val="auto"/>
                <w:szCs w:val="21"/>
                <w:highlight w:val="none"/>
              </w:rPr>
            </w:pPr>
          </w:p>
        </w:tc>
        <w:tc>
          <w:tcPr>
            <w:tcW w:w="941" w:type="dxa"/>
            <w:vAlign w:val="center"/>
          </w:tcPr>
          <w:p w14:paraId="56746B21">
            <w:pPr>
              <w:jc w:val="center"/>
              <w:rPr>
                <w:rFonts w:ascii="华文中宋" w:hAnsi="华文中宋" w:eastAsia="华文中宋"/>
                <w:bCs/>
                <w:color w:val="auto"/>
                <w:szCs w:val="21"/>
                <w:highlight w:val="none"/>
                <w:vertAlign w:val="superscript"/>
              </w:rPr>
            </w:pPr>
          </w:p>
        </w:tc>
        <w:tc>
          <w:tcPr>
            <w:tcW w:w="934" w:type="dxa"/>
            <w:vAlign w:val="center"/>
          </w:tcPr>
          <w:p w14:paraId="34BC1005">
            <w:pPr>
              <w:jc w:val="center"/>
              <w:rPr>
                <w:rFonts w:ascii="华文中宋" w:hAnsi="华文中宋" w:eastAsia="华文中宋"/>
                <w:bCs/>
                <w:color w:val="auto"/>
                <w:szCs w:val="21"/>
                <w:highlight w:val="none"/>
                <w:vertAlign w:val="superscript"/>
              </w:rPr>
            </w:pPr>
          </w:p>
        </w:tc>
        <w:tc>
          <w:tcPr>
            <w:tcW w:w="904" w:type="dxa"/>
            <w:vAlign w:val="center"/>
          </w:tcPr>
          <w:p w14:paraId="55F42DF6">
            <w:pPr>
              <w:jc w:val="center"/>
              <w:rPr>
                <w:rFonts w:ascii="华文中宋" w:hAnsi="华文中宋" w:eastAsia="华文中宋"/>
                <w:bCs/>
                <w:color w:val="auto"/>
                <w:szCs w:val="21"/>
                <w:highlight w:val="none"/>
                <w:vertAlign w:val="superscript"/>
              </w:rPr>
            </w:pPr>
          </w:p>
        </w:tc>
        <w:tc>
          <w:tcPr>
            <w:tcW w:w="869" w:type="dxa"/>
            <w:vAlign w:val="center"/>
          </w:tcPr>
          <w:p w14:paraId="0BEF86D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华文中宋" w:hAnsi="华文中宋" w:eastAsia="华文中宋"/>
                <w:bCs/>
                <w:color w:val="auto"/>
                <w:szCs w:val="21"/>
                <w:highlight w:val="none"/>
              </w:rPr>
            </w:pPr>
          </w:p>
        </w:tc>
        <w:tc>
          <w:tcPr>
            <w:tcW w:w="690" w:type="dxa"/>
            <w:vAlign w:val="center"/>
          </w:tcPr>
          <w:p w14:paraId="64C27C7C">
            <w:pPr>
              <w:jc w:val="center"/>
              <w:rPr>
                <w:rFonts w:ascii="华文中宋" w:hAnsi="华文中宋" w:eastAsia="华文中宋"/>
                <w:bCs/>
                <w:color w:val="auto"/>
                <w:szCs w:val="21"/>
                <w:highlight w:val="none"/>
              </w:rPr>
            </w:pPr>
          </w:p>
        </w:tc>
        <w:tc>
          <w:tcPr>
            <w:tcW w:w="759" w:type="dxa"/>
            <w:vAlign w:val="center"/>
          </w:tcPr>
          <w:p w14:paraId="3E7B0118">
            <w:pPr>
              <w:jc w:val="center"/>
              <w:rPr>
                <w:rFonts w:ascii="华文中宋" w:hAnsi="华文中宋" w:eastAsia="华文中宋"/>
                <w:bCs/>
                <w:color w:val="auto"/>
                <w:szCs w:val="21"/>
                <w:highlight w:val="none"/>
              </w:rPr>
            </w:pPr>
          </w:p>
        </w:tc>
        <w:tc>
          <w:tcPr>
            <w:tcW w:w="1217" w:type="dxa"/>
            <w:vAlign w:val="center"/>
          </w:tcPr>
          <w:p w14:paraId="58CDAF6C">
            <w:pPr>
              <w:jc w:val="center"/>
              <w:rPr>
                <w:rFonts w:ascii="华文中宋" w:hAnsi="华文中宋" w:eastAsia="华文中宋"/>
                <w:bCs/>
                <w:color w:val="auto"/>
                <w:szCs w:val="21"/>
                <w:highlight w:val="none"/>
              </w:rPr>
            </w:pPr>
          </w:p>
        </w:tc>
      </w:tr>
      <w:tr w14:paraId="74D3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062" w:type="dxa"/>
            <w:gridSpan w:val="10"/>
            <w:vAlign w:val="center"/>
          </w:tcPr>
          <w:p w14:paraId="6FDECA9E">
            <w:pP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第    包总报价</w:t>
            </w:r>
            <w:r>
              <w:rPr>
                <w:rFonts w:ascii="华文中宋" w:hAnsi="华文中宋" w:eastAsia="华文中宋"/>
                <w:bCs/>
                <w:color w:val="auto"/>
                <w:szCs w:val="21"/>
                <w:highlight w:val="none"/>
              </w:rPr>
              <w:t>(</w:t>
            </w:r>
            <w:r>
              <w:rPr>
                <w:rFonts w:hint="eastAsia" w:ascii="华文中宋" w:hAnsi="华文中宋" w:eastAsia="华文中宋"/>
                <w:color w:val="auto"/>
                <w:szCs w:val="21"/>
                <w:highlight w:val="none"/>
              </w:rPr>
              <w:t>人民币</w:t>
            </w:r>
            <w:r>
              <w:rPr>
                <w:rFonts w:hint="eastAsia" w:ascii="华文中宋" w:hAnsi="华文中宋" w:eastAsia="华文中宋"/>
                <w:bCs/>
                <w:color w:val="auto"/>
                <w:szCs w:val="21"/>
                <w:highlight w:val="none"/>
              </w:rPr>
              <w:t>大写</w:t>
            </w:r>
            <w:r>
              <w:rPr>
                <w:rFonts w:ascii="华文中宋" w:hAnsi="华文中宋" w:eastAsia="华文中宋"/>
                <w:bCs/>
                <w:color w:val="auto"/>
                <w:szCs w:val="21"/>
                <w:highlight w:val="none"/>
              </w:rPr>
              <w:t xml:space="preserve">):                                </w:t>
            </w:r>
            <w:r>
              <w:rPr>
                <w:rFonts w:hint="eastAsia" w:ascii="华文中宋" w:hAnsi="华文中宋" w:eastAsia="华文中宋"/>
                <w:bCs/>
                <w:color w:val="auto"/>
                <w:szCs w:val="21"/>
                <w:highlight w:val="none"/>
              </w:rPr>
              <w:t>￥：</w:t>
            </w:r>
          </w:p>
        </w:tc>
      </w:tr>
    </w:tbl>
    <w:p w14:paraId="6DF3DD7A">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说明：投标人如实填写表格，无相应内容可填的，填写“无”、“未测试”、“没有相应指标”等明确的回答文字，或用“</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”来表示。</w:t>
      </w:r>
    </w:p>
    <w:p w14:paraId="07408413">
      <w:pPr>
        <w:spacing w:line="360" w:lineRule="auto"/>
        <w:ind w:firstLine="5880" w:firstLineChars="2800"/>
        <w:rPr>
          <w:rFonts w:hint="eastAsia" w:ascii="华文中宋" w:hAnsi="华文中宋" w:eastAsia="华文中宋"/>
          <w:color w:val="auto"/>
          <w:szCs w:val="21"/>
          <w:highlight w:val="none"/>
        </w:rPr>
      </w:pPr>
    </w:p>
    <w:p w14:paraId="73FCD6E8">
      <w:pPr>
        <w:spacing w:line="360" w:lineRule="auto"/>
        <w:ind w:firstLine="5880" w:firstLineChars="28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投标人：（</w:t>
      </w:r>
      <w:r>
        <w:rPr>
          <w:rFonts w:hint="eastAsia" w:ascii="华文中宋" w:hAnsi="华文中宋" w:eastAsia="华文中宋"/>
          <w:color w:val="auto"/>
          <w:spacing w:val="20"/>
          <w:szCs w:val="21"/>
          <w:highlight w:val="none"/>
          <w:lang w:eastAsia="zh-CN"/>
        </w:rPr>
        <w:t>企业电子公章</w:t>
      </w:r>
      <w:r>
        <w:rPr>
          <w:rFonts w:hint="eastAsia" w:ascii="华文中宋" w:hAnsi="华文中宋" w:eastAsia="华文中宋"/>
          <w:color w:val="auto"/>
          <w:szCs w:val="21"/>
          <w:highlight w:val="none"/>
        </w:rPr>
        <w:t>）</w:t>
      </w:r>
    </w:p>
    <w:p w14:paraId="1DCAD6B4">
      <w:pPr>
        <w:spacing w:line="360" w:lineRule="auto"/>
        <w:ind w:firstLine="5880" w:firstLineChars="28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日 期：    年    月    日</w:t>
      </w:r>
    </w:p>
    <w:p w14:paraId="311D144E">
      <w:pPr>
        <w:rPr>
          <w:color w:val="auto"/>
          <w:highlight w:val="none"/>
        </w:rPr>
      </w:pPr>
    </w:p>
    <w:sectPr>
      <w:headerReference r:id="rId5" w:type="default"/>
      <w:footerReference r:id="rId6" w:type="default"/>
      <w:pgSz w:w="11906" w:h="16838"/>
      <w:pgMar w:top="1134" w:right="1361" w:bottom="1021" w:left="1531" w:header="851" w:footer="992" w:gutter="0"/>
      <w:pgBorders>
        <w:top w:val="none" w:sz="0" w:space="0"/>
        <w:left w:val="none" w:sz="0" w:space="0"/>
        <w:bottom w:val="none" w:sz="0" w:space="0"/>
        <w:right w:val="none" w:sz="0" w:space="0"/>
      </w:pgBorders>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6A6B2">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16596">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916596">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921F6">
    <w:pPr>
      <w:pStyle w:val="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1DB66">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761DB66">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28CD1">
    <w:pPr>
      <w:pStyle w:val="21"/>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089F6">
    <w:pPr>
      <w:pStyle w:val="2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992EC0"/>
    <w:multiLevelType w:val="singleLevel"/>
    <w:tmpl w:val="F9992EC0"/>
    <w:lvl w:ilvl="0" w:tentative="0">
      <w:start w:val="5"/>
      <w:numFmt w:val="decimal"/>
      <w:suff w:val="space"/>
      <w:lvlText w:val="%1."/>
      <w:lvlJc w:val="left"/>
    </w:lvl>
  </w:abstractNum>
  <w:abstractNum w:abstractNumId="1">
    <w:nsid w:val="FD5FCF61"/>
    <w:multiLevelType w:val="singleLevel"/>
    <w:tmpl w:val="FD5FCF61"/>
    <w:lvl w:ilvl="0" w:tentative="0">
      <w:start w:val="1"/>
      <w:numFmt w:val="decimal"/>
      <w:lvlText w:val="%1."/>
      <w:lvlJc w:val="left"/>
      <w:pPr>
        <w:tabs>
          <w:tab w:val="left" w:pos="312"/>
        </w:tabs>
      </w:pPr>
    </w:lvl>
  </w:abstractNum>
  <w:abstractNum w:abstractNumId="2">
    <w:nsid w:val="163AC4C3"/>
    <w:multiLevelType w:val="singleLevel"/>
    <w:tmpl w:val="163AC4C3"/>
    <w:lvl w:ilvl="0" w:tentative="0">
      <w:start w:val="4"/>
      <w:numFmt w:val="decimal"/>
      <w:suff w:val="space"/>
      <w:lvlText w:val="%1."/>
      <w:lvlJc w:val="left"/>
    </w:lvl>
  </w:abstractNum>
  <w:abstractNum w:abstractNumId="3">
    <w:nsid w:val="1A665EB0"/>
    <w:multiLevelType w:val="multilevel"/>
    <w:tmpl w:val="1A665EB0"/>
    <w:lvl w:ilvl="0" w:tentative="0">
      <w:start w:val="1"/>
      <w:numFmt w:val="japaneseCounting"/>
      <w:lvlText w:val="%1、"/>
      <w:lvlJc w:val="left"/>
      <w:pPr>
        <w:tabs>
          <w:tab w:val="left" w:pos="1064"/>
        </w:tabs>
        <w:ind w:left="1064" w:hanging="525"/>
      </w:pPr>
      <w:rPr>
        <w:rFonts w:hint="default" w:cs="Times New Roman"/>
      </w:rPr>
    </w:lvl>
    <w:lvl w:ilvl="1" w:tentative="0">
      <w:start w:val="1"/>
      <w:numFmt w:val="lowerLetter"/>
      <w:lvlText w:val="%2)"/>
      <w:lvlJc w:val="left"/>
      <w:pPr>
        <w:tabs>
          <w:tab w:val="left" w:pos="1379"/>
        </w:tabs>
        <w:ind w:left="1379" w:hanging="420"/>
      </w:pPr>
      <w:rPr>
        <w:rFonts w:cs="Times New Roman"/>
      </w:rPr>
    </w:lvl>
    <w:lvl w:ilvl="2" w:tentative="0">
      <w:start w:val="1"/>
      <w:numFmt w:val="lowerRoman"/>
      <w:lvlText w:val="%3."/>
      <w:lvlJc w:val="right"/>
      <w:pPr>
        <w:tabs>
          <w:tab w:val="left" w:pos="1799"/>
        </w:tabs>
        <w:ind w:left="1799" w:hanging="420"/>
      </w:pPr>
      <w:rPr>
        <w:rFonts w:cs="Times New Roman"/>
      </w:rPr>
    </w:lvl>
    <w:lvl w:ilvl="3" w:tentative="0">
      <w:start w:val="1"/>
      <w:numFmt w:val="decimal"/>
      <w:lvlText w:val="%4."/>
      <w:lvlJc w:val="left"/>
      <w:pPr>
        <w:tabs>
          <w:tab w:val="left" w:pos="2219"/>
        </w:tabs>
        <w:ind w:left="2219" w:hanging="420"/>
      </w:pPr>
      <w:rPr>
        <w:rFonts w:cs="Times New Roman"/>
      </w:rPr>
    </w:lvl>
    <w:lvl w:ilvl="4" w:tentative="0">
      <w:start w:val="1"/>
      <w:numFmt w:val="lowerLetter"/>
      <w:lvlText w:val="%5)"/>
      <w:lvlJc w:val="left"/>
      <w:pPr>
        <w:tabs>
          <w:tab w:val="left" w:pos="2639"/>
        </w:tabs>
        <w:ind w:left="2639" w:hanging="420"/>
      </w:pPr>
      <w:rPr>
        <w:rFonts w:cs="Times New Roman"/>
      </w:rPr>
    </w:lvl>
    <w:lvl w:ilvl="5" w:tentative="0">
      <w:start w:val="1"/>
      <w:numFmt w:val="lowerRoman"/>
      <w:lvlText w:val="%6."/>
      <w:lvlJc w:val="right"/>
      <w:pPr>
        <w:tabs>
          <w:tab w:val="left" w:pos="3059"/>
        </w:tabs>
        <w:ind w:left="3059" w:hanging="420"/>
      </w:pPr>
      <w:rPr>
        <w:rFonts w:cs="Times New Roman"/>
      </w:rPr>
    </w:lvl>
    <w:lvl w:ilvl="6" w:tentative="0">
      <w:start w:val="1"/>
      <w:numFmt w:val="decimal"/>
      <w:lvlText w:val="%7."/>
      <w:lvlJc w:val="left"/>
      <w:pPr>
        <w:tabs>
          <w:tab w:val="left" w:pos="3479"/>
        </w:tabs>
        <w:ind w:left="3479" w:hanging="420"/>
      </w:pPr>
      <w:rPr>
        <w:rFonts w:cs="Times New Roman"/>
      </w:rPr>
    </w:lvl>
    <w:lvl w:ilvl="7" w:tentative="0">
      <w:start w:val="1"/>
      <w:numFmt w:val="lowerLetter"/>
      <w:lvlText w:val="%8)"/>
      <w:lvlJc w:val="left"/>
      <w:pPr>
        <w:tabs>
          <w:tab w:val="left" w:pos="3899"/>
        </w:tabs>
        <w:ind w:left="3899" w:hanging="420"/>
      </w:pPr>
      <w:rPr>
        <w:rFonts w:cs="Times New Roman"/>
      </w:rPr>
    </w:lvl>
    <w:lvl w:ilvl="8" w:tentative="0">
      <w:start w:val="1"/>
      <w:numFmt w:val="lowerRoman"/>
      <w:lvlText w:val="%9."/>
      <w:lvlJc w:val="right"/>
      <w:pPr>
        <w:tabs>
          <w:tab w:val="left" w:pos="4319"/>
        </w:tabs>
        <w:ind w:left="4319" w:hanging="420"/>
      </w:pPr>
      <w:rPr>
        <w:rFonts w:cs="Times New Roman"/>
      </w:rPr>
    </w:lvl>
  </w:abstractNum>
  <w:abstractNum w:abstractNumId="4">
    <w:nsid w:val="5E5E7FE4"/>
    <w:multiLevelType w:val="multilevel"/>
    <w:tmpl w:val="5E5E7FE4"/>
    <w:lvl w:ilvl="0" w:tentative="0">
      <w:start w:val="1"/>
      <w:numFmt w:val="japaneseCounting"/>
      <w:lvlText w:val="%1、"/>
      <w:lvlJc w:val="left"/>
      <w:pPr>
        <w:ind w:left="450" w:hanging="45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656D6133"/>
    <w:multiLevelType w:val="multilevel"/>
    <w:tmpl w:val="656D6133"/>
    <w:lvl w:ilvl="0" w:tentative="0">
      <w:start w:val="1"/>
      <w:numFmt w:val="chineseCountingThousand"/>
      <w:pStyle w:val="2"/>
      <w:suff w:val="nothing"/>
      <w:lvlText w:val="第%1部分"/>
      <w:lvlJc w:val="center"/>
      <w:pPr>
        <w:ind w:left="252" w:firstLine="288"/>
      </w:pPr>
      <w:rPr>
        <w:rFonts w:hint="eastAsia" w:cs="Times New Roman"/>
        <w:sz w:val="28"/>
        <w:szCs w:val="28"/>
      </w:rPr>
    </w:lvl>
    <w:lvl w:ilvl="1" w:tentative="0">
      <w:start w:val="1"/>
      <w:numFmt w:val="chineseCountingThousand"/>
      <w:pStyle w:val="3"/>
      <w:suff w:val="nothing"/>
      <w:lvlText w:val="%2、"/>
      <w:lvlJc w:val="left"/>
      <w:pPr>
        <w:ind w:left="543" w:firstLine="177"/>
      </w:pPr>
      <w:rPr>
        <w:rFonts w:hint="eastAsia" w:ascii="仿宋_GB2312" w:hAnsi="宋体" w:eastAsia="仿宋_GB2312" w:cs="Times New Roman"/>
        <w:sz w:val="32"/>
        <w:szCs w:val="32"/>
      </w:rPr>
    </w:lvl>
    <w:lvl w:ilvl="2" w:tentative="0">
      <w:start w:val="1"/>
      <w:numFmt w:val="chineseCountingThousand"/>
      <w:pStyle w:val="5"/>
      <w:suff w:val="nothing"/>
      <w:lvlText w:val="(%3)"/>
      <w:lvlJc w:val="left"/>
      <w:pPr>
        <w:ind w:left="252"/>
      </w:pPr>
      <w:rPr>
        <w:rFonts w:hint="default" w:ascii="Times New Roman" w:hAnsi="Times New Roman" w:eastAsia="宋体" w:cs="Times New Roman"/>
        <w:b/>
        <w:i w:val="0"/>
        <w:spacing w:val="0"/>
        <w:w w:val="100"/>
        <w:position w:val="0"/>
        <w:sz w:val="21"/>
        <w:szCs w:val="21"/>
      </w:rPr>
    </w:lvl>
    <w:lvl w:ilvl="3" w:tentative="0">
      <w:start w:val="1"/>
      <w:numFmt w:val="decimal"/>
      <w:pStyle w:val="6"/>
      <w:suff w:val="nothing"/>
      <w:lvlText w:val="%4、"/>
      <w:lvlJc w:val="left"/>
      <w:pPr>
        <w:ind w:left="252"/>
      </w:pPr>
      <w:rPr>
        <w:rFonts w:hint="eastAsia" w:cs="Times New Roman"/>
      </w:rPr>
    </w:lvl>
    <w:lvl w:ilvl="4" w:tentative="0">
      <w:start w:val="1"/>
      <w:numFmt w:val="upperLetter"/>
      <w:pStyle w:val="8"/>
      <w:suff w:val="nothing"/>
      <w:lvlText w:val="%5、"/>
      <w:lvlJc w:val="left"/>
      <w:pPr>
        <w:ind w:left="252"/>
      </w:pPr>
      <w:rPr>
        <w:rFonts w:hint="eastAsia" w:cs="Times New Roman"/>
      </w:rPr>
    </w:lvl>
    <w:lvl w:ilvl="5" w:tentative="0">
      <w:start w:val="1"/>
      <w:numFmt w:val="none"/>
      <w:pStyle w:val="9"/>
      <w:suff w:val="nothing"/>
      <w:lvlText w:val=""/>
      <w:lvlJc w:val="left"/>
      <w:pPr>
        <w:ind w:left="252"/>
      </w:pPr>
      <w:rPr>
        <w:rFonts w:hint="eastAsia" w:cs="Times New Roman"/>
      </w:rPr>
    </w:lvl>
    <w:lvl w:ilvl="6" w:tentative="0">
      <w:start w:val="1"/>
      <w:numFmt w:val="none"/>
      <w:pStyle w:val="10"/>
      <w:suff w:val="nothing"/>
      <w:lvlText w:val=""/>
      <w:lvlJc w:val="left"/>
      <w:pPr>
        <w:ind w:left="252"/>
      </w:pPr>
      <w:rPr>
        <w:rFonts w:hint="eastAsia" w:cs="Times New Roman"/>
      </w:rPr>
    </w:lvl>
    <w:lvl w:ilvl="7" w:tentative="0">
      <w:start w:val="1"/>
      <w:numFmt w:val="none"/>
      <w:pStyle w:val="11"/>
      <w:suff w:val="nothing"/>
      <w:lvlText w:val=""/>
      <w:lvlJc w:val="left"/>
      <w:pPr>
        <w:ind w:left="252"/>
      </w:pPr>
      <w:rPr>
        <w:rFonts w:hint="eastAsia" w:cs="Times New Roman"/>
      </w:rPr>
    </w:lvl>
    <w:lvl w:ilvl="8" w:tentative="0">
      <w:start w:val="1"/>
      <w:numFmt w:val="none"/>
      <w:pStyle w:val="12"/>
      <w:suff w:val="nothing"/>
      <w:lvlText w:val=""/>
      <w:lvlJc w:val="left"/>
      <w:pPr>
        <w:ind w:left="252"/>
      </w:pPr>
      <w:rPr>
        <w:rFonts w:hint="eastAsia" w:cs="Times New Roman"/>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ZDQxZTE5NTU5ZjM4ZmE3ZTk5YTUxNWIwZWI1NzEifQ=="/>
  </w:docVars>
  <w:rsids>
    <w:rsidRoot w:val="00172A27"/>
    <w:rsid w:val="000021AB"/>
    <w:rsid w:val="0000329F"/>
    <w:rsid w:val="00005F67"/>
    <w:rsid w:val="0001262D"/>
    <w:rsid w:val="0001771F"/>
    <w:rsid w:val="00017BA9"/>
    <w:rsid w:val="00021878"/>
    <w:rsid w:val="00021E53"/>
    <w:rsid w:val="00023780"/>
    <w:rsid w:val="0002578D"/>
    <w:rsid w:val="00033517"/>
    <w:rsid w:val="00043544"/>
    <w:rsid w:val="00047578"/>
    <w:rsid w:val="00047C1C"/>
    <w:rsid w:val="00052FC7"/>
    <w:rsid w:val="00054798"/>
    <w:rsid w:val="00055B9C"/>
    <w:rsid w:val="0005761C"/>
    <w:rsid w:val="00064F40"/>
    <w:rsid w:val="000652D9"/>
    <w:rsid w:val="00066830"/>
    <w:rsid w:val="00067732"/>
    <w:rsid w:val="0007023E"/>
    <w:rsid w:val="00071DD4"/>
    <w:rsid w:val="0007438C"/>
    <w:rsid w:val="00084DBF"/>
    <w:rsid w:val="000864C6"/>
    <w:rsid w:val="000875E1"/>
    <w:rsid w:val="000924A1"/>
    <w:rsid w:val="000940B2"/>
    <w:rsid w:val="00094D69"/>
    <w:rsid w:val="00097970"/>
    <w:rsid w:val="000A1C61"/>
    <w:rsid w:val="000A2CCE"/>
    <w:rsid w:val="000A3CB7"/>
    <w:rsid w:val="000B0839"/>
    <w:rsid w:val="000C5C13"/>
    <w:rsid w:val="000C67F2"/>
    <w:rsid w:val="000C6D46"/>
    <w:rsid w:val="000C7818"/>
    <w:rsid w:val="000D0A06"/>
    <w:rsid w:val="000D0FDD"/>
    <w:rsid w:val="000D4706"/>
    <w:rsid w:val="000D498F"/>
    <w:rsid w:val="000E03F4"/>
    <w:rsid w:val="000E6695"/>
    <w:rsid w:val="000E6DD5"/>
    <w:rsid w:val="000F21FA"/>
    <w:rsid w:val="000F275B"/>
    <w:rsid w:val="000F2EEF"/>
    <w:rsid w:val="000F3767"/>
    <w:rsid w:val="000F3A4A"/>
    <w:rsid w:val="000F6779"/>
    <w:rsid w:val="00102792"/>
    <w:rsid w:val="00115A78"/>
    <w:rsid w:val="00115B90"/>
    <w:rsid w:val="00120424"/>
    <w:rsid w:val="0013010C"/>
    <w:rsid w:val="00132E59"/>
    <w:rsid w:val="00134826"/>
    <w:rsid w:val="00135082"/>
    <w:rsid w:val="001353E4"/>
    <w:rsid w:val="001362D4"/>
    <w:rsid w:val="0014773E"/>
    <w:rsid w:val="00150653"/>
    <w:rsid w:val="00151893"/>
    <w:rsid w:val="001621E4"/>
    <w:rsid w:val="00172A27"/>
    <w:rsid w:val="001818A3"/>
    <w:rsid w:val="0018600D"/>
    <w:rsid w:val="001905BF"/>
    <w:rsid w:val="00191100"/>
    <w:rsid w:val="00193F20"/>
    <w:rsid w:val="001951F4"/>
    <w:rsid w:val="001A35F3"/>
    <w:rsid w:val="001A4E25"/>
    <w:rsid w:val="001A6D97"/>
    <w:rsid w:val="001B0161"/>
    <w:rsid w:val="001C310B"/>
    <w:rsid w:val="001C7579"/>
    <w:rsid w:val="001C7D99"/>
    <w:rsid w:val="001D1569"/>
    <w:rsid w:val="001D1F88"/>
    <w:rsid w:val="001D45F8"/>
    <w:rsid w:val="001D5118"/>
    <w:rsid w:val="001E02D5"/>
    <w:rsid w:val="001E0C81"/>
    <w:rsid w:val="001E4E78"/>
    <w:rsid w:val="001E5170"/>
    <w:rsid w:val="001F3B1A"/>
    <w:rsid w:val="001F6B04"/>
    <w:rsid w:val="001F7E7F"/>
    <w:rsid w:val="0020793F"/>
    <w:rsid w:val="00207FE7"/>
    <w:rsid w:val="0021168A"/>
    <w:rsid w:val="00223E37"/>
    <w:rsid w:val="002269EB"/>
    <w:rsid w:val="00232E6F"/>
    <w:rsid w:val="00233920"/>
    <w:rsid w:val="002372FC"/>
    <w:rsid w:val="002379E1"/>
    <w:rsid w:val="00252D98"/>
    <w:rsid w:val="002549B0"/>
    <w:rsid w:val="0026439F"/>
    <w:rsid w:val="00264DAD"/>
    <w:rsid w:val="00265953"/>
    <w:rsid w:val="00273932"/>
    <w:rsid w:val="00273C79"/>
    <w:rsid w:val="00275B44"/>
    <w:rsid w:val="002761FC"/>
    <w:rsid w:val="00277577"/>
    <w:rsid w:val="002839B2"/>
    <w:rsid w:val="00285D1B"/>
    <w:rsid w:val="002872E5"/>
    <w:rsid w:val="002A42BE"/>
    <w:rsid w:val="002A77AA"/>
    <w:rsid w:val="002B397A"/>
    <w:rsid w:val="002B48BD"/>
    <w:rsid w:val="002C1C49"/>
    <w:rsid w:val="002C4151"/>
    <w:rsid w:val="002C5DE2"/>
    <w:rsid w:val="002E7E43"/>
    <w:rsid w:val="002F2F10"/>
    <w:rsid w:val="002F4B53"/>
    <w:rsid w:val="00302D28"/>
    <w:rsid w:val="003036E8"/>
    <w:rsid w:val="0030409A"/>
    <w:rsid w:val="00312482"/>
    <w:rsid w:val="003150CC"/>
    <w:rsid w:val="00315ACF"/>
    <w:rsid w:val="00323700"/>
    <w:rsid w:val="003328A2"/>
    <w:rsid w:val="00341E72"/>
    <w:rsid w:val="0034272B"/>
    <w:rsid w:val="003618A7"/>
    <w:rsid w:val="003631A8"/>
    <w:rsid w:val="003648CB"/>
    <w:rsid w:val="0037291D"/>
    <w:rsid w:val="00372C7C"/>
    <w:rsid w:val="00375D6F"/>
    <w:rsid w:val="003802DA"/>
    <w:rsid w:val="0038346C"/>
    <w:rsid w:val="0038664E"/>
    <w:rsid w:val="003925FE"/>
    <w:rsid w:val="00397377"/>
    <w:rsid w:val="003A569D"/>
    <w:rsid w:val="003B1379"/>
    <w:rsid w:val="003B1838"/>
    <w:rsid w:val="003B3BC6"/>
    <w:rsid w:val="003C25D0"/>
    <w:rsid w:val="003C28E9"/>
    <w:rsid w:val="003D1927"/>
    <w:rsid w:val="003D524A"/>
    <w:rsid w:val="003D6B8B"/>
    <w:rsid w:val="003D7491"/>
    <w:rsid w:val="003E1148"/>
    <w:rsid w:val="003E501D"/>
    <w:rsid w:val="003E605E"/>
    <w:rsid w:val="003F3931"/>
    <w:rsid w:val="004014CC"/>
    <w:rsid w:val="00401C00"/>
    <w:rsid w:val="0040351B"/>
    <w:rsid w:val="00407F56"/>
    <w:rsid w:val="0041049F"/>
    <w:rsid w:val="00414BA2"/>
    <w:rsid w:val="00415957"/>
    <w:rsid w:val="00416C09"/>
    <w:rsid w:val="00420BCC"/>
    <w:rsid w:val="00421F14"/>
    <w:rsid w:val="00422C9F"/>
    <w:rsid w:val="00427675"/>
    <w:rsid w:val="00432EF4"/>
    <w:rsid w:val="004361F3"/>
    <w:rsid w:val="00440793"/>
    <w:rsid w:val="00444390"/>
    <w:rsid w:val="00444917"/>
    <w:rsid w:val="0044668B"/>
    <w:rsid w:val="004502DC"/>
    <w:rsid w:val="00450B7A"/>
    <w:rsid w:val="0045103A"/>
    <w:rsid w:val="00460406"/>
    <w:rsid w:val="00461D3B"/>
    <w:rsid w:val="00462861"/>
    <w:rsid w:val="0046475A"/>
    <w:rsid w:val="004648A9"/>
    <w:rsid w:val="004649DC"/>
    <w:rsid w:val="00464B59"/>
    <w:rsid w:val="00467912"/>
    <w:rsid w:val="00470463"/>
    <w:rsid w:val="0047560D"/>
    <w:rsid w:val="00475720"/>
    <w:rsid w:val="00475952"/>
    <w:rsid w:val="004765B4"/>
    <w:rsid w:val="00476775"/>
    <w:rsid w:val="00480D86"/>
    <w:rsid w:val="00481153"/>
    <w:rsid w:val="00490A0B"/>
    <w:rsid w:val="00491403"/>
    <w:rsid w:val="004949F9"/>
    <w:rsid w:val="004970E3"/>
    <w:rsid w:val="004A163E"/>
    <w:rsid w:val="004A4EF5"/>
    <w:rsid w:val="004A57DD"/>
    <w:rsid w:val="004A798D"/>
    <w:rsid w:val="004B1B2D"/>
    <w:rsid w:val="004B2A59"/>
    <w:rsid w:val="004C064D"/>
    <w:rsid w:val="004C21D6"/>
    <w:rsid w:val="004C475F"/>
    <w:rsid w:val="004D7167"/>
    <w:rsid w:val="004F0072"/>
    <w:rsid w:val="004F1F59"/>
    <w:rsid w:val="004F2717"/>
    <w:rsid w:val="004F286F"/>
    <w:rsid w:val="00500121"/>
    <w:rsid w:val="00506832"/>
    <w:rsid w:val="0050729F"/>
    <w:rsid w:val="005114B3"/>
    <w:rsid w:val="00521F65"/>
    <w:rsid w:val="00524210"/>
    <w:rsid w:val="005251E5"/>
    <w:rsid w:val="00525B7D"/>
    <w:rsid w:val="005268ED"/>
    <w:rsid w:val="00527EBA"/>
    <w:rsid w:val="005335CD"/>
    <w:rsid w:val="00533709"/>
    <w:rsid w:val="00536606"/>
    <w:rsid w:val="0053709A"/>
    <w:rsid w:val="0054657A"/>
    <w:rsid w:val="00552708"/>
    <w:rsid w:val="00555DB7"/>
    <w:rsid w:val="00560816"/>
    <w:rsid w:val="00566321"/>
    <w:rsid w:val="005729EE"/>
    <w:rsid w:val="00573E04"/>
    <w:rsid w:val="00583E7B"/>
    <w:rsid w:val="00584039"/>
    <w:rsid w:val="005846D8"/>
    <w:rsid w:val="00587FD1"/>
    <w:rsid w:val="00590AD0"/>
    <w:rsid w:val="005920BF"/>
    <w:rsid w:val="005A12A7"/>
    <w:rsid w:val="005A435C"/>
    <w:rsid w:val="005A4FA2"/>
    <w:rsid w:val="005A7474"/>
    <w:rsid w:val="005B09BB"/>
    <w:rsid w:val="005B3175"/>
    <w:rsid w:val="005B52EA"/>
    <w:rsid w:val="005B7619"/>
    <w:rsid w:val="005C3AAA"/>
    <w:rsid w:val="005C725A"/>
    <w:rsid w:val="005D0255"/>
    <w:rsid w:val="005D1267"/>
    <w:rsid w:val="005D277B"/>
    <w:rsid w:val="005D5DBA"/>
    <w:rsid w:val="005E4705"/>
    <w:rsid w:val="005E7E37"/>
    <w:rsid w:val="005F1AAD"/>
    <w:rsid w:val="005F1FE0"/>
    <w:rsid w:val="005F279D"/>
    <w:rsid w:val="005F3BAC"/>
    <w:rsid w:val="005F5209"/>
    <w:rsid w:val="00600422"/>
    <w:rsid w:val="006015C4"/>
    <w:rsid w:val="0060168D"/>
    <w:rsid w:val="006072D5"/>
    <w:rsid w:val="00610974"/>
    <w:rsid w:val="00610FA2"/>
    <w:rsid w:val="00614575"/>
    <w:rsid w:val="00614652"/>
    <w:rsid w:val="00614BC1"/>
    <w:rsid w:val="00614C71"/>
    <w:rsid w:val="00621D19"/>
    <w:rsid w:val="00631E31"/>
    <w:rsid w:val="0064161E"/>
    <w:rsid w:val="00642F0A"/>
    <w:rsid w:val="00644AFB"/>
    <w:rsid w:val="00646482"/>
    <w:rsid w:val="00647D4E"/>
    <w:rsid w:val="00657DDB"/>
    <w:rsid w:val="0066035F"/>
    <w:rsid w:val="00660EAE"/>
    <w:rsid w:val="00666D9C"/>
    <w:rsid w:val="006715E0"/>
    <w:rsid w:val="00671CAB"/>
    <w:rsid w:val="00673E8D"/>
    <w:rsid w:val="00676C67"/>
    <w:rsid w:val="0068240B"/>
    <w:rsid w:val="006824C1"/>
    <w:rsid w:val="00684313"/>
    <w:rsid w:val="00685D48"/>
    <w:rsid w:val="006865C1"/>
    <w:rsid w:val="006956BC"/>
    <w:rsid w:val="006A088A"/>
    <w:rsid w:val="006A3E7D"/>
    <w:rsid w:val="006A64A0"/>
    <w:rsid w:val="006B2812"/>
    <w:rsid w:val="006C1ED2"/>
    <w:rsid w:val="006C4EEC"/>
    <w:rsid w:val="006C5A23"/>
    <w:rsid w:val="006C7896"/>
    <w:rsid w:val="006C7AB3"/>
    <w:rsid w:val="006D3124"/>
    <w:rsid w:val="006E2FF0"/>
    <w:rsid w:val="006E3CD7"/>
    <w:rsid w:val="006E3D39"/>
    <w:rsid w:val="007006DC"/>
    <w:rsid w:val="00712440"/>
    <w:rsid w:val="00724DCD"/>
    <w:rsid w:val="00726E94"/>
    <w:rsid w:val="00732A19"/>
    <w:rsid w:val="00733B17"/>
    <w:rsid w:val="00740C8D"/>
    <w:rsid w:val="00742494"/>
    <w:rsid w:val="00744651"/>
    <w:rsid w:val="0074562D"/>
    <w:rsid w:val="00746ADA"/>
    <w:rsid w:val="00751C1E"/>
    <w:rsid w:val="0075260C"/>
    <w:rsid w:val="007545A3"/>
    <w:rsid w:val="00755201"/>
    <w:rsid w:val="00761860"/>
    <w:rsid w:val="00764D67"/>
    <w:rsid w:val="007745DC"/>
    <w:rsid w:val="00775586"/>
    <w:rsid w:val="00775806"/>
    <w:rsid w:val="0077622E"/>
    <w:rsid w:val="00776E7A"/>
    <w:rsid w:val="007778EB"/>
    <w:rsid w:val="00777F6B"/>
    <w:rsid w:val="007804BA"/>
    <w:rsid w:val="0078455B"/>
    <w:rsid w:val="007860EC"/>
    <w:rsid w:val="007906AB"/>
    <w:rsid w:val="00791363"/>
    <w:rsid w:val="007A23AD"/>
    <w:rsid w:val="007A2818"/>
    <w:rsid w:val="007A2E8A"/>
    <w:rsid w:val="007A6050"/>
    <w:rsid w:val="007A746F"/>
    <w:rsid w:val="007B3510"/>
    <w:rsid w:val="007C0A65"/>
    <w:rsid w:val="007C35EE"/>
    <w:rsid w:val="007C42B3"/>
    <w:rsid w:val="007D5A0E"/>
    <w:rsid w:val="007E4D5A"/>
    <w:rsid w:val="007E5ADB"/>
    <w:rsid w:val="007E6EAB"/>
    <w:rsid w:val="007F1529"/>
    <w:rsid w:val="007F4F39"/>
    <w:rsid w:val="007F5172"/>
    <w:rsid w:val="007F599F"/>
    <w:rsid w:val="007F616E"/>
    <w:rsid w:val="008011D8"/>
    <w:rsid w:val="008032D0"/>
    <w:rsid w:val="008112E4"/>
    <w:rsid w:val="008141D7"/>
    <w:rsid w:val="0081425D"/>
    <w:rsid w:val="0081703A"/>
    <w:rsid w:val="00822571"/>
    <w:rsid w:val="00825A5D"/>
    <w:rsid w:val="008308F6"/>
    <w:rsid w:val="00836929"/>
    <w:rsid w:val="00836B1F"/>
    <w:rsid w:val="00840812"/>
    <w:rsid w:val="00846692"/>
    <w:rsid w:val="00851E33"/>
    <w:rsid w:val="0085537D"/>
    <w:rsid w:val="008560C3"/>
    <w:rsid w:val="008635E8"/>
    <w:rsid w:val="00863A6D"/>
    <w:rsid w:val="00865C4A"/>
    <w:rsid w:val="0086664A"/>
    <w:rsid w:val="00870081"/>
    <w:rsid w:val="00872060"/>
    <w:rsid w:val="00872EE0"/>
    <w:rsid w:val="0087621B"/>
    <w:rsid w:val="0087788E"/>
    <w:rsid w:val="00884858"/>
    <w:rsid w:val="00890632"/>
    <w:rsid w:val="008A0037"/>
    <w:rsid w:val="008A3C65"/>
    <w:rsid w:val="008B0052"/>
    <w:rsid w:val="008B0A93"/>
    <w:rsid w:val="008B50D5"/>
    <w:rsid w:val="008B7F7F"/>
    <w:rsid w:val="008C132B"/>
    <w:rsid w:val="008C332E"/>
    <w:rsid w:val="008C3A2F"/>
    <w:rsid w:val="008C434B"/>
    <w:rsid w:val="008C630A"/>
    <w:rsid w:val="008D1306"/>
    <w:rsid w:val="008D1F41"/>
    <w:rsid w:val="008D3AF2"/>
    <w:rsid w:val="008D3D44"/>
    <w:rsid w:val="008D412F"/>
    <w:rsid w:val="008D4A52"/>
    <w:rsid w:val="008D5128"/>
    <w:rsid w:val="008D72D8"/>
    <w:rsid w:val="008E1169"/>
    <w:rsid w:val="008E2BAB"/>
    <w:rsid w:val="008E6C5F"/>
    <w:rsid w:val="008E7005"/>
    <w:rsid w:val="008F2427"/>
    <w:rsid w:val="008F3B67"/>
    <w:rsid w:val="008F5882"/>
    <w:rsid w:val="00901D3E"/>
    <w:rsid w:val="0090711C"/>
    <w:rsid w:val="009136E7"/>
    <w:rsid w:val="00914632"/>
    <w:rsid w:val="00923DB2"/>
    <w:rsid w:val="00923E48"/>
    <w:rsid w:val="00924773"/>
    <w:rsid w:val="00925087"/>
    <w:rsid w:val="00925590"/>
    <w:rsid w:val="00926FE9"/>
    <w:rsid w:val="0092747B"/>
    <w:rsid w:val="009352F0"/>
    <w:rsid w:val="00936CA8"/>
    <w:rsid w:val="009377EA"/>
    <w:rsid w:val="00947B77"/>
    <w:rsid w:val="00952A11"/>
    <w:rsid w:val="00952B3F"/>
    <w:rsid w:val="009550D3"/>
    <w:rsid w:val="00955AD7"/>
    <w:rsid w:val="009574D3"/>
    <w:rsid w:val="00961B45"/>
    <w:rsid w:val="009653E4"/>
    <w:rsid w:val="0096640C"/>
    <w:rsid w:val="0097009F"/>
    <w:rsid w:val="0097343F"/>
    <w:rsid w:val="00976062"/>
    <w:rsid w:val="009763BD"/>
    <w:rsid w:val="00984B0A"/>
    <w:rsid w:val="009938D9"/>
    <w:rsid w:val="0099627A"/>
    <w:rsid w:val="009A21B5"/>
    <w:rsid w:val="009A469D"/>
    <w:rsid w:val="009A74D5"/>
    <w:rsid w:val="009B067F"/>
    <w:rsid w:val="009C3623"/>
    <w:rsid w:val="009C6481"/>
    <w:rsid w:val="009C7072"/>
    <w:rsid w:val="009D011B"/>
    <w:rsid w:val="009D03B4"/>
    <w:rsid w:val="009D2A4B"/>
    <w:rsid w:val="009D5B5E"/>
    <w:rsid w:val="009D6D2C"/>
    <w:rsid w:val="009E2A2A"/>
    <w:rsid w:val="009E588C"/>
    <w:rsid w:val="009F0E80"/>
    <w:rsid w:val="009F5B72"/>
    <w:rsid w:val="00A04CDB"/>
    <w:rsid w:val="00A05997"/>
    <w:rsid w:val="00A114A7"/>
    <w:rsid w:val="00A14420"/>
    <w:rsid w:val="00A2553A"/>
    <w:rsid w:val="00A25EB9"/>
    <w:rsid w:val="00A30D80"/>
    <w:rsid w:val="00A3159D"/>
    <w:rsid w:val="00A31775"/>
    <w:rsid w:val="00A31F06"/>
    <w:rsid w:val="00A3448F"/>
    <w:rsid w:val="00A35B48"/>
    <w:rsid w:val="00A36FCB"/>
    <w:rsid w:val="00A441C7"/>
    <w:rsid w:val="00A441F7"/>
    <w:rsid w:val="00A44B97"/>
    <w:rsid w:val="00A4538F"/>
    <w:rsid w:val="00A503F7"/>
    <w:rsid w:val="00A50718"/>
    <w:rsid w:val="00A553E2"/>
    <w:rsid w:val="00A560E8"/>
    <w:rsid w:val="00A60E34"/>
    <w:rsid w:val="00A63134"/>
    <w:rsid w:val="00A6436C"/>
    <w:rsid w:val="00A718DD"/>
    <w:rsid w:val="00A763A2"/>
    <w:rsid w:val="00A7683B"/>
    <w:rsid w:val="00A7683D"/>
    <w:rsid w:val="00A771BB"/>
    <w:rsid w:val="00A77E24"/>
    <w:rsid w:val="00A8081B"/>
    <w:rsid w:val="00A83C68"/>
    <w:rsid w:val="00A85CB2"/>
    <w:rsid w:val="00A9215E"/>
    <w:rsid w:val="00A93B9A"/>
    <w:rsid w:val="00A976DE"/>
    <w:rsid w:val="00AA046D"/>
    <w:rsid w:val="00AA1422"/>
    <w:rsid w:val="00AA1C15"/>
    <w:rsid w:val="00AA2DF5"/>
    <w:rsid w:val="00AA4F23"/>
    <w:rsid w:val="00AB13E4"/>
    <w:rsid w:val="00AB33E4"/>
    <w:rsid w:val="00AB3500"/>
    <w:rsid w:val="00AB7814"/>
    <w:rsid w:val="00AC0900"/>
    <w:rsid w:val="00AC2258"/>
    <w:rsid w:val="00AE0899"/>
    <w:rsid w:val="00AE33AB"/>
    <w:rsid w:val="00AE3D99"/>
    <w:rsid w:val="00AE40DD"/>
    <w:rsid w:val="00AE4751"/>
    <w:rsid w:val="00AE5304"/>
    <w:rsid w:val="00AF2D33"/>
    <w:rsid w:val="00AF5AF4"/>
    <w:rsid w:val="00AF74BB"/>
    <w:rsid w:val="00B023BB"/>
    <w:rsid w:val="00B026EA"/>
    <w:rsid w:val="00B034B6"/>
    <w:rsid w:val="00B0420E"/>
    <w:rsid w:val="00B06282"/>
    <w:rsid w:val="00B06833"/>
    <w:rsid w:val="00B07879"/>
    <w:rsid w:val="00B11895"/>
    <w:rsid w:val="00B1756C"/>
    <w:rsid w:val="00B17654"/>
    <w:rsid w:val="00B25AC5"/>
    <w:rsid w:val="00B30AB0"/>
    <w:rsid w:val="00B34810"/>
    <w:rsid w:val="00B3609D"/>
    <w:rsid w:val="00B371C6"/>
    <w:rsid w:val="00B42729"/>
    <w:rsid w:val="00B43075"/>
    <w:rsid w:val="00B475DA"/>
    <w:rsid w:val="00B5266C"/>
    <w:rsid w:val="00B54512"/>
    <w:rsid w:val="00B54AD1"/>
    <w:rsid w:val="00B55129"/>
    <w:rsid w:val="00B57304"/>
    <w:rsid w:val="00B60C4D"/>
    <w:rsid w:val="00B62BA4"/>
    <w:rsid w:val="00B75329"/>
    <w:rsid w:val="00B8186F"/>
    <w:rsid w:val="00B84F6D"/>
    <w:rsid w:val="00B9490D"/>
    <w:rsid w:val="00B96592"/>
    <w:rsid w:val="00B97D1C"/>
    <w:rsid w:val="00BA0601"/>
    <w:rsid w:val="00BA1EB8"/>
    <w:rsid w:val="00BA364B"/>
    <w:rsid w:val="00BA401E"/>
    <w:rsid w:val="00BB08C0"/>
    <w:rsid w:val="00BB5FB6"/>
    <w:rsid w:val="00BC3E19"/>
    <w:rsid w:val="00BC7128"/>
    <w:rsid w:val="00BD7300"/>
    <w:rsid w:val="00BE32D6"/>
    <w:rsid w:val="00BE36AE"/>
    <w:rsid w:val="00BF1158"/>
    <w:rsid w:val="00BF4848"/>
    <w:rsid w:val="00C03275"/>
    <w:rsid w:val="00C0476D"/>
    <w:rsid w:val="00C04833"/>
    <w:rsid w:val="00C119B1"/>
    <w:rsid w:val="00C224D9"/>
    <w:rsid w:val="00C23B9F"/>
    <w:rsid w:val="00C303BA"/>
    <w:rsid w:val="00C31371"/>
    <w:rsid w:val="00C3351B"/>
    <w:rsid w:val="00C34E80"/>
    <w:rsid w:val="00C45D70"/>
    <w:rsid w:val="00C474CD"/>
    <w:rsid w:val="00C51C36"/>
    <w:rsid w:val="00C51FCC"/>
    <w:rsid w:val="00C540BD"/>
    <w:rsid w:val="00C5549E"/>
    <w:rsid w:val="00C57B44"/>
    <w:rsid w:val="00C620BD"/>
    <w:rsid w:val="00C64496"/>
    <w:rsid w:val="00C70E98"/>
    <w:rsid w:val="00C71439"/>
    <w:rsid w:val="00C81B5D"/>
    <w:rsid w:val="00C82A4F"/>
    <w:rsid w:val="00C86E71"/>
    <w:rsid w:val="00C92A10"/>
    <w:rsid w:val="00CA780B"/>
    <w:rsid w:val="00CB63E5"/>
    <w:rsid w:val="00CC0CDB"/>
    <w:rsid w:val="00CC343C"/>
    <w:rsid w:val="00CC4781"/>
    <w:rsid w:val="00CE0676"/>
    <w:rsid w:val="00CE263C"/>
    <w:rsid w:val="00CF4100"/>
    <w:rsid w:val="00CF4E65"/>
    <w:rsid w:val="00D1765D"/>
    <w:rsid w:val="00D2468B"/>
    <w:rsid w:val="00D31A30"/>
    <w:rsid w:val="00D31B56"/>
    <w:rsid w:val="00D3593D"/>
    <w:rsid w:val="00D35CA0"/>
    <w:rsid w:val="00D373B5"/>
    <w:rsid w:val="00D476DF"/>
    <w:rsid w:val="00D47D0B"/>
    <w:rsid w:val="00D5051E"/>
    <w:rsid w:val="00D53FC1"/>
    <w:rsid w:val="00D60756"/>
    <w:rsid w:val="00D610D4"/>
    <w:rsid w:val="00D65199"/>
    <w:rsid w:val="00D71458"/>
    <w:rsid w:val="00D750C8"/>
    <w:rsid w:val="00D769A7"/>
    <w:rsid w:val="00D80268"/>
    <w:rsid w:val="00D808C9"/>
    <w:rsid w:val="00D846F1"/>
    <w:rsid w:val="00D874A0"/>
    <w:rsid w:val="00D901C0"/>
    <w:rsid w:val="00D90F2B"/>
    <w:rsid w:val="00D93AA4"/>
    <w:rsid w:val="00D95709"/>
    <w:rsid w:val="00D976D6"/>
    <w:rsid w:val="00DA00C9"/>
    <w:rsid w:val="00DB1838"/>
    <w:rsid w:val="00DB322C"/>
    <w:rsid w:val="00DB3B5A"/>
    <w:rsid w:val="00DC43E6"/>
    <w:rsid w:val="00DD3781"/>
    <w:rsid w:val="00DE168F"/>
    <w:rsid w:val="00DE74B3"/>
    <w:rsid w:val="00DF6870"/>
    <w:rsid w:val="00E03C4E"/>
    <w:rsid w:val="00E041B3"/>
    <w:rsid w:val="00E04E3B"/>
    <w:rsid w:val="00E17E32"/>
    <w:rsid w:val="00E21E67"/>
    <w:rsid w:val="00E2588B"/>
    <w:rsid w:val="00E25DF6"/>
    <w:rsid w:val="00E265BA"/>
    <w:rsid w:val="00E27D11"/>
    <w:rsid w:val="00E31F7B"/>
    <w:rsid w:val="00E32C6C"/>
    <w:rsid w:val="00E332E4"/>
    <w:rsid w:val="00E404FA"/>
    <w:rsid w:val="00E40FF7"/>
    <w:rsid w:val="00E42590"/>
    <w:rsid w:val="00E428EE"/>
    <w:rsid w:val="00E47126"/>
    <w:rsid w:val="00E54E3C"/>
    <w:rsid w:val="00E54E4F"/>
    <w:rsid w:val="00E5533B"/>
    <w:rsid w:val="00E56E63"/>
    <w:rsid w:val="00E56ED8"/>
    <w:rsid w:val="00E57DAF"/>
    <w:rsid w:val="00E6124A"/>
    <w:rsid w:val="00E630A6"/>
    <w:rsid w:val="00E672E4"/>
    <w:rsid w:val="00E732E7"/>
    <w:rsid w:val="00E73AF1"/>
    <w:rsid w:val="00E7405C"/>
    <w:rsid w:val="00E740ED"/>
    <w:rsid w:val="00E76A92"/>
    <w:rsid w:val="00E7738B"/>
    <w:rsid w:val="00E8047A"/>
    <w:rsid w:val="00E82C75"/>
    <w:rsid w:val="00E87168"/>
    <w:rsid w:val="00E93BEE"/>
    <w:rsid w:val="00E965A9"/>
    <w:rsid w:val="00EB2DD5"/>
    <w:rsid w:val="00EB4224"/>
    <w:rsid w:val="00EB42D6"/>
    <w:rsid w:val="00EB6D1A"/>
    <w:rsid w:val="00EC1197"/>
    <w:rsid w:val="00EC2D51"/>
    <w:rsid w:val="00EC4C63"/>
    <w:rsid w:val="00EC755E"/>
    <w:rsid w:val="00ED1636"/>
    <w:rsid w:val="00ED2332"/>
    <w:rsid w:val="00ED3DDF"/>
    <w:rsid w:val="00ED5123"/>
    <w:rsid w:val="00ED57E6"/>
    <w:rsid w:val="00EE1D2F"/>
    <w:rsid w:val="00EE212F"/>
    <w:rsid w:val="00EE21C8"/>
    <w:rsid w:val="00EE7398"/>
    <w:rsid w:val="00EF024B"/>
    <w:rsid w:val="00EF1E14"/>
    <w:rsid w:val="00EF4DEB"/>
    <w:rsid w:val="00F00150"/>
    <w:rsid w:val="00F046BB"/>
    <w:rsid w:val="00F11C5D"/>
    <w:rsid w:val="00F21D96"/>
    <w:rsid w:val="00F22E45"/>
    <w:rsid w:val="00F2362A"/>
    <w:rsid w:val="00F2562B"/>
    <w:rsid w:val="00F33BB9"/>
    <w:rsid w:val="00F33D63"/>
    <w:rsid w:val="00F40A7E"/>
    <w:rsid w:val="00F47E1A"/>
    <w:rsid w:val="00F50A00"/>
    <w:rsid w:val="00F5110A"/>
    <w:rsid w:val="00F511E5"/>
    <w:rsid w:val="00F5166B"/>
    <w:rsid w:val="00F51B67"/>
    <w:rsid w:val="00F538F4"/>
    <w:rsid w:val="00F53971"/>
    <w:rsid w:val="00F54458"/>
    <w:rsid w:val="00F5688E"/>
    <w:rsid w:val="00F56B9B"/>
    <w:rsid w:val="00F63AF2"/>
    <w:rsid w:val="00F66871"/>
    <w:rsid w:val="00F733ED"/>
    <w:rsid w:val="00F75C58"/>
    <w:rsid w:val="00F76376"/>
    <w:rsid w:val="00F77F7F"/>
    <w:rsid w:val="00F8797D"/>
    <w:rsid w:val="00F93FE7"/>
    <w:rsid w:val="00F963F1"/>
    <w:rsid w:val="00F96CE5"/>
    <w:rsid w:val="00FA451F"/>
    <w:rsid w:val="00FB0A7C"/>
    <w:rsid w:val="00FB2F66"/>
    <w:rsid w:val="00FB4FC0"/>
    <w:rsid w:val="00FB513A"/>
    <w:rsid w:val="00FB7C37"/>
    <w:rsid w:val="00FC7AA7"/>
    <w:rsid w:val="00FD1B7E"/>
    <w:rsid w:val="00FD2BE6"/>
    <w:rsid w:val="00FD4C4A"/>
    <w:rsid w:val="00FD544C"/>
    <w:rsid w:val="00FD5AAE"/>
    <w:rsid w:val="00FD7AEB"/>
    <w:rsid w:val="00FE1A45"/>
    <w:rsid w:val="00FE4893"/>
    <w:rsid w:val="00FF2E04"/>
    <w:rsid w:val="00FF5DA9"/>
    <w:rsid w:val="00FF620E"/>
    <w:rsid w:val="012544D2"/>
    <w:rsid w:val="01321BC5"/>
    <w:rsid w:val="017B11E4"/>
    <w:rsid w:val="022030F6"/>
    <w:rsid w:val="022F1A68"/>
    <w:rsid w:val="048C2F09"/>
    <w:rsid w:val="04C37D6C"/>
    <w:rsid w:val="050E69EC"/>
    <w:rsid w:val="05685F23"/>
    <w:rsid w:val="06113D4B"/>
    <w:rsid w:val="06A86B39"/>
    <w:rsid w:val="06ED4DD4"/>
    <w:rsid w:val="070765A7"/>
    <w:rsid w:val="07561823"/>
    <w:rsid w:val="078A0473"/>
    <w:rsid w:val="08077E8F"/>
    <w:rsid w:val="08182BA5"/>
    <w:rsid w:val="082D5D79"/>
    <w:rsid w:val="090D350D"/>
    <w:rsid w:val="091129E1"/>
    <w:rsid w:val="095B76A4"/>
    <w:rsid w:val="09AE6205"/>
    <w:rsid w:val="09BB7E03"/>
    <w:rsid w:val="09C60618"/>
    <w:rsid w:val="09D31163"/>
    <w:rsid w:val="0AFD015B"/>
    <w:rsid w:val="0B3048B1"/>
    <w:rsid w:val="0BBC0C28"/>
    <w:rsid w:val="0BCD092A"/>
    <w:rsid w:val="0D114094"/>
    <w:rsid w:val="0D5079C9"/>
    <w:rsid w:val="0DBD3B65"/>
    <w:rsid w:val="0DC83127"/>
    <w:rsid w:val="0DE83A46"/>
    <w:rsid w:val="0E336B9D"/>
    <w:rsid w:val="0E4B415B"/>
    <w:rsid w:val="0E5E131A"/>
    <w:rsid w:val="0E7A133A"/>
    <w:rsid w:val="0EBD5AC1"/>
    <w:rsid w:val="0FB20C79"/>
    <w:rsid w:val="0FB84E86"/>
    <w:rsid w:val="105333E6"/>
    <w:rsid w:val="107064E7"/>
    <w:rsid w:val="10B87864"/>
    <w:rsid w:val="10F16A68"/>
    <w:rsid w:val="11AF0294"/>
    <w:rsid w:val="11CE3474"/>
    <w:rsid w:val="11D14AF5"/>
    <w:rsid w:val="11D97A29"/>
    <w:rsid w:val="121D5820"/>
    <w:rsid w:val="12260C18"/>
    <w:rsid w:val="12432BBC"/>
    <w:rsid w:val="12CA0C37"/>
    <w:rsid w:val="12E054D1"/>
    <w:rsid w:val="138F27BA"/>
    <w:rsid w:val="13BC4FC2"/>
    <w:rsid w:val="14071244"/>
    <w:rsid w:val="14536CF9"/>
    <w:rsid w:val="15465C3E"/>
    <w:rsid w:val="15EB4733"/>
    <w:rsid w:val="163E7F41"/>
    <w:rsid w:val="163F38DD"/>
    <w:rsid w:val="16D11055"/>
    <w:rsid w:val="17276ACA"/>
    <w:rsid w:val="17CE7DD8"/>
    <w:rsid w:val="17F0713D"/>
    <w:rsid w:val="186A23A7"/>
    <w:rsid w:val="189C3D84"/>
    <w:rsid w:val="193650A1"/>
    <w:rsid w:val="196059F0"/>
    <w:rsid w:val="19C2398B"/>
    <w:rsid w:val="19DF6907"/>
    <w:rsid w:val="1AB963AC"/>
    <w:rsid w:val="1B2E06D2"/>
    <w:rsid w:val="1BAA0BEC"/>
    <w:rsid w:val="1BC3032B"/>
    <w:rsid w:val="1BD17F27"/>
    <w:rsid w:val="1BE85CEA"/>
    <w:rsid w:val="1C93310F"/>
    <w:rsid w:val="1DB530CD"/>
    <w:rsid w:val="1DD94F26"/>
    <w:rsid w:val="1E234C86"/>
    <w:rsid w:val="1E3A5789"/>
    <w:rsid w:val="1E405230"/>
    <w:rsid w:val="1E941F3D"/>
    <w:rsid w:val="1ECD6426"/>
    <w:rsid w:val="1F00278F"/>
    <w:rsid w:val="1F077B12"/>
    <w:rsid w:val="1F35643E"/>
    <w:rsid w:val="1F964B19"/>
    <w:rsid w:val="1FAA00BA"/>
    <w:rsid w:val="1FE6236C"/>
    <w:rsid w:val="1FF97A4C"/>
    <w:rsid w:val="200B74AD"/>
    <w:rsid w:val="201900EE"/>
    <w:rsid w:val="20403401"/>
    <w:rsid w:val="2110307F"/>
    <w:rsid w:val="21D41B41"/>
    <w:rsid w:val="221A7ED7"/>
    <w:rsid w:val="221F3728"/>
    <w:rsid w:val="22370E51"/>
    <w:rsid w:val="231C150A"/>
    <w:rsid w:val="232A17FF"/>
    <w:rsid w:val="232A47A3"/>
    <w:rsid w:val="23AE03B1"/>
    <w:rsid w:val="23FF3252"/>
    <w:rsid w:val="241D1352"/>
    <w:rsid w:val="242A30F0"/>
    <w:rsid w:val="243C75B9"/>
    <w:rsid w:val="245B538B"/>
    <w:rsid w:val="24761157"/>
    <w:rsid w:val="24846940"/>
    <w:rsid w:val="248E2319"/>
    <w:rsid w:val="25523A4A"/>
    <w:rsid w:val="259858EF"/>
    <w:rsid w:val="25B54415"/>
    <w:rsid w:val="25C942E4"/>
    <w:rsid w:val="25F8583D"/>
    <w:rsid w:val="25FF6CBA"/>
    <w:rsid w:val="274E7289"/>
    <w:rsid w:val="274F09F5"/>
    <w:rsid w:val="275B0FEC"/>
    <w:rsid w:val="276E59F8"/>
    <w:rsid w:val="27901B89"/>
    <w:rsid w:val="27D629C5"/>
    <w:rsid w:val="287F0D0A"/>
    <w:rsid w:val="292F1FEE"/>
    <w:rsid w:val="293B7BBD"/>
    <w:rsid w:val="29842A7C"/>
    <w:rsid w:val="2B0C462D"/>
    <w:rsid w:val="2B141BBB"/>
    <w:rsid w:val="2B1C6DDC"/>
    <w:rsid w:val="2B310C17"/>
    <w:rsid w:val="2B441FBB"/>
    <w:rsid w:val="2BA00F7C"/>
    <w:rsid w:val="2BEB5F44"/>
    <w:rsid w:val="2C9D6B39"/>
    <w:rsid w:val="2CC413E2"/>
    <w:rsid w:val="2CEA0280"/>
    <w:rsid w:val="2DA46AAD"/>
    <w:rsid w:val="2EB6394C"/>
    <w:rsid w:val="2ED93E53"/>
    <w:rsid w:val="2F010969"/>
    <w:rsid w:val="2F0F11A4"/>
    <w:rsid w:val="2F481D56"/>
    <w:rsid w:val="2F6400DC"/>
    <w:rsid w:val="2F64490E"/>
    <w:rsid w:val="2F9631A6"/>
    <w:rsid w:val="30477E2B"/>
    <w:rsid w:val="306C3FB4"/>
    <w:rsid w:val="30F85D61"/>
    <w:rsid w:val="31411BBE"/>
    <w:rsid w:val="317A4451"/>
    <w:rsid w:val="31845DB5"/>
    <w:rsid w:val="32895A9E"/>
    <w:rsid w:val="32A72E40"/>
    <w:rsid w:val="3303120B"/>
    <w:rsid w:val="33A16E5D"/>
    <w:rsid w:val="33F27600"/>
    <w:rsid w:val="346144FA"/>
    <w:rsid w:val="34BA77F4"/>
    <w:rsid w:val="350B4EB3"/>
    <w:rsid w:val="35B244CD"/>
    <w:rsid w:val="360664D9"/>
    <w:rsid w:val="36177D11"/>
    <w:rsid w:val="367C03A0"/>
    <w:rsid w:val="370368C9"/>
    <w:rsid w:val="37EC21D5"/>
    <w:rsid w:val="37F37940"/>
    <w:rsid w:val="3801281C"/>
    <w:rsid w:val="380E1B69"/>
    <w:rsid w:val="38261D09"/>
    <w:rsid w:val="38723CF7"/>
    <w:rsid w:val="38D51939"/>
    <w:rsid w:val="391F631E"/>
    <w:rsid w:val="394602A8"/>
    <w:rsid w:val="397321C6"/>
    <w:rsid w:val="397F69B3"/>
    <w:rsid w:val="39BD6101"/>
    <w:rsid w:val="39C258FE"/>
    <w:rsid w:val="39DA45AD"/>
    <w:rsid w:val="3A3D7DC8"/>
    <w:rsid w:val="3A407770"/>
    <w:rsid w:val="3AD469C9"/>
    <w:rsid w:val="3B0E1C34"/>
    <w:rsid w:val="3B12561F"/>
    <w:rsid w:val="3B6C7848"/>
    <w:rsid w:val="3B9777D1"/>
    <w:rsid w:val="3BC15FC0"/>
    <w:rsid w:val="3BDC1598"/>
    <w:rsid w:val="3BFD67C6"/>
    <w:rsid w:val="3C1F4887"/>
    <w:rsid w:val="3CDD2029"/>
    <w:rsid w:val="3DC8152A"/>
    <w:rsid w:val="3E297C6A"/>
    <w:rsid w:val="3E4157CA"/>
    <w:rsid w:val="3EBE4226"/>
    <w:rsid w:val="3FCE310D"/>
    <w:rsid w:val="3FD44D7F"/>
    <w:rsid w:val="406D3C86"/>
    <w:rsid w:val="40F560EF"/>
    <w:rsid w:val="40F949F2"/>
    <w:rsid w:val="41DB0ACE"/>
    <w:rsid w:val="41E2307E"/>
    <w:rsid w:val="42FD3996"/>
    <w:rsid w:val="438C4419"/>
    <w:rsid w:val="43925744"/>
    <w:rsid w:val="442A37CC"/>
    <w:rsid w:val="4446252B"/>
    <w:rsid w:val="447032DB"/>
    <w:rsid w:val="44900F98"/>
    <w:rsid w:val="45654C08"/>
    <w:rsid w:val="456B006A"/>
    <w:rsid w:val="45E22AD7"/>
    <w:rsid w:val="45F40D2D"/>
    <w:rsid w:val="463B774A"/>
    <w:rsid w:val="476D46F8"/>
    <w:rsid w:val="478D60F7"/>
    <w:rsid w:val="47B572BA"/>
    <w:rsid w:val="47F03B09"/>
    <w:rsid w:val="48E91F4C"/>
    <w:rsid w:val="491B1501"/>
    <w:rsid w:val="499800AF"/>
    <w:rsid w:val="49AF47C9"/>
    <w:rsid w:val="4A1E0197"/>
    <w:rsid w:val="4A597CAA"/>
    <w:rsid w:val="4AD31D64"/>
    <w:rsid w:val="4ADB4D47"/>
    <w:rsid w:val="4AF25FF9"/>
    <w:rsid w:val="4B671831"/>
    <w:rsid w:val="4BEB11A9"/>
    <w:rsid w:val="4CA41789"/>
    <w:rsid w:val="4CCD4F1E"/>
    <w:rsid w:val="4D3F41FD"/>
    <w:rsid w:val="4DA319C2"/>
    <w:rsid w:val="4DE65BCF"/>
    <w:rsid w:val="4DE728C7"/>
    <w:rsid w:val="4E951A96"/>
    <w:rsid w:val="4FF70851"/>
    <w:rsid w:val="50B21901"/>
    <w:rsid w:val="50BB3611"/>
    <w:rsid w:val="50FC011E"/>
    <w:rsid w:val="512102AF"/>
    <w:rsid w:val="512D7D42"/>
    <w:rsid w:val="513872F3"/>
    <w:rsid w:val="51E67F5B"/>
    <w:rsid w:val="520E4867"/>
    <w:rsid w:val="523C4C84"/>
    <w:rsid w:val="52BD47CC"/>
    <w:rsid w:val="52C60475"/>
    <w:rsid w:val="53367BBE"/>
    <w:rsid w:val="535D182D"/>
    <w:rsid w:val="536101E9"/>
    <w:rsid w:val="53CE44D4"/>
    <w:rsid w:val="53D268CC"/>
    <w:rsid w:val="53D42B23"/>
    <w:rsid w:val="53DF072C"/>
    <w:rsid w:val="54283805"/>
    <w:rsid w:val="556214D0"/>
    <w:rsid w:val="55C218C7"/>
    <w:rsid w:val="567349D1"/>
    <w:rsid w:val="567D4602"/>
    <w:rsid w:val="568D26C1"/>
    <w:rsid w:val="56954B14"/>
    <w:rsid w:val="56CE2186"/>
    <w:rsid w:val="56EA4326"/>
    <w:rsid w:val="5730129E"/>
    <w:rsid w:val="57392C05"/>
    <w:rsid w:val="573F6604"/>
    <w:rsid w:val="5748761D"/>
    <w:rsid w:val="580F20B3"/>
    <w:rsid w:val="58487B76"/>
    <w:rsid w:val="58567FF5"/>
    <w:rsid w:val="587C7880"/>
    <w:rsid w:val="58935F89"/>
    <w:rsid w:val="58DA1502"/>
    <w:rsid w:val="59636516"/>
    <w:rsid w:val="5A1814AF"/>
    <w:rsid w:val="5A73248C"/>
    <w:rsid w:val="5A89525B"/>
    <w:rsid w:val="5A8C0301"/>
    <w:rsid w:val="5ACB3A9D"/>
    <w:rsid w:val="5AF0321E"/>
    <w:rsid w:val="5B353327"/>
    <w:rsid w:val="5B49232B"/>
    <w:rsid w:val="5B6C7AA7"/>
    <w:rsid w:val="5B7C28F6"/>
    <w:rsid w:val="5BAC060B"/>
    <w:rsid w:val="5C9A78E6"/>
    <w:rsid w:val="5D320BD1"/>
    <w:rsid w:val="5D551D6C"/>
    <w:rsid w:val="5D9500AD"/>
    <w:rsid w:val="5DCC0566"/>
    <w:rsid w:val="5E714E58"/>
    <w:rsid w:val="5EEE3F19"/>
    <w:rsid w:val="5EEE3F40"/>
    <w:rsid w:val="5F291BF8"/>
    <w:rsid w:val="5FD973AF"/>
    <w:rsid w:val="5FF53085"/>
    <w:rsid w:val="606F3BE4"/>
    <w:rsid w:val="607126FE"/>
    <w:rsid w:val="61194AC9"/>
    <w:rsid w:val="61504A17"/>
    <w:rsid w:val="618E4E0C"/>
    <w:rsid w:val="61AB1CD4"/>
    <w:rsid w:val="61D06B61"/>
    <w:rsid w:val="62326269"/>
    <w:rsid w:val="62692723"/>
    <w:rsid w:val="630267FE"/>
    <w:rsid w:val="635D1565"/>
    <w:rsid w:val="640126E8"/>
    <w:rsid w:val="646112FB"/>
    <w:rsid w:val="65350A3D"/>
    <w:rsid w:val="65F71A1C"/>
    <w:rsid w:val="660063B8"/>
    <w:rsid w:val="667403B0"/>
    <w:rsid w:val="66D00C73"/>
    <w:rsid w:val="67140DEB"/>
    <w:rsid w:val="67E039A8"/>
    <w:rsid w:val="67E04C49"/>
    <w:rsid w:val="67EA7719"/>
    <w:rsid w:val="68300FA7"/>
    <w:rsid w:val="683851AF"/>
    <w:rsid w:val="687B16E7"/>
    <w:rsid w:val="69094BCB"/>
    <w:rsid w:val="696B7790"/>
    <w:rsid w:val="69C353A1"/>
    <w:rsid w:val="69F05502"/>
    <w:rsid w:val="6A023F96"/>
    <w:rsid w:val="6A4175F2"/>
    <w:rsid w:val="6A6D78EA"/>
    <w:rsid w:val="6AD34F46"/>
    <w:rsid w:val="6B03642C"/>
    <w:rsid w:val="6B5B4B27"/>
    <w:rsid w:val="6B8E29BD"/>
    <w:rsid w:val="6C0D5E4D"/>
    <w:rsid w:val="6C1E6612"/>
    <w:rsid w:val="6C5D4197"/>
    <w:rsid w:val="6C8063D1"/>
    <w:rsid w:val="6CF50B68"/>
    <w:rsid w:val="6D67346A"/>
    <w:rsid w:val="6DBB590E"/>
    <w:rsid w:val="6DE0692F"/>
    <w:rsid w:val="6E305C92"/>
    <w:rsid w:val="6EDB13EF"/>
    <w:rsid w:val="6EEA472F"/>
    <w:rsid w:val="6F03185F"/>
    <w:rsid w:val="6F0A22E9"/>
    <w:rsid w:val="6F836A07"/>
    <w:rsid w:val="6F9804AE"/>
    <w:rsid w:val="6F9A0BEC"/>
    <w:rsid w:val="6FB15FAA"/>
    <w:rsid w:val="6FCD3302"/>
    <w:rsid w:val="6FE16C38"/>
    <w:rsid w:val="700649B9"/>
    <w:rsid w:val="702B06A4"/>
    <w:rsid w:val="70DC70F1"/>
    <w:rsid w:val="719927D8"/>
    <w:rsid w:val="71A96256"/>
    <w:rsid w:val="71D8126C"/>
    <w:rsid w:val="71ED6976"/>
    <w:rsid w:val="72AD1BC4"/>
    <w:rsid w:val="72CB7BBF"/>
    <w:rsid w:val="72CC5EC7"/>
    <w:rsid w:val="72F80CB1"/>
    <w:rsid w:val="73B86D90"/>
    <w:rsid w:val="746A5998"/>
    <w:rsid w:val="74E92D60"/>
    <w:rsid w:val="759F7477"/>
    <w:rsid w:val="75A1188D"/>
    <w:rsid w:val="75BD3260"/>
    <w:rsid w:val="76C72FEE"/>
    <w:rsid w:val="77A421F8"/>
    <w:rsid w:val="78415585"/>
    <w:rsid w:val="786A3F6D"/>
    <w:rsid w:val="78980ED8"/>
    <w:rsid w:val="78C330AE"/>
    <w:rsid w:val="78FD3F32"/>
    <w:rsid w:val="79132D33"/>
    <w:rsid w:val="79AC43EE"/>
    <w:rsid w:val="79ED3B58"/>
    <w:rsid w:val="7A42522E"/>
    <w:rsid w:val="7A60470F"/>
    <w:rsid w:val="7A8D2BAF"/>
    <w:rsid w:val="7AA339B1"/>
    <w:rsid w:val="7ABD2CC5"/>
    <w:rsid w:val="7ABF5717"/>
    <w:rsid w:val="7ADD5115"/>
    <w:rsid w:val="7B0020A3"/>
    <w:rsid w:val="7B4F4C4B"/>
    <w:rsid w:val="7B70632E"/>
    <w:rsid w:val="7C255A94"/>
    <w:rsid w:val="7C2F272F"/>
    <w:rsid w:val="7C341655"/>
    <w:rsid w:val="7C69767B"/>
    <w:rsid w:val="7CE54755"/>
    <w:rsid w:val="7D0E6086"/>
    <w:rsid w:val="7D610B09"/>
    <w:rsid w:val="7E2A06A9"/>
    <w:rsid w:val="7E66080E"/>
    <w:rsid w:val="7E762EA5"/>
    <w:rsid w:val="7F3D2F2F"/>
    <w:rsid w:val="7F6A2CF0"/>
    <w:rsid w:val="7FC912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iPriority="0" w:name="toc 3" w:locked="1"/>
    <w:lsdException w:qFormat="1" w:uiPriority="39" w:semiHidden="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99"/>
    <w:pPr>
      <w:keepNext/>
      <w:keepLines/>
      <w:numPr>
        <w:ilvl w:val="0"/>
        <w:numId w:val="1"/>
      </w:numPr>
      <w:adjustRightInd w:val="0"/>
      <w:spacing w:before="340" w:after="330" w:line="578" w:lineRule="atLeast"/>
      <w:jc w:val="left"/>
      <w:textAlignment w:val="baseline"/>
      <w:outlineLvl w:val="0"/>
    </w:pPr>
    <w:rPr>
      <w:b/>
      <w:bCs/>
      <w:kern w:val="44"/>
      <w:sz w:val="44"/>
      <w:szCs w:val="44"/>
    </w:rPr>
  </w:style>
  <w:style w:type="paragraph" w:styleId="3">
    <w:name w:val="heading 2"/>
    <w:basedOn w:val="1"/>
    <w:next w:val="4"/>
    <w:link w:val="40"/>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5">
    <w:name w:val="heading 3"/>
    <w:basedOn w:val="1"/>
    <w:next w:val="1"/>
    <w:link w:val="41"/>
    <w:qFormat/>
    <w:uiPriority w:val="99"/>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6">
    <w:name w:val="heading 4"/>
    <w:basedOn w:val="7"/>
    <w:next w:val="7"/>
    <w:link w:val="42"/>
    <w:qFormat/>
    <w:uiPriority w:val="99"/>
    <w:pPr>
      <w:keepNext/>
      <w:keepLines/>
      <w:numPr>
        <w:ilvl w:val="3"/>
        <w:numId w:val="1"/>
      </w:numPr>
      <w:adjustRightInd w:val="0"/>
      <w:spacing w:before="280" w:after="290" w:line="376" w:lineRule="atLeast"/>
      <w:jc w:val="left"/>
      <w:textAlignment w:val="baseline"/>
      <w:outlineLvl w:val="3"/>
    </w:pPr>
    <w:rPr>
      <w:rFonts w:ascii="Arial" w:hAnsi="Arial" w:eastAsia="黑体"/>
      <w:bCs/>
      <w:kern w:val="0"/>
      <w:sz w:val="28"/>
      <w:szCs w:val="28"/>
    </w:rPr>
  </w:style>
  <w:style w:type="paragraph" w:styleId="8">
    <w:name w:val="heading 5"/>
    <w:basedOn w:val="1"/>
    <w:next w:val="1"/>
    <w:link w:val="43"/>
    <w:qFormat/>
    <w:uiPriority w:val="99"/>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44"/>
    <w:qFormat/>
    <w:uiPriority w:val="99"/>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10">
    <w:name w:val="heading 7"/>
    <w:basedOn w:val="1"/>
    <w:next w:val="1"/>
    <w:link w:val="45"/>
    <w:qFormat/>
    <w:uiPriority w:val="99"/>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11">
    <w:name w:val="heading 8"/>
    <w:basedOn w:val="1"/>
    <w:next w:val="1"/>
    <w:link w:val="46"/>
    <w:qFormat/>
    <w:uiPriority w:val="99"/>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47"/>
    <w:qFormat/>
    <w:uiPriority w:val="99"/>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customStyle="1" w:styleId="4">
    <w:name w:val="l正文"/>
    <w:basedOn w:val="1"/>
    <w:qFormat/>
    <w:uiPriority w:val="0"/>
    <w:pPr>
      <w:ind w:firstLine="480"/>
    </w:pPr>
    <w:rPr>
      <w:rFonts w:asciiTheme="minorEastAsia" w:hAnsiTheme="minorEastAsia"/>
      <w:szCs w:val="24"/>
      <w:lang w:eastAsia="zh-Hans"/>
    </w:rPr>
  </w:style>
  <w:style w:type="paragraph" w:styleId="7">
    <w:name w:val="toc 4"/>
    <w:basedOn w:val="1"/>
    <w:next w:val="1"/>
    <w:unhideWhenUsed/>
    <w:qFormat/>
    <w:locked/>
    <w:uiPriority w:val="39"/>
    <w:pPr>
      <w:spacing w:line="240" w:lineRule="auto"/>
      <w:jc w:val="left"/>
    </w:pPr>
    <w:rPr>
      <w:rFonts w:ascii="宋体" w:hAnsi="宋体"/>
      <w:b/>
      <w:sz w:val="28"/>
      <w:szCs w:val="28"/>
      <w14:ligatures w14:val="standardContextual"/>
    </w:rPr>
  </w:style>
  <w:style w:type="paragraph" w:styleId="13">
    <w:name w:val="Normal Indent"/>
    <w:basedOn w:val="1"/>
    <w:unhideWhenUsed/>
    <w:qFormat/>
    <w:uiPriority w:val="99"/>
    <w:pPr>
      <w:ind w:firstLine="420"/>
    </w:pPr>
    <w:rPr>
      <w:szCs w:val="21"/>
    </w:rPr>
  </w:style>
  <w:style w:type="paragraph" w:styleId="14">
    <w:name w:val="annotation text"/>
    <w:basedOn w:val="1"/>
    <w:link w:val="48"/>
    <w:qFormat/>
    <w:uiPriority w:val="99"/>
    <w:pPr>
      <w:jc w:val="left"/>
    </w:pPr>
  </w:style>
  <w:style w:type="paragraph" w:styleId="15">
    <w:name w:val="Body Text"/>
    <w:basedOn w:val="1"/>
    <w:next w:val="1"/>
    <w:qFormat/>
    <w:uiPriority w:val="99"/>
    <w:pPr>
      <w:spacing w:after="120"/>
    </w:pPr>
  </w:style>
  <w:style w:type="paragraph" w:styleId="16">
    <w:name w:val="Body Text Indent"/>
    <w:basedOn w:val="1"/>
    <w:link w:val="49"/>
    <w:qFormat/>
    <w:uiPriority w:val="99"/>
    <w:pPr>
      <w:adjustRightInd w:val="0"/>
      <w:spacing w:after="120" w:line="360" w:lineRule="atLeast"/>
      <w:ind w:left="420" w:leftChars="200"/>
      <w:jc w:val="left"/>
      <w:textAlignment w:val="baseline"/>
    </w:pPr>
    <w:rPr>
      <w:kern w:val="0"/>
      <w:sz w:val="24"/>
      <w:szCs w:val="20"/>
    </w:rPr>
  </w:style>
  <w:style w:type="paragraph" w:styleId="17">
    <w:name w:val="Plain Text"/>
    <w:basedOn w:val="1"/>
    <w:link w:val="50"/>
    <w:qFormat/>
    <w:uiPriority w:val="99"/>
    <w:rPr>
      <w:rFonts w:ascii="宋体" w:hAnsi="Courier New"/>
      <w:szCs w:val="21"/>
    </w:rPr>
  </w:style>
  <w:style w:type="paragraph" w:styleId="18">
    <w:name w:val="Body Text Indent 2"/>
    <w:basedOn w:val="1"/>
    <w:qFormat/>
    <w:uiPriority w:val="0"/>
    <w:pPr>
      <w:widowControl w:val="0"/>
      <w:adjustRightInd/>
      <w:snapToGrid/>
      <w:spacing w:after="120" w:line="480" w:lineRule="auto"/>
      <w:ind w:left="420" w:leftChars="200"/>
      <w:jc w:val="both"/>
    </w:pPr>
    <w:rPr>
      <w:rFonts w:ascii="Calibri" w:hAnsi="Calibri" w:eastAsia="宋体" w:cs="Times New Roman"/>
      <w:kern w:val="2"/>
      <w:sz w:val="21"/>
      <w:szCs w:val="24"/>
    </w:rPr>
  </w:style>
  <w:style w:type="paragraph" w:styleId="19">
    <w:name w:val="Balloon Text"/>
    <w:basedOn w:val="1"/>
    <w:link w:val="51"/>
    <w:qFormat/>
    <w:uiPriority w:val="99"/>
    <w:rPr>
      <w:sz w:val="18"/>
      <w:szCs w:val="18"/>
    </w:rPr>
  </w:style>
  <w:style w:type="paragraph" w:styleId="20">
    <w:name w:val="footer"/>
    <w:basedOn w:val="1"/>
    <w:link w:val="52"/>
    <w:qFormat/>
    <w:uiPriority w:val="99"/>
    <w:pPr>
      <w:tabs>
        <w:tab w:val="center" w:pos="4153"/>
        <w:tab w:val="right" w:pos="8306"/>
      </w:tabs>
      <w:snapToGrid w:val="0"/>
      <w:jc w:val="left"/>
    </w:pPr>
    <w:rPr>
      <w:sz w:val="18"/>
      <w:szCs w:val="18"/>
    </w:rPr>
  </w:style>
  <w:style w:type="paragraph" w:styleId="21">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99"/>
  </w:style>
  <w:style w:type="paragraph" w:styleId="23">
    <w:name w:val="toc 2"/>
    <w:basedOn w:val="1"/>
    <w:next w:val="1"/>
    <w:qFormat/>
    <w:uiPriority w:val="99"/>
    <w:pPr>
      <w:ind w:left="420" w:leftChars="200"/>
    </w:pPr>
  </w:style>
  <w:style w:type="paragraph" w:styleId="24">
    <w:name w:val="HTML Preformatted"/>
    <w:basedOn w:val="1"/>
    <w:next w:val="1"/>
    <w:qFormat/>
    <w:uiPriority w:val="0"/>
    <w:rPr>
      <w:rFonts w:ascii="Courier New" w:hAnsi="Courier New" w:cs="Courier New"/>
      <w:sz w:val="20"/>
      <w:szCs w:val="20"/>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6">
    <w:name w:val="Title"/>
    <w:basedOn w:val="1"/>
    <w:next w:val="1"/>
    <w:qFormat/>
    <w:locked/>
    <w:uiPriority w:val="10"/>
    <w:pPr>
      <w:spacing w:before="240" w:after="60"/>
      <w:jc w:val="center"/>
      <w:outlineLvl w:val="0"/>
    </w:pPr>
    <w:rPr>
      <w:rFonts w:ascii="Cambria" w:hAnsi="Cambria" w:cs="Times New Roman"/>
      <w:b/>
      <w:bCs/>
      <w:kern w:val="0"/>
      <w:sz w:val="32"/>
      <w:szCs w:val="32"/>
    </w:rPr>
  </w:style>
  <w:style w:type="paragraph" w:styleId="27">
    <w:name w:val="annotation subject"/>
    <w:basedOn w:val="14"/>
    <w:next w:val="14"/>
    <w:link w:val="54"/>
    <w:qFormat/>
    <w:uiPriority w:val="99"/>
    <w:rPr>
      <w:b/>
      <w:bCs/>
    </w:rPr>
  </w:style>
  <w:style w:type="paragraph" w:styleId="28">
    <w:name w:val="Body Text First Indent 2"/>
    <w:basedOn w:val="16"/>
    <w:next w:val="20"/>
    <w:semiHidden/>
    <w:qFormat/>
    <w:uiPriority w:val="99"/>
    <w:pPr>
      <w:ind w:firstLine="420" w:firstLineChars="200"/>
    </w:pPr>
  </w:style>
  <w:style w:type="table" w:styleId="30">
    <w:name w:val="Table Grid"/>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99"/>
    <w:rPr>
      <w:rFonts w:cs="Times New Roman"/>
      <w:b/>
    </w:rPr>
  </w:style>
  <w:style w:type="character" w:styleId="33">
    <w:name w:val="FollowedHyperlink"/>
    <w:basedOn w:val="31"/>
    <w:qFormat/>
    <w:uiPriority w:val="99"/>
    <w:rPr>
      <w:rFonts w:cs="Times New Roman"/>
      <w:color w:val="800080"/>
      <w:u w:val="single"/>
    </w:rPr>
  </w:style>
  <w:style w:type="character" w:styleId="34">
    <w:name w:val="Hyperlink"/>
    <w:basedOn w:val="31"/>
    <w:qFormat/>
    <w:uiPriority w:val="99"/>
    <w:rPr>
      <w:rFonts w:cs="Times New Roman"/>
      <w:color w:val="0000FF"/>
      <w:u w:val="single"/>
    </w:rPr>
  </w:style>
  <w:style w:type="character" w:styleId="35">
    <w:name w:val="annotation reference"/>
    <w:basedOn w:val="31"/>
    <w:qFormat/>
    <w:uiPriority w:val="99"/>
    <w:rPr>
      <w:rFonts w:cs="Times New Roman"/>
      <w:sz w:val="21"/>
    </w:rPr>
  </w:style>
  <w:style w:type="paragraph" w:customStyle="1" w:styleId="36">
    <w:name w:val="vsbcontent_start"/>
    <w:basedOn w:val="1"/>
    <w:next w:val="37"/>
    <w:qFormat/>
    <w:uiPriority w:val="0"/>
    <w:pPr>
      <w:widowControl/>
      <w:jc w:val="left"/>
    </w:pPr>
    <w:rPr>
      <w:rFonts w:ascii="宋体" w:hAnsi="宋体" w:cs="宋体"/>
      <w:kern w:val="0"/>
      <w:sz w:val="24"/>
    </w:rPr>
  </w:style>
  <w:style w:type="paragraph" w:customStyle="1" w:styleId="37">
    <w:name w:val="Char Char Char1 Char8"/>
    <w:basedOn w:val="1"/>
    <w:next w:val="38"/>
    <w:unhideWhenUsed/>
    <w:qFormat/>
    <w:uiPriority w:val="99"/>
    <w:pPr>
      <w:autoSpaceDE w:val="0"/>
      <w:autoSpaceDN w:val="0"/>
      <w:spacing w:line="360" w:lineRule="auto"/>
    </w:pPr>
    <w:rPr>
      <w:rFonts w:hint="eastAsia" w:ascii="宋体" w:hAnsi="宋体"/>
      <w:sz w:val="24"/>
    </w:rPr>
  </w:style>
  <w:style w:type="paragraph" w:customStyle="1" w:styleId="38">
    <w:name w:val="Char Char Char1 Char1"/>
    <w:basedOn w:val="1"/>
    <w:unhideWhenUsed/>
    <w:qFormat/>
    <w:uiPriority w:val="99"/>
    <w:pPr>
      <w:spacing w:line="360" w:lineRule="auto"/>
      <w:ind w:firstLine="200" w:firstLineChars="200"/>
    </w:pPr>
    <w:rPr>
      <w:rFonts w:hint="eastAsia" w:ascii="宋体" w:hAnsi="宋体"/>
      <w:sz w:val="24"/>
    </w:rPr>
  </w:style>
  <w:style w:type="character" w:customStyle="1" w:styleId="39">
    <w:name w:val="标题 1 字符"/>
    <w:basedOn w:val="31"/>
    <w:link w:val="2"/>
    <w:qFormat/>
    <w:locked/>
    <w:uiPriority w:val="99"/>
    <w:rPr>
      <w:rFonts w:ascii="Times New Roman" w:hAnsi="Times New Roman" w:eastAsia="宋体" w:cs="Times New Roman"/>
      <w:b/>
      <w:bCs/>
      <w:kern w:val="44"/>
      <w:sz w:val="44"/>
      <w:szCs w:val="44"/>
    </w:rPr>
  </w:style>
  <w:style w:type="character" w:customStyle="1" w:styleId="40">
    <w:name w:val="标题 2 字符"/>
    <w:basedOn w:val="31"/>
    <w:link w:val="3"/>
    <w:qFormat/>
    <w:locked/>
    <w:uiPriority w:val="99"/>
    <w:rPr>
      <w:rFonts w:ascii="Arial" w:hAnsi="Arial" w:eastAsia="黑体" w:cs="Times New Roman"/>
      <w:b/>
      <w:bCs/>
      <w:kern w:val="0"/>
      <w:sz w:val="32"/>
      <w:szCs w:val="32"/>
    </w:rPr>
  </w:style>
  <w:style w:type="character" w:customStyle="1" w:styleId="41">
    <w:name w:val="标题 3 字符"/>
    <w:basedOn w:val="31"/>
    <w:link w:val="5"/>
    <w:qFormat/>
    <w:locked/>
    <w:uiPriority w:val="99"/>
    <w:rPr>
      <w:rFonts w:ascii="Times New Roman" w:hAnsi="Times New Roman" w:eastAsia="宋体" w:cs="Times New Roman"/>
      <w:b/>
      <w:bCs/>
      <w:kern w:val="0"/>
      <w:sz w:val="32"/>
      <w:szCs w:val="32"/>
    </w:rPr>
  </w:style>
  <w:style w:type="character" w:customStyle="1" w:styleId="42">
    <w:name w:val="标题 4 字符"/>
    <w:basedOn w:val="31"/>
    <w:link w:val="6"/>
    <w:qFormat/>
    <w:locked/>
    <w:uiPriority w:val="99"/>
    <w:rPr>
      <w:rFonts w:ascii="Arial" w:hAnsi="Arial" w:eastAsia="黑体" w:cs="Times New Roman"/>
      <w:b/>
      <w:bCs/>
      <w:kern w:val="0"/>
      <w:sz w:val="28"/>
      <w:szCs w:val="28"/>
    </w:rPr>
  </w:style>
  <w:style w:type="character" w:customStyle="1" w:styleId="43">
    <w:name w:val="标题 5 字符"/>
    <w:basedOn w:val="31"/>
    <w:link w:val="8"/>
    <w:qFormat/>
    <w:locked/>
    <w:uiPriority w:val="99"/>
    <w:rPr>
      <w:rFonts w:ascii="Times New Roman" w:hAnsi="Times New Roman" w:eastAsia="宋体" w:cs="Times New Roman"/>
      <w:b/>
      <w:bCs/>
      <w:kern w:val="0"/>
      <w:sz w:val="28"/>
      <w:szCs w:val="28"/>
    </w:rPr>
  </w:style>
  <w:style w:type="character" w:customStyle="1" w:styleId="44">
    <w:name w:val="标题 6 字符"/>
    <w:basedOn w:val="31"/>
    <w:link w:val="9"/>
    <w:qFormat/>
    <w:locked/>
    <w:uiPriority w:val="99"/>
    <w:rPr>
      <w:rFonts w:ascii="Arial" w:hAnsi="Arial" w:eastAsia="黑体" w:cs="Times New Roman"/>
      <w:b/>
      <w:bCs/>
      <w:kern w:val="0"/>
      <w:sz w:val="24"/>
      <w:szCs w:val="24"/>
    </w:rPr>
  </w:style>
  <w:style w:type="character" w:customStyle="1" w:styleId="45">
    <w:name w:val="标题 7 字符"/>
    <w:basedOn w:val="31"/>
    <w:link w:val="10"/>
    <w:qFormat/>
    <w:locked/>
    <w:uiPriority w:val="99"/>
    <w:rPr>
      <w:rFonts w:ascii="Times New Roman" w:hAnsi="Times New Roman" w:eastAsia="宋体" w:cs="Times New Roman"/>
      <w:b/>
      <w:bCs/>
      <w:kern w:val="0"/>
      <w:sz w:val="24"/>
      <w:szCs w:val="24"/>
    </w:rPr>
  </w:style>
  <w:style w:type="character" w:customStyle="1" w:styleId="46">
    <w:name w:val="标题 8 字符"/>
    <w:basedOn w:val="31"/>
    <w:link w:val="11"/>
    <w:qFormat/>
    <w:locked/>
    <w:uiPriority w:val="99"/>
    <w:rPr>
      <w:rFonts w:ascii="Arial" w:hAnsi="Arial" w:eastAsia="黑体" w:cs="Times New Roman"/>
      <w:kern w:val="0"/>
      <w:sz w:val="24"/>
      <w:szCs w:val="24"/>
    </w:rPr>
  </w:style>
  <w:style w:type="character" w:customStyle="1" w:styleId="47">
    <w:name w:val="标题 9 字符"/>
    <w:basedOn w:val="31"/>
    <w:link w:val="12"/>
    <w:qFormat/>
    <w:locked/>
    <w:uiPriority w:val="99"/>
    <w:rPr>
      <w:rFonts w:ascii="Arial" w:hAnsi="Arial" w:eastAsia="黑体" w:cs="Times New Roman"/>
      <w:kern w:val="0"/>
      <w:sz w:val="21"/>
      <w:szCs w:val="21"/>
    </w:rPr>
  </w:style>
  <w:style w:type="character" w:customStyle="1" w:styleId="48">
    <w:name w:val="批注文字 字符"/>
    <w:basedOn w:val="31"/>
    <w:link w:val="14"/>
    <w:qFormat/>
    <w:locked/>
    <w:uiPriority w:val="99"/>
    <w:rPr>
      <w:rFonts w:ascii="Times New Roman" w:hAnsi="Times New Roman" w:eastAsia="宋体" w:cs="Times New Roman"/>
      <w:sz w:val="24"/>
      <w:szCs w:val="24"/>
    </w:rPr>
  </w:style>
  <w:style w:type="character" w:customStyle="1" w:styleId="49">
    <w:name w:val="正文文本缩进 字符"/>
    <w:basedOn w:val="31"/>
    <w:link w:val="16"/>
    <w:qFormat/>
    <w:locked/>
    <w:uiPriority w:val="99"/>
    <w:rPr>
      <w:rFonts w:ascii="Times New Roman" w:hAnsi="Times New Roman" w:eastAsia="宋体" w:cs="Times New Roman"/>
      <w:kern w:val="0"/>
      <w:sz w:val="20"/>
      <w:szCs w:val="20"/>
    </w:rPr>
  </w:style>
  <w:style w:type="character" w:customStyle="1" w:styleId="50">
    <w:name w:val="纯文本 字符"/>
    <w:basedOn w:val="31"/>
    <w:link w:val="17"/>
    <w:qFormat/>
    <w:locked/>
    <w:uiPriority w:val="99"/>
    <w:rPr>
      <w:rFonts w:ascii="宋体" w:hAnsi="Courier New" w:eastAsia="宋体" w:cs="Times New Roman"/>
      <w:sz w:val="21"/>
      <w:szCs w:val="21"/>
    </w:rPr>
  </w:style>
  <w:style w:type="character" w:customStyle="1" w:styleId="51">
    <w:name w:val="批注框文本 字符"/>
    <w:basedOn w:val="31"/>
    <w:link w:val="19"/>
    <w:qFormat/>
    <w:locked/>
    <w:uiPriority w:val="99"/>
    <w:rPr>
      <w:rFonts w:ascii="Times New Roman" w:hAnsi="Times New Roman" w:eastAsia="宋体" w:cs="Times New Roman"/>
      <w:sz w:val="18"/>
      <w:szCs w:val="18"/>
    </w:rPr>
  </w:style>
  <w:style w:type="character" w:customStyle="1" w:styleId="52">
    <w:name w:val="页脚 字符"/>
    <w:basedOn w:val="31"/>
    <w:link w:val="20"/>
    <w:qFormat/>
    <w:locked/>
    <w:uiPriority w:val="99"/>
    <w:rPr>
      <w:rFonts w:cs="Times New Roman"/>
      <w:sz w:val="18"/>
      <w:szCs w:val="18"/>
    </w:rPr>
  </w:style>
  <w:style w:type="character" w:customStyle="1" w:styleId="53">
    <w:name w:val="页眉 字符"/>
    <w:basedOn w:val="31"/>
    <w:link w:val="21"/>
    <w:qFormat/>
    <w:locked/>
    <w:uiPriority w:val="99"/>
    <w:rPr>
      <w:rFonts w:cs="Times New Roman"/>
      <w:sz w:val="18"/>
      <w:szCs w:val="18"/>
    </w:rPr>
  </w:style>
  <w:style w:type="character" w:customStyle="1" w:styleId="54">
    <w:name w:val="批注主题 字符"/>
    <w:basedOn w:val="48"/>
    <w:link w:val="27"/>
    <w:qFormat/>
    <w:locked/>
    <w:uiPriority w:val="99"/>
    <w:rPr>
      <w:rFonts w:ascii="Times New Roman" w:hAnsi="Times New Roman" w:eastAsia="宋体" w:cs="Times New Roman"/>
      <w:b/>
      <w:bCs/>
      <w:sz w:val="24"/>
      <w:szCs w:val="24"/>
    </w:rPr>
  </w:style>
  <w:style w:type="paragraph" w:customStyle="1" w:styleId="55">
    <w:name w:val="Char Char Char"/>
    <w:basedOn w:val="1"/>
    <w:qFormat/>
    <w:uiPriority w:val="99"/>
    <w:rPr>
      <w:rFonts w:ascii="Tahoma" w:hAnsi="Tahoma"/>
      <w:sz w:val="24"/>
      <w:szCs w:val="20"/>
    </w:rPr>
  </w:style>
  <w:style w:type="paragraph" w:customStyle="1" w:styleId="56">
    <w:name w:val="样式 标题 1 + 四号 居中 段前: 12 磅 段后: 12 磅 行距: 单倍行距"/>
    <w:basedOn w:val="2"/>
    <w:qFormat/>
    <w:uiPriority w:val="99"/>
    <w:pPr>
      <w:spacing w:before="240" w:after="240" w:line="240" w:lineRule="auto"/>
      <w:jc w:val="center"/>
    </w:pPr>
    <w:rPr>
      <w:rFonts w:cs="宋体"/>
      <w:sz w:val="28"/>
      <w:szCs w:val="20"/>
    </w:rPr>
  </w:style>
  <w:style w:type="paragraph" w:customStyle="1" w:styleId="57">
    <w:name w:val="样式 标题 4 + 段前: 5 磅 段后: 5 磅 行距: 单倍行距"/>
    <w:basedOn w:val="6"/>
    <w:qFormat/>
    <w:uiPriority w:val="99"/>
    <w:pPr>
      <w:numPr>
        <w:ilvl w:val="0"/>
        <w:numId w:val="0"/>
      </w:numPr>
      <w:tabs>
        <w:tab w:val="left" w:pos="2880"/>
      </w:tabs>
      <w:spacing w:before="100" w:after="100" w:line="240" w:lineRule="auto"/>
      <w:ind w:left="2880" w:hanging="720"/>
    </w:pPr>
    <w:rPr>
      <w:rFonts w:cs="宋体"/>
      <w:szCs w:val="20"/>
    </w:rPr>
  </w:style>
  <w:style w:type="paragraph" w:customStyle="1" w:styleId="58">
    <w:name w:val="样式 标题 3h3H3sect1.2.3 + 五号 段前: 6 磅 段后: 6 磅 行距: 单倍行距"/>
    <w:basedOn w:val="5"/>
    <w:qFormat/>
    <w:uiPriority w:val="99"/>
    <w:pPr>
      <w:spacing w:before="120" w:after="120" w:line="240" w:lineRule="auto"/>
      <w:ind w:left="0"/>
    </w:pPr>
    <w:rPr>
      <w:sz w:val="21"/>
      <w:szCs w:val="20"/>
    </w:rPr>
  </w:style>
  <w:style w:type="paragraph" w:customStyle="1" w:styleId="59">
    <w:name w:val="样式1"/>
    <w:basedOn w:val="1"/>
    <w:qFormat/>
    <w:uiPriority w:val="0"/>
    <w:pPr>
      <w:adjustRightInd w:val="0"/>
      <w:textAlignment w:val="baseline"/>
    </w:pPr>
    <w:rPr>
      <w:rFonts w:ascii="宋体" w:hAnsi="宋体"/>
      <w:kern w:val="0"/>
      <w:szCs w:val="21"/>
    </w:rPr>
  </w:style>
  <w:style w:type="paragraph" w:customStyle="1" w:styleId="60">
    <w:name w:val="List Paragraph"/>
    <w:basedOn w:val="1"/>
    <w:qFormat/>
    <w:uiPriority w:val="99"/>
    <w:pPr>
      <w:ind w:firstLine="420" w:firstLineChars="200"/>
    </w:pPr>
    <w:rPr>
      <w:rFonts w:ascii="Calibri" w:hAnsi="Calibri"/>
      <w:szCs w:val="22"/>
    </w:rPr>
  </w:style>
  <w:style w:type="paragraph" w:customStyle="1" w:styleId="61">
    <w:name w:val="Default"/>
    <w:basedOn w:val="1"/>
    <w:qFormat/>
    <w:uiPriority w:val="99"/>
    <w:pPr>
      <w:autoSpaceDE w:val="0"/>
      <w:autoSpaceDN w:val="0"/>
      <w:adjustRightInd w:val="0"/>
      <w:jc w:val="left"/>
    </w:pPr>
    <w:rPr>
      <w:rFonts w:ascii="......." w:hAnsi="Calibri" w:eastAsia="......."/>
      <w:color w:val="000000"/>
      <w:kern w:val="0"/>
      <w:sz w:val="24"/>
    </w:rPr>
  </w:style>
  <w:style w:type="paragraph" w:customStyle="1" w:styleId="62">
    <w:name w:val="列出段落1"/>
    <w:basedOn w:val="1"/>
    <w:qFormat/>
    <w:uiPriority w:val="99"/>
    <w:pPr>
      <w:ind w:firstLine="420" w:firstLineChars="200"/>
    </w:pPr>
    <w:rPr>
      <w:rFonts w:ascii="Calibri" w:hAnsi="Calibri"/>
      <w:szCs w:val="21"/>
    </w:rPr>
  </w:style>
  <w:style w:type="character" w:customStyle="1" w:styleId="63">
    <w:name w:val="15"/>
    <w:basedOn w:val="31"/>
    <w:qFormat/>
    <w:uiPriority w:val="99"/>
    <w:rPr>
      <w:rFonts w:ascii="Times New Roman" w:hAnsi="Times New Roman" w:cs="Times New Roman"/>
      <w:b/>
      <w:bCs/>
    </w:rPr>
  </w:style>
  <w:style w:type="character" w:customStyle="1" w:styleId="64">
    <w:name w:val="页眉 Char"/>
    <w:basedOn w:val="31"/>
    <w:qFormat/>
    <w:uiPriority w:val="99"/>
    <w:rPr>
      <w:rFonts w:cs="Times New Roman"/>
      <w:sz w:val="18"/>
      <w:szCs w:val="18"/>
    </w:rPr>
  </w:style>
  <w:style w:type="character" w:customStyle="1" w:styleId="65">
    <w:name w:val="纯文本 Char"/>
    <w:basedOn w:val="31"/>
    <w:qFormat/>
    <w:uiPriority w:val="99"/>
    <w:rPr>
      <w:rFonts w:ascii="宋体" w:hAnsi="Courier New" w:eastAsia="宋体" w:cs="宋体"/>
      <w:kern w:val="2"/>
      <w:sz w:val="21"/>
      <w:szCs w:val="21"/>
    </w:rPr>
  </w:style>
  <w:style w:type="paragraph" w:customStyle="1" w:styleId="66">
    <w:name w:val="TOC 标题1"/>
    <w:basedOn w:val="2"/>
    <w:next w:val="1"/>
    <w:semiHidden/>
    <w:qFormat/>
    <w:uiPriority w:val="99"/>
    <w:pPr>
      <w:widowControl/>
      <w:numPr>
        <w:numId w:val="0"/>
      </w:numPr>
      <w:adjustRightInd/>
      <w:spacing w:before="480" w:after="0" w:line="276" w:lineRule="auto"/>
      <w:textAlignment w:val="auto"/>
      <w:outlineLvl w:val="9"/>
    </w:pPr>
    <w:rPr>
      <w:rFonts w:ascii="Cambria" w:hAnsi="Cambria"/>
      <w:color w:val="365F91"/>
      <w:kern w:val="0"/>
      <w:sz w:val="28"/>
      <w:szCs w:val="28"/>
    </w:rPr>
  </w:style>
  <w:style w:type="character" w:customStyle="1" w:styleId="67">
    <w:name w:val="font51"/>
    <w:basedOn w:val="31"/>
    <w:qFormat/>
    <w:uiPriority w:val="0"/>
    <w:rPr>
      <w:rFonts w:hint="eastAsia" w:ascii="微软雅黑" w:hAnsi="微软雅黑" w:eastAsia="微软雅黑" w:cs="微软雅黑"/>
      <w:color w:val="000000"/>
      <w:sz w:val="18"/>
      <w:szCs w:val="18"/>
      <w:u w:val="none"/>
    </w:rPr>
  </w:style>
  <w:style w:type="paragraph" w:customStyle="1" w:styleId="6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9">
    <w:name w:val="正"/>
    <w:basedOn w:val="1"/>
    <w:qFormat/>
    <w:uiPriority w:val="0"/>
    <w:pPr>
      <w:widowControl w:val="0"/>
      <w:tabs>
        <w:tab w:val="left" w:pos="-120"/>
      </w:tabs>
      <w:snapToGrid/>
      <w:spacing w:after="0" w:line="560" w:lineRule="exact"/>
      <w:ind w:firstLine="600"/>
      <w:jc w:val="both"/>
      <w:textAlignment w:val="baseline"/>
    </w:pPr>
    <w:rPr>
      <w:rFonts w:ascii="仿宋_GB2312" w:hAnsi="Times New Roman" w:eastAsia="仿宋_GB2312" w:cs="Times New Roman"/>
      <w:color w:val="000000"/>
      <w:spacing w:val="20"/>
      <w:sz w:val="21"/>
      <w:szCs w:val="28"/>
    </w:rPr>
  </w:style>
  <w:style w:type="character" w:customStyle="1" w:styleId="70">
    <w:name w:val="font31"/>
    <w:basedOn w:val="31"/>
    <w:qFormat/>
    <w:uiPriority w:val="0"/>
    <w:rPr>
      <w:rFonts w:hint="eastAsia" w:ascii="仿宋" w:hAnsi="仿宋" w:eastAsia="仿宋" w:cs="仿宋"/>
      <w:color w:val="000000"/>
      <w:sz w:val="21"/>
      <w:szCs w:val="21"/>
      <w:u w:val="none"/>
    </w:rPr>
  </w:style>
  <w:style w:type="character" w:customStyle="1" w:styleId="71">
    <w:name w:val="font11"/>
    <w:basedOn w:val="31"/>
    <w:qFormat/>
    <w:uiPriority w:val="0"/>
    <w:rPr>
      <w:rFonts w:hint="eastAsia" w:ascii="微软雅黑" w:hAnsi="微软雅黑" w:eastAsia="微软雅黑" w:cs="微软雅黑"/>
      <w:color w:val="000000"/>
      <w:sz w:val="16"/>
      <w:szCs w:val="16"/>
      <w:u w:val="none"/>
    </w:rPr>
  </w:style>
  <w:style w:type="character" w:customStyle="1" w:styleId="72">
    <w:name w:val="font61"/>
    <w:basedOn w:val="31"/>
    <w:qFormat/>
    <w:uiPriority w:val="0"/>
    <w:rPr>
      <w:rFonts w:hint="eastAsia" w:ascii="仿宋" w:hAnsi="仿宋" w:eastAsia="仿宋" w:cs="仿宋"/>
      <w:color w:val="000000"/>
      <w:sz w:val="20"/>
      <w:szCs w:val="20"/>
      <w:u w:val="none"/>
    </w:rPr>
  </w:style>
  <w:style w:type="paragraph" w:customStyle="1" w:styleId="73">
    <w:name w:val="Table Paragraph"/>
    <w:basedOn w:val="1"/>
    <w:qFormat/>
    <w:uiPriority w:val="1"/>
    <w:rPr>
      <w:rFonts w:ascii="宋体" w:hAnsi="宋体" w:eastAsia="宋体" w:cs="宋体"/>
      <w:lang w:val="zh-CN" w:eastAsia="zh-CN" w:bidi="zh-CN"/>
    </w:rPr>
  </w:style>
  <w:style w:type="character" w:customStyle="1" w:styleId="74">
    <w:name w:val="font21"/>
    <w:basedOn w:val="31"/>
    <w:qFormat/>
    <w:uiPriority w:val="0"/>
    <w:rPr>
      <w:rFonts w:hint="default" w:ascii="Times New Roman" w:hAnsi="Times New Roman" w:cs="Times New Roman"/>
      <w:color w:val="000000"/>
      <w:sz w:val="21"/>
      <w:szCs w:val="21"/>
      <w:u w:val="none"/>
    </w:rPr>
  </w:style>
  <w:style w:type="character" w:customStyle="1" w:styleId="75">
    <w:name w:val="font71"/>
    <w:basedOn w:val="3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8065</Words>
  <Characters>8455</Characters>
  <Lines>225</Lines>
  <Paragraphs>943</Paragraphs>
  <TotalTime>3</TotalTime>
  <ScaleCrop>false</ScaleCrop>
  <LinksUpToDate>false</LinksUpToDate>
  <CharactersWithSpaces>8583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2021-01-21T03:00:00Z</dcterms:created>
  <dc:creator>lizhe</dc:creator>
  <cp:lastModifiedBy>SYKKK</cp:lastModifiedBy>
  <cp:lastPrinted>2024-07-15T06:40:00Z</cp:lastPrinted>
  <dcterms:modified xsi:type="dcterms:W3CDTF">2025-09-19T02:14:53Z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42DFA7C96D394ADBBFFB6309BCED2D62_13</vt:lpwstr>
  </property>
  <property fmtid="{D5CDD505-2E9C-101B-9397-08002B2CF9AE}" pid="4" name="KSOTemplateDocerSaveRecord">
    <vt:lpwstr>eyJoZGlkIjoiNzg5ZDQxZTE5NTU5ZjM4ZmE3ZTk5YTUxNWIwZWI1NzEiLCJ1c2VySWQiOiIyNDA0MDEyODkifQ==</vt:lpwstr>
  </property>
</Properties>
</file>