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Arial Unicode MS" w:eastAsia="Arial Unicode MS" w:cs="Arial Unicode MS"/>
          <w:b/>
          <w:color w:val="auto"/>
          <w:spacing w:val="2"/>
          <w:w w:val="99"/>
          <w:sz w:val="52"/>
          <w:szCs w:val="52"/>
        </w:rPr>
      </w:pPr>
      <w:r>
        <w:rPr>
          <w:rFonts w:ascii="Arial Unicode MS" w:eastAsia="Arial Unicode MS" w:cs="Arial Unicode MS"/>
          <w:b/>
          <w:color w:val="auto"/>
          <w:spacing w:val="2"/>
          <w:w w:val="99"/>
          <w:sz w:val="52"/>
          <w:szCs w:val="52"/>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Arial Unicode MS" w:eastAsia="Arial Unicode MS" w:cs="Arial Unicode MS"/>
          <w:b/>
          <w:color w:val="auto"/>
          <w:spacing w:val="2"/>
          <w:w w:val="99"/>
          <w:sz w:val="52"/>
          <w:szCs w:val="52"/>
        </w:rPr>
      </w:pPr>
    </w:p>
    <w:p>
      <w:pPr>
        <w:autoSpaceDE w:val="0"/>
        <w:autoSpaceDN w:val="0"/>
        <w:spacing w:before="120" w:after="120"/>
        <w:ind w:right="-20"/>
        <w:jc w:val="center"/>
        <w:rPr>
          <w:rFonts w:ascii="微软雅黑" w:hAnsi="微软雅黑" w:eastAsia="微软雅黑" w:cs="Arial Unicode MS"/>
          <w:b/>
          <w:color w:val="auto"/>
          <w:spacing w:val="2"/>
          <w:w w:val="99"/>
          <w:sz w:val="52"/>
          <w:szCs w:val="52"/>
        </w:rPr>
      </w:pPr>
    </w:p>
    <w:p>
      <w:pPr>
        <w:jc w:val="center"/>
        <w:rPr>
          <w:rFonts w:hint="eastAsia" w:ascii="微软雅黑" w:hAnsi="微软雅黑" w:eastAsia="微软雅黑" w:cs="Arial Unicode MS"/>
          <w:color w:val="auto"/>
          <w:spacing w:val="2"/>
          <w:w w:val="99"/>
          <w:sz w:val="28"/>
          <w:szCs w:val="28"/>
          <w:lang w:eastAsia="zh-CN"/>
        </w:rPr>
      </w:pPr>
      <w:bookmarkStart w:id="0" w:name="_Toc13249324"/>
      <w:bookmarkStart w:id="1" w:name="_Toc13248927"/>
      <w:r>
        <w:rPr>
          <w:rFonts w:hint="eastAsia" w:ascii="微软雅黑" w:hAnsi="微软雅黑" w:eastAsia="微软雅黑" w:cs="Arial Unicode MS"/>
          <w:color w:val="auto"/>
          <w:spacing w:val="2"/>
          <w:w w:val="99"/>
          <w:sz w:val="52"/>
          <w:szCs w:val="52"/>
          <w:lang w:eastAsia="zh-CN"/>
        </w:rPr>
        <w:t>中海油能源发展股份有限公司</w:t>
      </w:r>
    </w:p>
    <w:p>
      <w:pPr>
        <w:jc w:val="center"/>
        <w:rPr>
          <w:rFonts w:hint="eastAsia" w:ascii="微软雅黑" w:hAnsi="微软雅黑" w:eastAsia="微软雅黑" w:cs="Arial Unicode MS"/>
          <w:color w:val="auto"/>
          <w:spacing w:val="2"/>
          <w:w w:val="99"/>
          <w:sz w:val="13"/>
          <w:szCs w:val="13"/>
          <w:lang w:eastAsia="zh-CN"/>
        </w:rPr>
      </w:pPr>
    </w:p>
    <w:p>
      <w:pPr>
        <w:jc w:val="center"/>
        <w:rPr>
          <w:rFonts w:hint="eastAsia" w:ascii="宋体" w:hAnsi="宋体"/>
          <w:b/>
          <w:bCs/>
          <w:color w:val="auto"/>
          <w:sz w:val="40"/>
          <w:szCs w:val="40"/>
          <w:u w:val="single"/>
          <w:lang w:val="en-US" w:eastAsia="zh-CN"/>
        </w:rPr>
      </w:pPr>
      <w:r>
        <w:rPr>
          <w:rFonts w:hint="eastAsia" w:ascii="宋体" w:hAnsi="宋体"/>
          <w:b/>
          <w:bCs/>
          <w:color w:val="auto"/>
          <w:sz w:val="40"/>
          <w:szCs w:val="40"/>
          <w:u w:val="single"/>
          <w:lang w:val="en-US" w:eastAsia="zh-CN"/>
        </w:rPr>
        <w:t>危险化学品包装物、容器检验鉴定服务</w:t>
      </w:r>
    </w:p>
    <w:p>
      <w:pPr>
        <w:pStyle w:val="2"/>
        <w:rPr>
          <w:rFonts w:hint="default"/>
          <w:color w:val="auto"/>
          <w:lang w:val="en-US" w:eastAsia="zh-CN"/>
        </w:rPr>
      </w:pPr>
    </w:p>
    <w:p>
      <w:pPr>
        <w:jc w:val="center"/>
        <w:rPr>
          <w:rFonts w:ascii="微软雅黑" w:hAnsi="微软雅黑" w:eastAsia="微软雅黑" w:cs="Arial Unicode MS"/>
          <w:b/>
          <w:color w:val="auto"/>
          <w:spacing w:val="2"/>
          <w:w w:val="99"/>
          <w:sz w:val="44"/>
          <w:szCs w:val="44"/>
          <w:lang w:eastAsia="zh-CN"/>
        </w:rPr>
      </w:pPr>
      <w:r>
        <w:rPr>
          <w:rFonts w:hint="eastAsia" w:ascii="微软雅黑" w:hAnsi="微软雅黑" w:eastAsia="微软雅黑" w:cs="Arial Unicode MS"/>
          <w:b/>
          <w:color w:val="auto"/>
          <w:spacing w:val="2"/>
          <w:w w:val="99"/>
          <w:sz w:val="44"/>
          <w:szCs w:val="44"/>
          <w:lang w:eastAsia="zh-CN"/>
        </w:rPr>
        <w:t>技术要求</w:t>
      </w:r>
    </w:p>
    <w:p>
      <w:pPr>
        <w:jc w:val="center"/>
        <w:rPr>
          <w:rFonts w:ascii="微软雅黑" w:hAnsi="微软雅黑" w:eastAsia="微软雅黑" w:cs="Arial Unicode MS"/>
          <w:b/>
          <w:color w:val="auto"/>
          <w:spacing w:val="2"/>
          <w:w w:val="99"/>
          <w:sz w:val="52"/>
          <w:szCs w:val="52"/>
          <w:lang w:eastAsia="zh-CN"/>
        </w:rPr>
      </w:pPr>
    </w:p>
    <w:p>
      <w:pPr>
        <w:autoSpaceDE w:val="0"/>
        <w:autoSpaceDN w:val="0"/>
        <w:spacing w:before="120" w:after="120" w:line="720" w:lineRule="auto"/>
        <w:ind w:right="-20" w:firstLine="1440" w:firstLineChars="400"/>
        <w:jc w:val="both"/>
        <w:rPr>
          <w:rFonts w:hint="default" w:ascii="Arial Unicode MS" w:eastAsia="Arial Unicode MS" w:cs="Arial Unicode MS"/>
          <w:color w:val="auto"/>
          <w:spacing w:val="2"/>
          <w:w w:val="99"/>
          <w:sz w:val="36"/>
          <w:szCs w:val="36"/>
          <w:lang w:val="en-US" w:eastAsia="zh-CN"/>
        </w:rPr>
      </w:pPr>
      <w:r>
        <w:rPr>
          <w:rFonts w:hint="eastAsia" w:ascii="Arial Unicode MS" w:eastAsia="Arial Unicode MS" w:cs="Arial Unicode MS"/>
          <w:color w:val="auto"/>
          <w:spacing w:val="2"/>
          <w:w w:val="99"/>
          <w:sz w:val="36"/>
          <w:szCs w:val="36"/>
          <w:lang w:eastAsia="zh-CN"/>
        </w:rPr>
        <w:t>编</w:t>
      </w:r>
      <w:r>
        <w:rPr>
          <w:rFonts w:hint="eastAsia" w:ascii="Arial Unicode MS" w:eastAsia="Arial Unicode MS" w:cs="Arial Unicode MS"/>
          <w:color w:val="auto"/>
          <w:spacing w:val="2"/>
          <w:w w:val="99"/>
          <w:sz w:val="36"/>
          <w:szCs w:val="36"/>
          <w:lang w:val="en-US" w:eastAsia="zh-CN"/>
        </w:rPr>
        <w:t xml:space="preserve">    </w:t>
      </w:r>
      <w:r>
        <w:rPr>
          <w:rFonts w:hint="eastAsia" w:ascii="Arial Unicode MS" w:eastAsia="Arial Unicode MS" w:cs="Arial Unicode MS"/>
          <w:color w:val="auto"/>
          <w:spacing w:val="2"/>
          <w:w w:val="99"/>
          <w:sz w:val="36"/>
          <w:szCs w:val="36"/>
          <w:lang w:eastAsia="zh-CN"/>
        </w:rPr>
        <w:t>制：</w:t>
      </w:r>
      <w:r>
        <w:rPr>
          <w:rFonts w:hint="eastAsia" w:ascii="Arial Unicode MS" w:eastAsia="Arial Unicode MS" w:cs="Arial Unicode MS"/>
          <w:color w:val="auto"/>
          <w:spacing w:val="2"/>
          <w:w w:val="99"/>
          <w:sz w:val="36"/>
          <w:szCs w:val="36"/>
          <w:u w:val="single"/>
          <w:lang w:eastAsia="zh-CN"/>
        </w:rPr>
        <w:t xml:space="preserve">  </w:t>
      </w:r>
      <w:r>
        <w:rPr>
          <w:rFonts w:hint="eastAsia" w:ascii="Arial Unicode MS" w:eastAsia="Arial Unicode MS" w:cs="Arial Unicode MS"/>
          <w:color w:val="auto"/>
          <w:spacing w:val="2"/>
          <w:w w:val="99"/>
          <w:sz w:val="36"/>
          <w:szCs w:val="36"/>
          <w:u w:val="single"/>
          <w:lang w:val="en-US" w:eastAsia="zh-CN"/>
        </w:rPr>
        <w:t xml:space="preserve">               </w:t>
      </w:r>
    </w:p>
    <w:p>
      <w:pPr>
        <w:autoSpaceDE w:val="0"/>
        <w:autoSpaceDN w:val="0"/>
        <w:spacing w:before="120" w:after="120" w:line="720" w:lineRule="auto"/>
        <w:ind w:right="-20" w:firstLine="1440" w:firstLineChars="400"/>
        <w:jc w:val="both"/>
        <w:rPr>
          <w:rFonts w:hint="default" w:ascii="Arial Unicode MS" w:eastAsia="Arial Unicode MS" w:cs="Arial Unicode MS"/>
          <w:color w:val="auto"/>
          <w:spacing w:val="2"/>
          <w:w w:val="99"/>
          <w:sz w:val="36"/>
          <w:szCs w:val="36"/>
          <w:u w:val="single"/>
          <w:lang w:val="en-US" w:eastAsia="zh-CN"/>
        </w:rPr>
      </w:pPr>
      <w:r>
        <w:rPr>
          <w:rFonts w:hint="eastAsia" w:ascii="Arial Unicode MS" w:eastAsia="Arial Unicode MS" w:cs="Arial Unicode MS"/>
          <w:color w:val="auto"/>
          <w:spacing w:val="2"/>
          <w:w w:val="99"/>
          <w:sz w:val="36"/>
          <w:szCs w:val="36"/>
          <w:lang w:val="en-US" w:eastAsia="zh-CN"/>
        </w:rPr>
        <w:t>校    核</w:t>
      </w:r>
      <w:r>
        <w:rPr>
          <w:rFonts w:hint="eastAsia" w:ascii="Arial Unicode MS" w:eastAsia="Arial Unicode MS" w:cs="Arial Unicode MS"/>
          <w:color w:val="auto"/>
          <w:spacing w:val="2"/>
          <w:w w:val="99"/>
          <w:sz w:val="36"/>
          <w:szCs w:val="36"/>
          <w:lang w:eastAsia="zh-CN"/>
        </w:rPr>
        <w:t>：</w:t>
      </w:r>
      <w:r>
        <w:rPr>
          <w:rFonts w:hint="eastAsia" w:ascii="Arial Unicode MS" w:eastAsia="Arial Unicode MS" w:cs="Arial Unicode MS"/>
          <w:color w:val="auto"/>
          <w:spacing w:val="2"/>
          <w:w w:val="99"/>
          <w:sz w:val="36"/>
          <w:szCs w:val="36"/>
          <w:u w:val="single"/>
          <w:lang w:val="en-US" w:eastAsia="zh-CN"/>
        </w:rPr>
        <w:t xml:space="preserve">                 </w:t>
      </w:r>
    </w:p>
    <w:p>
      <w:pPr>
        <w:autoSpaceDE w:val="0"/>
        <w:autoSpaceDN w:val="0"/>
        <w:spacing w:before="120" w:after="120" w:line="720" w:lineRule="auto"/>
        <w:ind w:right="-20" w:firstLine="1440" w:firstLineChars="400"/>
        <w:jc w:val="both"/>
        <w:rPr>
          <w:rFonts w:hint="default" w:ascii="Arial Unicode MS" w:eastAsia="Arial Unicode MS" w:cs="Arial Unicode MS"/>
          <w:color w:val="auto"/>
          <w:spacing w:val="2"/>
          <w:w w:val="99"/>
          <w:sz w:val="36"/>
          <w:szCs w:val="36"/>
          <w:u w:val="single"/>
          <w:lang w:val="en-US" w:eastAsia="zh-CN"/>
        </w:rPr>
      </w:pPr>
      <w:r>
        <w:rPr>
          <w:rFonts w:hint="eastAsia" w:ascii="Arial Unicode MS" w:eastAsia="Arial Unicode MS" w:cs="Arial Unicode MS"/>
          <w:color w:val="auto"/>
          <w:spacing w:val="2"/>
          <w:w w:val="99"/>
          <w:sz w:val="36"/>
          <w:szCs w:val="36"/>
          <w:lang w:val="en-US" w:eastAsia="zh-CN"/>
        </w:rPr>
        <w:t>审    核</w:t>
      </w:r>
      <w:r>
        <w:rPr>
          <w:rFonts w:hint="eastAsia" w:ascii="Arial Unicode MS" w:eastAsia="Arial Unicode MS" w:cs="Arial Unicode MS"/>
          <w:color w:val="auto"/>
          <w:spacing w:val="2"/>
          <w:w w:val="99"/>
          <w:sz w:val="36"/>
          <w:szCs w:val="36"/>
          <w:lang w:eastAsia="zh-CN"/>
        </w:rPr>
        <w:t>：</w:t>
      </w:r>
      <w:r>
        <w:rPr>
          <w:rFonts w:hint="eastAsia" w:ascii="Arial Unicode MS" w:eastAsia="Arial Unicode MS" w:cs="Arial Unicode MS"/>
          <w:color w:val="auto"/>
          <w:spacing w:val="2"/>
          <w:w w:val="99"/>
          <w:sz w:val="36"/>
          <w:szCs w:val="36"/>
          <w:u w:val="single"/>
          <w:lang w:val="en-US" w:eastAsia="zh-CN"/>
        </w:rPr>
        <w:t xml:space="preserve">                  </w:t>
      </w:r>
    </w:p>
    <w:p>
      <w:pPr>
        <w:autoSpaceDE w:val="0"/>
        <w:autoSpaceDN w:val="0"/>
        <w:spacing w:before="120" w:after="120" w:line="720" w:lineRule="auto"/>
        <w:ind w:right="-20" w:firstLine="1440" w:firstLineChars="400"/>
        <w:jc w:val="both"/>
        <w:rPr>
          <w:rFonts w:hint="default" w:ascii="Arial Unicode MS" w:eastAsia="Arial Unicode MS" w:cs="Arial Unicode MS"/>
          <w:color w:val="auto"/>
          <w:spacing w:val="2"/>
          <w:w w:val="99"/>
          <w:sz w:val="36"/>
          <w:szCs w:val="36"/>
          <w:lang w:val="en-US" w:eastAsia="zh-CN"/>
        </w:rPr>
      </w:pPr>
      <w:r>
        <w:rPr>
          <w:rFonts w:hint="eastAsia" w:ascii="Arial Unicode MS" w:eastAsia="Arial Unicode MS" w:cs="Arial Unicode MS"/>
          <w:color w:val="auto"/>
          <w:spacing w:val="2"/>
          <w:w w:val="99"/>
          <w:sz w:val="36"/>
          <w:szCs w:val="36"/>
          <w:lang w:val="en-US" w:eastAsia="zh-CN"/>
        </w:rPr>
        <w:t>审    批：</w:t>
      </w:r>
      <w:r>
        <w:rPr>
          <w:rFonts w:hint="eastAsia" w:ascii="Arial Unicode MS" w:eastAsia="Arial Unicode MS" w:cs="Arial Unicode MS"/>
          <w:color w:val="auto"/>
          <w:spacing w:val="2"/>
          <w:w w:val="99"/>
          <w:sz w:val="36"/>
          <w:szCs w:val="36"/>
          <w:u w:val="single"/>
          <w:lang w:val="en-US" w:eastAsia="zh-CN"/>
        </w:rPr>
        <w:t xml:space="preserve">                  </w:t>
      </w:r>
    </w:p>
    <w:p>
      <w:pPr>
        <w:autoSpaceDE w:val="0"/>
        <w:autoSpaceDN w:val="0"/>
        <w:spacing w:before="120" w:after="120" w:line="720" w:lineRule="auto"/>
        <w:ind w:right="-20" w:firstLine="1440" w:firstLineChars="400"/>
        <w:jc w:val="both"/>
        <w:rPr>
          <w:rFonts w:hint="default" w:ascii="Arial Unicode MS" w:eastAsia="Arial Unicode MS" w:cs="Arial Unicode MS"/>
          <w:color w:val="auto"/>
          <w:spacing w:val="2"/>
          <w:w w:val="99"/>
          <w:sz w:val="36"/>
          <w:szCs w:val="36"/>
          <w:lang w:val="en-US" w:eastAsia="zh-CN"/>
        </w:rPr>
      </w:pPr>
      <w:r>
        <w:rPr>
          <w:rFonts w:hint="eastAsia" w:ascii="Arial Unicode MS" w:eastAsia="Arial Unicode MS" w:cs="Arial Unicode MS"/>
          <w:color w:val="auto"/>
          <w:spacing w:val="2"/>
          <w:w w:val="99"/>
          <w:sz w:val="36"/>
          <w:szCs w:val="36"/>
          <w:lang w:val="en-US" w:eastAsia="zh-CN"/>
        </w:rPr>
        <w:t>批    准：</w:t>
      </w:r>
      <w:r>
        <w:rPr>
          <w:rFonts w:hint="eastAsia" w:ascii="Arial Unicode MS" w:eastAsia="Arial Unicode MS" w:cs="Arial Unicode MS"/>
          <w:color w:val="auto"/>
          <w:spacing w:val="2"/>
          <w:w w:val="99"/>
          <w:sz w:val="36"/>
          <w:szCs w:val="36"/>
          <w:u w:val="single"/>
          <w:lang w:eastAsia="zh-CN"/>
        </w:rPr>
        <w:t xml:space="preserve">  </w:t>
      </w:r>
      <w:r>
        <w:rPr>
          <w:rFonts w:hint="eastAsia" w:ascii="Arial Unicode MS" w:eastAsia="Arial Unicode MS" w:cs="Arial Unicode MS"/>
          <w:color w:val="auto"/>
          <w:spacing w:val="2"/>
          <w:w w:val="99"/>
          <w:sz w:val="36"/>
          <w:szCs w:val="36"/>
          <w:u w:val="single"/>
          <w:lang w:val="en-US" w:eastAsia="zh-CN"/>
        </w:rPr>
        <w:t xml:space="preserve">                </w:t>
      </w:r>
    </w:p>
    <w:p>
      <w:pPr>
        <w:widowControl/>
        <w:rPr>
          <w:rFonts w:ascii="宋体" w:eastAsia="宋体" w:cs="宋体"/>
          <w:b/>
          <w:color w:val="auto"/>
          <w:sz w:val="32"/>
          <w:szCs w:val="32"/>
          <w:lang w:eastAsia="zh-CN"/>
        </w:rPr>
      </w:pPr>
      <w:r>
        <w:rPr>
          <w:b/>
          <w:color w:val="auto"/>
          <w:sz w:val="32"/>
          <w:szCs w:val="32"/>
          <w:lang w:eastAsia="zh-CN"/>
        </w:rPr>
        <w:br w:type="page"/>
      </w:r>
    </w:p>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项目概况及总体要求</w:t>
      </w:r>
      <w:bookmarkEnd w:id="0"/>
      <w:bookmarkEnd w:id="1"/>
    </w:p>
    <w:p>
      <w:pPr>
        <w:pStyle w:val="6"/>
        <w:tabs>
          <w:tab w:val="left" w:pos="142"/>
        </w:tabs>
        <w:spacing w:line="360" w:lineRule="auto"/>
        <w:ind w:right="11" w:firstLine="420"/>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t>根据国家海事局关于化学品出海货物的鉴定相关要求，</w:t>
      </w:r>
      <w:bookmarkStart w:id="2" w:name="OLE_LINK1"/>
      <w:r>
        <w:rPr>
          <w:rFonts w:hint="eastAsia" w:ascii="微软雅黑" w:hAnsi="微软雅黑" w:eastAsia="微软雅黑" w:cs="微软雅黑"/>
          <w:color w:val="auto"/>
          <w:szCs w:val="21"/>
          <w:lang w:val="en-US" w:eastAsia="zh-CN"/>
        </w:rPr>
        <w:t>《危险货物运输包装使用鉴定报告》</w:t>
      </w:r>
      <w:bookmarkEnd w:id="2"/>
      <w:r>
        <w:rPr>
          <w:rFonts w:hint="eastAsia" w:ascii="微软雅黑" w:hAnsi="微软雅黑" w:eastAsia="微软雅黑" w:cs="微软雅黑"/>
          <w:color w:val="auto"/>
          <w:szCs w:val="21"/>
          <w:lang w:val="en-US" w:eastAsia="zh-CN"/>
        </w:rPr>
        <w:t>系试剂类化学品日常出海申报的必备材料。鉴于试剂类化学品的类型与海上平台生产需求密切相关，且存在种类繁多、变化频繁的实际情况，为扎实做好试剂包装物出海前的各项基础工作，现特提出试剂类危险化学品货物运输包装使用鉴定年度服务采购申请。</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rPr>
      </w:pPr>
      <w:bookmarkStart w:id="3" w:name="_Toc13249325"/>
      <w:bookmarkStart w:id="4" w:name="_Toc13248928"/>
      <w:r>
        <w:rPr>
          <w:rFonts w:hint="eastAsia" w:ascii="微软雅黑" w:hAnsi="微软雅黑" w:eastAsia="微软雅黑" w:cs="微软雅黑"/>
          <w:color w:val="auto"/>
          <w:sz w:val="28"/>
          <w:szCs w:val="28"/>
        </w:rPr>
        <w:t>服务内容和范围</w:t>
      </w:r>
      <w:bookmarkEnd w:id="3"/>
      <w:bookmarkEnd w:id="4"/>
    </w:p>
    <w:p>
      <w:pPr>
        <w:pStyle w:val="6"/>
        <w:numPr>
          <w:ilvl w:val="0"/>
          <w:numId w:val="2"/>
        </w:numPr>
        <w:spacing w:line="257" w:lineRule="auto"/>
        <w:ind w:left="0" w:leftChars="0" w:right="121" w:rightChars="55" w:firstLine="420" w:firstLineChars="200"/>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 xml:space="preserve">服务内容： </w:t>
      </w:r>
    </w:p>
    <w:p>
      <w:pPr>
        <w:pStyle w:val="6"/>
        <w:tabs>
          <w:tab w:val="left" w:pos="142"/>
        </w:tabs>
        <w:spacing w:line="282" w:lineRule="auto"/>
        <w:ind w:right="11" w:firstLine="420"/>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依据当期</w:t>
      </w:r>
      <w:r>
        <w:rPr>
          <w:rFonts w:hint="eastAsia" w:ascii="微软雅黑" w:hAnsi="微软雅黑" w:eastAsia="微软雅黑" w:cs="微软雅黑"/>
          <w:color w:val="auto"/>
          <w:lang w:val="en-US" w:eastAsia="zh-CN"/>
        </w:rPr>
        <w:t>试剂类危险化学品</w:t>
      </w:r>
      <w:r>
        <w:rPr>
          <w:rFonts w:hint="eastAsia" w:ascii="微软雅黑" w:hAnsi="微软雅黑" w:eastAsia="微软雅黑" w:cs="微软雅黑"/>
          <w:color w:val="auto"/>
          <w:lang w:eastAsia="zh-CN"/>
        </w:rPr>
        <w:t>，涉及开展</w:t>
      </w:r>
      <w:r>
        <w:rPr>
          <w:rFonts w:hint="eastAsia" w:ascii="微软雅黑" w:hAnsi="微软雅黑" w:eastAsia="微软雅黑" w:cs="微软雅黑"/>
          <w:color w:val="auto"/>
          <w:lang w:val="en-US" w:eastAsia="zh-CN"/>
        </w:rPr>
        <w:t>危险货物运输包装使用鉴定</w:t>
      </w:r>
      <w:r>
        <w:rPr>
          <w:rFonts w:hint="eastAsia" w:ascii="微软雅黑" w:hAnsi="微软雅黑" w:eastAsia="微软雅黑" w:cs="微软雅黑"/>
          <w:color w:val="auto"/>
          <w:lang w:eastAsia="zh-CN"/>
        </w:rPr>
        <w:t>的主要为正己烷、石油醚、甲醇、四氯乙烯、乙二醇、无水乙醇、</w:t>
      </w:r>
      <w:r>
        <w:rPr>
          <w:rFonts w:hint="eastAsia" w:ascii="微软雅黑" w:hAnsi="微软雅黑" w:eastAsia="微软雅黑" w:cs="微软雅黑"/>
          <w:color w:val="auto"/>
          <w:lang w:val="en-US" w:eastAsia="zh-CN"/>
        </w:rPr>
        <w:t>二甲苯</w:t>
      </w:r>
      <w:r>
        <w:rPr>
          <w:rFonts w:hint="eastAsia" w:ascii="微软雅黑" w:hAnsi="微软雅黑" w:eastAsia="微软雅黑" w:cs="微软雅黑"/>
          <w:color w:val="auto"/>
          <w:lang w:eastAsia="zh-CN"/>
        </w:rPr>
        <w:t>等。</w:t>
      </w:r>
    </w:p>
    <w:p>
      <w:pPr>
        <w:pStyle w:val="6"/>
        <w:numPr>
          <w:ilvl w:val="0"/>
          <w:numId w:val="2"/>
        </w:numPr>
        <w:spacing w:line="257" w:lineRule="auto"/>
        <w:ind w:left="0" w:leftChars="0" w:right="121" w:rightChars="55" w:firstLine="420" w:firstLineChars="200"/>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工作量清单：</w:t>
      </w:r>
    </w:p>
    <w:tbl>
      <w:tblPr>
        <w:tblStyle w:val="1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278"/>
        <w:gridCol w:w="1465"/>
        <w:gridCol w:w="1465"/>
        <w:gridCol w:w="975"/>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2" w:type="dxa"/>
            <w:vAlign w:val="center"/>
          </w:tcPr>
          <w:p>
            <w:pPr>
              <w:pStyle w:val="3"/>
              <w:adjustRightInd w:val="0"/>
              <w:snapToGrid w:val="0"/>
              <w:spacing w:line="240" w:lineRule="auto"/>
              <w:jc w:val="center"/>
              <w:rPr>
                <w:rFonts w:ascii="微软雅黑" w:hAnsi="微软雅黑" w:eastAsia="微软雅黑"/>
                <w:color w:val="auto"/>
                <w:spacing w:val="0"/>
                <w:sz w:val="21"/>
                <w:szCs w:val="21"/>
              </w:rPr>
            </w:pPr>
            <w:r>
              <w:rPr>
                <w:rFonts w:ascii="微软雅黑" w:hAnsi="微软雅黑" w:eastAsia="微软雅黑"/>
                <w:color w:val="auto"/>
                <w:spacing w:val="0"/>
                <w:sz w:val="21"/>
                <w:szCs w:val="21"/>
              </w:rPr>
              <w:t>序号</w:t>
            </w:r>
          </w:p>
        </w:tc>
        <w:tc>
          <w:tcPr>
            <w:tcW w:w="2278" w:type="dxa"/>
            <w:vAlign w:val="center"/>
          </w:tcPr>
          <w:p>
            <w:pPr>
              <w:pStyle w:val="3"/>
              <w:adjustRightInd w:val="0"/>
              <w:snapToGrid w:val="0"/>
              <w:spacing w:line="240" w:lineRule="auto"/>
              <w:jc w:val="center"/>
              <w:rPr>
                <w:rFonts w:hint="default" w:ascii="微软雅黑" w:hAnsi="微软雅黑" w:eastAsia="微软雅黑"/>
                <w:color w:val="auto"/>
                <w:spacing w:val="0"/>
                <w:sz w:val="21"/>
                <w:szCs w:val="21"/>
                <w:lang w:val="en-US" w:eastAsia="zh-CN"/>
              </w:rPr>
            </w:pPr>
            <w:r>
              <w:rPr>
                <w:rFonts w:hint="eastAsia" w:ascii="微软雅黑" w:hAnsi="微软雅黑" w:eastAsia="微软雅黑"/>
                <w:color w:val="auto"/>
                <w:spacing w:val="0"/>
                <w:sz w:val="21"/>
                <w:szCs w:val="21"/>
                <w:lang w:val="en-US" w:eastAsia="zh-CN"/>
              </w:rPr>
              <w:t>服务名称</w:t>
            </w:r>
          </w:p>
        </w:tc>
        <w:tc>
          <w:tcPr>
            <w:tcW w:w="1465" w:type="dxa"/>
            <w:vAlign w:val="center"/>
          </w:tcPr>
          <w:p>
            <w:pPr>
              <w:pStyle w:val="3"/>
              <w:adjustRightInd w:val="0"/>
              <w:snapToGrid w:val="0"/>
              <w:spacing w:line="240" w:lineRule="auto"/>
              <w:jc w:val="center"/>
              <w:rPr>
                <w:rFonts w:ascii="微软雅黑" w:hAnsi="微软雅黑" w:eastAsia="微软雅黑"/>
                <w:color w:val="auto"/>
                <w:spacing w:val="0"/>
                <w:sz w:val="21"/>
                <w:szCs w:val="21"/>
              </w:rPr>
            </w:pPr>
            <w:r>
              <w:rPr>
                <w:rFonts w:ascii="微软雅黑" w:hAnsi="微软雅黑" w:eastAsia="微软雅黑"/>
                <w:color w:val="auto"/>
                <w:spacing w:val="0"/>
                <w:sz w:val="21"/>
                <w:szCs w:val="21"/>
              </w:rPr>
              <w:t>规格型号</w:t>
            </w:r>
          </w:p>
        </w:tc>
        <w:tc>
          <w:tcPr>
            <w:tcW w:w="1465" w:type="dxa"/>
            <w:vAlign w:val="center"/>
          </w:tcPr>
          <w:p>
            <w:pPr>
              <w:pStyle w:val="3"/>
              <w:adjustRightInd w:val="0"/>
              <w:snapToGrid w:val="0"/>
              <w:spacing w:line="240" w:lineRule="auto"/>
              <w:jc w:val="center"/>
              <w:rPr>
                <w:rFonts w:ascii="微软雅黑" w:hAnsi="微软雅黑" w:eastAsia="微软雅黑"/>
                <w:color w:val="auto"/>
                <w:spacing w:val="0"/>
                <w:sz w:val="21"/>
                <w:szCs w:val="21"/>
              </w:rPr>
            </w:pPr>
            <w:r>
              <w:rPr>
                <w:rFonts w:hint="eastAsia" w:ascii="微软雅黑" w:hAnsi="微软雅黑" w:eastAsia="微软雅黑"/>
                <w:color w:val="auto"/>
                <w:spacing w:val="0"/>
                <w:sz w:val="21"/>
                <w:szCs w:val="21"/>
                <w:lang w:val="en-US" w:eastAsia="zh-CN"/>
              </w:rPr>
              <w:t>预估</w:t>
            </w:r>
            <w:r>
              <w:rPr>
                <w:rFonts w:ascii="微软雅黑" w:hAnsi="微软雅黑" w:eastAsia="微软雅黑"/>
                <w:color w:val="auto"/>
                <w:spacing w:val="0"/>
                <w:sz w:val="21"/>
                <w:szCs w:val="21"/>
              </w:rPr>
              <w:t>数量</w:t>
            </w:r>
          </w:p>
        </w:tc>
        <w:tc>
          <w:tcPr>
            <w:tcW w:w="975" w:type="dxa"/>
            <w:vAlign w:val="center"/>
          </w:tcPr>
          <w:p>
            <w:pPr>
              <w:pStyle w:val="3"/>
              <w:adjustRightInd w:val="0"/>
              <w:snapToGrid w:val="0"/>
              <w:spacing w:line="240" w:lineRule="auto"/>
              <w:jc w:val="center"/>
              <w:rPr>
                <w:rFonts w:hint="eastAsia" w:ascii="微软雅黑" w:hAnsi="微软雅黑" w:eastAsia="微软雅黑"/>
                <w:color w:val="auto"/>
                <w:spacing w:val="0"/>
                <w:sz w:val="21"/>
                <w:szCs w:val="21"/>
                <w:lang w:eastAsia="zh-CN"/>
              </w:rPr>
            </w:pPr>
            <w:r>
              <w:rPr>
                <w:rFonts w:hint="eastAsia" w:ascii="微软雅黑" w:hAnsi="微软雅黑" w:eastAsia="微软雅黑"/>
                <w:color w:val="auto"/>
                <w:spacing w:val="0"/>
                <w:sz w:val="21"/>
                <w:szCs w:val="21"/>
                <w:lang w:val="en-US" w:eastAsia="zh-CN"/>
              </w:rPr>
              <w:t>单位</w:t>
            </w:r>
          </w:p>
        </w:tc>
        <w:tc>
          <w:tcPr>
            <w:tcW w:w="1522" w:type="dxa"/>
            <w:vAlign w:val="center"/>
          </w:tcPr>
          <w:p>
            <w:pPr>
              <w:pStyle w:val="3"/>
              <w:adjustRightInd w:val="0"/>
              <w:snapToGrid w:val="0"/>
              <w:spacing w:line="240" w:lineRule="auto"/>
              <w:jc w:val="center"/>
              <w:rPr>
                <w:rFonts w:ascii="微软雅黑" w:hAnsi="微软雅黑" w:eastAsia="微软雅黑"/>
                <w:color w:val="auto"/>
                <w:spacing w:val="0"/>
                <w:sz w:val="21"/>
                <w:szCs w:val="21"/>
              </w:rPr>
            </w:pPr>
            <w:r>
              <w:rPr>
                <w:rFonts w:hint="eastAsia" w:ascii="微软雅黑" w:hAnsi="微软雅黑" w:eastAsia="微软雅黑"/>
                <w:color w:val="auto"/>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12" w:type="dxa"/>
            <w:vAlign w:val="center"/>
          </w:tcPr>
          <w:p>
            <w:pPr>
              <w:pStyle w:val="3"/>
              <w:jc w:val="center"/>
              <w:rPr>
                <w:rFonts w:hint="eastAsia" w:ascii="微软雅黑" w:hAnsi="微软雅黑" w:eastAsia="微软雅黑"/>
                <w:color w:val="auto"/>
                <w:spacing w:val="0"/>
                <w:sz w:val="21"/>
                <w:szCs w:val="21"/>
                <w:lang w:val="en-US" w:eastAsia="zh-CN"/>
              </w:rPr>
            </w:pPr>
            <w:r>
              <w:rPr>
                <w:rFonts w:hint="eastAsia" w:ascii="微软雅黑" w:hAnsi="微软雅黑" w:eastAsia="微软雅黑"/>
                <w:color w:val="auto"/>
                <w:spacing w:val="0"/>
                <w:sz w:val="21"/>
                <w:szCs w:val="21"/>
                <w:lang w:val="en-US" w:eastAsia="zh-CN"/>
              </w:rPr>
              <w:t>1</w:t>
            </w:r>
          </w:p>
        </w:tc>
        <w:tc>
          <w:tcPr>
            <w:tcW w:w="2278" w:type="dxa"/>
            <w:vAlign w:val="center"/>
          </w:tcPr>
          <w:p>
            <w:pPr>
              <w:jc w:val="center"/>
              <w:rPr>
                <w:rFonts w:hint="eastAsia" w:ascii="微软雅黑" w:hAnsi="微软雅黑" w:eastAsia="微软雅黑" w:cstheme="minorBidi"/>
                <w:color w:val="auto"/>
                <w:spacing w:val="0"/>
                <w:kern w:val="0"/>
                <w:sz w:val="21"/>
                <w:szCs w:val="21"/>
                <w:lang w:val="en-US" w:eastAsia="zh-CN" w:bidi="ar-SA"/>
              </w:rPr>
            </w:pPr>
            <w:r>
              <w:rPr>
                <w:rFonts w:hint="eastAsia" w:ascii="微软雅黑" w:hAnsi="微软雅黑" w:eastAsia="微软雅黑" w:cstheme="minorBidi"/>
                <w:color w:val="auto"/>
                <w:spacing w:val="0"/>
                <w:kern w:val="0"/>
                <w:sz w:val="21"/>
                <w:szCs w:val="21"/>
                <w:lang w:val="en-US" w:eastAsia="zh-CN" w:bidi="ar-SA"/>
              </w:rPr>
              <w:t>危险化学品包装物、容器检验鉴定服务（短期）</w:t>
            </w:r>
          </w:p>
        </w:tc>
        <w:tc>
          <w:tcPr>
            <w:tcW w:w="1465" w:type="dxa"/>
            <w:vAlign w:val="center"/>
          </w:tcPr>
          <w:p>
            <w:pPr>
              <w:pStyle w:val="3"/>
              <w:jc w:val="center"/>
              <w:rPr>
                <w:rFonts w:hint="default" w:ascii="微软雅黑" w:hAnsi="微软雅黑" w:eastAsia="微软雅黑"/>
                <w:color w:val="auto"/>
                <w:spacing w:val="0"/>
                <w:sz w:val="21"/>
                <w:szCs w:val="21"/>
                <w:lang w:val="en-US" w:eastAsia="zh-CN"/>
              </w:rPr>
            </w:pPr>
            <w:r>
              <w:rPr>
                <w:rFonts w:hint="eastAsia" w:ascii="微软雅黑" w:hAnsi="微软雅黑" w:eastAsia="微软雅黑"/>
                <w:color w:val="auto"/>
                <w:spacing w:val="0"/>
                <w:sz w:val="21"/>
                <w:szCs w:val="21"/>
                <w:lang w:val="en-US" w:eastAsia="zh-CN"/>
              </w:rPr>
              <w:t>包装物为：500ml玻璃容器或50ml玻璃瓶</w:t>
            </w:r>
          </w:p>
        </w:tc>
        <w:tc>
          <w:tcPr>
            <w:tcW w:w="1465" w:type="dxa"/>
            <w:vAlign w:val="center"/>
          </w:tcPr>
          <w:p>
            <w:pPr>
              <w:keepNext w:val="0"/>
              <w:keepLines w:val="0"/>
              <w:widowControl/>
              <w:suppressLineNumbers w:val="0"/>
              <w:jc w:val="center"/>
              <w:textAlignment w:val="center"/>
              <w:rPr>
                <w:rFonts w:hint="default" w:ascii="微软雅黑" w:hAnsi="微软雅黑" w:eastAsia="微软雅黑" w:cstheme="minorBidi"/>
                <w:color w:val="auto"/>
                <w:spacing w:val="0"/>
                <w:kern w:val="0"/>
                <w:sz w:val="21"/>
                <w:szCs w:val="21"/>
                <w:lang w:val="en-US" w:eastAsia="zh-CN" w:bidi="ar-SA"/>
              </w:rPr>
            </w:pPr>
            <w:r>
              <w:rPr>
                <w:rFonts w:hint="eastAsia" w:ascii="微软雅黑" w:hAnsi="微软雅黑" w:eastAsia="微软雅黑" w:cstheme="minorBidi"/>
                <w:color w:val="auto"/>
                <w:spacing w:val="0"/>
                <w:kern w:val="0"/>
                <w:sz w:val="21"/>
                <w:szCs w:val="21"/>
                <w:lang w:val="en-US" w:eastAsia="zh-CN" w:bidi="ar-SA"/>
              </w:rPr>
              <w:t>700</w:t>
            </w:r>
          </w:p>
        </w:tc>
        <w:tc>
          <w:tcPr>
            <w:tcW w:w="975" w:type="dxa"/>
            <w:vAlign w:val="center"/>
          </w:tcPr>
          <w:p>
            <w:pPr>
              <w:pStyle w:val="3"/>
              <w:jc w:val="center"/>
              <w:rPr>
                <w:rFonts w:hint="eastAsia" w:ascii="微软雅黑" w:hAnsi="微软雅黑" w:eastAsia="微软雅黑"/>
                <w:color w:val="auto"/>
                <w:spacing w:val="0"/>
                <w:sz w:val="21"/>
                <w:szCs w:val="21"/>
                <w:lang w:val="en-US" w:eastAsia="zh-CN"/>
              </w:rPr>
            </w:pPr>
            <w:r>
              <w:rPr>
                <w:rFonts w:hint="eastAsia" w:ascii="微软雅黑" w:hAnsi="微软雅黑" w:eastAsia="微软雅黑"/>
                <w:color w:val="auto"/>
                <w:spacing w:val="0"/>
                <w:sz w:val="21"/>
                <w:szCs w:val="21"/>
                <w:lang w:val="en-US" w:eastAsia="zh-CN"/>
              </w:rPr>
              <w:t>次</w:t>
            </w:r>
          </w:p>
        </w:tc>
        <w:tc>
          <w:tcPr>
            <w:tcW w:w="1522" w:type="dxa"/>
            <w:vAlign w:val="center"/>
          </w:tcPr>
          <w:p>
            <w:pPr>
              <w:pStyle w:val="3"/>
              <w:jc w:val="center"/>
              <w:rPr>
                <w:rFonts w:hint="default" w:ascii="微软雅黑" w:hAnsi="微软雅黑" w:eastAsia="微软雅黑"/>
                <w:color w:val="auto"/>
                <w:spacing w:val="0"/>
                <w:sz w:val="21"/>
                <w:szCs w:val="21"/>
                <w:lang w:val="en-US" w:eastAsia="zh-CN"/>
              </w:rPr>
            </w:pPr>
            <w:r>
              <w:rPr>
                <w:rFonts w:hint="eastAsia" w:ascii="微软雅黑" w:hAnsi="微软雅黑" w:eastAsia="微软雅黑"/>
                <w:color w:val="auto"/>
                <w:spacing w:val="0"/>
                <w:sz w:val="21"/>
                <w:szCs w:val="21"/>
                <w:lang w:val="en-US" w:eastAsia="zh-CN"/>
              </w:rPr>
              <w:t>（完成单个样品鉴定并出具报告为1次）有效期七天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12" w:type="dxa"/>
            <w:vAlign w:val="center"/>
          </w:tcPr>
          <w:p>
            <w:pPr>
              <w:pStyle w:val="3"/>
              <w:jc w:val="center"/>
              <w:rPr>
                <w:rFonts w:hint="eastAsia" w:ascii="微软雅黑" w:hAnsi="微软雅黑" w:eastAsia="微软雅黑"/>
                <w:color w:val="auto"/>
                <w:spacing w:val="0"/>
                <w:sz w:val="21"/>
                <w:szCs w:val="21"/>
                <w:lang w:val="en-US" w:eastAsia="zh-CN"/>
              </w:rPr>
            </w:pPr>
            <w:r>
              <w:rPr>
                <w:rFonts w:hint="eastAsia" w:ascii="微软雅黑" w:hAnsi="微软雅黑" w:eastAsia="微软雅黑"/>
                <w:color w:val="auto"/>
                <w:spacing w:val="0"/>
                <w:sz w:val="21"/>
                <w:szCs w:val="21"/>
                <w:lang w:val="en-US" w:eastAsia="zh-CN"/>
              </w:rPr>
              <w:t>2</w:t>
            </w:r>
          </w:p>
        </w:tc>
        <w:tc>
          <w:tcPr>
            <w:tcW w:w="2278" w:type="dxa"/>
            <w:vAlign w:val="center"/>
          </w:tcPr>
          <w:p>
            <w:pPr>
              <w:jc w:val="center"/>
              <w:rPr>
                <w:rFonts w:hint="eastAsia" w:ascii="微软雅黑" w:hAnsi="微软雅黑" w:eastAsia="微软雅黑" w:cstheme="minorBidi"/>
                <w:color w:val="auto"/>
                <w:spacing w:val="0"/>
                <w:kern w:val="0"/>
                <w:sz w:val="21"/>
                <w:szCs w:val="21"/>
                <w:lang w:val="en-US" w:eastAsia="zh-CN" w:bidi="ar-SA"/>
              </w:rPr>
            </w:pPr>
            <w:r>
              <w:rPr>
                <w:rFonts w:hint="eastAsia" w:ascii="微软雅黑" w:hAnsi="微软雅黑" w:eastAsia="微软雅黑" w:cstheme="minorBidi"/>
                <w:color w:val="auto"/>
                <w:spacing w:val="0"/>
                <w:kern w:val="0"/>
                <w:sz w:val="21"/>
                <w:szCs w:val="21"/>
                <w:lang w:val="en-US" w:eastAsia="zh-CN" w:bidi="ar-SA"/>
              </w:rPr>
              <w:t>危险化学品包装物、容器检验鉴定服务（长期）</w:t>
            </w:r>
          </w:p>
        </w:tc>
        <w:tc>
          <w:tcPr>
            <w:tcW w:w="1465" w:type="dxa"/>
            <w:vAlign w:val="center"/>
          </w:tcPr>
          <w:p>
            <w:pPr>
              <w:pStyle w:val="3"/>
              <w:jc w:val="center"/>
              <w:rPr>
                <w:rFonts w:ascii="微软雅黑" w:hAnsi="微软雅黑" w:eastAsia="微软雅黑"/>
                <w:color w:val="auto"/>
                <w:spacing w:val="0"/>
                <w:sz w:val="21"/>
                <w:szCs w:val="21"/>
              </w:rPr>
            </w:pPr>
            <w:r>
              <w:rPr>
                <w:rFonts w:hint="eastAsia" w:ascii="微软雅黑" w:hAnsi="微软雅黑" w:eastAsia="微软雅黑"/>
                <w:color w:val="auto"/>
                <w:spacing w:val="0"/>
                <w:sz w:val="21"/>
                <w:szCs w:val="21"/>
                <w:lang w:val="en-US" w:eastAsia="zh-CN"/>
              </w:rPr>
              <w:t>包装物为：500ml玻璃容器或50ml玻璃瓶</w:t>
            </w:r>
          </w:p>
        </w:tc>
        <w:tc>
          <w:tcPr>
            <w:tcW w:w="1465" w:type="dxa"/>
            <w:vAlign w:val="center"/>
          </w:tcPr>
          <w:p>
            <w:pPr>
              <w:keepNext w:val="0"/>
              <w:keepLines w:val="0"/>
              <w:widowControl/>
              <w:suppressLineNumbers w:val="0"/>
              <w:jc w:val="center"/>
              <w:textAlignment w:val="center"/>
              <w:rPr>
                <w:rFonts w:hint="default" w:ascii="微软雅黑" w:hAnsi="微软雅黑" w:eastAsia="微软雅黑" w:cstheme="minorBidi"/>
                <w:color w:val="auto"/>
                <w:spacing w:val="0"/>
                <w:kern w:val="0"/>
                <w:sz w:val="21"/>
                <w:szCs w:val="21"/>
                <w:lang w:val="en-US" w:eastAsia="zh-CN" w:bidi="ar-SA"/>
              </w:rPr>
            </w:pPr>
            <w:r>
              <w:rPr>
                <w:rFonts w:hint="eastAsia" w:ascii="微软雅黑" w:hAnsi="微软雅黑" w:eastAsia="微软雅黑" w:cstheme="minorBidi"/>
                <w:color w:val="auto"/>
                <w:spacing w:val="0"/>
                <w:kern w:val="0"/>
                <w:sz w:val="21"/>
                <w:szCs w:val="21"/>
                <w:lang w:val="en-US" w:eastAsia="zh-CN" w:bidi="ar-SA"/>
              </w:rPr>
              <w:t>100</w:t>
            </w:r>
          </w:p>
        </w:tc>
        <w:tc>
          <w:tcPr>
            <w:tcW w:w="975" w:type="dxa"/>
            <w:vAlign w:val="center"/>
          </w:tcPr>
          <w:p>
            <w:pPr>
              <w:pStyle w:val="3"/>
              <w:jc w:val="center"/>
              <w:rPr>
                <w:rFonts w:ascii="微软雅黑" w:hAnsi="微软雅黑" w:eastAsia="微软雅黑"/>
                <w:color w:val="auto"/>
                <w:spacing w:val="0"/>
                <w:sz w:val="21"/>
                <w:szCs w:val="21"/>
              </w:rPr>
            </w:pPr>
            <w:r>
              <w:rPr>
                <w:rFonts w:hint="eastAsia" w:ascii="微软雅黑" w:hAnsi="微软雅黑" w:eastAsia="微软雅黑"/>
                <w:color w:val="auto"/>
                <w:spacing w:val="0"/>
                <w:sz w:val="21"/>
                <w:szCs w:val="21"/>
                <w:lang w:val="en-US" w:eastAsia="zh-CN"/>
              </w:rPr>
              <w:t>次</w:t>
            </w:r>
          </w:p>
        </w:tc>
        <w:tc>
          <w:tcPr>
            <w:tcW w:w="1522" w:type="dxa"/>
            <w:vAlign w:val="center"/>
          </w:tcPr>
          <w:p>
            <w:pPr>
              <w:pStyle w:val="3"/>
              <w:jc w:val="center"/>
              <w:rPr>
                <w:rFonts w:ascii="微软雅黑" w:hAnsi="微软雅黑" w:eastAsia="微软雅黑"/>
                <w:color w:val="auto"/>
                <w:spacing w:val="0"/>
                <w:sz w:val="21"/>
                <w:szCs w:val="21"/>
              </w:rPr>
            </w:pPr>
            <w:r>
              <w:rPr>
                <w:rFonts w:hint="eastAsia" w:ascii="微软雅黑" w:hAnsi="微软雅黑" w:eastAsia="微软雅黑"/>
                <w:color w:val="auto"/>
                <w:spacing w:val="0"/>
                <w:sz w:val="21"/>
                <w:szCs w:val="21"/>
                <w:lang w:val="en-US" w:eastAsia="zh-CN"/>
              </w:rPr>
              <w:t>（完成单个样品鉴定并出具报告为1次）有效期365天</w:t>
            </w:r>
          </w:p>
        </w:tc>
      </w:tr>
    </w:tbl>
    <w:p>
      <w:pPr>
        <w:pStyle w:val="6"/>
        <w:numPr>
          <w:ilvl w:val="0"/>
          <w:numId w:val="2"/>
        </w:numPr>
        <w:spacing w:line="257" w:lineRule="auto"/>
        <w:ind w:left="0" w:leftChars="0" w:right="121" w:rightChars="55" w:firstLine="420" w:firstLineChars="200"/>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服务地点：</w:t>
      </w:r>
    </w:p>
    <w:p>
      <w:pPr>
        <w:pStyle w:val="2"/>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20" w:firstLineChars="2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乙方场地：甲方负责将样品送寄至乙方指定接收地点，送寄费由乙方</w:t>
      </w:r>
      <w:bookmarkStart w:id="8" w:name="_GoBack"/>
      <w:bookmarkEnd w:id="8"/>
      <w:r>
        <w:rPr>
          <w:rFonts w:hint="eastAsia" w:ascii="微软雅黑" w:hAnsi="微软雅黑" w:eastAsia="微软雅黑" w:cs="微软雅黑"/>
          <w:color w:val="auto"/>
          <w:sz w:val="21"/>
          <w:szCs w:val="21"/>
          <w:lang w:val="en-US" w:eastAsia="zh-CN"/>
        </w:rPr>
        <w:t>承担。</w:t>
      </w:r>
    </w:p>
    <w:p>
      <w:pPr>
        <w:pStyle w:val="6"/>
        <w:numPr>
          <w:ilvl w:val="0"/>
          <w:numId w:val="2"/>
        </w:numPr>
        <w:spacing w:line="257" w:lineRule="auto"/>
        <w:ind w:left="0" w:leftChars="0" w:right="121" w:rightChars="55" w:firstLine="420" w:firstLineChars="200"/>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eastAsia="zh-CN"/>
        </w:rPr>
        <w:t>服务期限：</w:t>
      </w:r>
      <w:r>
        <w:rPr>
          <w:rFonts w:hint="eastAsia"/>
          <w:color w:val="auto"/>
          <w:lang w:val="en-US" w:eastAsia="zh-CN"/>
        </w:rPr>
        <w:t>合同签订之日起</w:t>
      </w:r>
      <w:r>
        <w:rPr>
          <w:rFonts w:hint="eastAsia" w:ascii="微软雅黑" w:hAnsi="微软雅黑" w:eastAsia="微软雅黑" w:cs="微软雅黑"/>
          <w:color w:val="auto"/>
          <w:lang w:val="en-US" w:eastAsia="zh-CN"/>
        </w:rPr>
        <w:t>三年，在合同执行阶段采用“1+1+1”的方式，即合同届满1年，若甲乙双方对合同条款及合同价格均无异议，继续沿用1年；若无法达成一致，则合同自动终止。第3年同第2年的操作方式，以此类推。协议期满后，如有未执行完毕的订单，该订单应履行完毕。</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rPr>
      </w:pPr>
      <w:bookmarkStart w:id="5" w:name="_Toc13248929"/>
      <w:bookmarkStart w:id="6" w:name="_Toc13249326"/>
      <w:r>
        <w:rPr>
          <w:rFonts w:hint="eastAsia" w:ascii="微软雅黑" w:hAnsi="微软雅黑" w:eastAsia="微软雅黑" w:cs="微软雅黑"/>
          <w:color w:val="auto"/>
          <w:sz w:val="28"/>
          <w:szCs w:val="28"/>
        </w:rPr>
        <w:t>执行标准/规范</w:t>
      </w:r>
    </w:p>
    <w:p>
      <w:pPr>
        <w:pStyle w:val="6"/>
        <w:numPr>
          <w:ilvl w:val="0"/>
          <w:numId w:val="4"/>
        </w:numPr>
        <w:spacing w:line="257" w:lineRule="auto"/>
        <w:ind w:left="0" w:leftChars="0" w:right="121" w:rightChars="55" w:firstLine="420" w:firstLineChars="2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《国际海运危险货物规则》</w:t>
      </w:r>
    </w:p>
    <w:p>
      <w:pPr>
        <w:pStyle w:val="6"/>
        <w:numPr>
          <w:ilvl w:val="0"/>
          <w:numId w:val="4"/>
        </w:numPr>
        <w:spacing w:line="257" w:lineRule="auto"/>
        <w:ind w:left="0" w:leftChars="0" w:right="121" w:rightChars="55" w:firstLine="420" w:firstLineChars="200"/>
        <w:rPr>
          <w:rFonts w:hint="eastAsia" w:ascii="微软雅黑" w:hAnsi="微软雅黑" w:eastAsia="微软雅黑" w:cs="微软雅黑"/>
          <w:color w:val="auto"/>
          <w:lang w:eastAsia="zh-CN"/>
        </w:rPr>
      </w:pPr>
      <w:r>
        <w:rPr>
          <w:rFonts w:hint="eastAsia" w:ascii="微软雅黑" w:hAnsi="微软雅黑" w:eastAsia="微软雅黑" w:cs="微软雅黑"/>
          <w:color w:val="auto"/>
          <w:lang w:val="en-US" w:eastAsia="zh-CN"/>
        </w:rPr>
        <w:t>《出口危险货物包装检验规程 第3部分：使用鉴定》</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服务要求</w:t>
      </w:r>
    </w:p>
    <w:p>
      <w:pPr>
        <w:pStyle w:val="6"/>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right="121" w:rightChars="55" w:firstLine="42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标准引用：</w:t>
      </w:r>
    </w:p>
    <w:p>
      <w:pPr>
        <w:pStyle w:val="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420" w:firstLineChars="2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引用：（SNT 0370.3-2021）《出口危险货物包装检验规程 第3部分：使用鉴定》5.1检验批盛装在同一包装规格及标记的相同品种、组分、含量的危险货物作为一个检验批。</w:t>
      </w:r>
    </w:p>
    <w:p>
      <w:pPr>
        <w:pStyle w:val="6"/>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right="121" w:rightChars="55" w:firstLine="42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鉴定服务适配性要求</w:t>
      </w:r>
    </w:p>
    <w:p>
      <w:pPr>
        <w:pStyle w:val="2"/>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多类型试剂覆盖：可承接各类试剂类危险化学品（包括但不限于腐蚀品、易燃液体、氧化性物质等）的包装鉴定，适配玻璃、塑料、金属等不同材质包装，以及小容量试剂瓶（≤500ml）、中大型包装桶（≤200L）等多种规格，满足海上平台生产所需试剂的多样化鉴定需求。​</w:t>
      </w:r>
    </w:p>
    <w:p>
      <w:pPr>
        <w:pStyle w:val="2"/>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动态响应能力：针对试剂种类频繁变化的实际情况，</w:t>
      </w:r>
      <w:r>
        <w:rPr>
          <w:rFonts w:hint="eastAsia" w:ascii="微软雅黑" w:hAnsi="微软雅黑" w:eastAsia="微软雅黑" w:cs="微软雅黑"/>
          <w:color w:val="auto"/>
          <w:sz w:val="21"/>
          <w:szCs w:val="21"/>
          <w:lang w:val="en-US" w:eastAsia="zh-CN"/>
        </w:rPr>
        <w:t>乙方</w:t>
      </w:r>
      <w:r>
        <w:rPr>
          <w:rFonts w:hint="default" w:ascii="微软雅黑" w:hAnsi="微软雅黑" w:eastAsia="微软雅黑" w:cs="微软雅黑"/>
          <w:color w:val="auto"/>
          <w:sz w:val="21"/>
          <w:szCs w:val="21"/>
          <w:lang w:val="en-US" w:eastAsia="zh-CN"/>
        </w:rPr>
        <w:t>需建立快速适配机制，收到鉴定需求后24小时内确认试剂类别、危险特性及包装参数，无需额外流程即可启动鉴定，不影响货物出海计划。​</w:t>
      </w:r>
    </w:p>
    <w:p>
      <w:pPr>
        <w:pStyle w:val="2"/>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定制化鉴定方案：对于特殊性质试剂（如易聚合、易分解、强腐蚀性试剂）或非标准包装，需提供定制化鉴定方案，结合货物特性开展专项测试，确保包装与货物的适配性。</w:t>
      </w:r>
    </w:p>
    <w:p>
      <w:pPr>
        <w:pStyle w:val="6"/>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right="121" w:rightChars="55" w:firstLine="420" w:firstLineChars="200"/>
        <w:textAlignment w:val="auto"/>
        <w:rPr>
          <w:rFonts w:hint="default" w:ascii="微软雅黑" w:hAnsi="微软雅黑" w:eastAsia="微软雅黑" w:cs="微软雅黑"/>
          <w:color w:val="auto"/>
          <w:lang w:val="en-US" w:eastAsia="zh-CN"/>
        </w:rPr>
      </w:pPr>
      <w:r>
        <w:rPr>
          <w:rFonts w:hint="default" w:ascii="微软雅黑" w:hAnsi="微软雅黑" w:eastAsia="微软雅黑" w:cs="微软雅黑"/>
          <w:color w:val="auto"/>
          <w:lang w:val="en-US" w:eastAsia="zh-CN"/>
        </w:rPr>
        <w:t>服务时效与流程要求​</w:t>
      </w:r>
    </w:p>
    <w:p>
      <w:pPr>
        <w:pStyle w:val="2"/>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鉴定周期：常规试剂包装鉴定自收到完整资料（含试剂 MSDS、包装规格、使用场景说明等）及样品后，3 个工作日内出具鉴定报告；紧急需求（如货物需加急出海）可提供 1-2 个工作日加急服务，明确承诺交付时间。​</w:t>
      </w:r>
    </w:p>
    <w:p>
      <w:pPr>
        <w:pStyle w:val="2"/>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样品处理：规范样品接收、存储、测试及返还流程，对腐蚀性、毒性等危险样品采取安全防护措施，测试后剩余样品按</w:t>
      </w:r>
      <w:r>
        <w:rPr>
          <w:rFonts w:hint="eastAsia" w:ascii="微软雅黑" w:hAnsi="微软雅黑" w:eastAsia="微软雅黑" w:cs="微软雅黑"/>
          <w:color w:val="auto"/>
          <w:sz w:val="21"/>
          <w:szCs w:val="21"/>
          <w:lang w:val="en-US" w:eastAsia="zh-CN"/>
        </w:rPr>
        <w:t>甲方</w:t>
      </w:r>
      <w:r>
        <w:rPr>
          <w:rFonts w:hint="default" w:ascii="微软雅黑" w:hAnsi="微软雅黑" w:eastAsia="微软雅黑" w:cs="微软雅黑"/>
          <w:color w:val="auto"/>
          <w:sz w:val="21"/>
          <w:szCs w:val="21"/>
          <w:lang w:val="en-US" w:eastAsia="zh-CN"/>
        </w:rPr>
        <w:t>要求妥善处理（返还或合规销毁），并提供处理凭证。​</w:t>
      </w:r>
    </w:p>
    <w:p>
      <w:pPr>
        <w:pStyle w:val="2"/>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流程透明度：建立服务跟踪机制，</w:t>
      </w:r>
      <w:r>
        <w:rPr>
          <w:rFonts w:hint="eastAsia" w:ascii="微软雅黑" w:hAnsi="微软雅黑" w:eastAsia="微软雅黑" w:cs="微软雅黑"/>
          <w:color w:val="auto"/>
          <w:sz w:val="21"/>
          <w:szCs w:val="21"/>
          <w:lang w:val="en-US" w:eastAsia="zh-CN"/>
        </w:rPr>
        <w:t>甲方</w:t>
      </w:r>
      <w:r>
        <w:rPr>
          <w:rFonts w:hint="default" w:ascii="微软雅黑" w:hAnsi="微软雅黑" w:eastAsia="微软雅黑" w:cs="微软雅黑"/>
          <w:color w:val="auto"/>
          <w:sz w:val="21"/>
          <w:szCs w:val="21"/>
          <w:lang w:val="en-US" w:eastAsia="zh-CN"/>
        </w:rPr>
        <w:t>可实时查询鉴定进度（如资料审核、样品测试、报告编制等阶段），关键节点（如发现包装不符合要求、需补充测试等）及时主动沟通，提供解决方案建议。</w:t>
      </w:r>
    </w:p>
    <w:p>
      <w:pPr>
        <w:pStyle w:val="6"/>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right="121" w:rightChars="55" w:firstLine="420" w:firstLineChars="200"/>
        <w:textAlignment w:val="auto"/>
        <w:rPr>
          <w:rFonts w:hint="default" w:ascii="微软雅黑" w:hAnsi="微软雅黑" w:eastAsia="微软雅黑" w:cs="微软雅黑"/>
          <w:color w:val="auto"/>
          <w:lang w:val="en-US" w:eastAsia="zh-CN"/>
        </w:rPr>
      </w:pPr>
      <w:r>
        <w:rPr>
          <w:rFonts w:hint="default" w:ascii="微软雅黑" w:hAnsi="微软雅黑" w:eastAsia="微软雅黑" w:cs="微软雅黑"/>
          <w:color w:val="auto"/>
          <w:lang w:val="en-US" w:eastAsia="zh-CN"/>
        </w:rPr>
        <w:t>其他专项要求​</w:t>
      </w:r>
    </w:p>
    <w:p>
      <w:pPr>
        <w:pStyle w:val="2"/>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资料保密：对</w:t>
      </w:r>
      <w:r>
        <w:rPr>
          <w:rFonts w:hint="eastAsia" w:ascii="微软雅黑" w:hAnsi="微软雅黑" w:eastAsia="微软雅黑" w:cs="微软雅黑"/>
          <w:color w:val="auto"/>
          <w:sz w:val="21"/>
          <w:szCs w:val="21"/>
          <w:lang w:val="en-US" w:eastAsia="zh-CN"/>
        </w:rPr>
        <w:t>甲方</w:t>
      </w:r>
      <w:r>
        <w:rPr>
          <w:rFonts w:hint="default" w:ascii="微软雅黑" w:hAnsi="微软雅黑" w:eastAsia="微软雅黑" w:cs="微软雅黑"/>
          <w:color w:val="auto"/>
          <w:sz w:val="21"/>
          <w:szCs w:val="21"/>
          <w:lang w:val="en-US" w:eastAsia="zh-CN"/>
        </w:rPr>
        <w:t>提供的试剂 MSDS、生产工艺、包装设计等商业机密及技术资料严格保密，不得向第三方泄露，保密期限不少于服务结束后</w:t>
      </w:r>
      <w:r>
        <w:rPr>
          <w:rFonts w:hint="eastAsia" w:ascii="微软雅黑" w:hAnsi="微软雅黑" w:eastAsia="微软雅黑" w:cs="微软雅黑"/>
          <w:color w:val="auto"/>
          <w:sz w:val="21"/>
          <w:szCs w:val="21"/>
          <w:lang w:val="en-US" w:eastAsia="zh-CN"/>
        </w:rPr>
        <w:t>10</w:t>
      </w:r>
      <w:r>
        <w:rPr>
          <w:rFonts w:hint="default" w:ascii="微软雅黑" w:hAnsi="微软雅黑" w:eastAsia="微软雅黑" w:cs="微软雅黑"/>
          <w:color w:val="auto"/>
          <w:sz w:val="21"/>
          <w:szCs w:val="21"/>
          <w:lang w:val="en-US" w:eastAsia="zh-CN"/>
        </w:rPr>
        <w:t>年。​</w:t>
      </w:r>
    </w:p>
    <w:p>
      <w:pPr>
        <w:pStyle w:val="2"/>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服务配合：配合</w:t>
      </w:r>
      <w:r>
        <w:rPr>
          <w:rFonts w:hint="eastAsia" w:ascii="微软雅黑" w:hAnsi="微软雅黑" w:eastAsia="微软雅黑" w:cs="微软雅黑"/>
          <w:color w:val="auto"/>
          <w:sz w:val="21"/>
          <w:szCs w:val="21"/>
          <w:lang w:val="en-US" w:eastAsia="zh-CN"/>
        </w:rPr>
        <w:t>甲方</w:t>
      </w:r>
      <w:r>
        <w:rPr>
          <w:rFonts w:hint="default" w:ascii="微软雅黑" w:hAnsi="微软雅黑" w:eastAsia="微软雅黑" w:cs="微软雅黑"/>
          <w:color w:val="auto"/>
          <w:sz w:val="21"/>
          <w:szCs w:val="21"/>
          <w:lang w:val="en-US" w:eastAsia="zh-CN"/>
        </w:rPr>
        <w:t>完成采购验收、年度评审等工作，提供鉴定业务统计数据（如鉴定批次、试剂类型分布、合格通过率等），根据</w:t>
      </w:r>
      <w:r>
        <w:rPr>
          <w:rFonts w:hint="eastAsia" w:ascii="微软雅黑" w:hAnsi="微软雅黑" w:eastAsia="微软雅黑" w:cs="微软雅黑"/>
          <w:color w:val="auto"/>
          <w:sz w:val="21"/>
          <w:szCs w:val="21"/>
          <w:lang w:val="en-US" w:eastAsia="zh-CN"/>
        </w:rPr>
        <w:t>甲方</w:t>
      </w:r>
      <w:r>
        <w:rPr>
          <w:rFonts w:hint="default" w:ascii="微软雅黑" w:hAnsi="微软雅黑" w:eastAsia="微软雅黑" w:cs="微软雅黑"/>
          <w:color w:val="auto"/>
          <w:sz w:val="21"/>
          <w:szCs w:val="21"/>
          <w:lang w:val="en-US" w:eastAsia="zh-CN"/>
        </w:rPr>
        <w:t>需求优化服务流程。</w:t>
      </w:r>
    </w:p>
    <w:p>
      <w:pPr>
        <w:pStyle w:val="2"/>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出具的</w:t>
      </w:r>
      <w:r>
        <w:rPr>
          <w:rFonts w:hint="eastAsia" w:ascii="微软雅黑" w:hAnsi="微软雅黑" w:eastAsia="微软雅黑" w:cs="微软雅黑"/>
          <w:color w:val="auto"/>
          <w:sz w:val="21"/>
          <w:szCs w:val="21"/>
          <w:lang w:val="en-US" w:eastAsia="zh-CN"/>
        </w:rPr>
        <w:t>鉴定报告</w:t>
      </w:r>
      <w:r>
        <w:rPr>
          <w:rFonts w:hint="default" w:ascii="微软雅黑" w:hAnsi="微软雅黑" w:eastAsia="微软雅黑" w:cs="微软雅黑"/>
          <w:color w:val="auto"/>
          <w:sz w:val="21"/>
          <w:szCs w:val="21"/>
          <w:lang w:val="en-US" w:eastAsia="zh-CN"/>
        </w:rPr>
        <w:t>需具备唯一编号、防伪标识及签字盖章齐全，确保在海事申报、港口查验等环节100%通过审核，若因报告不合规导致申报受阻，</w:t>
      </w:r>
      <w:r>
        <w:rPr>
          <w:rFonts w:hint="eastAsia" w:ascii="微软雅黑" w:hAnsi="微软雅黑" w:eastAsia="微软雅黑" w:cs="微软雅黑"/>
          <w:color w:val="auto"/>
          <w:sz w:val="21"/>
          <w:szCs w:val="21"/>
          <w:lang w:val="en-US" w:eastAsia="zh-CN"/>
        </w:rPr>
        <w:t>乙方</w:t>
      </w:r>
      <w:r>
        <w:rPr>
          <w:rFonts w:hint="default" w:ascii="微软雅黑" w:hAnsi="微软雅黑" w:eastAsia="微软雅黑" w:cs="微软雅黑"/>
          <w:color w:val="auto"/>
          <w:sz w:val="21"/>
          <w:szCs w:val="21"/>
          <w:lang w:val="en-US" w:eastAsia="zh-CN"/>
        </w:rPr>
        <w:t>需承担相应责任并免费重新鉴定。</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rPr>
      </w:pPr>
      <w:bookmarkStart w:id="7" w:name="OLE_LINK2"/>
      <w:r>
        <w:rPr>
          <w:rFonts w:hint="eastAsia" w:ascii="微软雅黑" w:hAnsi="微软雅黑" w:eastAsia="微软雅黑" w:cs="微软雅黑"/>
          <w:color w:val="auto"/>
          <w:sz w:val="28"/>
          <w:szCs w:val="28"/>
        </w:rPr>
        <w:t>配备资源要求</w:t>
      </w:r>
    </w:p>
    <w:p>
      <w:pPr>
        <w:pStyle w:val="6"/>
        <w:numPr>
          <w:ilvl w:val="0"/>
          <w:numId w:val="10"/>
        </w:numPr>
        <w:spacing w:line="257" w:lineRule="auto"/>
        <w:ind w:left="0" w:leftChars="0" w:right="121" w:rightChars="55" w:firstLine="420" w:firstLineChars="200"/>
        <w:rPr>
          <w:rFonts w:hint="eastAsia" w:ascii="微软雅黑" w:hAnsi="微软雅黑" w:eastAsia="微软雅黑" w:cs="Times New Roman"/>
          <w:bCs/>
          <w:color w:val="auto"/>
          <w:sz w:val="21"/>
          <w:szCs w:val="21"/>
          <w:highlight w:val="none"/>
          <w:lang w:eastAsia="zh-CN"/>
        </w:rPr>
      </w:pPr>
      <w:r>
        <w:rPr>
          <w:rFonts w:hint="eastAsia" w:ascii="微软雅黑" w:hAnsi="微软雅黑" w:eastAsia="微软雅黑" w:cs="Times New Roman"/>
          <w:bCs/>
          <w:color w:val="auto"/>
          <w:sz w:val="21"/>
          <w:szCs w:val="21"/>
          <w:highlight w:val="none"/>
          <w:lang w:eastAsia="zh-CN"/>
        </w:rPr>
        <w:t>机具要求</w:t>
      </w:r>
    </w:p>
    <w:tbl>
      <w:tblPr>
        <w:tblStyle w:val="13"/>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19"/>
        <w:gridCol w:w="2312"/>
        <w:gridCol w:w="1419"/>
        <w:gridCol w:w="1635"/>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5" w:hRule="atLeast"/>
        </w:trPr>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名称</w:t>
            </w:r>
          </w:p>
        </w:tc>
        <w:tc>
          <w:tcPr>
            <w:tcW w:w="231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规格型号</w:t>
            </w:r>
          </w:p>
        </w:tc>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预估数量</w:t>
            </w:r>
          </w:p>
        </w:tc>
        <w:tc>
          <w:tcPr>
            <w:tcW w:w="163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用途</w:t>
            </w:r>
          </w:p>
        </w:tc>
        <w:tc>
          <w:tcPr>
            <w:tcW w:w="223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补充要求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96" w:hRule="atLeast"/>
        </w:trPr>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包装密封性测试仪</w:t>
            </w:r>
          </w:p>
        </w:tc>
        <w:tc>
          <w:tcPr>
            <w:tcW w:w="231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 GB 190-2009，真空度 0-100kPa 可调，测试精度 ±1kPa</w:t>
            </w:r>
          </w:p>
        </w:tc>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 台</w:t>
            </w:r>
          </w:p>
        </w:tc>
        <w:tc>
          <w:tcPr>
            <w:tcW w:w="163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检测试剂包装密封性能，防范海运泄漏</w:t>
            </w:r>
          </w:p>
        </w:tc>
        <w:tc>
          <w:tcPr>
            <w:tcW w:w="223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每年</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次第三方校准，提供校准证书；故障响应≤24小时，备用设备随时启用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8" w:hRule="atLeast"/>
        </w:trPr>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跌落冲击试验机</w:t>
            </w:r>
          </w:p>
        </w:tc>
        <w:tc>
          <w:tcPr>
            <w:tcW w:w="231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跌落高度 0.5-2.0m 无级可调，最大承载质量≥50kg，支持单 / 双臂跌落</w:t>
            </w:r>
          </w:p>
        </w:tc>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台</w:t>
            </w:r>
          </w:p>
        </w:tc>
        <w:tc>
          <w:tcPr>
            <w:tcW w:w="163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模拟海运跌落场景，测试包装抗冲击能力</w:t>
            </w:r>
          </w:p>
        </w:tc>
        <w:tc>
          <w:tcPr>
            <w:tcW w:w="223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适配≤200L 包装桶、≤500ml 试剂瓶等多规格包装，数据自动记录导出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96" w:hRule="atLeast"/>
        </w:trPr>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抗压强度试验机</w:t>
            </w:r>
          </w:p>
        </w:tc>
        <w:tc>
          <w:tcPr>
            <w:tcW w:w="231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最大试验力≥50kN，试验速度 0.5-50mm/min 可调，精度 ±1%</w:t>
            </w:r>
          </w:p>
        </w:tc>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台</w:t>
            </w:r>
          </w:p>
        </w:tc>
        <w:tc>
          <w:tcPr>
            <w:tcW w:w="163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测试包装堆码抗压性能，符合 IMDG Code 要求</w:t>
            </w:r>
          </w:p>
        </w:tc>
        <w:tc>
          <w:tcPr>
            <w:tcW w:w="223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配备电脑控制系统，可生成抗压曲线报告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7" w:hRule="atLeast"/>
        </w:trPr>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危化品特性检测仪</w:t>
            </w:r>
          </w:p>
        </w:tc>
        <w:tc>
          <w:tcPr>
            <w:tcW w:w="231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可检测腐蚀度、闪点、毒性等级，覆盖 UN1-9 类危险化学品</w:t>
            </w:r>
          </w:p>
        </w:tc>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台</w:t>
            </w:r>
          </w:p>
        </w:tc>
        <w:tc>
          <w:tcPr>
            <w:tcW w:w="163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确认试剂危险类别，匹配对应鉴定标准</w:t>
            </w:r>
          </w:p>
        </w:tc>
        <w:tc>
          <w:tcPr>
            <w:tcW w:w="223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检测周期≤30 分钟 / 样品，数据可追溯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7" w:hRule="atLeast"/>
        </w:trPr>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防腐蚀采样工具套装</w:t>
            </w:r>
          </w:p>
        </w:tc>
        <w:tc>
          <w:tcPr>
            <w:tcW w:w="231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含 PTFE 采样管、哈氏合金采样勺、密封采样罐（100ml/500ml）</w:t>
            </w:r>
          </w:p>
        </w:tc>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 套</w:t>
            </w:r>
          </w:p>
        </w:tc>
        <w:tc>
          <w:tcPr>
            <w:tcW w:w="163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安全采集危险试剂样品，避免污染</w:t>
            </w:r>
          </w:p>
        </w:tc>
        <w:tc>
          <w:tcPr>
            <w:tcW w:w="223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耐酸碱、耐有机溶剂，全套工具可高压灭菌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4" w:hRule="atLeast"/>
        </w:trPr>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便携式数据终端</w:t>
            </w:r>
          </w:p>
        </w:tc>
        <w:tc>
          <w:tcPr>
            <w:tcW w:w="231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支持离线录入、4G/5G 上传，电池续航≥8 小时</w:t>
            </w:r>
          </w:p>
        </w:tc>
        <w:tc>
          <w:tcPr>
            <w:tcW w:w="1419"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 台</w:t>
            </w:r>
          </w:p>
        </w:tc>
        <w:tc>
          <w:tcPr>
            <w:tcW w:w="163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现场记录鉴定数据、同步进度</w:t>
            </w:r>
          </w:p>
        </w:tc>
        <w:tc>
          <w:tcPr>
            <w:tcW w:w="223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预装鉴定流程管理软件，支持样品二维码溯源</w:t>
            </w:r>
          </w:p>
        </w:tc>
      </w:tr>
    </w:tbl>
    <w:p>
      <w:pPr>
        <w:pStyle w:val="6"/>
        <w:numPr>
          <w:ilvl w:val="0"/>
          <w:numId w:val="10"/>
        </w:numPr>
        <w:spacing w:line="257" w:lineRule="auto"/>
        <w:ind w:left="0" w:leftChars="0" w:right="121" w:rightChars="55" w:firstLine="420" w:firstLineChars="200"/>
        <w:rPr>
          <w:rFonts w:hint="eastAsia" w:ascii="微软雅黑" w:hAnsi="微软雅黑" w:eastAsia="微软雅黑" w:cs="Times New Roman"/>
          <w:bCs/>
          <w:color w:val="auto"/>
          <w:sz w:val="21"/>
          <w:szCs w:val="21"/>
          <w:highlight w:val="none"/>
          <w:lang w:eastAsia="zh-CN"/>
        </w:rPr>
      </w:pPr>
      <w:r>
        <w:rPr>
          <w:rFonts w:hint="eastAsia" w:ascii="微软雅黑" w:hAnsi="微软雅黑" w:eastAsia="微软雅黑" w:cs="Times New Roman"/>
          <w:bCs/>
          <w:color w:val="auto"/>
          <w:sz w:val="21"/>
          <w:szCs w:val="21"/>
          <w:highlight w:val="none"/>
          <w:lang w:eastAsia="zh-CN"/>
        </w:rPr>
        <w:t>材料要求</w:t>
      </w:r>
    </w:p>
    <w:tbl>
      <w:tblPr>
        <w:tblStyle w:val="13"/>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51"/>
        <w:gridCol w:w="2285"/>
        <w:gridCol w:w="1424"/>
        <w:gridCol w:w="138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名称</w:t>
            </w:r>
          </w:p>
        </w:tc>
        <w:tc>
          <w:tcPr>
            <w:tcW w:w="2285"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规格型号</w:t>
            </w:r>
          </w:p>
        </w:tc>
        <w:tc>
          <w:tcPr>
            <w:tcW w:w="1424"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预估数量</w:t>
            </w:r>
          </w:p>
        </w:tc>
        <w:tc>
          <w:tcPr>
            <w:tcW w:w="13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用途</w:t>
            </w:r>
          </w:p>
        </w:tc>
        <w:tc>
          <w:tcPr>
            <w:tcW w:w="2438"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补充要求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防腐蚀采样容器</w:t>
            </w:r>
          </w:p>
        </w:tc>
        <w:tc>
          <w:tcPr>
            <w:tcW w:w="2285"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100ml/500ml，耐酸碱、耐有机溶剂，带唯一样品编号</w:t>
            </w:r>
          </w:p>
        </w:tc>
        <w:tc>
          <w:tcPr>
            <w:tcW w:w="1424"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200 个</w:t>
            </w:r>
          </w:p>
        </w:tc>
        <w:tc>
          <w:tcPr>
            <w:tcW w:w="13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存储待测试剂样品</w:t>
            </w:r>
          </w:p>
        </w:tc>
        <w:tc>
          <w:tcPr>
            <w:tcW w:w="2438"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 UN 危险货物包装标准，密封泄漏率≤0.01%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安全防护装备（PPE）</w:t>
            </w:r>
          </w:p>
        </w:tc>
        <w:tc>
          <w:tcPr>
            <w:tcW w:w="2285"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二级防化服（GB 20653-2006）、耐酸碱手套（EN 374-1）、防毒面具（GB 2890-2009）、防冲击护目镜（GB 14866-2006）</w:t>
            </w:r>
          </w:p>
        </w:tc>
        <w:tc>
          <w:tcPr>
            <w:tcW w:w="1424" w:type="dxa"/>
            <w:tcMar>
              <w:top w:w="60" w:type="dxa"/>
              <w:left w:w="120" w:type="dxa"/>
              <w:bottom w:w="30" w:type="dxa"/>
              <w:right w:w="120" w:type="dxa"/>
            </w:tcMar>
            <w:vAlign w:val="center"/>
          </w:tcPr>
          <w:p>
            <w:pPr>
              <w:pStyle w:val="26"/>
              <w:spacing w:line="360" w:lineRule="auto"/>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满足使用要求</w:t>
            </w:r>
          </w:p>
        </w:tc>
        <w:tc>
          <w:tcPr>
            <w:tcW w:w="13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保障操作人员安全</w:t>
            </w:r>
          </w:p>
        </w:tc>
        <w:tc>
          <w:tcPr>
            <w:tcW w:w="2438"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护具使用周期≤1 年，定期检测更换；防毒面具滤毒罐适配常见危化品类型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鉴定报告专用材料</w:t>
            </w:r>
          </w:p>
        </w:tc>
        <w:tc>
          <w:tcPr>
            <w:tcW w:w="2285"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带防伪水印的报告纸（A4）、防伪标识贴纸（可扫码核验）、专用盖章印泥</w:t>
            </w:r>
          </w:p>
        </w:tc>
        <w:tc>
          <w:tcPr>
            <w:tcW w:w="1424" w:type="dxa"/>
            <w:tcMar>
              <w:top w:w="60" w:type="dxa"/>
              <w:left w:w="120" w:type="dxa"/>
              <w:bottom w:w="30" w:type="dxa"/>
              <w:right w:w="120" w:type="dxa"/>
            </w:tcMar>
            <w:vAlign w:val="center"/>
          </w:tcPr>
          <w:p>
            <w:pPr>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满足使用要求</w:t>
            </w:r>
          </w:p>
        </w:tc>
        <w:tc>
          <w:tcPr>
            <w:tcW w:w="13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制作合规有效鉴定报告</w:t>
            </w:r>
          </w:p>
        </w:tc>
        <w:tc>
          <w:tcPr>
            <w:tcW w:w="2438"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报告纸含机构唯一标识，防伪贴纸与报告编号一一对应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危险废物存储容器</w:t>
            </w:r>
          </w:p>
        </w:tc>
        <w:tc>
          <w:tcPr>
            <w:tcW w:w="2285"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20L/50L，密闭防泄漏，贴危废类别标识</w:t>
            </w:r>
          </w:p>
        </w:tc>
        <w:tc>
          <w:tcPr>
            <w:tcW w:w="1424" w:type="dxa"/>
            <w:tcMar>
              <w:top w:w="60" w:type="dxa"/>
              <w:left w:w="120" w:type="dxa"/>
              <w:bottom w:w="30" w:type="dxa"/>
              <w:right w:w="120" w:type="dxa"/>
            </w:tcMar>
            <w:vAlign w:val="center"/>
          </w:tcPr>
          <w:p>
            <w:pPr>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满足使用要求</w:t>
            </w:r>
          </w:p>
        </w:tc>
        <w:tc>
          <w:tcPr>
            <w:tcW w:w="13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临时存储测试后危险样品及废弃物</w:t>
            </w:r>
          </w:p>
        </w:tc>
        <w:tc>
          <w:tcPr>
            <w:tcW w:w="2438"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 GB 18597-2001，耐腐蚀性≥96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泄漏应急处理材料</w:t>
            </w:r>
          </w:p>
        </w:tc>
        <w:tc>
          <w:tcPr>
            <w:tcW w:w="2285"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吸附棉（吸液量≥20 倍自重）、酸碱中和剂（适配常见腐蚀品）、防泄漏托盘（容积≥10L）</w:t>
            </w:r>
          </w:p>
        </w:tc>
        <w:tc>
          <w:tcPr>
            <w:tcW w:w="1424"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满足使用要求</w:t>
            </w:r>
          </w:p>
        </w:tc>
        <w:tc>
          <w:tcPr>
            <w:tcW w:w="13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处理样品泄漏突发情况</w:t>
            </w:r>
          </w:p>
        </w:tc>
        <w:tc>
          <w:tcPr>
            <w:tcW w:w="2438"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吸附棉不产生二次污染，中和剂反应温和无有毒气体</w:t>
            </w:r>
          </w:p>
        </w:tc>
      </w:tr>
    </w:tbl>
    <w:p>
      <w:pPr>
        <w:pStyle w:val="6"/>
        <w:numPr>
          <w:ilvl w:val="0"/>
          <w:numId w:val="10"/>
        </w:numPr>
        <w:spacing w:line="257" w:lineRule="auto"/>
        <w:ind w:left="0" w:leftChars="0" w:right="121" w:rightChars="55" w:firstLine="420" w:firstLineChars="200"/>
        <w:rPr>
          <w:rFonts w:hint="eastAsia" w:ascii="微软雅黑" w:hAnsi="微软雅黑" w:eastAsia="微软雅黑" w:cs="Times New Roman"/>
          <w:bCs/>
          <w:color w:val="auto"/>
          <w:sz w:val="21"/>
          <w:szCs w:val="21"/>
          <w:highlight w:val="none"/>
          <w:lang w:eastAsia="zh-CN"/>
        </w:rPr>
      </w:pPr>
      <w:r>
        <w:rPr>
          <w:rFonts w:hint="eastAsia" w:ascii="微软雅黑" w:hAnsi="微软雅黑" w:eastAsia="微软雅黑" w:cs="Times New Roman"/>
          <w:bCs/>
          <w:color w:val="auto"/>
          <w:sz w:val="21"/>
          <w:szCs w:val="21"/>
          <w:highlight w:val="none"/>
          <w:lang w:eastAsia="zh-CN"/>
        </w:rPr>
        <w:t>人员要求</w:t>
      </w:r>
    </w:p>
    <w:tbl>
      <w:tblPr>
        <w:tblStyle w:val="13"/>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60"/>
        <w:gridCol w:w="1361"/>
        <w:gridCol w:w="2482"/>
        <w:gridCol w:w="218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8" w:hRule="atLeast"/>
        </w:trPr>
        <w:tc>
          <w:tcPr>
            <w:tcW w:w="136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工种</w:t>
            </w:r>
          </w:p>
        </w:tc>
        <w:tc>
          <w:tcPr>
            <w:tcW w:w="1361"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预估数量</w:t>
            </w:r>
          </w:p>
        </w:tc>
        <w:tc>
          <w:tcPr>
            <w:tcW w:w="248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技术能力</w:t>
            </w:r>
          </w:p>
        </w:tc>
        <w:tc>
          <w:tcPr>
            <w:tcW w:w="2187"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持证要求</w:t>
            </w:r>
          </w:p>
        </w:tc>
        <w:tc>
          <w:tcPr>
            <w:tcW w:w="1627"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33" w:hRule="atLeast"/>
        </w:trPr>
        <w:tc>
          <w:tcPr>
            <w:tcW w:w="136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鉴定工程师</w:t>
            </w:r>
          </w:p>
        </w:tc>
        <w:tc>
          <w:tcPr>
            <w:tcW w:w="1361"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 名</w:t>
            </w:r>
          </w:p>
        </w:tc>
        <w:tc>
          <w:tcPr>
            <w:tcW w:w="248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熟练掌握 GB190-2009、IMDG Code，能独立制定鉴定方案、分析测试数据、编制报告</w:t>
            </w:r>
          </w:p>
        </w:tc>
        <w:tc>
          <w:tcPr>
            <w:tcW w:w="2187"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持有CMA检验检测人员资格证、危化品安全操作证</w:t>
            </w:r>
          </w:p>
        </w:tc>
        <w:tc>
          <w:tcPr>
            <w:tcW w:w="1627"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负责试剂危险特性识别、包装性能测试、报告审核签发</w:t>
            </w:r>
          </w:p>
        </w:tc>
      </w:tr>
    </w:tbl>
    <w:p>
      <w:pPr>
        <w:pStyle w:val="6"/>
        <w:numPr>
          <w:ilvl w:val="0"/>
          <w:numId w:val="10"/>
        </w:numPr>
        <w:spacing w:line="257" w:lineRule="auto"/>
        <w:ind w:left="0" w:leftChars="0" w:right="121" w:rightChars="55" w:firstLine="420" w:firstLineChars="200"/>
        <w:rPr>
          <w:rFonts w:hint="eastAsia" w:ascii="微软雅黑" w:hAnsi="微软雅黑" w:eastAsia="微软雅黑" w:cs="Times New Roman"/>
          <w:bCs/>
          <w:color w:val="auto"/>
          <w:sz w:val="21"/>
          <w:szCs w:val="21"/>
          <w:highlight w:val="none"/>
          <w:lang w:eastAsia="zh-CN"/>
        </w:rPr>
      </w:pPr>
      <w:r>
        <w:rPr>
          <w:rFonts w:hint="eastAsia" w:ascii="微软雅黑" w:hAnsi="微软雅黑" w:eastAsia="微软雅黑" w:cs="Times New Roman"/>
          <w:bCs/>
          <w:color w:val="auto"/>
          <w:sz w:val="21"/>
          <w:szCs w:val="21"/>
          <w:highlight w:val="none"/>
          <w:lang w:eastAsia="zh-CN"/>
        </w:rPr>
        <w:t>场地要求</w:t>
      </w:r>
    </w:p>
    <w:tbl>
      <w:tblPr>
        <w:tblStyle w:val="13"/>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55"/>
        <w:gridCol w:w="3682"/>
        <w:gridCol w:w="1532"/>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5" w:hRule="atLeast"/>
        </w:trPr>
        <w:tc>
          <w:tcPr>
            <w:tcW w:w="135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场地类型</w:t>
            </w:r>
          </w:p>
        </w:tc>
        <w:tc>
          <w:tcPr>
            <w:tcW w:w="368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环境与安全要求</w:t>
            </w:r>
          </w:p>
        </w:tc>
        <w:tc>
          <w:tcPr>
            <w:tcW w:w="153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功能用途</w:t>
            </w:r>
          </w:p>
        </w:tc>
        <w:tc>
          <w:tcPr>
            <w:tcW w:w="24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补充要求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135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专业鉴定实验室</w:t>
            </w:r>
          </w:p>
        </w:tc>
        <w:tc>
          <w:tcPr>
            <w:tcW w:w="368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分区设计：样品前处理区、测试区、数据分析区物理隔离；. 环境控制：温度 18-25℃，湿度 40%-60%，通风换气次数≥10 次 / 小时； 安全设施：配备防爆电器、紧急喷淋装置、洗眼器、有毒有害气体检测仪、干粉 + 二氧化碳灭火器、应急疏散通道及标识；. 防腐处理：地面、墙面采用耐酸碱防腐材料，设置防泄漏槽（容积≥0.5m³）</w:t>
            </w:r>
          </w:p>
        </w:tc>
        <w:tc>
          <w:tcPr>
            <w:tcW w:w="153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开展包装性能测试、试剂危险特性分析</w:t>
            </w:r>
          </w:p>
        </w:tc>
        <w:tc>
          <w:tcPr>
            <w:tcW w:w="24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取得 CMA 认证对应的场地资质，符合《检验检测机构资质认定评审准则》；. 远离居民区及明火区域，完成环保、安全部门备案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31" w:hRule="atLeast"/>
        </w:trPr>
        <w:tc>
          <w:tcPr>
            <w:tcW w:w="135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样品存储区</w:t>
            </w:r>
          </w:p>
        </w:tc>
        <w:tc>
          <w:tcPr>
            <w:tcW w:w="368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分类存储：按危化品类别（腐蚀品、易燃液体等）分区存放，设置明显警示标识； 环境控制：温度 0-30℃，避免阳光直射，通风良好；3. 安全防护：配备防爆照明、防泄漏托盘、应急吸附材料，安装视频监控（覆盖全区域）</w:t>
            </w:r>
          </w:p>
        </w:tc>
        <w:tc>
          <w:tcPr>
            <w:tcW w:w="153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临时存储待测试剂样品及测试后剩余样品</w:t>
            </w:r>
          </w:p>
        </w:tc>
        <w:tc>
          <w:tcPr>
            <w:tcW w:w="24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符合《危险化学品安全管理条例》存储要求；&gt;2. 监控保存期≥90 天，配备门禁系统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68" w:hRule="atLeast"/>
        </w:trPr>
        <w:tc>
          <w:tcPr>
            <w:tcW w:w="1355"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应急处置区</w:t>
            </w:r>
          </w:p>
        </w:tc>
        <w:tc>
          <w:tcPr>
            <w:tcW w:w="368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紧邻实验室及样品存储区，设置明显应急标识；. 配备应急救援物资（急救箱、备用防化服、泄漏收集装置、中和剂、应急冲洗设备）；3. 地面做防泄漏、防腐处理</w:t>
            </w:r>
          </w:p>
        </w:tc>
        <w:tc>
          <w:tcPr>
            <w:tcW w:w="153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处理样品泄漏、人员轻微伤害等突发情况</w:t>
            </w:r>
          </w:p>
        </w:tc>
        <w:tc>
          <w:tcPr>
            <w:tcW w:w="24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p>
        </w:tc>
      </w:tr>
      <w:bookmarkEnd w:id="7"/>
    </w:tbl>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服务进度跟踪</w:t>
      </w:r>
    </w:p>
    <w:p>
      <w:pPr>
        <w:pStyle w:val="6"/>
        <w:numPr>
          <w:ilvl w:val="0"/>
          <w:numId w:val="11"/>
        </w:numPr>
        <w:spacing w:line="257" w:lineRule="auto"/>
        <w:ind w:left="0" w:leftChars="0" w:right="121" w:rightChars="55" w:firstLine="420" w:firstLineChars="200"/>
        <w:rPr>
          <w:rFonts w:hint="default" w:ascii="微软雅黑" w:hAnsi="微软雅黑" w:eastAsia="微软雅黑" w:cs="Times New Roman"/>
          <w:bCs/>
          <w:color w:val="auto"/>
          <w:sz w:val="21"/>
          <w:szCs w:val="21"/>
          <w:highlight w:val="none"/>
          <w:lang w:val="en-US" w:eastAsia="zh-CN"/>
        </w:rPr>
      </w:pPr>
      <w:r>
        <w:rPr>
          <w:rFonts w:hint="eastAsia" w:ascii="微软雅黑" w:hAnsi="微软雅黑" w:eastAsia="微软雅黑" w:cs="Times New Roman"/>
          <w:bCs/>
          <w:color w:val="auto"/>
          <w:sz w:val="21"/>
          <w:szCs w:val="21"/>
          <w:highlight w:val="none"/>
          <w:lang w:val="en-US" w:eastAsia="zh-CN"/>
        </w:rPr>
        <w:t>工作界面</w:t>
      </w:r>
    </w:p>
    <w:p>
      <w:pPr>
        <w:pStyle w:val="2"/>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甲方职责</w:t>
      </w:r>
    </w:p>
    <w:tbl>
      <w:tblPr>
        <w:tblStyle w:val="13"/>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00"/>
        <w:gridCol w:w="3480"/>
        <w:gridCol w:w="204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责任类别</w:t>
            </w:r>
          </w:p>
        </w:tc>
        <w:tc>
          <w:tcPr>
            <w:tcW w:w="34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具体职责内容</w:t>
            </w:r>
          </w:p>
        </w:tc>
        <w:tc>
          <w:tcPr>
            <w:tcW w:w="2040" w:type="dxa"/>
            <w:tcMar>
              <w:top w:w="60" w:type="dxa"/>
              <w:left w:w="120" w:type="dxa"/>
              <w:bottom w:w="30" w:type="dxa"/>
              <w:right w:w="120" w:type="dxa"/>
            </w:tcMar>
          </w:tcPr>
          <w:p>
            <w:pPr>
              <w:pStyle w:val="26"/>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对应阶段</w:t>
            </w:r>
          </w:p>
        </w:tc>
        <w:tc>
          <w:tcPr>
            <w:tcW w:w="2085" w:type="dxa"/>
            <w:tcMar>
              <w:top w:w="60" w:type="dxa"/>
              <w:left w:w="120" w:type="dxa"/>
              <w:bottom w:w="30" w:type="dxa"/>
              <w:right w:w="120" w:type="dxa"/>
            </w:tcMar>
          </w:tcPr>
          <w:p>
            <w:pPr>
              <w:pStyle w:val="26"/>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补充要求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样品准备</w:t>
            </w:r>
          </w:p>
        </w:tc>
        <w:tc>
          <w:tcPr>
            <w:tcW w:w="34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负责准备符合鉴定要求的待检样品（含试剂本体及对应运输包装），确保样品状态完好、无泄漏；2. 完整提供样品基础信息，包括但不限于试剂 MSDS、型号规格、危险类别、包装材质 / 尺寸 / 数量、使用场景说明等</w:t>
            </w:r>
          </w:p>
        </w:tc>
        <w:tc>
          <w:tcPr>
            <w:tcW w:w="2040" w:type="dxa"/>
            <w:tcMar>
              <w:top w:w="60" w:type="dxa"/>
              <w:left w:w="120" w:type="dxa"/>
              <w:bottom w:w="30" w:type="dxa"/>
              <w:right w:w="120" w:type="dxa"/>
            </w:tcMar>
          </w:tcPr>
          <w:p>
            <w:pPr>
              <w:pStyle w:val="26"/>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需求受理与资料审核阶段</w:t>
            </w:r>
          </w:p>
        </w:tc>
        <w:tc>
          <w:tcPr>
            <w:tcW w:w="2085" w:type="dxa"/>
            <w:tcMar>
              <w:top w:w="60" w:type="dxa"/>
              <w:left w:w="120" w:type="dxa"/>
              <w:bottom w:w="30" w:type="dxa"/>
              <w:right w:w="120" w:type="dxa"/>
            </w:tcMar>
          </w:tcPr>
          <w:p>
            <w:pPr>
              <w:pStyle w:val="26"/>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样品数量需满足鉴定测试要求（按乙方提前告知的最低样品量准备），信息真实准确无遗漏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样品送寄</w:t>
            </w:r>
          </w:p>
        </w:tc>
        <w:tc>
          <w:tcPr>
            <w:tcW w:w="3480" w:type="dxa"/>
            <w:tcMar>
              <w:top w:w="60" w:type="dxa"/>
              <w:left w:w="120" w:type="dxa"/>
              <w:bottom w:w="30" w:type="dxa"/>
              <w:right w:w="120" w:type="dxa"/>
            </w:tcMar>
            <w:vAlign w:val="center"/>
          </w:tcPr>
          <w:p>
            <w:pPr>
              <w:pStyle w:val="26"/>
              <w:spacing w:line="36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按照乙方明确的接收地点、联系人及时间要求，将待检样品及包装物基础信息送至指定地点和人员；2. 送寄过程需符合危险化学品运输合规要求，确保样品在运输途中安全，避免损坏或泄漏</w:t>
            </w:r>
          </w:p>
        </w:tc>
        <w:tc>
          <w:tcPr>
            <w:tcW w:w="2040" w:type="dxa"/>
            <w:tcMar>
              <w:top w:w="60" w:type="dxa"/>
              <w:left w:w="120" w:type="dxa"/>
              <w:bottom w:w="30" w:type="dxa"/>
              <w:right w:w="120" w:type="dxa"/>
            </w:tcMar>
          </w:tcPr>
          <w:p>
            <w:pPr>
              <w:pStyle w:val="26"/>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样品接收与预处理阶段</w:t>
            </w:r>
          </w:p>
        </w:tc>
        <w:tc>
          <w:tcPr>
            <w:tcW w:w="2085" w:type="dxa"/>
            <w:tcMar>
              <w:top w:w="60" w:type="dxa"/>
              <w:left w:w="120" w:type="dxa"/>
              <w:bottom w:w="30" w:type="dxa"/>
              <w:right w:w="120" w:type="dxa"/>
            </w:tcMar>
          </w:tcPr>
          <w:p>
            <w:pPr>
              <w:pStyle w:val="26"/>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送寄前需提前 24 小时告知乙方预计送达时间，便于乙方做好接收准备</w:t>
            </w:r>
          </w:p>
        </w:tc>
      </w:tr>
    </w:tbl>
    <w:p>
      <w:pPr>
        <w:pStyle w:val="2"/>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firstLine="420" w:firstLineChars="200"/>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乙方职责</w:t>
      </w:r>
    </w:p>
    <w:tbl>
      <w:tblPr>
        <w:tblStyle w:val="13"/>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23"/>
        <w:gridCol w:w="3650"/>
        <w:gridCol w:w="1892"/>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8" w:hRule="atLeast"/>
        </w:trPr>
        <w:tc>
          <w:tcPr>
            <w:tcW w:w="142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责任类别</w:t>
            </w:r>
          </w:p>
        </w:tc>
        <w:tc>
          <w:tcPr>
            <w:tcW w:w="36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具体职责内容</w:t>
            </w:r>
          </w:p>
        </w:tc>
        <w:tc>
          <w:tcPr>
            <w:tcW w:w="189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对应阶段</w:t>
            </w:r>
          </w:p>
        </w:tc>
        <w:tc>
          <w:tcPr>
            <w:tcW w:w="207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补充要求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95" w:hRule="atLeast"/>
        </w:trPr>
        <w:tc>
          <w:tcPr>
            <w:tcW w:w="142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信息复核与沟通</w:t>
            </w:r>
          </w:p>
        </w:tc>
        <w:tc>
          <w:tcPr>
            <w:tcW w:w="36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依据采购订单及甲方提供的基础信息，对接收的样品及包装物进行逐项复核（包括样品型号、包装规格、危险特性标注等）；&gt;2. 若发现样品与信息存在异常差异（如型号不符、包装破损、信息缺失等），需在样品接收后 8 小时内主动与甲方代表沟通，明确差异情况及处理方案</w:t>
            </w:r>
          </w:p>
        </w:tc>
        <w:tc>
          <w:tcPr>
            <w:tcW w:w="189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样品接收与预处理阶段</w:t>
            </w:r>
          </w:p>
        </w:tc>
        <w:tc>
          <w:tcPr>
            <w:tcW w:w="207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沟通记录需形成书面凭证（如邮件、工作联络单），双方确认后存档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47" w:hRule="atLeast"/>
        </w:trPr>
        <w:tc>
          <w:tcPr>
            <w:tcW w:w="142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检测鉴定与报告出具</w:t>
            </w:r>
          </w:p>
        </w:tc>
        <w:tc>
          <w:tcPr>
            <w:tcW w:w="36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 严格按照既定鉴定标准、阶段性时限要求，开展样品检测及包装使用鉴定工作；2. 鉴定完成后，按时出具《危险货物运输包装使用鉴定报告》，同步提供电子扫描件（加密发送）及纸质版（按甲方要求送达）</w:t>
            </w:r>
          </w:p>
        </w:tc>
        <w:tc>
          <w:tcPr>
            <w:tcW w:w="189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鉴定测试实施阶段、报告编制与交付阶段</w:t>
            </w:r>
          </w:p>
        </w:tc>
        <w:tc>
          <w:tcPr>
            <w:tcW w:w="207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报告内容需完整覆盖鉴定项目、测试数据、结论等核心信息，符合海事申报要求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4" w:hRule="atLeast"/>
        </w:trPr>
        <w:tc>
          <w:tcPr>
            <w:tcW w:w="142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进度逾期反馈</w:t>
            </w:r>
          </w:p>
        </w:tc>
        <w:tc>
          <w:tcPr>
            <w:tcW w:w="36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若因不可抗力、样品特性异常等非甲方原因导致鉴定进度逾期，需在预计逾期前 24 小时向甲方代表提交书面反馈意见，说明逾期原因、预计延期时长及补救措施</w:t>
            </w:r>
          </w:p>
        </w:tc>
        <w:tc>
          <w:tcPr>
            <w:tcW w:w="189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鉴定测试实施阶段</w:t>
            </w:r>
          </w:p>
        </w:tc>
        <w:tc>
          <w:tcPr>
            <w:tcW w:w="207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书面反馈需加盖乙方公章，通过正式渠道送达（如邮寄、专人送达），并留存送达凭证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79" w:hRule="atLeast"/>
        </w:trPr>
        <w:tc>
          <w:tcPr>
            <w:tcW w:w="142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工作建议提供</w:t>
            </w:r>
          </w:p>
        </w:tc>
        <w:tc>
          <w:tcPr>
            <w:tcW w:w="3650"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在鉴定过程中，结合样品危险特性、包装适配性、海运合规要求等，适时向甲方代表提出针对性工作建议（如包装优化方案、样品存储注意事项、申报流程简化建议等）</w:t>
            </w:r>
          </w:p>
        </w:tc>
        <w:tc>
          <w:tcPr>
            <w:tcW w:w="1892"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鉴定测试实施阶段、后续支持阶段</w:t>
            </w:r>
          </w:p>
        </w:tc>
        <w:tc>
          <w:tcPr>
            <w:tcW w:w="2073" w:type="dxa"/>
            <w:tcMar>
              <w:top w:w="60" w:type="dxa"/>
              <w:left w:w="120" w:type="dxa"/>
              <w:bottom w:w="30" w:type="dxa"/>
              <w:right w:w="120" w:type="dxa"/>
            </w:tcMar>
            <w:vAlign w:val="cente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建议需具备实操性，可采用口头沟通 + 书面建议函（重要建议）的形式，沟通记录存档备查</w:t>
            </w:r>
          </w:p>
        </w:tc>
      </w:tr>
    </w:tbl>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服务及验收标准</w:t>
      </w:r>
    </w:p>
    <w:p>
      <w:pPr>
        <w:pStyle w:val="6"/>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right="121" w:rightChars="55" w:firstLine="42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验收形式与阶段要求</w:t>
      </w:r>
    </w:p>
    <w:p>
      <w:pPr>
        <w:pStyle w:val="2"/>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firstLine="420" w:firstLineChars="200"/>
        <w:textAlignment w:val="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val="en-US" w:eastAsia="zh-CN"/>
        </w:rPr>
        <w:t>验收形式：</w:t>
      </w:r>
      <w:r>
        <w:rPr>
          <w:rFonts w:hint="eastAsia" w:ascii="微软雅黑" w:hAnsi="微软雅黑" w:eastAsia="微软雅黑" w:cs="微软雅黑"/>
          <w:b w:val="0"/>
          <w:bCs w:val="0"/>
          <w:color w:val="auto"/>
          <w:sz w:val="21"/>
          <w:szCs w:val="21"/>
        </w:rPr>
        <w:t xml:space="preserve">采用 “单个鉴定项目分阶段验收 + </w:t>
      </w:r>
      <w:r>
        <w:rPr>
          <w:rFonts w:hint="eastAsia" w:ascii="微软雅黑" w:hAnsi="微软雅黑" w:eastAsia="微软雅黑" w:cs="微软雅黑"/>
          <w:b w:val="0"/>
          <w:bCs w:val="0"/>
          <w:color w:val="auto"/>
          <w:sz w:val="21"/>
          <w:szCs w:val="21"/>
          <w:lang w:val="en-US" w:eastAsia="zh-CN"/>
        </w:rPr>
        <w:t>订单</w:t>
      </w:r>
      <w:r>
        <w:rPr>
          <w:rFonts w:hint="eastAsia" w:ascii="微软雅黑" w:hAnsi="微软雅黑" w:eastAsia="微软雅黑" w:cs="微软雅黑"/>
          <w:b w:val="0"/>
          <w:bCs w:val="0"/>
          <w:color w:val="auto"/>
          <w:sz w:val="21"/>
          <w:szCs w:val="21"/>
        </w:rPr>
        <w:t>” 相结合的形式。</w:t>
      </w:r>
    </w:p>
    <w:p>
      <w:pPr>
        <w:pStyle w:val="6"/>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right="121" w:rightChars="55" w:firstLine="42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验收标准：满足时限要求</w:t>
      </w:r>
    </w:p>
    <w:p>
      <w:pPr>
        <w:pStyle w:val="6"/>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right="121" w:rightChars="55" w:firstLine="42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完工资料</w:t>
      </w:r>
    </w:p>
    <w:tbl>
      <w:tblPr>
        <w:tblStyle w:val="13"/>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933"/>
        <w:gridCol w:w="2933"/>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trPr>
        <w:tc>
          <w:tcPr>
            <w:tcW w:w="2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资料类别</w:t>
            </w:r>
          </w:p>
        </w:tc>
        <w:tc>
          <w:tcPr>
            <w:tcW w:w="2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具体资料清单</w:t>
            </w:r>
          </w:p>
        </w:tc>
        <w:tc>
          <w:tcPr>
            <w:tcW w:w="2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交付要求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4" w:hRule="atLeast"/>
        </w:trPr>
        <w:tc>
          <w:tcPr>
            <w:tcW w:w="2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核心成果资料</w:t>
            </w:r>
          </w:p>
        </w:tc>
        <w:tc>
          <w:tcPr>
            <w:tcW w:w="2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《危险货物运输包装使用鉴定报告》：纸质版（不少于 2 份，加盖乙方公章）+ 电子版（加密 PDF 格式）；</w:t>
            </w:r>
          </w:p>
        </w:tc>
        <w:tc>
          <w:tcPr>
            <w:tcW w:w="2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pStyle w:val="26"/>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报告需含唯一编号、测试数据、签字盖章，电子版加密发送至甲方指定邮箱</w:t>
            </w:r>
          </w:p>
        </w:tc>
      </w:tr>
    </w:tbl>
    <w:p>
      <w:pPr>
        <w:pStyle w:val="6"/>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right="121" w:rightChars="55" w:firstLine="42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验收合格：单个项目验收通过后，甲方出具《单项目验收确认单》；年度总体验收通过后，出具《年度服务验收合格证书》，作为服务费全额支付的依据。</w:t>
      </w:r>
    </w:p>
    <w:p>
      <w:pPr>
        <w:pStyle w:val="6"/>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right="121" w:rightChars="55" w:firstLine="42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验收不合格：乙方需在甲方指定时限内（最长不超过 5 个工作日）整改，整改后重新申请验收，直至合格；若因报告不合规、数据错误等核心问题导致验收不合格，乙方需免费重新鉴定。</w:t>
      </w:r>
    </w:p>
    <w:p>
      <w:pPr>
        <w:pStyle w:val="6"/>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right="121" w:rightChars="55" w:firstLine="42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资料归档：所有完工资料经甲方验收合格后，乙方需按要求完成电子 + 纸质归档，纸质资料留存甲方 1 份，乙方留存 1 份（存档期不少于 3年）。</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质量保证​</w:t>
      </w:r>
    </w:p>
    <w:p>
      <w:pPr>
        <w:pStyle w:val="6"/>
        <w:numPr>
          <w:ilvl w:val="0"/>
          <w:numId w:val="15"/>
        </w:numPr>
        <w:spacing w:line="257" w:lineRule="auto"/>
        <w:ind w:left="0" w:leftChars="0" w:right="121" w:rightChars="55" w:firstLine="420" w:firstLineChars="20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报告修订与补正：若因甲方提供资料变更、海事监管要求调整等原因需修订报告，1 个工作日内完成修订并重新出具；报告存在打印错误、信息遗漏等问题，免费无条件补正。​</w:t>
      </w:r>
    </w:p>
    <w:p>
      <w:pPr>
        <w:pStyle w:val="6"/>
        <w:numPr>
          <w:ilvl w:val="0"/>
          <w:numId w:val="15"/>
        </w:numPr>
        <w:spacing w:line="257" w:lineRule="auto"/>
        <w:ind w:left="0" w:leftChars="0" w:right="121" w:rightChars="55" w:firstLine="420" w:firstLineChars="20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技术咨询服务：全年提供免费技术咨询，解答试剂包装选型、鉴定标准解读、出海申报流程等相关问题，协助甲方优化包装方案，降低合规风险。​</w:t>
      </w:r>
    </w:p>
    <w:p>
      <w:pPr>
        <w:pStyle w:val="6"/>
        <w:numPr>
          <w:ilvl w:val="0"/>
          <w:numId w:val="15"/>
        </w:numPr>
        <w:spacing w:line="257" w:lineRule="auto"/>
        <w:ind w:left="0" w:leftChars="0" w:right="121" w:rightChars="55" w:firstLine="420" w:firstLineChars="20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应急支持：针对出海申报过程中出现的鉴定报告相关突发问题（如港口查验时对报告有疑问、需补充说明材料等），2 小时内响应，提供专业技术支持及书面说明材料，协助甲方顺利完成申报。​</w:t>
      </w:r>
    </w:p>
    <w:p>
      <w:pPr>
        <w:pStyle w:val="6"/>
        <w:numPr>
          <w:ilvl w:val="0"/>
          <w:numId w:val="15"/>
        </w:numPr>
        <w:spacing w:line="257" w:lineRule="auto"/>
        <w:ind w:left="0" w:leftChars="0" w:right="121" w:rightChars="55" w:firstLine="420" w:firstLineChars="20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质量承诺：建立鉴定结果追溯机制，所有测试数据、鉴定流程均存档备查（存档期不少于3年），若因鉴定结果错误导致甲方遭受损失，承担相应赔偿责任。</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其他要求</w:t>
      </w:r>
    </w:p>
    <w:p>
      <w:pPr>
        <w:pStyle w:val="6"/>
        <w:numPr>
          <w:ilvl w:val="0"/>
          <w:numId w:val="16"/>
        </w:numPr>
        <w:spacing w:line="257" w:lineRule="auto"/>
        <w:ind w:left="0" w:leftChars="0" w:right="121" w:rightChars="55" w:firstLine="420" w:firstLineChars="2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技术联系人：林军/夏力</w:t>
      </w:r>
    </w:p>
    <w:bookmarkEnd w:id="5"/>
    <w:bookmarkEnd w:id="6"/>
    <w:p>
      <w:pPr>
        <w:pStyle w:val="6"/>
        <w:numPr>
          <w:ilvl w:val="0"/>
          <w:numId w:val="16"/>
        </w:numPr>
        <w:spacing w:line="257" w:lineRule="auto"/>
        <w:ind w:left="0" w:leftChars="0" w:right="121" w:rightChars="55" w:firstLine="420" w:firstLineChars="2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付款方式：银行电汇</w:t>
      </w:r>
    </w:p>
    <w:p>
      <w:pPr>
        <w:pStyle w:val="6"/>
        <w:numPr>
          <w:ilvl w:val="0"/>
          <w:numId w:val="16"/>
        </w:numPr>
        <w:spacing w:line="257" w:lineRule="auto"/>
        <w:ind w:left="0" w:leftChars="0" w:right="121" w:rightChars="55" w:firstLine="420" w:firstLineChars="2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付款周期要求：接到发票45天内付款</w:t>
      </w:r>
    </w:p>
    <w:p>
      <w:pPr>
        <w:pStyle w:val="6"/>
        <w:numPr>
          <w:ilvl w:val="0"/>
          <w:numId w:val="16"/>
        </w:numPr>
        <w:spacing w:line="257" w:lineRule="auto"/>
        <w:ind w:left="0" w:leftChars="0" w:right="121" w:rightChars="55" w:firstLine="420" w:firstLineChars="2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结算方式：订单结算</w:t>
      </w:r>
    </w:p>
    <w:p>
      <w:pPr>
        <w:pStyle w:val="6"/>
        <w:numPr>
          <w:ilvl w:val="0"/>
          <w:numId w:val="16"/>
        </w:numPr>
        <w:spacing w:line="257" w:lineRule="auto"/>
        <w:ind w:left="0" w:leftChars="0" w:right="121" w:rightChars="55" w:firstLine="420" w:firstLineChars="2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甲方执行方：中海油能源发展股份有限公司工程技术分公司及其所属单位</w:t>
      </w:r>
    </w:p>
    <w:p>
      <w:pPr>
        <w:pStyle w:val="6"/>
        <w:spacing w:line="257" w:lineRule="auto"/>
        <w:ind w:right="121" w:rightChars="55" w:firstLine="199" w:firstLineChars="95"/>
        <w:rPr>
          <w:rFonts w:hint="eastAsia" w:ascii="微软雅黑" w:hAnsi="微软雅黑" w:eastAsia="微软雅黑" w:cs="微软雅黑"/>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6CBC4"/>
    <w:multiLevelType w:val="singleLevel"/>
    <w:tmpl w:val="8276CBC4"/>
    <w:lvl w:ilvl="0" w:tentative="0">
      <w:start w:val="1"/>
      <w:numFmt w:val="decimal"/>
      <w:suff w:val="nothing"/>
      <w:lvlText w:val="%1．"/>
      <w:lvlJc w:val="left"/>
      <w:pPr>
        <w:ind w:left="0" w:firstLine="400"/>
      </w:pPr>
      <w:rPr>
        <w:rFonts w:hint="default"/>
      </w:rPr>
    </w:lvl>
  </w:abstractNum>
  <w:abstractNum w:abstractNumId="1">
    <w:nsid w:val="856343CD"/>
    <w:multiLevelType w:val="singleLevel"/>
    <w:tmpl w:val="856343CD"/>
    <w:lvl w:ilvl="0" w:tentative="0">
      <w:start w:val="1"/>
      <w:numFmt w:val="decimal"/>
      <w:suff w:val="nothing"/>
      <w:lvlText w:val="%1）"/>
      <w:lvlJc w:val="left"/>
    </w:lvl>
  </w:abstractNum>
  <w:abstractNum w:abstractNumId="2">
    <w:nsid w:val="BC4A9AEE"/>
    <w:multiLevelType w:val="singleLevel"/>
    <w:tmpl w:val="BC4A9AEE"/>
    <w:lvl w:ilvl="0" w:tentative="0">
      <w:start w:val="1"/>
      <w:numFmt w:val="decimal"/>
      <w:suff w:val="nothing"/>
      <w:lvlText w:val="%1．"/>
      <w:lvlJc w:val="left"/>
      <w:pPr>
        <w:ind w:left="0" w:firstLine="400"/>
      </w:pPr>
      <w:rPr>
        <w:rFonts w:hint="default"/>
      </w:rPr>
    </w:lvl>
  </w:abstractNum>
  <w:abstractNum w:abstractNumId="3">
    <w:nsid w:val="CC38BEB8"/>
    <w:multiLevelType w:val="singleLevel"/>
    <w:tmpl w:val="CC38BEB8"/>
    <w:lvl w:ilvl="0" w:tentative="0">
      <w:start w:val="1"/>
      <w:numFmt w:val="decimal"/>
      <w:suff w:val="nothing"/>
      <w:lvlText w:val="%1．"/>
      <w:lvlJc w:val="left"/>
      <w:pPr>
        <w:ind w:left="0" w:firstLine="400"/>
      </w:pPr>
      <w:rPr>
        <w:rFonts w:hint="default"/>
      </w:rPr>
    </w:lvl>
  </w:abstractNum>
  <w:abstractNum w:abstractNumId="4">
    <w:nsid w:val="D7E8AED8"/>
    <w:multiLevelType w:val="singleLevel"/>
    <w:tmpl w:val="D7E8AED8"/>
    <w:lvl w:ilvl="0" w:tentative="0">
      <w:start w:val="1"/>
      <w:numFmt w:val="decimal"/>
      <w:suff w:val="nothing"/>
      <w:lvlText w:val="%1．"/>
      <w:lvlJc w:val="left"/>
      <w:pPr>
        <w:ind w:left="0" w:firstLine="400"/>
      </w:pPr>
      <w:rPr>
        <w:rFonts w:hint="default"/>
      </w:rPr>
    </w:lvl>
  </w:abstractNum>
  <w:abstractNum w:abstractNumId="5">
    <w:nsid w:val="ECA78025"/>
    <w:multiLevelType w:val="singleLevel"/>
    <w:tmpl w:val="ECA78025"/>
    <w:lvl w:ilvl="0" w:tentative="0">
      <w:start w:val="1"/>
      <w:numFmt w:val="decimal"/>
      <w:suff w:val="nothing"/>
      <w:lvlText w:val="%1）"/>
      <w:lvlJc w:val="left"/>
    </w:lvl>
  </w:abstractNum>
  <w:abstractNum w:abstractNumId="6">
    <w:nsid w:val="EDE69615"/>
    <w:multiLevelType w:val="singleLevel"/>
    <w:tmpl w:val="EDE69615"/>
    <w:lvl w:ilvl="0" w:tentative="0">
      <w:start w:val="1"/>
      <w:numFmt w:val="decimal"/>
      <w:suff w:val="nothing"/>
      <w:lvlText w:val="%1）"/>
      <w:lvlJc w:val="left"/>
    </w:lvl>
  </w:abstractNum>
  <w:abstractNum w:abstractNumId="7">
    <w:nsid w:val="FF8D2F9E"/>
    <w:multiLevelType w:val="singleLevel"/>
    <w:tmpl w:val="FF8D2F9E"/>
    <w:lvl w:ilvl="0" w:tentative="0">
      <w:start w:val="1"/>
      <w:numFmt w:val="chineseCounting"/>
      <w:suff w:val="nothing"/>
      <w:lvlText w:val="%1、"/>
      <w:lvlJc w:val="left"/>
      <w:pPr>
        <w:ind w:left="0" w:firstLine="420"/>
      </w:pPr>
      <w:rPr>
        <w:rFonts w:hint="eastAsia"/>
      </w:rPr>
    </w:lvl>
  </w:abstractNum>
  <w:abstractNum w:abstractNumId="8">
    <w:nsid w:val="1263EF29"/>
    <w:multiLevelType w:val="singleLevel"/>
    <w:tmpl w:val="1263EF29"/>
    <w:lvl w:ilvl="0" w:tentative="0">
      <w:start w:val="1"/>
      <w:numFmt w:val="decimal"/>
      <w:suff w:val="nothing"/>
      <w:lvlText w:val="%1）"/>
      <w:lvlJc w:val="left"/>
    </w:lvl>
  </w:abstractNum>
  <w:abstractNum w:abstractNumId="9">
    <w:nsid w:val="38A10954"/>
    <w:multiLevelType w:val="singleLevel"/>
    <w:tmpl w:val="38A10954"/>
    <w:lvl w:ilvl="0" w:tentative="0">
      <w:start w:val="1"/>
      <w:numFmt w:val="decimal"/>
      <w:suff w:val="nothing"/>
      <w:lvlText w:val="%1）"/>
      <w:lvlJc w:val="left"/>
    </w:lvl>
  </w:abstractNum>
  <w:abstractNum w:abstractNumId="10">
    <w:nsid w:val="4106BFD1"/>
    <w:multiLevelType w:val="singleLevel"/>
    <w:tmpl w:val="4106BFD1"/>
    <w:lvl w:ilvl="0" w:tentative="0">
      <w:start w:val="1"/>
      <w:numFmt w:val="decimal"/>
      <w:suff w:val="nothing"/>
      <w:lvlText w:val="%1）"/>
      <w:lvlJc w:val="left"/>
    </w:lvl>
  </w:abstractNum>
  <w:abstractNum w:abstractNumId="11">
    <w:nsid w:val="4B523F88"/>
    <w:multiLevelType w:val="singleLevel"/>
    <w:tmpl w:val="4B523F88"/>
    <w:lvl w:ilvl="0" w:tentative="0">
      <w:start w:val="1"/>
      <w:numFmt w:val="decimal"/>
      <w:suff w:val="nothing"/>
      <w:lvlText w:val="%1．"/>
      <w:lvlJc w:val="left"/>
      <w:pPr>
        <w:ind w:left="0" w:firstLine="400"/>
      </w:pPr>
      <w:rPr>
        <w:rFonts w:hint="default"/>
      </w:rPr>
    </w:lvl>
  </w:abstractNum>
  <w:abstractNum w:abstractNumId="12">
    <w:nsid w:val="56847F95"/>
    <w:multiLevelType w:val="singleLevel"/>
    <w:tmpl w:val="56847F95"/>
    <w:lvl w:ilvl="0" w:tentative="0">
      <w:start w:val="1"/>
      <w:numFmt w:val="decimal"/>
      <w:suff w:val="nothing"/>
      <w:lvlText w:val="%1．"/>
      <w:lvlJc w:val="left"/>
      <w:pPr>
        <w:ind w:left="0" w:firstLine="400"/>
      </w:pPr>
      <w:rPr>
        <w:rFonts w:hint="default"/>
      </w:rPr>
    </w:lvl>
  </w:abstractNum>
  <w:abstractNum w:abstractNumId="13">
    <w:nsid w:val="5FEE3623"/>
    <w:multiLevelType w:val="singleLevel"/>
    <w:tmpl w:val="5FEE3623"/>
    <w:lvl w:ilvl="0" w:tentative="0">
      <w:start w:val="1"/>
      <w:numFmt w:val="decimal"/>
      <w:suff w:val="nothing"/>
      <w:lvlText w:val="%1）"/>
      <w:lvlJc w:val="left"/>
    </w:lvl>
  </w:abstractNum>
  <w:abstractNum w:abstractNumId="14">
    <w:nsid w:val="758195D1"/>
    <w:multiLevelType w:val="singleLevel"/>
    <w:tmpl w:val="758195D1"/>
    <w:lvl w:ilvl="0" w:tentative="0">
      <w:start w:val="1"/>
      <w:numFmt w:val="decimal"/>
      <w:suff w:val="nothing"/>
      <w:lvlText w:val="%1．"/>
      <w:lvlJc w:val="left"/>
      <w:pPr>
        <w:ind w:left="0" w:firstLine="400"/>
      </w:pPr>
      <w:rPr>
        <w:rFonts w:hint="default"/>
      </w:rPr>
    </w:lvl>
  </w:abstractNum>
  <w:abstractNum w:abstractNumId="15">
    <w:nsid w:val="79131692"/>
    <w:multiLevelType w:val="singleLevel"/>
    <w:tmpl w:val="79131692"/>
    <w:lvl w:ilvl="0" w:tentative="0">
      <w:start w:val="1"/>
      <w:numFmt w:val="decimal"/>
      <w:suff w:val="nothing"/>
      <w:lvlText w:val="%1．"/>
      <w:lvlJc w:val="left"/>
      <w:pPr>
        <w:ind w:left="0" w:firstLine="400"/>
      </w:pPr>
      <w:rPr>
        <w:rFonts w:hint="default"/>
      </w:rPr>
    </w:lvl>
  </w:abstractNum>
  <w:num w:numId="1">
    <w:abstractNumId w:val="7"/>
  </w:num>
  <w:num w:numId="2">
    <w:abstractNumId w:val="2"/>
  </w:num>
  <w:num w:numId="3">
    <w:abstractNumId w:val="8"/>
  </w:num>
  <w:num w:numId="4">
    <w:abstractNumId w:val="15"/>
  </w:num>
  <w:num w:numId="5">
    <w:abstractNumId w:val="14"/>
  </w:num>
  <w:num w:numId="6">
    <w:abstractNumId w:val="6"/>
  </w:num>
  <w:num w:numId="7">
    <w:abstractNumId w:val="5"/>
  </w:num>
  <w:num w:numId="8">
    <w:abstractNumId w:val="1"/>
  </w:num>
  <w:num w:numId="9">
    <w:abstractNumId w:val="9"/>
  </w:num>
  <w:num w:numId="10">
    <w:abstractNumId w:val="0"/>
  </w:num>
  <w:num w:numId="11">
    <w:abstractNumId w:val="4"/>
  </w:num>
  <w:num w:numId="12">
    <w:abstractNumId w:val="13"/>
  </w:num>
  <w:num w:numId="13">
    <w:abstractNumId w:val="11"/>
  </w:num>
  <w:num w:numId="14">
    <w:abstractNumId w:val="10"/>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CF"/>
    <w:rsid w:val="0000526C"/>
    <w:rsid w:val="0001752F"/>
    <w:rsid w:val="00033D12"/>
    <w:rsid w:val="00045459"/>
    <w:rsid w:val="00047B98"/>
    <w:rsid w:val="00070B36"/>
    <w:rsid w:val="00075BBC"/>
    <w:rsid w:val="00083812"/>
    <w:rsid w:val="00083AA6"/>
    <w:rsid w:val="000C3CDF"/>
    <w:rsid w:val="000C5C3D"/>
    <w:rsid w:val="000D43A5"/>
    <w:rsid w:val="000E715E"/>
    <w:rsid w:val="000F22F4"/>
    <w:rsid w:val="001106E7"/>
    <w:rsid w:val="00110ABB"/>
    <w:rsid w:val="00131B01"/>
    <w:rsid w:val="0013310E"/>
    <w:rsid w:val="00135A83"/>
    <w:rsid w:val="00141E19"/>
    <w:rsid w:val="00162386"/>
    <w:rsid w:val="001644CF"/>
    <w:rsid w:val="001901CC"/>
    <w:rsid w:val="0019182D"/>
    <w:rsid w:val="00196CD0"/>
    <w:rsid w:val="001A08DA"/>
    <w:rsid w:val="001B3054"/>
    <w:rsid w:val="001B7530"/>
    <w:rsid w:val="001C198A"/>
    <w:rsid w:val="001C2578"/>
    <w:rsid w:val="001E3D66"/>
    <w:rsid w:val="001E6941"/>
    <w:rsid w:val="001F7272"/>
    <w:rsid w:val="00203E5B"/>
    <w:rsid w:val="002217C9"/>
    <w:rsid w:val="00223799"/>
    <w:rsid w:val="0025403A"/>
    <w:rsid w:val="00261654"/>
    <w:rsid w:val="00272D7C"/>
    <w:rsid w:val="0027479C"/>
    <w:rsid w:val="002979DA"/>
    <w:rsid w:val="002B756F"/>
    <w:rsid w:val="002C5F2F"/>
    <w:rsid w:val="002F1208"/>
    <w:rsid w:val="00306CFD"/>
    <w:rsid w:val="00321766"/>
    <w:rsid w:val="00340327"/>
    <w:rsid w:val="00350436"/>
    <w:rsid w:val="00364AB2"/>
    <w:rsid w:val="00366463"/>
    <w:rsid w:val="00366D3C"/>
    <w:rsid w:val="0037724F"/>
    <w:rsid w:val="00387BA6"/>
    <w:rsid w:val="00391315"/>
    <w:rsid w:val="003A1F21"/>
    <w:rsid w:val="003F3035"/>
    <w:rsid w:val="0041634A"/>
    <w:rsid w:val="00420B3A"/>
    <w:rsid w:val="00444667"/>
    <w:rsid w:val="00454387"/>
    <w:rsid w:val="0045758F"/>
    <w:rsid w:val="0048245E"/>
    <w:rsid w:val="0048636E"/>
    <w:rsid w:val="004A3192"/>
    <w:rsid w:val="004B3660"/>
    <w:rsid w:val="004C0AA2"/>
    <w:rsid w:val="004C3EED"/>
    <w:rsid w:val="004D3218"/>
    <w:rsid w:val="004D4117"/>
    <w:rsid w:val="004D6DD4"/>
    <w:rsid w:val="00504168"/>
    <w:rsid w:val="005051FD"/>
    <w:rsid w:val="00515027"/>
    <w:rsid w:val="00522284"/>
    <w:rsid w:val="00542A30"/>
    <w:rsid w:val="005560B6"/>
    <w:rsid w:val="00564A74"/>
    <w:rsid w:val="00571B42"/>
    <w:rsid w:val="0059669E"/>
    <w:rsid w:val="005A0DDD"/>
    <w:rsid w:val="005A67BF"/>
    <w:rsid w:val="006032F9"/>
    <w:rsid w:val="00614F55"/>
    <w:rsid w:val="00636732"/>
    <w:rsid w:val="0065293C"/>
    <w:rsid w:val="006A5246"/>
    <w:rsid w:val="006B3F80"/>
    <w:rsid w:val="006C2FB3"/>
    <w:rsid w:val="006E102E"/>
    <w:rsid w:val="007065E5"/>
    <w:rsid w:val="00707A1F"/>
    <w:rsid w:val="00723A5A"/>
    <w:rsid w:val="00732942"/>
    <w:rsid w:val="00732D74"/>
    <w:rsid w:val="00736856"/>
    <w:rsid w:val="00743B69"/>
    <w:rsid w:val="00745742"/>
    <w:rsid w:val="00755889"/>
    <w:rsid w:val="00767EF2"/>
    <w:rsid w:val="00792125"/>
    <w:rsid w:val="00794CD0"/>
    <w:rsid w:val="007B51FE"/>
    <w:rsid w:val="007B67ED"/>
    <w:rsid w:val="007B7080"/>
    <w:rsid w:val="007C355C"/>
    <w:rsid w:val="007E114E"/>
    <w:rsid w:val="007F0143"/>
    <w:rsid w:val="008050C4"/>
    <w:rsid w:val="008051CA"/>
    <w:rsid w:val="00805CAC"/>
    <w:rsid w:val="0081241A"/>
    <w:rsid w:val="0083133A"/>
    <w:rsid w:val="00834BD4"/>
    <w:rsid w:val="008430E7"/>
    <w:rsid w:val="00864CB0"/>
    <w:rsid w:val="008705AF"/>
    <w:rsid w:val="008951A5"/>
    <w:rsid w:val="008A4C3C"/>
    <w:rsid w:val="008B00BC"/>
    <w:rsid w:val="008B555D"/>
    <w:rsid w:val="008E0B53"/>
    <w:rsid w:val="008F2C8B"/>
    <w:rsid w:val="008F4A09"/>
    <w:rsid w:val="00913B1B"/>
    <w:rsid w:val="00943E99"/>
    <w:rsid w:val="009533F7"/>
    <w:rsid w:val="00953977"/>
    <w:rsid w:val="00956B13"/>
    <w:rsid w:val="009656AB"/>
    <w:rsid w:val="0096715C"/>
    <w:rsid w:val="00971F69"/>
    <w:rsid w:val="009761F9"/>
    <w:rsid w:val="00976598"/>
    <w:rsid w:val="00982E26"/>
    <w:rsid w:val="0098483D"/>
    <w:rsid w:val="00992AE5"/>
    <w:rsid w:val="009A2D10"/>
    <w:rsid w:val="009A6A67"/>
    <w:rsid w:val="009B442A"/>
    <w:rsid w:val="009C2FD5"/>
    <w:rsid w:val="009E1E9E"/>
    <w:rsid w:val="009E5D84"/>
    <w:rsid w:val="009F0AC5"/>
    <w:rsid w:val="009F2325"/>
    <w:rsid w:val="009F2475"/>
    <w:rsid w:val="009F389B"/>
    <w:rsid w:val="00A05A0A"/>
    <w:rsid w:val="00A25339"/>
    <w:rsid w:val="00A4207D"/>
    <w:rsid w:val="00A510D3"/>
    <w:rsid w:val="00A668D3"/>
    <w:rsid w:val="00A677C2"/>
    <w:rsid w:val="00A8494A"/>
    <w:rsid w:val="00AA6411"/>
    <w:rsid w:val="00AB5566"/>
    <w:rsid w:val="00AC3D94"/>
    <w:rsid w:val="00AF7529"/>
    <w:rsid w:val="00B1226F"/>
    <w:rsid w:val="00B15418"/>
    <w:rsid w:val="00B251F3"/>
    <w:rsid w:val="00B34B78"/>
    <w:rsid w:val="00B46A5C"/>
    <w:rsid w:val="00B47D5D"/>
    <w:rsid w:val="00B6751B"/>
    <w:rsid w:val="00B71963"/>
    <w:rsid w:val="00B82355"/>
    <w:rsid w:val="00BA3578"/>
    <w:rsid w:val="00BC2863"/>
    <w:rsid w:val="00BC2D38"/>
    <w:rsid w:val="00BC7D29"/>
    <w:rsid w:val="00BE4343"/>
    <w:rsid w:val="00BE4441"/>
    <w:rsid w:val="00C1416A"/>
    <w:rsid w:val="00C35F83"/>
    <w:rsid w:val="00C41D92"/>
    <w:rsid w:val="00C440DB"/>
    <w:rsid w:val="00C64EE5"/>
    <w:rsid w:val="00C65DEA"/>
    <w:rsid w:val="00C82BD8"/>
    <w:rsid w:val="00C8477C"/>
    <w:rsid w:val="00C855ED"/>
    <w:rsid w:val="00C93163"/>
    <w:rsid w:val="00C964DA"/>
    <w:rsid w:val="00CA554A"/>
    <w:rsid w:val="00CB4728"/>
    <w:rsid w:val="00CD0ACB"/>
    <w:rsid w:val="00CF7FFB"/>
    <w:rsid w:val="00D04202"/>
    <w:rsid w:val="00D056BE"/>
    <w:rsid w:val="00D14389"/>
    <w:rsid w:val="00D17E4F"/>
    <w:rsid w:val="00D22312"/>
    <w:rsid w:val="00D26EAC"/>
    <w:rsid w:val="00D42B37"/>
    <w:rsid w:val="00D47E06"/>
    <w:rsid w:val="00D51BC5"/>
    <w:rsid w:val="00D5335A"/>
    <w:rsid w:val="00D54EBF"/>
    <w:rsid w:val="00D619F4"/>
    <w:rsid w:val="00D73224"/>
    <w:rsid w:val="00D75ECA"/>
    <w:rsid w:val="00D771A5"/>
    <w:rsid w:val="00D87CC5"/>
    <w:rsid w:val="00DB1041"/>
    <w:rsid w:val="00DB482C"/>
    <w:rsid w:val="00DD112D"/>
    <w:rsid w:val="00DD495F"/>
    <w:rsid w:val="00DD70B2"/>
    <w:rsid w:val="00DD75E0"/>
    <w:rsid w:val="00DF149B"/>
    <w:rsid w:val="00E04F14"/>
    <w:rsid w:val="00E1713D"/>
    <w:rsid w:val="00E33D40"/>
    <w:rsid w:val="00E4560D"/>
    <w:rsid w:val="00E53CCA"/>
    <w:rsid w:val="00E55E75"/>
    <w:rsid w:val="00E73BCB"/>
    <w:rsid w:val="00E93769"/>
    <w:rsid w:val="00EB06E3"/>
    <w:rsid w:val="00ED6021"/>
    <w:rsid w:val="00EE0F96"/>
    <w:rsid w:val="00EE5FF8"/>
    <w:rsid w:val="00EE6773"/>
    <w:rsid w:val="00EE6793"/>
    <w:rsid w:val="00EF2178"/>
    <w:rsid w:val="00F01131"/>
    <w:rsid w:val="00F02779"/>
    <w:rsid w:val="00F03B8F"/>
    <w:rsid w:val="00F324EB"/>
    <w:rsid w:val="00F34132"/>
    <w:rsid w:val="00F44F9A"/>
    <w:rsid w:val="00F61AF9"/>
    <w:rsid w:val="00F71D60"/>
    <w:rsid w:val="00F72D05"/>
    <w:rsid w:val="00F732D7"/>
    <w:rsid w:val="00F74C52"/>
    <w:rsid w:val="00F84DC2"/>
    <w:rsid w:val="00F949C5"/>
    <w:rsid w:val="00FA4DD9"/>
    <w:rsid w:val="00FC443B"/>
    <w:rsid w:val="00FD21F4"/>
    <w:rsid w:val="00FD6C04"/>
    <w:rsid w:val="00FE306D"/>
    <w:rsid w:val="00FF3567"/>
    <w:rsid w:val="02B40332"/>
    <w:rsid w:val="04507F7D"/>
    <w:rsid w:val="0C0822F2"/>
    <w:rsid w:val="110F1949"/>
    <w:rsid w:val="124B019B"/>
    <w:rsid w:val="125D1CE3"/>
    <w:rsid w:val="12C80684"/>
    <w:rsid w:val="14947A6B"/>
    <w:rsid w:val="15A17B29"/>
    <w:rsid w:val="19205F96"/>
    <w:rsid w:val="19DD1DC5"/>
    <w:rsid w:val="1C2E2294"/>
    <w:rsid w:val="1ED66768"/>
    <w:rsid w:val="211246D1"/>
    <w:rsid w:val="26544835"/>
    <w:rsid w:val="26FB7182"/>
    <w:rsid w:val="280D7F8D"/>
    <w:rsid w:val="29557DA7"/>
    <w:rsid w:val="2E4A2619"/>
    <w:rsid w:val="327A60B8"/>
    <w:rsid w:val="32DF36FA"/>
    <w:rsid w:val="370F3FB0"/>
    <w:rsid w:val="3DA12A1B"/>
    <w:rsid w:val="3FA03BAA"/>
    <w:rsid w:val="3FFE36BD"/>
    <w:rsid w:val="44A67A17"/>
    <w:rsid w:val="4E0F4E9D"/>
    <w:rsid w:val="50352575"/>
    <w:rsid w:val="50CF4058"/>
    <w:rsid w:val="526B2619"/>
    <w:rsid w:val="52D368AC"/>
    <w:rsid w:val="59D303CE"/>
    <w:rsid w:val="5A8B6180"/>
    <w:rsid w:val="5C497E24"/>
    <w:rsid w:val="5E100C25"/>
    <w:rsid w:val="5E7D1309"/>
    <w:rsid w:val="624C6BD2"/>
    <w:rsid w:val="65D2007B"/>
    <w:rsid w:val="67E27EFC"/>
    <w:rsid w:val="697D5B43"/>
    <w:rsid w:val="6A1D1C76"/>
    <w:rsid w:val="6E661D1D"/>
    <w:rsid w:val="6EBA161E"/>
    <w:rsid w:val="73464817"/>
    <w:rsid w:val="75810B2E"/>
    <w:rsid w:val="76FF1A02"/>
    <w:rsid w:val="78254199"/>
    <w:rsid w:val="78F65B3F"/>
    <w:rsid w:val="79CB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3">
    <w:name w:val="heading 2"/>
    <w:basedOn w:val="1"/>
    <w:next w:val="1"/>
    <w:link w:val="16"/>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4">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5">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unhideWhenUsed/>
    <w:qFormat/>
    <w:uiPriority w:val="99"/>
    <w:pPr>
      <w:tabs>
        <w:tab w:val="center" w:pos="4153"/>
        <w:tab w:val="right" w:pos="8306"/>
      </w:tabs>
      <w:snapToGrid w:val="0"/>
    </w:pPr>
    <w:rPr>
      <w:sz w:val="18"/>
      <w:szCs w:val="18"/>
    </w:rPr>
  </w:style>
  <w:style w:type="paragraph" w:styleId="6">
    <w:name w:val="Body Text"/>
    <w:basedOn w:val="1"/>
    <w:link w:val="18"/>
    <w:qFormat/>
    <w:uiPriority w:val="1"/>
    <w:pPr>
      <w:ind w:firstLine="200" w:firstLineChars="200"/>
      <w:jc w:val="both"/>
    </w:pPr>
    <w:rPr>
      <w:rFonts w:ascii="Microsoft YaHei UI" w:hAnsi="Microsoft YaHei UI" w:eastAsia="Microsoft YaHei UI"/>
      <w:sz w:val="21"/>
      <w:szCs w:val="21"/>
    </w:rPr>
  </w:style>
  <w:style w:type="paragraph" w:styleId="7">
    <w:name w:val="toc 3"/>
    <w:basedOn w:val="1"/>
    <w:next w:val="1"/>
    <w:unhideWhenUsed/>
    <w:qFormat/>
    <w:uiPriority w:val="39"/>
    <w:pPr>
      <w:widowControl/>
      <w:spacing w:after="100" w:line="259" w:lineRule="auto"/>
      <w:ind w:left="440"/>
    </w:pPr>
    <w:rPr>
      <w:rFonts w:cs="Times New Roman"/>
      <w:lang w:eastAsia="zh-CN"/>
    </w:rPr>
  </w:style>
  <w:style w:type="paragraph" w:styleId="8">
    <w:name w:val="Balloon Text"/>
    <w:basedOn w:val="1"/>
    <w:link w:val="25"/>
    <w:semiHidden/>
    <w:unhideWhenUsed/>
    <w:qFormat/>
    <w:uiPriority w:val="99"/>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pPr>
    <w:rPr>
      <w:rFonts w:cs="Times New Roman"/>
      <w:lang w:eastAsia="zh-CN"/>
    </w:rPr>
  </w:style>
  <w:style w:type="paragraph" w:styleId="11">
    <w:name w:val="toc 2"/>
    <w:basedOn w:val="1"/>
    <w:next w:val="1"/>
    <w:semiHidden/>
    <w:unhideWhenUsed/>
    <w:qFormat/>
    <w:uiPriority w:val="39"/>
    <w:pPr>
      <w:ind w:left="420" w:leftChars="200"/>
    </w:pPr>
  </w:style>
  <w:style w:type="paragraph" w:styleId="12">
    <w:name w:val="Normal (Web)"/>
    <w:basedOn w:val="1"/>
    <w:unhideWhenUsed/>
    <w:qFormat/>
    <w:uiPriority w:val="99"/>
    <w:pPr>
      <w:widowControl/>
    </w:pPr>
    <w:rPr>
      <w:rFonts w:ascii="宋体" w:hAnsi="宋体" w:eastAsia="宋体" w:cs="宋体"/>
      <w:sz w:val="24"/>
      <w:szCs w:val="24"/>
      <w:lang w:eastAsia="zh-C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2 字符"/>
    <w:basedOn w:val="15"/>
    <w:link w:val="3"/>
    <w:qFormat/>
    <w:uiPriority w:val="1"/>
    <w:rPr>
      <w:rFonts w:ascii="Microsoft YaHei UI" w:hAnsi="Microsoft YaHei UI" w:eastAsia="Microsoft YaHei UI"/>
      <w:spacing w:val="2"/>
      <w:kern w:val="0"/>
      <w:sz w:val="32"/>
      <w:szCs w:val="32"/>
    </w:rPr>
  </w:style>
  <w:style w:type="table" w:customStyle="1" w:styleId="17">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18">
    <w:name w:val="正文文本 字符"/>
    <w:basedOn w:val="15"/>
    <w:link w:val="6"/>
    <w:qFormat/>
    <w:uiPriority w:val="1"/>
    <w:rPr>
      <w:rFonts w:ascii="Microsoft YaHei UI" w:hAnsi="Microsoft YaHei UI" w:eastAsia="Microsoft YaHei UI"/>
      <w:kern w:val="0"/>
      <w:szCs w:val="21"/>
      <w:lang w:eastAsia="en-US"/>
    </w:rPr>
  </w:style>
  <w:style w:type="paragraph" w:customStyle="1" w:styleId="1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Table Paragraph"/>
    <w:basedOn w:val="1"/>
    <w:qFormat/>
    <w:uiPriority w:val="1"/>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2">
    <w:name w:val="页眉 字符"/>
    <w:basedOn w:val="15"/>
    <w:link w:val="9"/>
    <w:qFormat/>
    <w:uiPriority w:val="99"/>
    <w:rPr>
      <w:kern w:val="0"/>
      <w:sz w:val="18"/>
      <w:szCs w:val="18"/>
      <w:lang w:eastAsia="en-US"/>
    </w:rPr>
  </w:style>
  <w:style w:type="character" w:customStyle="1" w:styleId="23">
    <w:name w:val="页脚 字符"/>
    <w:basedOn w:val="15"/>
    <w:link w:val="2"/>
    <w:qFormat/>
    <w:uiPriority w:val="99"/>
    <w:rPr>
      <w:kern w:val="0"/>
      <w:sz w:val="18"/>
      <w:szCs w:val="18"/>
      <w:lang w:eastAsia="en-US"/>
    </w:rPr>
  </w:style>
  <w:style w:type="paragraph" w:styleId="24">
    <w:name w:val="List Paragraph"/>
    <w:basedOn w:val="1"/>
    <w:qFormat/>
    <w:uiPriority w:val="34"/>
    <w:pPr>
      <w:ind w:firstLine="420" w:firstLineChars="200"/>
      <w:jc w:val="both"/>
    </w:pPr>
    <w:rPr>
      <w:kern w:val="2"/>
      <w:sz w:val="21"/>
      <w:lang w:eastAsia="zh-CN"/>
    </w:rPr>
  </w:style>
  <w:style w:type="character" w:customStyle="1" w:styleId="25">
    <w:name w:val="批注框文本 字符"/>
    <w:basedOn w:val="15"/>
    <w:link w:val="8"/>
    <w:semiHidden/>
    <w:qFormat/>
    <w:uiPriority w:val="99"/>
    <w:rPr>
      <w:kern w:val="0"/>
      <w:sz w:val="18"/>
      <w:szCs w:val="18"/>
      <w:lang w:eastAsia="en-US"/>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4611</Words>
  <Characters>4886</Characters>
  <Lines>16</Lines>
  <Paragraphs>4</Paragraphs>
  <TotalTime>3</TotalTime>
  <ScaleCrop>false</ScaleCrop>
  <LinksUpToDate>false</LinksUpToDate>
  <CharactersWithSpaces>5116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2021-04-20T04:12:00Z</dcterms:created>
  <dc:creator>王琴</dc:creator>
  <cp:lastModifiedBy>admin</cp:lastModifiedBy>
  <cp:lastPrinted>2022-10-12T06:49:00Z</cp:lastPrinted>
  <dcterms:modified xsi:type="dcterms:W3CDTF">2026-04-04T16:08:11Z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1D1FE236526B45C1863ED90A4D2F81A4</vt:lpwstr>
  </property>
  <property fmtid="{D5CDD505-2E9C-101B-9397-08002B2CF9AE}" pid="4" name="KSOTemplateDocerSaveRecord">
    <vt:lpwstr>eyJoZGlkIjoiYjJjYmRjNTZhNmU4NDZiNzgzNTVmNzU5NWU5YzExZWIiLCJ1c2VySWQiOiI0ODE0Nzk3MzQifQ==</vt:lpwstr>
  </property>
</Properties>
</file>