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仿宋" w:hAnsi="仿宋" w:eastAsia="仿宋" w:cs="仿宋"/>
          <w:lang w:eastAsia="zh-CN"/>
        </w:rPr>
      </w:pPr>
      <w:r>
        <w:rPr>
          <w:rFonts w:hint="eastAsia" w:ascii="仿宋" w:hAnsi="仿宋" w:cs="仿宋"/>
          <w:highlight w:val="none"/>
        </w:rPr>
        <w:t>项目说明及要求</w:t>
      </w:r>
    </w:p>
    <w:p>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仿宋" w:hAnsi="仿宋" w:eastAsia="仿宋" w:cs="仿宋"/>
          <w:b/>
          <w:bCs/>
          <w:sz w:val="24"/>
        </w:rPr>
      </w:pPr>
      <w:r>
        <w:rPr>
          <w:rFonts w:hint="eastAsia" w:ascii="仿宋" w:hAnsi="仿宋" w:eastAsia="仿宋" w:cs="仿宋"/>
          <w:b/>
          <w:bCs/>
          <w:sz w:val="24"/>
        </w:rPr>
        <w:t xml:space="preserve">一、项目说明 </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本项目为齐鲁工业大学历城校区(山东轻工业学院金融职业学院)电力增容工程。历城校区位于济南市桑园路58号，校区占地面积70.57亩，校区建筑面积共47448平方米，其中学生公寓四栋，建筑面积10742平方米，房间347间（1#公寓119间、2#公寓119间、3#公寓69间、4#公寓40间）。</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为改善校区办学条件，满足基本条件改善的电力需求，拟对校区进行电力增容，设计新增后总容量为1600KVA、新建配套配电柜、部分楼宇增敷电缆、公寓室内线路改造等。</w:t>
      </w:r>
    </w:p>
    <w:p>
      <w:pPr>
        <w:keepNext w:val="0"/>
        <w:keepLines w:val="0"/>
        <w:widowControl w:val="0"/>
        <w:suppressLineNumbers w:val="0"/>
        <w:spacing w:before="0" w:beforeAutospacing="0" w:after="0" w:afterAutospacing="0" w:line="360" w:lineRule="auto"/>
        <w:ind w:left="0" w:right="0" w:firstLine="0" w:firstLineChars="0"/>
        <w:jc w:val="both"/>
        <w:rPr>
          <w:rFonts w:hint="default" w:ascii="仿宋" w:hAnsi="仿宋" w:eastAsia="仿宋" w:cs="仿宋"/>
          <w:b/>
          <w:bCs/>
          <w:color w:val="auto"/>
          <w:kern w:val="2"/>
          <w:sz w:val="24"/>
          <w:szCs w:val="24"/>
          <w:highlight w:val="none"/>
          <w:lang w:val="en-US"/>
        </w:rPr>
      </w:pPr>
      <w:r>
        <w:rPr>
          <w:rFonts w:hint="eastAsia" w:ascii="仿宋" w:hAnsi="仿宋" w:eastAsia="仿宋" w:cs="仿宋"/>
          <w:b/>
          <w:bCs/>
          <w:color w:val="auto"/>
          <w:sz w:val="24"/>
          <w:highlight w:val="none"/>
        </w:rPr>
        <w:t>二、</w:t>
      </w:r>
      <w:r>
        <w:rPr>
          <w:rFonts w:hint="eastAsia" w:ascii="仿宋" w:hAnsi="仿宋" w:eastAsia="仿宋" w:cs="仿宋"/>
          <w:b/>
          <w:bCs/>
          <w:color w:val="auto"/>
          <w:kern w:val="2"/>
          <w:sz w:val="24"/>
          <w:szCs w:val="24"/>
          <w:highlight w:val="none"/>
          <w:lang w:val="en-US" w:eastAsia="zh-CN" w:bidi="ar"/>
        </w:rPr>
        <w:t>报价要求</w:t>
      </w:r>
    </w:p>
    <w:p>
      <w:pPr>
        <w:keepNext w:val="0"/>
        <w:keepLines w:val="0"/>
        <w:widowControl w:val="0"/>
        <w:suppressLineNumbers w:val="0"/>
        <w:spacing w:before="0" w:beforeAutospacing="0" w:after="0" w:afterAutospacing="0" w:line="360" w:lineRule="auto"/>
        <w:ind w:left="0" w:right="0" w:firstLine="480" w:firstLineChars="200"/>
        <w:jc w:val="both"/>
        <w:rPr>
          <w:rFonts w:hint="default" w:ascii="仿宋_GB2312" w:hAnsi="Calibri" w:eastAsia="仿宋_GB2312" w:cs="仿宋_GB2312"/>
          <w:bCs/>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1.</w:t>
      </w:r>
      <w:r>
        <w:rPr>
          <w:rFonts w:hint="default" w:ascii="仿宋_GB2312" w:hAnsi="Times New Roman" w:eastAsia="仿宋_GB2312" w:cs="仿宋_GB2312"/>
          <w:bCs/>
          <w:color w:val="auto"/>
          <w:kern w:val="2"/>
          <w:sz w:val="24"/>
          <w:szCs w:val="24"/>
          <w:highlight w:val="none"/>
          <w:lang w:val="en-US" w:eastAsia="zh-CN" w:bidi="ar"/>
        </w:rPr>
        <w:t>供应商根据工程量清单报价。本项目为</w:t>
      </w:r>
      <w:r>
        <w:rPr>
          <w:rFonts w:hint="eastAsia" w:ascii="仿宋" w:hAnsi="仿宋" w:eastAsia="仿宋" w:cs="仿宋"/>
          <w:bCs/>
          <w:kern w:val="0"/>
          <w:sz w:val="24"/>
          <w:highlight w:val="none"/>
          <w:lang w:bidi="ar"/>
        </w:rPr>
        <w:t>全费用综合单价报价</w:t>
      </w:r>
      <w:r>
        <w:rPr>
          <w:rFonts w:hint="eastAsia" w:ascii="仿宋" w:hAnsi="仿宋" w:eastAsia="仿宋" w:cs="仿宋"/>
          <w:bCs/>
          <w:kern w:val="0"/>
          <w:sz w:val="24"/>
          <w:highlight w:val="none"/>
          <w:lang w:val="en-US" w:eastAsia="zh-CN" w:bidi="ar"/>
        </w:rPr>
        <w:t>(其中配电室电气采用综合单价报价）</w:t>
      </w:r>
      <w:r>
        <w:rPr>
          <w:rFonts w:hint="eastAsia" w:ascii="仿宋_GB2312" w:hAnsi="Times New Roman" w:eastAsia="仿宋_GB2312" w:cs="仿宋_GB2312"/>
          <w:bCs/>
          <w:color w:val="auto"/>
          <w:kern w:val="2"/>
          <w:sz w:val="24"/>
          <w:szCs w:val="24"/>
          <w:highlight w:val="none"/>
          <w:lang w:val="en-US" w:eastAsia="zh-CN" w:bidi="ar"/>
        </w:rPr>
        <w:t>，工程量据实结算。</w:t>
      </w:r>
      <w:r>
        <w:rPr>
          <w:rFonts w:hint="eastAsia" w:ascii="仿宋_GB2312" w:hAnsi="Times New Roman" w:eastAsia="仿宋_GB2312" w:cs="仿宋_GB2312"/>
          <w:b/>
          <w:bCs w:val="0"/>
          <w:color w:val="auto"/>
          <w:kern w:val="2"/>
          <w:sz w:val="24"/>
          <w:szCs w:val="24"/>
          <w:highlight w:val="none"/>
          <w:lang w:val="en-US" w:eastAsia="zh-CN" w:bidi="ar"/>
        </w:rPr>
        <w:t>工程范围包括工程量清单与图纸中的全部内容</w:t>
      </w:r>
      <w:r>
        <w:rPr>
          <w:rFonts w:hint="eastAsia" w:ascii="仿宋_GB2312" w:hAnsi="Times New Roman" w:eastAsia="仿宋_GB2312" w:cs="仿宋_GB2312"/>
          <w:bCs/>
          <w:color w:val="auto"/>
          <w:kern w:val="2"/>
          <w:sz w:val="24"/>
          <w:szCs w:val="24"/>
          <w:highlight w:val="none"/>
          <w:lang w:val="en-US" w:eastAsia="zh-CN" w:bidi="ar"/>
        </w:rPr>
        <w:t>。</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 xml:space="preserve">2.本项目施工时必须做好安全、文明施工，不得扰民；自行负责处理协调周边关系。施工现场，必须对其他场地和道路进行保护,破坏部分负责恢复原样。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供应商应充分考虑扰民及周边关系的协调问题，费用自行承担，报价时充分考虑此类费用。施工中严格按照当地环保、环卫、渣土办等规定施工，否则自行承担各种损失和费用。施工中所涉及到的土方、建筑垃圾项目，本次采购均不指明运输距离和取弃土点，均由施工单位根据现场情况结合济南市有关规定自行考虑，费用自理。</w:t>
      </w:r>
    </w:p>
    <w:p>
      <w:pPr>
        <w:pStyle w:val="2"/>
        <w:jc w:val="both"/>
        <w:rPr>
          <w:rFonts w:hint="default" w:ascii="宋体" w:hAnsi="宋体"/>
          <w:szCs w:val="21"/>
          <w:highlight w:val="yellow"/>
        </w:rPr>
      </w:pPr>
      <w:r>
        <w:rPr>
          <w:rFonts w:hint="eastAsia" w:ascii="仿宋" w:hAnsi="仿宋" w:cs="仿宋"/>
          <w:color w:val="auto"/>
          <w:kern w:val="2"/>
          <w:sz w:val="24"/>
          <w:szCs w:val="24"/>
          <w:highlight w:val="none"/>
          <w:lang w:val="en-US" w:eastAsia="zh-CN" w:bidi="ar"/>
        </w:rPr>
        <w:t>三、技术要求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1"/>
        <w:rPr>
          <w:rFonts w:hint="default" w:ascii="仿宋" w:hAnsi="仿宋" w:eastAsia="仿宋" w:cs="仿宋"/>
          <w:color w:val="auto"/>
          <w:kern w:val="2"/>
          <w:sz w:val="24"/>
          <w:szCs w:val="24"/>
          <w:highlight w:val="none"/>
          <w:lang w:val="en-US" w:eastAsia="zh-CN" w:bidi="ar"/>
        </w:rPr>
      </w:pPr>
      <w:bookmarkStart w:id="0" w:name="_Toc256000092"/>
      <w:r>
        <w:rPr>
          <w:rFonts w:hint="eastAsia" w:ascii="仿宋" w:hAnsi="仿宋" w:eastAsia="仿宋" w:cs="仿宋"/>
          <w:color w:val="auto"/>
          <w:kern w:val="2"/>
          <w:sz w:val="24"/>
          <w:szCs w:val="24"/>
          <w:highlight w:val="none"/>
          <w:lang w:val="en-US" w:eastAsia="zh-CN" w:bidi="ar"/>
        </w:rPr>
        <w:t>（一）</w:t>
      </w:r>
      <w:bookmarkEnd w:id="0"/>
      <w:r>
        <w:rPr>
          <w:rFonts w:hint="eastAsia" w:ascii="仿宋" w:hAnsi="仿宋" w:eastAsia="仿宋" w:cs="仿宋"/>
          <w:color w:val="auto"/>
          <w:kern w:val="2"/>
          <w:sz w:val="24"/>
          <w:szCs w:val="24"/>
          <w:highlight w:val="none"/>
          <w:lang w:val="en-US" w:eastAsia="zh-CN" w:bidi="ar"/>
        </w:rPr>
        <w:t>室外SF6气体绝缘环网开关柜(共箱式)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本项目10kV配电装置采用10kV 室外SF6气体绝缘环网开关柜(共箱式)。</w:t>
      </w:r>
      <w:bookmarkStart w:id="1" w:name="_Toc256000102"/>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bookmarkStart w:id="2" w:name="_Toc380612193"/>
      <w:bookmarkStart w:id="3" w:name="_Toc455226364"/>
      <w:r>
        <w:rPr>
          <w:rFonts w:hint="eastAsia" w:ascii="仿宋" w:hAnsi="仿宋" w:eastAsia="仿宋" w:cs="仿宋"/>
          <w:color w:val="auto"/>
          <w:kern w:val="2"/>
          <w:sz w:val="24"/>
          <w:szCs w:val="24"/>
          <w:highlight w:val="none"/>
          <w:lang w:val="en-US" w:eastAsia="zh-CN" w:bidi="ar"/>
        </w:rPr>
        <w:t>1.技术参数和性能要求</w:t>
      </w:r>
      <w:bookmarkEnd w:id="2"/>
      <w:bookmarkEnd w:id="3"/>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1.1通用要求</w:t>
      </w:r>
      <w:r>
        <w:rPr>
          <w:rFonts w:hint="eastAsia" w:ascii="仿宋" w:hAnsi="仿宋" w:eastAsia="仿宋" w:cs="仿宋"/>
          <w:color w:val="auto"/>
          <w:kern w:val="2"/>
          <w:sz w:val="24"/>
          <w:szCs w:val="24"/>
          <w:highlight w:val="none"/>
          <w:lang w:val="en-US" w:eastAsia="zh-CN" w:bidi="ar"/>
        </w:rPr>
        <w:tab/>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1.1.1环网柜的设计应保证设备运维、检修试验、带电状态的确定、连接电缆的故障定位等操作能安全进行。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1.1.2 环网柜的设计应能在允许的基础误差和热胀冷缩的热效应下不致影响设备所保证的性能，并满足与其他设备连接的要求，与结构相同的所有可移开部件和元件在机械和电气上应有互换性。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1.1.3 环网柜应配置带电显示器（带二次核相孔、按回路配置），应能满足验电、核相的要求。高压带电显示装置的显示器接线端子对地和端子之间应能承受2000V/1min的工频耐压。传感器电压抽取端及引线对地应能承受2000V/1min的工频耐压。感应式带电显示装置，其传感器要求与带电部位保持125mm以上空气净距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1.1.4环网柜按图纸要求配置具有电缆故障报警和电缆终端测温功能的电缆故障指示器，应具有相间故障指示功能及接地故障指示功能；应具备自动、手动复归，自检和低电量报警等功能，防护等级不低于IP43；对于小电流接地系统，应能通过检测注入信号或检测暂态信号等手段，实现单相接地故障区间的定位指示应；具有远方传输接点和远方复位控制接点，在未接到复位指令时故障指示器闪光指示须大于24h。</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1.1.5实施配电自动化的环网单元，操作电源可采用直流48V、110V或交流220V，并配置自动化接口。进出线柜可装设3只电流互感器（自产零序）或2只电流互感器、1只零序电流互感器，并设置二次小室。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 环网柜中各组件及其支持绝缘件爬电比距应满足瓷质材料不小于18mm/kV，有机材料不小于20mm/kV。</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1.1.7对最小空气间隙的要求：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a）单纯以空气作为绝缘介质的环网柜，相间和相对地的最小空气间隙应满足：12kV相间和相对地125mm，带电体至门155mm。</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b）以空气和绝缘隔板组成的复合绝缘作为绝缘介质的环网柜，绝缘隔板应选用耐电弧、耐高温、阻燃、低毒、不吸潮且具有优良机械强度和电气绝缘性能的材料。带电体与绝缘板之间的最小空气间隙应满足：对12kV设备应不小于30mm。</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c）环网柜内部导体采用的热缩绝缘材料老化寿命应与环网柜设备使用寿命一致，并提供试验报告。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1.1.8环网柜设备的泄压通道应设置明显的警示标志。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1.1.9环网柜的柜体应采用≥2mm的敷铝锌钢板弯折后拼接而成，柜门关闭时防护等级应不低于GB 4208中IP41，柜门打开时防护等级不低于IP2X, 电动操作机构及二次回路封闭装置的防护等级不应低于IP55。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1.1.10环网柜体颜色采用RAL7035。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1.2 充气柜技术参数应符合DL/T 728、DL/T791的规定，并满足以下条件：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1.2.1采用SF6气体绝缘的环网单元每个独立的SF6气室应配置气体压力指示装置。采用SF6气体作为灭弧介质的环网单元应装设SF6气体监测设备（包括密度继电器，压力表），且该设备应设有阀门，以便在不拆卸的情况下进行校验。SF6气体压力监测装置应配置状态信号输出接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1.2.2采用气体灭弧的开关设备应具有低气压分合闸闭锁功能。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1.2.3制造厂应明确规定充气柜中使用的SF6气体的质量、密度，并为用户提供更新气体和保持要求的气体质量的必要说明。SF6气体应符合GB/T 12022的规定。在气体交货之前，应向招标人提交新气试验的合格证书，所用气体应经招标人复检合格后方可使用。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1.2.4充气柜应设置用来连接气体处理装置和其它设备的合适连接点（阀门），并可对环网单元进行补气。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1.2.5气箱箱体应采用厚度≥2.0mm的S304不锈钢板或优质碳钢弯折后焊接而成，气箱防护等级应满足GB 4208规定的IP43要求。SF6气体作为灭弧介质的气箱应能耐受正常工作和瞬态故障的压力，而不破损。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 功能隔室技术要求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1.3.1 环网柜应具有高压室和电缆室、控制仪表室与自动化单元等金属封闭的独立隔室。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1.3.2 各隔室结构设计上应满足正常使用条件和限制隔室内部电弧影响的要求，并能防止因本身缺陷、异常使用条件或误操作导致的电弧伤及工作人员，能限制电弧的燃烧范围，环网柜应有防止人为造成内部故障的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1.3.3 环网柜相序按面对环网柜从左至右排列为A、B、C，从上到下排列为A、B、C，从后到前排列为A、B、C。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1.3.4 环网柜应具有防污秽、防凝露功能，二次仪表小室内宜安装温湿度控制器及加热装置。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1.3.5 环网柜电缆室、控制仪表室和自动化单元室宜设置照明设备。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1.3.6 环网柜电缆室应设观察窗，便于对电缆终端进行红外测温。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1.3.7 环网柜电缆室电缆连接头至柜体底部的高度为650mm，并应满足设计额定电流下的最大线径电缆的应力要求。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1.3.7 柜内进出线处应设置电缆固定支架和抱箍。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1.4 开关设备技术要求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1.4.1 环网柜柜内开关设备可选用负荷开关、断路器、负荷开关－熔断器组合电器及隔离开关等，各设备的功能和性能应满足GB 1984、GB 1985、GB 3804、GB 16926及GB/T 11022标准的规定。开关应配置直动式分合闸机械指示，开关状态位置应有符号及中文标识。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1.4.2负荷开关（断路器）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技术参数见专用部分技术参数特性表。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负荷开关可选用二工位或三工位负荷开关，二工位负荷开关与接地开关间应有可靠的机械防误联锁，负荷开关及接地开关操作孔应有挂锁装置，挂锁后可阻止操作把手插入操作孔。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1.4.3对真空负荷开关（断路器）的要求：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a）真空灭弧室应与型式试验中采用的一致。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b）真空灭弧室允许储存期不小于20年，出厂时灭弧室真空度不得小于1.33×103Pa。在允许储存期内，其真空度应满足运行要求。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c）真空灭弧室在出厂时应做“老炼”试验，并附有报告。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d）真空断路器接地金属外壳上应有防锈的、导电性能良好的、直径为12mm的接地螺钉。接地点附近应标有接地符号。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1.4.4隔离开关</w:t>
      </w:r>
      <w:r>
        <w:rPr>
          <w:rFonts w:hint="eastAsia" w:ascii="仿宋" w:hAnsi="仿宋" w:eastAsia="仿宋" w:cs="仿宋"/>
          <w:color w:val="auto"/>
          <w:kern w:val="2"/>
          <w:sz w:val="24"/>
          <w:szCs w:val="24"/>
          <w:highlight w:val="none"/>
          <w:lang w:val="en-US" w:eastAsia="zh-CN" w:bidi="ar"/>
        </w:rPr>
        <w:tab/>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技术参数见专用部分技术参数特性表。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1.4.5接地开关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a）技术参数见专用部分技术参数特性表。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b）与二工位隔离开关配合使用单独安装的接地开关应具备两次关合短路电流的能力。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c）操动机构：可手动和电动（如有）操作，每组接地开关应装设一个机械式的分/合位置指示器；应装设观察窗，以便操作人员检查触头的位置。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1.5其它设备技术要求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1.5.1电流互感器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a）技术参数见专用部分技术参数响应表。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b）对电流互感器应提供下列数据：励磁特性曲线、拐点电压、75℃时最大二次电阻值等。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c）环网柜内的电流互感器在出厂前应做伏安特性筛选，同一柜内的三相电流互感器伏安特性应相匹配，并有出厂报告。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1.5.2电压互感器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技术参数见专用部分技术参数特性表。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1.5.3避雷器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技术参数见专用部分技术参数特性表。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1.5.4母线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a）技术参数见专用部分技术参数特性表。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b）母线材料：铜。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c）投标时，充气柜应提供各种触头的结构图。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 操作机构技术要求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1.6.1 操作机构黑色金属零部件应采用防腐处理工艺，耐受96h及以上中性盐雾试验后无明显锈蚀。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1.6.2 开关设备采用手动操作配置时宜具备电动升级扩展功能；开关设备采用电动操作配置时应同时具备手动操作功能。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1.6.3 断路器和负荷开关配置弹簧操作机构，断路器操作机构具有防止跳跃功能，应配置断器的分合闸指示，操作机构的计数器，储能状态指示应明显清晰，便于观察，且均用中文表示。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1.6.4 并联合闸脱扣器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a) 当电源电压不大于额定电源电压的30%时，合闸脱扣器不应脱扣。并联合闸脱扣器在合闸装置的额定电源电压的85%-110%范围内，交流时在合闸装置的额定频率下，应可靠动作；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b) 当电源电压不大于额定电源电压的30%时，并联合闸脱扣器不应脱扣。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1.6.5 并联分闸脱扣器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a）并联分闸脱扣器在分闸装置的额定电源电压的 65%-110% (直流)或 85%-110% (交流)范围内，交流时在分闸装置的额定电源频率下，开关装置达到额定短路开断电流的操作条件下，均应可靠动作；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b）当电源电压不大于额定电源电压的30%时，并联分闸脱扣器不应脱扣。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1.6.6电动弹簧操作机构应电动机储能并可手动储能，可紧急跳闸。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1.6.7在正常情况下，合闸弹簧完成合闸操作后要立即自动开始再次储能，合闸弹簧应在15s内完成储能。在弹簧储能进行过程中不能合闸，并且弹簧在储能全部完成前不得释放。断路器在各位置时都应能对合闸弹簧储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1.6.8 合闸弹簧的储能状态有机械装置指示，指示采用中文表示，清晰可视并能实现远方监控。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1.7 主母线技术要求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1.7.1 环网柜的主母线应采用绝缘母线，柜与柜间用金属隔板隔开，但不得产生涡流，两端母线应用绝缘封堵密封。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1.7.2 主母线接合处应有防止电场集中和局部放电的措施。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1.8 接地技术要求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1.8.1 接地回路应能承受的短时耐受电流最大值应不小于主回路额定短时耐受电流的87％。</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1.8.2 主回路的接地按 DL/T 404相关规定，并作如下补充：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a）主回路中凡规定或需要人可触及的所有部件都应可靠接地并符合DL/T 621中的规定；接地母线应分别设有不少于二处与接地系统相连的端子，并应有明显的接地标志；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b）主回路中均应设置可靠的适用于规定故障条件的接地端子，该端子应有一紧固螺钉或螺栓用来连接接地导体，紧固螺钉或螺栓的直径应不小于12mm；</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c）接地连接点应标以GB/T 5465.2中规定的保护接地符号,与接地系统连接的金属外壳部分可以视为接地导体；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d）人可触及的电缆预制式电缆终端表面应涂覆半导电或导电屏蔽层，电缆终端半导电或导电屏蔽层连接后应与接地母线可靠连接；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e）接地导体应采用铜质导体，在规定的接地故障条件下，额定短路持续时间为2s时，其电流密度应不超过110A/mm2，但最小截面积应不小于240mm2。接地导体的末端应用铜质端子与设备的接地系统相连接，端子的电气接触面积应与接地导体的截面相适应，但最小电气接触面积应不小于160mm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f）外壳应设置接地极（扁铁）引入孔。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1.8.3 外壳的接地按DL/T 404相关规定，并作如下补充：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a）各个功能单元的外壳均应连接到接地导体上，除主回路和辅助回路之外的所有要接地的金属部件应直接或通过金属构件与接地导体相连接；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b）金属部件和外壳到接地端子之间通过30A直流电流时压降不大于3V。功能单元内部的相互连接应保证电气连续性；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c）环网柜的铰链应采用加强型，门和框架的接地端子间应用截面积不小于2.5mm2的软铜线连接；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d）二次控制仪表室应设有专用独立的接地导体；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e）当通过的电流引起热和机械应力时，应保障接地系统的连续性；。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1.9 二次设备技术要求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1.9.1 电气接线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a）环网柜内控制、电源、通信、接地等所有的二次线均用阻燃型软管或金属软管或线槽进行全密封，应采用塑料扎带固定，不允许采用粘贴方式固定；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b）环网柜上的各电器元件应能单独拆装更换而不影响其它电器及导线束的固定。每件设备的装配和接线均应考虑在不中断相邻设备正常运行的条件下无阻碍地接触各机构器件并能完成拆卸、更换工作；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c）环网柜内二次回路接线端子应具备防尘与阻燃功能；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d） 端子排应便于更换且接线方便。正、负电源之间以及经常带电的正电源与合闸或跳闸回路之间，必须至少以一个端子隔开；每个接线端子最多允许接入两根线；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e）环网柜、二次回路及端子的编号均使用拉丁字母、阿拉伯数字，此编号均与所提供的文件、图纸相一致，接地端子应标示明确。电缆两端有标示牌、标明电缆编号及对端连接单元名称。二次接线芯线号头编号应用标签机打印，标识应齐全、统一，字迹清晰、不易脱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f）设有断路器的环网柜，可配套配置继电保护装置或配置招标方提供的保护装置，当招标方提供保护装置时，投标方应负责安装，并完成接线。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1.9.2后备电源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a) 环网柜可选配后备电源，线路停电后，自动投入备用电源，实现环网单元的电动分合闸；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b) 后备电源在外部交流电源通电的情况下，蓄电池可自动进行浮充。在外部交流电源失电的情况下电池自动投入到系统中运行。后备电源应保证停电后能分合闸操作3次，维持终端及通信模块至少运行8小时。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 环网柜的五防及联锁装置应满足DL 538、DL/T 593及SD 318的相关规定，同时满足以下要求。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1.10.1 环网柜应具有可靠的“五防”功能：防止误分、误合断路器；防止带负荷分、合隔离开关（插头）；防止带电合接地开关；防止带接地开关送电；防止误入带电间隔。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1.10.2 进、出线柜应装有能反映进出线侧有无电压，并具有联锁信号输出功能的带电显示装置。当线路侧带电时，应有闭锁操作接地开关及电缆室门的装置。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1.10.3 电缆室门与接地开关应同时具备电气联锁和机械闭锁。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1.10.4环网柜电气闭锁应单独设置电源回路，且与其它回路独立。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1.10.5负荷开关+熔断器组合电器的环网柜中，熔断器撞击器与负荷开关脱扣器之间的联动装置应在三相和单相两种条件下，在给定的撞击器型号（中型或重型）的最大和最小能量下及相应撞击器的动作方式（弹簧式或爆炸式的）下，应使负荷开关良好地操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1.10.6环网柜开关部分采用断路器时，柜体仍应参照负荷开关+熔断器组合电器要求，配置相应的机构及连锁装置，并应具有防跳装置，对电磁操作机构应具有脱扣自我保护功能。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1.10.7采用两工位隔离开关时，隔离开关与负荷开关间应有可靠的机械防误联锁。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1.10.8接至配电变压器回路的负荷开关+熔断器组合电器（若有）或断路器柜应与变压器门闭锁，实现只有当配变柜开关打开后，方可打开变压器室门；当变压器门被误打开，对应配变柜开关应跳闸的功能。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1.11 电压互感器、电流互感器、避雷器应满足GB 1207、GB 1208及GB 11032的相关规定要求。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1.11.1 环网柜PT接线按需配置，一次侧可采用屏蔽型可触摸电缆终端连接。PT设高压侧熔断器，通过负荷开关连接于母线或进线单元。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1.11.2 环网柜配备的避雷器宜选用复合绝缘金属氧化物避雷器。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1.11.3 环网柜前门应有清晰明显的主接线示意图，柜顶设有横眉可装设间隔名称标识牌。环网单元前门表面应注明操作程序和注意事项。标志和标识牌的制作应符合GDW 742的规定。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1.12 铭牌技术要求符合DL/T 404相关规定，并作以下补充：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1.12.1 操动机构应装设铭牌。铭牌应为S304不锈钢、铜材或丙烯酸树脂等不受气候影响和防腐蚀的材料制成，应采用中文印制。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1.12.2 设备零件及其附件上的指示牌、警告牌以及其他标记也应采用中文印制，其规格即要求按Q/GDW 742。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1.12.3 铭牌应标有在有关产品标准中规定的必要信息。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1.12.4 铭牌中至少应包含以下内容：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额定电压                       Ur</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额定电流                       Ir</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额定频率                       fr</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额定工频耐受电压               Ud</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额定雷电冲击耐受电压           Up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额定短时耐受电流               Ik</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额定峰值耐受电流               Ip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额定短路持续时间               tk</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额定操作电压                   Ua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额定辅助电压                   Ua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额定短路开断电流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内部电弧等级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制造厂名称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制造年月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产品型号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        - 出厂编号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1.13配套提供相应规格10kV预制式电缆终端及操作工具，电缆附件应按JB/T 8144.1及GB/T 12706.4的规定，并满足以下条件。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1.13.1 进出线电缆三相水平排列。采用10kV全屏蔽、全绝缘可触摸电缆终端，电缆应可靠固定，保证终端不受除重力以外的其它外力作用。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1.13.2 电缆终端应采用硅橡胶、三元乙丙橡胶或其它性能更优的绝缘材料，电缆终端应采用内外层屏蔽、可触摸、预制式、可插拔、全绝缘及全密封结构。电缆附件应满足标称电压8.7/15kV(Um=17.5kV)电缆的配合使用要求，每一只电缆头外壳应可靠接地。暂时未接入电缆的电缆终端应装设绝缘封帽，绝缘封帽应可靠接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1.14 观察窗技术要求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1.14.1 观察窗的防护等级应至少达到外壳技术要求。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1.14.2 观察窗应使用机械强度与外壳相当的透明板，同时应有足够的电气间隙和静电屏蔽措施，防止形成危险的静电电荷，且通过观察窗可进行红外测温。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1.14.3 主回路的带电部分与观察窗的可触及表面的绝缘应能耐受DL/T 593规定的对地和极间的试验电压。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1.14.4 观察窗的玻璃应采用防爆型钢化玻璃，厚度不小于14mm，并在防爆玻璃增加屏蔽网。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1.15限制并避免环网柜内部电弧故障的要求：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1.15.1环网柜应通过内部燃弧试验，并在投标时出具相关试验报告。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1.15.2环网柜的各隔室之间，应满足正常使用条件和限制隔室内部电弧影响的要求；并能防止因本身缺陷、异常或误操作导致的内电弧伤及工作人员，能限制电弧的燃烧范围。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1.15.3应采取防止人为造成内部故障的措施，还应考虑到由于柜内组件动作造成的故障引起隔室内过压及压力释放装置喷出气体，可能对人员和其他正常运行设备的影响。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1.15.4除二次小室外，在高压室、母线室和电缆室的均设有排气通道和泄压装置，当产生内部故障电弧时，泄压通道将被自动打开，释放内部压力，释放的电弧或气体不得危及操作及巡视人员人身安全和其它环网设备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 环网箱外箱体要求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1.16.1 外箱体应采用厚度≥2mm、性能不低于S304不锈钢或GRC材料（玻璃纤维增强水泥）等材料，外壳应有足够的机械强度，在起吊、运输和安装时不应变形或损伤。外箱体防护等级应不低于IP43。</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1.16.2 金属材质外箱体应采取防腐涂覆工艺处理，涂层均匀、厚度一致，涂层应有牢固的附着力，保证20年不可出现明显可见锈斑，箱体外壳具有防贴小广告功能。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1.16.3 外箱体颜色应与周围环境相协调，不锈钢材质宜选用国网绿，箱壳表面应有明显的反光警示标志，保证15年不褪色。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1.16.4 外箱体应设置明显的标志，如设备名称、有电危险等。标志和标识的制作应符合GDW 742的规定。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1.16.5 外箱体顶盖的倾斜度应不小于10°，并应装设防雨檐。门开启角度应大于105°，并设定位装置；装设暗锁，并设外挂锁孔。门锁具有防盗、防锈及防堵功能。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1.16.6 外箱体应设有足够的自然通风口和隔热措施，保证在4.1条规定的条件下运行时，所有电器设备的温升不超过其允许值，并且不得因此降低环网柜的外箱体防护等级。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1.16.7 外箱体底部应配备4根可伸缩式起吊销，起吊销应能承载整台设备的重量。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1.16.8预留自动化接口的户外环网柜应同时预留独立的配电自动化单元安装空间，一般按DTU遮蔽立式放置，预留宽度空间不低于600mm，条件受限时也可采用DTU遮蔽卧式放置，预留高度空间不低于520mm。当项目单位提供上述设备时，投标方应负责将其与直流电源系统组合安装于箱内，并完成二次接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1.17.保护装置要求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 保护装置额定参数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 额定直流电源： 110V （48V ）。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1.17.2 额定交流电流： 5A （ 1A ）。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1.17.3 额定交流电压： 100V/√3 （相电压）。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1.17.4 额定频率： 50Hz 。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1.17.5 装置直流消耗：当正常工作时，不大于 30W ；当保护动作时，不大于 50W 。卖方投标时必须提供确切数值。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1.17.6 在雷击过电压、 一次回路操作、 系统故障及其他强干扰作用下， 不应误动和拒动。 保护装置抗电磁干扰能力应符合国标及行标相关标准。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1.17.7 保护装置与其他装置之间的输入和输出回路， 应采用光电耦合或继电器触点进行连接，不应有直接的电气联系。装置调试端口应有隔离措施。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1.17.8 保护装置中的插件应接触可靠，并且有良好的互换性，以便检修时能迅速更换。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1.17.9保护装置应具有直流电源快速小开关，与保护装置安装在同一柜上。 保护装置的逻辑回路应由独立的直流 / 直流变换器供电。直流电压消失时，保护装置不应误动，同时应有输出触点以启动告警信号。直流回路应有监视直流回路电压消失的告警信号继电器。直流电源电压在 80% ～ 115% 额定值范围内变化时，保护装置应正确工作。直流电源波纹系数≤ 5% 时，保护装置应正确工作。拉合直流电源以及插拔熔丝发生重复击穿火花时，保护装置不应误动作。直流电源回路出现各种异常情况（如短路、断线、接地等）时保护装置不应误动作。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1.17.10保护装置的异常及交直流消失等应有经常监视及自诊断功能以便在动作后启动告警信号、 远动信号、事件记录等。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1.17.11保护装置中跳闸出口回路动作信号及启动中央信号的触点应自保持， 在直流电源消失后应能维持原有状态。 只有当运行人员复归后， 信号才能复归， 复归按钮装在屏上的适当位置， 以便于操作， 并应有远方复归功能。用于远动信号和事件记录信号的触点不应保持。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1.17.12 保护装置中任一元件（出口继电器除外）损坏时，保护装置不应误动作。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1.17.13跳闸出口回路采用有触点继电器。 跳闸出口继电器触点应有足够容量，跳闸出口继电器触点的长期允许通过电流不应小于 5A ，在电感负荷的直流电路（ τ ＜ 5ms ）中的断开容量为 50W 。信号继电器触点的长期允许通过电流不应小于 2A ，在电感负荷的直流电路（ τ ＜ 5ms ）中的断开容量为 30W 。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1.17.14 对于保护装置间不经附加判据直接启动跳闸的开入量，应经抗干扰继电器重动后开入；抗干扰继电器的启动功率应大于5W ，动作电压在额定直流电源电压的55% ～ 70% 范围内， 额定直流电源电压下动作时间为10ms ～ 35ms ，应具有抗 220V 工频电压干扰的能力。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1.17.15 保护测控一体化装置的保护功能独立， 保护功能完全不依赖通信网络，网络瘫痪与否不影响保护正常运行。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1.17.16线路电流保护应具备三段相电流过电流保护构成的全套保护，对于小电阻接地系统应两段零序电流过电流保护。 保护装置应配有重合闸功能、 低频减载、 低压减载、 PT 断线、 过负荷告警功能， 装置应带有跳合闸操作回路。各项功能指标应满足相关的电力行业标准或国家标准的要求。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1.17.17 重合闸可由保护跳闸启动或由断路器位置不对应来启动。 对于线路双侧都有电源的情况， 重合闸应具备检同期方式和检无压方式， 并可投退。 重合闸装置应有外部闭锁重合闸的输入回路， 用于在手动跳闸、手动合闸、母线故障、延时段保护动作、断路器操作压力降低等情况下接入闭锁重合闸触点。当不使用用于重合闸检线路侧电压和检同期的电压元件时，线路 PT 断线不应报警；用户可自行选择重合闸检同期所采用的线路电压的相别和额定值。 跳闸和重合闸信号应具备至少一组不保持触点和保持触点，保持触点可通过远方和就地复归。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1.17.18三相操作板 / 箱应具有一组三相跳闸回路及合闸回路， 跳闸应具有自保持回路。 应具有手跳和手合输入回路。操作板 / 箱应具有防跳回路，防止断路器发生多次重合。操作板 / 箱的防跳回路应能够方便地取消。跳合闸应分别具有监视回路，且分别引上端子。 跳闸位置监视与合闸回路的连接应便于断开。操作板 / 箱应具有足够的输出触点供闭锁重合闸和发中央信号、远动信号和事件记录。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bookmarkStart w:id="4" w:name="_Toc357152520"/>
      <w:bookmarkStart w:id="5" w:name="_Toc455226370"/>
      <w:r>
        <w:rPr>
          <w:rFonts w:hint="eastAsia" w:ascii="仿宋" w:hAnsi="仿宋" w:eastAsia="仿宋" w:cs="仿宋"/>
          <w:color w:val="auto"/>
          <w:kern w:val="2"/>
          <w:sz w:val="24"/>
          <w:szCs w:val="24"/>
          <w:highlight w:val="none"/>
          <w:lang w:val="en-US" w:eastAsia="zh-CN" w:bidi="ar"/>
        </w:rPr>
        <w:t>1.2 标准技术参数</w:t>
      </w:r>
      <w:bookmarkEnd w:id="4"/>
      <w:bookmarkEnd w:id="5"/>
    </w:p>
    <w:p>
      <w:pPr>
        <w:pStyle w:val="7"/>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表1　室外环网箱技术参数特性表</w:t>
      </w:r>
    </w:p>
    <w:tbl>
      <w:tblPr>
        <w:tblStyle w:val="4"/>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671"/>
        <w:gridCol w:w="2051"/>
        <w:gridCol w:w="934"/>
        <w:gridCol w:w="1663"/>
        <w:gridCol w:w="13"/>
        <w:gridCol w:w="15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序号</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名　　称</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单位</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标准参数值</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投标人响应值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一</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环网柜共用参数</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绝缘介质</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SF6</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额定频率</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Hz</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温升试验电流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1.1Ir</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额定工频1min耐受电压（相对地）</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额定雷电冲击耐受电压峰值（1.2/50s）（相对地）</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额定短路开断电流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9</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额定短路关合电流(峰值)</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额定短时耐受电流及持续时间</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kA/s</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25/4</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额定峰值耐受电流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燃弧持续时间</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s</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额定有功负载条件下开断次数</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次</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辅助和控制回路短时工频耐受电压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15</w:t>
            </w: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供电电源</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控制回路（独立）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default"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DC 48</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辅助回路</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DC 48/AC 220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储能回路（独立）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DC 48/AC 220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16</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使用寿命</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年</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17</w:t>
            </w: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设备尺寸</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单台环网柜整体尺寸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（长×宽×高）</w:t>
            </w:r>
          </w:p>
        </w:tc>
        <w:tc>
          <w:tcPr>
            <w:tcW w:w="548"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mm×</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mm×mm</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设备的最大运输尺寸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（长×宽×高）</w:t>
            </w:r>
          </w:p>
        </w:tc>
        <w:tc>
          <w:tcPr>
            <w:tcW w:w="548"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18</w:t>
            </w: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防护等级</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柜体外壳</w:t>
            </w:r>
          </w:p>
        </w:tc>
        <w:tc>
          <w:tcPr>
            <w:tcW w:w="548"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IP41</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隔室间</w:t>
            </w:r>
          </w:p>
        </w:tc>
        <w:tc>
          <w:tcPr>
            <w:tcW w:w="548"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IP2X</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19</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SF6气体额定压力（20℃表压）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（充气柜适用）</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MPa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20</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SF6气体年漏气率</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≤0.1%</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操动机构型式或型号</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电动，并具备手动操作功能</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备用辅助接点</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6动合6动断</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二</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配网自动化要求</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自动化配置</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带配电网自动化接口</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接口形式</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航空插头</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三</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箱体要求</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箱体</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外壳材质</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304不锈钢，厚度不小于2mm，（颜色由项目单位确认）</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防护等级</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IP43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外形尺寸</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四</w:t>
            </w:r>
          </w:p>
        </w:tc>
        <w:tc>
          <w:tcPr>
            <w:tcW w:w="3715" w:type="pct"/>
            <w:gridSpan w:val="5"/>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断路器参数</w:t>
            </w:r>
          </w:p>
        </w:tc>
        <w:tc>
          <w:tcPr>
            <w:tcW w:w="908" w:type="pct"/>
            <w:tcBorders>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型号</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灭弧室类型</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真空</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额定电流</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630</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主回路电阻</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980"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额定工频1min耐受电压</w:t>
            </w: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隔离断口</w:t>
            </w:r>
          </w:p>
        </w:tc>
        <w:tc>
          <w:tcPr>
            <w:tcW w:w="548"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48</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相间、对地</w:t>
            </w:r>
          </w:p>
        </w:tc>
        <w:tc>
          <w:tcPr>
            <w:tcW w:w="548"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42</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额定雷电冲击耐受电压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峰值（1.2/50s）</w:t>
            </w: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隔离断口</w:t>
            </w:r>
          </w:p>
        </w:tc>
        <w:tc>
          <w:tcPr>
            <w:tcW w:w="548"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85</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相间、对地</w:t>
            </w:r>
          </w:p>
        </w:tc>
        <w:tc>
          <w:tcPr>
            <w:tcW w:w="548"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75</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w:t>
            </w:r>
          </w:p>
        </w:tc>
        <w:tc>
          <w:tcPr>
            <w:tcW w:w="980"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额定短路开断电流</w:t>
            </w: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交流分量有效值</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时间常数</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45</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满容量开断次数</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次</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≥30</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首相开断系数</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1.5</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额定短路关合电流(峰值)</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额定短时耐受电流</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kA/s</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25/4</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9</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额定峰值耐受电流</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断路器开断时间</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≤60</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断路器合闸弹跳时间</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断路器分闸时间</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≤40</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断路器合闸时间</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≤60</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w:t>
            </w:r>
          </w:p>
        </w:tc>
        <w:tc>
          <w:tcPr>
            <w:tcW w:w="980"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断路器分、合闸平均速度</w:t>
            </w: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分闸速度</w:t>
            </w:r>
          </w:p>
        </w:tc>
        <w:tc>
          <w:tcPr>
            <w:tcW w:w="548"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合闸速度</w:t>
            </w:r>
          </w:p>
        </w:tc>
        <w:tc>
          <w:tcPr>
            <w:tcW w:w="548"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15</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机械稳定性</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次</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≥10000</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16</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额定操作顺序</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O–0.3s–CO–180s–CO</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17</w:t>
            </w:r>
          </w:p>
        </w:tc>
        <w:tc>
          <w:tcPr>
            <w:tcW w:w="21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辅助和控制回路短时工频耐受电压</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18</w:t>
            </w:r>
          </w:p>
        </w:tc>
        <w:tc>
          <w:tcPr>
            <w:tcW w:w="980"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异相接地故障开断试验</w:t>
            </w: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试验电流</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17.32</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试验电压</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19</w:t>
            </w:r>
          </w:p>
        </w:tc>
        <w:tc>
          <w:tcPr>
            <w:tcW w:w="980" w:type="pct"/>
            <w:vMerge w:val="restar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容性电流开合试验（试验室）</w:t>
            </w: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试验电流</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电缆：25</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试验电压</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1.4×12/</w:t>
            </w:r>
            <w:r>
              <w:rPr>
                <w:rFonts w:hint="eastAsia" w:ascii="仿宋" w:hAnsi="仿宋" w:eastAsia="仿宋" w:cs="仿宋"/>
                <w:color w:val="auto"/>
                <w:kern w:val="2"/>
                <w:sz w:val="21"/>
                <w:szCs w:val="21"/>
                <w:highlight w:val="none"/>
                <w:lang w:val="en-US" w:eastAsia="zh-CN" w:bidi="ar"/>
              </w:rPr>
              <w:object>
                <v:shape id="_x0000_i1025" o:spt="75" type="#_x0000_t75" style="height:13.5pt;width:1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66" w:hRule="atLeast"/>
          <w:tblHeader/>
          <w:jc w:val="center"/>
        </w:trPr>
        <w:tc>
          <w:tcPr>
            <w:tcW w:w="376"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C2级：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CC1：48×O；</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CC2：24×O和24×CO；</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BC1：24×O；</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BC2：80×CO</w:t>
            </w:r>
          </w:p>
        </w:tc>
        <w:tc>
          <w:tcPr>
            <w:tcW w:w="548" w:type="pct"/>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C2级</w:t>
            </w:r>
          </w:p>
        </w:tc>
        <w:tc>
          <w:tcPr>
            <w:tcW w:w="908" w:type="pct"/>
            <w:tcBorders>
              <w:top w:val="single" w:color="auto" w:sz="4" w:space="0"/>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五</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负荷开关参数</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灭弧室类型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SF6</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额定工频1min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耐受电压</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隔离断口</w:t>
            </w:r>
          </w:p>
        </w:tc>
        <w:tc>
          <w:tcPr>
            <w:tcW w:w="548"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48</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相间、对地</w:t>
            </w:r>
          </w:p>
        </w:tc>
        <w:tc>
          <w:tcPr>
            <w:tcW w:w="548"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额定雷电冲击耐受电压峰值（1.2/50s）</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隔离断口</w:t>
            </w:r>
          </w:p>
        </w:tc>
        <w:tc>
          <w:tcPr>
            <w:tcW w:w="548"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相间、对地</w:t>
            </w:r>
          </w:p>
        </w:tc>
        <w:tc>
          <w:tcPr>
            <w:tcW w:w="548"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额定短时耐受电流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kA/s</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25/4</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额定峰值耐受电流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机械稳定性</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次</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≥5000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额定电缆充电开断电流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76" w:type="pct"/>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w:t>
            </w:r>
          </w:p>
        </w:tc>
        <w:tc>
          <w:tcPr>
            <w:tcW w:w="2183" w:type="pct"/>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切空载变压器电流</w:t>
            </w:r>
          </w:p>
        </w:tc>
        <w:tc>
          <w:tcPr>
            <w:tcW w:w="548" w:type="pct"/>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15</w:t>
            </w:r>
          </w:p>
        </w:tc>
        <w:tc>
          <w:tcPr>
            <w:tcW w:w="908" w:type="pct"/>
            <w:tcBorders>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9</w:t>
            </w:r>
          </w:p>
        </w:tc>
        <w:tc>
          <w:tcPr>
            <w:tcW w:w="2183" w:type="pct"/>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额定有功负载电流</w:t>
            </w:r>
          </w:p>
        </w:tc>
        <w:tc>
          <w:tcPr>
            <w:tcW w:w="548" w:type="pct"/>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630</w:t>
            </w:r>
          </w:p>
        </w:tc>
        <w:tc>
          <w:tcPr>
            <w:tcW w:w="908" w:type="pct"/>
            <w:tcBorders>
              <w:bottom w:val="single" w:color="auto" w:sz="4"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六</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接地开关参数</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额定短时耐受电流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kA/s</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额定峰值耐受电流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额定短路关合电流(峰值)</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额定短路关合电流(峰值)次数</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次</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机械稳定性</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次</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≥3000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七</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电流互感器参数</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型式或型号</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干式电磁式</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绕组1</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额定电流比</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（供货前与项目单位确认）</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额定负荷</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准确级</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0.5S（满足故障电流时精度要求）</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绕组2</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额定电流比</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（供货前与项目单位确认）</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额定负荷</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准确级</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10P10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八</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电压互感器及熔断器参数</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型式或型号</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干式电磁式</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额定电压比</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10/0.1/0.22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准确级</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0.2/0.5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接线级别</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V/V</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额定容量</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50/1000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三相不平衡度</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低压绕组1min工频耐压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额定电压因数</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1.2倍连续，1.9倍8h</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9</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熔断器型式</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熔断器的额定电流（与电压互感器配合使用）</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default"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熔断器的额定短路开断电流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九</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避雷器参数</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型式</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复合绝缘金属氧化物避雷器</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17</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持续运行电压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13.6</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标称放电电流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陡波冲击电流下残压峰值（5kA，1/3s）</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≤51.8</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雷电冲击电流下残压峰值（5kA，8/20s）</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45</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操作冲击电流下残压峰值（250A，30/60s）</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≤38.3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直流1mA参考电压</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≥24</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9</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75%直流1mA参考电压下的泄漏电流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工频参考电压（有效值）</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≥16</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工频参考电流（峰值）</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w:t>
            </w:r>
          </w:p>
        </w:tc>
        <w:tc>
          <w:tcPr>
            <w:tcW w:w="980" w:type="pct"/>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持续电流</w:t>
            </w: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全电流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0" w:type="pct"/>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1203"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阻性电流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长持续时间冲击耐受电流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400（峰值）</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4/10s大冲击耐受电流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65（峰值）</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15</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动作负载</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16</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工频电压耐受时间特性</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17</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千伏额定电压吸收能力</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kJ/kV</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18</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压力释放能力</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kA/s</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25/0.2</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十</w:t>
            </w:r>
          </w:p>
        </w:tc>
        <w:tc>
          <w:tcPr>
            <w:tcW w:w="3715" w:type="pct"/>
            <w:gridSpan w:val="5"/>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母线参数</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材质</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铜</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额定短时耐受电流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kA/s</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25/4</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额定峰值耐受电流</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kA</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导体截面</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mm2</w:t>
            </w:r>
          </w:p>
        </w:tc>
        <w:tc>
          <w:tcPr>
            <w:tcW w:w="9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与环网柜型式试验报告中产品的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导体截面、材质一致</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十一</w:t>
            </w:r>
          </w:p>
        </w:tc>
        <w:tc>
          <w:tcPr>
            <w:tcW w:w="3715" w:type="pct"/>
            <w:gridSpan w:val="5"/>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直流电源系统</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输入电压</w:t>
            </w:r>
          </w:p>
        </w:tc>
        <w:tc>
          <w:tcPr>
            <w:tcW w:w="548"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w:t>
            </w:r>
          </w:p>
        </w:tc>
        <w:tc>
          <w:tcPr>
            <w:tcW w:w="9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AC220</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输出电压</w:t>
            </w:r>
          </w:p>
        </w:tc>
        <w:tc>
          <w:tcPr>
            <w:tcW w:w="548"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w:t>
            </w:r>
          </w:p>
        </w:tc>
        <w:tc>
          <w:tcPr>
            <w:tcW w:w="9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DC48V</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直流输出回路</w:t>
            </w:r>
          </w:p>
        </w:tc>
        <w:tc>
          <w:tcPr>
            <w:tcW w:w="548"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蓄电池容量</w:t>
            </w:r>
          </w:p>
        </w:tc>
        <w:tc>
          <w:tcPr>
            <w:tcW w:w="548"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Ah</w:t>
            </w:r>
          </w:p>
        </w:tc>
        <w:tc>
          <w:tcPr>
            <w:tcW w:w="983" w:type="pct"/>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tcBorders>
              <w:bottom w:val="single" w:color="auto" w:sz="8"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tcBorders>
              <w:bottom w:val="single" w:color="auto" w:sz="8"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充电模块</w:t>
            </w:r>
          </w:p>
        </w:tc>
        <w:tc>
          <w:tcPr>
            <w:tcW w:w="548" w:type="pct"/>
            <w:tcBorders>
              <w:bottom w:val="single" w:color="auto" w:sz="8"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83" w:type="pct"/>
            <w:gridSpan w:val="2"/>
            <w:tcBorders>
              <w:bottom w:val="single" w:color="auto" w:sz="8"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（投标人提供）</w:t>
            </w:r>
          </w:p>
        </w:tc>
        <w:tc>
          <w:tcPr>
            <w:tcW w:w="908" w:type="pct"/>
            <w:tcBorders>
              <w:bottom w:val="single" w:color="auto" w:sz="8" w:space="0"/>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十二</w:t>
            </w:r>
          </w:p>
        </w:tc>
        <w:tc>
          <w:tcPr>
            <w:tcW w:w="3707" w:type="pct"/>
            <w:gridSpan w:val="4"/>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保护装置参数</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交流电流回路过载能力</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 I N ，连续工作；10 I N ，10s ；40 I N ，1s</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交流电压回路过载能力</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 U N ，连续工作；1.4 U N ，10s</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2183" w:type="pct"/>
            <w:gridSpan w:val="2"/>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电流定值误差</w:t>
            </w:r>
          </w:p>
        </w:tc>
        <w:tc>
          <w:tcPr>
            <w:tcW w:w="548"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w:t>
            </w: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3</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电压定值误差</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频率定值误差</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Hz</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≤0.02</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时限定值误差</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≤40</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d f /d t 定值误差</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f</w:t>
            </w: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1.0 （ Δ f ＝ 0.5Hz ， Δ t ＝ 0.1s ）</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d u /d t 定值误差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u</w:t>
            </w: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1.0 （ Δ U ＝ 0.5V ， Δ t ＝ 0.1s ）</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9</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电流量、电压量测量误差</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≤0.2</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有功功率、无功功率测量误差</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≤0.5</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电网频率测量误差</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Hz</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≤0.02</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遥控命令输出正确率</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100</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事件顺序记录分辨率（ SOE ）</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ms</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交流电压回路功率损耗（每相）</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VA</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15</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交流电流回路功率损耗（每相）</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VA</w:t>
            </w: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0.5 （ I N ＝ 1A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1 （ I N ＝ 5A ）</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16</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装置直流消耗</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W</w:t>
            </w: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30 （工作时）；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50 （动作时）</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17</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跳闸触点容量</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长期允许通过电流不小于 5A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触点断开容量为不小于 50W</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18</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其他触点容量</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75" w:type="pc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长期允许通过电流不小于 2A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触点断开容量为不小于 30W</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19</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装置工作电源</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V</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（招标人填写）</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20</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CT  二次额定电流</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（招标人填写）</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21</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断路器跳闸线圈电流</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（招标人填写）</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22</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断路器合闸线圈电流</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A</w:t>
            </w: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（招标人填写）</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6"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23</w:t>
            </w:r>
          </w:p>
        </w:tc>
        <w:tc>
          <w:tcPr>
            <w:tcW w:w="2183" w:type="pct"/>
            <w:gridSpan w:val="2"/>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其他</w:t>
            </w:r>
          </w:p>
        </w:tc>
        <w:tc>
          <w:tcPr>
            <w:tcW w:w="548"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c>
          <w:tcPr>
            <w:tcW w:w="975" w:type="pct"/>
            <w:shd w:val="clear" w:color="auto" w:fill="auto"/>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（招标人填写）</w:t>
            </w:r>
          </w:p>
        </w:tc>
        <w:tc>
          <w:tcPr>
            <w:tcW w:w="916" w:type="pct"/>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color w:val="auto"/>
                <w:kern w:val="2"/>
                <w:sz w:val="21"/>
                <w:szCs w:val="21"/>
                <w:highlight w:val="none"/>
                <w:lang w:val="en-US" w:eastAsia="zh-CN" w:bidi="ar"/>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1"/>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（二）变压器</w:t>
      </w:r>
      <w:bookmarkEnd w:id="1"/>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变压器为长清校区迁安，型号SCB11--800,变压器低压侧出线方式应为铜排向上引出引出通过封闭母线与低压配电柜母线连接，低压母排与变压器之间采用软连接。变压器前后门应加带电闭锁装置，当变压器低压侧带电时前后门应打不开。</w:t>
      </w:r>
      <w:bookmarkStart w:id="13" w:name="_GoBack"/>
      <w:bookmarkEnd w:id="13"/>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1"/>
        <w:rPr>
          <w:rFonts w:hint="eastAsia" w:ascii="仿宋" w:hAnsi="仿宋" w:eastAsia="仿宋" w:cs="仿宋"/>
          <w:color w:val="auto"/>
          <w:kern w:val="2"/>
          <w:sz w:val="24"/>
          <w:szCs w:val="24"/>
          <w:highlight w:val="none"/>
          <w:lang w:val="en-US" w:eastAsia="zh-CN" w:bidi="ar"/>
        </w:rPr>
      </w:pPr>
      <w:bookmarkStart w:id="6" w:name="_Toc256000103"/>
      <w:r>
        <w:rPr>
          <w:rFonts w:hint="eastAsia" w:ascii="仿宋" w:hAnsi="仿宋" w:eastAsia="仿宋" w:cs="仿宋"/>
          <w:color w:val="auto"/>
          <w:kern w:val="2"/>
          <w:sz w:val="24"/>
          <w:szCs w:val="24"/>
          <w:highlight w:val="none"/>
          <w:lang w:val="en-US" w:eastAsia="zh-CN" w:bidi="ar"/>
        </w:rPr>
        <w:t>（三）GGD低压开关柜</w:t>
      </w:r>
      <w:bookmarkEnd w:id="6"/>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bookmarkStart w:id="7" w:name="_Toc256000104"/>
      <w:r>
        <w:rPr>
          <w:rFonts w:hint="eastAsia" w:ascii="仿宋" w:hAnsi="仿宋" w:eastAsia="仿宋" w:cs="仿宋"/>
          <w:color w:val="auto"/>
          <w:kern w:val="2"/>
          <w:sz w:val="24"/>
          <w:szCs w:val="24"/>
          <w:highlight w:val="none"/>
          <w:lang w:val="en-US" w:eastAsia="zh-CN" w:bidi="ar"/>
        </w:rPr>
        <w:t>1.断路器</w:t>
      </w:r>
      <w:bookmarkEnd w:id="7"/>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1.1 低压断路器要求断路器为3极开关，要求断路器安装方式为固定式，短路分断能力见图纸，并带有跳闸线圈无源接点、辅助接点。低压框架断路器具有过载长延时保护、短路瞬时保护、短路短延时保护功能，并可对保护电流进行现场整定，每段保护电流独立可调。低压塑壳断路器具有过载长延时保护、短路瞬时保护功能，并可对保护电流进行现场整定，每段保护电流独立可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bookmarkStart w:id="8" w:name="_Toc256000105"/>
      <w:r>
        <w:rPr>
          <w:rFonts w:hint="eastAsia" w:ascii="仿宋" w:hAnsi="仿宋" w:eastAsia="仿宋" w:cs="仿宋"/>
          <w:color w:val="auto"/>
          <w:kern w:val="2"/>
          <w:sz w:val="24"/>
          <w:szCs w:val="24"/>
          <w:highlight w:val="none"/>
          <w:lang w:val="en-US" w:eastAsia="zh-CN" w:bidi="ar"/>
        </w:rPr>
        <w:t>2.多功能仪表</w:t>
      </w:r>
      <w:bookmarkEnd w:id="8"/>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2.1 0.4KV表计功能：相电压(Ua、Ub、Uc)、线电压(Uab、Ubc、Uca)、电流(la、 Ib、 Ic、In)、 有功功率(kW)、无功功率(kvar)、电度(WH)。</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多功能仪表应具有测量功能：U、I、P、Q、COSφ、kWh等电气参数。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bookmarkStart w:id="9" w:name="_Toc256000106"/>
      <w:r>
        <w:rPr>
          <w:rFonts w:hint="eastAsia" w:ascii="仿宋" w:hAnsi="仿宋" w:eastAsia="仿宋" w:cs="仿宋"/>
          <w:color w:val="auto"/>
          <w:kern w:val="2"/>
          <w:sz w:val="24"/>
          <w:szCs w:val="24"/>
          <w:highlight w:val="none"/>
          <w:lang w:val="en-US" w:eastAsia="zh-CN" w:bidi="ar"/>
        </w:rPr>
        <w:t>3.低压成套开关柜技术要求</w:t>
      </w:r>
      <w:bookmarkEnd w:id="9"/>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3.1 基本技术参数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额定工作电压：400V</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额定绝缘电压：690V</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额定频率：50HZ</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主母线短时（Is）耐受电流：50kA（有效值）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1分钟工频耐压：2500V</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额定电流：见图纸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防护等级：IP30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外形尺寸：按图纸要求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柜体颜色：RAL7035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3.2 无功补偿柜技术要求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3.2.1、补偿电容器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479" w:leftChars="228" w:right="0" w:firstLine="0" w:firstLineChars="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1)额定频率：50Hz；</w:t>
      </w:r>
      <w:r>
        <w:rPr>
          <w:rFonts w:hint="eastAsia" w:ascii="仿宋" w:hAnsi="仿宋" w:eastAsia="仿宋" w:cs="仿宋"/>
          <w:color w:val="auto"/>
          <w:kern w:val="2"/>
          <w:sz w:val="24"/>
          <w:szCs w:val="24"/>
          <w:highlight w:val="none"/>
          <w:lang w:val="en-US" w:eastAsia="zh-CN" w:bidi="ar"/>
        </w:rPr>
        <w:cr/>
      </w:r>
      <w:r>
        <w:rPr>
          <w:rFonts w:hint="eastAsia" w:ascii="仿宋" w:hAnsi="仿宋" w:eastAsia="仿宋" w:cs="仿宋"/>
          <w:color w:val="auto"/>
          <w:kern w:val="2"/>
          <w:sz w:val="24"/>
          <w:szCs w:val="24"/>
          <w:highlight w:val="none"/>
          <w:lang w:val="en-US" w:eastAsia="zh-CN" w:bidi="ar"/>
        </w:rPr>
        <w:t>2)允许过电压：1.1Un；</w:t>
      </w:r>
      <w:r>
        <w:rPr>
          <w:rFonts w:hint="eastAsia" w:ascii="仿宋" w:hAnsi="仿宋" w:eastAsia="仿宋" w:cs="仿宋"/>
          <w:color w:val="auto"/>
          <w:kern w:val="2"/>
          <w:sz w:val="24"/>
          <w:szCs w:val="24"/>
          <w:highlight w:val="none"/>
          <w:lang w:val="en-US" w:eastAsia="zh-CN" w:bidi="ar"/>
        </w:rPr>
        <w:cr/>
      </w:r>
      <w:r>
        <w:rPr>
          <w:rFonts w:hint="eastAsia" w:ascii="仿宋" w:hAnsi="仿宋" w:eastAsia="仿宋" w:cs="仿宋"/>
          <w:color w:val="auto"/>
          <w:kern w:val="2"/>
          <w:sz w:val="24"/>
          <w:szCs w:val="24"/>
          <w:highlight w:val="none"/>
          <w:lang w:val="en-US" w:eastAsia="zh-CN" w:bidi="ar"/>
        </w:rPr>
        <w:t>3)允许过电流：1.3In；</w:t>
      </w:r>
      <w:r>
        <w:rPr>
          <w:rFonts w:hint="eastAsia" w:ascii="仿宋" w:hAnsi="仿宋" w:eastAsia="仿宋" w:cs="仿宋"/>
          <w:color w:val="auto"/>
          <w:kern w:val="2"/>
          <w:sz w:val="24"/>
          <w:szCs w:val="24"/>
          <w:highlight w:val="none"/>
          <w:lang w:val="en-US" w:eastAsia="zh-CN" w:bidi="ar"/>
        </w:rPr>
        <w:cr/>
      </w:r>
      <w:r>
        <w:rPr>
          <w:rFonts w:hint="eastAsia" w:ascii="仿宋" w:hAnsi="仿宋" w:eastAsia="仿宋" w:cs="仿宋"/>
          <w:color w:val="auto"/>
          <w:kern w:val="2"/>
          <w:sz w:val="24"/>
          <w:szCs w:val="24"/>
          <w:highlight w:val="none"/>
          <w:lang w:val="en-US" w:eastAsia="zh-CN" w:bidi="ar"/>
        </w:rPr>
        <w:t>4)允许偏差：-5～+10%；</w:t>
      </w:r>
      <w:r>
        <w:rPr>
          <w:rFonts w:hint="eastAsia" w:ascii="仿宋" w:hAnsi="仿宋" w:eastAsia="仿宋" w:cs="仿宋"/>
          <w:color w:val="auto"/>
          <w:kern w:val="2"/>
          <w:sz w:val="24"/>
          <w:szCs w:val="24"/>
          <w:highlight w:val="none"/>
          <w:lang w:val="en-US" w:eastAsia="zh-CN" w:bidi="ar"/>
        </w:rPr>
        <w:cr/>
      </w:r>
      <w:r>
        <w:rPr>
          <w:rFonts w:hint="eastAsia" w:ascii="仿宋" w:hAnsi="仿宋" w:eastAsia="仿宋" w:cs="仿宋"/>
          <w:color w:val="auto"/>
          <w:kern w:val="2"/>
          <w:sz w:val="24"/>
          <w:szCs w:val="24"/>
          <w:highlight w:val="none"/>
          <w:lang w:val="en-US" w:eastAsia="zh-CN" w:bidi="ar"/>
        </w:rPr>
        <w:t>5)工频额定电压损耗角正切：tg≤0.15%；</w:t>
      </w:r>
      <w:r>
        <w:rPr>
          <w:rFonts w:hint="eastAsia" w:ascii="仿宋" w:hAnsi="仿宋" w:eastAsia="仿宋" w:cs="仿宋"/>
          <w:color w:val="auto"/>
          <w:kern w:val="2"/>
          <w:sz w:val="24"/>
          <w:szCs w:val="24"/>
          <w:highlight w:val="none"/>
          <w:lang w:val="en-US" w:eastAsia="zh-CN" w:bidi="ar"/>
        </w:rPr>
        <w:cr/>
      </w:r>
      <w:r>
        <w:rPr>
          <w:rFonts w:hint="eastAsia" w:ascii="仿宋" w:hAnsi="仿宋" w:eastAsia="仿宋" w:cs="仿宋"/>
          <w:color w:val="auto"/>
          <w:kern w:val="2"/>
          <w:sz w:val="24"/>
          <w:szCs w:val="24"/>
          <w:highlight w:val="none"/>
          <w:lang w:val="en-US" w:eastAsia="zh-CN" w:bidi="ar"/>
        </w:rPr>
        <w:t>6)耐冲击电流：≤100ln；</w:t>
      </w:r>
      <w:r>
        <w:rPr>
          <w:rFonts w:hint="eastAsia" w:ascii="仿宋" w:hAnsi="仿宋" w:eastAsia="仿宋" w:cs="仿宋"/>
          <w:color w:val="auto"/>
          <w:kern w:val="2"/>
          <w:sz w:val="24"/>
          <w:szCs w:val="24"/>
          <w:highlight w:val="none"/>
          <w:lang w:val="en-US" w:eastAsia="zh-CN" w:bidi="ar"/>
        </w:rPr>
        <w:cr/>
      </w:r>
      <w:r>
        <w:rPr>
          <w:rFonts w:hint="eastAsia" w:ascii="仿宋" w:hAnsi="仿宋" w:eastAsia="仿宋" w:cs="仿宋"/>
          <w:color w:val="auto"/>
          <w:kern w:val="2"/>
          <w:sz w:val="24"/>
          <w:szCs w:val="24"/>
          <w:highlight w:val="none"/>
          <w:lang w:val="en-US" w:eastAsia="zh-CN" w:bidi="ar"/>
        </w:rPr>
        <w:t>7)试验电压：极间2.15Un Ac 2s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8)极壳 3000V.AC 10s；</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9)压力保护：内置保险装置，当电容发生故障时，使电容器安全退出电网，不会扩大故障的再发生；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10)内置放电电阻，确保电容器在断开工作后3min内将端子剩余电压降至75V以下，确保设备和人身安全；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3.2.2、滤波电抗器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1)额定系统电压380/400V；</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2)电抗率：7%；</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3)材质：铜芯；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4)电抗值允许偏差：0～10%；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5）冷却方式：智能风冷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 低压开关柜技术要求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低压开关柜柜体采用GGD柜型。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3.3.1、结构：冷轧钢板（≥1.5mm厚），全封闭组合式屏，应具有型式试验报告和通过中国质量认证中心的强制性认证(CCC)。颜色：RAL7035，环氧树脂粉末静电喷涂。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3.3.2、框架式断路器采用手动操作：具有电流瞬时、短延时、长延时功能，带有跳闸线圈无源接点、报警信号接点。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3.3.3、柜内水平主母线加热塑绝缘套；垂直分支母线加热塑绝缘套。垂直分支母线要求其安全距离满足20mm，不满足处应加以处理，以确保设备的安全运行。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3.3.4、母线的固定及连接采用防松动螺栓。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3.3.5、要求各开关柜相同回路的端子编号一致，便于安装、 查线。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3.3.6、开关柜底部与顶部应设对流气体散热孔，外壳防护等级为IP30。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3.3.7、低压开关柜采用TN-S系统，要求零线与相线均在柜顶，母线采用高导电率铜排，镀锡。PE及N线的截面积分别为≥1/2相导线截面积，并开有多个模数孔用于等电位连接。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3.3.8、相同参数的可动元件对同类型的柜应具有完全的互换性，相同参数和结构的其他元件也应有互换性。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3.3.9、进线开关具有过载长延时、短路短延时和短路瞬动三段保护特性，并可对保护电流进行现场整定。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3.3.10、开关柜加底架，其它按标书要求及以生产厂家样本为准。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1"/>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(四）单相智能电表技术指标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zh-CN" w:eastAsia="zh-CN" w:bidi="ar"/>
        </w:rPr>
      </w:pPr>
      <w:r>
        <w:rPr>
          <w:rFonts w:hint="eastAsia" w:ascii="仿宋" w:hAnsi="仿宋" w:eastAsia="仿宋" w:cs="仿宋"/>
          <w:color w:val="auto"/>
          <w:kern w:val="2"/>
          <w:sz w:val="24"/>
          <w:szCs w:val="24"/>
          <w:highlight w:val="none"/>
          <w:lang w:val="zh-CN" w:eastAsia="zh-CN" w:bidi="ar"/>
        </w:rPr>
        <w:t>1.电能表应符合《中华人民共和国计量法》《中华人民共和国计量法实施细则》《市场监管总局关于发布实施强制管理的计量器具目录的公告 2020年第42号》规定的用于贸易结算的电能计量器具，可通过当地法定计量检验部门的复检及型式一致性复核。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zh-CN" w:eastAsia="zh-CN" w:bidi="ar"/>
        </w:rPr>
      </w:pPr>
      <w:r>
        <w:rPr>
          <w:rFonts w:hint="eastAsia" w:ascii="仿宋" w:hAnsi="仿宋" w:eastAsia="仿宋" w:cs="仿宋"/>
          <w:color w:val="auto"/>
          <w:kern w:val="2"/>
          <w:sz w:val="24"/>
          <w:szCs w:val="24"/>
          <w:highlight w:val="none"/>
          <w:lang w:val="zh-CN" w:eastAsia="zh-CN" w:bidi="ar"/>
        </w:rPr>
        <w:t>注：产品显著位置应有符合国家计量管理机构规定的CPA标识；产品的型号符合GB/T 28879《电工仪器仪表型号编制方法》的要求。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zh-CN" w:eastAsia="zh-CN" w:bidi="ar"/>
        </w:rPr>
        <w:t>2.符合国标：GB/T 17215.321-2021 要求，通过国家法定计量检测机构颁发的《计量器具型式批准证书》；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zh-CN" w:eastAsia="zh-CN" w:bidi="ar"/>
        </w:rPr>
      </w:pPr>
      <w:r>
        <w:rPr>
          <w:rFonts w:hint="eastAsia" w:ascii="仿宋" w:hAnsi="仿宋" w:eastAsia="仿宋" w:cs="仿宋"/>
          <w:color w:val="auto"/>
          <w:kern w:val="2"/>
          <w:sz w:val="24"/>
          <w:szCs w:val="24"/>
          <w:highlight w:val="none"/>
          <w:lang w:val="zh-CN" w:eastAsia="zh-CN" w:bidi="ar"/>
        </w:rPr>
        <w:t>技术参数要求：</w:t>
      </w:r>
    </w:p>
    <w:tbl>
      <w:tblPr>
        <w:tblStyle w:val="4"/>
        <w:tblW w:w="48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850"/>
        <w:gridCol w:w="1051"/>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bookmarkStart w:id="10" w:name="_Hlk116121695"/>
            <w:r>
              <w:rPr>
                <w:rFonts w:hint="eastAsia" w:ascii="仿宋" w:hAnsi="仿宋" w:eastAsia="仿宋" w:cs="仿宋"/>
                <w:color w:val="auto"/>
                <w:kern w:val="2"/>
                <w:sz w:val="21"/>
                <w:szCs w:val="21"/>
                <w:highlight w:val="none"/>
                <w:lang w:val="en-US" w:eastAsia="zh-CN" w:bidi="ar"/>
              </w:rPr>
              <w:t>序号</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重要性</w:t>
            </w:r>
          </w:p>
        </w:tc>
        <w:tc>
          <w:tcPr>
            <w:tcW w:w="631"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指标项</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标 准</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1.1符合GB/T 17215.321-2021电测量设备（交流）特殊要求第 21 部分：静止式有功电能表 (A级、B级、C级、D级和E级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 符合Q/GDW 1354-2013《智能电能表功能规范》、Q/GDW 1355-2013《单相智能电能表型式规范》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技术规格</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2.1 准确度等级:有功B级。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xml:space="preserve">2.2电流规格：0.2-0.5(30)A，每回路最大电流30A。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2.3 工作电压：80%Un ~ 110%Un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2.4 工作环境：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工作温度：规定工作温度范围为－25℃～＋60℃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工作极限温度范围为－40℃～＋70℃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相对湿度：≤95%（无凝露）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2.5 功耗：有功功耗≤0.3W;视在功耗≤1VA；具备低功耗核心技术。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2.6 可靠性：≥15年；提供可靠性预计报告。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 xml:space="preserve">2.7一进三出，两路计量，三路控制；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2.8 外形尺寸：不大于160mm（高度）×112mm（宽度）×71mm（厚度）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计量功能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3.1 准确计量正、反向有功电能。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3.2可测量、记录、显示当前电压、电流、有功功率、功率因数等运行参数。测量误差（引用误差）不超过±1%，电压、电流为有效值；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时钟功能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采用具有温度补偿功能的内置硬件时钟电路；在参比温度（23℃）下，时钟准确度≤±0.5秒/天；在-25℃～+60℃范围内，时钟准确度≤±1秒/天。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费率与时段</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支持四种费率（尖、峰、平、谷）切换。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具有两套时区表和两套日时段表方案，两套方案各自带有切换时间（年月日时分），可通过预先设置切换时间实现两套费率方案的自动切换。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每套费率时段方案全年最大可设置14个时区，各个时区设置起始日期及使用的日时段表号。每天可以设置14个时段，各个时段设置起始时间及使用的费率。时段最小间隔为15分钟（由上位机设置软件控制），可跨越零点设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具有节假日和周休日特殊费率时段功能。最大可设置254个节假日费率数据。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通讯功能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6.1 RS485通讯接口，通信速率可设置。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6.2红外通讯接口。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6.3通信信道物理层相互独立，任意一条通信信道的损坏不影响其它信道正常工作。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6.4通信规约支持DL/T 645-2007《多功能电能表通信协议》。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w:t>
            </w:r>
          </w:p>
        </w:tc>
        <w:tc>
          <w:tcPr>
            <w:tcW w:w="510"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显示功能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7.1 LCD显示屏，支持停电显示功能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7.2 显示屏不小于60mm*30mm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7.3 显示项目至少包含：当前用电量，上1月、上2月用电量等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恶性负载识别功能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8.1费控智能电能表可自动识别恶性负载，当新增电器的功率大于设定的功率值时，电表自动报跳闸，并记录跳闸事件。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8.2检测到恶性负载时，电能表自动切断用户电源，等待一段时间后（此时间可设置）自动恢复用户供电，若恶性负载仍接入，则继续切断用户电源；系统可以自动恢复供电三次（支持设置），如三次还在使用恶性负载，则切断用户供电，必须通过预付费管理系统恢复供电，用户才可继续用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8.3可设置至少3种发热电器的使用权限，如饮水机等。将该发热电器的参数写入电表，该发热电器使用时，不作为恶性负载判断，继电器不会跳闸。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8.4电表具有识别移相插座或防限电插座功能。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8.5智能电表启用恶性负载识别功能时，空调（包括空调辅热功能开启）可正常使用。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8.6空调专用回路上空调插头拔离专用插座时，智能电表能识别，并自动切断空调回路电源，且不影响照明回路供电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9</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总功率限制功能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zh-CN" w:eastAsia="zh-CN" w:bidi="ar"/>
              </w:rPr>
            </w:pPr>
            <w:r>
              <w:rPr>
                <w:rFonts w:hint="eastAsia" w:ascii="仿宋" w:hAnsi="仿宋" w:eastAsia="仿宋" w:cs="仿宋"/>
                <w:color w:val="auto"/>
                <w:kern w:val="2"/>
                <w:sz w:val="21"/>
                <w:szCs w:val="21"/>
                <w:highlight w:val="none"/>
                <w:lang w:val="en-US" w:eastAsia="zh-CN" w:bidi="ar"/>
              </w:rPr>
              <w:t>电能表可实现总功率限制，当表内负荷超过设定的最大功率阀值时，电表自动跳闸，在一定时间后自动合闸（可设置1-99分钟）。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10</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过压跳闸功能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当电网电压超过表内设定值（默认为250V）时，电表自动跳闸，以保护电表负载的电器不被高电压损坏，当电网电压恢复到表内设定值以下时，电表自动合闸供电。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11</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分时段控制功能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支持时段控制继电器拉合闸，支持14个时间窗口，规定的时间段内跳闸及自动合闸。电能表在设定的时段内自动跳闸断电，实现定时开关功能，通过设置相关参数，可设定灵活的定时开关方案；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12</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分时段功率控制功能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支持一天可设置不同时间段允许的功率，最多设置6个时间段，电能表自行判断超出该功率后直接停电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冻结功能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13.1 可对电能表的电能和计费数据进行冻结并记录冻结数据和冻结时间。冻结功能相关参数可以设置。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13.2 日冻结：存储每天零点时刻的电能量，可存储不少于62天的日冻结数据。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13.3整点冻结：存储整点时刻的电能量，可存储不少于254次整点冻结数据。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13.4定时冻结：按照约定的时刻及时间间隔冻结电能量数据，可保存最近60次的电量数据；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13.5瞬时冻结：在非正常情况下，冻结当前的日历、时间、所有电能量和重要测量量的数据；瞬时冻结量可保存最近3次的数据；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13.6约定冻结：两套费率切换、时区切换、时段转换、阶梯电价切换时刻发生的冻结。以上4种类型的冻结保存最近2次带时标的电量数据；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事件记录</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14.1 永久记录电能表清零事件的发生时刻及清零时的电能量数据。支持停电,跳闸,校时等事件记录。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14.2 记录不少于最近10次掉电发生及结束的时刻。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14.3 记录不少于最近10次跳闸发生的时间、电压、功率、功率因数。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14.4记录充值总次数，记录不少于最近10次充值发生的时间和充值金额。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14.5事件记录停电不丢失，并记录发生日期和时间。循环记录采用先进先出的原则。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15</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费控转换功能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电能表应同时具备远程预付费和本地预付费功能，两种模式可以根据管理需要随时转换。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16</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本地费控</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电表在本地费控模式时，用户必须先充值后用电，当余额≤0时，电表可按照设定的时间点自动断电，避免影响学生正常的学习和生活。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用户充值冲正余额后电表会自动合闸供电。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17</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电价管理</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可通过远程方式直接下发电价方案，价格的变更起效从下个计算周期开始。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18</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退费功能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当学生毕业时或者整体搬迁时，如电表内仍有余额，可以将预剩余退还学生，然后将电表余额自动“归零”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19</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费控功能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19.1远程控制通断电，可通过电脑下发命令对电能表进行通断电控制。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保电功能</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19.2电表应具有保电功能，当保电功能启用后，无论何种情况下电表都不会跳闸断电，供特殊管理情况下使用。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20</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数据存储</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可存储当前及上12个结算日的电量数据；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21</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电磁兼容</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在静电放电抗扰度、射频电磁场抗扰度、快速瞬变脉冲群抗扰度、射频场感应的传导骚扰抗扰度、浪涌抗扰度、无线电干扰抑制的评价或检测项目，符合GB/T 17215标准。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22</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脱机工作</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电表能脱机工作。不依赖于网络和服务器，定时跳合闸，恶性负载控制，功率控制等参数设置到电表后，电表自动执行。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0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default"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23</w:t>
            </w:r>
          </w:p>
        </w:tc>
        <w:tc>
          <w:tcPr>
            <w:tcW w:w="51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p>
        </w:tc>
        <w:tc>
          <w:tcPr>
            <w:tcW w:w="6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default"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平台融合</w:t>
            </w:r>
          </w:p>
        </w:tc>
        <w:tc>
          <w:tcPr>
            <w:tcW w:w="34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与长清校区现用的的学生公寓控电系统互融互通，不准另外搭建支付平台；与长清校区现用的能源监管平台互融互通。</w:t>
            </w:r>
          </w:p>
        </w:tc>
      </w:tr>
      <w:bookmarkEnd w:id="10"/>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电表必须至少具有至少双路计量，三路控制输出，结合实际频繁拉合闸断电的需求，为了保证电能表的使用寿命，要求三路控制使用的继电器必须为30A以上的磁保持继电器，需提供样机证明。</w:t>
      </w:r>
      <w:bookmarkStart w:id="11" w:name="_Toc256000116"/>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1"/>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（五）检验标准和质保期</w:t>
      </w:r>
      <w:bookmarkEnd w:id="11"/>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w:t>
      </w:r>
      <w:r>
        <w:rPr>
          <w:rFonts w:hint="default" w:ascii="仿宋" w:hAnsi="仿宋" w:eastAsia="仿宋" w:cs="仿宋"/>
          <w:color w:val="auto"/>
          <w:kern w:val="2"/>
          <w:sz w:val="24"/>
          <w:szCs w:val="24"/>
          <w:highlight w:val="none"/>
          <w:lang w:val="en-US" w:eastAsia="zh-CN" w:bidi="ar"/>
        </w:rPr>
        <w:t>.</w:t>
      </w:r>
      <w:r>
        <w:rPr>
          <w:rFonts w:hint="eastAsia" w:ascii="仿宋" w:hAnsi="仿宋" w:eastAsia="仿宋" w:cs="仿宋"/>
          <w:color w:val="auto"/>
          <w:kern w:val="2"/>
          <w:sz w:val="24"/>
          <w:szCs w:val="24"/>
          <w:highlight w:val="none"/>
          <w:lang w:val="en-US" w:eastAsia="zh-CN" w:bidi="ar"/>
        </w:rPr>
        <w:t>投标方应</w:t>
      </w:r>
      <w:r>
        <w:rPr>
          <w:rFonts w:hint="default" w:ascii="仿宋" w:hAnsi="仿宋" w:eastAsia="仿宋" w:cs="仿宋"/>
          <w:color w:val="auto"/>
          <w:kern w:val="2"/>
          <w:sz w:val="24"/>
          <w:szCs w:val="24"/>
          <w:highlight w:val="none"/>
          <w:lang w:val="en-US" w:eastAsia="zh-CN" w:bidi="ar"/>
        </w:rPr>
        <w:t>保证本合同所约定产品是全新未经使用的产品，符合国家规定标准，所有产品出厂资料包括且不仅限于合格证，出厂检验报告，型式实验报告等资料，</w:t>
      </w:r>
      <w:r>
        <w:rPr>
          <w:rFonts w:hint="eastAsia" w:ascii="仿宋" w:hAnsi="仿宋" w:eastAsia="仿宋" w:cs="仿宋"/>
          <w:color w:val="auto"/>
          <w:kern w:val="2"/>
          <w:sz w:val="24"/>
          <w:szCs w:val="24"/>
          <w:highlight w:val="none"/>
          <w:lang w:val="en-US" w:eastAsia="zh-CN" w:bidi="ar"/>
        </w:rPr>
        <w:t>投标方</w:t>
      </w:r>
      <w:r>
        <w:rPr>
          <w:rFonts w:hint="default" w:ascii="仿宋" w:hAnsi="仿宋" w:eastAsia="仿宋" w:cs="仿宋"/>
          <w:color w:val="auto"/>
          <w:kern w:val="2"/>
          <w:sz w:val="24"/>
          <w:szCs w:val="24"/>
          <w:highlight w:val="none"/>
          <w:lang w:val="en-US" w:eastAsia="zh-CN" w:bidi="ar"/>
        </w:rPr>
        <w:t>保证产品满足技术规范书要求，没有质量问题且能通过项目所在地供电公司及电缆使用方验收，如到产品不能满足上述要求，甲方有权更换或退回所有产品，</w:t>
      </w:r>
      <w:r>
        <w:rPr>
          <w:rFonts w:hint="eastAsia" w:ascii="仿宋" w:hAnsi="仿宋" w:eastAsia="仿宋" w:cs="仿宋"/>
          <w:color w:val="auto"/>
          <w:kern w:val="2"/>
          <w:sz w:val="24"/>
          <w:szCs w:val="24"/>
          <w:highlight w:val="none"/>
          <w:lang w:val="en-US" w:eastAsia="zh-CN" w:bidi="ar"/>
        </w:rPr>
        <w:t>投标方</w:t>
      </w:r>
      <w:r>
        <w:rPr>
          <w:rFonts w:hint="default" w:ascii="仿宋" w:hAnsi="仿宋" w:eastAsia="仿宋" w:cs="仿宋"/>
          <w:color w:val="auto"/>
          <w:kern w:val="2"/>
          <w:sz w:val="24"/>
          <w:szCs w:val="24"/>
          <w:highlight w:val="none"/>
          <w:lang w:val="en-US" w:eastAsia="zh-CN" w:bidi="ar"/>
        </w:rPr>
        <w:t>需承担由此造成的甲方一切损失。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w:t>
      </w:r>
      <w:r>
        <w:rPr>
          <w:rFonts w:hint="default" w:ascii="仿宋" w:hAnsi="仿宋" w:eastAsia="仿宋" w:cs="仿宋"/>
          <w:color w:val="auto"/>
          <w:kern w:val="2"/>
          <w:sz w:val="24"/>
          <w:szCs w:val="24"/>
          <w:highlight w:val="none"/>
          <w:lang w:val="en-US" w:eastAsia="zh-CN" w:bidi="ar"/>
        </w:rPr>
        <w:t>.标的物质量要求及技术标准按双方确认的技术规范和相关合同约定为准。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w:t>
      </w:r>
      <w:r>
        <w:rPr>
          <w:rFonts w:hint="default" w:ascii="仿宋" w:hAnsi="仿宋" w:eastAsia="仿宋" w:cs="仿宋"/>
          <w:color w:val="auto"/>
          <w:kern w:val="2"/>
          <w:sz w:val="24"/>
          <w:szCs w:val="24"/>
          <w:highlight w:val="none"/>
          <w:lang w:val="en-US" w:eastAsia="zh-CN" w:bidi="ar"/>
        </w:rPr>
        <w:t>.若产品本身有质量问题或质量缺陷，</w:t>
      </w:r>
      <w:r>
        <w:rPr>
          <w:rFonts w:hint="eastAsia" w:ascii="仿宋" w:hAnsi="仿宋" w:eastAsia="仿宋" w:cs="仿宋"/>
          <w:color w:val="auto"/>
          <w:kern w:val="2"/>
          <w:sz w:val="24"/>
          <w:szCs w:val="24"/>
          <w:highlight w:val="none"/>
          <w:lang w:val="en-US" w:eastAsia="zh-CN" w:bidi="ar"/>
        </w:rPr>
        <w:t>投标方</w:t>
      </w:r>
      <w:r>
        <w:rPr>
          <w:rFonts w:hint="default" w:ascii="仿宋" w:hAnsi="仿宋" w:eastAsia="仿宋" w:cs="仿宋"/>
          <w:color w:val="auto"/>
          <w:kern w:val="2"/>
          <w:sz w:val="24"/>
          <w:szCs w:val="24"/>
          <w:highlight w:val="none"/>
          <w:lang w:val="en-US" w:eastAsia="zh-CN" w:bidi="ar"/>
        </w:rPr>
        <w:t>负责免费更换，相关损失、所需费用（包括但不限于包装费、运输费、保险费、报关费、保管费、差旅费）以及相关维护补救工作均由</w:t>
      </w:r>
      <w:r>
        <w:rPr>
          <w:rFonts w:hint="eastAsia" w:ascii="仿宋" w:hAnsi="仿宋" w:eastAsia="仿宋" w:cs="仿宋"/>
          <w:color w:val="auto"/>
          <w:kern w:val="2"/>
          <w:sz w:val="24"/>
          <w:szCs w:val="24"/>
          <w:highlight w:val="none"/>
          <w:lang w:val="en-US" w:eastAsia="zh-CN" w:bidi="ar"/>
        </w:rPr>
        <w:t>投标方</w:t>
      </w:r>
      <w:r>
        <w:rPr>
          <w:rFonts w:hint="default" w:ascii="仿宋" w:hAnsi="仿宋" w:eastAsia="仿宋" w:cs="仿宋"/>
          <w:color w:val="auto"/>
          <w:kern w:val="2"/>
          <w:sz w:val="24"/>
          <w:szCs w:val="24"/>
          <w:highlight w:val="none"/>
          <w:lang w:val="en-US" w:eastAsia="zh-CN" w:bidi="ar"/>
        </w:rPr>
        <w:t>全部承担。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4</w:t>
      </w:r>
      <w:r>
        <w:rPr>
          <w:rFonts w:hint="default" w:ascii="仿宋" w:hAnsi="仿宋" w:eastAsia="仿宋" w:cs="仿宋"/>
          <w:color w:val="auto"/>
          <w:kern w:val="2"/>
          <w:sz w:val="24"/>
          <w:szCs w:val="24"/>
          <w:highlight w:val="none"/>
          <w:lang w:val="en-US" w:eastAsia="zh-CN" w:bidi="ar"/>
        </w:rPr>
        <w:t>.标的物验收标准为双方确认的合同技术、质量要求。原则为所有验收均符合要求且不存在质量问题，以双方代表签订书面货物验收单为准。标的物验收合格并不代表标的物不存在隐藏缺陷或标的物在正式投入使用后不存在质量问题，也不能免除</w:t>
      </w:r>
      <w:r>
        <w:rPr>
          <w:rFonts w:hint="eastAsia" w:ascii="仿宋" w:hAnsi="仿宋" w:eastAsia="仿宋" w:cs="仿宋"/>
          <w:color w:val="auto"/>
          <w:kern w:val="2"/>
          <w:sz w:val="24"/>
          <w:szCs w:val="24"/>
          <w:highlight w:val="none"/>
          <w:lang w:val="en-US" w:eastAsia="zh-CN" w:bidi="ar"/>
        </w:rPr>
        <w:t>投标方</w:t>
      </w:r>
      <w:r>
        <w:rPr>
          <w:rFonts w:hint="default" w:ascii="仿宋" w:hAnsi="仿宋" w:eastAsia="仿宋" w:cs="仿宋"/>
          <w:color w:val="auto"/>
          <w:kern w:val="2"/>
          <w:sz w:val="24"/>
          <w:szCs w:val="24"/>
          <w:highlight w:val="none"/>
          <w:lang w:val="en-US" w:eastAsia="zh-CN" w:bidi="ar"/>
        </w:rPr>
        <w:t>依据合同应承担的质量保证责任。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5</w:t>
      </w:r>
      <w:r>
        <w:rPr>
          <w:rFonts w:hint="default" w:ascii="仿宋" w:hAnsi="仿宋" w:eastAsia="仿宋" w:cs="仿宋"/>
          <w:color w:val="auto"/>
          <w:kern w:val="2"/>
          <w:sz w:val="24"/>
          <w:szCs w:val="24"/>
          <w:highlight w:val="none"/>
          <w:lang w:val="en-US" w:eastAsia="zh-CN" w:bidi="ar"/>
        </w:rPr>
        <w:t>.</w:t>
      </w:r>
      <w:r>
        <w:rPr>
          <w:rFonts w:hint="eastAsia" w:ascii="仿宋" w:hAnsi="仿宋" w:eastAsia="仿宋" w:cs="仿宋"/>
          <w:color w:val="auto"/>
          <w:kern w:val="2"/>
          <w:sz w:val="24"/>
          <w:szCs w:val="24"/>
          <w:highlight w:val="none"/>
          <w:lang w:val="en-US" w:eastAsia="zh-CN" w:bidi="ar"/>
        </w:rPr>
        <w:t>投标方承诺标的物应是崭新的、未使用过的，并且符合合同规定的品质和规格，且满足甲方的购买要求的，质保期为设备送电验收后质保【24】个月。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b/>
          <w:bCs/>
          <w:color w:val="auto"/>
          <w:kern w:val="2"/>
          <w:sz w:val="24"/>
          <w:szCs w:val="24"/>
          <w:highlight w:val="none"/>
          <w:lang w:val="en-US" w:eastAsia="zh-CN" w:bidi="ar"/>
        </w:rPr>
      </w:pPr>
      <w:bookmarkStart w:id="12" w:name="_Toc256000117"/>
      <w:r>
        <w:rPr>
          <w:rFonts w:hint="eastAsia" w:ascii="仿宋" w:hAnsi="仿宋" w:eastAsia="仿宋" w:cs="仿宋"/>
          <w:b/>
          <w:bCs/>
          <w:color w:val="auto"/>
          <w:kern w:val="2"/>
          <w:sz w:val="24"/>
          <w:szCs w:val="24"/>
          <w:highlight w:val="none"/>
          <w:lang w:val="en-US" w:eastAsia="zh-CN" w:bidi="ar"/>
        </w:rPr>
        <w:t>四、其他要求：</w:t>
      </w:r>
      <w:bookmarkEnd w:id="12"/>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承包人在施工时要充分考虑教学和师生作息等因素，合理安排施工时间，控制噪音、灯光，服从发包人的管理规定。因管理不当引起的投诉等问题，由承包人自行解决，给发包人造成不良影响的，承包人须支付合同价款1%违约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2、承包人自行与城管、交通、市政、园林等政府部门对接办理相关手续，发包人提供协助。手续办理、市政绿化苗木移植占用及恢复、围墙拆除及恢复等费用由承包人在报价时综合考虑。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3、发包人提供水电接驳点，承包人自行接临时水、临时电，接水接电费用及修建施工道路费用由投标人在投标报价时综合考虑，竣工后用水、用电费按水电表结算。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4、土方及建筑垃圾全部运送至校外政府指定地点，承包人自行办理渣土手续，费用由承包人承担。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5、包含但不限于采购保管、施工、调试、第三方检验、验收、移交、竣工备案、保修及各项手续办理等所有费用。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6、承包人应加强对施工人员的管理，严禁随意穿插校园，对于在校内施工所导致的治安问题负有管理和连带责任；承包人对于扬尘治理和支付农民工工资负有直接责任。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7、承包人应遵守工程建设安全生产有关管理规定，按法律规定、规范要求和合同约定等采取施工安全和环境保护措施，办理工伤保险，对施工场地的工作人员进行安全教育，确保工程及人员、材料、设备和设施的安全，由于承包人安全措施不力发生的财产损失、人员伤亡等安全事故均由承包人承担责任。</w:t>
      </w:r>
    </w:p>
    <w:p>
      <w:pPr>
        <w:rPr>
          <w:rFonts w:hint="default" w:ascii="仿宋" w:hAnsi="仿宋" w:eastAsia="仿宋" w:cs="仿宋"/>
          <w:b/>
          <w:bCs/>
          <w:spacing w:val="6"/>
          <w:sz w:val="24"/>
          <w:highlight w:val="yellow"/>
          <w:lang w:val="en-US" w:eastAsia="zh-CN"/>
        </w:rPr>
      </w:pPr>
      <w:r>
        <w:rPr>
          <w:rFonts w:hint="eastAsia" w:ascii="仿宋" w:hAnsi="仿宋" w:eastAsia="仿宋" w:cs="仿宋"/>
          <w:b/>
          <w:bCs/>
          <w:spacing w:val="6"/>
          <w:sz w:val="24"/>
          <w:highlight w:val="none"/>
          <w:lang w:val="en-US" w:eastAsia="zh-CN"/>
        </w:rPr>
        <w:t>五、</w:t>
      </w:r>
      <w:r>
        <w:rPr>
          <w:rFonts w:hint="eastAsia" w:ascii="仿宋" w:hAnsi="仿宋" w:eastAsia="仿宋" w:cs="仿宋"/>
          <w:b/>
          <w:bCs/>
          <w:spacing w:val="6"/>
          <w:sz w:val="24"/>
          <w:highlight w:val="none"/>
        </w:rPr>
        <w:t>工程量清单</w:t>
      </w:r>
      <w:r>
        <w:rPr>
          <w:rFonts w:hint="eastAsia" w:ascii="仿宋" w:hAnsi="仿宋" w:eastAsia="仿宋" w:cs="仿宋"/>
          <w:b/>
          <w:bCs/>
          <w:spacing w:val="6"/>
          <w:sz w:val="24"/>
          <w:highlight w:val="none"/>
          <w:lang w:val="en-US" w:eastAsia="zh-CN"/>
        </w:rPr>
        <w:t>及图纸（另附）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jMjdkOTlhM2ViYzk3NWExMmJkMWZhZjZjNzkxMzUifQ=="/>
  </w:docVars>
  <w:rsids>
    <w:rsidRoot w:val="542F0752"/>
    <w:rsid w:val="00BD202F"/>
    <w:rsid w:val="03A62CEF"/>
    <w:rsid w:val="06B14827"/>
    <w:rsid w:val="06CB5CE0"/>
    <w:rsid w:val="071E779E"/>
    <w:rsid w:val="08B1038B"/>
    <w:rsid w:val="09F67D64"/>
    <w:rsid w:val="0ABD5109"/>
    <w:rsid w:val="0BEA3817"/>
    <w:rsid w:val="0CAD69D2"/>
    <w:rsid w:val="0EB33472"/>
    <w:rsid w:val="0F0B1955"/>
    <w:rsid w:val="0FA327D1"/>
    <w:rsid w:val="10F419FC"/>
    <w:rsid w:val="145033DD"/>
    <w:rsid w:val="14BC6AC8"/>
    <w:rsid w:val="15A3502C"/>
    <w:rsid w:val="15EE1511"/>
    <w:rsid w:val="162649CD"/>
    <w:rsid w:val="1686301F"/>
    <w:rsid w:val="168B69A6"/>
    <w:rsid w:val="169B767B"/>
    <w:rsid w:val="16C822E5"/>
    <w:rsid w:val="16CE4F0E"/>
    <w:rsid w:val="17D20ECC"/>
    <w:rsid w:val="180B3564"/>
    <w:rsid w:val="184B3F4C"/>
    <w:rsid w:val="19104943"/>
    <w:rsid w:val="197E61F3"/>
    <w:rsid w:val="19B010AF"/>
    <w:rsid w:val="1B560535"/>
    <w:rsid w:val="1C903E72"/>
    <w:rsid w:val="1DA95993"/>
    <w:rsid w:val="1E3957E1"/>
    <w:rsid w:val="1EDF20C4"/>
    <w:rsid w:val="1F2D4E67"/>
    <w:rsid w:val="1FCB16AE"/>
    <w:rsid w:val="1FDC2966"/>
    <w:rsid w:val="21C6184B"/>
    <w:rsid w:val="23371E07"/>
    <w:rsid w:val="23452BDF"/>
    <w:rsid w:val="245E20D1"/>
    <w:rsid w:val="247C2972"/>
    <w:rsid w:val="247C6501"/>
    <w:rsid w:val="25FE7802"/>
    <w:rsid w:val="29030408"/>
    <w:rsid w:val="29AE64D5"/>
    <w:rsid w:val="2BAA0075"/>
    <w:rsid w:val="2CF31DB9"/>
    <w:rsid w:val="2F730D7A"/>
    <w:rsid w:val="312E47E1"/>
    <w:rsid w:val="315A4844"/>
    <w:rsid w:val="32066333"/>
    <w:rsid w:val="33AA37D8"/>
    <w:rsid w:val="341D7FA6"/>
    <w:rsid w:val="34CA1A5B"/>
    <w:rsid w:val="37697041"/>
    <w:rsid w:val="3906186F"/>
    <w:rsid w:val="39096C9C"/>
    <w:rsid w:val="3AAC1BE1"/>
    <w:rsid w:val="3B0942B6"/>
    <w:rsid w:val="3BD939FB"/>
    <w:rsid w:val="3D52286E"/>
    <w:rsid w:val="3F6B134A"/>
    <w:rsid w:val="40B127ED"/>
    <w:rsid w:val="41DC1A38"/>
    <w:rsid w:val="421666BA"/>
    <w:rsid w:val="42222330"/>
    <w:rsid w:val="429165AC"/>
    <w:rsid w:val="42CA3FCB"/>
    <w:rsid w:val="42ED387B"/>
    <w:rsid w:val="446E7358"/>
    <w:rsid w:val="44782589"/>
    <w:rsid w:val="44A4649D"/>
    <w:rsid w:val="44B230C5"/>
    <w:rsid w:val="466E3C94"/>
    <w:rsid w:val="48791A9D"/>
    <w:rsid w:val="48AE05A4"/>
    <w:rsid w:val="48E03D8D"/>
    <w:rsid w:val="498A75AF"/>
    <w:rsid w:val="49B137B9"/>
    <w:rsid w:val="4A410795"/>
    <w:rsid w:val="4B6A5437"/>
    <w:rsid w:val="4B813281"/>
    <w:rsid w:val="4B9C6A5E"/>
    <w:rsid w:val="4C6B10A4"/>
    <w:rsid w:val="4DBA76A9"/>
    <w:rsid w:val="4DF10DD7"/>
    <w:rsid w:val="50693FCA"/>
    <w:rsid w:val="52614A7B"/>
    <w:rsid w:val="54045F07"/>
    <w:rsid w:val="542F0752"/>
    <w:rsid w:val="5452222A"/>
    <w:rsid w:val="549A69C7"/>
    <w:rsid w:val="573F2365"/>
    <w:rsid w:val="583A457F"/>
    <w:rsid w:val="59726270"/>
    <w:rsid w:val="59CF73C5"/>
    <w:rsid w:val="5A974159"/>
    <w:rsid w:val="5BC02BB1"/>
    <w:rsid w:val="5BDE1190"/>
    <w:rsid w:val="5D0926D0"/>
    <w:rsid w:val="5D4713F2"/>
    <w:rsid w:val="5D603760"/>
    <w:rsid w:val="5DFF758C"/>
    <w:rsid w:val="5E2C6614"/>
    <w:rsid w:val="5F8E652E"/>
    <w:rsid w:val="5FC53567"/>
    <w:rsid w:val="601137FB"/>
    <w:rsid w:val="603D3BBA"/>
    <w:rsid w:val="611130BE"/>
    <w:rsid w:val="6231416C"/>
    <w:rsid w:val="62EB15CF"/>
    <w:rsid w:val="6489591D"/>
    <w:rsid w:val="6727447A"/>
    <w:rsid w:val="68F81631"/>
    <w:rsid w:val="68FE56C4"/>
    <w:rsid w:val="6AFE7764"/>
    <w:rsid w:val="6B285D85"/>
    <w:rsid w:val="6C8F14FF"/>
    <w:rsid w:val="6D91139E"/>
    <w:rsid w:val="6E041A62"/>
    <w:rsid w:val="72964525"/>
    <w:rsid w:val="747370B0"/>
    <w:rsid w:val="7767203F"/>
    <w:rsid w:val="78124DCD"/>
    <w:rsid w:val="79027C8E"/>
    <w:rsid w:val="7A2008EB"/>
    <w:rsid w:val="7AD96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3"/>
    <w:next w:val="1"/>
    <w:qFormat/>
    <w:uiPriority w:val="0"/>
    <w:pPr>
      <w:keepNext/>
      <w:keepLines/>
      <w:jc w:val="center"/>
      <w:outlineLvl w:val="0"/>
    </w:pPr>
    <w:rPr>
      <w:rFonts w:eastAsia="仿宋"/>
      <w:kern w:val="44"/>
      <w:sz w:val="36"/>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itle"/>
    <w:basedOn w:val="1"/>
    <w:next w:val="1"/>
    <w:qFormat/>
    <w:uiPriority w:val="99"/>
    <w:pPr>
      <w:spacing w:before="240" w:after="60"/>
      <w:jc w:val="center"/>
      <w:outlineLvl w:val="0"/>
    </w:pPr>
    <w:rPr>
      <w:rFonts w:ascii="Cambria" w:hAnsi="Cambria" w:eastAsia="方正小标宋简体"/>
      <w:b/>
      <w:bCs/>
      <w:kern w:val="0"/>
      <w:sz w:val="44"/>
      <w:szCs w:val="32"/>
    </w:rPr>
  </w:style>
  <w:style w:type="paragraph" w:customStyle="1" w:styleId="6">
    <w:name w:val="样式9 Char"/>
    <w:basedOn w:val="1"/>
    <w:qFormat/>
    <w:uiPriority w:val="0"/>
    <w:pPr>
      <w:spacing w:line="440" w:lineRule="exact"/>
      <w:ind w:firstLine="200" w:firstLineChars="200"/>
    </w:pPr>
    <w:rPr>
      <w:spacing w:val="6"/>
    </w:rPr>
  </w:style>
  <w:style w:type="paragraph" w:customStyle="1" w:styleId="7">
    <w:name w:val="表头"/>
    <w:basedOn w:val="1"/>
    <w:qFormat/>
    <w:uiPriority w:val="0"/>
    <w:pPr>
      <w:spacing w:before="160" w:after="60" w:line="312" w:lineRule="exact"/>
      <w:jc w:val="center"/>
    </w:pPr>
    <w:rPr>
      <w:rFonts w:ascii="EU-F1" w:eastAsia="黑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15855</Words>
  <Characters>17839</Characters>
  <Lines>0</Lines>
  <Paragraphs>0</Paragraphs>
  <TotalTime>2</TotalTime>
  <ScaleCrop>false</ScaleCrop>
  <LinksUpToDate>false</LinksUpToDate>
  <CharactersWithSpaces>18511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2025-07-27T00:00:00Z</dcterms:created>
  <dc:creator>lenovo</dc:creator>
  <cp:lastModifiedBy>lenovo</cp:lastModifiedBy>
  <dcterms:modified xsi:type="dcterms:W3CDTF">2025-07-27T02:11:37Z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C6C86FF03FE343449E8686D755EA1824_11</vt:lpwstr>
  </property>
</Properties>
</file>