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项目概述</w:t>
      </w:r>
    </w:p>
    <w:p>
      <w:pPr>
        <w:ind w:firstLine="420" w:firstLineChars="200"/>
        <w:rPr>
          <w:rFonts w:hint="eastAsia" w:ascii="Microsoft YaHei UI" w:hAnsi="Microsoft YaHei UI" w:eastAsia="Microsoft YaHei UI" w:cstheme="minorBidi"/>
          <w:kern w:val="0"/>
          <w:sz w:val="21"/>
          <w:szCs w:val="21"/>
          <w:highlight w:val="none"/>
          <w:lang w:val="en-US" w:eastAsia="en-US" w:bidi="ar-SA"/>
        </w:rPr>
      </w:pPr>
      <w:bookmarkStart w:id="0" w:name="OLE_LINK4"/>
      <w:bookmarkStart w:id="1" w:name="_Toc13249325"/>
      <w:bookmarkStart w:id="2" w:name="OLE_LINK8"/>
      <w:bookmarkStart w:id="3" w:name="_Toc13248928"/>
      <w:r>
        <w:rPr>
          <w:rFonts w:hint="eastAsia" w:ascii="Microsoft YaHei UI" w:hAnsi="Microsoft YaHei UI" w:eastAsia="Microsoft YaHei UI" w:cstheme="minorBidi"/>
          <w:kern w:val="0"/>
          <w:sz w:val="21"/>
          <w:szCs w:val="21"/>
          <w:highlight w:val="none"/>
          <w:lang w:val="en-US" w:eastAsia="en-US" w:bidi="ar-SA"/>
        </w:rPr>
        <w:t>南港化工厂作为 “两重点一重大”（重点监管危险化学品、重点监管危险化工工艺、重大危险源）危险化学品重点监控化工企业，在生产运营过程中面临着多重高风险挑战。其生产环节涉及高温高压、易燃易爆、有毒有害等关键场景，这一特性决定了任何环节的疏漏都可能引发严重后果。一旦发生安全事故，不仅会造成重大的人员伤亡，还会对周边环境产生难以估量的污染，同时给企业带来巨额的经济损失，甚至可能引发连锁反应，影响区域的安全稳定。​</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eastAsia" w:ascii="Microsoft YaHei UI" w:hAnsi="Microsoft YaHei UI" w:eastAsia="Microsoft YaHei UI" w:cstheme="minorBidi"/>
          <w:kern w:val="0"/>
          <w:sz w:val="21"/>
          <w:szCs w:val="21"/>
          <w:highlight w:val="none"/>
          <w:lang w:val="en-US" w:eastAsia="zh-CN" w:bidi="ar-SA"/>
        </w:rPr>
      </w:pPr>
      <w:r>
        <w:rPr>
          <w:rFonts w:hint="eastAsia" w:ascii="Microsoft YaHei UI" w:hAnsi="Microsoft YaHei UI" w:eastAsia="Microsoft YaHei UI" w:cstheme="minorBidi"/>
          <w:kern w:val="0"/>
          <w:sz w:val="21"/>
          <w:szCs w:val="21"/>
          <w:highlight w:val="none"/>
          <w:lang w:val="en-US" w:eastAsia="en-US" w:bidi="ar-SA"/>
        </w:rPr>
        <w:t>当前，厂区因地面沉降以及重型货车频繁行驶产生的重力作用，地下污水管线出现了挤压变形、破损的问题，进而导致雨污混流现象。这一问题不仅违背了环保要求，更对厂区的安全生产构成了潜在威胁。为解决此问题，现依据设计变更图纸，计划对破乳剂车间、清水剂车间及灌装棚实施雨污分流改造，并保留现有污水管道作为备用管道，后续将严格依照设计变更图纸开展现场施工工作。</w:t>
      </w:r>
    </w:p>
    <w:bookmarkEnd w:id="0"/>
    <w:bookmarkEnd w:id="1"/>
    <w:bookmarkEnd w:id="2"/>
    <w:bookmarkEnd w:id="3"/>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bookmarkStart w:id="22" w:name="_GoBack"/>
      <w:bookmarkEnd w:id="22"/>
      <w:bookmarkStart w:id="4" w:name="_Toc13248929"/>
      <w:bookmarkStart w:id="5" w:name="_Toc13249326"/>
      <w:r>
        <w:rPr>
          <w:rFonts w:hint="eastAsia" w:ascii="微软雅黑" w:hAnsi="微软雅黑" w:eastAsia="微软雅黑" w:cs="微软雅黑"/>
          <w:b/>
          <w:bCs/>
          <w:color w:val="auto"/>
          <w:sz w:val="32"/>
          <w:szCs w:val="32"/>
          <w:highlight w:val="none"/>
          <w:lang w:val="en-US" w:eastAsia="zh-CN"/>
        </w:rPr>
        <w:t>服务内容和范围</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服务内容</w:t>
      </w:r>
    </w:p>
    <w:p>
      <w:pPr>
        <w:pStyle w:val="19"/>
        <w:keepNext w:val="0"/>
        <w:keepLines w:val="0"/>
        <w:pageBreakBefore w:val="0"/>
        <w:widowControl w:val="0"/>
        <w:numPr>
          <w:ilvl w:val="0"/>
          <w:numId w:val="3"/>
        </w:numPr>
        <w:kinsoku/>
        <w:wordWrap/>
        <w:overflowPunct/>
        <w:topLinePunct w:val="0"/>
        <w:autoSpaceDE/>
        <w:autoSpaceDN/>
        <w:bidi w:val="0"/>
        <w:spacing w:line="360" w:lineRule="auto"/>
        <w:ind w:left="845" w:leftChars="0"/>
        <w:rPr>
          <w:rFonts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生产污水排水系统改造：</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bidi="ar"/>
        </w:rPr>
        <w:t>1）重新替换</w:t>
      </w:r>
      <w:r>
        <w:rPr>
          <w:rFonts w:hint="eastAsia" w:ascii="微软雅黑" w:hAnsi="微软雅黑" w:eastAsia="微软雅黑" w:cs="微软雅黑"/>
          <w:color w:val="auto"/>
          <w:sz w:val="21"/>
          <w:szCs w:val="21"/>
          <w:highlight w:val="none"/>
        </w:rPr>
        <w:t>破乳剂车间、清水剂车间及灌装棚的污水管道</w:t>
      </w:r>
      <w:r>
        <w:rPr>
          <w:rFonts w:hint="eastAsia" w:ascii="微软雅黑" w:hAnsi="微软雅黑" w:eastAsia="微软雅黑" w:cs="微软雅黑"/>
          <w:b w:val="0"/>
          <w:bCs w:val="0"/>
          <w:color w:val="auto"/>
          <w:kern w:val="0"/>
          <w:sz w:val="21"/>
          <w:szCs w:val="21"/>
          <w:highlight w:val="none"/>
          <w:lang w:bidi="ar"/>
        </w:rPr>
        <w:t>不锈钢</w:t>
      </w:r>
      <w:r>
        <w:rPr>
          <w:rFonts w:hint="eastAsia" w:ascii="微软雅黑" w:hAnsi="微软雅黑" w:eastAsia="微软雅黑" w:cs="微软雅黑"/>
          <w:b w:val="0"/>
          <w:bCs w:val="0"/>
          <w:color w:val="auto"/>
          <w:kern w:val="0"/>
          <w:sz w:val="21"/>
          <w:szCs w:val="21"/>
          <w:highlight w:val="none"/>
          <w:lang w:val="en-US" w:eastAsia="zh-CN" w:bidi="ar"/>
        </w:rPr>
        <w:t>316L</w:t>
      </w:r>
      <w:r>
        <w:rPr>
          <w:rFonts w:hint="eastAsia" w:ascii="微软雅黑" w:hAnsi="微软雅黑" w:eastAsia="微软雅黑" w:cs="微软雅黑"/>
          <w:color w:val="auto"/>
          <w:sz w:val="21"/>
          <w:szCs w:val="21"/>
          <w:highlight w:val="none"/>
        </w:rPr>
        <w:t>；</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2）对破乳剂车间、清水剂车间及灌装区的水封井加装</w:t>
      </w:r>
      <w:r>
        <w:rPr>
          <w:rFonts w:hint="eastAsia" w:ascii="微软雅黑" w:hAnsi="微软雅黑" w:eastAsia="微软雅黑" w:cs="微软雅黑"/>
          <w:b w:val="0"/>
          <w:bCs w:val="0"/>
          <w:color w:val="auto"/>
          <w:kern w:val="0"/>
          <w:sz w:val="21"/>
          <w:szCs w:val="21"/>
          <w:highlight w:val="none"/>
          <w:lang w:bidi="ar"/>
        </w:rPr>
        <w:t>不锈钢</w:t>
      </w:r>
      <w:r>
        <w:rPr>
          <w:rFonts w:hint="eastAsia" w:ascii="微软雅黑" w:hAnsi="微软雅黑" w:eastAsia="微软雅黑" w:cs="微软雅黑"/>
          <w:b w:val="0"/>
          <w:bCs w:val="0"/>
          <w:color w:val="auto"/>
          <w:kern w:val="0"/>
          <w:sz w:val="21"/>
          <w:szCs w:val="21"/>
          <w:highlight w:val="none"/>
          <w:lang w:val="en-US" w:eastAsia="zh-CN" w:bidi="ar"/>
        </w:rPr>
        <w:t>316L</w:t>
      </w:r>
      <w:r>
        <w:rPr>
          <w:rFonts w:hint="eastAsia" w:ascii="微软雅黑" w:hAnsi="微软雅黑" w:eastAsia="微软雅黑" w:cs="微软雅黑"/>
          <w:color w:val="auto"/>
          <w:sz w:val="21"/>
          <w:szCs w:val="21"/>
          <w:highlight w:val="none"/>
        </w:rPr>
        <w:t>内衬5</w:t>
      </w:r>
      <w:r>
        <w:rPr>
          <w:rFonts w:ascii="微软雅黑" w:hAnsi="微软雅黑" w:eastAsia="微软雅黑" w:cs="微软雅黑"/>
          <w:color w:val="auto"/>
          <w:sz w:val="21"/>
          <w:szCs w:val="21"/>
          <w:highlight w:val="none"/>
        </w:rPr>
        <w:t>mm</w:t>
      </w:r>
      <w:r>
        <w:rPr>
          <w:rFonts w:hint="eastAsia" w:ascii="微软雅黑" w:hAnsi="微软雅黑" w:eastAsia="微软雅黑" w:cs="微软雅黑"/>
          <w:color w:val="auto"/>
          <w:sz w:val="21"/>
          <w:szCs w:val="21"/>
          <w:highlight w:val="none"/>
        </w:rPr>
        <w:t>；</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3）改造并加装总排口水封井明杆闸阀（阀杆加长，手轮提升至井沿高度</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注</w:t>
      </w:r>
      <w:r>
        <w:rPr>
          <w:rFonts w:ascii="微软雅黑" w:hAnsi="微软雅黑" w:eastAsia="微软雅黑" w:cs="微软雅黑"/>
          <w:color w:val="auto"/>
          <w:sz w:val="21"/>
          <w:szCs w:val="21"/>
          <w:highlight w:val="none"/>
        </w:rPr>
        <w:t>316</w:t>
      </w:r>
      <w:r>
        <w:rPr>
          <w:rFonts w:hint="eastAsia" w:ascii="微软雅黑" w:hAnsi="微软雅黑" w:eastAsia="微软雅黑" w:cs="微软雅黑"/>
          <w:color w:val="auto"/>
          <w:sz w:val="21"/>
          <w:szCs w:val="21"/>
          <w:highlight w:val="none"/>
        </w:rPr>
        <w:t>不锈钢材质）；</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4）管道基底地基承载力不小于80KPa，碎石基床压实系数大于0.96，若地基未进行处理，达不到上诉要求，则必须通过换填或碾压等措施达到要求。</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埋地污水管道</w:t>
      </w:r>
      <w:r>
        <w:rPr>
          <w:rFonts w:hint="eastAsia" w:ascii="微软雅黑" w:hAnsi="微软雅黑" w:eastAsia="微软雅黑" w:cs="微软雅黑"/>
          <w:kern w:val="2"/>
          <w:sz w:val="21"/>
          <w:szCs w:val="21"/>
          <w:highlight w:val="none"/>
          <w:lang w:val="en-US" w:eastAsia="zh-CN" w:bidi="ar-SA"/>
        </w:rPr>
        <w:t>道沟槽铺设厚度100mm的钢筋网（φ8mm，网片间距150mm*150mm）混凝土C30基础垫层，并根据图纸在管道弯头、三通和堵头等位置设置钢筋混凝土支墩。</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rPr>
        <w:t>）埋地管道埋深应结合高程及管线综合图敷设，沟槽槽底净宽度为管外径加0.6m，均按照放坡开挖沟槽考虑，放坡比例为1：0.5，管道底部基础做法：采用250mm厚碎石及50mm粗砂回填，密实度达到90%，管道周围及管道顶部500mm范围内采用粗砂回填，密实度达到95%，管道顶部500mm以外，采用原土分层回填，回填至地面结构底部。</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rPr>
        <w:t>6）</w:t>
      </w:r>
      <w:r>
        <w:rPr>
          <w:rFonts w:hint="eastAsia" w:ascii="微软雅黑" w:hAnsi="微软雅黑" w:eastAsia="微软雅黑" w:cs="微软雅黑"/>
          <w:color w:val="auto"/>
          <w:sz w:val="21"/>
          <w:szCs w:val="21"/>
          <w:highlight w:val="none"/>
          <w:lang w:val="en-US" w:eastAsia="zh-CN"/>
        </w:rPr>
        <w:t>依照设计要求在破乳剂车间、清水剂车间、污水预处理外侧污水管道增加两座矩形阀门井。</w:t>
      </w:r>
    </w:p>
    <w:p>
      <w:pPr>
        <w:pStyle w:val="19"/>
        <w:keepNext w:val="0"/>
        <w:keepLines w:val="0"/>
        <w:pageBreakBefore w:val="0"/>
        <w:widowControl w:val="0"/>
        <w:kinsoku/>
        <w:wordWrap/>
        <w:overflowPunct/>
        <w:topLinePunct w:val="0"/>
        <w:autoSpaceDE/>
        <w:autoSpaceDN/>
        <w:bidi w:val="0"/>
        <w:spacing w:line="360" w:lineRule="auto"/>
        <w:ind w:firstLine="420" w:firstLineChars="200"/>
        <w:jc w:val="left"/>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7）重新替换砌筑雨水外排检查井φ1500一座。</w:t>
      </w:r>
    </w:p>
    <w:p>
      <w:pPr>
        <w:pStyle w:val="19"/>
        <w:keepNext w:val="0"/>
        <w:keepLines w:val="0"/>
        <w:pageBreakBefore w:val="0"/>
        <w:widowControl w:val="0"/>
        <w:numPr>
          <w:ilvl w:val="0"/>
          <w:numId w:val="3"/>
        </w:numPr>
        <w:kinsoku/>
        <w:wordWrap/>
        <w:overflowPunct/>
        <w:topLinePunct w:val="0"/>
        <w:autoSpaceDE/>
        <w:autoSpaceDN/>
        <w:bidi w:val="0"/>
        <w:spacing w:line="360" w:lineRule="auto"/>
        <w:ind w:left="845" w:leftChars="0"/>
        <w:rPr>
          <w:rFonts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污水管网改造：</w:t>
      </w:r>
    </w:p>
    <w:p>
      <w:pPr>
        <w:pStyle w:val="19"/>
        <w:keepNext w:val="0"/>
        <w:keepLines w:val="0"/>
        <w:pageBreakBefore w:val="0"/>
        <w:widowControl w:val="0"/>
        <w:numPr>
          <w:ilvl w:val="0"/>
          <w:numId w:val="4"/>
        </w:numPr>
        <w:kinsoku/>
        <w:wordWrap/>
        <w:overflowPunct/>
        <w:topLinePunct w:val="0"/>
        <w:autoSpaceDE/>
        <w:autoSpaceDN/>
        <w:bidi w:val="0"/>
        <w:spacing w:line="360" w:lineRule="auto"/>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车间污水排水系统总排口加装</w:t>
      </w:r>
      <w:r>
        <w:rPr>
          <w:rFonts w:hint="eastAsia" w:ascii="微软雅黑" w:hAnsi="微软雅黑" w:eastAsia="微软雅黑" w:cs="微软雅黑"/>
          <w:color w:val="auto"/>
          <w:sz w:val="21"/>
          <w:szCs w:val="21"/>
          <w:highlight w:val="none"/>
          <w:lang w:val="en-US" w:eastAsia="zh-CN"/>
        </w:rPr>
        <w:t>不锈钢316L防爆潜污泵及电磁流量计并中控组态</w:t>
      </w:r>
      <w:r>
        <w:rPr>
          <w:rFonts w:hint="eastAsia" w:ascii="微软雅黑" w:hAnsi="微软雅黑" w:eastAsia="微软雅黑" w:cs="微软雅黑"/>
          <w:color w:val="auto"/>
          <w:sz w:val="21"/>
          <w:szCs w:val="21"/>
          <w:highlight w:val="none"/>
          <w:lang w:eastAsia="zh-CN"/>
        </w:rPr>
        <w:t>。</w:t>
      </w:r>
    </w:p>
    <w:p>
      <w:pPr>
        <w:pStyle w:val="19"/>
        <w:keepNext w:val="0"/>
        <w:keepLines w:val="0"/>
        <w:pageBreakBefore w:val="0"/>
        <w:widowControl w:val="0"/>
        <w:numPr>
          <w:ilvl w:val="0"/>
          <w:numId w:val="4"/>
        </w:numPr>
        <w:kinsoku/>
        <w:wordWrap/>
        <w:overflowPunct/>
        <w:topLinePunct w:val="0"/>
        <w:autoSpaceDE/>
        <w:autoSpaceDN/>
        <w:bidi w:val="0"/>
        <w:spacing w:line="360" w:lineRule="auto"/>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铺设污水管道至污水处理区域。</w:t>
      </w:r>
    </w:p>
    <w:p>
      <w:pPr>
        <w:pStyle w:val="19"/>
        <w:keepNext w:val="0"/>
        <w:keepLines w:val="0"/>
        <w:pageBreakBefore w:val="0"/>
        <w:widowControl w:val="0"/>
        <w:numPr>
          <w:ilvl w:val="0"/>
          <w:numId w:val="4"/>
        </w:numPr>
        <w:kinsoku/>
        <w:wordWrap/>
        <w:overflowPunct/>
        <w:topLinePunct w:val="0"/>
        <w:autoSpaceDE/>
        <w:autoSpaceDN/>
        <w:bidi w:val="0"/>
        <w:spacing w:line="360" w:lineRule="auto"/>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污水管道工作压力</w:t>
      </w:r>
      <w:r>
        <w:rPr>
          <w:rFonts w:hint="eastAsia" w:ascii="微软雅黑" w:hAnsi="微软雅黑" w:eastAsia="微软雅黑" w:cs="微软雅黑"/>
          <w:color w:val="auto"/>
          <w:sz w:val="21"/>
          <w:szCs w:val="21"/>
          <w:highlight w:val="none"/>
          <w:lang w:val="en-US" w:eastAsia="zh-CN"/>
        </w:rPr>
        <w:t>0.9</w:t>
      </w:r>
      <w:r>
        <w:rPr>
          <w:rFonts w:hint="eastAsia" w:ascii="微软雅黑" w:hAnsi="微软雅黑" w:eastAsia="微软雅黑" w:cs="微软雅黑"/>
          <w:color w:val="auto"/>
          <w:sz w:val="21"/>
          <w:szCs w:val="21"/>
          <w:highlight w:val="none"/>
        </w:rPr>
        <w:t>MPa，试验压力达到1.</w:t>
      </w: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0MPa，污水官网运行前应进行管道清洗。</w:t>
      </w:r>
    </w:p>
    <w:p>
      <w:pPr>
        <w:pStyle w:val="19"/>
        <w:keepNext w:val="0"/>
        <w:keepLines w:val="0"/>
        <w:pageBreakBefore w:val="0"/>
        <w:widowControl w:val="0"/>
        <w:numPr>
          <w:ilvl w:val="0"/>
          <w:numId w:val="4"/>
        </w:numPr>
        <w:kinsoku/>
        <w:wordWrap/>
        <w:overflowPunct/>
        <w:topLinePunct w:val="0"/>
        <w:autoSpaceDE/>
        <w:autoSpaceDN/>
        <w:bidi w:val="0"/>
        <w:spacing w:line="360" w:lineRule="auto"/>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管道安装相应的电伴热带及配电控制箱，并依据设计要求对管线进行相应的保温。</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0" w:firstLineChars="0"/>
        <w:jc w:val="left"/>
        <w:textAlignment w:val="auto"/>
        <w:rPr>
          <w:rFonts w:hint="eastAsia"/>
          <w:highlight w:val="none"/>
          <w:lang w:val="en-US" w:eastAsia="zh-CN"/>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工作量清单（包括不限于以下明细，具体以技术要求及现场需求为准）</w:t>
      </w:r>
    </w:p>
    <w:tbl>
      <w:tblPr>
        <w:tblStyle w:val="14"/>
        <w:tblW w:w="10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4"/>
        <w:gridCol w:w="1592"/>
        <w:gridCol w:w="4372"/>
        <w:gridCol w:w="728"/>
        <w:gridCol w:w="914"/>
        <w:gridCol w:w="2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序号</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物资_服务名称</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规格及型号_服务要求</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单位</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数量</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5"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给排水-灌装棚PD-FJ-14潜污泵安装及管道铺设服务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90°弯头DN40，E90 , GB/T 14383, Series 1 , CL3000 , SWE ,NB/T47010-S31603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异径三通DN40-25，022Cr17Ni12Mo2，NB/T47010-2017,CL3000,SW,GB/T14383-2008</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法兰DN40,022Cr17Ni12Mo2，NB/T47010-2017,CL150,SW-RF,SCH40S，HG/T20615-2009</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7.00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F316L，CL800，SW，316L，BB, OS&amp;Y，API 602，GA80SS002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止回阀 F316L，CL150，RF，316L，BC,PISTON，API 602，CV01SF002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截止阀 F316L，CL150，RF，316L，BB, OS&amp;Y，API 602，GL01SF003 DN25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可曲挠橡胶接头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管道隔热 岩棉管壳Φ48.3  δ=40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防潮层、保护层安装 铝板  δ=0.5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3.80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12</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给排水-破乳剂车间SF-5潜污泵安装及管道铺设服务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9.00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90°弯头DN40，E90 , GB/T 14383, Series 1 , CL3000 , SWE ,NB/T47010-S31603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异径三通DN40-25，022Cr17Ni12Mo2，NB/T47010-2017,CL3000,SW,GB/T14383-2008</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法兰DN40,022Cr17Ni12Mo2，NB/T47010-2017,CL150,SW-RF,SCH40S，HG/T20615-2009</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7.00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F316L，CL800，SW，316L，BB, OS&amp;Y，API 602，GA80SS002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止回阀 F316L，CL150，RF，316L，BC,PISTON，API 602，CV01SF002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19</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截止阀 F316L，CL150，RF，316L，BB, OS&amp;Y，API 602，GL01SF003 DN25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可曲挠橡胶接头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管道隔热 岩棉管壳Φ48.3  δ=40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9.00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防潮层、保护层安装 铝板  δ=0.5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3.50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23</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给排水-清水剂车间SF-3潜污泵安装及管道铺设服务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25.00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90°弯头DN40，E90 , GB/T 14383, Series 1 , CL3000 , SWE ,NB/T47010-S31603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4.00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异径三通DN40-25，022Cr17Ni12Mo2，NB/T47010-2017,CL3000,SW,GB/T14383-2008</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法兰DN40,022Cr17Ni12Mo2，NB/T47010-2017,CL150,SW-RF,SCH40S，HG/T20615-2009</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7.00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F316L，CL800，SW，316L，BB, OS&amp;Y，API 602，GA80SS002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29</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止回阀 F316L，CL150，RF，316L，BC,PISTON，API 602，CV01SF002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截止阀 F316L，CL150，RF，316L，BB, OS&amp;Y，API 602，GL01SF003 DN25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可曲挠橡胶接头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管道隔热 岩棉管壳Φ48.3  δ=40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25.00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防潮层、保护层安装 铝板  δ=0.5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9.50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34</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给排水-污水管道及阀门井阀门铺设及安装服务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BE ,GB/T14976-022Cr17Ni12Mo2 , SMLS , SCH10S DN300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187.00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BE ,GB/T14976-022Cr17Ni12Mo2 , SMLS , SCH10S DN200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16.00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90°弯头DN300，PIPE , HG/T 20553 Ia , PE ,GB/T14976-022Cr17Ni12Mo2 , SMLS , SCH40S</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90°弯头DN200，PIPE , HG/T 20553 Ia , PE ,GB/T14976-022Cr17Ni12Mo2 , SMLS , SCH40S</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CF3M，CL150，RF，316L，BB, OS&amp;Y，API 600，GA01SF004 DN300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39</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CF3M，CL150，RF，316L，BB, OS&amp;Y，API 600，GA01SF004 DN400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CF3M，CL150，RF，316L，BB, OS&amp;Y，API 600，GA01SF004 DN200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井、池内衬材料(316不锈钢板  δ=5mm)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205.00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拆除原有管道及搬迁（排水用钢带增强聚乙烯螺旋波纹管 DN300 长度约300米）详见“破乳剂车间、清水剂车间的埋地污水管道”示意图</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项</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43</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管道垫层及开挖</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矩形闸阀井 1300*1300    混凝土，05S502/P68，防渗等级不低于P8</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座</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圆形雨水检查井φ1500，混凝土，02(03)S515，配套井盖和支座等，防渗等级不低于P8</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座</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管沟开挖</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立方米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873.75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混凝土垫层 C30（Φ8mm钢筋网片 间距150mm*150mm）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立方米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27.90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50mm粗砂</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立方米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18.00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250mm厚碎石</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立方米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69.75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49</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管线铺设服务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S-40S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994.00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90°弯头DN40,E90 , GB/T 14383, Series 1 , CL3000 , SWE ,NB/T47010-S31603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29.00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同心管箍DN40,Cplg.,022Cr17Ni12Mo2，NB/T47010-2017,CL3000,SW,GB/T14383-2008</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116.00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管夹式管托，组合件，HG/T21629-2021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258.00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槽钢[12.6，Q235B，GB/T 706-2016</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角钢L100x10，Q235B，GB/T 706-2016</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2.76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角钢L75x7，Q235B，GB/T 706-2016</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113.53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钢板δ10，Q235B，GB/T 700-2006</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0.11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镀锌钢丝#18</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千克</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22.50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自攻螺钉</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千克</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5.00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59</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接线端子OT 16-10</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金属接地板δ=6mm不锈钢板</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0.08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螺栓/螺母M10x35</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套</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62</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防腐涂装保温安装服务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管道隔热 岩棉管壳 Φ48.3  δ=40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立方米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9.10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防潮层、保护层安装 铝板  δ=0.5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平方米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312.50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一般钢结构抛丸除锈</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2.26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一般钢结构环氧富锌底漆(50μm)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2.26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一般钢结构环氧云铁漆(130μm)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2.26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一般钢结构可覆涂丙烯酸聚氨酯面漆(70μm)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2.26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68</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静电接地服务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接地跨接（接线端子OT16-10不少于50个，金属接地板：厚度6mm不少于0.4平米，螺栓/螺母M10*35不少于50套）</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处</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5.00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69</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污水处理管线铺设服务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PIPE , HG/T 20553 Ia , PE ,GB/T14976-022Cr17Ni12Mo2 , SMLS , SCH40S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85.00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闸阀 F316L，CL800，SW，316/STL.6，BB, OS&amp;Y DN40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配套法兰、垫片、紧固件；服务过程涉及的耗材、机具、人工均由乙方负责提供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71</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污水处理支墩安装服务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支墩（C35混凝土）</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立方米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0.24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预埋件</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0.06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73</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电气-动力-潜污泵线缆及控制箱安装服务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低压开关柜抽屉回路改造</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防爆现场操作箱（联锁开关1只，按钮2只，信号灯2只）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电力电缆ZA-YJV-0.6/1-4X35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控制电缆ZA-KYJVP-0.45/0.75-7X2.5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1000.00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控制电缆ZA-KYJVP-0.45/0.75-4X1.5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24.00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金属支架  镀锌金属支架制作安装</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0.09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#10热镀锌槽钢：6米，热镀锌角钢L30X4：6米，热镀锌角钢L40X4：6米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79</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接地线铺设服务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热镀锌扁钢  -40X4</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14.00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80</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电气-动力-电伴热铺设服务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低压开关柜抽屉回路改造</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电伴热控制箱（电伴热厂家配）</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2.00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电力电缆ZA-YJV-0.6/1-3X50+2X25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110.00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电力电缆ZA-YJV-0.6/1-5X16</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320.00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金属支架  镀锌金属支架制作安装</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吨</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0.01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热镀锌角钢L30X4：2米，热镀锌角钢L40X4：2米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85</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电伴热带900米及相关设备安装铺设服务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自调控电伴热带ZBR-15-220-PB900米</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电源盒BHD-II-F2 10个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电伴热尾端BHZ-F 10个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电伴热带二通BHI-F 8个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89</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玻璃纤维胶带HROT-20 1400米</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1400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90</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电伴热扎带CLP-2 20个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电伴热警告牌HROC-B 150个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150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92</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电缆填料函BDM(MK)平方米5*1.5 10个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93</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电缆填料函BDM(MK)平方米0*1.5 9个</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个</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94</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防爆温度传感器PT100 9支</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支</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95</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电伴热控制箱8回路8控，备用2回路，防爆等级Exde IIBT4 GB,防护等级IP65,WF1，材质：铸铝；主要元器件：施耐德；主开关380V 3p 80A，分开关220V 2p 32A+vigi。1台</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96</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电伴热控制箱4回路4控，备用1回路，防爆等级Exde IIBT4 GB,防护等级IP65,WF1，材质：铸铝；主要元器件：施耐德；主开关380V 3p 50A，分开关220V 2p 32A+vigi。1台</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97</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动力电缆ZA-YJV22-0.6/1-3*4 400米</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400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98</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信号电缆ZA-KYJVP22-0.45/0.75-3*1.5 400米</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400</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99</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压力仪表安装</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隔膜压力表 表盘直径：100mm,IP66 过程连接尺寸：ASME B16.5 1" 150LB</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8"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100</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潜污泵（防爆型316L）安装服务</w:t>
            </w: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QW50-20-90-22P,Q=10m³/h H=90m U=380V N=22KW IP68 Ex dIIBT4 供货商配套供应液位自动控制装置（浮球式，根据液位自动开停泵）、撬内电缆及相关配件（含电磁流量计\测量范围:0～20m3/h\精度等级:0.5\输出信号:4～20mA\额定电压:DC24V\本地显示:LCD显示\接口规格:DN40,RF 300lb\工作温度:-20～180℃℃\测量元件材质:316L\测量介质:淡水\防爆防护等级:ExiaⅡCT6 IP65(含TS证书）并敷设阻燃、屏蔽、铠装线缆，截面积不低于1.5mm²，至少4芯线缆通讯线缆，约994米至中控组态）</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101</w:t>
            </w: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1"/>
                <w:szCs w:val="21"/>
                <w:highlight w:val="none"/>
                <w:u w:val="none"/>
              </w:rPr>
            </w:pPr>
          </w:p>
        </w:tc>
        <w:tc>
          <w:tcPr>
            <w:tcW w:w="4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1kV及以下交流异步电动机检查试运及系统调试 防爆型  30kW以内</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3.00 </w:t>
            </w:r>
          </w:p>
        </w:tc>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服务过程涉及的耗材、机具、人工均由乙方负责提供</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t>★</w:t>
      </w:r>
      <w:r>
        <w:rPr>
          <w:rFonts w:hint="eastAsia" w:ascii="微软雅黑" w:hAnsi="微软雅黑" w:eastAsia="微软雅黑" w:cs="微软雅黑"/>
          <w:i w:val="0"/>
          <w:iCs w:val="0"/>
          <w:color w:val="000000"/>
          <w:kern w:val="0"/>
          <w:sz w:val="21"/>
          <w:szCs w:val="21"/>
          <w:highlight w:val="none"/>
          <w:u w:val="none"/>
          <w:lang w:val="en-US" w:eastAsia="zh-CN" w:bidi="ar"/>
        </w:rPr>
        <w:t>乙方承诺：</w:t>
      </w:r>
      <w:r>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t>上述</w:t>
      </w:r>
      <w:bookmarkStart w:id="6" w:name="OLE_LINK30"/>
      <w:r>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t>工作量清单中各项工作在施工作业过程中所涉及的机具、物料、人工、运输等均由乙方提供，甲方不再单独支出任何费用。</w:t>
      </w:r>
      <w:bookmarkEnd w:id="6"/>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服务地点：</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中海油（天津）油田化工有限公司南港化工厂（南港泰汇路6号）</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服务期限：</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合同签订后，以甲方通知为准60个自然日内整体完工，具体工期安排如下：</w:t>
      </w:r>
      <w:r>
        <w:rPr>
          <w:rFonts w:hint="eastAsia" w:ascii="微软雅黑" w:hAnsi="微软雅黑" w:eastAsia="微软雅黑" w:cs="Times New Roman"/>
          <w:bCs/>
          <w:color w:val="auto"/>
          <w:sz w:val="21"/>
          <w:szCs w:val="21"/>
          <w:highlight w:val="none"/>
          <w:lang w:val="en-US" w:eastAsia="zh-CN"/>
        </w:rPr>
        <w:t>合同签订生效后的15个自然日内，乙方须向</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甲方</w:t>
      </w:r>
      <w:r>
        <w:rPr>
          <w:rFonts w:hint="eastAsia" w:ascii="微软雅黑" w:hAnsi="微软雅黑" w:eastAsia="微软雅黑" w:cs="Times New Roman"/>
          <w:bCs/>
          <w:color w:val="auto"/>
          <w:sz w:val="21"/>
          <w:szCs w:val="21"/>
          <w:highlight w:val="none"/>
          <w:lang w:val="en-US" w:eastAsia="zh-CN"/>
        </w:rPr>
        <w:t>提交本项目相关服务的具体施工方案及施工计划进度。提交内容应全面详实，至少涵盖作业内容、项目管理机构设置、设备材料清单、施工工艺说明、项目风险分析及控制措施、应急管理预案等方面。乙方提交的施工方案及进度计划须确保内容真实、准确、可行，符合国家相关规范及本项目技术要求。在正式作业前，乙方提交的上述文件需经甲方书面审核通过后方可实施；若未通过审核乙方应根据建设方审核意见及时修改完善，并重新提交审核，直至通过为止。由此导致的工期延误、费用增加等责任由乙方自行承担。</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备注：</w:t>
      </w:r>
      <w:r>
        <w:rPr>
          <w:rFonts w:hint="eastAsia" w:ascii="微软雅黑" w:hAnsi="微软雅黑" w:eastAsia="微软雅黑" w:cs="微软雅黑"/>
          <w:i w:val="0"/>
          <w:iCs w:val="0"/>
          <w:caps w:val="0"/>
          <w:spacing w:val="0"/>
          <w:sz w:val="21"/>
          <w:szCs w:val="21"/>
          <w:highlight w:val="none"/>
          <w:shd w:val="clear" w:fill="FFFFFF"/>
        </w:rPr>
        <w:t>如遇极端天气、甲方生产保供需求、施工工艺处置未完成，或其他不可控因素，导致整体或单项工作无法正常开展时，甲方将通过 “业务联络函” 通知乙方，服务将延期进行。在不可控因素消除后，甲方会再次通过 “业务联络函” 通知乙方，项目实施计划相应顺延。未经甲方书面同意，乙方不得擅自延长工期。</w:t>
      </w:r>
    </w:p>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执行标准/规范</w:t>
      </w:r>
    </w:p>
    <w:p>
      <w:pPr>
        <w:pStyle w:val="6"/>
        <w:keepNext w:val="0"/>
        <w:keepLines w:val="0"/>
        <w:pageBreakBefore w:val="0"/>
        <w:widowControl w:val="0"/>
        <w:numPr>
          <w:ilvl w:val="0"/>
          <w:numId w:val="5"/>
        </w:numPr>
        <w:kinsoku/>
        <w:wordWrap/>
        <w:overflowPunct/>
        <w:topLinePunct w:val="0"/>
        <w:autoSpaceDE/>
        <w:autoSpaceDN/>
        <w:bidi w:val="0"/>
        <w:adjustRightInd/>
        <w:snapToGrid/>
        <w:spacing w:line="257" w:lineRule="auto"/>
        <w:ind w:left="0" w:leftChars="0" w:right="115" w:rightChars="55" w:firstLine="210" w:firstLineChars="100"/>
        <w:textAlignment w:val="auto"/>
        <w:rPr>
          <w:rFonts w:hint="eastAsia" w:ascii="微软雅黑" w:hAnsi="微软雅黑" w:eastAsia="微软雅黑" w:cs="微软雅黑"/>
          <w:highlight w:val="none"/>
          <w:lang w:eastAsia="zh-CN"/>
        </w:rPr>
      </w:pPr>
      <w:r>
        <w:rPr>
          <w:rFonts w:hint="eastAsia" w:ascii="微软雅黑" w:hAnsi="微软雅黑" w:eastAsia="微软雅黑" w:cs="微软雅黑"/>
          <w:highlight w:val="none"/>
          <w:lang w:eastAsia="zh-CN"/>
        </w:rPr>
        <w:t>（海发第六批）56、CGBZ056-2022 防腐保温技术服务</w:t>
      </w:r>
    </w:p>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服务要求</w:t>
      </w:r>
    </w:p>
    <w:p>
      <w:pPr>
        <w:pStyle w:val="6"/>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引用（海发第六批）56、CGBZ056-2022 防腐保温技术服务：</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保温前准备和清理。工艺管线保温前，应检查所保温的管线系统根据图纸是否已经安装试压完毕；丝扣是否上紧,法兰连接是否完成，法兰保温材料安装只有在上述试压试验完成之后，证实连接是安全可靠的，并重新固定好螺栓之后方可进行；所有管线支架、管鞋是否已就位；检查所有需保温管线表面是否已经清理干净，检查保温管线表面是否潮湿和有霜露，当出现潮湿和有霜露时，不得进行绝热层的保温作业必须确保在作业中无任何表面暴露在雨中或水汽中。</w:t>
      </w:r>
    </w:p>
    <w:p>
      <w:pPr>
        <w:pStyle w:val="6"/>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车间及灌装棚污水管道整改服务具体要求：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default" w:ascii="微软雅黑" w:hAnsi="微软雅黑" w:eastAsia="微软雅黑" w:cs="微软雅黑"/>
          <w:b w:val="0"/>
          <w:bCs w:val="0"/>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t>严格依照项目设计变更图纸执行，图纸详见：附件。具体工程量详见工程量清单，当工程量清单的特征与设计图纸描述不一致时，以技术要求所描述的特征为准，具体工作量如下：</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val="0"/>
          <w:bCs w:val="0"/>
          <w:i w:val="0"/>
          <w:iCs w:val="0"/>
          <w:caps w:val="0"/>
          <w:spacing w:val="0"/>
          <w:sz w:val="21"/>
          <w:szCs w:val="21"/>
          <w:highlight w:val="none"/>
          <w:u w:val="none"/>
          <w:shd w:val="clear" w:fill="FFFFFF"/>
          <w:lang w:val="en-US" w:eastAsia="zh-CN"/>
        </w:rPr>
        <w:t>按设计图纸、技术文件及国家规范要求完成项目设计图纸中所包括的全部工作内容。工作包括但不限于以下内容：</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变更破乳剂车间、清水剂车间、污水预处理的埋地污水管道（不锈钢316）并新增矩形阀门井3座，更换砌筑圆形检查井1座；</w:t>
      </w:r>
    </w:p>
    <w:p>
      <w:pPr>
        <w:pStyle w:val="19"/>
        <w:numPr>
          <w:ilvl w:val="0"/>
          <w:numId w:val="0"/>
        </w:numPr>
        <w:spacing w:line="360" w:lineRule="auto"/>
        <w:ind w:left="-840" w:leftChars="-400" w:firstLine="0" w:firstLineChars="0"/>
        <w:jc w:val="left"/>
        <w:rPr>
          <w:color w:val="auto"/>
          <w:highlight w:val="none"/>
        </w:rPr>
      </w:pPr>
      <w:r>
        <w:rPr>
          <w:color w:val="auto"/>
          <w:highlight w:val="none"/>
        </w:rPr>
        <w:drawing>
          <wp:inline distT="0" distB="0" distL="114300" distR="114300">
            <wp:extent cx="6641465" cy="4041775"/>
            <wp:effectExtent l="9525" t="9525" r="16510" b="254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6641465" cy="4041775"/>
                    </a:xfrm>
                    <a:prstGeom prst="rect">
                      <a:avLst/>
                    </a:prstGeom>
                    <a:noFill/>
                    <a:ln>
                      <a:solidFill>
                        <a:schemeClr val="accent1"/>
                      </a:solidFill>
                    </a:ln>
                  </pic:spPr>
                </pic:pic>
              </a:graphicData>
            </a:graphic>
          </wp:inline>
        </w:drawing>
      </w:r>
    </w:p>
    <w:p>
      <w:pPr>
        <w:pStyle w:val="19"/>
        <w:numPr>
          <w:ilvl w:val="0"/>
          <w:numId w:val="0"/>
        </w:numPr>
        <w:spacing w:line="360" w:lineRule="auto"/>
        <w:ind w:left="-840" w:leftChars="-400" w:firstLine="0" w:firstLineChars="0"/>
        <w:jc w:val="left"/>
        <w:rPr>
          <w:color w:val="auto"/>
          <w:highlight w:val="none"/>
        </w:rPr>
      </w:pPr>
      <w:r>
        <w:rPr>
          <w:color w:val="auto"/>
          <w:highlight w:val="none"/>
        </w:rPr>
        <w:drawing>
          <wp:inline distT="0" distB="0" distL="114300" distR="114300">
            <wp:extent cx="6635750" cy="3356610"/>
            <wp:effectExtent l="9525" t="9525" r="22225" b="247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6635750" cy="3356610"/>
                    </a:xfrm>
                    <a:prstGeom prst="rect">
                      <a:avLst/>
                    </a:prstGeom>
                    <a:noFill/>
                    <a:ln>
                      <a:solidFill>
                        <a:schemeClr val="accent1"/>
                      </a:solidFill>
                    </a:ln>
                  </pic:spPr>
                </pic:pic>
              </a:graphicData>
            </a:graphic>
          </wp:inline>
        </w:drawing>
      </w:r>
    </w:p>
    <w:p>
      <w:pPr>
        <w:pStyle w:val="19"/>
        <w:numPr>
          <w:ilvl w:val="0"/>
          <w:numId w:val="0"/>
        </w:numPr>
        <w:spacing w:line="360" w:lineRule="auto"/>
        <w:ind w:left="-840" w:leftChars="-400" w:firstLine="0" w:firstLineChars="0"/>
        <w:jc w:val="center"/>
        <w:rPr>
          <w:highlight w:val="none"/>
        </w:rPr>
      </w:pPr>
      <w:r>
        <w:rPr>
          <w:highlight w:val="none"/>
        </w:rPr>
        <w:drawing>
          <wp:inline distT="0" distB="0" distL="114300" distR="114300">
            <wp:extent cx="6315710" cy="3207385"/>
            <wp:effectExtent l="9525" t="9525" r="18415" b="215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315710" cy="3207385"/>
                    </a:xfrm>
                    <a:prstGeom prst="rect">
                      <a:avLst/>
                    </a:prstGeom>
                    <a:noFill/>
                    <a:ln>
                      <a:solidFill>
                        <a:schemeClr val="accent1"/>
                      </a:solid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变更车间内排污沟槽铺设不锈钢316L材质的DN40管线：</w:t>
      </w:r>
    </w:p>
    <w:p>
      <w:pPr>
        <w:numPr>
          <w:ilvl w:val="0"/>
          <w:numId w:val="8"/>
        </w:numPr>
        <w:ind w:left="630" w:leftChars="0" w:hanging="420" w:firstLineChars="0"/>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车间内铺设的排污管线安装固定支车间内排污沟槽内部（底部安装“工”字支架，U型卡子固定）；</w:t>
      </w:r>
    </w:p>
    <w:p>
      <w:pPr>
        <w:numPr>
          <w:ilvl w:val="0"/>
          <w:numId w:val="8"/>
        </w:numPr>
        <w:ind w:left="630" w:leftChars="0" w:hanging="420" w:firstLineChars="0"/>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铺设的排污管线不得高于排污沟槽盖板（沟槽高度300mm）；</w:t>
      </w:r>
    </w:p>
    <w:p>
      <w:pPr>
        <w:pStyle w:val="11"/>
        <w:numPr>
          <w:ilvl w:val="0"/>
          <w:numId w:val="8"/>
        </w:numPr>
        <w:ind w:left="630" w:leftChars="0" w:hanging="420" w:firstLineChars="0"/>
        <w:rPr>
          <w:rFonts w:hint="eastAsia"/>
          <w:highlight w:val="none"/>
        </w:rPr>
      </w:pPr>
      <w:r>
        <w:rPr>
          <w:rFonts w:hint="eastAsia" w:ascii="微软雅黑" w:hAnsi="微软雅黑" w:eastAsia="微软雅黑" w:cs="微软雅黑"/>
          <w:highlight w:val="none"/>
          <w:lang w:val="en-US" w:eastAsia="zh-CN"/>
        </w:rPr>
        <w:t>铺设的排污管线各个抽头位置高于地面100mm，并配置2寸A型快接公头及DC型扳把式快接堵头；</w:t>
      </w:r>
    </w:p>
    <w:p>
      <w:pPr>
        <w:pStyle w:val="2"/>
        <w:numPr>
          <w:ilvl w:val="0"/>
          <w:numId w:val="8"/>
        </w:numPr>
        <w:ind w:left="630" w:leftChars="0" w:hanging="420" w:firstLineChars="0"/>
        <w:rPr>
          <w:rFonts w:hint="eastAsia"/>
          <w:color w:val="auto"/>
          <w:highlight w:val="none"/>
        </w:rPr>
      </w:pPr>
      <w:r>
        <w:rPr>
          <w:rFonts w:hint="eastAsia" w:ascii="微软雅黑" w:hAnsi="微软雅黑" w:eastAsia="微软雅黑" w:cs="微软雅黑"/>
          <w:color w:val="auto"/>
          <w:highlight w:val="none"/>
          <w:lang w:val="en-US" w:eastAsia="zh-CN"/>
        </w:rPr>
        <w:t>铺设的排污管线由末端支各个集水坑位置至少满足3°的倾斜，确保排污水可自流至集水坑汇总口；</w:t>
      </w:r>
    </w:p>
    <w:p>
      <w:pPr>
        <w:pStyle w:val="5"/>
        <w:numPr>
          <w:ilvl w:val="0"/>
          <w:numId w:val="8"/>
        </w:numPr>
        <w:ind w:left="630" w:leftChars="0" w:hanging="420" w:firstLineChars="0"/>
        <w:rPr>
          <w:rFonts w:hint="default"/>
          <w:highlight w:val="none"/>
          <w:lang w:val="en-US"/>
        </w:rPr>
      </w:pPr>
      <w:r>
        <w:rPr>
          <w:rFonts w:hint="eastAsia" w:ascii="微软雅黑" w:hAnsi="微软雅黑" w:eastAsia="微软雅黑" w:cs="微软雅黑"/>
          <w:color w:val="auto"/>
          <w:highlight w:val="none"/>
          <w:lang w:val="en-US" w:eastAsia="zh-CN"/>
        </w:rPr>
        <w:t>铺设的排污管线连接集水坑外排口，并探入外排口不少于2m；</w:t>
      </w:r>
    </w:p>
    <w:p>
      <w:pPr>
        <w:numPr>
          <w:ilvl w:val="0"/>
          <w:numId w:val="8"/>
        </w:numPr>
        <w:ind w:left="630" w:leftChars="0" w:hanging="420" w:firstLineChars="0"/>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color w:val="auto"/>
          <w:highlight w:val="none"/>
          <w:lang w:val="en-US" w:eastAsia="zh-CN"/>
        </w:rPr>
        <w:t>具体铺设位置及抽头位置详见示意图：（下图）</w:t>
      </w:r>
    </w:p>
    <w:p>
      <w:pPr>
        <w:pStyle w:val="5"/>
        <w:ind w:left="0" w:leftChars="-400" w:hanging="840" w:hangingChars="400"/>
        <w:rPr>
          <w:highlight w:val="none"/>
        </w:rPr>
      </w:pPr>
      <w:r>
        <w:rPr>
          <w:highlight w:val="none"/>
        </w:rPr>
        <w:drawing>
          <wp:inline distT="0" distB="0" distL="114300" distR="114300">
            <wp:extent cx="6786880" cy="3434080"/>
            <wp:effectExtent l="0" t="0" r="13970"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6786880" cy="3434080"/>
                    </a:xfrm>
                    <a:prstGeom prst="rect">
                      <a:avLst/>
                    </a:prstGeom>
                    <a:noFill/>
                    <a:ln>
                      <a:noFill/>
                    </a:ln>
                  </pic:spPr>
                </pic:pic>
              </a:graphicData>
            </a:graphic>
          </wp:inline>
        </w:drawing>
      </w:r>
    </w:p>
    <w:p>
      <w:pPr>
        <w:pStyle w:val="5"/>
        <w:ind w:left="-840" w:leftChars="-400" w:firstLine="0" w:firstLineChars="0"/>
        <w:jc w:val="center"/>
        <w:rPr>
          <w:highlight w:val="none"/>
        </w:rPr>
      </w:pPr>
      <w:r>
        <w:rPr>
          <w:rFonts w:hint="eastAsia" w:ascii="微软雅黑" w:hAnsi="微软雅黑" w:eastAsia="微软雅黑" w:cs="微软雅黑"/>
          <w:sz w:val="21"/>
          <w:szCs w:val="21"/>
          <w:highlight w:val="none"/>
          <w:lang w:val="en-US" w:eastAsia="zh-CN"/>
        </w:rPr>
        <w:t>破乳剂</w:t>
      </w:r>
      <w:r>
        <w:rPr>
          <w:rFonts w:hint="eastAsia" w:ascii="微软雅黑" w:hAnsi="微软雅黑" w:eastAsia="微软雅黑" w:cs="微软雅黑"/>
          <w:sz w:val="21"/>
          <w:szCs w:val="21"/>
          <w:highlight w:val="none"/>
        </w:rPr>
        <w:t>车间</w:t>
      </w:r>
      <w:r>
        <w:rPr>
          <w:rFonts w:hint="eastAsia" w:ascii="微软雅黑" w:hAnsi="微软雅黑" w:eastAsia="微软雅黑" w:cs="微软雅黑"/>
          <w:sz w:val="21"/>
          <w:szCs w:val="21"/>
          <w:highlight w:val="none"/>
          <w:lang w:val="en-US" w:eastAsia="zh-CN"/>
        </w:rPr>
        <w:t>内排污沟槽管线铺设及抽头示意图</w:t>
      </w:r>
      <w:r>
        <w:rPr>
          <w:highlight w:val="none"/>
        </w:rPr>
        <w:drawing>
          <wp:inline distT="0" distB="0" distL="114300" distR="114300">
            <wp:extent cx="6631940" cy="3522980"/>
            <wp:effectExtent l="0" t="0" r="16510" b="1270"/>
            <wp:docPr id="25" name="图片 2"/>
            <wp:cNvGraphicFramePr/>
            <a:graphic xmlns:a="http://schemas.openxmlformats.org/drawingml/2006/main">
              <a:graphicData uri="http://schemas.openxmlformats.org/drawingml/2006/picture">
                <pic:pic xmlns:pic="http://schemas.openxmlformats.org/drawingml/2006/picture">
                  <pic:nvPicPr>
                    <pic:cNvPr id="25" name="图片 2"/>
                    <pic:cNvPicPr/>
                  </pic:nvPicPr>
                  <pic:blipFill>
                    <a:blip r:embed="rId9"/>
                    <a:stretch>
                      <a:fillRect/>
                    </a:stretch>
                  </pic:blipFill>
                  <pic:spPr>
                    <a:xfrm>
                      <a:off x="0" y="0"/>
                      <a:ext cx="6631940" cy="3522980"/>
                    </a:xfrm>
                    <a:prstGeom prst="rect">
                      <a:avLst/>
                    </a:prstGeom>
                    <a:noFill/>
                    <a:ln>
                      <a:noFill/>
                    </a:ln>
                  </pic:spPr>
                </pic:pic>
              </a:graphicData>
            </a:graphic>
          </wp:inline>
        </w:drawing>
      </w:r>
    </w:p>
    <w:p>
      <w:pPr>
        <w:pStyle w:val="5"/>
        <w:jc w:val="center"/>
        <w:rPr>
          <w:rFonts w:hint="eastAsia"/>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sz w:val="21"/>
          <w:szCs w:val="21"/>
          <w:highlight w:val="none"/>
          <w:lang w:val="en-US" w:eastAsia="zh-CN"/>
        </w:rPr>
        <w:t>清水剂</w:t>
      </w:r>
      <w:r>
        <w:rPr>
          <w:rFonts w:hint="eastAsia" w:ascii="微软雅黑" w:hAnsi="微软雅黑" w:eastAsia="微软雅黑" w:cs="微软雅黑"/>
          <w:sz w:val="21"/>
          <w:szCs w:val="21"/>
          <w:highlight w:val="none"/>
        </w:rPr>
        <w:t>车间</w:t>
      </w:r>
      <w:r>
        <w:rPr>
          <w:rFonts w:hint="eastAsia" w:ascii="微软雅黑" w:hAnsi="微软雅黑" w:eastAsia="微软雅黑" w:cs="微软雅黑"/>
          <w:sz w:val="21"/>
          <w:szCs w:val="21"/>
          <w:highlight w:val="none"/>
          <w:lang w:val="en-US" w:eastAsia="zh-CN"/>
        </w:rPr>
        <w:t>内排污沟槽管线铺设及抽头示意图</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变更破乳剂车间、清水剂车间及灌装棚的及阀门井阀门以及连接至水封井位置的管线（不锈钢316）；</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破乳剂车间PD-FJ-29\30\31\32\33\污水井</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清水剂车间PD-FJ-24\25\26\27\28\污水井</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灌装棚</w:t>
      </w:r>
      <w:r>
        <w:rPr>
          <w:rFonts w:hint="eastAsia" w:ascii="微软雅黑" w:hAnsi="微软雅黑" w:eastAsia="微软雅黑" w:cs="微软雅黑"/>
          <w:b w:val="0"/>
          <w:bCs w:val="0"/>
          <w:color w:val="auto"/>
          <w:sz w:val="21"/>
          <w:szCs w:val="21"/>
          <w:highlight w:val="none"/>
          <w:lang w:val="en-US" w:eastAsia="zh-CN"/>
        </w:rPr>
        <w:t>PD-FJ-14</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破乳剂车间SF-5南侧增加阀门井（一座）</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清水剂车间SF-3南侧增加阀门井（一座）</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污水预处理间SF-13东侧增加阀门井（一座）</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val="0"/>
          <w:bCs w:val="0"/>
          <w:color w:val="auto"/>
          <w:sz w:val="21"/>
          <w:szCs w:val="21"/>
          <w:highlight w:val="none"/>
          <w:lang w:eastAsia="zh-CN"/>
        </w:rPr>
        <w:t xml:space="preserve"> 矩形阀门井（混凝浇筑或</w:t>
      </w:r>
      <w:r>
        <w:rPr>
          <w:rFonts w:hint="eastAsia" w:ascii="微软雅黑" w:hAnsi="微软雅黑" w:eastAsia="微软雅黑" w:cs="微软雅黑"/>
          <w:b w:val="0"/>
          <w:bCs w:val="0"/>
          <w:color w:val="auto"/>
          <w:sz w:val="21"/>
          <w:szCs w:val="21"/>
          <w:highlight w:val="none"/>
          <w:lang w:val="en-US" w:eastAsia="zh-CN"/>
        </w:rPr>
        <w:t>预制装配式结构）</w:t>
      </w:r>
      <w:r>
        <w:rPr>
          <w:rFonts w:hint="eastAsia" w:ascii="微软雅黑" w:hAnsi="微软雅黑" w:eastAsia="微软雅黑" w:cs="微软雅黑"/>
          <w:b w:val="0"/>
          <w:bCs w:val="0"/>
          <w:color w:val="auto"/>
          <w:sz w:val="21"/>
          <w:szCs w:val="21"/>
          <w:highlight w:val="none"/>
          <w:lang w:eastAsia="zh-CN"/>
        </w:rPr>
        <w:t>做法参见图集 05S502，阀门井内的所有阀门下均现场做混凝土支墩支撑，</w:t>
      </w:r>
      <w:r>
        <w:rPr>
          <w:rFonts w:hint="eastAsia" w:ascii="微软雅黑" w:hAnsi="微软雅黑" w:eastAsia="微软雅黑" w:cs="微软雅黑"/>
          <w:b w:val="0"/>
          <w:bCs w:val="0"/>
          <w:color w:val="auto"/>
          <w:sz w:val="21"/>
          <w:szCs w:val="21"/>
          <w:highlight w:val="none"/>
          <w:lang w:val="en-US" w:eastAsia="zh-CN"/>
        </w:rPr>
        <w:t xml:space="preserve">支墩宜采用混凝土浇筑，其强度等级不应低于 C15， 支墩应在管节接口做完、管节位置固定后修筑。 </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val="0"/>
          <w:bCs w:val="0"/>
          <w:color w:val="auto"/>
          <w:sz w:val="21"/>
          <w:szCs w:val="21"/>
          <w:highlight w:val="none"/>
          <w:lang w:eastAsia="zh-CN"/>
        </w:rPr>
        <w:t>设置于铺砌地面时，井盖与路面相平，设置于非铺砌地面时，井盖高出地面 100mm，井口做保温。</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val="0"/>
          <w:bCs w:val="0"/>
          <w:color w:val="auto"/>
          <w:sz w:val="21"/>
          <w:szCs w:val="21"/>
          <w:highlight w:val="none"/>
          <w:lang w:eastAsia="zh-CN"/>
        </w:rPr>
        <w:t>阀门井室设置数量、规格参数按照原设计标准，具体实施依据现场可进行优化和调整，原则是不改变原有主路径。</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val="0"/>
          <w:bCs w:val="0"/>
          <w:color w:val="auto"/>
          <w:sz w:val="21"/>
          <w:szCs w:val="21"/>
          <w:highlight w:val="none"/>
          <w:lang w:val="en-US" w:eastAsia="zh-CN"/>
        </w:rPr>
        <w:t xml:space="preserve">预制装配式结构的井室施工应符合下列规定：预制构件装配位置和尺寸正确，安装牢固，采用水泥砂浆接缝时，企口坐浆与竖缝灌浆应饱满，装配后的接缝砂浆凝结硬化期间应加强养护，并不得受外力碰撞或震动； 设有橡胶密封圈时，胶圈应安装稳固，止水严密可靠； 设有预留短管的预制构件，其与管道的连接应按GB50268规范第 5 章的有关规定执行。 </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val="0"/>
          <w:bCs w:val="0"/>
          <w:color w:val="auto"/>
          <w:sz w:val="21"/>
          <w:szCs w:val="21"/>
          <w:highlight w:val="none"/>
          <w:lang w:val="en-US" w:eastAsia="zh-CN"/>
        </w:rPr>
        <w:t>底板与井室、井室与盖板之间的拼缝，水泥砂浆应填塞严密，抹角光滑平整。</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val="0"/>
          <w:bCs w:val="0"/>
          <w:color w:val="auto"/>
          <w:sz w:val="21"/>
          <w:szCs w:val="21"/>
          <w:highlight w:val="none"/>
          <w:lang w:eastAsia="zh-CN"/>
        </w:rPr>
        <w:t>穿管与井壁洞口的间隙采用柔性材料封堵。</w:t>
      </w:r>
    </w:p>
    <w:p>
      <w:pPr>
        <w:pStyle w:val="1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阀门井的井底距承口或法兰盘下缘以及井壁与承口或法兰盘外缘应留有安装作业空间。</w:t>
      </w:r>
    </w:p>
    <w:p>
      <w:pPr>
        <w:pStyle w:val="19"/>
        <w:numPr>
          <w:ilvl w:val="0"/>
          <w:numId w:val="0"/>
        </w:numPr>
        <w:spacing w:line="360" w:lineRule="auto"/>
        <w:ind w:left="0" w:leftChars="0" w:firstLine="0" w:firstLineChars="0"/>
        <w:jc w:val="left"/>
        <w:rPr>
          <w:color w:val="auto"/>
          <w:highlight w:val="none"/>
        </w:rPr>
      </w:pPr>
      <w:r>
        <w:rPr>
          <w:color w:val="auto"/>
          <w:highlight w:val="none"/>
        </w:rPr>
        <w:drawing>
          <wp:inline distT="0" distB="0" distL="114300" distR="114300">
            <wp:extent cx="5440680" cy="2244725"/>
            <wp:effectExtent l="9525" t="9525" r="17145" b="1270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5440680" cy="2244725"/>
                    </a:xfrm>
                    <a:prstGeom prst="rect">
                      <a:avLst/>
                    </a:prstGeom>
                    <a:noFill/>
                    <a:ln>
                      <a:solidFill>
                        <a:schemeClr val="accent1"/>
                      </a:solidFill>
                    </a:ln>
                  </pic:spPr>
                </pic:pic>
              </a:graphicData>
            </a:graphic>
          </wp:inline>
        </w:drawing>
      </w:r>
    </w:p>
    <w:p>
      <w:pPr>
        <w:pStyle w:val="19"/>
        <w:numPr>
          <w:ilvl w:val="0"/>
          <w:numId w:val="0"/>
        </w:numPr>
        <w:spacing w:line="360" w:lineRule="auto"/>
        <w:ind w:left="630" w:leftChars="0"/>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bidi="ar"/>
        </w:rPr>
        <w:t>变更</w:t>
      </w:r>
      <w:r>
        <w:rPr>
          <w:rFonts w:hint="eastAsia" w:ascii="微软雅黑" w:hAnsi="微软雅黑" w:eastAsia="微软雅黑" w:cs="微软雅黑"/>
          <w:color w:val="auto"/>
          <w:sz w:val="21"/>
          <w:szCs w:val="21"/>
          <w:highlight w:val="none"/>
          <w:lang w:val="en-US" w:eastAsia="zh-CN"/>
        </w:rPr>
        <w:t>示意位置</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对破乳剂车间、清水剂车间及灌装区的水封井、检查井、总排口加装不锈钢（316）内衬5mm；</w:t>
      </w:r>
    </w:p>
    <w:p>
      <w:pPr>
        <w:pStyle w:val="1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破乳剂车间PD-FJ-29\30\31\32\33\污水井\SF-5、PD-12\13</w:t>
      </w:r>
    </w:p>
    <w:p>
      <w:pPr>
        <w:pStyle w:val="1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清水剂车间PD-FJ-24\25\26\27\28\污水井\SF-3、PD-11-1</w:t>
      </w:r>
    </w:p>
    <w:p>
      <w:pPr>
        <w:pStyle w:val="1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灌装棚PD-FJ-14</w:t>
      </w:r>
    </w:p>
    <w:p>
      <w:pPr>
        <w:pStyle w:val="19"/>
        <w:numPr>
          <w:ilvl w:val="0"/>
          <w:numId w:val="0"/>
        </w:numPr>
        <w:spacing w:line="360" w:lineRule="auto"/>
        <w:ind w:left="-840" w:leftChars="-400" w:firstLine="0" w:firstLineChars="0"/>
        <w:jc w:val="both"/>
        <w:rPr>
          <w:color w:val="auto"/>
          <w:highlight w:val="none"/>
        </w:rPr>
      </w:pPr>
      <w:r>
        <w:rPr>
          <w:color w:val="auto"/>
          <w:highlight w:val="none"/>
        </w:rPr>
        <w:drawing>
          <wp:inline distT="0" distB="0" distL="114300" distR="114300">
            <wp:extent cx="6367780" cy="2605405"/>
            <wp:effectExtent l="9525" t="9525" r="23495" b="139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6367780" cy="2605405"/>
                    </a:xfrm>
                    <a:prstGeom prst="rect">
                      <a:avLst/>
                    </a:prstGeom>
                    <a:noFill/>
                    <a:ln>
                      <a:solidFill>
                        <a:schemeClr val="accent1"/>
                      </a:solidFill>
                    </a:ln>
                  </pic:spPr>
                </pic:pic>
              </a:graphicData>
            </a:graphic>
          </wp:inline>
        </w:drawing>
      </w:r>
    </w:p>
    <w:p>
      <w:pPr>
        <w:pStyle w:val="19"/>
        <w:numPr>
          <w:ilvl w:val="0"/>
          <w:numId w:val="0"/>
        </w:numPr>
        <w:spacing w:line="360" w:lineRule="auto"/>
        <w:ind w:left="-840" w:leftChars="-400" w:firstLine="0" w:firstLineChars="0"/>
        <w:jc w:val="left"/>
        <w:rPr>
          <w:color w:val="auto"/>
          <w:highlight w:val="none"/>
        </w:rPr>
      </w:pPr>
      <w:r>
        <w:rPr>
          <w:color w:val="auto"/>
          <w:highlight w:val="none"/>
        </w:rPr>
        <w:drawing>
          <wp:inline distT="0" distB="0" distL="114300" distR="114300">
            <wp:extent cx="6466840" cy="2925445"/>
            <wp:effectExtent l="9525" t="9525" r="19685" b="1778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6466840" cy="2925445"/>
                    </a:xfrm>
                    <a:prstGeom prst="rect">
                      <a:avLst/>
                    </a:prstGeom>
                    <a:noFill/>
                    <a:ln>
                      <a:solidFill>
                        <a:schemeClr val="accent1"/>
                      </a:solidFill>
                    </a:ln>
                  </pic:spPr>
                </pic:pic>
              </a:graphicData>
            </a:graphic>
          </wp:inline>
        </w:drawing>
      </w:r>
    </w:p>
    <w:p>
      <w:pPr>
        <w:pStyle w:val="19"/>
        <w:numPr>
          <w:ilvl w:val="0"/>
          <w:numId w:val="0"/>
        </w:numPr>
        <w:spacing w:line="360" w:lineRule="auto"/>
        <w:ind w:left="630" w:leftChars="0"/>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增加316不锈钢内衬示意位置</w:t>
      </w:r>
    </w:p>
    <w:p>
      <w:pPr>
        <w:pStyle w:val="1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20" w:firstLineChars="200"/>
        <w:textAlignment w:val="baseline"/>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不锈钢内衬四角立面及底部焊接不小于3mm厚的不锈钢角钢支撑；</w:t>
      </w:r>
    </w:p>
    <w:p>
      <w:pPr>
        <w:pStyle w:val="1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20" w:firstLineChars="200"/>
        <w:textAlignment w:val="baseline"/>
        <w:rPr>
          <w:rFonts w:hint="default" w:ascii="微软雅黑" w:hAnsi="微软雅黑" w:eastAsia="微软雅黑" w:cs="微软雅黑"/>
          <w:b w:val="0"/>
          <w:bCs w:val="0"/>
          <w:color w:val="auto"/>
          <w:sz w:val="21"/>
          <w:szCs w:val="21"/>
          <w:highlight w:val="none"/>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val="0"/>
          <w:bCs w:val="0"/>
          <w:color w:val="auto"/>
          <w:sz w:val="21"/>
          <w:szCs w:val="21"/>
          <w:highlight w:val="none"/>
          <w:lang w:val="en-US" w:eastAsia="zh-CN"/>
        </w:rPr>
        <w:t>不锈钢内衬安装至水封井和总排口后，采用不小于φ10mm，长度不小于100mm的不锈钢圆钢或φ12mm不锈钢胀管与水封井和总排口四面连接固定，并满焊接缝。</w:t>
      </w:r>
    </w:p>
    <w:p>
      <w:pPr>
        <w:pStyle w:val="19"/>
        <w:spacing w:line="360" w:lineRule="auto"/>
        <w:ind w:left="0" w:leftChars="0" w:firstLine="0" w:firstLineChars="0"/>
        <w:jc w:val="center"/>
        <w:rPr>
          <w:color w:val="auto"/>
          <w:highlight w:val="none"/>
        </w:rPr>
      </w:pPr>
      <w:r>
        <w:rPr>
          <w:color w:val="auto"/>
          <w:highlight w:val="none"/>
        </w:rPr>
        <w:drawing>
          <wp:inline distT="0" distB="0" distL="114300" distR="114300">
            <wp:extent cx="4542790" cy="5269230"/>
            <wp:effectExtent l="9525" t="9525" r="19685"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4542790" cy="5269230"/>
                    </a:xfrm>
                    <a:prstGeom prst="rect">
                      <a:avLst/>
                    </a:prstGeom>
                    <a:noFill/>
                    <a:ln>
                      <a:solidFill>
                        <a:schemeClr val="accent1"/>
                      </a:solidFill>
                    </a:ln>
                  </pic:spPr>
                </pic:pic>
              </a:graphicData>
            </a:graphic>
          </wp:inline>
        </w:drawing>
      </w:r>
      <w:r>
        <w:rPr>
          <w:color w:val="auto"/>
          <w:highlight w:val="none"/>
        </w:rPr>
        <w:drawing>
          <wp:inline distT="0" distB="0" distL="114300" distR="114300">
            <wp:extent cx="4683760" cy="5267325"/>
            <wp:effectExtent l="9525" t="9525" r="12065" b="1905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4"/>
                    <a:stretch>
                      <a:fillRect/>
                    </a:stretch>
                  </pic:blipFill>
                  <pic:spPr>
                    <a:xfrm>
                      <a:off x="0" y="0"/>
                      <a:ext cx="4683760" cy="5267325"/>
                    </a:xfrm>
                    <a:prstGeom prst="rect">
                      <a:avLst/>
                    </a:prstGeom>
                    <a:noFill/>
                    <a:ln>
                      <a:solidFill>
                        <a:schemeClr val="accent1"/>
                      </a:solidFill>
                    </a:ln>
                  </pic:spPr>
                </pic:pic>
              </a:graphicData>
            </a:graphic>
          </wp:inline>
        </w:drawing>
      </w:r>
    </w:p>
    <w:p>
      <w:pPr>
        <w:pStyle w:val="19"/>
        <w:spacing w:line="360" w:lineRule="auto"/>
        <w:ind w:left="0" w:leftChars="0" w:firstLine="0" w:firstLineChars="0"/>
        <w:jc w:val="center"/>
        <w:rPr>
          <w:color w:val="auto"/>
          <w:sz w:val="21"/>
          <w:szCs w:val="21"/>
          <w:highlight w:val="none"/>
        </w:rPr>
      </w:pPr>
      <w:r>
        <w:rPr>
          <w:rFonts w:hint="eastAsia" w:ascii="微软雅黑" w:hAnsi="微软雅黑" w:eastAsia="微软雅黑" w:cs="微软雅黑"/>
          <w:color w:val="auto"/>
          <w:sz w:val="21"/>
          <w:szCs w:val="21"/>
          <w:highlight w:val="none"/>
          <w:lang w:val="en-US" w:eastAsia="zh-CN"/>
        </w:rPr>
        <w:t>水封井大样图（FJ-14\29）</w:t>
      </w:r>
    </w:p>
    <w:p>
      <w:pPr>
        <w:pStyle w:val="19"/>
        <w:spacing w:line="360" w:lineRule="auto"/>
        <w:ind w:left="0" w:leftChars="0" w:firstLine="0" w:firstLineChars="0"/>
        <w:jc w:val="left"/>
        <w:rPr>
          <w:color w:val="auto"/>
          <w:highlight w:val="none"/>
        </w:rPr>
      </w:pPr>
    </w:p>
    <w:p>
      <w:pPr>
        <w:pStyle w:val="19"/>
        <w:spacing w:line="360" w:lineRule="auto"/>
        <w:ind w:left="0" w:leftChars="0" w:firstLine="0" w:firstLineChars="0"/>
        <w:jc w:val="left"/>
        <w:rPr>
          <w:color w:val="auto"/>
          <w:highlight w:val="none"/>
        </w:rPr>
      </w:pPr>
    </w:p>
    <w:p>
      <w:pPr>
        <w:pStyle w:val="19"/>
        <w:spacing w:line="360" w:lineRule="auto"/>
        <w:ind w:left="0" w:leftChars="0" w:firstLine="0" w:firstLineChars="0"/>
        <w:jc w:val="left"/>
        <w:rPr>
          <w:color w:val="auto"/>
          <w:highlight w:val="none"/>
        </w:rPr>
      </w:pPr>
      <w:r>
        <w:rPr>
          <w:color w:val="auto"/>
          <w:highlight w:val="none"/>
        </w:rPr>
        <w:drawing>
          <wp:inline distT="0" distB="0" distL="114300" distR="114300">
            <wp:extent cx="9155430" cy="5612130"/>
            <wp:effectExtent l="9525" t="9525" r="17145" b="171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9155430" cy="5612130"/>
                    </a:xfrm>
                    <a:prstGeom prst="rect">
                      <a:avLst/>
                    </a:prstGeom>
                    <a:noFill/>
                    <a:ln>
                      <a:solidFill>
                        <a:schemeClr val="accent1"/>
                      </a:solidFill>
                    </a:ln>
                  </pic:spPr>
                </pic:pic>
              </a:graphicData>
            </a:graphic>
          </wp:inline>
        </w:drawing>
      </w:r>
    </w:p>
    <w:p>
      <w:pPr>
        <w:pStyle w:val="19"/>
        <w:spacing w:line="360" w:lineRule="auto"/>
        <w:ind w:left="0" w:leftChars="0" w:firstLine="0" w:firstLineChars="0"/>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水封井大样图（FJ-30~33）</w:t>
      </w:r>
    </w:p>
    <w:p>
      <w:pPr>
        <w:pStyle w:val="19"/>
        <w:spacing w:line="360" w:lineRule="auto"/>
        <w:ind w:left="0" w:leftChars="0" w:firstLine="0" w:firstLineChars="0"/>
        <w:jc w:val="left"/>
        <w:rPr>
          <w:color w:val="auto"/>
          <w:highlight w:val="none"/>
        </w:rPr>
      </w:pPr>
    </w:p>
    <w:p>
      <w:pPr>
        <w:pStyle w:val="19"/>
        <w:spacing w:line="360" w:lineRule="auto"/>
        <w:ind w:left="0" w:leftChars="0" w:firstLine="0" w:firstLineChars="0"/>
        <w:jc w:val="left"/>
        <w:rPr>
          <w:color w:val="auto"/>
          <w:highlight w:val="none"/>
        </w:rPr>
      </w:pPr>
      <w:r>
        <w:rPr>
          <w:color w:val="auto"/>
          <w:highlight w:val="none"/>
        </w:rPr>
        <w:drawing>
          <wp:inline distT="0" distB="0" distL="114300" distR="114300">
            <wp:extent cx="2985135" cy="5617845"/>
            <wp:effectExtent l="9525" t="9525" r="15240" b="1143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6"/>
                    <a:stretch>
                      <a:fillRect/>
                    </a:stretch>
                  </pic:blipFill>
                  <pic:spPr>
                    <a:xfrm>
                      <a:off x="0" y="0"/>
                      <a:ext cx="2985135" cy="5617845"/>
                    </a:xfrm>
                    <a:prstGeom prst="rect">
                      <a:avLst/>
                    </a:prstGeom>
                    <a:noFill/>
                    <a:ln>
                      <a:solidFill>
                        <a:schemeClr val="accent1"/>
                      </a:solidFill>
                    </a:ln>
                  </pic:spPr>
                </pic:pic>
              </a:graphicData>
            </a:graphic>
          </wp:inline>
        </w:drawing>
      </w:r>
      <w:r>
        <w:rPr>
          <w:color w:val="auto"/>
          <w:highlight w:val="none"/>
        </w:rPr>
        <w:drawing>
          <wp:inline distT="0" distB="0" distL="114300" distR="114300">
            <wp:extent cx="3815715" cy="5620385"/>
            <wp:effectExtent l="9525" t="9525" r="22860" b="279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3815715" cy="5620385"/>
                    </a:xfrm>
                    <a:prstGeom prst="rect">
                      <a:avLst/>
                    </a:prstGeom>
                    <a:noFill/>
                    <a:ln>
                      <a:solidFill>
                        <a:schemeClr val="accent1"/>
                      </a:solidFill>
                    </a:ln>
                  </pic:spPr>
                </pic:pic>
              </a:graphicData>
            </a:graphic>
          </wp:inline>
        </w:drawing>
      </w:r>
      <w:r>
        <w:rPr>
          <w:color w:val="auto"/>
          <w:highlight w:val="none"/>
        </w:rPr>
        <w:drawing>
          <wp:inline distT="0" distB="0" distL="114300" distR="114300">
            <wp:extent cx="2863215" cy="5610860"/>
            <wp:effectExtent l="9525" t="9525" r="22860" b="1841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8"/>
                    <a:stretch>
                      <a:fillRect/>
                    </a:stretch>
                  </pic:blipFill>
                  <pic:spPr>
                    <a:xfrm>
                      <a:off x="0" y="0"/>
                      <a:ext cx="2863215" cy="5610860"/>
                    </a:xfrm>
                    <a:prstGeom prst="rect">
                      <a:avLst/>
                    </a:prstGeom>
                    <a:noFill/>
                    <a:ln>
                      <a:solidFill>
                        <a:schemeClr val="accent1"/>
                      </a:solidFill>
                    </a:ln>
                  </pic:spPr>
                </pic:pic>
              </a:graphicData>
            </a:graphic>
          </wp:inline>
        </w:drawing>
      </w:r>
    </w:p>
    <w:p>
      <w:pPr>
        <w:pStyle w:val="19"/>
        <w:spacing w:line="360" w:lineRule="auto"/>
        <w:ind w:left="0" w:leftChars="0" w:firstLine="0" w:firstLineChars="0"/>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水封井大样图（FJ-24\28,SF-3\4\5）</w:t>
      </w:r>
    </w:p>
    <w:p>
      <w:pPr>
        <w:pStyle w:val="19"/>
        <w:spacing w:line="360" w:lineRule="auto"/>
        <w:ind w:left="0" w:leftChars="0" w:firstLine="0" w:firstLineChars="0"/>
        <w:jc w:val="left"/>
        <w:rPr>
          <w:color w:val="auto"/>
          <w:highlight w:val="none"/>
        </w:rPr>
        <w:sectPr>
          <w:pgSz w:w="16838" w:h="11906" w:orient="landscape"/>
          <w:pgMar w:top="720" w:right="720" w:bottom="720" w:left="720" w:header="851" w:footer="992" w:gutter="0"/>
          <w:cols w:space="425" w:num="1"/>
          <w:docGrid w:type="lines" w:linePitch="312" w:charSpace="0"/>
        </w:sectPr>
      </w:pP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改造并加装总排口、阀门井明杆闸阀（阀杆加长，手轮提升至井沿高度，注316不锈钢材质）并铺设管线至污水处理区域：</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阀门安装前应进行外观及压力试验，所有采办的阀门应先进行产品验收，外观检验等工作。对所有要测试的阀门应先进行阀门规格（尺寸、磅级、材质等）确认，以便正确选择测试的各项技术条件、要求。阀体内部确认：检查阀门内部是否清洁，特别对于阀座，应保证无颗粒、无杂质。阀门阀杆加长处理，要求阀门手轮操作位置不低于于阀门井口。</w:t>
      </w:r>
    </w:p>
    <w:p>
      <w:pPr>
        <w:numPr>
          <w:ilvl w:val="0"/>
          <w:numId w:val="12"/>
        </w:numPr>
        <w:shd w:val="clear"/>
        <w:ind w:left="420" w:leftChars="0" w:hanging="420" w:firstLineChars="0"/>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管道基底地基承载力不小于80KPa，碎石基床压实系数大于0.96，若地基未进行处理，达不到上诉要求，则必须通过换填或碾压等措施达到要求。</w:t>
      </w:r>
    </w:p>
    <w:p>
      <w:pPr>
        <w:numPr>
          <w:ilvl w:val="0"/>
          <w:numId w:val="12"/>
        </w:numPr>
        <w:shd w:val="clear"/>
        <w:ind w:left="420" w:leftChars="0" w:hanging="420" w:firstLineChars="0"/>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埋地管道埋深应结合高程及管线综合图敷设，沟槽槽底净宽度为管外径加0.6m，均按照放坡开挖沟槽考虑，放坡比例为1：0.5，管道底部基础做法：采用250mm厚碎石及50mm粗砂回填，密实度达到90%，</w:t>
      </w:r>
      <w:r>
        <w:rPr>
          <w:rFonts w:hint="eastAsia" w:ascii="微软雅黑" w:hAnsi="微软雅黑" w:eastAsia="微软雅黑" w:cs="微软雅黑"/>
          <w:color w:val="auto"/>
          <w:sz w:val="21"/>
          <w:szCs w:val="21"/>
          <w:highlight w:val="none"/>
          <w:lang w:val="en-US" w:eastAsia="zh-CN"/>
        </w:rPr>
        <w:t>铺设100厚C30混凝土垫层（φ10mm钢筋网片），</w:t>
      </w:r>
      <w:r>
        <w:rPr>
          <w:rFonts w:hint="eastAsia" w:ascii="微软雅黑" w:hAnsi="微软雅黑" w:eastAsia="微软雅黑" w:cs="微软雅黑"/>
          <w:color w:val="auto"/>
          <w:sz w:val="21"/>
          <w:szCs w:val="21"/>
          <w:highlight w:val="none"/>
        </w:rPr>
        <w:t>管道周围及管道顶部500mm范围内采用粗砂回填，密实度达到95%，管道顶部500mm以外，采用原土分层回填，回填至地面结构底部</w:t>
      </w:r>
      <w:r>
        <w:rPr>
          <w:rFonts w:hint="eastAsia" w:ascii="微软雅黑" w:hAnsi="微软雅黑" w:eastAsia="微软雅黑" w:cs="微软雅黑"/>
          <w:color w:val="auto"/>
          <w:sz w:val="21"/>
          <w:szCs w:val="21"/>
          <w:highlight w:val="none"/>
          <w:lang w:eastAsia="zh-CN"/>
        </w:rPr>
        <w:t>。</w:t>
      </w:r>
    </w:p>
    <w:p>
      <w:pPr>
        <w:numPr>
          <w:ilvl w:val="0"/>
          <w:numId w:val="12"/>
        </w:numPr>
        <w:shd w:val="clear"/>
        <w:ind w:left="420" w:leftChars="0" w:hanging="420" w:firstLineChars="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污水管道铺设路径由P</w:t>
      </w:r>
      <w:r>
        <w:rPr>
          <w:rFonts w:ascii="微软雅黑" w:hAnsi="微软雅黑" w:eastAsia="微软雅黑" w:cs="微软雅黑"/>
          <w:color w:val="auto"/>
          <w:sz w:val="21"/>
          <w:szCs w:val="21"/>
          <w:highlight w:val="none"/>
        </w:rPr>
        <w:t>D-FJ-14</w:t>
      </w:r>
      <w:r>
        <w:rPr>
          <w:rFonts w:hint="eastAsia" w:ascii="微软雅黑" w:hAnsi="微软雅黑" w:eastAsia="微软雅黑" w:cs="微软雅黑"/>
          <w:color w:val="auto"/>
          <w:sz w:val="21"/>
          <w:szCs w:val="21"/>
          <w:highlight w:val="none"/>
        </w:rPr>
        <w:t>、S</w:t>
      </w:r>
      <w:r>
        <w:rPr>
          <w:rFonts w:ascii="微软雅黑" w:hAnsi="微软雅黑" w:eastAsia="微软雅黑" w:cs="微软雅黑"/>
          <w:color w:val="auto"/>
          <w:sz w:val="21"/>
          <w:szCs w:val="21"/>
          <w:highlight w:val="none"/>
        </w:rPr>
        <w:t>F-5</w:t>
      </w:r>
      <w:r>
        <w:rPr>
          <w:rFonts w:hint="eastAsia" w:ascii="微软雅黑" w:hAnsi="微软雅黑" w:eastAsia="微软雅黑" w:cs="微软雅黑"/>
          <w:color w:val="auto"/>
          <w:sz w:val="21"/>
          <w:szCs w:val="21"/>
          <w:highlight w:val="none"/>
        </w:rPr>
        <w:t>、S</w:t>
      </w:r>
      <w:r>
        <w:rPr>
          <w:rFonts w:ascii="微软雅黑" w:hAnsi="微软雅黑" w:eastAsia="微软雅黑" w:cs="微软雅黑"/>
          <w:color w:val="auto"/>
          <w:sz w:val="21"/>
          <w:szCs w:val="21"/>
          <w:highlight w:val="none"/>
        </w:rPr>
        <w:t>F-3</w:t>
      </w:r>
      <w:r>
        <w:rPr>
          <w:rFonts w:hint="eastAsia" w:ascii="微软雅黑" w:hAnsi="微软雅黑" w:eastAsia="微软雅黑" w:cs="微软雅黑"/>
          <w:color w:val="auto"/>
          <w:sz w:val="21"/>
          <w:szCs w:val="21"/>
          <w:highlight w:val="none"/>
        </w:rPr>
        <w:t>水封井内污水提升泵，提升至污水管道，管道布置于管廊桥架一层（高度5</w:t>
      </w:r>
      <w:r>
        <w:rPr>
          <w:rFonts w:ascii="微软雅黑" w:hAnsi="微软雅黑" w:eastAsia="微软雅黑" w:cs="微软雅黑"/>
          <w:color w:val="auto"/>
          <w:sz w:val="21"/>
          <w:szCs w:val="21"/>
          <w:highlight w:val="none"/>
        </w:rPr>
        <w:t>m</w:t>
      </w:r>
      <w:r>
        <w:rPr>
          <w:rFonts w:hint="eastAsia" w:ascii="微软雅黑" w:hAnsi="微软雅黑" w:eastAsia="微软雅黑" w:cs="微软雅黑"/>
          <w:color w:val="auto"/>
          <w:sz w:val="21"/>
          <w:szCs w:val="21"/>
          <w:highlight w:val="none"/>
        </w:rPr>
        <w:t>）空余位置，分别按各自的路径输送至污水处理区。</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管线试压，污水管道无损检测，焊缝进行100%磁粉检测，以及10%无损检测，无法压力试验时进行100%无损检测。</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 xml:space="preserve">管线切割，采用切管机的方法，所有的端口必须按照要求打磨平滑，清除上面的熔渣。 </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default" w:ascii="微软雅黑" w:hAnsi="微软雅黑" w:eastAsia="微软雅黑" w:cs="微软雅黑"/>
          <w:b w:val="0"/>
          <w:bCs w:val="0"/>
          <w:color w:val="auto"/>
          <w:sz w:val="21"/>
          <w:szCs w:val="21"/>
          <w:highlight w:val="none"/>
          <w:lang w:val="en-US" w:eastAsia="zh-CN"/>
        </w:rPr>
        <w:t>坡口预制</w:t>
      </w:r>
      <w:r>
        <w:rPr>
          <w:rFonts w:hint="eastAsia" w:ascii="微软雅黑" w:hAnsi="微软雅黑" w:eastAsia="微软雅黑" w:cs="微软雅黑"/>
          <w:b w:val="0"/>
          <w:bCs w:val="0"/>
          <w:color w:val="auto"/>
          <w:sz w:val="21"/>
          <w:szCs w:val="21"/>
          <w:highlight w:val="none"/>
          <w:lang w:val="en-US" w:eastAsia="zh-CN"/>
        </w:rPr>
        <w:t>，焊接前的坡口预制必须进行打磨处理。，表面不得有撕裂状和鱼鳞状缺陷，油污，油渣。</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管线组对，</w:t>
      </w:r>
      <w:r>
        <w:rPr>
          <w:rFonts w:hint="default" w:ascii="微软雅黑" w:hAnsi="微软雅黑" w:eastAsia="微软雅黑" w:cs="微软雅黑"/>
          <w:b w:val="0"/>
          <w:bCs w:val="0"/>
          <w:color w:val="auto"/>
          <w:sz w:val="21"/>
          <w:szCs w:val="21"/>
          <w:highlight w:val="none"/>
          <w:lang w:val="en-US" w:eastAsia="zh-CN"/>
        </w:rPr>
        <w:t>根据现场实际情况，将管道进行接长，一般接长长度为12米，段短管上的焊点数量应该尽可能保持最少。 所有插焊的管座与主管之间必须有1.5毫米的间距。管段组对内错边不能超过1.5mm。如果超过要进行打磨或机加工，使其产生平缓过渡，斜度不能超过1：4。不允许使用加热或捶打的方式组对或对中。法兰螺栓孔一般是跨中布置，与管线中心线保持水平与垂直。管座和短节位置在管线的孔一般是钻孔或其他机械方式开孔，开孔后的毛刺要处理干净。永久性定位焊根部要熔透，在两侧接头打磨出过渡端，定位焊强度要足够,管线定位焊长度 12mm~18mm。</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 xml:space="preserve">管线焊接，焊接坡口必须打磨出金属光泽，一定程度上不能有氧化皮，油污以及加工坡口的残留物，焊接前管上的油漆也要清理干净，任何焊缝表面的裂纹，气孔，不规则，氧化皮，焊渣，在进入下道工序前要清除干净。 </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管线吹扫，在压力和严密性试验结束后进行吹扫。按照P&amp;ID图查线。仔细检查应该打开的阀门是否开启，管线上的所有的阀门在清洗吹扫时必须处于全开状态， 冲洗泵和压缩机的入口需加临时滤网，冲洗完后移开。用水清扫应连续进行，直到在排放点至少排出有1分钟的清洁水为止。确定冲洗充足的主要标准是对排放水的颜色比较，抽取样品，污水排放和临时过滤器的清洁度。用空气清扫时，在排出口用贴白布或涂白漆的木制靶板检进行检查，5分钟内靶板上无铁锈、尘土、水分及其他杂物为合格。如不合格，应重新试验。</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管道焊口依据不锈钢的特点，氩弧焊打底，手工电焊盖面；</w:t>
      </w:r>
    </w:p>
    <w:p>
      <w:pPr>
        <w:pStyle w:val="1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改造的管线及阀门牢固可靠，无跑冒滴漏；</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color w:val="auto"/>
          <w:highlight w:val="none"/>
        </w:rPr>
      </w:pPr>
      <w:r>
        <w:rPr>
          <w:color w:val="auto"/>
          <w:highlight w:val="none"/>
        </w:rPr>
        <w:drawing>
          <wp:inline distT="0" distB="0" distL="114300" distR="114300">
            <wp:extent cx="6097270" cy="3204845"/>
            <wp:effectExtent l="9525" t="9525" r="27305" b="2413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9"/>
                    <a:stretch>
                      <a:fillRect/>
                    </a:stretch>
                  </pic:blipFill>
                  <pic:spPr>
                    <a:xfrm>
                      <a:off x="0" y="0"/>
                      <a:ext cx="6097270" cy="3204845"/>
                    </a:xfrm>
                    <a:prstGeom prst="rect">
                      <a:avLst/>
                    </a:prstGeom>
                    <a:noFill/>
                    <a:ln>
                      <a:solidFill>
                        <a:schemeClr val="accent1"/>
                      </a:solid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highlight w:val="none"/>
          <w:lang w:val="en-US" w:eastAsia="zh-CN"/>
        </w:rPr>
      </w:pPr>
      <w:r>
        <w:rPr>
          <w:rFonts w:hint="eastAsia" w:ascii="微软雅黑" w:hAnsi="微软雅黑" w:eastAsia="微软雅黑" w:cs="微软雅黑"/>
          <w:color w:val="auto"/>
          <w:sz w:val="21"/>
          <w:szCs w:val="21"/>
          <w:highlight w:val="none"/>
          <w:lang w:val="en-US" w:eastAsia="zh-CN"/>
        </w:rPr>
        <w:t>污水管网铺设及电伴热箱位置示意位</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管线保温材料敷设</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保温拼缝≤5mm；</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保温层厚度大于100mm时，应分层施工、同层错缝、上下压缝；</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水平纵向接缝的位置布置在管道垂直中心线45°范围内(SH3010-2000 5.2.9-5.2.11；GB50126-2008第4.1.1-4.1.3)；</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岩棉捆扎间距不应大于200mm 。 (SH3010-2000第5.2.20，GB50126-2008第4.3)；</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水平管道纵向接缝宜布置在水平中心线上、下45°范围内，且缝口朝下；</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管道的环向接缝搭接长度50mm，纵向接缝搭接30-50mm；弯头与直管段的搭接处，高温为75-150mm；</w:t>
      </w:r>
    </w:p>
    <w:p>
      <w:pPr>
        <w:pStyle w:val="19"/>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螺钉间距应为150-200mm；</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i w:val="0"/>
          <w:iCs w:val="0"/>
          <w:caps w:val="0"/>
          <w:spacing w:val="0"/>
          <w:sz w:val="21"/>
          <w:szCs w:val="21"/>
          <w:highlight w:val="none"/>
          <w:u w:val="none"/>
          <w:shd w:val="clear" w:fill="FFFFFF"/>
          <w:lang w:val="en-US" w:eastAsia="zh-CN"/>
        </w:rPr>
      </w:pPr>
      <w:r>
        <w:rPr>
          <w:rFonts w:hint="eastAsia" w:ascii="微软雅黑" w:hAnsi="微软雅黑" w:eastAsia="微软雅黑" w:cs="微软雅黑"/>
          <w:b/>
          <w:bCs/>
          <w:i w:val="0"/>
          <w:iCs w:val="0"/>
          <w:caps w:val="0"/>
          <w:spacing w:val="0"/>
          <w:sz w:val="21"/>
          <w:szCs w:val="21"/>
          <w:highlight w:val="none"/>
          <w:u w:val="none"/>
          <w:shd w:val="clear" w:fill="FFFFFF"/>
          <w:lang w:val="en-US" w:eastAsia="zh-CN"/>
        </w:rPr>
        <w:t>电伴热带敷设</w:t>
      </w:r>
    </w:p>
    <w:p>
      <w:pPr>
        <w:pStyle w:val="6"/>
        <w:widowControl w:val="0"/>
        <w:numPr>
          <w:ilvl w:val="0"/>
          <w:numId w:val="0"/>
        </w:numPr>
        <w:shd w:val="clear"/>
        <w:spacing w:line="257" w:lineRule="auto"/>
        <w:ind w:left="403" w:leftChars="0" w:right="115" w:rightChars="55"/>
        <w:jc w:val="left"/>
        <w:rPr>
          <w:color w:val="auto"/>
          <w:highlight w:val="none"/>
        </w:rPr>
      </w:pPr>
      <w:r>
        <w:rPr>
          <w:color w:val="auto"/>
          <w:highlight w:val="none"/>
        </w:rPr>
        <w:drawing>
          <wp:inline distT="0" distB="0" distL="114300" distR="114300">
            <wp:extent cx="5274310" cy="2268220"/>
            <wp:effectExtent l="9525" t="9525" r="12065" b="273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5274310" cy="2268220"/>
                    </a:xfrm>
                    <a:prstGeom prst="rect">
                      <a:avLst/>
                    </a:prstGeom>
                    <a:noFill/>
                    <a:ln>
                      <a:solidFill>
                        <a:schemeClr val="accent1"/>
                      </a:solidFill>
                    </a:ln>
                  </pic:spPr>
                </pic:pic>
              </a:graphicData>
            </a:graphic>
          </wp:inline>
        </w:drawing>
      </w:r>
    </w:p>
    <w:p>
      <w:pPr>
        <w:pStyle w:val="6"/>
        <w:widowControl w:val="0"/>
        <w:numPr>
          <w:ilvl w:val="0"/>
          <w:numId w:val="0"/>
        </w:numPr>
        <w:shd w:val="clear"/>
        <w:spacing w:line="257" w:lineRule="auto"/>
        <w:ind w:left="403" w:leftChars="0" w:right="115" w:rightChars="55"/>
        <w:jc w:val="center"/>
        <w:rPr>
          <w:rFonts w:hint="eastAsia"/>
          <w:color w:val="auto"/>
          <w:highlight w:val="none"/>
          <w:lang w:eastAsia="zh-CN"/>
        </w:rPr>
      </w:pPr>
      <w:r>
        <w:rPr>
          <w:rFonts w:hint="eastAsia" w:ascii="微软雅黑" w:hAnsi="微软雅黑" w:eastAsia="微软雅黑" w:cs="微软雅黑"/>
          <w:color w:val="auto"/>
          <w:highlight w:val="none"/>
          <w:lang w:val="en-US" w:eastAsia="zh-CN"/>
        </w:rPr>
        <w:t>参考--</w:t>
      </w:r>
      <w:r>
        <w:rPr>
          <w:rFonts w:hint="eastAsia"/>
          <w:color w:val="auto"/>
          <w:highlight w:val="none"/>
          <w:lang w:eastAsia="zh-CN"/>
        </w:rPr>
        <w:t>单根电伴热施工法</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敷时尽可能将电伴热带附在管道的下侧方45°角；</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璃纤维亚敏胶带每隔约30cm-50cm处将电伴热带固定于管道上；</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箔胶带沿电伴热整体将电伴热带粘于管道上；</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线路的第一供电点和尾端各预约1m长的电伴热带；</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使用两通或三通配件处，电伴热带各端应预留50cm长度；</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所有散热体（如支架.阀门.法兰等）应按设计图要求预留所需电伴热带长度，将此段电伴热带缠绕于散主体上并固定；</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温度传感器应固定在离电源盒3到5米的地方，离电伴热带至少2到4厘米；</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电伴热单项敷设长度累计不能超过100米；</w:t>
      </w:r>
    </w:p>
    <w:p>
      <w:pPr>
        <w:pStyle w:val="6"/>
        <w:widowControl w:val="0"/>
        <w:numPr>
          <w:ilvl w:val="0"/>
          <w:numId w:val="0"/>
        </w:numPr>
        <w:shd w:val="clear"/>
        <w:spacing w:line="257" w:lineRule="auto"/>
        <w:ind w:left="403" w:leftChars="0" w:right="115" w:rightChars="55"/>
        <w:jc w:val="center"/>
        <w:rPr>
          <w:color w:val="auto"/>
          <w:highlight w:val="none"/>
        </w:rPr>
      </w:pPr>
      <w:r>
        <w:rPr>
          <w:color w:val="auto"/>
          <w:highlight w:val="none"/>
        </w:rPr>
        <w:drawing>
          <wp:inline distT="0" distB="0" distL="114300" distR="114300">
            <wp:extent cx="5269865" cy="5408930"/>
            <wp:effectExtent l="9525" t="9525" r="16510" b="1079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1"/>
                    <a:stretch>
                      <a:fillRect/>
                    </a:stretch>
                  </pic:blipFill>
                  <pic:spPr>
                    <a:xfrm>
                      <a:off x="0" y="0"/>
                      <a:ext cx="5269865" cy="5408930"/>
                    </a:xfrm>
                    <a:prstGeom prst="rect">
                      <a:avLst/>
                    </a:prstGeom>
                    <a:noFill/>
                    <a:ln>
                      <a:solidFill>
                        <a:schemeClr val="accent1"/>
                      </a:solidFill>
                    </a:ln>
                  </pic:spPr>
                </pic:pic>
              </a:graphicData>
            </a:graphic>
          </wp:inline>
        </w:drawing>
      </w:r>
    </w:p>
    <w:p>
      <w:pPr>
        <w:pStyle w:val="6"/>
        <w:widowControl w:val="0"/>
        <w:numPr>
          <w:ilvl w:val="0"/>
          <w:numId w:val="0"/>
        </w:numPr>
        <w:shd w:val="clear"/>
        <w:spacing w:line="257" w:lineRule="auto"/>
        <w:ind w:left="403" w:leftChars="0" w:right="115" w:rightChars="55"/>
        <w:jc w:val="center"/>
        <w:rPr>
          <w:rFonts w:hint="eastAsia"/>
          <w:color w:val="auto"/>
          <w:highlight w:val="none"/>
          <w:lang w:eastAsia="zh-CN"/>
        </w:rPr>
      </w:pPr>
      <w:r>
        <w:rPr>
          <w:rFonts w:hint="eastAsia" w:ascii="微软雅黑" w:hAnsi="微软雅黑" w:eastAsia="微软雅黑" w:cs="微软雅黑"/>
          <w:color w:val="auto"/>
          <w:highlight w:val="none"/>
          <w:lang w:val="en-US" w:eastAsia="zh-CN"/>
        </w:rPr>
        <w:t>参考--</w:t>
      </w:r>
      <w:r>
        <w:rPr>
          <w:rFonts w:hint="eastAsia"/>
          <w:color w:val="auto"/>
          <w:highlight w:val="none"/>
          <w:lang w:eastAsia="zh-CN"/>
        </w:rPr>
        <w:t>多根电伴热带施工方法（注意不要超过最大使用长度）</w:t>
      </w:r>
    </w:p>
    <w:p>
      <w:pPr>
        <w:pStyle w:val="19"/>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420" w:firstLine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电伴热带由管道线路一端起开始布线至尾端再回头至起点，根数等于安装比例。先用玻璃纤维亚敏胶带每隔30-50cm处将电伴热带固定于管道上。再用铝箔胶带沿电伴热带布线方向，将电伴热带整体粘于管道。</w:t>
      </w:r>
    </w:p>
    <w:p>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baseline"/>
        <w:rPr>
          <w:rFonts w:hint="eastAsia" w:ascii="微软雅黑" w:hAnsi="微软雅黑" w:eastAsia="微软雅黑" w:cs="微软雅黑"/>
          <w:b w:val="0"/>
          <w:bCs w:val="0"/>
          <w:color w:val="auto"/>
          <w:sz w:val="21"/>
          <w:szCs w:val="21"/>
          <w:highlight w:val="none"/>
          <w:lang w:val="en-US" w:eastAsia="zh-CN"/>
        </w:rPr>
      </w:pPr>
      <w:bookmarkStart w:id="7" w:name="OLE_LINK16"/>
      <w:r>
        <w:rPr>
          <w:rFonts w:hint="eastAsia" w:ascii="微软雅黑" w:hAnsi="微软雅黑" w:eastAsia="微软雅黑" w:cs="微软雅黑"/>
          <w:b w:val="0"/>
          <w:bCs w:val="0"/>
          <w:color w:val="auto"/>
          <w:sz w:val="21"/>
          <w:szCs w:val="21"/>
          <w:highlight w:val="none"/>
          <w:lang w:val="en-US" w:eastAsia="zh-CN"/>
        </w:rPr>
        <w:t>注：服务过程中所产生的工业垃圾由乙方合法、合规进行处置，甲方不再单独支付费用</w:t>
      </w:r>
      <w:bookmarkEnd w:id="7"/>
      <w:r>
        <w:rPr>
          <w:rFonts w:hint="eastAsia" w:ascii="微软雅黑" w:hAnsi="微软雅黑" w:eastAsia="微软雅黑" w:cs="微软雅黑"/>
          <w:b w:val="0"/>
          <w:bCs w:val="0"/>
          <w:color w:val="auto"/>
          <w:sz w:val="21"/>
          <w:szCs w:val="21"/>
          <w:highlight w:val="none"/>
          <w:lang w:val="en-US" w:eastAsia="zh-CN"/>
        </w:rPr>
        <w:t>。</w:t>
      </w:r>
    </w:p>
    <w:p>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施工过程地下可能存在雨污窜水、地下水位高等现象，由乙方进行相应的集水坑施工（集水坑设置数量及施工过程产生的费用由乙方负责，甲方不再单独支付费用），经双方检测合格，乙方配备相应的机具进行持续抽水工作，排放至指定区域。</w:t>
      </w:r>
    </w:p>
    <w:p>
      <w:pPr>
        <w:pStyle w:val="7"/>
        <w:numPr>
          <w:ilvl w:val="0"/>
          <w:numId w:val="1"/>
        </w:numPr>
        <w:tabs>
          <w:tab w:val="left" w:pos="0"/>
        </w:tabs>
        <w:spacing w:before="156" w:beforeLines="50" w:after="156" w:afterLines="50" w:line="360" w:lineRule="auto"/>
        <w:ind w:left="0" w:leftChars="0" w:firstLine="0" w:firstLineChars="0"/>
        <w:rPr>
          <w:rFonts w:hint="default"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配备资源要求</w:t>
      </w:r>
    </w:p>
    <w:p>
      <w:pPr>
        <w:pStyle w:val="6"/>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firstLine="0" w:firstLineChars="0"/>
        <w:jc w:val="left"/>
        <w:textAlignment w:val="auto"/>
        <w:rPr>
          <w:rFonts w:hint="default" w:ascii="微软雅黑" w:hAnsi="微软雅黑" w:eastAsia="微软雅黑" w:cs="微软雅黑"/>
          <w:b/>
          <w:bCs/>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sz w:val="21"/>
          <w:szCs w:val="21"/>
          <w:highlight w:val="none"/>
          <w:lang w:val="en-US" w:eastAsia="zh-CN" w:bidi="ar-SA"/>
        </w:rPr>
        <w:t>★</w:t>
      </w: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人员要求：</w:t>
      </w:r>
    </w:p>
    <w:p>
      <w:pPr>
        <w:pStyle w:val="19"/>
        <w:keepNext w:val="0"/>
        <w:keepLines w:val="0"/>
        <w:pageBreakBefore w:val="0"/>
        <w:widowControl w:val="0"/>
        <w:numPr>
          <w:ilvl w:val="0"/>
          <w:numId w:val="16"/>
        </w:numPr>
        <w:shd w:val="clear" w:fill="FFFFFF" w:themeFill="background1"/>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项目经理：具有有效期内的机电工程或建筑工程专业的《中华人民共和国二级或一级建造师注册证书》，注册单位为投标人，投标时须提供原件扫描件（原件备查）；若为电子证书，须有持证人签名，并可在全国建筑市场监管公共服务平台（https://jzsc.mohurd.gov.cn/data/person）核实；要求具有有效期内的《建筑施工企业项目负责人安全生产考核合格证书》（B 证），注册单位为投标人，投标时提供原件扫描件（原件备查），且在全国工程质量安全监管信息平台公共服务 门户。（https://zlaq.mohurd.gov.cn/fwmh/bjxcjgl/fwmh/pages/construction_safety/qyaqscglry/qyaqscglry.html）核实。</w:t>
      </w:r>
      <w:bookmarkStart w:id="8" w:name="OLE_LINK32"/>
      <w:r>
        <w:rPr>
          <w:rFonts w:hint="eastAsia" w:ascii="微软雅黑" w:hAnsi="微软雅黑" w:eastAsia="微软雅黑" w:cs="微软雅黑"/>
          <w:b w:val="0"/>
          <w:bCs w:val="0"/>
          <w:color w:val="auto"/>
          <w:sz w:val="21"/>
          <w:szCs w:val="21"/>
          <w:highlight w:val="none"/>
          <w:lang w:val="en-US" w:eastAsia="zh-CN"/>
        </w:rPr>
        <w:t>投标人拟委任的项目经理自投标截止日起无在建工程（投标时提供承诺）。</w:t>
      </w:r>
      <w:bookmarkEnd w:id="8"/>
    </w:p>
    <w:p>
      <w:pPr>
        <w:pStyle w:val="19"/>
        <w:keepNext w:val="0"/>
        <w:keepLines w:val="0"/>
        <w:pageBreakBefore w:val="0"/>
        <w:widowControl w:val="0"/>
        <w:numPr>
          <w:ilvl w:val="0"/>
          <w:numId w:val="16"/>
        </w:numPr>
        <w:shd w:val="clear" w:fill="FFFFFF" w:themeFill="background1"/>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default"/>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 xml:space="preserve">专职安全员1人，具有有效期内的《建筑施工企业专职安全生产管理人员安全生产考核合格证书》（C证），注册单位为投标人，投标时提供原件扫描件（原件备查），且在全国工程质量安全监管信息平台公共服务门户（https://zlaq.mohurd.gov.cn/fwmh/bjxcjgl/fwmh/pages/construction_safety/qyaqscglry/qyaqscglry.html）核实；或有效期内的注册安全工程师，且中级注册安全工程师可在应急管理部中级注册安全工程师注册管理系统（  </w:t>
      </w:r>
      <w:r>
        <w:rPr>
          <w:rFonts w:hint="eastAsia" w:ascii="微软雅黑" w:hAnsi="微软雅黑" w:eastAsia="微软雅黑" w:cs="微软雅黑"/>
          <w:b w:val="0"/>
          <w:bCs w:val="0"/>
          <w:color w:val="auto"/>
          <w:sz w:val="21"/>
          <w:szCs w:val="21"/>
          <w:highlight w:val="none"/>
          <w:lang w:val="en-US" w:eastAsia="zh-CN"/>
        </w:rPr>
        <w:fldChar w:fldCharType="begin"/>
      </w:r>
      <w:r>
        <w:rPr>
          <w:rFonts w:hint="eastAsia" w:ascii="微软雅黑" w:hAnsi="微软雅黑" w:eastAsia="微软雅黑" w:cs="微软雅黑"/>
          <w:b w:val="0"/>
          <w:bCs w:val="0"/>
          <w:color w:val="auto"/>
          <w:sz w:val="21"/>
          <w:szCs w:val="21"/>
          <w:highlight w:val="none"/>
          <w:lang w:val="en-US" w:eastAsia="zh-CN"/>
        </w:rPr>
        <w:instrText xml:space="preserve"> HYPERLINK "https://zwfw.mem.gov.cn/zwthlw/pages/hlwmh/yyfw/zcaqgcscx/index.html）核实。" </w:instrText>
      </w:r>
      <w:r>
        <w:rPr>
          <w:rFonts w:hint="eastAsia" w:ascii="微软雅黑" w:hAnsi="微软雅黑" w:eastAsia="微软雅黑" w:cs="微软雅黑"/>
          <w:b w:val="0"/>
          <w:bCs w:val="0"/>
          <w:color w:val="auto"/>
          <w:sz w:val="21"/>
          <w:szCs w:val="21"/>
          <w:highlight w:val="none"/>
          <w:lang w:val="en-US" w:eastAsia="zh-CN"/>
        </w:rPr>
        <w:fldChar w:fldCharType="separate"/>
      </w:r>
      <w:r>
        <w:rPr>
          <w:rFonts w:hint="eastAsia" w:ascii="微软雅黑" w:hAnsi="微软雅黑" w:eastAsia="微软雅黑" w:cs="微软雅黑"/>
          <w:b w:val="0"/>
          <w:bCs w:val="0"/>
          <w:color w:val="auto"/>
          <w:sz w:val="21"/>
          <w:szCs w:val="21"/>
          <w:highlight w:val="none"/>
          <w:lang w:val="en-US" w:eastAsia="zh-CN"/>
        </w:rPr>
        <w:t>https://zwfw.mem.gov.cn/zwthlw/pages/hlwmh/yyfw/zcaqgcscx/index.html）核实。</w:t>
      </w:r>
      <w:r>
        <w:rPr>
          <w:rFonts w:hint="eastAsia" w:ascii="微软雅黑" w:hAnsi="微软雅黑" w:eastAsia="微软雅黑" w:cs="微软雅黑"/>
          <w:b w:val="0"/>
          <w:bCs w:val="0"/>
          <w:color w:val="auto"/>
          <w:sz w:val="21"/>
          <w:szCs w:val="21"/>
          <w:highlight w:val="none"/>
          <w:lang w:val="en-US" w:eastAsia="zh-CN"/>
        </w:rPr>
        <w:fldChar w:fldCharType="end"/>
      </w:r>
    </w:p>
    <w:p>
      <w:pPr>
        <w:pStyle w:val="19"/>
        <w:keepNext w:val="0"/>
        <w:keepLines w:val="0"/>
        <w:pageBreakBefore w:val="0"/>
        <w:widowControl w:val="0"/>
        <w:numPr>
          <w:ilvl w:val="0"/>
          <w:numId w:val="16"/>
        </w:numPr>
        <w:shd w:val="clear" w:fill="FFFFFF" w:themeFill="background1"/>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乙方承诺：服务期间提供技术负责人1人，需取得建筑或管道相关专业中级及以上职称，服务期间提供身份证、证书原件扫描件及由投标人缴纳的近3个月的社保缴费证明，社保缴费证明应由社保部门开具的或从社保网站打印的证明，可以通过二维码扫描或者通过第三方 APP软件确认其真实有效，若不可通过扫描方式或者 APP方式确认的，投标单位必须提供当地社保查询网址，用户名及密码等方式可以确认其社保真实性。</w:t>
      </w:r>
      <w:bookmarkStart w:id="9" w:name="OLE_LINK19"/>
    </w:p>
    <w:p>
      <w:pPr>
        <w:pStyle w:val="19"/>
        <w:keepNext w:val="0"/>
        <w:keepLines w:val="0"/>
        <w:pageBreakBefore w:val="0"/>
        <w:widowControl w:val="0"/>
        <w:numPr>
          <w:ilvl w:val="0"/>
          <w:numId w:val="16"/>
        </w:numPr>
        <w:shd w:val="clear" w:fill="FFFFFF" w:themeFill="background1"/>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i w:val="0"/>
          <w:iCs w:val="0"/>
          <w:color w:val="000000"/>
          <w:kern w:val="0"/>
          <w:sz w:val="21"/>
          <w:szCs w:val="21"/>
          <w:highlight w:val="none"/>
          <w:u w:val="none"/>
          <w:lang w:val="en-US" w:eastAsia="zh-CN" w:bidi="ar"/>
        </w:rPr>
        <w:t>乙方承诺：</w:t>
      </w:r>
      <w:r>
        <w:rPr>
          <w:rFonts w:hint="eastAsia" w:ascii="微软雅黑" w:hAnsi="微软雅黑" w:eastAsia="微软雅黑" w:cs="微软雅黑"/>
          <w:b w:val="0"/>
          <w:bCs w:val="0"/>
          <w:color w:val="auto"/>
          <w:sz w:val="21"/>
          <w:szCs w:val="21"/>
          <w:highlight w:val="none"/>
          <w:lang w:val="en-US" w:eastAsia="zh-CN"/>
        </w:rPr>
        <w:t>服务期间提供</w:t>
      </w:r>
      <w:bookmarkEnd w:id="9"/>
      <w:r>
        <w:rPr>
          <w:rFonts w:hint="eastAsia" w:ascii="微软雅黑" w:hAnsi="微软雅黑" w:eastAsia="微软雅黑" w:cs="微软雅黑"/>
          <w:b w:val="0"/>
          <w:bCs w:val="0"/>
          <w:color w:val="auto"/>
          <w:sz w:val="21"/>
          <w:szCs w:val="21"/>
          <w:highlight w:val="none"/>
          <w:lang w:val="en-US" w:eastAsia="zh-CN"/>
        </w:rPr>
        <w:t>电焊工不少于3人，具备有效期内的</w:t>
      </w:r>
      <w:r>
        <w:rPr>
          <w:rFonts w:hint="eastAsia" w:ascii="微软雅黑" w:hAnsi="微软雅黑" w:eastAsia="微软雅黑" w:cs="微软雅黑"/>
          <w:b w:val="0"/>
          <w:bCs w:val="0"/>
          <w:color w:val="auto"/>
          <w:sz w:val="21"/>
          <w:szCs w:val="21"/>
          <w:highlight w:val="none"/>
          <w:lang w:val="en-US" w:eastAsia="en-US"/>
        </w:rPr>
        <w:t>特种作业操作证（准操项目：准操项目：焊接与热切割作业）</w:t>
      </w:r>
      <w:r>
        <w:rPr>
          <w:rFonts w:hint="eastAsia" w:ascii="微软雅黑" w:hAnsi="微软雅黑" w:eastAsia="微软雅黑" w:cs="微软雅黑"/>
          <w:b w:val="0"/>
          <w:bCs w:val="0"/>
          <w:color w:val="auto"/>
          <w:sz w:val="21"/>
          <w:szCs w:val="21"/>
          <w:highlight w:val="none"/>
          <w:lang w:val="en-US" w:eastAsia="zh-CN"/>
        </w:rPr>
        <w:t>，服务期间提供身份证及</w:t>
      </w:r>
      <w:r>
        <w:rPr>
          <w:rFonts w:hint="eastAsia" w:ascii="微软雅黑" w:hAnsi="微软雅黑" w:eastAsia="微软雅黑" w:cs="微软雅黑"/>
          <w:b w:val="0"/>
          <w:bCs w:val="0"/>
          <w:color w:val="auto"/>
          <w:sz w:val="21"/>
          <w:szCs w:val="21"/>
          <w:highlight w:val="none"/>
          <w:lang w:val="en-US" w:eastAsia="en-US"/>
        </w:rPr>
        <w:t>特种作业操作证</w:t>
      </w:r>
      <w:r>
        <w:rPr>
          <w:rFonts w:hint="eastAsia" w:ascii="微软雅黑" w:hAnsi="微软雅黑" w:eastAsia="微软雅黑" w:cs="微软雅黑"/>
          <w:b w:val="0"/>
          <w:bCs w:val="0"/>
          <w:color w:val="auto"/>
          <w:sz w:val="21"/>
          <w:szCs w:val="21"/>
          <w:highlight w:val="none"/>
          <w:lang w:val="en-US" w:eastAsia="zh-CN"/>
        </w:rPr>
        <w:t>扫描件，证件需在中华人民共和国应急管理部官网可查（www.mem.gov.cn）。</w:t>
      </w:r>
    </w:p>
    <w:p>
      <w:pPr>
        <w:pStyle w:val="19"/>
        <w:keepNext w:val="0"/>
        <w:keepLines w:val="0"/>
        <w:pageBreakBefore w:val="0"/>
        <w:widowControl w:val="0"/>
        <w:numPr>
          <w:ilvl w:val="0"/>
          <w:numId w:val="16"/>
        </w:numPr>
        <w:shd w:val="clear" w:fill="FFFFFF" w:themeFill="background1"/>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default" w:ascii="微软雅黑" w:hAnsi="微软雅黑" w:eastAsia="微软雅黑" w:cs="微软雅黑"/>
          <w:b w:val="0"/>
          <w:bCs w:val="0"/>
          <w:color w:val="auto"/>
          <w:sz w:val="21"/>
          <w:szCs w:val="21"/>
          <w:highlight w:val="none"/>
          <w:lang w:val="en-US" w:eastAsia="zh-CN"/>
        </w:rPr>
      </w:pPr>
      <w:bookmarkStart w:id="10" w:name="OLE_LINK28"/>
      <w:r>
        <w:rPr>
          <w:rFonts w:hint="eastAsia" w:ascii="微软雅黑" w:hAnsi="微软雅黑" w:eastAsia="微软雅黑" w:cs="微软雅黑"/>
          <w:i w:val="0"/>
          <w:iCs w:val="0"/>
          <w:color w:val="000000"/>
          <w:kern w:val="0"/>
          <w:sz w:val="21"/>
          <w:szCs w:val="21"/>
          <w:highlight w:val="none"/>
          <w:u w:val="none"/>
          <w:lang w:val="en-US" w:eastAsia="zh-CN" w:bidi="ar"/>
        </w:rPr>
        <w:t>乙方承诺：</w:t>
      </w:r>
      <w:r>
        <w:rPr>
          <w:rFonts w:hint="eastAsia" w:ascii="微软雅黑" w:hAnsi="微软雅黑" w:eastAsia="微软雅黑" w:cs="微软雅黑"/>
          <w:b w:val="0"/>
          <w:bCs w:val="0"/>
          <w:color w:val="auto"/>
          <w:sz w:val="21"/>
          <w:szCs w:val="21"/>
          <w:highlight w:val="none"/>
          <w:lang w:val="en-US" w:eastAsia="zh-CN"/>
        </w:rPr>
        <w:t>服务期间提供电工不少于2人</w:t>
      </w:r>
      <w:bookmarkStart w:id="11" w:name="OLE_LINK20"/>
      <w:r>
        <w:rPr>
          <w:rFonts w:hint="eastAsia" w:ascii="微软雅黑" w:hAnsi="微软雅黑" w:eastAsia="微软雅黑" w:cs="微软雅黑"/>
          <w:b w:val="0"/>
          <w:bCs w:val="0"/>
          <w:color w:val="auto"/>
          <w:sz w:val="21"/>
          <w:szCs w:val="21"/>
          <w:highlight w:val="none"/>
          <w:lang w:val="en-US" w:eastAsia="zh-CN"/>
        </w:rPr>
        <w:t>，具备有效期内的</w:t>
      </w:r>
      <w:r>
        <w:rPr>
          <w:rFonts w:hint="eastAsia" w:ascii="微软雅黑" w:hAnsi="微软雅黑" w:eastAsia="微软雅黑" w:cs="微软雅黑"/>
          <w:b w:val="0"/>
          <w:bCs w:val="0"/>
          <w:color w:val="auto"/>
          <w:sz w:val="21"/>
          <w:szCs w:val="21"/>
          <w:highlight w:val="none"/>
          <w:lang w:val="en-US" w:eastAsia="en-US"/>
        </w:rPr>
        <w:t>特种作业操作证（准操项目：高压电工作业或低压电工作业）</w:t>
      </w:r>
      <w:bookmarkStart w:id="12" w:name="OLE_LINK21"/>
      <w:r>
        <w:rPr>
          <w:rFonts w:hint="eastAsia" w:ascii="微软雅黑" w:hAnsi="微软雅黑" w:eastAsia="微软雅黑" w:cs="微软雅黑"/>
          <w:color w:val="auto"/>
          <w:sz w:val="21"/>
          <w:szCs w:val="21"/>
          <w:highlight w:val="none"/>
          <w:lang w:val="en-US" w:eastAsia="zh-CN"/>
        </w:rPr>
        <w:t>和防爆电气操作证</w:t>
      </w:r>
      <w:r>
        <w:rPr>
          <w:rFonts w:hint="eastAsia" w:ascii="微软雅黑" w:hAnsi="微软雅黑" w:eastAsia="微软雅黑" w:cs="微软雅黑"/>
          <w:b w:val="0"/>
          <w:bCs w:val="0"/>
          <w:color w:val="auto"/>
          <w:sz w:val="21"/>
          <w:szCs w:val="21"/>
          <w:highlight w:val="none"/>
          <w:lang w:val="en-US" w:eastAsia="zh-CN"/>
        </w:rPr>
        <w:t>，</w:t>
      </w:r>
      <w:bookmarkEnd w:id="11"/>
      <w:r>
        <w:rPr>
          <w:rFonts w:hint="eastAsia" w:ascii="微软雅黑" w:hAnsi="微软雅黑" w:eastAsia="微软雅黑" w:cs="微软雅黑"/>
          <w:b w:val="0"/>
          <w:bCs w:val="0"/>
          <w:color w:val="auto"/>
          <w:sz w:val="21"/>
          <w:szCs w:val="21"/>
          <w:highlight w:val="none"/>
          <w:lang w:val="en-US" w:eastAsia="zh-CN"/>
        </w:rPr>
        <w:t>服务期间提供身份证及</w:t>
      </w:r>
      <w:r>
        <w:rPr>
          <w:rFonts w:hint="eastAsia" w:ascii="微软雅黑" w:hAnsi="微软雅黑" w:eastAsia="微软雅黑" w:cs="微软雅黑"/>
          <w:b w:val="0"/>
          <w:bCs w:val="0"/>
          <w:color w:val="auto"/>
          <w:sz w:val="21"/>
          <w:szCs w:val="21"/>
          <w:highlight w:val="none"/>
          <w:lang w:val="en-US" w:eastAsia="en-US"/>
        </w:rPr>
        <w:t>特种作业操作证</w:t>
      </w:r>
      <w:r>
        <w:rPr>
          <w:rFonts w:hint="eastAsia" w:ascii="微软雅黑" w:hAnsi="微软雅黑" w:eastAsia="微软雅黑" w:cs="微软雅黑"/>
          <w:b w:val="0"/>
          <w:bCs w:val="0"/>
          <w:color w:val="auto"/>
          <w:sz w:val="21"/>
          <w:szCs w:val="21"/>
          <w:highlight w:val="none"/>
          <w:lang w:val="en-US" w:eastAsia="zh-CN"/>
        </w:rPr>
        <w:t>扫描件，</w:t>
      </w:r>
      <w:bookmarkStart w:id="13" w:name="OLE_LINK22"/>
      <w:r>
        <w:rPr>
          <w:rFonts w:hint="eastAsia" w:ascii="微软雅黑" w:hAnsi="微软雅黑" w:eastAsia="微软雅黑" w:cs="微软雅黑"/>
          <w:b w:val="0"/>
          <w:bCs w:val="0"/>
          <w:color w:val="auto"/>
          <w:sz w:val="21"/>
          <w:szCs w:val="21"/>
          <w:highlight w:val="none"/>
          <w:lang w:val="en-US" w:eastAsia="zh-CN"/>
        </w:rPr>
        <w:t>证件需在中华人民共和国应急管理部官网可查</w:t>
      </w:r>
      <w:bookmarkEnd w:id="12"/>
      <w:r>
        <w:rPr>
          <w:rFonts w:hint="eastAsia" w:ascii="微软雅黑" w:hAnsi="微软雅黑" w:eastAsia="微软雅黑" w:cs="微软雅黑"/>
          <w:b w:val="0"/>
          <w:bCs w:val="0"/>
          <w:color w:val="auto"/>
          <w:sz w:val="21"/>
          <w:szCs w:val="21"/>
          <w:highlight w:val="none"/>
          <w:lang w:val="en-US" w:eastAsia="zh-CN"/>
        </w:rPr>
        <w:t>（www.mem.gov.cn）</w:t>
      </w:r>
      <w:bookmarkEnd w:id="13"/>
      <w:r>
        <w:rPr>
          <w:rFonts w:hint="eastAsia" w:ascii="微软雅黑" w:hAnsi="微软雅黑" w:eastAsia="微软雅黑" w:cs="微软雅黑"/>
          <w:b w:val="0"/>
          <w:bCs w:val="0"/>
          <w:color w:val="auto"/>
          <w:sz w:val="21"/>
          <w:szCs w:val="21"/>
          <w:highlight w:val="none"/>
          <w:lang w:val="en-US" w:eastAsia="zh-CN"/>
        </w:rPr>
        <w:t>。</w:t>
      </w:r>
    </w:p>
    <w:bookmarkEnd w:id="10"/>
    <w:p>
      <w:pPr>
        <w:pStyle w:val="6"/>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firstLine="0" w:firstLineChars="0"/>
        <w:jc w:val="left"/>
        <w:textAlignment w:val="auto"/>
        <w:rPr>
          <w:rFonts w:hint="default" w:ascii="微软雅黑" w:hAnsi="微软雅黑" w:eastAsia="微软雅黑" w:cs="微软雅黑"/>
          <w:b/>
          <w:bCs/>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机具要求：</w:t>
      </w:r>
    </w:p>
    <w:p>
      <w:pPr>
        <w:ind w:firstLine="420"/>
        <w:rPr>
          <w:rFonts w:hint="default"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val="en-US" w:eastAsia="zh-CN"/>
        </w:rPr>
        <w:t>工作量清单中涉及的耗材、机具、人工均由乙方负责提供且服务过程中的产生的额外耗材、机具和服务人员等，甲方不再单独支付费用。</w:t>
      </w:r>
    </w:p>
    <w:p>
      <w:pPr>
        <w:pStyle w:val="19"/>
        <w:rPr>
          <w:rFonts w:hint="default"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val="en-US" w:eastAsia="zh-CN"/>
        </w:rPr>
        <w:t>服务过程中乙方机具包括不限于以下（具体机具需求以现场实际为准）：</w:t>
      </w:r>
    </w:p>
    <w:tbl>
      <w:tblPr>
        <w:tblStyle w:val="15"/>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516"/>
        <w:gridCol w:w="1227"/>
        <w:gridCol w:w="1626"/>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b/>
                <w:bCs/>
                <w:color w:val="auto"/>
                <w:sz w:val="21"/>
                <w:szCs w:val="21"/>
                <w:highlight w:val="none"/>
                <w:vertAlign w:val="baseline"/>
                <w:lang w:val="en-US" w:eastAsia="zh-CN"/>
              </w:rPr>
            </w:pPr>
            <w:r>
              <w:rPr>
                <w:rFonts w:hint="eastAsia" w:ascii="微软雅黑" w:hAnsi="微软雅黑" w:eastAsia="微软雅黑" w:cs="微软雅黑"/>
                <w:b/>
                <w:bCs/>
                <w:color w:val="auto"/>
                <w:sz w:val="21"/>
                <w:szCs w:val="21"/>
                <w:highlight w:val="none"/>
                <w:vertAlign w:val="baseline"/>
                <w:lang w:val="en-US" w:eastAsia="zh-CN"/>
              </w:rPr>
              <w:t>序号</w:t>
            </w:r>
          </w:p>
        </w:tc>
        <w:tc>
          <w:tcPr>
            <w:tcW w:w="3516" w:type="dxa"/>
            <w:vAlign w:val="center"/>
          </w:tcPr>
          <w:p>
            <w:pPr>
              <w:pStyle w:val="19"/>
              <w:ind w:left="0" w:leftChars="0" w:firstLine="0" w:firstLineChars="0"/>
              <w:jc w:val="center"/>
              <w:rPr>
                <w:rFonts w:hint="eastAsia" w:ascii="微软雅黑" w:hAnsi="微软雅黑" w:eastAsia="微软雅黑" w:cs="微软雅黑"/>
                <w:b/>
                <w:bCs/>
                <w:color w:val="auto"/>
                <w:sz w:val="21"/>
                <w:szCs w:val="21"/>
                <w:highlight w:val="none"/>
                <w:vertAlign w:val="baseline"/>
                <w:lang w:val="en-US" w:eastAsia="zh-CN"/>
              </w:rPr>
            </w:pPr>
            <w:r>
              <w:rPr>
                <w:rFonts w:hint="eastAsia" w:ascii="微软雅黑" w:hAnsi="微软雅黑" w:eastAsia="微软雅黑" w:cs="微软雅黑"/>
                <w:b/>
                <w:bCs/>
                <w:color w:val="auto"/>
                <w:sz w:val="21"/>
                <w:szCs w:val="21"/>
                <w:highlight w:val="none"/>
                <w:vertAlign w:val="baseline"/>
                <w:lang w:val="en-US" w:eastAsia="zh-CN"/>
              </w:rPr>
              <w:t>名称</w:t>
            </w:r>
          </w:p>
        </w:tc>
        <w:tc>
          <w:tcPr>
            <w:tcW w:w="1227" w:type="dxa"/>
            <w:vAlign w:val="center"/>
          </w:tcPr>
          <w:p>
            <w:pPr>
              <w:pStyle w:val="19"/>
              <w:jc w:val="both"/>
              <w:rPr>
                <w:rFonts w:hint="eastAsia" w:ascii="微软雅黑" w:hAnsi="微软雅黑" w:eastAsia="微软雅黑" w:cs="微软雅黑"/>
                <w:b/>
                <w:bCs/>
                <w:color w:val="auto"/>
                <w:sz w:val="21"/>
                <w:szCs w:val="21"/>
                <w:highlight w:val="none"/>
                <w:vertAlign w:val="baseline"/>
                <w:lang w:val="en-US" w:eastAsia="zh-CN"/>
              </w:rPr>
            </w:pPr>
            <w:r>
              <w:rPr>
                <w:rFonts w:hint="eastAsia" w:ascii="微软雅黑" w:hAnsi="微软雅黑" w:eastAsia="微软雅黑" w:cs="微软雅黑"/>
                <w:b/>
                <w:bCs/>
                <w:color w:val="auto"/>
                <w:sz w:val="21"/>
                <w:szCs w:val="21"/>
                <w:highlight w:val="none"/>
                <w:vertAlign w:val="baseline"/>
                <w:lang w:val="en-US" w:eastAsia="zh-CN"/>
              </w:rPr>
              <w:t>数量</w:t>
            </w:r>
          </w:p>
        </w:tc>
        <w:tc>
          <w:tcPr>
            <w:tcW w:w="1626" w:type="dxa"/>
            <w:vAlign w:val="center"/>
          </w:tcPr>
          <w:p>
            <w:pPr>
              <w:pStyle w:val="19"/>
              <w:ind w:firstLine="691" w:firstLineChars="329"/>
              <w:jc w:val="both"/>
              <w:rPr>
                <w:rFonts w:hint="eastAsia" w:ascii="微软雅黑" w:hAnsi="微软雅黑" w:eastAsia="微软雅黑" w:cs="微软雅黑"/>
                <w:b/>
                <w:bCs/>
                <w:color w:val="auto"/>
                <w:sz w:val="21"/>
                <w:szCs w:val="21"/>
                <w:highlight w:val="none"/>
                <w:vertAlign w:val="baseline"/>
                <w:lang w:val="en-US" w:eastAsia="zh-CN"/>
              </w:rPr>
            </w:pPr>
            <w:r>
              <w:rPr>
                <w:rFonts w:hint="eastAsia" w:ascii="微软雅黑" w:hAnsi="微软雅黑" w:eastAsia="微软雅黑" w:cs="微软雅黑"/>
                <w:b/>
                <w:bCs/>
                <w:color w:val="auto"/>
                <w:sz w:val="21"/>
                <w:szCs w:val="21"/>
                <w:highlight w:val="none"/>
                <w:vertAlign w:val="baseline"/>
                <w:lang w:val="en-US" w:eastAsia="zh-CN"/>
              </w:rPr>
              <w:t>单位</w:t>
            </w:r>
          </w:p>
        </w:tc>
        <w:tc>
          <w:tcPr>
            <w:tcW w:w="1878" w:type="dxa"/>
            <w:vAlign w:val="center"/>
          </w:tcPr>
          <w:p>
            <w:pPr>
              <w:pStyle w:val="19"/>
              <w:jc w:val="center"/>
              <w:rPr>
                <w:rFonts w:hint="eastAsia" w:ascii="微软雅黑" w:hAnsi="微软雅黑" w:eastAsia="微软雅黑" w:cs="微软雅黑"/>
                <w:b/>
                <w:bCs/>
                <w:color w:val="auto"/>
                <w:sz w:val="21"/>
                <w:szCs w:val="21"/>
                <w:highlight w:val="none"/>
                <w:vertAlign w:val="baseline"/>
                <w:lang w:val="en-US" w:eastAsia="zh-CN"/>
              </w:rPr>
            </w:pPr>
            <w:r>
              <w:rPr>
                <w:rFonts w:hint="eastAsia" w:ascii="微软雅黑" w:hAnsi="微软雅黑" w:eastAsia="微软雅黑" w:cs="微软雅黑"/>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3516" w:type="dxa"/>
            <w:vAlign w:val="center"/>
          </w:tcPr>
          <w:p>
            <w:pPr>
              <w:pStyle w:val="19"/>
              <w:ind w:firstLine="0"/>
              <w:jc w:val="center"/>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color w:val="auto"/>
                <w:sz w:val="21"/>
                <w:szCs w:val="21"/>
                <w:highlight w:val="none"/>
                <w:vertAlign w:val="baseline"/>
                <w:lang w:val="en-US" w:eastAsia="zh-CN"/>
              </w:rPr>
              <w:t>高压清洗机</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restart"/>
            <w:vAlign w:val="center"/>
          </w:tcPr>
          <w:p>
            <w:pPr>
              <w:pStyle w:val="19"/>
              <w:ind w:left="0" w:leftChars="0" w:firstLine="0" w:firstLineChars="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服务前提供机具合格证或检验合格证或防爆证书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2</w:t>
            </w:r>
          </w:p>
        </w:tc>
        <w:tc>
          <w:tcPr>
            <w:tcW w:w="3516" w:type="dxa"/>
            <w:vAlign w:val="center"/>
          </w:tcPr>
          <w:p>
            <w:pPr>
              <w:pStyle w:val="19"/>
              <w:ind w:firstLine="0"/>
              <w:jc w:val="center"/>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抹布</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3</w:t>
            </w:r>
          </w:p>
        </w:tc>
        <w:tc>
          <w:tcPr>
            <w:tcW w:w="3516" w:type="dxa"/>
            <w:vAlign w:val="center"/>
          </w:tcPr>
          <w:p>
            <w:pPr>
              <w:pStyle w:val="19"/>
              <w:ind w:firstLine="0"/>
              <w:jc w:val="center"/>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1吨吨袋</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10</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个</w:t>
            </w:r>
          </w:p>
        </w:tc>
        <w:tc>
          <w:tcPr>
            <w:tcW w:w="1878" w:type="dxa"/>
            <w:vMerge w:val="continue"/>
            <w:vAlign w:val="center"/>
          </w:tcPr>
          <w:p>
            <w:pPr>
              <w:pStyle w:val="19"/>
              <w:ind w:firstLine="669" w:firstLineChars="319"/>
              <w:jc w:val="center"/>
              <w:rPr>
                <w:rFonts w:hint="eastAsia" w:ascii="微软雅黑" w:hAnsi="微软雅黑" w:eastAsia="微软雅黑" w:cs="微软雅黑"/>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4</w:t>
            </w:r>
          </w:p>
        </w:tc>
        <w:tc>
          <w:tcPr>
            <w:tcW w:w="3516" w:type="dxa"/>
            <w:vAlign w:val="center"/>
          </w:tcPr>
          <w:p>
            <w:pPr>
              <w:pStyle w:val="19"/>
              <w:ind w:firstLine="0"/>
              <w:jc w:val="center"/>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b w:val="0"/>
                <w:bCs w:val="0"/>
                <w:sz w:val="21"/>
                <w:szCs w:val="21"/>
                <w:highlight w:val="none"/>
              </w:rPr>
              <w:t>测厚仪</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5</w:t>
            </w:r>
          </w:p>
        </w:tc>
        <w:tc>
          <w:tcPr>
            <w:tcW w:w="3516" w:type="dxa"/>
            <w:vAlign w:val="center"/>
          </w:tcPr>
          <w:p>
            <w:pPr>
              <w:pStyle w:val="19"/>
              <w:ind w:firstLine="0"/>
              <w:jc w:val="center"/>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sz w:val="21"/>
                <w:szCs w:val="21"/>
                <w:highlight w:val="none"/>
              </w:rPr>
              <w:t>配电箱</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2</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个</w:t>
            </w:r>
          </w:p>
        </w:tc>
        <w:tc>
          <w:tcPr>
            <w:tcW w:w="1878" w:type="dxa"/>
            <w:vMerge w:val="continue"/>
            <w:vAlign w:val="center"/>
          </w:tcPr>
          <w:p>
            <w:pPr>
              <w:pStyle w:val="19"/>
              <w:ind w:firstLine="669" w:firstLineChars="319"/>
              <w:jc w:val="center"/>
              <w:rPr>
                <w:rFonts w:hint="eastAsia" w:ascii="微软雅黑" w:hAnsi="微软雅黑" w:eastAsia="微软雅黑" w:cs="微软雅黑"/>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6</w:t>
            </w:r>
          </w:p>
        </w:tc>
        <w:tc>
          <w:tcPr>
            <w:tcW w:w="3516" w:type="dxa"/>
            <w:vAlign w:val="center"/>
          </w:tcPr>
          <w:p>
            <w:pPr>
              <w:pStyle w:val="19"/>
              <w:ind w:firstLine="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sz w:val="21"/>
                <w:szCs w:val="21"/>
                <w:highlight w:val="none"/>
              </w:rPr>
              <w:t>电锤、电镐、搅拌器、角磨机</w:t>
            </w:r>
          </w:p>
          <w:p>
            <w:pPr>
              <w:pStyle w:val="19"/>
              <w:ind w:firstLine="0"/>
              <w:jc w:val="center"/>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各2台</w:t>
            </w:r>
            <w:r>
              <w:rPr>
                <w:rFonts w:hint="eastAsia" w:ascii="微软雅黑" w:hAnsi="微软雅黑" w:eastAsia="微软雅黑" w:cs="微软雅黑"/>
                <w:sz w:val="21"/>
                <w:szCs w:val="21"/>
                <w:highlight w:val="none"/>
                <w:lang w:eastAsia="zh-CN"/>
              </w:rPr>
              <w:t>）</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8</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7</w:t>
            </w:r>
          </w:p>
        </w:tc>
        <w:tc>
          <w:tcPr>
            <w:tcW w:w="3516" w:type="dxa"/>
            <w:vAlign w:val="center"/>
          </w:tcPr>
          <w:p>
            <w:pPr>
              <w:pStyle w:val="19"/>
              <w:ind w:firstLine="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sz w:val="21"/>
                <w:szCs w:val="21"/>
                <w:highlight w:val="none"/>
              </w:rPr>
              <w:t>潜水泵</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2</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8</w:t>
            </w:r>
          </w:p>
        </w:tc>
        <w:tc>
          <w:tcPr>
            <w:tcW w:w="3516" w:type="dxa"/>
            <w:vAlign w:val="center"/>
          </w:tcPr>
          <w:p>
            <w:pPr>
              <w:pStyle w:val="19"/>
              <w:ind w:firstLine="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sz w:val="21"/>
                <w:szCs w:val="21"/>
                <w:highlight w:val="none"/>
              </w:rPr>
              <w:t>注浆泵</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2</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9</w:t>
            </w:r>
          </w:p>
        </w:tc>
        <w:tc>
          <w:tcPr>
            <w:tcW w:w="3516" w:type="dxa"/>
            <w:vAlign w:val="center"/>
          </w:tcPr>
          <w:p>
            <w:pPr>
              <w:pStyle w:val="19"/>
              <w:ind w:firstLine="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10吨</w:t>
            </w:r>
            <w:r>
              <w:rPr>
                <w:rFonts w:hint="eastAsia" w:ascii="微软雅黑" w:hAnsi="微软雅黑" w:eastAsia="微软雅黑" w:cs="微软雅黑"/>
                <w:sz w:val="21"/>
                <w:szCs w:val="21"/>
                <w:highlight w:val="none"/>
              </w:rPr>
              <w:t>吊车</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lang w:val="en-US" w:eastAsia="zh-CN"/>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10</w:t>
            </w:r>
          </w:p>
        </w:tc>
        <w:tc>
          <w:tcPr>
            <w:tcW w:w="3516" w:type="dxa"/>
            <w:vAlign w:val="center"/>
          </w:tcPr>
          <w:p>
            <w:pPr>
              <w:pStyle w:val="19"/>
              <w:ind w:firstLine="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防爆</w:t>
            </w:r>
            <w:r>
              <w:rPr>
                <w:rFonts w:hint="eastAsia" w:ascii="微软雅黑" w:hAnsi="微软雅黑" w:eastAsia="微软雅黑" w:cs="微软雅黑"/>
                <w:sz w:val="21"/>
                <w:szCs w:val="21"/>
                <w:highlight w:val="none"/>
              </w:rPr>
              <w:t>电焊机</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sz w:val="21"/>
                <w:szCs w:val="21"/>
                <w:highlight w:val="none"/>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11</w:t>
            </w:r>
          </w:p>
        </w:tc>
        <w:tc>
          <w:tcPr>
            <w:tcW w:w="3516" w:type="dxa"/>
            <w:vAlign w:val="center"/>
          </w:tcPr>
          <w:p>
            <w:pPr>
              <w:pStyle w:val="19"/>
              <w:ind w:firstLine="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挖掘机</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12</w:t>
            </w:r>
          </w:p>
        </w:tc>
        <w:tc>
          <w:tcPr>
            <w:tcW w:w="3516" w:type="dxa"/>
            <w:vAlign w:val="center"/>
          </w:tcPr>
          <w:p>
            <w:pPr>
              <w:pStyle w:val="19"/>
              <w:ind w:firstLine="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15吨运输车</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2</w:t>
            </w:r>
          </w:p>
        </w:tc>
        <w:tc>
          <w:tcPr>
            <w:tcW w:w="1626" w:type="dxa"/>
            <w:vAlign w:val="center"/>
          </w:tcPr>
          <w:p>
            <w:pPr>
              <w:pStyle w:val="19"/>
              <w:ind w:firstLine="669" w:firstLineChars="319"/>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13</w:t>
            </w:r>
          </w:p>
        </w:tc>
        <w:tc>
          <w:tcPr>
            <w:tcW w:w="3516" w:type="dxa"/>
            <w:vAlign w:val="center"/>
          </w:tcPr>
          <w:p>
            <w:pPr>
              <w:pStyle w:val="19"/>
              <w:ind w:firstLine="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混凝土搅拌车</w:t>
            </w:r>
          </w:p>
        </w:tc>
        <w:tc>
          <w:tcPr>
            <w:tcW w:w="1227" w:type="dxa"/>
            <w:vAlign w:val="center"/>
          </w:tcPr>
          <w:p>
            <w:pPr>
              <w:pStyle w:val="19"/>
              <w:ind w:firstLine="669" w:firstLineChars="319"/>
              <w:jc w:val="both"/>
              <w:rPr>
                <w:rFonts w:hint="eastAsia" w:ascii="微软雅黑" w:hAnsi="微软雅黑" w:eastAsia="微软雅黑" w:cs="微软雅黑"/>
                <w:color w:val="auto"/>
                <w:kern w:val="2"/>
                <w:sz w:val="21"/>
                <w:szCs w:val="21"/>
                <w:highlight w:val="none"/>
                <w:vertAlign w:val="baseline"/>
                <w:lang w:val="en-US" w:eastAsia="zh-CN" w:bidi="ar-SA"/>
              </w:rPr>
            </w:pPr>
            <w:r>
              <w:rPr>
                <w:rFonts w:hint="eastAsia" w:ascii="微软雅黑" w:hAnsi="微软雅黑" w:eastAsia="微软雅黑" w:cs="微软雅黑"/>
                <w:color w:val="auto"/>
                <w:sz w:val="21"/>
                <w:szCs w:val="21"/>
                <w:highlight w:val="none"/>
                <w:vertAlign w:val="baseline"/>
                <w:lang w:val="en-US" w:eastAsia="zh-CN"/>
              </w:rPr>
              <w:t>2</w:t>
            </w:r>
          </w:p>
        </w:tc>
        <w:tc>
          <w:tcPr>
            <w:tcW w:w="1626" w:type="dxa"/>
            <w:vAlign w:val="center"/>
          </w:tcPr>
          <w:p>
            <w:pPr>
              <w:pStyle w:val="19"/>
              <w:ind w:firstLine="669" w:firstLineChars="319"/>
              <w:jc w:val="both"/>
              <w:rPr>
                <w:rFonts w:hint="eastAsia" w:ascii="微软雅黑" w:hAnsi="微软雅黑" w:eastAsia="微软雅黑" w:cs="微软雅黑"/>
                <w:kern w:val="2"/>
                <w:sz w:val="21"/>
                <w:szCs w:val="21"/>
                <w:highlight w:val="none"/>
                <w:lang w:val="en-US" w:eastAsia="zh-CN" w:bidi="ar-SA"/>
              </w:rPr>
            </w:pPr>
            <w:bookmarkStart w:id="14" w:name="OLE_LINK18"/>
            <w:r>
              <w:rPr>
                <w:rFonts w:hint="eastAsia" w:ascii="微软雅黑" w:hAnsi="微软雅黑" w:eastAsia="微软雅黑" w:cs="微软雅黑"/>
                <w:sz w:val="21"/>
                <w:szCs w:val="21"/>
                <w:highlight w:val="none"/>
                <w:lang w:val="en-US" w:eastAsia="zh-CN"/>
              </w:rPr>
              <w:t>台</w:t>
            </w:r>
            <w:bookmarkEnd w:id="14"/>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62" w:type="dxa"/>
            <w:vAlign w:val="center"/>
          </w:tcPr>
          <w:p>
            <w:pPr>
              <w:pStyle w:val="19"/>
              <w:ind w:left="0" w:leftChars="0" w:firstLine="0" w:firstLineChars="0"/>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14</w:t>
            </w:r>
          </w:p>
        </w:tc>
        <w:tc>
          <w:tcPr>
            <w:tcW w:w="3516" w:type="dxa"/>
            <w:vAlign w:val="center"/>
          </w:tcPr>
          <w:p>
            <w:pPr>
              <w:pStyle w:val="19"/>
              <w:ind w:firstLine="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除尘车</w:t>
            </w:r>
          </w:p>
        </w:tc>
        <w:tc>
          <w:tcPr>
            <w:tcW w:w="1227" w:type="dxa"/>
            <w:vAlign w:val="center"/>
          </w:tcPr>
          <w:p>
            <w:pPr>
              <w:pStyle w:val="19"/>
              <w:ind w:firstLine="669" w:firstLineChars="319"/>
              <w:jc w:val="both"/>
              <w:rPr>
                <w:rFonts w:hint="eastAsia"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w:t>
            </w:r>
          </w:p>
        </w:tc>
        <w:tc>
          <w:tcPr>
            <w:tcW w:w="1626" w:type="dxa"/>
            <w:vAlign w:val="center"/>
          </w:tcPr>
          <w:p>
            <w:pPr>
              <w:pStyle w:val="19"/>
              <w:ind w:firstLine="669" w:firstLineChars="319"/>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台</w:t>
            </w:r>
          </w:p>
        </w:tc>
        <w:tc>
          <w:tcPr>
            <w:tcW w:w="1878" w:type="dxa"/>
            <w:vMerge w:val="continue"/>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62" w:type="dxa"/>
            <w:vAlign w:val="center"/>
          </w:tcPr>
          <w:p>
            <w:pPr>
              <w:pStyle w:val="19"/>
              <w:ind w:left="0" w:leftChars="0" w:firstLine="0" w:firstLineChars="0"/>
              <w:jc w:val="both"/>
              <w:rPr>
                <w:rFonts w:hint="default" w:ascii="微软雅黑" w:hAnsi="微软雅黑" w:eastAsia="微软雅黑" w:cs="微软雅黑"/>
                <w:color w:val="auto"/>
                <w:sz w:val="21"/>
                <w:szCs w:val="21"/>
                <w:highlight w:val="none"/>
                <w:vertAlign w:val="baseline"/>
                <w:lang w:val="en-US" w:eastAsia="zh-CN"/>
              </w:rPr>
            </w:pPr>
            <w:bookmarkStart w:id="15" w:name="OLE_LINK2" w:colFirst="2" w:colLast="3"/>
            <w:r>
              <w:rPr>
                <w:rFonts w:hint="eastAsia" w:ascii="微软雅黑" w:hAnsi="微软雅黑" w:eastAsia="微软雅黑" w:cs="微软雅黑"/>
                <w:color w:val="auto"/>
                <w:sz w:val="21"/>
                <w:szCs w:val="21"/>
                <w:highlight w:val="none"/>
                <w:vertAlign w:val="baseline"/>
                <w:lang w:val="en-US" w:eastAsia="zh-CN"/>
              </w:rPr>
              <w:t>15</w:t>
            </w:r>
          </w:p>
        </w:tc>
        <w:tc>
          <w:tcPr>
            <w:tcW w:w="3516" w:type="dxa"/>
            <w:vAlign w:val="center"/>
          </w:tcPr>
          <w:p>
            <w:pPr>
              <w:pStyle w:val="19"/>
              <w:ind w:firstLine="0"/>
              <w:jc w:val="center"/>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电焊机</w:t>
            </w:r>
          </w:p>
        </w:tc>
        <w:tc>
          <w:tcPr>
            <w:tcW w:w="1227" w:type="dxa"/>
            <w:vAlign w:val="center"/>
          </w:tcPr>
          <w:p>
            <w:pPr>
              <w:pStyle w:val="19"/>
              <w:ind w:firstLine="669" w:firstLineChars="319"/>
              <w:jc w:val="both"/>
              <w:rPr>
                <w:rFonts w:hint="eastAsia" w:ascii="微软雅黑" w:hAnsi="微软雅黑" w:eastAsia="微软雅黑" w:cs="微软雅黑"/>
                <w:color w:val="auto"/>
                <w:kern w:val="2"/>
                <w:sz w:val="21"/>
                <w:szCs w:val="21"/>
                <w:highlight w:val="none"/>
                <w:vertAlign w:val="baseline"/>
                <w:lang w:val="en-US" w:eastAsia="zh-CN" w:bidi="ar-SA"/>
              </w:rPr>
            </w:pPr>
            <w:r>
              <w:rPr>
                <w:rFonts w:hint="eastAsia" w:ascii="微软雅黑" w:hAnsi="微软雅黑" w:eastAsia="微软雅黑" w:cs="微软雅黑"/>
                <w:color w:val="auto"/>
                <w:sz w:val="21"/>
                <w:szCs w:val="21"/>
                <w:highlight w:val="none"/>
                <w:vertAlign w:val="baseline"/>
                <w:lang w:val="en-US" w:eastAsia="zh-CN"/>
              </w:rPr>
              <w:t>5</w:t>
            </w:r>
          </w:p>
        </w:tc>
        <w:tc>
          <w:tcPr>
            <w:tcW w:w="1626" w:type="dxa"/>
            <w:vAlign w:val="center"/>
          </w:tcPr>
          <w:p>
            <w:pPr>
              <w:pStyle w:val="19"/>
              <w:ind w:firstLine="669" w:firstLineChars="319"/>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台</w:t>
            </w:r>
          </w:p>
        </w:tc>
        <w:tc>
          <w:tcPr>
            <w:tcW w:w="1878" w:type="dxa"/>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bookmark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62" w:type="dxa"/>
            <w:vAlign w:val="center"/>
          </w:tcPr>
          <w:p>
            <w:pPr>
              <w:pStyle w:val="19"/>
              <w:ind w:left="0" w:leftChars="0" w:firstLine="0" w:firstLineChars="0"/>
              <w:jc w:val="both"/>
              <w:rPr>
                <w:rFonts w:hint="default" w:ascii="微软雅黑" w:hAnsi="微软雅黑" w:eastAsia="微软雅黑" w:cs="微软雅黑"/>
                <w:color w:val="auto"/>
                <w:sz w:val="21"/>
                <w:szCs w:val="21"/>
                <w:highlight w:val="none"/>
                <w:vertAlign w:val="baseline"/>
                <w:lang w:val="en-US" w:eastAsia="zh-CN"/>
              </w:rPr>
            </w:pPr>
            <w:r>
              <w:rPr>
                <w:rFonts w:hint="eastAsia" w:ascii="微软雅黑" w:hAnsi="微软雅黑" w:eastAsia="微软雅黑" w:cs="微软雅黑"/>
                <w:color w:val="auto"/>
                <w:sz w:val="21"/>
                <w:szCs w:val="21"/>
                <w:highlight w:val="none"/>
                <w:vertAlign w:val="baseline"/>
                <w:lang w:val="en-US" w:eastAsia="zh-CN"/>
              </w:rPr>
              <w:t>16</w:t>
            </w:r>
          </w:p>
        </w:tc>
        <w:tc>
          <w:tcPr>
            <w:tcW w:w="3516" w:type="dxa"/>
            <w:vAlign w:val="center"/>
          </w:tcPr>
          <w:p>
            <w:pPr>
              <w:pStyle w:val="19"/>
              <w:ind w:firstLine="0"/>
              <w:jc w:val="center"/>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氩弧焊机</w:t>
            </w:r>
          </w:p>
        </w:tc>
        <w:tc>
          <w:tcPr>
            <w:tcW w:w="1227" w:type="dxa"/>
            <w:vAlign w:val="center"/>
          </w:tcPr>
          <w:p>
            <w:pPr>
              <w:pStyle w:val="19"/>
              <w:ind w:firstLine="669" w:firstLineChars="319"/>
              <w:jc w:val="both"/>
              <w:rPr>
                <w:rFonts w:hint="eastAsia" w:ascii="微软雅黑" w:hAnsi="微软雅黑" w:eastAsia="微软雅黑" w:cs="微软雅黑"/>
                <w:color w:val="auto"/>
                <w:kern w:val="2"/>
                <w:sz w:val="21"/>
                <w:szCs w:val="21"/>
                <w:highlight w:val="none"/>
                <w:vertAlign w:val="baseline"/>
                <w:lang w:val="en-US" w:eastAsia="zh-CN" w:bidi="ar-SA"/>
              </w:rPr>
            </w:pPr>
            <w:r>
              <w:rPr>
                <w:rFonts w:hint="eastAsia" w:ascii="微软雅黑" w:hAnsi="微软雅黑" w:eastAsia="微软雅黑" w:cs="微软雅黑"/>
                <w:color w:val="auto"/>
                <w:sz w:val="21"/>
                <w:szCs w:val="21"/>
                <w:highlight w:val="none"/>
                <w:vertAlign w:val="baseline"/>
                <w:lang w:val="en-US" w:eastAsia="zh-CN"/>
              </w:rPr>
              <w:t>5</w:t>
            </w:r>
          </w:p>
        </w:tc>
        <w:tc>
          <w:tcPr>
            <w:tcW w:w="1626" w:type="dxa"/>
            <w:vAlign w:val="center"/>
          </w:tcPr>
          <w:p>
            <w:pPr>
              <w:pStyle w:val="19"/>
              <w:ind w:firstLine="669" w:firstLineChars="319"/>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台</w:t>
            </w:r>
          </w:p>
        </w:tc>
        <w:tc>
          <w:tcPr>
            <w:tcW w:w="1878" w:type="dxa"/>
            <w:vAlign w:val="center"/>
          </w:tcPr>
          <w:p>
            <w:pPr>
              <w:pStyle w:val="19"/>
              <w:ind w:firstLine="669" w:firstLineChars="319"/>
              <w:jc w:val="center"/>
              <w:rPr>
                <w:rFonts w:hint="eastAsia" w:ascii="微软雅黑" w:hAnsi="微软雅黑" w:eastAsia="微软雅黑" w:cs="微软雅黑"/>
                <w:sz w:val="21"/>
                <w:szCs w:val="21"/>
                <w:highlight w:val="none"/>
                <w:lang w:val="en-US" w:eastAsia="zh-CN"/>
              </w:rPr>
            </w:pPr>
          </w:p>
        </w:tc>
      </w:tr>
    </w:tbl>
    <w:p>
      <w:pPr>
        <w:pStyle w:val="6"/>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劳动防护用品要求：</w:t>
      </w:r>
    </w:p>
    <w:p>
      <w:pPr>
        <w:pStyle w:val="19"/>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所有进入油化南港化工厂施工人员必须穿戴合格的劳动保护服、安全帽、防砸工鞋；</w:t>
      </w:r>
    </w:p>
    <w:p>
      <w:pPr>
        <w:pStyle w:val="19"/>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所有进入油化南港化工厂施工人员将手机关机，禁止携带火种（打火机、火柴等）；</w:t>
      </w:r>
    </w:p>
    <w:p>
      <w:pPr>
        <w:pStyle w:val="19"/>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所有进入油化南港化工厂施工人员禁止喝酒、赌博；</w:t>
      </w:r>
    </w:p>
    <w:p>
      <w:pPr>
        <w:pStyle w:val="19"/>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现场作业施工时，作业人员需严格遵守现场作业管理规定；</w:t>
      </w:r>
    </w:p>
    <w:p>
      <w:pPr>
        <w:pStyle w:val="6"/>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firstLine="0" w:firstLineChars="0"/>
        <w:jc w:val="left"/>
        <w:textAlignment w:val="auto"/>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bCs/>
          <w:i w:val="0"/>
          <w:iCs w:val="0"/>
          <w:caps w:val="0"/>
          <w:spacing w:val="0"/>
          <w:kern w:val="0"/>
          <w:sz w:val="21"/>
          <w:szCs w:val="21"/>
          <w:highlight w:val="none"/>
          <w:u w:val="none"/>
          <w:shd w:val="clear" w:fill="FFFFFF"/>
          <w:lang w:val="en-US" w:eastAsia="zh-CN" w:bidi="ar-SA"/>
        </w:rPr>
        <w:t>场地要求：</w:t>
      </w:r>
    </w:p>
    <w:p>
      <w:pPr>
        <w:pStyle w:val="19"/>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按照甲方要求在指定区域进行分区作业。</w:t>
      </w:r>
    </w:p>
    <w:p>
      <w:pPr>
        <w:pStyle w:val="19"/>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color w:val="auto"/>
          <w:highlight w:val="none"/>
        </w:rPr>
      </w:pPr>
      <w:r>
        <w:rPr>
          <w:rFonts w:hint="eastAsia" w:ascii="微软雅黑" w:hAnsi="微软雅黑" w:eastAsia="微软雅黑" w:cs="微软雅黑"/>
          <w:b w:val="0"/>
          <w:bCs w:val="0"/>
          <w:color w:val="auto"/>
          <w:sz w:val="21"/>
          <w:szCs w:val="21"/>
          <w:highlight w:val="none"/>
          <w:lang w:val="en-US" w:eastAsia="zh-CN"/>
        </w:rPr>
        <w:t>施工过程中产生废料禁止乱扔、乱倒，按照甲方要求分类存放。</w:t>
      </w:r>
    </w:p>
    <w:p>
      <w:pPr>
        <w:pStyle w:val="19"/>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color w:val="auto"/>
          <w:highlight w:val="none"/>
        </w:rPr>
      </w:pPr>
      <w:r>
        <w:rPr>
          <w:rFonts w:hint="eastAsia" w:ascii="微软雅黑" w:hAnsi="微软雅黑" w:eastAsia="微软雅黑" w:cs="微软雅黑"/>
          <w:b w:val="0"/>
          <w:bCs w:val="0"/>
          <w:color w:val="auto"/>
          <w:sz w:val="21"/>
          <w:szCs w:val="21"/>
          <w:highlight w:val="none"/>
          <w:lang w:val="en-US" w:eastAsia="zh-CN"/>
        </w:rPr>
        <w:t>服务过程中所涉及的用水、用电、用气均由甲方提供，无需乙方支付任何费用。</w:t>
      </w:r>
    </w:p>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bookmarkStart w:id="16" w:name="_Toc404590344"/>
      <w:bookmarkStart w:id="17" w:name="_Toc413653898"/>
      <w:r>
        <w:rPr>
          <w:rFonts w:hint="eastAsia" w:ascii="微软雅黑" w:hAnsi="微软雅黑" w:eastAsia="微软雅黑" w:cs="微软雅黑"/>
          <w:b/>
          <w:bCs/>
          <w:color w:val="auto"/>
          <w:sz w:val="32"/>
          <w:szCs w:val="32"/>
          <w:highlight w:val="none"/>
          <w:lang w:val="en-US" w:eastAsia="zh-CN"/>
        </w:rPr>
        <w:t>服务进度跟踪</w:t>
      </w:r>
    </w:p>
    <w:p>
      <w:pPr>
        <w:pStyle w:val="6"/>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施工场地具备施工条件的要求及完成的时间，如施工现场存在不能满足施工要求的情况，则需由乙方自行考虑达到施工条件，相关费用由乙方自行负责。</w:t>
      </w:r>
    </w:p>
    <w:p>
      <w:pPr>
        <w:pStyle w:val="6"/>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工程地质和地下管线资料的提供时间：开工前提供。但对资料准确性不承担责任，若乙方认为确有必要，应自担费用调查、复核。</w:t>
      </w:r>
    </w:p>
    <w:p>
      <w:pPr>
        <w:pStyle w:val="6"/>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设计交底时间：开工前完成。</w:t>
      </w:r>
    </w:p>
    <w:p>
      <w:pPr>
        <w:pStyle w:val="6"/>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对于项目实施进度出现调整，可能对甲方造成不利影响的，应在1天内以书面和其他形式同时反馈甲方，并提出相应建议或补救措施。对于因施工方配合出现的问题，应在2天内提出后续改进计划和意见。</w:t>
      </w:r>
    </w:p>
    <w:p>
      <w:pPr>
        <w:pStyle w:val="6"/>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涉及施工作业影响现场生产、物流配送的情况，应于实施前与甲方沟通。</w:t>
      </w:r>
    </w:p>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服务及验收标准</w:t>
      </w:r>
    </w:p>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验收地点：南港化工厂厂区（南港工业区泰汇道6号）；</w:t>
      </w:r>
    </w:p>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验收方式：现场验收；</w:t>
      </w:r>
    </w:p>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bookmarkStart w:id="18" w:name="OLE_LINK29"/>
      <w:r>
        <w:rPr>
          <w:rFonts w:hint="eastAsia" w:ascii="微软雅黑" w:hAnsi="微软雅黑" w:eastAsia="微软雅黑" w:cs="微软雅黑"/>
          <w:b w:val="0"/>
          <w:bCs w:val="0"/>
          <w:color w:val="auto"/>
          <w:sz w:val="21"/>
          <w:szCs w:val="21"/>
          <w:highlight w:val="none"/>
          <w:lang w:val="en-US" w:eastAsia="zh-CN"/>
        </w:rPr>
        <w:t>★</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焊接工程：合格率100%；</w:t>
      </w:r>
    </w:p>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color w:val="auto"/>
          <w:sz w:val="21"/>
          <w:szCs w:val="21"/>
          <w:highlight w:val="none"/>
          <w:lang w:val="en-US" w:eastAsia="zh-CN"/>
        </w:rPr>
        <w:t>★</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土建工程合格率：100%；</w:t>
      </w:r>
    </w:p>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color w:val="auto"/>
          <w:sz w:val="21"/>
          <w:szCs w:val="21"/>
          <w:highlight w:val="none"/>
          <w:lang w:val="en-US" w:eastAsia="zh-CN"/>
        </w:rPr>
        <w:t>★</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管线安装工程合格率：100%；</w:t>
      </w:r>
    </w:p>
    <w:bookmarkEnd w:id="18"/>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验收标准；</w:t>
      </w:r>
    </w:p>
    <w:p>
      <w:pPr>
        <w:pStyle w:val="19"/>
        <w:keepNext w:val="0"/>
        <w:keepLines w:val="0"/>
        <w:pageBreakBefore w:val="0"/>
        <w:widowControl w:val="0"/>
        <w:numPr>
          <w:ilvl w:val="0"/>
          <w:numId w:val="21"/>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依据甲方提供的设计人出具的第一版的盖章版的施工蓝图为基准进行施工；</w:t>
      </w:r>
    </w:p>
    <w:p>
      <w:pPr>
        <w:pStyle w:val="19"/>
        <w:keepNext w:val="0"/>
        <w:keepLines w:val="0"/>
        <w:pageBreakBefore w:val="0"/>
        <w:widowControl w:val="0"/>
        <w:numPr>
          <w:ilvl w:val="0"/>
          <w:numId w:val="21"/>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乙方在施工中提出的变更建议涉及到对设计图纸或施工组织设计的变更及对材料、设备的换用，须经甲方代表同意，未经同意擅自更改或换用时，乙方承担由此发生的费用，并赔偿甲方的有关损失，延误的工期不予顺延。</w:t>
      </w:r>
    </w:p>
    <w:p>
      <w:pPr>
        <w:pStyle w:val="19"/>
        <w:keepNext w:val="0"/>
        <w:keepLines w:val="0"/>
        <w:pageBreakBefore w:val="0"/>
        <w:widowControl w:val="0"/>
        <w:numPr>
          <w:ilvl w:val="0"/>
          <w:numId w:val="21"/>
        </w:numPr>
        <w:kinsoku/>
        <w:wordWrap/>
        <w:overflowPunct/>
        <w:topLinePunct w:val="0"/>
        <w:autoSpaceDE/>
        <w:autoSpaceDN/>
        <w:bidi w:val="0"/>
        <w:adjustRightInd w:val="0"/>
        <w:snapToGrid w:val="0"/>
        <w:spacing w:line="360" w:lineRule="auto"/>
        <w:ind w:left="0" w:leftChars="0" w:firstLine="420" w:firstLineChars="200"/>
        <w:jc w:val="left"/>
        <w:textAlignment w:val="baseline"/>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车间及灌装棚污水管道整改</w:t>
      </w:r>
      <w:bookmarkStart w:id="19" w:name="OLE_LINK24"/>
      <w:r>
        <w:rPr>
          <w:rFonts w:hint="eastAsia" w:ascii="微软雅黑" w:hAnsi="微软雅黑" w:eastAsia="微软雅黑" w:cs="微软雅黑"/>
          <w:b w:val="0"/>
          <w:bCs w:val="0"/>
          <w:color w:val="auto"/>
          <w:sz w:val="21"/>
          <w:szCs w:val="21"/>
          <w:highlight w:val="none"/>
          <w:lang w:val="en-US" w:eastAsia="zh-CN"/>
        </w:rPr>
        <w:t>验收标准</w:t>
      </w:r>
      <w:bookmarkEnd w:id="19"/>
      <w:r>
        <w:rPr>
          <w:rFonts w:hint="eastAsia" w:ascii="微软雅黑" w:hAnsi="微软雅黑" w:eastAsia="微软雅黑" w:cs="微软雅黑"/>
          <w:color w:val="auto"/>
          <w:sz w:val="21"/>
          <w:szCs w:val="21"/>
          <w:highlight w:val="none"/>
          <w:lang w:val="en-US" w:eastAsia="zh-CN"/>
        </w:rPr>
        <w:t>。</w:t>
      </w:r>
    </w:p>
    <w:p>
      <w:pPr>
        <w:numPr>
          <w:ilvl w:val="0"/>
          <w:numId w:val="12"/>
        </w:numPr>
        <w:shd w:val="clear"/>
        <w:spacing w:line="360" w:lineRule="auto"/>
        <w:ind w:left="420" w:leftChars="0" w:hanging="42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施工质量满足项目的质量管理目标要求，严格按照设计图纸要求及其他相关规范要求施工。隐蔽工程部分经验收后才能开展下步施工。</w:t>
      </w:r>
    </w:p>
    <w:p>
      <w:pPr>
        <w:numPr>
          <w:ilvl w:val="0"/>
          <w:numId w:val="12"/>
        </w:numPr>
        <w:shd w:val="clear"/>
        <w:spacing w:line="360" w:lineRule="auto"/>
        <w:ind w:left="420" w:leftChars="0" w:hanging="42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沟槽开挖与地基处理质量验收标准：原状地基土不得扰动、受水浸泡或受冻，检查方法：观察，检查施工记录。 地基承载力应满足设计要求，检查方法：观察，检查施工记录。 进行地基处理时，压实度、厚度满足设计要求；检查方法：按设计或规定要求进行检查，检查检测记录、试验报告；沟槽铺设的钢筋网混凝土基础应满足设计要求，检查方法：观察，检查施工记录。</w:t>
      </w:r>
    </w:p>
    <w:p>
      <w:pPr>
        <w:numPr>
          <w:ilvl w:val="0"/>
          <w:numId w:val="12"/>
        </w:numPr>
        <w:shd w:val="clear"/>
        <w:spacing w:line="360" w:lineRule="auto"/>
        <w:ind w:left="420" w:leftChars="0" w:hanging="42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管道基础质量验收标准：原状地基的承载力符合设计要求；检查方法：观察，检查施工记录。原状地基、砂石基础与管道外壁间接触均匀，无空隙；检查方法：观察，检查施工记录。</w:t>
      </w:r>
    </w:p>
    <w:p>
      <w:pPr>
        <w:numPr>
          <w:ilvl w:val="0"/>
          <w:numId w:val="12"/>
        </w:numPr>
        <w:shd w:val="clear"/>
        <w:spacing w:line="360" w:lineRule="auto"/>
        <w:ind w:left="420" w:leftChars="0" w:hanging="42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钢管表面除锈、防腐、涂层等环节质量验收标准：除锈等级应符合设计要求，检查方法：观察；检查防腐管生产厂提供的除锈等级报告，防腐采用加强级，检查方法：观察，检查施工记录。涂层质量应按制造厂家标示的涂料固化所需时间进行固化检查，防腐层不得有未干硬或黏㝏性、潮湿或黏性区域。防腐层外观应全部目视检查，防腐层上不得出现尖锐的突出部、啳裂、气泡和分层等缺陷。</w:t>
      </w:r>
    </w:p>
    <w:p>
      <w:pPr>
        <w:numPr>
          <w:ilvl w:val="0"/>
          <w:numId w:val="12"/>
        </w:numPr>
        <w:shd w:val="clear"/>
        <w:spacing w:line="360" w:lineRule="auto"/>
        <w:ind w:left="420" w:leftChars="0" w:hanging="42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管道安装验收标准：钢管接口连接焊口焊接质量应符合GB50268第 5.3.17 条的规定和设计要求，检查方法：逐口观察，按设计要求进行抽检，检查焊缝质量检测报告。 管道安装完毕后，应对其进行强度试验、冲洗和严密性试验。钢管法兰接口的法兰应与管道同心，螺栓自由穿入，高强度螺栓的终拧扭矩应符合设计要求和有关标准的规定，检查方法：逐口检查；用扭矩扳手等检查；检查螺栓拧紧记录；对焊缝进行100%磁粉检测及10%无损检测，无法压力实验时进行100%无损检测。</w:t>
      </w:r>
    </w:p>
    <w:p>
      <w:pPr>
        <w:numPr>
          <w:ilvl w:val="0"/>
          <w:numId w:val="12"/>
        </w:numPr>
        <w:shd w:val="clear"/>
        <w:spacing w:line="360" w:lineRule="auto"/>
        <w:ind w:left="420" w:leftChars="0" w:hanging="42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阀门井质量验收标准：所用的原材料、预制构件的质量应符合国家有关标准的规定和设计要求； 检查方法：检查产品质量合格证明书、各项性能检验报告、进场验收记录。井室无明显湿渍现象，检查方法：逐个观察。支墩支承面与管道外壁接触紧密，无松动、滑移现象，检查方法：全数观察。</w:t>
      </w:r>
    </w:p>
    <w:p>
      <w:pPr>
        <w:pStyle w:val="6"/>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完工资料；出厂合格证书</w:t>
      </w:r>
      <w:bookmarkStart w:id="20" w:name="OLE_LINK23"/>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或</w:t>
      </w:r>
      <w:bookmarkEnd w:id="20"/>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检验证书或竣工图纸或参数程序或操作使用说明或维保手册或检验合格证书或试验报告或油漆MSDS（化学品安全说明书）、完工报告纸质版电子版等（以上如涉及完工验收时一并提供电子版一份，纸质版三份）。</w:t>
      </w:r>
    </w:p>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质量保证</w:t>
      </w:r>
    </w:p>
    <w:p>
      <w:pPr>
        <w:pStyle w:val="6"/>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bookmarkStart w:id="21" w:name="OLE_LINK33"/>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质保期：自双方签署完工验收报告之日起12个月。</w:t>
      </w:r>
    </w:p>
    <w:p>
      <w:pPr>
        <w:pStyle w:val="6"/>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质保金：合同总价的3%，作为项目的质保金。</w:t>
      </w:r>
    </w:p>
    <w:p>
      <w:pPr>
        <w:pStyle w:val="6"/>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sz w:val="21"/>
          <w:szCs w:val="21"/>
          <w:highlight w:val="none"/>
          <w:lang w:val="en-US" w:eastAsia="zh-CN" w:bidi="ar-SA"/>
        </w:rPr>
        <w:t>★</w:t>
      </w: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乙方承诺：质保期内乙方具体责任：质保期内如出现因施工质量所导致的问题，乙方免费维修（次数不限），负责提供解决技术方案、设备修复、服务人员、工具、材料、配件及仪器等；出现质量问题后，要求乙方应在1天内完成机具准备工作，3天内解决问题。</w:t>
      </w:r>
    </w:p>
    <w:bookmarkEnd w:id="21"/>
    <w:p>
      <w:pPr>
        <w:pStyle w:val="7"/>
        <w:numPr>
          <w:ilvl w:val="0"/>
          <w:numId w:val="1"/>
        </w:numPr>
        <w:tabs>
          <w:tab w:val="left" w:pos="0"/>
        </w:tabs>
        <w:spacing w:before="156" w:beforeLines="50" w:after="156" w:afterLines="50" w:line="360" w:lineRule="auto"/>
        <w:ind w:left="0" w:leftChars="0" w:firstLine="0" w:firstLineChars="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其他要求</w:t>
      </w:r>
    </w:p>
    <w:p>
      <w:pPr>
        <w:pStyle w:val="6"/>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付款方式：银行电汇</w:t>
      </w:r>
    </w:p>
    <w:p>
      <w:pPr>
        <w:pStyle w:val="6"/>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420" w:firstLineChars="200"/>
        <w:jc w:val="left"/>
        <w:textAlignment w:val="auto"/>
        <w:rPr>
          <w:rFonts w:hint="default"/>
          <w:highlight w:val="none"/>
          <w:lang w:val="en-US" w:eastAsia="zh-CN"/>
        </w:rPr>
      </w:pPr>
      <w:r>
        <w:rPr>
          <w:rFonts w:hint="eastAsia" w:ascii="微软雅黑" w:hAnsi="微软雅黑" w:eastAsia="微软雅黑" w:cs="微软雅黑"/>
          <w:b w:val="0"/>
          <w:bCs w:val="0"/>
          <w:i w:val="0"/>
          <w:iCs w:val="0"/>
          <w:caps w:val="0"/>
          <w:spacing w:val="0"/>
          <w:kern w:val="0"/>
          <w:sz w:val="21"/>
          <w:szCs w:val="21"/>
          <w:highlight w:val="none"/>
          <w:u w:val="none"/>
          <w:shd w:val="clear" w:fill="FFFFFF"/>
          <w:lang w:val="en-US" w:eastAsia="zh-CN" w:bidi="ar-SA"/>
        </w:rPr>
        <w:t>付款周期要求：</w:t>
      </w:r>
    </w:p>
    <w:p>
      <w:pPr>
        <w:keepNext w:val="0"/>
        <w:keepLines w:val="0"/>
        <w:pageBreakBefore w:val="0"/>
        <w:widowControl w:val="0"/>
        <w:numPr>
          <w:ilvl w:val="0"/>
          <w:numId w:val="24"/>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14:ligatures w14:val="none"/>
        </w:rPr>
        <w:t>乙方完成</w:t>
      </w:r>
      <w:r>
        <w:rPr>
          <w:rFonts w:hint="eastAsia" w:ascii="微软雅黑" w:hAnsi="微软雅黑" w:eastAsia="微软雅黑" w:cs="微软雅黑"/>
          <w:color w:val="auto"/>
          <w:kern w:val="0"/>
          <w:sz w:val="21"/>
          <w:szCs w:val="21"/>
          <w:highlight w:val="none"/>
          <w:lang w:val="en-US" w:eastAsia="zh-CN"/>
          <w14:ligatures w14:val="none"/>
        </w:rPr>
        <w:t>合同约定的</w:t>
      </w:r>
      <w:r>
        <w:rPr>
          <w:rFonts w:hint="eastAsia" w:ascii="微软雅黑" w:hAnsi="微软雅黑" w:eastAsia="微软雅黑" w:cs="微软雅黑"/>
          <w:color w:val="auto"/>
          <w:kern w:val="0"/>
          <w:sz w:val="21"/>
          <w:szCs w:val="21"/>
          <w:highlight w:val="none"/>
          <w14:ligatures w14:val="none"/>
        </w:rPr>
        <w:t>全部工作</w:t>
      </w:r>
      <w:r>
        <w:rPr>
          <w:rFonts w:hint="eastAsia" w:ascii="微软雅黑" w:hAnsi="微软雅黑" w:eastAsia="微软雅黑" w:cs="微软雅黑"/>
          <w:color w:val="auto"/>
          <w:kern w:val="0"/>
          <w:sz w:val="21"/>
          <w:szCs w:val="21"/>
          <w:highlight w:val="none"/>
          <w:lang w:val="en-US" w:eastAsia="zh-CN"/>
          <w14:ligatures w14:val="none"/>
        </w:rPr>
        <w:t>内容，经</w:t>
      </w:r>
      <w:r>
        <w:rPr>
          <w:rFonts w:hint="eastAsia" w:ascii="微软雅黑" w:hAnsi="微软雅黑" w:eastAsia="微软雅黑" w:cs="微软雅黑"/>
          <w:color w:val="auto"/>
          <w:kern w:val="0"/>
          <w:sz w:val="21"/>
          <w:szCs w:val="21"/>
          <w:highlight w:val="none"/>
          <w14:ligatures w14:val="none"/>
        </w:rPr>
        <w:t>甲方验收合格</w:t>
      </w:r>
      <w:r>
        <w:rPr>
          <w:rFonts w:hint="eastAsia" w:ascii="微软雅黑" w:hAnsi="微软雅黑" w:eastAsia="微软雅黑" w:cs="微软雅黑"/>
          <w:color w:val="auto"/>
          <w:kern w:val="0"/>
          <w:sz w:val="21"/>
          <w:szCs w:val="21"/>
          <w:highlight w:val="none"/>
          <w:lang w:val="en-US" w:eastAsia="zh-CN"/>
          <w14:ligatures w14:val="none"/>
        </w:rPr>
        <w:t>并签署验收报告</w:t>
      </w:r>
      <w:r>
        <w:rPr>
          <w:rFonts w:hint="eastAsia" w:ascii="微软雅黑" w:hAnsi="微软雅黑" w:eastAsia="微软雅黑" w:cs="微软雅黑"/>
          <w:color w:val="auto"/>
          <w:kern w:val="0"/>
          <w:sz w:val="21"/>
          <w:szCs w:val="21"/>
          <w:highlight w:val="none"/>
          <w14:ligatures w14:val="none"/>
        </w:rPr>
        <w:t>，</w:t>
      </w:r>
      <w:r>
        <w:rPr>
          <w:rFonts w:hint="eastAsia" w:ascii="微软雅黑" w:hAnsi="微软雅黑" w:eastAsia="微软雅黑" w:cs="微软雅黑"/>
          <w:color w:val="auto"/>
          <w:kern w:val="0"/>
          <w:sz w:val="21"/>
          <w:szCs w:val="21"/>
          <w:highlight w:val="none"/>
          <w:lang w:val="en-US" w:eastAsia="zh-CN"/>
          <w14:ligatures w14:val="none"/>
        </w:rPr>
        <w:t>乙方向甲方提交</w:t>
      </w:r>
      <w:r>
        <w:rPr>
          <w:rFonts w:hint="eastAsia" w:ascii="微软雅黑" w:hAnsi="微软雅黑" w:eastAsia="微软雅黑" w:cs="微软雅黑"/>
          <w:color w:val="auto"/>
          <w:kern w:val="0"/>
          <w:sz w:val="21"/>
          <w:szCs w:val="21"/>
          <w:highlight w:val="none"/>
          <w14:ligatures w14:val="none"/>
        </w:rPr>
        <w:t>全额增值税专用发票</w:t>
      </w:r>
      <w:r>
        <w:rPr>
          <w:rFonts w:hint="eastAsia" w:ascii="微软雅黑" w:hAnsi="微软雅黑" w:eastAsia="微软雅黑" w:cs="微软雅黑"/>
          <w:color w:val="auto"/>
          <w:kern w:val="0"/>
          <w:sz w:val="21"/>
          <w:szCs w:val="21"/>
          <w:highlight w:val="none"/>
          <w:lang w:val="en-US" w:eastAsia="zh-CN"/>
          <w14:ligatures w14:val="none"/>
        </w:rPr>
        <w:t>及相关支持文件</w:t>
      </w:r>
      <w:r>
        <w:rPr>
          <w:rFonts w:hint="eastAsia" w:ascii="微软雅黑" w:hAnsi="微软雅黑" w:eastAsia="微软雅黑" w:cs="微软雅黑"/>
          <w:color w:val="auto"/>
          <w:kern w:val="0"/>
          <w:sz w:val="21"/>
          <w:szCs w:val="21"/>
          <w:highlight w:val="none"/>
          <w:lang w:eastAsia="zh-CN"/>
          <w14:ligatures w14:val="none"/>
        </w:rPr>
        <w:t>，</w:t>
      </w:r>
      <w:r>
        <w:rPr>
          <w:rFonts w:hint="eastAsia" w:ascii="微软雅黑" w:hAnsi="微软雅黑" w:eastAsia="微软雅黑" w:cs="微软雅黑"/>
          <w:color w:val="auto"/>
          <w:kern w:val="0"/>
          <w:sz w:val="21"/>
          <w:szCs w:val="21"/>
          <w:highlight w:val="none"/>
          <w:lang w:val="en-US" w:eastAsia="zh-CN"/>
          <w14:ligatures w14:val="none"/>
        </w:rPr>
        <w:t>甲方审核无误后</w:t>
      </w:r>
      <w:r>
        <w:rPr>
          <w:rFonts w:hint="eastAsia" w:ascii="微软雅黑" w:hAnsi="微软雅黑" w:eastAsia="微软雅黑" w:cs="微软雅黑"/>
          <w:color w:val="auto"/>
          <w:kern w:val="0"/>
          <w:sz w:val="21"/>
          <w:szCs w:val="21"/>
          <w:highlight w:val="none"/>
          <w14:ligatures w14:val="none"/>
        </w:rPr>
        <w:t>45日内向乙方支付</w:t>
      </w:r>
      <w:r>
        <w:rPr>
          <w:rFonts w:hint="eastAsia" w:ascii="微软雅黑" w:hAnsi="微软雅黑" w:eastAsia="微软雅黑" w:cs="微软雅黑"/>
          <w:color w:val="auto"/>
          <w:kern w:val="0"/>
          <w:sz w:val="21"/>
          <w:szCs w:val="21"/>
          <w:highlight w:val="none"/>
          <w:lang w:val="en-US" w:eastAsia="zh-CN"/>
          <w14:ligatures w14:val="none"/>
        </w:rPr>
        <w:t>至</w:t>
      </w:r>
      <w:r>
        <w:rPr>
          <w:rFonts w:hint="eastAsia" w:ascii="微软雅黑" w:hAnsi="微软雅黑" w:eastAsia="微软雅黑" w:cs="微软雅黑"/>
          <w:color w:val="auto"/>
          <w:kern w:val="0"/>
          <w:sz w:val="21"/>
          <w:szCs w:val="21"/>
          <w:highlight w:val="none"/>
          <w14:ligatures w14:val="none"/>
        </w:rPr>
        <w:t>本合同</w:t>
      </w:r>
      <w:r>
        <w:rPr>
          <w:rFonts w:hint="eastAsia" w:ascii="微软雅黑" w:hAnsi="微软雅黑" w:eastAsia="微软雅黑" w:cs="微软雅黑"/>
          <w:color w:val="auto"/>
          <w:kern w:val="0"/>
          <w:sz w:val="21"/>
          <w:szCs w:val="21"/>
          <w:highlight w:val="none"/>
          <w:lang w:val="en-US" w:eastAsia="zh-CN"/>
          <w14:ligatures w14:val="none"/>
        </w:rPr>
        <w:t>完工/</w:t>
      </w:r>
      <w:r>
        <w:rPr>
          <w:rFonts w:hint="eastAsia" w:ascii="微软雅黑" w:hAnsi="微软雅黑" w:eastAsia="微软雅黑" w:cs="微软雅黑"/>
          <w:color w:val="auto"/>
          <w:kern w:val="0"/>
          <w:sz w:val="21"/>
          <w:szCs w:val="21"/>
          <w:highlight w:val="none"/>
          <w14:ligatures w14:val="none"/>
        </w:rPr>
        <w:t>结算金额的</w:t>
      </w:r>
      <w:r>
        <w:rPr>
          <w:rFonts w:hint="eastAsia" w:ascii="微软雅黑" w:hAnsi="微软雅黑" w:eastAsia="微软雅黑" w:cs="微软雅黑"/>
          <w:color w:val="auto"/>
          <w:kern w:val="0"/>
          <w:sz w:val="21"/>
          <w:szCs w:val="21"/>
          <w:highlight w:val="none"/>
          <w:lang w:val="en-US" w:eastAsia="zh-CN"/>
          <w14:ligatures w14:val="none"/>
        </w:rPr>
        <w:t>9</w:t>
      </w:r>
      <w:r>
        <w:rPr>
          <w:rFonts w:hint="eastAsia" w:ascii="微软雅黑" w:hAnsi="微软雅黑" w:eastAsia="微软雅黑" w:cs="微软雅黑"/>
          <w:color w:val="auto"/>
          <w:kern w:val="0"/>
          <w:sz w:val="21"/>
          <w:szCs w:val="21"/>
          <w:highlight w:val="none"/>
          <w14:ligatures w14:val="none"/>
        </w:rPr>
        <w:t>7%作为工程的完工/结算款</w:t>
      </w:r>
      <w:r>
        <w:rPr>
          <w:rFonts w:hint="eastAsia" w:ascii="微软雅黑" w:hAnsi="微软雅黑" w:eastAsia="微软雅黑" w:cs="微软雅黑"/>
          <w:color w:val="auto"/>
          <w:kern w:val="0"/>
          <w:sz w:val="21"/>
          <w:szCs w:val="21"/>
          <w:highlight w:val="none"/>
          <w:lang w:eastAsia="zh-CN"/>
          <w14:ligatures w14:val="none"/>
        </w:rPr>
        <w:t>；</w:t>
      </w:r>
      <w:r>
        <w:rPr>
          <w:rFonts w:hint="eastAsia" w:ascii="微软雅黑" w:hAnsi="微软雅黑" w:eastAsia="微软雅黑" w:cs="微软雅黑"/>
          <w:color w:val="auto"/>
          <w:kern w:val="0"/>
          <w:sz w:val="21"/>
          <w:szCs w:val="21"/>
          <w:highlight w:val="none"/>
          <w:lang w:val="en-US" w:eastAsia="zh-CN"/>
          <w14:ligatures w14:val="none"/>
        </w:rPr>
        <w:t>完工/</w:t>
      </w:r>
      <w:r>
        <w:rPr>
          <w:rFonts w:hint="eastAsia" w:ascii="微软雅黑" w:hAnsi="微软雅黑" w:eastAsia="微软雅黑" w:cs="微软雅黑"/>
          <w:color w:val="auto"/>
          <w:kern w:val="0"/>
          <w:sz w:val="21"/>
          <w:szCs w:val="21"/>
          <w:highlight w:val="none"/>
          <w14:ligatures w14:val="none"/>
        </w:rPr>
        <w:t>结算金额的</w:t>
      </w:r>
      <w:r>
        <w:rPr>
          <w:rFonts w:hint="eastAsia" w:ascii="微软雅黑" w:hAnsi="微软雅黑" w:eastAsia="微软雅黑" w:cs="微软雅黑"/>
          <w:color w:val="auto"/>
          <w:kern w:val="0"/>
          <w:sz w:val="21"/>
          <w:szCs w:val="21"/>
          <w:highlight w:val="none"/>
          <w:lang w:val="en-US" w:eastAsia="zh-CN"/>
          <w14:ligatures w14:val="none"/>
        </w:rPr>
        <w:t>3</w:t>
      </w:r>
      <w:r>
        <w:rPr>
          <w:rFonts w:hint="eastAsia" w:ascii="微软雅黑" w:hAnsi="微软雅黑" w:eastAsia="微软雅黑" w:cs="微软雅黑"/>
          <w:color w:val="auto"/>
          <w:kern w:val="0"/>
          <w:sz w:val="21"/>
          <w:szCs w:val="21"/>
          <w:highlight w:val="none"/>
          <w14:ligatures w14:val="none"/>
        </w:rPr>
        <w:t>%</w:t>
      </w:r>
      <w:r>
        <w:rPr>
          <w:rFonts w:hint="eastAsia" w:ascii="微软雅黑" w:hAnsi="微软雅黑" w:eastAsia="微软雅黑" w:cs="微软雅黑"/>
          <w:color w:val="auto"/>
          <w:kern w:val="0"/>
          <w:sz w:val="21"/>
          <w:szCs w:val="21"/>
          <w:highlight w:val="none"/>
          <w:lang w:val="en-US" w:eastAsia="zh-CN"/>
          <w14:ligatures w14:val="none"/>
        </w:rPr>
        <w:t>为质量保修金。</w:t>
      </w:r>
    </w:p>
    <w:p>
      <w:pPr>
        <w:keepNext w:val="0"/>
        <w:keepLines w:val="0"/>
        <w:pageBreakBefore w:val="0"/>
        <w:widowControl w:val="0"/>
        <w:numPr>
          <w:ilvl w:val="0"/>
          <w:numId w:val="24"/>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14:ligatures w14:val="none"/>
        </w:rPr>
        <w:t>如付款到期</w:t>
      </w:r>
      <w:r>
        <w:rPr>
          <w:rFonts w:hint="eastAsia" w:ascii="微软雅黑" w:hAnsi="微软雅黑" w:eastAsia="微软雅黑" w:cs="微软雅黑"/>
          <w:color w:val="auto"/>
          <w:kern w:val="0"/>
          <w:sz w:val="21"/>
          <w:szCs w:val="21"/>
          <w:highlight w:val="none"/>
        </w:rPr>
        <w:t>日非为银行工作日，则付款到期日顺延至下一个银行工作日。</w:t>
      </w:r>
    </w:p>
    <w:p>
      <w:pPr>
        <w:pStyle w:val="6"/>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420" w:firstLineChars="200"/>
        <w:jc w:val="left"/>
        <w:textAlignment w:val="auto"/>
        <w:rPr>
          <w:rFonts w:hint="eastAsia" w:ascii="微软雅黑" w:hAnsi="微软雅黑" w:eastAsia="微软雅黑" w:cs="微软雅黑"/>
          <w:kern w:val="0"/>
          <w:sz w:val="21"/>
          <w:szCs w:val="21"/>
          <w:highlight w:val="none"/>
          <w:u w:val="none"/>
          <w:shd w:val="clear" w:fill="FFFFFF"/>
          <w:lang w:eastAsia="zh-CN"/>
          <w14:ligatures w14:val="none"/>
        </w:rPr>
      </w:pPr>
      <w:r>
        <w:rPr>
          <w:rFonts w:hint="eastAsia" w:ascii="微软雅黑" w:hAnsi="微软雅黑" w:eastAsia="微软雅黑" w:cs="微软雅黑"/>
          <w:kern w:val="0"/>
          <w:sz w:val="21"/>
          <w:szCs w:val="21"/>
          <w:highlight w:val="none"/>
          <w:u w:val="none"/>
          <w:shd w:val="clear" w:fill="FFFFFF"/>
          <w:lang w:eastAsia="zh-CN"/>
          <w14:ligatures w14:val="none"/>
        </w:rPr>
        <w:t>工程质量保修金支付：</w:t>
      </w:r>
    </w:p>
    <w:p>
      <w:pPr>
        <w:ind w:firstLine="42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质量保修金采用以下方式之一，国有企业仅适用第（2）种：</w:t>
      </w:r>
    </w:p>
    <w:p>
      <w:pPr>
        <w:keepNext w:val="0"/>
        <w:keepLines w:val="0"/>
        <w:pageBreakBefore w:val="0"/>
        <w:widowControl w:val="0"/>
        <w:numPr>
          <w:ilvl w:val="0"/>
          <w:numId w:val="25"/>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kern w:val="0"/>
          <w:sz w:val="21"/>
          <w:szCs w:val="21"/>
          <w:highlight w:val="none"/>
          <w:lang w:val="en-US" w:eastAsia="zh-CN"/>
          <w14:ligatures w14:val="none"/>
        </w:rPr>
      </w:pPr>
      <w:r>
        <w:rPr>
          <w:rFonts w:hint="eastAsia" w:ascii="微软雅黑" w:hAnsi="微软雅黑" w:eastAsia="微软雅黑" w:cs="微软雅黑"/>
          <w:color w:val="auto"/>
          <w:kern w:val="0"/>
          <w:sz w:val="21"/>
          <w:szCs w:val="21"/>
          <w:highlight w:val="none"/>
          <w:lang w:val="en-US" w:eastAsia="zh-CN"/>
          <w14:ligatures w14:val="none"/>
        </w:rPr>
        <w:t>扣留，金额为完工/结算金额的3%；</w:t>
      </w:r>
    </w:p>
    <w:p>
      <w:pPr>
        <w:keepNext w:val="0"/>
        <w:keepLines w:val="0"/>
        <w:pageBreakBefore w:val="0"/>
        <w:widowControl w:val="0"/>
        <w:numPr>
          <w:ilvl w:val="0"/>
          <w:numId w:val="25"/>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kern w:val="0"/>
          <w:sz w:val="21"/>
          <w:szCs w:val="21"/>
          <w:highlight w:val="none"/>
          <w:lang w:val="en-US" w:eastAsia="zh-CN"/>
          <w14:ligatures w14:val="none"/>
        </w:rPr>
      </w:pPr>
      <w:r>
        <w:rPr>
          <w:rFonts w:hint="eastAsia" w:ascii="微软雅黑" w:hAnsi="微软雅黑" w:eastAsia="微软雅黑" w:cs="微软雅黑"/>
          <w:color w:val="auto"/>
          <w:kern w:val="0"/>
          <w:sz w:val="21"/>
          <w:szCs w:val="21"/>
          <w:highlight w:val="none"/>
          <w:lang w:val="en-US" w:eastAsia="zh-CN"/>
          <w14:ligatures w14:val="none"/>
        </w:rPr>
        <w:t>质量保证金保函，保证金额为完工/结算金额的3%；质量保证金保函自出具之日起生效，有效期至缺陷责任期届满后第28日，缺陷责任期自乙方工程交工并经甲方验收合格之日起1年，缺陷责任期届满且完成缺陷修复责任后返还。</w:t>
      </w:r>
    </w:p>
    <w:p>
      <w:pPr>
        <w:ind w:firstLine="42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质量保修金支付：</w:t>
      </w:r>
    </w:p>
    <w:p>
      <w:pPr>
        <w:ind w:firstLine="42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第一种方式：</w:t>
      </w:r>
    </w:p>
    <w:p>
      <w:pPr>
        <w:ind w:firstLine="42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缺陷责任期届满且完成缺陷修复责任后退还，缺陷责任期自乙方工程交工并经甲方验收合格之日起1年。乙方向甲方提交下列单据并经甲方审核无误后45天内，甲方支付给乙方本合同质量保修金。如付款到期日非为银行工作日，则付款到期日顺延至下一个银行工作日。</w:t>
      </w:r>
    </w:p>
    <w:p>
      <w:pPr>
        <w:keepNext w:val="0"/>
        <w:keepLines w:val="0"/>
        <w:pageBreakBefore w:val="0"/>
        <w:widowControl w:val="0"/>
        <w:numPr>
          <w:ilvl w:val="0"/>
          <w:numId w:val="26"/>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kern w:val="0"/>
          <w:sz w:val="21"/>
          <w:szCs w:val="21"/>
          <w:highlight w:val="none"/>
          <w:lang w:val="en-US" w:eastAsia="zh-CN"/>
          <w14:ligatures w14:val="none"/>
        </w:rPr>
      </w:pPr>
      <w:r>
        <w:rPr>
          <w:rFonts w:hint="eastAsia" w:ascii="微软雅黑" w:hAnsi="微软雅黑" w:eastAsia="微软雅黑" w:cs="微软雅黑"/>
          <w:color w:val="auto"/>
          <w:kern w:val="0"/>
          <w:sz w:val="21"/>
          <w:szCs w:val="21"/>
          <w:highlight w:val="none"/>
          <w:lang w:val="en-US" w:eastAsia="zh-CN"/>
          <w14:ligatures w14:val="none"/>
        </w:rPr>
        <w:t>金额为本合同相应质量保修金的收据；</w:t>
      </w:r>
    </w:p>
    <w:p>
      <w:pPr>
        <w:keepNext w:val="0"/>
        <w:keepLines w:val="0"/>
        <w:pageBreakBefore w:val="0"/>
        <w:widowControl w:val="0"/>
        <w:numPr>
          <w:ilvl w:val="0"/>
          <w:numId w:val="26"/>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kern w:val="0"/>
          <w:sz w:val="21"/>
          <w:szCs w:val="21"/>
          <w:highlight w:val="none"/>
          <w:lang w:val="en-US" w:eastAsia="zh-CN"/>
          <w14:ligatures w14:val="none"/>
        </w:rPr>
      </w:pPr>
      <w:r>
        <w:rPr>
          <w:rFonts w:hint="eastAsia" w:ascii="微软雅黑" w:hAnsi="微软雅黑" w:eastAsia="微软雅黑" w:cs="微软雅黑"/>
          <w:color w:val="auto"/>
          <w:kern w:val="0"/>
          <w:sz w:val="21"/>
          <w:szCs w:val="21"/>
          <w:highlight w:val="none"/>
          <w:lang w:val="en-US" w:eastAsia="zh-CN"/>
          <w14:ligatures w14:val="none"/>
        </w:rPr>
        <w:t>完工报告（复印件）；</w:t>
      </w:r>
    </w:p>
    <w:p>
      <w:pPr>
        <w:keepNext w:val="0"/>
        <w:keepLines w:val="0"/>
        <w:pageBreakBefore w:val="0"/>
        <w:widowControl w:val="0"/>
        <w:numPr>
          <w:ilvl w:val="0"/>
          <w:numId w:val="26"/>
        </w:numPr>
        <w:kinsoku/>
        <w:wordWrap/>
        <w:overflowPunct/>
        <w:topLinePunct w:val="0"/>
        <w:autoSpaceDE w:val="0"/>
        <w:autoSpaceDN w:val="0"/>
        <w:bidi w:val="0"/>
        <w:adjustRightInd w:val="0"/>
        <w:spacing w:line="360" w:lineRule="auto"/>
        <w:ind w:left="0" w:leftChars="0" w:firstLine="420" w:firstLineChars="200"/>
        <w:jc w:val="left"/>
        <w:textAlignment w:val="auto"/>
        <w:rPr>
          <w:rFonts w:hint="eastAsia" w:ascii="微软雅黑" w:hAnsi="微软雅黑" w:eastAsia="微软雅黑" w:cs="微软雅黑"/>
          <w:color w:val="auto"/>
          <w:kern w:val="0"/>
          <w:sz w:val="21"/>
          <w:szCs w:val="21"/>
          <w:highlight w:val="none"/>
          <w:lang w:val="en-US" w:eastAsia="zh-CN"/>
          <w14:ligatures w14:val="none"/>
        </w:rPr>
      </w:pPr>
      <w:r>
        <w:rPr>
          <w:rFonts w:hint="eastAsia" w:ascii="微软雅黑" w:hAnsi="微软雅黑" w:eastAsia="微软雅黑" w:cs="微软雅黑"/>
          <w:color w:val="auto"/>
          <w:kern w:val="0"/>
          <w:sz w:val="21"/>
          <w:szCs w:val="21"/>
          <w:highlight w:val="none"/>
          <w:lang w:val="en-US" w:eastAsia="zh-CN"/>
          <w14:ligatures w14:val="none"/>
        </w:rPr>
        <w:t>结算审批页等（复印件）。</w:t>
      </w:r>
    </w:p>
    <w:p>
      <w:pPr>
        <w:ind w:firstLine="42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第二种方式：</w:t>
      </w:r>
    </w:p>
    <w:p>
      <w:pPr>
        <w:ind w:firstLine="42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工程验收合格后10日内向甲方提交经甲方认可的商业银行出具的、见索即付、不可撤销的质量保证金保函，经甲方审核无误后，质量保修金将在完工/结算付款时一并支付。如付款到期日非为银行工作日，则付款到期日顺延至下一个银行工作日。</w:t>
      </w:r>
    </w:p>
    <w:p>
      <w:pPr>
        <w:pStyle w:val="6"/>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420" w:firstLineChars="200"/>
        <w:jc w:val="left"/>
        <w:textAlignment w:val="auto"/>
        <w:rPr>
          <w:rFonts w:hint="default"/>
          <w:highlight w:val="none"/>
          <w:lang w:val="en-US" w:eastAsia="zh-CN"/>
        </w:rPr>
      </w:pPr>
      <w:r>
        <w:rPr>
          <w:rFonts w:hint="eastAsia" w:ascii="微软雅黑" w:hAnsi="微软雅黑" w:eastAsia="微软雅黑" w:cs="微软雅黑"/>
          <w:sz w:val="21"/>
          <w:szCs w:val="21"/>
          <w:highlight w:val="none"/>
          <w:lang w:val="en-US" w:eastAsia="zh-CN" w:bidi="ar-SA"/>
        </w:rPr>
        <w:t>★</w:t>
      </w:r>
      <w:r>
        <w:rPr>
          <w:rFonts w:hint="eastAsia" w:ascii="微软雅黑" w:hAnsi="微软雅黑" w:eastAsia="微软雅黑" w:cs="微软雅黑"/>
          <w:i w:val="0"/>
          <w:iCs w:val="0"/>
          <w:color w:val="000000"/>
          <w:kern w:val="0"/>
          <w:sz w:val="21"/>
          <w:szCs w:val="21"/>
          <w:highlight w:val="none"/>
          <w:u w:val="none"/>
          <w:lang w:val="en-US" w:eastAsia="zh-CN" w:bidi="ar"/>
        </w:rPr>
        <w:t>乙方承诺：</w:t>
      </w:r>
      <w:r>
        <w:rPr>
          <w:rFonts w:hint="eastAsia" w:ascii="微软雅黑" w:hAnsi="微软雅黑" w:eastAsia="微软雅黑" w:cs="微软雅黑"/>
          <w:kern w:val="0"/>
          <w:sz w:val="21"/>
          <w:szCs w:val="21"/>
          <w:highlight w:val="none"/>
          <w:lang w:val="en-US" w:eastAsia="zh-CN" w:bidi="ar-SA"/>
        </w:rPr>
        <w:t>除非法律法规、政府机关另行强制要求，未经甲方事先书面同意，乙方不得将甲方保密信息披露给任何第三方（包括与合同无关的乙方员工和政府部门），亦不得将该等信息用于与本合同无关的用途。保密信息包括但不限于：本合同内容；甲方提供的与本合同有关的任何技术信息、图纸、样本、资料等；甲方提供的或乙方获得的与项目或甲方有关的任何技术和商务信息。</w:t>
      </w:r>
    </w:p>
    <w:bookmarkEnd w:id="4"/>
    <w:bookmarkEnd w:id="5"/>
    <w:bookmarkEnd w:id="16"/>
    <w:bookmarkEnd w:id="17"/>
    <w:p>
      <w:pPr>
        <w:numPr>
          <w:ilvl w:val="0"/>
          <w:numId w:val="23"/>
        </w:numPr>
        <w:ind w:left="0" w:leftChars="0" w:firstLine="420" w:firstLineChars="20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图纸目录</w:t>
      </w:r>
    </w:p>
    <w:tbl>
      <w:tblPr>
        <w:tblStyle w:val="14"/>
        <w:tblW w:w="87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3732"/>
        <w:gridCol w:w="3138"/>
        <w:gridCol w:w="644"/>
        <w:gridCol w:w="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color w:val="000000"/>
                <w:kern w:val="0"/>
                <w:sz w:val="18"/>
                <w:szCs w:val="18"/>
                <w:highlight w:val="none"/>
                <w:u w:val="none"/>
                <w:lang w:val="en-US" w:eastAsia="zh-CN" w:bidi="ar"/>
              </w:rPr>
              <w:t>序号</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color w:val="000000"/>
                <w:kern w:val="0"/>
                <w:sz w:val="18"/>
                <w:szCs w:val="18"/>
                <w:highlight w:val="none"/>
                <w:u w:val="none"/>
                <w:lang w:val="en-US" w:eastAsia="zh-CN" w:bidi="ar"/>
              </w:rPr>
              <w:t>图名</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b/>
                <w:bCs/>
                <w:i w:val="0"/>
                <w:iCs w:val="0"/>
                <w:color w:val="000000"/>
                <w:kern w:val="0"/>
                <w:sz w:val="18"/>
                <w:szCs w:val="18"/>
                <w:highlight w:val="none"/>
                <w:u w:val="none"/>
                <w:lang w:val="en-US" w:eastAsia="zh-CN" w:bidi="ar"/>
              </w:rPr>
            </w:pPr>
            <w:r>
              <w:rPr>
                <w:rFonts w:hint="eastAsia" w:ascii="微软雅黑" w:hAnsi="微软雅黑" w:eastAsia="微软雅黑" w:cs="微软雅黑"/>
                <w:b/>
                <w:bCs/>
                <w:i w:val="0"/>
                <w:iCs w:val="0"/>
                <w:color w:val="000000"/>
                <w:kern w:val="0"/>
                <w:sz w:val="18"/>
                <w:szCs w:val="18"/>
                <w:highlight w:val="none"/>
                <w:u w:val="none"/>
                <w:lang w:val="en-US" w:eastAsia="zh-CN" w:bidi="ar"/>
              </w:rPr>
              <w:t>图号</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b/>
                <w:bCs/>
                <w:i w:val="0"/>
                <w:iCs w:val="0"/>
                <w:color w:val="000000"/>
                <w:kern w:val="0"/>
                <w:sz w:val="18"/>
                <w:szCs w:val="18"/>
                <w:highlight w:val="none"/>
                <w:u w:val="none"/>
                <w:lang w:val="en-US" w:eastAsia="zh-CN" w:bidi="ar"/>
              </w:rPr>
            </w:pPr>
            <w:r>
              <w:rPr>
                <w:rFonts w:hint="eastAsia" w:ascii="微软雅黑" w:hAnsi="微软雅黑" w:eastAsia="微软雅黑" w:cs="微软雅黑"/>
                <w:b/>
                <w:bCs/>
                <w:i w:val="0"/>
                <w:iCs w:val="0"/>
                <w:color w:val="000000"/>
                <w:kern w:val="0"/>
                <w:sz w:val="18"/>
                <w:szCs w:val="18"/>
                <w:highlight w:val="none"/>
                <w:u w:val="none"/>
                <w:lang w:val="en-US" w:eastAsia="zh-CN" w:bidi="ar"/>
              </w:rPr>
              <w:t>版次</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color w:val="000000"/>
                <w:kern w:val="0"/>
                <w:sz w:val="18"/>
                <w:szCs w:val="18"/>
                <w:highlight w:val="none"/>
                <w:u w:val="none"/>
                <w:lang w:val="en-US" w:eastAsia="zh-CN" w:bidi="ar"/>
              </w:rPr>
              <w:t>页数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全厂外管-管道材料表</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191011D007PD00M02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2</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全厂外管-支架一览表</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191011D007PD00M04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3</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全厂外管-管道绝热表</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191011D007PD00M07</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4</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全厂外管-管道数据表</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191011D007PD00P02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5</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全厂外管-轴测图索引表（含管道轴测图）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191011D007PD00P04</w:t>
            </w:r>
          </w:p>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191011D007PD000084</w:t>
            </w:r>
          </w:p>
          <w:p>
            <w:pPr>
              <w:keepNext w:val="0"/>
              <w:keepLines w:val="0"/>
              <w:widowControl/>
              <w:suppressLineNumbers w:val="0"/>
              <w:spacing w:line="24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 xml:space="preserve">191011D007PD000085 </w:t>
            </w:r>
          </w:p>
          <w:p>
            <w:pPr>
              <w:keepNext w:val="0"/>
              <w:keepLines w:val="0"/>
              <w:widowControl/>
              <w:suppressLineNumbers w:val="0"/>
              <w:spacing w:line="240" w:lineRule="auto"/>
              <w:jc w:val="center"/>
              <w:textAlignment w:val="center"/>
              <w:rPr>
                <w:rFonts w:hint="eastAsia"/>
                <w:highlight w:val="none"/>
                <w:lang w:val="en-US" w:eastAsia="zh-CN"/>
              </w:rPr>
            </w:pPr>
            <w:r>
              <w:rPr>
                <w:rFonts w:hint="eastAsia" w:ascii="微软雅黑" w:hAnsi="微软雅黑" w:eastAsia="微软雅黑" w:cs="微软雅黑"/>
                <w:i w:val="0"/>
                <w:iCs w:val="0"/>
                <w:color w:val="000000"/>
                <w:kern w:val="0"/>
                <w:sz w:val="18"/>
                <w:szCs w:val="18"/>
                <w:highlight w:val="none"/>
                <w:u w:val="none"/>
                <w:lang w:val="en-US" w:eastAsia="zh-CN" w:bidi="ar"/>
              </w:rPr>
              <w:t xml:space="preserve">191011D007PD000086 </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6</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管道布置图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191011D820EP00011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7</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自控-文件目录</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191011D002IN00L01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8</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自控-说明书</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191011D002IN00S01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lang w:val="en-US" w:eastAsia="zh-CN"/>
              </w:rPr>
            </w:pPr>
            <w:r>
              <w:rPr>
                <w:rFonts w:hint="eastAsia" w:ascii="微软雅黑" w:hAnsi="微软雅黑" w:eastAsia="微软雅黑" w:cs="微软雅黑"/>
                <w:i w:val="0"/>
                <w:iCs w:val="0"/>
                <w:color w:val="000000"/>
                <w:sz w:val="18"/>
                <w:szCs w:val="18"/>
                <w:highlight w:val="none"/>
                <w:u w:val="none"/>
                <w:lang w:val="en-US" w:eastAsia="zh-CN"/>
              </w:rPr>
              <w:t>9</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自控-仪表索引表</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191011D002IN00F10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sz w:val="18"/>
                <w:szCs w:val="18"/>
                <w:highlight w:val="none"/>
                <w:u w:val="none"/>
                <w:lang w:val="en-US" w:eastAsia="zh-CN"/>
              </w:rPr>
            </w:pPr>
            <w:r>
              <w:rPr>
                <w:rFonts w:hint="eastAsia" w:ascii="微软雅黑" w:hAnsi="微软雅黑" w:eastAsia="微软雅黑" w:cs="微软雅黑"/>
                <w:i w:val="0"/>
                <w:iCs w:val="0"/>
                <w:color w:val="000000"/>
                <w:sz w:val="18"/>
                <w:szCs w:val="18"/>
                <w:highlight w:val="none"/>
                <w:u w:val="none"/>
                <w:lang w:val="en-US" w:eastAsia="zh-CN"/>
              </w:rPr>
              <w:t>10</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自控-压力表规格</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191011D002IN00R121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11</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自控-安装图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191011D002IN00001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12</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全厂给排水-管道材料表</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191011D002WS00M02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13</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厂区生产污水排水平面图、系统图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191011D002WS00012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14</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低压配电系统图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191011D-EEBG-01-FT01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15</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潜污泵控制原理图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191011D-EEBG-01-FT02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16</w:t>
            </w:r>
          </w:p>
        </w:tc>
        <w:tc>
          <w:tcPr>
            <w:tcW w:w="373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全厂供电平面图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191011D-EEBG-01-FT03</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17</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水封井结构设计说明</w:t>
            </w:r>
          </w:p>
        </w:tc>
        <w:tc>
          <w:tcPr>
            <w:tcW w:w="3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191011D002CV00001</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sz w:val="18"/>
                <w:szCs w:val="18"/>
                <w:highlight w:val="none"/>
                <w:u w:val="none"/>
                <w:lang w:val="en-US"/>
              </w:rPr>
            </w:pPr>
            <w:r>
              <w:rPr>
                <w:rFonts w:hint="eastAsia" w:ascii="微软雅黑" w:hAnsi="微软雅黑" w:eastAsia="微软雅黑" w:cs="微软雅黑"/>
                <w:i w:val="0"/>
                <w:iCs w:val="0"/>
                <w:color w:val="000000"/>
                <w:kern w:val="0"/>
                <w:sz w:val="18"/>
                <w:szCs w:val="18"/>
                <w:highlight w:val="none"/>
                <w:u w:val="none"/>
                <w:lang w:val="en-US" w:eastAsia="zh-CN" w:bidi="ar"/>
              </w:rPr>
              <w:t>18</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sz w:val="18"/>
                <w:szCs w:val="18"/>
                <w:highlight w:val="none"/>
                <w:u w:val="none"/>
                <w:lang w:val="en-US"/>
              </w:rPr>
            </w:pPr>
            <w:r>
              <w:rPr>
                <w:rFonts w:hint="eastAsia" w:ascii="微软雅黑" w:hAnsi="微软雅黑" w:eastAsia="微软雅黑" w:cs="微软雅黑"/>
                <w:i w:val="0"/>
                <w:iCs w:val="0"/>
                <w:color w:val="000000"/>
                <w:kern w:val="0"/>
                <w:sz w:val="18"/>
                <w:szCs w:val="18"/>
                <w:highlight w:val="none"/>
                <w:u w:val="none"/>
                <w:lang w:val="en-US" w:eastAsia="zh-CN" w:bidi="ar"/>
              </w:rPr>
              <w:t>阀门井、水封井大样图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191011D002CV00002</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sz w:val="18"/>
                <w:szCs w:val="18"/>
                <w:highlight w:val="none"/>
                <w:u w:val="none"/>
                <w:lang w:val="en-US"/>
              </w:rPr>
            </w:pPr>
            <w:r>
              <w:rPr>
                <w:rFonts w:hint="eastAsia" w:ascii="微软雅黑" w:hAnsi="微软雅黑" w:eastAsia="微软雅黑" w:cs="微软雅黑"/>
                <w:i w:val="0"/>
                <w:iCs w:val="0"/>
                <w:color w:val="000000"/>
                <w:kern w:val="0"/>
                <w:sz w:val="18"/>
                <w:szCs w:val="18"/>
                <w:highlight w:val="none"/>
                <w:u w:val="none"/>
                <w:lang w:val="en-US" w:eastAsia="zh-CN" w:bidi="ar"/>
              </w:rPr>
              <w:t>19</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厂区污水、雨水管道总平面布置图</w:t>
            </w:r>
          </w:p>
        </w:tc>
        <w:tc>
          <w:tcPr>
            <w:tcW w:w="3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i w:val="0"/>
                <w:iCs w:val="0"/>
                <w:color w:val="000000"/>
                <w:kern w:val="0"/>
                <w:sz w:val="18"/>
                <w:szCs w:val="18"/>
                <w:highlight w:val="none"/>
                <w:u w:val="none"/>
                <w:lang w:val="en-US" w:eastAsia="zh-CN" w:bidi="ar"/>
              </w:rPr>
              <w:t>0</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18"/>
                <w:szCs w:val="18"/>
                <w:highlight w:val="none"/>
                <w:u w:val="none"/>
                <w:lang w:val="en-US" w:eastAsia="zh-CN" w:bidi="ar"/>
              </w:rPr>
              <w:t>1</w:t>
            </w:r>
          </w:p>
        </w:tc>
      </w:tr>
    </w:tbl>
    <w:p>
      <w:pPr>
        <w:pStyle w:val="2"/>
        <w:ind w:left="0" w:leftChars="0" w:firstLine="0" w:firstLineChars="0"/>
        <w:rPr>
          <w:rFonts w:hint="default"/>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微软雅黑">
    <w:panose1 w:val="020B0503020204020204"/>
    <w:charset w:val="86"/>
    <w:family w:val="swiss"/>
    <w:pitch w:val="default"/>
    <w:sig w:usb0="80000287" w:usb1="2ACF3C50" w:usb2="00000016" w:usb3="00000000" w:csb0="0004001F" w:csb1="00000000"/>
  </w:font>
  <w:font w:name="汉仪雅酷黑 75W">
    <w:altName w:val="黑体"/>
    <w:panose1 w:val="020B0804020202020204"/>
    <w:charset w:val="86"/>
    <w:family w:val="auto"/>
    <w:pitch w:val="default"/>
    <w:sig w:usb0="00000000" w:usb1="00000000" w:usb2="00000016" w:usb3="00000000" w:csb0="2004000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bottomMargin">
                <wp:align>top</wp:align>
              </wp:positionV>
              <wp:extent cx="1117600" cy="303530"/>
              <wp:effectExtent l="0" t="0" r="0" b="0"/>
              <wp:wrapNone/>
              <wp:docPr id="5" name="组合 5"/>
              <wp:cNvGraphicFramePr/>
              <a:graphic xmlns:a="http://schemas.openxmlformats.org/drawingml/2006/main">
                <a:graphicData uri="http://schemas.microsoft.com/office/word/2010/wordprocessingGroup">
                  <wpg:wgp>
                    <wpg:cNvGrpSpPr/>
                    <wpg:grpSpPr>
                      <a:xfrm>
                        <a:off x="0" y="0"/>
                        <a:ext cx="1117600" cy="303530"/>
                        <a:chOff x="4728" y="1163"/>
                        <a:chExt cx="1760" cy="478"/>
                      </a:xfrm>
                    </wpg:grpSpPr>
                    <wps:wsp>
                      <wps:cNvPr id="6" name="矩形 2"/>
                      <wps:cNvSpPr/>
                      <wps:spPr>
                        <a:xfrm>
                          <a:off x="4728" y="1163"/>
                          <a:ext cx="1760" cy="47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3"/>
                      <wps:cNvSpPr txBox="1"/>
                      <wps:spPr>
                        <a:xfrm>
                          <a:off x="4748" y="1171"/>
                          <a:ext cx="1719"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雅酷黑 75W" w:hAnsi="汉仪雅酷黑 75W" w:eastAsia="汉仪雅酷黑 75W" w:cs="汉仪雅酷黑 75W"/>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65pt;margin-top:769.9pt;height:23.9pt;width:88pt;mso-position-horizontal-relative:page;mso-position-vertical-relative:page;z-index:251659264;mso-width-relative:page;mso-height-relative:page;" coordorigin="4728,1163" coordsize="1760,478" o:gfxdata="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de8+W&#10;1QAAAAQBAAAPAAAAAAAAAAEAIAAAACIAAABkcnMvZG93bnJldi54bWxQSwECFAAUAAAACACHTuJA&#10;wpkPd0EDAACfCAAADgAAAAAAAAABACAAAAAkAQAAZHJzL2Uyb0RvYy54bWxQSwUGAAAAAAYABgBZ&#10;AQAA1wYAAAAA&#10;">
              <o:lock v:ext="edit" aspectratio="f"/>
              <v:rect id="矩形 2" o:spid="_x0000_s1026" o:spt="1" style="position:absolute;left:4728;top:1163;height:478;width:1760;v-text-anchor:middle;" fillcolor="#FFFFFF [3212]" filled="t" stroked="f" coordsize="21600,21600" o:gfxdata="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jnsvQAA&#10;ANoAAAAPAAAAAAAAAAEAIAAAACIAAABkcnMvZG93bnJldi54bWxQSwECFAAUAAAACACHTuJAMy8F&#10;njsAAAA5AAAAEAAAAAAAAAABACAAAAAMAQAAZHJzL3NoYXBleG1sLnhtbFBLBQYAAAAABgAGAFsB&#10;AAC2AwAAAAA=&#10;">
                <v:fill on="t" opacity="0f" focussize="0,0"/>
                <v:stroke on="f" weight="1pt" miterlimit="8" joinstyle="miter"/>
                <v:imagedata o:title=""/>
                <o:lock v:ext="edit" aspectratio="f"/>
              </v:rect>
              <v:shape id="文本框 3" o:spid="_x0000_s1026" o:spt="202" type="#_x0000_t202" style="position:absolute;left:4748;top:1171;height:461;width:1719;"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ascii="汉仪雅酷黑 75W" w:hAnsi="汉仪雅酷黑 75W" w:eastAsia="汉仪雅酷黑 75W" w:cs="汉仪雅酷黑 75W"/>
                          <w:lang w:val="en-US" w:eastAsia="zh-CN"/>
                        </w:rPr>
                      </w:pPr>
                    </w:p>
                  </w:txbxContent>
                </v:textbox>
              </v:shape>
            </v:group>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D4A44"/>
    <w:multiLevelType w:val="singleLevel"/>
    <w:tmpl w:val="85CD4A44"/>
    <w:lvl w:ilvl="0" w:tentative="0">
      <w:start w:val="1"/>
      <w:numFmt w:val="decimal"/>
      <w:lvlText w:val="(%1)"/>
      <w:lvlJc w:val="left"/>
      <w:pPr>
        <w:tabs>
          <w:tab w:val="left" w:pos="420"/>
        </w:tabs>
        <w:ind w:left="845" w:hanging="425"/>
      </w:pPr>
      <w:rPr>
        <w:rFonts w:hint="default"/>
      </w:rPr>
    </w:lvl>
  </w:abstractNum>
  <w:abstractNum w:abstractNumId="1">
    <w:nsid w:val="8AF4A8C3"/>
    <w:multiLevelType w:val="singleLevel"/>
    <w:tmpl w:val="8AF4A8C3"/>
    <w:lvl w:ilvl="0" w:tentative="0">
      <w:start w:val="1"/>
      <w:numFmt w:val="decimal"/>
      <w:lvlText w:val="%1."/>
      <w:lvlJc w:val="left"/>
      <w:pPr>
        <w:ind w:left="425" w:hanging="425"/>
      </w:pPr>
      <w:rPr>
        <w:rFonts w:hint="default" w:ascii="微软雅黑" w:hAnsi="微软雅黑" w:eastAsia="微软雅黑" w:cs="微软雅黑"/>
        <w:b/>
        <w:bCs/>
        <w:color w:val="auto"/>
        <w:sz w:val="21"/>
        <w:szCs w:val="21"/>
      </w:rPr>
    </w:lvl>
  </w:abstractNum>
  <w:abstractNum w:abstractNumId="2">
    <w:nsid w:val="98C5EEFC"/>
    <w:multiLevelType w:val="singleLevel"/>
    <w:tmpl w:val="98C5EEFC"/>
    <w:lvl w:ilvl="0" w:tentative="0">
      <w:start w:val="1"/>
      <w:numFmt w:val="decimal"/>
      <w:suff w:val="nothing"/>
      <w:lvlText w:val="%1．"/>
      <w:lvlJc w:val="left"/>
      <w:pPr>
        <w:ind w:left="0" w:firstLine="400"/>
      </w:pPr>
      <w:rPr>
        <w:rFonts w:hint="default"/>
      </w:rPr>
    </w:lvl>
  </w:abstractNum>
  <w:abstractNum w:abstractNumId="3">
    <w:nsid w:val="99864452"/>
    <w:multiLevelType w:val="singleLevel"/>
    <w:tmpl w:val="99864452"/>
    <w:lvl w:ilvl="0" w:tentative="0">
      <w:start w:val="1"/>
      <w:numFmt w:val="decimal"/>
      <w:lvlText w:val="(%1)"/>
      <w:lvlJc w:val="left"/>
      <w:pPr>
        <w:tabs>
          <w:tab w:val="left" w:pos="420"/>
        </w:tabs>
        <w:ind w:left="845" w:hanging="425"/>
      </w:pPr>
      <w:rPr>
        <w:rFonts w:hint="default"/>
      </w:rPr>
    </w:lvl>
  </w:abstractNum>
  <w:abstractNum w:abstractNumId="4">
    <w:nsid w:val="A176F97C"/>
    <w:multiLevelType w:val="singleLevel"/>
    <w:tmpl w:val="A176F97C"/>
    <w:lvl w:ilvl="0" w:tentative="0">
      <w:start w:val="1"/>
      <w:numFmt w:val="bullet"/>
      <w:lvlText w:val=""/>
      <w:lvlJc w:val="left"/>
      <w:pPr>
        <w:ind w:left="630" w:hanging="420"/>
      </w:pPr>
      <w:rPr>
        <w:rFonts w:hint="default" w:ascii="Wingdings" w:hAnsi="Wingdings"/>
      </w:rPr>
    </w:lvl>
  </w:abstractNum>
  <w:abstractNum w:abstractNumId="5">
    <w:nsid w:val="A3028B5A"/>
    <w:multiLevelType w:val="singleLevel"/>
    <w:tmpl w:val="A3028B5A"/>
    <w:lvl w:ilvl="0" w:tentative="0">
      <w:start w:val="1"/>
      <w:numFmt w:val="decimal"/>
      <w:lvlText w:val="%1)"/>
      <w:lvlJc w:val="left"/>
      <w:pPr>
        <w:tabs>
          <w:tab w:val="left" w:pos="-420"/>
        </w:tabs>
        <w:ind w:left="5" w:hanging="425"/>
      </w:pPr>
      <w:rPr>
        <w:rFonts w:hint="default"/>
      </w:rPr>
    </w:lvl>
  </w:abstractNum>
  <w:abstractNum w:abstractNumId="6">
    <w:nsid w:val="AB7F6C3A"/>
    <w:multiLevelType w:val="singleLevel"/>
    <w:tmpl w:val="AB7F6C3A"/>
    <w:lvl w:ilvl="0" w:tentative="0">
      <w:start w:val="1"/>
      <w:numFmt w:val="decimal"/>
      <w:lvlText w:val="%1."/>
      <w:lvlJc w:val="left"/>
      <w:pPr>
        <w:ind w:left="425" w:hanging="425"/>
      </w:pPr>
      <w:rPr>
        <w:rFonts w:hint="default" w:ascii="微软雅黑" w:hAnsi="微软雅黑" w:eastAsia="微软雅黑" w:cs="微软雅黑"/>
        <w:b w:val="0"/>
        <w:bCs w:val="0"/>
        <w:color w:val="auto"/>
        <w:sz w:val="21"/>
        <w:szCs w:val="21"/>
      </w:rPr>
    </w:lvl>
  </w:abstractNum>
  <w:abstractNum w:abstractNumId="7">
    <w:nsid w:val="C72EB0B9"/>
    <w:multiLevelType w:val="singleLevel"/>
    <w:tmpl w:val="C72EB0B9"/>
    <w:lvl w:ilvl="0" w:tentative="0">
      <w:start w:val="1"/>
      <w:numFmt w:val="decimal"/>
      <w:lvlText w:val="(%1)"/>
      <w:lvlJc w:val="left"/>
      <w:pPr>
        <w:tabs>
          <w:tab w:val="left" w:pos="420"/>
        </w:tabs>
        <w:ind w:left="845" w:hanging="425"/>
      </w:pPr>
      <w:rPr>
        <w:rFonts w:hint="default"/>
      </w:rPr>
    </w:lvl>
  </w:abstractNum>
  <w:abstractNum w:abstractNumId="8">
    <w:nsid w:val="D55735A4"/>
    <w:multiLevelType w:val="singleLevel"/>
    <w:tmpl w:val="D55735A4"/>
    <w:lvl w:ilvl="0" w:tentative="0">
      <w:start w:val="1"/>
      <w:numFmt w:val="decimal"/>
      <w:lvlText w:val="(%1)"/>
      <w:lvlJc w:val="left"/>
      <w:pPr>
        <w:tabs>
          <w:tab w:val="left" w:pos="420"/>
        </w:tabs>
        <w:ind w:left="845" w:hanging="425"/>
      </w:pPr>
      <w:rPr>
        <w:rFonts w:hint="default"/>
      </w:rPr>
    </w:lvl>
  </w:abstractNum>
  <w:abstractNum w:abstractNumId="9">
    <w:nsid w:val="D9210482"/>
    <w:multiLevelType w:val="singleLevel"/>
    <w:tmpl w:val="D9210482"/>
    <w:lvl w:ilvl="0" w:tentative="0">
      <w:start w:val="1"/>
      <w:numFmt w:val="decimal"/>
      <w:lvlText w:val="%1."/>
      <w:lvlJc w:val="left"/>
      <w:pPr>
        <w:ind w:left="425" w:hanging="425"/>
      </w:pPr>
      <w:rPr>
        <w:rFonts w:hint="default" w:ascii="微软雅黑" w:hAnsi="微软雅黑" w:eastAsia="微软雅黑" w:cs="微软雅黑"/>
        <w:b w:val="0"/>
        <w:bCs w:val="0"/>
        <w:color w:val="auto"/>
        <w:sz w:val="21"/>
        <w:szCs w:val="21"/>
      </w:rPr>
    </w:lvl>
  </w:abstractNum>
  <w:abstractNum w:abstractNumId="10">
    <w:nsid w:val="EAED7863"/>
    <w:multiLevelType w:val="singleLevel"/>
    <w:tmpl w:val="EAED7863"/>
    <w:lvl w:ilvl="0" w:tentative="0">
      <w:start w:val="1"/>
      <w:numFmt w:val="decimal"/>
      <w:lvlText w:val="%1)"/>
      <w:lvlJc w:val="left"/>
      <w:pPr>
        <w:tabs>
          <w:tab w:val="left" w:pos="-420"/>
        </w:tabs>
        <w:ind w:left="5" w:hanging="425"/>
      </w:pPr>
      <w:rPr>
        <w:rFonts w:hint="default"/>
      </w:rPr>
    </w:lvl>
  </w:abstractNum>
  <w:abstractNum w:abstractNumId="11">
    <w:nsid w:val="F633B550"/>
    <w:multiLevelType w:val="singleLevel"/>
    <w:tmpl w:val="F633B550"/>
    <w:lvl w:ilvl="0" w:tentative="0">
      <w:start w:val="1"/>
      <w:numFmt w:val="decimal"/>
      <w:lvlText w:val="%1)"/>
      <w:lvlJc w:val="left"/>
      <w:pPr>
        <w:tabs>
          <w:tab w:val="left" w:pos="-420"/>
        </w:tabs>
        <w:ind w:left="5" w:hanging="425"/>
      </w:pPr>
      <w:rPr>
        <w:rFonts w:hint="default"/>
      </w:rPr>
    </w:lvl>
  </w:abstractNum>
  <w:abstractNum w:abstractNumId="12">
    <w:nsid w:val="FBE84EF0"/>
    <w:multiLevelType w:val="singleLevel"/>
    <w:tmpl w:val="FBE84EF0"/>
    <w:lvl w:ilvl="0" w:tentative="0">
      <w:start w:val="1"/>
      <w:numFmt w:val="bullet"/>
      <w:lvlText w:val=""/>
      <w:lvlJc w:val="left"/>
      <w:pPr>
        <w:ind w:left="420" w:hanging="420"/>
      </w:pPr>
      <w:rPr>
        <w:rFonts w:hint="default" w:ascii="Wingdings" w:hAnsi="Wingdings"/>
      </w:rPr>
    </w:lvl>
  </w:abstractNum>
  <w:abstractNum w:abstractNumId="13">
    <w:nsid w:val="0C8290C9"/>
    <w:multiLevelType w:val="singleLevel"/>
    <w:tmpl w:val="0C8290C9"/>
    <w:lvl w:ilvl="0" w:tentative="0">
      <w:start w:val="1"/>
      <w:numFmt w:val="decimal"/>
      <w:lvlText w:val="%1."/>
      <w:lvlJc w:val="left"/>
      <w:pPr>
        <w:ind w:left="425" w:hanging="425"/>
      </w:pPr>
      <w:rPr>
        <w:rFonts w:hint="default" w:ascii="微软雅黑" w:hAnsi="微软雅黑" w:eastAsia="微软雅黑" w:cs="微软雅黑"/>
        <w:b w:val="0"/>
        <w:bCs w:val="0"/>
        <w:color w:val="auto"/>
        <w:sz w:val="21"/>
        <w:szCs w:val="21"/>
      </w:rPr>
    </w:lvl>
  </w:abstractNum>
  <w:abstractNum w:abstractNumId="14">
    <w:nsid w:val="1F0586DC"/>
    <w:multiLevelType w:val="singleLevel"/>
    <w:tmpl w:val="1F0586DC"/>
    <w:lvl w:ilvl="0" w:tentative="0">
      <w:start w:val="1"/>
      <w:numFmt w:val="decimal"/>
      <w:lvlText w:val="%1."/>
      <w:lvlJc w:val="left"/>
      <w:pPr>
        <w:ind w:left="425" w:hanging="425"/>
      </w:pPr>
      <w:rPr>
        <w:rFonts w:hint="default" w:ascii="微软雅黑" w:hAnsi="微软雅黑" w:eastAsia="微软雅黑" w:cs="微软雅黑"/>
        <w:b/>
        <w:bCs/>
        <w:color w:val="auto"/>
        <w:sz w:val="21"/>
        <w:szCs w:val="21"/>
      </w:rPr>
    </w:lvl>
  </w:abstractNum>
  <w:abstractNum w:abstractNumId="15">
    <w:nsid w:val="29F24E8C"/>
    <w:multiLevelType w:val="singleLevel"/>
    <w:tmpl w:val="29F24E8C"/>
    <w:lvl w:ilvl="0" w:tentative="0">
      <w:start w:val="1"/>
      <w:numFmt w:val="decimal"/>
      <w:lvlText w:val="(%1)"/>
      <w:lvlJc w:val="left"/>
      <w:pPr>
        <w:tabs>
          <w:tab w:val="left" w:pos="420"/>
        </w:tabs>
        <w:ind w:left="845" w:hanging="425"/>
      </w:pPr>
      <w:rPr>
        <w:rFonts w:hint="default"/>
      </w:rPr>
    </w:lvl>
  </w:abstractNum>
  <w:abstractNum w:abstractNumId="16">
    <w:nsid w:val="2ED5E65D"/>
    <w:multiLevelType w:val="singleLevel"/>
    <w:tmpl w:val="2ED5E65D"/>
    <w:lvl w:ilvl="0" w:tentative="0">
      <w:start w:val="1"/>
      <w:numFmt w:val="decimal"/>
      <w:lvlText w:val="(%1)"/>
      <w:lvlJc w:val="left"/>
      <w:pPr>
        <w:tabs>
          <w:tab w:val="left" w:pos="420"/>
        </w:tabs>
        <w:ind w:left="845" w:hanging="425"/>
      </w:pPr>
      <w:rPr>
        <w:rFonts w:hint="default"/>
      </w:rPr>
    </w:lvl>
  </w:abstractNum>
  <w:abstractNum w:abstractNumId="17">
    <w:nsid w:val="31AE35DE"/>
    <w:multiLevelType w:val="singleLevel"/>
    <w:tmpl w:val="31AE35DE"/>
    <w:lvl w:ilvl="0" w:tentative="0">
      <w:start w:val="1"/>
      <w:numFmt w:val="decimal"/>
      <w:lvlText w:val="%1."/>
      <w:lvlJc w:val="left"/>
      <w:pPr>
        <w:ind w:left="425" w:hanging="425"/>
      </w:pPr>
      <w:rPr>
        <w:rFonts w:hint="default" w:ascii="微软雅黑" w:hAnsi="微软雅黑" w:eastAsia="微软雅黑" w:cs="微软雅黑"/>
        <w:b/>
        <w:bCs/>
        <w:color w:val="auto"/>
        <w:sz w:val="21"/>
        <w:szCs w:val="21"/>
      </w:rPr>
    </w:lvl>
  </w:abstractNum>
  <w:abstractNum w:abstractNumId="18">
    <w:nsid w:val="324D6A61"/>
    <w:multiLevelType w:val="singleLevel"/>
    <w:tmpl w:val="324D6A61"/>
    <w:lvl w:ilvl="0" w:tentative="0">
      <w:start w:val="1"/>
      <w:numFmt w:val="decimal"/>
      <w:lvlText w:val="(%1)"/>
      <w:lvlJc w:val="left"/>
      <w:pPr>
        <w:tabs>
          <w:tab w:val="left" w:pos="420"/>
        </w:tabs>
        <w:ind w:left="845" w:hanging="425"/>
      </w:pPr>
      <w:rPr>
        <w:rFonts w:hint="default"/>
      </w:rPr>
    </w:lvl>
  </w:abstractNum>
  <w:abstractNum w:abstractNumId="19">
    <w:nsid w:val="3BCEE783"/>
    <w:multiLevelType w:val="singleLevel"/>
    <w:tmpl w:val="3BCEE783"/>
    <w:lvl w:ilvl="0" w:tentative="0">
      <w:start w:val="1"/>
      <w:numFmt w:val="chineseCounting"/>
      <w:suff w:val="nothing"/>
      <w:lvlText w:val="%1、"/>
      <w:lvlJc w:val="left"/>
      <w:pPr>
        <w:ind w:left="0" w:firstLine="420"/>
      </w:pPr>
      <w:rPr>
        <w:rFonts w:hint="eastAsia"/>
      </w:rPr>
    </w:lvl>
  </w:abstractNum>
  <w:abstractNum w:abstractNumId="20">
    <w:nsid w:val="417730A4"/>
    <w:multiLevelType w:val="singleLevel"/>
    <w:tmpl w:val="417730A4"/>
    <w:lvl w:ilvl="0" w:tentative="0">
      <w:start w:val="1"/>
      <w:numFmt w:val="decimal"/>
      <w:lvlText w:val="%1."/>
      <w:lvlJc w:val="left"/>
      <w:pPr>
        <w:ind w:left="425" w:hanging="425"/>
      </w:pPr>
      <w:rPr>
        <w:rFonts w:hint="default" w:ascii="微软雅黑" w:hAnsi="微软雅黑" w:eastAsia="微软雅黑" w:cs="微软雅黑"/>
        <w:b w:val="0"/>
        <w:bCs w:val="0"/>
        <w:color w:val="auto"/>
        <w:sz w:val="21"/>
        <w:szCs w:val="21"/>
      </w:rPr>
    </w:lvl>
  </w:abstractNum>
  <w:abstractNum w:abstractNumId="21">
    <w:nsid w:val="46E73998"/>
    <w:multiLevelType w:val="singleLevel"/>
    <w:tmpl w:val="46E73998"/>
    <w:lvl w:ilvl="0" w:tentative="0">
      <w:start w:val="1"/>
      <w:numFmt w:val="decimal"/>
      <w:lvlText w:val="(%1)"/>
      <w:lvlJc w:val="left"/>
      <w:pPr>
        <w:tabs>
          <w:tab w:val="left" w:pos="420"/>
        </w:tabs>
        <w:ind w:left="845" w:hanging="425"/>
      </w:pPr>
      <w:rPr>
        <w:rFonts w:hint="default"/>
      </w:rPr>
    </w:lvl>
  </w:abstractNum>
  <w:abstractNum w:abstractNumId="22">
    <w:nsid w:val="4FFCFFB4"/>
    <w:multiLevelType w:val="singleLevel"/>
    <w:tmpl w:val="4FFCFFB4"/>
    <w:lvl w:ilvl="0" w:tentative="0">
      <w:start w:val="1"/>
      <w:numFmt w:val="decimal"/>
      <w:lvlText w:val="%1)"/>
      <w:lvlJc w:val="left"/>
      <w:pPr>
        <w:ind w:left="845" w:hanging="425"/>
      </w:pPr>
      <w:rPr>
        <w:rFonts w:hint="default"/>
      </w:rPr>
    </w:lvl>
  </w:abstractNum>
  <w:abstractNum w:abstractNumId="23">
    <w:nsid w:val="5164EDCE"/>
    <w:multiLevelType w:val="singleLevel"/>
    <w:tmpl w:val="5164EDCE"/>
    <w:lvl w:ilvl="0" w:tentative="0">
      <w:start w:val="1"/>
      <w:numFmt w:val="decimal"/>
      <w:lvlText w:val="(%1)"/>
      <w:lvlJc w:val="left"/>
      <w:pPr>
        <w:tabs>
          <w:tab w:val="left" w:pos="420"/>
        </w:tabs>
        <w:ind w:left="845" w:hanging="425"/>
      </w:pPr>
      <w:rPr>
        <w:rFonts w:hint="default"/>
      </w:rPr>
    </w:lvl>
  </w:abstractNum>
  <w:abstractNum w:abstractNumId="24">
    <w:nsid w:val="634D3879"/>
    <w:multiLevelType w:val="singleLevel"/>
    <w:tmpl w:val="634D3879"/>
    <w:lvl w:ilvl="0" w:tentative="0">
      <w:start w:val="1"/>
      <w:numFmt w:val="decimal"/>
      <w:lvlText w:val="(%1)"/>
      <w:lvlJc w:val="left"/>
      <w:pPr>
        <w:tabs>
          <w:tab w:val="left" w:pos="420"/>
        </w:tabs>
        <w:ind w:left="845" w:hanging="425"/>
      </w:pPr>
      <w:rPr>
        <w:rFonts w:hint="default"/>
      </w:rPr>
    </w:lvl>
  </w:abstractNum>
  <w:abstractNum w:abstractNumId="25">
    <w:nsid w:val="67B69A3C"/>
    <w:multiLevelType w:val="singleLevel"/>
    <w:tmpl w:val="67B69A3C"/>
    <w:lvl w:ilvl="0" w:tentative="0">
      <w:start w:val="1"/>
      <w:numFmt w:val="chineseCounting"/>
      <w:suff w:val="nothing"/>
      <w:lvlText w:val="（%1）"/>
      <w:lvlJc w:val="left"/>
      <w:pPr>
        <w:ind w:left="0" w:firstLine="420"/>
      </w:pPr>
      <w:rPr>
        <w:rFonts w:hint="eastAsia"/>
      </w:rPr>
    </w:lvl>
  </w:abstractNum>
  <w:num w:numId="1">
    <w:abstractNumId w:val="19"/>
  </w:num>
  <w:num w:numId="2">
    <w:abstractNumId w:val="17"/>
  </w:num>
  <w:num w:numId="3">
    <w:abstractNumId w:val="15"/>
  </w:num>
  <w:num w:numId="4">
    <w:abstractNumId w:val="22"/>
  </w:num>
  <w:num w:numId="5">
    <w:abstractNumId w:val="2"/>
  </w:num>
  <w:num w:numId="6">
    <w:abstractNumId w:val="1"/>
  </w:num>
  <w:num w:numId="7">
    <w:abstractNumId w:val="25"/>
  </w:num>
  <w:num w:numId="8">
    <w:abstractNumId w:val="4"/>
  </w:num>
  <w:num w:numId="9">
    <w:abstractNumId w:val="24"/>
  </w:num>
  <w:num w:numId="10">
    <w:abstractNumId w:val="21"/>
  </w:num>
  <w:num w:numId="11">
    <w:abstractNumId w:val="8"/>
  </w:num>
  <w:num w:numId="12">
    <w:abstractNumId w:val="12"/>
  </w:num>
  <w:num w:numId="13">
    <w:abstractNumId w:val="16"/>
  </w:num>
  <w:num w:numId="14">
    <w:abstractNumId w:val="7"/>
  </w:num>
  <w:num w:numId="15">
    <w:abstractNumId w:val="14"/>
  </w:num>
  <w:num w:numId="16">
    <w:abstractNumId w:val="0"/>
  </w:num>
  <w:num w:numId="17">
    <w:abstractNumId w:val="23"/>
  </w:num>
  <w:num w:numId="18">
    <w:abstractNumId w:val="3"/>
  </w:num>
  <w:num w:numId="19">
    <w:abstractNumId w:val="6"/>
  </w:num>
  <w:num w:numId="20">
    <w:abstractNumId w:val="13"/>
  </w:num>
  <w:num w:numId="21">
    <w:abstractNumId w:val="18"/>
  </w:num>
  <w:num w:numId="22">
    <w:abstractNumId w:val="20"/>
  </w:num>
  <w:num w:numId="23">
    <w:abstractNumId w:val="9"/>
  </w:num>
  <w:num w:numId="24">
    <w:abstractNumId w:val="5"/>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8DF"/>
    <w:rsid w:val="004E7C38"/>
    <w:rsid w:val="00711EB2"/>
    <w:rsid w:val="00E438DF"/>
    <w:rsid w:val="04C8619F"/>
    <w:rsid w:val="061D1AA3"/>
    <w:rsid w:val="069E1AE1"/>
    <w:rsid w:val="06F9386E"/>
    <w:rsid w:val="077F5458"/>
    <w:rsid w:val="08865808"/>
    <w:rsid w:val="089B5E5F"/>
    <w:rsid w:val="08B7180C"/>
    <w:rsid w:val="0B2E6C2C"/>
    <w:rsid w:val="0C085C19"/>
    <w:rsid w:val="0DAB3EEE"/>
    <w:rsid w:val="0F7E51B0"/>
    <w:rsid w:val="0FFD2DFD"/>
    <w:rsid w:val="12B94A0A"/>
    <w:rsid w:val="139421EA"/>
    <w:rsid w:val="145E4ABF"/>
    <w:rsid w:val="14A76494"/>
    <w:rsid w:val="14D205DF"/>
    <w:rsid w:val="15006C2F"/>
    <w:rsid w:val="153A4DC6"/>
    <w:rsid w:val="15743BC1"/>
    <w:rsid w:val="18950809"/>
    <w:rsid w:val="1ACB35B7"/>
    <w:rsid w:val="1AD86198"/>
    <w:rsid w:val="1ADB0A52"/>
    <w:rsid w:val="1BAF4D97"/>
    <w:rsid w:val="1D5D231E"/>
    <w:rsid w:val="1E1F342A"/>
    <w:rsid w:val="1F1F1371"/>
    <w:rsid w:val="23E439E6"/>
    <w:rsid w:val="24640682"/>
    <w:rsid w:val="282C66F4"/>
    <w:rsid w:val="29475FC4"/>
    <w:rsid w:val="2B691906"/>
    <w:rsid w:val="2D8A00A3"/>
    <w:rsid w:val="2DFF35F0"/>
    <w:rsid w:val="2E0607C2"/>
    <w:rsid w:val="30055122"/>
    <w:rsid w:val="302E0850"/>
    <w:rsid w:val="30C02F06"/>
    <w:rsid w:val="364A78CC"/>
    <w:rsid w:val="36D61BDE"/>
    <w:rsid w:val="37751966"/>
    <w:rsid w:val="37A531E8"/>
    <w:rsid w:val="37DC30DD"/>
    <w:rsid w:val="380D506D"/>
    <w:rsid w:val="38FB6F08"/>
    <w:rsid w:val="39155E8A"/>
    <w:rsid w:val="399817A5"/>
    <w:rsid w:val="3B9407F8"/>
    <w:rsid w:val="3BAE7548"/>
    <w:rsid w:val="3C134F1C"/>
    <w:rsid w:val="3CA16572"/>
    <w:rsid w:val="3E450BB7"/>
    <w:rsid w:val="3EC775E4"/>
    <w:rsid w:val="3EDF3291"/>
    <w:rsid w:val="3FDE6384"/>
    <w:rsid w:val="41CE3089"/>
    <w:rsid w:val="431355B0"/>
    <w:rsid w:val="44027851"/>
    <w:rsid w:val="44F758FE"/>
    <w:rsid w:val="45771F97"/>
    <w:rsid w:val="465A7B8A"/>
    <w:rsid w:val="47A960ED"/>
    <w:rsid w:val="4B6F47EC"/>
    <w:rsid w:val="4BBD5BE3"/>
    <w:rsid w:val="4D401BAE"/>
    <w:rsid w:val="50830AE4"/>
    <w:rsid w:val="51D50F48"/>
    <w:rsid w:val="523320E9"/>
    <w:rsid w:val="54E331EE"/>
    <w:rsid w:val="56E00193"/>
    <w:rsid w:val="5AB36E4A"/>
    <w:rsid w:val="5D106AB4"/>
    <w:rsid w:val="5DEC718D"/>
    <w:rsid w:val="5DF15CEE"/>
    <w:rsid w:val="5E144045"/>
    <w:rsid w:val="5F781B3A"/>
    <w:rsid w:val="606878DE"/>
    <w:rsid w:val="61DC2B1A"/>
    <w:rsid w:val="68860672"/>
    <w:rsid w:val="698F5C92"/>
    <w:rsid w:val="6AE843DE"/>
    <w:rsid w:val="6D325B97"/>
    <w:rsid w:val="6D8849DD"/>
    <w:rsid w:val="6E6A4202"/>
    <w:rsid w:val="6F9C563E"/>
    <w:rsid w:val="6FF22BF1"/>
    <w:rsid w:val="70393283"/>
    <w:rsid w:val="709F3D2E"/>
    <w:rsid w:val="73A51E12"/>
    <w:rsid w:val="741F79DE"/>
    <w:rsid w:val="75FA55E8"/>
    <w:rsid w:val="780A7630"/>
    <w:rsid w:val="782F6529"/>
    <w:rsid w:val="78BF51F4"/>
    <w:rsid w:val="7E490CD3"/>
    <w:rsid w:val="7E8902BC"/>
    <w:rsid w:val="7EB52A72"/>
    <w:rsid w:val="7FD92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7">
    <w:name w:val="heading 2"/>
    <w:basedOn w:val="1"/>
    <w:next w:val="1"/>
    <w:link w:val="20"/>
    <w:qFormat/>
    <w:uiPriority w:val="1"/>
    <w:pPr>
      <w:spacing w:line="479" w:lineRule="exact"/>
      <w:jc w:val="left"/>
      <w:outlineLvl w:val="1"/>
    </w:pPr>
    <w:rPr>
      <w:rFonts w:ascii="Microsoft YaHei UI" w:hAnsi="Microsoft YaHei UI" w:eastAsia="Microsoft YaHei UI"/>
      <w:spacing w:val="2"/>
      <w:kern w:val="0"/>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spacing w:after="120"/>
      <w:ind w:left="200" w:leftChars="200" w:firstLine="200" w:firstLineChars="200"/>
    </w:pPr>
    <w:rPr>
      <w:rFonts w:ascii="Calibri" w:hAnsi="Calibri" w:eastAsia="宋体" w:cs="Times New Roman"/>
      <w:sz w:val="21"/>
    </w:rPr>
  </w:style>
  <w:style w:type="paragraph" w:styleId="3">
    <w:name w:val="Body Text Indent"/>
    <w:basedOn w:val="1"/>
    <w:next w:val="4"/>
    <w:qFormat/>
    <w:uiPriority w:val="0"/>
    <w:pPr>
      <w:spacing w:line="360" w:lineRule="auto"/>
      <w:ind w:firstLine="556"/>
    </w:pPr>
    <w:rPr>
      <w:rFonts w:eastAsia="仿宋_GB2312"/>
      <w:color w:val="993366"/>
      <w:sz w:val="28"/>
    </w:rPr>
  </w:style>
  <w:style w:type="paragraph" w:styleId="4">
    <w:name w:val="envelope return"/>
    <w:basedOn w:val="1"/>
    <w:qFormat/>
    <w:uiPriority w:val="0"/>
    <w:pPr>
      <w:snapToGrid w:val="0"/>
    </w:pPr>
    <w:rPr>
      <w:rFonts w:ascii="Arial" w:hAnsi="Arial" w:eastAsia="等线" w:cs="等线"/>
    </w:rPr>
  </w:style>
  <w:style w:type="paragraph" w:styleId="5">
    <w:name w:val="Body Text First Indent"/>
    <w:basedOn w:val="6"/>
    <w:next w:val="1"/>
    <w:qFormat/>
    <w:uiPriority w:val="0"/>
    <w:pPr>
      <w:widowControl/>
      <w:spacing w:after="120" w:line="360" w:lineRule="auto"/>
      <w:ind w:left="420" w:firstLine="5796"/>
    </w:pPr>
  </w:style>
  <w:style w:type="paragraph" w:styleId="6">
    <w:name w:val="Body Text"/>
    <w:basedOn w:val="1"/>
    <w:next w:val="1"/>
    <w:link w:val="21"/>
    <w:qFormat/>
    <w:uiPriority w:val="1"/>
    <w:pPr>
      <w:ind w:firstLine="200" w:firstLineChars="200"/>
    </w:pPr>
    <w:rPr>
      <w:rFonts w:ascii="Microsoft YaHei UI" w:hAnsi="Microsoft YaHei UI" w:eastAsia="Microsoft YaHei UI"/>
      <w:kern w:val="0"/>
      <w:szCs w:val="21"/>
      <w:lang w:eastAsia="en-US"/>
    </w:rPr>
  </w:style>
  <w:style w:type="paragraph" w:styleId="8">
    <w:name w:val="Normal Indent"/>
    <w:basedOn w:val="1"/>
    <w:qFormat/>
    <w:uiPriority w:val="0"/>
    <w:pPr>
      <w:tabs>
        <w:tab w:val="left" w:pos="1040"/>
      </w:tabs>
      <w:adjustRightInd w:val="0"/>
      <w:snapToGrid w:val="0"/>
      <w:spacing w:before="80" w:after="80" w:line="288" w:lineRule="auto"/>
      <w:ind w:firstLine="420"/>
    </w:pPr>
    <w:rPr>
      <w:rFonts w:ascii="Univers" w:hAnsi="Univers" w:cs="Times New Roman"/>
      <w:sz w:val="24"/>
      <w:szCs w:val="20"/>
    </w:rPr>
  </w:style>
  <w:style w:type="paragraph" w:styleId="9">
    <w:name w:val="annotation text"/>
    <w:basedOn w:val="1"/>
    <w:semiHidden/>
    <w:unhideWhenUsed/>
    <w:qFormat/>
    <w:uiPriority w:val="99"/>
    <w:pPr>
      <w:jc w:val="left"/>
    </w:pPr>
  </w:style>
  <w:style w:type="paragraph" w:styleId="10">
    <w:name w:val="toc 3"/>
    <w:basedOn w:val="1"/>
    <w:next w:val="1"/>
    <w:unhideWhenUsed/>
    <w:qFormat/>
    <w:uiPriority w:val="39"/>
    <w:pPr>
      <w:widowControl/>
      <w:spacing w:after="100" w:line="259" w:lineRule="auto"/>
      <w:ind w:left="440"/>
      <w:jc w:val="left"/>
    </w:pPr>
    <w:rPr>
      <w:rFonts w:cs="Times New Roman"/>
      <w:kern w:val="0"/>
      <w:sz w:val="22"/>
    </w:rPr>
  </w:style>
  <w:style w:type="paragraph" w:styleId="11">
    <w:name w:val="Body Text Indent 2"/>
    <w:basedOn w:val="1"/>
    <w:next w:val="2"/>
    <w:qFormat/>
    <w:uiPriority w:val="0"/>
    <w:pPr>
      <w:spacing w:after="120" w:line="480" w:lineRule="auto"/>
      <w:ind w:left="420" w:leftChars="200"/>
    </w:pPr>
    <w:rPr>
      <w:sz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semiHidden/>
    <w:unhideWhenUsed/>
    <w:qFormat/>
    <w:uiPriority w:val="99"/>
    <w:rPr>
      <w:color w:val="0000FF"/>
      <w:u w:val="single"/>
    </w:rPr>
  </w:style>
  <w:style w:type="paragraph" w:customStyle="1" w:styleId="18">
    <w:name w:val="WPSOffice手动目录 1"/>
    <w:qFormat/>
    <w:uiPriority w:val="0"/>
    <w:rPr>
      <w:rFonts w:ascii="等线" w:hAnsi="等线" w:eastAsia="等线" w:cs="Times New Roman"/>
      <w:lang w:val="en-US" w:eastAsia="zh-CN" w:bidi="ar-SA"/>
    </w:rPr>
  </w:style>
  <w:style w:type="paragraph" w:customStyle="1" w:styleId="19">
    <w:name w:val="正文格式"/>
    <w:basedOn w:val="1"/>
    <w:qFormat/>
    <w:uiPriority w:val="0"/>
    <w:pPr>
      <w:adjustRightInd w:val="0"/>
      <w:snapToGrid w:val="0"/>
      <w:spacing w:line="400" w:lineRule="atLeast"/>
      <w:ind w:firstLine="482"/>
      <w:textAlignment w:val="baseline"/>
    </w:pPr>
    <w:rPr>
      <w:sz w:val="24"/>
    </w:rPr>
  </w:style>
  <w:style w:type="character" w:customStyle="1" w:styleId="20">
    <w:name w:val="标题 2 字符"/>
    <w:basedOn w:val="16"/>
    <w:link w:val="7"/>
    <w:qFormat/>
    <w:uiPriority w:val="1"/>
    <w:rPr>
      <w:rFonts w:ascii="Microsoft YaHei UI" w:hAnsi="Microsoft YaHei UI" w:eastAsia="Microsoft YaHei UI"/>
      <w:spacing w:val="2"/>
      <w:kern w:val="0"/>
      <w:sz w:val="32"/>
      <w:szCs w:val="32"/>
    </w:rPr>
  </w:style>
  <w:style w:type="character" w:customStyle="1" w:styleId="21">
    <w:name w:val="正文文本 字符"/>
    <w:basedOn w:val="16"/>
    <w:link w:val="6"/>
    <w:qFormat/>
    <w:uiPriority w:val="1"/>
    <w:rPr>
      <w:rFonts w:ascii="Microsoft YaHei UI" w:hAnsi="Microsoft YaHei UI" w:eastAsia="Microsoft YaHei UI"/>
      <w:kern w:val="0"/>
      <w:szCs w:val="21"/>
      <w:lang w:eastAsia="en-US"/>
    </w:r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23">
    <w:name w:val="List Paragraph"/>
    <w:basedOn w:val="1"/>
    <w:qFormat/>
    <w:uiPriority w:val="1"/>
    <w:pPr>
      <w:spacing w:before="57"/>
      <w:ind w:left="1198" w:hanging="481"/>
    </w:pPr>
    <w:rPr>
      <w:rFonts w:ascii="宋体" w:hAnsi="宋体" w:eastAsia="宋体" w:cs="宋体"/>
      <w:lang w:val="zh-CN" w:eastAsia="zh-CN" w:bidi="zh-CN"/>
    </w:rPr>
  </w:style>
  <w:style w:type="paragraph" w:customStyle="1" w:styleId="24">
    <w:name w:val="默认段落字体 Para Char"/>
    <w:basedOn w:val="1"/>
    <w:qFormat/>
    <w:uiPriority w:val="0"/>
    <w:pPr>
      <w:spacing w:before="80" w:after="80" w:line="360" w:lineRule="auto"/>
    </w:pPr>
    <w:rPr>
      <w:sz w:val="24"/>
    </w:rPr>
  </w:style>
  <w:style w:type="character" w:customStyle="1" w:styleId="25">
    <w:name w:val="font91"/>
    <w:basedOn w:val="16"/>
    <w:qFormat/>
    <w:uiPriority w:val="0"/>
    <w:rPr>
      <w:rFonts w:hint="default" w:ascii="Times New Roman" w:hAnsi="Times New Roman" w:cs="Times New Roman"/>
      <w:color w:val="000000"/>
      <w:sz w:val="18"/>
      <w:szCs w:val="18"/>
      <w:u w:val="none"/>
    </w:rPr>
  </w:style>
  <w:style w:type="character" w:customStyle="1" w:styleId="26">
    <w:name w:val="font101"/>
    <w:basedOn w:val="16"/>
    <w:qFormat/>
    <w:uiPriority w:val="0"/>
    <w:rPr>
      <w:rFonts w:hint="eastAsia" w:ascii="宋体" w:hAnsi="宋体" w:eastAsia="宋体" w:cs="宋体"/>
      <w:color w:val="000000"/>
      <w:sz w:val="18"/>
      <w:szCs w:val="18"/>
      <w:u w:val="none"/>
    </w:rPr>
  </w:style>
  <w:style w:type="character" w:customStyle="1" w:styleId="27">
    <w:name w:val="font71"/>
    <w:basedOn w:val="16"/>
    <w:qFormat/>
    <w:uiPriority w:val="0"/>
    <w:rPr>
      <w:rFonts w:hint="eastAsia" w:ascii="黑体" w:hAnsi="宋体" w:eastAsia="黑体" w:cs="黑体"/>
      <w:color w:val="000000"/>
      <w:sz w:val="20"/>
      <w:szCs w:val="20"/>
      <w:u w:val="none"/>
    </w:rPr>
  </w:style>
  <w:style w:type="character" w:customStyle="1" w:styleId="28">
    <w:name w:val="font41"/>
    <w:basedOn w:val="16"/>
    <w:qFormat/>
    <w:uiPriority w:val="0"/>
    <w:rPr>
      <w:rFonts w:hint="eastAsia" w:ascii="宋体" w:hAnsi="宋体" w:eastAsia="宋体" w:cs="宋体"/>
      <w:color w:val="000000"/>
      <w:sz w:val="20"/>
      <w:szCs w:val="20"/>
      <w:u w:val="none"/>
      <w:vertAlign w:val="superscript"/>
    </w:rPr>
  </w:style>
  <w:style w:type="table" w:customStyle="1" w:styleId="29">
    <w:name w:val="Table Grid_1"/>
    <w:basedOn w:val="14"/>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0">
    <w:name w:val="font0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161</Words>
  <Characters>923</Characters>
  <Lines>7</Lines>
  <Paragraphs>2</Paragraphs>
  <TotalTime>2</TotalTime>
  <ScaleCrop>false</ScaleCrop>
  <LinksUpToDate>false</LinksUpToDate>
  <CharactersWithSpaces>1082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2020-03-24T00:14:00Z</dcterms:created>
  <dc:creator>王勇</dc:creator>
  <cp:lastModifiedBy>zhangjg35</cp:lastModifiedBy>
  <cp:lastPrinted>2025-08-06T02:06:00Z</cp:lastPrinted>
  <dcterms:modified xsi:type="dcterms:W3CDTF">2025-09-24T07:19:28Z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38E5E85F7AFA42A4BC12B319BAB220B5</vt:lpwstr>
  </property>
</Properties>
</file>