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4F699">
      <w:pPr>
        <w:spacing w:line="440" w:lineRule="exact"/>
        <w:ind w:firstLine="560" w:firstLineChars="200"/>
        <w:jc w:val="center"/>
        <w:rPr>
          <w:rFonts w:hint="eastAsia" w:eastAsia="宋体" w:cs="宋体"/>
          <w:sz w:val="28"/>
          <w:szCs w:val="28"/>
          <w:lang w:eastAsia="zh-CN"/>
        </w:rPr>
      </w:pPr>
      <w:r>
        <w:rPr>
          <w:rFonts w:hint="eastAsia" w:eastAsia="宋体" w:cs="宋体"/>
          <w:sz w:val="28"/>
          <w:szCs w:val="28"/>
          <w:lang w:val="en-US" w:eastAsia="zh-CN"/>
        </w:rPr>
        <w:t xml:space="preserve">中缅天然气管道K278+281m、K163+186m2处 </w:t>
      </w:r>
    </w:p>
    <w:p w14:paraId="7B0180AF">
      <w:pPr>
        <w:spacing w:line="440" w:lineRule="exact"/>
        <w:ind w:firstLine="560" w:firstLineChars="200"/>
        <w:jc w:val="center"/>
        <w:rPr>
          <w:rFonts w:hint="eastAsia" w:ascii="宋体" w:hAnsi="宋体" w:eastAsia="宋体" w:cs="宋体"/>
          <w:sz w:val="28"/>
          <w:szCs w:val="28"/>
        </w:rPr>
      </w:pPr>
      <w:r>
        <w:rPr>
          <w:rFonts w:hint="eastAsia" w:eastAsia="宋体" w:cs="宋体"/>
          <w:sz w:val="28"/>
          <w:szCs w:val="28"/>
          <w:lang w:val="en-US" w:eastAsia="zh-CN"/>
        </w:rPr>
        <w:t>裂纹焊缝换管修复工程注氮服务项目</w:t>
      </w:r>
      <w:r>
        <w:rPr>
          <w:rFonts w:hint="eastAsia" w:ascii="宋体" w:hAnsi="宋体" w:eastAsia="宋体" w:cs="宋体"/>
          <w:sz w:val="28"/>
          <w:szCs w:val="28"/>
        </w:rPr>
        <w:t>中标候选人公示</w:t>
      </w:r>
    </w:p>
    <w:p w14:paraId="7EAB21C8">
      <w:pPr>
        <w:spacing w:line="360" w:lineRule="auto"/>
        <w:ind w:firstLine="548" w:firstLineChars="196"/>
        <w:jc w:val="center"/>
        <w:outlineLvl w:val="0"/>
        <w:rPr>
          <w:rFonts w:hint="eastAsia" w:ascii="宋体" w:hAnsi="宋体" w:eastAsia="宋体" w:cs="宋体"/>
          <w:sz w:val="28"/>
          <w:szCs w:val="28"/>
          <w:lang w:eastAsia="zh-CN"/>
        </w:rPr>
      </w:pPr>
      <w:r>
        <w:rPr>
          <w:rFonts w:hint="eastAsia" w:ascii="宋体" w:hAnsi="宋体" w:eastAsia="宋体" w:cs="宋体"/>
          <w:sz w:val="28"/>
          <w:szCs w:val="28"/>
        </w:rPr>
        <w:t>招标编号：</w:t>
      </w:r>
      <w:r>
        <w:rPr>
          <w:rFonts w:hint="eastAsia" w:ascii="宋体" w:hAnsi="宋体" w:eastAsia="宋体" w:cs="宋体"/>
          <w:sz w:val="28"/>
          <w:szCs w:val="28"/>
          <w:lang w:val="en-US" w:eastAsia="zh-CN"/>
        </w:rPr>
        <w:t xml:space="preserve">ZY26-XN533-FW0671-01  </w:t>
      </w:r>
    </w:p>
    <w:p w14:paraId="6F638B9C">
      <w:pPr>
        <w:spacing w:line="360" w:lineRule="auto"/>
        <w:ind w:firstLine="548" w:firstLineChars="196"/>
        <w:jc w:val="center"/>
        <w:outlineLvl w:val="0"/>
        <w:rPr>
          <w:rFonts w:hint="eastAsia" w:ascii="宋体" w:hAnsi="宋体" w:eastAsia="宋体" w:cs="宋体"/>
          <w:sz w:val="28"/>
          <w:szCs w:val="28"/>
        </w:rPr>
      </w:pPr>
    </w:p>
    <w:p w14:paraId="78882691">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一、基本情况</w:t>
      </w:r>
    </w:p>
    <w:p w14:paraId="427E61FA">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本项目招标内容包括：</w:t>
      </w:r>
      <w:r>
        <w:rPr>
          <w:rFonts w:hint="eastAsia" w:ascii="宋体" w:hAnsi="宋体" w:eastAsia="宋体" w:cs="宋体"/>
          <w:sz w:val="28"/>
          <w:szCs w:val="28"/>
          <w:u w:val="single"/>
          <w:lang w:val="en-US" w:eastAsia="zh-CN"/>
        </w:rPr>
        <w:t>对中缅天然气管道K278+281m、K163+186m2处裂纹焊缝换管修复工程注氮服务项目</w:t>
      </w:r>
      <w:r>
        <w:rPr>
          <w:rFonts w:hint="eastAsia" w:ascii="宋体" w:hAnsi="宋体" w:eastAsia="宋体" w:cs="宋体"/>
          <w:sz w:val="28"/>
          <w:szCs w:val="28"/>
        </w:rPr>
        <w:t>，资金已落实。该项目已按要求履行了相关报批及备案等手续，并依据国家相关法律法规及集团公司相关规定组织开展招标活动，本项目采用</w:t>
      </w:r>
      <w:r>
        <w:rPr>
          <w:rFonts w:hint="eastAsia" w:ascii="宋体" w:hAnsi="宋体" w:eastAsia="宋体" w:cs="宋体"/>
          <w:sz w:val="28"/>
          <w:szCs w:val="28"/>
          <w:u w:val="single"/>
        </w:rPr>
        <w:t xml:space="preserve"> 公开招标</w:t>
      </w:r>
      <w:r>
        <w:rPr>
          <w:rFonts w:hint="eastAsia" w:ascii="宋体" w:hAnsi="宋体" w:eastAsia="宋体" w:cs="宋体"/>
          <w:sz w:val="28"/>
          <w:szCs w:val="28"/>
        </w:rPr>
        <w:t>方式。</w:t>
      </w:r>
    </w:p>
    <w:p w14:paraId="23AC3648">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二、投标及开标情况</w:t>
      </w:r>
    </w:p>
    <w:p w14:paraId="1F31A0C7">
      <w:pPr>
        <w:keepNext w:val="0"/>
        <w:keepLines w:val="0"/>
        <w:pageBreakBefore w:val="0"/>
        <w:kinsoku/>
        <w:wordWrap/>
        <w:overflowPunct/>
        <w:topLinePunct w:val="0"/>
        <w:autoSpaceDE/>
        <w:autoSpaceDN/>
        <w:bidi w:val="0"/>
        <w:adjustRightInd/>
        <w:snapToGrid w:val="0"/>
        <w:spacing w:beforeLines="50" w:afterLines="50" w:line="360" w:lineRule="auto"/>
        <w:ind w:left="141" w:leftChars="67" w:firstLine="420" w:firstLineChars="150"/>
        <w:jc w:val="left"/>
        <w:rPr>
          <w:rFonts w:hint="eastAsia" w:ascii="宋体" w:hAnsi="宋体" w:eastAsia="宋体" w:cs="宋体"/>
          <w:sz w:val="28"/>
          <w:szCs w:val="28"/>
          <w:lang w:val="en-US" w:eastAsia="zh-CN"/>
        </w:rPr>
      </w:pPr>
      <w:r>
        <w:rPr>
          <w:rFonts w:hint="eastAsia" w:ascii="宋体" w:hAnsi="宋体" w:eastAsia="宋体" w:cs="宋体"/>
          <w:sz w:val="28"/>
          <w:szCs w:val="28"/>
        </w:rPr>
        <w:t>○本次公开招标共有</w:t>
      </w:r>
      <w:r>
        <w:rPr>
          <w:rFonts w:hint="eastAsia" w:ascii="宋体" w:hAnsi="宋体" w:cs="宋体"/>
          <w:sz w:val="28"/>
          <w:szCs w:val="28"/>
          <w:u w:val="single"/>
          <w:lang w:val="en-US" w:eastAsia="zh-CN"/>
        </w:rPr>
        <w:t>5</w:t>
      </w:r>
      <w:r>
        <w:rPr>
          <w:rFonts w:hint="eastAsia" w:ascii="宋体" w:hAnsi="宋体" w:eastAsia="宋体" w:cs="宋体"/>
          <w:sz w:val="28"/>
          <w:szCs w:val="28"/>
        </w:rPr>
        <w:t>家购买招标文件，实际递交投标文件的</w:t>
      </w:r>
      <w:r>
        <w:rPr>
          <w:rFonts w:hint="eastAsia" w:ascii="宋体" w:hAnsi="宋体" w:cs="宋体"/>
          <w:sz w:val="28"/>
          <w:szCs w:val="28"/>
          <w:u w:val="single"/>
          <w:lang w:val="en-US" w:eastAsia="zh-CN"/>
        </w:rPr>
        <w:t>4</w:t>
      </w:r>
      <w:r>
        <w:rPr>
          <w:rFonts w:hint="eastAsia" w:ascii="宋体" w:hAnsi="宋体" w:eastAsia="宋体" w:cs="宋体"/>
          <w:sz w:val="28"/>
          <w:szCs w:val="28"/>
        </w:rPr>
        <w:t>家，未在投标截止时间递交投标文件的</w:t>
      </w:r>
      <w:r>
        <w:rPr>
          <w:rFonts w:hint="eastAsia" w:ascii="宋体" w:hAnsi="宋体" w:cs="宋体"/>
          <w:sz w:val="28"/>
          <w:szCs w:val="28"/>
          <w:u w:val="single"/>
          <w:lang w:val="en-US" w:eastAsia="zh-CN"/>
        </w:rPr>
        <w:t>1</w:t>
      </w:r>
      <w:r>
        <w:rPr>
          <w:rFonts w:hint="eastAsia" w:ascii="宋体" w:hAnsi="宋体" w:eastAsia="宋体" w:cs="宋体"/>
          <w:sz w:val="28"/>
          <w:szCs w:val="28"/>
        </w:rPr>
        <w:t>家</w:t>
      </w:r>
      <w:r>
        <w:rPr>
          <w:rFonts w:hint="eastAsia" w:ascii="宋体" w:hAnsi="宋体" w:eastAsia="宋体" w:cs="宋体"/>
          <w:sz w:val="28"/>
          <w:szCs w:val="28"/>
          <w:lang w:val="en-US" w:eastAsia="zh-CN"/>
        </w:rPr>
        <w:t>。</w:t>
      </w:r>
    </w:p>
    <w:p w14:paraId="6CBF481F">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三、评标情况</w:t>
      </w:r>
    </w:p>
    <w:p w14:paraId="74297EC5">
      <w:pPr>
        <w:keepNext w:val="0"/>
        <w:keepLines w:val="0"/>
        <w:pageBreakBefore w:val="0"/>
        <w:kinsoku/>
        <w:wordWrap/>
        <w:overflowPunct/>
        <w:topLinePunct w:val="0"/>
        <w:autoSpaceDE/>
        <w:autoSpaceDN/>
        <w:bidi w:val="0"/>
        <w:adjustRightInd/>
        <w:snapToGrid w:val="0"/>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本项目采用</w:t>
      </w:r>
      <w:r>
        <w:rPr>
          <w:rFonts w:hint="eastAsia" w:ascii="宋体" w:hAnsi="宋体" w:eastAsia="宋体" w:cs="宋体"/>
          <w:sz w:val="28"/>
          <w:szCs w:val="28"/>
          <w:u w:val="single"/>
        </w:rPr>
        <w:t xml:space="preserve"> 综合评估法 </w:t>
      </w:r>
      <w:r>
        <w:rPr>
          <w:rFonts w:hint="eastAsia" w:ascii="宋体" w:hAnsi="宋体" w:eastAsia="宋体" w:cs="宋体"/>
          <w:sz w:val="28"/>
          <w:szCs w:val="28"/>
        </w:rPr>
        <w:t>，具体评标方法、标准及程序详见招标文件。</w:t>
      </w:r>
    </w:p>
    <w:p w14:paraId="54C6DF6D">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按照本项目招标文件及相关补充文件规定，对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rPr>
        <w:t>家投标人的投标文件进行了初评，通过的</w:t>
      </w:r>
      <w:r>
        <w:rPr>
          <w:rFonts w:hint="eastAsia" w:ascii="宋体" w:hAnsi="宋体" w:cs="宋体"/>
          <w:sz w:val="28"/>
          <w:szCs w:val="28"/>
          <w:u w:val="single"/>
          <w:lang w:val="en-US" w:eastAsia="zh-CN"/>
        </w:rPr>
        <w:t>3</w:t>
      </w:r>
      <w:r>
        <w:rPr>
          <w:rFonts w:hint="eastAsia" w:ascii="宋体" w:hAnsi="宋体" w:eastAsia="宋体" w:cs="宋体"/>
          <w:sz w:val="28"/>
          <w:szCs w:val="28"/>
        </w:rPr>
        <w:t>家，未通过的</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w:t>
      </w:r>
      <w:r>
        <w:rPr>
          <w:rFonts w:hint="eastAsia" w:ascii="宋体" w:hAnsi="宋体" w:eastAsia="宋体" w:cs="宋体"/>
          <w:sz w:val="28"/>
          <w:szCs w:val="28"/>
        </w:rPr>
        <w:t>家。</w:t>
      </w:r>
    </w:p>
    <w:p w14:paraId="4296FAC2">
      <w:pPr>
        <w:keepNext w:val="0"/>
        <w:keepLines w:val="0"/>
        <w:pageBreakBefore w:val="0"/>
        <w:kinsoku/>
        <w:wordWrap/>
        <w:overflowPunct/>
        <w:topLinePunct w:val="0"/>
        <w:autoSpaceDE/>
        <w:autoSpaceDN/>
        <w:bidi w:val="0"/>
        <w:adjustRightInd/>
        <w:snapToGrid w:val="0"/>
        <w:spacing w:beforeLines="50" w:afterLines="50" w:line="360" w:lineRule="auto"/>
        <w:ind w:firstLine="562" w:firstLineChars="200"/>
        <w:jc w:val="left"/>
        <w:rPr>
          <w:rFonts w:hint="eastAsia" w:ascii="宋体" w:hAnsi="宋体" w:cs="宋体"/>
          <w:sz w:val="28"/>
          <w:szCs w:val="28"/>
          <w:lang w:val="en-US" w:eastAsia="zh-CN"/>
        </w:rPr>
      </w:pPr>
      <w:r>
        <w:rPr>
          <w:rFonts w:hint="eastAsia" w:ascii="宋体" w:hAnsi="宋体" w:cs="宋体"/>
          <w:b/>
          <w:bCs/>
          <w:sz w:val="28"/>
          <w:szCs w:val="28"/>
          <w:lang w:val="en-US" w:eastAsia="zh-CN"/>
        </w:rPr>
        <w:t>四、否决情况</w:t>
      </w:r>
    </w:p>
    <w:p w14:paraId="4CA64560">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四川华海天成建设工程有限公司：因未按照招标文件中投标文件格式要求提供（四）正在实施和新承接的项目情况表；初步评审不通过,否决其投标。</w:t>
      </w:r>
    </w:p>
    <w:p w14:paraId="36DAD01D">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cs="宋体"/>
          <w:b/>
          <w:bCs/>
          <w:sz w:val="28"/>
          <w:szCs w:val="28"/>
          <w:lang w:val="en-US" w:eastAsia="zh-CN"/>
        </w:rPr>
        <w:t>五</w:t>
      </w:r>
      <w:r>
        <w:rPr>
          <w:rFonts w:hint="eastAsia" w:ascii="宋体" w:hAnsi="宋体" w:eastAsia="宋体" w:cs="宋体"/>
          <w:b/>
          <w:bCs/>
          <w:sz w:val="28"/>
          <w:szCs w:val="28"/>
        </w:rPr>
        <w:t>、评标委员会推荐的中标候选人情况</w:t>
      </w:r>
    </w:p>
    <w:tbl>
      <w:tblPr>
        <w:tblStyle w:val="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5"/>
        <w:gridCol w:w="1721"/>
        <w:gridCol w:w="1704"/>
        <w:gridCol w:w="2854"/>
        <w:gridCol w:w="1095"/>
      </w:tblGrid>
      <w:tr w14:paraId="6E0ED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vAlign w:val="center"/>
          </w:tcPr>
          <w:p w14:paraId="31D9D682">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排</w:t>
            </w:r>
            <w:r>
              <w:rPr>
                <w:rFonts w:hint="eastAsia" w:ascii="宋体" w:hAnsi="宋体" w:cs="宋体"/>
                <w:b/>
                <w:bCs/>
                <w:color w:val="000000"/>
                <w:sz w:val="21"/>
                <w:szCs w:val="21"/>
                <w:lang w:val="en-US" w:eastAsia="zh-CN"/>
              </w:rPr>
              <w:t>序</w:t>
            </w:r>
          </w:p>
        </w:tc>
        <w:tc>
          <w:tcPr>
            <w:tcW w:w="1010" w:type="pct"/>
            <w:vAlign w:val="center"/>
          </w:tcPr>
          <w:p w14:paraId="2ABB5EE9">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投标人名称</w:t>
            </w:r>
          </w:p>
        </w:tc>
        <w:tc>
          <w:tcPr>
            <w:tcW w:w="1000" w:type="pct"/>
            <w:vAlign w:val="center"/>
          </w:tcPr>
          <w:p w14:paraId="75F0EEC5">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cs="宋体"/>
                <w:b/>
                <w:bCs/>
                <w:color w:val="000000"/>
                <w:sz w:val="21"/>
                <w:szCs w:val="21"/>
                <w:lang w:val="en-US" w:eastAsia="zh-CN"/>
              </w:rPr>
              <w:t>服务</w:t>
            </w:r>
            <w:r>
              <w:rPr>
                <w:rFonts w:hint="eastAsia" w:ascii="宋体" w:hAnsi="宋体" w:eastAsia="宋体" w:cs="宋体"/>
                <w:b/>
                <w:bCs/>
                <w:color w:val="000000"/>
                <w:sz w:val="21"/>
                <w:szCs w:val="21"/>
              </w:rPr>
              <w:t>质量</w:t>
            </w:r>
          </w:p>
        </w:tc>
        <w:tc>
          <w:tcPr>
            <w:tcW w:w="1674" w:type="pct"/>
            <w:vAlign w:val="center"/>
          </w:tcPr>
          <w:p w14:paraId="3DA5383C">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服务周期</w:t>
            </w:r>
          </w:p>
        </w:tc>
        <w:tc>
          <w:tcPr>
            <w:tcW w:w="642" w:type="pct"/>
            <w:vAlign w:val="center"/>
          </w:tcPr>
          <w:p w14:paraId="64ADE88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资格能力条件</w:t>
            </w:r>
          </w:p>
        </w:tc>
      </w:tr>
      <w:tr w14:paraId="5D4EA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vAlign w:val="center"/>
          </w:tcPr>
          <w:p w14:paraId="7629DAEB">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第一中标候选人</w:t>
            </w:r>
          </w:p>
        </w:tc>
        <w:tc>
          <w:tcPr>
            <w:tcW w:w="1010" w:type="pct"/>
            <w:vAlign w:val="center"/>
          </w:tcPr>
          <w:p w14:paraId="1CBD5DC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0"/>
                <w:szCs w:val="20"/>
                <w:lang w:val="en-US" w:eastAsia="zh-CN" w:bidi="ar"/>
              </w:rPr>
              <w:t>四川郝斯特油气技术有限公司</w:t>
            </w:r>
            <w:r>
              <w:rPr>
                <w:rFonts w:hint="eastAsia" w:ascii="宋体" w:hAnsi="宋体" w:eastAsia="宋体" w:cs="宋体"/>
                <w:sz w:val="21"/>
                <w:szCs w:val="21"/>
                <w:lang w:val="en-US" w:eastAsia="zh-CN"/>
              </w:rPr>
              <w:t xml:space="preserve"> </w:t>
            </w:r>
          </w:p>
        </w:tc>
        <w:tc>
          <w:tcPr>
            <w:tcW w:w="1000" w:type="pct"/>
            <w:vAlign w:val="center"/>
          </w:tcPr>
          <w:p w14:paraId="4D41B5DA">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满足发包人要求</w:t>
            </w:r>
          </w:p>
        </w:tc>
        <w:tc>
          <w:tcPr>
            <w:tcW w:w="1674" w:type="pct"/>
            <w:vAlign w:val="center"/>
          </w:tcPr>
          <w:p w14:paraId="5EB1A446">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Cs w:val="21"/>
                <w:lang w:val="en-US" w:eastAsia="zh-CN"/>
              </w:rPr>
              <w:t>自合同签订之日起至2026年12月31日，具体以招标人通知为准。</w:t>
            </w:r>
          </w:p>
        </w:tc>
        <w:tc>
          <w:tcPr>
            <w:tcW w:w="642" w:type="pct"/>
            <w:vAlign w:val="center"/>
          </w:tcPr>
          <w:p w14:paraId="01D55271">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14:paraId="3B82E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vAlign w:val="center"/>
          </w:tcPr>
          <w:p w14:paraId="45413DB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第二中标候选人 </w:t>
            </w:r>
          </w:p>
        </w:tc>
        <w:tc>
          <w:tcPr>
            <w:tcW w:w="1010" w:type="pct"/>
            <w:vAlign w:val="center"/>
          </w:tcPr>
          <w:p w14:paraId="3461593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0"/>
                <w:szCs w:val="20"/>
                <w:lang w:val="en-US" w:eastAsia="zh-CN" w:bidi="ar"/>
              </w:rPr>
              <w:t>淄博建达油气技术服务有限公司</w:t>
            </w:r>
          </w:p>
        </w:tc>
        <w:tc>
          <w:tcPr>
            <w:tcW w:w="1000" w:type="pct"/>
            <w:vAlign w:val="center"/>
          </w:tcPr>
          <w:p w14:paraId="649516E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满足发包人要求</w:t>
            </w:r>
          </w:p>
        </w:tc>
        <w:tc>
          <w:tcPr>
            <w:tcW w:w="1674" w:type="pct"/>
            <w:vAlign w:val="center"/>
          </w:tcPr>
          <w:p w14:paraId="61C465DD">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Cs w:val="21"/>
                <w:lang w:val="en-US" w:eastAsia="zh-CN"/>
              </w:rPr>
              <w:t>自合同签订之日起至2026年12月31日，具体以招标人通知为准。</w:t>
            </w:r>
          </w:p>
        </w:tc>
        <w:tc>
          <w:tcPr>
            <w:tcW w:w="642" w:type="pct"/>
            <w:vAlign w:val="center"/>
          </w:tcPr>
          <w:p w14:paraId="2671A0F2">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合格</w:t>
            </w:r>
          </w:p>
        </w:tc>
      </w:tr>
      <w:tr w14:paraId="3F139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vAlign w:val="center"/>
          </w:tcPr>
          <w:p w14:paraId="284F77D2">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第三中标候选人</w:t>
            </w:r>
          </w:p>
        </w:tc>
        <w:tc>
          <w:tcPr>
            <w:tcW w:w="1010" w:type="pct"/>
            <w:vAlign w:val="center"/>
          </w:tcPr>
          <w:p w14:paraId="47E3A238">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color w:val="000000"/>
                <w:kern w:val="0"/>
                <w:sz w:val="20"/>
                <w:szCs w:val="20"/>
                <w:lang w:val="en-US" w:eastAsia="zh-CN" w:bidi="ar"/>
              </w:rPr>
              <w:t>河南丹海能源技术有限公司</w:t>
            </w:r>
          </w:p>
        </w:tc>
        <w:tc>
          <w:tcPr>
            <w:tcW w:w="1000" w:type="pct"/>
            <w:vAlign w:val="center"/>
          </w:tcPr>
          <w:p w14:paraId="4246E84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满足发包人要求</w:t>
            </w:r>
          </w:p>
        </w:tc>
        <w:tc>
          <w:tcPr>
            <w:tcW w:w="1674" w:type="pct"/>
            <w:vAlign w:val="center"/>
          </w:tcPr>
          <w:p w14:paraId="6EF89310">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szCs w:val="21"/>
                <w:lang w:val="en-US" w:eastAsia="zh-CN"/>
              </w:rPr>
              <w:t>自合同签订之日起至2026年12月31日，具体以招标人通知为准。</w:t>
            </w:r>
          </w:p>
        </w:tc>
        <w:tc>
          <w:tcPr>
            <w:tcW w:w="642" w:type="pct"/>
            <w:vAlign w:val="center"/>
          </w:tcPr>
          <w:p w14:paraId="4557DAE3">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bl>
    <w:p w14:paraId="6DCCB14A">
      <w:pPr>
        <w:keepNext w:val="0"/>
        <w:keepLines w:val="0"/>
        <w:pageBreakBefore w:val="0"/>
        <w:kinsoku/>
        <w:wordWrap/>
        <w:overflowPunct/>
        <w:topLinePunct w:val="0"/>
        <w:autoSpaceDE/>
        <w:autoSpaceDN/>
        <w:bidi w:val="0"/>
        <w:adjustRightInd/>
        <w:snapToGrid w:val="0"/>
        <w:spacing w:line="360" w:lineRule="auto"/>
        <w:ind w:firstLine="551" w:firstLineChars="196"/>
        <w:rPr>
          <w:rFonts w:hint="eastAsia" w:ascii="宋体" w:hAnsi="宋体" w:eastAsia="宋体" w:cs="宋体"/>
          <w:b/>
          <w:bCs/>
          <w:color w:val="000000"/>
          <w:sz w:val="28"/>
          <w:szCs w:val="28"/>
        </w:rPr>
      </w:pPr>
    </w:p>
    <w:p w14:paraId="74E91409">
      <w:pPr>
        <w:keepNext w:val="0"/>
        <w:keepLines w:val="0"/>
        <w:pageBreakBefore w:val="0"/>
        <w:kinsoku/>
        <w:wordWrap/>
        <w:overflowPunct/>
        <w:topLinePunct w:val="0"/>
        <w:autoSpaceDE/>
        <w:autoSpaceDN/>
        <w:bidi w:val="0"/>
        <w:adjustRightInd/>
        <w:snapToGrid w:val="0"/>
        <w:spacing w:line="360" w:lineRule="auto"/>
        <w:ind w:firstLine="551" w:firstLineChars="196"/>
        <w:outlineLvl w:val="0"/>
        <w:rPr>
          <w:rFonts w:hint="eastAsia" w:ascii="宋体" w:hAnsi="宋体" w:eastAsia="宋体" w:cs="宋体"/>
          <w:b/>
          <w:bCs/>
          <w:sz w:val="28"/>
          <w:szCs w:val="28"/>
        </w:rPr>
      </w:pPr>
      <w:r>
        <w:rPr>
          <w:rFonts w:hint="eastAsia" w:ascii="宋体" w:hAnsi="宋体" w:cs="宋体"/>
          <w:b/>
          <w:bCs/>
          <w:sz w:val="28"/>
          <w:szCs w:val="28"/>
          <w:lang w:val="en-US" w:eastAsia="zh-CN"/>
        </w:rPr>
        <w:t>六</w:t>
      </w:r>
      <w:r>
        <w:rPr>
          <w:rFonts w:hint="eastAsia" w:ascii="宋体" w:hAnsi="宋体" w:eastAsia="宋体" w:cs="宋体"/>
          <w:b/>
          <w:bCs/>
          <w:sz w:val="28"/>
          <w:szCs w:val="28"/>
        </w:rPr>
        <w:t>、提出异议的渠道和方式</w:t>
      </w:r>
    </w:p>
    <w:p w14:paraId="08DC89D1">
      <w:pPr>
        <w:keepNext w:val="0"/>
        <w:keepLines w:val="0"/>
        <w:pageBreakBefore w:val="0"/>
        <w:kinsoku/>
        <w:wordWrap/>
        <w:overflowPunct/>
        <w:topLinePunct w:val="0"/>
        <w:autoSpaceDE/>
        <w:autoSpaceDN/>
        <w:bidi w:val="0"/>
        <w:adjustRightInd/>
        <w:snapToGrid w:val="0"/>
        <w:spacing w:beforeLines="50" w:afterLines="50"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投标人或其他利害关系人对本招标项目的评标结果有异议的，投标人应当在中标候选人公示期间通过</w:t>
      </w:r>
      <w:r>
        <w:rPr>
          <w:rFonts w:hint="eastAsia" w:ascii="宋体" w:hAnsi="宋体" w:eastAsia="宋体" w:cs="宋体"/>
          <w:sz w:val="28"/>
          <w:szCs w:val="28"/>
          <w:lang w:val="en-US" w:eastAsia="zh-CN"/>
        </w:rPr>
        <w:t>国家管网数字供应链平台上</w:t>
      </w:r>
      <w:r>
        <w:rPr>
          <w:rFonts w:hint="eastAsia" w:ascii="宋体" w:hAnsi="宋体" w:eastAsia="宋体" w:cs="宋体"/>
          <w:sz w:val="28"/>
          <w:szCs w:val="28"/>
        </w:rPr>
        <w:t>（首次提出仅接受此方式提交的异议），其他利害关系人应当在中标候选人公示期间通过给受理邮箱发邮件的方式向招标代理</w:t>
      </w:r>
      <w:bookmarkStart w:id="0" w:name="_GoBack"/>
      <w:bookmarkEnd w:id="0"/>
      <w:r>
        <w:rPr>
          <w:rFonts w:hint="eastAsia" w:ascii="宋体" w:hAnsi="宋体" w:eastAsia="宋体" w:cs="宋体"/>
          <w:sz w:val="28"/>
          <w:szCs w:val="28"/>
        </w:rPr>
        <w:t>机构提出书面异议文件。</w:t>
      </w:r>
    </w:p>
    <w:p w14:paraId="5883B32F">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受理部门：</w:t>
      </w:r>
      <w:r>
        <w:rPr>
          <w:rFonts w:hint="eastAsia" w:ascii="宋体" w:hAnsi="宋体" w:eastAsia="宋体" w:cs="宋体"/>
          <w:sz w:val="28"/>
          <w:szCs w:val="28"/>
          <w:lang w:val="en-US" w:eastAsia="zh-CN"/>
        </w:rPr>
        <w:t>业务五部</w:t>
      </w:r>
    </w:p>
    <w:p w14:paraId="15C29C03">
      <w:pPr>
        <w:keepNext w:val="0"/>
        <w:keepLines w:val="0"/>
        <w:pageBreakBefore w:val="0"/>
        <w:kinsoku/>
        <w:wordWrap/>
        <w:overflowPunct/>
        <w:topLinePunct w:val="0"/>
        <w:autoSpaceDE/>
        <w:autoSpaceDN/>
        <w:bidi w:val="0"/>
        <w:adjustRightInd/>
        <w:snapToGrid w:val="0"/>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受理人：</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朱</w:t>
      </w:r>
      <w:r>
        <w:rPr>
          <w:rFonts w:hint="eastAsia" w:ascii="宋体" w:hAnsi="宋体" w:eastAsia="宋体" w:cs="宋体"/>
          <w:sz w:val="28"/>
          <w:szCs w:val="28"/>
          <w:lang w:val="en-US" w:eastAsia="zh-CN"/>
        </w:rPr>
        <w:t>女士</w:t>
      </w:r>
    </w:p>
    <w:p w14:paraId="1C30E849">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受理电话：</w:t>
      </w:r>
      <w:r>
        <w:rPr>
          <w:rFonts w:hint="eastAsia" w:ascii="宋体" w:hAnsi="宋体" w:cs="宋体"/>
          <w:sz w:val="28"/>
          <w:szCs w:val="28"/>
          <w:lang w:val="en-US" w:eastAsia="zh-CN"/>
        </w:rPr>
        <w:t>18468130997</w:t>
      </w: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none"/>
          <w:lang w:eastAsia="zh-CN"/>
        </w:rPr>
        <w:t>（接听时间：工作日8:30-11:30和13:30-17:00）</w:t>
      </w:r>
    </w:p>
    <w:p w14:paraId="63C172E5">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受理邮箱：</w:t>
      </w:r>
      <w:r>
        <w:rPr>
          <w:rFonts w:hint="eastAsia" w:ascii="宋体" w:hAnsi="宋体" w:cs="宋体"/>
          <w:sz w:val="28"/>
          <w:szCs w:val="28"/>
          <w:lang w:val="en-US" w:eastAsia="zh-CN"/>
        </w:rPr>
        <w:t>zxl255010</w:t>
      </w:r>
      <w:r>
        <w:rPr>
          <w:rFonts w:hint="eastAsia" w:ascii="宋体" w:hAnsi="宋体" w:eastAsia="宋体" w:cs="宋体"/>
          <w:sz w:val="28"/>
          <w:szCs w:val="28"/>
          <w:lang w:eastAsia="zh-CN"/>
        </w:rPr>
        <w:t xml:space="preserve">@163.com </w:t>
      </w:r>
      <w:r>
        <w:rPr>
          <w:rFonts w:hint="eastAsia" w:ascii="宋体" w:hAnsi="宋体" w:eastAsia="宋体" w:cs="宋体"/>
          <w:sz w:val="28"/>
          <w:szCs w:val="28"/>
          <w:lang w:val="en-US" w:eastAsia="zh-CN"/>
        </w:rPr>
        <w:t xml:space="preserve"> </w:t>
      </w:r>
    </w:p>
    <w:p w14:paraId="6150E046">
      <w:pPr>
        <w:keepNext w:val="0"/>
        <w:keepLines w:val="0"/>
        <w:pageBreakBefore w:val="0"/>
        <w:kinsoku/>
        <w:wordWrap/>
        <w:overflowPunct/>
        <w:topLinePunct w:val="0"/>
        <w:autoSpaceDE/>
        <w:autoSpaceDN/>
        <w:bidi w:val="0"/>
        <w:adjustRightInd/>
        <w:snapToGrid w:val="0"/>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监督人员：段先生  </w:t>
      </w:r>
    </w:p>
    <w:p w14:paraId="3BC7C7DD">
      <w:pPr>
        <w:keepNext w:val="0"/>
        <w:keepLines w:val="0"/>
        <w:pageBreakBefore w:val="0"/>
        <w:kinsoku/>
        <w:wordWrap/>
        <w:overflowPunct/>
        <w:topLinePunct w:val="0"/>
        <w:autoSpaceDE/>
        <w:autoSpaceDN/>
        <w:bidi w:val="0"/>
        <w:adjustRightInd/>
        <w:snapToGrid w:val="0"/>
        <w:spacing w:line="360" w:lineRule="auto"/>
        <w:ind w:firstLine="560" w:firstLineChars="200"/>
        <w:rPr>
          <w:rFonts w:hint="default"/>
          <w:lang w:val="en-US" w:eastAsia="zh-CN"/>
        </w:rPr>
      </w:pPr>
      <w:r>
        <w:rPr>
          <w:rFonts w:hint="eastAsia" w:ascii="宋体" w:hAnsi="宋体" w:cs="宋体"/>
          <w:sz w:val="28"/>
          <w:szCs w:val="28"/>
          <w:lang w:val="en-US" w:eastAsia="zh-CN"/>
        </w:rPr>
        <w:t>联系方式：15912168725</w:t>
      </w:r>
    </w:p>
    <w:p w14:paraId="0659A7D9">
      <w:pPr>
        <w:keepNext w:val="0"/>
        <w:keepLines w:val="0"/>
        <w:pageBreakBefore w:val="0"/>
        <w:kinsoku/>
        <w:wordWrap/>
        <w:overflowPunct/>
        <w:topLinePunct w:val="0"/>
        <w:autoSpaceDE/>
        <w:autoSpaceDN/>
        <w:bidi w:val="0"/>
        <w:adjustRightInd/>
        <w:snapToGrid/>
        <w:spacing w:line="360" w:lineRule="auto"/>
        <w:ind w:firstLine="551" w:firstLineChars="196"/>
        <w:outlineLvl w:val="0"/>
        <w:rPr>
          <w:rFonts w:hint="eastAsia" w:ascii="宋体" w:hAnsi="宋体" w:eastAsia="宋体" w:cs="宋体"/>
          <w:b/>
          <w:bCs/>
          <w:sz w:val="28"/>
          <w:szCs w:val="28"/>
        </w:rPr>
      </w:pPr>
      <w:r>
        <w:rPr>
          <w:rFonts w:hint="eastAsia" w:ascii="宋体" w:hAnsi="宋体" w:eastAsia="宋体" w:cs="宋体"/>
          <w:b/>
          <w:bCs/>
          <w:sz w:val="28"/>
          <w:szCs w:val="28"/>
        </w:rPr>
        <w:t>六、公示时间</w:t>
      </w:r>
    </w:p>
    <w:p w14:paraId="6A56D0BC">
      <w:pPr>
        <w:keepNext w:val="0"/>
        <w:keepLines w:val="0"/>
        <w:pageBreakBefore w:val="0"/>
        <w:kinsoku/>
        <w:wordWrap/>
        <w:overflowPunct/>
        <w:topLinePunct w:val="0"/>
        <w:autoSpaceDE/>
        <w:autoSpaceDN/>
        <w:bidi w:val="0"/>
        <w:adjustRightInd/>
        <w:snapToGrid/>
        <w:spacing w:line="360" w:lineRule="auto"/>
        <w:ind w:firstLine="560" w:firstLineChars="200"/>
      </w:pP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05</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02</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20</w:t>
      </w:r>
      <w:r>
        <w:rPr>
          <w:rFonts w:hint="eastAsia" w:ascii="宋体" w:hAnsi="宋体" w:cs="宋体"/>
          <w:sz w:val="28"/>
          <w:szCs w:val="28"/>
          <w:u w:val="single"/>
          <w:lang w:val="en-US" w:eastAsia="zh-CN"/>
        </w:rPr>
        <w:t>26</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05</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06</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Arial">
    <w:panose1 w:val="020B0604020202020204"/>
    <w:charset w:val="00"/>
    <w:family w:val="auto"/>
    <w:pitch w:val="default"/>
    <w:sig w:usb0="E0002EFF" w:usb1="C000785B" w:usb2="00000009" w:usb3="00000000" w:csb0="400001FF" w:csb1="FFFF0000"/>
  </w:font>
  <w:font w:name="方正仿宋简体">
    <w:altName w:val="微软雅黑"/>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g0ZTI0MzM1YTlmNzc5ZTJhODdjYjQ4NDEzMWNlZjQifQ=="/>
  </w:docVars>
  <w:rsids>
    <w:rsidRoot w:val="007A0BBB"/>
    <w:rsid w:val="00264D2D"/>
    <w:rsid w:val="007A0BBB"/>
    <w:rsid w:val="071F481E"/>
    <w:rsid w:val="0B1C74A3"/>
    <w:rsid w:val="0F074DE5"/>
    <w:rsid w:val="141210DA"/>
    <w:rsid w:val="17134EFD"/>
    <w:rsid w:val="25C85DEA"/>
    <w:rsid w:val="2C820DC9"/>
    <w:rsid w:val="3F2114B8"/>
    <w:rsid w:val="46872149"/>
    <w:rsid w:val="47467CD9"/>
    <w:rsid w:val="64756090"/>
    <w:rsid w:val="6A462A9F"/>
    <w:rsid w:val="70391CA5"/>
    <w:rsid w:val="78480E6E"/>
    <w:rsid w:val="7E342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 小四"/>
    <w:basedOn w:val="1"/>
    <w:qFormat/>
    <w:uiPriority w:val="0"/>
    <w:pPr>
      <w:keepNext w:val="0"/>
      <w:keepLines w:val="0"/>
      <w:widowControl w:val="0"/>
      <w:suppressLineNumbers w:val="0"/>
      <w:adjustRightInd w:val="0"/>
      <w:spacing w:before="0" w:beforeAutospacing="0" w:after="0" w:afterAutospacing="0" w:line="360" w:lineRule="atLeast"/>
      <w:ind w:left="0" w:right="0"/>
      <w:jc w:val="left"/>
      <w:textAlignment w:val="baseline"/>
    </w:pPr>
    <w:rPr>
      <w:rFonts w:hint="default" w:ascii="Times New Roman" w:hAnsi="Times New Roman" w:eastAsia="宋体" w:cs="Calibri"/>
      <w:kern w:val="0"/>
      <w:sz w:val="24"/>
      <w:szCs w:val="24"/>
      <w:lang w:val="en-US" w:eastAsia="zh-CN" w:bidi="ar"/>
    </w:rPr>
  </w:style>
  <w:style w:type="paragraph" w:styleId="4">
    <w:name w:val="footer"/>
    <w:basedOn w:val="1"/>
    <w:link w:val="16"/>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able of figures"/>
    <w:basedOn w:val="1"/>
    <w:next w:val="1"/>
    <w:qFormat/>
    <w:uiPriority w:val="99"/>
    <w:pPr>
      <w:tabs>
        <w:tab w:val="left" w:pos="547"/>
      </w:tabs>
      <w:spacing w:line="360" w:lineRule="auto"/>
      <w:ind w:firstLine="1044" w:firstLineChars="200"/>
      <w:jc w:val="center"/>
    </w:pPr>
    <w:rPr>
      <w:rFonts w:ascii="宋体" w:cs="宋体"/>
      <w:b/>
      <w:bCs/>
      <w:color w:val="000000"/>
      <w:kern w:val="0"/>
      <w:sz w:val="52"/>
      <w:szCs w:val="52"/>
    </w:rPr>
  </w:style>
  <w:style w:type="character" w:styleId="9">
    <w:name w:val="Strong"/>
    <w:basedOn w:val="8"/>
    <w:qFormat/>
    <w:uiPriority w:val="22"/>
    <w:rPr>
      <w:b/>
      <w:bCs/>
    </w:rPr>
  </w:style>
  <w:style w:type="character" w:styleId="10">
    <w:name w:val="FollowedHyperlink"/>
    <w:basedOn w:val="8"/>
    <w:semiHidden/>
    <w:unhideWhenUsed/>
    <w:qFormat/>
    <w:uiPriority w:val="99"/>
    <w:rPr>
      <w:color w:val="666666"/>
      <w:u w:val="none"/>
    </w:rPr>
  </w:style>
  <w:style w:type="character" w:styleId="11">
    <w:name w:val="Emphasis"/>
    <w:basedOn w:val="8"/>
    <w:qFormat/>
    <w:uiPriority w:val="20"/>
    <w:rPr>
      <w:rFonts w:ascii="Verdana" w:hAnsi="Verdana" w:cs="Verdana"/>
      <w:i/>
      <w:iCs/>
      <w:color w:val="FFFFFF"/>
      <w:sz w:val="16"/>
      <w:szCs w:val="16"/>
      <w:bdr w:val="single" w:color="B61D1D" w:sz="6" w:space="0"/>
      <w:shd w:val="clear" w:fill="CC6060"/>
    </w:rPr>
  </w:style>
  <w:style w:type="character" w:styleId="12">
    <w:name w:val="Hyperlink"/>
    <w:basedOn w:val="8"/>
    <w:semiHidden/>
    <w:unhideWhenUsed/>
    <w:qFormat/>
    <w:uiPriority w:val="99"/>
    <w:rPr>
      <w:color w:val="666666"/>
      <w:u w:val="none"/>
    </w:rPr>
  </w:style>
  <w:style w:type="character" w:styleId="13">
    <w:name w:val="HTML Code"/>
    <w:basedOn w:val="8"/>
    <w:semiHidden/>
    <w:unhideWhenUsed/>
    <w:qFormat/>
    <w:uiPriority w:val="99"/>
    <w:rPr>
      <w:rFonts w:ascii="Consolas" w:hAnsi="Consolas" w:eastAsia="Consolas" w:cs="Consolas"/>
      <w:color w:val="DD1144"/>
      <w:sz w:val="18"/>
      <w:szCs w:val="18"/>
      <w:bdr w:val="single" w:color="E1E1E8" w:sz="6" w:space="0"/>
      <w:shd w:val="clear" w:fill="F7F7F9"/>
    </w:rPr>
  </w:style>
  <w:style w:type="character" w:styleId="14">
    <w:name w:val="HTML Cite"/>
    <w:basedOn w:val="8"/>
    <w:semiHidden/>
    <w:unhideWhenUsed/>
    <w:qFormat/>
    <w:uiPriority w:val="99"/>
    <w:rPr>
      <w:color w:val="595959"/>
    </w:rPr>
  </w:style>
  <w:style w:type="character" w:customStyle="1" w:styleId="15">
    <w:name w:val="页眉 Char"/>
    <w:basedOn w:val="8"/>
    <w:link w:val="5"/>
    <w:semiHidden/>
    <w:qFormat/>
    <w:uiPriority w:val="99"/>
    <w:rPr>
      <w:sz w:val="18"/>
      <w:szCs w:val="18"/>
    </w:rPr>
  </w:style>
  <w:style w:type="character" w:customStyle="1" w:styleId="16">
    <w:name w:val="页脚 Char"/>
    <w:basedOn w:val="8"/>
    <w:link w:val="4"/>
    <w:semiHidden/>
    <w:qFormat/>
    <w:uiPriority w:val="99"/>
    <w:rPr>
      <w:sz w:val="18"/>
      <w:szCs w:val="18"/>
    </w:rPr>
  </w:style>
  <w:style w:type="character" w:customStyle="1" w:styleId="17">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8">
    <w:name w:val="cls1"/>
    <w:basedOn w:val="8"/>
    <w:qFormat/>
    <w:uiPriority w:val="0"/>
    <w:rPr>
      <w:b/>
      <w:bCs/>
      <w:color w:val="757475"/>
    </w:rPr>
  </w:style>
  <w:style w:type="character" w:customStyle="1" w:styleId="19">
    <w:name w:val="tmpztreemove_arrow"/>
    <w:basedOn w:val="8"/>
    <w:qFormat/>
    <w:uiPriority w:val="0"/>
  </w:style>
  <w:style w:type="character" w:customStyle="1" w:styleId="20">
    <w:name w:val="error"/>
    <w:basedOn w:val="8"/>
    <w:qFormat/>
    <w:uiPriority w:val="0"/>
    <w:rPr>
      <w:color w:val="FF0000"/>
      <w:sz w:val="18"/>
      <w:szCs w:val="18"/>
    </w:rPr>
  </w:style>
  <w:style w:type="character" w:customStyle="1" w:styleId="21">
    <w:name w:val="old"/>
    <w:basedOn w:val="8"/>
    <w:qFormat/>
    <w:uiPriority w:val="0"/>
    <w:rPr>
      <w:color w:val="999999"/>
    </w:rPr>
  </w:style>
  <w:style w:type="character" w:customStyle="1" w:styleId="22">
    <w:name w:val="old1"/>
    <w:basedOn w:val="8"/>
    <w:qFormat/>
    <w:uiPriority w:val="0"/>
    <w:rPr>
      <w:color w:val="999999"/>
    </w:rPr>
  </w:style>
  <w:style w:type="character" w:customStyle="1" w:styleId="23">
    <w:name w:val="hands"/>
    <w:basedOn w:val="8"/>
    <w:qFormat/>
    <w:uiPriority w:val="0"/>
    <w:rPr>
      <w:color w:val="000000"/>
      <w:sz w:val="18"/>
      <w:szCs w:val="18"/>
    </w:rPr>
  </w:style>
  <w:style w:type="character" w:customStyle="1" w:styleId="24">
    <w:name w:val="required"/>
    <w:basedOn w:val="8"/>
    <w:qFormat/>
    <w:uiPriority w:val="0"/>
    <w:rPr>
      <w:color w:val="FF0000"/>
      <w:sz w:val="18"/>
      <w:szCs w:val="18"/>
    </w:rPr>
  </w:style>
  <w:style w:type="character" w:customStyle="1" w:styleId="25">
    <w:name w:val="hover15"/>
    <w:basedOn w:val="8"/>
    <w:qFormat/>
    <w:uiPriority w:val="0"/>
    <w:rPr>
      <w:shd w:val="clear" w:fill="EEEEEE"/>
    </w:rPr>
  </w:style>
  <w:style w:type="character" w:customStyle="1" w:styleId="26">
    <w:name w:val="hover16"/>
    <w:basedOn w:val="8"/>
    <w:qFormat/>
    <w:uiPriority w:val="0"/>
    <w:rPr>
      <w:shd w:val="clear" w:fill="EEEEEE"/>
    </w:rPr>
  </w:style>
  <w:style w:type="character" w:customStyle="1" w:styleId="27">
    <w:name w:val="hover17"/>
    <w:basedOn w:val="8"/>
    <w:qFormat/>
    <w:uiPriority w:val="0"/>
    <w:rPr>
      <w:shd w:val="clear" w:fill="F3F3F3"/>
    </w:rPr>
  </w:style>
  <w:style w:type="character" w:customStyle="1" w:styleId="28">
    <w:name w:val="hover18"/>
    <w:basedOn w:val="8"/>
    <w:qFormat/>
    <w:uiPriority w:val="0"/>
    <w:rPr>
      <w:shd w:val="clear" w:fill="F3F3F3"/>
    </w:rPr>
  </w:style>
  <w:style w:type="character" w:customStyle="1" w:styleId="29">
    <w:name w:val="hover19"/>
    <w:basedOn w:val="8"/>
    <w:qFormat/>
    <w:uiPriority w:val="0"/>
    <w:rPr>
      <w:sz w:val="21"/>
      <w:szCs w:val="21"/>
    </w:rPr>
  </w:style>
  <w:style w:type="character" w:customStyle="1" w:styleId="30">
    <w:name w:val="timepicker-second2"/>
    <w:basedOn w:val="8"/>
    <w:qFormat/>
    <w:uiPriority w:val="0"/>
  </w:style>
  <w:style w:type="character" w:customStyle="1" w:styleId="31">
    <w:name w:val="timepicker-hour"/>
    <w:basedOn w:val="8"/>
    <w:qFormat/>
    <w:uiPriority w:val="0"/>
  </w:style>
  <w:style w:type="character" w:customStyle="1" w:styleId="32">
    <w:name w:val="active9"/>
    <w:basedOn w:val="8"/>
    <w:qFormat/>
    <w:uiPriority w:val="0"/>
    <w:rPr>
      <w:color w:val="FFFFFF"/>
      <w:shd w:val="clear" w:fill="006DCC"/>
    </w:rPr>
  </w:style>
  <w:style w:type="character" w:customStyle="1" w:styleId="33">
    <w:name w:val="active10"/>
    <w:basedOn w:val="8"/>
    <w:qFormat/>
    <w:uiPriority w:val="0"/>
    <w:rPr>
      <w:color w:val="FFFFFF"/>
      <w:shd w:val="clear" w:fill="006DCC"/>
    </w:rPr>
  </w:style>
  <w:style w:type="character" w:customStyle="1" w:styleId="34">
    <w:name w:val="timepicker-minute2"/>
    <w:basedOn w:val="8"/>
    <w:qFormat/>
    <w:uiPriority w:val="0"/>
  </w:style>
  <w:style w:type="character" w:customStyle="1" w:styleId="35">
    <w:name w:val="cls2"/>
    <w:basedOn w:val="8"/>
    <w:qFormat/>
    <w:uiPriority w:val="0"/>
    <w:rPr>
      <w:color w:val="757475"/>
    </w:rPr>
  </w:style>
  <w:style w:type="character" w:customStyle="1" w:styleId="36">
    <w:name w:val="node_title2"/>
    <w:basedOn w:val="8"/>
    <w:qFormat/>
    <w:uiPriority w:val="0"/>
    <w:rPr>
      <w:b/>
      <w:bCs/>
    </w:rPr>
  </w:style>
  <w:style w:type="character" w:customStyle="1" w:styleId="37">
    <w:name w:val="button"/>
    <w:basedOn w:val="8"/>
    <w:qFormat/>
    <w:uiPriority w:val="0"/>
  </w:style>
  <w:style w:type="character" w:customStyle="1" w:styleId="38">
    <w:name w:val="cls3"/>
    <w:basedOn w:val="8"/>
    <w:qFormat/>
    <w:uiPriority w:val="0"/>
  </w:style>
  <w:style w:type="character" w:customStyle="1" w:styleId="39">
    <w:name w:val="node_name2"/>
    <w:basedOn w:val="8"/>
    <w:qFormat/>
    <w:uiPriority w:val="0"/>
    <w:rPr>
      <w:color w:val="757475"/>
      <w:sz w:val="19"/>
      <w:szCs w:val="19"/>
    </w:rPr>
  </w:style>
  <w:style w:type="character" w:customStyle="1" w:styleId="40">
    <w:name w:val="timepicker-second"/>
    <w:basedOn w:val="8"/>
    <w:qFormat/>
    <w:uiPriority w:val="0"/>
  </w:style>
  <w:style w:type="character" w:customStyle="1" w:styleId="41">
    <w:name w:val="timepicker-minute"/>
    <w:basedOn w:val="8"/>
    <w:qFormat/>
    <w:uiPriority w:val="0"/>
  </w:style>
  <w:style w:type="character" w:customStyle="1" w:styleId="42">
    <w:name w:val="active2"/>
    <w:basedOn w:val="8"/>
    <w:qFormat/>
    <w:uiPriority w:val="0"/>
    <w:rPr>
      <w:color w:val="FFFFFF"/>
      <w:shd w:val="clear" w:fill="006DCC"/>
    </w:rPr>
  </w:style>
  <w:style w:type="character" w:customStyle="1" w:styleId="43">
    <w:name w:val="active3"/>
    <w:basedOn w:val="8"/>
    <w:qFormat/>
    <w:uiPriority w:val="0"/>
    <w:rPr>
      <w:color w:val="999999"/>
      <w:shd w:val="clear" w:fill="006DC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1151</Words>
  <Characters>1268</Characters>
  <Lines>22</Lines>
  <Paragraphs>12</Paragraphs>
  <TotalTime>0</TotalTime>
  <ScaleCrop>false</ScaleCrop>
  <LinksUpToDate>false</LinksUpToDate>
  <CharactersWithSpaces>1292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2023-11-06T05:10:00Z</dcterms:created>
  <dc:creator>刘翊德</dc:creator>
  <cp:lastModifiedBy>哆啦</cp:lastModifiedBy>
  <dcterms:modified xsi:type="dcterms:W3CDTF">2026-05-02T06:17:31Z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99D0BE906FBA4CEDBD01DC9BD2A04142_12</vt:lpwstr>
  </property>
  <property fmtid="{D5CDD505-2E9C-101B-9397-08002B2CF9AE}" pid="4" name="KSOTemplateDocerSaveRecord">
    <vt:lpwstr>eyJoZGlkIjoiODNlOWZiMWQ0YjZlYjY0NDkzYmM4NjUxZGFiNWFmZmMiLCJ1c2VySWQiOiI5NzA4ODQxNDYifQ==</vt:lpwstr>
  </property>
</Properties>
</file>