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44"/>
          <w:szCs w:val="44"/>
        </w:rPr>
      </w:pPr>
      <w:bookmarkStart w:id="0" w:name="OLE_LINK1"/>
      <w:bookmarkStart w:id="1" w:name="OLE_LINK3"/>
      <w:r>
        <w:rPr>
          <w:rFonts w:ascii="Times New Roman" w:hAnsi="Times New Roman" w:eastAsia="方正小标宋简体" w:cs="Times New Roman"/>
          <w:bCs/>
          <w:kern w:val="44"/>
          <w:sz w:val="44"/>
          <w:szCs w:val="44"/>
        </w:rPr>
        <w:t>采办计划公告</w:t>
      </w:r>
    </w:p>
    <w:p>
      <w:pPr>
        <w:spacing w:line="560" w:lineRule="exact"/>
        <w:rPr>
          <w:rFonts w:ascii="Times New Roman" w:hAnsi="Times New Roman" w:eastAsia="等线" w:cs="Times New Roman"/>
          <w:sz w:val="32"/>
        </w:rPr>
      </w:pPr>
    </w:p>
    <w:p>
      <w:pPr>
        <w:tabs>
          <w:tab w:val="left" w:pos="993"/>
          <w:tab w:val="left" w:pos="1134"/>
          <w:tab w:val="left" w:pos="1418"/>
        </w:tabs>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采办包名称：</w:t>
      </w:r>
    </w:p>
    <w:p>
      <w:pPr>
        <w:tabs>
          <w:tab w:val="left" w:pos="993"/>
          <w:tab w:val="left" w:pos="1134"/>
          <w:tab w:val="left" w:pos="1418"/>
        </w:tabs>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海油发展-化工品类部-</w:t>
      </w:r>
      <w:r>
        <w:rPr>
          <w:rFonts w:hint="eastAsia" w:ascii="Times New Roman" w:hAnsi="Times New Roman" w:eastAsia="仿宋_GB2312" w:cs="Times New Roman"/>
          <w:sz w:val="32"/>
          <w:szCs w:val="32"/>
          <w:lang w:val="en-US" w:eastAsia="zh-CN"/>
        </w:rPr>
        <w:t>工程技术公司2025年</w:t>
      </w:r>
      <w:r>
        <w:rPr>
          <w:rFonts w:hint="eastAsia" w:ascii="Times New Roman" w:hAnsi="Times New Roman" w:eastAsia="仿宋_GB2312" w:cs="Times New Roman"/>
          <w:sz w:val="32"/>
          <w:szCs w:val="32"/>
        </w:rPr>
        <w:t>低渗储层保护增效液</w:t>
      </w:r>
      <w:r>
        <w:rPr>
          <w:rFonts w:hint="eastAsia" w:ascii="Times New Roman" w:hAnsi="Times New Roman" w:eastAsia="仿宋_GB2312" w:cs="Times New Roman"/>
          <w:sz w:val="32"/>
          <w:szCs w:val="32"/>
          <w:lang w:val="en-US" w:eastAsia="zh-CN"/>
        </w:rPr>
        <w:t>采购项目</w:t>
      </w:r>
      <w:r>
        <w:rPr>
          <w:rFonts w:ascii="Times New Roman" w:hAnsi="Times New Roman" w:eastAsia="仿宋_GB2312" w:cs="Times New Roman"/>
          <w:sz w:val="32"/>
          <w:szCs w:val="32"/>
        </w:rPr>
        <w:t>采办计划公开如下：</w:t>
      </w:r>
    </w:p>
    <w:tbl>
      <w:tblPr>
        <w:tblStyle w:val="17"/>
        <w:tblW w:w="933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700"/>
        <w:gridCol w:w="1785"/>
        <w:gridCol w:w="1782"/>
        <w:gridCol w:w="1567"/>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40"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序号</w:t>
            </w:r>
          </w:p>
        </w:tc>
        <w:tc>
          <w:tcPr>
            <w:tcW w:w="2700"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采办包</w:t>
            </w:r>
          </w:p>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名称</w:t>
            </w:r>
          </w:p>
        </w:tc>
        <w:tc>
          <w:tcPr>
            <w:tcW w:w="1785"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采购范围与主要技术指标</w:t>
            </w:r>
          </w:p>
        </w:tc>
        <w:tc>
          <w:tcPr>
            <w:tcW w:w="1782"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预计发标时间</w:t>
            </w:r>
          </w:p>
        </w:tc>
        <w:tc>
          <w:tcPr>
            <w:tcW w:w="1567"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供应商资质基本要求</w:t>
            </w:r>
          </w:p>
        </w:tc>
        <w:tc>
          <w:tcPr>
            <w:tcW w:w="863" w:type="dxa"/>
            <w:vAlign w:val="center"/>
          </w:tcPr>
          <w:p>
            <w:pPr>
              <w:adjustRightInd w:val="0"/>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40" w:type="dxa"/>
            <w:vAlign w:val="center"/>
          </w:tcPr>
          <w:p>
            <w:pPr>
              <w:adjustRightInd w:val="0"/>
              <w:snapToGrid w:val="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w:t>
            </w:r>
          </w:p>
        </w:tc>
        <w:tc>
          <w:tcPr>
            <w:tcW w:w="2700" w:type="dxa"/>
            <w:vAlign w:val="center"/>
          </w:tcPr>
          <w:p>
            <w:pPr>
              <w:adjustRightInd w:val="0"/>
              <w:snapToGrid w:val="0"/>
              <w:jc w:val="center"/>
              <w:rPr>
                <w:rFonts w:ascii="Times New Roman" w:hAnsi="Times New Roman" w:eastAsia="仿宋" w:cs="Times New Roman"/>
                <w:kern w:val="0"/>
                <w:sz w:val="28"/>
                <w:szCs w:val="28"/>
                <w:u w:val="single"/>
              </w:rPr>
            </w:pPr>
            <w:r>
              <w:rPr>
                <w:rFonts w:hint="eastAsia" w:ascii="Times New Roman" w:hAnsi="Times New Roman" w:eastAsia="仿宋" w:cs="Times New Roman"/>
                <w:kern w:val="0"/>
                <w:sz w:val="28"/>
                <w:szCs w:val="28"/>
                <w:u w:val="single"/>
              </w:rPr>
              <w:t>工程技术公司2025年低渗储层保护增效液采购项目</w:t>
            </w:r>
          </w:p>
        </w:tc>
        <w:tc>
          <w:tcPr>
            <w:tcW w:w="1785" w:type="dxa"/>
            <w:vAlign w:val="center"/>
          </w:tcPr>
          <w:p>
            <w:pPr>
              <w:adjustRightInd w:val="0"/>
              <w:snapToGrid w:val="0"/>
              <w:jc w:val="center"/>
              <w:rPr>
                <w:rFonts w:ascii="Times New Roman" w:hAnsi="Times New Roman" w:eastAsia="仿宋" w:cs="Times New Roman"/>
                <w:kern w:val="0"/>
                <w:sz w:val="28"/>
                <w:szCs w:val="28"/>
                <w:u w:val="single"/>
              </w:rPr>
            </w:pPr>
            <w:r>
              <w:rPr>
                <w:rFonts w:hint="eastAsia" w:ascii="Times New Roman" w:hAnsi="Times New Roman" w:eastAsia="仿宋" w:cs="Times New Roman"/>
                <w:kern w:val="0"/>
                <w:sz w:val="28"/>
                <w:szCs w:val="28"/>
                <w:u w:val="single"/>
              </w:rPr>
              <w:t>见附件1</w:t>
            </w:r>
          </w:p>
        </w:tc>
        <w:tc>
          <w:tcPr>
            <w:tcW w:w="1782" w:type="dxa"/>
            <w:vAlign w:val="center"/>
          </w:tcPr>
          <w:p>
            <w:pPr>
              <w:adjustRightInd w:val="0"/>
              <w:snapToGrid w:val="0"/>
              <w:jc w:val="center"/>
              <w:rPr>
                <w:rFonts w:ascii="Times New Roman" w:hAnsi="Times New Roman" w:eastAsia="仿宋" w:cs="Times New Roman"/>
                <w:kern w:val="0"/>
                <w:sz w:val="28"/>
                <w:szCs w:val="28"/>
                <w:u w:val="single"/>
              </w:rPr>
            </w:pPr>
            <w:r>
              <w:rPr>
                <w:rFonts w:hint="eastAsia" w:ascii="Times New Roman" w:hAnsi="Times New Roman" w:eastAsia="仿宋" w:cs="Times New Roman"/>
                <w:kern w:val="0"/>
                <w:sz w:val="28"/>
                <w:szCs w:val="28"/>
                <w:u w:val="single"/>
              </w:rPr>
              <w:t>2025年08月</w:t>
            </w:r>
          </w:p>
        </w:tc>
        <w:tc>
          <w:tcPr>
            <w:tcW w:w="1567" w:type="dxa"/>
            <w:vAlign w:val="center"/>
          </w:tcPr>
          <w:p>
            <w:pPr>
              <w:adjustRightInd w:val="0"/>
              <w:snapToGrid w:val="0"/>
              <w:jc w:val="center"/>
              <w:rPr>
                <w:rFonts w:ascii="Times New Roman" w:hAnsi="Times New Roman" w:eastAsia="仿宋" w:cs="Times New Roman"/>
                <w:kern w:val="0"/>
                <w:sz w:val="28"/>
                <w:szCs w:val="28"/>
                <w:u w:val="single"/>
              </w:rPr>
            </w:pPr>
            <w:r>
              <w:rPr>
                <w:rFonts w:hint="eastAsia" w:ascii="Times New Roman" w:hAnsi="Times New Roman" w:eastAsia="仿宋" w:cs="Times New Roman"/>
                <w:kern w:val="0"/>
                <w:sz w:val="28"/>
                <w:szCs w:val="28"/>
                <w:u w:val="single"/>
              </w:rPr>
              <w:t>见附件2</w:t>
            </w:r>
          </w:p>
        </w:tc>
        <w:tc>
          <w:tcPr>
            <w:tcW w:w="863" w:type="dxa"/>
            <w:vAlign w:val="center"/>
          </w:tcPr>
          <w:p>
            <w:pPr>
              <w:adjustRightInd w:val="0"/>
              <w:snapToGrid w:val="0"/>
              <w:rPr>
                <w:rFonts w:ascii="Times New Roman" w:hAnsi="Times New Roman" w:eastAsia="仿宋" w:cs="Times New Roman"/>
                <w:kern w:val="0"/>
                <w:sz w:val="28"/>
                <w:szCs w:val="28"/>
                <w:u w:val="single"/>
              </w:rPr>
            </w:pPr>
          </w:p>
        </w:tc>
      </w:tr>
    </w:tbl>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本次公告有效期是（</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08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日）至（</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08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日）止。在此期间，有意参与</w:t>
      </w:r>
      <w:r>
        <w:rPr>
          <w:rFonts w:hint="eastAsia" w:ascii="Times New Roman" w:hAnsi="Times New Roman" w:eastAsia="仿宋_GB2312" w:cs="Times New Roman"/>
          <w:sz w:val="32"/>
          <w:szCs w:val="32"/>
        </w:rPr>
        <w:t>该</w:t>
      </w:r>
      <w:r>
        <w:rPr>
          <w:rFonts w:ascii="Times New Roman" w:hAnsi="Times New Roman" w:eastAsia="仿宋_GB2312" w:cs="Times New Roman"/>
          <w:sz w:val="32"/>
          <w:szCs w:val="32"/>
        </w:rPr>
        <w:t>采办包的系统用户可在集团公司采办系统中提交反馈材料。</w:t>
      </w:r>
    </w:p>
    <w:p>
      <w:pPr>
        <w:tabs>
          <w:tab w:val="left" w:pos="993"/>
          <w:tab w:val="left" w:pos="1134"/>
          <w:tab w:val="left" w:pos="1418"/>
        </w:tabs>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如对上述公开内容真实、有效性存疑，请拨打社会监督电话：022-25802262，其他事项不受理。</w:t>
      </w:r>
    </w:p>
    <w:p>
      <w:pPr>
        <w:pStyle w:val="8"/>
        <w:ind w:firstLine="640"/>
        <w:rPr>
          <w:rFonts w:hint="eastAsia"/>
        </w:rPr>
      </w:pPr>
    </w:p>
    <w:p>
      <w:pPr>
        <w:rPr>
          <w:rFonts w:hint="eastAsia"/>
        </w:rPr>
      </w:pPr>
    </w:p>
    <w:p>
      <w:pPr>
        <w:pStyle w:val="8"/>
        <w:rPr>
          <w:rFonts w:hint="eastAsia"/>
        </w:rPr>
      </w:pPr>
    </w:p>
    <w:p>
      <w:pPr>
        <w:rPr>
          <w:rFonts w:hint="eastAsia"/>
        </w:rPr>
      </w:pPr>
    </w:p>
    <w:p>
      <w:pPr>
        <w:tabs>
          <w:tab w:val="left" w:pos="993"/>
          <w:tab w:val="left" w:pos="1134"/>
          <w:tab w:val="left" w:pos="1418"/>
        </w:tabs>
        <w:spacing w:line="600" w:lineRule="exact"/>
        <w:ind w:right="320" w:firstLine="960" w:firstLineChars="3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中海油能源发展股份有限公司采办共享中心</w:t>
      </w:r>
    </w:p>
    <w:p>
      <w:pPr>
        <w:tabs>
          <w:tab w:val="left" w:pos="993"/>
          <w:tab w:val="left" w:pos="1134"/>
          <w:tab w:val="left" w:pos="1418"/>
        </w:tabs>
        <w:spacing w:line="600" w:lineRule="exact"/>
        <w:ind w:right="480" w:firstLine="960" w:firstLineChars="300"/>
        <w:jc w:val="right"/>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08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 xml:space="preserve">日  </w:t>
      </w:r>
    </w:p>
    <w:bookmarkEnd w:id="0"/>
    <w:p>
      <w:pPr>
        <w:rPr>
          <w:rFonts w:hint="eastAsia"/>
        </w:rPr>
      </w:pPr>
      <w:r>
        <w:br w:type="page"/>
      </w:r>
    </w:p>
    <w:bookmarkEnd w:id="1"/>
    <w:p>
      <w:pPr>
        <w:tabs>
          <w:tab w:val="left" w:pos="993"/>
          <w:tab w:val="left" w:pos="1134"/>
          <w:tab w:val="left" w:pos="1418"/>
        </w:tabs>
        <w:spacing w:line="560" w:lineRule="exact"/>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附件1采购范围与主要技术指标</w:t>
      </w:r>
    </w:p>
    <w:p>
      <w:pPr>
        <w:pStyle w:val="32"/>
        <w:spacing w:line="360" w:lineRule="auto"/>
        <w:outlineLvl w:val="0"/>
        <w:rPr>
          <w:rFonts w:hint="eastAsia" w:hAnsi="宋体"/>
          <w:bCs/>
          <w:color w:val="auto"/>
        </w:rPr>
      </w:pPr>
      <w:bookmarkStart w:id="2" w:name="_Toc13248928"/>
      <w:bookmarkStart w:id="3" w:name="_Toc13249325"/>
      <w:r>
        <w:rPr>
          <w:rFonts w:hint="eastAsia" w:ascii="Times New Roman" w:hAnsi="Times New Roman" w:eastAsia="仿宋_GB2312" w:cs="Times New Roman"/>
          <w:color w:val="auto"/>
          <w:kern w:val="2"/>
          <w:sz w:val="32"/>
          <w:szCs w:val="32"/>
        </w:rPr>
        <w:t>一、需求一览表</w:t>
      </w:r>
      <w:bookmarkEnd w:id="2"/>
      <w:bookmarkEnd w:id="3"/>
    </w:p>
    <w:tbl>
      <w:tblPr>
        <w:tblStyle w:val="17"/>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81"/>
        <w:gridCol w:w="855"/>
        <w:gridCol w:w="888"/>
        <w:gridCol w:w="956"/>
        <w:gridCol w:w="693"/>
        <w:gridCol w:w="542"/>
        <w:gridCol w:w="1333"/>
        <w:gridCol w:w="99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96" w:type="dxa"/>
            <w:tcMar>
              <w:top w:w="0" w:type="dxa"/>
              <w:left w:w="51" w:type="dxa"/>
              <w:bottom w:w="0" w:type="dxa"/>
              <w:right w:w="51" w:type="dxa"/>
            </w:tcMar>
            <w:vAlign w:val="center"/>
          </w:tcPr>
          <w:p>
            <w:pPr>
              <w:pStyle w:val="4"/>
              <w:adjustRightInd w:val="0"/>
              <w:snapToGrid w:val="0"/>
              <w:spacing w:line="24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序号</w:t>
            </w:r>
          </w:p>
        </w:tc>
        <w:tc>
          <w:tcPr>
            <w:tcW w:w="881"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物资编码</w:t>
            </w:r>
          </w:p>
        </w:tc>
        <w:tc>
          <w:tcPr>
            <w:tcW w:w="855"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品类编码</w:t>
            </w:r>
          </w:p>
        </w:tc>
        <w:tc>
          <w:tcPr>
            <w:tcW w:w="888"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物资名称</w:t>
            </w:r>
          </w:p>
        </w:tc>
        <w:tc>
          <w:tcPr>
            <w:tcW w:w="956"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规格型号</w:t>
            </w:r>
          </w:p>
        </w:tc>
        <w:tc>
          <w:tcPr>
            <w:tcW w:w="693"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数量</w:t>
            </w:r>
          </w:p>
        </w:tc>
        <w:tc>
          <w:tcPr>
            <w:tcW w:w="542"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c>
          <w:tcPr>
            <w:tcW w:w="1333"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交货期</w:t>
            </w:r>
          </w:p>
        </w:tc>
        <w:tc>
          <w:tcPr>
            <w:tcW w:w="998"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交货地点</w:t>
            </w:r>
          </w:p>
        </w:tc>
        <w:tc>
          <w:tcPr>
            <w:tcW w:w="674"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96" w:type="dxa"/>
            <w:tcMar>
              <w:top w:w="0" w:type="dxa"/>
              <w:left w:w="51" w:type="dxa"/>
              <w:bottom w:w="0" w:type="dxa"/>
              <w:right w:w="51" w:type="dxa"/>
            </w:tcMar>
            <w:vAlign w:val="center"/>
          </w:tcPr>
          <w:p>
            <w:pPr>
              <w:pStyle w:val="4"/>
              <w:adjustRightInd w:val="0"/>
              <w:snapToGrid w:val="0"/>
              <w:spacing w:line="240" w:lineRule="auto"/>
              <w:jc w:val="center"/>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p>
        </w:tc>
        <w:tc>
          <w:tcPr>
            <w:tcW w:w="881"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84979391</w:t>
            </w:r>
          </w:p>
        </w:tc>
        <w:tc>
          <w:tcPr>
            <w:tcW w:w="855"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A030701</w:t>
            </w:r>
          </w:p>
        </w:tc>
        <w:tc>
          <w:tcPr>
            <w:tcW w:w="888"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低渗储层储保增效</w:t>
            </w:r>
            <w:r>
              <w:rPr>
                <w:rFonts w:hint="eastAsia" w:ascii="仿宋" w:hAnsi="仿宋" w:eastAsia="仿宋" w:cs="仿宋"/>
                <w:color w:val="auto"/>
                <w:sz w:val="24"/>
                <w:szCs w:val="24"/>
                <w:highlight w:val="none"/>
                <w:lang w:val="en-US" w:eastAsia="zh-CN"/>
              </w:rPr>
              <w:t>剂</w:t>
            </w:r>
          </w:p>
        </w:tc>
        <w:tc>
          <w:tcPr>
            <w:tcW w:w="956"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1000kg/IBC吨桶</w:t>
            </w:r>
          </w:p>
        </w:tc>
        <w:tc>
          <w:tcPr>
            <w:tcW w:w="693"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135000</w:t>
            </w:r>
          </w:p>
        </w:tc>
        <w:tc>
          <w:tcPr>
            <w:tcW w:w="542"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KG</w:t>
            </w:r>
          </w:p>
        </w:tc>
        <w:tc>
          <w:tcPr>
            <w:tcW w:w="1333"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合同签订后一年内，以买</w:t>
            </w:r>
            <w:r>
              <w:rPr>
                <w:rFonts w:hint="eastAsia" w:ascii="仿宋" w:hAnsi="仿宋" w:eastAsia="仿宋" w:cs="仿宋"/>
                <w:color w:val="auto"/>
                <w:sz w:val="24"/>
                <w:szCs w:val="24"/>
                <w:highlight w:val="none"/>
                <w:lang w:eastAsia="zh-CN"/>
              </w:rPr>
              <w:t>方</w:t>
            </w:r>
            <w:r>
              <w:rPr>
                <w:rFonts w:hint="eastAsia" w:ascii="仿宋" w:hAnsi="仿宋" w:eastAsia="仿宋" w:cs="仿宋"/>
                <w:color w:val="auto"/>
                <w:sz w:val="24"/>
                <w:szCs w:val="24"/>
                <w:highlight w:val="none"/>
                <w:lang w:val="en-US" w:eastAsia="zh-CN"/>
              </w:rPr>
              <w:t>到货</w:t>
            </w:r>
            <w:r>
              <w:rPr>
                <w:rFonts w:hint="eastAsia" w:ascii="仿宋" w:hAnsi="仿宋" w:eastAsia="仿宋" w:cs="仿宋"/>
                <w:color w:val="auto"/>
                <w:sz w:val="24"/>
                <w:szCs w:val="24"/>
                <w:highlight w:val="none"/>
                <w:lang w:eastAsia="zh-CN"/>
              </w:rPr>
              <w:t>通知</w:t>
            </w:r>
            <w:r>
              <w:rPr>
                <w:rFonts w:hint="eastAsia" w:ascii="仿宋" w:hAnsi="仿宋" w:eastAsia="仿宋" w:cs="仿宋"/>
                <w:color w:val="auto"/>
                <w:sz w:val="24"/>
                <w:szCs w:val="24"/>
                <w:highlight w:val="none"/>
                <w:lang w:val="en-US" w:eastAsia="zh-CN"/>
              </w:rPr>
              <w:t>为准</w:t>
            </w:r>
          </w:p>
        </w:tc>
        <w:tc>
          <w:tcPr>
            <w:tcW w:w="998"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eastAsia="zh-CN"/>
              </w:rPr>
              <w:t>海南省澄迈县</w:t>
            </w:r>
            <w:r>
              <w:rPr>
                <w:rFonts w:hint="eastAsia" w:ascii="仿宋" w:hAnsi="仿宋" w:eastAsia="仿宋" w:cs="仿宋"/>
                <w:color w:val="auto"/>
                <w:sz w:val="24"/>
                <w:szCs w:val="24"/>
                <w:highlight w:val="none"/>
                <w:lang w:val="en-US" w:eastAsia="zh-CN"/>
              </w:rPr>
              <w:t>马村港库房</w:t>
            </w:r>
          </w:p>
        </w:tc>
        <w:tc>
          <w:tcPr>
            <w:tcW w:w="674" w:type="dxa"/>
            <w:tcMar>
              <w:top w:w="0" w:type="dxa"/>
              <w:left w:w="51" w:type="dxa"/>
              <w:bottom w:w="0" w:type="dxa"/>
              <w:right w:w="51" w:type="dxa"/>
            </w:tcMar>
            <w:vAlign w:val="center"/>
          </w:tcPr>
          <w:p>
            <w:pPr>
              <w:pStyle w:val="7"/>
              <w:adjustRightInd w:val="0"/>
              <w:snapToGrid w:val="0"/>
              <w:ind w:firstLine="0" w:firstLineChars="0"/>
              <w:jc w:val="center"/>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none"/>
                <w:lang w:eastAsia="zh-CN"/>
              </w:rPr>
              <w:t>最小送货量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吨</w:t>
            </w:r>
            <w:r>
              <w:rPr>
                <w:rFonts w:hint="eastAsia" w:ascii="仿宋" w:hAnsi="仿宋" w:eastAsia="仿宋" w:cs="仿宋"/>
                <w:color w:val="FF0000"/>
                <w:sz w:val="24"/>
                <w:szCs w:val="24"/>
                <w:highlight w:val="none"/>
                <w:lang w:eastAsia="zh-CN"/>
              </w:rPr>
              <w:t xml:space="preserve"> </w:t>
            </w:r>
          </w:p>
        </w:tc>
      </w:tr>
    </w:tbl>
    <w:p>
      <w:pPr>
        <w:pStyle w:val="7"/>
        <w:spacing w:line="257" w:lineRule="auto"/>
        <w:ind w:left="0" w:leftChars="0" w:right="122" w:firstLine="600" w:firstLineChars="200"/>
        <w:rPr>
          <w:rFonts w:hint="eastAsia" w:ascii="仿宋" w:hAnsi="仿宋" w:eastAsia="仿宋" w:cs="仿宋"/>
          <w:sz w:val="30"/>
          <w:szCs w:val="30"/>
        </w:rPr>
      </w:pPr>
      <w:r>
        <w:rPr>
          <w:rFonts w:hint="eastAsia" w:ascii="仿宋" w:hAnsi="仿宋" w:eastAsia="仿宋" w:cs="仿宋"/>
          <w:sz w:val="30"/>
          <w:szCs w:val="30"/>
        </w:rPr>
        <w:t>备注：合同有效期内，分批次送货，一次性结算。</w:t>
      </w:r>
    </w:p>
    <w:p>
      <w:pPr>
        <w:pStyle w:val="7"/>
        <w:numPr>
          <w:ilvl w:val="0"/>
          <w:numId w:val="2"/>
        </w:numPr>
        <w:spacing w:line="257" w:lineRule="auto"/>
        <w:ind w:right="122" w:firstLine="0" w:firstLineChars="0"/>
        <w:rPr>
          <w:rFonts w:hint="eastAsia" w:ascii="仿宋" w:hAnsi="仿宋" w:eastAsia="仿宋" w:cs="仿宋"/>
          <w:bCs/>
          <w:sz w:val="32"/>
          <w:szCs w:val="32"/>
        </w:rPr>
      </w:pPr>
      <w:r>
        <w:rPr>
          <w:rFonts w:hint="eastAsia" w:ascii="仿宋" w:hAnsi="仿宋" w:eastAsia="仿宋" w:cs="仿宋"/>
          <w:bCs/>
          <w:sz w:val="32"/>
          <w:szCs w:val="32"/>
        </w:rPr>
        <w:t>技术要求</w:t>
      </w:r>
    </w:p>
    <w:p>
      <w:pPr>
        <w:pStyle w:val="4"/>
        <w:numPr>
          <w:ilvl w:val="0"/>
          <w:numId w:val="3"/>
        </w:numPr>
        <w:spacing w:line="360" w:lineRule="auto"/>
        <w:ind w:left="0" w:firstLine="0"/>
        <w:rPr>
          <w:rFonts w:ascii="仿宋" w:hAnsi="仿宋" w:eastAsia="仿宋" w:cs="仿宋"/>
          <w:sz w:val="32"/>
          <w:szCs w:val="32"/>
        </w:rPr>
      </w:pPr>
      <w:r>
        <w:rPr>
          <w:rFonts w:hint="eastAsia" w:ascii="仿宋" w:hAnsi="仿宋" w:eastAsia="仿宋" w:cs="仿宋"/>
          <w:sz w:val="32"/>
          <w:szCs w:val="32"/>
        </w:rPr>
        <w:t>产品技术指标</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本次采购的低渗储层储保增效剂按下述技术要求书描述列明的技术参数和测定方法执行。</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lang w:val="en-US" w:eastAsia="zh-CN"/>
        </w:rPr>
        <w:t xml:space="preserve">1.2 </w:t>
      </w:r>
      <w:r>
        <w:rPr>
          <w:rFonts w:hint="eastAsia" w:ascii="仿宋" w:hAnsi="仿宋" w:eastAsia="仿宋" w:cs="Times New Roman"/>
          <w:kern w:val="0"/>
          <w:sz w:val="30"/>
          <w:szCs w:val="30"/>
        </w:rPr>
        <w:t>产品技术参数</w:t>
      </w:r>
    </w:p>
    <w:p>
      <w:pPr>
        <w:autoSpaceDE w:val="0"/>
        <w:autoSpaceDN w:val="0"/>
        <w:adjustRightInd w:val="0"/>
        <w:spacing w:line="360" w:lineRule="auto"/>
        <w:jc w:val="center"/>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表</w:t>
      </w:r>
      <w:r>
        <w:rPr>
          <w:rFonts w:hint="eastAsia" w:ascii="仿宋" w:hAnsi="仿宋" w:eastAsia="仿宋" w:cs="Times New Roman"/>
          <w:kern w:val="0"/>
          <w:sz w:val="30"/>
          <w:szCs w:val="30"/>
          <w:lang w:val="en-US" w:eastAsia="zh-CN"/>
        </w:rPr>
        <w:t>1</w:t>
      </w:r>
      <w:r>
        <w:rPr>
          <w:rFonts w:hint="eastAsia" w:ascii="仿宋" w:hAnsi="仿宋" w:eastAsia="仿宋" w:cs="Times New Roman"/>
          <w:kern w:val="0"/>
          <w:sz w:val="30"/>
          <w:szCs w:val="30"/>
        </w:rPr>
        <w:t xml:space="preserve">  低渗储层储保增效剂产品指标和检测方法</w:t>
      </w:r>
    </w:p>
    <w:tbl>
      <w:tblPr>
        <w:tblStyle w:val="1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772"/>
        <w:gridCol w:w="1062"/>
        <w:gridCol w:w="1638"/>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7" w:type="dxa"/>
            <w:gridSpan w:val="3"/>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理化指标</w:t>
            </w: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棕色均匀液体</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2产品技术参数检测方法的1)部分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密度（20℃，g/cm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1.15-1.25</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按GB/T 2013-2010规定方法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restart"/>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性能指标</w:t>
            </w: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pH</w:t>
            </w:r>
            <w:r>
              <w:rPr>
                <w:rFonts w:hint="eastAsia" w:ascii="仿宋" w:hAnsi="仿宋" w:eastAsia="仿宋" w:cs="仿宋"/>
                <w:color w:val="auto"/>
                <w:sz w:val="24"/>
                <w:szCs w:val="24"/>
                <w:highlight w:val="none"/>
                <w:lang w:eastAsia="zh-CN"/>
              </w:rPr>
              <w:t>值</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按GB/T 9724-2007规定方法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碳酸钙溶蚀率（%）</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8</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2产品技术参数检测方法中的4)部分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氯离子含量(mg/L)</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000</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按GB/T 11896-89规定方法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有机氯含量（mg/L）</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0</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按照SY/T 7329-2016规定方法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2766" w:type="dxa"/>
            <w:gridSpan w:val="2"/>
            <w:tcMar>
              <w:top w:w="0" w:type="dxa"/>
              <w:left w:w="51" w:type="dxa"/>
              <w:bottom w:w="0" w:type="dxa"/>
              <w:right w:w="51"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总磷含量</w:t>
            </w:r>
            <w:r>
              <w:rPr>
                <w:rFonts w:hint="eastAsia" w:ascii="仿宋" w:hAnsi="仿宋" w:eastAsia="仿宋" w:cs="仿宋"/>
                <w:color w:val="auto"/>
                <w:sz w:val="24"/>
                <w:szCs w:val="24"/>
                <w:highlight w:val="none"/>
                <w:lang w:eastAsia="zh-CN"/>
              </w:rPr>
              <w:t>（mg/L）</w:t>
            </w:r>
          </w:p>
        </w:tc>
        <w:tc>
          <w:tcPr>
            <w:tcW w:w="1649" w:type="dxa"/>
            <w:tcMar>
              <w:top w:w="0" w:type="dxa"/>
              <w:left w:w="51" w:type="dxa"/>
              <w:bottom w:w="0" w:type="dxa"/>
              <w:right w:w="51"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w:t>
            </w:r>
          </w:p>
        </w:tc>
        <w:tc>
          <w:tcPr>
            <w:tcW w:w="3860" w:type="dxa"/>
            <w:tcMar>
              <w:top w:w="0" w:type="dxa"/>
              <w:left w:w="51" w:type="dxa"/>
              <w:bottom w:w="0" w:type="dxa"/>
              <w:right w:w="51"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按GB/T 43098.1标准执行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硝酸离子含量(定性)</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2产品技术参数检测方法的7)部分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表面张力(mN/m)</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按GB/T 22237-2008规定方法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防膨率(%)</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≥90</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按SY</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T5971-2016规定方法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p>
        </w:tc>
        <w:tc>
          <w:tcPr>
            <w:tcW w:w="1786" w:type="dxa"/>
            <w:vMerge w:val="restart"/>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静态腐蚀速率(90℃），g/(m</w:t>
            </w:r>
            <w:r>
              <w:rPr>
                <w:rFonts w:hint="eastAsia" w:ascii="仿宋" w:hAnsi="仿宋" w:eastAsia="仿宋" w:cs="仿宋"/>
                <w:color w:val="auto"/>
                <w:sz w:val="24"/>
                <w:szCs w:val="24"/>
                <w:highlight w:val="none"/>
                <w:vertAlign w:val="superscript"/>
                <w:lang w:eastAsia="zh-CN"/>
              </w:rPr>
              <w:t>2</w:t>
            </w:r>
            <w:r>
              <w:rPr>
                <w:rFonts w:hint="eastAsia" w:ascii="仿宋" w:hAnsi="仿宋" w:eastAsia="仿宋" w:cs="仿宋"/>
                <w:color w:val="auto"/>
                <w:sz w:val="24"/>
                <w:szCs w:val="24"/>
                <w:highlight w:val="none"/>
                <w:lang w:eastAsia="zh-CN"/>
              </w:rPr>
              <w:t>·h)</w:t>
            </w:r>
          </w:p>
        </w:tc>
        <w:tc>
          <w:tcPr>
            <w:tcW w:w="98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N80</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6.0</w:t>
            </w:r>
          </w:p>
        </w:tc>
        <w:tc>
          <w:tcPr>
            <w:tcW w:w="3860" w:type="dxa"/>
            <w:vMerge w:val="restart"/>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引用</w:t>
            </w:r>
            <w:r>
              <w:rPr>
                <w:rFonts w:hint="eastAsia" w:ascii="仿宋" w:hAnsi="仿宋" w:eastAsia="仿宋" w:cs="仿宋"/>
                <w:color w:val="auto"/>
                <w:sz w:val="24"/>
                <w:szCs w:val="24"/>
                <w:highlight w:val="none"/>
              </w:rPr>
              <w:t>SY/T 5405-2019</w:t>
            </w:r>
            <w:r>
              <w:rPr>
                <w:rFonts w:hint="eastAsia" w:ascii="仿宋" w:hAnsi="仿宋" w:eastAsia="仿宋" w:cs="仿宋"/>
                <w:color w:val="auto"/>
                <w:sz w:val="24"/>
                <w:szCs w:val="24"/>
                <w:highlight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p>
        </w:tc>
        <w:tc>
          <w:tcPr>
            <w:tcW w:w="1786"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98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L80-13Cr</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6.0</w:t>
            </w:r>
          </w:p>
        </w:tc>
        <w:tc>
          <w:tcPr>
            <w:tcW w:w="3860"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高温稳定性（120℃）</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无沉淀，清澈透明</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2产品技术参数检测方法的14)部分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Merge w:val="continue"/>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p>
        </w:tc>
        <w:tc>
          <w:tcPr>
            <w:tcW w:w="2766" w:type="dxa"/>
            <w:gridSpan w:val="2"/>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乳化率(%)</w:t>
            </w:r>
          </w:p>
        </w:tc>
        <w:tc>
          <w:tcPr>
            <w:tcW w:w="1649"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w:t>
            </w:r>
          </w:p>
        </w:tc>
        <w:tc>
          <w:tcPr>
            <w:tcW w:w="3860"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2产品技术参数检测方法的15)部分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Mar>
              <w:top w:w="0" w:type="dxa"/>
              <w:left w:w="51" w:type="dxa"/>
              <w:bottom w:w="0" w:type="dxa"/>
              <w:right w:w="51" w:type="dxa"/>
            </w:tcMar>
            <w:vAlign w:val="center"/>
          </w:tcPr>
          <w:p>
            <w:pPr>
              <w:spacing w:line="259"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c>
          <w:tcPr>
            <w:tcW w:w="8275" w:type="dxa"/>
            <w:gridSpan w:val="4"/>
            <w:tcMar>
              <w:top w:w="0" w:type="dxa"/>
              <w:left w:w="51" w:type="dxa"/>
              <w:bottom w:w="0" w:type="dxa"/>
              <w:right w:w="51" w:type="dxa"/>
            </w:tcMar>
            <w:vAlign w:val="center"/>
          </w:tcPr>
          <w:p>
            <w:pPr>
              <w:spacing w:line="25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理化指标测试配方：产品原液；</w:t>
            </w:r>
          </w:p>
          <w:p>
            <w:pPr>
              <w:spacing w:line="259"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性能指标测试配方：20g产品原液+100g水。</w:t>
            </w:r>
          </w:p>
        </w:tc>
      </w:tr>
    </w:tbl>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lang w:val="en-US" w:eastAsia="zh-CN"/>
        </w:rPr>
        <w:t>1</w:t>
      </w:r>
      <w:r>
        <w:rPr>
          <w:rFonts w:hint="eastAsia" w:ascii="仿宋" w:hAnsi="仿宋" w:eastAsia="仿宋" w:cs="Times New Roman"/>
          <w:kern w:val="0"/>
          <w:sz w:val="30"/>
          <w:szCs w:val="30"/>
        </w:rPr>
        <w:t>.2 产品技术参数检测方法</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 xml:space="preserve"> 低渗储层储保增效剂【下述要求为本产品的具体性能指标】</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1）外观（原液）</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参照如下检测方法进行测定：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目视观察。</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检验温度：室温。</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光照条件：非直射，自然光或日光灯。</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 xml:space="preserve">观察容器：比色管，或其他不影响颜色判断的透明容器。 </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2）密度（原液）：</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参照《GB/T 4472-2011化工产品密度、相对密度的测定》中“4.3.3 密度计法”测定。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以下技术参数均采用稀释后低渗储层储保增效剂测试，稀释方法：取20g低渗储层储保增效剂原液，溶解于100ml去离子水中（或按上述比例稀释），充分搅拌分散均匀。</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3）pH：</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参照《GB/T 9724-2007化学试剂 pH值的测定通则》测定。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4）碳酸钙溶蚀率：</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室温下，在100mL稀释后低渗储层储保增效剂中加入1g碳酸钙。然后参照《SY/T 5886-2018 酸化工作液性能评价方法》中“7.2溶蚀率”测定。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5）氯离子含量：</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使用10g/L氢氧化钠标准溶液将待测样品滴定至中性至弱碱性（pH值6.5-10.5之间），然后参照《GB/T 11896-1989水质 氯化物的测定 硝酸银滴定法》测定。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6）有机氯含量：</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参照《SY/T 7329-2016油田化学剂中有机氯含量测定方法》中“4方法B——氧燃烧瓶法”测定。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7）总磷含量：</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参照《GB/T 43098.1-2023水处理剂分析方法 第1部分：磷含量的测定》中8 总磷含量的测定 。</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8）硝酸根离子含量：</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取配制的样品溶液20mL待测样品于试管中，向试管中滴加2mL 0.5mol/L硫酸亚铁（FeSO₄）溶液，沿试管壁缓慢倒入分析纯浓硫酸（H₂SO₄），形成明显的分层（下层为浓硫酸，上层为混合液）。静置片刻后，若两层液体界面处出现棕色环，则表明含有硝酸根离子，反之则不含。</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9）表面张力</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参照《SY/T 5370-2018表面及界面张力测定方法》中“4.2悬滴法”测定。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10）防膨率：</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参照《SY-T 5971-2016油气田压裂酸化及注水用黏土稳定剂性能评价方法》中“7.5 防膨率测定-离心法”测定。</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11）静态腐蚀速率（90℃）</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引用《SY/T 5405-2019 酸化用缓蚀剂性能试验方法及评价指标》标准。</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12）高温稳定性：</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取100mL配制的样品溶液置于密封瓶中，在120℃静置4h后取出，观察是否出现沉淀，溶液是否澄澈透明。</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13）乳化率：</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取5mL配制的样品溶液置于10mL带刻度的离心管中，加入5mL矿物白油，将离心管密封，上下摇动离心管不低于20下，使油水混合乳化后，在80℃下静置2h后，读取分层后的矿物白油体积，并用公式(3)计算乳化率。</w:t>
      </w:r>
    </w:p>
    <w:p>
      <w:pPr>
        <w:spacing w:line="360" w:lineRule="auto"/>
        <w:ind w:left="210" w:leftChars="100" w:firstLine="420" w:firstLineChars="200"/>
        <w:jc w:val="center"/>
        <w:rPr>
          <w:rFonts w:ascii="Times New Roman" w:hAnsi="Times New Roman" w:eastAsia="微软雅黑" w:cs="Times New Roman"/>
          <w:color w:val="auto"/>
          <w:sz w:val="21"/>
          <w:szCs w:val="21"/>
          <w:highlight w:val="none"/>
          <w:lang w:eastAsia="zh-CN"/>
        </w:rPr>
      </w:pPr>
      <m:oMath>
        <m:r>
          <m:rPr/>
          <w:rPr>
            <w:rFonts w:ascii="Cambria Math" w:hAnsi="Cambria Math" w:eastAsia="微软雅黑" w:cs="Times New Roman"/>
            <w:color w:val="auto"/>
            <w:sz w:val="21"/>
            <w:szCs w:val="21"/>
            <w:highlight w:val="none"/>
            <w:lang w:eastAsia="zh-CN"/>
          </w:rPr>
          <m:t>R</m:t>
        </m:r>
      </m:oMath>
      <w:r>
        <w:rPr>
          <w:rFonts w:ascii="Times New Roman" w:hAnsi="Times New Roman" w:eastAsia="微软雅黑" w:cs="Times New Roman"/>
          <w:color w:val="auto"/>
          <w:sz w:val="21"/>
          <w:szCs w:val="21"/>
          <w:highlight w:val="none"/>
          <w:lang w:eastAsia="zh-CN"/>
        </w:rPr>
        <w:t>=</w:t>
      </w:r>
      <m:oMath>
        <m:f>
          <m:fPr>
            <m:ctrlPr>
              <w:rPr>
                <w:rFonts w:ascii="Cambria Math" w:hAnsi="Cambria Math" w:eastAsia="微软雅黑" w:cs="Times New Roman"/>
                <w:color w:val="auto"/>
                <w:sz w:val="21"/>
                <w:szCs w:val="21"/>
                <w:highlight w:val="none"/>
                <w:lang w:eastAsia="zh-CN"/>
              </w:rPr>
            </m:ctrlPr>
          </m:fPr>
          <m:num>
            <m:r>
              <m:rPr>
                <m:sty m:val="p"/>
              </m:rPr>
              <w:rPr>
                <w:rFonts w:ascii="Cambria Math" w:hAnsi="Cambria Math" w:eastAsia="微软雅黑" w:cs="Times New Roman"/>
                <w:color w:val="auto"/>
                <w:sz w:val="21"/>
                <w:szCs w:val="21"/>
                <w:highlight w:val="none"/>
                <w:lang w:eastAsia="zh-CN"/>
              </w:rPr>
              <m:t>5−P</m:t>
            </m:r>
            <m:ctrlPr>
              <w:rPr>
                <w:rFonts w:ascii="Cambria Math" w:hAnsi="Cambria Math" w:eastAsia="微软雅黑" w:cs="Times New Roman"/>
                <w:color w:val="auto"/>
                <w:sz w:val="21"/>
                <w:szCs w:val="21"/>
                <w:highlight w:val="none"/>
                <w:lang w:eastAsia="zh-CN"/>
              </w:rPr>
            </m:ctrlPr>
          </m:num>
          <m:den>
            <m:r>
              <m:rPr>
                <m:sty m:val="p"/>
              </m:rPr>
              <w:rPr>
                <w:rFonts w:ascii="Cambria Math" w:hAnsi="Cambria Math" w:eastAsia="微软雅黑" w:cs="Times New Roman"/>
                <w:color w:val="auto"/>
                <w:sz w:val="21"/>
                <w:szCs w:val="21"/>
                <w:highlight w:val="none"/>
                <w:lang w:eastAsia="zh-CN"/>
              </w:rPr>
              <m:t>5</m:t>
            </m:r>
            <m:ctrlPr>
              <w:rPr>
                <w:rFonts w:ascii="Cambria Math" w:hAnsi="Cambria Math" w:eastAsia="微软雅黑" w:cs="Times New Roman"/>
                <w:color w:val="auto"/>
                <w:sz w:val="21"/>
                <w:szCs w:val="21"/>
                <w:highlight w:val="none"/>
                <w:lang w:eastAsia="zh-CN"/>
              </w:rPr>
            </m:ctrlPr>
          </m:den>
        </m:f>
        <m:r>
          <m:rPr>
            <m:sty m:val="p"/>
          </m:rPr>
          <w:rPr>
            <w:rFonts w:ascii="Cambria Math" w:hAnsi="Cambria Math" w:eastAsia="微软雅黑" w:cs="Times New Roman"/>
            <w:color w:val="auto"/>
            <w:sz w:val="21"/>
            <w:szCs w:val="21"/>
            <w:highlight w:val="none"/>
            <w:lang w:eastAsia="zh-CN"/>
          </w:rPr>
          <m:t>×100%</m:t>
        </m:r>
      </m:oMath>
      <w:r>
        <w:rPr>
          <w:rFonts w:ascii="Times New Roman" w:hAnsi="Times New Roman" w:eastAsia="微软雅黑" w:cs="Times New Roman"/>
          <w:color w:val="auto"/>
          <w:sz w:val="21"/>
          <w:szCs w:val="21"/>
          <w:highlight w:val="none"/>
          <w:lang w:eastAsia="zh-CN"/>
        </w:rPr>
        <w:t xml:space="preserve"> </w:t>
      </w:r>
      <w:r>
        <w:rPr>
          <w:rFonts w:hint="eastAsia" w:ascii="Times New Roman" w:hAnsi="Times New Roman" w:eastAsia="微软雅黑" w:cs="Times New Roman"/>
          <w:color w:val="auto"/>
          <w:sz w:val="21"/>
          <w:szCs w:val="21"/>
          <w:highlight w:val="none"/>
          <w:lang w:val="en-US" w:eastAsia="zh-CN"/>
        </w:rPr>
        <w:t>······························</w:t>
      </w:r>
      <w:r>
        <w:rPr>
          <w:rFonts w:ascii="Times New Roman" w:hAnsi="Times New Roman" w:eastAsia="微软雅黑" w:cs="Times New Roman"/>
          <w:color w:val="auto"/>
          <w:sz w:val="21"/>
          <w:szCs w:val="21"/>
          <w:highlight w:val="none"/>
          <w:lang w:eastAsia="zh-CN"/>
        </w:rPr>
        <w:t>（</w:t>
      </w:r>
      <w:r>
        <w:rPr>
          <w:rFonts w:hint="eastAsia" w:ascii="Times New Roman" w:hAnsi="Times New Roman" w:eastAsia="微软雅黑" w:cs="Times New Roman"/>
          <w:color w:val="auto"/>
          <w:sz w:val="21"/>
          <w:szCs w:val="21"/>
          <w:highlight w:val="none"/>
          <w:lang w:eastAsia="zh-CN"/>
        </w:rPr>
        <w:t>3</w:t>
      </w:r>
      <w:r>
        <w:rPr>
          <w:rFonts w:ascii="Times New Roman" w:hAnsi="Times New Roman" w:eastAsia="微软雅黑" w:cs="Times New Roman"/>
          <w:color w:val="auto"/>
          <w:sz w:val="21"/>
          <w:szCs w:val="21"/>
          <w:highlight w:val="none"/>
          <w:lang w:eastAsia="zh-CN"/>
        </w:rPr>
        <w:t>）</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式中：</w:t>
      </w:r>
      <w:r>
        <w:rPr>
          <w:rFonts w:hint="eastAsia" w:ascii="仿宋" w:hAnsi="仿宋" w:eastAsia="仿宋" w:cs="Times New Roman"/>
          <w:kern w:val="0"/>
          <w:sz w:val="30"/>
          <w:szCs w:val="30"/>
          <w:lang w:val="en-US" w:eastAsia="zh-CN"/>
        </w:rPr>
        <w:t>R</w:t>
      </w:r>
      <w:r>
        <w:rPr>
          <w:rFonts w:hint="eastAsia" w:ascii="仿宋" w:hAnsi="仿宋" w:eastAsia="仿宋" w:cs="Times New Roman"/>
          <w:kern w:val="0"/>
          <w:sz w:val="30"/>
          <w:szCs w:val="30"/>
        </w:rPr>
        <w:t xml:space="preserve">—乳化率，%；P—静置后上层油的体积，mL。 </w:t>
      </w:r>
    </w:p>
    <w:p>
      <w:pPr>
        <w:autoSpaceDE w:val="0"/>
        <w:autoSpaceDN w:val="0"/>
        <w:adjustRightInd w:val="0"/>
        <w:spacing w:line="360" w:lineRule="auto"/>
        <w:jc w:val="left"/>
        <w:outlineLvl w:val="1"/>
        <w:rPr>
          <w:rFonts w:hint="eastAsia" w:ascii="仿宋" w:hAnsi="仿宋" w:eastAsia="仿宋" w:cs="Times New Roman"/>
          <w:kern w:val="0"/>
          <w:sz w:val="30"/>
          <w:szCs w:val="30"/>
          <w:lang w:val="en-US" w:eastAsia="zh-CN"/>
        </w:rPr>
      </w:pPr>
      <w:r>
        <w:rPr>
          <w:rFonts w:hint="eastAsia" w:ascii="仿宋" w:hAnsi="仿宋" w:eastAsia="仿宋" w:cs="Times New Roman"/>
          <w:kern w:val="0"/>
          <w:sz w:val="30"/>
          <w:szCs w:val="30"/>
          <w:lang w:val="en-US" w:eastAsia="zh-CN"/>
        </w:rPr>
        <w:t>2.产品包装：</w:t>
      </w:r>
    </w:p>
    <w:p>
      <w:pPr>
        <w:autoSpaceDE w:val="0"/>
        <w:autoSpaceDN w:val="0"/>
        <w:adjustRightInd w:val="0"/>
        <w:spacing w:line="360" w:lineRule="auto"/>
        <w:jc w:val="left"/>
        <w:outlineLvl w:val="1"/>
        <w:rPr>
          <w:rFonts w:hint="eastAsia" w:ascii="仿宋" w:hAnsi="仿宋" w:eastAsia="仿宋" w:cs="Times New Roman"/>
          <w:kern w:val="0"/>
          <w:sz w:val="30"/>
          <w:szCs w:val="30"/>
        </w:rPr>
      </w:pPr>
      <w:r>
        <w:rPr>
          <w:rFonts w:hint="eastAsia" w:ascii="仿宋" w:hAnsi="仿宋" w:eastAsia="仿宋" w:cs="Times New Roman"/>
          <w:kern w:val="0"/>
          <w:sz w:val="30"/>
          <w:szCs w:val="30"/>
        </w:rPr>
        <w:t>包装要求为1000KG/桶（IBC吨桶）。</w:t>
      </w:r>
    </w:p>
    <w:p>
      <w:pPr>
        <w:pStyle w:val="32"/>
        <w:spacing w:before="120" w:after="120" w:line="360" w:lineRule="auto"/>
        <w:outlineLvl w:val="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rPr>
        <w:t>三、</w:t>
      </w:r>
      <w:r>
        <w:rPr>
          <w:rFonts w:hint="eastAsia" w:ascii="Times New Roman" w:hAnsi="Times New Roman" w:eastAsia="仿宋_GB2312" w:cs="Times New Roman"/>
          <w:color w:val="auto"/>
          <w:sz w:val="32"/>
          <w:szCs w:val="32"/>
        </w:rPr>
        <w:t>项目联系人</w:t>
      </w:r>
    </w:p>
    <w:p>
      <w:pPr>
        <w:tabs>
          <w:tab w:val="left" w:pos="993"/>
          <w:tab w:val="left" w:pos="1134"/>
          <w:tab w:val="left" w:pos="1418"/>
        </w:tabs>
        <w:spacing w:line="600" w:lineRule="exact"/>
        <w:ind w:firstLine="640" w:firstLineChars="200"/>
        <w:outlineLvl w:val="0"/>
        <w:rPr>
          <w:rFonts w:ascii="Times New Roman" w:hAnsi="Times New Roman" w:eastAsia="仿宋_GB2312" w:cs="Times New Roman"/>
          <w:sz w:val="28"/>
          <w:szCs w:val="28"/>
        </w:rPr>
      </w:pPr>
      <w:r>
        <w:rPr>
          <w:rFonts w:hint="eastAsia" w:ascii="Times New Roman" w:hAnsi="Times New Roman" w:eastAsia="仿宋_GB2312" w:cs="Times New Roman"/>
          <w:sz w:val="32"/>
          <w:szCs w:val="32"/>
        </w:rPr>
        <w:t>请感兴趣的供应商于2025年08月1</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日17:00前，与我方联系人接洽。</w:t>
      </w:r>
    </w:p>
    <w:p>
      <w:pPr>
        <w:tabs>
          <w:tab w:val="left" w:pos="993"/>
          <w:tab w:val="left" w:pos="1134"/>
          <w:tab w:val="left" w:pos="1418"/>
        </w:tabs>
        <w:spacing w:line="60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联系人：刘凤霞</w:t>
      </w:r>
    </w:p>
    <w:p>
      <w:pPr>
        <w:tabs>
          <w:tab w:val="left" w:pos="993"/>
          <w:tab w:val="left" w:pos="1134"/>
          <w:tab w:val="left" w:pos="1418"/>
        </w:tabs>
        <w:spacing w:line="60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  话：022-25801528</w:t>
      </w:r>
    </w:p>
    <w:p>
      <w:pPr>
        <w:tabs>
          <w:tab w:val="left" w:pos="993"/>
          <w:tab w:val="left" w:pos="1134"/>
          <w:tab w:val="left" w:pos="1418"/>
        </w:tabs>
        <w:spacing w:line="60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  箱：</w:t>
      </w:r>
      <w:r>
        <w:fldChar w:fldCharType="begin"/>
      </w:r>
      <w:r>
        <w:instrText xml:space="preserve"> HYPERLINK "mailto:liufx2@cnooc.com.cn" </w:instrText>
      </w:r>
      <w:r>
        <w:fldChar w:fldCharType="separate"/>
      </w:r>
      <w:r>
        <w:rPr>
          <w:rFonts w:hint="eastAsia" w:ascii="Times New Roman" w:hAnsi="Times New Roman" w:eastAsia="仿宋_GB2312" w:cs="Times New Roman"/>
          <w:sz w:val="32"/>
          <w:szCs w:val="32"/>
        </w:rPr>
        <w:t>liufx2@cnooc.com.cn</w:t>
      </w:r>
      <w:r>
        <w:rPr>
          <w:rFonts w:hint="eastAsia" w:ascii="Times New Roman" w:hAnsi="Times New Roman" w:eastAsia="仿宋_GB2312" w:cs="Times New Roman"/>
          <w:sz w:val="32"/>
          <w:szCs w:val="32"/>
        </w:rPr>
        <w:fldChar w:fldCharType="end"/>
      </w:r>
      <w:bookmarkStart w:id="4" w:name="_GoBack"/>
      <w:bookmarkEnd w:id="4"/>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r>
        <w:rPr>
          <w:rFonts w:hint="eastAsia" w:ascii="Times New Roman" w:hAnsi="Times New Roman" w:eastAsia="仿宋_GB2312" w:cs="Times New Roman"/>
          <w:sz w:val="32"/>
          <w:szCs w:val="32"/>
        </w:rPr>
        <w:t xml:space="preserve">附件2供应商资质基本要求 </w:t>
      </w:r>
    </w:p>
    <w:tbl>
      <w:tblPr>
        <w:tblStyle w:val="16"/>
        <w:tblW w:w="5045" w:type="pct"/>
        <w:jc w:val="center"/>
        <w:tblLayout w:type="autofit"/>
        <w:tblCellMar>
          <w:top w:w="0" w:type="dxa"/>
          <w:left w:w="0" w:type="dxa"/>
          <w:bottom w:w="0" w:type="dxa"/>
          <w:right w:w="0" w:type="dxa"/>
        </w:tblCellMar>
      </w:tblPr>
      <w:tblGrid>
        <w:gridCol w:w="1318"/>
        <w:gridCol w:w="7076"/>
      </w:tblGrid>
      <w:tr>
        <w:tblPrEx>
          <w:tblCellMar>
            <w:top w:w="0" w:type="dxa"/>
            <w:left w:w="0" w:type="dxa"/>
            <w:bottom w:w="0" w:type="dxa"/>
            <w:right w:w="0" w:type="dxa"/>
          </w:tblCellMar>
        </w:tblPrEx>
        <w:trPr>
          <w:trHeight w:val="2895" w:hRule="atLeast"/>
          <w:jc w:val="center"/>
        </w:trPr>
        <w:tc>
          <w:tcPr>
            <w:tcW w:w="785" w:type="pct"/>
            <w:tcBorders>
              <w:top w:val="single" w:color="000000" w:sz="4" w:space="0"/>
              <w:left w:val="single" w:color="000000" w:sz="6" w:space="0"/>
              <w:bottom w:val="single" w:color="000000" w:sz="4" w:space="0"/>
              <w:right w:val="single" w:color="000000" w:sz="4" w:space="0"/>
            </w:tcBorders>
            <w:vAlign w:val="center"/>
          </w:tcPr>
          <w:p>
            <w:pPr>
              <w:pStyle w:val="47"/>
              <w:spacing w:line="300" w:lineRule="exact"/>
              <w:jc w:val="center"/>
              <w:rPr>
                <w:rFonts w:hint="eastAsia" w:ascii="仿宋" w:hAnsi="仿宋" w:eastAsia="仿宋" w:cs="Calibri"/>
                <w:b/>
                <w:bCs/>
                <w:color w:val="FF0000"/>
                <w:sz w:val="21"/>
                <w:szCs w:val="21"/>
                <w:highlight w:val="yellow"/>
                <w:lang w:eastAsia="zh-CN"/>
              </w:rPr>
            </w:pPr>
            <w:r>
              <w:rPr>
                <w:rFonts w:hint="eastAsia" w:ascii="仿宋" w:hAnsi="仿宋" w:eastAsia="仿宋" w:cs="Calibri"/>
                <w:b/>
                <w:bCs/>
                <w:sz w:val="28"/>
                <w:szCs w:val="28"/>
                <w:lang w:eastAsia="zh-CN"/>
              </w:rPr>
              <w:t>资质要求</w:t>
            </w:r>
          </w:p>
          <w:p>
            <w:pPr>
              <w:pStyle w:val="47"/>
              <w:spacing w:line="300" w:lineRule="exact"/>
              <w:jc w:val="center"/>
              <w:rPr>
                <w:rFonts w:hint="eastAsia" w:ascii="仿宋" w:hAnsi="仿宋" w:eastAsia="仿宋" w:cs="Calibri"/>
                <w:sz w:val="21"/>
                <w:szCs w:val="21"/>
                <w:lang w:eastAsia="zh-CN"/>
              </w:rPr>
            </w:pPr>
          </w:p>
        </w:tc>
        <w:tc>
          <w:tcPr>
            <w:tcW w:w="4214" w:type="pct"/>
            <w:tcBorders>
              <w:top w:val="single" w:color="000000" w:sz="4" w:space="0"/>
              <w:left w:val="nil"/>
              <w:bottom w:val="single" w:color="000000" w:sz="4" w:space="0"/>
              <w:right w:val="single" w:color="000000" w:sz="4" w:space="0"/>
            </w:tcBorders>
            <w:vAlign w:val="center"/>
          </w:tcPr>
          <w:p>
            <w:pPr>
              <w:pStyle w:val="47"/>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1.申请人须是中华人民共和国境内注册的独立法人单位，具有合法有效的企业法人营业执照、税务登记证及组织机构代码证或证照合一的营业执照。</w:t>
            </w:r>
          </w:p>
          <w:p>
            <w:pPr>
              <w:pStyle w:val="47"/>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2.申请人须是中华人民共和国境内具有独立承担民事责任能力的法人，或具备国家认可经营资格的其他组织。 </w:t>
            </w:r>
          </w:p>
          <w:p>
            <w:pPr>
              <w:pStyle w:val="47"/>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3.本项目仅限制造商参与，制造商需提供质量认证体系、厂房和关键设备的购买合同或发票。同时提供近三年已完成的一个解堵药剂或与其相关的油田化学药剂的业绩销售合同等证明材料。</w:t>
            </w:r>
          </w:p>
        </w:tc>
      </w:tr>
    </w:tbl>
    <w:p>
      <w:pPr>
        <w:pStyle w:val="15"/>
        <w:ind w:firstLine="640"/>
        <w:rPr>
          <w:rFonts w:ascii="Times New Roman" w:hAnsi="Times New Roman" w:eastAsia="仿宋_GB2312" w:cs="Times New Roman"/>
          <w:sz w:val="32"/>
          <w:szCs w:val="32"/>
        </w:rPr>
      </w:pPr>
    </w:p>
    <w:p>
      <w:pPr>
        <w:tabs>
          <w:tab w:val="left" w:pos="993"/>
          <w:tab w:val="left" w:pos="1134"/>
          <w:tab w:val="left" w:pos="1418"/>
        </w:tabs>
        <w:spacing w:line="600" w:lineRule="exact"/>
        <w:ind w:firstLine="640" w:firstLineChars="200"/>
        <w:outlineLvl w:val="0"/>
        <w:rPr>
          <w:rFonts w:ascii="Times New Roman" w:hAnsi="Times New Roman" w:eastAsia="仿宋" w:cs="Times New Roman"/>
          <w:kern w:val="0"/>
          <w:sz w:val="24"/>
          <w:szCs w:val="24"/>
        </w:rPr>
      </w:pPr>
      <w:r>
        <w:rPr>
          <w:rFonts w:hint="eastAsia" w:ascii="Times New Roman" w:hAnsi="Times New Roman" w:eastAsia="仿宋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IDFont+F4">
    <w:altName w:val="Times New Roman"/>
    <w:panose1 w:val="00000000000000000000"/>
    <w:charset w:val="00"/>
    <w:family w:val="roman"/>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7900891"/>
    <w:multiLevelType w:val="singleLevel"/>
    <w:tmpl w:val="57900891"/>
    <w:lvl w:ilvl="0" w:tentative="0">
      <w:start w:val="2"/>
      <w:numFmt w:val="chineseCounting"/>
      <w:suff w:val="nothing"/>
      <w:lvlText w:val="%1、"/>
      <w:lvlJc w:val="left"/>
      <w:rPr>
        <w:rFonts w:hint="eastAsia"/>
      </w:rPr>
    </w:lvl>
  </w:abstractNum>
  <w:abstractNum w:abstractNumId="2">
    <w:nsid w:val="5D765B25"/>
    <w:multiLevelType w:val="singleLevel"/>
    <w:tmpl w:val="5D765B25"/>
    <w:lvl w:ilvl="0" w:tentative="0">
      <w:start w:val="1"/>
      <w:numFmt w:val="decimal"/>
      <w:lvlText w:val="%1."/>
      <w:lvlJc w:val="left"/>
      <w:pPr>
        <w:ind w:left="425" w:hanging="425"/>
      </w:pPr>
      <w:rPr>
        <w:rFonts w:hint="default" w:ascii="仿宋" w:hAnsi="仿宋" w:eastAsia="仿宋" w:cs="仿宋"/>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AB"/>
    <w:rsid w:val="00030BDC"/>
    <w:rsid w:val="000B4759"/>
    <w:rsid w:val="002A4A28"/>
    <w:rsid w:val="002E3C4A"/>
    <w:rsid w:val="004029A6"/>
    <w:rsid w:val="00417C41"/>
    <w:rsid w:val="004251AC"/>
    <w:rsid w:val="004C6673"/>
    <w:rsid w:val="005131F9"/>
    <w:rsid w:val="005E0503"/>
    <w:rsid w:val="005E5C37"/>
    <w:rsid w:val="00645175"/>
    <w:rsid w:val="006676DD"/>
    <w:rsid w:val="006E11E8"/>
    <w:rsid w:val="00723EF6"/>
    <w:rsid w:val="00730D9E"/>
    <w:rsid w:val="00783190"/>
    <w:rsid w:val="00A04B47"/>
    <w:rsid w:val="00A06C9D"/>
    <w:rsid w:val="00A46152"/>
    <w:rsid w:val="00A7425B"/>
    <w:rsid w:val="00AC40BB"/>
    <w:rsid w:val="00AE20AB"/>
    <w:rsid w:val="00B16C65"/>
    <w:rsid w:val="00B84CE4"/>
    <w:rsid w:val="00BC0DA1"/>
    <w:rsid w:val="00C019BB"/>
    <w:rsid w:val="00C0616B"/>
    <w:rsid w:val="00C43A69"/>
    <w:rsid w:val="00CB201A"/>
    <w:rsid w:val="00CE75D8"/>
    <w:rsid w:val="00D055BF"/>
    <w:rsid w:val="00D31571"/>
    <w:rsid w:val="00DB6423"/>
    <w:rsid w:val="00ED277A"/>
    <w:rsid w:val="00F20874"/>
    <w:rsid w:val="00F80603"/>
    <w:rsid w:val="040A1E70"/>
    <w:rsid w:val="048F35D4"/>
    <w:rsid w:val="04943A4B"/>
    <w:rsid w:val="04977B74"/>
    <w:rsid w:val="05741995"/>
    <w:rsid w:val="05942BB2"/>
    <w:rsid w:val="0776344D"/>
    <w:rsid w:val="081372A3"/>
    <w:rsid w:val="082F03E7"/>
    <w:rsid w:val="09E229FF"/>
    <w:rsid w:val="0ACC6D0D"/>
    <w:rsid w:val="0B8F0D48"/>
    <w:rsid w:val="0C291ADC"/>
    <w:rsid w:val="0D4D5B78"/>
    <w:rsid w:val="0D714A1C"/>
    <w:rsid w:val="0D7B19C1"/>
    <w:rsid w:val="0E806867"/>
    <w:rsid w:val="0FC270C4"/>
    <w:rsid w:val="10697A6E"/>
    <w:rsid w:val="10C2608D"/>
    <w:rsid w:val="117F6B73"/>
    <w:rsid w:val="11EF2364"/>
    <w:rsid w:val="12784FB1"/>
    <w:rsid w:val="12AC0A51"/>
    <w:rsid w:val="13152ADA"/>
    <w:rsid w:val="137C5044"/>
    <w:rsid w:val="13862438"/>
    <w:rsid w:val="14455E90"/>
    <w:rsid w:val="14EC2460"/>
    <w:rsid w:val="172872C1"/>
    <w:rsid w:val="172E5757"/>
    <w:rsid w:val="17756E0B"/>
    <w:rsid w:val="1798088A"/>
    <w:rsid w:val="19E52070"/>
    <w:rsid w:val="1A6A52E6"/>
    <w:rsid w:val="1AA81F13"/>
    <w:rsid w:val="1C0A3A74"/>
    <w:rsid w:val="1C464D57"/>
    <w:rsid w:val="1C7162B9"/>
    <w:rsid w:val="1CD41208"/>
    <w:rsid w:val="1CE50BAF"/>
    <w:rsid w:val="1D9C1407"/>
    <w:rsid w:val="1DC50850"/>
    <w:rsid w:val="1E3A297A"/>
    <w:rsid w:val="1EA75ED9"/>
    <w:rsid w:val="1EB573ED"/>
    <w:rsid w:val="1F120D17"/>
    <w:rsid w:val="1FA612BC"/>
    <w:rsid w:val="22693D06"/>
    <w:rsid w:val="23173B06"/>
    <w:rsid w:val="233C56B5"/>
    <w:rsid w:val="23F57BEE"/>
    <w:rsid w:val="246C71B0"/>
    <w:rsid w:val="257C3CBC"/>
    <w:rsid w:val="260B115D"/>
    <w:rsid w:val="26704A11"/>
    <w:rsid w:val="26B52555"/>
    <w:rsid w:val="26D11723"/>
    <w:rsid w:val="27F92C9D"/>
    <w:rsid w:val="283A0B0A"/>
    <w:rsid w:val="28E120D3"/>
    <w:rsid w:val="296069B8"/>
    <w:rsid w:val="2AC563B9"/>
    <w:rsid w:val="2AC75B7A"/>
    <w:rsid w:val="2C350E1F"/>
    <w:rsid w:val="2D7422D9"/>
    <w:rsid w:val="2DCC6724"/>
    <w:rsid w:val="2DCE7635"/>
    <w:rsid w:val="2DD75885"/>
    <w:rsid w:val="2ED92B7B"/>
    <w:rsid w:val="2EFF5A33"/>
    <w:rsid w:val="31163769"/>
    <w:rsid w:val="31666CCD"/>
    <w:rsid w:val="32002246"/>
    <w:rsid w:val="327B35FC"/>
    <w:rsid w:val="33987048"/>
    <w:rsid w:val="34301D95"/>
    <w:rsid w:val="34632613"/>
    <w:rsid w:val="356633BF"/>
    <w:rsid w:val="362F1587"/>
    <w:rsid w:val="37215836"/>
    <w:rsid w:val="37386FD5"/>
    <w:rsid w:val="37643EED"/>
    <w:rsid w:val="37CF3414"/>
    <w:rsid w:val="380E4447"/>
    <w:rsid w:val="389F6C34"/>
    <w:rsid w:val="38BC05E1"/>
    <w:rsid w:val="38F25761"/>
    <w:rsid w:val="39F56CA1"/>
    <w:rsid w:val="3ACF2226"/>
    <w:rsid w:val="3BC42B96"/>
    <w:rsid w:val="3EAE1BF0"/>
    <w:rsid w:val="3F352BE5"/>
    <w:rsid w:val="3FC25F00"/>
    <w:rsid w:val="3FC75DCD"/>
    <w:rsid w:val="425F4078"/>
    <w:rsid w:val="431F0E91"/>
    <w:rsid w:val="45375398"/>
    <w:rsid w:val="46037C0A"/>
    <w:rsid w:val="462D2326"/>
    <w:rsid w:val="466956FC"/>
    <w:rsid w:val="470C631D"/>
    <w:rsid w:val="47DC1672"/>
    <w:rsid w:val="481C418E"/>
    <w:rsid w:val="4834297E"/>
    <w:rsid w:val="49A92821"/>
    <w:rsid w:val="4AD242A4"/>
    <w:rsid w:val="4AD67AFF"/>
    <w:rsid w:val="4B457FDE"/>
    <w:rsid w:val="4C987581"/>
    <w:rsid w:val="4D1918A0"/>
    <w:rsid w:val="4D46031B"/>
    <w:rsid w:val="4E292F25"/>
    <w:rsid w:val="4E594017"/>
    <w:rsid w:val="4E726A98"/>
    <w:rsid w:val="4F126DCE"/>
    <w:rsid w:val="4F4B26A6"/>
    <w:rsid w:val="50411939"/>
    <w:rsid w:val="51495664"/>
    <w:rsid w:val="52346892"/>
    <w:rsid w:val="52B65486"/>
    <w:rsid w:val="52E812BE"/>
    <w:rsid w:val="532037F5"/>
    <w:rsid w:val="53706A9F"/>
    <w:rsid w:val="54EC25C6"/>
    <w:rsid w:val="54EF6125"/>
    <w:rsid w:val="55502006"/>
    <w:rsid w:val="566B1387"/>
    <w:rsid w:val="566C5220"/>
    <w:rsid w:val="57AE1E93"/>
    <w:rsid w:val="58383E5F"/>
    <w:rsid w:val="598D6098"/>
    <w:rsid w:val="5A7D1C84"/>
    <w:rsid w:val="5A7D3E35"/>
    <w:rsid w:val="5A9F5FAD"/>
    <w:rsid w:val="5ACA53E4"/>
    <w:rsid w:val="5BB362A0"/>
    <w:rsid w:val="5BE8125C"/>
    <w:rsid w:val="5CD575BA"/>
    <w:rsid w:val="60A0667C"/>
    <w:rsid w:val="61DE0D7F"/>
    <w:rsid w:val="61E563A7"/>
    <w:rsid w:val="626052F2"/>
    <w:rsid w:val="633656CD"/>
    <w:rsid w:val="635837C1"/>
    <w:rsid w:val="637C74FA"/>
    <w:rsid w:val="641A1F81"/>
    <w:rsid w:val="64E23E83"/>
    <w:rsid w:val="65122045"/>
    <w:rsid w:val="65576FE6"/>
    <w:rsid w:val="67056631"/>
    <w:rsid w:val="67CE260E"/>
    <w:rsid w:val="69147690"/>
    <w:rsid w:val="6AA55A2C"/>
    <w:rsid w:val="6BE765E4"/>
    <w:rsid w:val="6BEF3A36"/>
    <w:rsid w:val="6C062C2F"/>
    <w:rsid w:val="6CCB6DB7"/>
    <w:rsid w:val="72CB7937"/>
    <w:rsid w:val="738D3D25"/>
    <w:rsid w:val="74386CEA"/>
    <w:rsid w:val="779E25BA"/>
    <w:rsid w:val="77F679AF"/>
    <w:rsid w:val="78BC0A04"/>
    <w:rsid w:val="7993267F"/>
    <w:rsid w:val="7A1D6DDB"/>
    <w:rsid w:val="7BBE50F3"/>
    <w:rsid w:val="7C297292"/>
    <w:rsid w:val="7C59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1"/>
    <w:pPr>
      <w:spacing w:line="479" w:lineRule="exact"/>
      <w:outlineLvl w:val="1"/>
    </w:pPr>
    <w:rPr>
      <w:rFonts w:ascii="Microsoft YaHei UI" w:hAnsi="Microsoft YaHei UI" w:eastAsia="Microsoft YaHei UI"/>
      <w:spacing w:val="2"/>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jc w:val="left"/>
    </w:pPr>
    <w:rPr>
      <w:sz w:val="18"/>
      <w:szCs w:val="18"/>
    </w:rPr>
  </w:style>
  <w:style w:type="paragraph" w:styleId="5">
    <w:name w:val="caption"/>
    <w:basedOn w:val="1"/>
    <w:next w:val="1"/>
    <w:qFormat/>
    <w:uiPriority w:val="0"/>
    <w:pPr>
      <w:widowControl/>
    </w:pPr>
    <w:rPr>
      <w:rFonts w:ascii="Calibri" w:hAnsi="Calibri" w:eastAsia="宋体" w:cs="Times New Roman"/>
      <w:b/>
      <w:bCs/>
      <w:color w:val="2DA2BF"/>
      <w:sz w:val="18"/>
      <w:szCs w:val="18"/>
    </w:rPr>
  </w:style>
  <w:style w:type="paragraph" w:styleId="6">
    <w:name w:val="annotation text"/>
    <w:basedOn w:val="1"/>
    <w:semiHidden/>
    <w:unhideWhenUsed/>
    <w:qFormat/>
    <w:uiPriority w:val="99"/>
  </w:style>
  <w:style w:type="paragraph" w:styleId="7">
    <w:name w:val="Body Text"/>
    <w:basedOn w:val="1"/>
    <w:qFormat/>
    <w:uiPriority w:val="1"/>
    <w:pPr>
      <w:ind w:firstLine="200" w:firstLineChars="200"/>
    </w:pPr>
    <w:rPr>
      <w:rFonts w:ascii="Microsoft YaHei UI" w:hAnsi="Microsoft YaHei UI" w:eastAsia="Microsoft YaHei UI"/>
      <w:szCs w:val="21"/>
    </w:rPr>
  </w:style>
  <w:style w:type="paragraph" w:styleId="8">
    <w:name w:val="index 4"/>
    <w:basedOn w:val="1"/>
    <w:next w:val="1"/>
    <w:unhideWhenUsed/>
    <w:qFormat/>
    <w:uiPriority w:val="99"/>
    <w:pPr>
      <w:ind w:left="1260" w:leftChars="600"/>
      <w:jc w:val="left"/>
    </w:pPr>
  </w:style>
  <w:style w:type="paragraph" w:styleId="9">
    <w:name w:val="toc 3"/>
    <w:basedOn w:val="1"/>
    <w:next w:val="1"/>
    <w:unhideWhenUsed/>
    <w:qFormat/>
    <w:uiPriority w:val="39"/>
    <w:pPr>
      <w:widowControl/>
      <w:spacing w:after="100" w:line="259" w:lineRule="auto"/>
      <w:ind w:left="440"/>
    </w:pPr>
    <w:rPr>
      <w:rFonts w:cs="Times New Roman"/>
    </w:rPr>
  </w:style>
  <w:style w:type="paragraph" w:styleId="10">
    <w:name w:val="Plain Text"/>
    <w:basedOn w:val="1"/>
    <w:qFormat/>
    <w:uiPriority w:val="99"/>
    <w:rPr>
      <w:rFonts w:ascii="Times New Roman" w:hAnsi="Times New Roman" w:eastAsia="楷体_GB2312" w:cs="Times New Roman"/>
      <w:color w:val="002060"/>
      <w:szCs w:val="21"/>
      <w:lang w:val="zh-CN"/>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3">
    <w:name w:val="Normal (Web)"/>
    <w:basedOn w:val="1"/>
    <w:unhideWhenUsed/>
    <w:qFormat/>
    <w:uiPriority w:val="99"/>
    <w:pPr>
      <w:spacing w:beforeAutospacing="1" w:afterAutospacing="1"/>
    </w:pPr>
    <w:rPr>
      <w:rFonts w:cs="Times New Roman"/>
      <w:sz w:val="24"/>
    </w:rPr>
  </w:style>
  <w:style w:type="paragraph" w:styleId="1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5">
    <w:name w:val="Body Text First Indent"/>
    <w:basedOn w:val="7"/>
    <w:unhideWhenUsed/>
    <w:qFormat/>
    <w:uiPriority w:val="99"/>
    <w:pPr>
      <w:ind w:firstLine="567"/>
    </w:pPr>
  </w:style>
  <w:style w:type="table" w:styleId="17">
    <w:name w:val="Table Grid"/>
    <w:basedOn w:val="1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rPr>
  </w:style>
  <w:style w:type="character" w:styleId="21">
    <w:name w:val="HTML Definition"/>
    <w:basedOn w:val="18"/>
    <w:semiHidden/>
    <w:unhideWhenUsed/>
    <w:qFormat/>
    <w:uiPriority w:val="99"/>
    <w:rPr>
      <w:i/>
    </w:rPr>
  </w:style>
  <w:style w:type="character" w:styleId="22">
    <w:name w:val="HTML Acronym"/>
    <w:basedOn w:val="18"/>
    <w:semiHidden/>
    <w:unhideWhenUsed/>
    <w:qFormat/>
    <w:uiPriority w:val="99"/>
  </w:style>
  <w:style w:type="character" w:styleId="23">
    <w:name w:val="HTML Variable"/>
    <w:basedOn w:val="18"/>
    <w:semiHidden/>
    <w:unhideWhenUsed/>
    <w:qFormat/>
    <w:uiPriority w:val="99"/>
    <w:rPr>
      <w:i/>
    </w:rPr>
  </w:style>
  <w:style w:type="character" w:styleId="24">
    <w:name w:val="Hyperlink"/>
    <w:basedOn w:val="18"/>
    <w:semiHidden/>
    <w:unhideWhenUsed/>
    <w:qFormat/>
    <w:uiPriority w:val="99"/>
    <w:rPr>
      <w:color w:val="005197"/>
      <w:u w:val="single"/>
    </w:rPr>
  </w:style>
  <w:style w:type="character" w:styleId="25">
    <w:name w:val="HTML Code"/>
    <w:basedOn w:val="18"/>
    <w:semiHidden/>
    <w:unhideWhenUsed/>
    <w:qFormat/>
    <w:uiPriority w:val="99"/>
    <w:rPr>
      <w:rFonts w:ascii="微软雅黑" w:hAnsi="微软雅黑" w:eastAsia="微软雅黑" w:cs="微软雅黑"/>
      <w:sz w:val="18"/>
      <w:szCs w:val="18"/>
    </w:rPr>
  </w:style>
  <w:style w:type="character" w:styleId="26">
    <w:name w:val="HTML Cite"/>
    <w:basedOn w:val="18"/>
    <w:semiHidden/>
    <w:unhideWhenUsed/>
    <w:qFormat/>
    <w:uiPriority w:val="99"/>
    <w:rPr>
      <w:i/>
    </w:rPr>
  </w:style>
  <w:style w:type="paragraph" w:customStyle="1" w:styleId="27">
    <w:name w:val="默认段落字体 Para Char"/>
    <w:basedOn w:val="28"/>
    <w:qFormat/>
    <w:uiPriority w:val="0"/>
    <w:pPr>
      <w:tabs>
        <w:tab w:val="left" w:pos="6940"/>
      </w:tabs>
    </w:pPr>
  </w:style>
  <w:style w:type="paragraph" w:customStyle="1" w:styleId="28">
    <w:name w:val="Normal_1"/>
    <w:next w:val="27"/>
    <w:qFormat/>
    <w:uiPriority w:val="0"/>
    <w:rPr>
      <w:rFonts w:ascii="Arial" w:hAnsi="Arial" w:eastAsia="微软雅黑" w:cs="Times New Roman"/>
      <w:sz w:val="24"/>
      <w:szCs w:val="24"/>
      <w:lang w:val="en-US" w:eastAsia="zh-CN" w:bidi="ar-SA"/>
    </w:rPr>
  </w:style>
  <w:style w:type="character" w:customStyle="1" w:styleId="29">
    <w:name w:val="页眉 字符"/>
    <w:basedOn w:val="18"/>
    <w:link w:val="11"/>
    <w:qFormat/>
    <w:uiPriority w:val="99"/>
    <w:rPr>
      <w:sz w:val="18"/>
      <w:szCs w:val="18"/>
    </w:rPr>
  </w:style>
  <w:style w:type="character" w:customStyle="1" w:styleId="30">
    <w:name w:val="页脚 字符"/>
    <w:basedOn w:val="18"/>
    <w:link w:val="2"/>
    <w:qFormat/>
    <w:uiPriority w:val="99"/>
    <w:rPr>
      <w:sz w:val="18"/>
      <w:szCs w:val="18"/>
    </w:rPr>
  </w:style>
  <w:style w:type="character" w:customStyle="1" w:styleId="31">
    <w:name w:val="fontstyle01"/>
    <w:basedOn w:val="18"/>
    <w:qFormat/>
    <w:uiPriority w:val="0"/>
    <w:rPr>
      <w:rFonts w:hint="default" w:ascii="CIDFont+F4" w:hAnsi="CIDFont+F4"/>
      <w:color w:val="000000"/>
      <w:sz w:val="24"/>
      <w:szCs w:val="24"/>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3">
    <w:name w:val="List Paragraph"/>
    <w:basedOn w:val="1"/>
    <w:qFormat/>
    <w:uiPriority w:val="34"/>
    <w:pPr>
      <w:ind w:firstLine="420" w:firstLineChars="200"/>
    </w:pPr>
  </w:style>
  <w:style w:type="paragraph" w:customStyle="1" w:styleId="34">
    <w:name w:val="设计正文2"/>
    <w:basedOn w:val="1"/>
    <w:qFormat/>
    <w:uiPriority w:val="0"/>
    <w:pPr>
      <w:snapToGrid w:val="0"/>
      <w:spacing w:before="160" w:line="320" w:lineRule="atLeast"/>
    </w:pPr>
    <w:rPr>
      <w:rFonts w:ascii="Times New Roman" w:hAnsi="Times New Roman" w:eastAsia="宋体" w:cs="Times New Roman"/>
      <w:sz w:val="24"/>
      <w:szCs w:val="20"/>
    </w:rPr>
  </w:style>
  <w:style w:type="paragraph" w:customStyle="1" w:styleId="35">
    <w:name w:val="正文文本1"/>
    <w:basedOn w:val="28"/>
    <w:next w:val="36"/>
    <w:qFormat/>
    <w:uiPriority w:val="0"/>
    <w:pPr>
      <w:ind w:firstLine="200" w:firstLineChars="200"/>
      <w:jc w:val="both"/>
    </w:pPr>
    <w:rPr>
      <w:rFonts w:ascii="Microsoft YaHei UI" w:hAnsi="Microsoft YaHei UI" w:eastAsia="Microsoft YaHei UI"/>
      <w:sz w:val="21"/>
      <w:szCs w:val="21"/>
    </w:rPr>
  </w:style>
  <w:style w:type="paragraph" w:customStyle="1" w:styleId="36">
    <w:name w:val="目录 21"/>
    <w:basedOn w:val="28"/>
    <w:next w:val="28"/>
    <w:unhideWhenUsed/>
    <w:qFormat/>
    <w:uiPriority w:val="39"/>
    <w:pPr>
      <w:tabs>
        <w:tab w:val="left" w:pos="730"/>
        <w:tab w:val="right" w:leader="dot" w:pos="9355"/>
      </w:tabs>
      <w:ind w:left="284" w:leftChars="129" w:firstLine="154" w:firstLineChars="70"/>
    </w:pPr>
  </w:style>
  <w:style w:type="paragraph" w:customStyle="1" w:styleId="37">
    <w:name w:val="页脚1"/>
    <w:basedOn w:val="28"/>
    <w:unhideWhenUsed/>
    <w:qFormat/>
    <w:uiPriority w:val="99"/>
    <w:pPr>
      <w:tabs>
        <w:tab w:val="center" w:pos="4153"/>
        <w:tab w:val="right" w:pos="8306"/>
      </w:tabs>
      <w:snapToGrid w:val="0"/>
    </w:pPr>
    <w:rPr>
      <w:sz w:val="18"/>
      <w:szCs w:val="18"/>
    </w:rPr>
  </w:style>
  <w:style w:type="character" w:customStyle="1" w:styleId="38">
    <w:name w:val="l-btn-text"/>
    <w:basedOn w:val="18"/>
    <w:qFormat/>
    <w:uiPriority w:val="0"/>
  </w:style>
  <w:style w:type="character" w:customStyle="1" w:styleId="39">
    <w:name w:val="checkbox"/>
    <w:basedOn w:val="18"/>
    <w:qFormat/>
    <w:uiPriority w:val="0"/>
  </w:style>
  <w:style w:type="character" w:customStyle="1" w:styleId="40">
    <w:name w:val="l-btn-left"/>
    <w:basedOn w:val="18"/>
    <w:qFormat/>
    <w:uiPriority w:val="0"/>
  </w:style>
  <w:style w:type="character" w:customStyle="1" w:styleId="41">
    <w:name w:val="l-btn-left1"/>
    <w:basedOn w:val="18"/>
    <w:qFormat/>
    <w:uiPriority w:val="0"/>
  </w:style>
  <w:style w:type="character" w:customStyle="1" w:styleId="42">
    <w:name w:val="l-btn-left2"/>
    <w:basedOn w:val="18"/>
    <w:qFormat/>
    <w:uiPriority w:val="0"/>
  </w:style>
  <w:style w:type="character" w:customStyle="1" w:styleId="43">
    <w:name w:val="l-btn-left3"/>
    <w:basedOn w:val="18"/>
    <w:qFormat/>
    <w:uiPriority w:val="0"/>
  </w:style>
  <w:style w:type="character" w:customStyle="1" w:styleId="44">
    <w:name w:val="l-btn-empty"/>
    <w:basedOn w:val="18"/>
    <w:qFormat/>
    <w:uiPriority w:val="0"/>
  </w:style>
  <w:style w:type="paragraph" w:customStyle="1" w:styleId="45">
    <w:name w:val="表格"/>
    <w:basedOn w:val="14"/>
    <w:next w:val="1"/>
    <w:qFormat/>
    <w:uiPriority w:val="0"/>
    <w:pPr>
      <w:spacing w:before="0" w:after="0" w:line="360" w:lineRule="auto"/>
      <w:outlineLvl w:val="9"/>
    </w:pPr>
    <w:rPr>
      <w:rFonts w:ascii="Times New Roman" w:hAnsi="Times New Roman" w:cs="Times New Roman"/>
      <w:b w:val="0"/>
      <w:bCs w:val="0"/>
      <w:sz w:val="21"/>
    </w:rPr>
  </w:style>
  <w:style w:type="paragraph" w:customStyle="1" w:styleId="4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
    <w:name w:val="Table Paragraph"/>
    <w:basedOn w:val="1"/>
    <w:qFormat/>
    <w:uiPriority w:val="0"/>
    <w:pPr>
      <w:jc w:val="left"/>
    </w:pPr>
    <w:rPr>
      <w:kern w:val="0"/>
      <w:sz w:val="22"/>
      <w:lang w:eastAsia="en-US"/>
    </w:rPr>
  </w:style>
  <w:style w:type="table" w:customStyle="1" w:styleId="48">
    <w:name w:val="网格表 1 浅色1"/>
    <w:basedOn w:val="16"/>
    <w:qFormat/>
    <w:uiPriority w:val="46"/>
    <w:rPr>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9">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5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51">
    <w:name w:val="网格型3"/>
    <w:basedOn w:val="1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二级条标题"/>
    <w:basedOn w:val="53"/>
    <w:next w:val="50"/>
    <w:qFormat/>
    <w:uiPriority w:val="0"/>
    <w:pPr>
      <w:numPr>
        <w:ilvl w:val="2"/>
      </w:numPr>
      <w:spacing w:before="50" w:after="50"/>
      <w:outlineLvl w:val="3"/>
    </w:pPr>
  </w:style>
  <w:style w:type="paragraph" w:customStyle="1" w:styleId="53">
    <w:name w:val="一级条标题"/>
    <w:next w:val="5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5">
    <w:name w:val="font41"/>
    <w:basedOn w:val="18"/>
    <w:qFormat/>
    <w:uiPriority w:val="0"/>
    <w:rPr>
      <w:rFonts w:hint="eastAsia" w:ascii="宋体" w:hAnsi="宋体" w:eastAsia="宋体" w:cs="宋体"/>
      <w:b/>
      <w:bCs/>
      <w:color w:val="000000"/>
      <w:sz w:val="22"/>
      <w:szCs w:val="22"/>
      <w:u w:val="none"/>
    </w:rPr>
  </w:style>
  <w:style w:type="character" w:customStyle="1" w:styleId="56">
    <w:name w:val="font51"/>
    <w:basedOn w:val="18"/>
    <w:qFormat/>
    <w:uiPriority w:val="0"/>
    <w:rPr>
      <w:rFonts w:hint="eastAsia" w:ascii="宋体" w:hAnsi="宋体" w:eastAsia="宋体" w:cs="宋体"/>
      <w:b/>
      <w:bCs/>
      <w:color w:val="000000"/>
      <w:sz w:val="22"/>
      <w:szCs w:val="22"/>
      <w:u w:val="none"/>
      <w:vertAlign w:val="superscript"/>
    </w:rPr>
  </w:style>
  <w:style w:type="character" w:customStyle="1" w:styleId="57">
    <w:name w:val="font31"/>
    <w:basedOn w:val="18"/>
    <w:qFormat/>
    <w:uiPriority w:val="0"/>
    <w:rPr>
      <w:rFonts w:hint="eastAsia" w:ascii="宋体" w:hAnsi="宋体" w:eastAsia="宋体" w:cs="宋体"/>
      <w:b/>
      <w:bCs/>
      <w:color w:val="000000"/>
      <w:sz w:val="22"/>
      <w:szCs w:val="22"/>
      <w:u w:val="none"/>
      <w:vertAlign w:val="subscript"/>
    </w:rPr>
  </w:style>
  <w:style w:type="character" w:customStyle="1" w:styleId="58">
    <w:name w:val="font11"/>
    <w:basedOn w:val="18"/>
    <w:qFormat/>
    <w:uiPriority w:val="0"/>
    <w:rPr>
      <w:rFonts w:hint="eastAsia" w:ascii="宋体" w:hAnsi="宋体" w:eastAsia="宋体" w:cs="宋体"/>
      <w:color w:val="000000"/>
      <w:sz w:val="22"/>
      <w:szCs w:val="22"/>
      <w:u w:val="none"/>
    </w:rPr>
  </w:style>
  <w:style w:type="table" w:customStyle="1" w:styleId="59">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11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2"/>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4"/>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5"/>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6"/>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567</Words>
  <Characters>647</Characters>
  <Lines>64</Lines>
  <Paragraphs>67</Paragraphs>
  <TotalTime>2</TotalTime>
  <ScaleCrop>false</ScaleCrop>
  <LinksUpToDate>false</LinksUpToDate>
  <CharactersWithSpaces>1147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2021-05-19T09:26:00Z</dcterms:created>
  <dc:creator>季云峰/采办项目组/集团公司机关</dc:creator>
  <cp:lastModifiedBy>liufx2</cp:lastModifiedBy>
  <dcterms:modified xsi:type="dcterms:W3CDTF">2025-08-11T09:39:14Z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3A456C2A4D974E93BBE40B94D22EDF6E</vt:lpwstr>
  </property>
</Properties>
</file>