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1BE3B7">
      <w:pPr>
        <w:adjustRightInd/>
        <w:spacing w:line="360" w:lineRule="auto"/>
        <w:jc w:val="center"/>
        <w:rPr>
          <w:rFonts w:hint="eastAsia" w:ascii="仿宋" w:hAnsi="仿宋" w:eastAsia="仿宋" w:cs="仿宋"/>
          <w:b/>
          <w:bCs/>
          <w:color w:val="auto"/>
          <w:sz w:val="56"/>
          <w:szCs w:val="56"/>
          <w:highlight w:val="none"/>
          <w:lang w:eastAsia="zh-CN"/>
        </w:rPr>
      </w:pPr>
      <w:bookmarkStart w:id="0" w:name="_Hlt67893495"/>
      <w:bookmarkEnd w:id="0"/>
      <w:bookmarkStart w:id="1" w:name="第三部分"/>
      <w:bookmarkStart w:id="2" w:name="_Toc164416483"/>
      <w:r>
        <w:rPr>
          <w:rFonts w:hint="eastAsia" w:ascii="仿宋" w:hAnsi="仿宋" w:eastAsia="仿宋" w:cs="仿宋"/>
          <w:b/>
          <w:bCs/>
          <w:color w:val="auto"/>
          <w:sz w:val="52"/>
          <w:szCs w:val="52"/>
          <w:highlight w:val="none"/>
          <w:lang w:eastAsia="zh-CN"/>
        </w:rPr>
        <w:t>嵊州市城市智能运维管理服务平台改造提升项目</w:t>
      </w:r>
    </w:p>
    <w:p w14:paraId="3B3FA736">
      <w:pPr>
        <w:keepNext w:val="0"/>
        <w:keepLines w:val="0"/>
        <w:pageBreakBefore w:val="0"/>
        <w:widowControl w:val="0"/>
        <w:kinsoku/>
        <w:wordWrap/>
        <w:overflowPunct/>
        <w:topLinePunct w:val="0"/>
        <w:autoSpaceDE/>
        <w:autoSpaceDN/>
        <w:bidi w:val="0"/>
        <w:adjustRightInd w:val="0"/>
        <w:snapToGrid/>
        <w:spacing w:before="469" w:beforeLines="150" w:after="469" w:afterLines="150" w:line="360" w:lineRule="auto"/>
        <w:jc w:val="center"/>
        <w:textAlignment w:val="auto"/>
        <w:outlineLvl w:val="0"/>
        <w:rPr>
          <w:rFonts w:hint="eastAsia" w:ascii="仿宋" w:hAnsi="仿宋" w:eastAsia="仿宋" w:cs="仿宋"/>
          <w:b/>
          <w:color w:val="auto"/>
          <w:sz w:val="60"/>
          <w:szCs w:val="60"/>
          <w:highlight w:val="none"/>
          <w:lang w:val="en-US" w:eastAsia="zh-CN"/>
        </w:rPr>
      </w:pPr>
      <w:r>
        <w:rPr>
          <w:rFonts w:hint="eastAsia" w:ascii="仿宋" w:hAnsi="仿宋" w:eastAsia="仿宋" w:cs="仿宋"/>
          <w:b/>
          <w:color w:val="auto"/>
          <w:sz w:val="28"/>
          <w:szCs w:val="28"/>
          <w:highlight w:val="none"/>
          <w:lang w:val="en-US" w:eastAsia="zh-CN"/>
        </w:rPr>
        <w:t>项目</w:t>
      </w:r>
      <w:r>
        <w:rPr>
          <w:rFonts w:hint="eastAsia" w:ascii="仿宋" w:hAnsi="仿宋" w:eastAsia="仿宋" w:cs="仿宋"/>
          <w:b/>
          <w:color w:val="auto"/>
          <w:sz w:val="28"/>
          <w:szCs w:val="28"/>
          <w:highlight w:val="none"/>
        </w:rPr>
        <w:t>编号</w:t>
      </w:r>
      <w:r>
        <w:rPr>
          <w:rFonts w:hint="eastAsia" w:ascii="仿宋" w:hAnsi="仿宋" w:eastAsia="仿宋" w:cs="仿宋"/>
          <w:b/>
          <w:color w:val="auto"/>
          <w:sz w:val="28"/>
          <w:szCs w:val="28"/>
          <w:highlight w:val="none"/>
          <w:lang w:eastAsia="zh-CN"/>
        </w:rPr>
        <w:t>：</w:t>
      </w:r>
      <w:r>
        <w:rPr>
          <w:rFonts w:hint="eastAsia" w:ascii="仿宋" w:hAnsi="仿宋" w:eastAsia="仿宋" w:cs="仿宋"/>
          <w:b/>
          <w:color w:val="auto"/>
          <w:sz w:val="28"/>
          <w:szCs w:val="28"/>
          <w:highlight w:val="none"/>
          <w:lang w:val="en-US" w:eastAsia="zh-CN"/>
        </w:rPr>
        <w:t>SXPZ-F20251029SZ</w:t>
      </w:r>
    </w:p>
    <w:p w14:paraId="6F9057A1">
      <w:pPr>
        <w:keepNext w:val="0"/>
        <w:keepLines w:val="0"/>
        <w:pageBreakBefore w:val="0"/>
        <w:widowControl w:val="0"/>
        <w:kinsoku/>
        <w:wordWrap/>
        <w:overflowPunct/>
        <w:topLinePunct w:val="0"/>
        <w:autoSpaceDE/>
        <w:autoSpaceDN/>
        <w:bidi w:val="0"/>
        <w:adjustRightInd w:val="0"/>
        <w:snapToGrid/>
        <w:spacing w:before="313" w:beforeLines="100" w:line="360" w:lineRule="auto"/>
        <w:jc w:val="center"/>
        <w:textAlignment w:val="auto"/>
        <w:outlineLvl w:val="0"/>
        <w:rPr>
          <w:rFonts w:hint="eastAsia" w:ascii="仿宋" w:hAnsi="仿宋" w:eastAsia="仿宋" w:cs="仿宋"/>
          <w:b/>
          <w:color w:val="auto"/>
          <w:sz w:val="52"/>
          <w:szCs w:val="52"/>
          <w:highlight w:val="none"/>
          <w:lang w:val="en-US" w:eastAsia="zh-CN"/>
        </w:rPr>
      </w:pPr>
      <w:r>
        <w:rPr>
          <w:rFonts w:hint="eastAsia" w:ascii="仿宋" w:hAnsi="仿宋" w:eastAsia="仿宋" w:cs="仿宋"/>
          <w:b/>
          <w:color w:val="auto"/>
          <w:sz w:val="32"/>
          <w:szCs w:val="32"/>
          <w:highlight w:val="none"/>
          <w:lang w:eastAsia="zh-CN"/>
        </w:rPr>
        <w:t>（</w:t>
      </w:r>
      <w:r>
        <w:rPr>
          <w:rFonts w:hint="eastAsia" w:ascii="仿宋" w:hAnsi="仿宋" w:eastAsia="仿宋" w:cs="仿宋"/>
          <w:b/>
          <w:color w:val="auto"/>
          <w:sz w:val="32"/>
          <w:szCs w:val="32"/>
          <w:highlight w:val="none"/>
          <w:lang w:val="en-US" w:eastAsia="zh-CN"/>
        </w:rPr>
        <w:t>国企采购</w:t>
      </w:r>
      <w:r>
        <w:rPr>
          <w:rFonts w:hint="eastAsia" w:ascii="仿宋" w:hAnsi="仿宋" w:eastAsia="仿宋" w:cs="仿宋"/>
          <w:b/>
          <w:color w:val="auto"/>
          <w:sz w:val="32"/>
          <w:szCs w:val="32"/>
          <w:highlight w:val="none"/>
          <w:lang w:eastAsia="zh-CN"/>
        </w:rPr>
        <w:t>）</w:t>
      </w:r>
    </w:p>
    <w:p w14:paraId="69315523">
      <w:pPr>
        <w:keepNext w:val="0"/>
        <w:keepLines w:val="0"/>
        <w:pageBreakBefore w:val="0"/>
        <w:widowControl w:val="0"/>
        <w:kinsoku/>
        <w:wordWrap/>
        <w:overflowPunct/>
        <w:topLinePunct w:val="0"/>
        <w:autoSpaceDE/>
        <w:autoSpaceDN/>
        <w:bidi w:val="0"/>
        <w:adjustRightInd w:val="0"/>
        <w:snapToGrid/>
        <w:spacing w:line="1000" w:lineRule="exact"/>
        <w:jc w:val="center"/>
        <w:textAlignment w:val="auto"/>
        <w:outlineLvl w:val="0"/>
        <w:rPr>
          <w:rFonts w:hint="eastAsia" w:ascii="仿宋" w:hAnsi="仿宋" w:eastAsia="仿宋" w:cs="仿宋"/>
          <w:b/>
          <w:color w:val="auto"/>
          <w:sz w:val="72"/>
          <w:szCs w:val="72"/>
          <w:highlight w:val="none"/>
        </w:rPr>
      </w:pPr>
      <w:r>
        <w:rPr>
          <w:rFonts w:hint="eastAsia" w:ascii="仿宋" w:hAnsi="仿宋" w:eastAsia="仿宋" w:cs="仿宋"/>
          <w:b/>
          <w:color w:val="auto"/>
          <w:sz w:val="72"/>
          <w:szCs w:val="72"/>
          <w:highlight w:val="none"/>
        </w:rPr>
        <w:t>公</w:t>
      </w:r>
    </w:p>
    <w:p w14:paraId="1820FB7A">
      <w:pPr>
        <w:keepNext w:val="0"/>
        <w:keepLines w:val="0"/>
        <w:pageBreakBefore w:val="0"/>
        <w:widowControl w:val="0"/>
        <w:kinsoku/>
        <w:wordWrap/>
        <w:overflowPunct/>
        <w:topLinePunct w:val="0"/>
        <w:autoSpaceDE/>
        <w:autoSpaceDN/>
        <w:bidi w:val="0"/>
        <w:adjustRightInd w:val="0"/>
        <w:snapToGrid/>
        <w:spacing w:line="1000" w:lineRule="exact"/>
        <w:jc w:val="center"/>
        <w:textAlignment w:val="auto"/>
        <w:outlineLvl w:val="0"/>
        <w:rPr>
          <w:rFonts w:hint="eastAsia" w:ascii="仿宋" w:hAnsi="仿宋" w:eastAsia="仿宋" w:cs="仿宋"/>
          <w:b/>
          <w:color w:val="auto"/>
          <w:sz w:val="72"/>
          <w:szCs w:val="72"/>
          <w:highlight w:val="none"/>
        </w:rPr>
      </w:pPr>
      <w:r>
        <w:rPr>
          <w:rFonts w:hint="eastAsia" w:ascii="仿宋" w:hAnsi="仿宋" w:eastAsia="仿宋" w:cs="仿宋"/>
          <w:b/>
          <w:color w:val="auto"/>
          <w:sz w:val="72"/>
          <w:szCs w:val="72"/>
          <w:highlight w:val="none"/>
        </w:rPr>
        <w:t>开</w:t>
      </w:r>
    </w:p>
    <w:p w14:paraId="5E4F8AA9">
      <w:pPr>
        <w:keepNext w:val="0"/>
        <w:keepLines w:val="0"/>
        <w:pageBreakBefore w:val="0"/>
        <w:widowControl w:val="0"/>
        <w:kinsoku/>
        <w:wordWrap/>
        <w:overflowPunct/>
        <w:topLinePunct w:val="0"/>
        <w:autoSpaceDE/>
        <w:autoSpaceDN/>
        <w:bidi w:val="0"/>
        <w:adjustRightInd w:val="0"/>
        <w:snapToGrid/>
        <w:spacing w:line="1000" w:lineRule="exact"/>
        <w:jc w:val="center"/>
        <w:textAlignment w:val="auto"/>
        <w:outlineLvl w:val="0"/>
        <w:rPr>
          <w:rFonts w:hint="eastAsia" w:ascii="仿宋" w:hAnsi="仿宋" w:eastAsia="仿宋" w:cs="仿宋"/>
          <w:b/>
          <w:color w:val="auto"/>
          <w:sz w:val="72"/>
          <w:szCs w:val="72"/>
          <w:highlight w:val="none"/>
        </w:rPr>
      </w:pPr>
      <w:r>
        <w:rPr>
          <w:rFonts w:hint="eastAsia" w:ascii="仿宋" w:hAnsi="仿宋" w:eastAsia="仿宋" w:cs="仿宋"/>
          <w:b/>
          <w:color w:val="auto"/>
          <w:sz w:val="72"/>
          <w:szCs w:val="72"/>
          <w:highlight w:val="none"/>
        </w:rPr>
        <w:t>招</w:t>
      </w:r>
    </w:p>
    <w:p w14:paraId="35BB567A">
      <w:pPr>
        <w:keepNext w:val="0"/>
        <w:keepLines w:val="0"/>
        <w:pageBreakBefore w:val="0"/>
        <w:widowControl w:val="0"/>
        <w:kinsoku/>
        <w:wordWrap/>
        <w:overflowPunct/>
        <w:topLinePunct w:val="0"/>
        <w:autoSpaceDE/>
        <w:autoSpaceDN/>
        <w:bidi w:val="0"/>
        <w:adjustRightInd w:val="0"/>
        <w:snapToGrid/>
        <w:spacing w:line="1000" w:lineRule="exact"/>
        <w:jc w:val="center"/>
        <w:textAlignment w:val="auto"/>
        <w:outlineLvl w:val="0"/>
        <w:rPr>
          <w:rFonts w:hint="eastAsia" w:ascii="仿宋" w:hAnsi="仿宋" w:eastAsia="仿宋" w:cs="仿宋"/>
          <w:b/>
          <w:color w:val="auto"/>
          <w:sz w:val="72"/>
          <w:szCs w:val="72"/>
          <w:highlight w:val="none"/>
        </w:rPr>
      </w:pPr>
      <w:r>
        <w:rPr>
          <w:rFonts w:hint="eastAsia" w:ascii="仿宋" w:hAnsi="仿宋" w:eastAsia="仿宋" w:cs="仿宋"/>
          <w:b/>
          <w:color w:val="auto"/>
          <w:sz w:val="72"/>
          <w:szCs w:val="72"/>
          <w:highlight w:val="none"/>
        </w:rPr>
        <w:t>标</w:t>
      </w:r>
    </w:p>
    <w:p w14:paraId="4AD60BE3">
      <w:pPr>
        <w:keepNext w:val="0"/>
        <w:keepLines w:val="0"/>
        <w:pageBreakBefore w:val="0"/>
        <w:widowControl w:val="0"/>
        <w:kinsoku/>
        <w:wordWrap/>
        <w:overflowPunct/>
        <w:topLinePunct w:val="0"/>
        <w:autoSpaceDE/>
        <w:autoSpaceDN/>
        <w:bidi w:val="0"/>
        <w:adjustRightInd w:val="0"/>
        <w:snapToGrid/>
        <w:spacing w:line="1000" w:lineRule="exact"/>
        <w:jc w:val="center"/>
        <w:textAlignment w:val="auto"/>
        <w:outlineLvl w:val="0"/>
        <w:rPr>
          <w:rFonts w:hint="eastAsia" w:ascii="仿宋" w:hAnsi="仿宋" w:eastAsia="仿宋" w:cs="仿宋"/>
          <w:b/>
          <w:color w:val="auto"/>
          <w:sz w:val="72"/>
          <w:szCs w:val="72"/>
          <w:highlight w:val="none"/>
        </w:rPr>
      </w:pPr>
      <w:r>
        <w:rPr>
          <w:rFonts w:hint="eastAsia" w:ascii="仿宋" w:hAnsi="仿宋" w:eastAsia="仿宋" w:cs="仿宋"/>
          <w:b/>
          <w:color w:val="auto"/>
          <w:sz w:val="72"/>
          <w:szCs w:val="72"/>
          <w:highlight w:val="none"/>
        </w:rPr>
        <w:t>文</w:t>
      </w:r>
    </w:p>
    <w:p w14:paraId="2E2FAE59">
      <w:pPr>
        <w:keepNext w:val="0"/>
        <w:keepLines w:val="0"/>
        <w:pageBreakBefore w:val="0"/>
        <w:widowControl w:val="0"/>
        <w:kinsoku/>
        <w:wordWrap/>
        <w:overflowPunct/>
        <w:topLinePunct w:val="0"/>
        <w:autoSpaceDE/>
        <w:autoSpaceDN/>
        <w:bidi w:val="0"/>
        <w:adjustRightInd w:val="0"/>
        <w:snapToGrid/>
        <w:spacing w:line="1000" w:lineRule="exact"/>
        <w:jc w:val="center"/>
        <w:textAlignment w:val="auto"/>
        <w:outlineLvl w:val="0"/>
        <w:rPr>
          <w:rFonts w:hint="eastAsia" w:ascii="仿宋" w:hAnsi="仿宋" w:eastAsia="仿宋" w:cs="仿宋"/>
          <w:color w:val="auto"/>
          <w:sz w:val="44"/>
          <w:szCs w:val="24"/>
          <w:highlight w:val="none"/>
        </w:rPr>
      </w:pPr>
      <w:r>
        <w:rPr>
          <w:rFonts w:hint="eastAsia" w:ascii="仿宋" w:hAnsi="仿宋" w:eastAsia="仿宋" w:cs="仿宋"/>
          <w:b/>
          <w:color w:val="auto"/>
          <w:sz w:val="72"/>
          <w:szCs w:val="72"/>
          <w:highlight w:val="none"/>
        </w:rPr>
        <w:t>件</w:t>
      </w:r>
    </w:p>
    <w:p w14:paraId="4FD5A8B1">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color w:val="auto"/>
          <w:sz w:val="36"/>
          <w:szCs w:val="36"/>
          <w:highlight w:val="none"/>
        </w:rPr>
        <w:t>（电子招投标）</w:t>
      </w:r>
    </w:p>
    <w:p w14:paraId="7DBFCA78">
      <w:pPr>
        <w:keepNext w:val="0"/>
        <w:keepLines w:val="0"/>
        <w:pageBreakBefore w:val="0"/>
        <w:widowControl w:val="0"/>
        <w:kinsoku/>
        <w:wordWrap/>
        <w:overflowPunct/>
        <w:topLinePunct w:val="0"/>
        <w:autoSpaceDE/>
        <w:autoSpaceDN/>
        <w:bidi w:val="0"/>
        <w:adjustRightInd/>
        <w:snapToGrid/>
        <w:spacing w:line="360" w:lineRule="auto"/>
        <w:ind w:right="533" w:firstLine="643" w:firstLineChars="200"/>
        <w:jc w:val="left"/>
        <w:textAlignment w:val="auto"/>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lang w:val="en-US" w:eastAsia="zh-CN"/>
        </w:rPr>
        <w:t>采购</w:t>
      </w:r>
      <w:r>
        <w:rPr>
          <w:rFonts w:hint="eastAsia" w:ascii="仿宋" w:hAnsi="仿宋" w:eastAsia="仿宋" w:cs="仿宋"/>
          <w:b/>
          <w:bCs/>
          <w:color w:val="auto"/>
          <w:sz w:val="32"/>
          <w:szCs w:val="32"/>
          <w:highlight w:val="none"/>
          <w:lang w:eastAsia="zh-CN"/>
        </w:rPr>
        <w:t>单位： 嵊州市城市建设投资发展集团有限公司</w:t>
      </w:r>
    </w:p>
    <w:p w14:paraId="5AD754F7">
      <w:pPr>
        <w:keepNext w:val="0"/>
        <w:keepLines w:val="0"/>
        <w:pageBreakBefore w:val="0"/>
        <w:widowControl w:val="0"/>
        <w:kinsoku/>
        <w:wordWrap/>
        <w:overflowPunct/>
        <w:topLinePunct w:val="0"/>
        <w:autoSpaceDE/>
        <w:autoSpaceDN/>
        <w:bidi w:val="0"/>
        <w:adjustRightInd/>
        <w:snapToGrid/>
        <w:spacing w:line="360" w:lineRule="auto"/>
        <w:ind w:right="533" w:firstLine="643" w:firstLineChars="200"/>
        <w:jc w:val="left"/>
        <w:textAlignment w:val="auto"/>
        <w:rPr>
          <w:rFonts w:hint="default"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实施单位： 嵊州市综合行政执法局</w:t>
      </w:r>
    </w:p>
    <w:p w14:paraId="4D3E141E">
      <w:pPr>
        <w:keepNext w:val="0"/>
        <w:keepLines w:val="0"/>
        <w:pageBreakBefore w:val="0"/>
        <w:widowControl w:val="0"/>
        <w:kinsoku/>
        <w:wordWrap/>
        <w:overflowPunct/>
        <w:topLinePunct w:val="0"/>
        <w:autoSpaceDE/>
        <w:autoSpaceDN/>
        <w:bidi w:val="0"/>
        <w:adjustRightInd/>
        <w:snapToGrid/>
        <w:spacing w:line="360" w:lineRule="auto"/>
        <w:ind w:right="533" w:firstLine="643" w:firstLineChars="200"/>
        <w:jc w:val="left"/>
        <w:textAlignment w:val="auto"/>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lang w:eastAsia="zh-CN"/>
        </w:rPr>
        <w:t>代理机构： 绍兴平准招标代理有限公司</w:t>
      </w:r>
    </w:p>
    <w:p w14:paraId="19633C11">
      <w:pPr>
        <w:keepNext w:val="0"/>
        <w:keepLines w:val="0"/>
        <w:pageBreakBefore w:val="0"/>
        <w:widowControl w:val="0"/>
        <w:kinsoku/>
        <w:wordWrap/>
        <w:overflowPunct/>
        <w:topLinePunct w:val="0"/>
        <w:autoSpaceDE/>
        <w:autoSpaceDN/>
        <w:bidi w:val="0"/>
        <w:adjustRightInd/>
        <w:snapToGrid/>
        <w:spacing w:line="360" w:lineRule="auto"/>
        <w:ind w:right="533" w:firstLine="643" w:firstLineChars="200"/>
        <w:jc w:val="left"/>
        <w:textAlignment w:val="auto"/>
        <w:rPr>
          <w:rFonts w:hint="eastAsia" w:ascii="仿宋" w:hAnsi="仿宋" w:eastAsia="仿宋" w:cs="仿宋"/>
          <w:color w:val="auto"/>
          <w:sz w:val="20"/>
          <w:szCs w:val="22"/>
          <w:highlight w:val="none"/>
          <w:lang w:val="en-US"/>
        </w:rPr>
        <w:sectPr>
          <w:headerReference r:id="rId4" w:type="first"/>
          <w:headerReference r:id="rId3" w:type="default"/>
          <w:footerReference r:id="rId5" w:type="even"/>
          <w:pgSz w:w="11906" w:h="16838"/>
          <w:pgMar w:top="1814" w:right="1474" w:bottom="1814" w:left="1474" w:header="851" w:footer="992" w:gutter="0"/>
          <w:pgNumType w:start="1"/>
          <w:cols w:space="720" w:num="1"/>
          <w:titlePg/>
          <w:docGrid w:linePitch="312" w:charSpace="0"/>
        </w:sectPr>
      </w:pPr>
      <w:r>
        <w:rPr>
          <w:rFonts w:hint="eastAsia" w:ascii="仿宋" w:hAnsi="仿宋" w:eastAsia="仿宋" w:cs="仿宋"/>
          <w:b/>
          <w:bCs/>
          <w:color w:val="auto"/>
          <w:sz w:val="32"/>
          <w:szCs w:val="32"/>
          <w:highlight w:val="none"/>
          <w:lang w:eastAsia="zh-CN"/>
        </w:rPr>
        <w:t>日    期： 202</w:t>
      </w:r>
      <w:r>
        <w:rPr>
          <w:rFonts w:hint="eastAsia" w:ascii="仿宋" w:hAnsi="仿宋" w:eastAsia="仿宋" w:cs="仿宋"/>
          <w:b/>
          <w:bCs/>
          <w:color w:val="auto"/>
          <w:sz w:val="32"/>
          <w:szCs w:val="32"/>
          <w:highlight w:val="none"/>
          <w:lang w:val="en-US" w:eastAsia="zh-CN"/>
        </w:rPr>
        <w:t>5</w:t>
      </w:r>
      <w:r>
        <w:rPr>
          <w:rFonts w:hint="eastAsia" w:ascii="仿宋" w:hAnsi="仿宋" w:eastAsia="仿宋" w:cs="仿宋"/>
          <w:b/>
          <w:bCs/>
          <w:color w:val="auto"/>
          <w:sz w:val="32"/>
          <w:szCs w:val="32"/>
          <w:highlight w:val="none"/>
          <w:lang w:eastAsia="zh-CN"/>
        </w:rPr>
        <w:t>年</w:t>
      </w:r>
      <w:r>
        <w:rPr>
          <w:rFonts w:hint="eastAsia" w:ascii="仿宋" w:hAnsi="仿宋" w:eastAsia="仿宋" w:cs="仿宋"/>
          <w:b/>
          <w:bCs/>
          <w:color w:val="auto"/>
          <w:sz w:val="32"/>
          <w:szCs w:val="32"/>
          <w:highlight w:val="none"/>
          <w:lang w:val="en-US" w:eastAsia="zh-CN"/>
        </w:rPr>
        <w:t>11月</w:t>
      </w:r>
    </w:p>
    <w:p w14:paraId="0B7E03B2">
      <w:pPr>
        <w:spacing w:line="360" w:lineRule="auto"/>
        <w:jc w:val="both"/>
        <w:rPr>
          <w:rFonts w:hint="eastAsia" w:ascii="仿宋" w:hAnsi="仿宋" w:eastAsia="仿宋" w:cs="仿宋"/>
          <w:color w:val="auto"/>
          <w:sz w:val="24"/>
          <w:highlight w:val="none"/>
        </w:rPr>
      </w:pPr>
    </w:p>
    <w:p w14:paraId="0842D5FA">
      <w:pPr>
        <w:spacing w:line="360" w:lineRule="auto"/>
        <w:jc w:val="center"/>
        <w:rPr>
          <w:rFonts w:hint="eastAsia" w:ascii="仿宋" w:hAnsi="仿宋" w:eastAsia="仿宋" w:cs="仿宋"/>
          <w:b/>
          <w:color w:val="auto"/>
          <w:sz w:val="36"/>
          <w:szCs w:val="36"/>
          <w:highlight w:val="none"/>
        </w:rPr>
      </w:pPr>
      <w:bookmarkStart w:id="3" w:name="_Hlt91233176"/>
      <w:bookmarkEnd w:id="3"/>
      <w:bookmarkStart w:id="4" w:name="_Toc91899869"/>
      <w:r>
        <w:rPr>
          <w:rFonts w:hint="eastAsia" w:ascii="仿宋" w:hAnsi="仿宋" w:eastAsia="仿宋" w:cs="仿宋"/>
          <w:b/>
          <w:color w:val="auto"/>
          <w:sz w:val="44"/>
          <w:szCs w:val="44"/>
          <w:highlight w:val="none"/>
        </w:rPr>
        <w:t>目</w:t>
      </w:r>
      <w:r>
        <w:rPr>
          <w:rFonts w:hint="eastAsia" w:ascii="仿宋" w:hAnsi="仿宋" w:eastAsia="仿宋" w:cs="仿宋"/>
          <w:b/>
          <w:color w:val="auto"/>
          <w:sz w:val="44"/>
          <w:szCs w:val="44"/>
          <w:highlight w:val="none"/>
          <w:lang w:val="en-US" w:eastAsia="zh-CN"/>
        </w:rPr>
        <w:t xml:space="preserve">  </w:t>
      </w:r>
      <w:r>
        <w:rPr>
          <w:rFonts w:hint="eastAsia" w:ascii="仿宋" w:hAnsi="仿宋" w:eastAsia="仿宋" w:cs="仿宋"/>
          <w:b/>
          <w:color w:val="auto"/>
          <w:sz w:val="44"/>
          <w:szCs w:val="44"/>
          <w:highlight w:val="none"/>
        </w:rPr>
        <w:t>录</w:t>
      </w:r>
    </w:p>
    <w:p w14:paraId="14D6B19C">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2530" w:firstLineChars="700"/>
        <w:jc w:val="left"/>
        <w:textAlignment w:val="auto"/>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第一部分</w:t>
      </w:r>
      <w:r>
        <w:rPr>
          <w:rFonts w:hint="eastAsia" w:ascii="仿宋" w:hAnsi="仿宋" w:eastAsia="仿宋" w:cs="仿宋"/>
          <w:b/>
          <w:color w:val="auto"/>
          <w:sz w:val="36"/>
          <w:szCs w:val="36"/>
          <w:highlight w:val="none"/>
          <w:lang w:val="en-US" w:eastAsia="zh-CN"/>
        </w:rPr>
        <w:t xml:space="preserve">  </w:t>
      </w:r>
      <w:r>
        <w:rPr>
          <w:rFonts w:hint="eastAsia" w:ascii="仿宋" w:hAnsi="仿宋" w:eastAsia="仿宋" w:cs="仿宋"/>
          <w:b/>
          <w:color w:val="auto"/>
          <w:sz w:val="36"/>
          <w:szCs w:val="36"/>
          <w:highlight w:val="none"/>
        </w:rPr>
        <w:t>招标公告</w:t>
      </w:r>
    </w:p>
    <w:p w14:paraId="394D3FF9">
      <w:pPr>
        <w:snapToGrid w:val="0"/>
        <w:spacing w:line="360" w:lineRule="auto"/>
        <w:ind w:firstLine="2530" w:firstLineChars="700"/>
        <w:jc w:val="left"/>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第二部分</w:t>
      </w:r>
      <w:r>
        <w:rPr>
          <w:rFonts w:hint="eastAsia" w:ascii="仿宋" w:hAnsi="仿宋" w:eastAsia="仿宋" w:cs="仿宋"/>
          <w:b/>
          <w:color w:val="auto"/>
          <w:sz w:val="36"/>
          <w:szCs w:val="36"/>
          <w:highlight w:val="none"/>
          <w:lang w:val="en-US" w:eastAsia="zh-CN"/>
        </w:rPr>
        <w:t xml:space="preserve">  </w:t>
      </w:r>
      <w:r>
        <w:rPr>
          <w:rFonts w:hint="eastAsia" w:ascii="仿宋" w:hAnsi="仿宋" w:eastAsia="仿宋" w:cs="仿宋"/>
          <w:b/>
          <w:color w:val="auto"/>
          <w:sz w:val="36"/>
          <w:szCs w:val="36"/>
          <w:highlight w:val="none"/>
        </w:rPr>
        <w:t>投标须知</w:t>
      </w:r>
    </w:p>
    <w:p w14:paraId="4E0CF8DC">
      <w:pPr>
        <w:snapToGrid w:val="0"/>
        <w:spacing w:line="360" w:lineRule="auto"/>
        <w:ind w:firstLine="2530" w:firstLineChars="700"/>
        <w:jc w:val="left"/>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第三部分</w:t>
      </w:r>
      <w:r>
        <w:rPr>
          <w:rFonts w:hint="eastAsia" w:ascii="仿宋" w:hAnsi="仿宋" w:eastAsia="仿宋" w:cs="仿宋"/>
          <w:b/>
          <w:color w:val="auto"/>
          <w:sz w:val="36"/>
          <w:szCs w:val="36"/>
          <w:highlight w:val="none"/>
          <w:lang w:val="en-US" w:eastAsia="zh-CN"/>
        </w:rPr>
        <w:t xml:space="preserve">  </w:t>
      </w:r>
      <w:r>
        <w:rPr>
          <w:rFonts w:hint="eastAsia" w:ascii="仿宋" w:hAnsi="仿宋" w:eastAsia="仿宋" w:cs="仿宋"/>
          <w:b/>
          <w:color w:val="auto"/>
          <w:sz w:val="36"/>
          <w:szCs w:val="36"/>
          <w:highlight w:val="none"/>
        </w:rPr>
        <w:t>招标项目范围及要求</w:t>
      </w:r>
    </w:p>
    <w:p w14:paraId="7B3EF027">
      <w:pPr>
        <w:snapToGrid w:val="0"/>
        <w:spacing w:line="360" w:lineRule="auto"/>
        <w:ind w:firstLine="2530" w:firstLineChars="700"/>
        <w:jc w:val="left"/>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第</w:t>
      </w:r>
      <w:r>
        <w:rPr>
          <w:rFonts w:hint="eastAsia" w:ascii="仿宋" w:hAnsi="仿宋" w:eastAsia="仿宋" w:cs="仿宋"/>
          <w:b/>
          <w:color w:val="auto"/>
          <w:sz w:val="36"/>
          <w:szCs w:val="36"/>
          <w:highlight w:val="none"/>
          <w:lang w:val="en-US" w:eastAsia="zh-CN"/>
        </w:rPr>
        <w:t>四</w:t>
      </w:r>
      <w:r>
        <w:rPr>
          <w:rFonts w:hint="eastAsia" w:ascii="仿宋" w:hAnsi="仿宋" w:eastAsia="仿宋" w:cs="仿宋"/>
          <w:b/>
          <w:color w:val="auto"/>
          <w:sz w:val="36"/>
          <w:szCs w:val="36"/>
          <w:highlight w:val="none"/>
        </w:rPr>
        <w:t>部分</w:t>
      </w:r>
      <w:r>
        <w:rPr>
          <w:rFonts w:hint="eastAsia" w:ascii="仿宋" w:hAnsi="仿宋" w:eastAsia="仿宋" w:cs="仿宋"/>
          <w:b/>
          <w:color w:val="auto"/>
          <w:sz w:val="36"/>
          <w:szCs w:val="36"/>
          <w:highlight w:val="none"/>
          <w:lang w:val="en-US" w:eastAsia="zh-CN"/>
        </w:rPr>
        <w:t xml:space="preserve">  </w:t>
      </w:r>
      <w:r>
        <w:rPr>
          <w:rFonts w:hint="eastAsia" w:ascii="仿宋" w:hAnsi="仿宋" w:eastAsia="仿宋" w:cs="仿宋"/>
          <w:b/>
          <w:color w:val="auto"/>
          <w:sz w:val="36"/>
          <w:szCs w:val="36"/>
          <w:highlight w:val="none"/>
        </w:rPr>
        <w:t>评标方法及标准</w:t>
      </w:r>
    </w:p>
    <w:p w14:paraId="5017AD87">
      <w:pPr>
        <w:snapToGrid w:val="0"/>
        <w:spacing w:line="360" w:lineRule="auto"/>
        <w:ind w:firstLine="2530" w:firstLineChars="700"/>
        <w:jc w:val="left"/>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第</w:t>
      </w:r>
      <w:r>
        <w:rPr>
          <w:rFonts w:hint="eastAsia" w:ascii="仿宋" w:hAnsi="仿宋" w:eastAsia="仿宋" w:cs="仿宋"/>
          <w:b/>
          <w:color w:val="auto"/>
          <w:sz w:val="36"/>
          <w:szCs w:val="36"/>
          <w:highlight w:val="none"/>
          <w:lang w:val="en-US" w:eastAsia="zh-CN"/>
        </w:rPr>
        <w:t>五</w:t>
      </w:r>
      <w:r>
        <w:rPr>
          <w:rFonts w:hint="eastAsia" w:ascii="仿宋" w:hAnsi="仿宋" w:eastAsia="仿宋" w:cs="仿宋"/>
          <w:b/>
          <w:color w:val="auto"/>
          <w:sz w:val="36"/>
          <w:szCs w:val="36"/>
          <w:highlight w:val="none"/>
        </w:rPr>
        <w:t>部分</w:t>
      </w:r>
      <w:r>
        <w:rPr>
          <w:rFonts w:hint="eastAsia" w:ascii="仿宋" w:hAnsi="仿宋" w:eastAsia="仿宋" w:cs="仿宋"/>
          <w:b/>
          <w:color w:val="auto"/>
          <w:sz w:val="36"/>
          <w:szCs w:val="36"/>
          <w:highlight w:val="none"/>
          <w:lang w:val="en-US" w:eastAsia="zh-CN"/>
        </w:rPr>
        <w:t xml:space="preserve">  </w:t>
      </w:r>
      <w:r>
        <w:rPr>
          <w:rFonts w:hint="eastAsia" w:ascii="仿宋" w:hAnsi="仿宋" w:eastAsia="仿宋" w:cs="仿宋"/>
          <w:b/>
          <w:color w:val="auto"/>
          <w:sz w:val="36"/>
          <w:szCs w:val="36"/>
          <w:highlight w:val="none"/>
        </w:rPr>
        <w:t>合同的主要条款</w:t>
      </w:r>
    </w:p>
    <w:p w14:paraId="11A2EFC3">
      <w:pPr>
        <w:snapToGrid w:val="0"/>
        <w:spacing w:line="360" w:lineRule="auto"/>
        <w:ind w:firstLine="2530" w:firstLineChars="700"/>
        <w:jc w:val="left"/>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第六部分</w:t>
      </w:r>
      <w:r>
        <w:rPr>
          <w:rFonts w:hint="eastAsia" w:ascii="仿宋" w:hAnsi="仿宋" w:eastAsia="仿宋" w:cs="仿宋"/>
          <w:b/>
          <w:color w:val="auto"/>
          <w:sz w:val="36"/>
          <w:szCs w:val="36"/>
          <w:highlight w:val="none"/>
          <w:lang w:val="en-US" w:eastAsia="zh-CN"/>
        </w:rPr>
        <w:t xml:space="preserve">  </w:t>
      </w:r>
      <w:r>
        <w:rPr>
          <w:rFonts w:hint="eastAsia" w:ascii="仿宋" w:hAnsi="仿宋" w:eastAsia="仿宋" w:cs="仿宋"/>
          <w:b/>
          <w:color w:val="auto"/>
          <w:sz w:val="36"/>
          <w:szCs w:val="36"/>
          <w:highlight w:val="none"/>
        </w:rPr>
        <w:t>投标文件及其附件格式</w:t>
      </w:r>
    </w:p>
    <w:p w14:paraId="3243E7D4">
      <w:pPr>
        <w:spacing w:line="360" w:lineRule="auto"/>
        <w:ind w:firstLine="549" w:firstLineChars="229"/>
        <w:rPr>
          <w:rFonts w:hint="eastAsia" w:ascii="仿宋" w:hAnsi="仿宋" w:eastAsia="仿宋" w:cs="仿宋"/>
          <w:color w:val="auto"/>
          <w:sz w:val="24"/>
          <w:highlight w:val="none"/>
        </w:rPr>
      </w:pPr>
    </w:p>
    <w:p w14:paraId="13970B1C">
      <w:pPr>
        <w:spacing w:line="360" w:lineRule="auto"/>
        <w:ind w:firstLine="549" w:firstLineChars="229"/>
        <w:rPr>
          <w:rFonts w:hint="eastAsia" w:ascii="仿宋" w:hAnsi="仿宋" w:eastAsia="仿宋" w:cs="仿宋"/>
          <w:color w:val="auto"/>
          <w:sz w:val="24"/>
          <w:highlight w:val="none"/>
        </w:rPr>
      </w:pPr>
    </w:p>
    <w:p w14:paraId="636D52B4">
      <w:pPr>
        <w:spacing w:line="360" w:lineRule="auto"/>
        <w:ind w:firstLine="549" w:firstLineChars="229"/>
        <w:rPr>
          <w:rFonts w:hint="eastAsia" w:ascii="仿宋" w:hAnsi="仿宋" w:eastAsia="仿宋" w:cs="仿宋"/>
          <w:color w:val="auto"/>
          <w:sz w:val="24"/>
          <w:highlight w:val="none"/>
        </w:rPr>
      </w:pPr>
    </w:p>
    <w:p w14:paraId="01A89D13">
      <w:pPr>
        <w:spacing w:line="360" w:lineRule="auto"/>
        <w:ind w:firstLine="549" w:firstLineChars="229"/>
        <w:rPr>
          <w:rFonts w:hint="eastAsia" w:ascii="仿宋" w:hAnsi="仿宋" w:eastAsia="仿宋" w:cs="仿宋"/>
          <w:color w:val="auto"/>
          <w:sz w:val="24"/>
          <w:highlight w:val="none"/>
        </w:rPr>
      </w:pPr>
    </w:p>
    <w:p w14:paraId="7C6C6B8C">
      <w:pPr>
        <w:spacing w:line="360" w:lineRule="auto"/>
        <w:ind w:firstLine="549" w:firstLineChars="229"/>
        <w:rPr>
          <w:rFonts w:hint="eastAsia" w:ascii="仿宋" w:hAnsi="仿宋" w:eastAsia="仿宋" w:cs="仿宋"/>
          <w:color w:val="auto"/>
          <w:sz w:val="24"/>
          <w:highlight w:val="none"/>
        </w:rPr>
      </w:pPr>
    </w:p>
    <w:p w14:paraId="1B9CE1C1">
      <w:pPr>
        <w:spacing w:line="360" w:lineRule="auto"/>
        <w:ind w:firstLine="549" w:firstLineChars="229"/>
        <w:rPr>
          <w:rFonts w:hint="eastAsia" w:ascii="仿宋" w:hAnsi="仿宋" w:eastAsia="仿宋" w:cs="仿宋"/>
          <w:color w:val="auto"/>
          <w:sz w:val="24"/>
          <w:highlight w:val="none"/>
        </w:rPr>
      </w:pPr>
    </w:p>
    <w:p w14:paraId="3DEBF52A">
      <w:pPr>
        <w:spacing w:line="360" w:lineRule="auto"/>
        <w:ind w:firstLine="549" w:firstLineChars="229"/>
        <w:rPr>
          <w:rFonts w:hint="eastAsia" w:ascii="仿宋" w:hAnsi="仿宋" w:eastAsia="仿宋" w:cs="仿宋"/>
          <w:color w:val="auto"/>
          <w:sz w:val="24"/>
          <w:highlight w:val="none"/>
        </w:rPr>
      </w:pPr>
    </w:p>
    <w:p w14:paraId="2825BBF7">
      <w:pPr>
        <w:spacing w:line="360" w:lineRule="auto"/>
        <w:ind w:firstLine="549" w:firstLineChars="229"/>
        <w:rPr>
          <w:rFonts w:hint="eastAsia" w:ascii="仿宋" w:hAnsi="仿宋" w:eastAsia="仿宋" w:cs="仿宋"/>
          <w:color w:val="auto"/>
          <w:sz w:val="24"/>
          <w:highlight w:val="none"/>
        </w:rPr>
      </w:pPr>
    </w:p>
    <w:p w14:paraId="44B7BA9F">
      <w:pPr>
        <w:spacing w:line="360" w:lineRule="auto"/>
        <w:ind w:firstLine="549" w:firstLineChars="229"/>
        <w:rPr>
          <w:rFonts w:hint="eastAsia" w:ascii="仿宋" w:hAnsi="仿宋" w:eastAsia="仿宋" w:cs="仿宋"/>
          <w:color w:val="auto"/>
          <w:sz w:val="24"/>
          <w:highlight w:val="none"/>
        </w:rPr>
      </w:pPr>
    </w:p>
    <w:p w14:paraId="6264A0F7">
      <w:pPr>
        <w:spacing w:line="360" w:lineRule="auto"/>
        <w:ind w:firstLine="549" w:firstLineChars="229"/>
        <w:rPr>
          <w:rFonts w:hint="eastAsia" w:ascii="仿宋" w:hAnsi="仿宋" w:eastAsia="仿宋" w:cs="仿宋"/>
          <w:color w:val="auto"/>
          <w:sz w:val="24"/>
          <w:highlight w:val="none"/>
        </w:rPr>
      </w:pPr>
    </w:p>
    <w:p w14:paraId="031455ED">
      <w:pPr>
        <w:spacing w:line="360" w:lineRule="auto"/>
        <w:ind w:firstLine="549" w:firstLineChars="229"/>
        <w:rPr>
          <w:rFonts w:hint="eastAsia" w:ascii="仿宋" w:hAnsi="仿宋" w:eastAsia="仿宋" w:cs="仿宋"/>
          <w:color w:val="auto"/>
          <w:sz w:val="24"/>
          <w:highlight w:val="none"/>
        </w:rPr>
      </w:pPr>
    </w:p>
    <w:p w14:paraId="7A7CD54B">
      <w:pPr>
        <w:spacing w:line="360" w:lineRule="auto"/>
        <w:ind w:firstLine="549" w:firstLineChars="229"/>
        <w:rPr>
          <w:rFonts w:hint="eastAsia" w:ascii="仿宋" w:hAnsi="仿宋" w:eastAsia="仿宋" w:cs="仿宋"/>
          <w:color w:val="auto"/>
          <w:sz w:val="24"/>
          <w:highlight w:val="none"/>
        </w:rPr>
      </w:pPr>
    </w:p>
    <w:p w14:paraId="5A0780EA">
      <w:pPr>
        <w:spacing w:line="360" w:lineRule="auto"/>
        <w:ind w:firstLine="549" w:firstLineChars="229"/>
        <w:rPr>
          <w:rFonts w:hint="eastAsia" w:ascii="仿宋" w:hAnsi="仿宋" w:eastAsia="仿宋" w:cs="仿宋"/>
          <w:color w:val="auto"/>
          <w:sz w:val="24"/>
          <w:highlight w:val="none"/>
        </w:rPr>
      </w:pPr>
    </w:p>
    <w:p w14:paraId="22910D46">
      <w:pPr>
        <w:spacing w:line="360" w:lineRule="auto"/>
        <w:rPr>
          <w:rFonts w:hint="eastAsia" w:ascii="仿宋" w:hAnsi="仿宋" w:eastAsia="仿宋" w:cs="仿宋"/>
          <w:color w:val="auto"/>
          <w:sz w:val="24"/>
          <w:highlight w:val="none"/>
        </w:rPr>
      </w:pPr>
    </w:p>
    <w:bookmarkEnd w:id="4"/>
    <w:p w14:paraId="6C176BEF">
      <w:pPr>
        <w:adjustRightInd/>
        <w:spacing w:line="360" w:lineRule="auto"/>
        <w:jc w:val="center"/>
        <w:outlineLvl w:val="0"/>
        <w:rPr>
          <w:rFonts w:hint="eastAsia" w:ascii="仿宋" w:hAnsi="仿宋" w:eastAsia="仿宋" w:cs="仿宋"/>
          <w:b/>
          <w:color w:val="auto"/>
          <w:sz w:val="36"/>
          <w:szCs w:val="20"/>
          <w:highlight w:val="none"/>
        </w:rPr>
        <w:sectPr>
          <w:headerReference r:id="rId7" w:type="first"/>
          <w:footerReference r:id="rId10" w:type="first"/>
          <w:headerReference r:id="rId6" w:type="default"/>
          <w:footerReference r:id="rId8" w:type="default"/>
          <w:footerReference r:id="rId9" w:type="even"/>
          <w:pgSz w:w="11906" w:h="16838"/>
          <w:pgMar w:top="1814" w:right="1474" w:bottom="1814" w:left="1474" w:header="851" w:footer="992" w:gutter="0"/>
          <w:cols w:space="720" w:num="1"/>
          <w:titlePg/>
          <w:docGrid w:linePitch="312" w:charSpace="0"/>
        </w:sectPr>
      </w:pPr>
      <w:bookmarkStart w:id="5" w:name="_Hlt74707423"/>
      <w:bookmarkEnd w:id="5"/>
      <w:bookmarkStart w:id="6" w:name="_Hlt74728647"/>
      <w:bookmarkEnd w:id="6"/>
      <w:bookmarkStart w:id="7" w:name="_Hlt74649545"/>
      <w:bookmarkEnd w:id="7"/>
      <w:bookmarkStart w:id="8" w:name="_Hlt74729822"/>
      <w:bookmarkEnd w:id="8"/>
      <w:bookmarkStart w:id="9" w:name="_Toc91899870"/>
      <w:bookmarkStart w:id="10" w:name="第二部分"/>
      <w:bookmarkStart w:id="11" w:name="_Toc91899871"/>
    </w:p>
    <w:p w14:paraId="4F390C6F">
      <w:pPr>
        <w:adjustRightInd/>
        <w:spacing w:line="360" w:lineRule="auto"/>
        <w:jc w:val="center"/>
        <w:outlineLvl w:val="0"/>
        <w:rPr>
          <w:rFonts w:hint="eastAsia" w:ascii="仿宋" w:hAnsi="仿宋" w:eastAsia="仿宋" w:cs="仿宋"/>
          <w:b/>
          <w:color w:val="auto"/>
          <w:sz w:val="36"/>
          <w:szCs w:val="20"/>
          <w:highlight w:val="none"/>
        </w:rPr>
      </w:pPr>
      <w:r>
        <w:rPr>
          <w:rFonts w:hint="eastAsia" w:ascii="仿宋" w:hAnsi="仿宋" w:eastAsia="仿宋" w:cs="仿宋"/>
          <w:b/>
          <w:color w:val="auto"/>
          <w:sz w:val="36"/>
          <w:szCs w:val="20"/>
          <w:highlight w:val="none"/>
        </w:rPr>
        <w:t>第一部分</w:t>
      </w:r>
      <w:r>
        <w:rPr>
          <w:rFonts w:hint="eastAsia" w:ascii="仿宋" w:hAnsi="仿宋" w:eastAsia="仿宋" w:cs="仿宋"/>
          <w:b/>
          <w:color w:val="auto"/>
          <w:sz w:val="36"/>
          <w:szCs w:val="20"/>
          <w:highlight w:val="none"/>
          <w:lang w:val="en-US" w:eastAsia="zh-CN"/>
        </w:rPr>
        <w:t xml:space="preserve">  </w:t>
      </w:r>
      <w:r>
        <w:rPr>
          <w:rFonts w:hint="eastAsia" w:ascii="仿宋" w:hAnsi="仿宋" w:eastAsia="仿宋" w:cs="仿宋"/>
          <w:b/>
          <w:color w:val="auto"/>
          <w:sz w:val="36"/>
          <w:szCs w:val="20"/>
          <w:highlight w:val="none"/>
        </w:rPr>
        <w:t>招标公告</w:t>
      </w:r>
    </w:p>
    <w:p w14:paraId="5BC7681D">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项目概况：</w:t>
      </w:r>
    </w:p>
    <w:p w14:paraId="665A380D">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highlight w:val="none"/>
          <w:u w:val="single"/>
        </w:rPr>
      </w:pPr>
      <w:r>
        <w:rPr>
          <w:rFonts w:hint="eastAsia" w:ascii="仿宋" w:hAnsi="仿宋" w:eastAsia="仿宋" w:cs="仿宋"/>
          <w:bCs/>
          <w:color w:val="auto"/>
          <w:sz w:val="24"/>
          <w:highlight w:val="none"/>
          <w:u w:val="single"/>
          <w:lang w:eastAsia="zh-CN"/>
        </w:rPr>
        <w:t>嵊州市城市智能运维管理服务平台改造提升项目</w:t>
      </w:r>
      <w:r>
        <w:rPr>
          <w:rFonts w:hint="eastAsia" w:ascii="仿宋" w:hAnsi="仿宋" w:eastAsia="仿宋" w:cs="仿宋"/>
          <w:color w:val="auto"/>
          <w:sz w:val="24"/>
          <w:highlight w:val="none"/>
        </w:rPr>
        <w:t>招标项目的潜在投标人应在乐采云平台（</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"https://www.zcygov.cn/）获取（下载）招标文件，并于202%20年%20月%20日%20点%20分00秒" </w:instrText>
      </w:r>
      <w:r>
        <w:rPr>
          <w:rFonts w:hint="eastAsia" w:ascii="仿宋" w:hAnsi="仿宋" w:eastAsia="仿宋" w:cs="仿宋"/>
          <w:color w:val="auto"/>
          <w:highlight w:val="none"/>
        </w:rPr>
        <w:fldChar w:fldCharType="separate"/>
      </w:r>
      <w:r>
        <w:rPr>
          <w:rStyle w:val="79"/>
          <w:rFonts w:hint="eastAsia" w:ascii="仿宋" w:hAnsi="仿宋" w:eastAsia="仿宋" w:cs="仿宋"/>
          <w:snapToGrid/>
          <w:color w:val="auto"/>
          <w:kern w:val="2"/>
          <w:sz w:val="24"/>
          <w:szCs w:val="24"/>
          <w:highlight w:val="none"/>
        </w:rPr>
        <w:t>https://www.lecaiyun.com/）获取（下载）招标文件，并于</w:t>
      </w:r>
      <w:r>
        <w:rPr>
          <w:rStyle w:val="79"/>
          <w:rFonts w:hint="eastAsia" w:ascii="仿宋" w:hAnsi="仿宋" w:eastAsia="仿宋" w:cs="仿宋"/>
          <w:snapToGrid/>
          <w:color w:val="auto"/>
          <w:kern w:val="2"/>
          <w:sz w:val="24"/>
          <w:szCs w:val="24"/>
          <w:highlight w:val="none"/>
          <w:lang w:eastAsia="zh-CN"/>
        </w:rPr>
        <w:t>2025年</w:t>
      </w:r>
      <w:r>
        <w:rPr>
          <w:rStyle w:val="79"/>
          <w:rFonts w:hint="eastAsia" w:ascii="仿宋" w:hAnsi="仿宋" w:eastAsia="仿宋" w:cs="仿宋"/>
          <w:snapToGrid/>
          <w:color w:val="auto"/>
          <w:kern w:val="2"/>
          <w:sz w:val="24"/>
          <w:szCs w:val="24"/>
          <w:highlight w:val="none"/>
          <w:u w:val="single"/>
          <w:lang w:val="en-US" w:eastAsia="zh-CN"/>
        </w:rPr>
        <w:t>11</w:t>
      </w:r>
      <w:r>
        <w:rPr>
          <w:rStyle w:val="79"/>
          <w:rFonts w:hint="eastAsia" w:ascii="仿宋" w:hAnsi="仿宋" w:eastAsia="仿宋" w:cs="仿宋"/>
          <w:snapToGrid/>
          <w:color w:val="auto"/>
          <w:kern w:val="2"/>
          <w:sz w:val="24"/>
          <w:szCs w:val="24"/>
          <w:highlight w:val="none"/>
          <w:lang w:val="en-US" w:eastAsia="zh-CN"/>
        </w:rPr>
        <w:t>月</w:t>
      </w:r>
      <w:r>
        <w:rPr>
          <w:rStyle w:val="79"/>
          <w:rFonts w:hint="eastAsia" w:ascii="仿宋" w:hAnsi="仿宋" w:eastAsia="仿宋" w:cs="仿宋"/>
          <w:snapToGrid/>
          <w:color w:val="auto"/>
          <w:kern w:val="2"/>
          <w:sz w:val="24"/>
          <w:szCs w:val="24"/>
          <w:highlight w:val="none"/>
          <w:u w:val="single"/>
          <w:lang w:val="en-US" w:eastAsia="zh-CN"/>
        </w:rPr>
        <w:t>27</w:t>
      </w:r>
      <w:r>
        <w:rPr>
          <w:rStyle w:val="79"/>
          <w:rFonts w:hint="eastAsia" w:ascii="仿宋" w:hAnsi="仿宋" w:eastAsia="仿宋" w:cs="仿宋"/>
          <w:snapToGrid/>
          <w:color w:val="auto"/>
          <w:kern w:val="2"/>
          <w:sz w:val="24"/>
          <w:szCs w:val="24"/>
          <w:highlight w:val="none"/>
          <w:lang w:val="en-US" w:eastAsia="zh-CN"/>
        </w:rPr>
        <w:t>日</w:t>
      </w:r>
      <w:r>
        <w:rPr>
          <w:rStyle w:val="79"/>
          <w:rFonts w:hint="eastAsia" w:ascii="仿宋" w:hAnsi="仿宋" w:eastAsia="仿宋" w:cs="仿宋"/>
          <w:snapToGrid/>
          <w:color w:val="auto"/>
          <w:kern w:val="2"/>
          <w:sz w:val="24"/>
          <w:szCs w:val="24"/>
          <w:highlight w:val="none"/>
          <w:u w:val="single"/>
          <w:lang w:val="en-US" w:eastAsia="zh-CN"/>
        </w:rPr>
        <w:t xml:space="preserve"> 09 </w:t>
      </w:r>
      <w:r>
        <w:rPr>
          <w:rStyle w:val="79"/>
          <w:rFonts w:hint="eastAsia" w:ascii="仿宋" w:hAnsi="仿宋" w:eastAsia="仿宋" w:cs="仿宋"/>
          <w:snapToGrid/>
          <w:color w:val="auto"/>
          <w:kern w:val="2"/>
          <w:sz w:val="24"/>
          <w:szCs w:val="24"/>
          <w:highlight w:val="none"/>
          <w:lang w:eastAsia="zh-CN"/>
        </w:rPr>
        <w:t>点</w:t>
      </w:r>
      <w:r>
        <w:rPr>
          <w:rStyle w:val="79"/>
          <w:rFonts w:hint="eastAsia" w:ascii="仿宋" w:hAnsi="仿宋" w:eastAsia="仿宋" w:cs="仿宋"/>
          <w:snapToGrid/>
          <w:color w:val="auto"/>
          <w:kern w:val="2"/>
          <w:sz w:val="24"/>
          <w:szCs w:val="24"/>
          <w:highlight w:val="none"/>
          <w:u w:val="single"/>
          <w:lang w:val="en-US" w:eastAsia="zh-CN"/>
        </w:rPr>
        <w:t xml:space="preserve"> 00 </w:t>
      </w:r>
      <w:r>
        <w:rPr>
          <w:rStyle w:val="79"/>
          <w:rFonts w:hint="eastAsia" w:ascii="仿宋" w:hAnsi="仿宋" w:eastAsia="仿宋" w:cs="仿宋"/>
          <w:snapToGrid/>
          <w:color w:val="auto"/>
          <w:kern w:val="2"/>
          <w:sz w:val="24"/>
          <w:szCs w:val="24"/>
          <w:highlight w:val="none"/>
          <w:lang w:eastAsia="zh-CN"/>
        </w:rPr>
        <w:t>分</w:t>
      </w:r>
      <w:r>
        <w:rPr>
          <w:rStyle w:val="79"/>
          <w:rFonts w:hint="eastAsia" w:ascii="仿宋" w:hAnsi="仿宋" w:eastAsia="仿宋" w:cs="仿宋"/>
          <w:snapToGrid/>
          <w:color w:val="auto"/>
          <w:kern w:val="2"/>
          <w:sz w:val="24"/>
          <w:szCs w:val="24"/>
          <w:highlight w:val="none"/>
          <w:u w:val="single"/>
          <w:lang w:val="en-US" w:eastAsia="zh-CN"/>
        </w:rPr>
        <w:t>00</w:t>
      </w:r>
      <w:r>
        <w:rPr>
          <w:rStyle w:val="79"/>
          <w:rFonts w:hint="eastAsia" w:ascii="仿宋" w:hAnsi="仿宋" w:eastAsia="仿宋" w:cs="仿宋"/>
          <w:snapToGrid/>
          <w:color w:val="auto"/>
          <w:kern w:val="2"/>
          <w:sz w:val="24"/>
          <w:szCs w:val="24"/>
          <w:highlight w:val="none"/>
          <w:lang w:eastAsia="zh-CN"/>
        </w:rPr>
        <w:t>秒</w:t>
      </w:r>
      <w:r>
        <w:rPr>
          <w:rStyle w:val="79"/>
          <w:rFonts w:hint="eastAsia" w:ascii="仿宋" w:hAnsi="仿宋" w:eastAsia="仿宋" w:cs="仿宋"/>
          <w:bCs/>
          <w:snapToGrid/>
          <w:color w:val="auto"/>
          <w:kern w:val="2"/>
          <w:sz w:val="24"/>
          <w:szCs w:val="24"/>
          <w:highlight w:val="none"/>
        </w:rPr>
        <w:fldChar w:fldCharType="end"/>
      </w:r>
      <w:r>
        <w:rPr>
          <w:rFonts w:hint="eastAsia" w:ascii="仿宋" w:hAnsi="仿宋" w:eastAsia="仿宋" w:cs="仿宋"/>
          <w:bCs/>
          <w:color w:val="auto"/>
          <w:sz w:val="24"/>
          <w:highlight w:val="none"/>
        </w:rPr>
        <w:t>（北京时间）前</w:t>
      </w:r>
      <w:r>
        <w:rPr>
          <w:rFonts w:hint="eastAsia" w:ascii="仿宋" w:hAnsi="仿宋" w:eastAsia="仿宋" w:cs="仿宋"/>
          <w:color w:val="auto"/>
          <w:sz w:val="24"/>
          <w:highlight w:val="none"/>
        </w:rPr>
        <w:t>递交（上传）投标文件。</w:t>
      </w:r>
    </w:p>
    <w:p w14:paraId="08FBF619">
      <w:pPr>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一、项目基本情况</w:t>
      </w:r>
    </w:p>
    <w:p w14:paraId="79017494">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color w:val="auto"/>
          <w:sz w:val="24"/>
          <w:highlight w:val="none"/>
          <w:lang w:eastAsia="zh-CN"/>
        </w:rPr>
      </w:pPr>
      <w:r>
        <w:rPr>
          <w:rFonts w:hint="eastAsia" w:ascii="仿宋" w:hAnsi="仿宋" w:eastAsia="仿宋" w:cs="仿宋"/>
          <w:b w:val="0"/>
          <w:bCs/>
          <w:color w:val="auto"/>
          <w:sz w:val="24"/>
          <w:highlight w:val="none"/>
        </w:rPr>
        <w:t>项目编号：</w:t>
      </w:r>
      <w:r>
        <w:rPr>
          <w:rFonts w:hint="eastAsia" w:ascii="仿宋" w:hAnsi="仿宋" w:eastAsia="仿宋" w:cs="仿宋"/>
          <w:b w:val="0"/>
          <w:bCs/>
          <w:color w:val="auto"/>
          <w:sz w:val="24"/>
          <w:highlight w:val="none"/>
          <w:lang w:eastAsia="zh-CN"/>
        </w:rPr>
        <w:t>SXPZ-F20251029SZ</w:t>
      </w:r>
    </w:p>
    <w:p w14:paraId="16E1F75A">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color w:val="auto"/>
          <w:sz w:val="24"/>
          <w:highlight w:val="none"/>
          <w:lang w:eastAsia="zh-CN"/>
        </w:rPr>
      </w:pPr>
      <w:r>
        <w:rPr>
          <w:rFonts w:hint="eastAsia" w:ascii="仿宋" w:hAnsi="仿宋" w:eastAsia="仿宋" w:cs="仿宋"/>
          <w:b w:val="0"/>
          <w:bCs/>
          <w:color w:val="auto"/>
          <w:sz w:val="24"/>
          <w:highlight w:val="none"/>
        </w:rPr>
        <w:t>项目名称：</w:t>
      </w:r>
      <w:r>
        <w:rPr>
          <w:rFonts w:hint="eastAsia" w:ascii="仿宋" w:hAnsi="仿宋" w:eastAsia="仿宋" w:cs="仿宋"/>
          <w:b w:val="0"/>
          <w:bCs/>
          <w:color w:val="auto"/>
          <w:sz w:val="24"/>
          <w:highlight w:val="none"/>
          <w:lang w:eastAsia="zh-CN"/>
        </w:rPr>
        <w:t>嵊州市城市智能运维管理服务平台改造提升项目</w:t>
      </w:r>
    </w:p>
    <w:p w14:paraId="6758A32B">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rPr>
        <w:t>预算金额（元）：</w:t>
      </w:r>
      <w:r>
        <w:rPr>
          <w:rFonts w:hint="eastAsia" w:ascii="仿宋" w:hAnsi="仿宋" w:eastAsia="仿宋" w:cs="仿宋"/>
          <w:b w:val="0"/>
          <w:bCs/>
          <w:color w:val="auto"/>
          <w:sz w:val="24"/>
          <w:highlight w:val="none"/>
          <w:lang w:val="en-US" w:eastAsia="zh-CN"/>
        </w:rPr>
        <w:t>3636648‬</w:t>
      </w:r>
    </w:p>
    <w:p w14:paraId="6D102160">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rPr>
        <w:t>最高限价（元）：</w:t>
      </w:r>
      <w:r>
        <w:rPr>
          <w:rFonts w:hint="eastAsia" w:ascii="仿宋" w:hAnsi="仿宋" w:eastAsia="仿宋" w:cs="仿宋"/>
          <w:b w:val="0"/>
          <w:bCs/>
          <w:color w:val="auto"/>
          <w:sz w:val="24"/>
          <w:highlight w:val="none"/>
          <w:lang w:val="en-US" w:eastAsia="zh-CN"/>
        </w:rPr>
        <w:t>3636648‬</w:t>
      </w:r>
    </w:p>
    <w:p w14:paraId="5C8A3953">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采购需求：</w:t>
      </w:r>
      <w:r>
        <w:rPr>
          <w:rFonts w:hint="eastAsia" w:ascii="仿宋" w:hAnsi="仿宋" w:eastAsia="仿宋" w:cs="仿宋"/>
          <w:b w:val="0"/>
          <w:bCs/>
          <w:color w:val="auto"/>
          <w:sz w:val="24"/>
          <w:szCs w:val="24"/>
          <w:highlight w:val="none"/>
        </w:rPr>
        <w:t>详见</w:t>
      </w:r>
      <w:r>
        <w:rPr>
          <w:rFonts w:hint="eastAsia" w:ascii="仿宋" w:hAnsi="仿宋" w:eastAsia="仿宋" w:cs="仿宋"/>
          <w:b w:val="0"/>
          <w:bCs/>
          <w:color w:val="auto"/>
          <w:sz w:val="24"/>
          <w:szCs w:val="24"/>
          <w:highlight w:val="none"/>
          <w:lang w:eastAsia="zh-CN"/>
        </w:rPr>
        <w:t>招标</w:t>
      </w:r>
      <w:r>
        <w:rPr>
          <w:rFonts w:hint="eastAsia" w:ascii="仿宋" w:hAnsi="仿宋" w:eastAsia="仿宋" w:cs="仿宋"/>
          <w:b w:val="0"/>
          <w:bCs/>
          <w:color w:val="auto"/>
          <w:sz w:val="24"/>
          <w:szCs w:val="24"/>
          <w:highlight w:val="none"/>
        </w:rPr>
        <w:t>文件</w:t>
      </w:r>
      <w:r>
        <w:rPr>
          <w:rFonts w:hint="eastAsia" w:ascii="仿宋" w:hAnsi="仿宋" w:eastAsia="仿宋" w:cs="仿宋"/>
          <w:b w:val="0"/>
          <w:bCs/>
          <w:color w:val="auto"/>
          <w:sz w:val="24"/>
          <w:highlight w:val="none"/>
        </w:rPr>
        <w:t>。</w:t>
      </w:r>
    </w:p>
    <w:p w14:paraId="3A4AAE16">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bCs/>
          <w:color w:val="auto"/>
          <w:sz w:val="24"/>
          <w:highlight w:val="none"/>
        </w:rPr>
      </w:pPr>
    </w:p>
    <w:p w14:paraId="0D147FB7">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rPr>
        <w:t>标项名称：</w:t>
      </w:r>
      <w:r>
        <w:rPr>
          <w:rFonts w:hint="eastAsia" w:ascii="仿宋" w:hAnsi="仿宋" w:eastAsia="仿宋" w:cs="仿宋"/>
          <w:b w:val="0"/>
          <w:bCs/>
          <w:color w:val="auto"/>
          <w:sz w:val="24"/>
          <w:highlight w:val="none"/>
          <w:lang w:eastAsia="zh-CN"/>
        </w:rPr>
        <w:t>嵊州市城市智能运维管理服务平台改造提升项目</w:t>
      </w:r>
    </w:p>
    <w:p w14:paraId="6ABA4655">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rPr>
        <w:t>数量：</w:t>
      </w:r>
      <w:r>
        <w:rPr>
          <w:rFonts w:hint="eastAsia" w:ascii="仿宋" w:hAnsi="仿宋" w:eastAsia="仿宋" w:cs="仿宋"/>
          <w:bCs/>
          <w:color w:val="auto"/>
          <w:sz w:val="24"/>
          <w:highlight w:val="none"/>
          <w:lang w:val="en-US" w:eastAsia="zh-CN"/>
        </w:rPr>
        <w:t>1项</w:t>
      </w:r>
    </w:p>
    <w:p w14:paraId="24D3C791">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rPr>
        <w:t>预算金额</w:t>
      </w:r>
      <w:r>
        <w:rPr>
          <w:rFonts w:hint="eastAsia" w:ascii="仿宋" w:hAnsi="仿宋" w:eastAsia="仿宋" w:cs="仿宋"/>
          <w:b w:val="0"/>
          <w:bCs/>
          <w:color w:val="auto"/>
          <w:sz w:val="24"/>
          <w:highlight w:val="none"/>
        </w:rPr>
        <w:t>（元）</w:t>
      </w:r>
      <w:r>
        <w:rPr>
          <w:rFonts w:hint="eastAsia" w:ascii="仿宋" w:hAnsi="仿宋" w:eastAsia="仿宋" w:cs="仿宋"/>
          <w:bCs/>
          <w:color w:val="auto"/>
          <w:sz w:val="24"/>
          <w:highlight w:val="none"/>
        </w:rPr>
        <w:t>：</w:t>
      </w:r>
      <w:r>
        <w:rPr>
          <w:rFonts w:hint="eastAsia" w:ascii="仿宋" w:hAnsi="仿宋" w:eastAsia="仿宋" w:cs="仿宋"/>
          <w:b w:val="0"/>
          <w:bCs/>
          <w:color w:val="auto"/>
          <w:sz w:val="24"/>
          <w:highlight w:val="none"/>
          <w:lang w:val="en-US" w:eastAsia="zh-CN"/>
        </w:rPr>
        <w:t>3636648‬</w:t>
      </w:r>
      <w:r>
        <w:rPr>
          <w:rFonts w:hint="eastAsia" w:ascii="仿宋" w:hAnsi="仿宋" w:eastAsia="仿宋" w:cs="仿宋"/>
          <w:bCs/>
          <w:color w:val="auto"/>
          <w:sz w:val="24"/>
          <w:highlight w:val="none"/>
          <w:lang w:val="en-US" w:eastAsia="zh-CN"/>
        </w:rPr>
        <w:t xml:space="preserve"> </w:t>
      </w:r>
    </w:p>
    <w:p w14:paraId="66CCF268">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b w:val="0"/>
          <w:bCs/>
          <w:color w:val="auto"/>
          <w:sz w:val="24"/>
          <w:szCs w:val="24"/>
          <w:highlight w:val="none"/>
        </w:rPr>
        <w:t>简要规格描述或项目基本概况介绍、用途：详见</w:t>
      </w:r>
      <w:r>
        <w:rPr>
          <w:rFonts w:hint="eastAsia" w:ascii="仿宋" w:hAnsi="仿宋" w:eastAsia="仿宋" w:cs="仿宋"/>
          <w:b w:val="0"/>
          <w:bCs/>
          <w:color w:val="auto"/>
          <w:sz w:val="24"/>
          <w:szCs w:val="24"/>
          <w:highlight w:val="none"/>
          <w:lang w:eastAsia="zh-CN"/>
        </w:rPr>
        <w:t>招标</w:t>
      </w:r>
      <w:r>
        <w:rPr>
          <w:rFonts w:hint="eastAsia" w:ascii="仿宋" w:hAnsi="仿宋" w:eastAsia="仿宋" w:cs="仿宋"/>
          <w:b w:val="0"/>
          <w:bCs/>
          <w:color w:val="auto"/>
          <w:sz w:val="24"/>
          <w:szCs w:val="24"/>
          <w:highlight w:val="none"/>
        </w:rPr>
        <w:t>文件</w:t>
      </w:r>
      <w:r>
        <w:rPr>
          <w:rFonts w:hint="eastAsia" w:ascii="仿宋" w:hAnsi="仿宋" w:eastAsia="仿宋" w:cs="仿宋"/>
          <w:b w:val="0"/>
          <w:bCs/>
          <w:color w:val="auto"/>
          <w:sz w:val="24"/>
          <w:highlight w:val="none"/>
        </w:rPr>
        <w:t>。</w:t>
      </w:r>
    </w:p>
    <w:p w14:paraId="7AB1F8C2">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仿宋" w:hAnsi="仿宋" w:eastAsia="仿宋" w:cs="仿宋"/>
          <w:b/>
          <w:color w:val="auto"/>
          <w:sz w:val="24"/>
          <w:highlight w:val="none"/>
        </w:rPr>
      </w:pPr>
    </w:p>
    <w:p w14:paraId="229AAC80">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color w:val="auto"/>
          <w:sz w:val="24"/>
          <w:highlight w:val="none"/>
          <w:u w:val="single"/>
        </w:rPr>
      </w:pPr>
      <w:r>
        <w:rPr>
          <w:rFonts w:hint="eastAsia" w:ascii="仿宋" w:hAnsi="仿宋" w:eastAsia="仿宋" w:cs="仿宋"/>
          <w:b w:val="0"/>
          <w:bCs/>
          <w:color w:val="auto"/>
          <w:sz w:val="24"/>
          <w:highlight w:val="none"/>
        </w:rPr>
        <w:t>合同履行期限：</w:t>
      </w:r>
      <w:r>
        <w:rPr>
          <w:rFonts w:hint="eastAsia" w:ascii="仿宋" w:hAnsi="仿宋" w:eastAsia="仿宋" w:cs="仿宋"/>
          <w:b w:val="0"/>
          <w:bCs/>
          <w:color w:val="auto"/>
          <w:sz w:val="24"/>
          <w:szCs w:val="24"/>
          <w:highlight w:val="none"/>
        </w:rPr>
        <w:t>详见</w:t>
      </w:r>
      <w:r>
        <w:rPr>
          <w:rFonts w:hint="eastAsia" w:ascii="仿宋" w:hAnsi="仿宋" w:eastAsia="仿宋" w:cs="仿宋"/>
          <w:b w:val="0"/>
          <w:bCs/>
          <w:color w:val="auto"/>
          <w:sz w:val="24"/>
          <w:szCs w:val="24"/>
          <w:highlight w:val="none"/>
          <w:lang w:eastAsia="zh-CN"/>
        </w:rPr>
        <w:t>招标</w:t>
      </w:r>
      <w:r>
        <w:rPr>
          <w:rFonts w:hint="eastAsia" w:ascii="仿宋" w:hAnsi="仿宋" w:eastAsia="仿宋" w:cs="仿宋"/>
          <w:b w:val="0"/>
          <w:bCs/>
          <w:color w:val="auto"/>
          <w:sz w:val="24"/>
          <w:szCs w:val="24"/>
          <w:highlight w:val="none"/>
        </w:rPr>
        <w:t>文件</w:t>
      </w:r>
      <w:r>
        <w:rPr>
          <w:rFonts w:hint="eastAsia" w:ascii="仿宋" w:hAnsi="仿宋" w:eastAsia="仿宋" w:cs="仿宋"/>
          <w:b w:val="0"/>
          <w:bCs/>
          <w:color w:val="auto"/>
          <w:sz w:val="24"/>
          <w:highlight w:val="none"/>
        </w:rPr>
        <w:t>。</w:t>
      </w:r>
    </w:p>
    <w:p w14:paraId="08308144">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color w:val="auto"/>
          <w:highlight w:val="none"/>
        </w:rPr>
      </w:pPr>
      <w:r>
        <w:rPr>
          <w:rFonts w:hint="eastAsia" w:ascii="仿宋" w:hAnsi="仿宋" w:eastAsia="仿宋" w:cs="仿宋"/>
          <w:b w:val="0"/>
          <w:bCs/>
          <w:color w:val="auto"/>
          <w:sz w:val="24"/>
          <w:highlight w:val="none"/>
        </w:rPr>
        <w:t>本项目接受联合体投标：</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highlight w:val="none"/>
        </w:rPr>
        <w:t>是，</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highlight w:val="none"/>
        </w:rPr>
        <w:t>否。</w:t>
      </w:r>
    </w:p>
    <w:p w14:paraId="5E190FC9">
      <w:pPr>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二、申请人的资格要求：</w:t>
      </w:r>
    </w:p>
    <w:p w14:paraId="6EFDFAA5">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具备《嵊州市市属国有企业货物和服务采购管理办法（试行）》第十七条规定的条件：</w:t>
      </w:r>
    </w:p>
    <w:p w14:paraId="51357A86">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1.具有独立承担民事责任的能力；</w:t>
      </w:r>
    </w:p>
    <w:p w14:paraId="6974A374">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2.具有良好的商业信誉；</w:t>
      </w:r>
    </w:p>
    <w:p w14:paraId="7EEE279F">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3.具有履行合同所必需的设备和专业技术，售后保障等能力；</w:t>
      </w:r>
    </w:p>
    <w:p w14:paraId="1CAE550A">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4.有依法缴纳税收和社会保障资金的良好记录；</w:t>
      </w:r>
    </w:p>
    <w:p w14:paraId="00603982">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5.参加采购活动前三年内，没有重大违法记录，严重失信行为和行贿记录；</w:t>
      </w:r>
    </w:p>
    <w:p w14:paraId="09CEEA54">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6.法律、行政法规规定的其他条件；</w:t>
      </w:r>
    </w:p>
    <w:p w14:paraId="1CD3E7DB">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未被“信用中国”（www.creditchina.gov.cn</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、中国政府采购网（www.ccgp.gov.cn）列入失信被执行人、重大税收违法案件当事人名单、政府采购严重违法失信行为记录名单；</w:t>
      </w:r>
    </w:p>
    <w:p w14:paraId="7AE882C3">
      <w:pPr>
        <w:keepNext w:val="0"/>
        <w:keepLines w:val="0"/>
        <w:pageBreakBefore w:val="0"/>
        <w:widowControl w:val="0"/>
        <w:numPr>
          <w:ilvl w:val="0"/>
          <w:numId w:val="0"/>
        </w:numPr>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kern w:val="2"/>
          <w:sz w:val="24"/>
          <w:szCs w:val="24"/>
          <w:highlight w:val="none"/>
          <w:lang w:val="en-US" w:eastAsia="zh-CN" w:bidi="ar-SA"/>
        </w:rPr>
        <w:t>7.</w:t>
      </w:r>
      <w:r>
        <w:rPr>
          <w:rFonts w:hint="eastAsia" w:ascii="仿宋" w:hAnsi="仿宋" w:eastAsia="仿宋" w:cs="仿宋"/>
          <w:color w:val="auto"/>
          <w:sz w:val="24"/>
          <w:highlight w:val="none"/>
        </w:rPr>
        <w:t>本项目的特定资格要求：</w:t>
      </w:r>
      <w:r>
        <w:rPr>
          <w:rFonts w:hint="eastAsia" w:ascii="仿宋" w:hAnsi="仿宋" w:eastAsia="仿宋" w:cs="仿宋"/>
          <w:color w:val="auto"/>
          <w:sz w:val="24"/>
          <w:highlight w:val="none"/>
          <w:lang w:val="en-US" w:eastAsia="zh-CN"/>
        </w:rPr>
        <w:t>无</w:t>
      </w:r>
      <w:r>
        <w:rPr>
          <w:rFonts w:hint="eastAsia" w:ascii="仿宋" w:hAnsi="仿宋" w:eastAsia="仿宋" w:cs="仿宋"/>
          <w:color w:val="auto"/>
          <w:sz w:val="24"/>
          <w:highlight w:val="none"/>
        </w:rPr>
        <w:t>。</w:t>
      </w:r>
    </w:p>
    <w:p w14:paraId="5A1E4CD4">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8.单位负责人为同一人或者存在直接控股、管理关系的不同供应商，不得参加同一合同项下的采购活动；为采购项目提供整体设计、规范编制或者项目管理、监理、检测等服务不得再参加该采购项目的其他采购活动。</w:t>
      </w:r>
    </w:p>
    <w:p w14:paraId="070A8416">
      <w:pPr>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三、获取招标文件</w:t>
      </w:r>
    </w:p>
    <w:p w14:paraId="55747134">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lang w:val="en-US" w:eastAsia="zh-CN"/>
        </w:rPr>
        <w:t>1.</w:t>
      </w:r>
      <w:r>
        <w:rPr>
          <w:rFonts w:hint="eastAsia" w:ascii="仿宋" w:hAnsi="仿宋" w:eastAsia="仿宋" w:cs="仿宋"/>
          <w:b w:val="0"/>
          <w:bCs/>
          <w:color w:val="auto"/>
          <w:sz w:val="24"/>
          <w:highlight w:val="none"/>
        </w:rPr>
        <w:t>时间：/至</w:t>
      </w:r>
      <w:r>
        <w:rPr>
          <w:rFonts w:hint="eastAsia" w:ascii="仿宋" w:hAnsi="仿宋" w:eastAsia="仿宋" w:cs="仿宋"/>
          <w:b w:val="0"/>
          <w:bCs/>
          <w:color w:val="auto"/>
          <w:sz w:val="24"/>
          <w:highlight w:val="none"/>
          <w:u w:val="single"/>
          <w:lang w:val="en-US" w:eastAsia="zh-CN"/>
        </w:rPr>
        <w:t>2025</w:t>
      </w:r>
      <w:r>
        <w:rPr>
          <w:rFonts w:hint="eastAsia" w:ascii="仿宋" w:hAnsi="仿宋" w:eastAsia="仿宋" w:cs="仿宋"/>
          <w:b w:val="0"/>
          <w:bCs/>
          <w:color w:val="auto"/>
          <w:sz w:val="24"/>
          <w:highlight w:val="none"/>
          <w:u w:val="none"/>
          <w:lang w:val="en-US" w:eastAsia="zh-CN"/>
        </w:rPr>
        <w:t>年</w:t>
      </w:r>
      <w:r>
        <w:rPr>
          <w:rFonts w:hint="eastAsia" w:ascii="仿宋" w:hAnsi="仿宋" w:eastAsia="仿宋" w:cs="仿宋"/>
          <w:b w:val="0"/>
          <w:bCs/>
          <w:color w:val="auto"/>
          <w:sz w:val="24"/>
          <w:highlight w:val="none"/>
          <w:u w:val="single"/>
          <w:lang w:val="en-US" w:eastAsia="zh-CN"/>
        </w:rPr>
        <w:t xml:space="preserve"> 11 </w:t>
      </w:r>
      <w:r>
        <w:rPr>
          <w:rFonts w:hint="eastAsia" w:ascii="仿宋" w:hAnsi="仿宋" w:eastAsia="仿宋" w:cs="仿宋"/>
          <w:b w:val="0"/>
          <w:bCs/>
          <w:color w:val="auto"/>
          <w:sz w:val="24"/>
          <w:highlight w:val="none"/>
          <w:u w:val="none"/>
          <w:lang w:val="en-US" w:eastAsia="zh-CN"/>
        </w:rPr>
        <w:t>月</w:t>
      </w:r>
      <w:r>
        <w:rPr>
          <w:rFonts w:hint="eastAsia" w:ascii="仿宋" w:hAnsi="仿宋" w:eastAsia="仿宋" w:cs="仿宋"/>
          <w:b w:val="0"/>
          <w:bCs/>
          <w:color w:val="auto"/>
          <w:sz w:val="24"/>
          <w:highlight w:val="none"/>
          <w:u w:val="single"/>
          <w:lang w:val="en-US" w:eastAsia="zh-CN"/>
        </w:rPr>
        <w:t>27</w:t>
      </w:r>
      <w:r>
        <w:rPr>
          <w:rFonts w:hint="eastAsia" w:ascii="仿宋" w:hAnsi="仿宋" w:eastAsia="仿宋" w:cs="仿宋"/>
          <w:b w:val="0"/>
          <w:bCs/>
          <w:color w:val="auto"/>
          <w:sz w:val="24"/>
          <w:highlight w:val="none"/>
          <w:u w:val="none"/>
          <w:lang w:val="en-US" w:eastAsia="zh-CN"/>
        </w:rPr>
        <w:t>日</w:t>
      </w:r>
      <w:r>
        <w:rPr>
          <w:rFonts w:hint="eastAsia" w:ascii="仿宋" w:hAnsi="仿宋" w:eastAsia="仿宋" w:cs="仿宋"/>
          <w:b w:val="0"/>
          <w:bCs/>
          <w:color w:val="auto"/>
          <w:sz w:val="24"/>
          <w:highlight w:val="none"/>
        </w:rPr>
        <w:t>，每天上午00:00至12:00 ，下午12:00至23:59（北京时间，线上获取法定节假日均可，线下获取文件法定节假日除外）</w:t>
      </w:r>
    </w:p>
    <w:p w14:paraId="70D984CF">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lang w:val="en-US" w:eastAsia="zh-CN"/>
        </w:rPr>
        <w:t>2.</w:t>
      </w:r>
      <w:r>
        <w:rPr>
          <w:rFonts w:hint="eastAsia" w:ascii="仿宋" w:hAnsi="仿宋" w:eastAsia="仿宋" w:cs="仿宋"/>
          <w:b w:val="0"/>
          <w:bCs/>
          <w:color w:val="auto"/>
          <w:sz w:val="24"/>
          <w:highlight w:val="none"/>
        </w:rPr>
        <w:t>地点（网址）：乐采云平台（https://www.lecaiyun.com/）</w:t>
      </w:r>
    </w:p>
    <w:p w14:paraId="0CAF75B3">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lang w:val="en-US" w:eastAsia="zh-CN"/>
        </w:rPr>
        <w:t>3.</w:t>
      </w:r>
      <w:r>
        <w:rPr>
          <w:rFonts w:hint="eastAsia" w:ascii="仿宋" w:hAnsi="仿宋" w:eastAsia="仿宋" w:cs="仿宋"/>
          <w:b w:val="0"/>
          <w:bCs/>
          <w:color w:val="auto"/>
          <w:sz w:val="24"/>
          <w:highlight w:val="none"/>
        </w:rPr>
        <w:t xml:space="preserve">方式：供应商登录乐采云平台https://www.lecaiyun.com/在线申请获取采购文件（进入“项目采购”应用，在获取采购文件菜单中选择项目，申请获取采购文件）。 </w:t>
      </w:r>
    </w:p>
    <w:p w14:paraId="0233262D">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lang w:val="en-US" w:eastAsia="zh-CN"/>
        </w:rPr>
        <w:t>4.</w:t>
      </w:r>
      <w:r>
        <w:rPr>
          <w:rFonts w:hint="eastAsia" w:ascii="仿宋" w:hAnsi="仿宋" w:eastAsia="仿宋" w:cs="仿宋"/>
          <w:b w:val="0"/>
          <w:bCs/>
          <w:color w:val="auto"/>
          <w:sz w:val="24"/>
          <w:highlight w:val="none"/>
        </w:rPr>
        <w:t>售价（元）：0</w:t>
      </w:r>
    </w:p>
    <w:p w14:paraId="1650EA74">
      <w:pPr>
        <w:keepNext w:val="0"/>
        <w:keepLines w:val="0"/>
        <w:pageBreakBefore w:val="0"/>
        <w:widowControl w:val="0"/>
        <w:shd w:val="clear" w:color="auto" w:fill="auto"/>
        <w:kinsoku/>
        <w:wordWrap/>
        <w:overflowPunct/>
        <w:topLinePunct w:val="0"/>
        <w:autoSpaceDE/>
        <w:autoSpaceDN/>
        <w:bidi w:val="0"/>
        <w:adjustRightInd w:val="0"/>
        <w:snapToGrid/>
        <w:spacing w:line="360" w:lineRule="auto"/>
        <w:ind w:firstLine="480" w:firstLineChars="200"/>
        <w:jc w:val="left"/>
        <w:textAlignment w:val="auto"/>
        <w:rPr>
          <w:rFonts w:hint="eastAsia" w:ascii="仿宋" w:hAnsi="仿宋" w:eastAsia="仿宋" w:cs="仿宋"/>
          <w:b w:val="0"/>
          <w:bCs w:val="0"/>
          <w:color w:val="auto"/>
          <w:sz w:val="24"/>
          <w:szCs w:val="28"/>
          <w:highlight w:val="none"/>
          <w:lang w:val="en-US" w:eastAsia="zh-CN"/>
        </w:rPr>
      </w:pPr>
      <w:r>
        <w:rPr>
          <w:rFonts w:hint="eastAsia" w:ascii="仿宋" w:hAnsi="仿宋" w:eastAsia="仿宋" w:cs="仿宋"/>
          <w:b w:val="0"/>
          <w:bCs w:val="0"/>
          <w:color w:val="auto"/>
          <w:sz w:val="24"/>
          <w:szCs w:val="28"/>
          <w:highlight w:val="none"/>
          <w:lang w:val="en-US" w:eastAsia="zh-CN"/>
        </w:rPr>
        <w:t>5.提示：采购公告附件内的招标文件（或采购需求）仅供阅览使用，供应商只有在“乐采云平台”完成获取招标文件申请并下载了招标文件后才视作依法获取招标文件（法律法规所指的供应商获取招标文件时间以供应商完成获取招标文件申请后下载招标文件的时间为准）。</w:t>
      </w:r>
    </w:p>
    <w:p w14:paraId="06040C2B">
      <w:pPr>
        <w:keepNext w:val="0"/>
        <w:keepLines w:val="0"/>
        <w:pageBreakBefore w:val="0"/>
        <w:widowControl w:val="0"/>
        <w:shd w:val="clear" w:color="auto" w:fill="auto"/>
        <w:kinsoku/>
        <w:wordWrap/>
        <w:overflowPunct/>
        <w:topLinePunct w:val="0"/>
        <w:autoSpaceDE/>
        <w:autoSpaceDN/>
        <w:bidi w:val="0"/>
        <w:adjustRightInd w:val="0"/>
        <w:snapToGrid/>
        <w:spacing w:line="360" w:lineRule="auto"/>
        <w:ind w:firstLine="480" w:firstLineChars="200"/>
        <w:jc w:val="left"/>
        <w:textAlignment w:val="auto"/>
        <w:rPr>
          <w:rFonts w:hint="eastAsia" w:ascii="仿宋" w:hAnsi="仿宋" w:eastAsia="仿宋" w:cs="仿宋"/>
          <w:b w:val="0"/>
          <w:bCs w:val="0"/>
          <w:color w:val="auto"/>
          <w:sz w:val="24"/>
          <w:szCs w:val="28"/>
          <w:highlight w:val="none"/>
          <w:lang w:val="en-US" w:eastAsia="zh-CN"/>
        </w:rPr>
      </w:pPr>
      <w:r>
        <w:rPr>
          <w:rFonts w:hint="eastAsia" w:ascii="仿宋" w:hAnsi="仿宋" w:eastAsia="仿宋" w:cs="仿宋"/>
          <w:b w:val="0"/>
          <w:bCs w:val="0"/>
          <w:color w:val="auto"/>
          <w:sz w:val="24"/>
          <w:szCs w:val="28"/>
          <w:highlight w:val="none"/>
          <w:lang w:val="en-US" w:eastAsia="zh-CN"/>
        </w:rPr>
        <w:t>注：请供应商按上述要求获取招标文件，如未在“乐采云”系统内完成相关流程，引起的投标无效责任自负。</w:t>
      </w:r>
    </w:p>
    <w:p w14:paraId="639B73A0">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b w:val="0"/>
          <w:bCs w:val="0"/>
          <w:color w:val="auto"/>
          <w:sz w:val="24"/>
          <w:szCs w:val="28"/>
          <w:highlight w:val="none"/>
          <w:lang w:val="en-US" w:eastAsia="zh-CN"/>
        </w:rPr>
        <w:t>6.公告信息及更正补充公告请自行登录浙江政府采购网，在采购公告及更正公告页面中下载。</w:t>
      </w:r>
    </w:p>
    <w:p w14:paraId="1045C960">
      <w:pPr>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四、提交投标文件截止时间、开标时间和地点</w:t>
      </w:r>
    </w:p>
    <w:p w14:paraId="5ACA5C02">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提交投标文件截止时间：</w:t>
      </w:r>
      <w:r>
        <w:rPr>
          <w:rStyle w:val="79"/>
          <w:rFonts w:hint="eastAsia" w:ascii="仿宋" w:hAnsi="仿宋" w:eastAsia="仿宋" w:cs="仿宋"/>
          <w:snapToGrid/>
          <w:color w:val="auto"/>
          <w:kern w:val="2"/>
          <w:sz w:val="24"/>
          <w:szCs w:val="24"/>
          <w:highlight w:val="none"/>
          <w:lang w:eastAsia="zh-CN"/>
        </w:rPr>
        <w:t>2025年</w:t>
      </w:r>
      <w:r>
        <w:rPr>
          <w:rStyle w:val="79"/>
          <w:rFonts w:hint="eastAsia" w:ascii="仿宋" w:hAnsi="仿宋" w:eastAsia="仿宋" w:cs="仿宋"/>
          <w:snapToGrid/>
          <w:color w:val="auto"/>
          <w:kern w:val="2"/>
          <w:sz w:val="24"/>
          <w:szCs w:val="24"/>
          <w:highlight w:val="none"/>
          <w:u w:val="single"/>
          <w:lang w:val="en-US" w:eastAsia="zh-CN"/>
        </w:rPr>
        <w:t xml:space="preserve"> 11 </w:t>
      </w:r>
      <w:r>
        <w:rPr>
          <w:rStyle w:val="79"/>
          <w:rFonts w:hint="eastAsia" w:ascii="仿宋" w:hAnsi="仿宋" w:eastAsia="仿宋" w:cs="仿宋"/>
          <w:snapToGrid/>
          <w:color w:val="auto"/>
          <w:kern w:val="2"/>
          <w:sz w:val="24"/>
          <w:szCs w:val="24"/>
          <w:highlight w:val="none"/>
          <w:lang w:val="en-US" w:eastAsia="zh-CN"/>
        </w:rPr>
        <w:t>月</w:t>
      </w:r>
      <w:r>
        <w:rPr>
          <w:rStyle w:val="79"/>
          <w:rFonts w:hint="eastAsia" w:ascii="仿宋" w:hAnsi="仿宋" w:eastAsia="仿宋" w:cs="仿宋"/>
          <w:snapToGrid/>
          <w:color w:val="auto"/>
          <w:kern w:val="2"/>
          <w:sz w:val="24"/>
          <w:szCs w:val="24"/>
          <w:highlight w:val="none"/>
          <w:u w:val="single"/>
          <w:lang w:val="en-US" w:eastAsia="zh-CN"/>
        </w:rPr>
        <w:t>27</w:t>
      </w:r>
      <w:r>
        <w:rPr>
          <w:rStyle w:val="79"/>
          <w:rFonts w:hint="eastAsia" w:ascii="仿宋" w:hAnsi="仿宋" w:eastAsia="仿宋" w:cs="仿宋"/>
          <w:snapToGrid/>
          <w:color w:val="auto"/>
          <w:kern w:val="2"/>
          <w:sz w:val="24"/>
          <w:szCs w:val="24"/>
          <w:highlight w:val="none"/>
          <w:lang w:val="en-US" w:eastAsia="zh-CN"/>
        </w:rPr>
        <w:t>日</w:t>
      </w:r>
      <w:r>
        <w:rPr>
          <w:rStyle w:val="79"/>
          <w:rFonts w:hint="eastAsia" w:ascii="仿宋" w:hAnsi="仿宋" w:eastAsia="仿宋" w:cs="仿宋"/>
          <w:snapToGrid/>
          <w:color w:val="auto"/>
          <w:kern w:val="2"/>
          <w:sz w:val="24"/>
          <w:szCs w:val="24"/>
          <w:highlight w:val="none"/>
          <w:u w:val="single"/>
          <w:lang w:val="en-US" w:eastAsia="zh-CN"/>
        </w:rPr>
        <w:t xml:space="preserve"> 09 </w:t>
      </w:r>
      <w:r>
        <w:rPr>
          <w:rStyle w:val="79"/>
          <w:rFonts w:hint="eastAsia" w:ascii="仿宋" w:hAnsi="仿宋" w:eastAsia="仿宋" w:cs="仿宋"/>
          <w:snapToGrid/>
          <w:color w:val="auto"/>
          <w:kern w:val="2"/>
          <w:sz w:val="24"/>
          <w:szCs w:val="24"/>
          <w:highlight w:val="none"/>
          <w:lang w:eastAsia="zh-CN"/>
        </w:rPr>
        <w:t>点</w:t>
      </w:r>
      <w:r>
        <w:rPr>
          <w:rStyle w:val="79"/>
          <w:rFonts w:hint="eastAsia" w:ascii="仿宋" w:hAnsi="仿宋" w:eastAsia="仿宋" w:cs="仿宋"/>
          <w:snapToGrid/>
          <w:color w:val="auto"/>
          <w:kern w:val="2"/>
          <w:sz w:val="24"/>
          <w:szCs w:val="24"/>
          <w:highlight w:val="none"/>
          <w:u w:val="single"/>
          <w:lang w:val="en-US" w:eastAsia="zh-CN"/>
        </w:rPr>
        <w:t xml:space="preserve"> 00 </w:t>
      </w:r>
      <w:r>
        <w:rPr>
          <w:rStyle w:val="79"/>
          <w:rFonts w:hint="eastAsia" w:ascii="仿宋" w:hAnsi="仿宋" w:eastAsia="仿宋" w:cs="仿宋"/>
          <w:snapToGrid/>
          <w:color w:val="auto"/>
          <w:kern w:val="2"/>
          <w:sz w:val="24"/>
          <w:szCs w:val="24"/>
          <w:highlight w:val="none"/>
          <w:lang w:eastAsia="zh-CN"/>
        </w:rPr>
        <w:t>分</w:t>
      </w:r>
      <w:r>
        <w:rPr>
          <w:rStyle w:val="79"/>
          <w:rFonts w:hint="eastAsia" w:ascii="仿宋" w:hAnsi="仿宋" w:eastAsia="仿宋" w:cs="仿宋"/>
          <w:snapToGrid/>
          <w:color w:val="auto"/>
          <w:kern w:val="2"/>
          <w:sz w:val="24"/>
          <w:szCs w:val="24"/>
          <w:highlight w:val="none"/>
          <w:u w:val="single"/>
          <w:lang w:val="en-US" w:eastAsia="zh-CN"/>
        </w:rPr>
        <w:t xml:space="preserve"> 00</w:t>
      </w:r>
      <w:r>
        <w:rPr>
          <w:rStyle w:val="79"/>
          <w:rFonts w:hint="eastAsia" w:ascii="仿宋" w:hAnsi="仿宋" w:eastAsia="仿宋" w:cs="仿宋"/>
          <w:snapToGrid/>
          <w:color w:val="auto"/>
          <w:kern w:val="2"/>
          <w:sz w:val="24"/>
          <w:szCs w:val="24"/>
          <w:highlight w:val="none"/>
          <w:lang w:eastAsia="zh-CN"/>
        </w:rPr>
        <w:t>秒</w:t>
      </w:r>
      <w:r>
        <w:rPr>
          <w:rFonts w:hint="eastAsia" w:ascii="仿宋" w:hAnsi="仿宋" w:eastAsia="仿宋" w:cs="仿宋"/>
          <w:strike w:val="0"/>
          <w:dstrike w:val="0"/>
          <w:color w:val="auto"/>
          <w:sz w:val="24"/>
          <w:highlight w:val="none"/>
          <w:u w:val="none"/>
        </w:rPr>
        <w:t>（北京时间）</w:t>
      </w:r>
    </w:p>
    <w:p w14:paraId="1F5B246F">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投标地点（网址）：</w:t>
      </w:r>
      <w:r>
        <w:rPr>
          <w:rFonts w:hint="eastAsia" w:ascii="仿宋" w:hAnsi="仿宋" w:eastAsia="仿宋" w:cs="仿宋"/>
          <w:color w:val="auto"/>
          <w:sz w:val="24"/>
          <w:highlight w:val="none"/>
        </w:rPr>
        <w:t xml:space="preserve">乐采云平台（https://www.lecaiyun.com/） </w:t>
      </w:r>
    </w:p>
    <w:p w14:paraId="08A954E0">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仿宋" w:hAnsi="仿宋" w:eastAsia="仿宋" w:cs="仿宋"/>
          <w:bCs/>
          <w:color w:val="auto"/>
          <w:sz w:val="24"/>
          <w:highlight w:val="none"/>
          <w:u w:val="single"/>
        </w:rPr>
      </w:pPr>
      <w:r>
        <w:rPr>
          <w:rFonts w:hint="eastAsia" w:ascii="仿宋" w:hAnsi="仿宋" w:eastAsia="仿宋" w:cs="仿宋"/>
          <w:b/>
          <w:color w:val="auto"/>
          <w:sz w:val="24"/>
          <w:highlight w:val="none"/>
        </w:rPr>
        <w:t>开标时间：</w:t>
      </w:r>
      <w:r>
        <w:rPr>
          <w:rStyle w:val="79"/>
          <w:rFonts w:hint="eastAsia" w:ascii="仿宋" w:hAnsi="仿宋" w:eastAsia="仿宋" w:cs="仿宋"/>
          <w:snapToGrid/>
          <w:color w:val="auto"/>
          <w:kern w:val="2"/>
          <w:sz w:val="24"/>
          <w:szCs w:val="24"/>
          <w:highlight w:val="none"/>
          <w:lang w:eastAsia="zh-CN"/>
        </w:rPr>
        <w:t>2025年</w:t>
      </w:r>
      <w:r>
        <w:rPr>
          <w:rStyle w:val="79"/>
          <w:rFonts w:hint="eastAsia" w:ascii="仿宋" w:hAnsi="仿宋" w:eastAsia="仿宋" w:cs="仿宋"/>
          <w:snapToGrid/>
          <w:color w:val="auto"/>
          <w:kern w:val="2"/>
          <w:sz w:val="24"/>
          <w:szCs w:val="24"/>
          <w:highlight w:val="none"/>
          <w:u w:val="single"/>
          <w:lang w:val="en-US" w:eastAsia="zh-CN"/>
        </w:rPr>
        <w:t xml:space="preserve"> 11 </w:t>
      </w:r>
      <w:r>
        <w:rPr>
          <w:rStyle w:val="79"/>
          <w:rFonts w:hint="eastAsia" w:ascii="仿宋" w:hAnsi="仿宋" w:eastAsia="仿宋" w:cs="仿宋"/>
          <w:snapToGrid/>
          <w:color w:val="auto"/>
          <w:kern w:val="2"/>
          <w:sz w:val="24"/>
          <w:szCs w:val="24"/>
          <w:highlight w:val="none"/>
          <w:lang w:val="en-US" w:eastAsia="zh-CN"/>
        </w:rPr>
        <w:t>月</w:t>
      </w:r>
      <w:r>
        <w:rPr>
          <w:rStyle w:val="79"/>
          <w:rFonts w:hint="eastAsia" w:ascii="仿宋" w:hAnsi="仿宋" w:eastAsia="仿宋" w:cs="仿宋"/>
          <w:snapToGrid/>
          <w:color w:val="auto"/>
          <w:kern w:val="2"/>
          <w:sz w:val="24"/>
          <w:szCs w:val="24"/>
          <w:highlight w:val="none"/>
          <w:u w:val="single"/>
          <w:lang w:val="en-US" w:eastAsia="zh-CN"/>
        </w:rPr>
        <w:t>27</w:t>
      </w:r>
      <w:r>
        <w:rPr>
          <w:rStyle w:val="79"/>
          <w:rFonts w:hint="eastAsia" w:ascii="仿宋" w:hAnsi="仿宋" w:eastAsia="仿宋" w:cs="仿宋"/>
          <w:snapToGrid/>
          <w:color w:val="auto"/>
          <w:kern w:val="2"/>
          <w:sz w:val="24"/>
          <w:szCs w:val="24"/>
          <w:highlight w:val="none"/>
          <w:lang w:val="en-US" w:eastAsia="zh-CN"/>
        </w:rPr>
        <w:t>日</w:t>
      </w:r>
      <w:r>
        <w:rPr>
          <w:rStyle w:val="79"/>
          <w:rFonts w:hint="eastAsia" w:ascii="仿宋" w:hAnsi="仿宋" w:eastAsia="仿宋" w:cs="仿宋"/>
          <w:snapToGrid/>
          <w:color w:val="auto"/>
          <w:kern w:val="2"/>
          <w:sz w:val="24"/>
          <w:szCs w:val="24"/>
          <w:highlight w:val="none"/>
          <w:u w:val="single"/>
          <w:lang w:val="en-US" w:eastAsia="zh-CN"/>
        </w:rPr>
        <w:t xml:space="preserve"> 09 </w:t>
      </w:r>
      <w:r>
        <w:rPr>
          <w:rStyle w:val="79"/>
          <w:rFonts w:hint="eastAsia" w:ascii="仿宋" w:hAnsi="仿宋" w:eastAsia="仿宋" w:cs="仿宋"/>
          <w:snapToGrid/>
          <w:color w:val="auto"/>
          <w:kern w:val="2"/>
          <w:sz w:val="24"/>
          <w:szCs w:val="24"/>
          <w:highlight w:val="none"/>
          <w:lang w:eastAsia="zh-CN"/>
        </w:rPr>
        <w:t>点</w:t>
      </w:r>
      <w:r>
        <w:rPr>
          <w:rStyle w:val="79"/>
          <w:rFonts w:hint="eastAsia" w:ascii="仿宋" w:hAnsi="仿宋" w:eastAsia="仿宋" w:cs="仿宋"/>
          <w:snapToGrid/>
          <w:color w:val="auto"/>
          <w:kern w:val="2"/>
          <w:sz w:val="24"/>
          <w:szCs w:val="24"/>
          <w:highlight w:val="none"/>
          <w:u w:val="single"/>
          <w:lang w:val="en-US" w:eastAsia="zh-CN"/>
        </w:rPr>
        <w:t xml:space="preserve"> 00 </w:t>
      </w:r>
      <w:r>
        <w:rPr>
          <w:rStyle w:val="79"/>
          <w:rFonts w:hint="eastAsia" w:ascii="仿宋" w:hAnsi="仿宋" w:eastAsia="仿宋" w:cs="仿宋"/>
          <w:snapToGrid/>
          <w:color w:val="auto"/>
          <w:kern w:val="2"/>
          <w:sz w:val="24"/>
          <w:szCs w:val="24"/>
          <w:highlight w:val="none"/>
          <w:lang w:eastAsia="zh-CN"/>
        </w:rPr>
        <w:t>分</w:t>
      </w:r>
      <w:r>
        <w:rPr>
          <w:rStyle w:val="79"/>
          <w:rFonts w:hint="eastAsia" w:ascii="仿宋" w:hAnsi="仿宋" w:eastAsia="仿宋" w:cs="仿宋"/>
          <w:snapToGrid/>
          <w:color w:val="auto"/>
          <w:kern w:val="2"/>
          <w:sz w:val="24"/>
          <w:szCs w:val="24"/>
          <w:highlight w:val="none"/>
          <w:u w:val="single"/>
          <w:lang w:val="en-US" w:eastAsia="zh-CN"/>
        </w:rPr>
        <w:t xml:space="preserve"> 00</w:t>
      </w:r>
      <w:r>
        <w:rPr>
          <w:rStyle w:val="79"/>
          <w:rFonts w:hint="eastAsia" w:ascii="仿宋" w:hAnsi="仿宋" w:eastAsia="仿宋" w:cs="仿宋"/>
          <w:snapToGrid/>
          <w:color w:val="auto"/>
          <w:kern w:val="2"/>
          <w:sz w:val="24"/>
          <w:szCs w:val="24"/>
          <w:highlight w:val="none"/>
          <w:lang w:eastAsia="zh-CN"/>
        </w:rPr>
        <w:t>秒</w:t>
      </w:r>
      <w:r>
        <w:rPr>
          <w:rFonts w:hint="eastAsia" w:ascii="仿宋" w:hAnsi="仿宋" w:eastAsia="仿宋" w:cs="仿宋"/>
          <w:color w:val="auto"/>
          <w:sz w:val="24"/>
          <w:highlight w:val="none"/>
          <w:u w:val="none"/>
        </w:rPr>
        <w:t>（北京时间）</w:t>
      </w:r>
    </w:p>
    <w:p w14:paraId="65D6B0AC">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开标地点（网址）：</w:t>
      </w:r>
      <w:r>
        <w:rPr>
          <w:rFonts w:hint="eastAsia" w:ascii="仿宋" w:hAnsi="仿宋" w:eastAsia="仿宋" w:cs="仿宋"/>
          <w:color w:val="auto"/>
          <w:sz w:val="24"/>
          <w:highlight w:val="none"/>
        </w:rPr>
        <w:t>乐采云平台（https://www.lecaiyun.com/）</w:t>
      </w:r>
    </w:p>
    <w:p w14:paraId="334E1DBC">
      <w:pPr>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五、公告期限</w:t>
      </w:r>
    </w:p>
    <w:p w14:paraId="78B073E2">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自本公告发布之日起5个工作日。</w:t>
      </w:r>
    </w:p>
    <w:p w14:paraId="4FCC6E73">
      <w:pPr>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六、其他补充事宜</w:t>
      </w:r>
    </w:p>
    <w:p w14:paraId="782F4932">
      <w:pPr>
        <w:keepNext w:val="0"/>
        <w:keepLines w:val="0"/>
        <w:pageBreakBefore w:val="0"/>
        <w:widowControl w:val="0"/>
        <w:kinsoku/>
        <w:wordWrap/>
        <w:overflowPunct/>
        <w:topLinePunct w:val="0"/>
        <w:autoSpaceDE/>
        <w:autoSpaceDN/>
        <w:bidi w:val="0"/>
        <w:adjustRightInd w:val="0"/>
        <w:snapToGrid w:val="0"/>
        <w:spacing w:before="0" w:after="0" w:line="360" w:lineRule="auto"/>
        <w:ind w:firstLine="504" w:firstLineChars="200"/>
        <w:jc w:val="both"/>
        <w:textAlignment w:val="auto"/>
        <w:rPr>
          <w:rFonts w:hint="eastAsia" w:ascii="仿宋" w:hAnsi="仿宋" w:eastAsia="仿宋" w:cs="仿宋"/>
          <w:color w:val="auto"/>
          <w:spacing w:val="6"/>
          <w:kern w:val="1"/>
          <w:sz w:val="24"/>
          <w:szCs w:val="24"/>
          <w:highlight w:val="none"/>
          <w:lang w:val="en-US" w:eastAsia="zh-CN" w:bidi="ar-SA"/>
        </w:rPr>
      </w:pPr>
      <w:r>
        <w:rPr>
          <w:rFonts w:hint="eastAsia" w:ascii="仿宋" w:hAnsi="仿宋" w:eastAsia="仿宋" w:cs="仿宋"/>
          <w:color w:val="auto"/>
          <w:spacing w:val="6"/>
          <w:kern w:val="1"/>
          <w:sz w:val="24"/>
          <w:szCs w:val="24"/>
          <w:highlight w:val="none"/>
          <w:lang w:val="en-US" w:eastAsia="zh-CN" w:bidi="ar-SA"/>
        </w:rPr>
        <w:t>1.本项目通过“乐采云平台（www.lecaiyun.com）”实行在线投标响应（电子投标），供应商应先安装“乐采云电子交易客户端”，并按照本招标文件和“乐采云”的要求，通过“乐采云电子交易客户端”编制并加密投标文件。供应商未按规定加密的投标文件，“乐采云”将予以拒收。</w:t>
      </w:r>
    </w:p>
    <w:p w14:paraId="1D8B8573">
      <w:pPr>
        <w:keepNext w:val="0"/>
        <w:keepLines w:val="0"/>
        <w:pageBreakBefore w:val="0"/>
        <w:widowControl w:val="0"/>
        <w:kinsoku/>
        <w:wordWrap/>
        <w:overflowPunct/>
        <w:topLinePunct w:val="0"/>
        <w:autoSpaceDE/>
        <w:autoSpaceDN/>
        <w:bidi w:val="0"/>
        <w:adjustRightInd w:val="0"/>
        <w:snapToGrid w:val="0"/>
        <w:spacing w:before="0" w:after="0" w:line="360" w:lineRule="auto"/>
        <w:ind w:firstLine="504" w:firstLineChars="200"/>
        <w:jc w:val="both"/>
        <w:textAlignment w:val="auto"/>
        <w:rPr>
          <w:rFonts w:hint="eastAsia" w:ascii="仿宋" w:hAnsi="仿宋" w:eastAsia="仿宋" w:cs="仿宋"/>
          <w:color w:val="auto"/>
          <w:spacing w:val="6"/>
          <w:kern w:val="1"/>
          <w:sz w:val="24"/>
          <w:szCs w:val="24"/>
          <w:highlight w:val="none"/>
          <w:lang w:val="en-US" w:eastAsia="zh-CN" w:bidi="ar-SA"/>
        </w:rPr>
      </w:pPr>
      <w:r>
        <w:rPr>
          <w:rFonts w:hint="eastAsia" w:ascii="仿宋" w:hAnsi="仿宋" w:eastAsia="仿宋" w:cs="仿宋"/>
          <w:color w:val="auto"/>
          <w:spacing w:val="6"/>
          <w:kern w:val="1"/>
          <w:sz w:val="24"/>
          <w:szCs w:val="24"/>
          <w:highlight w:val="none"/>
          <w:lang w:val="en-US" w:eastAsia="zh-CN" w:bidi="ar-SA"/>
        </w:rPr>
        <w:t>2.“乐采云电子交易客户端”请自行前往“浙江政府采购网-下载专区－电子交易客户端”进行下载；电子投标具体操作流程详见《供应商项目采购－电子招投标操作指南》；通过“乐采云”参与在线投标时如遇平台技术问题详询95763。</w:t>
      </w:r>
    </w:p>
    <w:p w14:paraId="35A28D48">
      <w:pPr>
        <w:keepNext w:val="0"/>
        <w:keepLines w:val="0"/>
        <w:pageBreakBefore w:val="0"/>
        <w:widowControl w:val="0"/>
        <w:kinsoku/>
        <w:wordWrap/>
        <w:overflowPunct/>
        <w:topLinePunct w:val="0"/>
        <w:autoSpaceDE/>
        <w:autoSpaceDN/>
        <w:bidi w:val="0"/>
        <w:adjustRightInd w:val="0"/>
        <w:snapToGrid w:val="0"/>
        <w:spacing w:before="0" w:after="0" w:line="360" w:lineRule="auto"/>
        <w:ind w:firstLine="504" w:firstLineChars="200"/>
        <w:jc w:val="both"/>
        <w:textAlignment w:val="auto"/>
        <w:rPr>
          <w:rFonts w:hint="eastAsia" w:ascii="仿宋" w:hAnsi="仿宋" w:eastAsia="仿宋" w:cs="仿宋"/>
          <w:color w:val="auto"/>
          <w:spacing w:val="6"/>
          <w:kern w:val="1"/>
          <w:sz w:val="24"/>
          <w:szCs w:val="24"/>
          <w:highlight w:val="none"/>
          <w:lang w:val="en-US" w:eastAsia="zh-CN" w:bidi="ar-SA"/>
        </w:rPr>
      </w:pPr>
      <w:r>
        <w:rPr>
          <w:rFonts w:hint="eastAsia" w:ascii="仿宋" w:hAnsi="仿宋" w:eastAsia="仿宋" w:cs="仿宋"/>
          <w:color w:val="auto"/>
          <w:spacing w:val="6"/>
          <w:kern w:val="1"/>
          <w:sz w:val="24"/>
          <w:szCs w:val="24"/>
          <w:highlight w:val="none"/>
          <w:lang w:val="en-US" w:eastAsia="zh-CN" w:bidi="ar-SA"/>
        </w:rPr>
        <w:t>3.为确保网上操作合法、有效和安全，供应商应当在投标截止时间前完成在“乐采云平台”的身份认证，确保在电子投标过程中能够对相关数据电文进行加密和使用电子签章。使用“乐采云电子交易客户端”需要提前申领CA数字证书，申领流程请自行前往“浙江政府采购网-下载专区－电子交易客户端-CA驱动和申领流程”进行查阅；在使用乐采云投标客户端时，建议使用WIN7及以上操作系统。完成CA数字证书办理在资料齐全的情况下预计7个工作日左右，建议供应商获取招标文件后立即办理。</w:t>
      </w:r>
    </w:p>
    <w:p w14:paraId="65F1524F">
      <w:pPr>
        <w:keepNext w:val="0"/>
        <w:keepLines w:val="0"/>
        <w:pageBreakBefore w:val="0"/>
        <w:widowControl w:val="0"/>
        <w:kinsoku/>
        <w:wordWrap/>
        <w:overflowPunct/>
        <w:topLinePunct w:val="0"/>
        <w:autoSpaceDE/>
        <w:autoSpaceDN/>
        <w:bidi w:val="0"/>
        <w:adjustRightInd w:val="0"/>
        <w:snapToGrid w:val="0"/>
        <w:spacing w:before="0" w:after="0" w:line="360" w:lineRule="auto"/>
        <w:ind w:firstLine="504" w:firstLineChars="200"/>
        <w:jc w:val="both"/>
        <w:textAlignment w:val="auto"/>
        <w:rPr>
          <w:rFonts w:hint="eastAsia" w:ascii="仿宋" w:hAnsi="仿宋" w:eastAsia="仿宋" w:cs="仿宋"/>
          <w:color w:val="auto"/>
          <w:spacing w:val="6"/>
          <w:kern w:val="1"/>
          <w:sz w:val="24"/>
          <w:szCs w:val="24"/>
          <w:highlight w:val="none"/>
          <w:lang w:val="en-US" w:eastAsia="zh-CN" w:bidi="ar-SA"/>
        </w:rPr>
      </w:pPr>
      <w:r>
        <w:rPr>
          <w:rFonts w:hint="eastAsia" w:ascii="仿宋" w:hAnsi="仿宋" w:eastAsia="仿宋" w:cs="仿宋"/>
          <w:color w:val="auto"/>
          <w:spacing w:val="6"/>
          <w:kern w:val="1"/>
          <w:sz w:val="24"/>
          <w:szCs w:val="24"/>
          <w:highlight w:val="none"/>
          <w:lang w:val="en-US" w:eastAsia="zh-CN" w:bidi="ar-SA"/>
        </w:rPr>
        <w:t>4.投标供应商应当在投标截止时间前，将生成的“电子加密投标文件”上传至“乐采云平台”。投标截止时间以后上传递交的投标文件将被“乐采云平台”拒收。</w:t>
      </w:r>
    </w:p>
    <w:p w14:paraId="719CFB5C">
      <w:pPr>
        <w:keepNext w:val="0"/>
        <w:keepLines w:val="0"/>
        <w:pageBreakBefore w:val="0"/>
        <w:widowControl w:val="0"/>
        <w:kinsoku/>
        <w:wordWrap/>
        <w:overflowPunct/>
        <w:topLinePunct w:val="0"/>
        <w:autoSpaceDE/>
        <w:autoSpaceDN/>
        <w:bidi w:val="0"/>
        <w:adjustRightInd w:val="0"/>
        <w:snapToGrid w:val="0"/>
        <w:spacing w:before="0" w:after="0" w:line="360" w:lineRule="auto"/>
        <w:ind w:firstLine="504" w:firstLineChars="200"/>
        <w:jc w:val="both"/>
        <w:textAlignment w:val="auto"/>
        <w:rPr>
          <w:rFonts w:hint="eastAsia" w:ascii="仿宋" w:hAnsi="仿宋" w:eastAsia="仿宋" w:cs="仿宋"/>
          <w:color w:val="auto"/>
          <w:spacing w:val="6"/>
          <w:kern w:val="1"/>
          <w:sz w:val="24"/>
          <w:szCs w:val="24"/>
          <w:highlight w:val="none"/>
          <w:lang w:val="en-US" w:eastAsia="zh-CN" w:bidi="ar-SA"/>
        </w:rPr>
      </w:pPr>
      <w:r>
        <w:rPr>
          <w:rFonts w:hint="eastAsia" w:ascii="仿宋" w:hAnsi="仿宋" w:eastAsia="仿宋" w:cs="仿宋"/>
          <w:color w:val="auto"/>
          <w:spacing w:val="6"/>
          <w:kern w:val="1"/>
          <w:sz w:val="24"/>
          <w:szCs w:val="24"/>
          <w:highlight w:val="none"/>
          <w:lang w:val="en-US" w:eastAsia="zh-CN" w:bidi="ar-SA"/>
        </w:rPr>
        <w:t>5.投标供应商在“乐采云平台”完成“电子加密投标文件”的上传递交后，还可以（邮寄形式）在投标截止时间前递交以介质（U盘）存储的数据电文形式的“备份投标文件”，“备份投标文件”应当密封包装并在包装上标注投标项目名称、投标供应商名称并加盖公章。</w:t>
      </w:r>
    </w:p>
    <w:p w14:paraId="09B5C58C">
      <w:pPr>
        <w:keepNext w:val="0"/>
        <w:keepLines w:val="0"/>
        <w:pageBreakBefore w:val="0"/>
        <w:widowControl w:val="0"/>
        <w:kinsoku/>
        <w:wordWrap/>
        <w:overflowPunct/>
        <w:topLinePunct w:val="0"/>
        <w:autoSpaceDE/>
        <w:autoSpaceDN/>
        <w:bidi w:val="0"/>
        <w:adjustRightInd w:val="0"/>
        <w:snapToGrid w:val="0"/>
        <w:spacing w:before="0" w:after="0" w:line="360" w:lineRule="auto"/>
        <w:ind w:firstLine="504" w:firstLineChars="200"/>
        <w:jc w:val="both"/>
        <w:textAlignment w:val="auto"/>
        <w:rPr>
          <w:rFonts w:hint="eastAsia" w:ascii="仿宋" w:hAnsi="仿宋" w:eastAsia="仿宋" w:cs="仿宋"/>
          <w:color w:val="auto"/>
          <w:spacing w:val="6"/>
          <w:kern w:val="1"/>
          <w:sz w:val="24"/>
          <w:szCs w:val="24"/>
          <w:highlight w:val="none"/>
          <w:lang w:val="en-US" w:eastAsia="zh-CN" w:bidi="ar-SA"/>
        </w:rPr>
      </w:pPr>
      <w:r>
        <w:rPr>
          <w:rFonts w:hint="eastAsia" w:ascii="仿宋" w:hAnsi="仿宋" w:eastAsia="仿宋" w:cs="仿宋"/>
          <w:color w:val="auto"/>
          <w:spacing w:val="6"/>
          <w:kern w:val="1"/>
          <w:sz w:val="24"/>
          <w:szCs w:val="24"/>
          <w:highlight w:val="none"/>
          <w:lang w:val="en-US" w:eastAsia="zh-CN" w:bidi="ar-SA"/>
        </w:rPr>
        <w:t>6.通过“乐采云平台”上传递交的“电子加密投标文件”无法按时解密，投标供应商递交了备份投标文件的，以备份投标文件为依据，否则视为投标文件撤回。通过“乐采云平台”上传递交的“电子加密投标文件”已按时解密的，“备份投标文件”自动失效。投标供应商仅递交备份投标文件的，投标无效。</w:t>
      </w:r>
    </w:p>
    <w:p w14:paraId="7EB52C37">
      <w:pPr>
        <w:keepNext w:val="0"/>
        <w:keepLines w:val="0"/>
        <w:pageBreakBefore w:val="0"/>
        <w:widowControl w:val="0"/>
        <w:kinsoku/>
        <w:wordWrap/>
        <w:overflowPunct/>
        <w:topLinePunct w:val="0"/>
        <w:autoSpaceDE/>
        <w:autoSpaceDN/>
        <w:bidi w:val="0"/>
        <w:spacing w:line="360" w:lineRule="auto"/>
        <w:ind w:firstLine="504"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pacing w:val="6"/>
          <w:kern w:val="1"/>
          <w:sz w:val="24"/>
          <w:szCs w:val="24"/>
          <w:highlight w:val="none"/>
          <w:lang w:val="en-US" w:eastAsia="zh-CN" w:bidi="ar-SA"/>
        </w:rPr>
        <w:t>7.投标人依法获取招标文件后认为招标文件使自己的权益受到损害的，可以自收到招标文件之日（招标文件获取之日在招标文件公告期限届满之日后的以公告期限届满之日</w:t>
      </w:r>
      <w:r>
        <w:rPr>
          <w:rFonts w:hint="eastAsia" w:ascii="仿宋" w:hAnsi="仿宋" w:eastAsia="仿宋" w:cs="仿宋"/>
          <w:color w:val="auto"/>
          <w:spacing w:val="6"/>
          <w:kern w:val="1"/>
          <w:sz w:val="24"/>
          <w:szCs w:val="24"/>
          <w:highlight w:val="none"/>
          <w:lang w:val="zh-CN" w:eastAsia="zh-CN" w:bidi="ar-SA"/>
        </w:rPr>
        <w:t>为准，</w:t>
      </w:r>
      <w:r>
        <w:rPr>
          <w:rFonts w:hint="eastAsia" w:ascii="仿宋" w:hAnsi="仿宋" w:eastAsia="仿宋" w:cs="仿宋"/>
          <w:color w:val="auto"/>
          <w:spacing w:val="6"/>
          <w:kern w:val="1"/>
          <w:sz w:val="24"/>
          <w:szCs w:val="24"/>
          <w:highlight w:val="none"/>
          <w:lang w:val="en-US" w:eastAsia="zh-CN" w:bidi="ar-SA"/>
        </w:rPr>
        <w:t>即公告发布后的第6个工作日）起7个工作日内，以书面形式一次性向采购人和招标代理机构提出针对同一采购程序环节的质疑。质疑投标人对采购人、采购代理机构的答复不满意或者采购人、采购代理机构未在规定的时间内作出答复的，可以在答复期满后十五个工作日内向采购监督管理机构投诉。质疑函范本、投诉书范本请到浙江政府采购网下载专区下载。</w:t>
      </w:r>
    </w:p>
    <w:p w14:paraId="07F8E0C9">
      <w:pPr>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七、对本次采购提出询问、质疑、投诉，请按以下方式联系</w:t>
      </w:r>
    </w:p>
    <w:p w14:paraId="1A27DD9A">
      <w:pPr>
        <w:keepNext w:val="0"/>
        <w:keepLines w:val="0"/>
        <w:pageBreakBefore w:val="0"/>
        <w:widowControl w:val="0"/>
        <w:kinsoku/>
        <w:wordWrap/>
        <w:overflowPunct/>
        <w:topLinePunct w:val="0"/>
        <w:autoSpaceDE/>
        <w:autoSpaceDN/>
        <w:bidi w:val="0"/>
        <w:adjustRightInd w:val="0"/>
        <w:snapToGrid/>
        <w:spacing w:line="336" w:lineRule="auto"/>
        <w:textAlignment w:val="auto"/>
        <w:rPr>
          <w:rFonts w:ascii="仿宋" w:hAnsi="仿宋" w:eastAsia="仿宋" w:cs="仿宋"/>
          <w:b/>
          <w:bCs/>
          <w:color w:val="auto"/>
          <w:sz w:val="24"/>
          <w:highlight w:val="none"/>
        </w:rPr>
      </w:pPr>
      <w:r>
        <w:rPr>
          <w:rFonts w:hint="eastAsia" w:ascii="仿宋" w:hAnsi="仿宋" w:eastAsia="仿宋" w:cs="仿宋"/>
          <w:b/>
          <w:bCs/>
          <w:color w:val="auto"/>
          <w:sz w:val="24"/>
          <w:highlight w:val="none"/>
        </w:rPr>
        <w:t xml:space="preserve">    </w:t>
      </w:r>
      <w:r>
        <w:rPr>
          <w:rFonts w:hint="eastAsia" w:ascii="仿宋" w:hAnsi="仿宋" w:eastAsia="仿宋" w:cs="仿宋"/>
          <w:b/>
          <w:bCs/>
          <w:color w:val="auto"/>
          <w:sz w:val="24"/>
          <w:highlight w:val="none"/>
          <w:lang w:val="en-US" w:eastAsia="zh-CN"/>
        </w:rPr>
        <w:t>1</w:t>
      </w:r>
      <w:r>
        <w:rPr>
          <w:rFonts w:hint="eastAsia" w:ascii="仿宋" w:hAnsi="仿宋" w:eastAsia="仿宋" w:cs="仿宋"/>
          <w:b/>
          <w:bCs/>
          <w:color w:val="auto"/>
          <w:sz w:val="24"/>
          <w:highlight w:val="none"/>
        </w:rPr>
        <w:t>.采购人信息</w:t>
      </w:r>
    </w:p>
    <w:p w14:paraId="5462222B">
      <w:pPr>
        <w:keepNext w:val="0"/>
        <w:keepLines w:val="0"/>
        <w:pageBreakBefore w:val="0"/>
        <w:widowControl w:val="0"/>
        <w:kinsoku/>
        <w:wordWrap/>
        <w:overflowPunct/>
        <w:topLinePunct w:val="0"/>
        <w:autoSpaceDE/>
        <w:autoSpaceDN/>
        <w:bidi w:val="0"/>
        <w:adjustRightInd w:val="0"/>
        <w:snapToGrid/>
        <w:spacing w:line="336" w:lineRule="auto"/>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 xml:space="preserve">    名    称：</w:t>
      </w:r>
      <w:r>
        <w:rPr>
          <w:rFonts w:hint="eastAsia" w:ascii="仿宋" w:hAnsi="仿宋" w:eastAsia="仿宋" w:cs="仿宋"/>
          <w:color w:val="auto"/>
          <w:sz w:val="24"/>
          <w:highlight w:val="none"/>
          <w:lang w:eastAsia="zh-CN"/>
        </w:rPr>
        <w:t>嵊州市城市建设投资发展集团有限公司</w:t>
      </w:r>
      <w:r>
        <w:rPr>
          <w:rFonts w:hint="eastAsia" w:ascii="仿宋" w:hAnsi="仿宋" w:eastAsia="仿宋" w:cs="仿宋"/>
          <w:color w:val="auto"/>
          <w:sz w:val="24"/>
          <w:highlight w:val="none"/>
        </w:rPr>
        <w:t xml:space="preserve"> </w:t>
      </w:r>
    </w:p>
    <w:p w14:paraId="410D7CEE">
      <w:pPr>
        <w:keepNext w:val="0"/>
        <w:keepLines w:val="0"/>
        <w:pageBreakBefore w:val="0"/>
        <w:widowControl w:val="0"/>
        <w:kinsoku/>
        <w:wordWrap/>
        <w:overflowPunct/>
        <w:topLinePunct w:val="0"/>
        <w:autoSpaceDE/>
        <w:autoSpaceDN/>
        <w:bidi w:val="0"/>
        <w:adjustRightInd w:val="0"/>
        <w:snapToGrid/>
        <w:spacing w:line="336" w:lineRule="auto"/>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 xml:space="preserve">    地    址：</w:t>
      </w:r>
      <w:r>
        <w:rPr>
          <w:rFonts w:hint="eastAsia" w:ascii="仿宋" w:hAnsi="仿宋" w:eastAsia="仿宋" w:cs="仿宋"/>
          <w:color w:val="auto"/>
          <w:sz w:val="24"/>
          <w:highlight w:val="none"/>
          <w:lang w:eastAsia="zh-CN"/>
        </w:rPr>
        <w:t>嵊州市三江街道惠民街18号四海大厦</w:t>
      </w:r>
      <w:r>
        <w:rPr>
          <w:rFonts w:hint="eastAsia" w:ascii="仿宋" w:hAnsi="仿宋" w:eastAsia="仿宋" w:cs="仿宋"/>
          <w:color w:val="auto"/>
          <w:sz w:val="24"/>
          <w:highlight w:val="none"/>
        </w:rPr>
        <w:t xml:space="preserve">         </w:t>
      </w:r>
    </w:p>
    <w:p w14:paraId="6EBE0D56">
      <w:pPr>
        <w:keepNext w:val="0"/>
        <w:keepLines w:val="0"/>
        <w:pageBreakBefore w:val="0"/>
        <w:widowControl w:val="0"/>
        <w:kinsoku/>
        <w:wordWrap/>
        <w:overflowPunct/>
        <w:topLinePunct w:val="0"/>
        <w:autoSpaceDE/>
        <w:autoSpaceDN/>
        <w:bidi w:val="0"/>
        <w:adjustRightInd w:val="0"/>
        <w:snapToGrid/>
        <w:spacing w:line="336"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项目联系人（询问）：</w:t>
      </w:r>
      <w:r>
        <w:rPr>
          <w:rFonts w:hint="eastAsia" w:ascii="仿宋" w:hAnsi="仿宋" w:eastAsia="仿宋" w:cs="仿宋"/>
          <w:color w:val="auto"/>
          <w:sz w:val="24"/>
          <w:highlight w:val="none"/>
          <w:lang w:val="en-US" w:eastAsia="zh-CN"/>
        </w:rPr>
        <w:t>支</w:t>
      </w:r>
      <w:r>
        <w:rPr>
          <w:rFonts w:hint="eastAsia" w:ascii="仿宋" w:hAnsi="仿宋" w:eastAsia="仿宋" w:cs="仿宋"/>
          <w:color w:val="auto"/>
          <w:sz w:val="24"/>
          <w:highlight w:val="none"/>
        </w:rPr>
        <w:t xml:space="preserve">先生　           　 </w:t>
      </w:r>
    </w:p>
    <w:p w14:paraId="0035809E">
      <w:pPr>
        <w:keepNext w:val="0"/>
        <w:keepLines w:val="0"/>
        <w:pageBreakBefore w:val="0"/>
        <w:widowControl w:val="0"/>
        <w:kinsoku/>
        <w:wordWrap/>
        <w:overflowPunct/>
        <w:topLinePunct w:val="0"/>
        <w:autoSpaceDE/>
        <w:autoSpaceDN/>
        <w:bidi w:val="0"/>
        <w:adjustRightInd w:val="0"/>
        <w:snapToGrid/>
        <w:spacing w:line="336" w:lineRule="auto"/>
        <w:ind w:firstLine="480" w:firstLineChars="200"/>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项目联系方式（询问）：</w:t>
      </w:r>
      <w:r>
        <w:rPr>
          <w:rFonts w:hint="eastAsia" w:ascii="仿宋" w:hAnsi="仿宋" w:eastAsia="仿宋" w:cs="仿宋"/>
          <w:color w:val="auto"/>
          <w:sz w:val="24"/>
          <w:highlight w:val="none"/>
          <w:lang w:val="en-US" w:eastAsia="zh-CN"/>
        </w:rPr>
        <w:t>0575-</w:t>
      </w:r>
      <w:r>
        <w:rPr>
          <w:rFonts w:hint="eastAsia" w:ascii="仿宋" w:hAnsi="仿宋" w:eastAsia="仿宋" w:cs="仿宋"/>
          <w:color w:val="auto"/>
          <w:kern w:val="1"/>
          <w:sz w:val="24"/>
          <w:highlight w:val="none"/>
        </w:rPr>
        <w:t>83108472</w:t>
      </w:r>
    </w:p>
    <w:p w14:paraId="4B0279B4">
      <w:pPr>
        <w:keepNext w:val="0"/>
        <w:keepLines w:val="0"/>
        <w:pageBreakBefore w:val="0"/>
        <w:widowControl w:val="0"/>
        <w:numPr>
          <w:ilvl w:val="0"/>
          <w:numId w:val="0"/>
        </w:numPr>
        <w:kinsoku/>
        <w:wordWrap/>
        <w:overflowPunct/>
        <w:topLinePunct w:val="0"/>
        <w:autoSpaceDE/>
        <w:autoSpaceDN/>
        <w:bidi w:val="0"/>
        <w:adjustRightInd w:val="0"/>
        <w:snapToGrid/>
        <w:spacing w:line="336" w:lineRule="auto"/>
        <w:ind w:firstLine="482" w:firstLineChars="200"/>
        <w:textAlignment w:val="auto"/>
        <w:rPr>
          <w:rFonts w:hint="eastAsia" w:ascii="仿宋" w:hAnsi="仿宋" w:eastAsia="仿宋" w:cs="仿宋"/>
          <w:b/>
          <w:bCs/>
          <w:color w:val="auto"/>
          <w:sz w:val="24"/>
          <w:highlight w:val="none"/>
        </w:rPr>
      </w:pPr>
      <w:r>
        <w:rPr>
          <w:rFonts w:hint="eastAsia" w:ascii="仿宋" w:hAnsi="仿宋" w:eastAsia="仿宋" w:cs="仿宋"/>
          <w:b/>
          <w:bCs/>
          <w:color w:val="auto"/>
          <w:kern w:val="2"/>
          <w:sz w:val="24"/>
          <w:szCs w:val="24"/>
          <w:highlight w:val="none"/>
          <w:lang w:val="en-US" w:eastAsia="zh-CN" w:bidi="ar-SA"/>
        </w:rPr>
        <w:t>2.</w:t>
      </w:r>
      <w:r>
        <w:rPr>
          <w:rFonts w:hint="eastAsia" w:ascii="仿宋" w:hAnsi="仿宋" w:eastAsia="仿宋" w:cs="仿宋"/>
          <w:b/>
          <w:bCs/>
          <w:color w:val="auto"/>
          <w:sz w:val="24"/>
          <w:highlight w:val="none"/>
        </w:rPr>
        <w:t>项目实施单位信息</w:t>
      </w:r>
    </w:p>
    <w:p w14:paraId="0530CFA6">
      <w:pPr>
        <w:keepNext w:val="0"/>
        <w:keepLines w:val="0"/>
        <w:pageBreakBefore w:val="0"/>
        <w:widowControl w:val="0"/>
        <w:kinsoku/>
        <w:wordWrap/>
        <w:overflowPunct/>
        <w:topLinePunct w:val="0"/>
        <w:autoSpaceDE/>
        <w:autoSpaceDN/>
        <w:bidi w:val="0"/>
        <w:adjustRightInd w:val="0"/>
        <w:snapToGrid/>
        <w:spacing w:line="336"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名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称</w:t>
      </w:r>
      <w:r>
        <w:rPr>
          <w:rFonts w:hint="eastAsia" w:ascii="仿宋" w:hAnsi="仿宋" w:eastAsia="仿宋" w:cs="仿宋"/>
          <w:color w:val="auto"/>
          <w:sz w:val="24"/>
          <w:highlight w:val="none"/>
          <w:lang w:eastAsia="zh-CN"/>
        </w:rPr>
        <w:t>：嵊州市综合行政执法局</w:t>
      </w:r>
      <w:r>
        <w:rPr>
          <w:rFonts w:hint="eastAsia" w:ascii="仿宋" w:hAnsi="仿宋" w:eastAsia="仿宋" w:cs="仿宋"/>
          <w:color w:val="auto"/>
          <w:sz w:val="24"/>
          <w:highlight w:val="none"/>
        </w:rPr>
        <w:t xml:space="preserve"> 　  </w:t>
      </w:r>
    </w:p>
    <w:p w14:paraId="6123E9F4">
      <w:pPr>
        <w:pStyle w:val="2"/>
        <w:numPr>
          <w:ilvl w:val="0"/>
          <w:numId w:val="0"/>
        </w:numPr>
        <w:ind w:firstLine="480" w:firstLineChars="200"/>
        <w:rPr>
          <w:rFonts w:hint="eastAsia"/>
          <w:color w:val="auto"/>
          <w:highlight w:val="none"/>
        </w:rPr>
      </w:pPr>
      <w:r>
        <w:rPr>
          <w:rFonts w:hint="eastAsia" w:ascii="仿宋" w:hAnsi="仿宋" w:eastAsia="仿宋" w:cs="仿宋"/>
          <w:color w:val="auto"/>
          <w:sz w:val="24"/>
          <w:highlight w:val="none"/>
        </w:rPr>
        <w:t>地</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xml:space="preserve">址：嵊州市官河横路6号       </w:t>
      </w:r>
    </w:p>
    <w:p w14:paraId="69C321B5">
      <w:pPr>
        <w:keepNext w:val="0"/>
        <w:keepLines w:val="0"/>
        <w:pageBreakBefore w:val="0"/>
        <w:shd w:val="clear"/>
        <w:kinsoku/>
        <w:wordWrap/>
        <w:overflowPunct/>
        <w:topLinePunct w:val="0"/>
        <w:autoSpaceDE/>
        <w:autoSpaceDN/>
        <w:bidi w:val="0"/>
        <w:spacing w:line="360" w:lineRule="auto"/>
        <w:ind w:firstLine="480" w:firstLineChars="200"/>
        <w:jc w:val="left"/>
        <w:textAlignment w:val="auto"/>
        <w:rPr>
          <w:rFonts w:hint="default" w:ascii="仿宋" w:hAnsi="仿宋" w:eastAsia="仿宋" w:cs="仿宋"/>
          <w:b w:val="0"/>
          <w:bCs w:val="0"/>
          <w:color w:val="auto"/>
          <w:sz w:val="24"/>
          <w:szCs w:val="24"/>
          <w:highlight w:val="none"/>
          <w:u w:val="none"/>
          <w:lang w:val="en-US" w:eastAsia="zh-CN"/>
        </w:rPr>
      </w:pPr>
      <w:r>
        <w:rPr>
          <w:rFonts w:hint="default" w:ascii="仿宋" w:hAnsi="仿宋" w:eastAsia="仿宋" w:cs="仿宋"/>
          <w:b w:val="0"/>
          <w:bCs w:val="0"/>
          <w:color w:val="auto"/>
          <w:sz w:val="24"/>
          <w:szCs w:val="24"/>
          <w:highlight w:val="none"/>
          <w:u w:val="none"/>
          <w:lang w:val="en-US" w:eastAsia="zh-CN"/>
        </w:rPr>
        <w:t>项目联系人（询问）：</w:t>
      </w:r>
      <w:r>
        <w:rPr>
          <w:rFonts w:hint="eastAsia" w:ascii="仿宋" w:hAnsi="仿宋" w:eastAsia="仿宋" w:cs="仿宋"/>
          <w:b w:val="0"/>
          <w:bCs w:val="0"/>
          <w:color w:val="auto"/>
          <w:sz w:val="24"/>
          <w:szCs w:val="24"/>
          <w:highlight w:val="none"/>
          <w:u w:val="none"/>
          <w:lang w:val="en-US" w:eastAsia="zh-CN"/>
        </w:rPr>
        <w:t>杨女士</w:t>
      </w:r>
    </w:p>
    <w:p w14:paraId="52EE4F2E">
      <w:pPr>
        <w:keepNext w:val="0"/>
        <w:keepLines w:val="0"/>
        <w:pageBreakBefore w:val="0"/>
        <w:shd w:val="clear"/>
        <w:kinsoku/>
        <w:wordWrap/>
        <w:overflowPunct/>
        <w:topLinePunct w:val="0"/>
        <w:autoSpaceDE/>
        <w:autoSpaceDN/>
        <w:bidi w:val="0"/>
        <w:spacing w:line="360" w:lineRule="auto"/>
        <w:ind w:firstLine="480" w:firstLineChars="200"/>
        <w:jc w:val="left"/>
        <w:textAlignment w:val="auto"/>
        <w:rPr>
          <w:rFonts w:hint="default" w:ascii="仿宋" w:hAnsi="仿宋" w:eastAsia="仿宋" w:cs="仿宋"/>
          <w:b w:val="0"/>
          <w:bCs w:val="0"/>
          <w:color w:val="auto"/>
          <w:sz w:val="24"/>
          <w:szCs w:val="24"/>
          <w:highlight w:val="none"/>
          <w:u w:val="none"/>
          <w:lang w:val="en-US" w:eastAsia="zh-CN"/>
        </w:rPr>
      </w:pPr>
      <w:r>
        <w:rPr>
          <w:rFonts w:hint="default" w:ascii="仿宋" w:hAnsi="仿宋" w:eastAsia="仿宋" w:cs="仿宋"/>
          <w:b w:val="0"/>
          <w:bCs w:val="0"/>
          <w:color w:val="auto"/>
          <w:sz w:val="24"/>
          <w:szCs w:val="24"/>
          <w:highlight w:val="none"/>
          <w:u w:val="none"/>
          <w:lang w:val="en-US" w:eastAsia="zh-CN"/>
        </w:rPr>
        <w:t>项目联系方式（询问）：0575-83038299</w:t>
      </w:r>
    </w:p>
    <w:p w14:paraId="2F857F4B">
      <w:pPr>
        <w:keepNext w:val="0"/>
        <w:keepLines w:val="0"/>
        <w:pageBreakBefore w:val="0"/>
        <w:shd w:val="clear"/>
        <w:kinsoku/>
        <w:wordWrap/>
        <w:overflowPunct/>
        <w:topLinePunct w:val="0"/>
        <w:autoSpaceDE/>
        <w:autoSpaceDN/>
        <w:bidi w:val="0"/>
        <w:spacing w:line="360" w:lineRule="auto"/>
        <w:ind w:firstLine="480" w:firstLineChars="200"/>
        <w:jc w:val="left"/>
        <w:textAlignment w:val="auto"/>
        <w:rPr>
          <w:rFonts w:hint="default" w:ascii="仿宋" w:hAnsi="仿宋" w:eastAsia="仿宋" w:cs="仿宋"/>
          <w:b w:val="0"/>
          <w:bCs w:val="0"/>
          <w:color w:val="auto"/>
          <w:sz w:val="24"/>
          <w:szCs w:val="24"/>
          <w:highlight w:val="none"/>
          <w:u w:val="none"/>
          <w:lang w:val="en-US" w:eastAsia="zh-CN"/>
        </w:rPr>
      </w:pPr>
      <w:r>
        <w:rPr>
          <w:rFonts w:hint="default" w:ascii="仿宋" w:hAnsi="仿宋" w:eastAsia="仿宋" w:cs="仿宋"/>
          <w:b w:val="0"/>
          <w:bCs w:val="0"/>
          <w:color w:val="auto"/>
          <w:sz w:val="24"/>
          <w:szCs w:val="24"/>
          <w:highlight w:val="none"/>
          <w:u w:val="none"/>
          <w:lang w:val="en-US" w:eastAsia="zh-CN"/>
        </w:rPr>
        <w:t>质疑联系人：</w:t>
      </w:r>
      <w:r>
        <w:rPr>
          <w:rFonts w:hint="eastAsia" w:ascii="仿宋" w:hAnsi="仿宋" w:eastAsia="仿宋" w:cs="仿宋"/>
          <w:b w:val="0"/>
          <w:bCs w:val="0"/>
          <w:color w:val="auto"/>
          <w:sz w:val="24"/>
          <w:szCs w:val="24"/>
          <w:highlight w:val="none"/>
          <w:u w:val="none"/>
          <w:lang w:val="en-US" w:eastAsia="zh-CN"/>
        </w:rPr>
        <w:t>林女士</w:t>
      </w:r>
    </w:p>
    <w:p w14:paraId="17388A59">
      <w:pPr>
        <w:keepNext w:val="0"/>
        <w:keepLines w:val="0"/>
        <w:pageBreakBefore w:val="0"/>
        <w:shd w:val="clear"/>
        <w:kinsoku/>
        <w:wordWrap/>
        <w:overflowPunct/>
        <w:topLinePunct w:val="0"/>
        <w:autoSpaceDE/>
        <w:autoSpaceDN/>
        <w:bidi w:val="0"/>
        <w:spacing w:line="360" w:lineRule="auto"/>
        <w:ind w:firstLine="480" w:firstLineChars="200"/>
        <w:jc w:val="left"/>
        <w:textAlignment w:val="auto"/>
        <w:rPr>
          <w:rFonts w:hint="default" w:ascii="仿宋" w:hAnsi="仿宋" w:eastAsia="仿宋" w:cs="仿宋"/>
          <w:b w:val="0"/>
          <w:bCs w:val="0"/>
          <w:color w:val="auto"/>
          <w:sz w:val="24"/>
          <w:szCs w:val="24"/>
          <w:highlight w:val="none"/>
          <w:u w:val="none"/>
          <w:lang w:val="en-US" w:eastAsia="zh-CN"/>
        </w:rPr>
      </w:pPr>
      <w:r>
        <w:rPr>
          <w:rFonts w:hint="default" w:ascii="仿宋" w:hAnsi="仿宋" w:eastAsia="仿宋" w:cs="仿宋"/>
          <w:b w:val="0"/>
          <w:bCs w:val="0"/>
          <w:color w:val="auto"/>
          <w:sz w:val="24"/>
          <w:szCs w:val="24"/>
          <w:highlight w:val="none"/>
          <w:u w:val="none"/>
          <w:lang w:val="en-US" w:eastAsia="zh-CN"/>
        </w:rPr>
        <w:t>质疑联系方式：0575-83336926</w:t>
      </w:r>
    </w:p>
    <w:p w14:paraId="53F7EAC2">
      <w:pPr>
        <w:keepNext w:val="0"/>
        <w:keepLines w:val="0"/>
        <w:pageBreakBefore w:val="0"/>
        <w:shd w:val="clear"/>
        <w:kinsoku/>
        <w:wordWrap/>
        <w:overflowPunct/>
        <w:topLinePunct w:val="0"/>
        <w:autoSpaceDE/>
        <w:autoSpaceDN/>
        <w:bidi w:val="0"/>
        <w:spacing w:line="360" w:lineRule="auto"/>
        <w:ind w:firstLine="482" w:firstLineChars="200"/>
        <w:jc w:val="left"/>
        <w:textAlignment w:val="auto"/>
        <w:rPr>
          <w:rFonts w:hint="eastAsia" w:ascii="仿宋" w:hAnsi="仿宋" w:eastAsia="仿宋" w:cs="仿宋"/>
          <w:color w:val="auto"/>
          <w:kern w:val="1"/>
          <w:sz w:val="24"/>
          <w:szCs w:val="24"/>
          <w:highlight w:val="none"/>
        </w:rPr>
      </w:pPr>
      <w:r>
        <w:rPr>
          <w:rFonts w:hint="eastAsia" w:ascii="仿宋" w:hAnsi="仿宋" w:eastAsia="仿宋" w:cs="仿宋"/>
          <w:b/>
          <w:bCs/>
          <w:color w:val="auto"/>
          <w:sz w:val="24"/>
          <w:szCs w:val="24"/>
          <w:highlight w:val="none"/>
          <w:u w:val="none"/>
          <w:lang w:val="en-US" w:eastAsia="zh-CN"/>
        </w:rPr>
        <w:t>3.</w:t>
      </w:r>
      <w:r>
        <w:rPr>
          <w:rFonts w:hint="eastAsia" w:ascii="仿宋" w:hAnsi="仿宋" w:eastAsia="仿宋" w:cs="仿宋"/>
          <w:b/>
          <w:bCs/>
          <w:color w:val="auto"/>
          <w:kern w:val="1"/>
          <w:sz w:val="24"/>
          <w:szCs w:val="24"/>
          <w:highlight w:val="none"/>
        </w:rPr>
        <w:t>采购代理机构信息</w:t>
      </w:r>
      <w:r>
        <w:rPr>
          <w:rFonts w:hint="eastAsia" w:ascii="仿宋" w:hAnsi="仿宋" w:eastAsia="仿宋" w:cs="仿宋"/>
          <w:color w:val="auto"/>
          <w:kern w:val="1"/>
          <w:sz w:val="24"/>
          <w:szCs w:val="24"/>
          <w:highlight w:val="none"/>
        </w:rPr>
        <w:t xml:space="preserve">            </w:t>
      </w:r>
    </w:p>
    <w:p w14:paraId="4AA09061">
      <w:pPr>
        <w:keepNext w:val="0"/>
        <w:keepLines w:val="0"/>
        <w:pageBreakBefore w:val="0"/>
        <w:widowControl w:val="0"/>
        <w:kinsoku/>
        <w:wordWrap/>
        <w:overflowPunct/>
        <w:topLinePunct w:val="0"/>
        <w:autoSpaceDE/>
        <w:autoSpaceDN/>
        <w:bidi w:val="0"/>
        <w:adjustRightInd/>
        <w:snapToGrid w:val="0"/>
        <w:spacing w:line="360" w:lineRule="auto"/>
        <w:ind w:left="0" w:firstLine="480"/>
        <w:textAlignment w:val="auto"/>
        <w:outlineLvl w:val="9"/>
        <w:rPr>
          <w:rFonts w:hint="eastAsia" w:ascii="仿宋" w:hAnsi="仿宋" w:eastAsia="仿宋" w:cs="仿宋"/>
          <w:color w:val="auto"/>
          <w:kern w:val="1"/>
          <w:sz w:val="24"/>
          <w:szCs w:val="24"/>
          <w:highlight w:val="none"/>
          <w:lang w:eastAsia="zh-CN"/>
        </w:rPr>
      </w:pPr>
      <w:r>
        <w:rPr>
          <w:rFonts w:hint="eastAsia" w:ascii="仿宋" w:hAnsi="仿宋" w:eastAsia="仿宋" w:cs="仿宋"/>
          <w:color w:val="auto"/>
          <w:kern w:val="1"/>
          <w:sz w:val="24"/>
          <w:szCs w:val="24"/>
          <w:highlight w:val="none"/>
        </w:rPr>
        <w:t>名    称：</w:t>
      </w:r>
      <w:r>
        <w:rPr>
          <w:rFonts w:hint="eastAsia" w:ascii="仿宋" w:hAnsi="仿宋" w:eastAsia="仿宋" w:cs="仿宋"/>
          <w:color w:val="auto"/>
          <w:kern w:val="1"/>
          <w:sz w:val="24"/>
          <w:szCs w:val="24"/>
          <w:highlight w:val="none"/>
          <w:lang w:eastAsia="zh-CN"/>
        </w:rPr>
        <w:t>绍兴平准招标代理有限公司</w:t>
      </w:r>
    </w:p>
    <w:p w14:paraId="29762590">
      <w:pPr>
        <w:keepNext w:val="0"/>
        <w:keepLines w:val="0"/>
        <w:pageBreakBefore w:val="0"/>
        <w:widowControl w:val="0"/>
        <w:kinsoku/>
        <w:wordWrap/>
        <w:overflowPunct/>
        <w:topLinePunct w:val="0"/>
        <w:autoSpaceDE/>
        <w:autoSpaceDN/>
        <w:bidi w:val="0"/>
        <w:adjustRightInd/>
        <w:snapToGrid w:val="0"/>
        <w:spacing w:line="360" w:lineRule="auto"/>
        <w:ind w:left="0" w:firstLine="480"/>
        <w:textAlignment w:val="auto"/>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地    址：</w:t>
      </w:r>
      <w:r>
        <w:rPr>
          <w:rFonts w:hint="eastAsia" w:ascii="仿宋" w:hAnsi="仿宋" w:eastAsia="仿宋" w:cs="仿宋"/>
          <w:color w:val="auto"/>
          <w:kern w:val="1"/>
          <w:sz w:val="24"/>
          <w:szCs w:val="24"/>
          <w:highlight w:val="none"/>
          <w:lang w:eastAsia="zh-CN"/>
        </w:rPr>
        <w:t>嵊州市三江街道官河路南333号商会大厦十四层1407室</w:t>
      </w:r>
      <w:r>
        <w:rPr>
          <w:rFonts w:hint="eastAsia" w:ascii="仿宋" w:hAnsi="仿宋" w:eastAsia="仿宋" w:cs="仿宋"/>
          <w:color w:val="auto"/>
          <w:kern w:val="1"/>
          <w:sz w:val="24"/>
          <w:szCs w:val="24"/>
          <w:highlight w:val="none"/>
        </w:rPr>
        <w:t xml:space="preserve">            </w:t>
      </w:r>
    </w:p>
    <w:p w14:paraId="17FE56B0">
      <w:pPr>
        <w:keepNext w:val="0"/>
        <w:keepLines w:val="0"/>
        <w:pageBreakBefore w:val="0"/>
        <w:widowControl w:val="0"/>
        <w:kinsoku/>
        <w:wordWrap/>
        <w:overflowPunct/>
        <w:topLinePunct w:val="0"/>
        <w:autoSpaceDE/>
        <w:autoSpaceDN/>
        <w:bidi w:val="0"/>
        <w:adjustRightInd/>
        <w:snapToGrid w:val="0"/>
        <w:spacing w:line="360" w:lineRule="auto"/>
        <w:ind w:left="0" w:firstLine="480"/>
        <w:textAlignment w:val="auto"/>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项目联系人（询问）：</w:t>
      </w:r>
      <w:r>
        <w:rPr>
          <w:rFonts w:hint="eastAsia" w:ascii="仿宋" w:hAnsi="仿宋" w:eastAsia="仿宋" w:cs="仿宋"/>
          <w:color w:val="auto"/>
          <w:kern w:val="1"/>
          <w:sz w:val="24"/>
          <w:szCs w:val="24"/>
          <w:highlight w:val="none"/>
          <w:lang w:val="en-US" w:eastAsia="zh-CN"/>
        </w:rPr>
        <w:t>孙女士</w:t>
      </w:r>
      <w:r>
        <w:rPr>
          <w:rFonts w:hint="eastAsia" w:ascii="仿宋" w:hAnsi="仿宋" w:eastAsia="仿宋" w:cs="仿宋"/>
          <w:color w:val="auto"/>
          <w:kern w:val="1"/>
          <w:sz w:val="24"/>
          <w:szCs w:val="24"/>
          <w:highlight w:val="none"/>
        </w:rPr>
        <w:t xml:space="preserve">         </w:t>
      </w:r>
    </w:p>
    <w:p w14:paraId="567DAD99">
      <w:pPr>
        <w:keepNext w:val="0"/>
        <w:keepLines w:val="0"/>
        <w:pageBreakBefore w:val="0"/>
        <w:widowControl w:val="0"/>
        <w:kinsoku/>
        <w:wordWrap/>
        <w:overflowPunct/>
        <w:topLinePunct w:val="0"/>
        <w:autoSpaceDE/>
        <w:autoSpaceDN/>
        <w:bidi w:val="0"/>
        <w:adjustRightInd/>
        <w:snapToGrid w:val="0"/>
        <w:spacing w:line="360" w:lineRule="auto"/>
        <w:ind w:left="0" w:firstLine="480"/>
        <w:textAlignment w:val="auto"/>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项目联系方式（询问）：</w:t>
      </w:r>
      <w:bookmarkStart w:id="41" w:name="_GoBack"/>
      <w:r>
        <w:rPr>
          <w:rFonts w:hint="eastAsia" w:ascii="仿宋" w:hAnsi="仿宋" w:eastAsia="仿宋" w:cs="仿宋"/>
          <w:color w:val="auto"/>
          <w:kern w:val="1"/>
          <w:sz w:val="24"/>
          <w:szCs w:val="24"/>
          <w:highlight w:val="none"/>
          <w:lang w:eastAsia="zh-CN"/>
        </w:rPr>
        <w:t>0575-83176688</w:t>
      </w:r>
      <w:bookmarkEnd w:id="41"/>
      <w:r>
        <w:rPr>
          <w:rFonts w:hint="eastAsia" w:ascii="仿宋" w:hAnsi="仿宋" w:eastAsia="仿宋" w:cs="仿宋"/>
          <w:color w:val="auto"/>
          <w:kern w:val="1"/>
          <w:sz w:val="24"/>
          <w:szCs w:val="24"/>
          <w:highlight w:val="none"/>
        </w:rPr>
        <w:t xml:space="preserve"> </w:t>
      </w:r>
    </w:p>
    <w:p w14:paraId="32A660AE">
      <w:pPr>
        <w:keepNext w:val="0"/>
        <w:keepLines w:val="0"/>
        <w:pageBreakBefore w:val="0"/>
        <w:widowControl w:val="0"/>
        <w:kinsoku/>
        <w:wordWrap/>
        <w:overflowPunct/>
        <w:topLinePunct w:val="0"/>
        <w:autoSpaceDE/>
        <w:autoSpaceDN/>
        <w:bidi w:val="0"/>
        <w:adjustRightInd/>
        <w:snapToGrid w:val="0"/>
        <w:spacing w:line="360" w:lineRule="auto"/>
        <w:ind w:left="0" w:firstLine="480"/>
        <w:textAlignment w:val="auto"/>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质疑联系人：</w:t>
      </w:r>
      <w:r>
        <w:rPr>
          <w:rFonts w:hint="eastAsia" w:ascii="仿宋" w:hAnsi="仿宋" w:eastAsia="仿宋" w:cs="仿宋"/>
          <w:color w:val="auto"/>
          <w:kern w:val="1"/>
          <w:sz w:val="24"/>
          <w:szCs w:val="24"/>
          <w:highlight w:val="none"/>
          <w:lang w:val="en-US" w:eastAsia="zh-CN"/>
        </w:rPr>
        <w:t>竺女士</w:t>
      </w:r>
      <w:r>
        <w:rPr>
          <w:rFonts w:hint="eastAsia" w:ascii="仿宋" w:hAnsi="仿宋" w:eastAsia="仿宋" w:cs="仿宋"/>
          <w:color w:val="auto"/>
          <w:kern w:val="1"/>
          <w:sz w:val="24"/>
          <w:szCs w:val="24"/>
          <w:highlight w:val="none"/>
        </w:rPr>
        <w:t xml:space="preserve">             </w:t>
      </w:r>
    </w:p>
    <w:p w14:paraId="5A49419C">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kern w:val="1"/>
          <w:sz w:val="24"/>
          <w:szCs w:val="24"/>
          <w:highlight w:val="none"/>
          <w:lang w:eastAsia="zh-CN"/>
        </w:rPr>
      </w:pPr>
      <w:r>
        <w:rPr>
          <w:rFonts w:hint="eastAsia" w:ascii="仿宋" w:hAnsi="仿宋" w:eastAsia="仿宋" w:cs="仿宋"/>
          <w:color w:val="auto"/>
          <w:kern w:val="1"/>
          <w:sz w:val="24"/>
          <w:szCs w:val="24"/>
          <w:highlight w:val="none"/>
        </w:rPr>
        <w:t>质疑联系方式：</w:t>
      </w:r>
      <w:r>
        <w:rPr>
          <w:rFonts w:hint="eastAsia" w:ascii="仿宋" w:hAnsi="仿宋" w:eastAsia="仿宋" w:cs="仿宋"/>
          <w:color w:val="auto"/>
          <w:kern w:val="1"/>
          <w:sz w:val="24"/>
          <w:szCs w:val="24"/>
          <w:highlight w:val="none"/>
          <w:lang w:eastAsia="zh-CN"/>
        </w:rPr>
        <w:t>0575-83176688</w:t>
      </w:r>
    </w:p>
    <w:p w14:paraId="2CFA81DC">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仿宋" w:hAnsi="仿宋" w:eastAsia="仿宋" w:cs="仿宋"/>
          <w:b/>
          <w:bCs/>
          <w:color w:val="auto"/>
          <w:kern w:val="1"/>
          <w:sz w:val="24"/>
          <w:szCs w:val="24"/>
          <w:highlight w:val="none"/>
          <w:lang w:eastAsia="zh-CN"/>
        </w:rPr>
      </w:pPr>
      <w:r>
        <w:rPr>
          <w:rFonts w:hint="eastAsia" w:ascii="仿宋" w:hAnsi="仿宋" w:eastAsia="仿宋" w:cs="仿宋"/>
          <w:b/>
          <w:bCs/>
          <w:color w:val="auto"/>
          <w:kern w:val="1"/>
          <w:sz w:val="24"/>
          <w:szCs w:val="24"/>
          <w:highlight w:val="none"/>
          <w:lang w:val="en-US" w:eastAsia="zh-CN"/>
        </w:rPr>
        <w:t>4</w:t>
      </w:r>
      <w:r>
        <w:rPr>
          <w:rFonts w:hint="eastAsia" w:ascii="仿宋" w:hAnsi="仿宋" w:eastAsia="仿宋" w:cs="仿宋"/>
          <w:b/>
          <w:bCs/>
          <w:color w:val="auto"/>
          <w:kern w:val="1"/>
          <w:sz w:val="24"/>
          <w:szCs w:val="24"/>
          <w:highlight w:val="none"/>
          <w:lang w:eastAsia="zh-CN"/>
        </w:rPr>
        <w:t>.同级采购监督部门</w:t>
      </w:r>
    </w:p>
    <w:p w14:paraId="0EF6E88D">
      <w:pPr>
        <w:keepNext w:val="0"/>
        <w:keepLines w:val="0"/>
        <w:pageBreakBefore w:val="0"/>
        <w:widowControl w:val="0"/>
        <w:kinsoku/>
        <w:wordWrap/>
        <w:overflowPunct/>
        <w:topLinePunct w:val="0"/>
        <w:autoSpaceDE/>
        <w:autoSpaceDN/>
        <w:bidi w:val="0"/>
        <w:adjustRightInd/>
        <w:snapToGrid w:val="0"/>
        <w:spacing w:line="360" w:lineRule="auto"/>
        <w:ind w:left="0" w:firstLine="480"/>
        <w:textAlignment w:val="auto"/>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名    称： 嵊州市城市建设投资发展集团有限公司  </w:t>
      </w:r>
    </w:p>
    <w:p w14:paraId="776BA972">
      <w:pPr>
        <w:keepNext w:val="0"/>
        <w:keepLines w:val="0"/>
        <w:pageBreakBefore w:val="0"/>
        <w:widowControl w:val="0"/>
        <w:kinsoku/>
        <w:wordWrap/>
        <w:overflowPunct/>
        <w:topLinePunct w:val="0"/>
        <w:autoSpaceDE/>
        <w:autoSpaceDN/>
        <w:bidi w:val="0"/>
        <w:adjustRightInd/>
        <w:snapToGrid w:val="0"/>
        <w:spacing w:line="360" w:lineRule="auto"/>
        <w:ind w:left="0" w:firstLine="480"/>
        <w:textAlignment w:val="auto"/>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地    址： 浙江省嵊州市三江街道惠民街18号城投大厦</w:t>
      </w:r>
    </w:p>
    <w:p w14:paraId="0B3A029B">
      <w:pPr>
        <w:keepNext w:val="0"/>
        <w:keepLines w:val="0"/>
        <w:pageBreakBefore w:val="0"/>
        <w:widowControl w:val="0"/>
        <w:kinsoku/>
        <w:wordWrap/>
        <w:overflowPunct/>
        <w:topLinePunct w:val="0"/>
        <w:autoSpaceDE/>
        <w:autoSpaceDN/>
        <w:bidi w:val="0"/>
        <w:adjustRightInd/>
        <w:snapToGrid w:val="0"/>
        <w:spacing w:line="360" w:lineRule="auto"/>
        <w:ind w:left="0" w:firstLine="480"/>
        <w:textAlignment w:val="auto"/>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 xml:space="preserve">监督联系人：黄女士/张先生 </w:t>
      </w:r>
    </w:p>
    <w:p w14:paraId="3511EB29">
      <w:pPr>
        <w:keepNext w:val="0"/>
        <w:keepLines w:val="0"/>
        <w:pageBreakBefore w:val="0"/>
        <w:widowControl w:val="0"/>
        <w:kinsoku/>
        <w:wordWrap/>
        <w:overflowPunct/>
        <w:topLinePunct w:val="0"/>
        <w:autoSpaceDE/>
        <w:autoSpaceDN/>
        <w:bidi w:val="0"/>
        <w:adjustRightInd/>
        <w:snapToGrid w:val="0"/>
        <w:spacing w:line="360" w:lineRule="auto"/>
        <w:ind w:left="0" w:firstLine="480"/>
        <w:textAlignment w:val="auto"/>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质疑联系方式：0575-82722676</w:t>
      </w:r>
    </w:p>
    <w:p w14:paraId="64E4181D">
      <w:pPr>
        <w:keepNext w:val="0"/>
        <w:keepLines w:val="0"/>
        <w:pageBreakBefore w:val="0"/>
        <w:widowControl w:val="0"/>
        <w:kinsoku/>
        <w:wordWrap/>
        <w:overflowPunct/>
        <w:topLinePunct w:val="0"/>
        <w:autoSpaceDE/>
        <w:autoSpaceDN/>
        <w:bidi w:val="0"/>
        <w:adjustRightInd/>
        <w:snapToGrid w:val="0"/>
        <w:spacing w:line="360" w:lineRule="auto"/>
        <w:ind w:left="0" w:firstLine="480"/>
        <w:textAlignment w:val="auto"/>
        <w:outlineLvl w:val="9"/>
        <w:rPr>
          <w:rFonts w:hint="eastAsia" w:ascii="仿宋" w:hAnsi="仿宋" w:eastAsia="仿宋" w:cs="仿宋"/>
          <w:color w:val="auto"/>
          <w:kern w:val="1"/>
          <w:sz w:val="24"/>
          <w:szCs w:val="24"/>
          <w:highlight w:val="none"/>
        </w:rPr>
      </w:pPr>
    </w:p>
    <w:p w14:paraId="45779028">
      <w:pPr>
        <w:keepNext w:val="0"/>
        <w:keepLines w:val="0"/>
        <w:pageBreakBefore w:val="0"/>
        <w:widowControl w:val="0"/>
        <w:kinsoku/>
        <w:wordWrap/>
        <w:overflowPunct/>
        <w:topLinePunct w:val="0"/>
        <w:autoSpaceDE/>
        <w:autoSpaceDN/>
        <w:bidi w:val="0"/>
        <w:adjustRightInd/>
        <w:snapToGrid w:val="0"/>
        <w:spacing w:line="360" w:lineRule="auto"/>
        <w:ind w:left="0" w:firstLine="480"/>
        <w:textAlignment w:val="auto"/>
        <w:outlineLvl w:val="9"/>
        <w:rPr>
          <w:rFonts w:hint="eastAsia" w:ascii="仿宋" w:hAnsi="仿宋" w:eastAsia="仿宋" w:cs="仿宋"/>
          <w:color w:val="auto"/>
          <w:sz w:val="24"/>
          <w:highlight w:val="none"/>
        </w:rPr>
      </w:pPr>
      <w:r>
        <w:rPr>
          <w:rFonts w:hint="eastAsia" w:ascii="仿宋" w:hAnsi="仿宋" w:eastAsia="仿宋" w:cs="仿宋"/>
          <w:color w:val="auto"/>
          <w:kern w:val="1"/>
          <w:sz w:val="24"/>
          <w:szCs w:val="24"/>
          <w:highlight w:val="none"/>
        </w:rPr>
        <w:t>若对项目采购电子交易系</w:t>
      </w:r>
      <w:r>
        <w:rPr>
          <w:rFonts w:hint="eastAsia" w:ascii="仿宋" w:hAnsi="仿宋" w:eastAsia="仿宋" w:cs="仿宋"/>
          <w:color w:val="auto"/>
          <w:sz w:val="24"/>
          <w:highlight w:val="none"/>
        </w:rPr>
        <w:t>统操作有疑问，可登录乐采云（https://www.lecaiyun.com/），点击右侧咨询小采，获取采小蜜智能服务管家帮助，或拨打乐采云服务热线95763获取热线服务帮助。      </w:t>
      </w:r>
    </w:p>
    <w:p w14:paraId="467019DF">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CA问题联系电话（人工）：汇信CA 400-888-4636；天谷CA 400-087-8198。</w:t>
      </w:r>
    </w:p>
    <w:p w14:paraId="3A918DD9">
      <w:pPr>
        <w:widowControl/>
        <w:adjustRightInd/>
        <w:jc w:val="left"/>
        <w:rPr>
          <w:rFonts w:hint="eastAsia" w:ascii="仿宋" w:hAnsi="仿宋" w:eastAsia="仿宋" w:cs="仿宋"/>
          <w:snapToGrid w:val="0"/>
          <w:color w:val="auto"/>
          <w:highlight w:val="none"/>
        </w:rPr>
      </w:pPr>
      <w:r>
        <w:rPr>
          <w:rFonts w:hint="eastAsia" w:ascii="仿宋" w:hAnsi="仿宋" w:eastAsia="仿宋" w:cs="仿宋"/>
          <w:b/>
          <w:color w:val="auto"/>
          <w:sz w:val="36"/>
          <w:szCs w:val="20"/>
          <w:highlight w:val="none"/>
        </w:rPr>
        <w:br w:type="page"/>
      </w:r>
    </w:p>
    <w:bookmarkEnd w:id="9"/>
    <w:bookmarkEnd w:id="10"/>
    <w:p w14:paraId="01368541">
      <w:pPr>
        <w:adjustRightInd/>
        <w:spacing w:line="360" w:lineRule="auto"/>
        <w:jc w:val="center"/>
        <w:outlineLvl w:val="0"/>
        <w:rPr>
          <w:rFonts w:hint="eastAsia" w:ascii="仿宋" w:hAnsi="仿宋" w:eastAsia="仿宋" w:cs="仿宋"/>
          <w:b/>
          <w:color w:val="auto"/>
          <w:sz w:val="36"/>
          <w:szCs w:val="20"/>
          <w:highlight w:val="none"/>
        </w:rPr>
      </w:pPr>
      <w:r>
        <w:rPr>
          <w:rFonts w:hint="eastAsia" w:ascii="仿宋" w:hAnsi="仿宋" w:eastAsia="仿宋" w:cs="仿宋"/>
          <w:b/>
          <w:color w:val="auto"/>
          <w:sz w:val="36"/>
          <w:szCs w:val="20"/>
          <w:highlight w:val="none"/>
        </w:rPr>
        <w:t>第二部分</w:t>
      </w:r>
      <w:r>
        <w:rPr>
          <w:rFonts w:hint="eastAsia" w:ascii="仿宋" w:hAnsi="仿宋" w:eastAsia="仿宋" w:cs="仿宋"/>
          <w:b/>
          <w:color w:val="auto"/>
          <w:sz w:val="36"/>
          <w:szCs w:val="20"/>
          <w:highlight w:val="none"/>
          <w:lang w:val="en-US" w:eastAsia="zh-CN"/>
        </w:rPr>
        <w:t xml:space="preserve">  </w:t>
      </w:r>
      <w:r>
        <w:rPr>
          <w:rFonts w:hint="eastAsia" w:ascii="仿宋" w:hAnsi="仿宋" w:eastAsia="仿宋" w:cs="仿宋"/>
          <w:b/>
          <w:color w:val="auto"/>
          <w:sz w:val="36"/>
          <w:szCs w:val="20"/>
          <w:highlight w:val="none"/>
        </w:rPr>
        <w:t>投标须知</w:t>
      </w:r>
    </w:p>
    <w:p w14:paraId="00DD2D54">
      <w:pPr>
        <w:adjustRightInd/>
        <w:spacing w:line="360" w:lineRule="auto"/>
        <w:ind w:firstLine="3845" w:firstLineChars="1197"/>
        <w:outlineLvl w:val="0"/>
        <w:rPr>
          <w:rFonts w:hint="eastAsia" w:ascii="仿宋" w:hAnsi="仿宋" w:eastAsia="仿宋" w:cs="仿宋"/>
          <w:b/>
          <w:color w:val="auto"/>
          <w:sz w:val="32"/>
          <w:szCs w:val="20"/>
          <w:highlight w:val="none"/>
        </w:rPr>
      </w:pPr>
      <w:r>
        <w:rPr>
          <w:rFonts w:hint="eastAsia" w:ascii="仿宋" w:hAnsi="仿宋" w:eastAsia="仿宋" w:cs="仿宋"/>
          <w:b/>
          <w:color w:val="auto"/>
          <w:sz w:val="32"/>
          <w:szCs w:val="20"/>
          <w:highlight w:val="none"/>
        </w:rPr>
        <w:t>前附表</w:t>
      </w:r>
    </w:p>
    <w:tbl>
      <w:tblPr>
        <w:tblStyle w:val="65"/>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066"/>
        <w:gridCol w:w="7723"/>
      </w:tblGrid>
      <w:tr w14:paraId="67834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870" w:type="dxa"/>
            <w:vAlign w:val="center"/>
          </w:tcPr>
          <w:p w14:paraId="3BCF89F7">
            <w:pPr>
              <w:keepNext w:val="0"/>
              <w:keepLines w:val="0"/>
              <w:pageBreakBefore w:val="0"/>
              <w:kinsoku/>
              <w:wordWrap/>
              <w:overflowPunct/>
              <w:topLinePunct w:val="0"/>
              <w:autoSpaceDE w:val="0"/>
              <w:autoSpaceDN w:val="0"/>
              <w:bidi w:val="0"/>
              <w:adjustRightInd/>
              <w:snapToGrid w:val="0"/>
              <w:spacing w:line="440" w:lineRule="exact"/>
              <w:ind w:left="0" w:leftChars="0" w:firstLine="0" w:firstLineChars="0"/>
              <w:jc w:val="center"/>
              <w:textAlignment w:val="bottom"/>
              <w:rPr>
                <w:rFonts w:hint="eastAsia" w:ascii="仿宋" w:hAnsi="仿宋" w:eastAsia="仿宋" w:cs="仿宋"/>
                <w:color w:val="auto"/>
                <w:sz w:val="24"/>
                <w:highlight w:val="none"/>
              </w:rPr>
            </w:pPr>
            <w:r>
              <w:rPr>
                <w:rFonts w:hint="eastAsia" w:ascii="仿宋" w:hAnsi="仿宋" w:eastAsia="仿宋" w:cs="仿宋"/>
                <w:color w:val="auto"/>
                <w:kern w:val="2"/>
                <w:sz w:val="24"/>
                <w:szCs w:val="24"/>
                <w:highlight w:val="none"/>
                <w:lang w:val="en-US" w:eastAsia="zh-CN" w:bidi="ar-SA"/>
              </w:rPr>
              <w:t>序号</w:t>
            </w:r>
          </w:p>
        </w:tc>
        <w:tc>
          <w:tcPr>
            <w:tcW w:w="8789" w:type="dxa"/>
            <w:gridSpan w:val="2"/>
            <w:vAlign w:val="center"/>
          </w:tcPr>
          <w:p w14:paraId="287B2FAE">
            <w:pPr>
              <w:keepNext w:val="0"/>
              <w:keepLines w:val="0"/>
              <w:pageBreakBefore w:val="0"/>
              <w:kinsoku/>
              <w:wordWrap/>
              <w:overflowPunct/>
              <w:topLinePunct w:val="0"/>
              <w:autoSpaceDE w:val="0"/>
              <w:autoSpaceDN w:val="0"/>
              <w:bidi w:val="0"/>
              <w:adjustRightInd/>
              <w:snapToGrid w:val="0"/>
              <w:spacing w:line="440" w:lineRule="exact"/>
              <w:ind w:left="0" w:leftChars="0" w:firstLine="0" w:firstLineChars="0"/>
              <w:jc w:val="center"/>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内　　　　容</w:t>
            </w:r>
          </w:p>
        </w:tc>
      </w:tr>
      <w:tr w14:paraId="0D03C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870" w:type="dxa"/>
            <w:vAlign w:val="center"/>
          </w:tcPr>
          <w:p w14:paraId="05F1274B">
            <w:pPr>
              <w:keepNext w:val="0"/>
              <w:keepLines w:val="0"/>
              <w:pageBreakBefore w:val="0"/>
              <w:kinsoku/>
              <w:wordWrap/>
              <w:overflowPunct/>
              <w:topLinePunct w:val="0"/>
              <w:autoSpaceDE w:val="0"/>
              <w:autoSpaceDN w:val="0"/>
              <w:bidi w:val="0"/>
              <w:adjustRightInd/>
              <w:snapToGrid w:val="0"/>
              <w:spacing w:line="440" w:lineRule="exact"/>
              <w:ind w:left="0" w:leftChars="0" w:firstLine="0" w:firstLineChars="0"/>
              <w:jc w:val="center"/>
              <w:textAlignment w:val="bottom"/>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w:t>
            </w:r>
          </w:p>
        </w:tc>
        <w:tc>
          <w:tcPr>
            <w:tcW w:w="8789" w:type="dxa"/>
            <w:gridSpan w:val="2"/>
            <w:vAlign w:val="center"/>
          </w:tcPr>
          <w:p w14:paraId="17D7E90D">
            <w:pPr>
              <w:keepNext w:val="0"/>
              <w:keepLines w:val="0"/>
              <w:pageBreakBefore w:val="0"/>
              <w:widowControl w:val="0"/>
              <w:kinsoku/>
              <w:wordWrap/>
              <w:overflowPunct/>
              <w:topLinePunct w:val="0"/>
              <w:bidi w:val="0"/>
              <w:adjustRightInd w:val="0"/>
              <w:spacing w:line="440" w:lineRule="exact"/>
              <w:ind w:right="0" w:rightChars="0"/>
              <w:rPr>
                <w:rFonts w:hint="eastAsia" w:ascii="仿宋" w:hAnsi="仿宋" w:eastAsia="仿宋" w:cs="仿宋"/>
                <w:color w:val="auto"/>
                <w:sz w:val="24"/>
                <w:highlight w:val="none"/>
                <w:u w:val="single"/>
              </w:rPr>
            </w:pPr>
            <w:r>
              <w:rPr>
                <w:rFonts w:hint="eastAsia" w:ascii="仿宋" w:hAnsi="仿宋" w:eastAsia="仿宋" w:cs="仿宋"/>
                <w:b/>
                <w:color w:val="auto"/>
                <w:sz w:val="24"/>
                <w:highlight w:val="none"/>
              </w:rPr>
              <w:t>投标人按照项目要求</w:t>
            </w:r>
            <w:r>
              <w:rPr>
                <w:rFonts w:hint="eastAsia" w:ascii="仿宋" w:hAnsi="仿宋" w:eastAsia="仿宋" w:cs="仿宋"/>
                <w:b/>
                <w:color w:val="auto"/>
                <w:sz w:val="24"/>
                <w:highlight w:val="none"/>
                <w:lang w:eastAsia="zh-CN"/>
              </w:rPr>
              <w:t>提供特许</w:t>
            </w:r>
            <w:r>
              <w:rPr>
                <w:rFonts w:hint="eastAsia" w:ascii="仿宋" w:hAnsi="仿宋" w:eastAsia="仿宋" w:cs="仿宋"/>
                <w:b/>
                <w:color w:val="auto"/>
                <w:sz w:val="24"/>
                <w:highlight w:val="none"/>
              </w:rPr>
              <w:t>资格、资信证明文件（如果有）：</w:t>
            </w:r>
          </w:p>
          <w:p w14:paraId="04B62598">
            <w:pPr>
              <w:keepNext w:val="0"/>
              <w:keepLines w:val="0"/>
              <w:pageBreakBefore w:val="0"/>
              <w:widowControl w:val="0"/>
              <w:kinsoku/>
              <w:wordWrap/>
              <w:overflowPunct/>
              <w:topLinePunct w:val="0"/>
              <w:bidi w:val="0"/>
              <w:adjustRightInd w:val="0"/>
              <w:spacing w:line="440" w:lineRule="exact"/>
              <w:ind w:left="0" w:leftChars="0" w:right="0" w:rightChars="0" w:firstLine="480" w:firstLineChars="200"/>
              <w:rPr>
                <w:rFonts w:hint="eastAsia" w:ascii="仿宋" w:hAnsi="仿宋" w:eastAsia="仿宋" w:cs="仿宋"/>
                <w:b/>
                <w:color w:val="auto"/>
                <w:sz w:val="24"/>
                <w:highlight w:val="none"/>
              </w:rPr>
            </w:pPr>
            <w:r>
              <w:rPr>
                <w:rFonts w:hint="eastAsia" w:ascii="仿宋" w:hAnsi="仿宋" w:eastAsia="仿宋" w:cs="仿宋"/>
                <w:color w:val="auto"/>
                <w:sz w:val="24"/>
                <w:highlight w:val="none"/>
              </w:rPr>
              <w:t>法律和国务院行政法规规定或授权有关部门规定供应商或产品进入市场须先行取得相关认证或许可的，投标人须在投标文件中提供相关的认证或许可证明材料。未经认证、许可，或者虽经认证、许可但相关资质证书已经失效的投标人，不能推荐、确认为中标供应商。</w:t>
            </w:r>
          </w:p>
        </w:tc>
      </w:tr>
      <w:tr w14:paraId="6A84C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70" w:type="dxa"/>
            <w:vAlign w:val="center"/>
          </w:tcPr>
          <w:p w14:paraId="3F3B90A2">
            <w:pPr>
              <w:keepNext w:val="0"/>
              <w:keepLines w:val="0"/>
              <w:pageBreakBefore w:val="0"/>
              <w:kinsoku/>
              <w:wordWrap/>
              <w:overflowPunct/>
              <w:topLinePunct w:val="0"/>
              <w:autoSpaceDE w:val="0"/>
              <w:autoSpaceDN w:val="0"/>
              <w:bidi w:val="0"/>
              <w:adjustRightInd/>
              <w:snapToGrid w:val="0"/>
              <w:spacing w:line="440" w:lineRule="exact"/>
              <w:ind w:left="0" w:leftChars="0" w:firstLine="0" w:firstLineChars="0"/>
              <w:jc w:val="center"/>
              <w:textAlignment w:val="bottom"/>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w:t>
            </w:r>
          </w:p>
        </w:tc>
        <w:tc>
          <w:tcPr>
            <w:tcW w:w="8789" w:type="dxa"/>
            <w:gridSpan w:val="2"/>
            <w:vAlign w:val="center"/>
          </w:tcPr>
          <w:p w14:paraId="77599393">
            <w:pPr>
              <w:keepNext w:val="0"/>
              <w:keepLines w:val="0"/>
              <w:pageBreakBefore w:val="0"/>
              <w:widowControl w:val="0"/>
              <w:kinsoku/>
              <w:wordWrap/>
              <w:overflowPunct/>
              <w:topLinePunct w:val="0"/>
              <w:bidi w:val="0"/>
              <w:adjustRightInd w:val="0"/>
              <w:spacing w:line="440" w:lineRule="exact"/>
              <w:ind w:right="0" w:rightChars="0"/>
              <w:rPr>
                <w:rFonts w:hint="eastAsia" w:ascii="仿宋" w:hAnsi="仿宋" w:eastAsia="仿宋" w:cs="仿宋"/>
                <w:b/>
                <w:color w:val="auto"/>
                <w:sz w:val="24"/>
                <w:highlight w:val="none"/>
              </w:rPr>
            </w:pPr>
            <w:r>
              <w:rPr>
                <w:rFonts w:hint="eastAsia" w:ascii="仿宋" w:hAnsi="仿宋" w:eastAsia="仿宋" w:cs="仿宋"/>
                <w:b/>
                <w:bCs w:val="0"/>
                <w:color w:val="auto"/>
                <w:sz w:val="24"/>
                <w:highlight w:val="none"/>
              </w:rPr>
              <w:t>资格审查方式：资格后审。</w:t>
            </w:r>
          </w:p>
        </w:tc>
      </w:tr>
      <w:tr w14:paraId="609EB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70" w:type="dxa"/>
            <w:vAlign w:val="center"/>
          </w:tcPr>
          <w:p w14:paraId="0D50619D">
            <w:pPr>
              <w:keepNext w:val="0"/>
              <w:keepLines w:val="0"/>
              <w:pageBreakBefore w:val="0"/>
              <w:kinsoku/>
              <w:wordWrap/>
              <w:overflowPunct/>
              <w:topLinePunct w:val="0"/>
              <w:autoSpaceDE w:val="0"/>
              <w:autoSpaceDN w:val="0"/>
              <w:bidi w:val="0"/>
              <w:adjustRightInd/>
              <w:snapToGrid w:val="0"/>
              <w:spacing w:line="440" w:lineRule="exact"/>
              <w:ind w:left="0" w:leftChars="0" w:firstLine="0" w:firstLineChars="0"/>
              <w:jc w:val="center"/>
              <w:textAlignment w:val="bottom"/>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w:t>
            </w:r>
          </w:p>
        </w:tc>
        <w:tc>
          <w:tcPr>
            <w:tcW w:w="8789" w:type="dxa"/>
            <w:gridSpan w:val="2"/>
            <w:vAlign w:val="center"/>
          </w:tcPr>
          <w:p w14:paraId="205E7D4F">
            <w:pPr>
              <w:keepNext w:val="0"/>
              <w:keepLines w:val="0"/>
              <w:pageBreakBefore w:val="0"/>
              <w:widowControl w:val="0"/>
              <w:kinsoku/>
              <w:wordWrap/>
              <w:overflowPunct/>
              <w:topLinePunct w:val="0"/>
              <w:bidi w:val="0"/>
              <w:adjustRightInd w:val="0"/>
              <w:spacing w:line="440" w:lineRule="exact"/>
              <w:ind w:right="0" w:rightChars="0"/>
              <w:rPr>
                <w:rFonts w:hint="eastAsia" w:ascii="仿宋" w:hAnsi="仿宋" w:eastAsia="仿宋" w:cs="仿宋"/>
                <w:color w:val="auto"/>
                <w:sz w:val="24"/>
                <w:highlight w:val="none"/>
              </w:rPr>
            </w:pPr>
            <w:r>
              <w:rPr>
                <w:rFonts w:hint="eastAsia" w:ascii="仿宋" w:hAnsi="仿宋" w:eastAsia="仿宋" w:cs="仿宋"/>
                <w:b/>
                <w:color w:val="auto"/>
                <w:sz w:val="24"/>
                <w:highlight w:val="none"/>
              </w:rPr>
              <w:t>投标有效期：</w:t>
            </w:r>
            <w:r>
              <w:rPr>
                <w:rFonts w:hint="eastAsia" w:ascii="仿宋" w:hAnsi="仿宋" w:eastAsia="仿宋" w:cs="仿宋"/>
                <w:color w:val="auto"/>
                <w:sz w:val="24"/>
                <w:highlight w:val="none"/>
              </w:rPr>
              <w:t>投标有效期为从提交投标文件的截止之日起90天。</w:t>
            </w:r>
            <w:r>
              <w:rPr>
                <w:rFonts w:hint="eastAsia" w:ascii="仿宋" w:hAnsi="仿宋" w:eastAsia="仿宋" w:cs="仿宋"/>
                <w:b/>
                <w:color w:val="auto"/>
                <w:sz w:val="24"/>
                <w:highlight w:val="none"/>
              </w:rPr>
              <w:t>投标人的投标文件中承</w:t>
            </w:r>
            <w:r>
              <w:rPr>
                <w:rFonts w:hint="eastAsia" w:ascii="仿宋" w:hAnsi="仿宋" w:eastAsia="仿宋" w:cs="仿宋"/>
                <w:b/>
                <w:color w:val="auto"/>
                <w:sz w:val="24"/>
                <w:szCs w:val="21"/>
                <w:highlight w:val="none"/>
              </w:rPr>
              <w:t>诺的投标有效期少于招标文件中载明的投标有效期的，投标无效。</w:t>
            </w:r>
          </w:p>
        </w:tc>
      </w:tr>
      <w:tr w14:paraId="3E9AF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870" w:type="dxa"/>
            <w:vAlign w:val="center"/>
          </w:tcPr>
          <w:p w14:paraId="7537ECE4">
            <w:pPr>
              <w:keepNext w:val="0"/>
              <w:keepLines w:val="0"/>
              <w:pageBreakBefore w:val="0"/>
              <w:kinsoku/>
              <w:wordWrap/>
              <w:overflowPunct/>
              <w:topLinePunct w:val="0"/>
              <w:autoSpaceDE w:val="0"/>
              <w:autoSpaceDN w:val="0"/>
              <w:bidi w:val="0"/>
              <w:adjustRightInd/>
              <w:snapToGrid w:val="0"/>
              <w:spacing w:line="440" w:lineRule="exact"/>
              <w:ind w:left="0" w:leftChars="0" w:firstLine="0" w:firstLineChars="0"/>
              <w:jc w:val="center"/>
              <w:textAlignment w:val="bottom"/>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w:t>
            </w:r>
          </w:p>
        </w:tc>
        <w:tc>
          <w:tcPr>
            <w:tcW w:w="8789" w:type="dxa"/>
            <w:gridSpan w:val="2"/>
            <w:vAlign w:val="center"/>
          </w:tcPr>
          <w:p w14:paraId="6476F949">
            <w:pPr>
              <w:keepNext w:val="0"/>
              <w:keepLines w:val="0"/>
              <w:pageBreakBefore w:val="0"/>
              <w:widowControl w:val="0"/>
              <w:kinsoku/>
              <w:wordWrap/>
              <w:overflowPunct/>
              <w:topLinePunct w:val="0"/>
              <w:bidi w:val="0"/>
              <w:adjustRightInd w:val="0"/>
              <w:spacing w:line="440" w:lineRule="exact"/>
              <w:ind w:right="0" w:rightChars="0"/>
              <w:rPr>
                <w:rFonts w:hint="eastAsia" w:ascii="仿宋" w:hAnsi="仿宋" w:eastAsia="仿宋" w:cs="仿宋"/>
                <w:color w:val="auto"/>
                <w:sz w:val="24"/>
                <w:highlight w:val="none"/>
              </w:rPr>
            </w:pPr>
            <w:r>
              <w:rPr>
                <w:rFonts w:hint="eastAsia" w:ascii="仿宋" w:hAnsi="仿宋" w:eastAsia="仿宋" w:cs="仿宋"/>
                <w:b/>
                <w:color w:val="auto"/>
                <w:sz w:val="24"/>
                <w:highlight w:val="none"/>
              </w:rPr>
              <w:t>转包：</w:t>
            </w:r>
            <w:r>
              <w:rPr>
                <w:rFonts w:hint="eastAsia" w:ascii="仿宋" w:hAnsi="仿宋" w:eastAsia="仿宋" w:cs="仿宋"/>
                <w:color w:val="auto"/>
                <w:sz w:val="24"/>
                <w:highlight w:val="none"/>
              </w:rPr>
              <w:t>本项目不得转包。</w:t>
            </w:r>
          </w:p>
        </w:tc>
      </w:tr>
      <w:tr w14:paraId="442E1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870" w:type="dxa"/>
            <w:vAlign w:val="center"/>
          </w:tcPr>
          <w:p w14:paraId="4950C353">
            <w:pPr>
              <w:keepNext w:val="0"/>
              <w:keepLines w:val="0"/>
              <w:pageBreakBefore w:val="0"/>
              <w:kinsoku/>
              <w:wordWrap/>
              <w:overflowPunct/>
              <w:topLinePunct w:val="0"/>
              <w:autoSpaceDE w:val="0"/>
              <w:autoSpaceDN w:val="0"/>
              <w:bidi w:val="0"/>
              <w:adjustRightInd/>
              <w:snapToGrid w:val="0"/>
              <w:spacing w:line="440" w:lineRule="exact"/>
              <w:ind w:left="0" w:leftChars="0" w:firstLine="0" w:firstLineChars="0"/>
              <w:jc w:val="center"/>
              <w:textAlignment w:val="bottom"/>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w:t>
            </w:r>
          </w:p>
        </w:tc>
        <w:tc>
          <w:tcPr>
            <w:tcW w:w="8789" w:type="dxa"/>
            <w:gridSpan w:val="2"/>
            <w:vAlign w:val="center"/>
          </w:tcPr>
          <w:p w14:paraId="5F15A4D4">
            <w:pPr>
              <w:keepNext w:val="0"/>
              <w:keepLines w:val="0"/>
              <w:pageBreakBefore w:val="0"/>
              <w:widowControl w:val="0"/>
              <w:kinsoku/>
              <w:wordWrap/>
              <w:overflowPunct/>
              <w:topLinePunct w:val="0"/>
              <w:bidi w:val="0"/>
              <w:adjustRightInd w:val="0"/>
              <w:spacing w:line="440" w:lineRule="exact"/>
              <w:ind w:right="0" w:rightChars="0"/>
              <w:rPr>
                <w:rFonts w:hint="eastAsia" w:ascii="仿宋" w:hAnsi="仿宋" w:eastAsia="仿宋" w:cs="仿宋"/>
                <w:color w:val="auto"/>
                <w:sz w:val="24"/>
                <w:highlight w:val="none"/>
              </w:rPr>
            </w:pPr>
            <w:r>
              <w:rPr>
                <w:rFonts w:hint="eastAsia" w:ascii="仿宋" w:hAnsi="仿宋" w:eastAsia="仿宋" w:cs="仿宋"/>
                <w:b/>
                <w:color w:val="auto"/>
                <w:sz w:val="24"/>
                <w:highlight w:val="none"/>
              </w:rPr>
              <w:t>分包：</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A</w:t>
            </w:r>
            <w:r>
              <w:rPr>
                <w:rFonts w:hint="eastAsia" w:ascii="仿宋" w:hAnsi="仿宋" w:eastAsia="仿宋" w:cs="仿宋"/>
                <w:color w:val="auto"/>
                <w:sz w:val="24"/>
                <w:highlight w:val="none"/>
              </w:rPr>
              <w:t>同意将非主体、非关键性的工作分包。</w:t>
            </w:r>
          </w:p>
          <w:p w14:paraId="6AE23833">
            <w:pPr>
              <w:keepNext w:val="0"/>
              <w:keepLines w:val="0"/>
              <w:pageBreakBefore w:val="0"/>
              <w:widowControl w:val="0"/>
              <w:kinsoku/>
              <w:wordWrap/>
              <w:overflowPunct/>
              <w:topLinePunct w:val="0"/>
              <w:bidi w:val="0"/>
              <w:adjustRightInd w:val="0"/>
              <w:spacing w:line="440" w:lineRule="exact"/>
              <w:ind w:left="0" w:leftChars="0" w:right="0" w:rightChars="0" w:firstLine="720" w:firstLineChars="300"/>
              <w:rPr>
                <w:rFonts w:hint="eastAsia" w:ascii="仿宋" w:hAnsi="仿宋" w:eastAsia="仿宋" w:cs="仿宋"/>
                <w:b/>
                <w:color w:val="auto"/>
                <w:sz w:val="24"/>
                <w:highlight w:val="none"/>
              </w:rPr>
            </w:pP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B</w:t>
            </w:r>
            <w:r>
              <w:rPr>
                <w:rFonts w:hint="eastAsia" w:ascii="仿宋" w:hAnsi="仿宋" w:eastAsia="仿宋" w:cs="仿宋"/>
                <w:color w:val="auto"/>
                <w:sz w:val="24"/>
                <w:highlight w:val="none"/>
              </w:rPr>
              <w:t>不同意分包。</w:t>
            </w:r>
          </w:p>
        </w:tc>
      </w:tr>
      <w:tr w14:paraId="0E156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870" w:type="dxa"/>
            <w:vAlign w:val="center"/>
          </w:tcPr>
          <w:p w14:paraId="6FADFDF1">
            <w:pPr>
              <w:keepNext w:val="0"/>
              <w:keepLines w:val="0"/>
              <w:pageBreakBefore w:val="0"/>
              <w:kinsoku/>
              <w:wordWrap/>
              <w:overflowPunct/>
              <w:topLinePunct w:val="0"/>
              <w:autoSpaceDE w:val="0"/>
              <w:autoSpaceDN w:val="0"/>
              <w:bidi w:val="0"/>
              <w:adjustRightInd/>
              <w:snapToGrid w:val="0"/>
              <w:spacing w:line="440" w:lineRule="exact"/>
              <w:ind w:left="0" w:leftChars="0" w:firstLine="0" w:firstLineChars="0"/>
              <w:jc w:val="center"/>
              <w:textAlignment w:val="bottom"/>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w:t>
            </w:r>
          </w:p>
        </w:tc>
        <w:tc>
          <w:tcPr>
            <w:tcW w:w="8789" w:type="dxa"/>
            <w:gridSpan w:val="2"/>
            <w:vAlign w:val="center"/>
          </w:tcPr>
          <w:p w14:paraId="267B835F">
            <w:pPr>
              <w:keepNext w:val="0"/>
              <w:keepLines w:val="0"/>
              <w:pageBreakBefore w:val="0"/>
              <w:tabs>
                <w:tab w:val="left" w:pos="3780"/>
              </w:tabs>
              <w:kinsoku/>
              <w:wordWrap/>
              <w:overflowPunct/>
              <w:topLinePunct w:val="0"/>
              <w:bidi w:val="0"/>
              <w:adjustRightInd/>
              <w:spacing w:line="440" w:lineRule="exact"/>
              <w:ind w:left="0" w:leftChars="0" w:firstLine="0" w:firstLineChars="0"/>
              <w:jc w:val="both"/>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投标保证金6万元（电汇、转账、网上银行）</w:t>
            </w:r>
          </w:p>
          <w:p w14:paraId="3B0FECC5">
            <w:pPr>
              <w:keepNext w:val="0"/>
              <w:keepLines w:val="0"/>
              <w:pageBreakBefore w:val="0"/>
              <w:widowControl w:val="0"/>
              <w:kinsoku/>
              <w:wordWrap/>
              <w:overflowPunct/>
              <w:topLinePunct w:val="0"/>
              <w:autoSpaceDE/>
              <w:autoSpaceDN/>
              <w:bidi w:val="0"/>
              <w:snapToGrid/>
              <w:spacing w:line="440" w:lineRule="exact"/>
              <w:ind w:left="0" w:lef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公司名称</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绍兴平准招标代理有限公司</w:t>
            </w:r>
          </w:p>
          <w:p w14:paraId="37DB2F64">
            <w:pPr>
              <w:keepNext w:val="0"/>
              <w:keepLines w:val="0"/>
              <w:pageBreakBefore w:val="0"/>
              <w:widowControl w:val="0"/>
              <w:kinsoku/>
              <w:wordWrap/>
              <w:overflowPunct/>
              <w:topLinePunct w:val="0"/>
              <w:autoSpaceDE/>
              <w:autoSpaceDN/>
              <w:bidi w:val="0"/>
              <w:snapToGrid/>
              <w:spacing w:line="440" w:lineRule="exact"/>
              <w:ind w:left="0" w:lef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开户行</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建设银行嵊州新城支行</w:t>
            </w:r>
          </w:p>
          <w:p w14:paraId="11C57774">
            <w:pPr>
              <w:keepNext w:val="0"/>
              <w:keepLines w:val="0"/>
              <w:pageBreakBefore w:val="0"/>
              <w:tabs>
                <w:tab w:val="left" w:pos="3780"/>
              </w:tabs>
              <w:kinsoku/>
              <w:wordWrap/>
              <w:overflowPunct/>
              <w:topLinePunct w:val="0"/>
              <w:bidi w:val="0"/>
              <w:adjustRightInd/>
              <w:spacing w:line="440" w:lineRule="exact"/>
              <w:ind w:left="0" w:leftChars="0"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账号</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33050165655009888888</w:t>
            </w:r>
          </w:p>
          <w:p w14:paraId="39510478">
            <w:pPr>
              <w:keepNext w:val="0"/>
              <w:keepLines w:val="0"/>
              <w:pageBreakBefore w:val="0"/>
              <w:tabs>
                <w:tab w:val="left" w:pos="3780"/>
              </w:tabs>
              <w:kinsoku/>
              <w:wordWrap/>
              <w:overflowPunct/>
              <w:topLinePunct w:val="0"/>
              <w:bidi w:val="0"/>
              <w:adjustRightInd/>
              <w:spacing w:line="440" w:lineRule="exact"/>
              <w:ind w:left="0" w:leftChars="0" w:firstLine="0" w:firstLineChars="0"/>
              <w:jc w:val="both"/>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缴纳时间：在2025年</w:t>
            </w:r>
            <w:r>
              <w:rPr>
                <w:rFonts w:hint="eastAsia" w:ascii="仿宋" w:hAnsi="仿宋" w:eastAsia="仿宋" w:cs="仿宋"/>
                <w:b w:val="0"/>
                <w:bCs/>
                <w:color w:val="auto"/>
                <w:sz w:val="24"/>
                <w:szCs w:val="24"/>
                <w:highlight w:val="none"/>
                <w:u w:val="single"/>
                <w:lang w:val="en-US" w:eastAsia="zh-CN"/>
              </w:rPr>
              <w:t xml:space="preserve"> 11 </w:t>
            </w:r>
            <w:r>
              <w:rPr>
                <w:rFonts w:hint="eastAsia" w:ascii="仿宋" w:hAnsi="仿宋" w:eastAsia="仿宋" w:cs="仿宋"/>
                <w:b w:val="0"/>
                <w:bCs/>
                <w:color w:val="auto"/>
                <w:sz w:val="24"/>
                <w:szCs w:val="24"/>
                <w:highlight w:val="none"/>
                <w:lang w:val="en-US" w:eastAsia="zh-CN"/>
              </w:rPr>
              <w:t>月</w:t>
            </w:r>
            <w:r>
              <w:rPr>
                <w:rFonts w:hint="eastAsia" w:ascii="仿宋" w:hAnsi="仿宋" w:eastAsia="仿宋" w:cs="仿宋"/>
                <w:b w:val="0"/>
                <w:bCs/>
                <w:color w:val="auto"/>
                <w:sz w:val="24"/>
                <w:szCs w:val="24"/>
                <w:highlight w:val="none"/>
                <w:u w:val="single"/>
                <w:lang w:val="en-US" w:eastAsia="zh-CN"/>
              </w:rPr>
              <w:t>26</w:t>
            </w:r>
            <w:r>
              <w:rPr>
                <w:rFonts w:hint="eastAsia" w:ascii="仿宋" w:hAnsi="仿宋" w:eastAsia="仿宋" w:cs="仿宋"/>
                <w:b w:val="0"/>
                <w:bCs/>
                <w:color w:val="auto"/>
                <w:sz w:val="24"/>
                <w:szCs w:val="24"/>
                <w:highlight w:val="none"/>
                <w:lang w:val="en-US" w:eastAsia="zh-CN"/>
              </w:rPr>
              <w:t>日16:00前将投标保证金以电汇、转账、网上银行形式汇入指定账户，以实际到账时间为准。</w:t>
            </w:r>
          </w:p>
          <w:p w14:paraId="08875910">
            <w:pPr>
              <w:keepNext w:val="0"/>
              <w:keepLines w:val="0"/>
              <w:pageBreakBefore w:val="0"/>
              <w:tabs>
                <w:tab w:val="left" w:pos="3780"/>
              </w:tabs>
              <w:kinsoku/>
              <w:wordWrap/>
              <w:overflowPunct/>
              <w:topLinePunct w:val="0"/>
              <w:bidi w:val="0"/>
              <w:adjustRightInd/>
              <w:spacing w:line="440" w:lineRule="exact"/>
              <w:ind w:left="0" w:leftChars="0" w:firstLine="0" w:firstLineChars="0"/>
              <w:jc w:val="both"/>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1.投标人须按规定提交投标保证金，否则，其投标将被视为无效。</w:t>
            </w:r>
          </w:p>
          <w:p w14:paraId="068D2D23">
            <w:pPr>
              <w:keepNext w:val="0"/>
              <w:keepLines w:val="0"/>
              <w:pageBreakBefore w:val="0"/>
              <w:tabs>
                <w:tab w:val="left" w:pos="3780"/>
              </w:tabs>
              <w:kinsoku/>
              <w:wordWrap/>
              <w:overflowPunct/>
              <w:topLinePunct w:val="0"/>
              <w:bidi w:val="0"/>
              <w:adjustRightInd/>
              <w:spacing w:line="440" w:lineRule="exact"/>
              <w:ind w:left="0" w:leftChars="0" w:firstLine="0" w:firstLineChars="0"/>
              <w:jc w:val="both"/>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2.投标人有下列情形之一的，投标保证金将不予退还：</w:t>
            </w:r>
          </w:p>
          <w:p w14:paraId="2247B372">
            <w:pPr>
              <w:keepNext w:val="0"/>
              <w:keepLines w:val="0"/>
              <w:pageBreakBefore w:val="0"/>
              <w:tabs>
                <w:tab w:val="left" w:pos="3780"/>
              </w:tabs>
              <w:kinsoku/>
              <w:wordWrap/>
              <w:overflowPunct/>
              <w:topLinePunct w:val="0"/>
              <w:bidi w:val="0"/>
              <w:adjustRightInd/>
              <w:spacing w:line="440" w:lineRule="exact"/>
              <w:ind w:left="0" w:leftChars="0" w:firstLine="0" w:firstLineChars="0"/>
              <w:jc w:val="both"/>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（1）投标人在投标有效期内撤回投标文件的；</w:t>
            </w:r>
          </w:p>
          <w:p w14:paraId="390126DB">
            <w:pPr>
              <w:keepNext w:val="0"/>
              <w:keepLines w:val="0"/>
              <w:pageBreakBefore w:val="0"/>
              <w:tabs>
                <w:tab w:val="left" w:pos="3780"/>
              </w:tabs>
              <w:kinsoku/>
              <w:wordWrap/>
              <w:overflowPunct/>
              <w:topLinePunct w:val="0"/>
              <w:bidi w:val="0"/>
              <w:adjustRightInd/>
              <w:spacing w:line="440" w:lineRule="exact"/>
              <w:ind w:left="0" w:leftChars="0" w:firstLine="0" w:firstLineChars="0"/>
              <w:jc w:val="both"/>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（2）未按规定提交履约保证金、差额保证金的；</w:t>
            </w:r>
          </w:p>
          <w:p w14:paraId="4412317A">
            <w:pPr>
              <w:keepNext w:val="0"/>
              <w:keepLines w:val="0"/>
              <w:pageBreakBefore w:val="0"/>
              <w:tabs>
                <w:tab w:val="left" w:pos="3780"/>
              </w:tabs>
              <w:kinsoku/>
              <w:wordWrap/>
              <w:overflowPunct/>
              <w:topLinePunct w:val="0"/>
              <w:bidi w:val="0"/>
              <w:adjustRightInd/>
              <w:spacing w:line="440" w:lineRule="exact"/>
              <w:ind w:left="0" w:leftChars="0" w:firstLine="0" w:firstLineChars="0"/>
              <w:jc w:val="both"/>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（3）投标人在投标过程中弄虚作假，提供虚假材料的；</w:t>
            </w:r>
          </w:p>
          <w:p w14:paraId="48817C05">
            <w:pPr>
              <w:keepNext w:val="0"/>
              <w:keepLines w:val="0"/>
              <w:pageBreakBefore w:val="0"/>
              <w:tabs>
                <w:tab w:val="left" w:pos="3780"/>
              </w:tabs>
              <w:kinsoku/>
              <w:wordWrap/>
              <w:overflowPunct/>
              <w:topLinePunct w:val="0"/>
              <w:bidi w:val="0"/>
              <w:adjustRightInd/>
              <w:spacing w:line="440" w:lineRule="exact"/>
              <w:ind w:left="0" w:leftChars="0" w:firstLine="0" w:firstLineChars="0"/>
              <w:jc w:val="both"/>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（4）中标供应商无正当理由不与采购人签订合同的；</w:t>
            </w:r>
          </w:p>
          <w:p w14:paraId="576075F4">
            <w:pPr>
              <w:keepNext w:val="0"/>
              <w:keepLines w:val="0"/>
              <w:pageBreakBefore w:val="0"/>
              <w:tabs>
                <w:tab w:val="left" w:pos="3780"/>
              </w:tabs>
              <w:kinsoku/>
              <w:wordWrap/>
              <w:overflowPunct/>
              <w:topLinePunct w:val="0"/>
              <w:bidi w:val="0"/>
              <w:adjustRightInd/>
              <w:spacing w:line="440" w:lineRule="exact"/>
              <w:ind w:left="0" w:leftChars="0" w:firstLine="0" w:firstLineChars="0"/>
              <w:jc w:val="both"/>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lang w:val="en-US" w:eastAsia="zh-CN"/>
              </w:rPr>
              <w:t>（5）其他严重扰乱招投标程序的。</w:t>
            </w:r>
          </w:p>
        </w:tc>
      </w:tr>
      <w:tr w14:paraId="774B7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870" w:type="dxa"/>
            <w:vAlign w:val="center"/>
          </w:tcPr>
          <w:p w14:paraId="0DD5104C">
            <w:pPr>
              <w:keepNext w:val="0"/>
              <w:keepLines w:val="0"/>
              <w:pageBreakBefore w:val="0"/>
              <w:kinsoku/>
              <w:wordWrap/>
              <w:overflowPunct/>
              <w:topLinePunct w:val="0"/>
              <w:autoSpaceDE w:val="0"/>
              <w:autoSpaceDN w:val="0"/>
              <w:bidi w:val="0"/>
              <w:adjustRightInd/>
              <w:snapToGrid w:val="0"/>
              <w:spacing w:line="440" w:lineRule="exact"/>
              <w:ind w:left="0" w:leftChars="0" w:firstLine="0" w:firstLineChars="0"/>
              <w:jc w:val="center"/>
              <w:textAlignment w:val="bottom"/>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w:t>
            </w:r>
          </w:p>
        </w:tc>
        <w:tc>
          <w:tcPr>
            <w:tcW w:w="8789" w:type="dxa"/>
            <w:gridSpan w:val="2"/>
            <w:vAlign w:val="center"/>
          </w:tcPr>
          <w:p w14:paraId="52BD8F4B">
            <w:pPr>
              <w:keepNext w:val="0"/>
              <w:keepLines w:val="0"/>
              <w:pageBreakBefore w:val="0"/>
              <w:widowControl w:val="0"/>
              <w:kinsoku/>
              <w:wordWrap/>
              <w:overflowPunct/>
              <w:topLinePunct w:val="0"/>
              <w:bidi w:val="0"/>
              <w:adjustRightInd w:val="0"/>
              <w:spacing w:line="440" w:lineRule="exact"/>
              <w:ind w:right="0" w:rightChars="0"/>
              <w:rPr>
                <w:rFonts w:hint="eastAsia" w:ascii="仿宋" w:hAnsi="仿宋" w:eastAsia="仿宋" w:cs="仿宋"/>
                <w:color w:val="auto"/>
                <w:sz w:val="24"/>
                <w:highlight w:val="none"/>
              </w:rPr>
            </w:pPr>
            <w:r>
              <w:rPr>
                <w:rFonts w:hint="eastAsia" w:ascii="仿宋" w:hAnsi="仿宋" w:eastAsia="仿宋" w:cs="仿宋"/>
                <w:b/>
                <w:color w:val="auto"/>
                <w:sz w:val="24"/>
                <w:highlight w:val="none"/>
              </w:rPr>
              <w:t>投标文件份数：</w:t>
            </w:r>
            <w:r>
              <w:rPr>
                <w:rFonts w:hint="eastAsia" w:ascii="仿宋" w:hAnsi="仿宋" w:eastAsia="仿宋" w:cs="仿宋"/>
                <w:color w:val="auto"/>
                <w:sz w:val="24"/>
                <w:highlight w:val="none"/>
              </w:rPr>
              <w:t>本项目实行网上投标，供应商于“乐采云”上提供电子投标文件。</w:t>
            </w:r>
          </w:p>
        </w:tc>
      </w:tr>
      <w:tr w14:paraId="57DE1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70" w:type="dxa"/>
            <w:vAlign w:val="center"/>
          </w:tcPr>
          <w:p w14:paraId="066F7F39">
            <w:pPr>
              <w:keepNext w:val="0"/>
              <w:keepLines w:val="0"/>
              <w:pageBreakBefore w:val="0"/>
              <w:kinsoku/>
              <w:wordWrap/>
              <w:overflowPunct/>
              <w:topLinePunct w:val="0"/>
              <w:autoSpaceDE w:val="0"/>
              <w:autoSpaceDN w:val="0"/>
              <w:bidi w:val="0"/>
              <w:adjustRightInd/>
              <w:snapToGrid w:val="0"/>
              <w:spacing w:line="440" w:lineRule="exact"/>
              <w:ind w:left="0" w:leftChars="0" w:firstLine="0" w:firstLineChars="0"/>
              <w:jc w:val="center"/>
              <w:textAlignment w:val="bottom"/>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8</w:t>
            </w:r>
          </w:p>
        </w:tc>
        <w:tc>
          <w:tcPr>
            <w:tcW w:w="8789" w:type="dxa"/>
            <w:gridSpan w:val="2"/>
            <w:vAlign w:val="center"/>
          </w:tcPr>
          <w:p w14:paraId="6D416287">
            <w:pPr>
              <w:keepNext w:val="0"/>
              <w:keepLines w:val="0"/>
              <w:pageBreakBefore w:val="0"/>
              <w:widowControl w:val="0"/>
              <w:kinsoku/>
              <w:wordWrap/>
              <w:overflowPunct/>
              <w:topLinePunct w:val="0"/>
              <w:bidi w:val="0"/>
              <w:adjustRightInd w:val="0"/>
              <w:spacing w:line="440" w:lineRule="exact"/>
              <w:ind w:right="0" w:rightChars="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开标前答疑会或现场考察：</w:t>
            </w:r>
          </w:p>
          <w:p w14:paraId="4A643857">
            <w:pPr>
              <w:keepNext w:val="0"/>
              <w:keepLines w:val="0"/>
              <w:pageBreakBefore w:val="0"/>
              <w:widowControl w:val="0"/>
              <w:kinsoku/>
              <w:wordWrap/>
              <w:overflowPunct/>
              <w:topLinePunct w:val="0"/>
              <w:bidi w:val="0"/>
              <w:adjustRightInd w:val="0"/>
              <w:spacing w:line="440" w:lineRule="exact"/>
              <w:ind w:right="0" w:rightChars="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A</w:t>
            </w:r>
            <w:r>
              <w:rPr>
                <w:rFonts w:hint="eastAsia" w:ascii="仿宋" w:hAnsi="仿宋" w:eastAsia="仿宋" w:cs="仿宋"/>
                <w:b w:val="0"/>
                <w:bCs/>
                <w:color w:val="auto"/>
                <w:sz w:val="24"/>
                <w:highlight w:val="none"/>
                <w:lang w:val="en-US" w:eastAsia="zh-CN"/>
              </w:rPr>
              <w:t>不集中组织。投标人</w:t>
            </w:r>
            <w:r>
              <w:rPr>
                <w:rFonts w:hint="eastAsia" w:ascii="仿宋" w:hAnsi="仿宋" w:eastAsia="仿宋" w:cs="仿宋"/>
                <w:b w:val="0"/>
                <w:bCs/>
                <w:color w:val="auto"/>
                <w:sz w:val="24"/>
                <w:highlight w:val="none"/>
              </w:rPr>
              <w:t>自行前往现场踏勘，因自身原因未进行实地踏勘的，成交后签订合同时和履约过程中，不得以不完全了解现场情况为由，提出任何形式的增加合同外造价或索赔的要求。踏勘期间发生的费用或意外导致伤亡等一切责任和损失均由供应商自负</w:t>
            </w:r>
            <w:r>
              <w:rPr>
                <w:rFonts w:hint="eastAsia" w:ascii="仿宋" w:hAnsi="仿宋" w:eastAsia="仿宋" w:cs="仿宋"/>
                <w:color w:val="auto"/>
                <w:sz w:val="24"/>
                <w:highlight w:val="none"/>
              </w:rPr>
              <w:t>。</w:t>
            </w:r>
          </w:p>
          <w:p w14:paraId="0F3776CB">
            <w:pPr>
              <w:keepNext w:val="0"/>
              <w:keepLines w:val="0"/>
              <w:pageBreakBefore w:val="0"/>
              <w:widowControl w:val="0"/>
              <w:kinsoku/>
              <w:wordWrap/>
              <w:overflowPunct/>
              <w:topLinePunct w:val="0"/>
              <w:bidi w:val="0"/>
              <w:adjustRightInd w:val="0"/>
              <w:spacing w:line="440" w:lineRule="exact"/>
              <w:ind w:right="0" w:rightChars="0"/>
              <w:rPr>
                <w:rFonts w:hint="eastAsia" w:ascii="仿宋" w:hAnsi="仿宋" w:eastAsia="仿宋" w:cs="仿宋"/>
                <w:b/>
                <w:color w:val="auto"/>
                <w:sz w:val="24"/>
                <w:highlight w:val="none"/>
              </w:rPr>
            </w:pPr>
            <w:r>
              <w:rPr>
                <w:rFonts w:hint="eastAsia" w:ascii="仿宋" w:hAnsi="仿宋" w:eastAsia="仿宋" w:cs="仿宋"/>
                <w:color w:val="auto"/>
                <w:kern w:val="0"/>
                <w:sz w:val="24"/>
                <w:highlight w:val="none"/>
              </w:rPr>
              <w:t>□B组织，</w:t>
            </w:r>
            <w:r>
              <w:rPr>
                <w:rFonts w:hint="eastAsia" w:ascii="仿宋" w:hAnsi="仿宋" w:eastAsia="仿宋" w:cs="仿宋"/>
                <w:color w:val="auto"/>
                <w:sz w:val="24"/>
                <w:highlight w:val="none"/>
              </w:rPr>
              <w:t>时间</w:t>
            </w:r>
            <w:r>
              <w:rPr>
                <w:rFonts w:hint="eastAsia" w:ascii="仿宋" w:hAnsi="仿宋" w:eastAsia="仿宋" w:cs="仿宋"/>
                <w:color w:val="auto"/>
                <w:sz w:val="24"/>
                <w:highlight w:val="none"/>
                <w:u w:val="none"/>
              </w:rPr>
              <w:t>：</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none"/>
                <w:lang w:val="en-US" w:eastAsia="zh-CN"/>
              </w:rPr>
              <w:t>，</w:t>
            </w:r>
            <w:r>
              <w:rPr>
                <w:rFonts w:hint="eastAsia" w:ascii="仿宋" w:hAnsi="仿宋" w:eastAsia="仿宋" w:cs="仿宋"/>
                <w:color w:val="auto"/>
                <w:sz w:val="24"/>
                <w:highlight w:val="none"/>
              </w:rPr>
              <w:t>地点</w:t>
            </w:r>
            <w:r>
              <w:rPr>
                <w:rFonts w:hint="eastAsia" w:ascii="仿宋" w:hAnsi="仿宋" w:eastAsia="仿宋" w:cs="仿宋"/>
                <w:color w:val="auto"/>
                <w:sz w:val="24"/>
                <w:highlight w:val="none"/>
                <w:u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u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，联系方式</w:t>
            </w:r>
            <w:r>
              <w:rPr>
                <w:rFonts w:hint="eastAsia" w:ascii="仿宋" w:hAnsi="仿宋" w:eastAsia="仿宋" w:cs="仿宋"/>
                <w:color w:val="auto"/>
                <w:sz w:val="24"/>
                <w:highlight w:val="none"/>
                <w:u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szCs w:val="20"/>
                <w:highlight w:val="none"/>
              </w:rPr>
              <w:t>。</w:t>
            </w:r>
          </w:p>
        </w:tc>
      </w:tr>
      <w:tr w14:paraId="054A8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70" w:type="dxa"/>
            <w:vAlign w:val="center"/>
          </w:tcPr>
          <w:p w14:paraId="2C93E1AE">
            <w:pPr>
              <w:keepNext w:val="0"/>
              <w:keepLines w:val="0"/>
              <w:pageBreakBefore w:val="0"/>
              <w:kinsoku/>
              <w:wordWrap/>
              <w:overflowPunct/>
              <w:topLinePunct w:val="0"/>
              <w:autoSpaceDE w:val="0"/>
              <w:autoSpaceDN w:val="0"/>
              <w:bidi w:val="0"/>
              <w:adjustRightInd/>
              <w:snapToGrid w:val="0"/>
              <w:spacing w:line="440" w:lineRule="exact"/>
              <w:ind w:left="0" w:leftChars="0" w:firstLine="0" w:firstLineChars="0"/>
              <w:jc w:val="center"/>
              <w:textAlignment w:val="bottom"/>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9</w:t>
            </w:r>
          </w:p>
        </w:tc>
        <w:tc>
          <w:tcPr>
            <w:tcW w:w="8789" w:type="dxa"/>
            <w:gridSpan w:val="2"/>
            <w:vAlign w:val="center"/>
          </w:tcPr>
          <w:p w14:paraId="1AC3ABE4">
            <w:pPr>
              <w:keepNext w:val="0"/>
              <w:keepLines w:val="0"/>
              <w:pageBreakBefore w:val="0"/>
              <w:widowControl w:val="0"/>
              <w:kinsoku/>
              <w:wordWrap/>
              <w:overflowPunct/>
              <w:topLinePunct w:val="0"/>
              <w:bidi w:val="0"/>
              <w:adjustRightInd w:val="0"/>
              <w:spacing w:line="440" w:lineRule="exact"/>
              <w:ind w:right="0" w:rightChars="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样</w:t>
            </w:r>
            <w:r>
              <w:rPr>
                <w:rFonts w:hint="eastAsia" w:ascii="仿宋" w:hAnsi="仿宋" w:eastAsia="仿宋" w:cs="仿宋"/>
                <w:b/>
                <w:bCs w:val="0"/>
                <w:color w:val="auto"/>
                <w:sz w:val="24"/>
                <w:highlight w:val="none"/>
              </w:rPr>
              <w:t>品提供：</w:t>
            </w:r>
          </w:p>
          <w:p w14:paraId="7EA71553">
            <w:pPr>
              <w:keepNext w:val="0"/>
              <w:keepLines w:val="0"/>
              <w:pageBreakBefore w:val="0"/>
              <w:widowControl w:val="0"/>
              <w:kinsoku/>
              <w:wordWrap/>
              <w:overflowPunct/>
              <w:topLinePunct w:val="0"/>
              <w:bidi w:val="0"/>
              <w:adjustRightInd w:val="0"/>
              <w:spacing w:line="440" w:lineRule="exact"/>
              <w:ind w:right="0" w:rightChars="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A</w:t>
            </w:r>
            <w:r>
              <w:rPr>
                <w:rFonts w:hint="eastAsia" w:ascii="仿宋" w:hAnsi="仿宋" w:eastAsia="仿宋" w:cs="仿宋"/>
                <w:color w:val="auto"/>
                <w:sz w:val="24"/>
                <w:highlight w:val="none"/>
              </w:rPr>
              <w:t>不要求提供。</w:t>
            </w:r>
          </w:p>
          <w:p w14:paraId="0CF1A176">
            <w:pPr>
              <w:keepNext w:val="0"/>
              <w:keepLines w:val="0"/>
              <w:pageBreakBefore w:val="0"/>
              <w:widowControl w:val="0"/>
              <w:kinsoku/>
              <w:wordWrap/>
              <w:overflowPunct/>
              <w:topLinePunct w:val="0"/>
              <w:bidi w:val="0"/>
              <w:adjustRightInd w:val="0"/>
              <w:spacing w:line="440" w:lineRule="exact"/>
              <w:ind w:right="0" w:rightChars="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□B要求提供，</w:t>
            </w:r>
          </w:p>
          <w:p w14:paraId="1A3C5393">
            <w:pPr>
              <w:keepNext w:val="0"/>
              <w:keepLines w:val="0"/>
              <w:pageBreakBefore w:val="0"/>
              <w:widowControl w:val="0"/>
              <w:kinsoku/>
              <w:wordWrap/>
              <w:overflowPunct/>
              <w:topLinePunct w:val="0"/>
              <w:bidi w:val="0"/>
              <w:adjustRightInd w:val="0"/>
              <w:spacing w:line="440" w:lineRule="exact"/>
              <w:ind w:right="0" w:rightChars="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r>
              <w:rPr>
                <w:rFonts w:hint="eastAsia" w:ascii="仿宋" w:hAnsi="仿宋" w:eastAsia="仿宋" w:cs="仿宋"/>
                <w:color w:val="auto"/>
                <w:sz w:val="24"/>
                <w:highlight w:val="none"/>
              </w:rPr>
              <w:t>样品</w:t>
            </w:r>
            <w:r>
              <w:rPr>
                <w:rFonts w:hint="eastAsia" w:ascii="仿宋" w:hAnsi="仿宋" w:eastAsia="仿宋" w:cs="仿宋"/>
                <w:snapToGrid w:val="0"/>
                <w:color w:val="auto"/>
                <w:kern w:val="28"/>
                <w:sz w:val="24"/>
                <w:highlight w:val="none"/>
                <w:u w:val="none"/>
              </w:rPr>
              <w:t>：</w:t>
            </w:r>
            <w:r>
              <w:rPr>
                <w:rFonts w:hint="eastAsia" w:ascii="仿宋" w:hAnsi="仿宋" w:eastAsia="仿宋" w:cs="仿宋"/>
                <w:snapToGrid w:val="0"/>
                <w:color w:val="auto"/>
                <w:kern w:val="28"/>
                <w:sz w:val="24"/>
                <w:highlight w:val="none"/>
                <w:u w:val="single"/>
                <w:lang w:val="en-US" w:eastAsia="zh-CN"/>
              </w:rPr>
              <w:t xml:space="preserve">   /   </w:t>
            </w:r>
            <w:r>
              <w:rPr>
                <w:rFonts w:hint="eastAsia" w:ascii="仿宋" w:hAnsi="仿宋" w:eastAsia="仿宋" w:cs="仿宋"/>
                <w:color w:val="auto"/>
                <w:kern w:val="0"/>
                <w:sz w:val="24"/>
                <w:highlight w:val="none"/>
              </w:rPr>
              <w:t>；</w:t>
            </w:r>
          </w:p>
          <w:p w14:paraId="1B270599">
            <w:pPr>
              <w:keepNext w:val="0"/>
              <w:keepLines w:val="0"/>
              <w:pageBreakBefore w:val="0"/>
              <w:widowControl w:val="0"/>
              <w:kinsoku/>
              <w:wordWrap/>
              <w:overflowPunct/>
              <w:topLinePunct w:val="0"/>
              <w:bidi w:val="0"/>
              <w:adjustRightInd w:val="0"/>
              <w:spacing w:line="440" w:lineRule="exact"/>
              <w:ind w:right="0" w:rightChars="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r>
              <w:rPr>
                <w:rFonts w:hint="eastAsia" w:ascii="仿宋" w:hAnsi="仿宋" w:eastAsia="仿宋" w:cs="仿宋"/>
                <w:snapToGrid w:val="0"/>
                <w:color w:val="auto"/>
                <w:kern w:val="28"/>
                <w:sz w:val="24"/>
                <w:highlight w:val="none"/>
              </w:rPr>
              <w:t>样品制作的标准和要求</w:t>
            </w:r>
            <w:r>
              <w:rPr>
                <w:rFonts w:hint="eastAsia" w:ascii="仿宋" w:hAnsi="仿宋" w:eastAsia="仿宋" w:cs="仿宋"/>
                <w:snapToGrid w:val="0"/>
                <w:color w:val="auto"/>
                <w:kern w:val="28"/>
                <w:sz w:val="24"/>
                <w:highlight w:val="none"/>
                <w:u w:val="none"/>
              </w:rPr>
              <w:t>：</w:t>
            </w:r>
            <w:r>
              <w:rPr>
                <w:rFonts w:hint="eastAsia" w:ascii="仿宋" w:hAnsi="仿宋" w:eastAsia="仿宋" w:cs="仿宋"/>
                <w:snapToGrid w:val="0"/>
                <w:color w:val="auto"/>
                <w:kern w:val="28"/>
                <w:sz w:val="24"/>
                <w:highlight w:val="none"/>
                <w:u w:val="single"/>
                <w:lang w:val="en-US" w:eastAsia="zh-CN"/>
              </w:rPr>
              <w:t xml:space="preserve">   /   </w:t>
            </w:r>
            <w:r>
              <w:rPr>
                <w:rFonts w:hint="eastAsia" w:ascii="仿宋" w:hAnsi="仿宋" w:eastAsia="仿宋" w:cs="仿宋"/>
                <w:color w:val="auto"/>
                <w:kern w:val="0"/>
                <w:sz w:val="24"/>
                <w:highlight w:val="none"/>
              </w:rPr>
              <w:t>；</w:t>
            </w:r>
          </w:p>
          <w:p w14:paraId="4C23A696">
            <w:pPr>
              <w:keepNext w:val="0"/>
              <w:keepLines w:val="0"/>
              <w:pageBreakBefore w:val="0"/>
              <w:widowControl w:val="0"/>
              <w:kinsoku/>
              <w:wordWrap/>
              <w:overflowPunct/>
              <w:topLinePunct w:val="0"/>
              <w:bidi w:val="0"/>
              <w:adjustRightInd w:val="0"/>
              <w:spacing w:line="440" w:lineRule="exact"/>
              <w:ind w:right="0" w:rightChars="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（3）样品的评审方法以及评审标准</w:t>
            </w:r>
            <w:r>
              <w:rPr>
                <w:rFonts w:hint="eastAsia" w:ascii="仿宋" w:hAnsi="仿宋" w:eastAsia="仿宋" w:cs="仿宋"/>
                <w:snapToGrid w:val="0"/>
                <w:color w:val="auto"/>
                <w:kern w:val="28"/>
                <w:sz w:val="24"/>
                <w:highlight w:val="none"/>
              </w:rPr>
              <w:t>：详见</w:t>
            </w:r>
            <w:r>
              <w:rPr>
                <w:rFonts w:hint="eastAsia" w:ascii="仿宋" w:hAnsi="仿宋" w:eastAsia="仿宋" w:cs="仿宋"/>
                <w:color w:val="auto"/>
                <w:sz w:val="24"/>
                <w:highlight w:val="none"/>
                <w:u w:val="single"/>
              </w:rPr>
              <w:t>评标办法</w:t>
            </w:r>
            <w:r>
              <w:rPr>
                <w:rFonts w:hint="eastAsia" w:ascii="仿宋" w:hAnsi="仿宋" w:eastAsia="仿宋" w:cs="仿宋"/>
                <w:color w:val="auto"/>
                <w:kern w:val="0"/>
                <w:sz w:val="24"/>
                <w:highlight w:val="none"/>
              </w:rPr>
              <w:t>；</w:t>
            </w:r>
          </w:p>
          <w:p w14:paraId="55AA78CA">
            <w:pPr>
              <w:keepNext w:val="0"/>
              <w:keepLines w:val="0"/>
              <w:pageBreakBefore w:val="0"/>
              <w:widowControl w:val="0"/>
              <w:kinsoku/>
              <w:wordWrap/>
              <w:overflowPunct/>
              <w:topLinePunct w:val="0"/>
              <w:bidi w:val="0"/>
              <w:adjustRightInd w:val="0"/>
              <w:spacing w:line="440" w:lineRule="exact"/>
              <w:ind w:right="0" w:rightChars="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（4）是否需要随样品</w:t>
            </w:r>
            <w:r>
              <w:rPr>
                <w:rFonts w:hint="eastAsia" w:ascii="仿宋" w:hAnsi="仿宋" w:eastAsia="仿宋" w:cs="仿宋"/>
                <w:color w:val="auto"/>
                <w:sz w:val="24"/>
                <w:highlight w:val="none"/>
              </w:rPr>
              <w:t>提交</w:t>
            </w:r>
            <w:r>
              <w:rPr>
                <w:rFonts w:hint="eastAsia" w:ascii="仿宋" w:hAnsi="仿宋" w:eastAsia="仿宋" w:cs="仿宋"/>
                <w:color w:val="auto"/>
                <w:kern w:val="0"/>
                <w:sz w:val="24"/>
                <w:highlight w:val="none"/>
              </w:rPr>
              <w:t>检测报告：□否；□是，检测机构的要求</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snapToGrid w:val="0"/>
                <w:color w:val="auto"/>
                <w:kern w:val="28"/>
                <w:sz w:val="24"/>
                <w:highlight w:val="none"/>
                <w:u w:val="single"/>
                <w:lang w:val="en-US" w:eastAsia="zh-CN"/>
              </w:rPr>
              <w:t>/</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kern w:val="0"/>
                <w:sz w:val="24"/>
                <w:highlight w:val="none"/>
              </w:rPr>
              <w:t>；检测内容</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snapToGrid w:val="0"/>
                <w:color w:val="auto"/>
                <w:kern w:val="28"/>
                <w:sz w:val="24"/>
                <w:highlight w:val="none"/>
                <w:u w:val="single"/>
                <w:lang w:val="en-US" w:eastAsia="zh-CN"/>
              </w:rPr>
              <w:t>/</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kern w:val="0"/>
                <w:sz w:val="24"/>
                <w:highlight w:val="none"/>
              </w:rPr>
              <w:t>。</w:t>
            </w:r>
          </w:p>
          <w:p w14:paraId="3A2A235C">
            <w:pPr>
              <w:keepNext w:val="0"/>
              <w:keepLines w:val="0"/>
              <w:pageBreakBefore w:val="0"/>
              <w:widowControl w:val="0"/>
              <w:kinsoku/>
              <w:wordWrap/>
              <w:overflowPunct/>
              <w:topLinePunct w:val="0"/>
              <w:bidi w:val="0"/>
              <w:adjustRightInd w:val="0"/>
              <w:spacing w:line="440" w:lineRule="exact"/>
              <w:ind w:right="0" w:rightChars="0"/>
              <w:rPr>
                <w:rFonts w:hint="eastAsia" w:ascii="仿宋" w:hAnsi="仿宋" w:eastAsia="仿宋" w:cs="仿宋"/>
                <w:color w:val="auto"/>
                <w:sz w:val="24"/>
                <w:highlight w:val="none"/>
              </w:rPr>
            </w:pPr>
            <w:r>
              <w:rPr>
                <w:rFonts w:hint="eastAsia" w:ascii="仿宋" w:hAnsi="仿宋" w:eastAsia="仿宋" w:cs="仿宋"/>
                <w:color w:val="auto"/>
                <w:sz w:val="24"/>
                <w:highlight w:val="none"/>
              </w:rPr>
              <w:t>（5）提供样品的时间</w:t>
            </w:r>
            <w:r>
              <w:rPr>
                <w:rFonts w:hint="eastAsia" w:ascii="仿宋" w:hAnsi="仿宋" w:eastAsia="仿宋" w:cs="仿宋"/>
                <w:color w:val="auto"/>
                <w:sz w:val="24"/>
                <w:highlight w:val="none"/>
                <w:u w:val="none"/>
              </w:rPr>
              <w:t>：</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snapToGrid w:val="0"/>
                <w:color w:val="auto"/>
                <w:kern w:val="28"/>
                <w:sz w:val="24"/>
                <w:highlight w:val="none"/>
                <w:u w:val="single"/>
                <w:lang w:val="en-US" w:eastAsia="zh-CN"/>
              </w:rPr>
              <w:t>/</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kern w:val="0"/>
                <w:sz w:val="24"/>
                <w:highlight w:val="none"/>
              </w:rPr>
              <w:t>；地点</w:t>
            </w:r>
            <w:r>
              <w:rPr>
                <w:rFonts w:hint="eastAsia" w:ascii="仿宋" w:hAnsi="仿宋" w:eastAsia="仿宋" w:cs="仿宋"/>
                <w:color w:val="auto"/>
                <w:kern w:val="0"/>
                <w:sz w:val="24"/>
                <w:highlight w:val="none"/>
                <w:u w:val="none"/>
              </w:rPr>
              <w:t>：</w:t>
            </w:r>
            <w:r>
              <w:rPr>
                <w:rFonts w:hint="eastAsia" w:ascii="仿宋" w:hAnsi="仿宋" w:eastAsia="仿宋" w:cs="仿宋"/>
                <w:color w:val="auto"/>
                <w:kern w:val="0"/>
                <w:sz w:val="24"/>
                <w:highlight w:val="none"/>
                <w:u w:val="single"/>
                <w:lang w:val="en-US" w:eastAsia="zh-CN"/>
              </w:rPr>
              <w:t xml:space="preserve">  </w:t>
            </w:r>
            <w:r>
              <w:rPr>
                <w:rFonts w:hint="eastAsia" w:ascii="仿宋" w:hAnsi="仿宋" w:eastAsia="仿宋" w:cs="仿宋"/>
                <w:snapToGrid w:val="0"/>
                <w:color w:val="auto"/>
                <w:kern w:val="28"/>
                <w:sz w:val="24"/>
                <w:highlight w:val="none"/>
                <w:u w:val="single"/>
                <w:lang w:val="en-US" w:eastAsia="zh-CN"/>
              </w:rPr>
              <w:t>/</w:t>
            </w:r>
            <w:r>
              <w:rPr>
                <w:rFonts w:hint="eastAsia" w:ascii="仿宋" w:hAnsi="仿宋" w:eastAsia="仿宋" w:cs="仿宋"/>
                <w:color w:val="auto"/>
                <w:kern w:val="0"/>
                <w:sz w:val="24"/>
                <w:highlight w:val="none"/>
                <w:u w:val="single"/>
                <w:lang w:val="en-US" w:eastAsia="zh-CN"/>
              </w:rPr>
              <w:t xml:space="preserve">  </w:t>
            </w:r>
            <w:r>
              <w:rPr>
                <w:rFonts w:hint="eastAsia" w:ascii="仿宋" w:hAnsi="仿宋" w:eastAsia="仿宋" w:cs="仿宋"/>
                <w:color w:val="auto"/>
                <w:kern w:val="0"/>
                <w:sz w:val="24"/>
                <w:highlight w:val="none"/>
              </w:rPr>
              <w:t>；联系人</w:t>
            </w:r>
            <w:r>
              <w:rPr>
                <w:rFonts w:hint="eastAsia" w:ascii="仿宋" w:hAnsi="仿宋" w:eastAsia="仿宋" w:cs="仿宋"/>
                <w:color w:val="auto"/>
                <w:sz w:val="24"/>
                <w:highlight w:val="none"/>
                <w:u w:val="none"/>
              </w:rPr>
              <w:t>：</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snapToGrid w:val="0"/>
                <w:color w:val="auto"/>
                <w:kern w:val="28"/>
                <w:sz w:val="24"/>
                <w:highlight w:val="none"/>
                <w:u w:val="single"/>
                <w:lang w:val="en-US" w:eastAsia="zh-CN"/>
              </w:rPr>
              <w:t>/</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w:t>
            </w:r>
            <w:r>
              <w:rPr>
                <w:rFonts w:hint="eastAsia" w:ascii="仿宋" w:hAnsi="仿宋" w:eastAsia="仿宋" w:cs="仿宋"/>
                <w:color w:val="auto"/>
                <w:kern w:val="28"/>
                <w:sz w:val="24"/>
                <w:highlight w:val="none"/>
              </w:rPr>
              <w:t>联系电话</w:t>
            </w:r>
            <w:r>
              <w:rPr>
                <w:rFonts w:hint="eastAsia" w:ascii="仿宋" w:hAnsi="仿宋" w:eastAsia="仿宋" w:cs="仿宋"/>
                <w:color w:val="auto"/>
                <w:kern w:val="28"/>
                <w:sz w:val="24"/>
                <w:highlight w:val="none"/>
                <w:u w:val="none"/>
              </w:rPr>
              <w:t>：</w:t>
            </w:r>
            <w:r>
              <w:rPr>
                <w:rFonts w:hint="eastAsia" w:ascii="仿宋" w:hAnsi="仿宋" w:eastAsia="仿宋" w:cs="仿宋"/>
                <w:color w:val="auto"/>
                <w:kern w:val="28"/>
                <w:sz w:val="24"/>
                <w:highlight w:val="none"/>
                <w:u w:val="single"/>
                <w:lang w:val="en-US" w:eastAsia="zh-CN"/>
              </w:rPr>
              <w:t xml:space="preserve">  </w:t>
            </w:r>
            <w:r>
              <w:rPr>
                <w:rFonts w:hint="eastAsia" w:ascii="仿宋" w:hAnsi="仿宋" w:eastAsia="仿宋" w:cs="仿宋"/>
                <w:snapToGrid w:val="0"/>
                <w:color w:val="auto"/>
                <w:kern w:val="28"/>
                <w:sz w:val="24"/>
                <w:highlight w:val="none"/>
                <w:u w:val="single"/>
                <w:lang w:val="en-US" w:eastAsia="zh-CN"/>
              </w:rPr>
              <w:t>/</w:t>
            </w:r>
            <w:r>
              <w:rPr>
                <w:rFonts w:hint="eastAsia" w:ascii="仿宋" w:hAnsi="仿宋" w:eastAsia="仿宋" w:cs="仿宋"/>
                <w:color w:val="auto"/>
                <w:kern w:val="28"/>
                <w:sz w:val="24"/>
                <w:highlight w:val="none"/>
                <w:u w:val="single"/>
                <w:lang w:val="en-US" w:eastAsia="zh-CN"/>
              </w:rPr>
              <w:t xml:space="preserve"> </w:t>
            </w:r>
            <w:r>
              <w:rPr>
                <w:rFonts w:hint="eastAsia" w:ascii="仿宋" w:hAnsi="仿宋" w:eastAsia="仿宋" w:cs="仿宋"/>
                <w:color w:val="auto"/>
                <w:sz w:val="24"/>
                <w:highlight w:val="none"/>
              </w:rPr>
              <w:t>。请投标人在上述时间内提供样品并按规定位置安装完毕。超过截止时间的，采购人或采购代理机构将不予接收，并将清场并封闭样品现场。</w:t>
            </w:r>
          </w:p>
          <w:p w14:paraId="0F275D72">
            <w:pPr>
              <w:keepNext w:val="0"/>
              <w:keepLines w:val="0"/>
              <w:pageBreakBefore w:val="0"/>
              <w:widowControl w:val="0"/>
              <w:kinsoku/>
              <w:wordWrap/>
              <w:overflowPunct/>
              <w:topLinePunct w:val="0"/>
              <w:bidi w:val="0"/>
              <w:adjustRightInd w:val="0"/>
              <w:spacing w:line="440" w:lineRule="exact"/>
              <w:ind w:right="0" w:rightChars="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采购活动结束后，对于未中标人提供的样品，采购人、采购机构将通知未中标人在规定的时间内取回，逾期未取回的，采购人、采购机构不负保管义务；对于中标人提供的样品，采购人将进行保管、封存，并作为履约验收的参考。</w:t>
            </w:r>
          </w:p>
          <w:p w14:paraId="3483199D">
            <w:pPr>
              <w:keepNext w:val="0"/>
              <w:keepLines w:val="0"/>
              <w:pageBreakBefore w:val="0"/>
              <w:widowControl w:val="0"/>
              <w:kinsoku/>
              <w:wordWrap/>
              <w:overflowPunct/>
              <w:topLinePunct w:val="0"/>
              <w:bidi w:val="0"/>
              <w:adjustRightInd w:val="0"/>
              <w:spacing w:line="440" w:lineRule="exact"/>
              <w:ind w:right="0" w:rightChars="0"/>
              <w:rPr>
                <w:rFonts w:hint="eastAsia" w:ascii="仿宋" w:hAnsi="仿宋" w:eastAsia="仿宋" w:cs="仿宋"/>
                <w:b/>
                <w:color w:val="auto"/>
                <w:sz w:val="24"/>
                <w:highlight w:val="none"/>
              </w:rPr>
            </w:pPr>
            <w:r>
              <w:rPr>
                <w:rFonts w:hint="eastAsia" w:ascii="仿宋" w:hAnsi="仿宋" w:eastAsia="仿宋" w:cs="仿宋"/>
                <w:color w:val="auto"/>
                <w:sz w:val="24"/>
                <w:highlight w:val="none"/>
              </w:rPr>
              <w:t>（7）制作、运输、安装和保管样品所发生的一切费用由投标人自理。</w:t>
            </w:r>
          </w:p>
        </w:tc>
      </w:tr>
      <w:tr w14:paraId="3BA68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70" w:type="dxa"/>
            <w:vAlign w:val="center"/>
          </w:tcPr>
          <w:p w14:paraId="3040CAD0">
            <w:pPr>
              <w:keepNext w:val="0"/>
              <w:keepLines w:val="0"/>
              <w:pageBreakBefore w:val="0"/>
              <w:kinsoku/>
              <w:wordWrap/>
              <w:overflowPunct/>
              <w:topLinePunct w:val="0"/>
              <w:autoSpaceDE w:val="0"/>
              <w:autoSpaceDN w:val="0"/>
              <w:bidi w:val="0"/>
              <w:adjustRightInd/>
              <w:snapToGrid w:val="0"/>
              <w:spacing w:line="440" w:lineRule="exact"/>
              <w:ind w:left="0" w:leftChars="0" w:firstLine="0" w:firstLineChars="0"/>
              <w:jc w:val="center"/>
              <w:textAlignment w:val="bottom"/>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10</w:t>
            </w:r>
          </w:p>
        </w:tc>
        <w:tc>
          <w:tcPr>
            <w:tcW w:w="8789" w:type="dxa"/>
            <w:gridSpan w:val="2"/>
            <w:vAlign w:val="center"/>
          </w:tcPr>
          <w:p w14:paraId="78076620">
            <w:pPr>
              <w:keepNext w:val="0"/>
              <w:keepLines w:val="0"/>
              <w:pageBreakBefore w:val="0"/>
              <w:widowControl w:val="0"/>
              <w:kinsoku/>
              <w:wordWrap/>
              <w:overflowPunct/>
              <w:topLinePunct w:val="0"/>
              <w:bidi w:val="0"/>
              <w:adjustRightInd w:val="0"/>
              <w:spacing w:line="440" w:lineRule="exact"/>
              <w:ind w:right="0" w:rightChars="0"/>
              <w:rPr>
                <w:rFonts w:hint="eastAsia" w:ascii="仿宋" w:hAnsi="仿宋" w:eastAsia="仿宋" w:cs="仿宋"/>
                <w:b/>
                <w:color w:val="auto"/>
                <w:sz w:val="24"/>
                <w:highlight w:val="none"/>
              </w:rPr>
            </w:pPr>
            <w:r>
              <w:rPr>
                <w:rFonts w:hint="eastAsia" w:ascii="仿宋" w:hAnsi="仿宋" w:eastAsia="仿宋" w:cs="仿宋"/>
                <w:b/>
                <w:bCs w:val="0"/>
                <w:color w:val="auto"/>
                <w:sz w:val="24"/>
                <w:highlight w:val="none"/>
              </w:rPr>
              <w:t>方案讲解演示</w:t>
            </w:r>
            <w:r>
              <w:rPr>
                <w:rFonts w:hint="eastAsia" w:ascii="仿宋" w:hAnsi="仿宋" w:eastAsia="仿宋" w:cs="仿宋"/>
                <w:b/>
                <w:color w:val="auto"/>
                <w:sz w:val="24"/>
                <w:highlight w:val="none"/>
              </w:rPr>
              <w:t>：</w:t>
            </w:r>
          </w:p>
          <w:p w14:paraId="6803D96C">
            <w:pPr>
              <w:keepNext w:val="0"/>
              <w:keepLines w:val="0"/>
              <w:pageBreakBefore w:val="0"/>
              <w:widowControl w:val="0"/>
              <w:kinsoku/>
              <w:wordWrap/>
              <w:overflowPunct/>
              <w:topLinePunct w:val="0"/>
              <w:bidi w:val="0"/>
              <w:adjustRightInd w:val="0"/>
              <w:spacing w:line="440" w:lineRule="exact"/>
              <w:ind w:right="0" w:rightChars="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A无方案讲解演示。</w:t>
            </w:r>
          </w:p>
          <w:p w14:paraId="728398DE">
            <w:pPr>
              <w:keepNext w:val="0"/>
              <w:keepLines w:val="0"/>
              <w:pageBreakBefore w:val="0"/>
              <w:widowControl w:val="0"/>
              <w:kinsoku/>
              <w:wordWrap/>
              <w:overflowPunct/>
              <w:topLinePunct w:val="0"/>
              <w:bidi w:val="0"/>
              <w:adjustRightInd w:val="0"/>
              <w:spacing w:line="440" w:lineRule="exact"/>
              <w:ind w:right="0" w:rightChars="0"/>
              <w:rPr>
                <w:rFonts w:hint="eastAsia" w:ascii="仿宋" w:hAnsi="仿宋" w:eastAsia="仿宋" w:cs="仿宋"/>
                <w:b/>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B有方案讲解演示：</w:t>
            </w:r>
          </w:p>
          <w:p w14:paraId="09B965A9">
            <w:pPr>
              <w:spacing w:line="440" w:lineRule="exact"/>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w:t>
            </w:r>
            <w:r>
              <w:rPr>
                <w:rFonts w:ascii="仿宋" w:hAnsi="仿宋" w:eastAsia="仿宋" w:cs="仿宋"/>
                <w:color w:val="auto"/>
                <w:sz w:val="24"/>
                <w:highlight w:val="none"/>
                <w:lang w:val="zh-CN"/>
              </w:rPr>
              <w:t>1）在评标时安排每个供应商进行方案讲解演示。</w:t>
            </w:r>
            <w:r>
              <w:rPr>
                <w:rFonts w:hint="eastAsia" w:ascii="仿宋" w:hAnsi="仿宋" w:eastAsia="仿宋" w:cs="仿宋"/>
                <w:color w:val="auto"/>
                <w:sz w:val="24"/>
                <w:highlight w:val="none"/>
                <w:lang w:val="zh-CN"/>
              </w:rPr>
              <w:t>每个供应商时间不超过</w:t>
            </w:r>
            <w:r>
              <w:rPr>
                <w:rFonts w:hint="eastAsia" w:ascii="仿宋" w:hAnsi="仿宋" w:eastAsia="仿宋" w:cs="仿宋"/>
                <w:color w:val="auto"/>
                <w:sz w:val="24"/>
                <w:highlight w:val="none"/>
                <w:u w:val="single"/>
                <w:lang w:val="en-US" w:eastAsia="zh-CN"/>
              </w:rPr>
              <w:t>10</w:t>
            </w:r>
            <w:r>
              <w:rPr>
                <w:rFonts w:hint="eastAsia" w:ascii="仿宋" w:hAnsi="仿宋" w:eastAsia="仿宋" w:cs="仿宋"/>
                <w:color w:val="auto"/>
                <w:sz w:val="24"/>
                <w:highlight w:val="none"/>
                <w:lang w:val="zh-CN"/>
              </w:rPr>
              <w:t>分钟，讲解次序以投标文件解密时间先后次序为准。</w:t>
            </w:r>
          </w:p>
          <w:p w14:paraId="01D7294C">
            <w:pPr>
              <w:spacing w:line="440" w:lineRule="exact"/>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w:t>
            </w:r>
            <w:r>
              <w:rPr>
                <w:rFonts w:ascii="仿宋" w:hAnsi="仿宋" w:eastAsia="仿宋" w:cs="仿宋"/>
                <w:color w:val="auto"/>
                <w:sz w:val="24"/>
                <w:highlight w:val="none"/>
                <w:lang w:val="zh-CN"/>
              </w:rPr>
              <w:t>2）方案讲解演示可选择以下其中一种方式：</w:t>
            </w:r>
          </w:p>
          <w:p w14:paraId="0AFA5143">
            <w:pPr>
              <w:spacing w:line="440" w:lineRule="exact"/>
              <w:rPr>
                <w:rFonts w:ascii="仿宋" w:hAnsi="仿宋" w:eastAsia="仿宋" w:cs="仿宋"/>
                <w:color w:val="auto"/>
                <w:sz w:val="24"/>
                <w:highlight w:val="none"/>
                <w:lang w:val="zh-CN"/>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zh-CN"/>
              </w:rPr>
              <w:t>方式一：乐采云平台在线讲解演示。乐采云平台在线讲解需供应商根据乐采云平台操作要求做好准备工作，提前完善软硬件配置环境。</w:t>
            </w:r>
          </w:p>
          <w:p w14:paraId="3FF0CBC9">
            <w:pPr>
              <w:spacing w:line="440" w:lineRule="exact"/>
              <w:ind w:left="0" w:firstLine="0" w:firstLineChars="0"/>
              <w:rPr>
                <w:rFonts w:ascii="仿宋" w:hAnsi="仿宋" w:eastAsia="仿宋" w:cs="仿宋"/>
                <w:color w:val="auto"/>
                <w:sz w:val="24"/>
                <w:highlight w:val="none"/>
                <w:lang w:val="zh-CN"/>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zh-CN"/>
              </w:rPr>
              <w:t>方式二：</w:t>
            </w:r>
            <w:r>
              <w:rPr>
                <w:rFonts w:hint="eastAsia" w:ascii="仿宋" w:hAnsi="仿宋" w:eastAsia="仿宋" w:cs="仿宋"/>
                <w:bCs/>
                <w:color w:val="auto"/>
                <w:sz w:val="24"/>
                <w:highlight w:val="none"/>
              </w:rPr>
              <w:t>提供演示的投标人需将演示的部分自行演示并录制成视频存入U盘，在</w:t>
            </w:r>
            <w:r>
              <w:rPr>
                <w:rFonts w:hint="eastAsia" w:ascii="仿宋" w:hAnsi="仿宋" w:eastAsia="仿宋" w:cs="仿宋"/>
                <w:bCs/>
                <w:color w:val="auto"/>
                <w:sz w:val="24"/>
                <w:highlight w:val="none"/>
                <w:lang w:val="en-US" w:eastAsia="zh-CN"/>
              </w:rPr>
              <w:t xml:space="preserve"> </w:t>
            </w:r>
            <w:r>
              <w:rPr>
                <w:rFonts w:hint="eastAsia" w:ascii="仿宋" w:hAnsi="仿宋" w:eastAsia="仿宋" w:cs="仿宋"/>
                <w:b w:val="0"/>
                <w:bCs/>
                <w:color w:val="auto"/>
                <w:sz w:val="24"/>
                <w:szCs w:val="24"/>
                <w:highlight w:val="none"/>
                <w:lang w:val="en-US" w:eastAsia="zh-CN"/>
              </w:rPr>
              <w:t>2025年</w:t>
            </w:r>
            <w:r>
              <w:rPr>
                <w:rFonts w:hint="eastAsia" w:ascii="仿宋" w:hAnsi="仿宋" w:eastAsia="仿宋" w:cs="仿宋"/>
                <w:b w:val="0"/>
                <w:bCs/>
                <w:color w:val="auto"/>
                <w:sz w:val="24"/>
                <w:szCs w:val="24"/>
                <w:highlight w:val="none"/>
                <w:u w:val="single"/>
                <w:lang w:val="en-US" w:eastAsia="zh-CN"/>
              </w:rPr>
              <w:t xml:space="preserve"> 11 </w:t>
            </w:r>
            <w:r>
              <w:rPr>
                <w:rFonts w:hint="eastAsia" w:ascii="仿宋" w:hAnsi="仿宋" w:eastAsia="仿宋" w:cs="仿宋"/>
                <w:b w:val="0"/>
                <w:bCs/>
                <w:color w:val="auto"/>
                <w:sz w:val="24"/>
                <w:szCs w:val="24"/>
                <w:highlight w:val="none"/>
                <w:lang w:val="en-US" w:eastAsia="zh-CN"/>
              </w:rPr>
              <w:t>月</w:t>
            </w:r>
            <w:r>
              <w:rPr>
                <w:rFonts w:hint="eastAsia" w:ascii="仿宋" w:hAnsi="仿宋" w:eastAsia="仿宋" w:cs="仿宋"/>
                <w:b w:val="0"/>
                <w:bCs/>
                <w:color w:val="auto"/>
                <w:sz w:val="24"/>
                <w:szCs w:val="24"/>
                <w:highlight w:val="none"/>
                <w:u w:val="single"/>
                <w:lang w:val="en-US" w:eastAsia="zh-CN"/>
              </w:rPr>
              <w:t>26</w:t>
            </w:r>
            <w:r>
              <w:rPr>
                <w:rFonts w:hint="eastAsia" w:ascii="仿宋" w:hAnsi="仿宋" w:eastAsia="仿宋" w:cs="仿宋"/>
                <w:b w:val="0"/>
                <w:bCs/>
                <w:color w:val="auto"/>
                <w:sz w:val="24"/>
                <w:szCs w:val="24"/>
                <w:highlight w:val="none"/>
                <w:lang w:val="en-US" w:eastAsia="zh-CN"/>
              </w:rPr>
              <w:t>日</w:t>
            </w:r>
            <w:r>
              <w:rPr>
                <w:rFonts w:hint="eastAsia" w:ascii="仿宋" w:hAnsi="仿宋" w:eastAsia="仿宋" w:cs="仿宋"/>
                <w:bCs/>
                <w:color w:val="auto"/>
                <w:sz w:val="24"/>
                <w:highlight w:val="none"/>
              </w:rPr>
              <w:t>16:00前递交</w:t>
            </w:r>
            <w:r>
              <w:rPr>
                <w:rFonts w:hint="eastAsia" w:ascii="仿宋" w:hAnsi="仿宋" w:eastAsia="仿宋" w:cs="仿宋"/>
                <w:bCs/>
                <w:color w:val="auto"/>
                <w:sz w:val="24"/>
                <w:highlight w:val="none"/>
                <w:lang w:val="en-US" w:eastAsia="zh-CN"/>
              </w:rPr>
              <w:t>密封提交</w:t>
            </w:r>
            <w:r>
              <w:rPr>
                <w:rFonts w:hint="eastAsia" w:ascii="仿宋" w:hAnsi="仿宋" w:eastAsia="仿宋" w:cs="仿宋"/>
                <w:bCs/>
                <w:color w:val="auto"/>
                <w:sz w:val="24"/>
                <w:highlight w:val="none"/>
              </w:rPr>
              <w:t>到招标代理（演示时间不超过</w:t>
            </w:r>
            <w:r>
              <w:rPr>
                <w:rFonts w:hint="eastAsia" w:ascii="仿宋" w:hAnsi="仿宋" w:eastAsia="仿宋" w:cs="仿宋"/>
                <w:bCs/>
                <w:color w:val="auto"/>
                <w:sz w:val="24"/>
                <w:highlight w:val="none"/>
                <w:lang w:val="en-US" w:eastAsia="zh-CN"/>
              </w:rPr>
              <w:t>10</w:t>
            </w:r>
            <w:r>
              <w:rPr>
                <w:rFonts w:hint="eastAsia" w:ascii="仿宋" w:hAnsi="仿宋" w:eastAsia="仿宋" w:cs="仿宋"/>
                <w:bCs/>
                <w:color w:val="auto"/>
                <w:sz w:val="24"/>
                <w:highlight w:val="none"/>
              </w:rPr>
              <w:t>分钟，采用图片、PPT非系统演示方式不得分），录制视频须为MP4格式（若视频为其他格式导致评审中不能正常播放，责任自负）</w:t>
            </w:r>
          </w:p>
          <w:p w14:paraId="56E5DC42">
            <w:pPr>
              <w:keepNext w:val="0"/>
              <w:keepLines w:val="0"/>
              <w:pageBreakBefore w:val="0"/>
              <w:widowControl w:val="0"/>
              <w:kinsoku/>
              <w:wordWrap/>
              <w:overflowPunct/>
              <w:topLinePunct w:val="0"/>
              <w:bidi w:val="0"/>
              <w:adjustRightInd w:val="0"/>
              <w:spacing w:line="440" w:lineRule="exact"/>
              <w:ind w:right="0" w:rightChars="0"/>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注：因供应商自身原因导致无法演示或者演示效果不理想的，责任自负。因平台原因导致本项目方案讲解演示环节无法顺利开展，</w:t>
            </w:r>
            <w:r>
              <w:rPr>
                <w:rFonts w:hint="eastAsia" w:ascii="仿宋" w:hAnsi="仿宋" w:eastAsia="仿宋" w:cs="仿宋"/>
                <w:color w:val="auto"/>
                <w:sz w:val="24"/>
                <w:highlight w:val="none"/>
              </w:rPr>
              <w:t>参照</w:t>
            </w:r>
            <w:r>
              <w:rPr>
                <w:rFonts w:hint="eastAsia" w:ascii="仿宋" w:hAnsi="仿宋" w:eastAsia="仿宋" w:cs="仿宋"/>
                <w:color w:val="auto"/>
                <w:sz w:val="24"/>
                <w:highlight w:val="none"/>
                <w:lang w:val="zh-CN"/>
              </w:rPr>
              <w:t>《浙江省政府采购项目电子交易管理暂行办法》相关规定执行。</w:t>
            </w:r>
          </w:p>
        </w:tc>
      </w:tr>
      <w:tr w14:paraId="428F7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870" w:type="dxa"/>
            <w:vAlign w:val="center"/>
          </w:tcPr>
          <w:p w14:paraId="258C1314">
            <w:pPr>
              <w:keepNext w:val="0"/>
              <w:keepLines w:val="0"/>
              <w:pageBreakBefore w:val="0"/>
              <w:kinsoku/>
              <w:wordWrap/>
              <w:overflowPunct/>
              <w:topLinePunct w:val="0"/>
              <w:autoSpaceDE w:val="0"/>
              <w:autoSpaceDN w:val="0"/>
              <w:bidi w:val="0"/>
              <w:adjustRightInd/>
              <w:snapToGrid w:val="0"/>
              <w:spacing w:line="440" w:lineRule="exact"/>
              <w:ind w:left="0" w:leftChars="0" w:firstLine="0" w:firstLineChars="0"/>
              <w:jc w:val="center"/>
              <w:textAlignment w:val="bottom"/>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11</w:t>
            </w:r>
          </w:p>
        </w:tc>
        <w:tc>
          <w:tcPr>
            <w:tcW w:w="1066" w:type="dxa"/>
            <w:vAlign w:val="center"/>
          </w:tcPr>
          <w:p w14:paraId="2DE8AD1B">
            <w:pPr>
              <w:keepNext w:val="0"/>
              <w:keepLines w:val="0"/>
              <w:pageBreakBefore w:val="0"/>
              <w:widowControl w:val="0"/>
              <w:kinsoku/>
              <w:wordWrap/>
              <w:overflowPunct/>
              <w:topLinePunct w:val="0"/>
              <w:bidi w:val="0"/>
              <w:adjustRightInd w:val="0"/>
              <w:snapToGrid w:val="0"/>
              <w:spacing w:line="440" w:lineRule="exact"/>
              <w:ind w:left="0" w:leftChars="0" w:right="0" w:rightChars="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进口产品</w:t>
            </w:r>
          </w:p>
        </w:tc>
        <w:tc>
          <w:tcPr>
            <w:tcW w:w="7723" w:type="dxa"/>
            <w:vAlign w:val="center"/>
          </w:tcPr>
          <w:p w14:paraId="73EC37F3">
            <w:pPr>
              <w:keepNext w:val="0"/>
              <w:keepLines w:val="0"/>
              <w:pageBreakBefore w:val="0"/>
              <w:widowControl w:val="0"/>
              <w:kinsoku/>
              <w:wordWrap/>
              <w:overflowPunct/>
              <w:topLinePunct w:val="0"/>
              <w:bidi w:val="0"/>
              <w:adjustRightInd w:val="0"/>
              <w:spacing w:line="440" w:lineRule="exact"/>
              <w:ind w:right="0" w:rightChars="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本项目不允许采购进口产品。</w:t>
            </w:r>
          </w:p>
          <w:p w14:paraId="7E54B366">
            <w:pPr>
              <w:keepNext w:val="0"/>
              <w:keepLines w:val="0"/>
              <w:pageBreakBefore w:val="0"/>
              <w:widowControl w:val="0"/>
              <w:kinsoku/>
              <w:wordWrap/>
              <w:overflowPunct/>
              <w:topLinePunct w:val="0"/>
              <w:bidi w:val="0"/>
              <w:adjustRightInd w:val="0"/>
              <w:spacing w:line="440" w:lineRule="exact"/>
              <w:ind w:right="0" w:rightChars="0"/>
              <w:rPr>
                <w:rFonts w:hint="eastAsia" w:ascii="仿宋" w:hAnsi="仿宋" w:eastAsia="仿宋" w:cs="仿宋"/>
                <w:b/>
                <w:color w:val="auto"/>
                <w:sz w:val="24"/>
                <w:highlight w:val="none"/>
              </w:rPr>
            </w:pP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可以采购进口产品，优先采购向我国企业转让技术、与我国企业签订消化吸收再创新方案的供应商的进口产品；但如果因信息不对称等原因，仍有满足需求的国内产品要求参与采购竞争的，采购人及其委托的采购代理机构不对其加以限制，将按照公平竞争原则实施采购。</w:t>
            </w:r>
          </w:p>
        </w:tc>
      </w:tr>
      <w:tr w14:paraId="04CCC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870" w:type="dxa"/>
            <w:vAlign w:val="center"/>
          </w:tcPr>
          <w:p w14:paraId="11BCB5D6">
            <w:pPr>
              <w:keepNext w:val="0"/>
              <w:keepLines w:val="0"/>
              <w:pageBreakBefore w:val="0"/>
              <w:kinsoku/>
              <w:wordWrap/>
              <w:overflowPunct/>
              <w:topLinePunct w:val="0"/>
              <w:autoSpaceDE w:val="0"/>
              <w:autoSpaceDN w:val="0"/>
              <w:bidi w:val="0"/>
              <w:adjustRightInd/>
              <w:snapToGrid w:val="0"/>
              <w:spacing w:line="440" w:lineRule="exact"/>
              <w:ind w:left="0" w:leftChars="0" w:firstLine="0" w:firstLineChars="0"/>
              <w:jc w:val="center"/>
              <w:textAlignment w:val="bottom"/>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12</w:t>
            </w:r>
          </w:p>
        </w:tc>
        <w:tc>
          <w:tcPr>
            <w:tcW w:w="1066" w:type="dxa"/>
            <w:vAlign w:val="center"/>
          </w:tcPr>
          <w:p w14:paraId="739A85CA">
            <w:pPr>
              <w:keepNext w:val="0"/>
              <w:keepLines w:val="0"/>
              <w:pageBreakBefore w:val="0"/>
              <w:widowControl w:val="0"/>
              <w:kinsoku/>
              <w:wordWrap/>
              <w:overflowPunct/>
              <w:topLinePunct w:val="0"/>
              <w:bidi w:val="0"/>
              <w:adjustRightInd w:val="0"/>
              <w:snapToGrid w:val="0"/>
              <w:spacing w:line="440" w:lineRule="exact"/>
              <w:ind w:left="0" w:leftChars="0" w:right="0" w:rightChars="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项目属性与核心产品</w:t>
            </w:r>
          </w:p>
        </w:tc>
        <w:tc>
          <w:tcPr>
            <w:tcW w:w="7723" w:type="dxa"/>
            <w:vAlign w:val="center"/>
          </w:tcPr>
          <w:p w14:paraId="61CD7B47">
            <w:pPr>
              <w:keepNext w:val="0"/>
              <w:keepLines w:val="0"/>
              <w:pageBreakBefore w:val="0"/>
              <w:widowControl w:val="0"/>
              <w:kinsoku/>
              <w:wordWrap/>
              <w:overflowPunct/>
              <w:topLinePunct w:val="0"/>
              <w:bidi w:val="0"/>
              <w:adjustRightInd w:val="0"/>
              <w:spacing w:line="440" w:lineRule="exact"/>
              <w:ind w:right="0" w:rightChars="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A</w:t>
            </w:r>
            <w:r>
              <w:rPr>
                <w:rFonts w:hint="eastAsia" w:ascii="仿宋" w:hAnsi="仿宋" w:eastAsia="仿宋" w:cs="仿宋"/>
                <w:color w:val="auto"/>
                <w:sz w:val="24"/>
                <w:highlight w:val="none"/>
              </w:rPr>
              <w:t>货物类，单一产品或</w:t>
            </w:r>
            <w:r>
              <w:rPr>
                <w:rFonts w:hint="eastAsia" w:ascii="仿宋" w:hAnsi="仿宋" w:eastAsia="仿宋" w:cs="仿宋"/>
                <w:color w:val="auto"/>
                <w:kern w:val="0"/>
                <w:sz w:val="24"/>
                <w:highlight w:val="none"/>
              </w:rPr>
              <w:t>核心产品为</w:t>
            </w:r>
            <w:r>
              <w:rPr>
                <w:rFonts w:hint="eastAsia" w:ascii="仿宋" w:hAnsi="仿宋" w:eastAsia="仿宋" w:cs="仿宋"/>
                <w:color w:val="auto"/>
                <w:kern w:val="0"/>
                <w:sz w:val="24"/>
                <w:highlight w:val="none"/>
                <w:u w:val="none"/>
              </w:rPr>
              <w:t>：</w:t>
            </w:r>
            <w:r>
              <w:rPr>
                <w:rFonts w:hint="eastAsia" w:ascii="仿宋" w:hAnsi="仿宋" w:eastAsia="仿宋" w:cs="仿宋"/>
                <w:color w:val="auto"/>
                <w:kern w:val="0"/>
                <w:sz w:val="24"/>
                <w:highlight w:val="none"/>
                <w:u w:val="single"/>
                <w:lang w:val="en-US" w:eastAsia="zh-CN"/>
              </w:rPr>
              <w:t xml:space="preserve">  /  </w:t>
            </w:r>
            <w:r>
              <w:rPr>
                <w:rFonts w:hint="eastAsia" w:ascii="仿宋" w:hAnsi="仿宋" w:eastAsia="仿宋" w:cs="仿宋"/>
                <w:color w:val="auto"/>
                <w:sz w:val="24"/>
                <w:highlight w:val="none"/>
              </w:rPr>
              <w:t>。</w:t>
            </w:r>
          </w:p>
          <w:p w14:paraId="010A86DF">
            <w:pPr>
              <w:keepNext w:val="0"/>
              <w:keepLines w:val="0"/>
              <w:pageBreakBefore w:val="0"/>
              <w:widowControl w:val="0"/>
              <w:kinsoku/>
              <w:wordWrap/>
              <w:overflowPunct/>
              <w:topLinePunct w:val="0"/>
              <w:bidi w:val="0"/>
              <w:adjustRightInd w:val="0"/>
              <w:spacing w:line="440" w:lineRule="exact"/>
              <w:ind w:right="0" w:rightChars="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B</w:t>
            </w:r>
            <w:r>
              <w:rPr>
                <w:rFonts w:hint="eastAsia" w:ascii="仿宋" w:hAnsi="仿宋" w:eastAsia="仿宋" w:cs="仿宋"/>
                <w:color w:val="auto"/>
                <w:sz w:val="24"/>
                <w:highlight w:val="none"/>
              </w:rPr>
              <w:t>服务类。</w:t>
            </w:r>
          </w:p>
        </w:tc>
      </w:tr>
      <w:tr w14:paraId="50088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870" w:type="dxa"/>
            <w:vMerge w:val="restart"/>
            <w:vAlign w:val="center"/>
          </w:tcPr>
          <w:p w14:paraId="542543A0">
            <w:pPr>
              <w:keepNext w:val="0"/>
              <w:keepLines w:val="0"/>
              <w:pageBreakBefore w:val="0"/>
              <w:kinsoku/>
              <w:wordWrap/>
              <w:overflowPunct/>
              <w:topLinePunct w:val="0"/>
              <w:autoSpaceDE w:val="0"/>
              <w:autoSpaceDN w:val="0"/>
              <w:bidi w:val="0"/>
              <w:adjustRightInd/>
              <w:snapToGrid w:val="0"/>
              <w:spacing w:line="440" w:lineRule="exact"/>
              <w:ind w:left="0" w:leftChars="0" w:firstLine="0" w:firstLineChars="0"/>
              <w:jc w:val="center"/>
              <w:textAlignment w:val="bottom"/>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13</w:t>
            </w:r>
          </w:p>
        </w:tc>
        <w:tc>
          <w:tcPr>
            <w:tcW w:w="1066" w:type="dxa"/>
            <w:vMerge w:val="restart"/>
            <w:vAlign w:val="center"/>
          </w:tcPr>
          <w:p w14:paraId="1CB76346">
            <w:pPr>
              <w:keepNext w:val="0"/>
              <w:keepLines w:val="0"/>
              <w:pageBreakBefore w:val="0"/>
              <w:widowControl w:val="0"/>
              <w:kinsoku/>
              <w:wordWrap/>
              <w:overflowPunct/>
              <w:topLinePunct w:val="0"/>
              <w:bidi w:val="0"/>
              <w:adjustRightInd w:val="0"/>
              <w:snapToGrid w:val="0"/>
              <w:spacing w:line="440" w:lineRule="exact"/>
              <w:ind w:left="0" w:leftChars="0" w:right="0" w:rightChars="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投标人信用信息事项</w:t>
            </w:r>
          </w:p>
        </w:tc>
        <w:tc>
          <w:tcPr>
            <w:tcW w:w="7723" w:type="dxa"/>
            <w:vAlign w:val="center"/>
          </w:tcPr>
          <w:p w14:paraId="747F1319">
            <w:pPr>
              <w:keepNext w:val="0"/>
              <w:keepLines w:val="0"/>
              <w:pageBreakBefore w:val="0"/>
              <w:widowControl w:val="0"/>
              <w:kinsoku/>
              <w:wordWrap/>
              <w:overflowPunct/>
              <w:topLinePunct w:val="0"/>
              <w:bidi w:val="0"/>
              <w:adjustRightInd w:val="0"/>
              <w:spacing w:line="440" w:lineRule="exact"/>
              <w:ind w:right="0" w:rightChars="0"/>
              <w:rPr>
                <w:rFonts w:hint="eastAsia" w:ascii="仿宋" w:hAnsi="仿宋" w:eastAsia="仿宋" w:cs="仿宋"/>
                <w:b/>
                <w:bCs/>
                <w:color w:val="auto"/>
                <w:sz w:val="24"/>
                <w:highlight w:val="none"/>
              </w:rPr>
            </w:pPr>
            <w:r>
              <w:rPr>
                <w:rFonts w:hint="eastAsia" w:ascii="仿宋" w:hAnsi="仿宋" w:eastAsia="仿宋" w:cs="仿宋"/>
                <w:b/>
                <w:color w:val="auto"/>
                <w:sz w:val="24"/>
                <w:highlight w:val="none"/>
              </w:rPr>
              <w:t>信用信息查询渠道及截止时间：</w:t>
            </w:r>
            <w:r>
              <w:rPr>
                <w:rFonts w:hint="eastAsia" w:ascii="仿宋" w:hAnsi="仿宋" w:eastAsia="仿宋" w:cs="仿宋"/>
                <w:color w:val="auto"/>
                <w:sz w:val="24"/>
                <w:highlight w:val="none"/>
              </w:rPr>
              <w:t>采购人或采购代理机构将通过“信用中国”网站</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www.creditchina.gov.cn</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、中国政府采购网</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www.ccgp.gov.cn</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渠道查询投标人</w:t>
            </w:r>
            <w:r>
              <w:rPr>
                <w:rFonts w:hint="eastAsia" w:ascii="仿宋" w:hAnsi="仿宋" w:eastAsia="仿宋" w:cs="仿宋"/>
                <w:b/>
                <w:color w:val="auto"/>
                <w:sz w:val="24"/>
                <w:highlight w:val="none"/>
              </w:rPr>
              <w:t>开标当天</w:t>
            </w:r>
            <w:r>
              <w:rPr>
                <w:rFonts w:hint="eastAsia" w:ascii="仿宋" w:hAnsi="仿宋" w:eastAsia="仿宋" w:cs="仿宋"/>
                <w:color w:val="auto"/>
                <w:sz w:val="24"/>
                <w:highlight w:val="none"/>
              </w:rPr>
              <w:t>的信用记录。</w:t>
            </w:r>
          </w:p>
        </w:tc>
      </w:tr>
      <w:tr w14:paraId="409ED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870" w:type="dxa"/>
            <w:vMerge w:val="continue"/>
            <w:vAlign w:val="center"/>
          </w:tcPr>
          <w:p w14:paraId="5C17C0F2">
            <w:pPr>
              <w:keepNext w:val="0"/>
              <w:keepLines w:val="0"/>
              <w:pageBreakBefore w:val="0"/>
              <w:kinsoku/>
              <w:wordWrap/>
              <w:overflowPunct/>
              <w:topLinePunct w:val="0"/>
              <w:autoSpaceDE w:val="0"/>
              <w:autoSpaceDN w:val="0"/>
              <w:bidi w:val="0"/>
              <w:adjustRightInd/>
              <w:snapToGrid w:val="0"/>
              <w:spacing w:line="440" w:lineRule="exact"/>
              <w:ind w:left="0" w:leftChars="0" w:firstLine="0" w:firstLineChars="0"/>
              <w:jc w:val="center"/>
              <w:textAlignment w:val="bottom"/>
              <w:rPr>
                <w:rFonts w:hint="eastAsia" w:ascii="仿宋" w:hAnsi="仿宋" w:eastAsia="仿宋" w:cs="仿宋"/>
                <w:color w:val="auto"/>
                <w:kern w:val="2"/>
                <w:sz w:val="24"/>
                <w:szCs w:val="24"/>
                <w:highlight w:val="none"/>
                <w:lang w:val="en-US" w:eastAsia="zh-CN" w:bidi="ar-SA"/>
              </w:rPr>
            </w:pPr>
          </w:p>
        </w:tc>
        <w:tc>
          <w:tcPr>
            <w:tcW w:w="1066" w:type="dxa"/>
            <w:vMerge w:val="continue"/>
            <w:vAlign w:val="center"/>
          </w:tcPr>
          <w:p w14:paraId="320AAA1C">
            <w:pPr>
              <w:keepNext/>
              <w:keepLines/>
              <w:tabs>
                <w:tab w:val="left" w:pos="900"/>
              </w:tabs>
              <w:snapToGrid w:val="0"/>
              <w:spacing w:line="440" w:lineRule="exact"/>
              <w:ind w:hanging="720"/>
              <w:textAlignment w:val="center"/>
              <w:outlineLvl w:val="2"/>
              <w:rPr>
                <w:rFonts w:hint="eastAsia" w:ascii="仿宋" w:hAnsi="仿宋" w:eastAsia="仿宋" w:cs="仿宋"/>
                <w:b/>
                <w:color w:val="auto"/>
                <w:sz w:val="24"/>
                <w:highlight w:val="none"/>
              </w:rPr>
            </w:pPr>
          </w:p>
        </w:tc>
        <w:tc>
          <w:tcPr>
            <w:tcW w:w="7723" w:type="dxa"/>
            <w:vAlign w:val="center"/>
          </w:tcPr>
          <w:p w14:paraId="1576243A">
            <w:pPr>
              <w:keepNext w:val="0"/>
              <w:keepLines w:val="0"/>
              <w:pageBreakBefore w:val="0"/>
              <w:widowControl w:val="0"/>
              <w:kinsoku/>
              <w:wordWrap/>
              <w:overflowPunct/>
              <w:topLinePunct w:val="0"/>
              <w:bidi w:val="0"/>
              <w:adjustRightInd w:val="0"/>
              <w:spacing w:line="440" w:lineRule="exact"/>
              <w:ind w:right="0" w:rightChars="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信用信息查询记录和证据留存的具体方式：</w:t>
            </w:r>
            <w:r>
              <w:rPr>
                <w:rFonts w:hint="eastAsia" w:ascii="仿宋" w:hAnsi="仿宋" w:eastAsia="仿宋" w:cs="仿宋"/>
                <w:color w:val="auto"/>
                <w:sz w:val="24"/>
                <w:highlight w:val="none"/>
              </w:rPr>
              <w:t>采购人或采购代理机构现场查询投标人的信用记录，查询结果经确认后与采购文件一起存档。</w:t>
            </w:r>
          </w:p>
        </w:tc>
      </w:tr>
      <w:tr w14:paraId="5AAC5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870" w:type="dxa"/>
            <w:vMerge w:val="continue"/>
            <w:vAlign w:val="center"/>
          </w:tcPr>
          <w:p w14:paraId="6AB462E4">
            <w:pPr>
              <w:keepNext w:val="0"/>
              <w:keepLines w:val="0"/>
              <w:pageBreakBefore w:val="0"/>
              <w:kinsoku/>
              <w:wordWrap/>
              <w:overflowPunct/>
              <w:topLinePunct w:val="0"/>
              <w:autoSpaceDE w:val="0"/>
              <w:autoSpaceDN w:val="0"/>
              <w:bidi w:val="0"/>
              <w:adjustRightInd/>
              <w:snapToGrid w:val="0"/>
              <w:spacing w:line="440" w:lineRule="exact"/>
              <w:ind w:left="0" w:leftChars="0" w:firstLine="0" w:firstLineChars="0"/>
              <w:jc w:val="center"/>
              <w:textAlignment w:val="bottom"/>
              <w:rPr>
                <w:rFonts w:hint="eastAsia" w:ascii="仿宋" w:hAnsi="仿宋" w:eastAsia="仿宋" w:cs="仿宋"/>
                <w:color w:val="auto"/>
                <w:kern w:val="2"/>
                <w:sz w:val="24"/>
                <w:szCs w:val="24"/>
                <w:highlight w:val="none"/>
                <w:lang w:val="en-US" w:eastAsia="zh-CN" w:bidi="ar-SA"/>
              </w:rPr>
            </w:pPr>
          </w:p>
        </w:tc>
        <w:tc>
          <w:tcPr>
            <w:tcW w:w="1066" w:type="dxa"/>
            <w:vMerge w:val="continue"/>
            <w:vAlign w:val="center"/>
          </w:tcPr>
          <w:p w14:paraId="63021080">
            <w:pPr>
              <w:keepNext/>
              <w:keepLines/>
              <w:tabs>
                <w:tab w:val="left" w:pos="900"/>
              </w:tabs>
              <w:snapToGrid w:val="0"/>
              <w:spacing w:line="440" w:lineRule="exact"/>
              <w:ind w:hanging="720"/>
              <w:textAlignment w:val="center"/>
              <w:outlineLvl w:val="2"/>
              <w:rPr>
                <w:rFonts w:hint="eastAsia" w:ascii="仿宋" w:hAnsi="仿宋" w:eastAsia="仿宋" w:cs="仿宋"/>
                <w:b/>
                <w:color w:val="auto"/>
                <w:sz w:val="24"/>
                <w:highlight w:val="none"/>
              </w:rPr>
            </w:pPr>
          </w:p>
        </w:tc>
        <w:tc>
          <w:tcPr>
            <w:tcW w:w="7723" w:type="dxa"/>
            <w:vAlign w:val="center"/>
          </w:tcPr>
          <w:p w14:paraId="719EB692">
            <w:pPr>
              <w:keepNext w:val="0"/>
              <w:keepLines w:val="0"/>
              <w:pageBreakBefore w:val="0"/>
              <w:widowControl w:val="0"/>
              <w:kinsoku/>
              <w:wordWrap/>
              <w:overflowPunct/>
              <w:topLinePunct w:val="0"/>
              <w:bidi w:val="0"/>
              <w:adjustRightInd w:val="0"/>
              <w:spacing w:line="440" w:lineRule="exact"/>
              <w:ind w:right="0" w:rightChars="0"/>
              <w:rPr>
                <w:rFonts w:hint="eastAsia" w:ascii="仿宋" w:hAnsi="仿宋" w:eastAsia="仿宋" w:cs="仿宋"/>
                <w:color w:val="auto"/>
                <w:sz w:val="24"/>
                <w:highlight w:val="none"/>
              </w:rPr>
            </w:pPr>
            <w:r>
              <w:rPr>
                <w:rFonts w:hint="eastAsia" w:ascii="仿宋" w:hAnsi="仿宋" w:eastAsia="仿宋" w:cs="仿宋"/>
                <w:b/>
                <w:color w:val="auto"/>
                <w:sz w:val="24"/>
                <w:highlight w:val="none"/>
              </w:rPr>
              <w:t>信用信息的</w:t>
            </w:r>
            <w:r>
              <w:rPr>
                <w:rFonts w:hint="eastAsia" w:ascii="仿宋" w:hAnsi="仿宋" w:eastAsia="仿宋" w:cs="仿宋"/>
                <w:b/>
                <w:bCs/>
                <w:color w:val="auto"/>
                <w:sz w:val="24"/>
                <w:highlight w:val="none"/>
              </w:rPr>
              <w:t>使用</w:t>
            </w:r>
            <w:r>
              <w:rPr>
                <w:rFonts w:hint="eastAsia" w:ascii="仿宋" w:hAnsi="仿宋" w:eastAsia="仿宋" w:cs="仿宋"/>
                <w:b/>
                <w:color w:val="auto"/>
                <w:sz w:val="24"/>
                <w:highlight w:val="none"/>
              </w:rPr>
              <w:t>规则：</w:t>
            </w:r>
            <w:r>
              <w:rPr>
                <w:rFonts w:hint="eastAsia" w:ascii="仿宋" w:hAnsi="仿宋" w:eastAsia="仿宋" w:cs="仿宋"/>
                <w:color w:val="auto"/>
                <w:sz w:val="24"/>
                <w:highlight w:val="none"/>
              </w:rPr>
              <w:t>经查询列入失信被执行人名单、重大税收违法案件当事人名单、政府采购严重违法失信行为记录名单的投标人将被拒绝参与采购活动。</w:t>
            </w:r>
          </w:p>
          <w:p w14:paraId="22030065">
            <w:pPr>
              <w:keepNext w:val="0"/>
              <w:keepLines w:val="0"/>
              <w:pageBreakBefore w:val="0"/>
              <w:widowControl w:val="0"/>
              <w:kinsoku/>
              <w:wordWrap/>
              <w:overflowPunct/>
              <w:topLinePunct w:val="0"/>
              <w:bidi w:val="0"/>
              <w:adjustRightInd w:val="0"/>
              <w:spacing w:line="440" w:lineRule="exact"/>
              <w:ind w:right="0" w:rightChars="0"/>
              <w:rPr>
                <w:rFonts w:hint="eastAsia" w:ascii="仿宋" w:hAnsi="仿宋" w:eastAsia="仿宋" w:cs="仿宋"/>
                <w:b/>
                <w:color w:val="auto"/>
                <w:sz w:val="24"/>
                <w:highlight w:val="none"/>
              </w:rPr>
            </w:pPr>
            <w:r>
              <w:rPr>
                <w:rFonts w:hint="eastAsia" w:ascii="仿宋" w:hAnsi="仿宋" w:eastAsia="仿宋" w:cs="仿宋"/>
                <w:color w:val="auto"/>
                <w:sz w:val="24"/>
                <w:highlight w:val="none"/>
              </w:rPr>
              <w:t>联合体信用信息查询：两个以上的自然人、法人或者其他组织组成一个联合体，以一个供应商的身份共同参加采购活动的，应当对所有联合体成员进行信用记录查询，联合体成员存在不良信用记录的，视同联合体存在不良信用记录。</w:t>
            </w:r>
          </w:p>
        </w:tc>
      </w:tr>
      <w:tr w14:paraId="569B3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0" w:type="dxa"/>
            <w:vAlign w:val="center"/>
          </w:tcPr>
          <w:p w14:paraId="3E13F9F2">
            <w:pPr>
              <w:keepNext w:val="0"/>
              <w:keepLines w:val="0"/>
              <w:pageBreakBefore w:val="0"/>
              <w:kinsoku/>
              <w:wordWrap/>
              <w:overflowPunct/>
              <w:topLinePunct w:val="0"/>
              <w:autoSpaceDE w:val="0"/>
              <w:autoSpaceDN w:val="0"/>
              <w:bidi w:val="0"/>
              <w:adjustRightInd/>
              <w:snapToGrid w:val="0"/>
              <w:spacing w:line="440" w:lineRule="exact"/>
              <w:ind w:left="0" w:leftChars="0" w:firstLine="0" w:firstLineChars="0"/>
              <w:jc w:val="center"/>
              <w:textAlignment w:val="bottom"/>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14</w:t>
            </w:r>
          </w:p>
        </w:tc>
        <w:tc>
          <w:tcPr>
            <w:tcW w:w="8789" w:type="dxa"/>
            <w:gridSpan w:val="2"/>
            <w:vAlign w:val="center"/>
          </w:tcPr>
          <w:p w14:paraId="5751E3CF">
            <w:pPr>
              <w:keepNext w:val="0"/>
              <w:keepLines w:val="0"/>
              <w:pageBreakBefore w:val="0"/>
              <w:widowControl w:val="0"/>
              <w:kinsoku/>
              <w:wordWrap/>
              <w:overflowPunct/>
              <w:topLinePunct w:val="0"/>
              <w:bidi w:val="0"/>
              <w:adjustRightInd w:val="0"/>
              <w:spacing w:line="440" w:lineRule="exact"/>
              <w:ind w:right="0" w:rightChars="0"/>
              <w:rPr>
                <w:rFonts w:hint="eastAsia" w:ascii="仿宋" w:hAnsi="仿宋" w:eastAsia="仿宋" w:cs="仿宋"/>
                <w:color w:val="auto"/>
                <w:sz w:val="24"/>
                <w:highlight w:val="none"/>
              </w:rPr>
            </w:pPr>
            <w:r>
              <w:rPr>
                <w:rFonts w:hint="eastAsia" w:ascii="仿宋" w:hAnsi="仿宋" w:eastAsia="仿宋" w:cs="仿宋"/>
                <w:color w:val="auto"/>
                <w:sz w:val="24"/>
                <w:highlight w:val="none"/>
              </w:rPr>
              <w:t>需要落实的采购政策：包括保护环境、节约能源等。详见招标文件第二部分总则。</w:t>
            </w:r>
          </w:p>
        </w:tc>
      </w:tr>
      <w:tr w14:paraId="51E9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0" w:type="dxa"/>
            <w:vAlign w:val="center"/>
          </w:tcPr>
          <w:p w14:paraId="12CD779F">
            <w:pPr>
              <w:keepNext w:val="0"/>
              <w:keepLines w:val="0"/>
              <w:pageBreakBefore w:val="0"/>
              <w:kinsoku/>
              <w:wordWrap/>
              <w:overflowPunct/>
              <w:topLinePunct w:val="0"/>
              <w:autoSpaceDE w:val="0"/>
              <w:autoSpaceDN w:val="0"/>
              <w:bidi w:val="0"/>
              <w:adjustRightInd/>
              <w:snapToGrid w:val="0"/>
              <w:spacing w:line="440" w:lineRule="exact"/>
              <w:ind w:left="0" w:leftChars="0" w:firstLine="0" w:firstLineChars="0"/>
              <w:jc w:val="center"/>
              <w:textAlignment w:val="bottom"/>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15                                                                                                                                                                                                                                                                                                                                                                                                                                                                                                                                                                                                                                                                                                                                                                                                                                                                                                                                                                                                                                                                                                                                                                                                                                                                                                                                        </w:t>
            </w:r>
          </w:p>
        </w:tc>
        <w:tc>
          <w:tcPr>
            <w:tcW w:w="8789" w:type="dxa"/>
            <w:gridSpan w:val="2"/>
            <w:vAlign w:val="center"/>
          </w:tcPr>
          <w:p w14:paraId="37BDDDCC">
            <w:pPr>
              <w:keepNext w:val="0"/>
              <w:keepLines w:val="0"/>
              <w:pageBreakBefore w:val="0"/>
              <w:widowControl w:val="0"/>
              <w:kinsoku/>
              <w:wordWrap/>
              <w:overflowPunct/>
              <w:topLinePunct w:val="0"/>
              <w:bidi w:val="0"/>
              <w:adjustRightInd w:val="0"/>
              <w:spacing w:line="440" w:lineRule="exact"/>
              <w:ind w:right="0" w:rightChars="0"/>
              <w:rPr>
                <w:rFonts w:hint="eastAsia" w:ascii="仿宋" w:hAnsi="仿宋" w:eastAsia="仿宋" w:cs="仿宋"/>
                <w:color w:val="auto"/>
                <w:sz w:val="24"/>
                <w:highlight w:val="none"/>
              </w:rPr>
            </w:pPr>
            <w:r>
              <w:rPr>
                <w:rFonts w:hint="eastAsia" w:ascii="仿宋" w:hAnsi="仿宋" w:eastAsia="仿宋" w:cs="仿宋"/>
                <w:color w:val="auto"/>
                <w:sz w:val="24"/>
                <w:highlight w:val="none"/>
              </w:rPr>
              <w:t>更正补充公告请自行登录浙江政府采购网查看下载。</w:t>
            </w:r>
          </w:p>
        </w:tc>
      </w:tr>
      <w:tr w14:paraId="40E85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870" w:type="dxa"/>
            <w:vAlign w:val="center"/>
          </w:tcPr>
          <w:p w14:paraId="116EFD9F">
            <w:pPr>
              <w:keepNext w:val="0"/>
              <w:keepLines w:val="0"/>
              <w:pageBreakBefore w:val="0"/>
              <w:kinsoku/>
              <w:wordWrap/>
              <w:overflowPunct/>
              <w:topLinePunct w:val="0"/>
              <w:autoSpaceDE w:val="0"/>
              <w:autoSpaceDN w:val="0"/>
              <w:bidi w:val="0"/>
              <w:adjustRightInd/>
              <w:snapToGrid w:val="0"/>
              <w:spacing w:line="440" w:lineRule="exact"/>
              <w:ind w:left="0" w:leftChars="0" w:firstLine="0" w:firstLineChars="0"/>
              <w:jc w:val="center"/>
              <w:textAlignment w:val="bottom"/>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16</w:t>
            </w:r>
          </w:p>
        </w:tc>
        <w:tc>
          <w:tcPr>
            <w:tcW w:w="8789" w:type="dxa"/>
            <w:gridSpan w:val="2"/>
            <w:vAlign w:val="center"/>
          </w:tcPr>
          <w:p w14:paraId="72DC665E">
            <w:pPr>
              <w:keepNext w:val="0"/>
              <w:keepLines w:val="0"/>
              <w:pageBreakBefore w:val="0"/>
              <w:widowControl w:val="0"/>
              <w:kinsoku/>
              <w:wordWrap/>
              <w:overflowPunct/>
              <w:topLinePunct w:val="0"/>
              <w:bidi w:val="0"/>
              <w:adjustRightInd w:val="0"/>
              <w:spacing w:line="440" w:lineRule="exact"/>
              <w:ind w:right="0" w:rightChars="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投标与开标注意事项：</w:t>
            </w:r>
          </w:p>
          <w:p w14:paraId="795102D1">
            <w:pPr>
              <w:keepNext w:val="0"/>
              <w:keepLines w:val="0"/>
              <w:pageBreakBefore w:val="0"/>
              <w:widowControl w:val="0"/>
              <w:kinsoku/>
              <w:wordWrap/>
              <w:overflowPunct/>
              <w:topLinePunct w:val="0"/>
              <w:bidi w:val="0"/>
              <w:adjustRightInd w:val="0"/>
              <w:spacing w:line="440" w:lineRule="exact"/>
              <w:ind w:right="0" w:rightChars="0"/>
              <w:rPr>
                <w:rFonts w:hint="eastAsia" w:ascii="仿宋" w:hAnsi="仿宋" w:eastAsia="仿宋" w:cs="仿宋"/>
                <w:color w:val="auto"/>
                <w:sz w:val="24"/>
                <w:highlight w:val="none"/>
              </w:rPr>
            </w:pPr>
            <w:r>
              <w:rPr>
                <w:rFonts w:hint="eastAsia" w:ascii="仿宋" w:hAnsi="仿宋" w:eastAsia="仿宋" w:cs="仿宋"/>
                <w:color w:val="auto"/>
                <w:sz w:val="24"/>
                <w:highlight w:val="none"/>
              </w:rPr>
              <w:t>1.本项目实行网上投标，采用电子投标文件。若供应商参与投标，自行承担投标一切费用。</w:t>
            </w:r>
          </w:p>
          <w:p w14:paraId="7BC18463">
            <w:pPr>
              <w:keepNext w:val="0"/>
              <w:keepLines w:val="0"/>
              <w:pageBreakBefore w:val="0"/>
              <w:widowControl w:val="0"/>
              <w:kinsoku/>
              <w:wordWrap/>
              <w:overflowPunct/>
              <w:topLinePunct w:val="0"/>
              <w:bidi w:val="0"/>
              <w:adjustRightInd w:val="0"/>
              <w:spacing w:line="440" w:lineRule="exact"/>
              <w:ind w:right="0" w:rightChars="0"/>
              <w:rPr>
                <w:rFonts w:hint="eastAsia" w:ascii="仿宋" w:hAnsi="仿宋" w:eastAsia="仿宋" w:cs="仿宋"/>
                <w:color w:val="auto"/>
                <w:sz w:val="24"/>
                <w:highlight w:val="none"/>
              </w:rPr>
            </w:pPr>
            <w:r>
              <w:rPr>
                <w:rFonts w:hint="eastAsia" w:ascii="仿宋" w:hAnsi="仿宋" w:eastAsia="仿宋" w:cs="仿宋"/>
                <w:color w:val="auto"/>
                <w:sz w:val="24"/>
                <w:highlight w:val="none"/>
              </w:rPr>
              <w:t>2.标前准备：各供应商应在开标前完成CA数字证书办理。供应商将乐采云电子交易客户端下载、安装完成后，可通过账号密码或CA登录客户端进行投标文件制作。在使用乐采云投标客户端时，建议使用WIN7及以上操作系统。</w:t>
            </w:r>
          </w:p>
          <w:p w14:paraId="0E6D7058">
            <w:pPr>
              <w:keepNext w:val="0"/>
              <w:keepLines w:val="0"/>
              <w:pageBreakBefore w:val="0"/>
              <w:widowControl w:val="0"/>
              <w:kinsoku/>
              <w:wordWrap/>
              <w:overflowPunct/>
              <w:topLinePunct w:val="0"/>
              <w:bidi w:val="0"/>
              <w:adjustRightInd w:val="0"/>
              <w:spacing w:line="440" w:lineRule="exact"/>
              <w:ind w:right="0" w:rightChars="0"/>
              <w:rPr>
                <w:rFonts w:hint="eastAsia" w:ascii="仿宋" w:hAnsi="仿宋" w:eastAsia="仿宋" w:cs="仿宋"/>
                <w:color w:val="auto"/>
                <w:sz w:val="24"/>
                <w:highlight w:val="none"/>
              </w:rPr>
            </w:pPr>
            <w:r>
              <w:rPr>
                <w:rFonts w:hint="eastAsia" w:ascii="仿宋" w:hAnsi="仿宋" w:eastAsia="仿宋" w:cs="仿宋"/>
                <w:color w:val="auto"/>
                <w:sz w:val="24"/>
                <w:highlight w:val="none"/>
              </w:rPr>
              <w:t>注：供应商CA相关操作可参考乐采云平台</w:t>
            </w:r>
            <w:r>
              <w:rPr>
                <w:rFonts w:hint="eastAsia" w:ascii="仿宋" w:hAnsi="仿宋" w:eastAsia="仿宋" w:cs="仿宋"/>
                <w:color w:val="auto"/>
                <w:highlight w:val="none"/>
              </w:rPr>
              <w:t>https://www.lecaiyun.com/</w:t>
            </w:r>
            <w:r>
              <w:rPr>
                <w:rFonts w:hint="eastAsia" w:ascii="仿宋" w:hAnsi="仿宋" w:eastAsia="仿宋" w:cs="仿宋"/>
                <w:color w:val="auto"/>
                <w:sz w:val="24"/>
                <w:highlight w:val="none"/>
              </w:rPr>
              <w:t>《CA申领操作指南》和《CA管理操作指南》。完成CA数字证书办理在资料齐全的情况下预计7个工作日左右，建议供应商获取招标文件后立即办理。</w:t>
            </w:r>
          </w:p>
          <w:p w14:paraId="55F4939F">
            <w:pPr>
              <w:keepNext w:val="0"/>
              <w:keepLines w:val="0"/>
              <w:pageBreakBefore w:val="0"/>
              <w:widowControl w:val="0"/>
              <w:kinsoku/>
              <w:wordWrap/>
              <w:overflowPunct/>
              <w:topLinePunct w:val="0"/>
              <w:bidi w:val="0"/>
              <w:adjustRightInd w:val="0"/>
              <w:spacing w:line="440" w:lineRule="exact"/>
              <w:ind w:right="0" w:rightChars="0"/>
              <w:rPr>
                <w:rFonts w:hint="eastAsia" w:ascii="仿宋" w:hAnsi="仿宋" w:eastAsia="仿宋" w:cs="仿宋"/>
                <w:color w:val="auto"/>
                <w:sz w:val="24"/>
                <w:highlight w:val="none"/>
              </w:rPr>
            </w:pPr>
            <w:r>
              <w:rPr>
                <w:rFonts w:hint="eastAsia" w:ascii="仿宋" w:hAnsi="仿宋" w:eastAsia="仿宋" w:cs="仿宋"/>
                <w:color w:val="auto"/>
                <w:sz w:val="24"/>
                <w:highlight w:val="none"/>
              </w:rPr>
              <w:t>3.投标文件制作、递交、解密：</w:t>
            </w:r>
          </w:p>
          <w:p w14:paraId="467D09E0">
            <w:pPr>
              <w:keepNext w:val="0"/>
              <w:keepLines w:val="0"/>
              <w:pageBreakBefore w:val="0"/>
              <w:widowControl w:val="0"/>
              <w:kinsoku/>
              <w:wordWrap/>
              <w:overflowPunct/>
              <w:topLinePunct w:val="0"/>
              <w:bidi w:val="0"/>
              <w:adjustRightInd w:val="0"/>
              <w:spacing w:line="440" w:lineRule="exact"/>
              <w:ind w:right="0" w:rightChars="0"/>
              <w:rPr>
                <w:rFonts w:hint="eastAsia" w:ascii="仿宋" w:hAnsi="仿宋" w:eastAsia="仿宋" w:cs="仿宋"/>
                <w:color w:val="auto"/>
                <w:sz w:val="24"/>
                <w:highlight w:val="none"/>
              </w:rPr>
            </w:pPr>
            <w:r>
              <w:rPr>
                <w:rFonts w:hint="eastAsia" w:ascii="仿宋" w:hAnsi="仿宋" w:eastAsia="仿宋" w:cs="仿宋"/>
                <w:color w:val="auto"/>
                <w:sz w:val="24"/>
                <w:highlight w:val="none"/>
              </w:rPr>
              <w:t>3.1应按照本项目招标文件和乐采云平台的要求编制、加密传输投标文件。供应商在使用系统进行投标的过程中遇到涉及平台使用的任何问题，可致电乐采云平台技术支持热线咨询，联系方式：95763。</w:t>
            </w:r>
          </w:p>
          <w:p w14:paraId="0EE98A9A">
            <w:pPr>
              <w:keepNext w:val="0"/>
              <w:keepLines w:val="0"/>
              <w:pageBreakBefore w:val="0"/>
              <w:widowControl w:val="0"/>
              <w:kinsoku/>
              <w:wordWrap/>
              <w:overflowPunct/>
              <w:topLinePunct w:val="0"/>
              <w:bidi w:val="0"/>
              <w:adjustRightInd w:val="0"/>
              <w:spacing w:line="440" w:lineRule="exact"/>
              <w:ind w:right="0" w:rightChars="0"/>
              <w:rPr>
                <w:rFonts w:hint="eastAsia" w:ascii="仿宋" w:hAnsi="仿宋" w:eastAsia="仿宋" w:cs="仿宋"/>
                <w:color w:val="auto"/>
                <w:sz w:val="24"/>
                <w:highlight w:val="none"/>
              </w:rPr>
            </w:pPr>
            <w:r>
              <w:rPr>
                <w:rFonts w:hint="eastAsia" w:ascii="仿宋" w:hAnsi="仿宋" w:eastAsia="仿宋" w:cs="仿宋"/>
                <w:color w:val="auto"/>
                <w:sz w:val="24"/>
                <w:highlight w:val="none"/>
              </w:rPr>
              <w:t>3.2投标人通过“乐采云”平台制作电子投标文件，投标文件制作详见“供应商</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采购项目电子交易操作指南。</w:t>
            </w:r>
          </w:p>
          <w:p w14:paraId="3F47CB07">
            <w:pPr>
              <w:keepNext w:val="0"/>
              <w:keepLines w:val="0"/>
              <w:pageBreakBefore w:val="0"/>
              <w:widowControl w:val="0"/>
              <w:kinsoku/>
              <w:wordWrap/>
              <w:overflowPunct/>
              <w:topLinePunct w:val="0"/>
              <w:bidi w:val="0"/>
              <w:adjustRightInd w:val="0"/>
              <w:spacing w:line="440" w:lineRule="exact"/>
              <w:ind w:right="0" w:rightChars="0"/>
              <w:rPr>
                <w:rFonts w:hint="eastAsia" w:ascii="仿宋" w:hAnsi="仿宋" w:eastAsia="仿宋" w:cs="仿宋"/>
                <w:color w:val="auto"/>
                <w:sz w:val="24"/>
                <w:highlight w:val="none"/>
              </w:rPr>
            </w:pPr>
            <w:r>
              <w:rPr>
                <w:rFonts w:hint="eastAsia" w:ascii="仿宋" w:hAnsi="仿宋" w:eastAsia="仿宋" w:cs="仿宋"/>
                <w:color w:val="auto"/>
                <w:sz w:val="24"/>
                <w:highlight w:val="none"/>
              </w:rPr>
              <w:t>3.3开标时间后30分钟内供应商可以登录“乐采云”平台，用“项目采购</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开标评标”功能进行解密投标文件。若供应商</w:t>
            </w:r>
            <w:r>
              <w:rPr>
                <w:rFonts w:hint="eastAsia" w:ascii="仿宋" w:hAnsi="仿宋" w:eastAsia="仿宋" w:cs="仿宋"/>
                <w:b/>
                <w:color w:val="auto"/>
                <w:sz w:val="24"/>
                <w:highlight w:val="none"/>
                <w:u w:val="single"/>
              </w:rPr>
              <w:t>未按时解密的</w:t>
            </w:r>
            <w:r>
              <w:rPr>
                <w:rFonts w:hint="eastAsia" w:ascii="仿宋" w:hAnsi="仿宋" w:eastAsia="仿宋" w:cs="仿宋"/>
                <w:color w:val="auto"/>
                <w:sz w:val="24"/>
                <w:highlight w:val="none"/>
              </w:rPr>
              <w:t>，</w:t>
            </w:r>
            <w:r>
              <w:rPr>
                <w:rFonts w:hint="eastAsia" w:ascii="仿宋" w:hAnsi="仿宋" w:eastAsia="仿宋" w:cs="仿宋"/>
                <w:b/>
                <w:color w:val="auto"/>
                <w:sz w:val="24"/>
                <w:highlight w:val="none"/>
                <w:u w:val="single"/>
              </w:rPr>
              <w:t>视为投标文件撤回</w:t>
            </w:r>
            <w:r>
              <w:rPr>
                <w:rFonts w:hint="eastAsia" w:ascii="仿宋" w:hAnsi="仿宋" w:eastAsia="仿宋" w:cs="仿宋"/>
                <w:color w:val="auto"/>
                <w:sz w:val="24"/>
                <w:highlight w:val="none"/>
              </w:rPr>
              <w:t>。</w:t>
            </w:r>
          </w:p>
        </w:tc>
      </w:tr>
      <w:tr w14:paraId="18D66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870" w:type="dxa"/>
            <w:vAlign w:val="center"/>
          </w:tcPr>
          <w:p w14:paraId="137B9847">
            <w:pPr>
              <w:keepNext w:val="0"/>
              <w:keepLines w:val="0"/>
              <w:pageBreakBefore w:val="0"/>
              <w:kinsoku/>
              <w:wordWrap/>
              <w:overflowPunct/>
              <w:topLinePunct w:val="0"/>
              <w:autoSpaceDE w:val="0"/>
              <w:autoSpaceDN w:val="0"/>
              <w:bidi w:val="0"/>
              <w:adjustRightInd/>
              <w:snapToGrid w:val="0"/>
              <w:spacing w:line="440" w:lineRule="exact"/>
              <w:ind w:left="0" w:leftChars="0" w:firstLine="0" w:firstLineChars="0"/>
              <w:jc w:val="center"/>
              <w:textAlignment w:val="bottom"/>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17</w:t>
            </w:r>
          </w:p>
        </w:tc>
        <w:tc>
          <w:tcPr>
            <w:tcW w:w="8789" w:type="dxa"/>
            <w:gridSpan w:val="2"/>
            <w:vAlign w:val="center"/>
          </w:tcPr>
          <w:p w14:paraId="3260AB1C">
            <w:pPr>
              <w:keepNext w:val="0"/>
              <w:keepLines w:val="0"/>
              <w:pageBreakBefore w:val="0"/>
              <w:kinsoku/>
              <w:wordWrap/>
              <w:overflowPunct/>
              <w:topLinePunct w:val="0"/>
              <w:autoSpaceDE w:val="0"/>
              <w:autoSpaceDN w:val="0"/>
              <w:bidi w:val="0"/>
              <w:adjustRightInd/>
              <w:snapToGrid w:val="0"/>
              <w:spacing w:line="440" w:lineRule="exact"/>
              <w:ind w:left="0" w:leftChars="0" w:firstLine="0" w:firstLineChars="0"/>
              <w:jc w:val="both"/>
              <w:textAlignment w:val="bottom"/>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备份投标文件：</w:t>
            </w:r>
          </w:p>
          <w:p w14:paraId="527CC7D5">
            <w:pPr>
              <w:keepNext w:val="0"/>
              <w:keepLines w:val="0"/>
              <w:pageBreakBefore w:val="0"/>
              <w:kinsoku/>
              <w:wordWrap/>
              <w:overflowPunct/>
              <w:topLinePunct w:val="0"/>
              <w:autoSpaceDE w:val="0"/>
              <w:autoSpaceDN w:val="0"/>
              <w:bidi w:val="0"/>
              <w:adjustRightInd/>
              <w:snapToGrid w:val="0"/>
              <w:spacing w:line="440" w:lineRule="exact"/>
              <w:ind w:left="0" w:leftChars="0" w:firstLine="0" w:firstLineChars="0"/>
              <w:jc w:val="both"/>
              <w:textAlignment w:val="bottom"/>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w:t>
            </w:r>
            <w:r>
              <w:rPr>
                <w:rFonts w:hint="eastAsia" w:ascii="仿宋" w:hAnsi="仿宋" w:eastAsia="仿宋" w:cs="仿宋"/>
                <w:snapToGrid w:val="0"/>
                <w:color w:val="auto"/>
                <w:kern w:val="28"/>
                <w:sz w:val="24"/>
                <w:szCs w:val="24"/>
                <w:highlight w:val="none"/>
                <w:lang w:val="en-US" w:eastAsia="zh-CN" w:bidi="ar-SA"/>
              </w:rPr>
              <w:t>投标人</w:t>
            </w:r>
            <w:r>
              <w:rPr>
                <w:rFonts w:hint="eastAsia" w:ascii="仿宋" w:hAnsi="仿宋" w:eastAsia="仿宋" w:cs="仿宋"/>
                <w:color w:val="auto"/>
                <w:kern w:val="2"/>
                <w:sz w:val="24"/>
                <w:szCs w:val="24"/>
                <w:highlight w:val="none"/>
                <w:lang w:val="en-US" w:eastAsia="zh-CN" w:bidi="ar-SA"/>
              </w:rPr>
              <w:t>在“乐采云平台”完成电子加密“</w:t>
            </w:r>
            <w:r>
              <w:rPr>
                <w:rFonts w:hint="eastAsia" w:ascii="仿宋" w:hAnsi="仿宋" w:eastAsia="仿宋" w:cs="仿宋"/>
                <w:snapToGrid w:val="0"/>
                <w:color w:val="auto"/>
                <w:kern w:val="28"/>
                <w:sz w:val="24"/>
                <w:szCs w:val="24"/>
                <w:highlight w:val="none"/>
                <w:lang w:val="en-US" w:eastAsia="zh-CN" w:bidi="ar-SA"/>
              </w:rPr>
              <w:t>投标</w:t>
            </w:r>
            <w:r>
              <w:rPr>
                <w:rFonts w:hint="eastAsia" w:ascii="仿宋" w:hAnsi="仿宋" w:eastAsia="仿宋" w:cs="仿宋"/>
                <w:color w:val="auto"/>
                <w:kern w:val="2"/>
                <w:sz w:val="24"/>
                <w:szCs w:val="24"/>
                <w:highlight w:val="none"/>
                <w:lang w:val="en-US" w:eastAsia="zh-CN" w:bidi="ar-SA"/>
              </w:rPr>
              <w:t>文件”的在线传输递交后，还可以在投标截止时间前通过EMS、顺丰邮寄等形式送达以介质存储的数据电文形式的“备份投标文件”。</w:t>
            </w:r>
            <w:r>
              <w:rPr>
                <w:rFonts w:hint="eastAsia" w:ascii="仿宋" w:hAnsi="仿宋" w:eastAsia="仿宋" w:cs="仿宋"/>
                <w:b/>
                <w:bCs/>
                <w:color w:val="auto"/>
                <w:kern w:val="2"/>
                <w:sz w:val="24"/>
                <w:szCs w:val="24"/>
                <w:highlight w:val="none"/>
                <w:lang w:val="en-US" w:eastAsia="zh-CN" w:bidi="ar-SA"/>
              </w:rPr>
              <w:t>“备份投标文件”由投标人自愿提交，采购文件不作强制性要求</w:t>
            </w:r>
            <w:r>
              <w:rPr>
                <w:rFonts w:hint="eastAsia" w:ascii="仿宋" w:hAnsi="仿宋" w:eastAsia="仿宋" w:cs="仿宋"/>
                <w:color w:val="auto"/>
                <w:kern w:val="2"/>
                <w:sz w:val="24"/>
                <w:szCs w:val="24"/>
                <w:highlight w:val="none"/>
                <w:lang w:val="en-US" w:eastAsia="zh-CN" w:bidi="ar-SA"/>
              </w:rPr>
              <w:t>，但供应商仅递交了“备份投标文件”的，投标无效。</w:t>
            </w:r>
          </w:p>
          <w:p w14:paraId="60FFCBC8">
            <w:pPr>
              <w:keepNext w:val="0"/>
              <w:keepLines w:val="0"/>
              <w:pageBreakBefore w:val="0"/>
              <w:kinsoku/>
              <w:wordWrap/>
              <w:overflowPunct/>
              <w:topLinePunct w:val="0"/>
              <w:autoSpaceDE w:val="0"/>
              <w:autoSpaceDN w:val="0"/>
              <w:bidi w:val="0"/>
              <w:adjustRightInd/>
              <w:snapToGrid w:val="0"/>
              <w:spacing w:line="440" w:lineRule="exact"/>
              <w:ind w:left="0" w:leftChars="0" w:firstLine="0" w:firstLineChars="0"/>
              <w:jc w:val="both"/>
              <w:textAlignment w:val="bottom"/>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（2）备份投标文件：密封包装后（建议以EMS、顺丰邮寄等形式）投标截止时间前（送达时间以采购组织机构实际签收时间为准）送达（一份）（邮寄地址：</w:t>
            </w:r>
            <w:r>
              <w:rPr>
                <w:rFonts w:hint="eastAsia" w:ascii="仿宋" w:hAnsi="仿宋" w:eastAsia="仿宋" w:cs="仿宋"/>
                <w:color w:val="auto"/>
                <w:kern w:val="1"/>
                <w:sz w:val="24"/>
                <w:szCs w:val="24"/>
                <w:highlight w:val="none"/>
                <w:lang w:eastAsia="zh-CN"/>
              </w:rPr>
              <w:t>嵊州市三江街道官河路南333号商会大厦十四层1407室</w:t>
            </w:r>
            <w:r>
              <w:rPr>
                <w:rFonts w:hint="eastAsia" w:ascii="仿宋" w:hAnsi="仿宋" w:eastAsia="仿宋" w:cs="仿宋"/>
                <w:color w:val="auto"/>
                <w:kern w:val="2"/>
                <w:sz w:val="24"/>
                <w:szCs w:val="24"/>
                <w:highlight w:val="none"/>
                <w:lang w:val="en-US" w:eastAsia="zh-CN" w:bidi="ar-SA"/>
              </w:rPr>
              <w:t>，孙女士，</w:t>
            </w:r>
            <w:r>
              <w:rPr>
                <w:rFonts w:hint="eastAsia" w:ascii="仿宋" w:hAnsi="仿宋" w:eastAsia="仿宋" w:cs="仿宋"/>
                <w:color w:val="auto"/>
                <w:kern w:val="1"/>
                <w:sz w:val="24"/>
                <w:szCs w:val="24"/>
                <w:highlight w:val="none"/>
                <w:lang w:eastAsia="zh-CN"/>
              </w:rPr>
              <w:t>0575-83176688</w:t>
            </w:r>
            <w:r>
              <w:rPr>
                <w:rFonts w:hint="eastAsia" w:ascii="仿宋" w:hAnsi="仿宋" w:eastAsia="仿宋" w:cs="仿宋"/>
                <w:color w:val="auto"/>
                <w:kern w:val="2"/>
                <w:sz w:val="24"/>
                <w:szCs w:val="24"/>
                <w:highlight w:val="none"/>
                <w:lang w:val="en-US" w:eastAsia="zh-CN" w:bidi="ar-SA"/>
              </w:rPr>
              <w:t>）。</w:t>
            </w:r>
          </w:p>
          <w:p w14:paraId="3C63A3B7">
            <w:pPr>
              <w:keepNext w:val="0"/>
              <w:keepLines w:val="0"/>
              <w:pageBreakBefore w:val="0"/>
              <w:widowControl w:val="0"/>
              <w:kinsoku/>
              <w:wordWrap/>
              <w:overflowPunct/>
              <w:topLinePunct w:val="0"/>
              <w:bidi w:val="0"/>
              <w:adjustRightInd w:val="0"/>
              <w:spacing w:line="440" w:lineRule="exact"/>
              <w:ind w:right="0" w:rightChars="0"/>
              <w:rPr>
                <w:rFonts w:hint="eastAsia" w:ascii="仿宋" w:hAnsi="仿宋" w:eastAsia="仿宋" w:cs="仿宋"/>
                <w:color w:val="auto"/>
                <w:sz w:val="24"/>
                <w:highlight w:val="none"/>
              </w:rPr>
            </w:pPr>
            <w:r>
              <w:rPr>
                <w:rFonts w:hint="eastAsia" w:ascii="仿宋" w:hAnsi="仿宋" w:eastAsia="仿宋" w:cs="仿宋"/>
                <w:color w:val="auto"/>
                <w:kern w:val="2"/>
                <w:sz w:val="24"/>
                <w:szCs w:val="24"/>
                <w:highlight w:val="none"/>
                <w:lang w:val="en-US" w:eastAsia="zh-CN" w:bidi="ar-SA"/>
              </w:rPr>
              <w:t>（3）“备份投标文件”应当密封包装，并在包装上加盖公章并注明投标项目名称，投标人名称（若联合体投标的，包装物封面需注明联合体投标，并注明联合体成员各方的名称和联合协议中约定的牵头人的名称）。没有密封包装或标识或盖章或逾期送达至投标地点的“备份投标文件”视为未递交。</w:t>
            </w:r>
          </w:p>
        </w:tc>
      </w:tr>
      <w:tr w14:paraId="7228D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70" w:type="dxa"/>
            <w:vAlign w:val="center"/>
          </w:tcPr>
          <w:p w14:paraId="4E7A2166">
            <w:pPr>
              <w:keepNext w:val="0"/>
              <w:keepLines w:val="0"/>
              <w:pageBreakBefore w:val="0"/>
              <w:kinsoku/>
              <w:wordWrap/>
              <w:overflowPunct/>
              <w:topLinePunct w:val="0"/>
              <w:autoSpaceDE w:val="0"/>
              <w:autoSpaceDN w:val="0"/>
              <w:bidi w:val="0"/>
              <w:adjustRightInd/>
              <w:snapToGrid w:val="0"/>
              <w:spacing w:line="440" w:lineRule="exact"/>
              <w:ind w:left="0" w:leftChars="0" w:firstLine="0" w:firstLineChars="0"/>
              <w:jc w:val="center"/>
              <w:textAlignment w:val="bottom"/>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18</w:t>
            </w:r>
          </w:p>
        </w:tc>
        <w:tc>
          <w:tcPr>
            <w:tcW w:w="8789" w:type="dxa"/>
            <w:gridSpan w:val="2"/>
            <w:vAlign w:val="center"/>
          </w:tcPr>
          <w:p w14:paraId="779C5E4A">
            <w:pPr>
              <w:keepNext w:val="0"/>
              <w:keepLines w:val="0"/>
              <w:pageBreakBefore w:val="0"/>
              <w:widowControl w:val="0"/>
              <w:kinsoku/>
              <w:wordWrap/>
              <w:overflowPunct/>
              <w:topLinePunct w:val="0"/>
              <w:bidi w:val="0"/>
              <w:adjustRightInd w:val="0"/>
              <w:spacing w:line="440" w:lineRule="exact"/>
              <w:ind w:left="0" w:leftChars="0" w:right="0" w:rightChars="0"/>
              <w:rPr>
                <w:rFonts w:hint="eastAsia" w:ascii="仿宋" w:hAnsi="仿宋" w:eastAsia="仿宋" w:cs="仿宋"/>
                <w:snapToGrid w:val="0"/>
                <w:color w:val="auto"/>
                <w:kern w:val="28"/>
                <w:sz w:val="24"/>
                <w:highlight w:val="none"/>
              </w:rPr>
            </w:pPr>
            <w:r>
              <w:rPr>
                <w:rFonts w:hint="eastAsia" w:ascii="仿宋" w:hAnsi="仿宋" w:eastAsia="仿宋" w:cs="仿宋"/>
                <w:b/>
                <w:bCs/>
                <w:snapToGrid w:val="0"/>
                <w:color w:val="auto"/>
                <w:kern w:val="28"/>
                <w:sz w:val="24"/>
                <w:highlight w:val="none"/>
              </w:rPr>
              <w:t>采购代理服务费：</w:t>
            </w:r>
          </w:p>
          <w:p w14:paraId="7BE5B075">
            <w:pPr>
              <w:keepNext w:val="0"/>
              <w:keepLines w:val="0"/>
              <w:pageBreakBefore w:val="0"/>
              <w:kinsoku/>
              <w:wordWrap/>
              <w:overflowPunct/>
              <w:topLinePunct w:val="0"/>
              <w:bidi w:val="0"/>
              <w:adjustRightInd/>
              <w:snapToGrid w:val="0"/>
              <w:spacing w:line="440" w:lineRule="exact"/>
              <w:ind w:left="0" w:leftChars="0" w:firstLine="0" w:firstLineChars="0"/>
              <w:jc w:val="left"/>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①</w:t>
            </w:r>
            <w:r>
              <w:rPr>
                <w:rFonts w:hint="eastAsia" w:ascii="仿宋" w:hAnsi="仿宋" w:eastAsia="仿宋" w:cs="仿宋"/>
                <w:color w:val="auto"/>
                <w:sz w:val="24"/>
                <w:highlight w:val="none"/>
              </w:rPr>
              <w:t>本项目代理服务费</w:t>
            </w:r>
            <w:r>
              <w:rPr>
                <w:rFonts w:hint="eastAsia" w:ascii="仿宋" w:hAnsi="仿宋" w:eastAsia="仿宋" w:cs="仿宋"/>
                <w:color w:val="auto"/>
                <w:sz w:val="24"/>
                <w:highlight w:val="none"/>
                <w:lang w:val="en-US" w:eastAsia="zh-CN"/>
              </w:rPr>
              <w:t>按照以下标准下浮40%收取（招标代理费按差额定率累进法计算），</w:t>
            </w:r>
            <w:r>
              <w:rPr>
                <w:rFonts w:hint="eastAsia" w:ascii="仿宋" w:hAnsi="仿宋" w:eastAsia="仿宋" w:cs="仿宋"/>
                <w:color w:val="auto"/>
                <w:sz w:val="24"/>
                <w:highlight w:val="none"/>
              </w:rPr>
              <w:t>由</w:t>
            </w:r>
            <w:r>
              <w:rPr>
                <w:rFonts w:hint="eastAsia" w:ascii="仿宋" w:hAnsi="仿宋" w:eastAsia="仿宋" w:cs="仿宋"/>
                <w:color w:val="auto"/>
                <w:sz w:val="24"/>
                <w:highlight w:val="none"/>
                <w:lang w:val="en-US" w:eastAsia="zh-CN"/>
              </w:rPr>
              <w:t>采购人在招标完成后支付</w:t>
            </w:r>
            <w:r>
              <w:rPr>
                <w:rFonts w:hint="eastAsia" w:ascii="仿宋" w:hAnsi="仿宋" w:eastAsia="仿宋" w:cs="仿宋"/>
                <w:color w:val="auto"/>
                <w:sz w:val="24"/>
                <w:highlight w:val="none"/>
              </w:rPr>
              <w:t>：</w:t>
            </w:r>
          </w:p>
          <w:tbl>
            <w:tblPr>
              <w:tblStyle w:val="65"/>
              <w:tblW w:w="54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79"/>
              <w:gridCol w:w="2611"/>
            </w:tblGrid>
            <w:tr w14:paraId="53ACD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879" w:type="dxa"/>
                  <w:tcBorders>
                    <w:top w:val="single" w:color="000000" w:sz="4" w:space="0"/>
                    <w:left w:val="single" w:color="000000" w:sz="4" w:space="0"/>
                    <w:bottom w:val="single" w:color="000000" w:sz="4" w:space="0"/>
                    <w:right w:val="single" w:color="000000" w:sz="4" w:space="0"/>
                    <w:tl2br w:val="single" w:color="000000" w:sz="4" w:space="0"/>
                  </w:tcBorders>
                  <w:noWrap w:val="0"/>
                  <w:vAlign w:val="center"/>
                </w:tcPr>
                <w:p w14:paraId="3843F889">
                  <w:pPr>
                    <w:keepNext w:val="0"/>
                    <w:keepLines w:val="0"/>
                    <w:widowControl/>
                    <w:suppressLineNumbers w:val="0"/>
                    <w:spacing w:line="440" w:lineRule="exact"/>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         服务类型</w:t>
                  </w:r>
                </w:p>
                <w:p w14:paraId="19FFBE57">
                  <w:pPr>
                    <w:keepNext w:val="0"/>
                    <w:keepLines w:val="0"/>
                    <w:widowControl/>
                    <w:suppressLineNumbers w:val="0"/>
                    <w:spacing w:line="440" w:lineRule="exact"/>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xml:space="preserve">金额（万元）        </w:t>
                  </w:r>
                </w:p>
              </w:tc>
              <w:tc>
                <w:tcPr>
                  <w:tcW w:w="2611" w:type="dxa"/>
                  <w:tcBorders>
                    <w:top w:val="single" w:color="000000" w:sz="4" w:space="0"/>
                    <w:left w:val="single" w:color="000000" w:sz="4" w:space="0"/>
                    <w:bottom w:val="single" w:color="000000" w:sz="4" w:space="0"/>
                    <w:right w:val="single" w:color="000000" w:sz="4" w:space="0"/>
                  </w:tcBorders>
                  <w:noWrap/>
                  <w:vAlign w:val="center"/>
                </w:tcPr>
                <w:p w14:paraId="049AC6F0">
                  <w:pPr>
                    <w:keepNext w:val="0"/>
                    <w:keepLines w:val="0"/>
                    <w:widowControl/>
                    <w:suppressLineNumbers w:val="0"/>
                    <w:spacing w:line="440" w:lineRule="exact"/>
                    <w:ind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服务招标</w:t>
                  </w:r>
                </w:p>
              </w:tc>
            </w:tr>
            <w:tr w14:paraId="165F0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79" w:type="dxa"/>
                  <w:tcBorders>
                    <w:top w:val="single" w:color="000000" w:sz="4" w:space="0"/>
                    <w:left w:val="single" w:color="000000" w:sz="4" w:space="0"/>
                    <w:bottom w:val="single" w:color="000000" w:sz="4" w:space="0"/>
                    <w:right w:val="single" w:color="000000" w:sz="4" w:space="0"/>
                  </w:tcBorders>
                  <w:noWrap/>
                  <w:vAlign w:val="center"/>
                </w:tcPr>
                <w:p w14:paraId="3C8549C8">
                  <w:pPr>
                    <w:keepNext w:val="0"/>
                    <w:keepLines w:val="0"/>
                    <w:widowControl/>
                    <w:suppressLineNumbers w:val="0"/>
                    <w:spacing w:line="440" w:lineRule="exact"/>
                    <w:ind w:firstLine="0" w:firstLineChars="0"/>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100以下</w:t>
                  </w:r>
                </w:p>
              </w:tc>
              <w:tc>
                <w:tcPr>
                  <w:tcW w:w="2611" w:type="dxa"/>
                  <w:tcBorders>
                    <w:top w:val="single" w:color="000000" w:sz="4" w:space="0"/>
                    <w:left w:val="single" w:color="000000" w:sz="4" w:space="0"/>
                    <w:bottom w:val="single" w:color="000000" w:sz="4" w:space="0"/>
                    <w:right w:val="single" w:color="000000" w:sz="4" w:space="0"/>
                  </w:tcBorders>
                  <w:noWrap/>
                  <w:vAlign w:val="center"/>
                </w:tcPr>
                <w:p w14:paraId="13D79932">
                  <w:pPr>
                    <w:keepNext w:val="0"/>
                    <w:keepLines w:val="0"/>
                    <w:widowControl/>
                    <w:suppressLineNumbers w:val="0"/>
                    <w:spacing w:line="440" w:lineRule="exact"/>
                    <w:ind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w:t>
                  </w:r>
                </w:p>
              </w:tc>
            </w:tr>
            <w:tr w14:paraId="0EADC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79" w:type="dxa"/>
                  <w:tcBorders>
                    <w:top w:val="single" w:color="000000" w:sz="4" w:space="0"/>
                    <w:left w:val="single" w:color="000000" w:sz="4" w:space="0"/>
                    <w:bottom w:val="single" w:color="000000" w:sz="4" w:space="0"/>
                    <w:right w:val="single" w:color="000000" w:sz="4" w:space="0"/>
                  </w:tcBorders>
                  <w:noWrap/>
                  <w:vAlign w:val="center"/>
                </w:tcPr>
                <w:p w14:paraId="6A786AB9">
                  <w:pPr>
                    <w:keepNext w:val="0"/>
                    <w:keepLines w:val="0"/>
                    <w:widowControl/>
                    <w:suppressLineNumbers w:val="0"/>
                    <w:spacing w:line="440" w:lineRule="exact"/>
                    <w:ind w:firstLine="0" w:firstLineChars="0"/>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100-500</w:t>
                  </w:r>
                </w:p>
              </w:tc>
              <w:tc>
                <w:tcPr>
                  <w:tcW w:w="2611" w:type="dxa"/>
                  <w:tcBorders>
                    <w:top w:val="single" w:color="000000" w:sz="4" w:space="0"/>
                    <w:left w:val="single" w:color="000000" w:sz="4" w:space="0"/>
                    <w:bottom w:val="single" w:color="000000" w:sz="4" w:space="0"/>
                    <w:right w:val="single" w:color="000000" w:sz="4" w:space="0"/>
                  </w:tcBorders>
                  <w:noWrap/>
                  <w:vAlign w:val="center"/>
                </w:tcPr>
                <w:p w14:paraId="2008EA20">
                  <w:pPr>
                    <w:keepNext w:val="0"/>
                    <w:keepLines w:val="0"/>
                    <w:widowControl/>
                    <w:suppressLineNumbers w:val="0"/>
                    <w:spacing w:line="440" w:lineRule="exact"/>
                    <w:ind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0.8%</w:t>
                  </w:r>
                </w:p>
              </w:tc>
            </w:tr>
            <w:tr w14:paraId="413D3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79" w:type="dxa"/>
                  <w:tcBorders>
                    <w:top w:val="single" w:color="000000" w:sz="4" w:space="0"/>
                    <w:left w:val="single" w:color="000000" w:sz="4" w:space="0"/>
                    <w:bottom w:val="single" w:color="000000" w:sz="4" w:space="0"/>
                    <w:right w:val="single" w:color="000000" w:sz="4" w:space="0"/>
                  </w:tcBorders>
                  <w:noWrap/>
                  <w:vAlign w:val="center"/>
                </w:tcPr>
                <w:p w14:paraId="0457F242">
                  <w:pPr>
                    <w:keepNext w:val="0"/>
                    <w:keepLines w:val="0"/>
                    <w:widowControl/>
                    <w:suppressLineNumbers w:val="0"/>
                    <w:spacing w:line="440" w:lineRule="exact"/>
                    <w:ind w:firstLine="0" w:firstLineChars="0"/>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500-1000</w:t>
                  </w:r>
                </w:p>
              </w:tc>
              <w:tc>
                <w:tcPr>
                  <w:tcW w:w="2611" w:type="dxa"/>
                  <w:tcBorders>
                    <w:top w:val="single" w:color="000000" w:sz="4" w:space="0"/>
                    <w:left w:val="single" w:color="000000" w:sz="4" w:space="0"/>
                    <w:bottom w:val="single" w:color="000000" w:sz="4" w:space="0"/>
                    <w:right w:val="single" w:color="000000" w:sz="4" w:space="0"/>
                  </w:tcBorders>
                  <w:noWrap/>
                  <w:vAlign w:val="center"/>
                </w:tcPr>
                <w:p w14:paraId="3CD357C6">
                  <w:pPr>
                    <w:keepNext w:val="0"/>
                    <w:keepLines w:val="0"/>
                    <w:widowControl/>
                    <w:suppressLineNumbers w:val="0"/>
                    <w:spacing w:line="440" w:lineRule="exact"/>
                    <w:ind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0.45%</w:t>
                  </w:r>
                </w:p>
              </w:tc>
            </w:tr>
          </w:tbl>
          <w:p w14:paraId="61081BCE">
            <w:pPr>
              <w:keepNext w:val="0"/>
              <w:keepLines w:val="0"/>
              <w:pageBreakBefore w:val="0"/>
              <w:kinsoku/>
              <w:wordWrap/>
              <w:overflowPunct/>
              <w:topLinePunct w:val="0"/>
              <w:bidi w:val="0"/>
              <w:adjustRightInd/>
              <w:snapToGrid w:val="0"/>
              <w:spacing w:line="440" w:lineRule="exact"/>
              <w:ind w:left="0" w:leftChars="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②用银行支票、电汇、现金等付款方式直接交纳代理服务费。</w:t>
            </w:r>
          </w:p>
          <w:p w14:paraId="56EBAFCC">
            <w:pPr>
              <w:keepNext w:val="0"/>
              <w:keepLines w:val="0"/>
              <w:pageBreakBefore w:val="0"/>
              <w:widowControl w:val="0"/>
              <w:kinsoku/>
              <w:wordWrap/>
              <w:overflowPunct/>
              <w:topLinePunct w:val="0"/>
              <w:autoSpaceDE/>
              <w:autoSpaceDN/>
              <w:bidi w:val="0"/>
              <w:snapToGrid/>
              <w:spacing w:line="440" w:lineRule="exact"/>
              <w:ind w:left="0" w:lef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公司名称</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 绍兴平准招标代理有限公司</w:t>
            </w:r>
          </w:p>
          <w:p w14:paraId="06928F0D">
            <w:pPr>
              <w:keepNext w:val="0"/>
              <w:keepLines w:val="0"/>
              <w:pageBreakBefore w:val="0"/>
              <w:widowControl w:val="0"/>
              <w:kinsoku/>
              <w:wordWrap/>
              <w:overflowPunct/>
              <w:topLinePunct w:val="0"/>
              <w:autoSpaceDE/>
              <w:autoSpaceDN/>
              <w:bidi w:val="0"/>
              <w:snapToGrid/>
              <w:spacing w:line="440" w:lineRule="exact"/>
              <w:ind w:left="0" w:lef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开户行</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 建设银行嵊州新城支行</w:t>
            </w:r>
          </w:p>
          <w:p w14:paraId="40522DC9">
            <w:pPr>
              <w:keepNext w:val="0"/>
              <w:keepLines w:val="0"/>
              <w:pageBreakBefore w:val="0"/>
              <w:widowControl w:val="0"/>
              <w:kinsoku/>
              <w:wordWrap/>
              <w:overflowPunct/>
              <w:topLinePunct w:val="0"/>
              <w:bidi w:val="0"/>
              <w:adjustRightInd w:val="0"/>
              <w:spacing w:line="440" w:lineRule="exact"/>
              <w:ind w:right="0" w:rightChars="0"/>
              <w:rPr>
                <w:rFonts w:hint="eastAsia" w:ascii="仿宋" w:hAnsi="仿宋" w:eastAsia="仿宋" w:cs="仿宋"/>
                <w:color w:val="auto"/>
                <w:kern w:val="0"/>
                <w:sz w:val="24"/>
                <w:szCs w:val="21"/>
                <w:highlight w:val="none"/>
              </w:rPr>
            </w:pPr>
            <w:r>
              <w:rPr>
                <w:rFonts w:hint="eastAsia" w:ascii="仿宋" w:hAnsi="仿宋" w:eastAsia="仿宋" w:cs="仿宋"/>
                <w:color w:val="auto"/>
                <w:sz w:val="24"/>
                <w:szCs w:val="24"/>
                <w:highlight w:val="none"/>
              </w:rPr>
              <w:t>账号</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 33050165655009888888</w:t>
            </w:r>
          </w:p>
        </w:tc>
      </w:tr>
      <w:tr w14:paraId="6E953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70" w:type="dxa"/>
            <w:vAlign w:val="center"/>
          </w:tcPr>
          <w:p w14:paraId="42F94C5A">
            <w:pPr>
              <w:keepNext w:val="0"/>
              <w:keepLines w:val="0"/>
              <w:pageBreakBefore w:val="0"/>
              <w:kinsoku/>
              <w:wordWrap/>
              <w:overflowPunct/>
              <w:topLinePunct w:val="0"/>
              <w:autoSpaceDE w:val="0"/>
              <w:autoSpaceDN w:val="0"/>
              <w:bidi w:val="0"/>
              <w:adjustRightInd/>
              <w:snapToGrid w:val="0"/>
              <w:spacing w:line="440" w:lineRule="exact"/>
              <w:ind w:left="0" w:leftChars="0" w:firstLine="0" w:firstLineChars="0"/>
              <w:jc w:val="center"/>
              <w:textAlignment w:val="bottom"/>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19</w:t>
            </w:r>
          </w:p>
        </w:tc>
        <w:tc>
          <w:tcPr>
            <w:tcW w:w="8789" w:type="dxa"/>
            <w:gridSpan w:val="2"/>
            <w:vAlign w:val="center"/>
          </w:tcPr>
          <w:p w14:paraId="5F8A403C">
            <w:pPr>
              <w:keepNext w:val="0"/>
              <w:keepLines w:val="0"/>
              <w:pageBreakBefore w:val="0"/>
              <w:widowControl w:val="0"/>
              <w:kinsoku/>
              <w:wordWrap/>
              <w:overflowPunct/>
              <w:topLinePunct w:val="0"/>
              <w:bidi w:val="0"/>
              <w:adjustRightInd w:val="0"/>
              <w:spacing w:line="440" w:lineRule="exact"/>
              <w:ind w:left="0" w:leftChars="0" w:right="0" w:rightChars="0"/>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sz w:val="24"/>
                <w:highlight w:val="none"/>
              </w:rPr>
              <w:t>推荐中标候选人数量</w:t>
            </w:r>
            <w:r>
              <w:rPr>
                <w:rFonts w:hint="eastAsia" w:ascii="仿宋" w:hAnsi="仿宋" w:eastAsia="仿宋" w:cs="仿宋"/>
                <w:b/>
                <w:bCs/>
                <w:color w:val="auto"/>
                <w:sz w:val="24"/>
                <w:highlight w:val="none"/>
                <w:lang w:eastAsia="zh-CN"/>
              </w:rPr>
              <w:t>：</w:t>
            </w:r>
            <w:r>
              <w:rPr>
                <w:rFonts w:hint="eastAsia" w:ascii="仿宋" w:hAnsi="仿宋" w:eastAsia="仿宋" w:cs="仿宋"/>
                <w:b w:val="0"/>
                <w:bCs w:val="0"/>
                <w:color w:val="auto"/>
                <w:sz w:val="24"/>
                <w:highlight w:val="none"/>
                <w:lang w:eastAsia="zh-CN"/>
              </w:rPr>
              <w:t>1名</w:t>
            </w:r>
          </w:p>
        </w:tc>
      </w:tr>
      <w:tr w14:paraId="1CF9D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70" w:type="dxa"/>
            <w:vAlign w:val="center"/>
          </w:tcPr>
          <w:p w14:paraId="4C3D8F0C">
            <w:pPr>
              <w:keepNext w:val="0"/>
              <w:keepLines w:val="0"/>
              <w:pageBreakBefore w:val="0"/>
              <w:kinsoku/>
              <w:wordWrap/>
              <w:overflowPunct/>
              <w:topLinePunct w:val="0"/>
              <w:autoSpaceDE w:val="0"/>
              <w:autoSpaceDN w:val="0"/>
              <w:bidi w:val="0"/>
              <w:adjustRightInd/>
              <w:snapToGrid w:val="0"/>
              <w:spacing w:line="440" w:lineRule="exact"/>
              <w:ind w:left="0" w:leftChars="0" w:firstLine="0" w:firstLineChars="0"/>
              <w:jc w:val="center"/>
              <w:textAlignment w:val="bottom"/>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20</w:t>
            </w:r>
          </w:p>
        </w:tc>
        <w:tc>
          <w:tcPr>
            <w:tcW w:w="8789" w:type="dxa"/>
            <w:gridSpan w:val="2"/>
            <w:vAlign w:val="center"/>
          </w:tcPr>
          <w:p w14:paraId="34B75B7C">
            <w:pPr>
              <w:keepNext w:val="0"/>
              <w:keepLines w:val="0"/>
              <w:pageBreakBefore w:val="0"/>
              <w:widowControl w:val="0"/>
              <w:kinsoku/>
              <w:wordWrap/>
              <w:overflowPunct/>
              <w:topLinePunct w:val="0"/>
              <w:bidi w:val="0"/>
              <w:adjustRightInd w:val="0"/>
              <w:spacing w:line="440" w:lineRule="exact"/>
              <w:ind w:left="0" w:leftChars="0" w:right="0" w:rightChars="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在领取中标通知书时中标供应商需根据采购人要求提供纸质投标文件（与电子投标文件一致）至少三份，递交至代理机构，如与电子投标文件不符将影响中标供应商领取中标通知书。</w:t>
            </w:r>
          </w:p>
        </w:tc>
      </w:tr>
      <w:tr w14:paraId="12DA2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9659" w:type="dxa"/>
            <w:gridSpan w:val="3"/>
            <w:vAlign w:val="center"/>
          </w:tcPr>
          <w:p w14:paraId="30666854">
            <w:pPr>
              <w:keepNext w:val="0"/>
              <w:keepLines w:val="0"/>
              <w:pageBreakBefore w:val="0"/>
              <w:widowControl w:val="0"/>
              <w:kinsoku/>
              <w:wordWrap/>
              <w:overflowPunct/>
              <w:topLinePunct w:val="0"/>
              <w:bidi w:val="0"/>
              <w:adjustRightInd w:val="0"/>
              <w:spacing w:line="440" w:lineRule="exact"/>
              <w:ind w:right="0" w:rightChars="0"/>
              <w:rPr>
                <w:rFonts w:hint="eastAsia" w:ascii="仿宋" w:hAnsi="仿宋" w:eastAsia="仿宋" w:cs="仿宋"/>
                <w:color w:val="auto"/>
                <w:sz w:val="24"/>
                <w:highlight w:val="none"/>
              </w:rPr>
            </w:pPr>
            <w:r>
              <w:rPr>
                <w:rFonts w:hint="eastAsia" w:ascii="仿宋" w:hAnsi="仿宋" w:eastAsia="仿宋" w:cs="仿宋"/>
                <w:color w:val="auto"/>
                <w:sz w:val="24"/>
                <w:highlight w:val="none"/>
              </w:rPr>
              <w:t>解释：凡涉及本招标文件的解释权属于招标采购单位和采购代理机构。</w:t>
            </w:r>
          </w:p>
        </w:tc>
      </w:tr>
      <w:tr w14:paraId="0A082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9659" w:type="dxa"/>
            <w:gridSpan w:val="3"/>
            <w:vAlign w:val="center"/>
          </w:tcPr>
          <w:p w14:paraId="0413B2A5">
            <w:pPr>
              <w:keepNext w:val="0"/>
              <w:keepLines w:val="0"/>
              <w:pageBreakBefore w:val="0"/>
              <w:widowControl w:val="0"/>
              <w:kinsoku/>
              <w:wordWrap/>
              <w:overflowPunct/>
              <w:topLinePunct w:val="0"/>
              <w:bidi w:val="0"/>
              <w:adjustRightInd w:val="0"/>
              <w:spacing w:line="440" w:lineRule="exact"/>
              <w:ind w:right="0" w:rightChars="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注：中标人放弃中标资格或因质疑、投诉被取消中标资格或不能履行合同的，本项目重新组织采购。</w:t>
            </w:r>
          </w:p>
        </w:tc>
      </w:tr>
      <w:bookmarkEnd w:id="11"/>
    </w:tbl>
    <w:p w14:paraId="44FAF522">
      <w:pPr>
        <w:pageBreakBefore/>
        <w:adjustRightInd/>
        <w:spacing w:line="360" w:lineRule="auto"/>
        <w:jc w:val="center"/>
        <w:outlineLvl w:val="0"/>
        <w:rPr>
          <w:rFonts w:hint="eastAsia" w:ascii="仿宋" w:hAnsi="仿宋" w:eastAsia="仿宋" w:cs="仿宋"/>
          <w:b/>
          <w:color w:val="auto"/>
          <w:sz w:val="32"/>
          <w:szCs w:val="32"/>
          <w:highlight w:val="none"/>
        </w:rPr>
      </w:pPr>
      <w:bookmarkStart w:id="12" w:name="_Hlt75236290"/>
      <w:bookmarkEnd w:id="12"/>
      <w:bookmarkStart w:id="13" w:name="_Hlt68072998"/>
      <w:bookmarkEnd w:id="13"/>
      <w:bookmarkStart w:id="14" w:name="_Hlt68057669"/>
      <w:bookmarkEnd w:id="14"/>
      <w:bookmarkStart w:id="15" w:name="_Hlt75236101"/>
      <w:bookmarkEnd w:id="15"/>
      <w:bookmarkStart w:id="16" w:name="_Hlt68073093"/>
      <w:bookmarkEnd w:id="16"/>
      <w:bookmarkStart w:id="17" w:name="_Hlt68072990"/>
      <w:bookmarkEnd w:id="17"/>
      <w:bookmarkStart w:id="18" w:name="_Hlt75236011"/>
      <w:bookmarkEnd w:id="18"/>
      <w:bookmarkStart w:id="19" w:name="_Hlt74714665"/>
      <w:bookmarkEnd w:id="19"/>
      <w:bookmarkStart w:id="20" w:name="_Hlt74730295"/>
      <w:bookmarkEnd w:id="20"/>
      <w:bookmarkStart w:id="21" w:name="_Hlt74729768"/>
      <w:bookmarkEnd w:id="21"/>
      <w:bookmarkStart w:id="22" w:name="_Hlt68403820"/>
      <w:bookmarkEnd w:id="22"/>
      <w:bookmarkStart w:id="23" w:name="_Hlt74707468"/>
      <w:bookmarkEnd w:id="23"/>
      <w:r>
        <w:rPr>
          <w:rFonts w:hint="eastAsia" w:ascii="仿宋" w:hAnsi="仿宋" w:eastAsia="仿宋" w:cs="仿宋"/>
          <w:b/>
          <w:color w:val="auto"/>
          <w:sz w:val="32"/>
          <w:szCs w:val="32"/>
          <w:highlight w:val="none"/>
        </w:rPr>
        <w:t>一、总则</w:t>
      </w:r>
    </w:p>
    <w:p w14:paraId="5F26D646">
      <w:pPr>
        <w:keepNext w:val="0"/>
        <w:keepLines w:val="0"/>
        <w:pageBreakBefore w:val="0"/>
        <w:widowControl w:val="0"/>
        <w:kinsoku/>
        <w:wordWrap/>
        <w:overflowPunct/>
        <w:topLinePunct w:val="0"/>
        <w:autoSpaceDE/>
        <w:autoSpaceDN/>
        <w:bidi w:val="0"/>
        <w:snapToGrid w:val="0"/>
        <w:spacing w:line="440" w:lineRule="exact"/>
        <w:jc w:val="left"/>
        <w:textAlignment w:val="auto"/>
        <w:outlineLvl w:val="1"/>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1.适用范围</w:t>
      </w:r>
    </w:p>
    <w:p w14:paraId="0314C6FC">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本招标文件适用于该项目的招标、投标、开标、资格审查及信用信息查询、评标、定标、合同、验收等行为（法律、法规另有规定的，从其规定）。</w:t>
      </w:r>
    </w:p>
    <w:p w14:paraId="593B5E3F">
      <w:pPr>
        <w:keepNext w:val="0"/>
        <w:keepLines w:val="0"/>
        <w:pageBreakBefore w:val="0"/>
        <w:widowControl w:val="0"/>
        <w:kinsoku/>
        <w:wordWrap/>
        <w:overflowPunct/>
        <w:topLinePunct w:val="0"/>
        <w:autoSpaceDE/>
        <w:autoSpaceDN/>
        <w:bidi w:val="0"/>
        <w:adjustRightInd/>
        <w:spacing w:line="440" w:lineRule="exact"/>
        <w:textAlignment w:val="auto"/>
        <w:outlineLvl w:val="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2.定义</w:t>
      </w:r>
    </w:p>
    <w:p w14:paraId="550DE11E">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2.1“采购人”系指招标公告中载明的本项目的采购人。</w:t>
      </w:r>
    </w:p>
    <w:p w14:paraId="42A60BA4">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2.2“采购代理机构”系指招标公告中载明的本项目的采购代理机构。</w:t>
      </w:r>
    </w:p>
    <w:p w14:paraId="3011C115">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2.3“投标人”“供应商”系指是指响应招标、参加投标竞争的法人、其他组织或者自然人。</w:t>
      </w:r>
    </w:p>
    <w:p w14:paraId="481B7474">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2.4“监督单位”系指招标公告中载明的本项目的监督管理</w:t>
      </w:r>
      <w:r>
        <w:rPr>
          <w:rFonts w:hint="eastAsia" w:ascii="仿宋" w:hAnsi="仿宋" w:eastAsia="仿宋" w:cs="仿宋"/>
          <w:color w:val="auto"/>
          <w:sz w:val="24"/>
          <w:highlight w:val="none"/>
          <w:lang w:val="en-US" w:eastAsia="zh-CN"/>
        </w:rPr>
        <w:t>机构</w:t>
      </w:r>
      <w:r>
        <w:rPr>
          <w:rFonts w:hint="eastAsia" w:ascii="仿宋" w:hAnsi="仿宋" w:eastAsia="仿宋" w:cs="仿宋"/>
          <w:color w:val="auto"/>
          <w:sz w:val="24"/>
          <w:highlight w:val="none"/>
        </w:rPr>
        <w:t>。</w:t>
      </w:r>
    </w:p>
    <w:p w14:paraId="28345863">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2.5“负责人”系指法人企业的法定负责人，或其他组织为法律、行政法规规定代表单位行使职权的主要负责人，或自然人本人。</w:t>
      </w:r>
    </w:p>
    <w:p w14:paraId="010F7A1C">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2.6“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w:t>
      </w:r>
    </w:p>
    <w:p w14:paraId="35DC8BC5">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2.7“电子交易平台”系指本项目采购活动所依托的乐采云平台（https://www.lecaiyun.com/）。</w:t>
      </w:r>
    </w:p>
    <w:p w14:paraId="2B241FE6">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2.8“★”系指实质性指标要求条款，“▲”系指主要性能指标要求条款。如任意一条打“★”的指标出现负偏离视为实质性不响应招标文件要求，作无效投标处理；如任意一条打“▲”的指标出现负偏离按评分标准作扣分处理。“☑”系指适用本项目的要求，“☐” 系指不适用本项目的要求。</w:t>
      </w:r>
    </w:p>
    <w:p w14:paraId="5ED89560">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2.9其他定义</w:t>
      </w:r>
    </w:p>
    <w:p w14:paraId="190033A6">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hint="eastAsia" w:ascii="仿宋" w:hAnsi="仿宋" w:eastAsia="仿宋" w:cs="仿宋"/>
          <w:b/>
          <w:color w:val="auto"/>
          <w:sz w:val="24"/>
          <w:highlight w:val="none"/>
          <w:lang w:val="en-US" w:eastAsia="zh-CN"/>
        </w:rPr>
      </w:pPr>
      <w:r>
        <w:rPr>
          <w:rFonts w:hint="eastAsia" w:ascii="仿宋" w:hAnsi="仿宋" w:eastAsia="仿宋" w:cs="仿宋"/>
          <w:b w:val="0"/>
          <w:bCs/>
          <w:color w:val="auto"/>
          <w:sz w:val="24"/>
          <w:szCs w:val="24"/>
          <w:highlight w:val="none"/>
          <w:lang w:val="en-US" w:eastAsia="zh-CN"/>
        </w:rPr>
        <w:t>“书面形式”是合同书、信件、电报、电传、传真等可以有形地表现所载内容的形式。以电子数据交换、电子邮件等方式能够有形地表现所载内容，并可以随时调取查用的数据电文，视为书面形式。</w:t>
      </w:r>
    </w:p>
    <w:p w14:paraId="242C6E7C">
      <w:pPr>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3.采购项目需要落实的采购政策</w:t>
      </w:r>
    </w:p>
    <w:p w14:paraId="042863D9">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3.1本项目原则上采购本国生产的货物、工程和服务，不允许采购进口产品。除非采购人采购进口产品，已经在采购活动开始前向监督部门提出申请并获得监督部门审核同意，且在采购需求中明确规定可以采购进口产品（但如果因信息不对称等原因，仍有满足需求的国内产品要求参与采购竞争的，采购人、采购机构不会对其加以限制，仍将按照公平竞争原则实施采购）。</w:t>
      </w:r>
    </w:p>
    <w:p w14:paraId="4EC52712">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3.2支持绿色发展</w:t>
      </w:r>
    </w:p>
    <w:p w14:paraId="10F33BFD">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根据《绍兴市柴油动力移动源排气污染防治办法》第九条、第十三条的规定，使用的柴油动力移动源（柴油货车、非道路移动机械）必须符合低排放要求并已向生态环境部门申领绿色编码，在进入作业现场前须如实向采购人登记报备绿色编码，未申领绿色编码的柴油动力移动源不得进入作业现场施工。</w:t>
      </w:r>
    </w:p>
    <w:p w14:paraId="318866D9">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支持科技创新发展</w:t>
      </w:r>
    </w:p>
    <w:p w14:paraId="02C4005B">
      <w:pPr>
        <w:keepNext w:val="0"/>
        <w:keepLines w:val="0"/>
        <w:pageBreakBefore w:val="0"/>
        <w:kinsoku/>
        <w:wordWrap/>
        <w:overflowPunct/>
        <w:topLinePunct w:val="0"/>
        <w:bidi w:val="0"/>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对省级以上主管部门认定的首台套产品，自纳入《省推广应用指导目录》起三年内参加采购活动，视同已具备相应销售业绩，业绩分为满分。</w:t>
      </w:r>
    </w:p>
    <w:p w14:paraId="204C49A8">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平等对待内外资企业和符合条件的破产重整企业</w:t>
      </w:r>
    </w:p>
    <w:p w14:paraId="496661B1">
      <w:pPr>
        <w:keepNext w:val="0"/>
        <w:keepLines w:val="0"/>
        <w:pageBreakBefore w:val="0"/>
        <w:kinsoku/>
        <w:wordWrap/>
        <w:overflowPunct/>
        <w:topLinePunct w:val="0"/>
        <w:bidi w:val="0"/>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平等对待内外资企业和符合条件的破产重整企业，切实保障企业公平竞争，平等维护企业的合法利益。</w:t>
      </w:r>
    </w:p>
    <w:p w14:paraId="1E00BD76">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4.特别说明：</w:t>
      </w:r>
    </w:p>
    <w:p w14:paraId="7FD549D3">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4.1供应商投标所使用的资格、信誉、荣誉、业绩与企业认证必须为投标单位所拥有。供应商投标所使用的采购项目实施人员必须为投标单位正式员工。</w:t>
      </w:r>
    </w:p>
    <w:p w14:paraId="3C2A302E">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4.2供应商应仔细阅读招标文件的所有内容，按照招标文件的要求提交投标文件，并对所提供的全部资料的真实性承担法律责任。</w:t>
      </w:r>
    </w:p>
    <w:p w14:paraId="69CACED1">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4.3供应商在投标活动中提供任何虚假材料</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其投标无效，并报监管部门查处；中标后发现的</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中标人须依照《中华人民共和国消费者权益保护法》规定赔偿采购人，且民事赔偿并不免除违法供应商的行政与刑事责任。</w:t>
      </w:r>
    </w:p>
    <w:p w14:paraId="7EC90DC6">
      <w:pPr>
        <w:keepNext w:val="0"/>
        <w:keepLines w:val="0"/>
        <w:pageBreakBefore w:val="0"/>
        <w:widowControl w:val="0"/>
        <w:kinsoku/>
        <w:wordWrap/>
        <w:overflowPunct/>
        <w:topLinePunct w:val="0"/>
        <w:autoSpaceDE/>
        <w:autoSpaceDN/>
        <w:bidi w:val="0"/>
        <w:adjustRightInd w:val="0"/>
        <w:snapToGrid/>
        <w:spacing w:line="440" w:lineRule="exact"/>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bCs/>
          <w:color w:val="auto"/>
          <w:sz w:val="24"/>
          <w:highlight w:val="none"/>
          <w:lang w:val="en-US" w:eastAsia="zh-CN"/>
        </w:rPr>
        <w:t>5.</w:t>
      </w:r>
      <w:r>
        <w:rPr>
          <w:rFonts w:hint="eastAsia" w:ascii="仿宋" w:hAnsi="仿宋" w:eastAsia="仿宋" w:cs="仿宋"/>
          <w:b/>
          <w:bCs/>
          <w:color w:val="auto"/>
          <w:sz w:val="24"/>
          <w:highlight w:val="none"/>
        </w:rPr>
        <w:t>特殊投标人投标规定</w:t>
      </w:r>
    </w:p>
    <w:p w14:paraId="159BCF80">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根据相关规定，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证明其具备实际承担责任的能力和法定的缔结合同能力，可以允许其独立参加本次采购活动。上述单位参加采购活动时，应提供该单位负责人签署的相关文件材料（合伙企业由全体合伙人签署相关材料，但合伙协议约定或者全体合伙人决定委托一名或数名合伙人执行合伙企业事务的，由执行合伙企业事务的全体合伙人签署相关文件材料），与其他法人单位法定代表人签署的文件材料具有同等效力。</w:t>
      </w:r>
    </w:p>
    <w:p w14:paraId="75E1E2A0">
      <w:pPr>
        <w:pStyle w:val="134"/>
        <w:keepNext w:val="0"/>
        <w:keepLines w:val="0"/>
        <w:pageBreakBefore w:val="0"/>
        <w:kinsoku/>
        <w:wordWrap/>
        <w:overflowPunct/>
        <w:topLinePunct w:val="0"/>
        <w:bidi w:val="0"/>
        <w:snapToGrid w:val="0"/>
        <w:spacing w:before="0" w:line="440" w:lineRule="exact"/>
        <w:ind w:firstLine="640"/>
        <w:textAlignment w:val="auto"/>
        <w:rPr>
          <w:rFonts w:hint="eastAsia" w:ascii="仿宋" w:hAnsi="仿宋" w:eastAsia="仿宋" w:cs="仿宋"/>
          <w:color w:val="auto"/>
          <w:sz w:val="32"/>
          <w:szCs w:val="32"/>
          <w:highlight w:val="none"/>
        </w:rPr>
      </w:pPr>
    </w:p>
    <w:p w14:paraId="0E552AF7">
      <w:pPr>
        <w:keepNext w:val="0"/>
        <w:keepLines w:val="0"/>
        <w:pageBreakBefore w:val="0"/>
        <w:kinsoku/>
        <w:wordWrap/>
        <w:overflowPunct/>
        <w:topLinePunct w:val="0"/>
        <w:bidi w:val="0"/>
        <w:adjustRightInd/>
        <w:spacing w:line="440" w:lineRule="exact"/>
        <w:jc w:val="center"/>
        <w:textAlignment w:val="auto"/>
        <w:outlineLvl w:val="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二、招标文件</w:t>
      </w:r>
    </w:p>
    <w:p w14:paraId="0A1EDBED">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jc w:val="left"/>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w:t>
      </w:r>
      <w:r>
        <w:rPr>
          <w:rFonts w:hint="eastAsia" w:ascii="仿宋" w:hAnsi="仿宋" w:eastAsia="仿宋" w:cs="仿宋"/>
          <w:b/>
          <w:color w:val="auto"/>
          <w:sz w:val="24"/>
          <w:highlight w:val="none"/>
          <w:lang w:val="en-US" w:eastAsia="zh-CN"/>
        </w:rPr>
        <w:t>.</w:t>
      </w:r>
      <w:r>
        <w:rPr>
          <w:rFonts w:hint="eastAsia" w:ascii="仿宋" w:hAnsi="仿宋" w:eastAsia="仿宋" w:cs="仿宋"/>
          <w:b/>
          <w:color w:val="auto"/>
          <w:sz w:val="24"/>
          <w:highlight w:val="none"/>
        </w:rPr>
        <w:t>招标方式</w:t>
      </w:r>
    </w:p>
    <w:p w14:paraId="36808BE4">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1.1本次招标采用公开招标方式进行。</w:t>
      </w:r>
    </w:p>
    <w:p w14:paraId="3E580B1A">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1.2如某一标项投标人或实质性响应招标文件的投标人不足三家时，由采购人重新组织招标或按有关规定实施。</w:t>
      </w:r>
    </w:p>
    <w:p w14:paraId="245C86DD">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1.3本次招标设定限价，即招标公告中公布的各标项预算金额或最高限价。</w:t>
      </w:r>
    </w:p>
    <w:p w14:paraId="266FCBA1">
      <w:pPr>
        <w:pStyle w:val="8"/>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jc w:val="left"/>
        <w:textAlignment w:val="auto"/>
        <w:rPr>
          <w:rFonts w:hint="eastAsia" w:ascii="仿宋" w:hAnsi="仿宋" w:eastAsia="仿宋" w:cs="仿宋"/>
          <w:b/>
          <w:color w:val="auto"/>
          <w:highlight w:val="none"/>
        </w:rPr>
      </w:pPr>
      <w:r>
        <w:rPr>
          <w:rFonts w:hint="eastAsia" w:ascii="仿宋" w:hAnsi="仿宋" w:eastAsia="仿宋" w:cs="仿宋"/>
          <w:b/>
          <w:color w:val="auto"/>
          <w:highlight w:val="none"/>
        </w:rPr>
        <w:t>2.授权委托</w:t>
      </w:r>
    </w:p>
    <w:p w14:paraId="2C2F65BD">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本项目为电子投标项目，投标人的法定代表人或其授权代表或个体工商户不需要参加现场投标和开标。</w:t>
      </w:r>
    </w:p>
    <w:p w14:paraId="65B34CBD">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jc w:val="left"/>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3.投标费用</w:t>
      </w:r>
    </w:p>
    <w:p w14:paraId="17169772">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投标人应自行承担编制投标文件及参加本次投标所涉及的一切费用。不管投标结果如何，</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对上述费用不负任何责任。</w:t>
      </w:r>
    </w:p>
    <w:p w14:paraId="5457FDAE">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jc w:val="left"/>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4.招标文件的修改</w:t>
      </w:r>
    </w:p>
    <w:p w14:paraId="6F19220D">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4.1招标文件包括本招标文件及所有的招标答疑记录（澄清、修改）和发出的补充通知。</w:t>
      </w:r>
    </w:p>
    <w:p w14:paraId="15F77295">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4.2招标文件的澄清 </w:t>
      </w:r>
    </w:p>
    <w:p w14:paraId="566439DD">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投标人对招标文件如有疑点要求澄清，可用书面形式（包括并不仅限于纸质、信件和数据电文</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包括电报、电传、传真、电子数据交换和电子邮件）</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等通知</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，但通知不得迟于开标前7日使</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收到，</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将用书面形式予以答复。如有必要，可将不说明来源的答复发给所有投标人。</w:t>
      </w:r>
    </w:p>
    <w:p w14:paraId="73C61B83">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4.3招标文件的修改</w:t>
      </w:r>
    </w:p>
    <w:p w14:paraId="71827E69">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4.3.1在投标截止时间前，</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有权修改招标文件，并以书面形式通知所有投标人，通知中没有注明更改投标截止时间的视为截止时间不变。修改的文件作为招标文件的补充和组成部分，对所有投标人均有约束力。投标人应在两天内以书面形式确认已收到的修改文件，并需附法定代表人或其授权代表的签字加盖公章，逾期不确认的视同认可。</w:t>
      </w:r>
    </w:p>
    <w:p w14:paraId="56A7AA25">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4.3.2为使投标人有足够的时间按修改文件要求修正投标文件，</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可酌情推迟投标截止时间和开标时间，并将此变更通知投标人。在这种情况下，</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与投标人以前在投标截止期方面的全部</w:t>
      </w:r>
      <w:r>
        <w:rPr>
          <w:rFonts w:hint="eastAsia" w:ascii="仿宋" w:hAnsi="仿宋" w:eastAsia="仿宋" w:cs="仿宋"/>
          <w:color w:val="auto"/>
          <w:sz w:val="24"/>
          <w:highlight w:val="none"/>
          <w:lang w:eastAsia="zh-CN"/>
        </w:rPr>
        <w:t>权利</w:t>
      </w:r>
      <w:r>
        <w:rPr>
          <w:rFonts w:hint="eastAsia" w:ascii="仿宋" w:hAnsi="仿宋" w:eastAsia="仿宋" w:cs="仿宋"/>
          <w:color w:val="auto"/>
          <w:sz w:val="24"/>
          <w:highlight w:val="none"/>
        </w:rPr>
        <w:t>、责任和义务，将适用于延长后新的投标截止期。</w:t>
      </w:r>
    </w:p>
    <w:p w14:paraId="09AFD9CF">
      <w:pPr>
        <w:keepNext w:val="0"/>
        <w:keepLines w:val="0"/>
        <w:pageBreakBefore w:val="0"/>
        <w:widowControl w:val="0"/>
        <w:kinsoku/>
        <w:wordWrap/>
        <w:overflowPunct/>
        <w:topLinePunct w:val="0"/>
        <w:autoSpaceDE/>
        <w:autoSpaceDN/>
        <w:bidi w:val="0"/>
        <w:adjustRightInd w:val="0"/>
        <w:spacing w:line="440" w:lineRule="exact"/>
        <w:ind w:firstLine="482" w:firstLineChars="200"/>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5.参考品牌</w:t>
      </w:r>
    </w:p>
    <w:p w14:paraId="401760AF">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本招标文件如涉及各类品牌、型号，则所述品牌、型号是结合实际现有情况的推荐性参考方案，投标方也可根据招标文件</w:t>
      </w:r>
      <w:r>
        <w:rPr>
          <w:rFonts w:hint="eastAsia" w:ascii="仿宋" w:hAnsi="仿宋" w:eastAsia="仿宋" w:cs="仿宋"/>
          <w:color w:val="auto"/>
          <w:sz w:val="24"/>
          <w:highlight w:val="none"/>
          <w:lang w:eastAsia="zh-CN"/>
        </w:rPr>
        <w:t>的</w:t>
      </w:r>
      <w:r>
        <w:rPr>
          <w:rFonts w:hint="eastAsia" w:ascii="仿宋" w:hAnsi="仿宋" w:eastAsia="仿宋" w:cs="仿宋"/>
          <w:color w:val="auto"/>
          <w:sz w:val="24"/>
          <w:highlight w:val="none"/>
        </w:rPr>
        <w:t>要求推荐性能相当或高于、服务条款相等或高于、符合招标方实际业务需求其他同档次优质品牌的产品，进行方案优化。</w:t>
      </w:r>
    </w:p>
    <w:p w14:paraId="02D61AF9">
      <w:pPr>
        <w:pStyle w:val="3"/>
        <w:keepNext w:val="0"/>
        <w:keepLines w:val="0"/>
        <w:pageBreakBefore w:val="0"/>
        <w:kinsoku/>
        <w:wordWrap/>
        <w:overflowPunct/>
        <w:topLinePunct w:val="0"/>
        <w:bidi w:val="0"/>
        <w:spacing w:line="440" w:lineRule="exact"/>
        <w:textAlignment w:val="auto"/>
        <w:rPr>
          <w:rFonts w:hint="eastAsia" w:ascii="仿宋" w:hAnsi="仿宋" w:eastAsia="仿宋" w:cs="仿宋"/>
          <w:color w:val="auto"/>
          <w:sz w:val="32"/>
          <w:szCs w:val="32"/>
          <w:highlight w:val="none"/>
          <w:lang w:val="en-US"/>
        </w:rPr>
      </w:pPr>
    </w:p>
    <w:p w14:paraId="4A50DF34">
      <w:pPr>
        <w:keepNext w:val="0"/>
        <w:keepLines w:val="0"/>
        <w:pageBreakBefore w:val="0"/>
        <w:kinsoku/>
        <w:wordWrap/>
        <w:overflowPunct/>
        <w:topLinePunct w:val="0"/>
        <w:bidi w:val="0"/>
        <w:adjustRightInd/>
        <w:spacing w:line="440" w:lineRule="exact"/>
        <w:jc w:val="center"/>
        <w:textAlignment w:val="auto"/>
        <w:outlineLvl w:val="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三、投标文件</w:t>
      </w:r>
    </w:p>
    <w:p w14:paraId="02AFA958">
      <w:pPr>
        <w:keepNext w:val="0"/>
        <w:keepLines w:val="0"/>
        <w:pageBreakBefore w:val="0"/>
        <w:kinsoku/>
        <w:wordWrap/>
        <w:overflowPunct/>
        <w:topLinePunct w:val="0"/>
        <w:bidi w:val="0"/>
        <w:snapToGrid w:val="0"/>
        <w:spacing w:line="440" w:lineRule="exact"/>
        <w:jc w:val="left"/>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1.投标文件的语言、计量单位、形式及效力</w:t>
      </w:r>
    </w:p>
    <w:p w14:paraId="1BBF3584">
      <w:pPr>
        <w:keepNext w:val="0"/>
        <w:keepLines w:val="0"/>
        <w:pageBreakBefore w:val="0"/>
        <w:kinsoku/>
        <w:wordWrap/>
        <w:overflowPunct/>
        <w:topLinePunct w:val="0"/>
        <w:bidi w:val="0"/>
        <w:snapToGrid w:val="0"/>
        <w:spacing w:line="44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1.1投标人应仔细阅读招标文件中的所有内容，按照招标文件要求，详细编制投标文件，并保证投标文件的正确性和真实性。</w:t>
      </w:r>
    </w:p>
    <w:p w14:paraId="7153D1E2">
      <w:pPr>
        <w:keepNext w:val="0"/>
        <w:keepLines w:val="0"/>
        <w:pageBreakBefore w:val="0"/>
        <w:kinsoku/>
        <w:wordWrap/>
        <w:overflowPunct/>
        <w:topLinePunct w:val="0"/>
        <w:bidi w:val="0"/>
        <w:snapToGrid w:val="0"/>
        <w:spacing w:line="44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1.2 投标文件以及投标方与招标方就有关投标事宜的所有来往函电，均应以中文书写（技术术语除外）。</w:t>
      </w:r>
    </w:p>
    <w:p w14:paraId="2824B157">
      <w:pPr>
        <w:keepNext w:val="0"/>
        <w:keepLines w:val="0"/>
        <w:pageBreakBefore w:val="0"/>
        <w:kinsoku/>
        <w:wordWrap/>
        <w:overflowPunct/>
        <w:topLinePunct w:val="0"/>
        <w:bidi w:val="0"/>
        <w:snapToGrid w:val="0"/>
        <w:spacing w:line="44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1.3 投标计量单位，除招标文件中有特殊要求外，应采用中华人民共和国法定计量单位，货币单位：人民币元。</w:t>
      </w:r>
    </w:p>
    <w:p w14:paraId="31CF97CF">
      <w:pPr>
        <w:keepNext w:val="0"/>
        <w:keepLines w:val="0"/>
        <w:pageBreakBefore w:val="0"/>
        <w:kinsoku/>
        <w:wordWrap/>
        <w:overflowPunct/>
        <w:topLinePunct w:val="0"/>
        <w:bidi w:val="0"/>
        <w:snapToGrid w:val="0"/>
        <w:spacing w:line="44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1.4不按招标文件的要求提供的投标文件可能导致被拒绝。</w:t>
      </w:r>
    </w:p>
    <w:p w14:paraId="5D5FCADA">
      <w:pPr>
        <w:keepNext w:val="0"/>
        <w:keepLines w:val="0"/>
        <w:pageBreakBefore w:val="0"/>
        <w:kinsoku/>
        <w:wordWrap/>
        <w:overflowPunct/>
        <w:topLinePunct w:val="0"/>
        <w:bidi w:val="0"/>
        <w:snapToGrid w:val="0"/>
        <w:spacing w:line="440" w:lineRule="exact"/>
        <w:ind w:firstLine="482" w:firstLineChars="200"/>
        <w:jc w:val="left"/>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1.5投标文件的形式和效力</w:t>
      </w:r>
    </w:p>
    <w:p w14:paraId="791615DD">
      <w:pPr>
        <w:keepNext w:val="0"/>
        <w:keepLines w:val="0"/>
        <w:pageBreakBefore w:val="0"/>
        <w:kinsoku/>
        <w:wordWrap/>
        <w:overflowPunct/>
        <w:topLinePunct w:val="0"/>
        <w:bidi w:val="0"/>
        <w:snapToGrid w:val="0"/>
        <w:spacing w:line="440" w:lineRule="exact"/>
        <w:ind w:firstLine="723" w:firstLineChars="300"/>
        <w:jc w:val="left"/>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1.5.1投标文件为电子投标文件，电子投标文件按“乐采云供应商项目采购</w:t>
      </w:r>
      <w:r>
        <w:rPr>
          <w:rFonts w:hint="eastAsia" w:ascii="仿宋" w:hAnsi="仿宋" w:eastAsia="仿宋" w:cs="仿宋"/>
          <w:b/>
          <w:color w:val="auto"/>
          <w:sz w:val="24"/>
          <w:highlight w:val="none"/>
          <w:lang w:eastAsia="zh-CN"/>
        </w:rPr>
        <w:t>－</w:t>
      </w:r>
      <w:r>
        <w:rPr>
          <w:rFonts w:hint="eastAsia" w:ascii="仿宋" w:hAnsi="仿宋" w:eastAsia="仿宋" w:cs="仿宋"/>
          <w:b/>
          <w:color w:val="auto"/>
          <w:sz w:val="24"/>
          <w:highlight w:val="none"/>
        </w:rPr>
        <w:t>电子招投标操作指南”及本招标文件要求制作、加密传输。</w:t>
      </w:r>
    </w:p>
    <w:p w14:paraId="38F3116D">
      <w:pPr>
        <w:keepNext w:val="0"/>
        <w:keepLines w:val="0"/>
        <w:pageBreakBefore w:val="0"/>
        <w:kinsoku/>
        <w:wordWrap/>
        <w:overflowPunct/>
        <w:topLinePunct w:val="0"/>
        <w:bidi w:val="0"/>
        <w:snapToGrid w:val="0"/>
        <w:spacing w:line="440" w:lineRule="exact"/>
        <w:ind w:firstLine="723" w:firstLineChars="300"/>
        <w:jc w:val="left"/>
        <w:textAlignment w:val="auto"/>
        <w:rPr>
          <w:rFonts w:hint="eastAsia" w:ascii="仿宋" w:hAnsi="仿宋" w:eastAsia="仿宋" w:cs="仿宋"/>
          <w:b/>
          <w:color w:val="auto"/>
          <w:sz w:val="24"/>
          <w:highlight w:val="none"/>
          <w:u w:val="single"/>
        </w:rPr>
      </w:pPr>
      <w:r>
        <w:rPr>
          <w:rFonts w:hint="eastAsia" w:ascii="仿宋" w:hAnsi="仿宋" w:eastAsia="仿宋" w:cs="仿宋"/>
          <w:b/>
          <w:color w:val="auto"/>
          <w:sz w:val="24"/>
          <w:highlight w:val="none"/>
          <w:u w:val="single"/>
        </w:rPr>
        <w:t>1.5.2投标文件的效力：</w:t>
      </w:r>
    </w:p>
    <w:p w14:paraId="1197FB4F">
      <w:pPr>
        <w:keepNext w:val="0"/>
        <w:keepLines w:val="0"/>
        <w:pageBreakBefore w:val="0"/>
        <w:kinsoku/>
        <w:wordWrap/>
        <w:overflowPunct/>
        <w:topLinePunct w:val="0"/>
        <w:bidi w:val="0"/>
        <w:snapToGrid w:val="0"/>
        <w:spacing w:line="440" w:lineRule="exact"/>
        <w:ind w:firstLine="723" w:firstLineChars="300"/>
        <w:jc w:val="left"/>
        <w:textAlignment w:val="auto"/>
        <w:rPr>
          <w:rFonts w:hint="eastAsia" w:ascii="仿宋" w:hAnsi="仿宋" w:eastAsia="仿宋" w:cs="仿宋"/>
          <w:b/>
          <w:color w:val="auto"/>
          <w:sz w:val="24"/>
          <w:highlight w:val="none"/>
          <w:u w:val="single"/>
        </w:rPr>
      </w:pPr>
      <w:r>
        <w:rPr>
          <w:rFonts w:hint="eastAsia" w:ascii="仿宋" w:hAnsi="仿宋" w:eastAsia="仿宋" w:cs="仿宋"/>
          <w:b/>
          <w:color w:val="auto"/>
          <w:sz w:val="24"/>
          <w:highlight w:val="none"/>
          <w:u w:val="single"/>
        </w:rPr>
        <w:t>投标文件未在投标截止时间前完成传输的，视为投标文件撤回；投标文件未按时解密，亦视为投标文件撤回。</w:t>
      </w:r>
    </w:p>
    <w:p w14:paraId="5A7D46C6">
      <w:pPr>
        <w:pStyle w:val="34"/>
        <w:keepNext w:val="0"/>
        <w:keepLines w:val="0"/>
        <w:pageBreakBefore w:val="0"/>
        <w:kinsoku/>
        <w:wordWrap/>
        <w:overflowPunct/>
        <w:topLinePunct w:val="0"/>
        <w:bidi w:val="0"/>
        <w:spacing w:line="44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w:t>
      </w:r>
      <w:r>
        <w:rPr>
          <w:rFonts w:hint="eastAsia" w:ascii="仿宋" w:hAnsi="仿宋" w:eastAsia="仿宋" w:cs="仿宋"/>
          <w:b/>
          <w:color w:val="auto"/>
          <w:sz w:val="24"/>
          <w:szCs w:val="24"/>
          <w:highlight w:val="none"/>
          <w:lang w:val="en-US" w:eastAsia="zh-CN"/>
        </w:rPr>
        <w:t>.</w:t>
      </w:r>
      <w:r>
        <w:rPr>
          <w:rFonts w:hint="eastAsia" w:ascii="仿宋" w:hAnsi="仿宋" w:eastAsia="仿宋" w:cs="仿宋"/>
          <w:b/>
          <w:color w:val="auto"/>
          <w:sz w:val="24"/>
          <w:szCs w:val="24"/>
          <w:highlight w:val="none"/>
        </w:rPr>
        <w:t>投标文件的组成</w:t>
      </w:r>
    </w:p>
    <w:p w14:paraId="29C4B7D9">
      <w:pPr>
        <w:keepNext w:val="0"/>
        <w:keepLines w:val="0"/>
        <w:pageBreakBefore w:val="0"/>
        <w:kinsoku/>
        <w:wordWrap/>
        <w:overflowPunct/>
        <w:topLinePunct w:val="0"/>
        <w:bidi w:val="0"/>
        <w:spacing w:line="44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投标文件由“资格文件”、“商务技术（资信）文件资料”、“报价文件资料”三部分组成，其中</w:t>
      </w:r>
      <w:r>
        <w:rPr>
          <w:rFonts w:hint="eastAsia" w:ascii="仿宋" w:hAnsi="仿宋" w:eastAsia="仿宋" w:cs="仿宋"/>
          <w:b/>
          <w:color w:val="auto"/>
          <w:sz w:val="24"/>
          <w:highlight w:val="none"/>
        </w:rPr>
        <w:t>电子投标文件中所须加盖公章部分均应采用电子签章。</w:t>
      </w:r>
    </w:p>
    <w:p w14:paraId="7FA47188">
      <w:pPr>
        <w:keepNext w:val="0"/>
        <w:keepLines w:val="0"/>
        <w:pageBreakBefore w:val="0"/>
        <w:kinsoku/>
        <w:wordWrap/>
        <w:overflowPunct/>
        <w:topLinePunct w:val="0"/>
        <w:bidi w:val="0"/>
        <w:snapToGrid w:val="0"/>
        <w:spacing w:line="440" w:lineRule="exact"/>
        <w:ind w:firstLine="482" w:firstLineChars="200"/>
        <w:textAlignment w:val="auto"/>
        <w:rPr>
          <w:rFonts w:hint="eastAsia" w:ascii="仿宋" w:hAnsi="仿宋" w:eastAsia="仿宋" w:cs="仿宋"/>
          <w:b/>
          <w:color w:val="auto"/>
          <w:sz w:val="24"/>
          <w:highlight w:val="none"/>
          <w:lang w:val="zh-CN"/>
        </w:rPr>
      </w:pPr>
      <w:r>
        <w:rPr>
          <w:rFonts w:hint="eastAsia" w:ascii="仿宋" w:hAnsi="仿宋" w:eastAsia="仿宋" w:cs="仿宋"/>
          <w:b/>
          <w:color w:val="auto"/>
          <w:sz w:val="24"/>
          <w:highlight w:val="none"/>
        </w:rPr>
        <w:t>2</w:t>
      </w:r>
      <w:r>
        <w:rPr>
          <w:rFonts w:hint="eastAsia" w:ascii="仿宋" w:hAnsi="仿宋" w:eastAsia="仿宋" w:cs="仿宋"/>
          <w:b/>
          <w:color w:val="auto"/>
          <w:sz w:val="24"/>
          <w:highlight w:val="none"/>
          <w:lang w:val="zh-CN"/>
        </w:rPr>
        <w:t>.1资格文件：</w:t>
      </w:r>
    </w:p>
    <w:p w14:paraId="566A3418">
      <w:pPr>
        <w:keepNext w:val="0"/>
        <w:keepLines w:val="0"/>
        <w:pageBreakBefore w:val="0"/>
        <w:widowControl w:val="0"/>
        <w:kinsoku/>
        <w:wordWrap/>
        <w:overflowPunct/>
        <w:topLinePunct w:val="0"/>
        <w:autoSpaceDE/>
        <w:autoSpaceDN/>
        <w:bidi w:val="0"/>
        <w:adjustRightInd w:val="0"/>
        <w:snapToGrid w:val="0"/>
        <w:spacing w:beforeAutospacing="0" w:line="440" w:lineRule="exact"/>
        <w:ind w:left="0" w:leftChars="0" w:firstLine="720" w:firstLineChars="3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eastAsia="zh-CN"/>
        </w:rPr>
        <w:t>.1.1营业执照(或事业法人登记证书或其他工商等登记证明材料；自然人参与采购，提供身份证正反面)扫描件；</w:t>
      </w:r>
    </w:p>
    <w:p w14:paraId="5F4676BF">
      <w:pPr>
        <w:keepNext w:val="0"/>
        <w:keepLines w:val="0"/>
        <w:pageBreakBefore w:val="0"/>
        <w:widowControl w:val="0"/>
        <w:kinsoku/>
        <w:wordWrap/>
        <w:overflowPunct/>
        <w:topLinePunct w:val="0"/>
        <w:autoSpaceDE/>
        <w:autoSpaceDN/>
        <w:bidi w:val="0"/>
        <w:adjustRightInd w:val="0"/>
        <w:snapToGrid w:val="0"/>
        <w:spacing w:beforeAutospacing="0" w:line="440" w:lineRule="exact"/>
        <w:ind w:left="0" w:leftChars="0" w:firstLine="720" w:firstLineChars="3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2.1.2</w:t>
      </w:r>
      <w:r>
        <w:rPr>
          <w:rFonts w:hint="eastAsia" w:ascii="仿宋" w:hAnsi="仿宋" w:eastAsia="仿宋" w:cs="仿宋"/>
          <w:color w:val="auto"/>
          <w:sz w:val="24"/>
          <w:highlight w:val="none"/>
        </w:rPr>
        <w:t>法定代表人身份证明书；</w:t>
      </w:r>
    </w:p>
    <w:p w14:paraId="6AC83884">
      <w:pPr>
        <w:keepNext w:val="0"/>
        <w:keepLines w:val="0"/>
        <w:pageBreakBefore w:val="0"/>
        <w:widowControl w:val="0"/>
        <w:kinsoku/>
        <w:wordWrap/>
        <w:overflowPunct/>
        <w:topLinePunct w:val="0"/>
        <w:autoSpaceDE/>
        <w:autoSpaceDN/>
        <w:bidi w:val="0"/>
        <w:adjustRightInd w:val="0"/>
        <w:snapToGrid w:val="0"/>
        <w:spacing w:beforeAutospacing="0" w:line="440" w:lineRule="exact"/>
        <w:ind w:left="0" w:leftChars="0" w:firstLine="720" w:firstLineChars="3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2</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法定代表人授权委托书</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若委托</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w:t>
      </w:r>
    </w:p>
    <w:p w14:paraId="3E921494">
      <w:pPr>
        <w:keepNext w:val="0"/>
        <w:keepLines w:val="0"/>
        <w:pageBreakBefore w:val="0"/>
        <w:widowControl w:val="0"/>
        <w:kinsoku/>
        <w:wordWrap/>
        <w:overflowPunct/>
        <w:topLinePunct w:val="0"/>
        <w:autoSpaceDE/>
        <w:autoSpaceDN/>
        <w:bidi w:val="0"/>
        <w:adjustRightInd w:val="0"/>
        <w:snapToGrid w:val="0"/>
        <w:spacing w:beforeAutospacing="0" w:line="440" w:lineRule="exact"/>
        <w:ind w:left="0" w:leftChars="0" w:firstLine="720" w:firstLineChars="300"/>
        <w:textAlignment w:val="auto"/>
        <w:rPr>
          <w:rFonts w:hint="eastAsia" w:ascii="仿宋" w:hAnsi="仿宋" w:eastAsia="仿宋" w:cs="仿宋"/>
          <w:color w:val="auto"/>
          <w:highlight w:val="none"/>
          <w:lang w:eastAsia="zh-CN"/>
        </w:rPr>
      </w:pPr>
      <w:r>
        <w:rPr>
          <w:rFonts w:hint="eastAsia" w:ascii="仿宋" w:hAnsi="仿宋" w:eastAsia="仿宋" w:cs="仿宋"/>
          <w:color w:val="auto"/>
          <w:sz w:val="24"/>
          <w:highlight w:val="none"/>
          <w:lang w:eastAsia="zh-CN"/>
        </w:rPr>
        <w:t>2.1.</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lang w:eastAsia="zh-CN"/>
        </w:rPr>
        <w:t>符合参加采购活动应当具备的一般条件的承诺函；</w:t>
      </w:r>
    </w:p>
    <w:p w14:paraId="30839132">
      <w:pPr>
        <w:keepNext w:val="0"/>
        <w:keepLines w:val="0"/>
        <w:pageBreakBefore w:val="0"/>
        <w:widowControl w:val="0"/>
        <w:kinsoku/>
        <w:wordWrap/>
        <w:overflowPunct/>
        <w:topLinePunct w:val="0"/>
        <w:autoSpaceDE/>
        <w:autoSpaceDN/>
        <w:bidi w:val="0"/>
        <w:adjustRightInd w:val="0"/>
        <w:snapToGrid w:val="0"/>
        <w:spacing w:beforeAutospacing="0" w:line="440" w:lineRule="exact"/>
        <w:ind w:left="0" w:leftChars="0" w:firstLine="720" w:firstLineChars="3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2.1.5</w:t>
      </w:r>
      <w:r>
        <w:rPr>
          <w:rFonts w:hint="eastAsia" w:ascii="仿宋" w:hAnsi="仿宋" w:eastAsia="仿宋" w:cs="仿宋"/>
          <w:color w:val="auto"/>
          <w:sz w:val="24"/>
          <w:highlight w:val="none"/>
          <w:lang w:eastAsia="zh-CN"/>
        </w:rPr>
        <w:t>单位负责人为同一人或者存在直接控股、管理关系的不同供应商，不得参加同一合同项下的采购活动（开标后提供《</w:t>
      </w:r>
      <w:r>
        <w:rPr>
          <w:rFonts w:hint="eastAsia" w:ascii="仿宋" w:hAnsi="仿宋" w:eastAsia="仿宋" w:cs="仿宋"/>
          <w:color w:val="auto"/>
          <w:kern w:val="0"/>
          <w:sz w:val="24"/>
          <w:highlight w:val="none"/>
        </w:rPr>
        <w:t>政企</w:t>
      </w:r>
      <w:r>
        <w:rPr>
          <w:rFonts w:hint="eastAsia" w:ascii="仿宋" w:hAnsi="仿宋" w:eastAsia="仿宋" w:cs="仿宋"/>
          <w:color w:val="auto"/>
          <w:sz w:val="24"/>
          <w:highlight w:val="none"/>
          <w:lang w:eastAsia="zh-CN"/>
        </w:rPr>
        <w:t>采购活动现场确认声明书》（PDF格式），发送至邮箱</w:t>
      </w:r>
      <w:r>
        <w:rPr>
          <w:rStyle w:val="79"/>
          <w:rFonts w:hint="eastAsia" w:ascii="仿宋" w:hAnsi="仿宋" w:eastAsia="仿宋" w:cs="仿宋"/>
          <w:color w:val="auto"/>
          <w:kern w:val="0"/>
          <w:sz w:val="24"/>
          <w:szCs w:val="24"/>
          <w:highlight w:val="none"/>
          <w:u w:val="none"/>
          <w:lang w:eastAsia="zh-CN"/>
        </w:rPr>
        <w:t>1132452991@qq.com</w:t>
      </w:r>
      <w:r>
        <w:rPr>
          <w:rFonts w:hint="eastAsia" w:ascii="仿宋" w:hAnsi="仿宋" w:eastAsia="仿宋" w:cs="仿宋"/>
          <w:color w:val="auto"/>
          <w:sz w:val="24"/>
          <w:highlight w:val="none"/>
          <w:lang w:eastAsia="zh-CN"/>
        </w:rPr>
        <w:t>）；</w:t>
      </w:r>
    </w:p>
    <w:p w14:paraId="7D3D71EA">
      <w:pPr>
        <w:keepNext w:val="0"/>
        <w:keepLines w:val="0"/>
        <w:pageBreakBefore w:val="0"/>
        <w:kinsoku/>
        <w:wordWrap/>
        <w:overflowPunct/>
        <w:topLinePunct w:val="0"/>
        <w:bidi w:val="0"/>
        <w:snapToGrid w:val="0"/>
        <w:spacing w:line="440" w:lineRule="exact"/>
        <w:ind w:firstLine="482" w:firstLineChars="200"/>
        <w:textAlignment w:val="auto"/>
        <w:rPr>
          <w:rFonts w:hint="eastAsia" w:ascii="仿宋" w:hAnsi="仿宋" w:eastAsia="仿宋" w:cs="仿宋"/>
          <w:b/>
          <w:color w:val="auto"/>
          <w:sz w:val="24"/>
          <w:highlight w:val="none"/>
          <w:lang w:val="zh-CN"/>
        </w:rPr>
      </w:pPr>
      <w:r>
        <w:rPr>
          <w:rFonts w:hint="eastAsia" w:ascii="仿宋" w:hAnsi="仿宋" w:eastAsia="仿宋" w:cs="仿宋"/>
          <w:b/>
          <w:color w:val="auto"/>
          <w:sz w:val="24"/>
          <w:highlight w:val="none"/>
          <w:lang w:val="zh-CN"/>
        </w:rPr>
        <w:t>2.</w:t>
      </w:r>
      <w:r>
        <w:rPr>
          <w:rFonts w:hint="eastAsia" w:ascii="仿宋" w:hAnsi="仿宋" w:eastAsia="仿宋" w:cs="仿宋"/>
          <w:b/>
          <w:color w:val="auto"/>
          <w:sz w:val="24"/>
          <w:highlight w:val="none"/>
        </w:rPr>
        <w:t>2商务技术</w:t>
      </w:r>
      <w:r>
        <w:rPr>
          <w:rFonts w:hint="eastAsia" w:ascii="仿宋" w:hAnsi="仿宋" w:eastAsia="仿宋" w:cs="仿宋"/>
          <w:b/>
          <w:color w:val="auto"/>
          <w:sz w:val="24"/>
          <w:highlight w:val="none"/>
          <w:lang w:val="zh-CN"/>
        </w:rPr>
        <w:t>文件：</w:t>
      </w:r>
    </w:p>
    <w:p w14:paraId="3BDFCB2F">
      <w:pPr>
        <w:keepNext w:val="0"/>
        <w:keepLines w:val="0"/>
        <w:pageBreakBefore w:val="0"/>
        <w:widowControl w:val="0"/>
        <w:kinsoku/>
        <w:wordWrap/>
        <w:overflowPunct/>
        <w:topLinePunct w:val="0"/>
        <w:autoSpaceDE/>
        <w:autoSpaceDN/>
        <w:bidi w:val="0"/>
        <w:adjustRightInd w:val="0"/>
        <w:snapToGrid w:val="0"/>
        <w:spacing w:beforeAutospacing="0" w:line="440" w:lineRule="exact"/>
        <w:ind w:left="0" w:leftChars="0" w:firstLine="720" w:firstLineChars="3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2.2.1营业执照扫描件；</w:t>
      </w:r>
    </w:p>
    <w:p w14:paraId="5CE3FBDE">
      <w:pPr>
        <w:keepNext w:val="0"/>
        <w:keepLines w:val="0"/>
        <w:pageBreakBefore w:val="0"/>
        <w:widowControl w:val="0"/>
        <w:kinsoku/>
        <w:wordWrap/>
        <w:overflowPunct/>
        <w:topLinePunct w:val="0"/>
        <w:autoSpaceDE/>
        <w:autoSpaceDN/>
        <w:bidi w:val="0"/>
        <w:adjustRightInd w:val="0"/>
        <w:snapToGrid w:val="0"/>
        <w:spacing w:beforeAutospacing="0" w:line="440" w:lineRule="exact"/>
        <w:ind w:left="0" w:leftChars="0" w:firstLine="720" w:firstLineChars="3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2.2.2投标函；</w:t>
      </w:r>
    </w:p>
    <w:p w14:paraId="26462F24">
      <w:pPr>
        <w:keepNext w:val="0"/>
        <w:keepLines w:val="0"/>
        <w:pageBreakBefore w:val="0"/>
        <w:widowControl w:val="0"/>
        <w:kinsoku/>
        <w:wordWrap/>
        <w:overflowPunct/>
        <w:topLinePunct w:val="0"/>
        <w:autoSpaceDE/>
        <w:autoSpaceDN/>
        <w:bidi w:val="0"/>
        <w:adjustRightInd w:val="0"/>
        <w:snapToGrid w:val="0"/>
        <w:spacing w:beforeAutospacing="0" w:line="440" w:lineRule="exact"/>
        <w:ind w:left="0" w:leftChars="0" w:firstLine="720" w:firstLineChars="3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2.2.3法定代表人身份证明书；</w:t>
      </w:r>
    </w:p>
    <w:p w14:paraId="1F613371">
      <w:pPr>
        <w:keepNext w:val="0"/>
        <w:keepLines w:val="0"/>
        <w:pageBreakBefore w:val="0"/>
        <w:widowControl w:val="0"/>
        <w:kinsoku/>
        <w:wordWrap/>
        <w:overflowPunct/>
        <w:topLinePunct w:val="0"/>
        <w:autoSpaceDE/>
        <w:autoSpaceDN/>
        <w:bidi w:val="0"/>
        <w:adjustRightInd w:val="0"/>
        <w:snapToGrid w:val="0"/>
        <w:spacing w:beforeAutospacing="0" w:line="440" w:lineRule="exact"/>
        <w:ind w:left="0" w:leftChars="0" w:firstLine="720" w:firstLineChars="3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2.2.4法定代表人授权委托书（</w:t>
      </w:r>
      <w:r>
        <w:rPr>
          <w:rFonts w:hint="eastAsia" w:ascii="仿宋" w:hAnsi="仿宋" w:eastAsia="仿宋" w:cs="仿宋"/>
          <w:color w:val="auto"/>
          <w:sz w:val="24"/>
          <w:szCs w:val="24"/>
          <w:highlight w:val="none"/>
          <w:lang w:val="en-US" w:eastAsia="zh-CN"/>
        </w:rPr>
        <w:t>若委托</w:t>
      </w:r>
      <w:r>
        <w:rPr>
          <w:rFonts w:hint="eastAsia" w:ascii="仿宋" w:hAnsi="仿宋" w:eastAsia="仿宋" w:cs="仿宋"/>
          <w:color w:val="auto"/>
          <w:sz w:val="24"/>
          <w:szCs w:val="24"/>
          <w:highlight w:val="none"/>
          <w:lang w:eastAsia="zh-CN"/>
        </w:rPr>
        <w:t>）；</w:t>
      </w:r>
    </w:p>
    <w:p w14:paraId="14E31A50">
      <w:pPr>
        <w:keepNext w:val="0"/>
        <w:keepLines w:val="0"/>
        <w:pageBreakBefore w:val="0"/>
        <w:widowControl w:val="0"/>
        <w:kinsoku/>
        <w:wordWrap/>
        <w:overflowPunct/>
        <w:topLinePunct w:val="0"/>
        <w:autoSpaceDE/>
        <w:autoSpaceDN/>
        <w:bidi w:val="0"/>
        <w:adjustRightInd w:val="0"/>
        <w:snapToGrid w:val="0"/>
        <w:spacing w:beforeAutospacing="0" w:line="440" w:lineRule="exact"/>
        <w:ind w:left="0" w:leftChars="0" w:firstLine="720" w:firstLineChars="3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2.2.5评分索引表；</w:t>
      </w:r>
    </w:p>
    <w:p w14:paraId="04DB1440">
      <w:pPr>
        <w:keepNext w:val="0"/>
        <w:keepLines w:val="0"/>
        <w:pageBreakBefore w:val="0"/>
        <w:widowControl w:val="0"/>
        <w:kinsoku/>
        <w:wordWrap/>
        <w:overflowPunct/>
        <w:topLinePunct w:val="0"/>
        <w:autoSpaceDE/>
        <w:autoSpaceDN/>
        <w:bidi w:val="0"/>
        <w:adjustRightInd w:val="0"/>
        <w:snapToGrid w:val="0"/>
        <w:spacing w:beforeAutospacing="0" w:line="440" w:lineRule="exact"/>
        <w:ind w:left="0" w:leftChars="0" w:firstLine="720" w:firstLineChars="3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2.2.6采购供应商廉洁自律承诺书；</w:t>
      </w:r>
    </w:p>
    <w:p w14:paraId="3CB57B26">
      <w:pPr>
        <w:keepNext w:val="0"/>
        <w:keepLines w:val="0"/>
        <w:pageBreakBefore w:val="0"/>
        <w:widowControl w:val="0"/>
        <w:kinsoku/>
        <w:wordWrap/>
        <w:overflowPunct/>
        <w:topLinePunct w:val="0"/>
        <w:autoSpaceDE/>
        <w:autoSpaceDN/>
        <w:bidi w:val="0"/>
        <w:adjustRightInd w:val="0"/>
        <w:snapToGrid w:val="0"/>
        <w:spacing w:beforeAutospacing="0" w:line="440" w:lineRule="exact"/>
        <w:ind w:left="0" w:leftChars="0" w:firstLine="720" w:firstLineChars="3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2.2.7资信及商务响应表；</w:t>
      </w:r>
    </w:p>
    <w:p w14:paraId="24FA5562">
      <w:pPr>
        <w:keepNext w:val="0"/>
        <w:keepLines w:val="0"/>
        <w:pageBreakBefore w:val="0"/>
        <w:widowControl w:val="0"/>
        <w:kinsoku/>
        <w:wordWrap/>
        <w:overflowPunct/>
        <w:topLinePunct w:val="0"/>
        <w:autoSpaceDE/>
        <w:autoSpaceDN/>
        <w:bidi w:val="0"/>
        <w:adjustRightInd w:val="0"/>
        <w:snapToGrid w:val="0"/>
        <w:spacing w:beforeAutospacing="0" w:line="440" w:lineRule="exact"/>
        <w:ind w:left="0" w:leftChars="0" w:firstLine="720" w:firstLineChars="3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2.2.8资信证书；</w:t>
      </w:r>
    </w:p>
    <w:p w14:paraId="5B9D78D0">
      <w:pPr>
        <w:keepNext w:val="0"/>
        <w:keepLines w:val="0"/>
        <w:pageBreakBefore w:val="0"/>
        <w:widowControl w:val="0"/>
        <w:kinsoku/>
        <w:wordWrap/>
        <w:overflowPunct/>
        <w:topLinePunct w:val="0"/>
        <w:autoSpaceDE/>
        <w:autoSpaceDN/>
        <w:bidi w:val="0"/>
        <w:adjustRightInd w:val="0"/>
        <w:snapToGrid w:val="0"/>
        <w:spacing w:beforeAutospacing="0" w:line="440" w:lineRule="exact"/>
        <w:ind w:left="0" w:leftChars="0" w:firstLine="720" w:firstLineChars="3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2.2.9</w:t>
      </w:r>
      <w:r>
        <w:rPr>
          <w:rFonts w:hint="eastAsia" w:ascii="仿宋" w:hAnsi="仿宋" w:eastAsia="仿宋" w:cs="仿宋"/>
          <w:color w:val="auto"/>
          <w:kern w:val="2"/>
          <w:sz w:val="24"/>
          <w:szCs w:val="24"/>
          <w:highlight w:val="none"/>
          <w:lang w:val="en-US" w:eastAsia="zh-CN" w:bidi="ar-SA"/>
        </w:rPr>
        <w:t>类似业绩</w:t>
      </w:r>
      <w:r>
        <w:rPr>
          <w:rFonts w:hint="eastAsia" w:ascii="仿宋" w:hAnsi="仿宋" w:eastAsia="仿宋" w:cs="仿宋"/>
          <w:color w:val="auto"/>
          <w:sz w:val="24"/>
          <w:szCs w:val="24"/>
          <w:highlight w:val="none"/>
          <w:lang w:val="en-US" w:eastAsia="zh-CN"/>
        </w:rPr>
        <w:t>；</w:t>
      </w:r>
    </w:p>
    <w:p w14:paraId="2F9CB49E">
      <w:pPr>
        <w:keepNext w:val="0"/>
        <w:keepLines w:val="0"/>
        <w:pageBreakBefore w:val="0"/>
        <w:widowControl w:val="0"/>
        <w:kinsoku/>
        <w:wordWrap/>
        <w:overflowPunct/>
        <w:topLinePunct w:val="0"/>
        <w:autoSpaceDE/>
        <w:autoSpaceDN/>
        <w:bidi w:val="0"/>
        <w:adjustRightInd w:val="0"/>
        <w:snapToGrid w:val="0"/>
        <w:spacing w:beforeAutospacing="0" w:line="440" w:lineRule="exact"/>
        <w:ind w:left="0" w:leftChars="0" w:firstLine="720" w:firstLineChars="3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2.2.10</w:t>
      </w:r>
      <w:r>
        <w:rPr>
          <w:rFonts w:hint="eastAsia" w:ascii="仿宋" w:hAnsi="仿宋" w:eastAsia="仿宋" w:cs="仿宋"/>
          <w:color w:val="auto"/>
          <w:sz w:val="24"/>
          <w:szCs w:val="24"/>
          <w:highlight w:val="none"/>
          <w:lang w:eastAsia="zh-CN"/>
        </w:rPr>
        <w:t>技术</w:t>
      </w:r>
      <w:r>
        <w:rPr>
          <w:rFonts w:hint="eastAsia" w:ascii="仿宋" w:hAnsi="仿宋" w:eastAsia="仿宋" w:cs="仿宋"/>
          <w:color w:val="auto"/>
          <w:sz w:val="24"/>
          <w:szCs w:val="24"/>
          <w:highlight w:val="none"/>
          <w:lang w:val="en-US" w:eastAsia="zh-CN"/>
        </w:rPr>
        <w:t>响应表；</w:t>
      </w:r>
    </w:p>
    <w:p w14:paraId="3AC0D57F">
      <w:pPr>
        <w:keepNext w:val="0"/>
        <w:keepLines w:val="0"/>
        <w:pageBreakBefore w:val="0"/>
        <w:widowControl w:val="0"/>
        <w:kinsoku/>
        <w:wordWrap/>
        <w:overflowPunct/>
        <w:topLinePunct w:val="0"/>
        <w:autoSpaceDE/>
        <w:autoSpaceDN/>
        <w:bidi w:val="0"/>
        <w:adjustRightInd w:val="0"/>
        <w:snapToGrid w:val="0"/>
        <w:spacing w:beforeAutospacing="0" w:line="440" w:lineRule="exact"/>
        <w:ind w:left="0" w:leftChars="0" w:firstLine="720" w:firstLineChars="3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2.2.11</w:t>
      </w:r>
      <w:r>
        <w:rPr>
          <w:rFonts w:hint="eastAsia" w:ascii="仿宋" w:hAnsi="仿宋" w:eastAsia="仿宋" w:cs="仿宋"/>
          <w:i w:val="0"/>
          <w:iCs w:val="0"/>
          <w:color w:val="auto"/>
          <w:kern w:val="0"/>
          <w:sz w:val="24"/>
          <w:szCs w:val="24"/>
          <w:highlight w:val="none"/>
          <w:u w:val="none"/>
          <w:lang w:val="en-US" w:eastAsia="zh-CN" w:bidi="ar"/>
        </w:rPr>
        <w:t>人员技术力量配置</w:t>
      </w:r>
      <w:r>
        <w:rPr>
          <w:rFonts w:hint="eastAsia" w:ascii="仿宋" w:hAnsi="仿宋" w:eastAsia="仿宋" w:cs="仿宋"/>
          <w:color w:val="auto"/>
          <w:sz w:val="24"/>
          <w:szCs w:val="24"/>
          <w:highlight w:val="none"/>
          <w:lang w:val="en-US" w:eastAsia="zh-CN"/>
        </w:rPr>
        <w:t>；</w:t>
      </w:r>
    </w:p>
    <w:p w14:paraId="60B816FE">
      <w:pPr>
        <w:keepNext w:val="0"/>
        <w:keepLines w:val="0"/>
        <w:pageBreakBefore w:val="0"/>
        <w:widowControl w:val="0"/>
        <w:kinsoku/>
        <w:wordWrap/>
        <w:overflowPunct/>
        <w:topLinePunct w:val="0"/>
        <w:autoSpaceDE/>
        <w:autoSpaceDN/>
        <w:bidi w:val="0"/>
        <w:adjustRightInd w:val="0"/>
        <w:snapToGrid w:val="0"/>
        <w:spacing w:beforeAutospacing="0" w:line="440" w:lineRule="exact"/>
        <w:ind w:left="0" w:leftChars="0" w:firstLine="720" w:firstLineChars="3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2.2.12</w:t>
      </w:r>
      <w:r>
        <w:rPr>
          <w:rFonts w:hint="eastAsia" w:ascii="仿宋" w:hAnsi="仿宋" w:eastAsia="仿宋" w:cs="仿宋"/>
          <w:color w:val="auto"/>
          <w:kern w:val="0"/>
          <w:sz w:val="24"/>
          <w:szCs w:val="24"/>
          <w:highlight w:val="none"/>
        </w:rPr>
        <w:t>软件技术方案</w:t>
      </w:r>
      <w:r>
        <w:rPr>
          <w:rFonts w:hint="eastAsia" w:ascii="仿宋" w:hAnsi="仿宋" w:eastAsia="仿宋" w:cs="仿宋"/>
          <w:color w:val="auto"/>
          <w:sz w:val="24"/>
          <w:szCs w:val="24"/>
          <w:highlight w:val="none"/>
          <w:vertAlign w:val="baseline"/>
          <w:lang w:val="en-US" w:eastAsia="zh-CN"/>
        </w:rPr>
        <w:t>；</w:t>
      </w:r>
    </w:p>
    <w:p w14:paraId="63F0A9E6">
      <w:pPr>
        <w:keepNext w:val="0"/>
        <w:keepLines w:val="0"/>
        <w:pageBreakBefore w:val="0"/>
        <w:widowControl w:val="0"/>
        <w:kinsoku/>
        <w:wordWrap/>
        <w:overflowPunct/>
        <w:topLinePunct w:val="0"/>
        <w:autoSpaceDE/>
        <w:autoSpaceDN/>
        <w:bidi w:val="0"/>
        <w:adjustRightInd w:val="0"/>
        <w:snapToGrid w:val="0"/>
        <w:spacing w:beforeAutospacing="0" w:line="440" w:lineRule="exact"/>
        <w:ind w:left="0" w:leftChars="0" w:firstLine="720" w:firstLineChars="3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highlight w:val="none"/>
          <w:lang w:val="en-US" w:eastAsia="zh-CN"/>
        </w:rPr>
        <w:t>2.2.13</w:t>
      </w:r>
      <w:r>
        <w:rPr>
          <w:rFonts w:hint="eastAsia" w:ascii="仿宋" w:hAnsi="仿宋" w:eastAsia="仿宋" w:cs="仿宋"/>
          <w:color w:val="auto"/>
          <w:kern w:val="0"/>
          <w:sz w:val="24"/>
          <w:szCs w:val="24"/>
          <w:highlight w:val="none"/>
        </w:rPr>
        <w:t>系统迁移方案</w:t>
      </w:r>
      <w:r>
        <w:rPr>
          <w:rFonts w:hint="eastAsia" w:ascii="仿宋" w:hAnsi="仿宋" w:eastAsia="仿宋" w:cs="仿宋"/>
          <w:color w:val="auto"/>
          <w:sz w:val="24"/>
          <w:szCs w:val="24"/>
          <w:highlight w:val="none"/>
          <w:lang w:eastAsia="zh-CN"/>
        </w:rPr>
        <w:t>；</w:t>
      </w:r>
    </w:p>
    <w:p w14:paraId="7339DAB3">
      <w:pPr>
        <w:keepNext w:val="0"/>
        <w:keepLines w:val="0"/>
        <w:pageBreakBefore w:val="0"/>
        <w:widowControl w:val="0"/>
        <w:kinsoku/>
        <w:wordWrap/>
        <w:overflowPunct/>
        <w:topLinePunct w:val="0"/>
        <w:autoSpaceDE/>
        <w:autoSpaceDN/>
        <w:bidi w:val="0"/>
        <w:adjustRightInd w:val="0"/>
        <w:snapToGrid w:val="0"/>
        <w:spacing w:beforeAutospacing="0" w:line="440" w:lineRule="exact"/>
        <w:ind w:left="0" w:leftChars="0" w:firstLine="720" w:firstLineChars="3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2.2.14实施方案</w:t>
      </w:r>
      <w:r>
        <w:rPr>
          <w:rFonts w:hint="eastAsia" w:ascii="仿宋" w:hAnsi="仿宋" w:eastAsia="仿宋" w:cs="仿宋"/>
          <w:color w:val="auto"/>
          <w:kern w:val="0"/>
          <w:sz w:val="24"/>
          <w:szCs w:val="24"/>
          <w:highlight w:val="none"/>
          <w:lang w:eastAsia="zh-CN"/>
        </w:rPr>
        <w:t>；</w:t>
      </w:r>
    </w:p>
    <w:p w14:paraId="182669DD">
      <w:pPr>
        <w:keepNext w:val="0"/>
        <w:keepLines w:val="0"/>
        <w:pageBreakBefore w:val="0"/>
        <w:widowControl w:val="0"/>
        <w:kinsoku/>
        <w:wordWrap/>
        <w:overflowPunct/>
        <w:topLinePunct w:val="0"/>
        <w:autoSpaceDE/>
        <w:autoSpaceDN/>
        <w:bidi w:val="0"/>
        <w:adjustRightInd w:val="0"/>
        <w:snapToGrid w:val="0"/>
        <w:spacing w:beforeAutospacing="0" w:line="440" w:lineRule="exact"/>
        <w:ind w:left="0" w:leftChars="0" w:firstLine="720" w:firstLineChars="3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u w:val="none"/>
        </w:rPr>
        <w:t>2.2.1</w:t>
      </w:r>
      <w:r>
        <w:rPr>
          <w:rFonts w:hint="eastAsia" w:ascii="仿宋" w:hAnsi="仿宋" w:eastAsia="仿宋" w:cs="仿宋"/>
          <w:color w:val="auto"/>
          <w:sz w:val="24"/>
          <w:highlight w:val="none"/>
          <w:u w:val="none"/>
          <w:lang w:val="en-US" w:eastAsia="zh-CN"/>
        </w:rPr>
        <w:t>5</w:t>
      </w:r>
      <w:r>
        <w:rPr>
          <w:rFonts w:hint="eastAsia" w:ascii="仿宋" w:hAnsi="仿宋" w:eastAsia="仿宋" w:cs="仿宋"/>
          <w:color w:val="auto"/>
          <w:kern w:val="0"/>
          <w:sz w:val="24"/>
          <w:szCs w:val="24"/>
          <w:highlight w:val="none"/>
        </w:rPr>
        <w:t>培训方案</w:t>
      </w:r>
      <w:r>
        <w:rPr>
          <w:rFonts w:hint="eastAsia" w:ascii="仿宋" w:hAnsi="仿宋" w:eastAsia="仿宋" w:cs="仿宋"/>
          <w:color w:val="auto"/>
          <w:sz w:val="24"/>
          <w:highlight w:val="none"/>
          <w:lang w:val="en-US" w:eastAsia="zh-CN"/>
        </w:rPr>
        <w:t>；</w:t>
      </w:r>
    </w:p>
    <w:p w14:paraId="620FA2E2">
      <w:pPr>
        <w:keepNext w:val="0"/>
        <w:keepLines w:val="0"/>
        <w:pageBreakBefore w:val="0"/>
        <w:kinsoku/>
        <w:wordWrap/>
        <w:overflowPunct/>
        <w:topLinePunct w:val="0"/>
        <w:bidi w:val="0"/>
        <w:snapToGrid w:val="0"/>
        <w:spacing w:line="440" w:lineRule="exact"/>
        <w:ind w:firstLine="720" w:firstLineChars="3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highlight w:val="none"/>
          <w:u w:val="none"/>
        </w:rPr>
        <w:t>2.2.1</w:t>
      </w:r>
      <w:r>
        <w:rPr>
          <w:rFonts w:hint="eastAsia" w:ascii="仿宋" w:hAnsi="仿宋" w:eastAsia="仿宋" w:cs="仿宋"/>
          <w:color w:val="auto"/>
          <w:sz w:val="24"/>
          <w:highlight w:val="none"/>
          <w:u w:val="none"/>
          <w:lang w:val="en-US" w:eastAsia="zh-CN"/>
        </w:rPr>
        <w:t>6售后服务</w:t>
      </w:r>
      <w:r>
        <w:rPr>
          <w:rFonts w:hint="eastAsia" w:ascii="仿宋" w:hAnsi="仿宋" w:eastAsia="仿宋" w:cs="仿宋"/>
          <w:color w:val="auto"/>
          <w:sz w:val="24"/>
          <w:szCs w:val="24"/>
          <w:highlight w:val="none"/>
          <w:lang w:eastAsia="zh-CN"/>
        </w:rPr>
        <w:t>；</w:t>
      </w:r>
    </w:p>
    <w:p w14:paraId="681F9148">
      <w:pPr>
        <w:keepNext w:val="0"/>
        <w:keepLines w:val="0"/>
        <w:pageBreakBefore w:val="0"/>
        <w:kinsoku/>
        <w:wordWrap/>
        <w:overflowPunct/>
        <w:topLinePunct w:val="0"/>
        <w:bidi w:val="0"/>
        <w:snapToGrid w:val="0"/>
        <w:spacing w:line="440" w:lineRule="exact"/>
        <w:ind w:firstLine="720" w:firstLineChars="3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2.2.17</w:t>
      </w:r>
      <w:r>
        <w:rPr>
          <w:rFonts w:hint="eastAsia" w:ascii="仿宋" w:hAnsi="仿宋" w:eastAsia="仿宋" w:cs="仿宋"/>
          <w:color w:val="auto"/>
          <w:kern w:val="0"/>
          <w:sz w:val="24"/>
          <w:szCs w:val="20"/>
          <w:highlight w:val="none"/>
          <w:lang w:val="en-US" w:eastAsia="zh-CN"/>
        </w:rPr>
        <w:t>运维期（质保期）；</w:t>
      </w:r>
    </w:p>
    <w:p w14:paraId="3C09D006">
      <w:pPr>
        <w:keepNext w:val="0"/>
        <w:keepLines w:val="0"/>
        <w:pageBreakBefore w:val="0"/>
        <w:kinsoku/>
        <w:wordWrap/>
        <w:overflowPunct/>
        <w:topLinePunct w:val="0"/>
        <w:bidi w:val="0"/>
        <w:snapToGrid w:val="0"/>
        <w:spacing w:line="440" w:lineRule="exact"/>
        <w:ind w:firstLine="720" w:firstLineChars="300"/>
        <w:textAlignment w:val="auto"/>
        <w:rPr>
          <w:rFonts w:hint="eastAsia" w:ascii="仿宋" w:hAnsi="仿宋" w:eastAsia="仿宋" w:cs="仿宋"/>
          <w:color w:val="auto"/>
          <w:highlight w:val="none"/>
          <w:lang w:val="zh-CN"/>
        </w:rPr>
      </w:pPr>
      <w:r>
        <w:rPr>
          <w:rFonts w:hint="eastAsia" w:ascii="仿宋" w:hAnsi="仿宋" w:eastAsia="仿宋" w:cs="仿宋"/>
          <w:color w:val="auto"/>
          <w:kern w:val="2"/>
          <w:sz w:val="24"/>
          <w:szCs w:val="24"/>
          <w:highlight w:val="none"/>
          <w:lang w:val="en-US" w:eastAsia="zh-CN" w:bidi="ar"/>
        </w:rPr>
        <w:t>2.2.18</w:t>
      </w:r>
      <w:r>
        <w:rPr>
          <w:rFonts w:hint="eastAsia" w:ascii="仿宋" w:hAnsi="仿宋" w:eastAsia="仿宋" w:cs="仿宋"/>
          <w:color w:val="auto"/>
          <w:sz w:val="24"/>
          <w:highlight w:val="none"/>
        </w:rPr>
        <w:t>投标人需要说明的其他文件和说明</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若有</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w:t>
      </w:r>
    </w:p>
    <w:p w14:paraId="6BFA428E">
      <w:pPr>
        <w:keepNext w:val="0"/>
        <w:keepLines w:val="0"/>
        <w:pageBreakBefore w:val="0"/>
        <w:kinsoku/>
        <w:wordWrap/>
        <w:overflowPunct/>
        <w:topLinePunct w:val="0"/>
        <w:bidi w:val="0"/>
        <w:snapToGrid w:val="0"/>
        <w:spacing w:line="440" w:lineRule="exact"/>
        <w:ind w:firstLine="482" w:firstLineChars="200"/>
        <w:textAlignment w:val="auto"/>
        <w:rPr>
          <w:rFonts w:hint="eastAsia" w:ascii="仿宋" w:hAnsi="仿宋" w:eastAsia="仿宋" w:cs="仿宋"/>
          <w:b/>
          <w:color w:val="auto"/>
          <w:sz w:val="24"/>
          <w:highlight w:val="none"/>
          <w:lang w:val="zh-CN"/>
        </w:rPr>
      </w:pPr>
      <w:r>
        <w:rPr>
          <w:rFonts w:hint="eastAsia" w:ascii="仿宋" w:hAnsi="仿宋" w:eastAsia="仿宋" w:cs="仿宋"/>
          <w:b/>
          <w:color w:val="auto"/>
          <w:sz w:val="24"/>
          <w:highlight w:val="none"/>
          <w:lang w:val="zh-CN"/>
        </w:rPr>
        <w:t>2.3报价文件：</w:t>
      </w:r>
    </w:p>
    <w:p w14:paraId="7C70CD7E">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440" w:lineRule="exact"/>
        <w:ind w:firstLine="720" w:firstLineChars="3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2.3.1</w:t>
      </w:r>
      <w:r>
        <w:rPr>
          <w:rFonts w:hint="eastAsia" w:ascii="仿宋" w:hAnsi="仿宋" w:eastAsia="仿宋" w:cs="仿宋"/>
          <w:color w:val="auto"/>
          <w:sz w:val="24"/>
          <w:highlight w:val="none"/>
        </w:rPr>
        <w:t>开标一览表</w:t>
      </w:r>
      <w:r>
        <w:rPr>
          <w:rFonts w:hint="eastAsia" w:ascii="仿宋" w:hAnsi="仿宋" w:eastAsia="仿宋" w:cs="仿宋"/>
          <w:color w:val="auto"/>
          <w:sz w:val="24"/>
          <w:highlight w:val="none"/>
          <w:lang w:eastAsia="zh-CN"/>
        </w:rPr>
        <w:t>；</w:t>
      </w:r>
    </w:p>
    <w:p w14:paraId="3897EE9B">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440" w:lineRule="exact"/>
        <w:ind w:firstLine="720" w:firstLineChars="3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2.3.2报价明细表</w:t>
      </w:r>
      <w:r>
        <w:rPr>
          <w:rFonts w:hint="eastAsia" w:ascii="仿宋" w:hAnsi="仿宋" w:eastAsia="仿宋" w:cs="仿宋"/>
          <w:color w:val="auto"/>
          <w:sz w:val="24"/>
          <w:highlight w:val="none"/>
          <w:lang w:eastAsia="zh-CN"/>
        </w:rPr>
        <w:t>；</w:t>
      </w:r>
    </w:p>
    <w:p w14:paraId="0D974DBA">
      <w:pPr>
        <w:keepNext w:val="0"/>
        <w:keepLines w:val="0"/>
        <w:pageBreakBefore w:val="0"/>
        <w:kinsoku/>
        <w:wordWrap/>
        <w:overflowPunct/>
        <w:topLinePunct w:val="0"/>
        <w:bidi w:val="0"/>
        <w:snapToGrid w:val="0"/>
        <w:spacing w:line="440" w:lineRule="exact"/>
        <w:ind w:firstLine="720" w:firstLineChars="3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2.3.3</w:t>
      </w:r>
      <w:r>
        <w:rPr>
          <w:rFonts w:hint="eastAsia" w:ascii="仿宋" w:hAnsi="仿宋" w:eastAsia="仿宋" w:cs="仿宋"/>
          <w:color w:val="auto"/>
          <w:sz w:val="24"/>
          <w:highlight w:val="none"/>
          <w:lang w:eastAsia="zh-CN"/>
        </w:rPr>
        <w:t>投标人针对报价需要说明的其他文件和说明（</w:t>
      </w:r>
      <w:r>
        <w:rPr>
          <w:rFonts w:hint="eastAsia" w:ascii="仿宋" w:hAnsi="仿宋" w:eastAsia="仿宋" w:cs="仿宋"/>
          <w:color w:val="auto"/>
          <w:sz w:val="24"/>
          <w:highlight w:val="none"/>
          <w:lang w:val="en-US" w:eastAsia="zh-CN"/>
        </w:rPr>
        <w:t>若有</w:t>
      </w:r>
      <w:r>
        <w:rPr>
          <w:rFonts w:hint="eastAsia" w:ascii="仿宋" w:hAnsi="仿宋" w:eastAsia="仿宋" w:cs="仿宋"/>
          <w:color w:val="auto"/>
          <w:sz w:val="24"/>
          <w:highlight w:val="none"/>
          <w:lang w:eastAsia="zh-CN"/>
        </w:rPr>
        <w:t>）。</w:t>
      </w:r>
    </w:p>
    <w:p w14:paraId="17FB306C">
      <w:pPr>
        <w:keepNext w:val="0"/>
        <w:keepLines w:val="0"/>
        <w:pageBreakBefore w:val="0"/>
        <w:kinsoku/>
        <w:wordWrap/>
        <w:overflowPunct/>
        <w:topLinePunct w:val="0"/>
        <w:bidi w:val="0"/>
        <w:snapToGrid w:val="0"/>
        <w:spacing w:line="440" w:lineRule="exact"/>
        <w:textAlignment w:val="auto"/>
        <w:rPr>
          <w:rFonts w:hint="eastAsia" w:ascii="仿宋" w:hAnsi="仿宋" w:eastAsia="仿宋" w:cs="仿宋"/>
          <w:b/>
          <w:bCs/>
          <w:color w:val="auto"/>
          <w:sz w:val="32"/>
          <w:highlight w:val="none"/>
        </w:rPr>
      </w:pPr>
      <w:r>
        <w:rPr>
          <w:rFonts w:hint="eastAsia" w:ascii="仿宋" w:hAnsi="仿宋" w:eastAsia="仿宋" w:cs="仿宋"/>
          <w:b/>
          <w:bCs/>
          <w:color w:val="auto"/>
          <w:sz w:val="24"/>
          <w:szCs w:val="20"/>
          <w:highlight w:val="none"/>
        </w:rPr>
        <w:t>3.投标报价</w:t>
      </w:r>
    </w:p>
    <w:p w14:paraId="7959955D">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440" w:lineRule="exact"/>
        <w:ind w:firstLine="720" w:firstLineChars="3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3.1供应商应按招标文件中《开标一览表》等附表要求填写。</w:t>
      </w:r>
    </w:p>
    <w:p w14:paraId="569A91B0">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440" w:lineRule="exact"/>
        <w:ind w:firstLine="720" w:firstLineChars="300"/>
        <w:textAlignment w:val="auto"/>
        <w:rPr>
          <w:rFonts w:hint="eastAsia" w:ascii="仿宋" w:hAnsi="仿宋" w:eastAsia="仿宋" w:cs="仿宋"/>
          <w:color w:val="auto"/>
          <w:highlight w:val="none"/>
          <w:lang w:val="en-US"/>
        </w:rPr>
      </w:pPr>
      <w:r>
        <w:rPr>
          <w:rFonts w:hint="eastAsia" w:ascii="仿宋" w:hAnsi="仿宋" w:eastAsia="仿宋" w:cs="仿宋"/>
          <w:color w:val="auto"/>
          <w:sz w:val="24"/>
          <w:highlight w:val="none"/>
          <w:lang w:val="en-US" w:eastAsia="zh-CN"/>
        </w:rPr>
        <w:t>3.2投标报价是完成本招标文件所述的项目内容所需的全部费用，包括但不限于</w:t>
      </w:r>
      <w:r>
        <w:rPr>
          <w:rFonts w:hint="eastAsia" w:ascii="仿宋" w:hAnsi="仿宋" w:eastAsia="仿宋" w:cs="仿宋"/>
          <w:color w:val="auto"/>
          <w:highlight w:val="none"/>
          <w:lang w:val="en-US"/>
        </w:rPr>
        <w:t>包括系统的设计与开发、安装、调试、施工、技术培训、售后服务、验收、税金及其他配套服务过程中涉及的一切费用。</w:t>
      </w:r>
    </w:p>
    <w:p w14:paraId="0110D23D">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440" w:lineRule="exact"/>
        <w:ind w:firstLine="720" w:firstLineChars="3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3.3招标文件未列明，而供应商认为必需的费用也需列入报价。</w:t>
      </w:r>
    </w:p>
    <w:p w14:paraId="5D863DA9">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440" w:lineRule="exact"/>
        <w:ind w:firstLine="720" w:firstLineChars="300"/>
        <w:textAlignment w:val="auto"/>
        <w:rPr>
          <w:rFonts w:hint="default" w:ascii="仿宋" w:hAnsi="仿宋" w:eastAsia="仿宋" w:cs="仿宋"/>
          <w:b/>
          <w:bCs/>
          <w:color w:val="auto"/>
          <w:sz w:val="24"/>
          <w:highlight w:val="none"/>
          <w:lang w:val="en-US" w:eastAsia="zh-CN"/>
        </w:rPr>
      </w:pPr>
      <w:r>
        <w:rPr>
          <w:rFonts w:hint="eastAsia" w:ascii="仿宋" w:hAnsi="仿宋" w:eastAsia="仿宋" w:cs="仿宋"/>
          <w:b w:val="0"/>
          <w:bCs w:val="0"/>
          <w:color w:val="auto"/>
          <w:sz w:val="24"/>
          <w:highlight w:val="none"/>
          <w:lang w:val="en-US" w:eastAsia="zh-CN"/>
        </w:rPr>
        <w:t>3.4投标单位在投标报价前对本项目情况进行充分了解，全面考虑项目实施过程中可能产生的各项费用，投标单位有义务保证采购人项目的完整性，如项目实施过程中因缺少设备、配件或服务导致本项目无法正常运行，供应商须免费及时提供，采购人不单独列项支付另外费用。报价应当包括招标文件提供的技术条款，还应包括任何未明确标出的，全套设备安装后保证正常安全运行所不可缺少的配件及附件。</w:t>
      </w:r>
    </w:p>
    <w:p w14:paraId="4361464D">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440" w:lineRule="exact"/>
        <w:ind w:firstLine="723" w:firstLineChars="300"/>
        <w:textAlignment w:val="auto"/>
        <w:rPr>
          <w:rFonts w:hint="eastAsia" w:ascii="仿宋" w:hAnsi="仿宋" w:eastAsia="仿宋" w:cs="仿宋"/>
          <w:b/>
          <w:bCs/>
          <w:color w:val="auto"/>
          <w:sz w:val="24"/>
          <w:highlight w:val="none"/>
          <w:lang w:val="en-US"/>
        </w:rPr>
      </w:pPr>
      <w:r>
        <w:rPr>
          <w:rFonts w:hint="eastAsia" w:ascii="仿宋" w:hAnsi="仿宋" w:eastAsia="仿宋" w:cs="仿宋"/>
          <w:b/>
          <w:bCs/>
          <w:color w:val="auto"/>
          <w:sz w:val="24"/>
          <w:highlight w:val="none"/>
          <w:lang w:val="en-US" w:eastAsia="zh-CN"/>
        </w:rPr>
        <w:t>3.5投标报价只允许有一个报价，有选择的报价将不予接受（除指定外）</w:t>
      </w:r>
      <w:r>
        <w:rPr>
          <w:rFonts w:hint="eastAsia" w:ascii="仿宋" w:hAnsi="仿宋" w:eastAsia="仿宋" w:cs="仿宋"/>
          <w:b/>
          <w:bCs/>
          <w:color w:val="auto"/>
          <w:sz w:val="24"/>
          <w:highlight w:val="none"/>
          <w:lang w:val="en-US"/>
        </w:rPr>
        <w:t>。</w:t>
      </w:r>
    </w:p>
    <w:p w14:paraId="4FFAC8D1">
      <w:pPr>
        <w:keepNext w:val="0"/>
        <w:keepLines w:val="0"/>
        <w:pageBreakBefore w:val="0"/>
        <w:widowControl w:val="0"/>
        <w:kinsoku/>
        <w:wordWrap/>
        <w:overflowPunct/>
        <w:topLinePunct w:val="0"/>
        <w:autoSpaceDE/>
        <w:autoSpaceDN/>
        <w:bidi w:val="0"/>
        <w:adjustRightInd w:val="0"/>
        <w:snapToGrid w:val="0"/>
        <w:spacing w:line="440" w:lineRule="exact"/>
        <w:ind w:firstLine="723" w:firstLineChars="300"/>
        <w:textAlignment w:val="auto"/>
        <w:rPr>
          <w:rFonts w:hint="eastAsia" w:ascii="仿宋" w:hAnsi="仿宋" w:eastAsia="仿宋" w:cs="仿宋"/>
          <w:b/>
          <w:color w:val="auto"/>
          <w:sz w:val="32"/>
          <w:highlight w:val="none"/>
        </w:rPr>
      </w:pPr>
      <w:r>
        <w:rPr>
          <w:rFonts w:hint="eastAsia" w:ascii="仿宋" w:hAnsi="仿宋" w:eastAsia="仿宋" w:cs="仿宋"/>
          <w:b/>
          <w:bCs/>
          <w:color w:val="auto"/>
          <w:sz w:val="24"/>
          <w:highlight w:val="none"/>
          <w:lang w:val="en-US" w:eastAsia="zh-CN"/>
        </w:rPr>
        <w:t>3.6《资格文件》和《商务技术文件》中不得出现本项目投标报价，否则投标无效。</w:t>
      </w:r>
    </w:p>
    <w:p w14:paraId="2A9B5184">
      <w:pPr>
        <w:keepNext w:val="0"/>
        <w:keepLines w:val="0"/>
        <w:pageBreakBefore w:val="0"/>
        <w:widowControl w:val="0"/>
        <w:kinsoku/>
        <w:wordWrap/>
        <w:overflowPunct/>
        <w:topLinePunct w:val="0"/>
        <w:autoSpaceDE/>
        <w:autoSpaceDN/>
        <w:bidi w:val="0"/>
        <w:adjustRightInd w:val="0"/>
        <w:snapToGrid w:val="0"/>
        <w:spacing w:line="440" w:lineRule="exact"/>
        <w:ind w:firstLine="720" w:firstLineChars="300"/>
        <w:textAlignment w:val="auto"/>
        <w:rPr>
          <w:rFonts w:hint="eastAsia" w:ascii="仿宋" w:hAnsi="仿宋" w:eastAsia="仿宋" w:cs="仿宋"/>
          <w:b/>
          <w:color w:val="auto"/>
          <w:sz w:val="32"/>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投标人提供虚假材料投标的，投标无效。</w:t>
      </w:r>
    </w:p>
    <w:p w14:paraId="6F0CF9CE">
      <w:pPr>
        <w:pStyle w:val="134"/>
        <w:keepNext w:val="0"/>
        <w:keepLines w:val="0"/>
        <w:pageBreakBefore w:val="0"/>
        <w:kinsoku/>
        <w:wordWrap/>
        <w:overflowPunct/>
        <w:topLinePunct w:val="0"/>
        <w:bidi w:val="0"/>
        <w:snapToGrid w:val="0"/>
        <w:spacing w:before="0" w:line="440" w:lineRule="exact"/>
        <w:ind w:firstLine="0" w:firstLineChars="0"/>
        <w:textAlignment w:val="auto"/>
        <w:outlineLvl w:val="0"/>
        <w:rPr>
          <w:rFonts w:hint="eastAsia" w:ascii="仿宋" w:hAnsi="仿宋" w:eastAsia="仿宋" w:cs="仿宋"/>
          <w:b/>
          <w:color w:val="auto"/>
          <w:szCs w:val="24"/>
          <w:highlight w:val="none"/>
        </w:rPr>
      </w:pPr>
      <w:r>
        <w:rPr>
          <w:rFonts w:hint="eastAsia" w:ascii="仿宋" w:hAnsi="仿宋" w:eastAsia="仿宋" w:cs="仿宋"/>
          <w:b/>
          <w:color w:val="auto"/>
          <w:kern w:val="0"/>
          <w:szCs w:val="24"/>
          <w:highlight w:val="none"/>
        </w:rPr>
        <w:t>4.</w:t>
      </w:r>
      <w:r>
        <w:rPr>
          <w:rFonts w:hint="eastAsia" w:ascii="仿宋" w:hAnsi="仿宋" w:eastAsia="仿宋" w:cs="仿宋"/>
          <w:b/>
          <w:color w:val="auto"/>
          <w:szCs w:val="24"/>
          <w:highlight w:val="none"/>
        </w:rPr>
        <w:t>投标文件的编制和</w:t>
      </w:r>
      <w:r>
        <w:rPr>
          <w:rFonts w:hint="eastAsia" w:ascii="仿宋" w:hAnsi="仿宋" w:eastAsia="仿宋" w:cs="仿宋"/>
          <w:b/>
          <w:color w:val="auto"/>
          <w:highlight w:val="none"/>
        </w:rPr>
        <w:t>签署</w:t>
      </w:r>
    </w:p>
    <w:p w14:paraId="186C8C92">
      <w:pPr>
        <w:keepNext w:val="0"/>
        <w:keepLines w:val="0"/>
        <w:pageBreakBefore w:val="0"/>
        <w:kinsoku/>
        <w:wordWrap/>
        <w:overflowPunct/>
        <w:topLinePunct w:val="0"/>
        <w:bidi w:val="0"/>
        <w:snapToGrid w:val="0"/>
        <w:spacing w:line="44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r>
        <w:rPr>
          <w:rFonts w:hint="eastAsia" w:ascii="仿宋" w:hAnsi="仿宋" w:eastAsia="仿宋" w:cs="仿宋"/>
          <w:color w:val="auto"/>
          <w:sz w:val="24"/>
          <w:highlight w:val="none"/>
          <w:lang w:val="zh-CN"/>
        </w:rPr>
        <w:t>.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4D919F0D">
      <w:pPr>
        <w:keepNext w:val="0"/>
        <w:keepLines w:val="0"/>
        <w:pageBreakBefore w:val="0"/>
        <w:kinsoku/>
        <w:wordWrap/>
        <w:overflowPunct/>
        <w:topLinePunct w:val="0"/>
        <w:bidi w:val="0"/>
        <w:snapToGrid w:val="0"/>
        <w:spacing w:line="440" w:lineRule="exact"/>
        <w:ind w:firstLine="480" w:firstLineChars="200"/>
        <w:jc w:val="left"/>
        <w:textAlignment w:val="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4</w:t>
      </w:r>
      <w:r>
        <w:rPr>
          <w:rFonts w:hint="eastAsia" w:ascii="仿宋" w:hAnsi="仿宋" w:eastAsia="仿宋" w:cs="仿宋"/>
          <w:color w:val="auto"/>
          <w:sz w:val="24"/>
          <w:highlight w:val="none"/>
          <w:lang w:val="zh-CN"/>
        </w:rPr>
        <w:t>.2投标人进行电子投标应安装客户端软件—“乐采云电子交易客户端”，并按照招标文件和电子交易平台的要求编制并加密投标文件。投标人未按规定加密的投标文件，电子交易平台将拒收并提示。</w:t>
      </w:r>
    </w:p>
    <w:p w14:paraId="3C338D35">
      <w:pPr>
        <w:keepNext w:val="0"/>
        <w:keepLines w:val="0"/>
        <w:pageBreakBefore w:val="0"/>
        <w:kinsoku/>
        <w:wordWrap/>
        <w:overflowPunct/>
        <w:topLinePunct w:val="0"/>
        <w:bidi w:val="0"/>
        <w:snapToGrid w:val="0"/>
        <w:spacing w:line="440" w:lineRule="exact"/>
        <w:ind w:firstLine="480" w:firstLineChars="200"/>
        <w:jc w:val="left"/>
        <w:textAlignment w:val="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4</w:t>
      </w:r>
      <w:r>
        <w:rPr>
          <w:rFonts w:hint="eastAsia" w:ascii="仿宋" w:hAnsi="仿宋" w:eastAsia="仿宋" w:cs="仿宋"/>
          <w:color w:val="auto"/>
          <w:sz w:val="24"/>
          <w:highlight w:val="none"/>
          <w:lang w:val="zh-CN"/>
        </w:rPr>
        <w:t>.3使用“乐采云电子交易客户端”需要提前申领CA数字证书，申领流程请自行前往“浙江政府采购网-下载专区－电子交易客户端-CA驱动和申领流程”进行查阅。</w:t>
      </w:r>
    </w:p>
    <w:p w14:paraId="6D57EC05">
      <w:pPr>
        <w:keepNext w:val="0"/>
        <w:keepLines w:val="0"/>
        <w:pageBreakBefore w:val="0"/>
        <w:kinsoku/>
        <w:wordWrap/>
        <w:overflowPunct/>
        <w:topLinePunct w:val="0"/>
        <w:bidi w:val="0"/>
        <w:snapToGrid w:val="0"/>
        <w:spacing w:line="440" w:lineRule="exact"/>
        <w:ind w:firstLine="480" w:firstLineChars="200"/>
        <w:jc w:val="left"/>
        <w:textAlignment w:val="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4.4</w:t>
      </w:r>
      <w:r>
        <w:rPr>
          <w:rFonts w:hint="eastAsia" w:ascii="仿宋" w:hAnsi="仿宋" w:eastAsia="仿宋" w:cs="仿宋"/>
          <w:color w:val="auto"/>
          <w:sz w:val="24"/>
          <w:highlight w:val="none"/>
          <w:lang w:val="zh-CN"/>
        </w:rPr>
        <w:t>投标文件按照招标文件第六部分格式要求进行签署、盖章。投标人的投标文件未按照招标文件要求签署、盖章的，其投标无效。</w:t>
      </w:r>
    </w:p>
    <w:p w14:paraId="68BA606B">
      <w:pPr>
        <w:keepNext w:val="0"/>
        <w:keepLines w:val="0"/>
        <w:pageBreakBefore w:val="0"/>
        <w:kinsoku/>
        <w:wordWrap/>
        <w:overflowPunct/>
        <w:topLinePunct w:val="0"/>
        <w:bidi w:val="0"/>
        <w:snapToGrid w:val="0"/>
        <w:spacing w:line="440" w:lineRule="exact"/>
        <w:ind w:firstLine="480" w:firstLineChars="200"/>
        <w:jc w:val="left"/>
        <w:textAlignment w:val="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4.5</w:t>
      </w:r>
      <w:r>
        <w:rPr>
          <w:rFonts w:hint="eastAsia" w:ascii="仿宋" w:hAnsi="仿宋" w:eastAsia="仿宋" w:cs="仿宋"/>
          <w:color w:val="auto"/>
          <w:sz w:val="24"/>
          <w:highlight w:val="none"/>
          <w:lang w:val="zh-CN"/>
        </w:rPr>
        <w:t>为确保网上操作合法、有效和安全，投标人应当在投标截止时间前完成在“乐采云平台”的身份认证，确保在电子投标过程中能够对相关数据电文进行加密和使用电子签名。</w:t>
      </w:r>
    </w:p>
    <w:p w14:paraId="7919B916">
      <w:pPr>
        <w:keepNext w:val="0"/>
        <w:keepLines w:val="0"/>
        <w:pageBreakBefore w:val="0"/>
        <w:kinsoku/>
        <w:wordWrap/>
        <w:overflowPunct/>
        <w:topLinePunct w:val="0"/>
        <w:bidi w:val="0"/>
        <w:snapToGrid w:val="0"/>
        <w:spacing w:line="440" w:lineRule="exact"/>
        <w:ind w:firstLine="480" w:firstLineChars="200"/>
        <w:jc w:val="left"/>
        <w:textAlignment w:val="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4.6</w:t>
      </w:r>
      <w:r>
        <w:rPr>
          <w:rFonts w:hint="eastAsia" w:ascii="仿宋" w:hAnsi="仿宋" w:eastAsia="仿宋" w:cs="仿宋"/>
          <w:color w:val="auto"/>
          <w:sz w:val="24"/>
          <w:highlight w:val="none"/>
          <w:lang w:val="zh-CN"/>
        </w:rPr>
        <w:t>招标文件对投标文件签署、盖章的要求适用于电子签名。</w:t>
      </w:r>
    </w:p>
    <w:p w14:paraId="23215218">
      <w:pPr>
        <w:pStyle w:val="134"/>
        <w:keepNext w:val="0"/>
        <w:keepLines w:val="0"/>
        <w:pageBreakBefore w:val="0"/>
        <w:kinsoku/>
        <w:wordWrap/>
        <w:overflowPunct/>
        <w:topLinePunct w:val="0"/>
        <w:bidi w:val="0"/>
        <w:spacing w:before="0" w:line="440" w:lineRule="exact"/>
        <w:ind w:firstLine="0" w:firstLineChars="0"/>
        <w:textAlignment w:val="auto"/>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5.投标文件的提交、补充、修改、撤回</w:t>
      </w:r>
    </w:p>
    <w:p w14:paraId="2680E4C3">
      <w:pPr>
        <w:keepNext w:val="0"/>
        <w:keepLines w:val="0"/>
        <w:pageBreakBefore w:val="0"/>
        <w:kinsoku/>
        <w:wordWrap/>
        <w:overflowPunct/>
        <w:topLinePunct w:val="0"/>
        <w:bidi w:val="0"/>
        <w:snapToGrid w:val="0"/>
        <w:spacing w:line="44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5.1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59314903">
      <w:pPr>
        <w:keepNext w:val="0"/>
        <w:keepLines w:val="0"/>
        <w:pageBreakBefore w:val="0"/>
        <w:kinsoku/>
        <w:wordWrap/>
        <w:overflowPunct/>
        <w:topLinePunct w:val="0"/>
        <w:bidi w:val="0"/>
        <w:snapToGrid w:val="0"/>
        <w:spacing w:line="44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5.2电子交易平台收到投标文件，将妥善保存并即时向供应商发出确认回执通知。在投标截止时间前，除供应商补充、修改或者撤回投标文件外，任何单位和个人不得解密或提取投标文件。</w:t>
      </w:r>
    </w:p>
    <w:p w14:paraId="5270C77B">
      <w:pPr>
        <w:keepNext w:val="0"/>
        <w:keepLines w:val="0"/>
        <w:pageBreakBefore w:val="0"/>
        <w:kinsoku/>
        <w:wordWrap/>
        <w:overflowPunct/>
        <w:topLinePunct w:val="0"/>
        <w:bidi w:val="0"/>
        <w:snapToGrid w:val="0"/>
        <w:spacing w:line="44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5.3采购人、采购代理机构可以视情况延长投标文件提交的截止时间。在上述情况下，采购代理机构与投标人以前在投标截止期方面的全部权利、责任和义务，将适用于延长至新的投标截止期。</w:t>
      </w:r>
    </w:p>
    <w:p w14:paraId="1FA0D7EB">
      <w:pPr>
        <w:keepNext w:val="0"/>
        <w:keepLines w:val="0"/>
        <w:pageBreakBefore w:val="0"/>
        <w:kinsoku/>
        <w:wordWrap/>
        <w:overflowPunct/>
        <w:topLinePunct w:val="0"/>
        <w:bidi w:val="0"/>
        <w:snapToGrid w:val="0"/>
        <w:spacing w:line="440" w:lineRule="exact"/>
        <w:ind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5.4备份投标文件</w:t>
      </w:r>
    </w:p>
    <w:p w14:paraId="0F3D3D05">
      <w:pPr>
        <w:keepNext w:val="0"/>
        <w:keepLines w:val="0"/>
        <w:pageBreakBefore w:val="0"/>
        <w:widowControl w:val="0"/>
        <w:kinsoku/>
        <w:wordWrap/>
        <w:overflowPunct/>
        <w:topLinePunct w:val="0"/>
        <w:autoSpaceDE/>
        <w:autoSpaceDN/>
        <w:bidi w:val="0"/>
        <w:adjustRightInd w:val="0"/>
        <w:snapToGrid w:val="0"/>
        <w:spacing w:line="440" w:lineRule="exact"/>
        <w:ind w:firstLine="720" w:firstLineChars="300"/>
        <w:jc w:val="left"/>
        <w:textAlignment w:val="auto"/>
        <w:rPr>
          <w:rFonts w:hint="eastAsia" w:ascii="仿宋" w:hAnsi="仿宋" w:eastAsia="仿宋" w:cs="仿宋"/>
          <w:b/>
          <w:color w:val="auto"/>
          <w:sz w:val="24"/>
          <w:szCs w:val="24"/>
          <w:highlight w:val="none"/>
        </w:rPr>
      </w:pPr>
      <w:r>
        <w:rPr>
          <w:rFonts w:hint="eastAsia" w:ascii="仿宋" w:hAnsi="仿宋" w:eastAsia="仿宋" w:cs="仿宋"/>
          <w:color w:val="auto"/>
          <w:sz w:val="24"/>
          <w:highlight w:val="none"/>
          <w:lang w:val="en-US" w:eastAsia="zh-CN"/>
        </w:rPr>
        <w:t>5.4.1投标人在电子交易平台传输递交投标文件后，还可以在投标截止时间前以EMS、顺丰邮寄等形式递交备份投标文件1份，</w:t>
      </w:r>
      <w:r>
        <w:rPr>
          <w:rFonts w:hint="eastAsia" w:ascii="仿宋" w:hAnsi="仿宋" w:eastAsia="仿宋" w:cs="仿宋"/>
          <w:b/>
          <w:color w:val="auto"/>
          <w:sz w:val="24"/>
          <w:szCs w:val="24"/>
          <w:highlight w:val="none"/>
        </w:rPr>
        <w:t>但采购人、采购机构不强制或变相强制投标人提交备份投标文件。</w:t>
      </w:r>
    </w:p>
    <w:p w14:paraId="22364163">
      <w:pPr>
        <w:pStyle w:val="34"/>
        <w:keepNext w:val="0"/>
        <w:keepLines w:val="0"/>
        <w:pageBreakBefore w:val="0"/>
        <w:kinsoku/>
        <w:wordWrap/>
        <w:overflowPunct/>
        <w:topLinePunct w:val="0"/>
        <w:bidi w:val="0"/>
        <w:spacing w:line="440" w:lineRule="exact"/>
        <w:ind w:firstLine="720" w:firstLineChars="300"/>
        <w:textAlignment w:val="auto"/>
        <w:rPr>
          <w:rFonts w:hint="eastAsia" w:ascii="仿宋" w:hAnsi="仿宋" w:eastAsia="仿宋" w:cs="仿宋"/>
          <w:b/>
          <w:color w:val="auto"/>
          <w:sz w:val="24"/>
          <w:szCs w:val="24"/>
          <w:highlight w:val="none"/>
        </w:rPr>
      </w:pPr>
      <w:r>
        <w:rPr>
          <w:rFonts w:hint="eastAsia" w:ascii="仿宋" w:hAnsi="仿宋" w:eastAsia="仿宋" w:cs="仿宋"/>
          <w:color w:val="auto"/>
          <w:sz w:val="24"/>
          <w:highlight w:val="none"/>
          <w:lang w:val="en-US" w:eastAsia="zh-CN"/>
        </w:rPr>
        <w:t>5.4.</w:t>
      </w:r>
      <w:r>
        <w:rPr>
          <w:rFonts w:hint="eastAsia" w:ascii="仿宋" w:hAnsi="仿宋" w:eastAsia="仿宋" w:cs="仿宋"/>
          <w:color w:val="auto"/>
          <w:sz w:val="24"/>
          <w:szCs w:val="24"/>
          <w:highlight w:val="none"/>
        </w:rPr>
        <w:t>2备份投标文件须在“</w:t>
      </w:r>
      <w:r>
        <w:rPr>
          <w:rFonts w:hint="eastAsia" w:ascii="仿宋" w:hAnsi="仿宋" w:eastAsia="仿宋" w:cs="仿宋"/>
          <w:color w:val="auto"/>
          <w:sz w:val="24"/>
          <w:szCs w:val="24"/>
          <w:highlight w:val="none"/>
          <w:lang w:val="en-US" w:eastAsia="zh-CN"/>
        </w:rPr>
        <w:t>乐采云</w:t>
      </w:r>
      <w:r>
        <w:rPr>
          <w:rFonts w:hint="eastAsia" w:ascii="仿宋" w:hAnsi="仿宋" w:eastAsia="仿宋" w:cs="仿宋"/>
          <w:color w:val="auto"/>
          <w:sz w:val="24"/>
          <w:szCs w:val="24"/>
          <w:highlight w:val="none"/>
        </w:rPr>
        <w:t>投标客户端”制作生成，并储存在</w:t>
      </w:r>
      <w:r>
        <w:rPr>
          <w:rFonts w:hint="eastAsia" w:ascii="仿宋" w:hAnsi="仿宋" w:eastAsia="仿宋" w:cs="仿宋"/>
          <w:color w:val="auto"/>
          <w:sz w:val="24"/>
          <w:highlight w:val="none"/>
          <w:lang w:val="en-US" w:eastAsia="zh-CN"/>
        </w:rPr>
        <w:t>U</w:t>
      </w:r>
      <w:r>
        <w:rPr>
          <w:rFonts w:hint="eastAsia" w:ascii="仿宋" w:hAnsi="仿宋" w:eastAsia="仿宋" w:cs="仿宋"/>
          <w:color w:val="auto"/>
          <w:sz w:val="24"/>
          <w:highlight w:val="none"/>
        </w:rPr>
        <w:t>盘</w:t>
      </w:r>
      <w:r>
        <w:rPr>
          <w:rFonts w:hint="eastAsia" w:ascii="仿宋" w:hAnsi="仿宋" w:eastAsia="仿宋" w:cs="仿宋"/>
          <w:color w:val="auto"/>
          <w:sz w:val="24"/>
          <w:szCs w:val="24"/>
          <w:highlight w:val="none"/>
        </w:rPr>
        <w:t>中。备份投标文件应当密封包装并在包装上加盖公章并注明投标项目名称，投标人名称</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若</w:t>
      </w:r>
      <w:r>
        <w:rPr>
          <w:rFonts w:hint="eastAsia" w:ascii="仿宋" w:hAnsi="仿宋" w:eastAsia="仿宋" w:cs="仿宋"/>
          <w:color w:val="auto"/>
          <w:sz w:val="24"/>
          <w:szCs w:val="24"/>
          <w:highlight w:val="none"/>
        </w:rPr>
        <w:t>联合体投标的，包装物封面需注明联合体投标，并注明联合体成员各方的名称和联合协议中约定的牵头人的名称</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r>
        <w:rPr>
          <w:rFonts w:hint="eastAsia" w:ascii="仿宋" w:hAnsi="仿宋" w:eastAsia="仿宋" w:cs="仿宋"/>
          <w:b/>
          <w:color w:val="auto"/>
          <w:sz w:val="24"/>
          <w:highlight w:val="none"/>
        </w:rPr>
        <w:t>不符合上述制作、</w:t>
      </w:r>
      <w:r>
        <w:rPr>
          <w:rFonts w:hint="eastAsia" w:ascii="仿宋" w:hAnsi="仿宋" w:eastAsia="仿宋" w:cs="仿宋"/>
          <w:b/>
          <w:color w:val="auto"/>
          <w:sz w:val="24"/>
          <w:szCs w:val="24"/>
          <w:highlight w:val="none"/>
        </w:rPr>
        <w:t>存储、密封规定的备份投标文件将被视为无效或者被拒绝接收。</w:t>
      </w:r>
    </w:p>
    <w:p w14:paraId="01D53940">
      <w:pPr>
        <w:pStyle w:val="34"/>
        <w:keepNext w:val="0"/>
        <w:keepLines w:val="0"/>
        <w:pageBreakBefore w:val="0"/>
        <w:kinsoku/>
        <w:wordWrap/>
        <w:overflowPunct/>
        <w:topLinePunct w:val="0"/>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lang w:val="en-US" w:eastAsia="zh-CN"/>
        </w:rPr>
        <w:t>5.4.</w:t>
      </w:r>
      <w:r>
        <w:rPr>
          <w:rFonts w:hint="eastAsia" w:ascii="仿宋" w:hAnsi="仿宋" w:eastAsia="仿宋" w:cs="仿宋"/>
          <w:color w:val="auto"/>
          <w:sz w:val="24"/>
          <w:szCs w:val="24"/>
          <w:highlight w:val="none"/>
        </w:rPr>
        <w:t>3直接提交备份投标文件的，投标人应于投标截止时间前在招标公告中载明的开标地点将备份投标文件提交给采购机构，采购机构将拒绝接受逾期送达的备份投标文件。</w:t>
      </w:r>
    </w:p>
    <w:p w14:paraId="45DC91B6">
      <w:pPr>
        <w:pStyle w:val="34"/>
        <w:keepNext w:val="0"/>
        <w:keepLines w:val="0"/>
        <w:pageBreakBefore w:val="0"/>
        <w:kinsoku/>
        <w:wordWrap/>
        <w:overflowPunct/>
        <w:topLinePunct w:val="0"/>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lang w:val="en-US" w:eastAsia="zh-CN"/>
        </w:rPr>
        <w:t>5.4.</w:t>
      </w:r>
      <w:r>
        <w:rPr>
          <w:rFonts w:hint="eastAsia" w:ascii="仿宋" w:hAnsi="仿宋" w:eastAsia="仿宋" w:cs="仿宋"/>
          <w:color w:val="auto"/>
          <w:sz w:val="24"/>
          <w:szCs w:val="24"/>
          <w:highlight w:val="none"/>
        </w:rPr>
        <w:t>4以快递方式递交备份投标文件的，投标人应先将备份投标文件按要求密封和标记，再进行快递包装后邮寄。备份投标文件须在投标截止时间之前送达</w:t>
      </w:r>
      <w:r>
        <w:rPr>
          <w:rFonts w:hint="eastAsia" w:ascii="仿宋" w:hAnsi="仿宋" w:eastAsia="仿宋" w:cs="仿宋"/>
          <w:snapToGrid/>
          <w:color w:val="auto"/>
          <w:sz w:val="24"/>
          <w:szCs w:val="24"/>
          <w:highlight w:val="none"/>
        </w:rPr>
        <w:t>招标文件第二部分投标人须知前附表规定的备份投标文件送达地点；</w:t>
      </w:r>
      <w:r>
        <w:rPr>
          <w:rFonts w:hint="eastAsia" w:ascii="仿宋" w:hAnsi="仿宋" w:eastAsia="仿宋" w:cs="仿宋"/>
          <w:color w:val="auto"/>
          <w:sz w:val="24"/>
          <w:szCs w:val="24"/>
          <w:highlight w:val="none"/>
        </w:rPr>
        <w:t>送达时间以签收人签收时间为准。采购机构将拒绝接受逾期送达的备份投标文件。邮寄过程中，电子备份投标文件发生泄露、遗失、损坏或延期送达等情况的，由投标人自行负责。</w:t>
      </w:r>
    </w:p>
    <w:p w14:paraId="06091857">
      <w:pPr>
        <w:pStyle w:val="34"/>
        <w:keepNext w:val="0"/>
        <w:keepLines w:val="0"/>
        <w:pageBreakBefore w:val="0"/>
        <w:kinsoku/>
        <w:wordWrap/>
        <w:overflowPunct/>
        <w:topLinePunct w:val="0"/>
        <w:bidi w:val="0"/>
        <w:spacing w:line="440" w:lineRule="exact"/>
        <w:ind w:firstLine="479" w:firstLineChars="199"/>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5.4.</w:t>
      </w:r>
      <w:r>
        <w:rPr>
          <w:rFonts w:hint="eastAsia" w:ascii="仿宋" w:hAnsi="仿宋" w:eastAsia="仿宋" w:cs="仿宋"/>
          <w:b/>
          <w:bCs/>
          <w:color w:val="auto"/>
          <w:sz w:val="24"/>
          <w:szCs w:val="24"/>
          <w:highlight w:val="none"/>
        </w:rPr>
        <w:t>5投标人仅提交备份投标文件，没有在电子交易平台传输递交投标文件的，投标无效。</w:t>
      </w:r>
    </w:p>
    <w:p w14:paraId="17DE019C">
      <w:pPr>
        <w:keepNext w:val="0"/>
        <w:keepLines w:val="0"/>
        <w:pageBreakBefore w:val="0"/>
        <w:kinsoku/>
        <w:wordWrap/>
        <w:overflowPunct/>
        <w:topLinePunct w:val="0"/>
        <w:bidi w:val="0"/>
        <w:spacing w:line="440" w:lineRule="exact"/>
        <w:textAlignment w:val="auto"/>
        <w:rPr>
          <w:rFonts w:hint="eastAsia" w:ascii="仿宋" w:hAnsi="仿宋" w:eastAsia="仿宋" w:cs="仿宋"/>
          <w:b/>
          <w:color w:val="auto"/>
          <w:sz w:val="32"/>
          <w:highlight w:val="none"/>
        </w:rPr>
      </w:pPr>
      <w:r>
        <w:rPr>
          <w:rFonts w:hint="eastAsia" w:ascii="仿宋" w:hAnsi="仿宋" w:eastAsia="仿宋" w:cs="仿宋"/>
          <w:b/>
          <w:bCs/>
          <w:color w:val="auto"/>
          <w:sz w:val="24"/>
          <w:highlight w:val="none"/>
        </w:rPr>
        <w:t>6.投标有效期</w:t>
      </w:r>
    </w:p>
    <w:p w14:paraId="795BD5C9">
      <w:pPr>
        <w:keepNext w:val="0"/>
        <w:keepLines w:val="0"/>
        <w:pageBreakBefore w:val="0"/>
        <w:kinsoku/>
        <w:wordWrap/>
        <w:overflowPunct/>
        <w:topLinePunct w:val="0"/>
        <w:bidi w:val="0"/>
        <w:snapToGrid w:val="0"/>
        <w:spacing w:line="440" w:lineRule="exact"/>
        <w:ind w:firstLine="480" w:firstLineChars="200"/>
        <w:jc w:val="left"/>
        <w:textAlignment w:val="auto"/>
        <w:rPr>
          <w:rFonts w:hint="eastAsia" w:ascii="仿宋" w:hAnsi="仿宋" w:eastAsia="仿宋" w:cs="仿宋"/>
          <w:b/>
          <w:color w:val="auto"/>
          <w:sz w:val="32"/>
          <w:highlight w:val="none"/>
        </w:rPr>
      </w:pPr>
      <w:r>
        <w:rPr>
          <w:rFonts w:hint="eastAsia" w:ascii="仿宋" w:hAnsi="仿宋" w:eastAsia="仿宋" w:cs="仿宋"/>
          <w:color w:val="auto"/>
          <w:sz w:val="24"/>
          <w:highlight w:val="none"/>
        </w:rPr>
        <w:t>6.1投标有效期为从提交投标文件的截止之日起90天。投标人的投标文件中承诺的投标有效期少于招标文件中载明的投标有效期的，投标无效。</w:t>
      </w:r>
    </w:p>
    <w:p w14:paraId="657CE5F6">
      <w:pPr>
        <w:keepNext w:val="0"/>
        <w:keepLines w:val="0"/>
        <w:pageBreakBefore w:val="0"/>
        <w:kinsoku/>
        <w:wordWrap/>
        <w:overflowPunct/>
        <w:topLinePunct w:val="0"/>
        <w:bidi w:val="0"/>
        <w:snapToGrid w:val="0"/>
        <w:spacing w:line="440" w:lineRule="exact"/>
        <w:ind w:firstLine="480" w:firstLineChars="200"/>
        <w:jc w:val="left"/>
        <w:textAlignment w:val="auto"/>
        <w:rPr>
          <w:rFonts w:hint="eastAsia" w:ascii="仿宋" w:hAnsi="仿宋" w:eastAsia="仿宋" w:cs="仿宋"/>
          <w:b/>
          <w:color w:val="auto"/>
          <w:sz w:val="32"/>
          <w:highlight w:val="none"/>
        </w:rPr>
      </w:pPr>
      <w:r>
        <w:rPr>
          <w:rFonts w:hint="eastAsia" w:ascii="仿宋" w:hAnsi="仿宋" w:eastAsia="仿宋" w:cs="仿宋"/>
          <w:color w:val="auto"/>
          <w:sz w:val="24"/>
          <w:highlight w:val="none"/>
        </w:rPr>
        <w:t>6.2投标文件合格投递后，自投标截止日期起，在投标有效期内有效。</w:t>
      </w:r>
    </w:p>
    <w:p w14:paraId="15D8F031">
      <w:pPr>
        <w:pStyle w:val="134"/>
        <w:keepNext w:val="0"/>
        <w:keepLines w:val="0"/>
        <w:pageBreakBefore w:val="0"/>
        <w:kinsoku/>
        <w:wordWrap/>
        <w:overflowPunct/>
        <w:topLinePunct w:val="0"/>
        <w:bidi w:val="0"/>
        <w:spacing w:before="0" w:line="440" w:lineRule="exact"/>
        <w:ind w:firstLine="48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6.3在原定投标有效期满之前，如果出现特殊情况，采购代理机构可以以书面形式通知投标人延长投标有效期。投标人同意延长的，不得要求或被允许修改其投标文件，投标人拒绝延长的，其投标无效。</w:t>
      </w:r>
    </w:p>
    <w:p w14:paraId="1131D3DF">
      <w:pPr>
        <w:pStyle w:val="134"/>
        <w:keepNext w:val="0"/>
        <w:keepLines w:val="0"/>
        <w:pageBreakBefore w:val="0"/>
        <w:widowControl w:val="0"/>
        <w:kinsoku/>
        <w:wordWrap/>
        <w:overflowPunct/>
        <w:topLinePunct w:val="0"/>
        <w:autoSpaceDE/>
        <w:autoSpaceDN/>
        <w:bidi w:val="0"/>
        <w:adjustRightInd w:val="0"/>
        <w:snapToGrid/>
        <w:spacing w:before="0" w:beforeAutospacing="0" w:line="440" w:lineRule="exact"/>
        <w:ind w:left="0" w:leftChars="0" w:firstLine="0" w:firstLineChars="0"/>
        <w:textAlignment w:val="auto"/>
        <w:rPr>
          <w:rFonts w:hint="eastAsia" w:ascii="仿宋" w:hAnsi="仿宋" w:eastAsia="仿宋" w:cs="仿宋"/>
          <w:b w:val="0"/>
          <w:bCs/>
          <w:color w:val="auto"/>
          <w:sz w:val="24"/>
          <w:szCs w:val="16"/>
          <w:highlight w:val="none"/>
        </w:rPr>
      </w:pPr>
      <w:r>
        <w:rPr>
          <w:rFonts w:hint="eastAsia" w:ascii="仿宋" w:hAnsi="仿宋" w:eastAsia="仿宋" w:cs="仿宋"/>
          <w:b/>
          <w:bCs w:val="0"/>
          <w:color w:val="auto"/>
          <w:sz w:val="24"/>
          <w:szCs w:val="16"/>
          <w:highlight w:val="none"/>
          <w:lang w:val="en-US" w:eastAsia="zh-CN"/>
        </w:rPr>
        <w:t>7.</w:t>
      </w:r>
      <w:r>
        <w:rPr>
          <w:rFonts w:hint="eastAsia" w:ascii="仿宋" w:hAnsi="仿宋" w:eastAsia="仿宋" w:cs="仿宋"/>
          <w:b/>
          <w:bCs w:val="0"/>
          <w:color w:val="auto"/>
          <w:sz w:val="24"/>
          <w:szCs w:val="16"/>
          <w:highlight w:val="none"/>
        </w:rPr>
        <w:t>关联投标人投标限制</w:t>
      </w:r>
    </w:p>
    <w:p w14:paraId="005F50AA">
      <w:pPr>
        <w:pStyle w:val="134"/>
        <w:keepNext w:val="0"/>
        <w:keepLines w:val="0"/>
        <w:pageBreakBefore w:val="0"/>
        <w:widowControl w:val="0"/>
        <w:kinsoku/>
        <w:wordWrap/>
        <w:overflowPunct/>
        <w:topLinePunct w:val="0"/>
        <w:autoSpaceDE/>
        <w:autoSpaceDN/>
        <w:bidi w:val="0"/>
        <w:adjustRightInd w:val="0"/>
        <w:snapToGrid/>
        <w:spacing w:before="0" w:beforeAutospacing="0" w:line="440" w:lineRule="exact"/>
        <w:ind w:left="0" w:leftChars="0" w:firstLine="643"/>
        <w:textAlignment w:val="auto"/>
        <w:rPr>
          <w:rFonts w:hint="eastAsia" w:ascii="仿宋" w:hAnsi="仿宋" w:eastAsia="仿宋" w:cs="仿宋"/>
          <w:b w:val="0"/>
          <w:bCs/>
          <w:color w:val="auto"/>
          <w:sz w:val="24"/>
          <w:szCs w:val="16"/>
          <w:highlight w:val="none"/>
        </w:rPr>
      </w:pPr>
      <w:r>
        <w:rPr>
          <w:rFonts w:hint="eastAsia" w:ascii="仿宋" w:hAnsi="仿宋" w:eastAsia="仿宋" w:cs="仿宋"/>
          <w:b w:val="0"/>
          <w:bCs/>
          <w:color w:val="auto"/>
          <w:sz w:val="24"/>
          <w:szCs w:val="16"/>
          <w:highlight w:val="none"/>
        </w:rPr>
        <w:t>本采购文件所称“关联企业”，是指存在关联关系的企业；“关联关系”的界定适用</w:t>
      </w:r>
      <w:r>
        <w:rPr>
          <w:rFonts w:hint="eastAsia" w:ascii="仿宋" w:hAnsi="仿宋" w:eastAsia="仿宋" w:cs="仿宋"/>
          <w:b w:val="0"/>
          <w:bCs/>
          <w:color w:val="auto"/>
          <w:sz w:val="24"/>
          <w:szCs w:val="16"/>
          <w:highlight w:val="none"/>
          <w:lang w:val="en-US" w:eastAsia="zh-CN"/>
        </w:rPr>
        <w:t>相关</w:t>
      </w:r>
      <w:r>
        <w:rPr>
          <w:rFonts w:hint="eastAsia" w:ascii="仿宋" w:hAnsi="仿宋" w:eastAsia="仿宋" w:cs="仿宋"/>
          <w:b w:val="0"/>
          <w:bCs/>
          <w:color w:val="auto"/>
          <w:sz w:val="24"/>
          <w:szCs w:val="16"/>
          <w:highlight w:val="none"/>
        </w:rPr>
        <w:t>规定。</w:t>
      </w:r>
    </w:p>
    <w:p w14:paraId="4A67E9DC">
      <w:pPr>
        <w:pStyle w:val="134"/>
        <w:keepNext w:val="0"/>
        <w:keepLines w:val="0"/>
        <w:pageBreakBefore w:val="0"/>
        <w:widowControl w:val="0"/>
        <w:kinsoku/>
        <w:wordWrap/>
        <w:overflowPunct/>
        <w:topLinePunct w:val="0"/>
        <w:autoSpaceDE/>
        <w:autoSpaceDN/>
        <w:bidi w:val="0"/>
        <w:adjustRightInd w:val="0"/>
        <w:snapToGrid/>
        <w:spacing w:before="0" w:beforeAutospacing="0" w:line="440" w:lineRule="exact"/>
        <w:ind w:left="0" w:leftChars="0" w:firstLine="643"/>
        <w:textAlignment w:val="auto"/>
        <w:rPr>
          <w:rFonts w:hint="eastAsia" w:ascii="仿宋" w:hAnsi="仿宋" w:eastAsia="仿宋" w:cs="仿宋"/>
          <w:b w:val="0"/>
          <w:bCs/>
          <w:color w:val="auto"/>
          <w:sz w:val="24"/>
          <w:szCs w:val="16"/>
          <w:highlight w:val="none"/>
        </w:rPr>
      </w:pPr>
      <w:r>
        <w:rPr>
          <w:rFonts w:hint="eastAsia" w:ascii="仿宋" w:hAnsi="仿宋" w:eastAsia="仿宋" w:cs="仿宋"/>
          <w:b w:val="0"/>
          <w:bCs/>
          <w:color w:val="auto"/>
          <w:sz w:val="24"/>
          <w:szCs w:val="16"/>
          <w:highlight w:val="none"/>
          <w:lang w:val="en-US" w:eastAsia="zh-CN"/>
        </w:rPr>
        <w:t>7.1</w:t>
      </w:r>
      <w:r>
        <w:rPr>
          <w:rFonts w:hint="eastAsia" w:ascii="仿宋" w:hAnsi="仿宋" w:eastAsia="仿宋" w:cs="仿宋"/>
          <w:b w:val="0"/>
          <w:bCs/>
          <w:color w:val="auto"/>
          <w:sz w:val="24"/>
          <w:szCs w:val="16"/>
          <w:highlight w:val="none"/>
        </w:rPr>
        <w:t>单位负责人为同一人或者存在直接控股、管理关系的不同投标人参加同一合同项下的采购活动的，相关投标人均作资格无效处理。</w:t>
      </w:r>
    </w:p>
    <w:p w14:paraId="2D53F629">
      <w:pPr>
        <w:pStyle w:val="134"/>
        <w:keepNext w:val="0"/>
        <w:keepLines w:val="0"/>
        <w:pageBreakBefore w:val="0"/>
        <w:widowControl w:val="0"/>
        <w:kinsoku/>
        <w:wordWrap/>
        <w:overflowPunct/>
        <w:topLinePunct w:val="0"/>
        <w:autoSpaceDE/>
        <w:autoSpaceDN/>
        <w:bidi w:val="0"/>
        <w:adjustRightInd w:val="0"/>
        <w:snapToGrid/>
        <w:spacing w:before="0" w:beforeAutospacing="0" w:line="440" w:lineRule="exact"/>
        <w:ind w:left="0" w:leftChars="0" w:firstLine="643"/>
        <w:textAlignment w:val="auto"/>
        <w:rPr>
          <w:rFonts w:hint="eastAsia" w:ascii="仿宋" w:hAnsi="仿宋" w:eastAsia="仿宋" w:cs="仿宋"/>
          <w:b w:val="0"/>
          <w:bCs/>
          <w:color w:val="auto"/>
          <w:sz w:val="24"/>
          <w:szCs w:val="16"/>
          <w:highlight w:val="none"/>
        </w:rPr>
      </w:pPr>
      <w:r>
        <w:rPr>
          <w:rFonts w:hint="eastAsia" w:ascii="仿宋" w:hAnsi="仿宋" w:eastAsia="仿宋" w:cs="仿宋"/>
          <w:b w:val="0"/>
          <w:bCs/>
          <w:color w:val="auto"/>
          <w:sz w:val="24"/>
          <w:szCs w:val="16"/>
          <w:highlight w:val="none"/>
          <w:lang w:val="en-US" w:eastAsia="zh-CN"/>
        </w:rPr>
        <w:t>7.2</w:t>
      </w:r>
      <w:r>
        <w:rPr>
          <w:rFonts w:hint="eastAsia" w:ascii="仿宋" w:hAnsi="仿宋" w:eastAsia="仿宋" w:cs="仿宋"/>
          <w:b w:val="0"/>
          <w:bCs/>
          <w:color w:val="auto"/>
          <w:sz w:val="24"/>
          <w:szCs w:val="16"/>
          <w:highlight w:val="none"/>
        </w:rPr>
        <w:t>不同投标人之间存在以下利害关系并且存在影响采购公平竞争行为的，不得参加同一合同项下的采购活动，相关投标人的投标均作无效处理：</w:t>
      </w:r>
    </w:p>
    <w:p w14:paraId="717A187A">
      <w:pPr>
        <w:pStyle w:val="134"/>
        <w:keepNext w:val="0"/>
        <w:keepLines w:val="0"/>
        <w:pageBreakBefore w:val="0"/>
        <w:widowControl w:val="0"/>
        <w:kinsoku/>
        <w:wordWrap/>
        <w:overflowPunct/>
        <w:topLinePunct w:val="0"/>
        <w:autoSpaceDE/>
        <w:autoSpaceDN/>
        <w:bidi w:val="0"/>
        <w:adjustRightInd w:val="0"/>
        <w:snapToGrid/>
        <w:spacing w:before="0" w:beforeAutospacing="0" w:line="440" w:lineRule="exact"/>
        <w:ind w:left="0" w:leftChars="0" w:firstLine="643"/>
        <w:textAlignment w:val="auto"/>
        <w:rPr>
          <w:rFonts w:hint="eastAsia" w:ascii="仿宋" w:hAnsi="仿宋" w:eastAsia="仿宋" w:cs="仿宋"/>
          <w:b w:val="0"/>
          <w:bCs/>
          <w:color w:val="auto"/>
          <w:sz w:val="24"/>
          <w:szCs w:val="16"/>
          <w:highlight w:val="none"/>
        </w:rPr>
      </w:pPr>
      <w:r>
        <w:rPr>
          <w:rFonts w:hint="eastAsia" w:ascii="仿宋" w:hAnsi="仿宋" w:eastAsia="仿宋" w:cs="仿宋"/>
          <w:b w:val="0"/>
          <w:bCs/>
          <w:color w:val="auto"/>
          <w:sz w:val="24"/>
          <w:szCs w:val="16"/>
          <w:highlight w:val="none"/>
        </w:rPr>
        <w:t>（1）法定代表人或负责人或实际控制人是夫妻关系；</w:t>
      </w:r>
    </w:p>
    <w:p w14:paraId="5CF018C3">
      <w:pPr>
        <w:pStyle w:val="134"/>
        <w:keepNext w:val="0"/>
        <w:keepLines w:val="0"/>
        <w:pageBreakBefore w:val="0"/>
        <w:widowControl w:val="0"/>
        <w:kinsoku/>
        <w:wordWrap/>
        <w:overflowPunct/>
        <w:topLinePunct w:val="0"/>
        <w:autoSpaceDE/>
        <w:autoSpaceDN/>
        <w:bidi w:val="0"/>
        <w:adjustRightInd w:val="0"/>
        <w:snapToGrid/>
        <w:spacing w:before="0" w:beforeAutospacing="0" w:line="440" w:lineRule="exact"/>
        <w:ind w:left="0" w:leftChars="0" w:firstLine="643"/>
        <w:textAlignment w:val="auto"/>
        <w:rPr>
          <w:rFonts w:hint="eastAsia" w:ascii="仿宋" w:hAnsi="仿宋" w:eastAsia="仿宋" w:cs="仿宋"/>
          <w:b w:val="0"/>
          <w:bCs/>
          <w:color w:val="auto"/>
          <w:sz w:val="24"/>
          <w:szCs w:val="16"/>
          <w:highlight w:val="none"/>
        </w:rPr>
      </w:pPr>
      <w:r>
        <w:rPr>
          <w:rFonts w:hint="eastAsia" w:ascii="仿宋" w:hAnsi="仿宋" w:eastAsia="仿宋" w:cs="仿宋"/>
          <w:b w:val="0"/>
          <w:bCs/>
          <w:color w:val="auto"/>
          <w:sz w:val="24"/>
          <w:szCs w:val="16"/>
          <w:highlight w:val="none"/>
        </w:rPr>
        <w:t>（2）法定代表人或负责人或实际控制人是直系血亲关系；</w:t>
      </w:r>
    </w:p>
    <w:p w14:paraId="2310A326">
      <w:pPr>
        <w:pStyle w:val="134"/>
        <w:keepNext w:val="0"/>
        <w:keepLines w:val="0"/>
        <w:pageBreakBefore w:val="0"/>
        <w:widowControl w:val="0"/>
        <w:kinsoku/>
        <w:wordWrap/>
        <w:overflowPunct/>
        <w:topLinePunct w:val="0"/>
        <w:autoSpaceDE/>
        <w:autoSpaceDN/>
        <w:bidi w:val="0"/>
        <w:adjustRightInd w:val="0"/>
        <w:snapToGrid/>
        <w:spacing w:before="0" w:beforeAutospacing="0" w:line="440" w:lineRule="exact"/>
        <w:ind w:left="0" w:leftChars="0" w:firstLine="643"/>
        <w:textAlignment w:val="auto"/>
        <w:rPr>
          <w:rFonts w:hint="eastAsia" w:ascii="仿宋" w:hAnsi="仿宋" w:eastAsia="仿宋" w:cs="仿宋"/>
          <w:b w:val="0"/>
          <w:bCs/>
          <w:color w:val="auto"/>
          <w:sz w:val="24"/>
          <w:szCs w:val="16"/>
          <w:highlight w:val="none"/>
        </w:rPr>
      </w:pPr>
      <w:r>
        <w:rPr>
          <w:rFonts w:hint="eastAsia" w:ascii="仿宋" w:hAnsi="仿宋" w:eastAsia="仿宋" w:cs="仿宋"/>
          <w:b w:val="0"/>
          <w:bCs/>
          <w:color w:val="auto"/>
          <w:sz w:val="24"/>
          <w:szCs w:val="16"/>
          <w:highlight w:val="none"/>
        </w:rPr>
        <w:t>（3）法定代表人或负责人或实际控制人存在三代以内旁系血亲关系；</w:t>
      </w:r>
    </w:p>
    <w:p w14:paraId="45177F34">
      <w:pPr>
        <w:pStyle w:val="134"/>
        <w:keepNext w:val="0"/>
        <w:keepLines w:val="0"/>
        <w:pageBreakBefore w:val="0"/>
        <w:widowControl w:val="0"/>
        <w:kinsoku/>
        <w:wordWrap/>
        <w:overflowPunct/>
        <w:topLinePunct w:val="0"/>
        <w:autoSpaceDE/>
        <w:autoSpaceDN/>
        <w:bidi w:val="0"/>
        <w:adjustRightInd w:val="0"/>
        <w:snapToGrid/>
        <w:spacing w:before="0" w:beforeAutospacing="0" w:line="440" w:lineRule="exact"/>
        <w:ind w:left="0" w:leftChars="0" w:firstLine="643"/>
        <w:textAlignment w:val="auto"/>
        <w:rPr>
          <w:rFonts w:hint="eastAsia" w:ascii="仿宋" w:hAnsi="仿宋" w:eastAsia="仿宋" w:cs="仿宋"/>
          <w:b w:val="0"/>
          <w:bCs/>
          <w:color w:val="auto"/>
          <w:sz w:val="24"/>
          <w:szCs w:val="16"/>
          <w:highlight w:val="none"/>
        </w:rPr>
      </w:pPr>
      <w:r>
        <w:rPr>
          <w:rFonts w:hint="eastAsia" w:ascii="仿宋" w:hAnsi="仿宋" w:eastAsia="仿宋" w:cs="仿宋"/>
          <w:b w:val="0"/>
          <w:bCs/>
          <w:color w:val="auto"/>
          <w:sz w:val="24"/>
          <w:szCs w:val="16"/>
          <w:highlight w:val="none"/>
        </w:rPr>
        <w:t>（4）法定代表人或负责人或实际控制人存在近姻亲关系；</w:t>
      </w:r>
    </w:p>
    <w:p w14:paraId="7666C691">
      <w:pPr>
        <w:pStyle w:val="134"/>
        <w:keepNext w:val="0"/>
        <w:keepLines w:val="0"/>
        <w:pageBreakBefore w:val="0"/>
        <w:widowControl w:val="0"/>
        <w:kinsoku/>
        <w:wordWrap/>
        <w:overflowPunct/>
        <w:topLinePunct w:val="0"/>
        <w:autoSpaceDE/>
        <w:autoSpaceDN/>
        <w:bidi w:val="0"/>
        <w:adjustRightInd w:val="0"/>
        <w:snapToGrid/>
        <w:spacing w:before="0" w:beforeAutospacing="0" w:line="440" w:lineRule="exact"/>
        <w:ind w:left="0" w:leftChars="0" w:firstLine="643"/>
        <w:textAlignment w:val="auto"/>
        <w:rPr>
          <w:rFonts w:hint="eastAsia" w:ascii="仿宋" w:hAnsi="仿宋" w:eastAsia="仿宋" w:cs="仿宋"/>
          <w:b w:val="0"/>
          <w:bCs/>
          <w:color w:val="auto"/>
          <w:sz w:val="24"/>
          <w:szCs w:val="16"/>
          <w:highlight w:val="none"/>
        </w:rPr>
      </w:pPr>
      <w:r>
        <w:rPr>
          <w:rFonts w:hint="eastAsia" w:ascii="仿宋" w:hAnsi="仿宋" w:eastAsia="仿宋" w:cs="仿宋"/>
          <w:b w:val="0"/>
          <w:bCs/>
          <w:color w:val="auto"/>
          <w:sz w:val="24"/>
          <w:szCs w:val="16"/>
          <w:highlight w:val="none"/>
        </w:rPr>
        <w:t>（5）法定代表人或负责人或实际控制人存在股份控制或实际控制关系；</w:t>
      </w:r>
    </w:p>
    <w:p w14:paraId="5A0AF1A2">
      <w:pPr>
        <w:pStyle w:val="134"/>
        <w:keepNext w:val="0"/>
        <w:keepLines w:val="0"/>
        <w:pageBreakBefore w:val="0"/>
        <w:widowControl w:val="0"/>
        <w:kinsoku/>
        <w:wordWrap/>
        <w:overflowPunct/>
        <w:topLinePunct w:val="0"/>
        <w:autoSpaceDE/>
        <w:autoSpaceDN/>
        <w:bidi w:val="0"/>
        <w:adjustRightInd w:val="0"/>
        <w:snapToGrid/>
        <w:spacing w:before="0" w:beforeAutospacing="0" w:line="440" w:lineRule="exact"/>
        <w:ind w:left="0" w:leftChars="0" w:firstLine="643"/>
        <w:textAlignment w:val="auto"/>
        <w:rPr>
          <w:rFonts w:hint="eastAsia" w:ascii="仿宋" w:hAnsi="仿宋" w:eastAsia="仿宋" w:cs="仿宋"/>
          <w:b w:val="0"/>
          <w:bCs/>
          <w:color w:val="auto"/>
          <w:sz w:val="24"/>
          <w:szCs w:val="16"/>
          <w:highlight w:val="none"/>
        </w:rPr>
      </w:pPr>
      <w:r>
        <w:rPr>
          <w:rFonts w:hint="eastAsia" w:ascii="仿宋" w:hAnsi="仿宋" w:eastAsia="仿宋" w:cs="仿宋"/>
          <w:b w:val="0"/>
          <w:bCs/>
          <w:color w:val="auto"/>
          <w:sz w:val="24"/>
          <w:szCs w:val="16"/>
          <w:highlight w:val="none"/>
        </w:rPr>
        <w:t>（6）存在共同直接或间接投资设立子公司、联营企业和合营企业情况；</w:t>
      </w:r>
    </w:p>
    <w:p w14:paraId="3381B7EF">
      <w:pPr>
        <w:pStyle w:val="134"/>
        <w:keepNext w:val="0"/>
        <w:keepLines w:val="0"/>
        <w:pageBreakBefore w:val="0"/>
        <w:widowControl w:val="0"/>
        <w:kinsoku/>
        <w:wordWrap/>
        <w:overflowPunct/>
        <w:topLinePunct w:val="0"/>
        <w:autoSpaceDE/>
        <w:autoSpaceDN/>
        <w:bidi w:val="0"/>
        <w:adjustRightInd w:val="0"/>
        <w:snapToGrid/>
        <w:spacing w:before="0" w:beforeAutospacing="0" w:line="440" w:lineRule="exact"/>
        <w:ind w:left="0" w:leftChars="0" w:firstLine="643"/>
        <w:textAlignment w:val="auto"/>
        <w:rPr>
          <w:rFonts w:hint="eastAsia" w:ascii="仿宋" w:hAnsi="仿宋" w:eastAsia="仿宋" w:cs="仿宋"/>
          <w:b w:val="0"/>
          <w:bCs/>
          <w:color w:val="auto"/>
          <w:sz w:val="24"/>
          <w:szCs w:val="16"/>
          <w:highlight w:val="none"/>
        </w:rPr>
      </w:pPr>
      <w:r>
        <w:rPr>
          <w:rFonts w:hint="eastAsia" w:ascii="仿宋" w:hAnsi="仿宋" w:eastAsia="仿宋" w:cs="仿宋"/>
          <w:b w:val="0"/>
          <w:bCs/>
          <w:color w:val="auto"/>
          <w:sz w:val="24"/>
          <w:szCs w:val="16"/>
          <w:highlight w:val="none"/>
        </w:rPr>
        <w:t>（7）存在分级代理或代销关系、同一生产制造商关系、管理关系、重要业务（占主营业务收入50%以上）或重要财务往来关系（如融资）等其他实质性控制关系。</w:t>
      </w:r>
    </w:p>
    <w:p w14:paraId="732DC5B3">
      <w:pPr>
        <w:pStyle w:val="134"/>
        <w:keepNext w:val="0"/>
        <w:keepLines w:val="0"/>
        <w:pageBreakBefore w:val="0"/>
        <w:widowControl w:val="0"/>
        <w:kinsoku/>
        <w:wordWrap/>
        <w:overflowPunct/>
        <w:topLinePunct w:val="0"/>
        <w:autoSpaceDE/>
        <w:autoSpaceDN/>
        <w:bidi w:val="0"/>
        <w:adjustRightInd w:val="0"/>
        <w:snapToGrid/>
        <w:spacing w:before="0" w:beforeAutospacing="0" w:line="440" w:lineRule="exact"/>
        <w:ind w:left="0" w:leftChars="0" w:firstLine="643"/>
        <w:textAlignment w:val="auto"/>
        <w:rPr>
          <w:rFonts w:hint="eastAsia" w:ascii="仿宋" w:hAnsi="仿宋" w:eastAsia="仿宋" w:cs="仿宋"/>
          <w:b w:val="0"/>
          <w:bCs/>
          <w:color w:val="auto"/>
          <w:sz w:val="24"/>
          <w:szCs w:val="16"/>
          <w:highlight w:val="none"/>
        </w:rPr>
      </w:pPr>
      <w:r>
        <w:rPr>
          <w:rFonts w:hint="eastAsia" w:ascii="仿宋" w:hAnsi="仿宋" w:eastAsia="仿宋" w:cs="仿宋"/>
          <w:b w:val="0"/>
          <w:bCs/>
          <w:color w:val="auto"/>
          <w:sz w:val="24"/>
          <w:szCs w:val="16"/>
          <w:highlight w:val="none"/>
          <w:lang w:val="en-US" w:eastAsia="zh-CN"/>
        </w:rPr>
        <w:t>7.3</w:t>
      </w:r>
      <w:r>
        <w:rPr>
          <w:rFonts w:hint="eastAsia" w:ascii="仿宋" w:hAnsi="仿宋" w:eastAsia="仿宋" w:cs="仿宋"/>
          <w:b w:val="0"/>
          <w:bCs/>
          <w:color w:val="auto"/>
          <w:sz w:val="24"/>
          <w:szCs w:val="16"/>
          <w:highlight w:val="none"/>
        </w:rPr>
        <w:t>除单一来源采购项目外，为采购项目提供整体设计、规范编制或者项目管理、监理、检测等服务的投标人，不得再参加该采购项目的其他采购活动，相关投标人的投标作无效处理。</w:t>
      </w:r>
    </w:p>
    <w:p w14:paraId="155F7BF9">
      <w:pPr>
        <w:pStyle w:val="134"/>
        <w:keepNext w:val="0"/>
        <w:keepLines w:val="0"/>
        <w:pageBreakBefore w:val="0"/>
        <w:widowControl w:val="0"/>
        <w:kinsoku/>
        <w:wordWrap/>
        <w:overflowPunct/>
        <w:topLinePunct w:val="0"/>
        <w:autoSpaceDE/>
        <w:autoSpaceDN/>
        <w:bidi w:val="0"/>
        <w:adjustRightInd w:val="0"/>
        <w:snapToGrid/>
        <w:spacing w:before="0" w:beforeAutospacing="0" w:line="440" w:lineRule="exact"/>
        <w:ind w:left="0" w:leftChars="0" w:firstLine="643"/>
        <w:textAlignment w:val="auto"/>
        <w:rPr>
          <w:rFonts w:hint="eastAsia" w:ascii="仿宋" w:hAnsi="仿宋" w:eastAsia="仿宋" w:cs="仿宋"/>
          <w:b w:val="0"/>
          <w:bCs/>
          <w:color w:val="auto"/>
          <w:sz w:val="24"/>
          <w:szCs w:val="16"/>
          <w:highlight w:val="none"/>
        </w:rPr>
      </w:pPr>
      <w:r>
        <w:rPr>
          <w:rFonts w:hint="eastAsia" w:ascii="仿宋" w:hAnsi="仿宋" w:eastAsia="仿宋" w:cs="仿宋"/>
          <w:b w:val="0"/>
          <w:bCs/>
          <w:color w:val="auto"/>
          <w:sz w:val="24"/>
          <w:szCs w:val="16"/>
          <w:highlight w:val="none"/>
          <w:lang w:val="en-US" w:eastAsia="zh-CN"/>
        </w:rPr>
        <w:t>7.4</w:t>
      </w:r>
      <w:r>
        <w:rPr>
          <w:rFonts w:hint="eastAsia" w:ascii="仿宋" w:hAnsi="仿宋" w:eastAsia="仿宋" w:cs="仿宋"/>
          <w:b w:val="0"/>
          <w:bCs/>
          <w:color w:val="auto"/>
          <w:sz w:val="24"/>
          <w:szCs w:val="16"/>
          <w:highlight w:val="none"/>
        </w:rPr>
        <w:t>（综合评分法、单一产品采购项目适用）提供相同品牌产品且通过资格审查、符合性审查的不同投标人参加同一合同项下投标的，按一家投标人计算，评审后综合得分最高的同品牌投标人获得中标单位推荐资格；综合得分相同时，投标报价最低的投标人获得中标单位推荐资格；综合得分和投标报价均相同时，商务技术分最高的投标人获得中标单位推荐资格；综合得分、投标报价、商务技术分均相同时，由评标委员会按少数服从多数的原则，集体决定；其他同品牌投标人不作为中标候选人。</w:t>
      </w:r>
    </w:p>
    <w:p w14:paraId="0E59CD5E">
      <w:pPr>
        <w:pStyle w:val="134"/>
        <w:keepNext w:val="0"/>
        <w:keepLines w:val="0"/>
        <w:pageBreakBefore w:val="0"/>
        <w:kinsoku/>
        <w:wordWrap/>
        <w:overflowPunct/>
        <w:topLinePunct w:val="0"/>
        <w:bidi w:val="0"/>
        <w:spacing w:before="0" w:line="440" w:lineRule="exact"/>
        <w:ind w:firstLine="643"/>
        <w:textAlignment w:val="auto"/>
        <w:rPr>
          <w:rFonts w:hint="eastAsia" w:ascii="仿宋" w:hAnsi="仿宋" w:eastAsia="仿宋" w:cs="仿宋"/>
          <w:b/>
          <w:color w:val="auto"/>
          <w:sz w:val="32"/>
          <w:highlight w:val="none"/>
        </w:rPr>
      </w:pPr>
      <w:r>
        <w:rPr>
          <w:rFonts w:hint="eastAsia" w:ascii="仿宋" w:hAnsi="仿宋" w:eastAsia="仿宋" w:cs="仿宋"/>
          <w:b w:val="0"/>
          <w:bCs/>
          <w:color w:val="auto"/>
          <w:sz w:val="24"/>
          <w:szCs w:val="16"/>
          <w:highlight w:val="none"/>
          <w:lang w:val="en-US" w:eastAsia="zh-CN"/>
        </w:rPr>
        <w:t>7.5</w:t>
      </w:r>
      <w:r>
        <w:rPr>
          <w:rFonts w:hint="eastAsia" w:ascii="仿宋" w:hAnsi="仿宋" w:eastAsia="仿宋" w:cs="仿宋"/>
          <w:b w:val="0"/>
          <w:bCs/>
          <w:color w:val="auto"/>
          <w:sz w:val="24"/>
          <w:szCs w:val="16"/>
          <w:highlight w:val="none"/>
        </w:rPr>
        <w:t>（综合评分法、非单一产品采购项目适用）通过资格审查、符合性审查的不同投标人参加同一合同项下投标时，提供的核心产品品牌均相同的，按照上条款处理。</w:t>
      </w:r>
    </w:p>
    <w:p w14:paraId="650577C5">
      <w:pPr>
        <w:keepNext w:val="0"/>
        <w:keepLines w:val="0"/>
        <w:pageBreakBefore w:val="0"/>
        <w:kinsoku/>
        <w:wordWrap/>
        <w:overflowPunct/>
        <w:topLinePunct w:val="0"/>
        <w:bidi w:val="0"/>
        <w:spacing w:line="440" w:lineRule="exact"/>
        <w:jc w:val="center"/>
        <w:textAlignment w:val="auto"/>
        <w:rPr>
          <w:rFonts w:hint="eastAsia" w:ascii="仿宋" w:hAnsi="仿宋" w:eastAsia="仿宋" w:cs="仿宋"/>
          <w:b/>
          <w:color w:val="auto"/>
          <w:sz w:val="32"/>
          <w:szCs w:val="32"/>
          <w:highlight w:val="none"/>
        </w:rPr>
      </w:pPr>
      <w:bookmarkStart w:id="24" w:name="_Toc91899903"/>
    </w:p>
    <w:p w14:paraId="2F3590C5">
      <w:pPr>
        <w:keepNext w:val="0"/>
        <w:keepLines w:val="0"/>
        <w:pageBreakBefore w:val="0"/>
        <w:kinsoku/>
        <w:wordWrap/>
        <w:overflowPunct/>
        <w:topLinePunct w:val="0"/>
        <w:bidi w:val="0"/>
        <w:spacing w:line="440" w:lineRule="exact"/>
        <w:jc w:val="center"/>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四、开标和评标</w:t>
      </w:r>
    </w:p>
    <w:p w14:paraId="37A8ED7E">
      <w:pPr>
        <w:keepNext w:val="0"/>
        <w:keepLines w:val="0"/>
        <w:pageBreakBefore w:val="0"/>
        <w:kinsoku/>
        <w:wordWrap/>
        <w:overflowPunct/>
        <w:topLinePunct w:val="0"/>
        <w:bidi w:val="0"/>
        <w:snapToGrid w:val="0"/>
        <w:spacing w:line="440" w:lineRule="exact"/>
        <w:jc w:val="left"/>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w:t>
      </w:r>
      <w:r>
        <w:rPr>
          <w:rFonts w:hint="eastAsia" w:ascii="仿宋" w:hAnsi="仿宋" w:eastAsia="仿宋" w:cs="仿宋"/>
          <w:b/>
          <w:color w:val="auto"/>
          <w:sz w:val="24"/>
          <w:highlight w:val="none"/>
          <w:lang w:val="en-US" w:eastAsia="zh-CN"/>
        </w:rPr>
        <w:t>.</w:t>
      </w:r>
      <w:r>
        <w:rPr>
          <w:rFonts w:hint="eastAsia" w:ascii="仿宋" w:hAnsi="仿宋" w:eastAsia="仿宋" w:cs="仿宋"/>
          <w:b/>
          <w:color w:val="auto"/>
          <w:sz w:val="24"/>
          <w:highlight w:val="none"/>
        </w:rPr>
        <w:t>电子招投标开标及评审程序</w:t>
      </w:r>
    </w:p>
    <w:p w14:paraId="175D954F">
      <w:pPr>
        <w:keepNext w:val="0"/>
        <w:keepLines w:val="0"/>
        <w:pageBreakBefore w:val="0"/>
        <w:kinsoku/>
        <w:wordWrap/>
        <w:overflowPunct/>
        <w:topLinePunct w:val="0"/>
        <w:bidi w:val="0"/>
        <w:snapToGrid w:val="0"/>
        <w:spacing w:line="44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1.1投标截止时间后，主持人宣布开标会开始。</w:t>
      </w:r>
    </w:p>
    <w:p w14:paraId="005002C4">
      <w:pPr>
        <w:keepNext w:val="0"/>
        <w:keepLines w:val="0"/>
        <w:pageBreakBefore w:val="0"/>
        <w:kinsoku/>
        <w:wordWrap/>
        <w:overflowPunct/>
        <w:topLinePunct w:val="0"/>
        <w:bidi w:val="0"/>
        <w:snapToGrid w:val="0"/>
        <w:spacing w:line="44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1.2投标人登录乐采云平台，用“项目采购</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开标评标”功能对电子投标文件进行在线解密。在线解密电子投标文件时间为开标时间起30分钟内。</w:t>
      </w:r>
    </w:p>
    <w:p w14:paraId="5CD299EE">
      <w:pPr>
        <w:keepNext w:val="0"/>
        <w:keepLines w:val="0"/>
        <w:pageBreakBefore w:val="0"/>
        <w:kinsoku/>
        <w:wordWrap/>
        <w:overflowPunct/>
        <w:topLinePunct w:val="0"/>
        <w:bidi w:val="0"/>
        <w:snapToGrid w:val="0"/>
        <w:spacing w:line="440" w:lineRule="exact"/>
        <w:ind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1.3</w:t>
      </w:r>
      <w:r>
        <w:rPr>
          <w:rFonts w:hint="eastAsia" w:ascii="仿宋" w:hAnsi="仿宋" w:eastAsia="仿宋" w:cs="仿宋"/>
          <w:color w:val="auto"/>
          <w:sz w:val="24"/>
          <w:highlight w:val="none"/>
          <w:lang w:val="en-US" w:eastAsia="zh-CN"/>
        </w:rPr>
        <w:t>采购人或采购代理机构对投标文件资格进行审查。</w:t>
      </w:r>
    </w:p>
    <w:p w14:paraId="65095D93">
      <w:pPr>
        <w:keepNext w:val="0"/>
        <w:keepLines w:val="0"/>
        <w:pageBreakBefore w:val="0"/>
        <w:kinsoku/>
        <w:wordWrap/>
        <w:overflowPunct/>
        <w:topLinePunct w:val="0"/>
        <w:bidi w:val="0"/>
        <w:snapToGrid w:val="0"/>
        <w:spacing w:line="44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1.4</w:t>
      </w:r>
      <w:r>
        <w:rPr>
          <w:rFonts w:hint="eastAsia" w:ascii="仿宋" w:hAnsi="仿宋" w:eastAsia="仿宋" w:cs="仿宋"/>
          <w:color w:val="auto"/>
          <w:sz w:val="24"/>
          <w:highlight w:val="none"/>
        </w:rPr>
        <w:t>评标委员会对</w:t>
      </w:r>
      <w:r>
        <w:rPr>
          <w:rFonts w:hint="eastAsia" w:ascii="仿宋" w:hAnsi="仿宋" w:eastAsia="仿宋" w:cs="仿宋"/>
          <w:color w:val="auto"/>
          <w:sz w:val="24"/>
          <w:highlight w:val="none"/>
          <w:lang w:val="en-US" w:eastAsia="zh-CN"/>
        </w:rPr>
        <w:t>投标文件符合性进行审查，对符合性通过的商务技术文件进行评审</w:t>
      </w:r>
      <w:r>
        <w:rPr>
          <w:rFonts w:hint="eastAsia" w:ascii="仿宋" w:hAnsi="仿宋" w:eastAsia="仿宋" w:cs="仿宋"/>
          <w:color w:val="auto"/>
          <w:sz w:val="24"/>
          <w:highlight w:val="none"/>
        </w:rPr>
        <w:t>。</w:t>
      </w:r>
    </w:p>
    <w:p w14:paraId="32795BBF">
      <w:pPr>
        <w:keepNext w:val="0"/>
        <w:keepLines w:val="0"/>
        <w:pageBreakBefore w:val="0"/>
        <w:kinsoku/>
        <w:wordWrap/>
        <w:overflowPunct/>
        <w:topLinePunct w:val="0"/>
        <w:bidi w:val="0"/>
        <w:snapToGrid w:val="0"/>
        <w:spacing w:line="44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主持人宣布商务技术得分及无效（废）投标情形（如有），公布经商务技术（资信）评审符合招标文件要求的投标人名单及其商务技术得分。</w:t>
      </w:r>
    </w:p>
    <w:p w14:paraId="2A6F5127">
      <w:pPr>
        <w:keepNext w:val="0"/>
        <w:keepLines w:val="0"/>
        <w:pageBreakBefore w:val="0"/>
        <w:kinsoku/>
        <w:wordWrap/>
        <w:overflowPunct/>
        <w:topLinePunct w:val="0"/>
        <w:bidi w:val="0"/>
        <w:snapToGrid w:val="0"/>
        <w:spacing w:line="44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启封报价文件资料。</w:t>
      </w:r>
    </w:p>
    <w:p w14:paraId="4F87267D">
      <w:pPr>
        <w:keepNext w:val="0"/>
        <w:keepLines w:val="0"/>
        <w:pageBreakBefore w:val="0"/>
        <w:kinsoku/>
        <w:wordWrap/>
        <w:overflowPunct/>
        <w:topLinePunct w:val="0"/>
        <w:bidi w:val="0"/>
        <w:snapToGrid w:val="0"/>
        <w:spacing w:line="44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评标委员会对投标文件报价文件资料进行评审，核准投标报价及计算价格分，汇总商务技术分、价格分，根据得分排序确定中标候选人。</w:t>
      </w:r>
    </w:p>
    <w:p w14:paraId="0EFB1AC6">
      <w:pPr>
        <w:keepNext w:val="0"/>
        <w:keepLines w:val="0"/>
        <w:pageBreakBefore w:val="0"/>
        <w:kinsoku/>
        <w:wordWrap/>
        <w:overflowPunct/>
        <w:topLinePunct w:val="0"/>
        <w:bidi w:val="0"/>
        <w:snapToGrid w:val="0"/>
        <w:spacing w:line="44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主持人公布评标结果。</w:t>
      </w:r>
    </w:p>
    <w:p w14:paraId="7E3631DB">
      <w:pPr>
        <w:keepNext w:val="0"/>
        <w:keepLines w:val="0"/>
        <w:pageBreakBefore w:val="0"/>
        <w:kinsoku/>
        <w:wordWrap/>
        <w:overflowPunct/>
        <w:topLinePunct w:val="0"/>
        <w:bidi w:val="0"/>
        <w:snapToGrid w:val="0"/>
        <w:spacing w:line="440" w:lineRule="exact"/>
        <w:ind w:firstLine="482" w:firstLineChars="200"/>
        <w:jc w:val="left"/>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特别说明：乐采云公司如对电子化开标及评审程序有调整的，按调整后的程序操作。</w:t>
      </w:r>
    </w:p>
    <w:p w14:paraId="2C413415">
      <w:pPr>
        <w:keepNext w:val="0"/>
        <w:keepLines w:val="0"/>
        <w:pageBreakBefore w:val="0"/>
        <w:kinsoku/>
        <w:wordWrap/>
        <w:overflowPunct/>
        <w:topLinePunct w:val="0"/>
        <w:bidi w:val="0"/>
        <w:snapToGrid w:val="0"/>
        <w:spacing w:line="440" w:lineRule="exact"/>
        <w:jc w:val="left"/>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2.采购过程中出现以下情形，导致电子交易平台无法正常运行，或者无法保证电子交易的公平、公正和安全时，采购组织机构可中止电子交易活动：</w:t>
      </w:r>
    </w:p>
    <w:p w14:paraId="6765FC94">
      <w:pPr>
        <w:keepNext w:val="0"/>
        <w:keepLines w:val="0"/>
        <w:pageBreakBefore w:val="0"/>
        <w:kinsoku/>
        <w:wordWrap/>
        <w:overflowPunct/>
        <w:topLinePunct w:val="0"/>
        <w:bidi w:val="0"/>
        <w:snapToGrid w:val="0"/>
        <w:spacing w:line="44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2.1电子交易平台发生故障而无法登录访问的； </w:t>
      </w:r>
    </w:p>
    <w:p w14:paraId="7AE2519D">
      <w:pPr>
        <w:keepNext w:val="0"/>
        <w:keepLines w:val="0"/>
        <w:pageBreakBefore w:val="0"/>
        <w:kinsoku/>
        <w:wordWrap/>
        <w:overflowPunct/>
        <w:topLinePunct w:val="0"/>
        <w:bidi w:val="0"/>
        <w:snapToGrid w:val="0"/>
        <w:spacing w:line="44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2.2电子交易平台应用或数据库出现错误，不能进行正常操作的；</w:t>
      </w:r>
    </w:p>
    <w:p w14:paraId="487C53CD">
      <w:pPr>
        <w:keepNext w:val="0"/>
        <w:keepLines w:val="0"/>
        <w:pageBreakBefore w:val="0"/>
        <w:kinsoku/>
        <w:wordWrap/>
        <w:overflowPunct/>
        <w:topLinePunct w:val="0"/>
        <w:bidi w:val="0"/>
        <w:snapToGrid w:val="0"/>
        <w:spacing w:line="44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2.3电子交易平台发现严重安全漏洞，有潜在泄密危险的；</w:t>
      </w:r>
    </w:p>
    <w:p w14:paraId="2EAAC465">
      <w:pPr>
        <w:keepNext w:val="0"/>
        <w:keepLines w:val="0"/>
        <w:pageBreakBefore w:val="0"/>
        <w:kinsoku/>
        <w:wordWrap/>
        <w:overflowPunct/>
        <w:topLinePunct w:val="0"/>
        <w:bidi w:val="0"/>
        <w:snapToGrid w:val="0"/>
        <w:spacing w:line="44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2.4病毒发作导致不能进行正常操作的； </w:t>
      </w:r>
    </w:p>
    <w:p w14:paraId="7F89AC14">
      <w:pPr>
        <w:keepNext w:val="0"/>
        <w:keepLines w:val="0"/>
        <w:pageBreakBefore w:val="0"/>
        <w:kinsoku/>
        <w:wordWrap/>
        <w:overflowPunct/>
        <w:topLinePunct w:val="0"/>
        <w:bidi w:val="0"/>
        <w:snapToGrid w:val="0"/>
        <w:spacing w:line="44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2.5其他无法保证电子交易的公平、公正和安全的情况。</w:t>
      </w:r>
    </w:p>
    <w:p w14:paraId="38D201E5">
      <w:pPr>
        <w:keepNext w:val="0"/>
        <w:keepLines w:val="0"/>
        <w:pageBreakBefore w:val="0"/>
        <w:kinsoku/>
        <w:wordWrap/>
        <w:overflowPunct/>
        <w:topLinePunct w:val="0"/>
        <w:bidi w:val="0"/>
        <w:snapToGrid w:val="0"/>
        <w:spacing w:line="44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出现前款规定情形，不影响采购公平、公正性的，采购组织机构可以待上述情形消除后继续组织电子交易活动，也可以决定某些环节以纸质形式进行；影响或可能影响采购公平、公正性的，应当重新采购。</w:t>
      </w:r>
    </w:p>
    <w:p w14:paraId="492660C1">
      <w:pPr>
        <w:keepNext w:val="0"/>
        <w:keepLines w:val="0"/>
        <w:pageBreakBefore w:val="0"/>
        <w:kinsoku/>
        <w:wordWrap/>
        <w:overflowPunct/>
        <w:topLinePunct w:val="0"/>
        <w:bidi w:val="0"/>
        <w:snapToGrid w:val="0"/>
        <w:spacing w:line="440" w:lineRule="exact"/>
        <w:jc w:val="left"/>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3</w:t>
      </w:r>
      <w:r>
        <w:rPr>
          <w:rFonts w:hint="eastAsia" w:ascii="仿宋" w:hAnsi="仿宋" w:eastAsia="仿宋" w:cs="仿宋"/>
          <w:b/>
          <w:color w:val="auto"/>
          <w:sz w:val="24"/>
          <w:highlight w:val="none"/>
          <w:lang w:val="en-US" w:eastAsia="zh-CN"/>
        </w:rPr>
        <w:t>.</w:t>
      </w:r>
      <w:r>
        <w:rPr>
          <w:rFonts w:hint="eastAsia" w:ascii="仿宋" w:hAnsi="仿宋" w:eastAsia="仿宋" w:cs="仿宋"/>
          <w:b/>
          <w:color w:val="auto"/>
          <w:sz w:val="24"/>
          <w:highlight w:val="none"/>
        </w:rPr>
        <w:t>评标</w:t>
      </w:r>
    </w:p>
    <w:p w14:paraId="062C4D7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3.1评标委员会由招标采购单位依法组建，负责评标活动。评标委员会遵循公开、公平、公正、科学合理、竞争择优的原则。</w:t>
      </w:r>
    </w:p>
    <w:p w14:paraId="7712672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3.2</w:t>
      </w:r>
      <w:r>
        <w:rPr>
          <w:rFonts w:hint="eastAsia" w:ascii="仿宋" w:hAnsi="仿宋" w:eastAsia="仿宋" w:cs="仿宋"/>
          <w:color w:val="auto"/>
          <w:kern w:val="0"/>
          <w:sz w:val="24"/>
          <w:szCs w:val="24"/>
          <w:highlight w:val="none"/>
        </w:rPr>
        <w:t>评标工作由评标委员会负责。评标委员会按有关规定产生。评标委员会由采购人代表和评审专家组成，</w:t>
      </w:r>
      <w:r>
        <w:rPr>
          <w:rFonts w:hint="eastAsia" w:ascii="仿宋" w:hAnsi="仿宋" w:eastAsia="仿宋" w:cs="仿宋"/>
          <w:color w:val="auto"/>
          <w:sz w:val="24"/>
          <w:highlight w:val="none"/>
        </w:rPr>
        <w:t>成员人数为五人以上单数。</w:t>
      </w:r>
    </w:p>
    <w:p w14:paraId="47C2D20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评标委员会可以要求投标人对其投标文件中含义不明确的内容作必要的澄清或者说明，但澄清或者说明不得超过投标文件的范围或者改变投标文件的实质性内容。</w:t>
      </w:r>
    </w:p>
    <w:p w14:paraId="28E6264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评审中需要供应商对投标、响应文件作出澄清、说明或者补正的，评标委员会和供应商应当通过乐采云平台交换数据电文。给予供应商提交澄清说明或补正的时间不少于半小时，供应商已经明确表示澄清说明或补正完毕的除外。</w:t>
      </w:r>
    </w:p>
    <w:p w14:paraId="50749F3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供应商通过乐采云平台交换的数据电文必须进行电子签章。</w:t>
      </w:r>
    </w:p>
    <w:p w14:paraId="609C3950">
      <w:pPr>
        <w:keepNext w:val="0"/>
        <w:keepLines w:val="0"/>
        <w:pageBreakBefore w:val="0"/>
        <w:kinsoku/>
        <w:wordWrap/>
        <w:overflowPunct/>
        <w:topLinePunct w:val="0"/>
        <w:bidi w:val="0"/>
        <w:snapToGrid w:val="0"/>
        <w:spacing w:line="44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4</w:t>
      </w:r>
      <w:r>
        <w:rPr>
          <w:rFonts w:hint="eastAsia" w:ascii="仿宋" w:hAnsi="仿宋" w:eastAsia="仿宋" w:cs="仿宋"/>
          <w:color w:val="auto"/>
          <w:kern w:val="0"/>
          <w:sz w:val="24"/>
          <w:szCs w:val="24"/>
          <w:highlight w:val="none"/>
        </w:rPr>
        <w:t>评标委员会</w:t>
      </w:r>
      <w:r>
        <w:rPr>
          <w:rFonts w:hint="eastAsia" w:ascii="仿宋" w:hAnsi="仿宋" w:eastAsia="仿宋" w:cs="仿宋"/>
          <w:color w:val="auto"/>
          <w:sz w:val="24"/>
          <w:highlight w:val="none"/>
        </w:rPr>
        <w:t>组长组织评审人员独立评审。</w:t>
      </w:r>
      <w:r>
        <w:rPr>
          <w:rFonts w:hint="eastAsia" w:ascii="仿宋" w:hAnsi="仿宋" w:eastAsia="仿宋" w:cs="仿宋"/>
          <w:color w:val="auto"/>
          <w:kern w:val="0"/>
          <w:sz w:val="24"/>
          <w:szCs w:val="24"/>
          <w:highlight w:val="none"/>
        </w:rPr>
        <w:t>评标委员会</w:t>
      </w:r>
      <w:r>
        <w:rPr>
          <w:rFonts w:hint="eastAsia" w:ascii="仿宋" w:hAnsi="仿宋" w:eastAsia="仿宋" w:cs="仿宋"/>
          <w:color w:val="auto"/>
          <w:sz w:val="24"/>
          <w:highlight w:val="none"/>
        </w:rPr>
        <w:t>对拟认定为采购响应文件无效、供应商资格不符合的，应组织相关供应商代表进行陈述、澄清或申辩；采购组织机构可协助评审小组组长对打分结果进行校对、核对并汇总统计；对明显畸高、畸低的评分情形（评审小组成员个人主观打分偏离所有评审小组成员主观打分平均值30%以上），启动评分畸高、畸低行为认定程序，评审小组组长应提醒相关评审人员进行复核或书面说明理由，评审人员拒绝说明的，由现场监督员据实记录；评审人员的评审、修改记录应保留原件，随项目其他资料一并存档。</w:t>
      </w:r>
    </w:p>
    <w:p w14:paraId="2F2A8C66">
      <w:pPr>
        <w:keepNext w:val="0"/>
        <w:keepLines w:val="0"/>
        <w:pageBreakBefore w:val="0"/>
        <w:kinsoku/>
        <w:wordWrap/>
        <w:overflowPunct/>
        <w:topLinePunct w:val="0"/>
        <w:bidi w:val="0"/>
        <w:snapToGrid w:val="0"/>
        <w:spacing w:line="44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评标委员会对投标文件的判定，只依据投标文件和招标文件内容本身，不依据任何外来证明。</w:t>
      </w:r>
    </w:p>
    <w:p w14:paraId="2EE05005">
      <w:pPr>
        <w:keepNext w:val="0"/>
        <w:keepLines w:val="0"/>
        <w:pageBreakBefore w:val="0"/>
        <w:kinsoku/>
        <w:wordWrap/>
        <w:overflowPunct/>
        <w:topLinePunct w:val="0"/>
        <w:bidi w:val="0"/>
        <w:snapToGrid w:val="0"/>
        <w:spacing w:line="440" w:lineRule="exact"/>
        <w:ind w:firstLine="480" w:firstLineChars="2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评标委员会不向落标方解释落标的原因。</w:t>
      </w:r>
    </w:p>
    <w:p w14:paraId="511B263A">
      <w:pPr>
        <w:keepNext w:val="0"/>
        <w:keepLines w:val="0"/>
        <w:pageBreakBefore w:val="0"/>
        <w:kinsoku/>
        <w:wordWrap/>
        <w:overflowPunct/>
        <w:topLinePunct w:val="0"/>
        <w:bidi w:val="0"/>
        <w:snapToGrid w:val="0"/>
        <w:spacing w:line="440" w:lineRule="exact"/>
        <w:jc w:val="left"/>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4</w:t>
      </w:r>
      <w:r>
        <w:rPr>
          <w:rFonts w:hint="eastAsia" w:ascii="仿宋" w:hAnsi="仿宋" w:eastAsia="仿宋" w:cs="仿宋"/>
          <w:b/>
          <w:color w:val="auto"/>
          <w:sz w:val="24"/>
          <w:highlight w:val="none"/>
          <w:lang w:val="en-US" w:eastAsia="zh-CN"/>
        </w:rPr>
        <w:t>.</w:t>
      </w:r>
      <w:r>
        <w:rPr>
          <w:rFonts w:hint="eastAsia" w:ascii="仿宋" w:hAnsi="仿宋" w:eastAsia="仿宋" w:cs="仿宋"/>
          <w:b/>
          <w:color w:val="auto"/>
          <w:sz w:val="24"/>
          <w:highlight w:val="none"/>
        </w:rPr>
        <w:t>投标文件的初审鉴定</w:t>
      </w:r>
    </w:p>
    <w:p w14:paraId="38C1EE7F">
      <w:pPr>
        <w:keepNext w:val="0"/>
        <w:keepLines w:val="0"/>
        <w:pageBreakBefore w:val="0"/>
        <w:kinsoku/>
        <w:wordWrap/>
        <w:overflowPunct/>
        <w:topLinePunct w:val="0"/>
        <w:bidi w:val="0"/>
        <w:snapToGrid w:val="0"/>
        <w:spacing w:line="44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4.1资格性审查</w:t>
      </w:r>
    </w:p>
    <w:p w14:paraId="4F4E884B">
      <w:pPr>
        <w:keepNext w:val="0"/>
        <w:keepLines w:val="0"/>
        <w:pageBreakBefore w:val="0"/>
        <w:kinsoku/>
        <w:wordWrap/>
        <w:overflowPunct/>
        <w:topLinePunct w:val="0"/>
        <w:bidi w:val="0"/>
        <w:snapToGrid w:val="0"/>
        <w:spacing w:line="44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4.1.1依据法律、法规和招标文件规定，采购人或采购人代表对投标人进行资格审查，以确定投标人是否具备投标资格。</w:t>
      </w:r>
    </w:p>
    <w:p w14:paraId="0E4F90CB">
      <w:pPr>
        <w:keepNext w:val="0"/>
        <w:keepLines w:val="0"/>
        <w:pageBreakBefore w:val="0"/>
        <w:kinsoku/>
        <w:wordWrap/>
        <w:overflowPunct/>
        <w:topLinePunct w:val="0"/>
        <w:bidi w:val="0"/>
        <w:snapToGrid w:val="0"/>
        <w:spacing w:line="44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4.2符合性审查</w:t>
      </w:r>
    </w:p>
    <w:p w14:paraId="46259C0D">
      <w:pPr>
        <w:keepNext w:val="0"/>
        <w:keepLines w:val="0"/>
        <w:pageBreakBefore w:val="0"/>
        <w:kinsoku/>
        <w:wordWrap/>
        <w:overflowPunct/>
        <w:topLinePunct w:val="0"/>
        <w:bidi w:val="0"/>
        <w:snapToGrid w:val="0"/>
        <w:spacing w:line="44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4.2.1评标时，评标委员会将首先评定每份投标文件是否在实质上响应了招标文件要求。所谓实质上的响应，是指投标文件与招标文件的所有实质性条款、条件和要求相符，无显著差异或保留，或者对合同中约定的采购人的权利和投标人的义务方面造成重大的限制，纠正这些显著差异或保留将会对其他实质上响应招标文件要求的投标文件的投标人的竞争地位产生不公正的影响。评标委员会决定投标文件的响应性只根据投标文件本身的内容，而不寻求外部证据。</w:t>
      </w:r>
    </w:p>
    <w:p w14:paraId="328FA22D">
      <w:pPr>
        <w:keepNext w:val="0"/>
        <w:keepLines w:val="0"/>
        <w:pageBreakBefore w:val="0"/>
        <w:kinsoku/>
        <w:wordWrap/>
        <w:overflowPunct/>
        <w:topLinePunct w:val="0"/>
        <w:bidi w:val="0"/>
        <w:snapToGrid w:val="0"/>
        <w:spacing w:line="44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4.3如果投标文件实质不响应招标文件的各项要求，评标委员会将予以拒绝，并且不允许投标人通过修改或撤销其不符合要求的差异或保留，使之成为具有实质性响应的投标。</w:t>
      </w:r>
    </w:p>
    <w:p w14:paraId="649F2891">
      <w:pPr>
        <w:keepNext w:val="0"/>
        <w:keepLines w:val="0"/>
        <w:pageBreakBefore w:val="0"/>
        <w:kinsoku/>
        <w:wordWrap/>
        <w:overflowPunct/>
        <w:topLinePunct w:val="0"/>
        <w:bidi w:val="0"/>
        <w:spacing w:line="440" w:lineRule="exact"/>
        <w:jc w:val="left"/>
        <w:textAlignment w:val="auto"/>
        <w:rPr>
          <w:rFonts w:hint="eastAsia" w:ascii="仿宋" w:hAnsi="仿宋" w:eastAsia="仿宋" w:cs="仿宋"/>
          <w:b/>
          <w:color w:val="auto"/>
          <w:sz w:val="24"/>
          <w:highlight w:val="none"/>
        </w:rPr>
      </w:pPr>
      <w:r>
        <w:rPr>
          <w:rFonts w:hint="eastAsia" w:ascii="仿宋" w:hAnsi="仿宋" w:eastAsia="仿宋" w:cs="仿宋"/>
          <w:b/>
          <w:color w:val="auto"/>
          <w:kern w:val="0"/>
          <w:sz w:val="24"/>
          <w:highlight w:val="none"/>
        </w:rPr>
        <w:t>5</w:t>
      </w:r>
      <w:r>
        <w:rPr>
          <w:rFonts w:hint="eastAsia" w:ascii="仿宋" w:hAnsi="仿宋" w:eastAsia="仿宋" w:cs="仿宋"/>
          <w:b/>
          <w:color w:val="auto"/>
          <w:kern w:val="0"/>
          <w:sz w:val="24"/>
          <w:highlight w:val="none"/>
          <w:lang w:val="en-US" w:eastAsia="zh-CN"/>
        </w:rPr>
        <w:t>.</w:t>
      </w:r>
      <w:r>
        <w:rPr>
          <w:rFonts w:hint="eastAsia" w:ascii="仿宋" w:hAnsi="仿宋" w:eastAsia="仿宋" w:cs="仿宋"/>
          <w:b/>
          <w:color w:val="auto"/>
          <w:sz w:val="24"/>
          <w:highlight w:val="none"/>
        </w:rPr>
        <w:t>投标文件报价出现前后不一致的，按照下列规定修正：</w:t>
      </w:r>
    </w:p>
    <w:p w14:paraId="45DB84FF">
      <w:pPr>
        <w:keepNext w:val="0"/>
        <w:keepLines w:val="0"/>
        <w:pageBreakBefore w:val="0"/>
        <w:kinsoku/>
        <w:wordWrap/>
        <w:overflowPunct/>
        <w:topLinePunct w:val="0"/>
        <w:bidi w:val="0"/>
        <w:snapToGrid w:val="0"/>
        <w:spacing w:line="44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5.1投标文件中开标一览表（报价表）内容与投标文件中相应内容不一致的，以开标一览表（报价表）为准；</w:t>
      </w:r>
    </w:p>
    <w:p w14:paraId="581CDF68">
      <w:pPr>
        <w:keepNext w:val="0"/>
        <w:keepLines w:val="0"/>
        <w:pageBreakBefore w:val="0"/>
        <w:kinsoku/>
        <w:wordWrap/>
        <w:overflowPunct/>
        <w:topLinePunct w:val="0"/>
        <w:bidi w:val="0"/>
        <w:snapToGrid w:val="0"/>
        <w:spacing w:line="44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5.2大写金额和小写金额不一致的，以大写金额为准；</w:t>
      </w:r>
    </w:p>
    <w:p w14:paraId="3283205E">
      <w:pPr>
        <w:keepNext w:val="0"/>
        <w:keepLines w:val="0"/>
        <w:pageBreakBefore w:val="0"/>
        <w:kinsoku/>
        <w:wordWrap/>
        <w:overflowPunct/>
        <w:topLinePunct w:val="0"/>
        <w:bidi w:val="0"/>
        <w:snapToGrid w:val="0"/>
        <w:spacing w:line="44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5.3单价金额小数点或者百分比有明显错位的，以开标一览表的总价为准，并修改单价；</w:t>
      </w:r>
    </w:p>
    <w:p w14:paraId="56FB31DF">
      <w:pPr>
        <w:keepNext w:val="0"/>
        <w:keepLines w:val="0"/>
        <w:pageBreakBefore w:val="0"/>
        <w:kinsoku/>
        <w:wordWrap/>
        <w:overflowPunct/>
        <w:topLinePunct w:val="0"/>
        <w:bidi w:val="0"/>
        <w:snapToGrid w:val="0"/>
        <w:spacing w:line="44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5.4总价金额与按单价汇总金额不一致的，以单价金额计算结果为准。</w:t>
      </w:r>
    </w:p>
    <w:p w14:paraId="50D52EDC">
      <w:pPr>
        <w:keepNext w:val="0"/>
        <w:keepLines w:val="0"/>
        <w:pageBreakBefore w:val="0"/>
        <w:kinsoku/>
        <w:wordWrap/>
        <w:overflowPunct/>
        <w:topLinePunct w:val="0"/>
        <w:bidi w:val="0"/>
        <w:snapToGrid w:val="0"/>
        <w:spacing w:line="44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同时出现两种以上不一致的，按照前款规定的顺序修正。修正后的报价</w:t>
      </w:r>
      <w:r>
        <w:rPr>
          <w:rFonts w:hint="eastAsia" w:ascii="仿宋" w:hAnsi="仿宋" w:eastAsia="仿宋" w:cs="仿宋"/>
          <w:color w:val="auto"/>
          <w:sz w:val="24"/>
          <w:highlight w:val="none"/>
          <w:lang w:val="en-US" w:eastAsia="zh-CN"/>
        </w:rPr>
        <w:t>参照相关</w:t>
      </w:r>
      <w:r>
        <w:rPr>
          <w:rFonts w:hint="eastAsia" w:ascii="仿宋" w:hAnsi="仿宋" w:eastAsia="仿宋" w:cs="仿宋"/>
          <w:color w:val="auto"/>
          <w:sz w:val="24"/>
          <w:highlight w:val="none"/>
        </w:rPr>
        <w:t>规定</w:t>
      </w:r>
      <w:r>
        <w:rPr>
          <w:rFonts w:hint="eastAsia" w:ascii="仿宋" w:hAnsi="仿宋" w:eastAsia="仿宋" w:cs="仿宋"/>
          <w:color w:val="auto"/>
          <w:sz w:val="24"/>
          <w:highlight w:val="none"/>
          <w:lang w:eastAsia="zh-CN"/>
        </w:rPr>
        <w:t>（投标人的澄清、说明或者补正应当采用书面形式，并加盖公章，或者由法定代表人或其授权的代表签字。投标人的澄清、说明或者补正不得超出投标文件的范围或者改变投标文件的实质性内容）</w:t>
      </w:r>
      <w:r>
        <w:rPr>
          <w:rFonts w:hint="eastAsia" w:ascii="仿宋" w:hAnsi="仿宋" w:eastAsia="仿宋" w:cs="仿宋"/>
          <w:color w:val="auto"/>
          <w:sz w:val="24"/>
          <w:highlight w:val="none"/>
        </w:rPr>
        <w:t>经投标人确认后产生约束力，投标人不确认的，其投标无效。</w:t>
      </w:r>
    </w:p>
    <w:p w14:paraId="2EA1458B">
      <w:pPr>
        <w:keepNext w:val="0"/>
        <w:keepLines w:val="0"/>
        <w:pageBreakBefore w:val="0"/>
        <w:kinsoku/>
        <w:wordWrap/>
        <w:overflowPunct/>
        <w:topLinePunct w:val="0"/>
        <w:bidi w:val="0"/>
        <w:spacing w:line="440" w:lineRule="exact"/>
        <w:jc w:val="left"/>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6.投标文件的评审、比较和否决</w:t>
      </w:r>
    </w:p>
    <w:p w14:paraId="199B69FD">
      <w:pPr>
        <w:keepNext w:val="0"/>
        <w:keepLines w:val="0"/>
        <w:pageBreakBefore w:val="0"/>
        <w:kinsoku/>
        <w:wordWrap/>
        <w:overflowPunct/>
        <w:topLinePunct w:val="0"/>
        <w:bidi w:val="0"/>
        <w:snapToGrid w:val="0"/>
        <w:spacing w:line="44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6.1评标委员会将对在实质上响应招标文件要求的投标文件进行评估和比较。</w:t>
      </w:r>
    </w:p>
    <w:p w14:paraId="30A03C44">
      <w:pPr>
        <w:keepNext w:val="0"/>
        <w:keepLines w:val="0"/>
        <w:pageBreakBefore w:val="0"/>
        <w:kinsoku/>
        <w:wordWrap/>
        <w:overflowPunct/>
        <w:topLinePunct w:val="0"/>
        <w:bidi w:val="0"/>
        <w:snapToGrid w:val="0"/>
        <w:spacing w:line="44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6.2在评审过程中，评标委员会可以书面形式要求投标人就投标文件含义不明确的内容可对其通过乐采云平台进行书面说明并提供相关材料，但不得超过投标文件的范围或者改变投标文件的实质性内容。</w:t>
      </w:r>
    </w:p>
    <w:p w14:paraId="18DA0E40">
      <w:pPr>
        <w:keepNext w:val="0"/>
        <w:keepLines w:val="0"/>
        <w:pageBreakBefore w:val="0"/>
        <w:kinsoku/>
        <w:wordWrap/>
        <w:overflowPunct/>
        <w:topLinePunct w:val="0"/>
        <w:bidi w:val="0"/>
        <w:snapToGrid w:val="0"/>
        <w:spacing w:line="44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6.3在评标过程中，如发现与招标文件要求相偏离的，评标委员会可对其偏离情形进行必要的核实。</w:t>
      </w:r>
    </w:p>
    <w:p w14:paraId="7A639A65">
      <w:pPr>
        <w:keepNext w:val="0"/>
        <w:keepLines w:val="0"/>
        <w:pageBreakBefore w:val="0"/>
        <w:kinsoku/>
        <w:wordWrap/>
        <w:overflowPunct/>
        <w:topLinePunct w:val="0"/>
        <w:bidi w:val="0"/>
        <w:snapToGrid w:val="0"/>
        <w:spacing w:line="44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6.4在评审过程中，如属于实质性偏离或符合无效响应条件的，应当询问相关投标人，并可对其通过乐采云平台进行线上确认，但不允许对偏离条款进行补充、修正或撤回。</w:t>
      </w:r>
    </w:p>
    <w:p w14:paraId="64BFB240">
      <w:pPr>
        <w:keepNext w:val="0"/>
        <w:keepLines w:val="0"/>
        <w:pageBreakBefore w:val="0"/>
        <w:kinsoku/>
        <w:wordWrap/>
        <w:overflowPunct/>
        <w:topLinePunct w:val="0"/>
        <w:bidi w:val="0"/>
        <w:snapToGrid w:val="0"/>
        <w:spacing w:line="44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6.5比较与评价。评标委员会应当按照评标标准，对符合性审查合格的投标文件进行商务和技术评估，综合比较与评价。</w:t>
      </w:r>
    </w:p>
    <w:p w14:paraId="47CF4085">
      <w:pPr>
        <w:keepNext w:val="0"/>
        <w:keepLines w:val="0"/>
        <w:pageBreakBefore w:val="0"/>
        <w:kinsoku/>
        <w:wordWrap/>
        <w:overflowPunct/>
        <w:topLinePunct w:val="0"/>
        <w:bidi w:val="0"/>
        <w:snapToGrid w:val="0"/>
        <w:spacing w:line="44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6.6汇总（商务技术得分情况）。评标委员会各成员应当独立对每个投标人的商务技术（资信）文件进行评价，并汇总商务技术得分情况。</w:t>
      </w:r>
    </w:p>
    <w:p w14:paraId="7DDAD652">
      <w:pPr>
        <w:keepNext w:val="0"/>
        <w:keepLines w:val="0"/>
        <w:pageBreakBefore w:val="0"/>
        <w:kinsoku/>
        <w:wordWrap/>
        <w:overflowPunct/>
        <w:topLinePunct w:val="0"/>
        <w:bidi w:val="0"/>
        <w:snapToGrid w:val="0"/>
        <w:spacing w:line="44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6.7 报价审核。对符合采购需求且通过商务技术（资信）评审的投标人的报价的合理性、准确性等进行审查核实。</w:t>
      </w:r>
    </w:p>
    <w:p w14:paraId="0B5AA401">
      <w:pPr>
        <w:keepNext w:val="0"/>
        <w:keepLines w:val="0"/>
        <w:pageBreakBefore w:val="0"/>
        <w:kinsoku/>
        <w:wordWrap/>
        <w:overflowPunct/>
        <w:topLinePunct w:val="0"/>
        <w:bidi w:val="0"/>
        <w:snapToGrid w:val="0"/>
        <w:spacing w:line="44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6.7.1评标委员会认为投标人的报价明显低于其他通过符合性审查投标人的报价，有可能影响产品质量或者不能诚信履约的，应当要求其在评标现场合理的时间内通过乐采云平台提供线上说明，必要时提交相关证明材料。</w:t>
      </w:r>
    </w:p>
    <w:p w14:paraId="65A7187A">
      <w:pPr>
        <w:keepNext w:val="0"/>
        <w:keepLines w:val="0"/>
        <w:pageBreakBefore w:val="0"/>
        <w:kinsoku/>
        <w:wordWrap/>
        <w:overflowPunct/>
        <w:topLinePunct w:val="0"/>
        <w:bidi w:val="0"/>
        <w:snapToGrid w:val="0"/>
        <w:spacing w:line="44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6.7.</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如需投标价格修正，按</w:t>
      </w:r>
      <w:r>
        <w:rPr>
          <w:rFonts w:hint="eastAsia" w:ascii="仿宋" w:hAnsi="仿宋" w:eastAsia="仿宋" w:cs="仿宋"/>
          <w:color w:val="auto"/>
          <w:sz w:val="24"/>
          <w:highlight w:val="none"/>
          <w:lang w:val="en-US" w:eastAsia="zh-CN"/>
        </w:rPr>
        <w:t>招标文件</w:t>
      </w:r>
      <w:r>
        <w:rPr>
          <w:rFonts w:hint="eastAsia" w:ascii="仿宋" w:hAnsi="仿宋" w:eastAsia="仿宋" w:cs="仿宋"/>
          <w:color w:val="auto"/>
          <w:sz w:val="24"/>
          <w:highlight w:val="none"/>
        </w:rPr>
        <w:t>规定对投标价格进行修正。</w:t>
      </w:r>
    </w:p>
    <w:p w14:paraId="2BE0534A">
      <w:pPr>
        <w:keepNext w:val="0"/>
        <w:keepLines w:val="0"/>
        <w:pageBreakBefore w:val="0"/>
        <w:kinsoku/>
        <w:wordWrap/>
        <w:overflowPunct/>
        <w:topLinePunct w:val="0"/>
        <w:bidi w:val="0"/>
        <w:snapToGrid w:val="0"/>
        <w:spacing w:line="44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6.8评标委员会依据招标文件规定的评标标准和方法，对投标文件进行评审和比较后，向采购人或其委托的采购代理机构提供书面评标报告，并按得分高低排序推荐中标候选供应商。</w:t>
      </w:r>
    </w:p>
    <w:p w14:paraId="6D38A4C9">
      <w:pPr>
        <w:pStyle w:val="19"/>
        <w:keepNext w:val="0"/>
        <w:keepLines w:val="0"/>
        <w:pageBreakBefore w:val="0"/>
        <w:widowControl w:val="0"/>
        <w:tabs>
          <w:tab w:val="clear" w:pos="390"/>
          <w:tab w:val="clear" w:pos="454"/>
        </w:tabs>
        <w:kinsoku/>
        <w:wordWrap/>
        <w:overflowPunct/>
        <w:topLinePunct w:val="0"/>
        <w:bidi w:val="0"/>
        <w:spacing w:after="120" w:line="440" w:lineRule="exact"/>
        <w:ind w:left="0" w:firstLine="0"/>
        <w:textAlignment w:val="auto"/>
        <w:rPr>
          <w:rFonts w:hint="eastAsia" w:ascii="仿宋" w:hAnsi="仿宋" w:eastAsia="仿宋" w:cs="仿宋"/>
          <w:b/>
          <w:color w:val="auto"/>
          <w:highlight w:val="none"/>
        </w:rPr>
      </w:pPr>
      <w:r>
        <w:rPr>
          <w:rFonts w:hint="eastAsia" w:ascii="仿宋" w:hAnsi="仿宋" w:eastAsia="仿宋" w:cs="仿宋"/>
          <w:b/>
          <w:color w:val="auto"/>
          <w:highlight w:val="none"/>
        </w:rPr>
        <w:t>7.投标文件的澄清</w:t>
      </w:r>
    </w:p>
    <w:p w14:paraId="16B53F49">
      <w:pPr>
        <w:pStyle w:val="19"/>
        <w:keepNext w:val="0"/>
        <w:keepLines w:val="0"/>
        <w:pageBreakBefore w:val="0"/>
        <w:widowControl w:val="0"/>
        <w:tabs>
          <w:tab w:val="clear" w:pos="390"/>
          <w:tab w:val="clear" w:pos="454"/>
        </w:tabs>
        <w:kinsoku/>
        <w:wordWrap/>
        <w:overflowPunct/>
        <w:topLinePunct w:val="0"/>
        <w:bidi w:val="0"/>
        <w:spacing w:after="120" w:line="440" w:lineRule="exact"/>
        <w:ind w:left="0"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szCs w:val="24"/>
          <w:highlight w:val="none"/>
        </w:rPr>
        <w:t>对投标文件中含义不明、表述不一致或有明显计算错误等内容，评标委员会将对投标人进行询标，并可要求投标人作澄清，作为投标文件的补充部分，但澄清的内容不得改变投标文件的实质性内容。</w:t>
      </w:r>
    </w:p>
    <w:p w14:paraId="4AD50450">
      <w:pPr>
        <w:pStyle w:val="34"/>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8.无效投标的情形</w:t>
      </w:r>
    </w:p>
    <w:p w14:paraId="66A069D2">
      <w:pPr>
        <w:keepNext w:val="0"/>
        <w:keepLines w:val="0"/>
        <w:pageBreakBefore w:val="0"/>
        <w:widowControl w:val="0"/>
        <w:tabs>
          <w:tab w:val="left" w:pos="4085"/>
        </w:tabs>
        <w:kinsoku/>
        <w:wordWrap/>
        <w:overflowPunct/>
        <w:topLinePunct w:val="0"/>
        <w:autoSpaceDE/>
        <w:autoSpaceDN/>
        <w:bidi w:val="0"/>
        <w:adjustRightInd w:val="0"/>
        <w:snapToGrid w:val="0"/>
        <w:spacing w:line="440" w:lineRule="exact"/>
        <w:ind w:firstLine="482" w:firstLineChars="200"/>
        <w:jc w:val="left"/>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投标文件有下列情形之一的作无效投标处理：</w:t>
      </w:r>
    </w:p>
    <w:p w14:paraId="70790336">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8.1投标人不具备招标文件中规定的资格要求的（投标人未提供有效的资格文件的，视为投标人不具备招标文件中规定的资格要求）；</w:t>
      </w:r>
    </w:p>
    <w:p w14:paraId="6ED8CA0C">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8.2未按照招标文件规定要求签字或盖章的；</w:t>
      </w:r>
    </w:p>
    <w:p w14:paraId="3815A72D">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lang w:val="en-US" w:eastAsia="zh-CN"/>
        </w:rPr>
        <w:t>8.3</w:t>
      </w:r>
      <w:r>
        <w:rPr>
          <w:rFonts w:hint="eastAsia" w:ascii="仿宋" w:hAnsi="仿宋" w:eastAsia="仿宋" w:cs="仿宋"/>
          <w:b w:val="0"/>
          <w:bCs w:val="0"/>
          <w:color w:val="auto"/>
          <w:sz w:val="24"/>
          <w:highlight w:val="none"/>
        </w:rPr>
        <w:t>单位负责人为同一人或者存在直接控股、管理关系的不同供应商参加同一合同项下的采购活动的（均无效）；</w:t>
      </w:r>
    </w:p>
    <w:p w14:paraId="05D586FF">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8.</w:t>
      </w:r>
      <w:r>
        <w:rPr>
          <w:rFonts w:hint="eastAsia" w:ascii="仿宋" w:hAnsi="仿宋" w:eastAsia="仿宋" w:cs="仿宋"/>
          <w:b w:val="0"/>
          <w:bCs w:val="0"/>
          <w:color w:val="auto"/>
          <w:sz w:val="24"/>
          <w:highlight w:val="none"/>
          <w:lang w:val="en-US" w:eastAsia="zh-CN"/>
        </w:rPr>
        <w:t>4</w:t>
      </w:r>
      <w:r>
        <w:rPr>
          <w:rFonts w:hint="eastAsia" w:ascii="仿宋" w:hAnsi="仿宋" w:eastAsia="仿宋" w:cs="仿宋"/>
          <w:b w:val="0"/>
          <w:bCs w:val="0"/>
          <w:color w:val="auto"/>
          <w:sz w:val="24"/>
          <w:highlight w:val="none"/>
        </w:rPr>
        <w:t xml:space="preserve">为采购项目提供整体设计、规范编制或者项目管理、监理、检测等服务的供应商参加该采购项目的其他采购活动的； </w:t>
      </w:r>
    </w:p>
    <w:p w14:paraId="23BC1E16">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8.5《法定代表人身份证明书》与提供的身份证复印件信息不符的；《法定代表人授权委托书》与提供的身份证复印件信息不符的；</w:t>
      </w:r>
    </w:p>
    <w:p w14:paraId="039CA2BC">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8.6《法定代表人授权委托书》或《法定代表人身份证明书》填写不全、错误、</w:t>
      </w:r>
      <w:r>
        <w:rPr>
          <w:rFonts w:hint="eastAsia" w:ascii="仿宋" w:hAnsi="仿宋" w:eastAsia="仿宋" w:cs="仿宋"/>
          <w:b w:val="0"/>
          <w:bCs w:val="0"/>
          <w:color w:val="auto"/>
          <w:sz w:val="24"/>
          <w:highlight w:val="none"/>
          <w:lang w:val="en-US" w:eastAsia="zh-CN"/>
        </w:rPr>
        <w:t>或授权代表未经有效授权的</w:t>
      </w:r>
      <w:r>
        <w:rPr>
          <w:rFonts w:hint="eastAsia" w:ascii="仿宋" w:hAnsi="仿宋" w:eastAsia="仿宋" w:cs="仿宋"/>
          <w:b w:val="0"/>
          <w:bCs w:val="0"/>
          <w:color w:val="auto"/>
          <w:sz w:val="24"/>
          <w:highlight w:val="none"/>
        </w:rPr>
        <w:t>；</w:t>
      </w:r>
    </w:p>
    <w:p w14:paraId="2E958569">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8.</w:t>
      </w:r>
      <w:r>
        <w:rPr>
          <w:rFonts w:hint="eastAsia" w:ascii="仿宋" w:hAnsi="仿宋" w:eastAsia="仿宋" w:cs="仿宋"/>
          <w:b w:val="0"/>
          <w:bCs w:val="0"/>
          <w:color w:val="auto"/>
          <w:sz w:val="24"/>
          <w:highlight w:val="none"/>
          <w:lang w:val="en-US" w:eastAsia="zh-CN"/>
        </w:rPr>
        <w:t>7</w:t>
      </w:r>
      <w:r>
        <w:rPr>
          <w:rFonts w:hint="eastAsia" w:ascii="仿宋" w:hAnsi="仿宋" w:eastAsia="仿宋" w:cs="仿宋"/>
          <w:b w:val="0"/>
          <w:bCs w:val="0"/>
          <w:color w:val="auto"/>
          <w:sz w:val="24"/>
          <w:highlight w:val="none"/>
        </w:rPr>
        <w:t>投标文件中承诺的投标有效期少于招标文件中载明的投标有效期的；</w:t>
      </w:r>
    </w:p>
    <w:p w14:paraId="0B71469D">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8.</w:t>
      </w:r>
      <w:r>
        <w:rPr>
          <w:rFonts w:hint="eastAsia" w:ascii="仿宋" w:hAnsi="仿宋" w:eastAsia="仿宋" w:cs="仿宋"/>
          <w:b w:val="0"/>
          <w:bCs w:val="0"/>
          <w:color w:val="auto"/>
          <w:sz w:val="24"/>
          <w:highlight w:val="none"/>
          <w:lang w:val="en-US" w:eastAsia="zh-CN"/>
        </w:rPr>
        <w:t>8</w:t>
      </w:r>
      <w:r>
        <w:rPr>
          <w:rFonts w:hint="eastAsia" w:ascii="仿宋" w:hAnsi="仿宋" w:eastAsia="仿宋" w:cs="仿宋"/>
          <w:b w:val="0"/>
          <w:bCs w:val="0"/>
          <w:color w:val="auto"/>
          <w:sz w:val="24"/>
          <w:highlight w:val="none"/>
        </w:rPr>
        <w:t>报价一经涂改，未在涂改处加盖投标单位公章或者未经法定代表人或其授权代表签字或盖章的；</w:t>
      </w:r>
    </w:p>
    <w:p w14:paraId="2E27EAAB">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8.</w:t>
      </w:r>
      <w:r>
        <w:rPr>
          <w:rFonts w:hint="eastAsia" w:ascii="仿宋" w:hAnsi="仿宋" w:eastAsia="仿宋" w:cs="仿宋"/>
          <w:b w:val="0"/>
          <w:bCs w:val="0"/>
          <w:color w:val="auto"/>
          <w:sz w:val="24"/>
          <w:highlight w:val="none"/>
          <w:lang w:val="en-US" w:eastAsia="zh-CN"/>
        </w:rPr>
        <w:t>9</w:t>
      </w:r>
      <w:r>
        <w:rPr>
          <w:rFonts w:hint="eastAsia" w:ascii="仿宋" w:hAnsi="仿宋" w:eastAsia="仿宋" w:cs="仿宋"/>
          <w:b w:val="0"/>
          <w:bCs w:val="0"/>
          <w:color w:val="auto"/>
          <w:sz w:val="24"/>
          <w:highlight w:val="none"/>
        </w:rPr>
        <w:t>未按招标文件规定的格式填写，或对招标服务或技术或产品等要求未详细应答或应答内容不全、有缺失的</w:t>
      </w:r>
      <w:r>
        <w:rPr>
          <w:rFonts w:hint="eastAsia" w:ascii="仿宋" w:hAnsi="仿宋" w:eastAsia="仿宋" w:cs="仿宋"/>
          <w:b w:val="0"/>
          <w:bCs w:val="0"/>
          <w:color w:val="auto"/>
          <w:sz w:val="24"/>
          <w:highlight w:val="none"/>
          <w:lang w:eastAsia="zh-CN"/>
        </w:rPr>
        <w:t>，</w:t>
      </w:r>
      <w:r>
        <w:rPr>
          <w:rFonts w:hint="eastAsia" w:ascii="仿宋" w:hAnsi="仿宋" w:eastAsia="仿宋" w:cs="仿宋"/>
          <w:b w:val="0"/>
          <w:bCs w:val="0"/>
          <w:color w:val="auto"/>
          <w:sz w:val="24"/>
          <w:highlight w:val="none"/>
        </w:rPr>
        <w:t>经评标委员会认定为无法评审的；</w:t>
      </w:r>
    </w:p>
    <w:p w14:paraId="0FD71651">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8.</w:t>
      </w:r>
      <w:r>
        <w:rPr>
          <w:rFonts w:hint="eastAsia" w:ascii="仿宋" w:hAnsi="仿宋" w:eastAsia="仿宋" w:cs="仿宋"/>
          <w:b w:val="0"/>
          <w:bCs w:val="0"/>
          <w:color w:val="auto"/>
          <w:sz w:val="24"/>
          <w:highlight w:val="none"/>
          <w:lang w:val="en-US" w:eastAsia="zh-CN"/>
        </w:rPr>
        <w:t>10</w:t>
      </w:r>
      <w:r>
        <w:rPr>
          <w:rFonts w:hint="eastAsia" w:ascii="仿宋" w:hAnsi="仿宋" w:eastAsia="仿宋" w:cs="仿宋"/>
          <w:b w:val="0"/>
          <w:bCs w:val="0"/>
          <w:color w:val="auto"/>
          <w:sz w:val="24"/>
          <w:highlight w:val="none"/>
        </w:rPr>
        <w:t>出现同一标的物或本次招标产品</w:t>
      </w:r>
      <w:r>
        <w:rPr>
          <w:rFonts w:hint="eastAsia" w:ascii="仿宋" w:hAnsi="仿宋" w:eastAsia="仿宋" w:cs="仿宋"/>
          <w:b w:val="0"/>
          <w:bCs w:val="0"/>
          <w:color w:val="auto"/>
          <w:sz w:val="24"/>
          <w:highlight w:val="none"/>
          <w:lang w:eastAsia="zh-CN"/>
        </w:rPr>
        <w:t>（</w:t>
      </w:r>
      <w:r>
        <w:rPr>
          <w:rFonts w:hint="eastAsia" w:ascii="仿宋" w:hAnsi="仿宋" w:eastAsia="仿宋" w:cs="仿宋"/>
          <w:b w:val="0"/>
          <w:bCs w:val="0"/>
          <w:color w:val="auto"/>
          <w:sz w:val="24"/>
          <w:highlight w:val="none"/>
        </w:rPr>
        <w:t>服务</w:t>
      </w:r>
      <w:r>
        <w:rPr>
          <w:rFonts w:hint="eastAsia" w:ascii="仿宋" w:hAnsi="仿宋" w:eastAsia="仿宋" w:cs="仿宋"/>
          <w:b w:val="0"/>
          <w:bCs w:val="0"/>
          <w:color w:val="auto"/>
          <w:sz w:val="24"/>
          <w:highlight w:val="none"/>
          <w:lang w:eastAsia="zh-CN"/>
        </w:rPr>
        <w:t>）</w:t>
      </w:r>
      <w:r>
        <w:rPr>
          <w:rFonts w:hint="eastAsia" w:ascii="仿宋" w:hAnsi="仿宋" w:eastAsia="仿宋" w:cs="仿宋"/>
          <w:b w:val="0"/>
          <w:bCs w:val="0"/>
          <w:color w:val="auto"/>
          <w:sz w:val="24"/>
          <w:highlight w:val="none"/>
        </w:rPr>
        <w:t>内的主要产品</w:t>
      </w:r>
      <w:r>
        <w:rPr>
          <w:rFonts w:hint="eastAsia" w:ascii="仿宋" w:hAnsi="仿宋" w:eastAsia="仿宋" w:cs="仿宋"/>
          <w:b w:val="0"/>
          <w:bCs w:val="0"/>
          <w:color w:val="auto"/>
          <w:sz w:val="24"/>
          <w:highlight w:val="none"/>
          <w:lang w:eastAsia="zh-CN"/>
        </w:rPr>
        <w:t>（</w:t>
      </w:r>
      <w:r>
        <w:rPr>
          <w:rFonts w:hint="eastAsia" w:ascii="仿宋" w:hAnsi="仿宋" w:eastAsia="仿宋" w:cs="仿宋"/>
          <w:b w:val="0"/>
          <w:bCs w:val="0"/>
          <w:color w:val="auto"/>
          <w:sz w:val="24"/>
          <w:highlight w:val="none"/>
        </w:rPr>
        <w:t>重要组成部分</w:t>
      </w:r>
      <w:r>
        <w:rPr>
          <w:rFonts w:hint="eastAsia" w:ascii="仿宋" w:hAnsi="仿宋" w:eastAsia="仿宋" w:cs="仿宋"/>
          <w:b w:val="0"/>
          <w:bCs w:val="0"/>
          <w:color w:val="auto"/>
          <w:sz w:val="24"/>
          <w:highlight w:val="none"/>
          <w:lang w:eastAsia="zh-CN"/>
        </w:rPr>
        <w:t>）</w:t>
      </w:r>
      <w:r>
        <w:rPr>
          <w:rFonts w:hint="eastAsia" w:ascii="仿宋" w:hAnsi="仿宋" w:eastAsia="仿宋" w:cs="仿宋"/>
          <w:b w:val="0"/>
          <w:bCs w:val="0"/>
          <w:color w:val="auto"/>
          <w:sz w:val="24"/>
          <w:highlight w:val="none"/>
        </w:rPr>
        <w:t>出现商务技术（资信）文件资料、报价文件资料描述不一致或前后描述不一致，经评标委员会认定后为无法评审的；</w:t>
      </w:r>
    </w:p>
    <w:p w14:paraId="56693CB0">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8.</w:t>
      </w:r>
      <w:r>
        <w:rPr>
          <w:rFonts w:hint="eastAsia" w:ascii="仿宋" w:hAnsi="仿宋" w:eastAsia="仿宋" w:cs="仿宋"/>
          <w:b w:val="0"/>
          <w:bCs w:val="0"/>
          <w:color w:val="auto"/>
          <w:sz w:val="24"/>
          <w:highlight w:val="none"/>
          <w:lang w:val="en-US" w:eastAsia="zh-CN"/>
        </w:rPr>
        <w:t>11投标有效期、服务期、付款方式、履约保证金等商务条款不能满足招标文件要求的</w:t>
      </w:r>
      <w:r>
        <w:rPr>
          <w:rFonts w:hint="eastAsia" w:ascii="仿宋" w:hAnsi="仿宋" w:eastAsia="仿宋" w:cs="仿宋"/>
          <w:b w:val="0"/>
          <w:bCs w:val="0"/>
          <w:color w:val="auto"/>
          <w:sz w:val="24"/>
          <w:highlight w:val="none"/>
        </w:rPr>
        <w:t>；</w:t>
      </w:r>
    </w:p>
    <w:p w14:paraId="457182E5">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8.1</w:t>
      </w:r>
      <w:r>
        <w:rPr>
          <w:rFonts w:hint="eastAsia" w:ascii="仿宋" w:hAnsi="仿宋" w:eastAsia="仿宋" w:cs="仿宋"/>
          <w:b w:val="0"/>
          <w:bCs w:val="0"/>
          <w:color w:val="auto"/>
          <w:sz w:val="24"/>
          <w:highlight w:val="none"/>
          <w:lang w:val="en-US" w:eastAsia="zh-CN"/>
        </w:rPr>
        <w:t>2</w:t>
      </w:r>
      <w:r>
        <w:rPr>
          <w:rFonts w:hint="eastAsia" w:ascii="仿宋" w:hAnsi="仿宋" w:eastAsia="仿宋" w:cs="仿宋"/>
          <w:b w:val="0"/>
          <w:bCs w:val="0"/>
          <w:color w:val="auto"/>
          <w:sz w:val="24"/>
          <w:highlight w:val="none"/>
        </w:rPr>
        <w:t>投标文件含有采购人不能接受的附加条件；</w:t>
      </w:r>
    </w:p>
    <w:p w14:paraId="7D39B20C">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仿宋" w:hAnsi="仿宋" w:eastAsia="仿宋" w:cs="仿宋"/>
          <w:b w:val="0"/>
          <w:bCs w:val="0"/>
          <w:color w:val="auto"/>
          <w:sz w:val="24"/>
          <w:highlight w:val="none"/>
          <w:lang w:eastAsia="zh-CN"/>
        </w:rPr>
      </w:pPr>
      <w:r>
        <w:rPr>
          <w:rFonts w:hint="eastAsia" w:ascii="仿宋" w:hAnsi="仿宋" w:eastAsia="仿宋" w:cs="仿宋"/>
          <w:b w:val="0"/>
          <w:bCs w:val="0"/>
          <w:color w:val="auto"/>
          <w:sz w:val="24"/>
          <w:highlight w:val="none"/>
        </w:rPr>
        <w:t>8.1</w:t>
      </w:r>
      <w:r>
        <w:rPr>
          <w:rFonts w:hint="eastAsia" w:ascii="仿宋" w:hAnsi="仿宋" w:eastAsia="仿宋" w:cs="仿宋"/>
          <w:b w:val="0"/>
          <w:bCs w:val="0"/>
          <w:color w:val="auto"/>
          <w:sz w:val="24"/>
          <w:highlight w:val="none"/>
          <w:lang w:val="en-US" w:eastAsia="zh-CN"/>
        </w:rPr>
        <w:t>3</w:t>
      </w:r>
      <w:r>
        <w:rPr>
          <w:rFonts w:hint="eastAsia" w:ascii="仿宋" w:hAnsi="仿宋" w:eastAsia="仿宋" w:cs="仿宋"/>
          <w:b w:val="0"/>
          <w:bCs w:val="0"/>
          <w:color w:val="auto"/>
          <w:sz w:val="24"/>
          <w:highlight w:val="none"/>
        </w:rPr>
        <w:t>评标委员会认为投标人的报价明显低于其他通过符合性审查投标人的报价，有可能影响产品质量或者不能诚信履约的，未能按要求提供书面说明或者提交相关证明材料证明其报价合理性的</w:t>
      </w:r>
      <w:r>
        <w:rPr>
          <w:rFonts w:hint="eastAsia" w:ascii="仿宋" w:hAnsi="仿宋" w:eastAsia="仿宋" w:cs="仿宋"/>
          <w:b w:val="0"/>
          <w:bCs w:val="0"/>
          <w:color w:val="auto"/>
          <w:sz w:val="24"/>
          <w:highlight w:val="none"/>
          <w:lang w:eastAsia="zh-CN"/>
        </w:rPr>
        <w:t>；</w:t>
      </w:r>
    </w:p>
    <w:p w14:paraId="255C014B">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8.1</w:t>
      </w:r>
      <w:r>
        <w:rPr>
          <w:rFonts w:hint="eastAsia" w:ascii="仿宋" w:hAnsi="仿宋" w:eastAsia="仿宋" w:cs="仿宋"/>
          <w:b w:val="0"/>
          <w:bCs w:val="0"/>
          <w:color w:val="auto"/>
          <w:sz w:val="24"/>
          <w:highlight w:val="none"/>
          <w:lang w:val="en-US" w:eastAsia="zh-CN"/>
        </w:rPr>
        <w:t>4</w:t>
      </w:r>
      <w:r>
        <w:rPr>
          <w:rFonts w:hint="eastAsia" w:ascii="仿宋" w:hAnsi="仿宋" w:eastAsia="仿宋" w:cs="仿宋"/>
          <w:b w:val="0"/>
          <w:bCs w:val="0"/>
          <w:color w:val="auto"/>
          <w:sz w:val="24"/>
          <w:highlight w:val="none"/>
        </w:rPr>
        <w:t>报价超过招标文件中规定的预算金额或最高限价的；</w:t>
      </w:r>
    </w:p>
    <w:p w14:paraId="75ED67A5">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8.1</w:t>
      </w:r>
      <w:r>
        <w:rPr>
          <w:rFonts w:hint="eastAsia" w:ascii="仿宋" w:hAnsi="仿宋" w:eastAsia="仿宋" w:cs="仿宋"/>
          <w:b w:val="0"/>
          <w:bCs w:val="0"/>
          <w:color w:val="auto"/>
          <w:sz w:val="24"/>
          <w:highlight w:val="none"/>
          <w:lang w:val="en-US" w:eastAsia="zh-CN"/>
        </w:rPr>
        <w:t>5</w:t>
      </w:r>
      <w:r>
        <w:rPr>
          <w:rFonts w:hint="eastAsia" w:ascii="仿宋" w:hAnsi="仿宋" w:eastAsia="仿宋" w:cs="仿宋"/>
          <w:b w:val="0"/>
          <w:bCs w:val="0"/>
          <w:color w:val="auto"/>
          <w:sz w:val="24"/>
          <w:highlight w:val="none"/>
        </w:rPr>
        <w:t>投标文件“商务技术（资信）文件资料”部分中出现《开标一览表》相关内容的；</w:t>
      </w:r>
    </w:p>
    <w:p w14:paraId="29840AD2">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仿宋" w:hAnsi="仿宋" w:eastAsia="仿宋" w:cs="仿宋"/>
          <w:b w:val="0"/>
          <w:bCs w:val="0"/>
          <w:color w:val="auto"/>
          <w:sz w:val="24"/>
          <w:highlight w:val="none"/>
          <w:lang w:eastAsia="zh-CN"/>
        </w:rPr>
      </w:pPr>
      <w:r>
        <w:rPr>
          <w:rFonts w:hint="eastAsia" w:ascii="仿宋" w:hAnsi="仿宋" w:eastAsia="仿宋" w:cs="仿宋"/>
          <w:b w:val="0"/>
          <w:bCs w:val="0"/>
          <w:color w:val="auto"/>
          <w:sz w:val="24"/>
          <w:highlight w:val="none"/>
        </w:rPr>
        <w:t>8.1</w:t>
      </w:r>
      <w:r>
        <w:rPr>
          <w:rFonts w:hint="eastAsia" w:ascii="仿宋" w:hAnsi="仿宋" w:eastAsia="仿宋" w:cs="仿宋"/>
          <w:b w:val="0"/>
          <w:bCs w:val="0"/>
          <w:color w:val="auto"/>
          <w:sz w:val="24"/>
          <w:highlight w:val="none"/>
          <w:lang w:val="en-US" w:eastAsia="zh-CN"/>
        </w:rPr>
        <w:t>6</w:t>
      </w:r>
      <w:r>
        <w:rPr>
          <w:rFonts w:hint="eastAsia" w:ascii="仿宋" w:hAnsi="仿宋" w:eastAsia="仿宋" w:cs="仿宋"/>
          <w:b w:val="0"/>
          <w:bCs w:val="0"/>
          <w:color w:val="auto"/>
          <w:sz w:val="24"/>
          <w:highlight w:val="none"/>
        </w:rPr>
        <w:t>评标委员会</w:t>
      </w:r>
      <w:r>
        <w:rPr>
          <w:rFonts w:hint="eastAsia" w:ascii="仿宋" w:hAnsi="仿宋" w:eastAsia="仿宋" w:cs="仿宋"/>
          <w:color w:val="auto"/>
          <w:sz w:val="24"/>
          <w:szCs w:val="24"/>
          <w:highlight w:val="none"/>
        </w:rPr>
        <w:t>认定有重大偏差或</w:t>
      </w:r>
      <w:r>
        <w:rPr>
          <w:rFonts w:hint="eastAsia" w:ascii="仿宋" w:hAnsi="仿宋" w:eastAsia="仿宋" w:cs="仿宋"/>
          <w:color w:val="auto"/>
          <w:sz w:val="24"/>
          <w:szCs w:val="24"/>
          <w:highlight w:val="none"/>
          <w:lang w:val="en-US" w:eastAsia="zh-CN"/>
        </w:rPr>
        <w:t>标“</w:t>
      </w:r>
      <w:r>
        <w:rPr>
          <w:rFonts w:hint="eastAsia" w:ascii="仿宋" w:hAnsi="仿宋" w:eastAsia="仿宋" w:cs="仿宋"/>
          <w:color w:val="auto"/>
          <w:sz w:val="24"/>
          <w:highlight w:val="none"/>
        </w:rPr>
        <w:t>★</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实质性不响应</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rPr>
        <w:t>文件要求的</w:t>
      </w:r>
      <w:r>
        <w:rPr>
          <w:rFonts w:hint="eastAsia" w:ascii="仿宋" w:hAnsi="仿宋" w:eastAsia="仿宋" w:cs="仿宋"/>
          <w:color w:val="auto"/>
          <w:sz w:val="24"/>
          <w:szCs w:val="24"/>
          <w:highlight w:val="none"/>
          <w:lang w:eastAsia="zh-CN"/>
        </w:rPr>
        <w:t>；</w:t>
      </w:r>
    </w:p>
    <w:p w14:paraId="2320671C">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lang w:val="en-US" w:eastAsia="zh-CN"/>
        </w:rPr>
        <w:t>8.17</w:t>
      </w:r>
      <w:r>
        <w:rPr>
          <w:rFonts w:hint="eastAsia" w:ascii="仿宋" w:hAnsi="仿宋" w:eastAsia="仿宋" w:cs="仿宋"/>
          <w:b w:val="0"/>
          <w:bCs w:val="0"/>
          <w:color w:val="auto"/>
          <w:sz w:val="24"/>
          <w:highlight w:val="none"/>
        </w:rPr>
        <w:t>《开标一览表》填写不完整或字迹不能辨认或有漏项的，经评标委员会认定属于重大偏差的；</w:t>
      </w:r>
    </w:p>
    <w:p w14:paraId="6E4525FA">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8.</w:t>
      </w:r>
      <w:r>
        <w:rPr>
          <w:rFonts w:hint="eastAsia" w:ascii="仿宋" w:hAnsi="仿宋" w:eastAsia="仿宋" w:cs="仿宋"/>
          <w:b w:val="0"/>
          <w:bCs w:val="0"/>
          <w:color w:val="auto"/>
          <w:sz w:val="24"/>
          <w:highlight w:val="none"/>
          <w:lang w:val="en-US" w:eastAsia="zh-CN"/>
        </w:rPr>
        <w:t>18</w:t>
      </w:r>
      <w:r>
        <w:rPr>
          <w:rFonts w:hint="eastAsia" w:ascii="仿宋" w:hAnsi="仿宋" w:eastAsia="仿宋" w:cs="仿宋"/>
          <w:b w:val="0"/>
          <w:bCs w:val="0"/>
          <w:color w:val="auto"/>
          <w:sz w:val="24"/>
          <w:highlight w:val="none"/>
        </w:rPr>
        <w:t>投标人对根据修正原则修正后的报价不确认的；</w:t>
      </w:r>
    </w:p>
    <w:p w14:paraId="29D09F27">
      <w:pPr>
        <w:keepNext w:val="0"/>
        <w:keepLines w:val="0"/>
        <w:pageBreakBefore w:val="0"/>
        <w:widowControl w:val="0"/>
        <w:kinsoku/>
        <w:wordWrap/>
        <w:overflowPunct/>
        <w:topLinePunct w:val="0"/>
        <w:autoSpaceDE/>
        <w:autoSpaceDN/>
        <w:bidi w:val="0"/>
        <w:adjustRightInd w:val="0"/>
        <w:snapToGrid w:val="0"/>
        <w:spacing w:line="440" w:lineRule="exact"/>
        <w:ind w:left="479" w:leftChars="228" w:firstLine="0" w:firstLineChars="0"/>
        <w:jc w:val="left"/>
        <w:textAlignment w:val="auto"/>
        <w:rPr>
          <w:rFonts w:hint="eastAsia" w:ascii="仿宋" w:hAnsi="仿宋" w:eastAsia="仿宋" w:cs="仿宋"/>
          <w:b w:val="0"/>
          <w:bCs w:val="0"/>
          <w:color w:val="auto"/>
          <w:sz w:val="24"/>
          <w:highlight w:val="none"/>
        </w:rPr>
      </w:pPr>
      <w:r>
        <w:rPr>
          <w:rFonts w:hint="eastAsia" w:ascii="仿宋" w:hAnsi="仿宋" w:eastAsia="仿宋" w:cs="仿宋"/>
          <w:b w:val="0"/>
          <w:bCs/>
          <w:color w:val="auto"/>
          <w:kern w:val="0"/>
          <w:sz w:val="24"/>
          <w:szCs w:val="24"/>
          <w:highlight w:val="none"/>
          <w:lang w:val="en-US" w:eastAsia="zh-CN"/>
        </w:rPr>
        <w:t>8.19</w:t>
      </w:r>
      <w:r>
        <w:rPr>
          <w:rFonts w:hint="eastAsia" w:ascii="仿宋" w:hAnsi="仿宋" w:eastAsia="仿宋" w:cs="仿宋"/>
          <w:b w:val="0"/>
          <w:bCs w:val="0"/>
          <w:color w:val="auto"/>
          <w:sz w:val="24"/>
          <w:highlight w:val="none"/>
        </w:rPr>
        <w:t>投标人</w:t>
      </w:r>
      <w:r>
        <w:rPr>
          <w:rFonts w:hint="eastAsia" w:ascii="仿宋" w:hAnsi="仿宋" w:eastAsia="仿宋" w:cs="仿宋"/>
          <w:b w:val="0"/>
          <w:bCs/>
          <w:color w:val="auto"/>
          <w:sz w:val="24"/>
          <w:szCs w:val="24"/>
          <w:highlight w:val="none"/>
        </w:rPr>
        <w:t>递交两份或两份以上内容不同的</w:t>
      </w:r>
      <w:r>
        <w:rPr>
          <w:rFonts w:hint="eastAsia" w:ascii="仿宋" w:hAnsi="仿宋" w:eastAsia="仿宋" w:cs="仿宋"/>
          <w:b w:val="0"/>
          <w:bCs/>
          <w:color w:val="auto"/>
          <w:sz w:val="24"/>
          <w:szCs w:val="24"/>
          <w:highlight w:val="none"/>
          <w:lang w:val="en-US" w:eastAsia="zh-CN"/>
        </w:rPr>
        <w:t>投标</w:t>
      </w:r>
      <w:r>
        <w:rPr>
          <w:rFonts w:hint="eastAsia" w:ascii="仿宋" w:hAnsi="仿宋" w:eastAsia="仿宋" w:cs="仿宋"/>
          <w:b w:val="0"/>
          <w:bCs/>
          <w:color w:val="auto"/>
          <w:sz w:val="24"/>
          <w:szCs w:val="24"/>
          <w:highlight w:val="none"/>
        </w:rPr>
        <w:t>文件，且未声明哪一份有效的；8.</w:t>
      </w:r>
      <w:r>
        <w:rPr>
          <w:rFonts w:hint="eastAsia" w:ascii="仿宋" w:hAnsi="仿宋" w:eastAsia="仿宋" w:cs="仿宋"/>
          <w:b w:val="0"/>
          <w:bCs/>
          <w:color w:val="auto"/>
          <w:sz w:val="24"/>
          <w:szCs w:val="24"/>
          <w:highlight w:val="none"/>
          <w:lang w:val="en-US" w:eastAsia="zh-CN"/>
        </w:rPr>
        <w:t>20</w:t>
      </w:r>
      <w:r>
        <w:rPr>
          <w:rFonts w:hint="eastAsia" w:ascii="仿宋" w:hAnsi="仿宋" w:eastAsia="仿宋" w:cs="仿宋"/>
          <w:b w:val="0"/>
          <w:bCs/>
          <w:color w:val="auto"/>
          <w:sz w:val="24"/>
          <w:szCs w:val="24"/>
          <w:highlight w:val="none"/>
        </w:rPr>
        <w:t>评标委员会在评标过程中发现投标人的报价低于采购预算价的60%，投标人不能证明其报价合理性的；</w:t>
      </w:r>
    </w:p>
    <w:p w14:paraId="02E89618">
      <w:pPr>
        <w:keepNext w:val="0"/>
        <w:keepLines w:val="0"/>
        <w:pageBreakBefore w:val="0"/>
        <w:widowControl w:val="0"/>
        <w:kinsoku/>
        <w:wordWrap/>
        <w:overflowPunct/>
        <w:topLinePunct w:val="0"/>
        <w:autoSpaceDE/>
        <w:autoSpaceDN/>
        <w:bidi w:val="0"/>
        <w:adjustRightInd w:val="0"/>
        <w:snapToGrid w:val="0"/>
        <w:spacing w:line="440" w:lineRule="exact"/>
        <w:ind w:left="0" w:firstLine="482" w:firstLineChars="200"/>
        <w:jc w:val="left"/>
        <w:textAlignment w:val="auto"/>
        <w:rPr>
          <w:rFonts w:hint="eastAsia" w:ascii="仿宋" w:hAnsi="仿宋" w:eastAsia="仿宋" w:cs="仿宋"/>
          <w:b/>
          <w:bCs/>
          <w:color w:val="auto"/>
          <w:sz w:val="24"/>
          <w:highlight w:val="none"/>
          <w:lang w:eastAsia="zh-CN"/>
        </w:rPr>
      </w:pPr>
      <w:r>
        <w:rPr>
          <w:rFonts w:hint="eastAsia" w:ascii="仿宋" w:hAnsi="仿宋" w:eastAsia="仿宋" w:cs="仿宋"/>
          <w:b/>
          <w:bCs/>
          <w:color w:val="auto"/>
          <w:sz w:val="24"/>
          <w:highlight w:val="none"/>
        </w:rPr>
        <w:t>8.2</w:t>
      </w:r>
      <w:r>
        <w:rPr>
          <w:rFonts w:hint="eastAsia" w:ascii="仿宋" w:hAnsi="仿宋" w:eastAsia="仿宋" w:cs="仿宋"/>
          <w:b/>
          <w:bCs/>
          <w:color w:val="auto"/>
          <w:sz w:val="24"/>
          <w:highlight w:val="none"/>
          <w:lang w:val="en-US" w:eastAsia="zh-CN"/>
        </w:rPr>
        <w:t>1</w:t>
      </w:r>
      <w:r>
        <w:rPr>
          <w:rFonts w:hint="eastAsia" w:ascii="仿宋" w:hAnsi="仿宋" w:eastAsia="仿宋" w:cs="仿宋"/>
          <w:b/>
          <w:bCs/>
          <w:color w:val="auto"/>
          <w:sz w:val="24"/>
          <w:highlight w:val="none"/>
        </w:rPr>
        <w:t>投标人提供虚假材料投标的（包括但不限于以下情节）</w:t>
      </w:r>
      <w:r>
        <w:rPr>
          <w:rFonts w:hint="eastAsia" w:ascii="仿宋" w:hAnsi="仿宋" w:eastAsia="仿宋" w:cs="仿宋"/>
          <w:b/>
          <w:bCs/>
          <w:color w:val="auto"/>
          <w:sz w:val="24"/>
          <w:highlight w:val="none"/>
          <w:lang w:eastAsia="zh-CN"/>
        </w:rPr>
        <w:t>：</w:t>
      </w:r>
    </w:p>
    <w:p w14:paraId="34145F3F">
      <w:pPr>
        <w:keepNext w:val="0"/>
        <w:keepLines w:val="0"/>
        <w:pageBreakBefore w:val="0"/>
        <w:widowControl w:val="0"/>
        <w:tabs>
          <w:tab w:val="left" w:pos="3870"/>
          <w:tab w:val="left" w:pos="4085"/>
        </w:tabs>
        <w:kinsoku/>
        <w:wordWrap/>
        <w:overflowPunct/>
        <w:topLinePunct w:val="0"/>
        <w:autoSpaceDE/>
        <w:autoSpaceDN/>
        <w:bidi w:val="0"/>
        <w:adjustRightInd w:val="0"/>
        <w:snapToGrid w:val="0"/>
        <w:spacing w:line="440" w:lineRule="exact"/>
        <w:ind w:firstLine="720" w:firstLineChars="300"/>
        <w:jc w:val="left"/>
        <w:textAlignment w:val="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8.2</w:t>
      </w:r>
      <w:r>
        <w:rPr>
          <w:rFonts w:hint="eastAsia" w:ascii="仿宋" w:hAnsi="仿宋" w:eastAsia="仿宋" w:cs="仿宋"/>
          <w:b w:val="0"/>
          <w:bCs w:val="0"/>
          <w:color w:val="auto"/>
          <w:sz w:val="24"/>
          <w:highlight w:val="none"/>
          <w:lang w:val="en-US" w:eastAsia="zh-CN"/>
        </w:rPr>
        <w:t>1</w:t>
      </w:r>
      <w:r>
        <w:rPr>
          <w:rFonts w:hint="eastAsia" w:ascii="仿宋" w:hAnsi="仿宋" w:eastAsia="仿宋" w:cs="仿宋"/>
          <w:b w:val="0"/>
          <w:bCs w:val="0"/>
          <w:color w:val="auto"/>
          <w:sz w:val="24"/>
          <w:highlight w:val="none"/>
        </w:rPr>
        <w:t>.1使用伪造、变造的许可证件；</w:t>
      </w:r>
    </w:p>
    <w:p w14:paraId="2F230809">
      <w:pPr>
        <w:keepNext w:val="0"/>
        <w:keepLines w:val="0"/>
        <w:pageBreakBefore w:val="0"/>
        <w:widowControl w:val="0"/>
        <w:tabs>
          <w:tab w:val="left" w:pos="3870"/>
          <w:tab w:val="left" w:pos="4085"/>
        </w:tabs>
        <w:kinsoku/>
        <w:wordWrap/>
        <w:overflowPunct/>
        <w:topLinePunct w:val="0"/>
        <w:autoSpaceDE/>
        <w:autoSpaceDN/>
        <w:bidi w:val="0"/>
        <w:adjustRightInd w:val="0"/>
        <w:snapToGrid w:val="0"/>
        <w:spacing w:line="440" w:lineRule="exact"/>
        <w:ind w:firstLine="720" w:firstLineChars="300"/>
        <w:jc w:val="left"/>
        <w:textAlignment w:val="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8.2</w:t>
      </w:r>
      <w:r>
        <w:rPr>
          <w:rFonts w:hint="eastAsia" w:ascii="仿宋" w:hAnsi="仿宋" w:eastAsia="仿宋" w:cs="仿宋"/>
          <w:b w:val="0"/>
          <w:bCs w:val="0"/>
          <w:color w:val="auto"/>
          <w:sz w:val="24"/>
          <w:highlight w:val="none"/>
          <w:lang w:val="en-US" w:eastAsia="zh-CN"/>
        </w:rPr>
        <w:t>1</w:t>
      </w:r>
      <w:r>
        <w:rPr>
          <w:rFonts w:hint="eastAsia" w:ascii="仿宋" w:hAnsi="仿宋" w:eastAsia="仿宋" w:cs="仿宋"/>
          <w:b w:val="0"/>
          <w:bCs w:val="0"/>
          <w:color w:val="auto"/>
          <w:sz w:val="24"/>
          <w:highlight w:val="none"/>
        </w:rPr>
        <w:t>.2提供虚假的财务状况或者业绩；</w:t>
      </w:r>
    </w:p>
    <w:p w14:paraId="504991A4">
      <w:pPr>
        <w:keepNext w:val="0"/>
        <w:keepLines w:val="0"/>
        <w:pageBreakBefore w:val="0"/>
        <w:widowControl w:val="0"/>
        <w:tabs>
          <w:tab w:val="left" w:pos="3870"/>
          <w:tab w:val="left" w:pos="4085"/>
        </w:tabs>
        <w:kinsoku/>
        <w:wordWrap/>
        <w:overflowPunct/>
        <w:topLinePunct w:val="0"/>
        <w:autoSpaceDE/>
        <w:autoSpaceDN/>
        <w:bidi w:val="0"/>
        <w:adjustRightInd w:val="0"/>
        <w:snapToGrid w:val="0"/>
        <w:spacing w:line="440" w:lineRule="exact"/>
        <w:ind w:firstLine="720" w:firstLineChars="300"/>
        <w:jc w:val="left"/>
        <w:textAlignment w:val="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8.2</w:t>
      </w:r>
      <w:r>
        <w:rPr>
          <w:rFonts w:hint="eastAsia" w:ascii="仿宋" w:hAnsi="仿宋" w:eastAsia="仿宋" w:cs="仿宋"/>
          <w:b w:val="0"/>
          <w:bCs w:val="0"/>
          <w:color w:val="auto"/>
          <w:sz w:val="24"/>
          <w:highlight w:val="none"/>
          <w:lang w:val="en-US" w:eastAsia="zh-CN"/>
        </w:rPr>
        <w:t>1</w:t>
      </w:r>
      <w:r>
        <w:rPr>
          <w:rFonts w:hint="eastAsia" w:ascii="仿宋" w:hAnsi="仿宋" w:eastAsia="仿宋" w:cs="仿宋"/>
          <w:b w:val="0"/>
          <w:bCs w:val="0"/>
          <w:color w:val="auto"/>
          <w:sz w:val="24"/>
          <w:highlight w:val="none"/>
        </w:rPr>
        <w:t>.3提供虚假的项目负责人或者主要技术人员简历、劳动关系证明；</w:t>
      </w:r>
    </w:p>
    <w:p w14:paraId="190AF7A9">
      <w:pPr>
        <w:keepNext w:val="0"/>
        <w:keepLines w:val="0"/>
        <w:pageBreakBefore w:val="0"/>
        <w:widowControl w:val="0"/>
        <w:tabs>
          <w:tab w:val="left" w:pos="3870"/>
          <w:tab w:val="left" w:pos="4085"/>
        </w:tabs>
        <w:kinsoku/>
        <w:wordWrap/>
        <w:overflowPunct/>
        <w:topLinePunct w:val="0"/>
        <w:autoSpaceDE/>
        <w:autoSpaceDN/>
        <w:bidi w:val="0"/>
        <w:adjustRightInd w:val="0"/>
        <w:snapToGrid w:val="0"/>
        <w:spacing w:line="440" w:lineRule="exact"/>
        <w:ind w:firstLine="720" w:firstLineChars="300"/>
        <w:jc w:val="left"/>
        <w:textAlignment w:val="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8.2</w:t>
      </w:r>
      <w:r>
        <w:rPr>
          <w:rFonts w:hint="eastAsia" w:ascii="仿宋" w:hAnsi="仿宋" w:eastAsia="仿宋" w:cs="仿宋"/>
          <w:b w:val="0"/>
          <w:bCs w:val="0"/>
          <w:color w:val="auto"/>
          <w:sz w:val="24"/>
          <w:highlight w:val="none"/>
          <w:lang w:val="en-US" w:eastAsia="zh-CN"/>
        </w:rPr>
        <w:t>1</w:t>
      </w:r>
      <w:r>
        <w:rPr>
          <w:rFonts w:hint="eastAsia" w:ascii="仿宋" w:hAnsi="仿宋" w:eastAsia="仿宋" w:cs="仿宋"/>
          <w:b w:val="0"/>
          <w:bCs w:val="0"/>
          <w:color w:val="auto"/>
          <w:sz w:val="24"/>
          <w:highlight w:val="none"/>
        </w:rPr>
        <w:t>.4</w:t>
      </w:r>
      <w:r>
        <w:rPr>
          <w:rFonts w:hint="eastAsia" w:ascii="仿宋" w:hAnsi="仿宋" w:eastAsia="仿宋" w:cs="仿宋"/>
          <w:b w:val="0"/>
          <w:bCs w:val="0"/>
          <w:color w:val="auto"/>
          <w:sz w:val="24"/>
          <w:highlight w:val="none"/>
          <w:lang w:eastAsia="zh-CN"/>
        </w:rPr>
        <w:t>《</w:t>
      </w:r>
      <w:r>
        <w:rPr>
          <w:rFonts w:hint="eastAsia" w:ascii="仿宋" w:hAnsi="仿宋" w:eastAsia="仿宋" w:cs="仿宋"/>
          <w:color w:val="auto"/>
          <w:sz w:val="24"/>
          <w:szCs w:val="24"/>
          <w:highlight w:val="none"/>
          <w:lang w:eastAsia="zh-CN"/>
        </w:rPr>
        <w:t>技术</w:t>
      </w:r>
      <w:r>
        <w:rPr>
          <w:rFonts w:hint="eastAsia" w:ascii="仿宋" w:hAnsi="仿宋" w:eastAsia="仿宋" w:cs="仿宋"/>
          <w:color w:val="auto"/>
          <w:sz w:val="24"/>
          <w:szCs w:val="24"/>
          <w:highlight w:val="none"/>
          <w:lang w:val="en-US" w:eastAsia="zh-CN"/>
        </w:rPr>
        <w:t>响应表</w:t>
      </w:r>
      <w:r>
        <w:rPr>
          <w:rFonts w:hint="eastAsia" w:ascii="仿宋" w:hAnsi="仿宋" w:eastAsia="仿宋" w:cs="仿宋"/>
          <w:b w:val="0"/>
          <w:bCs w:val="0"/>
          <w:color w:val="auto"/>
          <w:sz w:val="24"/>
          <w:highlight w:val="none"/>
          <w:lang w:eastAsia="zh-CN"/>
        </w:rPr>
        <w:t>》</w:t>
      </w:r>
      <w:r>
        <w:rPr>
          <w:rFonts w:hint="eastAsia" w:ascii="仿宋" w:hAnsi="仿宋" w:eastAsia="仿宋" w:cs="仿宋"/>
          <w:color w:val="auto"/>
          <w:sz w:val="24"/>
          <w:szCs w:val="24"/>
          <w:highlight w:val="none"/>
          <w:lang w:val="en-US" w:eastAsia="zh-CN"/>
        </w:rPr>
        <w:t>不真实填写或弄虚作假的；</w:t>
      </w:r>
    </w:p>
    <w:p w14:paraId="0CC36D77">
      <w:pPr>
        <w:keepNext w:val="0"/>
        <w:keepLines w:val="0"/>
        <w:pageBreakBefore w:val="0"/>
        <w:widowControl w:val="0"/>
        <w:tabs>
          <w:tab w:val="left" w:pos="3870"/>
          <w:tab w:val="left" w:pos="4085"/>
        </w:tabs>
        <w:kinsoku/>
        <w:wordWrap/>
        <w:overflowPunct/>
        <w:topLinePunct w:val="0"/>
        <w:autoSpaceDE/>
        <w:autoSpaceDN/>
        <w:bidi w:val="0"/>
        <w:adjustRightInd w:val="0"/>
        <w:snapToGrid w:val="0"/>
        <w:spacing w:line="440" w:lineRule="exact"/>
        <w:ind w:firstLine="720" w:firstLineChars="300"/>
        <w:jc w:val="left"/>
        <w:textAlignment w:val="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lang w:val="en-US" w:eastAsia="zh-CN"/>
        </w:rPr>
        <w:t>8.21.5</w:t>
      </w:r>
      <w:r>
        <w:rPr>
          <w:rFonts w:hint="eastAsia" w:ascii="仿宋" w:hAnsi="仿宋" w:eastAsia="仿宋" w:cs="仿宋"/>
          <w:b w:val="0"/>
          <w:bCs w:val="0"/>
          <w:color w:val="auto"/>
          <w:sz w:val="24"/>
          <w:highlight w:val="none"/>
        </w:rPr>
        <w:t>提供虚假的信用状况；</w:t>
      </w:r>
    </w:p>
    <w:p w14:paraId="19A35987">
      <w:pPr>
        <w:keepNext w:val="0"/>
        <w:keepLines w:val="0"/>
        <w:pageBreakBefore w:val="0"/>
        <w:widowControl w:val="0"/>
        <w:tabs>
          <w:tab w:val="left" w:pos="3870"/>
          <w:tab w:val="left" w:pos="4085"/>
        </w:tabs>
        <w:kinsoku/>
        <w:wordWrap/>
        <w:overflowPunct/>
        <w:topLinePunct w:val="0"/>
        <w:autoSpaceDE/>
        <w:autoSpaceDN/>
        <w:bidi w:val="0"/>
        <w:adjustRightInd w:val="0"/>
        <w:snapToGrid w:val="0"/>
        <w:spacing w:line="440" w:lineRule="exact"/>
        <w:ind w:firstLine="720" w:firstLineChars="300"/>
        <w:jc w:val="left"/>
        <w:textAlignment w:val="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8.2</w:t>
      </w:r>
      <w:r>
        <w:rPr>
          <w:rFonts w:hint="eastAsia" w:ascii="仿宋" w:hAnsi="仿宋" w:eastAsia="仿宋" w:cs="仿宋"/>
          <w:b w:val="0"/>
          <w:bCs w:val="0"/>
          <w:color w:val="auto"/>
          <w:sz w:val="24"/>
          <w:highlight w:val="none"/>
          <w:lang w:val="en-US" w:eastAsia="zh-CN"/>
        </w:rPr>
        <w:t>1</w:t>
      </w:r>
      <w:r>
        <w:rPr>
          <w:rFonts w:hint="eastAsia" w:ascii="仿宋" w:hAnsi="仿宋" w:eastAsia="仿宋" w:cs="仿宋"/>
          <w:b w:val="0"/>
          <w:bCs w:val="0"/>
          <w:color w:val="auto"/>
          <w:sz w:val="24"/>
          <w:highlight w:val="none"/>
        </w:rPr>
        <w:t>.</w:t>
      </w:r>
      <w:r>
        <w:rPr>
          <w:rFonts w:hint="eastAsia" w:ascii="仿宋" w:hAnsi="仿宋" w:eastAsia="仿宋" w:cs="仿宋"/>
          <w:b w:val="0"/>
          <w:bCs w:val="0"/>
          <w:color w:val="auto"/>
          <w:sz w:val="24"/>
          <w:highlight w:val="none"/>
          <w:lang w:val="en-US" w:eastAsia="zh-CN"/>
        </w:rPr>
        <w:t>6</w:t>
      </w:r>
      <w:r>
        <w:rPr>
          <w:rFonts w:hint="eastAsia" w:ascii="仿宋" w:hAnsi="仿宋" w:eastAsia="仿宋" w:cs="仿宋"/>
          <w:b w:val="0"/>
          <w:bCs w:val="0"/>
          <w:color w:val="auto"/>
          <w:sz w:val="24"/>
          <w:highlight w:val="none"/>
        </w:rPr>
        <w:t>其他弄虚作假的行为。</w:t>
      </w:r>
    </w:p>
    <w:p w14:paraId="3E03F49A">
      <w:pPr>
        <w:keepNext w:val="0"/>
        <w:keepLines w:val="0"/>
        <w:pageBreakBefore w:val="0"/>
        <w:widowControl w:val="0"/>
        <w:kinsoku/>
        <w:wordWrap/>
        <w:overflowPunct/>
        <w:topLinePunct w:val="0"/>
        <w:autoSpaceDE/>
        <w:autoSpaceDN/>
        <w:bidi w:val="0"/>
        <w:adjustRightInd w:val="0"/>
        <w:snapToGrid w:val="0"/>
        <w:spacing w:line="440" w:lineRule="exact"/>
        <w:ind w:left="0" w:firstLine="482" w:firstLineChars="200"/>
        <w:jc w:val="left"/>
        <w:textAlignment w:val="auto"/>
        <w:rPr>
          <w:rFonts w:hint="eastAsia" w:ascii="仿宋" w:hAnsi="仿宋" w:eastAsia="仿宋" w:cs="仿宋"/>
          <w:b w:val="0"/>
          <w:bCs w:val="0"/>
          <w:color w:val="auto"/>
          <w:sz w:val="24"/>
          <w:highlight w:val="none"/>
        </w:rPr>
      </w:pPr>
      <w:r>
        <w:rPr>
          <w:rFonts w:hint="eastAsia" w:ascii="仿宋" w:hAnsi="仿宋" w:eastAsia="仿宋" w:cs="仿宋"/>
          <w:b/>
          <w:bCs/>
          <w:color w:val="auto"/>
          <w:sz w:val="24"/>
          <w:highlight w:val="none"/>
        </w:rPr>
        <w:t>8.2</w:t>
      </w:r>
      <w:r>
        <w:rPr>
          <w:rFonts w:hint="eastAsia" w:ascii="仿宋" w:hAnsi="仿宋" w:eastAsia="仿宋" w:cs="仿宋"/>
          <w:b/>
          <w:bCs/>
          <w:color w:val="auto"/>
          <w:sz w:val="24"/>
          <w:highlight w:val="none"/>
          <w:lang w:val="en-US" w:eastAsia="zh-CN"/>
        </w:rPr>
        <w:t>2</w:t>
      </w:r>
      <w:r>
        <w:rPr>
          <w:rFonts w:hint="eastAsia" w:ascii="仿宋" w:hAnsi="仿宋" w:eastAsia="仿宋" w:cs="仿宋"/>
          <w:b/>
          <w:bCs/>
          <w:color w:val="auto"/>
          <w:sz w:val="24"/>
          <w:highlight w:val="none"/>
        </w:rPr>
        <w:t>下列情形之一的，视为投标人串通投标，其投标无效：</w:t>
      </w:r>
    </w:p>
    <w:p w14:paraId="7E77ADB7">
      <w:pPr>
        <w:keepNext w:val="0"/>
        <w:keepLines w:val="0"/>
        <w:pageBreakBefore w:val="0"/>
        <w:widowControl w:val="0"/>
        <w:tabs>
          <w:tab w:val="left" w:pos="3870"/>
          <w:tab w:val="left" w:pos="4085"/>
        </w:tabs>
        <w:kinsoku/>
        <w:wordWrap/>
        <w:overflowPunct/>
        <w:topLinePunct w:val="0"/>
        <w:autoSpaceDE/>
        <w:autoSpaceDN/>
        <w:bidi w:val="0"/>
        <w:adjustRightInd w:val="0"/>
        <w:snapToGrid w:val="0"/>
        <w:spacing w:line="440" w:lineRule="exact"/>
        <w:ind w:firstLine="720" w:firstLineChars="300"/>
        <w:jc w:val="left"/>
        <w:textAlignment w:val="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8.2</w:t>
      </w:r>
      <w:r>
        <w:rPr>
          <w:rFonts w:hint="eastAsia" w:ascii="仿宋" w:hAnsi="仿宋" w:eastAsia="仿宋" w:cs="仿宋"/>
          <w:b w:val="0"/>
          <w:bCs w:val="0"/>
          <w:color w:val="auto"/>
          <w:sz w:val="24"/>
          <w:highlight w:val="none"/>
          <w:lang w:val="en-US" w:eastAsia="zh-CN"/>
        </w:rPr>
        <w:t>2</w:t>
      </w:r>
      <w:r>
        <w:rPr>
          <w:rFonts w:hint="eastAsia" w:ascii="仿宋" w:hAnsi="仿宋" w:eastAsia="仿宋" w:cs="仿宋"/>
          <w:b w:val="0"/>
          <w:bCs w:val="0"/>
          <w:color w:val="auto"/>
          <w:sz w:val="24"/>
          <w:highlight w:val="none"/>
        </w:rPr>
        <w:t>.1不同投标人的投标文件由同一单位或者个人编制；</w:t>
      </w:r>
    </w:p>
    <w:p w14:paraId="75069138">
      <w:pPr>
        <w:keepNext w:val="0"/>
        <w:keepLines w:val="0"/>
        <w:pageBreakBefore w:val="0"/>
        <w:widowControl w:val="0"/>
        <w:tabs>
          <w:tab w:val="left" w:pos="3870"/>
          <w:tab w:val="left" w:pos="4085"/>
        </w:tabs>
        <w:kinsoku/>
        <w:wordWrap/>
        <w:overflowPunct/>
        <w:topLinePunct w:val="0"/>
        <w:autoSpaceDE/>
        <w:autoSpaceDN/>
        <w:bidi w:val="0"/>
        <w:adjustRightInd w:val="0"/>
        <w:snapToGrid w:val="0"/>
        <w:spacing w:line="440" w:lineRule="exact"/>
        <w:ind w:firstLine="720" w:firstLineChars="300"/>
        <w:jc w:val="left"/>
        <w:textAlignment w:val="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8.2</w:t>
      </w:r>
      <w:r>
        <w:rPr>
          <w:rFonts w:hint="eastAsia" w:ascii="仿宋" w:hAnsi="仿宋" w:eastAsia="仿宋" w:cs="仿宋"/>
          <w:b w:val="0"/>
          <w:bCs w:val="0"/>
          <w:color w:val="auto"/>
          <w:sz w:val="24"/>
          <w:highlight w:val="none"/>
          <w:lang w:val="en-US" w:eastAsia="zh-CN"/>
        </w:rPr>
        <w:t>2</w:t>
      </w:r>
      <w:r>
        <w:rPr>
          <w:rFonts w:hint="eastAsia" w:ascii="仿宋" w:hAnsi="仿宋" w:eastAsia="仿宋" w:cs="仿宋"/>
          <w:b w:val="0"/>
          <w:bCs w:val="0"/>
          <w:color w:val="auto"/>
          <w:sz w:val="24"/>
          <w:highlight w:val="none"/>
        </w:rPr>
        <w:t>.2不同投标人委托同一单位或者个人办理投标事宜；</w:t>
      </w:r>
    </w:p>
    <w:p w14:paraId="062E848A">
      <w:pPr>
        <w:keepNext w:val="0"/>
        <w:keepLines w:val="0"/>
        <w:pageBreakBefore w:val="0"/>
        <w:widowControl w:val="0"/>
        <w:tabs>
          <w:tab w:val="left" w:pos="3870"/>
          <w:tab w:val="left" w:pos="4085"/>
        </w:tabs>
        <w:kinsoku/>
        <w:wordWrap/>
        <w:overflowPunct/>
        <w:topLinePunct w:val="0"/>
        <w:autoSpaceDE/>
        <w:autoSpaceDN/>
        <w:bidi w:val="0"/>
        <w:adjustRightInd w:val="0"/>
        <w:snapToGrid w:val="0"/>
        <w:spacing w:line="440" w:lineRule="exact"/>
        <w:ind w:firstLine="720" w:firstLineChars="300"/>
        <w:jc w:val="left"/>
        <w:textAlignment w:val="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8.2</w:t>
      </w:r>
      <w:r>
        <w:rPr>
          <w:rFonts w:hint="eastAsia" w:ascii="仿宋" w:hAnsi="仿宋" w:eastAsia="仿宋" w:cs="仿宋"/>
          <w:b w:val="0"/>
          <w:bCs w:val="0"/>
          <w:color w:val="auto"/>
          <w:sz w:val="24"/>
          <w:highlight w:val="none"/>
          <w:lang w:val="en-US" w:eastAsia="zh-CN"/>
        </w:rPr>
        <w:t>2</w:t>
      </w:r>
      <w:r>
        <w:rPr>
          <w:rFonts w:hint="eastAsia" w:ascii="仿宋" w:hAnsi="仿宋" w:eastAsia="仿宋" w:cs="仿宋"/>
          <w:b w:val="0"/>
          <w:bCs w:val="0"/>
          <w:color w:val="auto"/>
          <w:sz w:val="24"/>
          <w:highlight w:val="none"/>
        </w:rPr>
        <w:t>.3不同投标人的投标文件载明的项目管理成员或者联系人员为同一人；</w:t>
      </w:r>
    </w:p>
    <w:p w14:paraId="5DBA58D9">
      <w:pPr>
        <w:keepNext w:val="0"/>
        <w:keepLines w:val="0"/>
        <w:pageBreakBefore w:val="0"/>
        <w:widowControl w:val="0"/>
        <w:tabs>
          <w:tab w:val="left" w:pos="3870"/>
          <w:tab w:val="left" w:pos="4085"/>
        </w:tabs>
        <w:kinsoku/>
        <w:wordWrap/>
        <w:overflowPunct/>
        <w:topLinePunct w:val="0"/>
        <w:autoSpaceDE/>
        <w:autoSpaceDN/>
        <w:bidi w:val="0"/>
        <w:adjustRightInd w:val="0"/>
        <w:snapToGrid w:val="0"/>
        <w:spacing w:line="440" w:lineRule="exact"/>
        <w:ind w:firstLine="720" w:firstLineChars="300"/>
        <w:jc w:val="left"/>
        <w:textAlignment w:val="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8.2</w:t>
      </w:r>
      <w:r>
        <w:rPr>
          <w:rFonts w:hint="eastAsia" w:ascii="仿宋" w:hAnsi="仿宋" w:eastAsia="仿宋" w:cs="仿宋"/>
          <w:b w:val="0"/>
          <w:bCs w:val="0"/>
          <w:color w:val="auto"/>
          <w:sz w:val="24"/>
          <w:highlight w:val="none"/>
          <w:lang w:val="en-US" w:eastAsia="zh-CN"/>
        </w:rPr>
        <w:t>2</w:t>
      </w:r>
      <w:r>
        <w:rPr>
          <w:rFonts w:hint="eastAsia" w:ascii="仿宋" w:hAnsi="仿宋" w:eastAsia="仿宋" w:cs="仿宋"/>
          <w:b w:val="0"/>
          <w:bCs w:val="0"/>
          <w:color w:val="auto"/>
          <w:sz w:val="24"/>
          <w:highlight w:val="none"/>
        </w:rPr>
        <w:t>.4不同投标人的投标文件异常一致或者投标报价呈规律性差异；</w:t>
      </w:r>
    </w:p>
    <w:p w14:paraId="1B324ED4">
      <w:pPr>
        <w:keepNext w:val="0"/>
        <w:keepLines w:val="0"/>
        <w:pageBreakBefore w:val="0"/>
        <w:widowControl w:val="0"/>
        <w:tabs>
          <w:tab w:val="left" w:pos="3870"/>
          <w:tab w:val="left" w:pos="4085"/>
        </w:tabs>
        <w:kinsoku/>
        <w:wordWrap/>
        <w:overflowPunct/>
        <w:topLinePunct w:val="0"/>
        <w:autoSpaceDE/>
        <w:autoSpaceDN/>
        <w:bidi w:val="0"/>
        <w:adjustRightInd w:val="0"/>
        <w:snapToGrid w:val="0"/>
        <w:spacing w:line="440" w:lineRule="exact"/>
        <w:ind w:firstLine="720" w:firstLineChars="300"/>
        <w:jc w:val="left"/>
        <w:textAlignment w:val="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8.2</w:t>
      </w:r>
      <w:r>
        <w:rPr>
          <w:rFonts w:hint="eastAsia" w:ascii="仿宋" w:hAnsi="仿宋" w:eastAsia="仿宋" w:cs="仿宋"/>
          <w:b w:val="0"/>
          <w:bCs w:val="0"/>
          <w:color w:val="auto"/>
          <w:sz w:val="24"/>
          <w:highlight w:val="none"/>
          <w:lang w:val="en-US" w:eastAsia="zh-CN"/>
        </w:rPr>
        <w:t>2</w:t>
      </w:r>
      <w:r>
        <w:rPr>
          <w:rFonts w:hint="eastAsia" w:ascii="仿宋" w:hAnsi="仿宋" w:eastAsia="仿宋" w:cs="仿宋"/>
          <w:b w:val="0"/>
          <w:bCs w:val="0"/>
          <w:color w:val="auto"/>
          <w:sz w:val="24"/>
          <w:highlight w:val="none"/>
        </w:rPr>
        <w:t>.5不同投标人的投标文件相互混装；</w:t>
      </w:r>
    </w:p>
    <w:p w14:paraId="25B9B1BF">
      <w:pPr>
        <w:keepNext w:val="0"/>
        <w:keepLines w:val="0"/>
        <w:pageBreakBefore w:val="0"/>
        <w:widowControl w:val="0"/>
        <w:tabs>
          <w:tab w:val="left" w:pos="3870"/>
          <w:tab w:val="left" w:pos="4085"/>
        </w:tabs>
        <w:kinsoku/>
        <w:wordWrap/>
        <w:overflowPunct/>
        <w:topLinePunct w:val="0"/>
        <w:autoSpaceDE/>
        <w:autoSpaceDN/>
        <w:bidi w:val="0"/>
        <w:adjustRightInd w:val="0"/>
        <w:snapToGrid w:val="0"/>
        <w:spacing w:line="440" w:lineRule="exact"/>
        <w:ind w:firstLine="720" w:firstLineChars="300"/>
        <w:jc w:val="left"/>
        <w:textAlignment w:val="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8.2</w:t>
      </w:r>
      <w:r>
        <w:rPr>
          <w:rFonts w:hint="eastAsia" w:ascii="仿宋" w:hAnsi="仿宋" w:eastAsia="仿宋" w:cs="仿宋"/>
          <w:b w:val="0"/>
          <w:bCs w:val="0"/>
          <w:color w:val="auto"/>
          <w:sz w:val="24"/>
          <w:highlight w:val="none"/>
          <w:lang w:val="en-US" w:eastAsia="zh-CN"/>
        </w:rPr>
        <w:t>2</w:t>
      </w:r>
      <w:r>
        <w:rPr>
          <w:rFonts w:hint="eastAsia" w:ascii="仿宋" w:hAnsi="仿宋" w:eastAsia="仿宋" w:cs="仿宋"/>
          <w:b w:val="0"/>
          <w:bCs w:val="0"/>
          <w:color w:val="auto"/>
          <w:sz w:val="24"/>
          <w:highlight w:val="none"/>
        </w:rPr>
        <w:t>.6有二份及二份以上投标文件的相互之间有特别相同或相似之处，且经询标澄清投标人无令人信服的理由和可靠证据证明其合理性的，经评标委员会半数以上成员确认有串通投标嫌疑的；</w:t>
      </w:r>
    </w:p>
    <w:p w14:paraId="3312C2F4">
      <w:pPr>
        <w:keepNext w:val="0"/>
        <w:keepLines w:val="0"/>
        <w:pageBreakBefore w:val="0"/>
        <w:widowControl w:val="0"/>
        <w:kinsoku/>
        <w:wordWrap/>
        <w:overflowPunct/>
        <w:topLinePunct w:val="0"/>
        <w:autoSpaceDE/>
        <w:autoSpaceDN/>
        <w:bidi w:val="0"/>
        <w:adjustRightInd w:val="0"/>
        <w:snapToGrid w:val="0"/>
        <w:spacing w:line="440" w:lineRule="exact"/>
        <w:ind w:left="0" w:firstLine="482" w:firstLineChars="200"/>
        <w:jc w:val="left"/>
        <w:textAlignment w:val="auto"/>
        <w:rPr>
          <w:rFonts w:hint="eastAsia" w:ascii="仿宋" w:hAnsi="仿宋" w:eastAsia="仿宋" w:cs="仿宋"/>
          <w:b w:val="0"/>
          <w:bCs w:val="0"/>
          <w:color w:val="auto"/>
          <w:sz w:val="24"/>
          <w:highlight w:val="none"/>
        </w:rPr>
      </w:pPr>
      <w:r>
        <w:rPr>
          <w:rFonts w:hint="eastAsia" w:ascii="仿宋" w:hAnsi="仿宋" w:eastAsia="仿宋" w:cs="仿宋"/>
          <w:b/>
          <w:bCs/>
          <w:color w:val="auto"/>
          <w:sz w:val="24"/>
          <w:highlight w:val="none"/>
        </w:rPr>
        <w:t>8.2</w:t>
      </w:r>
      <w:r>
        <w:rPr>
          <w:rFonts w:hint="eastAsia" w:ascii="仿宋" w:hAnsi="仿宋" w:eastAsia="仿宋" w:cs="仿宋"/>
          <w:b/>
          <w:bCs/>
          <w:color w:val="auto"/>
          <w:sz w:val="24"/>
          <w:highlight w:val="none"/>
          <w:lang w:val="en-US" w:eastAsia="zh-CN"/>
        </w:rPr>
        <w:t>3</w:t>
      </w:r>
      <w:r>
        <w:rPr>
          <w:rFonts w:hint="eastAsia" w:ascii="仿宋" w:hAnsi="仿宋" w:eastAsia="仿宋" w:cs="仿宋"/>
          <w:b/>
          <w:bCs/>
          <w:color w:val="auto"/>
          <w:sz w:val="24"/>
          <w:highlight w:val="none"/>
        </w:rPr>
        <w:t>有下列情形之一的，属于恶意串通，其投标无效：</w:t>
      </w:r>
    </w:p>
    <w:p w14:paraId="5753B8FF">
      <w:pPr>
        <w:keepNext w:val="0"/>
        <w:keepLines w:val="0"/>
        <w:pageBreakBefore w:val="0"/>
        <w:widowControl w:val="0"/>
        <w:tabs>
          <w:tab w:val="left" w:pos="3870"/>
          <w:tab w:val="left" w:pos="4085"/>
        </w:tabs>
        <w:kinsoku/>
        <w:wordWrap/>
        <w:overflowPunct/>
        <w:topLinePunct w:val="0"/>
        <w:autoSpaceDE/>
        <w:autoSpaceDN/>
        <w:bidi w:val="0"/>
        <w:adjustRightInd w:val="0"/>
        <w:snapToGrid w:val="0"/>
        <w:spacing w:line="440" w:lineRule="exact"/>
        <w:ind w:firstLine="720" w:firstLineChars="300"/>
        <w:jc w:val="left"/>
        <w:textAlignment w:val="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8.2</w:t>
      </w:r>
      <w:r>
        <w:rPr>
          <w:rFonts w:hint="eastAsia" w:ascii="仿宋" w:hAnsi="仿宋" w:eastAsia="仿宋" w:cs="仿宋"/>
          <w:b w:val="0"/>
          <w:bCs w:val="0"/>
          <w:color w:val="auto"/>
          <w:sz w:val="24"/>
          <w:highlight w:val="none"/>
          <w:lang w:val="en-US" w:eastAsia="zh-CN"/>
        </w:rPr>
        <w:t>3</w:t>
      </w:r>
      <w:r>
        <w:rPr>
          <w:rFonts w:hint="eastAsia" w:ascii="仿宋" w:hAnsi="仿宋" w:eastAsia="仿宋" w:cs="仿宋"/>
          <w:b w:val="0"/>
          <w:bCs w:val="0"/>
          <w:color w:val="auto"/>
          <w:sz w:val="24"/>
          <w:highlight w:val="none"/>
        </w:rPr>
        <w:t>.1供应商直接或者间接从采购人或者采购机构处获得其他供应商的相关情况并修改其投标文件或者响应文件；</w:t>
      </w:r>
    </w:p>
    <w:p w14:paraId="2323FED7">
      <w:pPr>
        <w:keepNext w:val="0"/>
        <w:keepLines w:val="0"/>
        <w:pageBreakBefore w:val="0"/>
        <w:widowControl w:val="0"/>
        <w:tabs>
          <w:tab w:val="left" w:pos="3870"/>
          <w:tab w:val="left" w:pos="4085"/>
        </w:tabs>
        <w:kinsoku/>
        <w:wordWrap/>
        <w:overflowPunct/>
        <w:topLinePunct w:val="0"/>
        <w:autoSpaceDE/>
        <w:autoSpaceDN/>
        <w:bidi w:val="0"/>
        <w:adjustRightInd w:val="0"/>
        <w:snapToGrid w:val="0"/>
        <w:spacing w:line="440" w:lineRule="exact"/>
        <w:ind w:firstLine="720" w:firstLineChars="300"/>
        <w:jc w:val="left"/>
        <w:textAlignment w:val="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8.2</w:t>
      </w:r>
      <w:r>
        <w:rPr>
          <w:rFonts w:hint="eastAsia" w:ascii="仿宋" w:hAnsi="仿宋" w:eastAsia="仿宋" w:cs="仿宋"/>
          <w:b w:val="0"/>
          <w:bCs w:val="0"/>
          <w:color w:val="auto"/>
          <w:sz w:val="24"/>
          <w:highlight w:val="none"/>
          <w:lang w:val="en-US" w:eastAsia="zh-CN"/>
        </w:rPr>
        <w:t>3</w:t>
      </w:r>
      <w:r>
        <w:rPr>
          <w:rFonts w:hint="eastAsia" w:ascii="仿宋" w:hAnsi="仿宋" w:eastAsia="仿宋" w:cs="仿宋"/>
          <w:b w:val="0"/>
          <w:bCs w:val="0"/>
          <w:color w:val="auto"/>
          <w:sz w:val="24"/>
          <w:highlight w:val="none"/>
        </w:rPr>
        <w:t>.2供应商按照采购人或者采购机构的授意撤换、修改投标文件或者响应文件；</w:t>
      </w:r>
    </w:p>
    <w:p w14:paraId="079E1521">
      <w:pPr>
        <w:keepNext w:val="0"/>
        <w:keepLines w:val="0"/>
        <w:pageBreakBefore w:val="0"/>
        <w:widowControl w:val="0"/>
        <w:tabs>
          <w:tab w:val="left" w:pos="3870"/>
          <w:tab w:val="left" w:pos="4085"/>
        </w:tabs>
        <w:kinsoku/>
        <w:wordWrap/>
        <w:overflowPunct/>
        <w:topLinePunct w:val="0"/>
        <w:autoSpaceDE/>
        <w:autoSpaceDN/>
        <w:bidi w:val="0"/>
        <w:adjustRightInd w:val="0"/>
        <w:snapToGrid w:val="0"/>
        <w:spacing w:line="440" w:lineRule="exact"/>
        <w:ind w:firstLine="720" w:firstLineChars="300"/>
        <w:jc w:val="left"/>
        <w:textAlignment w:val="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8.2</w:t>
      </w:r>
      <w:r>
        <w:rPr>
          <w:rFonts w:hint="eastAsia" w:ascii="仿宋" w:hAnsi="仿宋" w:eastAsia="仿宋" w:cs="仿宋"/>
          <w:b w:val="0"/>
          <w:bCs w:val="0"/>
          <w:color w:val="auto"/>
          <w:sz w:val="24"/>
          <w:highlight w:val="none"/>
          <w:lang w:val="en-US" w:eastAsia="zh-CN"/>
        </w:rPr>
        <w:t>3</w:t>
      </w:r>
      <w:r>
        <w:rPr>
          <w:rFonts w:hint="eastAsia" w:ascii="仿宋" w:hAnsi="仿宋" w:eastAsia="仿宋" w:cs="仿宋"/>
          <w:b w:val="0"/>
          <w:bCs w:val="0"/>
          <w:color w:val="auto"/>
          <w:sz w:val="24"/>
          <w:highlight w:val="none"/>
        </w:rPr>
        <w:t>.3供应商之间协商报价、技术方案等投标文件或者响应文件的实质性内容；</w:t>
      </w:r>
    </w:p>
    <w:p w14:paraId="2E23ADA7">
      <w:pPr>
        <w:keepNext w:val="0"/>
        <w:keepLines w:val="0"/>
        <w:pageBreakBefore w:val="0"/>
        <w:widowControl w:val="0"/>
        <w:tabs>
          <w:tab w:val="left" w:pos="3870"/>
          <w:tab w:val="left" w:pos="4085"/>
        </w:tabs>
        <w:kinsoku/>
        <w:wordWrap/>
        <w:overflowPunct/>
        <w:topLinePunct w:val="0"/>
        <w:autoSpaceDE/>
        <w:autoSpaceDN/>
        <w:bidi w:val="0"/>
        <w:adjustRightInd w:val="0"/>
        <w:snapToGrid w:val="0"/>
        <w:spacing w:line="440" w:lineRule="exact"/>
        <w:ind w:firstLine="720" w:firstLineChars="300"/>
        <w:jc w:val="left"/>
        <w:textAlignment w:val="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8.2</w:t>
      </w:r>
      <w:r>
        <w:rPr>
          <w:rFonts w:hint="eastAsia" w:ascii="仿宋" w:hAnsi="仿宋" w:eastAsia="仿宋" w:cs="仿宋"/>
          <w:b w:val="0"/>
          <w:bCs w:val="0"/>
          <w:color w:val="auto"/>
          <w:sz w:val="24"/>
          <w:highlight w:val="none"/>
          <w:lang w:val="en-US" w:eastAsia="zh-CN"/>
        </w:rPr>
        <w:t>3</w:t>
      </w:r>
      <w:r>
        <w:rPr>
          <w:rFonts w:hint="eastAsia" w:ascii="仿宋" w:hAnsi="仿宋" w:eastAsia="仿宋" w:cs="仿宋"/>
          <w:b w:val="0"/>
          <w:bCs w:val="0"/>
          <w:color w:val="auto"/>
          <w:sz w:val="24"/>
          <w:highlight w:val="none"/>
        </w:rPr>
        <w:t>.4属于同一集团、协会、商会等组织成员的供应商按照该组织要求协同参加采购活动；</w:t>
      </w:r>
    </w:p>
    <w:p w14:paraId="3FDC70A7">
      <w:pPr>
        <w:keepNext w:val="0"/>
        <w:keepLines w:val="0"/>
        <w:pageBreakBefore w:val="0"/>
        <w:widowControl w:val="0"/>
        <w:tabs>
          <w:tab w:val="left" w:pos="3870"/>
          <w:tab w:val="left" w:pos="4085"/>
        </w:tabs>
        <w:kinsoku/>
        <w:wordWrap/>
        <w:overflowPunct/>
        <w:topLinePunct w:val="0"/>
        <w:autoSpaceDE/>
        <w:autoSpaceDN/>
        <w:bidi w:val="0"/>
        <w:adjustRightInd w:val="0"/>
        <w:snapToGrid w:val="0"/>
        <w:spacing w:line="440" w:lineRule="exact"/>
        <w:ind w:firstLine="720" w:firstLineChars="300"/>
        <w:jc w:val="left"/>
        <w:textAlignment w:val="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8.2</w:t>
      </w:r>
      <w:r>
        <w:rPr>
          <w:rFonts w:hint="eastAsia" w:ascii="仿宋" w:hAnsi="仿宋" w:eastAsia="仿宋" w:cs="仿宋"/>
          <w:b w:val="0"/>
          <w:bCs w:val="0"/>
          <w:color w:val="auto"/>
          <w:sz w:val="24"/>
          <w:highlight w:val="none"/>
          <w:lang w:val="en-US" w:eastAsia="zh-CN"/>
        </w:rPr>
        <w:t>3</w:t>
      </w:r>
      <w:r>
        <w:rPr>
          <w:rFonts w:hint="eastAsia" w:ascii="仿宋" w:hAnsi="仿宋" w:eastAsia="仿宋" w:cs="仿宋"/>
          <w:b w:val="0"/>
          <w:bCs w:val="0"/>
          <w:color w:val="auto"/>
          <w:sz w:val="24"/>
          <w:highlight w:val="none"/>
        </w:rPr>
        <w:t>.5供应商之间事先约定由某一特定供应商中标、成交；</w:t>
      </w:r>
    </w:p>
    <w:p w14:paraId="67F7FB27">
      <w:pPr>
        <w:keepNext w:val="0"/>
        <w:keepLines w:val="0"/>
        <w:pageBreakBefore w:val="0"/>
        <w:widowControl w:val="0"/>
        <w:tabs>
          <w:tab w:val="left" w:pos="3870"/>
          <w:tab w:val="left" w:pos="4085"/>
        </w:tabs>
        <w:kinsoku/>
        <w:wordWrap/>
        <w:overflowPunct/>
        <w:topLinePunct w:val="0"/>
        <w:autoSpaceDE/>
        <w:autoSpaceDN/>
        <w:bidi w:val="0"/>
        <w:adjustRightInd w:val="0"/>
        <w:snapToGrid w:val="0"/>
        <w:spacing w:line="440" w:lineRule="exact"/>
        <w:ind w:firstLine="720" w:firstLineChars="300"/>
        <w:jc w:val="left"/>
        <w:textAlignment w:val="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8.2</w:t>
      </w:r>
      <w:r>
        <w:rPr>
          <w:rFonts w:hint="eastAsia" w:ascii="仿宋" w:hAnsi="仿宋" w:eastAsia="仿宋" w:cs="仿宋"/>
          <w:b w:val="0"/>
          <w:bCs w:val="0"/>
          <w:color w:val="auto"/>
          <w:sz w:val="24"/>
          <w:highlight w:val="none"/>
          <w:lang w:val="en-US" w:eastAsia="zh-CN"/>
        </w:rPr>
        <w:t>3</w:t>
      </w:r>
      <w:r>
        <w:rPr>
          <w:rFonts w:hint="eastAsia" w:ascii="仿宋" w:hAnsi="仿宋" w:eastAsia="仿宋" w:cs="仿宋"/>
          <w:b w:val="0"/>
          <w:bCs w:val="0"/>
          <w:color w:val="auto"/>
          <w:sz w:val="24"/>
          <w:highlight w:val="none"/>
        </w:rPr>
        <w:t>.6供应商之间商定部分供应商放弃参加采购活动或者放弃中标、成交；</w:t>
      </w:r>
    </w:p>
    <w:p w14:paraId="52614DA8">
      <w:pPr>
        <w:keepNext w:val="0"/>
        <w:keepLines w:val="0"/>
        <w:pageBreakBefore w:val="0"/>
        <w:widowControl w:val="0"/>
        <w:tabs>
          <w:tab w:val="left" w:pos="3870"/>
          <w:tab w:val="left" w:pos="4085"/>
        </w:tabs>
        <w:kinsoku/>
        <w:wordWrap/>
        <w:overflowPunct/>
        <w:topLinePunct w:val="0"/>
        <w:autoSpaceDE/>
        <w:autoSpaceDN/>
        <w:bidi w:val="0"/>
        <w:adjustRightInd w:val="0"/>
        <w:snapToGrid w:val="0"/>
        <w:spacing w:line="440" w:lineRule="exact"/>
        <w:ind w:firstLine="720" w:firstLineChars="300"/>
        <w:jc w:val="left"/>
        <w:textAlignment w:val="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8.2</w:t>
      </w:r>
      <w:r>
        <w:rPr>
          <w:rFonts w:hint="eastAsia" w:ascii="仿宋" w:hAnsi="仿宋" w:eastAsia="仿宋" w:cs="仿宋"/>
          <w:b w:val="0"/>
          <w:bCs w:val="0"/>
          <w:color w:val="auto"/>
          <w:sz w:val="24"/>
          <w:highlight w:val="none"/>
          <w:lang w:val="en-US" w:eastAsia="zh-CN"/>
        </w:rPr>
        <w:t>3</w:t>
      </w:r>
      <w:r>
        <w:rPr>
          <w:rFonts w:hint="eastAsia" w:ascii="仿宋" w:hAnsi="仿宋" w:eastAsia="仿宋" w:cs="仿宋"/>
          <w:b w:val="0"/>
          <w:bCs w:val="0"/>
          <w:color w:val="auto"/>
          <w:sz w:val="24"/>
          <w:highlight w:val="none"/>
        </w:rPr>
        <w:t>.7供应商与采购人或者采购机构之间、供应商相互之间，为谋求特定供应商中标、成交或者排斥其他供应商的其他串通行为。</w:t>
      </w:r>
    </w:p>
    <w:p w14:paraId="071E63F1">
      <w:pPr>
        <w:keepNext w:val="0"/>
        <w:keepLines w:val="0"/>
        <w:pageBreakBefore w:val="0"/>
        <w:widowControl w:val="0"/>
        <w:kinsoku/>
        <w:wordWrap/>
        <w:overflowPunct/>
        <w:topLinePunct w:val="0"/>
        <w:autoSpaceDE/>
        <w:autoSpaceDN/>
        <w:bidi w:val="0"/>
        <w:adjustRightInd w:val="0"/>
        <w:snapToGrid w:val="0"/>
        <w:spacing w:line="440" w:lineRule="exact"/>
        <w:ind w:left="0" w:firstLine="720" w:firstLineChars="300"/>
        <w:jc w:val="left"/>
        <w:textAlignment w:val="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8.2</w:t>
      </w:r>
      <w:r>
        <w:rPr>
          <w:rFonts w:hint="eastAsia" w:ascii="仿宋" w:hAnsi="仿宋" w:eastAsia="仿宋" w:cs="仿宋"/>
          <w:b w:val="0"/>
          <w:bCs w:val="0"/>
          <w:color w:val="auto"/>
          <w:sz w:val="24"/>
          <w:highlight w:val="none"/>
          <w:lang w:val="en-US" w:eastAsia="zh-CN"/>
        </w:rPr>
        <w:t>4</w:t>
      </w:r>
      <w:r>
        <w:rPr>
          <w:rFonts w:hint="eastAsia" w:ascii="仿宋" w:hAnsi="仿宋" w:eastAsia="仿宋" w:cs="仿宋"/>
          <w:b w:val="0"/>
          <w:bCs w:val="0"/>
          <w:color w:val="auto"/>
          <w:sz w:val="24"/>
          <w:highlight w:val="none"/>
        </w:rPr>
        <w:t>评标委员会认定有重大偏差或实质性不响应招标文件要求的；</w:t>
      </w:r>
    </w:p>
    <w:p w14:paraId="62447B9B">
      <w:pPr>
        <w:keepNext w:val="0"/>
        <w:keepLines w:val="0"/>
        <w:pageBreakBefore w:val="0"/>
        <w:widowControl w:val="0"/>
        <w:kinsoku/>
        <w:wordWrap/>
        <w:overflowPunct/>
        <w:topLinePunct w:val="0"/>
        <w:autoSpaceDE/>
        <w:autoSpaceDN/>
        <w:bidi w:val="0"/>
        <w:adjustRightInd w:val="0"/>
        <w:snapToGrid w:val="0"/>
        <w:spacing w:line="440" w:lineRule="exact"/>
        <w:ind w:left="0" w:firstLine="720" w:firstLineChars="300"/>
        <w:jc w:val="left"/>
        <w:textAlignment w:val="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8.2</w:t>
      </w:r>
      <w:r>
        <w:rPr>
          <w:rFonts w:hint="eastAsia" w:ascii="仿宋" w:hAnsi="仿宋" w:eastAsia="仿宋" w:cs="仿宋"/>
          <w:b w:val="0"/>
          <w:bCs w:val="0"/>
          <w:color w:val="auto"/>
          <w:sz w:val="24"/>
          <w:highlight w:val="none"/>
          <w:lang w:val="en-US" w:eastAsia="zh-CN"/>
        </w:rPr>
        <w:t>5</w:t>
      </w:r>
      <w:r>
        <w:rPr>
          <w:rFonts w:hint="eastAsia" w:ascii="仿宋" w:hAnsi="仿宋" w:eastAsia="仿宋" w:cs="仿宋"/>
          <w:b w:val="0"/>
          <w:bCs w:val="0"/>
          <w:color w:val="auto"/>
          <w:sz w:val="24"/>
          <w:highlight w:val="none"/>
        </w:rPr>
        <w:t>投标文件出现不是唯一的、有选择性投标报价的；</w:t>
      </w:r>
    </w:p>
    <w:p w14:paraId="3CAAF327">
      <w:pPr>
        <w:keepNext w:val="0"/>
        <w:keepLines w:val="0"/>
        <w:pageBreakBefore w:val="0"/>
        <w:widowControl w:val="0"/>
        <w:kinsoku/>
        <w:wordWrap/>
        <w:overflowPunct/>
        <w:topLinePunct w:val="0"/>
        <w:autoSpaceDE/>
        <w:autoSpaceDN/>
        <w:bidi w:val="0"/>
        <w:adjustRightInd w:val="0"/>
        <w:snapToGrid w:val="0"/>
        <w:spacing w:line="448" w:lineRule="exact"/>
        <w:ind w:firstLine="720" w:firstLineChars="300"/>
        <w:jc w:val="left"/>
        <w:textAlignment w:val="auto"/>
        <w:rPr>
          <w:rFonts w:hint="eastAsia"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rPr>
        <w:t>8.2</w:t>
      </w:r>
      <w:r>
        <w:rPr>
          <w:rFonts w:hint="eastAsia" w:ascii="仿宋" w:hAnsi="仿宋" w:eastAsia="仿宋" w:cs="仿宋"/>
          <w:b w:val="0"/>
          <w:bCs/>
          <w:color w:val="auto"/>
          <w:sz w:val="24"/>
          <w:highlight w:val="none"/>
          <w:lang w:val="en-US" w:eastAsia="zh-CN"/>
        </w:rPr>
        <w:t>6投标报价以人民币元为单位，投标报价不允许为0元（即赠送），投标报价明细中不允许出现0元的单项报价，否则视同赠送，视为采购人不予接受条件，其投标将被拒绝，按投标无效处理；</w:t>
      </w:r>
    </w:p>
    <w:p w14:paraId="37BAF426">
      <w:pPr>
        <w:keepNext w:val="0"/>
        <w:keepLines w:val="0"/>
        <w:pageBreakBefore w:val="0"/>
        <w:widowControl w:val="0"/>
        <w:kinsoku/>
        <w:wordWrap/>
        <w:overflowPunct/>
        <w:topLinePunct w:val="0"/>
        <w:autoSpaceDE/>
        <w:autoSpaceDN/>
        <w:bidi w:val="0"/>
        <w:adjustRightInd w:val="0"/>
        <w:snapToGrid w:val="0"/>
        <w:spacing w:line="440" w:lineRule="exact"/>
        <w:ind w:left="0" w:firstLine="720" w:firstLineChars="300"/>
        <w:jc w:val="left"/>
        <w:textAlignment w:val="auto"/>
        <w:rPr>
          <w:rFonts w:hint="eastAsia"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8.27不同投标人的投标文件出自同一终端设备的或在相同Internet主机分配地址（相同IP地址）网上投标的，相关投标人的投标均作无效投标处理。</w:t>
      </w:r>
    </w:p>
    <w:p w14:paraId="5C4ABA46">
      <w:pPr>
        <w:keepNext w:val="0"/>
        <w:keepLines w:val="0"/>
        <w:pageBreakBefore w:val="0"/>
        <w:widowControl w:val="0"/>
        <w:kinsoku/>
        <w:wordWrap/>
        <w:overflowPunct/>
        <w:topLinePunct w:val="0"/>
        <w:autoSpaceDE/>
        <w:autoSpaceDN/>
        <w:bidi w:val="0"/>
        <w:adjustRightInd w:val="0"/>
        <w:snapToGrid w:val="0"/>
        <w:spacing w:line="440" w:lineRule="exact"/>
        <w:ind w:left="0" w:firstLine="720" w:firstLineChars="300"/>
        <w:jc w:val="left"/>
        <w:textAlignment w:val="auto"/>
        <w:rPr>
          <w:rFonts w:hint="eastAsia"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8.28供应商的投标保证金从同一账户转出</w:t>
      </w:r>
    </w:p>
    <w:p w14:paraId="11467B49">
      <w:pPr>
        <w:keepNext w:val="0"/>
        <w:keepLines w:val="0"/>
        <w:pageBreakBefore w:val="0"/>
        <w:widowControl w:val="0"/>
        <w:kinsoku/>
        <w:wordWrap/>
        <w:overflowPunct/>
        <w:topLinePunct w:val="0"/>
        <w:autoSpaceDE/>
        <w:autoSpaceDN/>
        <w:bidi w:val="0"/>
        <w:adjustRightInd w:val="0"/>
        <w:snapToGrid w:val="0"/>
        <w:spacing w:line="440" w:lineRule="exact"/>
        <w:ind w:left="0" w:firstLine="720" w:firstLineChars="300"/>
        <w:jc w:val="left"/>
        <w:textAlignment w:val="auto"/>
        <w:rPr>
          <w:rFonts w:hint="eastAsia"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8.29对大量技术参数响应负偏离、不提供证明材料或者不积极响应采购文件要求，以促成合格供应商符合法定数量；</w:t>
      </w:r>
    </w:p>
    <w:p w14:paraId="7AF32445">
      <w:pPr>
        <w:keepNext w:val="0"/>
        <w:keepLines w:val="0"/>
        <w:pageBreakBefore w:val="0"/>
        <w:widowControl w:val="0"/>
        <w:kinsoku/>
        <w:wordWrap/>
        <w:overflowPunct/>
        <w:topLinePunct w:val="0"/>
        <w:autoSpaceDE/>
        <w:autoSpaceDN/>
        <w:bidi w:val="0"/>
        <w:adjustRightInd w:val="0"/>
        <w:snapToGrid w:val="0"/>
        <w:spacing w:line="440" w:lineRule="exact"/>
        <w:ind w:left="0" w:firstLine="720" w:firstLineChars="300"/>
        <w:jc w:val="left"/>
        <w:textAlignment w:val="auto"/>
        <w:rPr>
          <w:rFonts w:hint="eastAsia"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8.30事先约定由某一特定供应商中标、成交；</w:t>
      </w:r>
    </w:p>
    <w:p w14:paraId="3875BC30">
      <w:pPr>
        <w:keepNext w:val="0"/>
        <w:keepLines w:val="0"/>
        <w:pageBreakBefore w:val="0"/>
        <w:widowControl w:val="0"/>
        <w:kinsoku/>
        <w:wordWrap/>
        <w:overflowPunct/>
        <w:topLinePunct w:val="0"/>
        <w:autoSpaceDE/>
        <w:autoSpaceDN/>
        <w:bidi w:val="0"/>
        <w:adjustRightInd w:val="0"/>
        <w:snapToGrid w:val="0"/>
        <w:spacing w:line="440" w:lineRule="exact"/>
        <w:ind w:left="0" w:firstLine="720" w:firstLineChars="300"/>
        <w:jc w:val="left"/>
        <w:textAlignment w:val="auto"/>
        <w:rPr>
          <w:rFonts w:hint="eastAsia"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8.31成立多家公司围标串标；</w:t>
      </w:r>
    </w:p>
    <w:p w14:paraId="1E63236C">
      <w:pPr>
        <w:keepNext w:val="0"/>
        <w:keepLines w:val="0"/>
        <w:pageBreakBefore w:val="0"/>
        <w:widowControl w:val="0"/>
        <w:kinsoku/>
        <w:wordWrap/>
        <w:overflowPunct/>
        <w:topLinePunct w:val="0"/>
        <w:autoSpaceDE/>
        <w:autoSpaceDN/>
        <w:bidi w:val="0"/>
        <w:adjustRightInd w:val="0"/>
        <w:snapToGrid w:val="0"/>
        <w:spacing w:line="440" w:lineRule="exact"/>
        <w:ind w:left="0" w:firstLine="720" w:firstLineChars="300"/>
        <w:jc w:val="left"/>
        <w:textAlignment w:val="auto"/>
        <w:rPr>
          <w:rFonts w:hint="eastAsia"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8.32其他围标串标行为。</w:t>
      </w:r>
    </w:p>
    <w:p w14:paraId="337A9B16">
      <w:pPr>
        <w:keepNext w:val="0"/>
        <w:keepLines w:val="0"/>
        <w:pageBreakBefore w:val="0"/>
        <w:widowControl w:val="0"/>
        <w:kinsoku/>
        <w:wordWrap/>
        <w:overflowPunct/>
        <w:topLinePunct w:val="0"/>
        <w:autoSpaceDE/>
        <w:autoSpaceDN/>
        <w:bidi w:val="0"/>
        <w:adjustRightInd w:val="0"/>
        <w:snapToGrid w:val="0"/>
        <w:spacing w:line="440" w:lineRule="exact"/>
        <w:ind w:left="0" w:firstLine="720" w:firstLineChars="300"/>
        <w:jc w:val="left"/>
        <w:textAlignment w:val="auto"/>
        <w:rPr>
          <w:rFonts w:hint="eastAsia"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8.33</w:t>
      </w:r>
      <w:r>
        <w:rPr>
          <w:rFonts w:hint="eastAsia" w:ascii="仿宋" w:hAnsi="仿宋" w:eastAsia="仿宋" w:cs="仿宋"/>
          <w:b/>
          <w:bCs/>
          <w:color w:val="auto"/>
          <w:sz w:val="24"/>
          <w:szCs w:val="24"/>
          <w:highlight w:val="none"/>
          <w:lang w:val="en-US" w:eastAsia="zh-CN"/>
        </w:rPr>
        <w:t>投标人商务技术得分低于30分（商务技术分的60%）【因乐采云系统操作限制，该无效判定在符合性审查阶段执行】；</w:t>
      </w:r>
    </w:p>
    <w:p w14:paraId="7DC919A2">
      <w:pPr>
        <w:keepNext w:val="0"/>
        <w:keepLines w:val="0"/>
        <w:pageBreakBefore w:val="0"/>
        <w:widowControl w:val="0"/>
        <w:kinsoku/>
        <w:wordWrap/>
        <w:overflowPunct/>
        <w:topLinePunct w:val="0"/>
        <w:autoSpaceDE/>
        <w:autoSpaceDN/>
        <w:bidi w:val="0"/>
        <w:adjustRightInd w:val="0"/>
        <w:snapToGrid w:val="0"/>
        <w:spacing w:line="440" w:lineRule="exact"/>
        <w:ind w:left="0" w:firstLine="720" w:firstLineChars="300"/>
        <w:jc w:val="left"/>
        <w:textAlignment w:val="auto"/>
        <w:rPr>
          <w:rFonts w:hint="eastAsia" w:ascii="仿宋" w:hAnsi="仿宋" w:eastAsia="仿宋" w:cs="仿宋"/>
          <w:color w:val="auto"/>
          <w:highlight w:val="none"/>
        </w:rPr>
      </w:pPr>
      <w:r>
        <w:rPr>
          <w:rFonts w:hint="eastAsia" w:ascii="仿宋" w:hAnsi="仿宋" w:eastAsia="仿宋" w:cs="仿宋"/>
          <w:b w:val="0"/>
          <w:bCs/>
          <w:color w:val="auto"/>
          <w:sz w:val="24"/>
          <w:highlight w:val="none"/>
          <w:lang w:val="en-US" w:eastAsia="zh-CN"/>
        </w:rPr>
        <w:t>8.34</w:t>
      </w:r>
      <w:r>
        <w:rPr>
          <w:rFonts w:hint="eastAsia" w:ascii="仿宋" w:hAnsi="仿宋" w:eastAsia="仿宋" w:cs="仿宋"/>
          <w:b w:val="0"/>
          <w:bCs/>
          <w:color w:val="auto"/>
          <w:sz w:val="24"/>
          <w:highlight w:val="none"/>
        </w:rPr>
        <w:t>其他违反法律、法规的情形。</w:t>
      </w:r>
    </w:p>
    <w:p w14:paraId="2E192FA3">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 w:hAnsi="仿宋" w:eastAsia="仿宋" w:cs="仿宋"/>
          <w:b/>
          <w:color w:val="auto"/>
          <w:kern w:val="0"/>
          <w:sz w:val="24"/>
          <w:highlight w:val="none"/>
          <w:lang w:val="en-US" w:eastAsia="zh-CN"/>
        </w:rPr>
      </w:pPr>
      <w:r>
        <w:rPr>
          <w:rFonts w:hint="eastAsia" w:ascii="仿宋" w:hAnsi="仿宋" w:eastAsia="仿宋" w:cs="仿宋"/>
          <w:b/>
          <w:color w:val="auto"/>
          <w:kern w:val="0"/>
          <w:sz w:val="24"/>
          <w:highlight w:val="none"/>
          <w:lang w:val="en-US" w:eastAsia="zh-CN"/>
        </w:rPr>
        <w:t>9.废标的情形</w:t>
      </w:r>
    </w:p>
    <w:p w14:paraId="7BB8962B">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仿宋" w:hAnsi="仿宋" w:eastAsia="仿宋" w:cs="仿宋"/>
          <w:b/>
          <w:color w:val="auto"/>
          <w:kern w:val="0"/>
          <w:sz w:val="24"/>
          <w:highlight w:val="none"/>
          <w:lang w:val="en-US" w:eastAsia="zh-CN"/>
        </w:rPr>
      </w:pPr>
      <w:r>
        <w:rPr>
          <w:rFonts w:hint="eastAsia" w:ascii="仿宋" w:hAnsi="仿宋" w:eastAsia="仿宋" w:cs="仿宋"/>
          <w:b/>
          <w:color w:val="auto"/>
          <w:kern w:val="0"/>
          <w:sz w:val="24"/>
          <w:highlight w:val="none"/>
          <w:lang w:val="en-US" w:eastAsia="zh-CN"/>
        </w:rPr>
        <w:t>在招标采购中，出现下列情形之一的，应予废标：</w:t>
      </w:r>
    </w:p>
    <w:p w14:paraId="4CB4098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b w:val="0"/>
          <w:bCs/>
          <w:color w:val="auto"/>
          <w:kern w:val="0"/>
          <w:sz w:val="24"/>
          <w:highlight w:val="none"/>
          <w:lang w:val="en-US" w:eastAsia="zh-CN"/>
        </w:rPr>
      </w:pPr>
      <w:r>
        <w:rPr>
          <w:rFonts w:hint="eastAsia" w:ascii="仿宋" w:hAnsi="仿宋" w:eastAsia="仿宋" w:cs="仿宋"/>
          <w:b w:val="0"/>
          <w:bCs/>
          <w:color w:val="auto"/>
          <w:kern w:val="0"/>
          <w:sz w:val="24"/>
          <w:highlight w:val="none"/>
          <w:lang w:val="en-US" w:eastAsia="zh-CN"/>
        </w:rPr>
        <w:t>9.1符合专业条件的投标人或者对招标文件作实质性响应的投标人不足三家的；</w:t>
      </w:r>
    </w:p>
    <w:p w14:paraId="20224D4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b w:val="0"/>
          <w:bCs/>
          <w:color w:val="auto"/>
          <w:kern w:val="0"/>
          <w:sz w:val="24"/>
          <w:highlight w:val="none"/>
          <w:lang w:val="en-US" w:eastAsia="zh-CN"/>
        </w:rPr>
      </w:pPr>
      <w:r>
        <w:rPr>
          <w:rFonts w:hint="eastAsia" w:ascii="仿宋" w:hAnsi="仿宋" w:eastAsia="仿宋" w:cs="仿宋"/>
          <w:b w:val="0"/>
          <w:bCs/>
          <w:color w:val="auto"/>
          <w:kern w:val="0"/>
          <w:sz w:val="24"/>
          <w:highlight w:val="none"/>
          <w:lang w:val="en-US" w:eastAsia="zh-CN"/>
        </w:rPr>
        <w:t>9.2出现影响采购公正的违法、违规行为的；</w:t>
      </w:r>
    </w:p>
    <w:p w14:paraId="2D2D077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b w:val="0"/>
          <w:bCs/>
          <w:color w:val="auto"/>
          <w:kern w:val="0"/>
          <w:sz w:val="24"/>
          <w:highlight w:val="none"/>
          <w:lang w:val="en-US" w:eastAsia="zh-CN"/>
        </w:rPr>
      </w:pPr>
      <w:r>
        <w:rPr>
          <w:rFonts w:hint="eastAsia" w:ascii="仿宋" w:hAnsi="仿宋" w:eastAsia="仿宋" w:cs="仿宋"/>
          <w:b w:val="0"/>
          <w:bCs/>
          <w:color w:val="auto"/>
          <w:kern w:val="0"/>
          <w:sz w:val="24"/>
          <w:highlight w:val="none"/>
          <w:lang w:val="en-US" w:eastAsia="zh-CN"/>
        </w:rPr>
        <w:t>9.3投标人的报价均超过了采购预算，采购人不能支付的；</w:t>
      </w:r>
    </w:p>
    <w:p w14:paraId="545FB5F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b/>
          <w:color w:val="auto"/>
          <w:kern w:val="0"/>
          <w:sz w:val="24"/>
          <w:highlight w:val="none"/>
        </w:rPr>
      </w:pPr>
      <w:r>
        <w:rPr>
          <w:rFonts w:hint="eastAsia" w:ascii="仿宋" w:hAnsi="仿宋" w:eastAsia="仿宋" w:cs="仿宋"/>
          <w:b w:val="0"/>
          <w:bCs/>
          <w:color w:val="auto"/>
          <w:kern w:val="0"/>
          <w:sz w:val="24"/>
          <w:highlight w:val="none"/>
          <w:lang w:val="en-US" w:eastAsia="zh-CN"/>
        </w:rPr>
        <w:t>9.4因重大变故，采购任务取消的。</w:t>
      </w:r>
    </w:p>
    <w:p w14:paraId="686AD431">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lang w:val="en-US" w:eastAsia="zh-CN"/>
        </w:rPr>
        <w:t>10</w:t>
      </w:r>
      <w:r>
        <w:rPr>
          <w:rFonts w:hint="eastAsia" w:ascii="仿宋" w:hAnsi="仿宋" w:eastAsia="仿宋" w:cs="仿宋"/>
          <w:b/>
          <w:color w:val="auto"/>
          <w:kern w:val="0"/>
          <w:sz w:val="24"/>
          <w:highlight w:val="none"/>
        </w:rPr>
        <w:t>.评标过程保密</w:t>
      </w:r>
    </w:p>
    <w:p w14:paraId="4576765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10</w:t>
      </w:r>
      <w:r>
        <w:rPr>
          <w:rFonts w:hint="eastAsia" w:ascii="仿宋" w:hAnsi="仿宋" w:eastAsia="仿宋" w:cs="仿宋"/>
          <w:color w:val="auto"/>
          <w:kern w:val="0"/>
          <w:sz w:val="24"/>
          <w:highlight w:val="none"/>
        </w:rPr>
        <w:t>.1</w:t>
      </w:r>
      <w:r>
        <w:rPr>
          <w:rFonts w:hint="eastAsia" w:ascii="仿宋" w:hAnsi="仿宋" w:eastAsia="仿宋" w:cs="仿宋"/>
          <w:color w:val="auto"/>
          <w:sz w:val="24"/>
          <w:highlight w:val="none"/>
        </w:rPr>
        <w:t>评审活动在严格保密的情况下进行。评审过程中凡是与采购响应文件评审和比较、中标成交供应商推荐等评审有关的情况和评审文件的，以及涉及国家秘密和商业秘密等信息，评审委员会成员、采购人和采购机构工作人员、相关监督人员等与评审有关的人员应当予以保密。</w:t>
      </w:r>
    </w:p>
    <w:p w14:paraId="4D12481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10</w:t>
      </w:r>
      <w:r>
        <w:rPr>
          <w:rFonts w:hint="eastAsia" w:ascii="仿宋" w:hAnsi="仿宋" w:eastAsia="仿宋" w:cs="仿宋"/>
          <w:color w:val="auto"/>
          <w:kern w:val="0"/>
          <w:sz w:val="24"/>
          <w:highlight w:val="none"/>
        </w:rPr>
        <w:t>.2 在评标期间，投标人企图影响</w:t>
      </w:r>
      <w:r>
        <w:rPr>
          <w:rFonts w:hint="eastAsia" w:ascii="仿宋" w:hAnsi="仿宋" w:eastAsia="仿宋" w:cs="仿宋"/>
          <w:color w:val="auto"/>
          <w:kern w:val="0"/>
          <w:sz w:val="24"/>
          <w:highlight w:val="none"/>
          <w:lang w:eastAsia="zh-CN"/>
        </w:rPr>
        <w:t>采购人</w:t>
      </w:r>
      <w:r>
        <w:rPr>
          <w:rFonts w:hint="eastAsia" w:ascii="仿宋" w:hAnsi="仿宋" w:eastAsia="仿宋" w:cs="仿宋"/>
          <w:color w:val="auto"/>
          <w:kern w:val="0"/>
          <w:sz w:val="24"/>
          <w:highlight w:val="none"/>
        </w:rPr>
        <w:t>或</w:t>
      </w:r>
      <w:r>
        <w:rPr>
          <w:rFonts w:hint="eastAsia" w:ascii="仿宋" w:hAnsi="仿宋" w:eastAsia="仿宋" w:cs="仿宋"/>
          <w:color w:val="auto"/>
          <w:sz w:val="24"/>
          <w:highlight w:val="none"/>
        </w:rPr>
        <w:t>评标委员会</w:t>
      </w:r>
      <w:r>
        <w:rPr>
          <w:rFonts w:hint="eastAsia" w:ascii="仿宋" w:hAnsi="仿宋" w:eastAsia="仿宋" w:cs="仿宋"/>
          <w:color w:val="auto"/>
          <w:kern w:val="0"/>
          <w:sz w:val="24"/>
          <w:highlight w:val="none"/>
        </w:rPr>
        <w:t>的任何活动，都将导致投标被拒绝，并由其承担相应的法律责任。</w:t>
      </w:r>
    </w:p>
    <w:p w14:paraId="6EC85654">
      <w:pPr>
        <w:keepNext w:val="0"/>
        <w:keepLines w:val="0"/>
        <w:pageBreakBefore w:val="0"/>
        <w:kinsoku/>
        <w:wordWrap/>
        <w:overflowPunct/>
        <w:topLinePunct w:val="0"/>
        <w:bidi w:val="0"/>
        <w:snapToGrid w:val="0"/>
        <w:spacing w:line="440" w:lineRule="exact"/>
        <w:ind w:firstLine="482" w:firstLineChars="150"/>
        <w:jc w:val="center"/>
        <w:textAlignment w:val="auto"/>
        <w:rPr>
          <w:rFonts w:hint="eastAsia" w:ascii="仿宋" w:hAnsi="仿宋" w:eastAsia="仿宋" w:cs="仿宋"/>
          <w:b/>
          <w:color w:val="auto"/>
          <w:sz w:val="32"/>
          <w:highlight w:val="none"/>
        </w:rPr>
      </w:pPr>
    </w:p>
    <w:bookmarkEnd w:id="24"/>
    <w:p w14:paraId="0B9A8920">
      <w:pPr>
        <w:pStyle w:val="34"/>
        <w:keepNext w:val="0"/>
        <w:keepLines w:val="0"/>
        <w:pageBreakBefore w:val="0"/>
        <w:kinsoku/>
        <w:wordWrap/>
        <w:overflowPunct/>
        <w:topLinePunct w:val="0"/>
        <w:bidi w:val="0"/>
        <w:spacing w:line="440" w:lineRule="exact"/>
        <w:ind w:firstLine="726"/>
        <w:jc w:val="center"/>
        <w:textAlignment w:val="auto"/>
        <w:rPr>
          <w:rFonts w:hint="eastAsia" w:ascii="仿宋" w:hAnsi="仿宋" w:eastAsia="仿宋" w:cs="仿宋"/>
          <w:b/>
          <w:color w:val="auto"/>
          <w:sz w:val="32"/>
          <w:szCs w:val="32"/>
          <w:highlight w:val="none"/>
        </w:rPr>
      </w:pPr>
      <w:bookmarkStart w:id="25" w:name="_Toc84325929"/>
      <w:bookmarkStart w:id="26" w:name="_Toc81372776"/>
      <w:bookmarkStart w:id="27" w:name="_Toc81372953"/>
      <w:r>
        <w:rPr>
          <w:rFonts w:hint="eastAsia" w:ascii="仿宋" w:hAnsi="仿宋" w:eastAsia="仿宋" w:cs="仿宋"/>
          <w:b/>
          <w:color w:val="auto"/>
          <w:sz w:val="32"/>
          <w:szCs w:val="32"/>
          <w:highlight w:val="none"/>
        </w:rPr>
        <w:t>五、授予合同</w:t>
      </w:r>
    </w:p>
    <w:bookmarkEnd w:id="25"/>
    <w:bookmarkEnd w:id="26"/>
    <w:bookmarkEnd w:id="27"/>
    <w:p w14:paraId="6F71E838">
      <w:pPr>
        <w:pStyle w:val="19"/>
        <w:keepNext w:val="0"/>
        <w:keepLines w:val="0"/>
        <w:pageBreakBefore w:val="0"/>
        <w:tabs>
          <w:tab w:val="clear" w:pos="390"/>
          <w:tab w:val="clear" w:pos="454"/>
        </w:tabs>
        <w:kinsoku/>
        <w:wordWrap/>
        <w:overflowPunct/>
        <w:topLinePunct w:val="0"/>
        <w:bidi w:val="0"/>
        <w:spacing w:after="120" w:line="440" w:lineRule="exact"/>
        <w:ind w:left="0" w:firstLine="0"/>
        <w:textAlignment w:val="auto"/>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1.中标条件</w:t>
      </w:r>
    </w:p>
    <w:p w14:paraId="34F67763">
      <w:pPr>
        <w:keepNext w:val="0"/>
        <w:keepLines w:val="0"/>
        <w:pageBreakBefore w:val="0"/>
        <w:kinsoku/>
        <w:wordWrap/>
        <w:overflowPunct/>
        <w:topLinePunct w:val="0"/>
        <w:bidi w:val="0"/>
        <w:snapToGrid w:val="0"/>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1.1投标文件基本符合招标文件要求；</w:t>
      </w:r>
    </w:p>
    <w:p w14:paraId="339B51EE">
      <w:pPr>
        <w:keepNext w:val="0"/>
        <w:keepLines w:val="0"/>
        <w:pageBreakBefore w:val="0"/>
        <w:kinsoku/>
        <w:wordWrap/>
        <w:overflowPunct/>
        <w:topLinePunct w:val="0"/>
        <w:bidi w:val="0"/>
        <w:snapToGrid w:val="0"/>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1.2投标人有很好的执行合同的能力；</w:t>
      </w:r>
    </w:p>
    <w:p w14:paraId="3CBD87BA">
      <w:pPr>
        <w:keepNext w:val="0"/>
        <w:keepLines w:val="0"/>
        <w:pageBreakBefore w:val="0"/>
        <w:kinsoku/>
        <w:wordWrap/>
        <w:overflowPunct/>
        <w:topLinePunct w:val="0"/>
        <w:bidi w:val="0"/>
        <w:snapToGrid w:val="0"/>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1.3实施方案最合理并对</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最为有利，最大限度满足招标文件的要求；</w:t>
      </w:r>
    </w:p>
    <w:p w14:paraId="13F303EC">
      <w:pPr>
        <w:keepNext w:val="0"/>
        <w:keepLines w:val="0"/>
        <w:pageBreakBefore w:val="0"/>
        <w:kinsoku/>
        <w:wordWrap/>
        <w:overflowPunct/>
        <w:topLinePunct w:val="0"/>
        <w:bidi w:val="0"/>
        <w:snapToGrid w:val="0"/>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1.4投标人能够提供质量技术、商务经济占综合优势的系统及服务。</w:t>
      </w:r>
    </w:p>
    <w:p w14:paraId="54463F97">
      <w:pPr>
        <w:keepNext w:val="0"/>
        <w:keepLines w:val="0"/>
        <w:pageBreakBefore w:val="0"/>
        <w:kinsoku/>
        <w:wordWrap/>
        <w:overflowPunct/>
        <w:topLinePunct w:val="0"/>
        <w:bidi w:val="0"/>
        <w:snapToGrid w:val="0"/>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1.5</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将把中标通知书授予最佳投标者，但最低价不是中标的绝对保证。</w:t>
      </w:r>
    </w:p>
    <w:p w14:paraId="42EE4F95">
      <w:pPr>
        <w:keepNext w:val="0"/>
        <w:keepLines w:val="0"/>
        <w:pageBreakBefore w:val="0"/>
        <w:kinsoku/>
        <w:wordWrap/>
        <w:overflowPunct/>
        <w:topLinePunct w:val="0"/>
        <w:bidi w:val="0"/>
        <w:spacing w:line="440" w:lineRule="exact"/>
        <w:jc w:val="left"/>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2.中标确认</w:t>
      </w:r>
    </w:p>
    <w:p w14:paraId="1B7589E8">
      <w:pPr>
        <w:keepNext w:val="0"/>
        <w:keepLines w:val="0"/>
        <w:pageBreakBefore w:val="0"/>
        <w:kinsoku/>
        <w:wordWrap/>
        <w:overflowPunct/>
        <w:topLinePunct w:val="0"/>
        <w:bidi w:val="0"/>
        <w:snapToGrid w:val="0"/>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2.1采购人应当自收到评标报告之日起５个工作日内，在评标报告确定的中标候选人名单中按顺序确定中标人。</w:t>
      </w:r>
    </w:p>
    <w:p w14:paraId="388A520B">
      <w:pPr>
        <w:keepNext w:val="0"/>
        <w:keepLines w:val="0"/>
        <w:pageBreakBefore w:val="0"/>
        <w:kinsoku/>
        <w:wordWrap/>
        <w:overflowPunct/>
        <w:topLinePunct w:val="0"/>
        <w:bidi w:val="0"/>
        <w:snapToGrid w:val="0"/>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2.2采购人在收到评标报告5个工作日内未按评标报告推荐的中标候选人顺序确定中标人，视同按评标报告推荐的顺序确定的中标候选人为中标人。</w:t>
      </w:r>
    </w:p>
    <w:p w14:paraId="3E4262C9">
      <w:pPr>
        <w:keepNext w:val="0"/>
        <w:keepLines w:val="0"/>
        <w:pageBreakBefore w:val="0"/>
        <w:kinsoku/>
        <w:wordWrap/>
        <w:overflowPunct/>
        <w:topLinePunct w:val="0"/>
        <w:bidi w:val="0"/>
        <w:snapToGrid w:val="0"/>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2.3采购人应在确认中标人前再次对资格条件和相关证件材料进一步查验核实。</w:t>
      </w:r>
    </w:p>
    <w:p w14:paraId="3BB1645D">
      <w:pPr>
        <w:keepNext w:val="0"/>
        <w:keepLines w:val="0"/>
        <w:pageBreakBefore w:val="0"/>
        <w:kinsoku/>
        <w:wordWrap/>
        <w:overflowPunct/>
        <w:topLinePunct w:val="0"/>
        <w:bidi w:val="0"/>
        <w:spacing w:line="440" w:lineRule="exact"/>
        <w:jc w:val="left"/>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3</w:t>
      </w:r>
      <w:r>
        <w:rPr>
          <w:rFonts w:hint="eastAsia" w:ascii="仿宋" w:hAnsi="仿宋" w:eastAsia="仿宋" w:cs="仿宋"/>
          <w:b/>
          <w:color w:val="auto"/>
          <w:sz w:val="24"/>
          <w:highlight w:val="none"/>
          <w:lang w:val="en-US" w:eastAsia="zh-CN"/>
        </w:rPr>
        <w:t>.</w:t>
      </w:r>
      <w:r>
        <w:rPr>
          <w:rFonts w:hint="eastAsia" w:ascii="仿宋" w:hAnsi="仿宋" w:eastAsia="仿宋" w:cs="仿宋"/>
          <w:b/>
          <w:color w:val="auto"/>
          <w:sz w:val="24"/>
          <w:highlight w:val="none"/>
        </w:rPr>
        <w:t>中标通知</w:t>
      </w:r>
    </w:p>
    <w:p w14:paraId="7B324975">
      <w:pPr>
        <w:keepNext w:val="0"/>
        <w:keepLines w:val="0"/>
        <w:pageBreakBefore w:val="0"/>
        <w:kinsoku/>
        <w:wordWrap/>
        <w:overflowPunct/>
        <w:topLinePunct w:val="0"/>
        <w:bidi w:val="0"/>
        <w:snapToGrid w:val="0"/>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3.1采购代理机构对中标结果在指定媒体（浙江政府采购网</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"http://www.zjzfcg.gov.cn" </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highlight w:val="none"/>
        </w:rPr>
        <w:t>http://zfcg.czt.zj.gov.cn/</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）发布中标公告，中标公告期限为1个工作日。</w:t>
      </w:r>
    </w:p>
    <w:p w14:paraId="3EDBDF36">
      <w:pPr>
        <w:keepNext w:val="0"/>
        <w:keepLines w:val="0"/>
        <w:pageBreakBefore w:val="0"/>
        <w:kinsoku/>
        <w:wordWrap/>
        <w:overflowPunct/>
        <w:topLinePunct w:val="0"/>
        <w:bidi w:val="0"/>
        <w:snapToGrid w:val="0"/>
        <w:spacing w:line="440" w:lineRule="exact"/>
        <w:ind w:firstLine="480" w:firstLineChars="200"/>
        <w:textAlignment w:val="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3.2采购</w:t>
      </w:r>
      <w:r>
        <w:rPr>
          <w:rFonts w:hint="eastAsia" w:ascii="仿宋" w:hAnsi="仿宋" w:eastAsia="仿宋" w:cs="仿宋"/>
          <w:color w:val="auto"/>
          <w:sz w:val="24"/>
          <w:highlight w:val="none"/>
          <w:lang w:val="en-US" w:eastAsia="zh-CN"/>
        </w:rPr>
        <w:t>代理</w:t>
      </w:r>
      <w:r>
        <w:rPr>
          <w:rFonts w:hint="eastAsia" w:ascii="仿宋" w:hAnsi="仿宋" w:eastAsia="仿宋" w:cs="仿宋"/>
          <w:color w:val="auto"/>
          <w:sz w:val="24"/>
          <w:highlight w:val="none"/>
        </w:rPr>
        <w:t>机构向中标供应商签发中标通知书。在采购代理机构发出中标通知书前，中标供应商如有违反有关法律法规和本项目要求行为的，则取消该投标人的中标资格</w:t>
      </w:r>
      <w:r>
        <w:rPr>
          <w:rFonts w:hint="eastAsia" w:ascii="仿宋" w:hAnsi="仿宋" w:eastAsia="仿宋" w:cs="仿宋"/>
          <w:color w:val="auto"/>
          <w:sz w:val="24"/>
          <w:highlight w:val="none"/>
          <w:lang w:val="zh-CN"/>
        </w:rPr>
        <w:t>。</w:t>
      </w:r>
    </w:p>
    <w:p w14:paraId="0F9BFCA0">
      <w:pPr>
        <w:keepNext w:val="0"/>
        <w:keepLines w:val="0"/>
        <w:pageBreakBefore w:val="0"/>
        <w:kinsoku/>
        <w:wordWrap/>
        <w:overflowPunct/>
        <w:topLinePunct w:val="0"/>
        <w:bidi w:val="0"/>
        <w:snapToGrid w:val="0"/>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3.3采购代理机构对中标结果不作任何说明和解释，也不回答任何提问。</w:t>
      </w:r>
    </w:p>
    <w:p w14:paraId="2F77A443">
      <w:pPr>
        <w:keepNext w:val="0"/>
        <w:keepLines w:val="0"/>
        <w:pageBreakBefore w:val="0"/>
        <w:kinsoku/>
        <w:wordWrap/>
        <w:overflowPunct/>
        <w:topLinePunct w:val="0"/>
        <w:bidi w:val="0"/>
        <w:spacing w:line="440" w:lineRule="exact"/>
        <w:jc w:val="left"/>
        <w:textAlignment w:val="auto"/>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rPr>
        <w:t>4</w:t>
      </w:r>
      <w:r>
        <w:rPr>
          <w:rFonts w:hint="eastAsia" w:ascii="仿宋" w:hAnsi="仿宋" w:eastAsia="仿宋" w:cs="仿宋"/>
          <w:b/>
          <w:color w:val="auto"/>
          <w:sz w:val="24"/>
          <w:highlight w:val="none"/>
          <w:lang w:val="en-US" w:eastAsia="zh-CN"/>
        </w:rPr>
        <w:t>.</w:t>
      </w:r>
      <w:r>
        <w:rPr>
          <w:rFonts w:hint="eastAsia" w:ascii="仿宋" w:hAnsi="仿宋" w:eastAsia="仿宋" w:cs="仿宋"/>
          <w:b/>
          <w:color w:val="auto"/>
          <w:sz w:val="24"/>
          <w:highlight w:val="none"/>
        </w:rPr>
        <w:t>履约保证金</w:t>
      </w:r>
      <w:r>
        <w:rPr>
          <w:rFonts w:hint="eastAsia" w:ascii="仿宋" w:hAnsi="仿宋" w:eastAsia="仿宋" w:cs="仿宋"/>
          <w:b/>
          <w:color w:val="auto"/>
          <w:sz w:val="24"/>
          <w:highlight w:val="none"/>
          <w:lang w:eastAsia="zh-CN"/>
        </w:rPr>
        <w:t>（</w:t>
      </w:r>
      <w:r>
        <w:rPr>
          <w:rFonts w:hint="eastAsia" w:ascii="仿宋" w:hAnsi="仿宋" w:eastAsia="仿宋" w:cs="仿宋"/>
          <w:b/>
          <w:color w:val="auto"/>
          <w:sz w:val="24"/>
          <w:highlight w:val="none"/>
          <w:lang w:val="en-US" w:eastAsia="zh-CN"/>
        </w:rPr>
        <w:t>若有</w:t>
      </w:r>
      <w:r>
        <w:rPr>
          <w:rFonts w:hint="eastAsia" w:ascii="仿宋" w:hAnsi="仿宋" w:eastAsia="仿宋" w:cs="仿宋"/>
          <w:b/>
          <w:color w:val="auto"/>
          <w:sz w:val="24"/>
          <w:highlight w:val="none"/>
          <w:lang w:eastAsia="zh-CN"/>
        </w:rPr>
        <w:t>）</w:t>
      </w:r>
    </w:p>
    <w:p w14:paraId="0A6F760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4.1中标单位按照招标文件规定递交履约保证金。</w:t>
      </w:r>
    </w:p>
    <w:p w14:paraId="5B53B48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4.2签订合同后，如中标单位不按双方合同约定履约，则没收其全部履约保证金，履约保证金不足以赔偿损失的，按实际损失赔偿。</w:t>
      </w:r>
    </w:p>
    <w:p w14:paraId="36FAAD0B">
      <w:pPr>
        <w:keepNext w:val="0"/>
        <w:keepLines w:val="0"/>
        <w:pageBreakBefore w:val="0"/>
        <w:kinsoku/>
        <w:wordWrap/>
        <w:overflowPunct/>
        <w:topLinePunct w:val="0"/>
        <w:bidi w:val="0"/>
        <w:snapToGrid w:val="0"/>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4.3中标单位如未按时交纳履约保证金，采购人有权撤销其中标资格，报请批准后另行采购。</w:t>
      </w:r>
    </w:p>
    <w:p w14:paraId="5FDA0577">
      <w:pPr>
        <w:keepNext w:val="0"/>
        <w:keepLines w:val="0"/>
        <w:pageBreakBefore w:val="0"/>
        <w:kinsoku/>
        <w:wordWrap/>
        <w:overflowPunct/>
        <w:topLinePunct w:val="0"/>
        <w:bidi w:val="0"/>
        <w:spacing w:line="440" w:lineRule="exact"/>
        <w:jc w:val="left"/>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5</w:t>
      </w:r>
      <w:r>
        <w:rPr>
          <w:rFonts w:hint="eastAsia" w:ascii="仿宋" w:hAnsi="仿宋" w:eastAsia="仿宋" w:cs="仿宋"/>
          <w:b/>
          <w:color w:val="auto"/>
          <w:sz w:val="24"/>
          <w:highlight w:val="none"/>
          <w:lang w:val="en-US" w:eastAsia="zh-CN"/>
        </w:rPr>
        <w:t>.</w:t>
      </w:r>
      <w:r>
        <w:rPr>
          <w:rFonts w:hint="eastAsia" w:ascii="仿宋" w:hAnsi="仿宋" w:eastAsia="仿宋" w:cs="仿宋"/>
          <w:b/>
          <w:color w:val="auto"/>
          <w:sz w:val="24"/>
          <w:highlight w:val="none"/>
        </w:rPr>
        <w:t>合同签订及备案</w:t>
      </w:r>
    </w:p>
    <w:p w14:paraId="34ADE476">
      <w:pPr>
        <w:keepNext w:val="0"/>
        <w:keepLines w:val="0"/>
        <w:pageBreakBefore w:val="0"/>
        <w:kinsoku/>
        <w:wordWrap/>
        <w:overflowPunct/>
        <w:topLinePunct w:val="0"/>
        <w:bidi w:val="0"/>
        <w:snapToGrid w:val="0"/>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5.1</w:t>
      </w:r>
      <w:r>
        <w:rPr>
          <w:rFonts w:hint="eastAsia" w:ascii="仿宋" w:hAnsi="仿宋" w:eastAsia="仿宋" w:cs="仿宋"/>
          <w:color w:val="auto"/>
          <w:sz w:val="24"/>
          <w:highlight w:val="none"/>
          <w:lang w:val="en-US" w:eastAsia="zh-CN"/>
        </w:rPr>
        <w:t>中标人应当在中标通知书发出之日起30天内</w:t>
      </w:r>
      <w:r>
        <w:rPr>
          <w:rFonts w:hint="eastAsia" w:ascii="仿宋" w:hAnsi="仿宋" w:eastAsia="仿宋" w:cs="仿宋"/>
          <w:color w:val="auto"/>
          <w:sz w:val="24"/>
          <w:szCs w:val="24"/>
          <w:highlight w:val="none"/>
        </w:rPr>
        <w:t>（投诉处理等原因导致签订合同延误的除外）</w:t>
      </w:r>
      <w:r>
        <w:rPr>
          <w:rFonts w:hint="eastAsia" w:ascii="仿宋" w:hAnsi="仿宋" w:eastAsia="仿宋" w:cs="仿宋"/>
          <w:color w:val="auto"/>
          <w:sz w:val="24"/>
          <w:highlight w:val="none"/>
          <w:lang w:val="en-US" w:eastAsia="zh-CN"/>
        </w:rPr>
        <w:t>与采购人签订合同</w:t>
      </w:r>
      <w:r>
        <w:rPr>
          <w:rFonts w:hint="eastAsia" w:ascii="仿宋" w:hAnsi="仿宋" w:eastAsia="仿宋" w:cs="仿宋"/>
          <w:color w:val="auto"/>
          <w:sz w:val="24"/>
          <w:highlight w:val="none"/>
        </w:rPr>
        <w:t>，自采购合同签订之日起</w:t>
      </w:r>
      <w:r>
        <w:rPr>
          <w:rFonts w:hint="eastAsia" w:ascii="仿宋" w:hAnsi="仿宋" w:eastAsia="仿宋" w:cs="仿宋"/>
          <w:b w:val="0"/>
          <w:bCs w:val="0"/>
          <w:color w:val="auto"/>
          <w:sz w:val="24"/>
          <w:highlight w:val="none"/>
        </w:rPr>
        <w:t>3个工作日内</w:t>
      </w:r>
      <w:r>
        <w:rPr>
          <w:rFonts w:hint="eastAsia" w:ascii="仿宋" w:hAnsi="仿宋" w:eastAsia="仿宋" w:cs="仿宋"/>
          <w:color w:val="auto"/>
          <w:sz w:val="24"/>
          <w:highlight w:val="none"/>
        </w:rPr>
        <w:t>，通过电子交易平台进行备案。</w:t>
      </w:r>
    </w:p>
    <w:p w14:paraId="6B7393C7">
      <w:pPr>
        <w:keepNext w:val="0"/>
        <w:keepLines w:val="0"/>
        <w:pageBreakBefore w:val="0"/>
        <w:kinsoku/>
        <w:wordWrap/>
        <w:overflowPunct/>
        <w:topLinePunct w:val="0"/>
        <w:bidi w:val="0"/>
        <w:snapToGrid w:val="0"/>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5.2如中标人为联合体的，由联合体成员各方法定代表人或其授权代表与采购人代表签订合同。</w:t>
      </w:r>
    </w:p>
    <w:p w14:paraId="284BFD3B">
      <w:pPr>
        <w:keepNext w:val="0"/>
        <w:keepLines w:val="0"/>
        <w:pageBreakBefore w:val="0"/>
        <w:kinsoku/>
        <w:wordWrap/>
        <w:overflowPunct/>
        <w:topLinePunct w:val="0"/>
        <w:bidi w:val="0"/>
        <w:spacing w:line="440" w:lineRule="exact"/>
        <w:jc w:val="left"/>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6.验收</w:t>
      </w:r>
    </w:p>
    <w:p w14:paraId="477542D3">
      <w:pPr>
        <w:keepNext w:val="0"/>
        <w:keepLines w:val="0"/>
        <w:pageBreakBefore w:val="0"/>
        <w:kinsoku/>
        <w:wordWrap/>
        <w:overflowPunct/>
        <w:topLinePunct w:val="0"/>
        <w:bidi w:val="0"/>
        <w:snapToGrid w:val="0"/>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6.1采购人组织对供应商履约的验收。大型或者复杂的采购项目，应当邀请国家认可的质量检测机构参加验收工作。验收方成员应当在验收书上签字，并承担相应的法律责任。如果发现与合同中要求不符，供应商须承担由此发生的一切损失和费用，并承担相应的法律责任。</w:t>
      </w:r>
    </w:p>
    <w:p w14:paraId="26109F89">
      <w:pPr>
        <w:keepNext w:val="0"/>
        <w:keepLines w:val="0"/>
        <w:pageBreakBefore w:val="0"/>
        <w:kinsoku/>
        <w:wordWrap/>
        <w:overflowPunct/>
        <w:topLinePunct w:val="0"/>
        <w:bidi w:val="0"/>
        <w:snapToGrid w:val="0"/>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6.2采购人可以邀请参加本项目的其他投标人或者第三方机构参与验收。参与验收的投标人或者第三方机构的意见作为验收书的参考资料一并存档。</w:t>
      </w:r>
    </w:p>
    <w:p w14:paraId="63D0A0B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验收费用由供应商负责。</w:t>
      </w:r>
    </w:p>
    <w:p w14:paraId="14BF401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采购法律法规规定的违法违规情形的，采购人应当及时报告采购监管机构。</w:t>
      </w:r>
    </w:p>
    <w:p w14:paraId="5816D601">
      <w:pPr>
        <w:keepNext w:val="0"/>
        <w:keepLines w:val="0"/>
        <w:pageBreakBefore w:val="0"/>
        <w:kinsoku/>
        <w:wordWrap/>
        <w:overflowPunct/>
        <w:topLinePunct w:val="0"/>
        <w:bidi w:val="0"/>
        <w:snapToGrid w:val="0"/>
        <w:spacing w:line="440" w:lineRule="exact"/>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lang w:val="en-US" w:eastAsia="zh-CN"/>
        </w:rPr>
        <w:t>6.5采购人负责加强对中标人的履约管理，并按照采购合同约定，及时向中标人支付采购资金。对于中标人违反采购合同约定的行为，采购人应当及时处理，依法追究其违约责任。</w:t>
      </w:r>
    </w:p>
    <w:p w14:paraId="144775D8">
      <w:pPr>
        <w:keepNext w:val="0"/>
        <w:keepLines w:val="0"/>
        <w:pageBreakBefore w:val="0"/>
        <w:kinsoku/>
        <w:wordWrap/>
        <w:overflowPunct/>
        <w:topLinePunct w:val="0"/>
        <w:bidi w:val="0"/>
        <w:adjustRightInd/>
        <w:spacing w:line="440" w:lineRule="exact"/>
        <w:jc w:val="center"/>
        <w:textAlignment w:val="auto"/>
        <w:outlineLvl w:val="0"/>
        <w:rPr>
          <w:rFonts w:hint="eastAsia" w:ascii="仿宋" w:hAnsi="仿宋" w:eastAsia="仿宋" w:cs="仿宋"/>
          <w:b/>
          <w:color w:val="auto"/>
          <w:sz w:val="32"/>
          <w:szCs w:val="32"/>
          <w:highlight w:val="none"/>
        </w:rPr>
      </w:pPr>
    </w:p>
    <w:p w14:paraId="1B6251ED">
      <w:pPr>
        <w:keepNext w:val="0"/>
        <w:keepLines w:val="0"/>
        <w:pageBreakBefore w:val="0"/>
        <w:kinsoku/>
        <w:wordWrap/>
        <w:overflowPunct/>
        <w:topLinePunct w:val="0"/>
        <w:bidi w:val="0"/>
        <w:adjustRightInd/>
        <w:spacing w:line="440" w:lineRule="exact"/>
        <w:jc w:val="center"/>
        <w:textAlignment w:val="auto"/>
        <w:outlineLvl w:val="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六、</w:t>
      </w:r>
      <w:r>
        <w:rPr>
          <w:rFonts w:hint="eastAsia" w:ascii="仿宋" w:hAnsi="仿宋" w:eastAsia="仿宋" w:cs="仿宋"/>
          <w:b/>
          <w:bCs/>
          <w:color w:val="auto"/>
          <w:sz w:val="32"/>
          <w:szCs w:val="20"/>
          <w:highlight w:val="none"/>
        </w:rPr>
        <w:t>询问、质疑与投诉</w:t>
      </w:r>
    </w:p>
    <w:p w14:paraId="375E4332">
      <w:pPr>
        <w:keepNext w:val="0"/>
        <w:keepLines w:val="0"/>
        <w:pageBreakBefore w:val="0"/>
        <w:kinsoku/>
        <w:wordWrap/>
        <w:overflowPunct/>
        <w:topLinePunct w:val="0"/>
        <w:bidi w:val="0"/>
        <w:spacing w:line="440" w:lineRule="exact"/>
        <w:textAlignment w:val="auto"/>
        <w:rPr>
          <w:rFonts w:hint="eastAsia" w:ascii="仿宋" w:hAnsi="仿宋" w:eastAsia="仿宋" w:cs="仿宋"/>
          <w:b/>
          <w:color w:val="auto"/>
          <w:sz w:val="32"/>
          <w:szCs w:val="32"/>
          <w:highlight w:val="none"/>
        </w:rPr>
      </w:pPr>
      <w:r>
        <w:rPr>
          <w:rFonts w:hint="eastAsia" w:ascii="仿宋" w:hAnsi="仿宋" w:eastAsia="仿宋" w:cs="仿宋"/>
          <w:b/>
          <w:bCs/>
          <w:color w:val="auto"/>
          <w:sz w:val="24"/>
          <w:szCs w:val="20"/>
          <w:highlight w:val="none"/>
        </w:rPr>
        <w:t>1.在线询问、质疑、投诉</w:t>
      </w:r>
    </w:p>
    <w:p w14:paraId="07EDC5BA">
      <w:pPr>
        <w:keepNext w:val="0"/>
        <w:keepLines w:val="0"/>
        <w:pageBreakBefore w:val="0"/>
        <w:kinsoku/>
        <w:wordWrap/>
        <w:overflowPunct/>
        <w:topLinePunct w:val="0"/>
        <w:bidi w:val="0"/>
        <w:spacing w:line="440" w:lineRule="exact"/>
        <w:ind w:firstLine="480" w:firstLineChars="200"/>
        <w:textAlignment w:val="auto"/>
        <w:rPr>
          <w:rFonts w:hint="eastAsia" w:ascii="仿宋" w:hAnsi="仿宋" w:eastAsia="仿宋" w:cs="仿宋"/>
          <w:b/>
          <w:color w:val="auto"/>
          <w:sz w:val="32"/>
          <w:szCs w:val="32"/>
          <w:highlight w:val="none"/>
        </w:rPr>
      </w:pPr>
      <w:r>
        <w:rPr>
          <w:rFonts w:hint="eastAsia" w:ascii="仿宋" w:hAnsi="仿宋" w:eastAsia="仿宋" w:cs="仿宋"/>
          <w:color w:val="auto"/>
          <w:sz w:val="24"/>
          <w:szCs w:val="20"/>
          <w:highlight w:val="none"/>
        </w:rPr>
        <w:t>关于“健全行政裁决机制”要求，鼓励供应商在线提起询问，路径为：乐采云-项目采购</w:t>
      </w:r>
      <w:r>
        <w:rPr>
          <w:rFonts w:hint="eastAsia" w:ascii="仿宋" w:hAnsi="仿宋" w:eastAsia="仿宋" w:cs="仿宋"/>
          <w:color w:val="auto"/>
          <w:sz w:val="24"/>
          <w:szCs w:val="20"/>
          <w:highlight w:val="none"/>
          <w:lang w:eastAsia="zh-CN"/>
        </w:rPr>
        <w:t>－</w:t>
      </w:r>
      <w:r>
        <w:rPr>
          <w:rFonts w:hint="eastAsia" w:ascii="仿宋" w:hAnsi="仿宋" w:eastAsia="仿宋" w:cs="仿宋"/>
          <w:color w:val="auto"/>
          <w:sz w:val="24"/>
          <w:szCs w:val="20"/>
          <w:highlight w:val="none"/>
        </w:rPr>
        <w:t>询问质疑投诉</w:t>
      </w:r>
      <w:r>
        <w:rPr>
          <w:rFonts w:hint="eastAsia" w:ascii="仿宋" w:hAnsi="仿宋" w:eastAsia="仿宋" w:cs="仿宋"/>
          <w:color w:val="auto"/>
          <w:sz w:val="24"/>
          <w:szCs w:val="20"/>
          <w:highlight w:val="none"/>
          <w:lang w:eastAsia="zh-CN"/>
        </w:rPr>
        <w:t>－</w:t>
      </w:r>
      <w:r>
        <w:rPr>
          <w:rFonts w:hint="eastAsia" w:ascii="仿宋" w:hAnsi="仿宋" w:eastAsia="仿宋" w:cs="仿宋"/>
          <w:color w:val="auto"/>
          <w:sz w:val="24"/>
          <w:szCs w:val="20"/>
          <w:highlight w:val="none"/>
        </w:rPr>
        <w:t>询问列表；鼓励供应商在线提起质疑，路径为：乐采云-项目采购</w:t>
      </w:r>
      <w:r>
        <w:rPr>
          <w:rFonts w:hint="eastAsia" w:ascii="仿宋" w:hAnsi="仿宋" w:eastAsia="仿宋" w:cs="仿宋"/>
          <w:color w:val="auto"/>
          <w:sz w:val="24"/>
          <w:szCs w:val="20"/>
          <w:highlight w:val="none"/>
          <w:lang w:eastAsia="zh-CN"/>
        </w:rPr>
        <w:t>－</w:t>
      </w:r>
      <w:r>
        <w:rPr>
          <w:rFonts w:hint="eastAsia" w:ascii="仿宋" w:hAnsi="仿宋" w:eastAsia="仿宋" w:cs="仿宋"/>
          <w:color w:val="auto"/>
          <w:sz w:val="24"/>
          <w:szCs w:val="20"/>
          <w:highlight w:val="none"/>
        </w:rPr>
        <w:t>询问质疑投诉</w:t>
      </w:r>
      <w:r>
        <w:rPr>
          <w:rFonts w:hint="eastAsia" w:ascii="仿宋" w:hAnsi="仿宋" w:eastAsia="仿宋" w:cs="仿宋"/>
          <w:color w:val="auto"/>
          <w:sz w:val="24"/>
          <w:szCs w:val="20"/>
          <w:highlight w:val="none"/>
          <w:lang w:eastAsia="zh-CN"/>
        </w:rPr>
        <w:t>－</w:t>
      </w:r>
      <w:r>
        <w:rPr>
          <w:rFonts w:hint="eastAsia" w:ascii="仿宋" w:hAnsi="仿宋" w:eastAsia="仿宋" w:cs="仿宋"/>
          <w:color w:val="auto"/>
          <w:sz w:val="24"/>
          <w:szCs w:val="20"/>
          <w:highlight w:val="none"/>
        </w:rPr>
        <w:t>质疑列表。质疑供应商对在线质疑答复不满意的，可在线提起投诉，路径为：浙江政府服务网</w:t>
      </w:r>
      <w:r>
        <w:rPr>
          <w:rFonts w:hint="eastAsia" w:ascii="仿宋" w:hAnsi="仿宋" w:eastAsia="仿宋" w:cs="仿宋"/>
          <w:color w:val="auto"/>
          <w:sz w:val="24"/>
          <w:szCs w:val="20"/>
          <w:highlight w:val="none"/>
          <w:lang w:eastAsia="zh-CN"/>
        </w:rPr>
        <w:t>－</w:t>
      </w:r>
      <w:r>
        <w:rPr>
          <w:rFonts w:hint="eastAsia" w:ascii="仿宋" w:hAnsi="仿宋" w:eastAsia="仿宋" w:cs="仿宋"/>
          <w:color w:val="auto"/>
          <w:sz w:val="24"/>
          <w:szCs w:val="20"/>
          <w:highlight w:val="none"/>
        </w:rPr>
        <w:t>政府采购投诉处理</w:t>
      </w:r>
      <w:r>
        <w:rPr>
          <w:rFonts w:hint="eastAsia" w:ascii="仿宋" w:hAnsi="仿宋" w:eastAsia="仿宋" w:cs="仿宋"/>
          <w:color w:val="auto"/>
          <w:sz w:val="24"/>
          <w:szCs w:val="20"/>
          <w:highlight w:val="none"/>
          <w:lang w:eastAsia="zh-CN"/>
        </w:rPr>
        <w:t>－</w:t>
      </w:r>
      <w:r>
        <w:rPr>
          <w:rFonts w:hint="eastAsia" w:ascii="仿宋" w:hAnsi="仿宋" w:eastAsia="仿宋" w:cs="仿宋"/>
          <w:color w:val="auto"/>
          <w:sz w:val="24"/>
          <w:szCs w:val="20"/>
          <w:highlight w:val="none"/>
        </w:rPr>
        <w:t>在线办理。</w:t>
      </w:r>
    </w:p>
    <w:p w14:paraId="2CFB2A69">
      <w:pPr>
        <w:keepNext w:val="0"/>
        <w:keepLines w:val="0"/>
        <w:pageBreakBefore w:val="0"/>
        <w:kinsoku/>
        <w:wordWrap/>
        <w:overflowPunct/>
        <w:topLinePunct w:val="0"/>
        <w:bidi w:val="0"/>
        <w:spacing w:line="440" w:lineRule="exact"/>
        <w:textAlignment w:val="auto"/>
        <w:rPr>
          <w:rFonts w:hint="eastAsia" w:ascii="仿宋" w:hAnsi="仿宋" w:eastAsia="仿宋" w:cs="仿宋"/>
          <w:b/>
          <w:color w:val="auto"/>
          <w:sz w:val="32"/>
          <w:szCs w:val="32"/>
          <w:highlight w:val="none"/>
        </w:rPr>
      </w:pPr>
      <w:r>
        <w:rPr>
          <w:rFonts w:hint="eastAsia" w:ascii="仿宋" w:hAnsi="仿宋" w:eastAsia="仿宋" w:cs="仿宋"/>
          <w:b/>
          <w:bCs/>
          <w:color w:val="auto"/>
          <w:sz w:val="24"/>
          <w:highlight w:val="none"/>
        </w:rPr>
        <w:t>2. 供应商询问</w:t>
      </w:r>
    </w:p>
    <w:p w14:paraId="6649FB78">
      <w:pPr>
        <w:keepNext w:val="0"/>
        <w:keepLines w:val="0"/>
        <w:pageBreakBefore w:val="0"/>
        <w:kinsoku/>
        <w:wordWrap/>
        <w:overflowPunct/>
        <w:topLinePunct w:val="0"/>
        <w:autoSpaceDE w:val="0"/>
        <w:autoSpaceDN w:val="0"/>
        <w:bidi w:val="0"/>
        <w:spacing w:line="440" w:lineRule="exact"/>
        <w:ind w:firstLine="480" w:firstLineChars="200"/>
        <w:jc w:val="left"/>
        <w:textAlignment w:val="auto"/>
        <w:rPr>
          <w:rFonts w:hint="eastAsia" w:ascii="仿宋" w:hAnsi="仿宋" w:eastAsia="仿宋" w:cs="仿宋"/>
          <w:b/>
          <w:color w:val="auto"/>
          <w:sz w:val="32"/>
          <w:szCs w:val="32"/>
          <w:highlight w:val="none"/>
        </w:rPr>
      </w:pPr>
      <w:r>
        <w:rPr>
          <w:rFonts w:hint="eastAsia" w:ascii="仿宋" w:hAnsi="仿宋" w:eastAsia="仿宋" w:cs="仿宋"/>
          <w:color w:val="auto"/>
          <w:kern w:val="0"/>
          <w:sz w:val="24"/>
          <w:highlight w:val="none"/>
          <w:lang w:val="zh-CN"/>
        </w:rPr>
        <w:t>供应商对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1BD4506E">
      <w:pPr>
        <w:keepNext w:val="0"/>
        <w:keepLines w:val="0"/>
        <w:pageBreakBefore w:val="0"/>
        <w:kinsoku/>
        <w:wordWrap/>
        <w:overflowPunct/>
        <w:topLinePunct w:val="0"/>
        <w:bidi w:val="0"/>
        <w:spacing w:line="440" w:lineRule="exact"/>
        <w:textAlignment w:val="auto"/>
        <w:rPr>
          <w:rFonts w:hint="eastAsia" w:ascii="仿宋" w:hAnsi="仿宋" w:eastAsia="仿宋" w:cs="仿宋"/>
          <w:b/>
          <w:color w:val="auto"/>
          <w:sz w:val="32"/>
          <w:szCs w:val="32"/>
          <w:highlight w:val="none"/>
        </w:rPr>
      </w:pPr>
      <w:r>
        <w:rPr>
          <w:rFonts w:hint="eastAsia" w:ascii="仿宋" w:hAnsi="仿宋" w:eastAsia="仿宋" w:cs="仿宋"/>
          <w:b/>
          <w:bCs/>
          <w:color w:val="auto"/>
          <w:sz w:val="24"/>
          <w:highlight w:val="none"/>
        </w:rPr>
        <w:t>3.供应商质疑</w:t>
      </w:r>
    </w:p>
    <w:p w14:paraId="20CC76BF">
      <w:pPr>
        <w:keepNext w:val="0"/>
        <w:keepLines w:val="0"/>
        <w:pageBreakBefore w:val="0"/>
        <w:kinsoku/>
        <w:wordWrap/>
        <w:overflowPunct/>
        <w:topLinePunct w:val="0"/>
        <w:bidi w:val="0"/>
        <w:spacing w:line="440" w:lineRule="exact"/>
        <w:ind w:firstLine="482" w:firstLineChars="200"/>
        <w:textAlignment w:val="auto"/>
        <w:rPr>
          <w:rFonts w:hint="eastAsia" w:ascii="仿宋" w:hAnsi="仿宋" w:eastAsia="仿宋" w:cs="仿宋"/>
          <w:b/>
          <w:color w:val="auto"/>
          <w:sz w:val="32"/>
          <w:szCs w:val="32"/>
          <w:highlight w:val="none"/>
        </w:rPr>
      </w:pPr>
      <w:r>
        <w:rPr>
          <w:rFonts w:hint="eastAsia" w:ascii="仿宋" w:hAnsi="仿宋" w:eastAsia="仿宋" w:cs="仿宋"/>
          <w:b/>
          <w:bCs/>
          <w:color w:val="auto"/>
          <w:kern w:val="0"/>
          <w:sz w:val="24"/>
          <w:szCs w:val="20"/>
          <w:highlight w:val="none"/>
          <w:lang w:val="zh-CN"/>
        </w:rPr>
        <w:t>3</w:t>
      </w:r>
      <w:r>
        <w:rPr>
          <w:rFonts w:hint="eastAsia" w:ascii="仿宋" w:hAnsi="仿宋" w:eastAsia="仿宋" w:cs="仿宋"/>
          <w:b/>
          <w:bCs/>
          <w:color w:val="auto"/>
          <w:sz w:val="24"/>
          <w:szCs w:val="20"/>
          <w:highlight w:val="none"/>
        </w:rPr>
        <w:t>.1质疑提出时效</w:t>
      </w:r>
    </w:p>
    <w:p w14:paraId="085344FF">
      <w:pPr>
        <w:keepNext w:val="0"/>
        <w:keepLines w:val="0"/>
        <w:pageBreakBefore w:val="0"/>
        <w:kinsoku/>
        <w:wordWrap/>
        <w:overflowPunct/>
        <w:topLinePunct w:val="0"/>
        <w:bidi w:val="0"/>
        <w:adjustRightInd w:val="0"/>
        <w:spacing w:line="440" w:lineRule="exact"/>
        <w:ind w:firstLine="480" w:firstLineChars="200"/>
        <w:jc w:val="both"/>
        <w:textAlignment w:val="auto"/>
        <w:rPr>
          <w:rFonts w:hint="eastAsia" w:ascii="仿宋" w:hAnsi="仿宋" w:eastAsia="仿宋" w:cs="仿宋"/>
          <w:b/>
          <w:color w:val="auto"/>
          <w:sz w:val="32"/>
          <w:szCs w:val="32"/>
          <w:highlight w:val="none"/>
        </w:rPr>
      </w:pPr>
      <w:r>
        <w:rPr>
          <w:rFonts w:hint="eastAsia" w:ascii="仿宋" w:hAnsi="仿宋" w:eastAsia="仿宋" w:cs="仿宋"/>
          <w:b w:val="0"/>
          <w:bCs w:val="0"/>
          <w:i w:val="0"/>
          <w:iCs w:val="0"/>
          <w:color w:val="auto"/>
          <w:kern w:val="2"/>
          <w:sz w:val="24"/>
          <w:szCs w:val="20"/>
          <w:highlight w:val="none"/>
          <w:vertAlign w:val="baseline"/>
          <w:lang w:val="en-US" w:eastAsia="zh-CN" w:bidi="ar-SA"/>
        </w:rPr>
        <w:t>3.1.1提出质疑的供应商应当是参与所质疑项目采购活动的供应商。潜在供应商已依法获取其可质疑的采购文件的，可以对该文件提出质疑。</w:t>
      </w:r>
    </w:p>
    <w:p w14:paraId="3FEAF918">
      <w:pPr>
        <w:keepNext w:val="0"/>
        <w:keepLines w:val="0"/>
        <w:pageBreakBefore w:val="0"/>
        <w:kinsoku/>
        <w:wordWrap/>
        <w:overflowPunct/>
        <w:topLinePunct w:val="0"/>
        <w:bidi w:val="0"/>
        <w:adjustRightInd w:val="0"/>
        <w:spacing w:line="440" w:lineRule="exact"/>
        <w:ind w:firstLine="480" w:firstLineChars="200"/>
        <w:jc w:val="both"/>
        <w:textAlignment w:val="auto"/>
        <w:rPr>
          <w:rFonts w:hint="eastAsia" w:ascii="仿宋" w:hAnsi="仿宋" w:eastAsia="仿宋" w:cs="仿宋"/>
          <w:b/>
          <w:color w:val="auto"/>
          <w:sz w:val="32"/>
          <w:szCs w:val="32"/>
          <w:highlight w:val="none"/>
        </w:rPr>
      </w:pPr>
      <w:r>
        <w:rPr>
          <w:rFonts w:hint="eastAsia" w:ascii="仿宋" w:hAnsi="仿宋" w:eastAsia="仿宋" w:cs="仿宋"/>
          <w:b w:val="0"/>
          <w:bCs w:val="0"/>
          <w:i w:val="0"/>
          <w:iCs w:val="0"/>
          <w:color w:val="auto"/>
          <w:kern w:val="0"/>
          <w:sz w:val="24"/>
          <w:szCs w:val="20"/>
          <w:highlight w:val="none"/>
          <w:vertAlign w:val="baseline"/>
          <w:lang w:val="zh-CN" w:eastAsia="zh-CN" w:bidi="ar-SA"/>
        </w:rPr>
        <w:t>3</w:t>
      </w:r>
      <w:r>
        <w:rPr>
          <w:rFonts w:hint="eastAsia" w:ascii="仿宋" w:hAnsi="仿宋" w:eastAsia="仿宋" w:cs="仿宋"/>
          <w:b w:val="0"/>
          <w:bCs w:val="0"/>
          <w:i w:val="0"/>
          <w:iCs w:val="0"/>
          <w:color w:val="auto"/>
          <w:kern w:val="2"/>
          <w:sz w:val="24"/>
          <w:szCs w:val="20"/>
          <w:highlight w:val="none"/>
          <w:vertAlign w:val="baseline"/>
          <w:lang w:val="en-US" w:eastAsia="zh-CN" w:bidi="ar-SA"/>
        </w:rPr>
        <w:t>.1.2供应商认为采购文件、采购过程和成交结果使自己的权益受到损害的，可以在知道或者应知其权益受到损害之日起七个工作日内，以书面形式向采购人或者采购代理机构一次性提出质疑，否则，采购人或者采购代理机构不予受理：</w:t>
      </w:r>
    </w:p>
    <w:p w14:paraId="2C6B48A2">
      <w:pPr>
        <w:keepNext w:val="0"/>
        <w:keepLines w:val="0"/>
        <w:pageBreakBefore w:val="0"/>
        <w:widowControl/>
        <w:kinsoku/>
        <w:wordWrap/>
        <w:overflowPunct/>
        <w:topLinePunct w:val="0"/>
        <w:bidi w:val="0"/>
        <w:adjustRightInd w:val="0"/>
        <w:snapToGrid w:val="0"/>
        <w:spacing w:line="440" w:lineRule="exact"/>
        <w:ind w:firstLine="434" w:firstLineChars="181"/>
        <w:jc w:val="both"/>
        <w:textAlignment w:val="auto"/>
        <w:rPr>
          <w:rFonts w:hint="eastAsia" w:ascii="仿宋" w:hAnsi="仿宋" w:eastAsia="仿宋" w:cs="仿宋"/>
          <w:b/>
          <w:color w:val="auto"/>
          <w:sz w:val="32"/>
          <w:szCs w:val="32"/>
          <w:highlight w:val="none"/>
        </w:rPr>
      </w:pPr>
      <w:r>
        <w:rPr>
          <w:rFonts w:hint="eastAsia" w:ascii="仿宋" w:hAnsi="仿宋" w:eastAsia="仿宋" w:cs="仿宋"/>
          <w:b w:val="0"/>
          <w:bCs w:val="0"/>
          <w:i w:val="0"/>
          <w:iCs w:val="0"/>
          <w:snapToGrid/>
          <w:color w:val="auto"/>
          <w:kern w:val="2"/>
          <w:sz w:val="24"/>
          <w:szCs w:val="20"/>
          <w:highlight w:val="none"/>
          <w:vertAlign w:val="baseline"/>
          <w:lang w:val="en-US" w:eastAsia="zh-CN" w:bidi="ar-SA"/>
        </w:rPr>
        <w:t>3.1.2.1</w:t>
      </w:r>
      <w:r>
        <w:rPr>
          <w:rFonts w:hint="eastAsia" w:ascii="仿宋" w:hAnsi="仿宋" w:eastAsia="仿宋" w:cs="仿宋"/>
          <w:color w:val="auto"/>
          <w:sz w:val="24"/>
          <w:szCs w:val="20"/>
          <w:highlight w:val="none"/>
        </w:rPr>
        <w:t>对采购文件提出质疑的，应当在获取采购文件或者采购文件公告期限届满之日起7个工作日内提出。（在采购文件公告期限内获取采购文件的，为获取采购文件之日起七个工作日；采购文件公告期限届满之后获取采购文件的，为采购文件公告期限届满之日起七个工作日。采购文件公告期限为5个工作日）。</w:t>
      </w:r>
    </w:p>
    <w:p w14:paraId="10182B67">
      <w:pPr>
        <w:keepNext w:val="0"/>
        <w:keepLines w:val="0"/>
        <w:pageBreakBefore w:val="0"/>
        <w:kinsoku/>
        <w:wordWrap/>
        <w:overflowPunct/>
        <w:topLinePunct w:val="0"/>
        <w:bidi w:val="0"/>
        <w:adjustRightInd w:val="0"/>
        <w:spacing w:line="440" w:lineRule="exact"/>
        <w:ind w:firstLine="480" w:firstLineChars="200"/>
        <w:jc w:val="both"/>
        <w:textAlignment w:val="auto"/>
        <w:rPr>
          <w:rFonts w:hint="eastAsia" w:ascii="仿宋" w:hAnsi="仿宋" w:eastAsia="仿宋" w:cs="仿宋"/>
          <w:b/>
          <w:color w:val="auto"/>
          <w:sz w:val="32"/>
          <w:szCs w:val="32"/>
          <w:highlight w:val="none"/>
        </w:rPr>
      </w:pPr>
      <w:r>
        <w:rPr>
          <w:rFonts w:hint="eastAsia" w:ascii="仿宋" w:hAnsi="仿宋" w:eastAsia="仿宋" w:cs="仿宋"/>
          <w:b w:val="0"/>
          <w:bCs w:val="0"/>
          <w:i w:val="0"/>
          <w:iCs w:val="0"/>
          <w:color w:val="auto"/>
          <w:kern w:val="2"/>
          <w:sz w:val="24"/>
          <w:szCs w:val="20"/>
          <w:highlight w:val="none"/>
          <w:vertAlign w:val="baseline"/>
          <w:lang w:val="en-US" w:eastAsia="zh-CN" w:bidi="ar-SA"/>
        </w:rPr>
        <w:t>3.1.2.2对采购过程提出质疑的，质疑期限为各采购程序环节结束之日起计算。</w:t>
      </w:r>
    </w:p>
    <w:p w14:paraId="4E849324">
      <w:pPr>
        <w:keepNext w:val="0"/>
        <w:keepLines w:val="0"/>
        <w:pageBreakBefore w:val="0"/>
        <w:kinsoku/>
        <w:wordWrap/>
        <w:overflowPunct/>
        <w:topLinePunct w:val="0"/>
        <w:bidi w:val="0"/>
        <w:adjustRightInd w:val="0"/>
        <w:spacing w:line="440" w:lineRule="exact"/>
        <w:ind w:firstLine="480" w:firstLineChars="200"/>
        <w:jc w:val="both"/>
        <w:textAlignment w:val="auto"/>
        <w:rPr>
          <w:rFonts w:hint="eastAsia" w:ascii="仿宋" w:hAnsi="仿宋" w:eastAsia="仿宋" w:cs="仿宋"/>
          <w:b/>
          <w:color w:val="auto"/>
          <w:sz w:val="32"/>
          <w:szCs w:val="32"/>
          <w:highlight w:val="none"/>
        </w:rPr>
      </w:pPr>
      <w:r>
        <w:rPr>
          <w:rFonts w:hint="eastAsia" w:ascii="仿宋" w:hAnsi="仿宋" w:eastAsia="仿宋" w:cs="仿宋"/>
          <w:b w:val="0"/>
          <w:bCs w:val="0"/>
          <w:i w:val="0"/>
          <w:iCs w:val="0"/>
          <w:color w:val="auto"/>
          <w:kern w:val="2"/>
          <w:sz w:val="24"/>
          <w:szCs w:val="20"/>
          <w:highlight w:val="none"/>
          <w:vertAlign w:val="baseline"/>
          <w:lang w:val="en-US" w:eastAsia="zh-CN" w:bidi="ar-SA"/>
        </w:rPr>
        <w:t>3.1.2.3对采购结果提出质疑的，质疑期限自采购结果公告期限届满之日起计算。</w:t>
      </w:r>
    </w:p>
    <w:p w14:paraId="60CB40F5">
      <w:pPr>
        <w:keepNext w:val="0"/>
        <w:keepLines w:val="0"/>
        <w:pageBreakBefore w:val="0"/>
        <w:kinsoku/>
        <w:wordWrap/>
        <w:overflowPunct/>
        <w:topLinePunct w:val="0"/>
        <w:bidi w:val="0"/>
        <w:spacing w:line="440" w:lineRule="exact"/>
        <w:ind w:firstLine="482" w:firstLineChars="200"/>
        <w:textAlignment w:val="auto"/>
        <w:rPr>
          <w:rFonts w:hint="eastAsia" w:ascii="仿宋" w:hAnsi="仿宋" w:eastAsia="仿宋" w:cs="仿宋"/>
          <w:b/>
          <w:color w:val="auto"/>
          <w:sz w:val="32"/>
          <w:szCs w:val="32"/>
          <w:highlight w:val="none"/>
        </w:rPr>
      </w:pPr>
      <w:r>
        <w:rPr>
          <w:rFonts w:hint="eastAsia" w:ascii="仿宋" w:hAnsi="仿宋" w:eastAsia="仿宋" w:cs="仿宋"/>
          <w:b/>
          <w:bCs/>
          <w:i w:val="0"/>
          <w:iCs w:val="0"/>
          <w:color w:val="auto"/>
          <w:kern w:val="2"/>
          <w:sz w:val="24"/>
          <w:szCs w:val="20"/>
          <w:highlight w:val="none"/>
          <w:vertAlign w:val="baseline"/>
          <w:lang w:val="en-US" w:eastAsia="zh-CN" w:bidi="ar-SA"/>
        </w:rPr>
        <w:t>3.1.2.4对同一采购程序环节的质疑，供应商须一次性提出</w:t>
      </w:r>
      <w:r>
        <w:rPr>
          <w:rFonts w:hint="eastAsia" w:ascii="仿宋" w:hAnsi="仿宋" w:eastAsia="仿宋" w:cs="仿宋"/>
          <w:b/>
          <w:color w:val="auto"/>
          <w:kern w:val="0"/>
          <w:sz w:val="24"/>
          <w:szCs w:val="24"/>
          <w:highlight w:val="none"/>
          <w:lang w:val="en-US" w:eastAsia="zh-CN" w:bidi="ar-SA"/>
        </w:rPr>
        <w:t>（即针对同一采购程序环节的质疑采购人或采购代理机构仅受理一次），逾期提出或针对同一采购程序环节多次提出的质疑将不予受理、答复</w:t>
      </w:r>
      <w:r>
        <w:rPr>
          <w:rFonts w:hint="eastAsia" w:ascii="仿宋" w:hAnsi="仿宋" w:eastAsia="仿宋" w:cs="仿宋"/>
          <w:b/>
          <w:bCs/>
          <w:i w:val="0"/>
          <w:iCs w:val="0"/>
          <w:color w:val="auto"/>
          <w:kern w:val="2"/>
          <w:sz w:val="24"/>
          <w:szCs w:val="20"/>
          <w:highlight w:val="none"/>
          <w:vertAlign w:val="baseline"/>
          <w:lang w:val="en-US" w:eastAsia="zh-CN" w:bidi="ar-SA"/>
        </w:rPr>
        <w:t>。</w:t>
      </w:r>
    </w:p>
    <w:p w14:paraId="61A653C4">
      <w:pPr>
        <w:keepNext w:val="0"/>
        <w:keepLines w:val="0"/>
        <w:pageBreakBefore w:val="0"/>
        <w:kinsoku/>
        <w:wordWrap/>
        <w:overflowPunct/>
        <w:topLinePunct w:val="0"/>
        <w:bidi w:val="0"/>
        <w:spacing w:line="440" w:lineRule="exact"/>
        <w:ind w:firstLine="482" w:firstLineChars="200"/>
        <w:textAlignment w:val="auto"/>
        <w:rPr>
          <w:rFonts w:hint="eastAsia" w:ascii="仿宋" w:hAnsi="仿宋" w:eastAsia="仿宋" w:cs="仿宋"/>
          <w:b/>
          <w:color w:val="auto"/>
          <w:sz w:val="32"/>
          <w:szCs w:val="32"/>
          <w:highlight w:val="none"/>
        </w:rPr>
      </w:pPr>
      <w:r>
        <w:rPr>
          <w:rFonts w:hint="eastAsia" w:ascii="仿宋" w:hAnsi="仿宋" w:eastAsia="仿宋" w:cs="仿宋"/>
          <w:b/>
          <w:bCs/>
          <w:color w:val="auto"/>
          <w:kern w:val="0"/>
          <w:sz w:val="24"/>
          <w:szCs w:val="20"/>
          <w:highlight w:val="none"/>
          <w:lang w:val="zh-CN"/>
        </w:rPr>
        <w:t>3.</w:t>
      </w:r>
      <w:r>
        <w:rPr>
          <w:rFonts w:hint="eastAsia" w:ascii="仿宋" w:hAnsi="仿宋" w:eastAsia="仿宋" w:cs="仿宋"/>
          <w:b/>
          <w:bCs/>
          <w:color w:val="auto"/>
          <w:kern w:val="0"/>
          <w:sz w:val="24"/>
          <w:szCs w:val="20"/>
          <w:highlight w:val="none"/>
        </w:rPr>
        <w:t>2</w:t>
      </w:r>
      <w:r>
        <w:rPr>
          <w:rFonts w:hint="eastAsia" w:ascii="仿宋" w:hAnsi="仿宋" w:eastAsia="仿宋" w:cs="仿宋"/>
          <w:b/>
          <w:bCs/>
          <w:color w:val="auto"/>
          <w:kern w:val="0"/>
          <w:sz w:val="24"/>
          <w:szCs w:val="20"/>
          <w:highlight w:val="none"/>
          <w:lang w:val="zh-CN"/>
        </w:rPr>
        <w:t>质疑函</w:t>
      </w:r>
    </w:p>
    <w:p w14:paraId="5F5181DD">
      <w:pPr>
        <w:keepNext w:val="0"/>
        <w:keepLines w:val="0"/>
        <w:pageBreakBefore w:val="0"/>
        <w:kinsoku/>
        <w:wordWrap/>
        <w:overflowPunct/>
        <w:topLinePunct w:val="0"/>
        <w:bidi w:val="0"/>
        <w:spacing w:line="440" w:lineRule="exact"/>
        <w:ind w:firstLine="480" w:firstLineChars="200"/>
        <w:textAlignment w:val="auto"/>
        <w:rPr>
          <w:rFonts w:hint="eastAsia" w:ascii="仿宋" w:hAnsi="仿宋" w:eastAsia="仿宋" w:cs="仿宋"/>
          <w:b/>
          <w:color w:val="auto"/>
          <w:sz w:val="32"/>
          <w:szCs w:val="32"/>
          <w:highlight w:val="none"/>
        </w:rPr>
      </w:pPr>
      <w:r>
        <w:rPr>
          <w:rFonts w:hint="eastAsia" w:ascii="仿宋" w:hAnsi="仿宋" w:eastAsia="仿宋" w:cs="仿宋"/>
          <w:color w:val="auto"/>
          <w:sz w:val="24"/>
          <w:szCs w:val="20"/>
          <w:highlight w:val="none"/>
        </w:rPr>
        <w:t>3.2.1供应商提出质疑应当提交质疑函和必要的证明材料。质疑函应当包括下列内容：</w:t>
      </w:r>
    </w:p>
    <w:p w14:paraId="1E69E041">
      <w:pPr>
        <w:keepNext w:val="0"/>
        <w:keepLines w:val="0"/>
        <w:pageBreakBefore w:val="0"/>
        <w:kinsoku/>
        <w:wordWrap/>
        <w:overflowPunct/>
        <w:topLinePunct w:val="0"/>
        <w:bidi w:val="0"/>
        <w:spacing w:line="440" w:lineRule="exact"/>
        <w:ind w:firstLine="480" w:firstLineChars="200"/>
        <w:textAlignment w:val="auto"/>
        <w:rPr>
          <w:rFonts w:hint="eastAsia" w:ascii="仿宋" w:hAnsi="仿宋" w:eastAsia="仿宋" w:cs="仿宋"/>
          <w:b/>
          <w:color w:val="auto"/>
          <w:sz w:val="32"/>
          <w:szCs w:val="32"/>
          <w:highlight w:val="none"/>
        </w:rPr>
      </w:pPr>
      <w:r>
        <w:rPr>
          <w:rFonts w:hint="eastAsia" w:ascii="仿宋" w:hAnsi="仿宋" w:eastAsia="仿宋" w:cs="仿宋"/>
          <w:color w:val="auto"/>
          <w:sz w:val="24"/>
          <w:highlight w:val="none"/>
        </w:rPr>
        <w:t>供应商的姓名或者名称、地址、邮编、联系人及联系电话；</w:t>
      </w:r>
    </w:p>
    <w:p w14:paraId="61261DF4">
      <w:pPr>
        <w:keepNext w:val="0"/>
        <w:keepLines w:val="0"/>
        <w:pageBreakBefore w:val="0"/>
        <w:kinsoku/>
        <w:wordWrap/>
        <w:overflowPunct/>
        <w:topLinePunct w:val="0"/>
        <w:bidi w:val="0"/>
        <w:spacing w:line="440" w:lineRule="exact"/>
        <w:ind w:firstLine="480" w:firstLineChars="200"/>
        <w:textAlignment w:val="auto"/>
        <w:rPr>
          <w:rFonts w:hint="eastAsia" w:ascii="仿宋" w:hAnsi="仿宋" w:eastAsia="仿宋" w:cs="仿宋"/>
          <w:b/>
          <w:color w:val="auto"/>
          <w:sz w:val="32"/>
          <w:szCs w:val="32"/>
          <w:highlight w:val="none"/>
        </w:rPr>
      </w:pPr>
      <w:r>
        <w:rPr>
          <w:rFonts w:hint="eastAsia" w:ascii="仿宋" w:hAnsi="仿宋" w:eastAsia="仿宋" w:cs="仿宋"/>
          <w:color w:val="auto"/>
          <w:sz w:val="24"/>
          <w:highlight w:val="none"/>
        </w:rPr>
        <w:t>质疑项目的名称、编号；</w:t>
      </w:r>
    </w:p>
    <w:p w14:paraId="2A3AB58A">
      <w:pPr>
        <w:keepNext w:val="0"/>
        <w:keepLines w:val="0"/>
        <w:pageBreakBefore w:val="0"/>
        <w:kinsoku/>
        <w:wordWrap/>
        <w:overflowPunct/>
        <w:topLinePunct w:val="0"/>
        <w:bidi w:val="0"/>
        <w:spacing w:line="440" w:lineRule="exact"/>
        <w:ind w:firstLine="480" w:firstLineChars="200"/>
        <w:textAlignment w:val="auto"/>
        <w:rPr>
          <w:rFonts w:hint="eastAsia" w:ascii="仿宋" w:hAnsi="仿宋" w:eastAsia="仿宋" w:cs="仿宋"/>
          <w:b/>
          <w:color w:val="auto"/>
          <w:sz w:val="32"/>
          <w:szCs w:val="32"/>
          <w:highlight w:val="none"/>
        </w:rPr>
      </w:pPr>
      <w:r>
        <w:rPr>
          <w:rFonts w:hint="eastAsia" w:ascii="仿宋" w:hAnsi="仿宋" w:eastAsia="仿宋" w:cs="仿宋"/>
          <w:color w:val="auto"/>
          <w:sz w:val="24"/>
          <w:highlight w:val="none"/>
        </w:rPr>
        <w:t>具体、明确的质疑事项和与质疑事项相关的请求；</w:t>
      </w:r>
    </w:p>
    <w:p w14:paraId="15DF190E">
      <w:pPr>
        <w:keepNext w:val="0"/>
        <w:keepLines w:val="0"/>
        <w:pageBreakBefore w:val="0"/>
        <w:kinsoku/>
        <w:wordWrap/>
        <w:overflowPunct/>
        <w:topLinePunct w:val="0"/>
        <w:bidi w:val="0"/>
        <w:spacing w:line="440" w:lineRule="exact"/>
        <w:ind w:firstLine="480" w:firstLineChars="200"/>
        <w:textAlignment w:val="auto"/>
        <w:rPr>
          <w:rFonts w:hint="eastAsia" w:ascii="仿宋" w:hAnsi="仿宋" w:eastAsia="仿宋" w:cs="仿宋"/>
          <w:b/>
          <w:color w:val="auto"/>
          <w:sz w:val="32"/>
          <w:szCs w:val="32"/>
          <w:highlight w:val="none"/>
        </w:rPr>
      </w:pPr>
      <w:r>
        <w:rPr>
          <w:rFonts w:hint="eastAsia" w:ascii="仿宋" w:hAnsi="仿宋" w:eastAsia="仿宋" w:cs="仿宋"/>
          <w:color w:val="auto"/>
          <w:sz w:val="24"/>
          <w:highlight w:val="none"/>
        </w:rPr>
        <w:t>事实依据；</w:t>
      </w:r>
    </w:p>
    <w:p w14:paraId="03DA7FD7">
      <w:pPr>
        <w:keepNext w:val="0"/>
        <w:keepLines w:val="0"/>
        <w:pageBreakBefore w:val="0"/>
        <w:kinsoku/>
        <w:wordWrap/>
        <w:overflowPunct/>
        <w:topLinePunct w:val="0"/>
        <w:bidi w:val="0"/>
        <w:spacing w:line="440" w:lineRule="exact"/>
        <w:ind w:firstLine="480" w:firstLineChars="200"/>
        <w:textAlignment w:val="auto"/>
        <w:rPr>
          <w:rFonts w:hint="eastAsia" w:ascii="仿宋" w:hAnsi="仿宋" w:eastAsia="仿宋" w:cs="仿宋"/>
          <w:b/>
          <w:color w:val="auto"/>
          <w:sz w:val="32"/>
          <w:szCs w:val="32"/>
          <w:highlight w:val="none"/>
        </w:rPr>
      </w:pPr>
      <w:r>
        <w:rPr>
          <w:rFonts w:hint="eastAsia" w:ascii="仿宋" w:hAnsi="仿宋" w:eastAsia="仿宋" w:cs="仿宋"/>
          <w:color w:val="auto"/>
          <w:sz w:val="24"/>
          <w:highlight w:val="none"/>
        </w:rPr>
        <w:t>必要的法律依据；</w:t>
      </w:r>
    </w:p>
    <w:p w14:paraId="50B7941B">
      <w:pPr>
        <w:keepNext w:val="0"/>
        <w:keepLines w:val="0"/>
        <w:pageBreakBefore w:val="0"/>
        <w:kinsoku/>
        <w:wordWrap/>
        <w:overflowPunct/>
        <w:topLinePunct w:val="0"/>
        <w:bidi w:val="0"/>
        <w:spacing w:line="440" w:lineRule="exact"/>
        <w:ind w:firstLine="480" w:firstLineChars="200"/>
        <w:textAlignment w:val="auto"/>
        <w:rPr>
          <w:rFonts w:hint="eastAsia" w:ascii="仿宋" w:hAnsi="仿宋" w:eastAsia="仿宋" w:cs="仿宋"/>
          <w:b/>
          <w:color w:val="auto"/>
          <w:sz w:val="32"/>
          <w:szCs w:val="32"/>
          <w:highlight w:val="none"/>
        </w:rPr>
      </w:pPr>
      <w:r>
        <w:rPr>
          <w:rFonts w:hint="eastAsia" w:ascii="仿宋" w:hAnsi="仿宋" w:eastAsia="仿宋" w:cs="仿宋"/>
          <w:color w:val="auto"/>
          <w:sz w:val="24"/>
          <w:highlight w:val="none"/>
        </w:rPr>
        <w:t>提出质疑的日期。</w:t>
      </w:r>
    </w:p>
    <w:p w14:paraId="3622A460">
      <w:pPr>
        <w:keepNext w:val="0"/>
        <w:keepLines w:val="0"/>
        <w:pageBreakBefore w:val="0"/>
        <w:kinsoku/>
        <w:wordWrap/>
        <w:overflowPunct/>
        <w:topLinePunct w:val="0"/>
        <w:bidi w:val="0"/>
        <w:spacing w:line="440" w:lineRule="exact"/>
        <w:ind w:firstLine="480" w:firstLineChars="200"/>
        <w:textAlignment w:val="auto"/>
        <w:rPr>
          <w:rFonts w:hint="eastAsia" w:ascii="仿宋" w:hAnsi="仿宋" w:eastAsia="仿宋" w:cs="仿宋"/>
          <w:b/>
          <w:color w:val="auto"/>
          <w:sz w:val="32"/>
          <w:szCs w:val="32"/>
          <w:highlight w:val="none"/>
        </w:rPr>
      </w:pPr>
      <w:r>
        <w:rPr>
          <w:rFonts w:hint="eastAsia" w:ascii="仿宋" w:hAnsi="仿宋" w:eastAsia="仿宋" w:cs="仿宋"/>
          <w:color w:val="auto"/>
          <w:sz w:val="24"/>
          <w:szCs w:val="20"/>
          <w:highlight w:val="none"/>
        </w:rPr>
        <w:t>供应商提交的质疑函需一式三份。供应商为自然人的，应当由本人签字；供应商为法人或者其他组织的，应当由法定代表人、主要负责人，或者其授权代表签字或者盖章，并加盖公章。</w:t>
      </w:r>
      <w:r>
        <w:rPr>
          <w:rFonts w:hint="eastAsia" w:ascii="仿宋" w:hAnsi="仿宋" w:eastAsia="仿宋" w:cs="仿宋"/>
          <w:b w:val="0"/>
          <w:bCs w:val="0"/>
          <w:i w:val="0"/>
          <w:iCs w:val="0"/>
          <w:color w:val="auto"/>
          <w:kern w:val="2"/>
          <w:sz w:val="24"/>
          <w:szCs w:val="20"/>
          <w:highlight w:val="none"/>
          <w:vertAlign w:val="baseline"/>
          <w:lang w:val="en-US" w:eastAsia="zh-CN" w:bidi="ar-SA"/>
        </w:rPr>
        <w:t>质疑书应明确阐述采购文件、招标过程和中标结果中使自己合法权益受到损害的实质性内容，投标人提出的质疑应当有明确的诉求（即通过质疑所要达到的具体目标）和必要的证明材料（即通过合法手段获得的能够证明投标人的诉求成立的必要材料，如相关事实、依据和证据及其来源或线索），便于有关单位调查、答复和处理。</w:t>
      </w:r>
      <w:r>
        <w:rPr>
          <w:rFonts w:hint="eastAsia" w:ascii="仿宋" w:hAnsi="仿宋" w:eastAsia="仿宋" w:cs="仿宋"/>
          <w:b/>
          <w:bCs/>
          <w:i w:val="0"/>
          <w:iCs w:val="0"/>
          <w:color w:val="auto"/>
          <w:kern w:val="2"/>
          <w:sz w:val="24"/>
          <w:szCs w:val="20"/>
          <w:highlight w:val="none"/>
          <w:vertAlign w:val="baseline"/>
          <w:lang w:val="en-US" w:eastAsia="zh-CN" w:bidi="ar-SA"/>
        </w:rPr>
        <w:t>质疑函不符合相关规定的，应在规定期限内补齐的，招标方自收到补齐材料之日起受理；逾期未补齐的，按自动撤回质疑处理。</w:t>
      </w:r>
    </w:p>
    <w:p w14:paraId="48049FFB">
      <w:pPr>
        <w:keepNext w:val="0"/>
        <w:keepLines w:val="0"/>
        <w:pageBreakBefore w:val="0"/>
        <w:kinsoku/>
        <w:wordWrap/>
        <w:overflowPunct/>
        <w:topLinePunct w:val="0"/>
        <w:bidi w:val="0"/>
        <w:spacing w:line="440" w:lineRule="exact"/>
        <w:ind w:firstLine="480" w:firstLineChars="200"/>
        <w:textAlignment w:val="auto"/>
        <w:rPr>
          <w:rFonts w:hint="eastAsia" w:ascii="仿宋" w:hAnsi="仿宋" w:eastAsia="仿宋" w:cs="仿宋"/>
          <w:b/>
          <w:color w:val="auto"/>
          <w:sz w:val="32"/>
          <w:szCs w:val="32"/>
          <w:highlight w:val="none"/>
        </w:rPr>
      </w:pPr>
      <w:r>
        <w:rPr>
          <w:rFonts w:hint="eastAsia" w:ascii="仿宋" w:hAnsi="仿宋" w:eastAsia="仿宋" w:cs="仿宋"/>
          <w:b w:val="0"/>
          <w:bCs w:val="0"/>
          <w:color w:val="auto"/>
          <w:sz w:val="24"/>
          <w:szCs w:val="20"/>
          <w:highlight w:val="none"/>
        </w:rPr>
        <w:t>质疑函范本及制作说明详见附件1。</w:t>
      </w:r>
    </w:p>
    <w:p w14:paraId="1E574F78">
      <w:pPr>
        <w:keepNext w:val="0"/>
        <w:keepLines w:val="0"/>
        <w:pageBreakBefore w:val="0"/>
        <w:kinsoku/>
        <w:wordWrap/>
        <w:overflowPunct/>
        <w:topLinePunct w:val="0"/>
        <w:bidi w:val="0"/>
        <w:spacing w:line="440" w:lineRule="exact"/>
        <w:textAlignment w:val="auto"/>
        <w:rPr>
          <w:rFonts w:hint="eastAsia" w:ascii="仿宋" w:hAnsi="仿宋" w:eastAsia="仿宋" w:cs="仿宋"/>
          <w:b/>
          <w:color w:val="auto"/>
          <w:sz w:val="32"/>
          <w:szCs w:val="32"/>
          <w:highlight w:val="none"/>
        </w:rPr>
      </w:pPr>
      <w:r>
        <w:rPr>
          <w:rFonts w:hint="eastAsia" w:ascii="仿宋" w:hAnsi="仿宋" w:eastAsia="仿宋" w:cs="仿宋"/>
          <w:b/>
          <w:bCs/>
          <w:color w:val="auto"/>
          <w:sz w:val="24"/>
          <w:highlight w:val="none"/>
        </w:rPr>
        <w:t>4.供应商投诉</w:t>
      </w:r>
    </w:p>
    <w:p w14:paraId="709AF561">
      <w:pPr>
        <w:keepNext w:val="0"/>
        <w:keepLines w:val="0"/>
        <w:pageBreakBefore w:val="0"/>
        <w:kinsoku/>
        <w:wordWrap/>
        <w:overflowPunct/>
        <w:topLinePunct w:val="0"/>
        <w:bidi w:val="0"/>
        <w:spacing w:line="440" w:lineRule="exact"/>
        <w:ind w:firstLine="480" w:firstLineChars="200"/>
        <w:textAlignment w:val="auto"/>
        <w:rPr>
          <w:rFonts w:hint="eastAsia" w:ascii="仿宋" w:hAnsi="仿宋" w:eastAsia="仿宋" w:cs="仿宋"/>
          <w:b/>
          <w:color w:val="auto"/>
          <w:sz w:val="32"/>
          <w:szCs w:val="32"/>
          <w:highlight w:val="none"/>
        </w:rPr>
      </w:pPr>
      <w:r>
        <w:rPr>
          <w:rFonts w:hint="eastAsia" w:ascii="仿宋" w:hAnsi="仿宋" w:eastAsia="仿宋" w:cs="仿宋"/>
          <w:color w:val="auto"/>
          <w:sz w:val="24"/>
          <w:szCs w:val="20"/>
          <w:highlight w:val="none"/>
        </w:rPr>
        <w:t>4.1质疑供应商对采购人或采购代理机构的答复不满意或者采购人、采购代理机构未在规定的时间内作出答复的，可以在答复期满后十五个工作日内向采购监督管理</w:t>
      </w:r>
      <w:r>
        <w:rPr>
          <w:rFonts w:hint="eastAsia" w:ascii="仿宋" w:hAnsi="仿宋" w:eastAsia="仿宋" w:cs="仿宋"/>
          <w:color w:val="auto"/>
          <w:sz w:val="24"/>
          <w:szCs w:val="20"/>
          <w:highlight w:val="none"/>
          <w:lang w:val="en-US" w:eastAsia="zh-CN"/>
        </w:rPr>
        <w:t>机构</w:t>
      </w:r>
      <w:r>
        <w:rPr>
          <w:rFonts w:hint="eastAsia" w:ascii="仿宋" w:hAnsi="仿宋" w:eastAsia="仿宋" w:cs="仿宋"/>
          <w:color w:val="auto"/>
          <w:sz w:val="24"/>
          <w:szCs w:val="20"/>
          <w:highlight w:val="none"/>
        </w:rPr>
        <w:t>提出投诉。</w:t>
      </w:r>
    </w:p>
    <w:p w14:paraId="7193A59A">
      <w:pPr>
        <w:keepNext w:val="0"/>
        <w:keepLines w:val="0"/>
        <w:pageBreakBefore w:val="0"/>
        <w:kinsoku/>
        <w:wordWrap/>
        <w:overflowPunct/>
        <w:topLinePunct w:val="0"/>
        <w:bidi w:val="0"/>
        <w:spacing w:line="440" w:lineRule="exact"/>
        <w:ind w:firstLine="480" w:firstLineChars="200"/>
        <w:textAlignment w:val="auto"/>
        <w:rPr>
          <w:rFonts w:hint="eastAsia" w:ascii="仿宋" w:hAnsi="仿宋" w:eastAsia="仿宋" w:cs="仿宋"/>
          <w:b/>
          <w:color w:val="auto"/>
          <w:sz w:val="32"/>
          <w:szCs w:val="32"/>
          <w:highlight w:val="none"/>
        </w:rPr>
      </w:pPr>
      <w:r>
        <w:rPr>
          <w:rFonts w:hint="eastAsia" w:ascii="仿宋" w:hAnsi="仿宋" w:eastAsia="仿宋" w:cs="仿宋"/>
          <w:color w:val="auto"/>
          <w:sz w:val="24"/>
          <w:szCs w:val="20"/>
          <w:highlight w:val="none"/>
        </w:rPr>
        <w:t>4.2供应商投诉的事项不得超出已质疑事项的范围，基于质疑答复内容提出的投诉事项除外。</w:t>
      </w:r>
    </w:p>
    <w:p w14:paraId="494510BC">
      <w:pPr>
        <w:keepNext w:val="0"/>
        <w:keepLines w:val="0"/>
        <w:pageBreakBefore w:val="0"/>
        <w:kinsoku/>
        <w:wordWrap/>
        <w:overflowPunct/>
        <w:topLinePunct w:val="0"/>
        <w:bidi w:val="0"/>
        <w:spacing w:line="440" w:lineRule="exact"/>
        <w:ind w:firstLine="480" w:firstLineChars="200"/>
        <w:textAlignment w:val="auto"/>
        <w:rPr>
          <w:rFonts w:hint="eastAsia" w:ascii="仿宋" w:hAnsi="仿宋" w:eastAsia="仿宋" w:cs="仿宋"/>
          <w:b/>
          <w:color w:val="auto"/>
          <w:sz w:val="32"/>
          <w:szCs w:val="32"/>
          <w:highlight w:val="none"/>
        </w:rPr>
      </w:pPr>
      <w:r>
        <w:rPr>
          <w:rFonts w:hint="eastAsia" w:ascii="仿宋" w:hAnsi="仿宋" w:eastAsia="仿宋" w:cs="仿宋"/>
          <w:color w:val="auto"/>
          <w:sz w:val="24"/>
          <w:szCs w:val="20"/>
          <w:highlight w:val="none"/>
        </w:rPr>
        <w:t>4.3供应商投诉应当有明确的请求和必要的证明材料。</w:t>
      </w:r>
    </w:p>
    <w:p w14:paraId="29A0F5BD">
      <w:pPr>
        <w:keepNext w:val="0"/>
        <w:keepLines w:val="0"/>
        <w:pageBreakBefore w:val="0"/>
        <w:kinsoku/>
        <w:wordWrap/>
        <w:overflowPunct/>
        <w:topLinePunct w:val="0"/>
        <w:bidi w:val="0"/>
        <w:spacing w:line="440" w:lineRule="exact"/>
        <w:ind w:firstLine="480" w:firstLineChars="200"/>
        <w:textAlignment w:val="auto"/>
        <w:rPr>
          <w:rFonts w:hint="eastAsia" w:ascii="仿宋" w:hAnsi="仿宋" w:eastAsia="仿宋" w:cs="仿宋"/>
          <w:b/>
          <w:color w:val="auto"/>
          <w:sz w:val="32"/>
          <w:szCs w:val="32"/>
          <w:highlight w:val="none"/>
        </w:rPr>
      </w:pPr>
      <w:r>
        <w:rPr>
          <w:rFonts w:hint="eastAsia" w:ascii="仿宋" w:hAnsi="仿宋" w:eastAsia="仿宋" w:cs="仿宋"/>
          <w:color w:val="auto"/>
          <w:sz w:val="24"/>
          <w:szCs w:val="20"/>
          <w:highlight w:val="none"/>
        </w:rPr>
        <w:t>4.4以联合体形式参加采购活动的，其投诉应当由组成联合体的所有供应商共同提出。</w:t>
      </w:r>
    </w:p>
    <w:p w14:paraId="44EE6E1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outlineLvl w:val="0"/>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24"/>
          <w:szCs w:val="20"/>
          <w:highlight w:val="none"/>
        </w:rPr>
        <w:t>投诉书范本及制作说明详见附件2。</w:t>
      </w:r>
    </w:p>
    <w:p w14:paraId="08EDD7B0">
      <w:pPr>
        <w:pStyle w:val="3"/>
        <w:keepNext w:val="0"/>
        <w:keepLines w:val="0"/>
        <w:pageBreakBefore w:val="0"/>
        <w:kinsoku/>
        <w:wordWrap/>
        <w:overflowPunct/>
        <w:topLinePunct w:val="0"/>
        <w:bidi w:val="0"/>
        <w:spacing w:line="440" w:lineRule="exact"/>
        <w:ind w:firstLine="480" w:firstLineChars="200"/>
        <w:textAlignment w:val="auto"/>
        <w:rPr>
          <w:rFonts w:hint="eastAsia" w:ascii="仿宋" w:hAnsi="仿宋" w:eastAsia="仿宋" w:cs="仿宋"/>
          <w:color w:val="auto"/>
          <w:kern w:val="0"/>
          <w:highlight w:val="none"/>
        </w:rPr>
        <w:sectPr>
          <w:footerReference r:id="rId13" w:type="first"/>
          <w:headerReference r:id="rId11" w:type="default"/>
          <w:footerReference r:id="rId12" w:type="default"/>
          <w:pgSz w:w="11906" w:h="16838"/>
          <w:pgMar w:top="1814" w:right="1474" w:bottom="1644" w:left="1474" w:header="851" w:footer="992" w:gutter="0"/>
          <w:pgNumType w:fmt="decimal" w:start="1"/>
          <w:cols w:space="720" w:num="1"/>
          <w:docGrid w:linePitch="312" w:charSpace="0"/>
        </w:sectPr>
      </w:pPr>
    </w:p>
    <w:bookmarkEnd w:id="1"/>
    <w:bookmarkEnd w:id="2"/>
    <w:p w14:paraId="16E1BA0E">
      <w:pPr>
        <w:spacing w:line="360" w:lineRule="auto"/>
        <w:jc w:val="center"/>
        <w:outlineLvl w:val="0"/>
        <w:rPr>
          <w:rFonts w:hint="eastAsia" w:ascii="仿宋" w:hAnsi="仿宋" w:eastAsia="仿宋" w:cs="仿宋"/>
          <w:b/>
          <w:bCs/>
          <w:color w:val="auto"/>
          <w:sz w:val="24"/>
          <w:highlight w:val="none"/>
        </w:rPr>
      </w:pPr>
      <w:bookmarkStart w:id="28" w:name="_Toc86217003"/>
      <w:bookmarkStart w:id="29" w:name="第五部分"/>
      <w:r>
        <w:rPr>
          <w:rFonts w:hint="eastAsia" w:ascii="仿宋" w:hAnsi="仿宋" w:eastAsia="仿宋" w:cs="仿宋"/>
          <w:b/>
          <w:color w:val="auto"/>
          <w:sz w:val="36"/>
          <w:szCs w:val="36"/>
          <w:highlight w:val="none"/>
        </w:rPr>
        <w:t>第三部分</w:t>
      </w:r>
      <w:r>
        <w:rPr>
          <w:rFonts w:hint="eastAsia" w:ascii="仿宋" w:hAnsi="仿宋" w:eastAsia="仿宋" w:cs="仿宋"/>
          <w:b/>
          <w:color w:val="auto"/>
          <w:sz w:val="36"/>
          <w:szCs w:val="36"/>
          <w:highlight w:val="none"/>
          <w:lang w:val="en-US" w:eastAsia="zh-CN"/>
        </w:rPr>
        <w:t xml:space="preserve">  </w:t>
      </w:r>
      <w:r>
        <w:rPr>
          <w:rFonts w:hint="eastAsia" w:ascii="仿宋" w:hAnsi="仿宋" w:eastAsia="仿宋" w:cs="仿宋"/>
          <w:b/>
          <w:color w:val="auto"/>
          <w:sz w:val="36"/>
          <w:szCs w:val="36"/>
          <w:highlight w:val="none"/>
        </w:rPr>
        <w:t>招标项目范围及要求</w:t>
      </w:r>
    </w:p>
    <w:p w14:paraId="0902E525">
      <w:pPr>
        <w:keepNext w:val="0"/>
        <w:keepLines w:val="0"/>
        <w:pageBreakBefore w:val="0"/>
        <w:widowControl w:val="0"/>
        <w:kinsoku/>
        <w:wordWrap/>
        <w:overflowPunct/>
        <w:topLinePunct w:val="0"/>
        <w:autoSpaceDE/>
        <w:autoSpaceDN/>
        <w:bidi w:val="0"/>
        <w:adjustRightInd/>
        <w:snapToGrid/>
        <w:spacing w:line="440" w:lineRule="exact"/>
        <w:ind w:left="0" w:leftChars="0" w:firstLine="482" w:firstLineChars="200"/>
        <w:jc w:val="both"/>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szCs w:val="24"/>
          <w:highlight w:val="none"/>
          <w:lang w:val="en-US" w:eastAsia="zh-CN"/>
        </w:rPr>
        <w:t>一、项目概况</w:t>
      </w:r>
    </w:p>
    <w:p w14:paraId="201EB447">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嵊州市城市智能运维管理服务平台改造提升项目是对原嵊州市城市</w:t>
      </w:r>
      <w:r>
        <w:rPr>
          <w:rFonts w:hint="eastAsia" w:ascii="仿宋" w:hAnsi="仿宋" w:eastAsia="仿宋" w:cs="仿宋"/>
          <w:b w:val="0"/>
          <w:bCs w:val="0"/>
          <w:color w:val="auto"/>
          <w:sz w:val="24"/>
          <w:highlight w:val="none"/>
          <w:lang w:val="en-US" w:eastAsia="zh-CN"/>
        </w:rPr>
        <w:t>智能运维管理服务平台</w:t>
      </w:r>
      <w:r>
        <w:rPr>
          <w:rFonts w:hint="eastAsia" w:ascii="仿宋" w:hAnsi="仿宋" w:eastAsia="仿宋" w:cs="仿宋"/>
          <w:b w:val="0"/>
          <w:bCs w:val="0"/>
          <w:color w:val="auto"/>
          <w:sz w:val="24"/>
          <w:highlight w:val="none"/>
        </w:rPr>
        <w:t>进行信创改造及应用升级，为</w:t>
      </w:r>
      <w:r>
        <w:rPr>
          <w:rFonts w:hint="eastAsia" w:ascii="仿宋" w:hAnsi="仿宋" w:eastAsia="仿宋" w:cs="仿宋"/>
          <w:b w:val="0"/>
          <w:bCs w:val="0"/>
          <w:color w:val="auto"/>
          <w:sz w:val="24"/>
          <w:highlight w:val="none"/>
          <w:lang w:val="en-US" w:eastAsia="zh-CN"/>
        </w:rPr>
        <w:t>城乡环境监管</w:t>
      </w:r>
      <w:r>
        <w:rPr>
          <w:rFonts w:hint="eastAsia" w:ascii="仿宋" w:hAnsi="仿宋" w:eastAsia="仿宋" w:cs="仿宋"/>
          <w:b w:val="0"/>
          <w:bCs w:val="0"/>
          <w:color w:val="auto"/>
          <w:sz w:val="24"/>
          <w:highlight w:val="none"/>
        </w:rPr>
        <w:t>和网格化管理工作提供的数字化平台，全面提升跨层级、跨地域、跨系统、跨部门、跨业务的协同管理和服务水平。</w:t>
      </w:r>
    </w:p>
    <w:p w14:paraId="08BDA630">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firstLine="482" w:firstLineChars="200"/>
        <w:textAlignment w:val="auto"/>
        <w:rPr>
          <w:rFonts w:hint="eastAsia" w:ascii="仿宋" w:hAnsi="仿宋" w:eastAsia="仿宋" w:cs="仿宋"/>
          <w:b/>
          <w:bCs/>
          <w:color w:val="auto"/>
          <w:sz w:val="24"/>
          <w:highlight w:val="none"/>
          <w:lang w:eastAsia="zh-CN"/>
        </w:rPr>
      </w:pPr>
      <w:r>
        <w:rPr>
          <w:rFonts w:hint="eastAsia" w:ascii="仿宋" w:hAnsi="仿宋" w:eastAsia="仿宋" w:cs="仿宋"/>
          <w:b/>
          <w:bCs/>
          <w:color w:val="auto"/>
          <w:kern w:val="2"/>
          <w:sz w:val="24"/>
          <w:szCs w:val="24"/>
          <w:highlight w:val="none"/>
          <w:lang w:val="en-US" w:eastAsia="zh-CN" w:bidi="ar-SA"/>
        </w:rPr>
        <w:t>二、</w:t>
      </w:r>
      <w:r>
        <w:rPr>
          <w:rFonts w:hint="eastAsia" w:ascii="仿宋" w:hAnsi="仿宋" w:eastAsia="仿宋" w:cs="仿宋"/>
          <w:b/>
          <w:bCs/>
          <w:color w:val="auto"/>
          <w:sz w:val="24"/>
          <w:highlight w:val="none"/>
          <w:lang w:eastAsia="zh-CN"/>
        </w:rPr>
        <w:t>工作要求</w:t>
      </w:r>
    </w:p>
    <w:tbl>
      <w:tblPr>
        <w:tblStyle w:val="65"/>
        <w:tblW w:w="13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34"/>
        <w:gridCol w:w="3101"/>
        <w:gridCol w:w="924"/>
        <w:gridCol w:w="3216"/>
        <w:gridCol w:w="3216"/>
        <w:gridCol w:w="438"/>
        <w:gridCol w:w="454"/>
        <w:gridCol w:w="1936"/>
      </w:tblGrid>
      <w:tr w14:paraId="58135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434" w:type="dxa"/>
            <w:shd w:val="clear" w:color="auto" w:fill="auto"/>
            <w:vAlign w:val="center"/>
          </w:tcPr>
          <w:p w14:paraId="40974A1E">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序号</w:t>
            </w:r>
          </w:p>
        </w:tc>
        <w:tc>
          <w:tcPr>
            <w:tcW w:w="3101" w:type="dxa"/>
            <w:shd w:val="clear" w:color="auto" w:fill="auto"/>
            <w:vAlign w:val="center"/>
          </w:tcPr>
          <w:p w14:paraId="01FE72CF">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名称</w:t>
            </w:r>
          </w:p>
        </w:tc>
        <w:tc>
          <w:tcPr>
            <w:tcW w:w="924" w:type="dxa"/>
            <w:shd w:val="clear" w:color="auto" w:fill="auto"/>
            <w:vAlign w:val="center"/>
          </w:tcPr>
          <w:p w14:paraId="0538AD36">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内容</w:t>
            </w:r>
          </w:p>
        </w:tc>
        <w:tc>
          <w:tcPr>
            <w:tcW w:w="3216" w:type="dxa"/>
            <w:shd w:val="clear" w:color="auto" w:fill="auto"/>
            <w:vAlign w:val="center"/>
          </w:tcPr>
          <w:p w14:paraId="422997DE">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功能描述</w:t>
            </w:r>
          </w:p>
        </w:tc>
        <w:tc>
          <w:tcPr>
            <w:tcW w:w="3216" w:type="dxa"/>
            <w:shd w:val="clear" w:color="auto" w:fill="auto"/>
            <w:vAlign w:val="center"/>
          </w:tcPr>
          <w:p w14:paraId="1EE9AAF1">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适配说明</w:t>
            </w:r>
          </w:p>
        </w:tc>
        <w:tc>
          <w:tcPr>
            <w:tcW w:w="438" w:type="dxa"/>
            <w:shd w:val="clear" w:color="auto" w:fill="auto"/>
            <w:vAlign w:val="center"/>
          </w:tcPr>
          <w:p w14:paraId="1EA74222">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单位</w:t>
            </w:r>
          </w:p>
        </w:tc>
        <w:tc>
          <w:tcPr>
            <w:tcW w:w="454" w:type="dxa"/>
            <w:shd w:val="clear" w:color="auto" w:fill="auto"/>
            <w:vAlign w:val="center"/>
          </w:tcPr>
          <w:p w14:paraId="203F2B6D">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数量</w:t>
            </w:r>
          </w:p>
        </w:tc>
        <w:tc>
          <w:tcPr>
            <w:tcW w:w="1936" w:type="dxa"/>
            <w:shd w:val="clear" w:color="auto" w:fill="auto"/>
            <w:vAlign w:val="center"/>
          </w:tcPr>
          <w:p w14:paraId="5E6F14DB">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备注</w:t>
            </w:r>
          </w:p>
        </w:tc>
      </w:tr>
      <w:tr w14:paraId="2285A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3216" w:type="dxa"/>
            <w:gridSpan w:val="7"/>
            <w:shd w:val="clear" w:color="auto" w:fill="auto"/>
            <w:vAlign w:val="center"/>
          </w:tcPr>
          <w:p w14:paraId="7E5917A7">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一、软件平台部分</w:t>
            </w:r>
          </w:p>
        </w:tc>
        <w:tc>
          <w:tcPr>
            <w:tcW w:w="1936" w:type="dxa"/>
            <w:shd w:val="clear" w:color="auto" w:fill="auto"/>
            <w:vAlign w:val="center"/>
          </w:tcPr>
          <w:p w14:paraId="1126EF42">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r>
      <w:tr w14:paraId="018AC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4" w:type="dxa"/>
            <w:vMerge w:val="restart"/>
            <w:shd w:val="clear" w:color="auto" w:fill="auto"/>
            <w:vAlign w:val="center"/>
          </w:tcPr>
          <w:p w14:paraId="6E2D6F1D">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3101" w:type="dxa"/>
            <w:vMerge w:val="restart"/>
            <w:shd w:val="clear" w:color="auto" w:fill="auto"/>
            <w:vAlign w:val="center"/>
          </w:tcPr>
          <w:p w14:paraId="22C875AD">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智慧城管系统适配改造</w:t>
            </w:r>
          </w:p>
        </w:tc>
        <w:tc>
          <w:tcPr>
            <w:tcW w:w="924" w:type="dxa"/>
            <w:shd w:val="clear" w:color="auto" w:fill="auto"/>
            <w:vAlign w:val="center"/>
          </w:tcPr>
          <w:p w14:paraId="6F3FD8A2">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美丽办城乡环境</w:t>
            </w:r>
          </w:p>
        </w:tc>
        <w:tc>
          <w:tcPr>
            <w:tcW w:w="3216" w:type="dxa"/>
            <w:shd w:val="clear" w:color="auto" w:fill="auto"/>
            <w:vAlign w:val="center"/>
          </w:tcPr>
          <w:p w14:paraId="25B825DB">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平台以“智慧城管+城乡环境监管”的扁平化全域美丽指挥模式，服务保障城乡市容环境整治高效开展，根据“美丽办”实际工作情况，对“智管通”、智慧城管系统进行升级，通过智慧化改造升级，提升系统处置能力，整合提升“智管通”业务，升级派单架构、重塑处置流程，丰富案件类型，新增快速处置，一键上报、统一分派、抄送反馈、督办清单等功能</w:t>
            </w:r>
          </w:p>
        </w:tc>
        <w:tc>
          <w:tcPr>
            <w:tcW w:w="3216" w:type="dxa"/>
            <w:shd w:val="clear" w:color="auto" w:fill="auto"/>
            <w:vAlign w:val="center"/>
          </w:tcPr>
          <w:p w14:paraId="5FC5FD35">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系统信创改造包括用户界面展示、高度适配、字体适配、适配查询功能、渲染引擎兼容性问题、页面加载渲染速度慢、地图页面加载速度慢、透明度的兼容CSS设置、js引擎、浏览器引擎和数据存储等问题修复。</w:t>
            </w:r>
          </w:p>
        </w:tc>
        <w:tc>
          <w:tcPr>
            <w:tcW w:w="438" w:type="dxa"/>
            <w:shd w:val="clear" w:color="auto" w:fill="auto"/>
            <w:vAlign w:val="center"/>
          </w:tcPr>
          <w:p w14:paraId="05BEC31E">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项</w:t>
            </w:r>
          </w:p>
        </w:tc>
        <w:tc>
          <w:tcPr>
            <w:tcW w:w="454" w:type="dxa"/>
            <w:shd w:val="clear" w:color="auto" w:fill="auto"/>
            <w:vAlign w:val="center"/>
          </w:tcPr>
          <w:p w14:paraId="4897482B">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936" w:type="dxa"/>
            <w:shd w:val="clear" w:color="auto" w:fill="auto"/>
            <w:vAlign w:val="center"/>
          </w:tcPr>
          <w:p w14:paraId="0907A753">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升级并适配</w:t>
            </w:r>
          </w:p>
        </w:tc>
      </w:tr>
      <w:tr w14:paraId="7BF31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4" w:type="dxa"/>
            <w:vMerge w:val="continue"/>
            <w:shd w:val="clear" w:color="auto" w:fill="auto"/>
            <w:vAlign w:val="center"/>
          </w:tcPr>
          <w:p w14:paraId="5AA53175">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3101" w:type="dxa"/>
            <w:vMerge w:val="continue"/>
            <w:shd w:val="clear" w:color="auto" w:fill="auto"/>
            <w:vAlign w:val="center"/>
          </w:tcPr>
          <w:p w14:paraId="7590B3F3">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924" w:type="dxa"/>
            <w:vMerge w:val="restart"/>
            <w:shd w:val="clear" w:color="auto" w:fill="auto"/>
            <w:vAlign w:val="center"/>
          </w:tcPr>
          <w:p w14:paraId="69F3AD98">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指挥调度（一期内容）</w:t>
            </w:r>
          </w:p>
        </w:tc>
        <w:tc>
          <w:tcPr>
            <w:tcW w:w="3216" w:type="dxa"/>
            <w:shd w:val="clear" w:color="auto" w:fill="auto"/>
            <w:vAlign w:val="center"/>
          </w:tcPr>
          <w:p w14:paraId="4CB934EB">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系统整合</w:t>
            </w:r>
          </w:p>
        </w:tc>
        <w:tc>
          <w:tcPr>
            <w:tcW w:w="3216" w:type="dxa"/>
            <w:shd w:val="clear" w:color="auto" w:fill="auto"/>
            <w:vAlign w:val="center"/>
          </w:tcPr>
          <w:p w14:paraId="48253475">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系统整合，数据迁移，实现一期指挥调度内容整体整合至嵊州市城市智能运维管理服务平台，实现系统整合，业务流程统一，数据统一，保障整合后系统功能完善，运行稳定，数据无缝迁移。</w:t>
            </w:r>
          </w:p>
        </w:tc>
        <w:tc>
          <w:tcPr>
            <w:tcW w:w="438" w:type="dxa"/>
            <w:shd w:val="clear" w:color="auto" w:fill="auto"/>
            <w:vAlign w:val="center"/>
          </w:tcPr>
          <w:p w14:paraId="3540553A">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项</w:t>
            </w:r>
          </w:p>
        </w:tc>
        <w:tc>
          <w:tcPr>
            <w:tcW w:w="454" w:type="dxa"/>
            <w:shd w:val="clear" w:color="auto" w:fill="auto"/>
            <w:vAlign w:val="center"/>
          </w:tcPr>
          <w:p w14:paraId="061BB537">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936" w:type="dxa"/>
            <w:shd w:val="clear" w:color="auto" w:fill="auto"/>
            <w:vAlign w:val="center"/>
          </w:tcPr>
          <w:p w14:paraId="0C8A1AF3">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升级并适配</w:t>
            </w:r>
          </w:p>
        </w:tc>
      </w:tr>
      <w:tr w14:paraId="527BD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34" w:type="dxa"/>
            <w:vMerge w:val="continue"/>
            <w:shd w:val="clear" w:color="auto" w:fill="auto"/>
            <w:vAlign w:val="center"/>
          </w:tcPr>
          <w:p w14:paraId="40B10DAA">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3101" w:type="dxa"/>
            <w:vMerge w:val="continue"/>
            <w:shd w:val="clear" w:color="auto" w:fill="auto"/>
            <w:vAlign w:val="center"/>
          </w:tcPr>
          <w:p w14:paraId="43B20469">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924" w:type="dxa"/>
            <w:vMerge w:val="continue"/>
            <w:shd w:val="clear" w:color="auto" w:fill="auto"/>
            <w:vAlign w:val="center"/>
          </w:tcPr>
          <w:p w14:paraId="7568DC48">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left"/>
              <w:rPr>
                <w:rFonts w:hint="eastAsia" w:ascii="仿宋" w:hAnsi="仿宋" w:eastAsia="仿宋" w:cs="仿宋"/>
                <w:i w:val="0"/>
                <w:iCs w:val="0"/>
                <w:color w:val="auto"/>
                <w:sz w:val="21"/>
                <w:szCs w:val="21"/>
                <w:highlight w:val="none"/>
                <w:u w:val="none"/>
              </w:rPr>
            </w:pPr>
          </w:p>
        </w:tc>
        <w:tc>
          <w:tcPr>
            <w:tcW w:w="3216" w:type="dxa"/>
            <w:vMerge w:val="restart"/>
            <w:shd w:val="clear" w:color="auto" w:fill="auto"/>
            <w:vAlign w:val="center"/>
          </w:tcPr>
          <w:p w14:paraId="5864E613">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综合监管：基于天地图实景地图，对物联监测设备、事件、部件等信息进行综合监管。</w:t>
            </w:r>
          </w:p>
        </w:tc>
        <w:tc>
          <w:tcPr>
            <w:tcW w:w="3216" w:type="dxa"/>
            <w:vMerge w:val="restart"/>
            <w:shd w:val="clear" w:color="auto" w:fill="auto"/>
            <w:vAlign w:val="center"/>
          </w:tcPr>
          <w:p w14:paraId="253A3EC3">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系统信创改造，包括用户界面展示、高度适配、字体适配、适配查询功能、渲染引擎兼容性问题、页面加载渲染速度慢、地图页面加载速度慢、透明度的兼容CSS设置、js引擎、浏览器引擎和数据存储等问题修复，视频加载不出或过慢，改造适配视频监控平台显示不正常，高度、字体显示不正常。</w:t>
            </w:r>
          </w:p>
        </w:tc>
        <w:tc>
          <w:tcPr>
            <w:tcW w:w="438" w:type="dxa"/>
            <w:vMerge w:val="restart"/>
            <w:shd w:val="clear" w:color="auto" w:fill="auto"/>
            <w:vAlign w:val="center"/>
          </w:tcPr>
          <w:p w14:paraId="72100E74">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项</w:t>
            </w:r>
          </w:p>
        </w:tc>
        <w:tc>
          <w:tcPr>
            <w:tcW w:w="454" w:type="dxa"/>
            <w:vMerge w:val="restart"/>
            <w:shd w:val="clear" w:color="auto" w:fill="auto"/>
            <w:vAlign w:val="center"/>
          </w:tcPr>
          <w:p w14:paraId="4D71623E">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936" w:type="dxa"/>
            <w:vMerge w:val="restart"/>
            <w:shd w:val="clear" w:color="auto" w:fill="auto"/>
            <w:vAlign w:val="center"/>
          </w:tcPr>
          <w:p w14:paraId="1950BBDD">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升级并适配</w:t>
            </w:r>
          </w:p>
        </w:tc>
      </w:tr>
      <w:tr w14:paraId="12E3F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34" w:type="dxa"/>
            <w:vMerge w:val="continue"/>
            <w:shd w:val="clear" w:color="auto" w:fill="auto"/>
            <w:vAlign w:val="center"/>
          </w:tcPr>
          <w:p w14:paraId="1ABE6550">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3101" w:type="dxa"/>
            <w:vMerge w:val="continue"/>
            <w:shd w:val="clear" w:color="auto" w:fill="auto"/>
            <w:vAlign w:val="center"/>
          </w:tcPr>
          <w:p w14:paraId="386419C2">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924" w:type="dxa"/>
            <w:vMerge w:val="continue"/>
            <w:shd w:val="clear" w:color="auto" w:fill="auto"/>
            <w:vAlign w:val="center"/>
          </w:tcPr>
          <w:p w14:paraId="632F34BD">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left"/>
              <w:rPr>
                <w:rFonts w:hint="eastAsia" w:ascii="仿宋" w:hAnsi="仿宋" w:eastAsia="仿宋" w:cs="仿宋"/>
                <w:i w:val="0"/>
                <w:iCs w:val="0"/>
                <w:color w:val="auto"/>
                <w:sz w:val="21"/>
                <w:szCs w:val="21"/>
                <w:highlight w:val="none"/>
                <w:u w:val="none"/>
              </w:rPr>
            </w:pPr>
          </w:p>
        </w:tc>
        <w:tc>
          <w:tcPr>
            <w:tcW w:w="3216" w:type="dxa"/>
            <w:vMerge w:val="continue"/>
            <w:shd w:val="clear" w:color="auto" w:fill="auto"/>
            <w:vAlign w:val="center"/>
          </w:tcPr>
          <w:p w14:paraId="464FB126">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left"/>
              <w:rPr>
                <w:rFonts w:hint="eastAsia" w:ascii="仿宋" w:hAnsi="仿宋" w:eastAsia="仿宋" w:cs="仿宋"/>
                <w:i w:val="0"/>
                <w:iCs w:val="0"/>
                <w:color w:val="auto"/>
                <w:sz w:val="21"/>
                <w:szCs w:val="21"/>
                <w:highlight w:val="none"/>
                <w:u w:val="none"/>
              </w:rPr>
            </w:pPr>
          </w:p>
        </w:tc>
        <w:tc>
          <w:tcPr>
            <w:tcW w:w="3216" w:type="dxa"/>
            <w:vMerge w:val="continue"/>
            <w:shd w:val="clear" w:color="auto" w:fill="auto"/>
            <w:vAlign w:val="center"/>
          </w:tcPr>
          <w:p w14:paraId="2D0684DE">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left"/>
              <w:rPr>
                <w:rFonts w:hint="eastAsia" w:ascii="仿宋" w:hAnsi="仿宋" w:eastAsia="仿宋" w:cs="仿宋"/>
                <w:i w:val="0"/>
                <w:iCs w:val="0"/>
                <w:color w:val="auto"/>
                <w:sz w:val="21"/>
                <w:szCs w:val="21"/>
                <w:highlight w:val="none"/>
                <w:u w:val="none"/>
              </w:rPr>
            </w:pPr>
          </w:p>
        </w:tc>
        <w:tc>
          <w:tcPr>
            <w:tcW w:w="438" w:type="dxa"/>
            <w:vMerge w:val="continue"/>
            <w:shd w:val="clear" w:color="auto" w:fill="auto"/>
            <w:vAlign w:val="center"/>
          </w:tcPr>
          <w:p w14:paraId="79FDF98A">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454" w:type="dxa"/>
            <w:vMerge w:val="continue"/>
            <w:shd w:val="clear" w:color="auto" w:fill="auto"/>
            <w:vAlign w:val="center"/>
          </w:tcPr>
          <w:p w14:paraId="61CA7CDA">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1936" w:type="dxa"/>
            <w:vMerge w:val="continue"/>
            <w:shd w:val="clear" w:color="auto" w:fill="auto"/>
            <w:vAlign w:val="center"/>
          </w:tcPr>
          <w:p w14:paraId="064A032F">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r>
      <w:tr w14:paraId="76063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434" w:type="dxa"/>
            <w:vMerge w:val="continue"/>
            <w:shd w:val="clear" w:color="auto" w:fill="auto"/>
            <w:vAlign w:val="center"/>
          </w:tcPr>
          <w:p w14:paraId="5C4DBEB8">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3101" w:type="dxa"/>
            <w:vMerge w:val="continue"/>
            <w:shd w:val="clear" w:color="auto" w:fill="auto"/>
            <w:vAlign w:val="center"/>
          </w:tcPr>
          <w:p w14:paraId="65D03CC0">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924" w:type="dxa"/>
            <w:vMerge w:val="continue"/>
            <w:shd w:val="clear" w:color="auto" w:fill="auto"/>
            <w:vAlign w:val="center"/>
          </w:tcPr>
          <w:p w14:paraId="217D1A7F">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left"/>
              <w:rPr>
                <w:rFonts w:hint="eastAsia" w:ascii="仿宋" w:hAnsi="仿宋" w:eastAsia="仿宋" w:cs="仿宋"/>
                <w:i w:val="0"/>
                <w:iCs w:val="0"/>
                <w:color w:val="auto"/>
                <w:sz w:val="21"/>
                <w:szCs w:val="21"/>
                <w:highlight w:val="none"/>
                <w:u w:val="none"/>
              </w:rPr>
            </w:pPr>
          </w:p>
        </w:tc>
        <w:tc>
          <w:tcPr>
            <w:tcW w:w="3216" w:type="dxa"/>
            <w:vMerge w:val="restart"/>
            <w:shd w:val="clear" w:color="auto" w:fill="auto"/>
            <w:vAlign w:val="center"/>
          </w:tcPr>
          <w:p w14:paraId="51765BF8">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综合调度处置：提供指令下达、事件处置过程追踪、各类资源动态追踪、应急处置、监控查看等功能，从而打造面向指挥人员的可实时调度和可过程追踪的可视化工作平台。</w:t>
            </w:r>
          </w:p>
        </w:tc>
        <w:tc>
          <w:tcPr>
            <w:tcW w:w="3216" w:type="dxa"/>
            <w:vMerge w:val="restart"/>
            <w:shd w:val="clear" w:color="auto" w:fill="auto"/>
            <w:vAlign w:val="center"/>
          </w:tcPr>
          <w:p w14:paraId="062A9917">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系统信创改造，包括用户界面展示、高度适配、字体适配、适配查询功能、渲染引擎兼容性问题、页面加载渲染速度慢、地图页面加载速度慢、透明度的兼容CSS设置、js引擎、浏览器引擎和数据存储等问题修复，视频加载不出或过慢，改造适配视频监控平台显示不正常，高度、字体显示不正常。协调厂商重新提供信创环境的视频解码API,并按照信的API，重新对视频进行解密播放。</w:t>
            </w:r>
          </w:p>
        </w:tc>
        <w:tc>
          <w:tcPr>
            <w:tcW w:w="438" w:type="dxa"/>
            <w:vMerge w:val="restart"/>
            <w:shd w:val="clear" w:color="auto" w:fill="auto"/>
            <w:vAlign w:val="center"/>
          </w:tcPr>
          <w:p w14:paraId="5743F08F">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项</w:t>
            </w:r>
          </w:p>
        </w:tc>
        <w:tc>
          <w:tcPr>
            <w:tcW w:w="454" w:type="dxa"/>
            <w:vMerge w:val="restart"/>
            <w:shd w:val="clear" w:color="auto" w:fill="auto"/>
            <w:vAlign w:val="center"/>
          </w:tcPr>
          <w:p w14:paraId="13C9B6C9">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936" w:type="dxa"/>
            <w:vMerge w:val="restart"/>
            <w:shd w:val="clear" w:color="auto" w:fill="auto"/>
            <w:vAlign w:val="center"/>
          </w:tcPr>
          <w:p w14:paraId="73701494">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升级并适配</w:t>
            </w:r>
          </w:p>
        </w:tc>
      </w:tr>
      <w:tr w14:paraId="268E5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434" w:type="dxa"/>
            <w:vMerge w:val="continue"/>
            <w:shd w:val="clear" w:color="auto" w:fill="auto"/>
            <w:vAlign w:val="center"/>
          </w:tcPr>
          <w:p w14:paraId="76A0DDAA">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3101" w:type="dxa"/>
            <w:vMerge w:val="continue"/>
            <w:shd w:val="clear" w:color="auto" w:fill="auto"/>
            <w:vAlign w:val="center"/>
          </w:tcPr>
          <w:p w14:paraId="732F490D">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924" w:type="dxa"/>
            <w:vMerge w:val="continue"/>
            <w:shd w:val="clear" w:color="auto" w:fill="auto"/>
            <w:vAlign w:val="center"/>
          </w:tcPr>
          <w:p w14:paraId="5B568053">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left"/>
              <w:rPr>
                <w:rFonts w:hint="eastAsia" w:ascii="仿宋" w:hAnsi="仿宋" w:eastAsia="仿宋" w:cs="仿宋"/>
                <w:i w:val="0"/>
                <w:iCs w:val="0"/>
                <w:color w:val="auto"/>
                <w:sz w:val="21"/>
                <w:szCs w:val="21"/>
                <w:highlight w:val="none"/>
                <w:u w:val="none"/>
              </w:rPr>
            </w:pPr>
          </w:p>
        </w:tc>
        <w:tc>
          <w:tcPr>
            <w:tcW w:w="3216" w:type="dxa"/>
            <w:vMerge w:val="continue"/>
            <w:shd w:val="clear" w:color="auto" w:fill="auto"/>
            <w:vAlign w:val="center"/>
          </w:tcPr>
          <w:p w14:paraId="6864E32F">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left"/>
              <w:rPr>
                <w:rFonts w:hint="eastAsia" w:ascii="仿宋" w:hAnsi="仿宋" w:eastAsia="仿宋" w:cs="仿宋"/>
                <w:i w:val="0"/>
                <w:iCs w:val="0"/>
                <w:color w:val="auto"/>
                <w:sz w:val="21"/>
                <w:szCs w:val="21"/>
                <w:highlight w:val="none"/>
                <w:u w:val="none"/>
              </w:rPr>
            </w:pPr>
          </w:p>
        </w:tc>
        <w:tc>
          <w:tcPr>
            <w:tcW w:w="3216" w:type="dxa"/>
            <w:vMerge w:val="continue"/>
            <w:shd w:val="clear" w:color="auto" w:fill="auto"/>
            <w:vAlign w:val="center"/>
          </w:tcPr>
          <w:p w14:paraId="2AE888BC">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left"/>
              <w:rPr>
                <w:rFonts w:hint="eastAsia" w:ascii="仿宋" w:hAnsi="仿宋" w:eastAsia="仿宋" w:cs="仿宋"/>
                <w:i w:val="0"/>
                <w:iCs w:val="0"/>
                <w:color w:val="auto"/>
                <w:sz w:val="21"/>
                <w:szCs w:val="21"/>
                <w:highlight w:val="none"/>
                <w:u w:val="none"/>
              </w:rPr>
            </w:pPr>
          </w:p>
        </w:tc>
        <w:tc>
          <w:tcPr>
            <w:tcW w:w="438" w:type="dxa"/>
            <w:vMerge w:val="continue"/>
            <w:shd w:val="clear" w:color="auto" w:fill="auto"/>
            <w:vAlign w:val="center"/>
          </w:tcPr>
          <w:p w14:paraId="4A6FDD89">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454" w:type="dxa"/>
            <w:vMerge w:val="continue"/>
            <w:shd w:val="clear" w:color="auto" w:fill="auto"/>
            <w:vAlign w:val="center"/>
          </w:tcPr>
          <w:p w14:paraId="52F1E629">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1936" w:type="dxa"/>
            <w:vMerge w:val="continue"/>
            <w:shd w:val="clear" w:color="auto" w:fill="auto"/>
            <w:vAlign w:val="center"/>
          </w:tcPr>
          <w:p w14:paraId="3A93854A">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left"/>
              <w:rPr>
                <w:rFonts w:hint="eastAsia" w:ascii="仿宋" w:hAnsi="仿宋" w:eastAsia="仿宋" w:cs="仿宋"/>
                <w:i w:val="0"/>
                <w:iCs w:val="0"/>
                <w:color w:val="auto"/>
                <w:sz w:val="21"/>
                <w:szCs w:val="21"/>
                <w:highlight w:val="none"/>
                <w:u w:val="none"/>
              </w:rPr>
            </w:pPr>
          </w:p>
        </w:tc>
      </w:tr>
      <w:tr w14:paraId="531DF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434" w:type="dxa"/>
            <w:vMerge w:val="continue"/>
            <w:shd w:val="clear" w:color="auto" w:fill="auto"/>
            <w:vAlign w:val="center"/>
          </w:tcPr>
          <w:p w14:paraId="5402C12F">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3101" w:type="dxa"/>
            <w:vMerge w:val="continue"/>
            <w:shd w:val="clear" w:color="auto" w:fill="auto"/>
            <w:vAlign w:val="center"/>
          </w:tcPr>
          <w:p w14:paraId="34E518CE">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924" w:type="dxa"/>
            <w:vMerge w:val="continue"/>
            <w:shd w:val="clear" w:color="auto" w:fill="auto"/>
            <w:vAlign w:val="center"/>
          </w:tcPr>
          <w:p w14:paraId="55E88C92">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left"/>
              <w:rPr>
                <w:rFonts w:hint="eastAsia" w:ascii="仿宋" w:hAnsi="仿宋" w:eastAsia="仿宋" w:cs="仿宋"/>
                <w:i w:val="0"/>
                <w:iCs w:val="0"/>
                <w:color w:val="auto"/>
                <w:sz w:val="21"/>
                <w:szCs w:val="21"/>
                <w:highlight w:val="none"/>
                <w:u w:val="none"/>
              </w:rPr>
            </w:pPr>
          </w:p>
        </w:tc>
        <w:tc>
          <w:tcPr>
            <w:tcW w:w="3216" w:type="dxa"/>
            <w:shd w:val="clear" w:color="auto" w:fill="auto"/>
            <w:vAlign w:val="center"/>
          </w:tcPr>
          <w:p w14:paraId="22F047A0">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融合通信平台：可实现对多媒体调度、融合通信、数字录音、电子传真、短信、应急通信预案、集群对讲、综合视频调度务、应急视频会商的业务资源进行统一综合管理调度。</w:t>
            </w:r>
          </w:p>
        </w:tc>
        <w:tc>
          <w:tcPr>
            <w:tcW w:w="3216" w:type="dxa"/>
            <w:shd w:val="clear" w:color="auto" w:fill="auto"/>
            <w:vAlign w:val="center"/>
          </w:tcPr>
          <w:p w14:paraId="2436CC9D">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系统信创改造，包括用户界面展示、高度适配、字体适配、适配查询功能、渲染引擎兼容性问题、</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、设备接入接口适配改造、满前端设备信创标准对接。</w:t>
            </w:r>
          </w:p>
        </w:tc>
        <w:tc>
          <w:tcPr>
            <w:tcW w:w="438" w:type="dxa"/>
            <w:shd w:val="clear" w:color="auto" w:fill="auto"/>
            <w:vAlign w:val="center"/>
          </w:tcPr>
          <w:p w14:paraId="69E228BC">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项</w:t>
            </w:r>
          </w:p>
        </w:tc>
        <w:tc>
          <w:tcPr>
            <w:tcW w:w="454" w:type="dxa"/>
            <w:shd w:val="clear" w:color="auto" w:fill="auto"/>
            <w:vAlign w:val="center"/>
          </w:tcPr>
          <w:p w14:paraId="51D89480">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936" w:type="dxa"/>
            <w:shd w:val="clear" w:color="auto" w:fill="auto"/>
            <w:vAlign w:val="center"/>
          </w:tcPr>
          <w:p w14:paraId="566F6ED9">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升级并适配</w:t>
            </w:r>
          </w:p>
        </w:tc>
      </w:tr>
      <w:tr w14:paraId="45B80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4" w:type="dxa"/>
            <w:vMerge w:val="continue"/>
            <w:shd w:val="clear" w:color="auto" w:fill="auto"/>
            <w:vAlign w:val="center"/>
          </w:tcPr>
          <w:p w14:paraId="06B37752">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3101" w:type="dxa"/>
            <w:vMerge w:val="continue"/>
            <w:shd w:val="clear" w:color="auto" w:fill="auto"/>
            <w:vAlign w:val="center"/>
          </w:tcPr>
          <w:p w14:paraId="029BBC71">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924" w:type="dxa"/>
            <w:vMerge w:val="restart"/>
            <w:shd w:val="clear" w:color="auto" w:fill="auto"/>
            <w:vAlign w:val="center"/>
          </w:tcPr>
          <w:p w14:paraId="71C53527">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指挥调度升级内容</w:t>
            </w:r>
          </w:p>
        </w:tc>
        <w:tc>
          <w:tcPr>
            <w:tcW w:w="3216" w:type="dxa"/>
            <w:shd w:val="clear" w:color="auto" w:fill="auto"/>
            <w:vAlign w:val="center"/>
          </w:tcPr>
          <w:p w14:paraId="5E4B914C">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人员轨迹数据对接</w:t>
            </w:r>
          </w:p>
        </w:tc>
        <w:tc>
          <w:tcPr>
            <w:tcW w:w="3216" w:type="dxa"/>
            <w:shd w:val="clear" w:color="auto" w:fill="auto"/>
            <w:vAlign w:val="center"/>
          </w:tcPr>
          <w:p w14:paraId="0EB25044">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设备接入接口适配改造、与执法仪、单兵设备人员轨迹数据对接开发获取历史数据</w:t>
            </w:r>
          </w:p>
        </w:tc>
        <w:tc>
          <w:tcPr>
            <w:tcW w:w="438" w:type="dxa"/>
            <w:shd w:val="clear" w:color="auto" w:fill="auto"/>
            <w:vAlign w:val="center"/>
          </w:tcPr>
          <w:p w14:paraId="0D178B59">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项</w:t>
            </w:r>
          </w:p>
        </w:tc>
        <w:tc>
          <w:tcPr>
            <w:tcW w:w="454" w:type="dxa"/>
            <w:shd w:val="clear" w:color="auto" w:fill="auto"/>
            <w:vAlign w:val="center"/>
          </w:tcPr>
          <w:p w14:paraId="03F0E922">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936" w:type="dxa"/>
            <w:shd w:val="clear" w:color="auto" w:fill="auto"/>
            <w:vAlign w:val="center"/>
          </w:tcPr>
          <w:p w14:paraId="5C8B9355">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升级并适配</w:t>
            </w:r>
          </w:p>
        </w:tc>
      </w:tr>
      <w:tr w14:paraId="685DF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4" w:type="dxa"/>
            <w:vMerge w:val="continue"/>
            <w:shd w:val="clear" w:color="auto" w:fill="auto"/>
            <w:vAlign w:val="center"/>
          </w:tcPr>
          <w:p w14:paraId="2E94D4E7">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3101" w:type="dxa"/>
            <w:vMerge w:val="continue"/>
            <w:shd w:val="clear" w:color="auto" w:fill="auto"/>
            <w:vAlign w:val="center"/>
          </w:tcPr>
          <w:p w14:paraId="3A331834">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924" w:type="dxa"/>
            <w:vMerge w:val="continue"/>
            <w:shd w:val="clear" w:color="auto" w:fill="auto"/>
            <w:vAlign w:val="center"/>
          </w:tcPr>
          <w:p w14:paraId="692FF1F9">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left"/>
              <w:rPr>
                <w:rFonts w:hint="eastAsia" w:ascii="仿宋" w:hAnsi="仿宋" w:eastAsia="仿宋" w:cs="仿宋"/>
                <w:i w:val="0"/>
                <w:iCs w:val="0"/>
                <w:color w:val="auto"/>
                <w:sz w:val="21"/>
                <w:szCs w:val="21"/>
                <w:highlight w:val="none"/>
                <w:u w:val="none"/>
              </w:rPr>
            </w:pPr>
          </w:p>
        </w:tc>
        <w:tc>
          <w:tcPr>
            <w:tcW w:w="3216" w:type="dxa"/>
            <w:shd w:val="clear" w:color="auto" w:fill="auto"/>
            <w:vAlign w:val="center"/>
          </w:tcPr>
          <w:p w14:paraId="6465D2D1">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人员轨迹数据展示</w:t>
            </w:r>
          </w:p>
        </w:tc>
        <w:tc>
          <w:tcPr>
            <w:tcW w:w="3216" w:type="dxa"/>
            <w:shd w:val="clear" w:color="auto" w:fill="auto"/>
            <w:vAlign w:val="center"/>
          </w:tcPr>
          <w:p w14:paraId="6A922104">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系统信创改造升级，在指挥调度地图上展示队员位置及查看巡逻信息。支持执法仪、单兵设备的人员轨迹追踪管理功能，查询相应人员的工作巡逻轨迹</w:t>
            </w:r>
          </w:p>
        </w:tc>
        <w:tc>
          <w:tcPr>
            <w:tcW w:w="438" w:type="dxa"/>
            <w:shd w:val="clear" w:color="auto" w:fill="auto"/>
            <w:vAlign w:val="center"/>
          </w:tcPr>
          <w:p w14:paraId="4F603359">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项</w:t>
            </w:r>
          </w:p>
        </w:tc>
        <w:tc>
          <w:tcPr>
            <w:tcW w:w="454" w:type="dxa"/>
            <w:shd w:val="clear" w:color="auto" w:fill="auto"/>
            <w:vAlign w:val="center"/>
          </w:tcPr>
          <w:p w14:paraId="144147FE">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936" w:type="dxa"/>
            <w:shd w:val="clear" w:color="auto" w:fill="auto"/>
            <w:vAlign w:val="center"/>
          </w:tcPr>
          <w:p w14:paraId="3976C65C">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升级并适配</w:t>
            </w:r>
          </w:p>
        </w:tc>
      </w:tr>
      <w:tr w14:paraId="07272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4" w:type="dxa"/>
            <w:vMerge w:val="continue"/>
            <w:shd w:val="clear" w:color="auto" w:fill="auto"/>
            <w:vAlign w:val="center"/>
          </w:tcPr>
          <w:p w14:paraId="4278924E">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3101" w:type="dxa"/>
            <w:vMerge w:val="continue"/>
            <w:shd w:val="clear" w:color="auto" w:fill="auto"/>
            <w:vAlign w:val="center"/>
          </w:tcPr>
          <w:p w14:paraId="089B0B92">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924" w:type="dxa"/>
            <w:vMerge w:val="continue"/>
            <w:shd w:val="clear" w:color="auto" w:fill="auto"/>
            <w:vAlign w:val="center"/>
          </w:tcPr>
          <w:p w14:paraId="6A8BD193">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left"/>
              <w:rPr>
                <w:rFonts w:hint="eastAsia" w:ascii="仿宋" w:hAnsi="仿宋" w:eastAsia="仿宋" w:cs="仿宋"/>
                <w:i w:val="0"/>
                <w:iCs w:val="0"/>
                <w:color w:val="auto"/>
                <w:sz w:val="21"/>
                <w:szCs w:val="21"/>
                <w:highlight w:val="none"/>
                <w:u w:val="none"/>
              </w:rPr>
            </w:pPr>
          </w:p>
        </w:tc>
        <w:tc>
          <w:tcPr>
            <w:tcW w:w="3216" w:type="dxa"/>
            <w:shd w:val="clear" w:color="auto" w:fill="auto"/>
            <w:vAlign w:val="center"/>
          </w:tcPr>
          <w:p w14:paraId="7E75C4C3">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人员网格绑定</w:t>
            </w:r>
          </w:p>
        </w:tc>
        <w:tc>
          <w:tcPr>
            <w:tcW w:w="3216" w:type="dxa"/>
            <w:shd w:val="clear" w:color="auto" w:fill="auto"/>
            <w:vAlign w:val="center"/>
          </w:tcPr>
          <w:p w14:paraId="395F0220">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系统信创改造升级，通过后台配置网格和相应的人员考核绑定信息</w:t>
            </w:r>
          </w:p>
        </w:tc>
        <w:tc>
          <w:tcPr>
            <w:tcW w:w="438" w:type="dxa"/>
            <w:shd w:val="clear" w:color="auto" w:fill="auto"/>
            <w:vAlign w:val="center"/>
          </w:tcPr>
          <w:p w14:paraId="57E36794">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项</w:t>
            </w:r>
          </w:p>
        </w:tc>
        <w:tc>
          <w:tcPr>
            <w:tcW w:w="454" w:type="dxa"/>
            <w:shd w:val="clear" w:color="auto" w:fill="auto"/>
            <w:vAlign w:val="center"/>
          </w:tcPr>
          <w:p w14:paraId="0211A2E8">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936" w:type="dxa"/>
            <w:shd w:val="clear" w:color="auto" w:fill="auto"/>
            <w:vAlign w:val="center"/>
          </w:tcPr>
          <w:p w14:paraId="28095A37">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升级并适配</w:t>
            </w:r>
          </w:p>
        </w:tc>
      </w:tr>
      <w:tr w14:paraId="709EA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434" w:type="dxa"/>
            <w:vMerge w:val="continue"/>
            <w:shd w:val="clear" w:color="auto" w:fill="auto"/>
            <w:vAlign w:val="center"/>
          </w:tcPr>
          <w:p w14:paraId="5A122E17">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3101" w:type="dxa"/>
            <w:vMerge w:val="continue"/>
            <w:shd w:val="clear" w:color="auto" w:fill="auto"/>
            <w:vAlign w:val="center"/>
          </w:tcPr>
          <w:p w14:paraId="3FA0CD1D">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924" w:type="dxa"/>
            <w:vMerge w:val="continue"/>
            <w:shd w:val="clear" w:color="auto" w:fill="auto"/>
            <w:vAlign w:val="center"/>
          </w:tcPr>
          <w:p w14:paraId="4CAD023A">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left"/>
              <w:rPr>
                <w:rFonts w:hint="eastAsia" w:ascii="仿宋" w:hAnsi="仿宋" w:eastAsia="仿宋" w:cs="仿宋"/>
                <w:i w:val="0"/>
                <w:iCs w:val="0"/>
                <w:color w:val="auto"/>
                <w:sz w:val="21"/>
                <w:szCs w:val="21"/>
                <w:highlight w:val="none"/>
                <w:u w:val="none"/>
              </w:rPr>
            </w:pPr>
          </w:p>
        </w:tc>
        <w:tc>
          <w:tcPr>
            <w:tcW w:w="3216" w:type="dxa"/>
            <w:shd w:val="clear" w:color="auto" w:fill="auto"/>
            <w:vAlign w:val="center"/>
          </w:tcPr>
          <w:p w14:paraId="78C59B8C">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未结案的案件位置及详细信息</w:t>
            </w:r>
          </w:p>
        </w:tc>
        <w:tc>
          <w:tcPr>
            <w:tcW w:w="3216" w:type="dxa"/>
            <w:shd w:val="clear" w:color="auto" w:fill="auto"/>
            <w:vAlign w:val="center"/>
          </w:tcPr>
          <w:p w14:paraId="7AD29371">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系统信创改造升级，实现在指挥调度地图上展示未结案的案件位置及详细案件相关信息。</w:t>
            </w:r>
          </w:p>
        </w:tc>
        <w:tc>
          <w:tcPr>
            <w:tcW w:w="438" w:type="dxa"/>
            <w:shd w:val="clear" w:color="auto" w:fill="auto"/>
            <w:vAlign w:val="center"/>
          </w:tcPr>
          <w:p w14:paraId="7B2A0D85">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项</w:t>
            </w:r>
          </w:p>
        </w:tc>
        <w:tc>
          <w:tcPr>
            <w:tcW w:w="454" w:type="dxa"/>
            <w:shd w:val="clear" w:color="auto" w:fill="auto"/>
            <w:vAlign w:val="center"/>
          </w:tcPr>
          <w:p w14:paraId="3E1ACC61">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936" w:type="dxa"/>
            <w:shd w:val="clear" w:color="auto" w:fill="auto"/>
            <w:vAlign w:val="center"/>
          </w:tcPr>
          <w:p w14:paraId="571AB471">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升级并适配</w:t>
            </w:r>
          </w:p>
        </w:tc>
      </w:tr>
      <w:tr w14:paraId="7CD7F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4" w:type="dxa"/>
            <w:vMerge w:val="continue"/>
            <w:shd w:val="clear" w:color="auto" w:fill="auto"/>
            <w:vAlign w:val="center"/>
          </w:tcPr>
          <w:p w14:paraId="2FDB7A44">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3101" w:type="dxa"/>
            <w:vMerge w:val="continue"/>
            <w:shd w:val="clear" w:color="auto" w:fill="auto"/>
            <w:vAlign w:val="center"/>
          </w:tcPr>
          <w:p w14:paraId="3A144E80">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924" w:type="dxa"/>
            <w:vMerge w:val="continue"/>
            <w:shd w:val="clear" w:color="auto" w:fill="auto"/>
            <w:vAlign w:val="center"/>
          </w:tcPr>
          <w:p w14:paraId="3E73EDB6">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left"/>
              <w:rPr>
                <w:rFonts w:hint="eastAsia" w:ascii="仿宋" w:hAnsi="仿宋" w:eastAsia="仿宋" w:cs="仿宋"/>
                <w:i w:val="0"/>
                <w:iCs w:val="0"/>
                <w:color w:val="auto"/>
                <w:sz w:val="21"/>
                <w:szCs w:val="21"/>
                <w:highlight w:val="none"/>
                <w:u w:val="none"/>
              </w:rPr>
            </w:pPr>
          </w:p>
        </w:tc>
        <w:tc>
          <w:tcPr>
            <w:tcW w:w="3216" w:type="dxa"/>
            <w:shd w:val="clear" w:color="auto" w:fill="auto"/>
            <w:vAlign w:val="center"/>
          </w:tcPr>
          <w:p w14:paraId="34174C69">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视频播放</w:t>
            </w:r>
          </w:p>
        </w:tc>
        <w:tc>
          <w:tcPr>
            <w:tcW w:w="3216" w:type="dxa"/>
            <w:shd w:val="clear" w:color="auto" w:fill="auto"/>
            <w:vAlign w:val="center"/>
          </w:tcPr>
          <w:p w14:paraId="5F67A853">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系统信创改造升级，实现执法仪和监控视频定位、播放</w:t>
            </w:r>
          </w:p>
        </w:tc>
        <w:tc>
          <w:tcPr>
            <w:tcW w:w="438" w:type="dxa"/>
            <w:shd w:val="clear" w:color="auto" w:fill="auto"/>
            <w:vAlign w:val="center"/>
          </w:tcPr>
          <w:p w14:paraId="1164ED78">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项</w:t>
            </w:r>
          </w:p>
        </w:tc>
        <w:tc>
          <w:tcPr>
            <w:tcW w:w="454" w:type="dxa"/>
            <w:shd w:val="clear" w:color="auto" w:fill="auto"/>
            <w:vAlign w:val="center"/>
          </w:tcPr>
          <w:p w14:paraId="1BED3365">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936" w:type="dxa"/>
            <w:shd w:val="clear" w:color="auto" w:fill="auto"/>
            <w:vAlign w:val="center"/>
          </w:tcPr>
          <w:p w14:paraId="2F9B5C2B">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升级并适配</w:t>
            </w:r>
          </w:p>
        </w:tc>
      </w:tr>
      <w:tr w14:paraId="3E40C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4" w:type="dxa"/>
            <w:vMerge w:val="continue"/>
            <w:shd w:val="clear" w:color="auto" w:fill="auto"/>
            <w:vAlign w:val="center"/>
          </w:tcPr>
          <w:p w14:paraId="73F199B9">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3101" w:type="dxa"/>
            <w:vMerge w:val="continue"/>
            <w:shd w:val="clear" w:color="auto" w:fill="auto"/>
            <w:vAlign w:val="center"/>
          </w:tcPr>
          <w:p w14:paraId="560BE2B6">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924" w:type="dxa"/>
            <w:shd w:val="clear" w:color="auto" w:fill="auto"/>
            <w:vAlign w:val="center"/>
          </w:tcPr>
          <w:p w14:paraId="4FFBFEE3">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综合评价</w:t>
            </w:r>
          </w:p>
        </w:tc>
        <w:tc>
          <w:tcPr>
            <w:tcW w:w="3216" w:type="dxa"/>
            <w:shd w:val="clear" w:color="auto" w:fill="auto"/>
            <w:vAlign w:val="center"/>
          </w:tcPr>
          <w:p w14:paraId="18316E88">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综合评价提升自动考核能力，制定指标考核标准，从量化指标考核、领导评分、实时考核指标考核等不同纬度，完善对网格员、坐席员、采集公司、专业部门等的监督考核工作</w:t>
            </w:r>
          </w:p>
        </w:tc>
        <w:tc>
          <w:tcPr>
            <w:tcW w:w="3216" w:type="dxa"/>
            <w:shd w:val="clear" w:color="auto" w:fill="auto"/>
            <w:vAlign w:val="center"/>
          </w:tcPr>
          <w:p w14:paraId="4ABB20E3">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系统信创改造包括用户界面展示、高度适配、字体适配、适配查询功能、渲染引擎兼容性问题、页面加载渲染速度慢、地图页面加载速度慢、透明度的兼容CSS设置、js引擎、浏览器引擎和数据存储等问题修复。</w:t>
            </w:r>
          </w:p>
        </w:tc>
        <w:tc>
          <w:tcPr>
            <w:tcW w:w="438" w:type="dxa"/>
            <w:shd w:val="clear" w:color="auto" w:fill="auto"/>
            <w:vAlign w:val="center"/>
          </w:tcPr>
          <w:p w14:paraId="531F0A3D">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项</w:t>
            </w:r>
          </w:p>
        </w:tc>
        <w:tc>
          <w:tcPr>
            <w:tcW w:w="454" w:type="dxa"/>
            <w:shd w:val="clear" w:color="auto" w:fill="auto"/>
            <w:vAlign w:val="center"/>
          </w:tcPr>
          <w:p w14:paraId="6B11C5D7">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936" w:type="dxa"/>
            <w:shd w:val="clear" w:color="auto" w:fill="auto"/>
            <w:vAlign w:val="center"/>
          </w:tcPr>
          <w:p w14:paraId="5681ED55">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升级并适配</w:t>
            </w:r>
          </w:p>
        </w:tc>
      </w:tr>
      <w:tr w14:paraId="09718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434" w:type="dxa"/>
            <w:vMerge w:val="continue"/>
            <w:shd w:val="clear" w:color="auto" w:fill="auto"/>
            <w:vAlign w:val="center"/>
          </w:tcPr>
          <w:p w14:paraId="10919530">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3101" w:type="dxa"/>
            <w:vMerge w:val="continue"/>
            <w:shd w:val="clear" w:color="auto" w:fill="auto"/>
            <w:vAlign w:val="center"/>
          </w:tcPr>
          <w:p w14:paraId="7001B074">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924" w:type="dxa"/>
            <w:shd w:val="clear" w:color="auto" w:fill="auto"/>
            <w:vAlign w:val="center"/>
          </w:tcPr>
          <w:p w14:paraId="3C0FE040">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智慧工地</w:t>
            </w:r>
          </w:p>
        </w:tc>
        <w:tc>
          <w:tcPr>
            <w:tcW w:w="3216" w:type="dxa"/>
            <w:shd w:val="clear" w:color="auto" w:fill="auto"/>
            <w:vAlign w:val="center"/>
          </w:tcPr>
          <w:p w14:paraId="5ADD6435">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对渣土车辆和工地视频进行管理</w:t>
            </w:r>
          </w:p>
        </w:tc>
        <w:tc>
          <w:tcPr>
            <w:tcW w:w="3216" w:type="dxa"/>
            <w:shd w:val="clear" w:color="auto" w:fill="auto"/>
            <w:vAlign w:val="center"/>
          </w:tcPr>
          <w:p w14:paraId="5F7FC8DA">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信创改造包括适配视频加载不出或过慢、用户界面展示、高度适配、字体适配、适配查询功能、渲染引擎兼容性问题、页面加载渲染速度慢、地图页面加载速度慢、透明度的兼容CSS设置、js引擎、浏览器引擎和数据存储等问题修复。改造适配视频监控平台显示不正常，高度、字体显示不正常。协调厂商重新提供信创环境的视频解码API,并按照信的API，重新对视频进行解密播放。</w:t>
            </w:r>
          </w:p>
        </w:tc>
        <w:tc>
          <w:tcPr>
            <w:tcW w:w="438" w:type="dxa"/>
            <w:shd w:val="clear" w:color="auto" w:fill="auto"/>
            <w:vAlign w:val="center"/>
          </w:tcPr>
          <w:p w14:paraId="7D3E7F25">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项</w:t>
            </w:r>
          </w:p>
        </w:tc>
        <w:tc>
          <w:tcPr>
            <w:tcW w:w="454" w:type="dxa"/>
            <w:shd w:val="clear" w:color="auto" w:fill="auto"/>
            <w:vAlign w:val="center"/>
          </w:tcPr>
          <w:p w14:paraId="6BFF92D7">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936" w:type="dxa"/>
            <w:shd w:val="clear" w:color="auto" w:fill="auto"/>
            <w:vAlign w:val="center"/>
          </w:tcPr>
          <w:p w14:paraId="273B232C">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适配</w:t>
            </w:r>
          </w:p>
        </w:tc>
      </w:tr>
      <w:tr w14:paraId="6090B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4" w:type="dxa"/>
            <w:vMerge w:val="continue"/>
            <w:shd w:val="clear" w:color="auto" w:fill="auto"/>
            <w:vAlign w:val="center"/>
          </w:tcPr>
          <w:p w14:paraId="76D2A420">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3101" w:type="dxa"/>
            <w:vMerge w:val="continue"/>
            <w:shd w:val="clear" w:color="auto" w:fill="auto"/>
            <w:vAlign w:val="center"/>
          </w:tcPr>
          <w:p w14:paraId="5516725E">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924" w:type="dxa"/>
            <w:shd w:val="clear" w:color="auto" w:fill="auto"/>
            <w:vAlign w:val="center"/>
          </w:tcPr>
          <w:p w14:paraId="20B2E6CB">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门前三包</w:t>
            </w:r>
          </w:p>
        </w:tc>
        <w:tc>
          <w:tcPr>
            <w:tcW w:w="3216" w:type="dxa"/>
            <w:shd w:val="clear" w:color="auto" w:fill="auto"/>
            <w:vAlign w:val="center"/>
          </w:tcPr>
          <w:p w14:paraId="743D968C">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结合街面视频智能抓拍设备，辅助城管人员发现并记录店铺违规问题，实现市容市貌问题快速处置的非现场执法手段和监管新方式。同时并通过大数据分析对店铺、法人或个人进行信用评价和积分管理，提升城市信用体系建设</w:t>
            </w:r>
          </w:p>
        </w:tc>
        <w:tc>
          <w:tcPr>
            <w:tcW w:w="3216" w:type="dxa"/>
            <w:shd w:val="clear" w:color="auto" w:fill="auto"/>
            <w:vAlign w:val="center"/>
          </w:tcPr>
          <w:p w14:paraId="3235A390">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针对信创浏览器的特性和功能进行适配和优化，优化和处理网站中的图片和多媒体内容，以确保在信创浏览器中的兼容性和性能。高度适配、字体适配、适配查询功能、渲染引擎兼容性问题、页面加载渲染速度慢、地图页面加载速度慢、透明度的兼容CSS设置、js引擎、浏览器引擎和数据存储等问题修复。</w:t>
            </w:r>
          </w:p>
        </w:tc>
        <w:tc>
          <w:tcPr>
            <w:tcW w:w="438" w:type="dxa"/>
            <w:shd w:val="clear" w:color="auto" w:fill="auto"/>
            <w:vAlign w:val="center"/>
          </w:tcPr>
          <w:p w14:paraId="1BD35FBC">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项</w:t>
            </w:r>
          </w:p>
        </w:tc>
        <w:tc>
          <w:tcPr>
            <w:tcW w:w="454" w:type="dxa"/>
            <w:shd w:val="clear" w:color="auto" w:fill="auto"/>
            <w:vAlign w:val="center"/>
          </w:tcPr>
          <w:p w14:paraId="4CF06351">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936" w:type="dxa"/>
            <w:shd w:val="clear" w:color="auto" w:fill="auto"/>
            <w:vAlign w:val="center"/>
          </w:tcPr>
          <w:p w14:paraId="4D61376C">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适配</w:t>
            </w:r>
          </w:p>
        </w:tc>
      </w:tr>
      <w:tr w14:paraId="712B4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4" w:type="dxa"/>
            <w:vMerge w:val="continue"/>
            <w:shd w:val="clear" w:color="auto" w:fill="auto"/>
            <w:vAlign w:val="center"/>
          </w:tcPr>
          <w:p w14:paraId="6AD399F7">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3101" w:type="dxa"/>
            <w:vMerge w:val="continue"/>
            <w:shd w:val="clear" w:color="auto" w:fill="auto"/>
            <w:vAlign w:val="center"/>
          </w:tcPr>
          <w:p w14:paraId="6D5A317E">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924" w:type="dxa"/>
            <w:shd w:val="clear" w:color="auto" w:fill="auto"/>
            <w:vAlign w:val="center"/>
          </w:tcPr>
          <w:p w14:paraId="22E2D006">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决策分析</w:t>
            </w:r>
          </w:p>
        </w:tc>
        <w:tc>
          <w:tcPr>
            <w:tcW w:w="3216" w:type="dxa"/>
            <w:shd w:val="clear" w:color="auto" w:fill="auto"/>
            <w:vAlign w:val="center"/>
          </w:tcPr>
          <w:p w14:paraId="74062CE6">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城市运行管理综合驾驶舱，将已建的城市管理领域各类业务数据、预警数据、视频数据和物联数据以主题库形式建立有效关联，形成可视化、动态化、多维度展示的城市运行综合管理态势全景图，为领导决策提供辅助服务</w:t>
            </w:r>
          </w:p>
        </w:tc>
        <w:tc>
          <w:tcPr>
            <w:tcW w:w="3216" w:type="dxa"/>
            <w:shd w:val="clear" w:color="auto" w:fill="auto"/>
            <w:vAlign w:val="center"/>
          </w:tcPr>
          <w:p w14:paraId="2A2E472D">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针对信创浏览器的特性和功能进行适配和优化，优化和处理网站中的图片和多媒体内容，以确保在信创浏览器中的兼容性和性能。使用弹性图像技术，例如CSS中的`max-width`属性和`img`元素的`srcset`属性，以确保图像能够根据容器的大小自适应并保持比例。针对不同设备和屏幕尺寸，提供适当的资源和内容，以减少不必要的加载和数据传输。高度适配、字体适配、适配查询功能、渲染引擎兼容性问题、页面加载渲染速度慢、地图页面加载速度慢、透明度的兼容CSS设置、js引擎、浏览器引擎和数据存储等问题修复。</w:t>
            </w:r>
          </w:p>
        </w:tc>
        <w:tc>
          <w:tcPr>
            <w:tcW w:w="438" w:type="dxa"/>
            <w:shd w:val="clear" w:color="auto" w:fill="auto"/>
            <w:vAlign w:val="center"/>
          </w:tcPr>
          <w:p w14:paraId="525B54F5">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项</w:t>
            </w:r>
          </w:p>
        </w:tc>
        <w:tc>
          <w:tcPr>
            <w:tcW w:w="454" w:type="dxa"/>
            <w:shd w:val="clear" w:color="auto" w:fill="auto"/>
            <w:vAlign w:val="center"/>
          </w:tcPr>
          <w:p w14:paraId="4A361163">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936" w:type="dxa"/>
            <w:shd w:val="clear" w:color="auto" w:fill="auto"/>
            <w:vAlign w:val="center"/>
          </w:tcPr>
          <w:p w14:paraId="2A499A8D">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适配</w:t>
            </w:r>
          </w:p>
        </w:tc>
      </w:tr>
      <w:tr w14:paraId="36802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4" w:type="dxa"/>
            <w:vMerge w:val="continue"/>
            <w:shd w:val="clear" w:color="auto" w:fill="auto"/>
            <w:vAlign w:val="center"/>
          </w:tcPr>
          <w:p w14:paraId="3B53F2E5">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3101" w:type="dxa"/>
            <w:vMerge w:val="continue"/>
            <w:shd w:val="clear" w:color="auto" w:fill="auto"/>
            <w:vAlign w:val="center"/>
          </w:tcPr>
          <w:p w14:paraId="349BC491">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924" w:type="dxa"/>
            <w:shd w:val="clear" w:color="auto" w:fill="auto"/>
            <w:vAlign w:val="center"/>
          </w:tcPr>
          <w:p w14:paraId="24CBBF71">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智能感知（包括物联一张网、示范街区）</w:t>
            </w:r>
          </w:p>
        </w:tc>
        <w:tc>
          <w:tcPr>
            <w:tcW w:w="3216" w:type="dxa"/>
            <w:shd w:val="clear" w:color="auto" w:fill="auto"/>
            <w:vAlign w:val="center"/>
          </w:tcPr>
          <w:p w14:paraId="28D164B9">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总体展示所有物联网设备状态，实现一张图管理，并且根据不同类型进行专项展示。示范街为嵊州大道和官河路，示范区为文化广场、新国商周边区域</w:t>
            </w:r>
          </w:p>
        </w:tc>
        <w:tc>
          <w:tcPr>
            <w:tcW w:w="3216" w:type="dxa"/>
            <w:shd w:val="clear" w:color="auto" w:fill="auto"/>
            <w:vAlign w:val="center"/>
          </w:tcPr>
          <w:p w14:paraId="33F7976C">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针对信创浏览器的特性和功能进行适配和优化，优化和处理网站中的图片和多媒体内容，以确保在信创浏览器中的兼容性和性能。高度适配、字体适配、适配查询功能、渲染引擎兼容性问题、页面加载渲染速度慢、地图页面加载速度慢、透明度的兼容CSS设置、js引擎、浏览器引擎和数据存储等问题修复。</w:t>
            </w:r>
          </w:p>
        </w:tc>
        <w:tc>
          <w:tcPr>
            <w:tcW w:w="438" w:type="dxa"/>
            <w:shd w:val="clear" w:color="auto" w:fill="auto"/>
            <w:vAlign w:val="center"/>
          </w:tcPr>
          <w:p w14:paraId="2083CFE7">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项</w:t>
            </w:r>
          </w:p>
        </w:tc>
        <w:tc>
          <w:tcPr>
            <w:tcW w:w="454" w:type="dxa"/>
            <w:shd w:val="clear" w:color="auto" w:fill="auto"/>
            <w:vAlign w:val="center"/>
          </w:tcPr>
          <w:p w14:paraId="5AE1E41F">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936" w:type="dxa"/>
            <w:shd w:val="clear" w:color="auto" w:fill="auto"/>
            <w:vAlign w:val="center"/>
          </w:tcPr>
          <w:p w14:paraId="4DBC73A5">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适配</w:t>
            </w:r>
          </w:p>
        </w:tc>
      </w:tr>
      <w:tr w14:paraId="7CD5A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4" w:type="dxa"/>
            <w:vMerge w:val="continue"/>
            <w:shd w:val="clear" w:color="auto" w:fill="auto"/>
            <w:vAlign w:val="center"/>
          </w:tcPr>
          <w:p w14:paraId="41513D81">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3101" w:type="dxa"/>
            <w:vMerge w:val="continue"/>
            <w:shd w:val="clear" w:color="auto" w:fill="auto"/>
            <w:vAlign w:val="center"/>
          </w:tcPr>
          <w:p w14:paraId="44F41DE0">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924" w:type="dxa"/>
            <w:shd w:val="clear" w:color="auto" w:fill="auto"/>
            <w:vAlign w:val="center"/>
          </w:tcPr>
          <w:p w14:paraId="6911212B">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数据库改造</w:t>
            </w:r>
          </w:p>
        </w:tc>
        <w:tc>
          <w:tcPr>
            <w:tcW w:w="3216" w:type="dxa"/>
            <w:shd w:val="clear" w:color="auto" w:fill="auto"/>
            <w:vAlign w:val="center"/>
          </w:tcPr>
          <w:p w14:paraId="01F6821C">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采用符合信创要求的数据库，对原有业务平台进行改造</w:t>
            </w:r>
          </w:p>
        </w:tc>
        <w:tc>
          <w:tcPr>
            <w:tcW w:w="3216" w:type="dxa"/>
            <w:shd w:val="clear" w:color="auto" w:fill="auto"/>
            <w:vAlign w:val="center"/>
          </w:tcPr>
          <w:p w14:paraId="71C86E6E">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数据库改造，系统中所有涉及与数据库之间的交互操作功能，比如数据库连接方式、数据库表建立与存取、SQL语句表达、视图、触发器、存储过程调用等内容适配。</w:t>
            </w:r>
          </w:p>
        </w:tc>
        <w:tc>
          <w:tcPr>
            <w:tcW w:w="438" w:type="dxa"/>
            <w:shd w:val="clear" w:color="auto" w:fill="auto"/>
            <w:vAlign w:val="center"/>
          </w:tcPr>
          <w:p w14:paraId="3DD17C5F">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项</w:t>
            </w:r>
          </w:p>
        </w:tc>
        <w:tc>
          <w:tcPr>
            <w:tcW w:w="454" w:type="dxa"/>
            <w:shd w:val="clear" w:color="auto" w:fill="auto"/>
            <w:vAlign w:val="center"/>
          </w:tcPr>
          <w:p w14:paraId="08A1F7E2">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936" w:type="dxa"/>
            <w:shd w:val="clear" w:color="auto" w:fill="auto"/>
            <w:vAlign w:val="center"/>
          </w:tcPr>
          <w:p w14:paraId="5E76FA1C">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适配</w:t>
            </w:r>
          </w:p>
        </w:tc>
      </w:tr>
      <w:tr w14:paraId="00E1F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4" w:type="dxa"/>
            <w:vMerge w:val="continue"/>
            <w:shd w:val="clear" w:color="auto" w:fill="auto"/>
            <w:vAlign w:val="center"/>
          </w:tcPr>
          <w:p w14:paraId="4AF6DDFD">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3101" w:type="dxa"/>
            <w:vMerge w:val="continue"/>
            <w:shd w:val="clear" w:color="auto" w:fill="auto"/>
            <w:vAlign w:val="center"/>
          </w:tcPr>
          <w:p w14:paraId="414D870B">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924" w:type="dxa"/>
            <w:shd w:val="clear" w:color="auto" w:fill="auto"/>
            <w:vAlign w:val="center"/>
          </w:tcPr>
          <w:p w14:paraId="6528510B">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微信公众号</w:t>
            </w:r>
          </w:p>
        </w:tc>
        <w:tc>
          <w:tcPr>
            <w:tcW w:w="3216" w:type="dxa"/>
            <w:shd w:val="clear" w:color="auto" w:fill="auto"/>
            <w:vAlign w:val="center"/>
          </w:tcPr>
          <w:p w14:paraId="3CE9851C">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对微信公众号代码内容进行信创改造</w:t>
            </w:r>
          </w:p>
        </w:tc>
        <w:tc>
          <w:tcPr>
            <w:tcW w:w="3216" w:type="dxa"/>
            <w:shd w:val="clear" w:color="auto" w:fill="auto"/>
            <w:vAlign w:val="center"/>
          </w:tcPr>
          <w:p w14:paraId="7767A35E">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针对信创浏览器的特性和功能进行适配和优化，优化和处理网站中的图片和多媒体内容，以确保在信创浏览器中的兼容性和性能。高度适配、字体适配、适配查询功能、渲染引擎兼容性问题、页面加载渲染速度慢、地图页面加载速度慢、透明度的兼容CSS设置、js引擎、浏览器引擎和数据存储等问题修复。</w:t>
            </w:r>
          </w:p>
        </w:tc>
        <w:tc>
          <w:tcPr>
            <w:tcW w:w="438" w:type="dxa"/>
            <w:shd w:val="clear" w:color="auto" w:fill="auto"/>
            <w:vAlign w:val="center"/>
          </w:tcPr>
          <w:p w14:paraId="00D2E4E4">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项</w:t>
            </w:r>
          </w:p>
        </w:tc>
        <w:tc>
          <w:tcPr>
            <w:tcW w:w="454" w:type="dxa"/>
            <w:shd w:val="clear" w:color="auto" w:fill="auto"/>
            <w:vAlign w:val="center"/>
          </w:tcPr>
          <w:p w14:paraId="59DCAF1E">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936" w:type="dxa"/>
            <w:shd w:val="clear" w:color="auto" w:fill="auto"/>
            <w:vAlign w:val="center"/>
          </w:tcPr>
          <w:p w14:paraId="50226BB0">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适配</w:t>
            </w:r>
          </w:p>
        </w:tc>
      </w:tr>
      <w:tr w14:paraId="40F92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4" w:type="dxa"/>
            <w:vMerge w:val="continue"/>
            <w:shd w:val="clear" w:color="auto" w:fill="auto"/>
            <w:vAlign w:val="center"/>
          </w:tcPr>
          <w:p w14:paraId="38343AA3">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3101" w:type="dxa"/>
            <w:vMerge w:val="continue"/>
            <w:shd w:val="clear" w:color="auto" w:fill="auto"/>
            <w:vAlign w:val="center"/>
          </w:tcPr>
          <w:p w14:paraId="01494D9A">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924" w:type="dxa"/>
            <w:shd w:val="clear" w:color="auto" w:fill="auto"/>
            <w:vAlign w:val="center"/>
          </w:tcPr>
          <w:p w14:paraId="1225D854">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数据迁移</w:t>
            </w:r>
          </w:p>
        </w:tc>
        <w:tc>
          <w:tcPr>
            <w:tcW w:w="3216" w:type="dxa"/>
            <w:shd w:val="clear" w:color="auto" w:fill="auto"/>
            <w:vAlign w:val="center"/>
          </w:tcPr>
          <w:p w14:paraId="632FFE32">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原城管业务数据进行整体迁移</w:t>
            </w:r>
          </w:p>
        </w:tc>
        <w:tc>
          <w:tcPr>
            <w:tcW w:w="3216" w:type="dxa"/>
            <w:shd w:val="clear" w:color="auto" w:fill="auto"/>
            <w:vAlign w:val="center"/>
          </w:tcPr>
          <w:p w14:paraId="155C3FB8">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迁移过程涉及迁移发起方、实施方、配合方，具体迁移过程包括：迁移调研、设计、实施和收尾等四个步骤。数据与配置迁移包括信创环境下的产品部署及初始化配置服务、原有平台的数据迁移服务、接口开发对接服务等。</w:t>
            </w:r>
          </w:p>
        </w:tc>
        <w:tc>
          <w:tcPr>
            <w:tcW w:w="438" w:type="dxa"/>
            <w:shd w:val="clear" w:color="auto" w:fill="auto"/>
            <w:vAlign w:val="center"/>
          </w:tcPr>
          <w:p w14:paraId="5C766B14">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项</w:t>
            </w:r>
          </w:p>
        </w:tc>
        <w:tc>
          <w:tcPr>
            <w:tcW w:w="454" w:type="dxa"/>
            <w:shd w:val="clear" w:color="auto" w:fill="auto"/>
            <w:vAlign w:val="center"/>
          </w:tcPr>
          <w:p w14:paraId="07C122FF">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936" w:type="dxa"/>
            <w:shd w:val="clear" w:color="auto" w:fill="auto"/>
            <w:vAlign w:val="center"/>
          </w:tcPr>
          <w:p w14:paraId="70B3D61E">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适配</w:t>
            </w:r>
          </w:p>
        </w:tc>
      </w:tr>
      <w:tr w14:paraId="28EB2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434" w:type="dxa"/>
            <w:vMerge w:val="continue"/>
            <w:shd w:val="clear" w:color="auto" w:fill="auto"/>
            <w:vAlign w:val="center"/>
          </w:tcPr>
          <w:p w14:paraId="54D81021">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3101" w:type="dxa"/>
            <w:vMerge w:val="continue"/>
            <w:shd w:val="clear" w:color="auto" w:fill="auto"/>
            <w:vAlign w:val="center"/>
          </w:tcPr>
          <w:p w14:paraId="7277F6A4">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924" w:type="dxa"/>
            <w:vMerge w:val="restart"/>
            <w:shd w:val="clear" w:color="auto" w:fill="auto"/>
            <w:vAlign w:val="center"/>
          </w:tcPr>
          <w:p w14:paraId="631CE7DE">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接口改造</w:t>
            </w:r>
          </w:p>
        </w:tc>
        <w:tc>
          <w:tcPr>
            <w:tcW w:w="3216" w:type="dxa"/>
            <w:vMerge w:val="restart"/>
            <w:shd w:val="clear" w:color="auto" w:fill="auto"/>
            <w:vAlign w:val="center"/>
          </w:tcPr>
          <w:p w14:paraId="64B56AB5">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原城管外部对接平台进行改造</w:t>
            </w:r>
          </w:p>
        </w:tc>
        <w:tc>
          <w:tcPr>
            <w:tcW w:w="3216" w:type="dxa"/>
            <w:shd w:val="clear" w:color="auto" w:fill="auto"/>
            <w:vAlign w:val="center"/>
          </w:tcPr>
          <w:p w14:paraId="3C5CFC3A">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需对原平台系统中接口数据进行调研分析，主要包括以下方面：</w:t>
            </w:r>
          </w:p>
        </w:tc>
        <w:tc>
          <w:tcPr>
            <w:tcW w:w="438" w:type="dxa"/>
            <w:vMerge w:val="restart"/>
            <w:shd w:val="clear" w:color="auto" w:fill="auto"/>
            <w:vAlign w:val="center"/>
          </w:tcPr>
          <w:p w14:paraId="27B58FFB">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项</w:t>
            </w:r>
          </w:p>
        </w:tc>
        <w:tc>
          <w:tcPr>
            <w:tcW w:w="454" w:type="dxa"/>
            <w:vMerge w:val="restart"/>
            <w:shd w:val="clear" w:color="auto" w:fill="auto"/>
            <w:vAlign w:val="center"/>
          </w:tcPr>
          <w:p w14:paraId="244B77C9">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936" w:type="dxa"/>
            <w:vMerge w:val="restart"/>
            <w:shd w:val="clear" w:color="auto" w:fill="auto"/>
            <w:vAlign w:val="center"/>
          </w:tcPr>
          <w:p w14:paraId="753C76CD">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系统所需的对接接口和链接统一打包，升级并适配</w:t>
            </w:r>
          </w:p>
        </w:tc>
      </w:tr>
      <w:tr w14:paraId="70CA9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4" w:type="dxa"/>
            <w:vMerge w:val="continue"/>
            <w:shd w:val="clear" w:color="auto" w:fill="auto"/>
            <w:vAlign w:val="center"/>
          </w:tcPr>
          <w:p w14:paraId="063EDD39">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3101" w:type="dxa"/>
            <w:vMerge w:val="continue"/>
            <w:shd w:val="clear" w:color="auto" w:fill="auto"/>
            <w:vAlign w:val="center"/>
          </w:tcPr>
          <w:p w14:paraId="2133C07B">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924" w:type="dxa"/>
            <w:vMerge w:val="continue"/>
            <w:shd w:val="clear" w:color="auto" w:fill="auto"/>
            <w:vAlign w:val="center"/>
          </w:tcPr>
          <w:p w14:paraId="18A022EA">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left"/>
              <w:rPr>
                <w:rFonts w:hint="eastAsia" w:ascii="仿宋" w:hAnsi="仿宋" w:eastAsia="仿宋" w:cs="仿宋"/>
                <w:i w:val="0"/>
                <w:iCs w:val="0"/>
                <w:color w:val="auto"/>
                <w:sz w:val="21"/>
                <w:szCs w:val="21"/>
                <w:highlight w:val="none"/>
                <w:u w:val="none"/>
              </w:rPr>
            </w:pPr>
          </w:p>
        </w:tc>
        <w:tc>
          <w:tcPr>
            <w:tcW w:w="3216" w:type="dxa"/>
            <w:vMerge w:val="continue"/>
            <w:shd w:val="clear" w:color="auto" w:fill="auto"/>
            <w:vAlign w:val="center"/>
          </w:tcPr>
          <w:p w14:paraId="55D5B548">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left"/>
              <w:rPr>
                <w:rFonts w:hint="eastAsia" w:ascii="仿宋" w:hAnsi="仿宋" w:eastAsia="仿宋" w:cs="仿宋"/>
                <w:i w:val="0"/>
                <w:iCs w:val="0"/>
                <w:color w:val="auto"/>
                <w:sz w:val="21"/>
                <w:szCs w:val="21"/>
                <w:highlight w:val="none"/>
                <w:u w:val="none"/>
              </w:rPr>
            </w:pPr>
          </w:p>
        </w:tc>
        <w:tc>
          <w:tcPr>
            <w:tcW w:w="3216" w:type="dxa"/>
            <w:shd w:val="clear" w:color="auto" w:fill="auto"/>
            <w:vAlign w:val="center"/>
          </w:tcPr>
          <w:p w14:paraId="598CAC63">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接口名称、接口类型的方式、请求路径（代理路径）、协议（代理协议类型）、认证类型、是否加密等</w:t>
            </w:r>
          </w:p>
        </w:tc>
        <w:tc>
          <w:tcPr>
            <w:tcW w:w="438" w:type="dxa"/>
            <w:vMerge w:val="continue"/>
            <w:shd w:val="clear" w:color="auto" w:fill="auto"/>
            <w:vAlign w:val="center"/>
          </w:tcPr>
          <w:p w14:paraId="64FF6053">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454" w:type="dxa"/>
            <w:vMerge w:val="continue"/>
            <w:shd w:val="clear" w:color="auto" w:fill="auto"/>
            <w:vAlign w:val="center"/>
          </w:tcPr>
          <w:p w14:paraId="72B84637">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1936" w:type="dxa"/>
            <w:vMerge w:val="continue"/>
            <w:shd w:val="clear" w:color="auto" w:fill="auto"/>
            <w:vAlign w:val="center"/>
          </w:tcPr>
          <w:p w14:paraId="4D68C33A">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left"/>
              <w:rPr>
                <w:rFonts w:hint="eastAsia" w:ascii="仿宋" w:hAnsi="仿宋" w:eastAsia="仿宋" w:cs="仿宋"/>
                <w:i w:val="0"/>
                <w:iCs w:val="0"/>
                <w:color w:val="auto"/>
                <w:sz w:val="21"/>
                <w:szCs w:val="21"/>
                <w:highlight w:val="none"/>
                <w:u w:val="none"/>
              </w:rPr>
            </w:pPr>
          </w:p>
        </w:tc>
      </w:tr>
      <w:tr w14:paraId="5B73B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4" w:type="dxa"/>
            <w:vMerge w:val="continue"/>
            <w:shd w:val="clear" w:color="auto" w:fill="auto"/>
            <w:vAlign w:val="center"/>
          </w:tcPr>
          <w:p w14:paraId="6EB6C3C3">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3101" w:type="dxa"/>
            <w:vMerge w:val="continue"/>
            <w:shd w:val="clear" w:color="auto" w:fill="auto"/>
            <w:vAlign w:val="center"/>
          </w:tcPr>
          <w:p w14:paraId="0359C086">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924" w:type="dxa"/>
            <w:vMerge w:val="continue"/>
            <w:shd w:val="clear" w:color="auto" w:fill="auto"/>
            <w:vAlign w:val="center"/>
          </w:tcPr>
          <w:p w14:paraId="083B8F17">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left"/>
              <w:rPr>
                <w:rFonts w:hint="eastAsia" w:ascii="仿宋" w:hAnsi="仿宋" w:eastAsia="仿宋" w:cs="仿宋"/>
                <w:i w:val="0"/>
                <w:iCs w:val="0"/>
                <w:color w:val="auto"/>
                <w:sz w:val="21"/>
                <w:szCs w:val="21"/>
                <w:highlight w:val="none"/>
                <w:u w:val="none"/>
              </w:rPr>
            </w:pPr>
          </w:p>
        </w:tc>
        <w:tc>
          <w:tcPr>
            <w:tcW w:w="3216" w:type="dxa"/>
            <w:vMerge w:val="continue"/>
            <w:shd w:val="clear" w:color="auto" w:fill="auto"/>
            <w:vAlign w:val="center"/>
          </w:tcPr>
          <w:p w14:paraId="059244CE">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left"/>
              <w:rPr>
                <w:rFonts w:hint="eastAsia" w:ascii="仿宋" w:hAnsi="仿宋" w:eastAsia="仿宋" w:cs="仿宋"/>
                <w:i w:val="0"/>
                <w:iCs w:val="0"/>
                <w:color w:val="auto"/>
                <w:sz w:val="21"/>
                <w:szCs w:val="21"/>
                <w:highlight w:val="none"/>
                <w:u w:val="none"/>
              </w:rPr>
            </w:pPr>
          </w:p>
        </w:tc>
        <w:tc>
          <w:tcPr>
            <w:tcW w:w="3216" w:type="dxa"/>
            <w:shd w:val="clear" w:color="auto" w:fill="auto"/>
            <w:vAlign w:val="center"/>
          </w:tcPr>
          <w:p w14:paraId="471253CF">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接口的请求方式、请求参数、响应参数、响应示例、异常返回值说明、安全配置（调用阈值、超时限制、加密方式、黑白名单等）等接口的共享使用情况，包括调用总次数、日调用频次、调用部门、应用等。</w:t>
            </w:r>
          </w:p>
        </w:tc>
        <w:tc>
          <w:tcPr>
            <w:tcW w:w="438" w:type="dxa"/>
            <w:vMerge w:val="continue"/>
            <w:shd w:val="clear" w:color="auto" w:fill="auto"/>
            <w:vAlign w:val="center"/>
          </w:tcPr>
          <w:p w14:paraId="23A6DF70">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454" w:type="dxa"/>
            <w:vMerge w:val="continue"/>
            <w:shd w:val="clear" w:color="auto" w:fill="auto"/>
            <w:vAlign w:val="center"/>
          </w:tcPr>
          <w:p w14:paraId="4E594817">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1936" w:type="dxa"/>
            <w:vMerge w:val="continue"/>
            <w:shd w:val="clear" w:color="auto" w:fill="auto"/>
            <w:vAlign w:val="center"/>
          </w:tcPr>
          <w:p w14:paraId="02F5768B">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left"/>
              <w:rPr>
                <w:rFonts w:hint="eastAsia" w:ascii="仿宋" w:hAnsi="仿宋" w:eastAsia="仿宋" w:cs="仿宋"/>
                <w:i w:val="0"/>
                <w:iCs w:val="0"/>
                <w:color w:val="auto"/>
                <w:sz w:val="21"/>
                <w:szCs w:val="21"/>
                <w:highlight w:val="none"/>
                <w:u w:val="none"/>
              </w:rPr>
            </w:pPr>
          </w:p>
        </w:tc>
      </w:tr>
      <w:tr w14:paraId="26D60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4" w:type="dxa"/>
            <w:vMerge w:val="continue"/>
            <w:shd w:val="clear" w:color="auto" w:fill="auto"/>
            <w:vAlign w:val="center"/>
          </w:tcPr>
          <w:p w14:paraId="70BF0A52">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3101" w:type="dxa"/>
            <w:vMerge w:val="continue"/>
            <w:shd w:val="clear" w:color="auto" w:fill="auto"/>
            <w:vAlign w:val="center"/>
          </w:tcPr>
          <w:p w14:paraId="7ECFC216">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924" w:type="dxa"/>
            <w:shd w:val="clear" w:color="auto" w:fill="auto"/>
            <w:vAlign w:val="center"/>
          </w:tcPr>
          <w:p w14:paraId="2E9B9F87">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物联链接管理中心</w:t>
            </w:r>
          </w:p>
        </w:tc>
        <w:tc>
          <w:tcPr>
            <w:tcW w:w="3216" w:type="dxa"/>
            <w:shd w:val="clear" w:color="auto" w:fill="auto"/>
            <w:vAlign w:val="center"/>
          </w:tcPr>
          <w:p w14:paraId="77E4FA93">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原物联链接管理中心升级改造，实现设备集成管理、应用集成管理、物联协议网关、物联网卡管理、一张图管理、监测对象报警管理、数据分析</w:t>
            </w:r>
          </w:p>
        </w:tc>
        <w:tc>
          <w:tcPr>
            <w:tcW w:w="3216" w:type="dxa"/>
            <w:shd w:val="clear" w:color="auto" w:fill="auto"/>
            <w:vAlign w:val="center"/>
          </w:tcPr>
          <w:p w14:paraId="418C0F12">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针对信创操作系统、浏览器、中间件的特性和功能进行适配和优化，优化和处理网站中的图片和多媒体内容，以确保在信创浏览器中的兼容性和性能。高度适配、字体适配、适配查询功能、渲染引擎兼容性问题、页面加载渲染速度慢、地图页面加载速度慢、透明度的兼容CSS设置、js引擎、浏览器引擎和数据存储等问题修复。</w:t>
            </w:r>
          </w:p>
        </w:tc>
        <w:tc>
          <w:tcPr>
            <w:tcW w:w="438" w:type="dxa"/>
            <w:shd w:val="clear" w:color="auto" w:fill="auto"/>
            <w:vAlign w:val="center"/>
          </w:tcPr>
          <w:p w14:paraId="5696596E">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项</w:t>
            </w:r>
          </w:p>
        </w:tc>
        <w:tc>
          <w:tcPr>
            <w:tcW w:w="454" w:type="dxa"/>
            <w:shd w:val="clear" w:color="auto" w:fill="auto"/>
            <w:vAlign w:val="center"/>
          </w:tcPr>
          <w:p w14:paraId="5384012D">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936" w:type="dxa"/>
            <w:shd w:val="clear" w:color="auto" w:fill="auto"/>
            <w:vAlign w:val="center"/>
          </w:tcPr>
          <w:p w14:paraId="1AB9FCF4">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升级并适配</w:t>
            </w:r>
          </w:p>
        </w:tc>
      </w:tr>
      <w:tr w14:paraId="499EC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4" w:type="dxa"/>
            <w:vMerge w:val="continue"/>
            <w:shd w:val="clear" w:color="auto" w:fill="auto"/>
            <w:vAlign w:val="center"/>
          </w:tcPr>
          <w:p w14:paraId="364B9830">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3101" w:type="dxa"/>
            <w:vMerge w:val="continue"/>
            <w:shd w:val="clear" w:color="auto" w:fill="auto"/>
            <w:vAlign w:val="center"/>
          </w:tcPr>
          <w:p w14:paraId="69AE9AF4">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924" w:type="dxa"/>
            <w:shd w:val="clear" w:color="auto" w:fill="auto"/>
            <w:vAlign w:val="center"/>
          </w:tcPr>
          <w:p w14:paraId="37453E29">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数据中心组件</w:t>
            </w:r>
          </w:p>
        </w:tc>
        <w:tc>
          <w:tcPr>
            <w:tcW w:w="3216" w:type="dxa"/>
            <w:shd w:val="clear" w:color="auto" w:fill="auto"/>
            <w:vAlign w:val="center"/>
          </w:tcPr>
          <w:p w14:paraId="2BC1A164">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原数据标准、数据目录、清洗、比对和数据建模等改造</w:t>
            </w:r>
          </w:p>
        </w:tc>
        <w:tc>
          <w:tcPr>
            <w:tcW w:w="3216" w:type="dxa"/>
            <w:shd w:val="clear" w:color="auto" w:fill="auto"/>
            <w:vAlign w:val="center"/>
          </w:tcPr>
          <w:p w14:paraId="4AFFA057">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需对原平台系统中库表数据进行调研分析，数据库兼容性分析、代码审查与识别、数据库驱动与连接调整、SQL语法与功能兼容性、数据类型与转换处理、存储过程与触发器移植、视图与数据模型调整、数据库适配测试与验证</w:t>
            </w:r>
          </w:p>
        </w:tc>
        <w:tc>
          <w:tcPr>
            <w:tcW w:w="438" w:type="dxa"/>
            <w:shd w:val="clear" w:color="auto" w:fill="auto"/>
            <w:vAlign w:val="center"/>
          </w:tcPr>
          <w:p w14:paraId="133B4331">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项</w:t>
            </w:r>
          </w:p>
        </w:tc>
        <w:tc>
          <w:tcPr>
            <w:tcW w:w="454" w:type="dxa"/>
            <w:shd w:val="clear" w:color="auto" w:fill="auto"/>
            <w:vAlign w:val="center"/>
          </w:tcPr>
          <w:p w14:paraId="0CFF0531">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936" w:type="dxa"/>
            <w:shd w:val="clear" w:color="auto" w:fill="auto"/>
            <w:vAlign w:val="center"/>
          </w:tcPr>
          <w:p w14:paraId="1960CBF9">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适配</w:t>
            </w:r>
          </w:p>
        </w:tc>
      </w:tr>
      <w:tr w14:paraId="411C2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4" w:type="dxa"/>
            <w:vMerge w:val="restart"/>
            <w:shd w:val="clear" w:color="auto" w:fill="auto"/>
            <w:vAlign w:val="center"/>
          </w:tcPr>
          <w:p w14:paraId="1F993146">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3101" w:type="dxa"/>
            <w:vMerge w:val="restart"/>
            <w:shd w:val="clear" w:color="auto" w:fill="auto"/>
            <w:vAlign w:val="center"/>
          </w:tcPr>
          <w:p w14:paraId="2895C9F1">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隔油池清理数字化监管平台管理</w:t>
            </w:r>
          </w:p>
        </w:tc>
        <w:tc>
          <w:tcPr>
            <w:tcW w:w="924" w:type="dxa"/>
            <w:shd w:val="clear" w:color="auto" w:fill="auto"/>
            <w:vAlign w:val="center"/>
          </w:tcPr>
          <w:p w14:paraId="02FB6200">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运维管理</w:t>
            </w:r>
          </w:p>
        </w:tc>
        <w:tc>
          <w:tcPr>
            <w:tcW w:w="3216" w:type="dxa"/>
            <w:shd w:val="clear" w:color="auto" w:fill="auto"/>
            <w:vAlign w:val="center"/>
          </w:tcPr>
          <w:p w14:paraId="1565DBEF">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运维管理改造包括增加对日常隔油池与商户信息联动、日常运量统计查询。运维日历优化、看板优化等。面向综合执法局用户，丰富平台统计分析功能，优化运维管理相关执行效率。改进隔油池清运客户端交互，提供更便捷的清运数据采集与查询功能。</w:t>
            </w:r>
          </w:p>
        </w:tc>
        <w:tc>
          <w:tcPr>
            <w:tcW w:w="3216" w:type="dxa"/>
            <w:shd w:val="clear" w:color="auto" w:fill="auto"/>
            <w:vAlign w:val="center"/>
          </w:tcPr>
          <w:p w14:paraId="5BD13450">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针对信创浏览器和手机端的特性和功能进行适配和优化，优化和处理网站中的图片和多媒体内容，以确保在信创浏览器中的兼容性和性能。高度适配、字体适配、适配查询功能、渲染引擎兼容性问题、页面加载渲染速度慢、地图页面加载速度慢、透明度的兼容CSS设置、js引擎、浏览器引擎和数据存储等问题修复。</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需对原平台中图片存储进行效率优化，对平台查询、统计SQL优化，提高处理效率。对数据库迁移过程中,数据库驱动与连接调整、SQL语法与功能兼容性、数据类型与转换处理、视图与数据模型调整、数据库适配测试与验证。</w:t>
            </w:r>
          </w:p>
        </w:tc>
        <w:tc>
          <w:tcPr>
            <w:tcW w:w="438" w:type="dxa"/>
            <w:shd w:val="clear" w:color="auto" w:fill="auto"/>
            <w:vAlign w:val="center"/>
          </w:tcPr>
          <w:p w14:paraId="631458B3">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项</w:t>
            </w:r>
          </w:p>
        </w:tc>
        <w:tc>
          <w:tcPr>
            <w:tcW w:w="454" w:type="dxa"/>
            <w:shd w:val="clear" w:color="auto" w:fill="auto"/>
            <w:vAlign w:val="center"/>
          </w:tcPr>
          <w:p w14:paraId="711CC1F6">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936" w:type="dxa"/>
            <w:shd w:val="clear" w:color="auto" w:fill="auto"/>
            <w:vAlign w:val="center"/>
          </w:tcPr>
          <w:p w14:paraId="37287C60">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升级并适配</w:t>
            </w:r>
          </w:p>
        </w:tc>
      </w:tr>
      <w:tr w14:paraId="5512A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4" w:type="dxa"/>
            <w:vMerge w:val="continue"/>
            <w:shd w:val="clear" w:color="auto" w:fill="auto"/>
            <w:vAlign w:val="center"/>
          </w:tcPr>
          <w:p w14:paraId="65AC093E">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3101" w:type="dxa"/>
            <w:vMerge w:val="continue"/>
            <w:shd w:val="clear" w:color="auto" w:fill="auto"/>
            <w:vAlign w:val="center"/>
          </w:tcPr>
          <w:p w14:paraId="0CE3CE78">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924" w:type="dxa"/>
            <w:shd w:val="clear" w:color="auto" w:fill="auto"/>
            <w:vAlign w:val="center"/>
          </w:tcPr>
          <w:p w14:paraId="37ED9C25">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短信管理</w:t>
            </w:r>
          </w:p>
        </w:tc>
        <w:tc>
          <w:tcPr>
            <w:tcW w:w="3216" w:type="dxa"/>
            <w:shd w:val="clear" w:color="auto" w:fill="auto"/>
            <w:vAlign w:val="center"/>
          </w:tcPr>
          <w:p w14:paraId="4E801BB8">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新增运维服务短信模块，短信管理模块实现对每次清运行为实时短信通知客户，提供对短信发送行为的存储、查询与管理。</w:t>
            </w:r>
          </w:p>
        </w:tc>
        <w:tc>
          <w:tcPr>
            <w:tcW w:w="3216" w:type="dxa"/>
            <w:shd w:val="clear" w:color="auto" w:fill="auto"/>
            <w:vAlign w:val="center"/>
          </w:tcPr>
          <w:p w14:paraId="402FA6C1">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针对信创浏览器和手机端的特性和功能进行开发，优化和处理网站中的图片和多媒体内容，以确保在信创浏览器中的兼容性和性能。高度适配、字体适配、适配查询功能、渲染引擎兼容性问题、页面加载渲染速度慢、地图页面加载速度慢、透明度的兼容CSS设置、js引擎、浏览器引擎和数据存储等问题修复。</w:t>
            </w:r>
          </w:p>
        </w:tc>
        <w:tc>
          <w:tcPr>
            <w:tcW w:w="438" w:type="dxa"/>
            <w:shd w:val="clear" w:color="auto" w:fill="auto"/>
            <w:vAlign w:val="center"/>
          </w:tcPr>
          <w:p w14:paraId="514082CA">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项</w:t>
            </w:r>
          </w:p>
        </w:tc>
        <w:tc>
          <w:tcPr>
            <w:tcW w:w="454" w:type="dxa"/>
            <w:shd w:val="clear" w:color="auto" w:fill="auto"/>
            <w:vAlign w:val="center"/>
          </w:tcPr>
          <w:p w14:paraId="4331A84C">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936" w:type="dxa"/>
            <w:shd w:val="clear" w:color="auto" w:fill="auto"/>
            <w:vAlign w:val="center"/>
          </w:tcPr>
          <w:p w14:paraId="77B7EFF4">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升级并适配</w:t>
            </w:r>
          </w:p>
        </w:tc>
      </w:tr>
      <w:tr w14:paraId="3E08A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4" w:type="dxa"/>
            <w:vMerge w:val="continue"/>
            <w:shd w:val="clear" w:color="auto" w:fill="auto"/>
            <w:vAlign w:val="center"/>
          </w:tcPr>
          <w:p w14:paraId="7BD020B9">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3101" w:type="dxa"/>
            <w:vMerge w:val="continue"/>
            <w:shd w:val="clear" w:color="auto" w:fill="auto"/>
            <w:vAlign w:val="center"/>
          </w:tcPr>
          <w:p w14:paraId="3D6EFA97">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924" w:type="dxa"/>
            <w:shd w:val="clear" w:color="auto" w:fill="auto"/>
            <w:vAlign w:val="center"/>
          </w:tcPr>
          <w:p w14:paraId="658824B4">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巡查管理</w:t>
            </w:r>
          </w:p>
        </w:tc>
        <w:tc>
          <w:tcPr>
            <w:tcW w:w="3216" w:type="dxa"/>
            <w:shd w:val="clear" w:color="auto" w:fill="auto"/>
            <w:vAlign w:val="center"/>
          </w:tcPr>
          <w:p w14:paraId="322B3658">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巡查管理模块改造包括对隔油池的日常巡查增加业务联动，可根据巡查发现问题，自动生成隔油池清运任务，由平台运维人员进行任务分配。</w:t>
            </w:r>
          </w:p>
        </w:tc>
        <w:tc>
          <w:tcPr>
            <w:tcW w:w="3216" w:type="dxa"/>
            <w:shd w:val="clear" w:color="auto" w:fill="auto"/>
            <w:vAlign w:val="center"/>
          </w:tcPr>
          <w:p w14:paraId="73853EC1">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需对原平台中业务逻辑进行调整和效率优化，对平台查询、统计SQL优化，提高处理效率。对数据库迁移过程中,数据库驱动与连接调整、SQL语法与功能兼容性、数据类型与转换处理、视图与数据模型调整、数据库适配测试与验证。</w:t>
            </w:r>
          </w:p>
        </w:tc>
        <w:tc>
          <w:tcPr>
            <w:tcW w:w="438" w:type="dxa"/>
            <w:shd w:val="clear" w:color="auto" w:fill="auto"/>
            <w:vAlign w:val="center"/>
          </w:tcPr>
          <w:p w14:paraId="2DD62909">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项</w:t>
            </w:r>
          </w:p>
        </w:tc>
        <w:tc>
          <w:tcPr>
            <w:tcW w:w="454" w:type="dxa"/>
            <w:shd w:val="clear" w:color="auto" w:fill="auto"/>
            <w:vAlign w:val="center"/>
          </w:tcPr>
          <w:p w14:paraId="6BA3FF73">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936" w:type="dxa"/>
            <w:shd w:val="clear" w:color="auto" w:fill="auto"/>
            <w:vAlign w:val="center"/>
          </w:tcPr>
          <w:p w14:paraId="73DFCD0E">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升级并适配</w:t>
            </w:r>
          </w:p>
        </w:tc>
      </w:tr>
      <w:tr w14:paraId="41F3D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4" w:type="dxa"/>
            <w:vMerge w:val="restart"/>
            <w:shd w:val="clear" w:color="auto" w:fill="auto"/>
            <w:vAlign w:val="center"/>
          </w:tcPr>
          <w:p w14:paraId="40ECF267">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w:t>
            </w:r>
          </w:p>
        </w:tc>
        <w:tc>
          <w:tcPr>
            <w:tcW w:w="3101" w:type="dxa"/>
            <w:vMerge w:val="restart"/>
            <w:shd w:val="clear" w:color="auto" w:fill="auto"/>
            <w:vAlign w:val="center"/>
          </w:tcPr>
          <w:p w14:paraId="25F7E585">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智慧环卫</w:t>
            </w:r>
          </w:p>
        </w:tc>
        <w:tc>
          <w:tcPr>
            <w:tcW w:w="924" w:type="dxa"/>
            <w:shd w:val="clear" w:color="auto" w:fill="auto"/>
            <w:vAlign w:val="center"/>
          </w:tcPr>
          <w:p w14:paraId="14043403">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运营管控</w:t>
            </w:r>
          </w:p>
        </w:tc>
        <w:tc>
          <w:tcPr>
            <w:tcW w:w="3216" w:type="dxa"/>
            <w:shd w:val="clear" w:color="auto" w:fill="auto"/>
            <w:vAlign w:val="center"/>
          </w:tcPr>
          <w:p w14:paraId="426709C6">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运营管控建设包括运营管控看板、环卫公司评价两个模块。运营管控看板从人员、车辆两个个维度对项目的资源配置、投入和产出进行精细化管控与分析；环卫公司评价对公司和评价记录进行留痕和统一管理。</w:t>
            </w:r>
          </w:p>
        </w:tc>
        <w:tc>
          <w:tcPr>
            <w:tcW w:w="3216" w:type="dxa"/>
            <w:shd w:val="clear" w:color="auto" w:fill="auto"/>
            <w:vAlign w:val="center"/>
          </w:tcPr>
          <w:p w14:paraId="206A61B2">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针对信创浏览器的特性和功能进行适配和优化，优化和处理网站中的图片和多媒体内容，以确保在信创浏览器中的兼容性和性能。高度适配、字体适配、适配查询功能、渲染引擎兼容性问题、页面加载渲染速度慢、地图页面加载速度慢、透明度的兼容CSS设置、js引擎、浏览器引擎和数据存储等问题修复。</w:t>
            </w:r>
          </w:p>
        </w:tc>
        <w:tc>
          <w:tcPr>
            <w:tcW w:w="438" w:type="dxa"/>
            <w:shd w:val="clear" w:color="auto" w:fill="auto"/>
            <w:vAlign w:val="center"/>
          </w:tcPr>
          <w:p w14:paraId="708B858B">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项</w:t>
            </w:r>
          </w:p>
        </w:tc>
        <w:tc>
          <w:tcPr>
            <w:tcW w:w="454" w:type="dxa"/>
            <w:shd w:val="clear" w:color="auto" w:fill="auto"/>
            <w:vAlign w:val="center"/>
          </w:tcPr>
          <w:p w14:paraId="5C64DFD2">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936" w:type="dxa"/>
            <w:shd w:val="clear" w:color="auto" w:fill="auto"/>
            <w:vAlign w:val="center"/>
          </w:tcPr>
          <w:p w14:paraId="703A1E86">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适配</w:t>
            </w:r>
          </w:p>
        </w:tc>
      </w:tr>
      <w:tr w14:paraId="15FB2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4" w:type="dxa"/>
            <w:vMerge w:val="continue"/>
            <w:shd w:val="clear" w:color="auto" w:fill="auto"/>
            <w:vAlign w:val="center"/>
          </w:tcPr>
          <w:p w14:paraId="16EF1250">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3101" w:type="dxa"/>
            <w:vMerge w:val="continue"/>
            <w:shd w:val="clear" w:color="auto" w:fill="auto"/>
            <w:vAlign w:val="center"/>
          </w:tcPr>
          <w:p w14:paraId="09382826">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924" w:type="dxa"/>
            <w:vMerge w:val="restart"/>
            <w:shd w:val="clear" w:color="auto" w:fill="auto"/>
            <w:vAlign w:val="center"/>
          </w:tcPr>
          <w:p w14:paraId="74F414A6">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基础管理</w:t>
            </w:r>
          </w:p>
        </w:tc>
        <w:tc>
          <w:tcPr>
            <w:tcW w:w="3216" w:type="dxa"/>
            <w:vMerge w:val="restart"/>
            <w:shd w:val="clear" w:color="auto" w:fill="auto"/>
            <w:vAlign w:val="center"/>
          </w:tcPr>
          <w:p w14:paraId="7FA1F6D6">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基础管理模块实现对环卫中的各类基础数据管理，包括人员、车辆、设施的基础信息，同时对设备、设施的全生命周期进行追踪管理，车辆管理包括车辆折旧、保险年检、车辆维保、车辆加油、车辆加水、车辆违章、车辆事故等方面；设施管理包括设备用水、用电、维保等方面的管理。</w:t>
            </w:r>
          </w:p>
        </w:tc>
        <w:tc>
          <w:tcPr>
            <w:tcW w:w="3216" w:type="dxa"/>
            <w:shd w:val="clear" w:color="auto" w:fill="auto"/>
            <w:vAlign w:val="center"/>
          </w:tcPr>
          <w:p w14:paraId="2FB8AD3C">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需对原平台系统中库表数据进行调研分析，数据库兼容性分析、代码审查与识别、数据库驱动与连接调整、SQL语法与功能兼容性、数据类型与转换处理、存储过程与触发器移植、视图与数据模型调整、数据库适配测试与验证</w:t>
            </w:r>
          </w:p>
        </w:tc>
        <w:tc>
          <w:tcPr>
            <w:tcW w:w="438" w:type="dxa"/>
            <w:vMerge w:val="restart"/>
            <w:shd w:val="clear" w:color="auto" w:fill="auto"/>
            <w:vAlign w:val="center"/>
          </w:tcPr>
          <w:p w14:paraId="488F0AE8">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项</w:t>
            </w:r>
          </w:p>
        </w:tc>
        <w:tc>
          <w:tcPr>
            <w:tcW w:w="454" w:type="dxa"/>
            <w:vMerge w:val="restart"/>
            <w:shd w:val="clear" w:color="auto" w:fill="auto"/>
            <w:vAlign w:val="center"/>
          </w:tcPr>
          <w:p w14:paraId="727742E2">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936" w:type="dxa"/>
            <w:vMerge w:val="restart"/>
            <w:shd w:val="clear" w:color="auto" w:fill="auto"/>
            <w:vAlign w:val="center"/>
          </w:tcPr>
          <w:p w14:paraId="0DA41FDE">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适配</w:t>
            </w:r>
          </w:p>
        </w:tc>
      </w:tr>
      <w:tr w14:paraId="0E1D0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4" w:type="dxa"/>
            <w:vMerge w:val="continue"/>
            <w:shd w:val="clear" w:color="auto" w:fill="auto"/>
            <w:vAlign w:val="center"/>
          </w:tcPr>
          <w:p w14:paraId="49021A02">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3101" w:type="dxa"/>
            <w:vMerge w:val="continue"/>
            <w:shd w:val="clear" w:color="auto" w:fill="auto"/>
            <w:vAlign w:val="center"/>
          </w:tcPr>
          <w:p w14:paraId="6A5763D0">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924" w:type="dxa"/>
            <w:vMerge w:val="continue"/>
            <w:shd w:val="clear" w:color="auto" w:fill="auto"/>
            <w:vAlign w:val="center"/>
          </w:tcPr>
          <w:p w14:paraId="1AACEDFF">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left"/>
              <w:rPr>
                <w:rFonts w:hint="eastAsia" w:ascii="仿宋" w:hAnsi="仿宋" w:eastAsia="仿宋" w:cs="仿宋"/>
                <w:i w:val="0"/>
                <w:iCs w:val="0"/>
                <w:color w:val="auto"/>
                <w:sz w:val="21"/>
                <w:szCs w:val="21"/>
                <w:highlight w:val="none"/>
                <w:u w:val="none"/>
              </w:rPr>
            </w:pPr>
          </w:p>
        </w:tc>
        <w:tc>
          <w:tcPr>
            <w:tcW w:w="3216" w:type="dxa"/>
            <w:vMerge w:val="continue"/>
            <w:shd w:val="clear" w:color="auto" w:fill="auto"/>
            <w:vAlign w:val="center"/>
          </w:tcPr>
          <w:p w14:paraId="27482F05">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left"/>
              <w:rPr>
                <w:rFonts w:hint="eastAsia" w:ascii="仿宋" w:hAnsi="仿宋" w:eastAsia="仿宋" w:cs="仿宋"/>
                <w:i w:val="0"/>
                <w:iCs w:val="0"/>
                <w:color w:val="auto"/>
                <w:sz w:val="21"/>
                <w:szCs w:val="21"/>
                <w:highlight w:val="none"/>
                <w:u w:val="none"/>
              </w:rPr>
            </w:pPr>
          </w:p>
        </w:tc>
        <w:tc>
          <w:tcPr>
            <w:tcW w:w="3216" w:type="dxa"/>
            <w:shd w:val="clear" w:color="auto" w:fill="auto"/>
            <w:vAlign w:val="center"/>
          </w:tcPr>
          <w:p w14:paraId="73CD3399">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针对信创浏览器的特性和功能进行适配和优化，优化和处理网站中的图片和多媒体内容，以确保在信创浏览器中的兼容性和性能。高度适配、字体适配、适配查询功能、渲染引擎兼容性问题、页面加载渲染速度慢、地图页面加载速度慢、透明度的兼容CSS设置、js引擎、浏览器引擎和数据存储等问题修复。</w:t>
            </w:r>
          </w:p>
        </w:tc>
        <w:tc>
          <w:tcPr>
            <w:tcW w:w="438" w:type="dxa"/>
            <w:vMerge w:val="continue"/>
            <w:shd w:val="clear" w:color="auto" w:fill="auto"/>
            <w:vAlign w:val="center"/>
          </w:tcPr>
          <w:p w14:paraId="432A2DFA">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454" w:type="dxa"/>
            <w:vMerge w:val="continue"/>
            <w:shd w:val="clear" w:color="auto" w:fill="auto"/>
            <w:vAlign w:val="center"/>
          </w:tcPr>
          <w:p w14:paraId="18F1B027">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1936" w:type="dxa"/>
            <w:vMerge w:val="continue"/>
            <w:shd w:val="clear" w:color="auto" w:fill="auto"/>
            <w:vAlign w:val="center"/>
          </w:tcPr>
          <w:p w14:paraId="6DBC95BD">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left"/>
              <w:rPr>
                <w:rFonts w:hint="eastAsia" w:ascii="仿宋" w:hAnsi="仿宋" w:eastAsia="仿宋" w:cs="仿宋"/>
                <w:i w:val="0"/>
                <w:iCs w:val="0"/>
                <w:color w:val="auto"/>
                <w:sz w:val="21"/>
                <w:szCs w:val="21"/>
                <w:highlight w:val="none"/>
                <w:u w:val="none"/>
              </w:rPr>
            </w:pPr>
          </w:p>
        </w:tc>
      </w:tr>
      <w:tr w14:paraId="32F74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434" w:type="dxa"/>
            <w:vMerge w:val="continue"/>
            <w:shd w:val="clear" w:color="auto" w:fill="auto"/>
            <w:vAlign w:val="center"/>
          </w:tcPr>
          <w:p w14:paraId="4ADD6BE9">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3101" w:type="dxa"/>
            <w:vMerge w:val="continue"/>
            <w:shd w:val="clear" w:color="auto" w:fill="auto"/>
            <w:vAlign w:val="center"/>
          </w:tcPr>
          <w:p w14:paraId="75C3F589">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924" w:type="dxa"/>
            <w:shd w:val="clear" w:color="auto" w:fill="auto"/>
            <w:vAlign w:val="center"/>
          </w:tcPr>
          <w:p w14:paraId="7FED994F">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可视管理</w:t>
            </w:r>
          </w:p>
        </w:tc>
        <w:tc>
          <w:tcPr>
            <w:tcW w:w="3216" w:type="dxa"/>
            <w:shd w:val="clear" w:color="auto" w:fill="auto"/>
            <w:vAlign w:val="center"/>
          </w:tcPr>
          <w:p w14:paraId="2208CC1F">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可视管理模块集成了环卫资源的全方位监控与管理功能，建设包括环卫资源一张图、人员定位管理系统、车辆运行管理系统、视频实时监控系统等模块，涵盖人员和车辆的定位与运行状态跟踪以及视频监控的实时查看，为环卫管理提供了可视化、数据化的决策支持。</w:t>
            </w:r>
          </w:p>
        </w:tc>
        <w:tc>
          <w:tcPr>
            <w:tcW w:w="3216" w:type="dxa"/>
            <w:shd w:val="clear" w:color="auto" w:fill="auto"/>
            <w:vAlign w:val="center"/>
          </w:tcPr>
          <w:p w14:paraId="6DB2CB43">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系统信创改造包括用户界面展示、高度适配、字体适配、适配查询功能、渲染引擎兼容性问题、页面加载渲染速度慢、地图页面加载速度慢、透明度的兼容CSS设置、js引擎、浏览器引擎和数据存储等问题修复，视频加载不出或过慢，改造适配视频监控平台显示不正常，高度、字体显示不正常。协调厂商重新提供信创环境的视频解码API,并按照信的API，重新对视频进行解密播放。</w:t>
            </w:r>
          </w:p>
        </w:tc>
        <w:tc>
          <w:tcPr>
            <w:tcW w:w="438" w:type="dxa"/>
            <w:shd w:val="clear" w:color="auto" w:fill="auto"/>
            <w:vAlign w:val="center"/>
          </w:tcPr>
          <w:p w14:paraId="7AEF7166">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项</w:t>
            </w:r>
          </w:p>
        </w:tc>
        <w:tc>
          <w:tcPr>
            <w:tcW w:w="454" w:type="dxa"/>
            <w:shd w:val="clear" w:color="auto" w:fill="auto"/>
            <w:vAlign w:val="center"/>
          </w:tcPr>
          <w:p w14:paraId="1C8E8AFF">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936" w:type="dxa"/>
            <w:shd w:val="clear" w:color="auto" w:fill="auto"/>
            <w:vAlign w:val="center"/>
          </w:tcPr>
          <w:p w14:paraId="3C08FA40">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适配</w:t>
            </w:r>
          </w:p>
        </w:tc>
      </w:tr>
      <w:tr w14:paraId="2252F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434" w:type="dxa"/>
            <w:vMerge w:val="continue"/>
            <w:shd w:val="clear" w:color="auto" w:fill="auto"/>
            <w:vAlign w:val="center"/>
          </w:tcPr>
          <w:p w14:paraId="564A41F3">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3101" w:type="dxa"/>
            <w:vMerge w:val="continue"/>
            <w:shd w:val="clear" w:color="auto" w:fill="auto"/>
            <w:vAlign w:val="center"/>
          </w:tcPr>
          <w:p w14:paraId="1E7EA26A">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924" w:type="dxa"/>
            <w:shd w:val="clear" w:color="auto" w:fill="auto"/>
            <w:vAlign w:val="center"/>
          </w:tcPr>
          <w:p w14:paraId="1F8901FE">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智慧公厕管理系统</w:t>
            </w:r>
          </w:p>
        </w:tc>
        <w:tc>
          <w:tcPr>
            <w:tcW w:w="3216" w:type="dxa"/>
            <w:shd w:val="clear" w:color="auto" w:fill="auto"/>
            <w:vAlign w:val="center"/>
          </w:tcPr>
          <w:p w14:paraId="0CA93411">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智慧公厕模块对公厕保洁人员、公厕基础信息进行统一管理，并通过各类感知设备实现对公厕实时运行情况的远程智能感知，为各项指标规定相应的标准，实现自动报警，辅助提高公厕运行质量；对各类数据进行汇总、分析，生成公厕运行报表，同时依托GIS地图实现数据可视化。实现了公厕设施的全面监控与高效管理，确保公厕服务的质量与保洁管理效率。</w:t>
            </w:r>
          </w:p>
        </w:tc>
        <w:tc>
          <w:tcPr>
            <w:tcW w:w="3216" w:type="dxa"/>
            <w:shd w:val="clear" w:color="auto" w:fill="auto"/>
            <w:vAlign w:val="center"/>
          </w:tcPr>
          <w:p w14:paraId="7E3900E8">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系统信创改造包括用户界面展示、高度适配、字体适配、适配查询功能、渲染引擎兼容性问题、页面加载渲染速度慢、地图页面加载速度慢、透明度的兼容CSS设置、js引擎、浏览器引擎和数据存储等问题修复，视频加载不出或过慢，改造适配视频监控平台显示不正常，高度、字体显示不正常。协调厂商重新提供信创环境的视频解码API,并按照信的API，重新对视频进行解密播放。</w:t>
            </w:r>
          </w:p>
        </w:tc>
        <w:tc>
          <w:tcPr>
            <w:tcW w:w="438" w:type="dxa"/>
            <w:shd w:val="clear" w:color="auto" w:fill="auto"/>
            <w:vAlign w:val="center"/>
          </w:tcPr>
          <w:p w14:paraId="2FBC2040">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项</w:t>
            </w:r>
          </w:p>
        </w:tc>
        <w:tc>
          <w:tcPr>
            <w:tcW w:w="454" w:type="dxa"/>
            <w:shd w:val="clear" w:color="auto" w:fill="auto"/>
            <w:vAlign w:val="center"/>
          </w:tcPr>
          <w:p w14:paraId="479F9966">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936" w:type="dxa"/>
            <w:shd w:val="clear" w:color="auto" w:fill="auto"/>
            <w:vAlign w:val="center"/>
          </w:tcPr>
          <w:p w14:paraId="0F934FD9">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适配</w:t>
            </w:r>
          </w:p>
        </w:tc>
      </w:tr>
      <w:tr w14:paraId="23E3C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4" w:type="dxa"/>
            <w:vMerge w:val="continue"/>
            <w:shd w:val="clear" w:color="auto" w:fill="auto"/>
            <w:vAlign w:val="center"/>
          </w:tcPr>
          <w:p w14:paraId="071CF096">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3101" w:type="dxa"/>
            <w:vMerge w:val="continue"/>
            <w:shd w:val="clear" w:color="auto" w:fill="auto"/>
            <w:vAlign w:val="center"/>
          </w:tcPr>
          <w:p w14:paraId="343FDA9F">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924" w:type="dxa"/>
            <w:vMerge w:val="restart"/>
            <w:shd w:val="clear" w:color="auto" w:fill="auto"/>
            <w:vAlign w:val="center"/>
          </w:tcPr>
          <w:p w14:paraId="0E7A6B10">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作业管理</w:t>
            </w:r>
          </w:p>
        </w:tc>
        <w:tc>
          <w:tcPr>
            <w:tcW w:w="3216" w:type="dxa"/>
            <w:vMerge w:val="restart"/>
            <w:shd w:val="clear" w:color="auto" w:fill="auto"/>
            <w:vAlign w:val="center"/>
          </w:tcPr>
          <w:p w14:paraId="33B513A0">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作业管理模块覆盖环卫作业的关键业务，包括人工扫保、垃圾收运、垃圾转运、机械包机四个子系统，实现包括人员的排班与作业监管、垃圾收运规划与收运进度实时追踪、垃圾转运的调度管理，以及机械化保洁作业的排班、作业状态监控、作业进度追踪，并对关键数据进行分析，生成相应的统计报表，保障作业流程的高效。</w:t>
            </w:r>
          </w:p>
        </w:tc>
        <w:tc>
          <w:tcPr>
            <w:tcW w:w="3216" w:type="dxa"/>
            <w:shd w:val="clear" w:color="auto" w:fill="auto"/>
            <w:vAlign w:val="center"/>
          </w:tcPr>
          <w:p w14:paraId="3CC1680F">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需对原平台系统中库表数据进行调研分析，数据库兼容性分析、代码审查与识别、数据库驱动与连接调整、SQL语法与功能兼容性、数据类型与转换处理、存储过程与触发器移植、视图与数据模型调整、数据库适配测试与验证</w:t>
            </w:r>
          </w:p>
        </w:tc>
        <w:tc>
          <w:tcPr>
            <w:tcW w:w="438" w:type="dxa"/>
            <w:vMerge w:val="restart"/>
            <w:shd w:val="clear" w:color="auto" w:fill="auto"/>
            <w:vAlign w:val="center"/>
          </w:tcPr>
          <w:p w14:paraId="0652F190">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项</w:t>
            </w:r>
          </w:p>
        </w:tc>
        <w:tc>
          <w:tcPr>
            <w:tcW w:w="454" w:type="dxa"/>
            <w:vMerge w:val="restart"/>
            <w:shd w:val="clear" w:color="auto" w:fill="auto"/>
            <w:vAlign w:val="center"/>
          </w:tcPr>
          <w:p w14:paraId="31D2EC6D">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936" w:type="dxa"/>
            <w:vMerge w:val="restart"/>
            <w:shd w:val="clear" w:color="auto" w:fill="auto"/>
            <w:vAlign w:val="center"/>
          </w:tcPr>
          <w:p w14:paraId="1E22006F">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适配</w:t>
            </w:r>
          </w:p>
        </w:tc>
      </w:tr>
      <w:tr w14:paraId="11FA3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434" w:type="dxa"/>
            <w:vMerge w:val="continue"/>
            <w:shd w:val="clear" w:color="auto" w:fill="auto"/>
            <w:vAlign w:val="center"/>
          </w:tcPr>
          <w:p w14:paraId="4C437B49">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3101" w:type="dxa"/>
            <w:vMerge w:val="continue"/>
            <w:shd w:val="clear" w:color="auto" w:fill="auto"/>
            <w:vAlign w:val="center"/>
          </w:tcPr>
          <w:p w14:paraId="2AB2E645">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924" w:type="dxa"/>
            <w:vMerge w:val="continue"/>
            <w:shd w:val="clear" w:color="auto" w:fill="auto"/>
            <w:vAlign w:val="center"/>
          </w:tcPr>
          <w:p w14:paraId="1CE861AF">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left"/>
              <w:rPr>
                <w:rFonts w:hint="eastAsia" w:ascii="仿宋" w:hAnsi="仿宋" w:eastAsia="仿宋" w:cs="仿宋"/>
                <w:i w:val="0"/>
                <w:iCs w:val="0"/>
                <w:color w:val="auto"/>
                <w:sz w:val="21"/>
                <w:szCs w:val="21"/>
                <w:highlight w:val="none"/>
                <w:u w:val="none"/>
              </w:rPr>
            </w:pPr>
          </w:p>
        </w:tc>
        <w:tc>
          <w:tcPr>
            <w:tcW w:w="3216" w:type="dxa"/>
            <w:vMerge w:val="continue"/>
            <w:shd w:val="clear" w:color="auto" w:fill="auto"/>
            <w:vAlign w:val="center"/>
          </w:tcPr>
          <w:p w14:paraId="13F823F8">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left"/>
              <w:rPr>
                <w:rFonts w:hint="eastAsia" w:ascii="仿宋" w:hAnsi="仿宋" w:eastAsia="仿宋" w:cs="仿宋"/>
                <w:i w:val="0"/>
                <w:iCs w:val="0"/>
                <w:color w:val="auto"/>
                <w:sz w:val="21"/>
                <w:szCs w:val="21"/>
                <w:highlight w:val="none"/>
                <w:u w:val="none"/>
              </w:rPr>
            </w:pPr>
          </w:p>
        </w:tc>
        <w:tc>
          <w:tcPr>
            <w:tcW w:w="3216" w:type="dxa"/>
            <w:shd w:val="clear" w:color="auto" w:fill="auto"/>
            <w:vAlign w:val="center"/>
          </w:tcPr>
          <w:p w14:paraId="579E6FCF">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针对信创浏览器的特性和功能进行适配和优化，优化和处理网站中的图片和多媒体内容，以确保在信创浏览器中的兼容性和性能。高度适配、字体适配、适配查询功能、渲染引擎兼容性问题、页面加载渲染速度慢、地图页面加载速度慢、透明度的兼容CSS设置、js引擎、浏览器引擎和数据存储等问题修复。</w:t>
            </w:r>
          </w:p>
        </w:tc>
        <w:tc>
          <w:tcPr>
            <w:tcW w:w="438" w:type="dxa"/>
            <w:vMerge w:val="continue"/>
            <w:shd w:val="clear" w:color="auto" w:fill="auto"/>
            <w:vAlign w:val="center"/>
          </w:tcPr>
          <w:p w14:paraId="5BD84ACA">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454" w:type="dxa"/>
            <w:vMerge w:val="continue"/>
            <w:shd w:val="clear" w:color="auto" w:fill="auto"/>
            <w:vAlign w:val="center"/>
          </w:tcPr>
          <w:p w14:paraId="282F3186">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1936" w:type="dxa"/>
            <w:vMerge w:val="continue"/>
            <w:shd w:val="clear" w:color="auto" w:fill="auto"/>
            <w:vAlign w:val="center"/>
          </w:tcPr>
          <w:p w14:paraId="7F66FFAC">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left"/>
              <w:rPr>
                <w:rFonts w:hint="eastAsia" w:ascii="仿宋" w:hAnsi="仿宋" w:eastAsia="仿宋" w:cs="仿宋"/>
                <w:i w:val="0"/>
                <w:iCs w:val="0"/>
                <w:color w:val="auto"/>
                <w:sz w:val="21"/>
                <w:szCs w:val="21"/>
                <w:highlight w:val="none"/>
                <w:u w:val="none"/>
              </w:rPr>
            </w:pPr>
          </w:p>
        </w:tc>
      </w:tr>
      <w:tr w14:paraId="6053A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4" w:type="dxa"/>
            <w:vMerge w:val="continue"/>
            <w:shd w:val="clear" w:color="auto" w:fill="auto"/>
            <w:vAlign w:val="center"/>
          </w:tcPr>
          <w:p w14:paraId="07B4F20A">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3101" w:type="dxa"/>
            <w:vMerge w:val="continue"/>
            <w:shd w:val="clear" w:color="auto" w:fill="auto"/>
            <w:vAlign w:val="center"/>
          </w:tcPr>
          <w:p w14:paraId="4A72E0C0">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924" w:type="dxa"/>
            <w:shd w:val="clear" w:color="auto" w:fill="auto"/>
            <w:vAlign w:val="center"/>
          </w:tcPr>
          <w:p w14:paraId="234CC52E">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指挥调度</w:t>
            </w:r>
          </w:p>
        </w:tc>
        <w:tc>
          <w:tcPr>
            <w:tcW w:w="3216" w:type="dxa"/>
            <w:shd w:val="clear" w:color="auto" w:fill="auto"/>
            <w:vAlign w:val="center"/>
          </w:tcPr>
          <w:p w14:paraId="62651FCC">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环卫指挥调度通过将WEBGIS、IM、视频等技术结合，实现管理人员在日常环卫作业中或紧急情况下的全局性、即时性指挥调度需求，让管理人员合理协同、分配资源，统一指挥调度，提升快速协同处置各种事件的能力。</w:t>
            </w:r>
          </w:p>
        </w:tc>
        <w:tc>
          <w:tcPr>
            <w:tcW w:w="3216" w:type="dxa"/>
            <w:shd w:val="clear" w:color="auto" w:fill="auto"/>
            <w:vAlign w:val="center"/>
          </w:tcPr>
          <w:p w14:paraId="7A9AD21C">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系统信创改造包括用户界面展示、高度适配、字体适配、适配查询功能、渲染引擎兼容性问题、页面加载渲染速度慢、地图页面加载速度慢、透明度的兼容CSS设置、js引擎、浏览器引擎和数据存储等问题修复，视频加载不出或过慢，改造适配视频监控平台显示不正常，高度、字体显示不正常。</w:t>
            </w:r>
          </w:p>
        </w:tc>
        <w:tc>
          <w:tcPr>
            <w:tcW w:w="438" w:type="dxa"/>
            <w:shd w:val="clear" w:color="auto" w:fill="auto"/>
            <w:vAlign w:val="center"/>
          </w:tcPr>
          <w:p w14:paraId="142BF665">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项</w:t>
            </w:r>
          </w:p>
        </w:tc>
        <w:tc>
          <w:tcPr>
            <w:tcW w:w="454" w:type="dxa"/>
            <w:shd w:val="clear" w:color="auto" w:fill="auto"/>
            <w:vAlign w:val="center"/>
          </w:tcPr>
          <w:p w14:paraId="2D8A9B01">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936" w:type="dxa"/>
            <w:shd w:val="clear" w:color="auto" w:fill="auto"/>
            <w:vAlign w:val="center"/>
          </w:tcPr>
          <w:p w14:paraId="68E9321A">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适配</w:t>
            </w:r>
          </w:p>
        </w:tc>
      </w:tr>
      <w:tr w14:paraId="041F6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4" w:type="dxa"/>
            <w:vMerge w:val="continue"/>
            <w:shd w:val="clear" w:color="auto" w:fill="auto"/>
            <w:vAlign w:val="center"/>
          </w:tcPr>
          <w:p w14:paraId="26CD367E">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3101" w:type="dxa"/>
            <w:vMerge w:val="continue"/>
            <w:shd w:val="clear" w:color="auto" w:fill="auto"/>
            <w:vAlign w:val="center"/>
          </w:tcPr>
          <w:p w14:paraId="659A32B8">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924" w:type="dxa"/>
            <w:vMerge w:val="restart"/>
            <w:shd w:val="clear" w:color="auto" w:fill="auto"/>
            <w:vAlign w:val="center"/>
          </w:tcPr>
          <w:p w14:paraId="52FFD87A">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品质督查</w:t>
            </w:r>
          </w:p>
        </w:tc>
        <w:tc>
          <w:tcPr>
            <w:tcW w:w="3216" w:type="dxa"/>
            <w:vMerge w:val="restart"/>
            <w:shd w:val="clear" w:color="auto" w:fill="auto"/>
            <w:vAlign w:val="center"/>
          </w:tcPr>
          <w:p w14:paraId="3249BAF5">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品质督查模块以办件处理为核心，从办件的上报受理、接收派单、通知提醒、转交指派、结案归档等方面进行规范，实现问题处理全过程线上管理和闭环管理，通过品质督查仪表盘实现对问题数据、整改数据的可视化管理，辅助掌握问题高发地区和问题整改情况。</w:t>
            </w:r>
          </w:p>
        </w:tc>
        <w:tc>
          <w:tcPr>
            <w:tcW w:w="3216" w:type="dxa"/>
            <w:shd w:val="clear" w:color="auto" w:fill="auto"/>
            <w:vAlign w:val="center"/>
          </w:tcPr>
          <w:p w14:paraId="1630FE9B">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需对原平台系统中库表数据进行调研分析，数据库兼容性分析、代码审查与识别、数据库驱动与连接调整、SQL语法与功能兼容性、数据类型与转换处理、存储过程与触发器移植、视图与数据模型调整、数据库适配测试与验证</w:t>
            </w:r>
          </w:p>
        </w:tc>
        <w:tc>
          <w:tcPr>
            <w:tcW w:w="438" w:type="dxa"/>
            <w:vMerge w:val="restart"/>
            <w:shd w:val="clear" w:color="auto" w:fill="auto"/>
            <w:vAlign w:val="center"/>
          </w:tcPr>
          <w:p w14:paraId="6E01D272">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项</w:t>
            </w:r>
          </w:p>
        </w:tc>
        <w:tc>
          <w:tcPr>
            <w:tcW w:w="454" w:type="dxa"/>
            <w:vMerge w:val="restart"/>
            <w:shd w:val="clear" w:color="auto" w:fill="auto"/>
            <w:vAlign w:val="center"/>
          </w:tcPr>
          <w:p w14:paraId="678EB5A9">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936" w:type="dxa"/>
            <w:vMerge w:val="restart"/>
            <w:shd w:val="clear" w:color="auto" w:fill="auto"/>
            <w:vAlign w:val="center"/>
          </w:tcPr>
          <w:p w14:paraId="688F6CE0">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适配</w:t>
            </w:r>
          </w:p>
        </w:tc>
      </w:tr>
      <w:tr w14:paraId="7D1E8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4" w:type="dxa"/>
            <w:vMerge w:val="continue"/>
            <w:shd w:val="clear" w:color="auto" w:fill="auto"/>
            <w:vAlign w:val="center"/>
          </w:tcPr>
          <w:p w14:paraId="423D12A6">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3101" w:type="dxa"/>
            <w:vMerge w:val="continue"/>
            <w:shd w:val="clear" w:color="auto" w:fill="auto"/>
            <w:vAlign w:val="center"/>
          </w:tcPr>
          <w:p w14:paraId="231B437E">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924" w:type="dxa"/>
            <w:vMerge w:val="continue"/>
            <w:shd w:val="clear" w:color="auto" w:fill="auto"/>
            <w:vAlign w:val="center"/>
          </w:tcPr>
          <w:p w14:paraId="7B5744DD">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left"/>
              <w:rPr>
                <w:rFonts w:hint="eastAsia" w:ascii="仿宋" w:hAnsi="仿宋" w:eastAsia="仿宋" w:cs="仿宋"/>
                <w:i w:val="0"/>
                <w:iCs w:val="0"/>
                <w:color w:val="auto"/>
                <w:sz w:val="21"/>
                <w:szCs w:val="21"/>
                <w:highlight w:val="none"/>
                <w:u w:val="none"/>
              </w:rPr>
            </w:pPr>
          </w:p>
        </w:tc>
        <w:tc>
          <w:tcPr>
            <w:tcW w:w="3216" w:type="dxa"/>
            <w:vMerge w:val="continue"/>
            <w:shd w:val="clear" w:color="auto" w:fill="auto"/>
            <w:vAlign w:val="center"/>
          </w:tcPr>
          <w:p w14:paraId="05D7E695">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left"/>
              <w:rPr>
                <w:rFonts w:hint="eastAsia" w:ascii="仿宋" w:hAnsi="仿宋" w:eastAsia="仿宋" w:cs="仿宋"/>
                <w:i w:val="0"/>
                <w:iCs w:val="0"/>
                <w:color w:val="auto"/>
                <w:sz w:val="21"/>
                <w:szCs w:val="21"/>
                <w:highlight w:val="none"/>
                <w:u w:val="none"/>
              </w:rPr>
            </w:pPr>
          </w:p>
        </w:tc>
        <w:tc>
          <w:tcPr>
            <w:tcW w:w="3216" w:type="dxa"/>
            <w:shd w:val="clear" w:color="auto" w:fill="auto"/>
            <w:vAlign w:val="center"/>
          </w:tcPr>
          <w:p w14:paraId="5ED33B59">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针对信创浏览器的特性和功能进行适配和优化，优化和处理网站中的图片和多媒体内容，以确保在信创浏览器中的兼容性和性能。高度适配、字体适配、适配查询功能、渲染引擎兼容性问题、页面加载渲染速度慢、地图页面加载速度慢、透明度的兼容CSS设置、js引擎、浏览器引擎和数据存储等问题修复。</w:t>
            </w:r>
          </w:p>
        </w:tc>
        <w:tc>
          <w:tcPr>
            <w:tcW w:w="438" w:type="dxa"/>
            <w:vMerge w:val="continue"/>
            <w:shd w:val="clear" w:color="auto" w:fill="auto"/>
            <w:vAlign w:val="center"/>
          </w:tcPr>
          <w:p w14:paraId="21E67ABA">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454" w:type="dxa"/>
            <w:vMerge w:val="continue"/>
            <w:shd w:val="clear" w:color="auto" w:fill="auto"/>
            <w:vAlign w:val="center"/>
          </w:tcPr>
          <w:p w14:paraId="68912DDD">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1936" w:type="dxa"/>
            <w:vMerge w:val="continue"/>
            <w:shd w:val="clear" w:color="auto" w:fill="auto"/>
            <w:vAlign w:val="center"/>
          </w:tcPr>
          <w:p w14:paraId="320FA9C1">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left"/>
              <w:rPr>
                <w:rFonts w:hint="eastAsia" w:ascii="仿宋" w:hAnsi="仿宋" w:eastAsia="仿宋" w:cs="仿宋"/>
                <w:i w:val="0"/>
                <w:iCs w:val="0"/>
                <w:color w:val="auto"/>
                <w:sz w:val="21"/>
                <w:szCs w:val="21"/>
                <w:highlight w:val="none"/>
                <w:u w:val="none"/>
              </w:rPr>
            </w:pPr>
          </w:p>
        </w:tc>
      </w:tr>
      <w:tr w14:paraId="78A23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4" w:type="dxa"/>
            <w:vMerge w:val="restart"/>
            <w:shd w:val="clear" w:color="auto" w:fill="auto"/>
            <w:vAlign w:val="center"/>
          </w:tcPr>
          <w:p w14:paraId="2B34B1E7">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w:t>
            </w:r>
          </w:p>
        </w:tc>
        <w:tc>
          <w:tcPr>
            <w:tcW w:w="3101" w:type="dxa"/>
            <w:vMerge w:val="restart"/>
            <w:shd w:val="clear" w:color="auto" w:fill="auto"/>
            <w:vAlign w:val="center"/>
          </w:tcPr>
          <w:p w14:paraId="5CA4DF95">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垃圾分类</w:t>
            </w:r>
          </w:p>
        </w:tc>
        <w:tc>
          <w:tcPr>
            <w:tcW w:w="924" w:type="dxa"/>
            <w:shd w:val="clear" w:color="auto" w:fill="auto"/>
            <w:vAlign w:val="center"/>
          </w:tcPr>
          <w:p w14:paraId="07828CC7">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垃圾分类一张图</w:t>
            </w:r>
          </w:p>
        </w:tc>
        <w:tc>
          <w:tcPr>
            <w:tcW w:w="3216" w:type="dxa"/>
            <w:shd w:val="clear" w:color="auto" w:fill="auto"/>
            <w:vAlign w:val="center"/>
          </w:tcPr>
          <w:p w14:paraId="0D696356">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垃圾分类一张图通过对垃圾分类全流程中的各项关键数据进行汇总分析，根据管理需求，通过看板实现数据可视化，建设包括设施一张图、收运一张图、考核一张图、垃圾分类看板、分类考核看板。</w:t>
            </w:r>
          </w:p>
        </w:tc>
        <w:tc>
          <w:tcPr>
            <w:tcW w:w="3216" w:type="dxa"/>
            <w:shd w:val="clear" w:color="auto" w:fill="auto"/>
            <w:vAlign w:val="center"/>
          </w:tcPr>
          <w:p w14:paraId="1C8F40CA">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系统信创改造包括用户界面展示、高度适配、字体适配、适配查询功能、渲染引擎兼容性问题、页面加载渲染速度慢、地图页面加载速度慢、透明度的兼容CSS设置、js引擎、浏览器引擎和数据存储等问题修复。</w:t>
            </w:r>
          </w:p>
        </w:tc>
        <w:tc>
          <w:tcPr>
            <w:tcW w:w="438" w:type="dxa"/>
            <w:shd w:val="clear" w:color="auto" w:fill="auto"/>
            <w:vAlign w:val="center"/>
          </w:tcPr>
          <w:p w14:paraId="3C97432E">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项</w:t>
            </w:r>
          </w:p>
        </w:tc>
        <w:tc>
          <w:tcPr>
            <w:tcW w:w="454" w:type="dxa"/>
            <w:shd w:val="clear" w:color="auto" w:fill="auto"/>
            <w:vAlign w:val="center"/>
          </w:tcPr>
          <w:p w14:paraId="46ACAD87">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936" w:type="dxa"/>
            <w:shd w:val="clear" w:color="auto" w:fill="auto"/>
            <w:vAlign w:val="center"/>
          </w:tcPr>
          <w:p w14:paraId="00470553">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适配</w:t>
            </w:r>
          </w:p>
        </w:tc>
      </w:tr>
      <w:tr w14:paraId="0E746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4" w:type="dxa"/>
            <w:vMerge w:val="continue"/>
            <w:shd w:val="clear" w:color="auto" w:fill="auto"/>
            <w:vAlign w:val="center"/>
          </w:tcPr>
          <w:p w14:paraId="33FBFDD3">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3101" w:type="dxa"/>
            <w:vMerge w:val="continue"/>
            <w:shd w:val="clear" w:color="auto" w:fill="auto"/>
            <w:vAlign w:val="center"/>
          </w:tcPr>
          <w:p w14:paraId="2F2EE77A">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924" w:type="dxa"/>
            <w:vMerge w:val="restart"/>
            <w:shd w:val="clear" w:color="auto" w:fill="auto"/>
            <w:vAlign w:val="center"/>
          </w:tcPr>
          <w:p w14:paraId="0EE4BF93">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信息管理系统</w:t>
            </w:r>
          </w:p>
        </w:tc>
        <w:tc>
          <w:tcPr>
            <w:tcW w:w="3216" w:type="dxa"/>
            <w:vMerge w:val="restart"/>
            <w:shd w:val="clear" w:color="auto" w:fill="auto"/>
            <w:vAlign w:val="center"/>
          </w:tcPr>
          <w:p w14:paraId="29D63994">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信息管理系统实现对环卫设施的统一归口管理，建设相应的设施电子台账，依托GIS地图展现设施的分别情况，帮助管理人员掌握设施的状态和位置，并通过统计报表分析，提升设施管理的效率，提高决策的科学性。</w:t>
            </w:r>
          </w:p>
        </w:tc>
        <w:tc>
          <w:tcPr>
            <w:tcW w:w="3216" w:type="dxa"/>
            <w:shd w:val="clear" w:color="auto" w:fill="auto"/>
            <w:vAlign w:val="center"/>
          </w:tcPr>
          <w:p w14:paraId="5EB02A56">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需对原平台系统中库表数据进行调研分析，数据库兼容性分析、代码审查与识别、数据库驱动与连接调整、SQL语法与功能兼容性、数据类型与转换处理、存储过程与触发器移植、视图与数据模型调整、数据库适配测试与验证。</w:t>
            </w:r>
          </w:p>
        </w:tc>
        <w:tc>
          <w:tcPr>
            <w:tcW w:w="438" w:type="dxa"/>
            <w:vMerge w:val="restart"/>
            <w:shd w:val="clear" w:color="auto" w:fill="auto"/>
            <w:vAlign w:val="center"/>
          </w:tcPr>
          <w:p w14:paraId="3470A158">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项</w:t>
            </w:r>
          </w:p>
        </w:tc>
        <w:tc>
          <w:tcPr>
            <w:tcW w:w="454" w:type="dxa"/>
            <w:vMerge w:val="restart"/>
            <w:shd w:val="clear" w:color="auto" w:fill="auto"/>
            <w:vAlign w:val="center"/>
          </w:tcPr>
          <w:p w14:paraId="061C29BF">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936" w:type="dxa"/>
            <w:vMerge w:val="restart"/>
            <w:shd w:val="clear" w:color="auto" w:fill="auto"/>
            <w:vAlign w:val="center"/>
          </w:tcPr>
          <w:p w14:paraId="3048715F">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适配</w:t>
            </w:r>
          </w:p>
        </w:tc>
      </w:tr>
      <w:tr w14:paraId="3D08C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4" w:type="dxa"/>
            <w:vMerge w:val="continue"/>
            <w:shd w:val="clear" w:color="auto" w:fill="auto"/>
            <w:vAlign w:val="center"/>
          </w:tcPr>
          <w:p w14:paraId="242B2036">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3101" w:type="dxa"/>
            <w:vMerge w:val="continue"/>
            <w:shd w:val="clear" w:color="auto" w:fill="auto"/>
            <w:vAlign w:val="center"/>
          </w:tcPr>
          <w:p w14:paraId="4F1F0960">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924" w:type="dxa"/>
            <w:vMerge w:val="continue"/>
            <w:shd w:val="clear" w:color="auto" w:fill="auto"/>
            <w:vAlign w:val="center"/>
          </w:tcPr>
          <w:p w14:paraId="3F1DEC9D">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left"/>
              <w:rPr>
                <w:rFonts w:hint="eastAsia" w:ascii="仿宋" w:hAnsi="仿宋" w:eastAsia="仿宋" w:cs="仿宋"/>
                <w:i w:val="0"/>
                <w:iCs w:val="0"/>
                <w:color w:val="auto"/>
                <w:sz w:val="21"/>
                <w:szCs w:val="21"/>
                <w:highlight w:val="none"/>
                <w:u w:val="none"/>
              </w:rPr>
            </w:pPr>
          </w:p>
        </w:tc>
        <w:tc>
          <w:tcPr>
            <w:tcW w:w="3216" w:type="dxa"/>
            <w:vMerge w:val="continue"/>
            <w:shd w:val="clear" w:color="auto" w:fill="auto"/>
            <w:vAlign w:val="center"/>
          </w:tcPr>
          <w:p w14:paraId="4D407A91">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left"/>
              <w:rPr>
                <w:rFonts w:hint="eastAsia" w:ascii="仿宋" w:hAnsi="仿宋" w:eastAsia="仿宋" w:cs="仿宋"/>
                <w:i w:val="0"/>
                <w:iCs w:val="0"/>
                <w:color w:val="auto"/>
                <w:sz w:val="21"/>
                <w:szCs w:val="21"/>
                <w:highlight w:val="none"/>
                <w:u w:val="none"/>
              </w:rPr>
            </w:pPr>
          </w:p>
        </w:tc>
        <w:tc>
          <w:tcPr>
            <w:tcW w:w="3216" w:type="dxa"/>
            <w:shd w:val="clear" w:color="auto" w:fill="auto"/>
            <w:vAlign w:val="center"/>
          </w:tcPr>
          <w:p w14:paraId="04F29792">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针对信创浏览器的特性和功能进行适配和优化，优化和处理网站中的图片和多媒体内容，以确保在信创浏览器中的兼容性和性能。高度适配、字体适配、适配查询功能、渲染引擎兼容性问题、页面加载渲染速度慢、地图页面加载速度慢、透明度的兼容CSS设置、js引擎、浏览器引擎和数据存储等问题修复。</w:t>
            </w:r>
          </w:p>
        </w:tc>
        <w:tc>
          <w:tcPr>
            <w:tcW w:w="438" w:type="dxa"/>
            <w:vMerge w:val="continue"/>
            <w:shd w:val="clear" w:color="auto" w:fill="auto"/>
            <w:vAlign w:val="center"/>
          </w:tcPr>
          <w:p w14:paraId="74F23197">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454" w:type="dxa"/>
            <w:vMerge w:val="continue"/>
            <w:shd w:val="clear" w:color="auto" w:fill="auto"/>
            <w:vAlign w:val="center"/>
          </w:tcPr>
          <w:p w14:paraId="30F79289">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1936" w:type="dxa"/>
            <w:vMerge w:val="continue"/>
            <w:shd w:val="clear" w:color="auto" w:fill="auto"/>
            <w:vAlign w:val="center"/>
          </w:tcPr>
          <w:p w14:paraId="1877DA22">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left"/>
              <w:rPr>
                <w:rFonts w:hint="eastAsia" w:ascii="仿宋" w:hAnsi="仿宋" w:eastAsia="仿宋" w:cs="仿宋"/>
                <w:i w:val="0"/>
                <w:iCs w:val="0"/>
                <w:color w:val="auto"/>
                <w:sz w:val="21"/>
                <w:szCs w:val="21"/>
                <w:highlight w:val="none"/>
                <w:u w:val="none"/>
              </w:rPr>
            </w:pPr>
          </w:p>
        </w:tc>
      </w:tr>
      <w:tr w14:paraId="4E701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4" w:type="dxa"/>
            <w:vMerge w:val="continue"/>
            <w:shd w:val="clear" w:color="auto" w:fill="auto"/>
            <w:vAlign w:val="center"/>
          </w:tcPr>
          <w:p w14:paraId="323E6BA1">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3101" w:type="dxa"/>
            <w:vMerge w:val="continue"/>
            <w:shd w:val="clear" w:color="auto" w:fill="auto"/>
            <w:vAlign w:val="center"/>
          </w:tcPr>
          <w:p w14:paraId="57AE8B63">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924" w:type="dxa"/>
            <w:vMerge w:val="restart"/>
            <w:shd w:val="clear" w:color="auto" w:fill="auto"/>
            <w:vAlign w:val="center"/>
          </w:tcPr>
          <w:p w14:paraId="7DEE6D87">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数据采集系统</w:t>
            </w:r>
          </w:p>
        </w:tc>
        <w:tc>
          <w:tcPr>
            <w:tcW w:w="3216" w:type="dxa"/>
            <w:vMerge w:val="restart"/>
            <w:shd w:val="clear" w:color="auto" w:fill="auto"/>
            <w:vAlign w:val="center"/>
          </w:tcPr>
          <w:p w14:paraId="25455E59">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数据采集系统实现垃圾分类工作中数据的收集与管理，通过数据填报功能设计，实现各单位垃圾量的统计，并生成相应的报表，为后续的分析与管理决策提供依据。</w:t>
            </w:r>
          </w:p>
        </w:tc>
        <w:tc>
          <w:tcPr>
            <w:tcW w:w="3216" w:type="dxa"/>
            <w:shd w:val="clear" w:color="auto" w:fill="auto"/>
            <w:vAlign w:val="center"/>
          </w:tcPr>
          <w:p w14:paraId="5664A90A">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需对原平台系统中库表数据进行调研分析，数据库兼容性分析、代码审查与识别、数据库驱动与连接调整、SQL语法与功能兼容性、数据类型与转换处理、存储过程与触发器移植、视图与数据模型调整、数据库适配测试与验证。</w:t>
            </w:r>
          </w:p>
        </w:tc>
        <w:tc>
          <w:tcPr>
            <w:tcW w:w="438" w:type="dxa"/>
            <w:vMerge w:val="restart"/>
            <w:shd w:val="clear" w:color="auto" w:fill="auto"/>
            <w:vAlign w:val="center"/>
          </w:tcPr>
          <w:p w14:paraId="3223C87E">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项</w:t>
            </w:r>
          </w:p>
        </w:tc>
        <w:tc>
          <w:tcPr>
            <w:tcW w:w="454" w:type="dxa"/>
            <w:vMerge w:val="restart"/>
            <w:shd w:val="clear" w:color="auto" w:fill="auto"/>
            <w:vAlign w:val="center"/>
          </w:tcPr>
          <w:p w14:paraId="7138772F">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936" w:type="dxa"/>
            <w:vMerge w:val="restart"/>
            <w:shd w:val="clear" w:color="auto" w:fill="auto"/>
            <w:vAlign w:val="center"/>
          </w:tcPr>
          <w:p w14:paraId="12C4CB45">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适配</w:t>
            </w:r>
          </w:p>
        </w:tc>
      </w:tr>
      <w:tr w14:paraId="0E9A1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4" w:type="dxa"/>
            <w:vMerge w:val="continue"/>
            <w:shd w:val="clear" w:color="auto" w:fill="auto"/>
            <w:vAlign w:val="center"/>
          </w:tcPr>
          <w:p w14:paraId="719179E3">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3101" w:type="dxa"/>
            <w:vMerge w:val="continue"/>
            <w:shd w:val="clear" w:color="auto" w:fill="auto"/>
            <w:vAlign w:val="center"/>
          </w:tcPr>
          <w:p w14:paraId="6F76C3CF">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924" w:type="dxa"/>
            <w:vMerge w:val="continue"/>
            <w:shd w:val="clear" w:color="auto" w:fill="auto"/>
            <w:vAlign w:val="center"/>
          </w:tcPr>
          <w:p w14:paraId="7A2B6B53">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left"/>
              <w:rPr>
                <w:rFonts w:hint="eastAsia" w:ascii="仿宋" w:hAnsi="仿宋" w:eastAsia="仿宋" w:cs="仿宋"/>
                <w:i w:val="0"/>
                <w:iCs w:val="0"/>
                <w:color w:val="auto"/>
                <w:sz w:val="21"/>
                <w:szCs w:val="21"/>
                <w:highlight w:val="none"/>
                <w:u w:val="none"/>
              </w:rPr>
            </w:pPr>
          </w:p>
        </w:tc>
        <w:tc>
          <w:tcPr>
            <w:tcW w:w="3216" w:type="dxa"/>
            <w:vMerge w:val="continue"/>
            <w:shd w:val="clear" w:color="auto" w:fill="auto"/>
            <w:vAlign w:val="center"/>
          </w:tcPr>
          <w:p w14:paraId="479B44D3">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left"/>
              <w:rPr>
                <w:rFonts w:hint="eastAsia" w:ascii="仿宋" w:hAnsi="仿宋" w:eastAsia="仿宋" w:cs="仿宋"/>
                <w:i w:val="0"/>
                <w:iCs w:val="0"/>
                <w:color w:val="auto"/>
                <w:sz w:val="21"/>
                <w:szCs w:val="21"/>
                <w:highlight w:val="none"/>
                <w:u w:val="none"/>
              </w:rPr>
            </w:pPr>
          </w:p>
        </w:tc>
        <w:tc>
          <w:tcPr>
            <w:tcW w:w="3216" w:type="dxa"/>
            <w:shd w:val="clear" w:color="auto" w:fill="auto"/>
            <w:vAlign w:val="center"/>
          </w:tcPr>
          <w:p w14:paraId="510E1869">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针对信创浏览器的特性和功能进行适配和优化，优化和处理网站中的图片和多媒体内容，以确保在信创浏览器中的兼容性和性能。高度适配、字体适配、适配查询功能、渲染引擎兼容性问题、页面加载渲染速度慢、地图页面加载速度慢、透明度的兼容CSS设置、js引擎、浏览器引擎和数据存储等问题修复。</w:t>
            </w:r>
          </w:p>
        </w:tc>
        <w:tc>
          <w:tcPr>
            <w:tcW w:w="438" w:type="dxa"/>
            <w:vMerge w:val="continue"/>
            <w:shd w:val="clear" w:color="auto" w:fill="auto"/>
            <w:vAlign w:val="center"/>
          </w:tcPr>
          <w:p w14:paraId="75CFAEE7">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454" w:type="dxa"/>
            <w:vMerge w:val="continue"/>
            <w:shd w:val="clear" w:color="auto" w:fill="auto"/>
            <w:vAlign w:val="center"/>
          </w:tcPr>
          <w:p w14:paraId="03C6B6CF">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1936" w:type="dxa"/>
            <w:vMerge w:val="continue"/>
            <w:shd w:val="clear" w:color="auto" w:fill="auto"/>
            <w:vAlign w:val="center"/>
          </w:tcPr>
          <w:p w14:paraId="511C445A">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left"/>
              <w:rPr>
                <w:rFonts w:hint="eastAsia" w:ascii="仿宋" w:hAnsi="仿宋" w:eastAsia="仿宋" w:cs="仿宋"/>
                <w:i w:val="0"/>
                <w:iCs w:val="0"/>
                <w:color w:val="auto"/>
                <w:sz w:val="21"/>
                <w:szCs w:val="21"/>
                <w:highlight w:val="none"/>
                <w:u w:val="none"/>
              </w:rPr>
            </w:pPr>
          </w:p>
        </w:tc>
      </w:tr>
      <w:tr w14:paraId="3EF07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4" w:type="dxa"/>
            <w:vMerge w:val="continue"/>
            <w:shd w:val="clear" w:color="auto" w:fill="auto"/>
            <w:vAlign w:val="center"/>
          </w:tcPr>
          <w:p w14:paraId="1F29F51D">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3101" w:type="dxa"/>
            <w:vMerge w:val="continue"/>
            <w:shd w:val="clear" w:color="auto" w:fill="auto"/>
            <w:vAlign w:val="center"/>
          </w:tcPr>
          <w:p w14:paraId="7553C74E">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924" w:type="dxa"/>
            <w:vMerge w:val="restart"/>
            <w:shd w:val="clear" w:color="auto" w:fill="auto"/>
            <w:vAlign w:val="center"/>
          </w:tcPr>
          <w:p w14:paraId="10015A65">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分类监管系统</w:t>
            </w:r>
          </w:p>
        </w:tc>
        <w:tc>
          <w:tcPr>
            <w:tcW w:w="3216" w:type="dxa"/>
            <w:vMerge w:val="restart"/>
            <w:shd w:val="clear" w:color="auto" w:fill="auto"/>
            <w:vAlign w:val="center"/>
          </w:tcPr>
          <w:p w14:paraId="6EAAE506">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分类监管系统实现了对垃圾从垃圾投放到处置的全流程监管，包括投放点设备及投放积分、收集过程的任务规划、运输车辆实时监控与报警管理及GIS可视化展示、中转站的基础信息维护及视频监控、处置阶段的计量与视频监管。分类监管系统模块对垃圾分类各环节的关键数据进行统一管理，确保垃圾分类各环节的高效运行与合规管理。</w:t>
            </w:r>
          </w:p>
        </w:tc>
        <w:tc>
          <w:tcPr>
            <w:tcW w:w="3216" w:type="dxa"/>
            <w:shd w:val="clear" w:color="auto" w:fill="auto"/>
            <w:vAlign w:val="center"/>
          </w:tcPr>
          <w:p w14:paraId="35F718F7">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需对原平台系统中库表数据进行调研分析，数据库兼容性分析、代码审查与识别、数据库驱动与连接调整、SQL语法与功能兼容性、数据类型与转换处理、存储过程与触发器移植、视图与数据模型调整、数据库适配测试与验证。</w:t>
            </w:r>
          </w:p>
        </w:tc>
        <w:tc>
          <w:tcPr>
            <w:tcW w:w="438" w:type="dxa"/>
            <w:vMerge w:val="restart"/>
            <w:shd w:val="clear" w:color="auto" w:fill="auto"/>
            <w:vAlign w:val="center"/>
          </w:tcPr>
          <w:p w14:paraId="7FE2CD1C">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项</w:t>
            </w:r>
          </w:p>
        </w:tc>
        <w:tc>
          <w:tcPr>
            <w:tcW w:w="454" w:type="dxa"/>
            <w:vMerge w:val="restart"/>
            <w:shd w:val="clear" w:color="auto" w:fill="auto"/>
            <w:vAlign w:val="center"/>
          </w:tcPr>
          <w:p w14:paraId="1F31EF2B">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936" w:type="dxa"/>
            <w:vMerge w:val="restart"/>
            <w:shd w:val="clear" w:color="auto" w:fill="auto"/>
            <w:vAlign w:val="center"/>
          </w:tcPr>
          <w:p w14:paraId="0B32F786">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适配</w:t>
            </w:r>
          </w:p>
        </w:tc>
      </w:tr>
      <w:tr w14:paraId="1FB16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4" w:type="dxa"/>
            <w:vMerge w:val="continue"/>
            <w:shd w:val="clear" w:color="auto" w:fill="auto"/>
            <w:vAlign w:val="center"/>
          </w:tcPr>
          <w:p w14:paraId="41F9B959">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3101" w:type="dxa"/>
            <w:vMerge w:val="continue"/>
            <w:shd w:val="clear" w:color="auto" w:fill="auto"/>
            <w:vAlign w:val="center"/>
          </w:tcPr>
          <w:p w14:paraId="160CBEB0">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924" w:type="dxa"/>
            <w:vMerge w:val="continue"/>
            <w:shd w:val="clear" w:color="auto" w:fill="auto"/>
            <w:vAlign w:val="center"/>
          </w:tcPr>
          <w:p w14:paraId="4C0CD041">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left"/>
              <w:rPr>
                <w:rFonts w:hint="eastAsia" w:ascii="仿宋" w:hAnsi="仿宋" w:eastAsia="仿宋" w:cs="仿宋"/>
                <w:i w:val="0"/>
                <w:iCs w:val="0"/>
                <w:color w:val="auto"/>
                <w:sz w:val="21"/>
                <w:szCs w:val="21"/>
                <w:highlight w:val="none"/>
                <w:u w:val="none"/>
              </w:rPr>
            </w:pPr>
          </w:p>
        </w:tc>
        <w:tc>
          <w:tcPr>
            <w:tcW w:w="3216" w:type="dxa"/>
            <w:vMerge w:val="continue"/>
            <w:shd w:val="clear" w:color="auto" w:fill="auto"/>
            <w:vAlign w:val="center"/>
          </w:tcPr>
          <w:p w14:paraId="42E4639A">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left"/>
              <w:rPr>
                <w:rFonts w:hint="eastAsia" w:ascii="仿宋" w:hAnsi="仿宋" w:eastAsia="仿宋" w:cs="仿宋"/>
                <w:i w:val="0"/>
                <w:iCs w:val="0"/>
                <w:color w:val="auto"/>
                <w:sz w:val="21"/>
                <w:szCs w:val="21"/>
                <w:highlight w:val="none"/>
                <w:u w:val="none"/>
              </w:rPr>
            </w:pPr>
          </w:p>
        </w:tc>
        <w:tc>
          <w:tcPr>
            <w:tcW w:w="3216" w:type="dxa"/>
            <w:shd w:val="clear" w:color="auto" w:fill="auto"/>
            <w:vAlign w:val="center"/>
          </w:tcPr>
          <w:p w14:paraId="5727A4F8">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针对信创浏览器的特性和功能进行适配和优化，优化和处理网站中的图片和多媒体内容，以确保在信创浏览器中的兼容性和性能。高度适配、字体适配、适配查询功能、渲染引擎兼容性问题、页面加载渲染速度慢、地图页面加载速度慢、透明度的兼容CSS设置、js引擎、浏览器引擎和数据存储等问题修复。</w:t>
            </w:r>
          </w:p>
        </w:tc>
        <w:tc>
          <w:tcPr>
            <w:tcW w:w="438" w:type="dxa"/>
            <w:vMerge w:val="continue"/>
            <w:shd w:val="clear" w:color="auto" w:fill="auto"/>
            <w:vAlign w:val="center"/>
          </w:tcPr>
          <w:p w14:paraId="7EF7F5B9">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454" w:type="dxa"/>
            <w:vMerge w:val="continue"/>
            <w:shd w:val="clear" w:color="auto" w:fill="auto"/>
            <w:vAlign w:val="center"/>
          </w:tcPr>
          <w:p w14:paraId="52F6EFC5">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1936" w:type="dxa"/>
            <w:vMerge w:val="continue"/>
            <w:shd w:val="clear" w:color="auto" w:fill="auto"/>
            <w:vAlign w:val="center"/>
          </w:tcPr>
          <w:p w14:paraId="35D8CE0D">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left"/>
              <w:rPr>
                <w:rFonts w:hint="eastAsia" w:ascii="仿宋" w:hAnsi="仿宋" w:eastAsia="仿宋" w:cs="仿宋"/>
                <w:i w:val="0"/>
                <w:iCs w:val="0"/>
                <w:color w:val="auto"/>
                <w:sz w:val="21"/>
                <w:szCs w:val="21"/>
                <w:highlight w:val="none"/>
                <w:u w:val="none"/>
              </w:rPr>
            </w:pPr>
          </w:p>
        </w:tc>
      </w:tr>
      <w:tr w14:paraId="58894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4" w:type="dxa"/>
            <w:vMerge w:val="continue"/>
            <w:shd w:val="clear" w:color="auto" w:fill="auto"/>
            <w:vAlign w:val="center"/>
          </w:tcPr>
          <w:p w14:paraId="13374A53">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3101" w:type="dxa"/>
            <w:vMerge w:val="continue"/>
            <w:shd w:val="clear" w:color="auto" w:fill="auto"/>
            <w:vAlign w:val="center"/>
          </w:tcPr>
          <w:p w14:paraId="206E7ACE">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924" w:type="dxa"/>
            <w:vMerge w:val="restart"/>
            <w:shd w:val="clear" w:color="auto" w:fill="auto"/>
            <w:vAlign w:val="center"/>
          </w:tcPr>
          <w:p w14:paraId="1B000EE7">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垃圾分类考核</w:t>
            </w:r>
          </w:p>
        </w:tc>
        <w:tc>
          <w:tcPr>
            <w:tcW w:w="3216" w:type="dxa"/>
            <w:vMerge w:val="restart"/>
            <w:shd w:val="clear" w:color="auto" w:fill="auto"/>
            <w:vAlign w:val="center"/>
          </w:tcPr>
          <w:p w14:paraId="0B5768BD">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垃圾分类考核模块实现考核标准明确、考核计划制定，对整改任务进行跟踪管理，对考核结果进行统计分析，依托GIS地图实现考核区域的可视化管理，确保垃圾分类工作的规范化开展。</w:t>
            </w:r>
          </w:p>
        </w:tc>
        <w:tc>
          <w:tcPr>
            <w:tcW w:w="3216" w:type="dxa"/>
            <w:shd w:val="clear" w:color="auto" w:fill="auto"/>
            <w:vAlign w:val="center"/>
          </w:tcPr>
          <w:p w14:paraId="06B13C45">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需对原平台系统中库表数据进行调研分析，数据库兼容性分析、代码审查与识别、数据库驱动与连接调整、SQL语法与功能兼容性、数据类型与转换处理、存储过程与触发器移植、视图与数据模型调整、数据库适配测试与验证。</w:t>
            </w:r>
          </w:p>
        </w:tc>
        <w:tc>
          <w:tcPr>
            <w:tcW w:w="438" w:type="dxa"/>
            <w:vMerge w:val="restart"/>
            <w:shd w:val="clear" w:color="auto" w:fill="auto"/>
            <w:vAlign w:val="center"/>
          </w:tcPr>
          <w:p w14:paraId="6133CCF0">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项</w:t>
            </w:r>
          </w:p>
        </w:tc>
        <w:tc>
          <w:tcPr>
            <w:tcW w:w="454" w:type="dxa"/>
            <w:vMerge w:val="restart"/>
            <w:shd w:val="clear" w:color="auto" w:fill="auto"/>
            <w:vAlign w:val="center"/>
          </w:tcPr>
          <w:p w14:paraId="39133E24">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936" w:type="dxa"/>
            <w:vMerge w:val="restart"/>
            <w:shd w:val="clear" w:color="auto" w:fill="auto"/>
            <w:vAlign w:val="center"/>
          </w:tcPr>
          <w:p w14:paraId="75BD85CD">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适配</w:t>
            </w:r>
          </w:p>
        </w:tc>
      </w:tr>
      <w:tr w14:paraId="22660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4" w:type="dxa"/>
            <w:vMerge w:val="continue"/>
            <w:shd w:val="clear" w:color="auto" w:fill="auto"/>
            <w:vAlign w:val="center"/>
          </w:tcPr>
          <w:p w14:paraId="3EC25FEE">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3101" w:type="dxa"/>
            <w:vMerge w:val="continue"/>
            <w:shd w:val="clear" w:color="auto" w:fill="auto"/>
            <w:vAlign w:val="center"/>
          </w:tcPr>
          <w:p w14:paraId="7BC9AFC8">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924" w:type="dxa"/>
            <w:vMerge w:val="continue"/>
            <w:shd w:val="clear" w:color="auto" w:fill="auto"/>
            <w:vAlign w:val="center"/>
          </w:tcPr>
          <w:p w14:paraId="3AEF754F">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left"/>
              <w:rPr>
                <w:rFonts w:hint="eastAsia" w:ascii="仿宋" w:hAnsi="仿宋" w:eastAsia="仿宋" w:cs="仿宋"/>
                <w:i w:val="0"/>
                <w:iCs w:val="0"/>
                <w:color w:val="auto"/>
                <w:sz w:val="21"/>
                <w:szCs w:val="21"/>
                <w:highlight w:val="none"/>
                <w:u w:val="none"/>
              </w:rPr>
            </w:pPr>
          </w:p>
        </w:tc>
        <w:tc>
          <w:tcPr>
            <w:tcW w:w="3216" w:type="dxa"/>
            <w:vMerge w:val="continue"/>
            <w:shd w:val="clear" w:color="auto" w:fill="auto"/>
            <w:vAlign w:val="center"/>
          </w:tcPr>
          <w:p w14:paraId="40FD6734">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left"/>
              <w:rPr>
                <w:rFonts w:hint="eastAsia" w:ascii="仿宋" w:hAnsi="仿宋" w:eastAsia="仿宋" w:cs="仿宋"/>
                <w:i w:val="0"/>
                <w:iCs w:val="0"/>
                <w:color w:val="auto"/>
                <w:sz w:val="21"/>
                <w:szCs w:val="21"/>
                <w:highlight w:val="none"/>
                <w:u w:val="none"/>
              </w:rPr>
            </w:pPr>
          </w:p>
        </w:tc>
        <w:tc>
          <w:tcPr>
            <w:tcW w:w="3216" w:type="dxa"/>
            <w:shd w:val="clear" w:color="auto" w:fill="auto"/>
            <w:vAlign w:val="center"/>
          </w:tcPr>
          <w:p w14:paraId="56E2FC2E">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针对信创浏览器的特性和功能进行适配和优化，优化和处理网站中的图片和多媒体内容，以确保在信创浏览器中的兼容性和性能。高度适配、字体适配、适配查询功能、渲染引擎兼容性问题、页面加载渲染速度慢、地图页面加载速度慢、透明度的兼容CSS设置、js引擎、浏览器引擎和数据存储等问题修复。</w:t>
            </w:r>
          </w:p>
        </w:tc>
        <w:tc>
          <w:tcPr>
            <w:tcW w:w="438" w:type="dxa"/>
            <w:vMerge w:val="continue"/>
            <w:shd w:val="clear" w:color="auto" w:fill="auto"/>
            <w:vAlign w:val="center"/>
          </w:tcPr>
          <w:p w14:paraId="14C7A060">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454" w:type="dxa"/>
            <w:vMerge w:val="continue"/>
            <w:shd w:val="clear" w:color="auto" w:fill="auto"/>
            <w:vAlign w:val="center"/>
          </w:tcPr>
          <w:p w14:paraId="46408C04">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1936" w:type="dxa"/>
            <w:vMerge w:val="continue"/>
            <w:shd w:val="clear" w:color="auto" w:fill="auto"/>
            <w:vAlign w:val="center"/>
          </w:tcPr>
          <w:p w14:paraId="5D48240C">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left"/>
              <w:rPr>
                <w:rFonts w:hint="eastAsia" w:ascii="仿宋" w:hAnsi="仿宋" w:eastAsia="仿宋" w:cs="仿宋"/>
                <w:i w:val="0"/>
                <w:iCs w:val="0"/>
                <w:color w:val="auto"/>
                <w:sz w:val="21"/>
                <w:szCs w:val="21"/>
                <w:highlight w:val="none"/>
                <w:u w:val="none"/>
              </w:rPr>
            </w:pPr>
          </w:p>
        </w:tc>
      </w:tr>
      <w:tr w14:paraId="0C03E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4" w:type="dxa"/>
            <w:vMerge w:val="continue"/>
            <w:shd w:val="clear" w:color="auto" w:fill="auto"/>
            <w:vAlign w:val="center"/>
          </w:tcPr>
          <w:p w14:paraId="57038501">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3101" w:type="dxa"/>
            <w:vMerge w:val="continue"/>
            <w:shd w:val="clear" w:color="auto" w:fill="auto"/>
            <w:vAlign w:val="center"/>
          </w:tcPr>
          <w:p w14:paraId="5E54E8CE">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924" w:type="dxa"/>
            <w:vMerge w:val="restart"/>
            <w:shd w:val="clear" w:color="auto" w:fill="auto"/>
            <w:vAlign w:val="center"/>
          </w:tcPr>
          <w:p w14:paraId="7E040D24">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垃圾分类决策支持</w:t>
            </w:r>
          </w:p>
        </w:tc>
        <w:tc>
          <w:tcPr>
            <w:tcW w:w="3216" w:type="dxa"/>
            <w:vMerge w:val="restart"/>
            <w:shd w:val="clear" w:color="auto" w:fill="auto"/>
            <w:vAlign w:val="center"/>
          </w:tcPr>
          <w:p w14:paraId="2718D08B">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垃圾分类决策支持模块，对垃圾分类投放、收集、运输和处置各环节的关键数据进行统计分析，为管理人员提供全面的数据总览，辅助管理人员进行科学决策，助力提高垃圾分类管理效能。</w:t>
            </w:r>
          </w:p>
        </w:tc>
        <w:tc>
          <w:tcPr>
            <w:tcW w:w="3216" w:type="dxa"/>
            <w:shd w:val="clear" w:color="auto" w:fill="auto"/>
            <w:vAlign w:val="center"/>
          </w:tcPr>
          <w:p w14:paraId="57C68F61">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需对原平台系统中库表数据进行调研分析，数据库兼容性分析、代码审查与识别、数据库驱动与连接调整、SQL语法与功能兼容性、数据类型与转换处理、存储过程与触发器移植、视图与数据模型调整、数据库适配测试与验证。</w:t>
            </w:r>
          </w:p>
        </w:tc>
        <w:tc>
          <w:tcPr>
            <w:tcW w:w="438" w:type="dxa"/>
            <w:vMerge w:val="restart"/>
            <w:shd w:val="clear" w:color="auto" w:fill="auto"/>
            <w:vAlign w:val="center"/>
          </w:tcPr>
          <w:p w14:paraId="22A48BD6">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项</w:t>
            </w:r>
          </w:p>
        </w:tc>
        <w:tc>
          <w:tcPr>
            <w:tcW w:w="454" w:type="dxa"/>
            <w:vMerge w:val="restart"/>
            <w:shd w:val="clear" w:color="auto" w:fill="auto"/>
            <w:vAlign w:val="center"/>
          </w:tcPr>
          <w:p w14:paraId="45E8461A">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936" w:type="dxa"/>
            <w:vMerge w:val="restart"/>
            <w:shd w:val="clear" w:color="auto" w:fill="auto"/>
            <w:vAlign w:val="center"/>
          </w:tcPr>
          <w:p w14:paraId="68D7BA06">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适配</w:t>
            </w:r>
          </w:p>
        </w:tc>
      </w:tr>
      <w:tr w14:paraId="031BC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434" w:type="dxa"/>
            <w:vMerge w:val="continue"/>
            <w:shd w:val="clear" w:color="auto" w:fill="auto"/>
            <w:vAlign w:val="center"/>
          </w:tcPr>
          <w:p w14:paraId="4D8163C8">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3101" w:type="dxa"/>
            <w:vMerge w:val="continue"/>
            <w:shd w:val="clear" w:color="auto" w:fill="auto"/>
            <w:vAlign w:val="center"/>
          </w:tcPr>
          <w:p w14:paraId="45247DA9">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924" w:type="dxa"/>
            <w:vMerge w:val="continue"/>
            <w:shd w:val="clear" w:color="auto" w:fill="auto"/>
            <w:vAlign w:val="center"/>
          </w:tcPr>
          <w:p w14:paraId="7BAA8010">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left"/>
              <w:rPr>
                <w:rFonts w:hint="eastAsia" w:ascii="仿宋" w:hAnsi="仿宋" w:eastAsia="仿宋" w:cs="仿宋"/>
                <w:i w:val="0"/>
                <w:iCs w:val="0"/>
                <w:color w:val="auto"/>
                <w:sz w:val="21"/>
                <w:szCs w:val="21"/>
                <w:highlight w:val="none"/>
                <w:u w:val="none"/>
              </w:rPr>
            </w:pPr>
          </w:p>
        </w:tc>
        <w:tc>
          <w:tcPr>
            <w:tcW w:w="3216" w:type="dxa"/>
            <w:vMerge w:val="continue"/>
            <w:shd w:val="clear" w:color="auto" w:fill="auto"/>
            <w:vAlign w:val="center"/>
          </w:tcPr>
          <w:p w14:paraId="20FDCED2">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left"/>
              <w:rPr>
                <w:rFonts w:hint="eastAsia" w:ascii="仿宋" w:hAnsi="仿宋" w:eastAsia="仿宋" w:cs="仿宋"/>
                <w:i w:val="0"/>
                <w:iCs w:val="0"/>
                <w:color w:val="auto"/>
                <w:sz w:val="21"/>
                <w:szCs w:val="21"/>
                <w:highlight w:val="none"/>
                <w:u w:val="none"/>
              </w:rPr>
            </w:pPr>
          </w:p>
        </w:tc>
        <w:tc>
          <w:tcPr>
            <w:tcW w:w="3216" w:type="dxa"/>
            <w:shd w:val="clear" w:color="auto" w:fill="auto"/>
            <w:vAlign w:val="center"/>
          </w:tcPr>
          <w:p w14:paraId="6EF5479F">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针对信创浏览器的特性和功能进行适配和优化，优化和处理网站中的图片和多媒体内容，以确保在信创浏览器中的兼容性和性能。高度适配、字体适配、适配查询功能、渲染引擎兼容性问题、页面加载渲染速度慢、地图页面加载速度慢、透明度的兼容CSS设置、js引擎、浏览器引擎和数据存储等问题修复。</w:t>
            </w:r>
          </w:p>
        </w:tc>
        <w:tc>
          <w:tcPr>
            <w:tcW w:w="438" w:type="dxa"/>
            <w:vMerge w:val="continue"/>
            <w:shd w:val="clear" w:color="auto" w:fill="auto"/>
            <w:vAlign w:val="center"/>
          </w:tcPr>
          <w:p w14:paraId="77A8BE59">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454" w:type="dxa"/>
            <w:vMerge w:val="continue"/>
            <w:shd w:val="clear" w:color="auto" w:fill="auto"/>
            <w:vAlign w:val="center"/>
          </w:tcPr>
          <w:p w14:paraId="4C4138F0">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1936" w:type="dxa"/>
            <w:vMerge w:val="continue"/>
            <w:shd w:val="clear" w:color="auto" w:fill="auto"/>
            <w:vAlign w:val="center"/>
          </w:tcPr>
          <w:p w14:paraId="20D897E5">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left"/>
              <w:rPr>
                <w:rFonts w:hint="eastAsia" w:ascii="仿宋" w:hAnsi="仿宋" w:eastAsia="仿宋" w:cs="仿宋"/>
                <w:i w:val="0"/>
                <w:iCs w:val="0"/>
                <w:color w:val="auto"/>
                <w:sz w:val="21"/>
                <w:szCs w:val="21"/>
                <w:highlight w:val="none"/>
                <w:u w:val="none"/>
              </w:rPr>
            </w:pPr>
          </w:p>
        </w:tc>
      </w:tr>
      <w:tr w14:paraId="6234F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4" w:type="dxa"/>
            <w:vMerge w:val="continue"/>
            <w:shd w:val="clear" w:color="auto" w:fill="auto"/>
            <w:vAlign w:val="center"/>
          </w:tcPr>
          <w:p w14:paraId="7F5B2F6E">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3101" w:type="dxa"/>
            <w:vMerge w:val="continue"/>
            <w:shd w:val="clear" w:color="auto" w:fill="auto"/>
            <w:vAlign w:val="center"/>
          </w:tcPr>
          <w:p w14:paraId="40CB9DD4">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924" w:type="dxa"/>
            <w:vMerge w:val="restart"/>
            <w:shd w:val="clear" w:color="auto" w:fill="auto"/>
            <w:vAlign w:val="center"/>
          </w:tcPr>
          <w:p w14:paraId="0BFE0C13">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农村生活垃圾监管</w:t>
            </w:r>
          </w:p>
        </w:tc>
        <w:tc>
          <w:tcPr>
            <w:tcW w:w="3216" w:type="dxa"/>
            <w:vMerge w:val="restart"/>
            <w:shd w:val="clear" w:color="auto" w:fill="auto"/>
            <w:vAlign w:val="center"/>
          </w:tcPr>
          <w:p w14:paraId="761993BD">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农村生活垃圾监管模块涵盖了垃圾桶的台账管理、投放督导记录、收运任务完成情况、分类质量统计、上报信息的汇总分析、分类数据上报、审批与修改记录，实现农村生活垃圾高效管理，促进农村环境卫生的改善。</w:t>
            </w:r>
          </w:p>
        </w:tc>
        <w:tc>
          <w:tcPr>
            <w:tcW w:w="3216" w:type="dxa"/>
            <w:shd w:val="clear" w:color="auto" w:fill="auto"/>
            <w:vAlign w:val="center"/>
          </w:tcPr>
          <w:p w14:paraId="7C5AF9D0">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需对原平台系统中库表数据进行调研分析，数据库兼容性分析、代码审查与识别、数据库驱动与连接调整、SQL语法与功能兼容性、数据类型与转换处理、存储过程与触发器移植、视图与数据模型调整、数据库适配测试与验证。</w:t>
            </w:r>
          </w:p>
        </w:tc>
        <w:tc>
          <w:tcPr>
            <w:tcW w:w="438" w:type="dxa"/>
            <w:vMerge w:val="restart"/>
            <w:shd w:val="clear" w:color="auto" w:fill="auto"/>
            <w:vAlign w:val="center"/>
          </w:tcPr>
          <w:p w14:paraId="15228903">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项</w:t>
            </w:r>
          </w:p>
        </w:tc>
        <w:tc>
          <w:tcPr>
            <w:tcW w:w="454" w:type="dxa"/>
            <w:vMerge w:val="restart"/>
            <w:shd w:val="clear" w:color="auto" w:fill="auto"/>
            <w:vAlign w:val="center"/>
          </w:tcPr>
          <w:p w14:paraId="2AA97785">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936" w:type="dxa"/>
            <w:vMerge w:val="restart"/>
            <w:shd w:val="clear" w:color="auto" w:fill="auto"/>
            <w:vAlign w:val="center"/>
          </w:tcPr>
          <w:p w14:paraId="25F98BD4">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适配</w:t>
            </w:r>
          </w:p>
        </w:tc>
      </w:tr>
      <w:tr w14:paraId="732B6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4" w:type="dxa"/>
            <w:vMerge w:val="continue"/>
            <w:shd w:val="clear" w:color="auto" w:fill="auto"/>
            <w:vAlign w:val="center"/>
          </w:tcPr>
          <w:p w14:paraId="14C80941">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3101" w:type="dxa"/>
            <w:vMerge w:val="continue"/>
            <w:shd w:val="clear" w:color="auto" w:fill="auto"/>
            <w:vAlign w:val="center"/>
          </w:tcPr>
          <w:p w14:paraId="4AE3A291">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924" w:type="dxa"/>
            <w:vMerge w:val="continue"/>
            <w:shd w:val="clear" w:color="auto" w:fill="auto"/>
            <w:vAlign w:val="center"/>
          </w:tcPr>
          <w:p w14:paraId="72AE92DE">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left"/>
              <w:rPr>
                <w:rFonts w:hint="eastAsia" w:ascii="仿宋" w:hAnsi="仿宋" w:eastAsia="仿宋" w:cs="仿宋"/>
                <w:i w:val="0"/>
                <w:iCs w:val="0"/>
                <w:color w:val="auto"/>
                <w:sz w:val="21"/>
                <w:szCs w:val="21"/>
                <w:highlight w:val="none"/>
                <w:u w:val="none"/>
              </w:rPr>
            </w:pPr>
          </w:p>
        </w:tc>
        <w:tc>
          <w:tcPr>
            <w:tcW w:w="3216" w:type="dxa"/>
            <w:vMerge w:val="continue"/>
            <w:shd w:val="clear" w:color="auto" w:fill="auto"/>
            <w:vAlign w:val="center"/>
          </w:tcPr>
          <w:p w14:paraId="52F4369E">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left"/>
              <w:rPr>
                <w:rFonts w:hint="eastAsia" w:ascii="仿宋" w:hAnsi="仿宋" w:eastAsia="仿宋" w:cs="仿宋"/>
                <w:i w:val="0"/>
                <w:iCs w:val="0"/>
                <w:color w:val="auto"/>
                <w:sz w:val="21"/>
                <w:szCs w:val="21"/>
                <w:highlight w:val="none"/>
                <w:u w:val="none"/>
              </w:rPr>
            </w:pPr>
          </w:p>
        </w:tc>
        <w:tc>
          <w:tcPr>
            <w:tcW w:w="3216" w:type="dxa"/>
            <w:shd w:val="clear" w:color="auto" w:fill="auto"/>
            <w:vAlign w:val="center"/>
          </w:tcPr>
          <w:p w14:paraId="477ED60F">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针对信创浏览器的特性和功能进行适配和优化，优化和处理网站中的图片和多媒体内容，以确保在信创浏览器中的兼容性和性能。高度适配、字体适配、适配查询功能、渲染引擎兼容性问题、页面加载渲染速度慢、地图页面加载速度慢、透明度的兼容CSS设置、js引擎、浏览器引擎和数据存储等问题修复。</w:t>
            </w:r>
          </w:p>
        </w:tc>
        <w:tc>
          <w:tcPr>
            <w:tcW w:w="438" w:type="dxa"/>
            <w:vMerge w:val="continue"/>
            <w:shd w:val="clear" w:color="auto" w:fill="auto"/>
            <w:vAlign w:val="center"/>
          </w:tcPr>
          <w:p w14:paraId="65726551">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454" w:type="dxa"/>
            <w:vMerge w:val="continue"/>
            <w:shd w:val="clear" w:color="auto" w:fill="auto"/>
            <w:vAlign w:val="center"/>
          </w:tcPr>
          <w:p w14:paraId="3DABFE83">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1936" w:type="dxa"/>
            <w:vMerge w:val="continue"/>
            <w:shd w:val="clear" w:color="auto" w:fill="auto"/>
            <w:vAlign w:val="center"/>
          </w:tcPr>
          <w:p w14:paraId="09749C9B">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left"/>
              <w:rPr>
                <w:rFonts w:hint="eastAsia" w:ascii="仿宋" w:hAnsi="仿宋" w:eastAsia="仿宋" w:cs="仿宋"/>
                <w:i w:val="0"/>
                <w:iCs w:val="0"/>
                <w:color w:val="auto"/>
                <w:sz w:val="21"/>
                <w:szCs w:val="21"/>
                <w:highlight w:val="none"/>
                <w:u w:val="none"/>
              </w:rPr>
            </w:pPr>
          </w:p>
        </w:tc>
      </w:tr>
      <w:tr w14:paraId="429AC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4" w:type="dxa"/>
            <w:vMerge w:val="continue"/>
            <w:shd w:val="clear" w:color="auto" w:fill="auto"/>
            <w:vAlign w:val="center"/>
          </w:tcPr>
          <w:p w14:paraId="61183E06">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3101" w:type="dxa"/>
            <w:vMerge w:val="continue"/>
            <w:shd w:val="clear" w:color="auto" w:fill="auto"/>
            <w:vAlign w:val="center"/>
          </w:tcPr>
          <w:p w14:paraId="614EF4FC">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924" w:type="dxa"/>
            <w:vMerge w:val="restart"/>
            <w:shd w:val="clear" w:color="auto" w:fill="auto"/>
            <w:vAlign w:val="center"/>
          </w:tcPr>
          <w:p w14:paraId="3444162E">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互联网+预约回收</w:t>
            </w:r>
          </w:p>
        </w:tc>
        <w:tc>
          <w:tcPr>
            <w:tcW w:w="3216" w:type="dxa"/>
            <w:vMerge w:val="restart"/>
            <w:shd w:val="clear" w:color="auto" w:fill="auto"/>
            <w:vAlign w:val="center"/>
          </w:tcPr>
          <w:p w14:paraId="6CB2F472">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互联网+预约回收”模块建设包括市民服务中心和可回收物处置监管两部分内容，通过市民服务中心实现回收公司、垃圾品类与价格设定、处置流程管理、回收订单处理及投诉建议反馈；在可回收物处置监管方面，提供了资源库存的查询、入库与出库记录管理，确保回收流程的透明高效，促进资源的合理利用。</w:t>
            </w:r>
          </w:p>
        </w:tc>
        <w:tc>
          <w:tcPr>
            <w:tcW w:w="3216" w:type="dxa"/>
            <w:shd w:val="clear" w:color="auto" w:fill="auto"/>
            <w:vAlign w:val="center"/>
          </w:tcPr>
          <w:p w14:paraId="109EDC5F">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针对信创浏览器的特性和功能进行适配和优化，优化和处理网站中的图片和多媒体内容，以确保在信创浏览器中的兼容性和性能。</w:t>
            </w:r>
          </w:p>
        </w:tc>
        <w:tc>
          <w:tcPr>
            <w:tcW w:w="438" w:type="dxa"/>
            <w:vMerge w:val="restart"/>
            <w:shd w:val="clear" w:color="auto" w:fill="auto"/>
            <w:vAlign w:val="center"/>
          </w:tcPr>
          <w:p w14:paraId="42DB2C43">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项</w:t>
            </w:r>
          </w:p>
        </w:tc>
        <w:tc>
          <w:tcPr>
            <w:tcW w:w="454" w:type="dxa"/>
            <w:vMerge w:val="restart"/>
            <w:shd w:val="clear" w:color="auto" w:fill="auto"/>
            <w:vAlign w:val="center"/>
          </w:tcPr>
          <w:p w14:paraId="2809ACAA">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936" w:type="dxa"/>
            <w:vMerge w:val="restart"/>
            <w:shd w:val="clear" w:color="auto" w:fill="auto"/>
            <w:vAlign w:val="center"/>
          </w:tcPr>
          <w:p w14:paraId="172D8134">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适配</w:t>
            </w:r>
          </w:p>
        </w:tc>
      </w:tr>
      <w:tr w14:paraId="2D862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4" w:type="dxa"/>
            <w:vMerge w:val="continue"/>
            <w:shd w:val="clear" w:color="auto" w:fill="auto"/>
            <w:vAlign w:val="center"/>
          </w:tcPr>
          <w:p w14:paraId="4CF4609A">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3101" w:type="dxa"/>
            <w:vMerge w:val="continue"/>
            <w:shd w:val="clear" w:color="auto" w:fill="auto"/>
            <w:vAlign w:val="center"/>
          </w:tcPr>
          <w:p w14:paraId="7EBD45FE">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924" w:type="dxa"/>
            <w:vMerge w:val="continue"/>
            <w:shd w:val="clear" w:color="auto" w:fill="auto"/>
            <w:vAlign w:val="center"/>
          </w:tcPr>
          <w:p w14:paraId="2720A322">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left"/>
              <w:rPr>
                <w:rFonts w:hint="eastAsia" w:ascii="仿宋" w:hAnsi="仿宋" w:eastAsia="仿宋" w:cs="仿宋"/>
                <w:i w:val="0"/>
                <w:iCs w:val="0"/>
                <w:color w:val="auto"/>
                <w:sz w:val="21"/>
                <w:szCs w:val="21"/>
                <w:highlight w:val="none"/>
                <w:u w:val="none"/>
              </w:rPr>
            </w:pPr>
          </w:p>
        </w:tc>
        <w:tc>
          <w:tcPr>
            <w:tcW w:w="3216" w:type="dxa"/>
            <w:vMerge w:val="continue"/>
            <w:shd w:val="clear" w:color="auto" w:fill="auto"/>
            <w:vAlign w:val="center"/>
          </w:tcPr>
          <w:p w14:paraId="67900A78">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left"/>
              <w:rPr>
                <w:rFonts w:hint="eastAsia" w:ascii="仿宋" w:hAnsi="仿宋" w:eastAsia="仿宋" w:cs="仿宋"/>
                <w:i w:val="0"/>
                <w:iCs w:val="0"/>
                <w:color w:val="auto"/>
                <w:sz w:val="21"/>
                <w:szCs w:val="21"/>
                <w:highlight w:val="none"/>
                <w:u w:val="none"/>
              </w:rPr>
            </w:pPr>
          </w:p>
        </w:tc>
        <w:tc>
          <w:tcPr>
            <w:tcW w:w="3216" w:type="dxa"/>
            <w:shd w:val="clear" w:color="auto" w:fill="auto"/>
            <w:vAlign w:val="center"/>
          </w:tcPr>
          <w:p w14:paraId="6F5F15F6">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使用弹性图像技术，例如CSS中的`max-width`属性和`img`元素的`srcset`属性，以确保图像能够根据容器的大小自适应并保持比例。</w:t>
            </w:r>
          </w:p>
        </w:tc>
        <w:tc>
          <w:tcPr>
            <w:tcW w:w="438" w:type="dxa"/>
            <w:vMerge w:val="continue"/>
            <w:shd w:val="clear" w:color="auto" w:fill="auto"/>
            <w:vAlign w:val="center"/>
          </w:tcPr>
          <w:p w14:paraId="6C5D349C">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454" w:type="dxa"/>
            <w:vMerge w:val="continue"/>
            <w:shd w:val="clear" w:color="auto" w:fill="auto"/>
            <w:vAlign w:val="center"/>
          </w:tcPr>
          <w:p w14:paraId="344BD6C6">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1936" w:type="dxa"/>
            <w:vMerge w:val="continue"/>
            <w:shd w:val="clear" w:color="auto" w:fill="auto"/>
            <w:vAlign w:val="center"/>
          </w:tcPr>
          <w:p w14:paraId="560A8029">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left"/>
              <w:rPr>
                <w:rFonts w:hint="eastAsia" w:ascii="仿宋" w:hAnsi="仿宋" w:eastAsia="仿宋" w:cs="仿宋"/>
                <w:i w:val="0"/>
                <w:iCs w:val="0"/>
                <w:color w:val="auto"/>
                <w:sz w:val="21"/>
                <w:szCs w:val="21"/>
                <w:highlight w:val="none"/>
                <w:u w:val="none"/>
              </w:rPr>
            </w:pPr>
          </w:p>
        </w:tc>
      </w:tr>
      <w:tr w14:paraId="46EFE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434" w:type="dxa"/>
            <w:vMerge w:val="continue"/>
            <w:shd w:val="clear" w:color="auto" w:fill="auto"/>
            <w:vAlign w:val="center"/>
          </w:tcPr>
          <w:p w14:paraId="332BC179">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3101" w:type="dxa"/>
            <w:vMerge w:val="continue"/>
            <w:shd w:val="clear" w:color="auto" w:fill="auto"/>
            <w:vAlign w:val="center"/>
          </w:tcPr>
          <w:p w14:paraId="568CD354">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924" w:type="dxa"/>
            <w:vMerge w:val="continue"/>
            <w:shd w:val="clear" w:color="auto" w:fill="auto"/>
            <w:vAlign w:val="center"/>
          </w:tcPr>
          <w:p w14:paraId="1354A4E9">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left"/>
              <w:rPr>
                <w:rFonts w:hint="eastAsia" w:ascii="仿宋" w:hAnsi="仿宋" w:eastAsia="仿宋" w:cs="仿宋"/>
                <w:i w:val="0"/>
                <w:iCs w:val="0"/>
                <w:color w:val="auto"/>
                <w:sz w:val="21"/>
                <w:szCs w:val="21"/>
                <w:highlight w:val="none"/>
                <w:u w:val="none"/>
              </w:rPr>
            </w:pPr>
          </w:p>
        </w:tc>
        <w:tc>
          <w:tcPr>
            <w:tcW w:w="3216" w:type="dxa"/>
            <w:vMerge w:val="continue"/>
            <w:shd w:val="clear" w:color="auto" w:fill="auto"/>
            <w:vAlign w:val="center"/>
          </w:tcPr>
          <w:p w14:paraId="275E3002">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left"/>
              <w:rPr>
                <w:rFonts w:hint="eastAsia" w:ascii="仿宋" w:hAnsi="仿宋" w:eastAsia="仿宋" w:cs="仿宋"/>
                <w:i w:val="0"/>
                <w:iCs w:val="0"/>
                <w:color w:val="auto"/>
                <w:sz w:val="21"/>
                <w:szCs w:val="21"/>
                <w:highlight w:val="none"/>
                <w:u w:val="none"/>
              </w:rPr>
            </w:pPr>
          </w:p>
        </w:tc>
        <w:tc>
          <w:tcPr>
            <w:tcW w:w="3216" w:type="dxa"/>
            <w:shd w:val="clear" w:color="auto" w:fill="auto"/>
            <w:vAlign w:val="center"/>
          </w:tcPr>
          <w:p w14:paraId="7C9408D9">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针对不同设备和屏幕尺寸，提供适当的资源和内容，以减少不必要的加载和数据传输。</w:t>
            </w:r>
          </w:p>
        </w:tc>
        <w:tc>
          <w:tcPr>
            <w:tcW w:w="438" w:type="dxa"/>
            <w:vMerge w:val="continue"/>
            <w:shd w:val="clear" w:color="auto" w:fill="auto"/>
            <w:vAlign w:val="center"/>
          </w:tcPr>
          <w:p w14:paraId="0D87E658">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454" w:type="dxa"/>
            <w:vMerge w:val="continue"/>
            <w:shd w:val="clear" w:color="auto" w:fill="auto"/>
            <w:vAlign w:val="center"/>
          </w:tcPr>
          <w:p w14:paraId="2A6C3DDA">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1936" w:type="dxa"/>
            <w:vMerge w:val="continue"/>
            <w:shd w:val="clear" w:color="auto" w:fill="auto"/>
            <w:vAlign w:val="center"/>
          </w:tcPr>
          <w:p w14:paraId="6FA32544">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left"/>
              <w:rPr>
                <w:rFonts w:hint="eastAsia" w:ascii="仿宋" w:hAnsi="仿宋" w:eastAsia="仿宋" w:cs="仿宋"/>
                <w:i w:val="0"/>
                <w:iCs w:val="0"/>
                <w:color w:val="auto"/>
                <w:sz w:val="21"/>
                <w:szCs w:val="21"/>
                <w:highlight w:val="none"/>
                <w:u w:val="none"/>
              </w:rPr>
            </w:pPr>
          </w:p>
        </w:tc>
      </w:tr>
      <w:tr w14:paraId="36815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434" w:type="dxa"/>
            <w:vMerge w:val="continue"/>
            <w:shd w:val="clear" w:color="auto" w:fill="auto"/>
            <w:vAlign w:val="center"/>
          </w:tcPr>
          <w:p w14:paraId="58BA5869">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3101" w:type="dxa"/>
            <w:vMerge w:val="continue"/>
            <w:shd w:val="clear" w:color="auto" w:fill="auto"/>
            <w:vAlign w:val="center"/>
          </w:tcPr>
          <w:p w14:paraId="3FAF8978">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924" w:type="dxa"/>
            <w:vMerge w:val="continue"/>
            <w:shd w:val="clear" w:color="auto" w:fill="auto"/>
            <w:vAlign w:val="center"/>
          </w:tcPr>
          <w:p w14:paraId="68383C82">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left"/>
              <w:rPr>
                <w:rFonts w:hint="eastAsia" w:ascii="仿宋" w:hAnsi="仿宋" w:eastAsia="仿宋" w:cs="仿宋"/>
                <w:i w:val="0"/>
                <w:iCs w:val="0"/>
                <w:color w:val="auto"/>
                <w:sz w:val="21"/>
                <w:szCs w:val="21"/>
                <w:highlight w:val="none"/>
                <w:u w:val="none"/>
              </w:rPr>
            </w:pPr>
          </w:p>
        </w:tc>
        <w:tc>
          <w:tcPr>
            <w:tcW w:w="3216" w:type="dxa"/>
            <w:vMerge w:val="continue"/>
            <w:shd w:val="clear" w:color="auto" w:fill="auto"/>
            <w:vAlign w:val="center"/>
          </w:tcPr>
          <w:p w14:paraId="4C5CD56D">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left"/>
              <w:rPr>
                <w:rFonts w:hint="eastAsia" w:ascii="仿宋" w:hAnsi="仿宋" w:eastAsia="仿宋" w:cs="仿宋"/>
                <w:i w:val="0"/>
                <w:iCs w:val="0"/>
                <w:color w:val="auto"/>
                <w:sz w:val="21"/>
                <w:szCs w:val="21"/>
                <w:highlight w:val="none"/>
                <w:u w:val="none"/>
              </w:rPr>
            </w:pPr>
          </w:p>
        </w:tc>
        <w:tc>
          <w:tcPr>
            <w:tcW w:w="3216" w:type="dxa"/>
            <w:shd w:val="clear" w:color="auto" w:fill="auto"/>
            <w:vAlign w:val="center"/>
          </w:tcPr>
          <w:p w14:paraId="58E13A6A">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高度适配、字体适配、适配查询功能、渲染引擎兼容性问题、页面加载渲染速度慢、地图页面加载速度慢、透明度的兼容CSS设置、js引擎、浏览器引擎和数据存储等问题修复。</w:t>
            </w:r>
          </w:p>
        </w:tc>
        <w:tc>
          <w:tcPr>
            <w:tcW w:w="438" w:type="dxa"/>
            <w:vMerge w:val="continue"/>
            <w:shd w:val="clear" w:color="auto" w:fill="auto"/>
            <w:vAlign w:val="center"/>
          </w:tcPr>
          <w:p w14:paraId="40E3EFEF">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454" w:type="dxa"/>
            <w:vMerge w:val="continue"/>
            <w:shd w:val="clear" w:color="auto" w:fill="auto"/>
            <w:vAlign w:val="center"/>
          </w:tcPr>
          <w:p w14:paraId="21C61124">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1936" w:type="dxa"/>
            <w:vMerge w:val="continue"/>
            <w:shd w:val="clear" w:color="auto" w:fill="auto"/>
            <w:vAlign w:val="center"/>
          </w:tcPr>
          <w:p w14:paraId="019F5F60">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left"/>
              <w:rPr>
                <w:rFonts w:hint="eastAsia" w:ascii="仿宋" w:hAnsi="仿宋" w:eastAsia="仿宋" w:cs="仿宋"/>
                <w:i w:val="0"/>
                <w:iCs w:val="0"/>
                <w:color w:val="auto"/>
                <w:sz w:val="21"/>
                <w:szCs w:val="21"/>
                <w:highlight w:val="none"/>
                <w:u w:val="none"/>
              </w:rPr>
            </w:pPr>
          </w:p>
        </w:tc>
      </w:tr>
      <w:tr w14:paraId="01407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4" w:type="dxa"/>
            <w:vMerge w:val="continue"/>
            <w:shd w:val="clear" w:color="auto" w:fill="auto"/>
            <w:vAlign w:val="center"/>
          </w:tcPr>
          <w:p w14:paraId="5B641B35">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3101" w:type="dxa"/>
            <w:vMerge w:val="continue"/>
            <w:shd w:val="clear" w:color="auto" w:fill="auto"/>
            <w:vAlign w:val="center"/>
          </w:tcPr>
          <w:p w14:paraId="3368CF15">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924" w:type="dxa"/>
            <w:vMerge w:val="restart"/>
            <w:shd w:val="clear" w:color="auto" w:fill="auto"/>
            <w:vAlign w:val="center"/>
          </w:tcPr>
          <w:p w14:paraId="67D00C11">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垃圾分类升级功能</w:t>
            </w:r>
          </w:p>
        </w:tc>
        <w:tc>
          <w:tcPr>
            <w:tcW w:w="3216" w:type="dxa"/>
            <w:shd w:val="clear" w:color="auto" w:fill="auto"/>
            <w:vAlign w:val="center"/>
          </w:tcPr>
          <w:p w14:paraId="2E29159E">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垃圾分类全流程可视化看板</w:t>
            </w:r>
          </w:p>
        </w:tc>
        <w:tc>
          <w:tcPr>
            <w:tcW w:w="3216" w:type="dxa"/>
            <w:shd w:val="clear" w:color="auto" w:fill="auto"/>
            <w:vAlign w:val="center"/>
          </w:tcPr>
          <w:p w14:paraId="2EA2D3CB">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通过GIS地图方式可视化呈现垃圾分类从投放、收运、运输到处置的全流程情况，包括投放要素、收集要素、运输要素、处置要素。</w:t>
            </w:r>
          </w:p>
        </w:tc>
        <w:tc>
          <w:tcPr>
            <w:tcW w:w="438" w:type="dxa"/>
            <w:shd w:val="clear" w:color="auto" w:fill="auto"/>
            <w:vAlign w:val="center"/>
          </w:tcPr>
          <w:p w14:paraId="62DC1635">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项</w:t>
            </w:r>
          </w:p>
        </w:tc>
        <w:tc>
          <w:tcPr>
            <w:tcW w:w="454" w:type="dxa"/>
            <w:shd w:val="clear" w:color="auto" w:fill="auto"/>
            <w:vAlign w:val="center"/>
          </w:tcPr>
          <w:p w14:paraId="76B61C2A">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936" w:type="dxa"/>
            <w:shd w:val="clear" w:color="auto" w:fill="auto"/>
            <w:vAlign w:val="center"/>
          </w:tcPr>
          <w:p w14:paraId="00F565D6">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升级并适配</w:t>
            </w:r>
          </w:p>
        </w:tc>
      </w:tr>
      <w:tr w14:paraId="3A690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4" w:type="dxa"/>
            <w:vMerge w:val="continue"/>
            <w:shd w:val="clear" w:color="auto" w:fill="auto"/>
            <w:vAlign w:val="center"/>
          </w:tcPr>
          <w:p w14:paraId="24A63C27">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3101" w:type="dxa"/>
            <w:vMerge w:val="continue"/>
            <w:shd w:val="clear" w:color="auto" w:fill="auto"/>
            <w:vAlign w:val="center"/>
          </w:tcPr>
          <w:p w14:paraId="05BD1471">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924" w:type="dxa"/>
            <w:vMerge w:val="continue"/>
            <w:shd w:val="clear" w:color="auto" w:fill="auto"/>
            <w:vAlign w:val="center"/>
          </w:tcPr>
          <w:p w14:paraId="7E3B0642">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left"/>
              <w:rPr>
                <w:rFonts w:hint="eastAsia" w:ascii="仿宋" w:hAnsi="仿宋" w:eastAsia="仿宋" w:cs="仿宋"/>
                <w:i w:val="0"/>
                <w:iCs w:val="0"/>
                <w:color w:val="auto"/>
                <w:sz w:val="21"/>
                <w:szCs w:val="21"/>
                <w:highlight w:val="none"/>
                <w:u w:val="none"/>
              </w:rPr>
            </w:pPr>
          </w:p>
        </w:tc>
        <w:tc>
          <w:tcPr>
            <w:tcW w:w="3216" w:type="dxa"/>
            <w:shd w:val="clear" w:color="auto" w:fill="auto"/>
            <w:vAlign w:val="center"/>
          </w:tcPr>
          <w:p w14:paraId="13E843D1">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垃圾分类基础设施年鉴</w:t>
            </w:r>
          </w:p>
        </w:tc>
        <w:tc>
          <w:tcPr>
            <w:tcW w:w="3216" w:type="dxa"/>
            <w:shd w:val="clear" w:color="auto" w:fill="auto"/>
            <w:vAlign w:val="center"/>
          </w:tcPr>
          <w:p w14:paraId="0168E6B0">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设施年鉴包括设施保有量分析、设施新增分析、设施的区域分析、设施维修成本分析，方便掌握设施现状及成本支出，为设施建设工作提供数据支撑。</w:t>
            </w:r>
          </w:p>
        </w:tc>
        <w:tc>
          <w:tcPr>
            <w:tcW w:w="438" w:type="dxa"/>
            <w:shd w:val="clear" w:color="auto" w:fill="auto"/>
            <w:vAlign w:val="center"/>
          </w:tcPr>
          <w:p w14:paraId="6A0EEE7E">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项</w:t>
            </w:r>
          </w:p>
        </w:tc>
        <w:tc>
          <w:tcPr>
            <w:tcW w:w="454" w:type="dxa"/>
            <w:shd w:val="clear" w:color="auto" w:fill="auto"/>
            <w:vAlign w:val="center"/>
          </w:tcPr>
          <w:p w14:paraId="18847E4F">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936" w:type="dxa"/>
            <w:shd w:val="clear" w:color="auto" w:fill="auto"/>
            <w:vAlign w:val="center"/>
          </w:tcPr>
          <w:p w14:paraId="40448B4F">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升级并适配</w:t>
            </w:r>
          </w:p>
        </w:tc>
      </w:tr>
      <w:tr w14:paraId="1E2B9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4" w:type="dxa"/>
            <w:vMerge w:val="continue"/>
            <w:shd w:val="clear" w:color="auto" w:fill="auto"/>
            <w:vAlign w:val="center"/>
          </w:tcPr>
          <w:p w14:paraId="34F27655">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3101" w:type="dxa"/>
            <w:vMerge w:val="continue"/>
            <w:shd w:val="clear" w:color="auto" w:fill="auto"/>
            <w:vAlign w:val="center"/>
          </w:tcPr>
          <w:p w14:paraId="5F2CDC7C">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924" w:type="dxa"/>
            <w:vMerge w:val="continue"/>
            <w:shd w:val="clear" w:color="auto" w:fill="auto"/>
            <w:vAlign w:val="center"/>
          </w:tcPr>
          <w:p w14:paraId="0AC9CE98">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left"/>
              <w:rPr>
                <w:rFonts w:hint="eastAsia" w:ascii="仿宋" w:hAnsi="仿宋" w:eastAsia="仿宋" w:cs="仿宋"/>
                <w:i w:val="0"/>
                <w:iCs w:val="0"/>
                <w:color w:val="auto"/>
                <w:sz w:val="21"/>
                <w:szCs w:val="21"/>
                <w:highlight w:val="none"/>
                <w:u w:val="none"/>
              </w:rPr>
            </w:pPr>
          </w:p>
        </w:tc>
        <w:tc>
          <w:tcPr>
            <w:tcW w:w="3216" w:type="dxa"/>
            <w:shd w:val="clear" w:color="auto" w:fill="auto"/>
            <w:vAlign w:val="center"/>
          </w:tcPr>
          <w:p w14:paraId="2E8E982A">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垃圾分类设施维保管理</w:t>
            </w:r>
          </w:p>
        </w:tc>
        <w:tc>
          <w:tcPr>
            <w:tcW w:w="3216" w:type="dxa"/>
            <w:shd w:val="clear" w:color="auto" w:fill="auto"/>
            <w:vAlign w:val="center"/>
          </w:tcPr>
          <w:p w14:paraId="0CA212B4">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对垃圾分类的基础设施设备的维修保养相关流程管理，维保申请、派发、反馈，对维保信息的查询、统计。</w:t>
            </w:r>
          </w:p>
        </w:tc>
        <w:tc>
          <w:tcPr>
            <w:tcW w:w="438" w:type="dxa"/>
            <w:shd w:val="clear" w:color="auto" w:fill="auto"/>
            <w:vAlign w:val="center"/>
          </w:tcPr>
          <w:p w14:paraId="3C885751">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项</w:t>
            </w:r>
          </w:p>
        </w:tc>
        <w:tc>
          <w:tcPr>
            <w:tcW w:w="454" w:type="dxa"/>
            <w:shd w:val="clear" w:color="auto" w:fill="auto"/>
            <w:vAlign w:val="center"/>
          </w:tcPr>
          <w:p w14:paraId="6E0A7302">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936" w:type="dxa"/>
            <w:shd w:val="clear" w:color="auto" w:fill="auto"/>
            <w:vAlign w:val="center"/>
          </w:tcPr>
          <w:p w14:paraId="48A8F6C0">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升级并适配</w:t>
            </w:r>
          </w:p>
        </w:tc>
      </w:tr>
      <w:tr w14:paraId="5E6FF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4" w:type="dxa"/>
            <w:vMerge w:val="continue"/>
            <w:shd w:val="clear" w:color="auto" w:fill="auto"/>
            <w:vAlign w:val="center"/>
          </w:tcPr>
          <w:p w14:paraId="4552372D">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3101" w:type="dxa"/>
            <w:vMerge w:val="continue"/>
            <w:shd w:val="clear" w:color="auto" w:fill="auto"/>
            <w:vAlign w:val="center"/>
          </w:tcPr>
          <w:p w14:paraId="50F8BF0E">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924" w:type="dxa"/>
            <w:vMerge w:val="continue"/>
            <w:shd w:val="clear" w:color="auto" w:fill="auto"/>
            <w:vAlign w:val="center"/>
          </w:tcPr>
          <w:p w14:paraId="7C53DE21">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left"/>
              <w:rPr>
                <w:rFonts w:hint="eastAsia" w:ascii="仿宋" w:hAnsi="仿宋" w:eastAsia="仿宋" w:cs="仿宋"/>
                <w:i w:val="0"/>
                <w:iCs w:val="0"/>
                <w:color w:val="auto"/>
                <w:sz w:val="21"/>
                <w:szCs w:val="21"/>
                <w:highlight w:val="none"/>
                <w:u w:val="none"/>
              </w:rPr>
            </w:pPr>
          </w:p>
        </w:tc>
        <w:tc>
          <w:tcPr>
            <w:tcW w:w="3216" w:type="dxa"/>
            <w:shd w:val="clear" w:color="auto" w:fill="auto"/>
            <w:vAlign w:val="center"/>
          </w:tcPr>
          <w:p w14:paraId="6534F1CE">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垃圾分类投放分析</w:t>
            </w:r>
          </w:p>
        </w:tc>
        <w:tc>
          <w:tcPr>
            <w:tcW w:w="3216" w:type="dxa"/>
            <w:shd w:val="clear" w:color="auto" w:fill="auto"/>
            <w:vAlign w:val="center"/>
          </w:tcPr>
          <w:p w14:paraId="7886CAB5">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通过图表方式对分类投放数据进行综合分析，包括小区基本信息、产生量趋势分、小区产生量排名、用户分析、违规分析、放质量分析、投放时段分析、违规高发区域分析等。</w:t>
            </w:r>
          </w:p>
        </w:tc>
        <w:tc>
          <w:tcPr>
            <w:tcW w:w="438" w:type="dxa"/>
            <w:shd w:val="clear" w:color="auto" w:fill="auto"/>
            <w:vAlign w:val="center"/>
          </w:tcPr>
          <w:p w14:paraId="542C21D1">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项</w:t>
            </w:r>
          </w:p>
        </w:tc>
        <w:tc>
          <w:tcPr>
            <w:tcW w:w="454" w:type="dxa"/>
            <w:shd w:val="clear" w:color="auto" w:fill="auto"/>
            <w:vAlign w:val="center"/>
          </w:tcPr>
          <w:p w14:paraId="0B9AE5BC">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936" w:type="dxa"/>
            <w:shd w:val="clear" w:color="auto" w:fill="auto"/>
            <w:vAlign w:val="center"/>
          </w:tcPr>
          <w:p w14:paraId="00E3FB7E">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升级并适配</w:t>
            </w:r>
          </w:p>
        </w:tc>
      </w:tr>
      <w:tr w14:paraId="28F05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4" w:type="dxa"/>
            <w:vMerge w:val="continue"/>
            <w:shd w:val="clear" w:color="auto" w:fill="auto"/>
            <w:vAlign w:val="center"/>
          </w:tcPr>
          <w:p w14:paraId="4FE29F30">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3101" w:type="dxa"/>
            <w:vMerge w:val="continue"/>
            <w:shd w:val="clear" w:color="auto" w:fill="auto"/>
            <w:vAlign w:val="center"/>
          </w:tcPr>
          <w:p w14:paraId="07F8B28C">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924" w:type="dxa"/>
            <w:vMerge w:val="continue"/>
            <w:shd w:val="clear" w:color="auto" w:fill="auto"/>
            <w:vAlign w:val="center"/>
          </w:tcPr>
          <w:p w14:paraId="6680BA1F">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left"/>
              <w:rPr>
                <w:rFonts w:hint="eastAsia" w:ascii="仿宋" w:hAnsi="仿宋" w:eastAsia="仿宋" w:cs="仿宋"/>
                <w:i w:val="0"/>
                <w:iCs w:val="0"/>
                <w:color w:val="auto"/>
                <w:sz w:val="21"/>
                <w:szCs w:val="21"/>
                <w:highlight w:val="none"/>
                <w:u w:val="none"/>
              </w:rPr>
            </w:pPr>
          </w:p>
        </w:tc>
        <w:tc>
          <w:tcPr>
            <w:tcW w:w="3216" w:type="dxa"/>
            <w:shd w:val="clear" w:color="auto" w:fill="auto"/>
            <w:vAlign w:val="center"/>
          </w:tcPr>
          <w:p w14:paraId="3BF30E98">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垃圾分类混收混运监管</w:t>
            </w:r>
          </w:p>
        </w:tc>
        <w:tc>
          <w:tcPr>
            <w:tcW w:w="3216" w:type="dxa"/>
            <w:shd w:val="clear" w:color="auto" w:fill="auto"/>
            <w:vAlign w:val="center"/>
          </w:tcPr>
          <w:p w14:paraId="5E516B1B">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通过图像识别技术，及时发现存在混收混运的车辆、收集点、地址，并采集混收混运的图像证据，从源头及时发现混收混运情况。</w:t>
            </w:r>
          </w:p>
        </w:tc>
        <w:tc>
          <w:tcPr>
            <w:tcW w:w="438" w:type="dxa"/>
            <w:shd w:val="clear" w:color="auto" w:fill="auto"/>
            <w:vAlign w:val="center"/>
          </w:tcPr>
          <w:p w14:paraId="4DB0B3C6">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项</w:t>
            </w:r>
          </w:p>
        </w:tc>
        <w:tc>
          <w:tcPr>
            <w:tcW w:w="454" w:type="dxa"/>
            <w:shd w:val="clear" w:color="auto" w:fill="auto"/>
            <w:vAlign w:val="center"/>
          </w:tcPr>
          <w:p w14:paraId="10DF72E9">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936" w:type="dxa"/>
            <w:shd w:val="clear" w:color="auto" w:fill="auto"/>
            <w:vAlign w:val="center"/>
          </w:tcPr>
          <w:p w14:paraId="2C81C83A">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升级并适配</w:t>
            </w:r>
          </w:p>
        </w:tc>
      </w:tr>
      <w:tr w14:paraId="290B8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4" w:type="dxa"/>
            <w:vMerge w:val="continue"/>
            <w:shd w:val="clear" w:color="auto" w:fill="auto"/>
            <w:vAlign w:val="center"/>
          </w:tcPr>
          <w:p w14:paraId="7AF45983">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3101" w:type="dxa"/>
            <w:vMerge w:val="continue"/>
            <w:shd w:val="clear" w:color="auto" w:fill="auto"/>
            <w:vAlign w:val="center"/>
          </w:tcPr>
          <w:p w14:paraId="408D0A6F">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924" w:type="dxa"/>
            <w:vMerge w:val="continue"/>
            <w:shd w:val="clear" w:color="auto" w:fill="auto"/>
            <w:vAlign w:val="center"/>
          </w:tcPr>
          <w:p w14:paraId="7509DD32">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left"/>
              <w:rPr>
                <w:rFonts w:hint="eastAsia" w:ascii="仿宋" w:hAnsi="仿宋" w:eastAsia="仿宋" w:cs="仿宋"/>
                <w:i w:val="0"/>
                <w:iCs w:val="0"/>
                <w:color w:val="auto"/>
                <w:sz w:val="21"/>
                <w:szCs w:val="21"/>
                <w:highlight w:val="none"/>
                <w:u w:val="none"/>
              </w:rPr>
            </w:pPr>
          </w:p>
        </w:tc>
        <w:tc>
          <w:tcPr>
            <w:tcW w:w="3216" w:type="dxa"/>
            <w:shd w:val="clear" w:color="auto" w:fill="auto"/>
            <w:vAlign w:val="center"/>
          </w:tcPr>
          <w:p w14:paraId="53A2716D">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垃圾分类收运任务执行图</w:t>
            </w:r>
          </w:p>
        </w:tc>
        <w:tc>
          <w:tcPr>
            <w:tcW w:w="3216" w:type="dxa"/>
            <w:shd w:val="clear" w:color="auto" w:fill="auto"/>
            <w:vAlign w:val="center"/>
          </w:tcPr>
          <w:p w14:paraId="773D2FEB">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从任务完成率的宏观维度及点位收集情况的微观维度，综合分析车辆任务执行情况，包括整体完成率、收运量、进场量、偏差情况及各类型垃圾收运情况，并支持追溯车辆收集历史轨迹</w:t>
            </w:r>
          </w:p>
        </w:tc>
        <w:tc>
          <w:tcPr>
            <w:tcW w:w="438" w:type="dxa"/>
            <w:shd w:val="clear" w:color="auto" w:fill="auto"/>
            <w:vAlign w:val="center"/>
          </w:tcPr>
          <w:p w14:paraId="4453663C">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项</w:t>
            </w:r>
          </w:p>
        </w:tc>
        <w:tc>
          <w:tcPr>
            <w:tcW w:w="454" w:type="dxa"/>
            <w:shd w:val="clear" w:color="auto" w:fill="auto"/>
            <w:vAlign w:val="center"/>
          </w:tcPr>
          <w:p w14:paraId="0B252868">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936" w:type="dxa"/>
            <w:shd w:val="clear" w:color="auto" w:fill="auto"/>
            <w:vAlign w:val="center"/>
          </w:tcPr>
          <w:p w14:paraId="69694859">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升级并适配</w:t>
            </w:r>
          </w:p>
        </w:tc>
      </w:tr>
      <w:tr w14:paraId="1FA19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4" w:type="dxa"/>
            <w:vMerge w:val="continue"/>
            <w:shd w:val="clear" w:color="auto" w:fill="auto"/>
            <w:vAlign w:val="center"/>
          </w:tcPr>
          <w:p w14:paraId="66A33B54">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3101" w:type="dxa"/>
            <w:vMerge w:val="continue"/>
            <w:shd w:val="clear" w:color="auto" w:fill="auto"/>
            <w:vAlign w:val="center"/>
          </w:tcPr>
          <w:p w14:paraId="54AE8045">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924" w:type="dxa"/>
            <w:vMerge w:val="continue"/>
            <w:shd w:val="clear" w:color="auto" w:fill="auto"/>
            <w:vAlign w:val="center"/>
          </w:tcPr>
          <w:p w14:paraId="32BAC83C">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left"/>
              <w:rPr>
                <w:rFonts w:hint="eastAsia" w:ascii="仿宋" w:hAnsi="仿宋" w:eastAsia="仿宋" w:cs="仿宋"/>
                <w:i w:val="0"/>
                <w:iCs w:val="0"/>
                <w:color w:val="auto"/>
                <w:sz w:val="21"/>
                <w:szCs w:val="21"/>
                <w:highlight w:val="none"/>
                <w:u w:val="none"/>
              </w:rPr>
            </w:pPr>
          </w:p>
        </w:tc>
        <w:tc>
          <w:tcPr>
            <w:tcW w:w="3216" w:type="dxa"/>
            <w:shd w:val="clear" w:color="auto" w:fill="auto"/>
            <w:vAlign w:val="center"/>
          </w:tcPr>
          <w:p w14:paraId="6E3298D6">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垃圾分类收运看板</w:t>
            </w:r>
          </w:p>
        </w:tc>
        <w:tc>
          <w:tcPr>
            <w:tcW w:w="3216" w:type="dxa"/>
            <w:shd w:val="clear" w:color="auto" w:fill="auto"/>
            <w:vAlign w:val="center"/>
          </w:tcPr>
          <w:p w14:paraId="6EE0BF2F">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通过分布图、热力图形式展示收运完成情况，包括收运基本信息、作业数据、区域收集点分布情况、车辆收运情况、区域收运完成率情况、单位收运情况、收集点报警情况。</w:t>
            </w:r>
          </w:p>
        </w:tc>
        <w:tc>
          <w:tcPr>
            <w:tcW w:w="438" w:type="dxa"/>
            <w:shd w:val="clear" w:color="auto" w:fill="auto"/>
            <w:vAlign w:val="center"/>
          </w:tcPr>
          <w:p w14:paraId="4BC6E7C4">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项</w:t>
            </w:r>
          </w:p>
        </w:tc>
        <w:tc>
          <w:tcPr>
            <w:tcW w:w="454" w:type="dxa"/>
            <w:shd w:val="clear" w:color="auto" w:fill="auto"/>
            <w:vAlign w:val="center"/>
          </w:tcPr>
          <w:p w14:paraId="77823C88">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936" w:type="dxa"/>
            <w:shd w:val="clear" w:color="auto" w:fill="auto"/>
            <w:vAlign w:val="center"/>
          </w:tcPr>
          <w:p w14:paraId="0853FCDA">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升级并适配</w:t>
            </w:r>
          </w:p>
        </w:tc>
      </w:tr>
      <w:tr w14:paraId="54E26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4" w:type="dxa"/>
            <w:vMerge w:val="restart"/>
            <w:shd w:val="clear" w:color="auto" w:fill="auto"/>
            <w:vAlign w:val="center"/>
          </w:tcPr>
          <w:p w14:paraId="4726565F">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w:t>
            </w:r>
          </w:p>
        </w:tc>
        <w:tc>
          <w:tcPr>
            <w:tcW w:w="3101" w:type="dxa"/>
            <w:vMerge w:val="restart"/>
            <w:shd w:val="clear" w:color="auto" w:fill="auto"/>
            <w:vAlign w:val="center"/>
          </w:tcPr>
          <w:p w14:paraId="46ABAD4F">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智慧园林</w:t>
            </w:r>
          </w:p>
        </w:tc>
        <w:tc>
          <w:tcPr>
            <w:tcW w:w="924" w:type="dxa"/>
            <w:shd w:val="clear" w:color="auto" w:fill="auto"/>
            <w:vAlign w:val="center"/>
          </w:tcPr>
          <w:p w14:paraId="1AA2A406">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工作驾驶舱</w:t>
            </w:r>
          </w:p>
        </w:tc>
        <w:tc>
          <w:tcPr>
            <w:tcW w:w="3216" w:type="dxa"/>
            <w:shd w:val="clear" w:color="auto" w:fill="auto"/>
            <w:vAlign w:val="center"/>
          </w:tcPr>
          <w:p w14:paraId="19D5B14A">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基于园林绿化一张图，从宏观上监管园林绿化所有业务的运行情况，展现城市绿地各种信息，实时监测数据，以及绿化区域空间分析能力</w:t>
            </w:r>
          </w:p>
        </w:tc>
        <w:tc>
          <w:tcPr>
            <w:tcW w:w="3216" w:type="dxa"/>
            <w:shd w:val="clear" w:color="auto" w:fill="auto"/>
            <w:vAlign w:val="center"/>
          </w:tcPr>
          <w:p w14:paraId="367250D5">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针对信创操作系统、浏览器、中间件的特性和功能进行适配和优化，优化和处理网站中的图片和多媒体内容，以确保在信创浏览器中的兼容性和性能。高度适配、字体适配、适配查询功能、渲染引擎兼容性问题、页面加载渲染速度慢、地图页面加载速度慢、透明度的兼容CSS设置、js引擎、浏览器引擎和数据存储等问题修复。</w:t>
            </w:r>
          </w:p>
        </w:tc>
        <w:tc>
          <w:tcPr>
            <w:tcW w:w="438" w:type="dxa"/>
            <w:shd w:val="clear" w:color="auto" w:fill="auto"/>
            <w:vAlign w:val="center"/>
          </w:tcPr>
          <w:p w14:paraId="36F6BCEC">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项</w:t>
            </w:r>
          </w:p>
        </w:tc>
        <w:tc>
          <w:tcPr>
            <w:tcW w:w="454" w:type="dxa"/>
            <w:shd w:val="clear" w:color="auto" w:fill="auto"/>
            <w:vAlign w:val="center"/>
          </w:tcPr>
          <w:p w14:paraId="1F709B5E">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936" w:type="dxa"/>
            <w:shd w:val="clear" w:color="auto" w:fill="auto"/>
            <w:vAlign w:val="center"/>
          </w:tcPr>
          <w:p w14:paraId="464817BF">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适配</w:t>
            </w:r>
          </w:p>
        </w:tc>
      </w:tr>
      <w:tr w14:paraId="0745E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434" w:type="dxa"/>
            <w:vMerge w:val="continue"/>
            <w:shd w:val="clear" w:color="auto" w:fill="auto"/>
            <w:vAlign w:val="center"/>
          </w:tcPr>
          <w:p w14:paraId="3299B267">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3101" w:type="dxa"/>
            <w:vMerge w:val="continue"/>
            <w:shd w:val="clear" w:color="auto" w:fill="auto"/>
            <w:vAlign w:val="center"/>
          </w:tcPr>
          <w:p w14:paraId="7C5C0B55">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924" w:type="dxa"/>
            <w:shd w:val="clear" w:color="auto" w:fill="auto"/>
            <w:vAlign w:val="center"/>
          </w:tcPr>
          <w:p w14:paraId="20D8538C">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资源资产数据管理</w:t>
            </w:r>
          </w:p>
        </w:tc>
        <w:tc>
          <w:tcPr>
            <w:tcW w:w="3216" w:type="dxa"/>
            <w:shd w:val="clear" w:color="auto" w:fill="auto"/>
            <w:vAlign w:val="center"/>
          </w:tcPr>
          <w:p w14:paraId="34DEF8BE">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对园林数据资产管理、园林普查数据实时更新</w:t>
            </w:r>
          </w:p>
        </w:tc>
        <w:tc>
          <w:tcPr>
            <w:tcW w:w="3216" w:type="dxa"/>
            <w:shd w:val="clear" w:color="auto" w:fill="auto"/>
            <w:vAlign w:val="center"/>
          </w:tcPr>
          <w:p w14:paraId="1274F0EF">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系统信创改造包括用户界面展示、高度适配、字体适配、适配查询功能、渲染引擎兼容性问题、页面加载渲染速度慢、地图页面加载速度慢、透明度的兼容CSS设置、js引擎、浏览器引擎和数据存储等问题修复。</w:t>
            </w:r>
          </w:p>
        </w:tc>
        <w:tc>
          <w:tcPr>
            <w:tcW w:w="438" w:type="dxa"/>
            <w:shd w:val="clear" w:color="auto" w:fill="auto"/>
            <w:vAlign w:val="center"/>
          </w:tcPr>
          <w:p w14:paraId="13ADB1F6">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项</w:t>
            </w:r>
          </w:p>
        </w:tc>
        <w:tc>
          <w:tcPr>
            <w:tcW w:w="454" w:type="dxa"/>
            <w:shd w:val="clear" w:color="auto" w:fill="auto"/>
            <w:vAlign w:val="center"/>
          </w:tcPr>
          <w:p w14:paraId="1FAA1345">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936" w:type="dxa"/>
            <w:shd w:val="clear" w:color="auto" w:fill="auto"/>
            <w:vAlign w:val="center"/>
          </w:tcPr>
          <w:p w14:paraId="12DF640A">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适配</w:t>
            </w:r>
          </w:p>
        </w:tc>
      </w:tr>
      <w:tr w14:paraId="519EC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4" w:type="dxa"/>
            <w:vMerge w:val="continue"/>
            <w:shd w:val="clear" w:color="auto" w:fill="auto"/>
            <w:vAlign w:val="center"/>
          </w:tcPr>
          <w:p w14:paraId="3150AE83">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3101" w:type="dxa"/>
            <w:vMerge w:val="continue"/>
            <w:shd w:val="clear" w:color="auto" w:fill="auto"/>
            <w:vAlign w:val="center"/>
          </w:tcPr>
          <w:p w14:paraId="40447771">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924" w:type="dxa"/>
            <w:shd w:val="clear" w:color="auto" w:fill="auto"/>
            <w:vAlign w:val="center"/>
          </w:tcPr>
          <w:p w14:paraId="3B9B3638">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日常管控</w:t>
            </w:r>
          </w:p>
        </w:tc>
        <w:tc>
          <w:tcPr>
            <w:tcW w:w="3216" w:type="dxa"/>
            <w:shd w:val="clear" w:color="auto" w:fill="auto"/>
            <w:vAlign w:val="center"/>
          </w:tcPr>
          <w:p w14:paraId="23167A62">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对人员、车辆轨迹定位管理，人员排班管理等</w:t>
            </w:r>
          </w:p>
        </w:tc>
        <w:tc>
          <w:tcPr>
            <w:tcW w:w="3216" w:type="dxa"/>
            <w:shd w:val="clear" w:color="auto" w:fill="auto"/>
            <w:vAlign w:val="center"/>
          </w:tcPr>
          <w:p w14:paraId="4762F7C3">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系统信创改造包括用户界面展示、高度适配、字体适配、适配查询功能、渲染引擎兼容性问题、页面加载渲染速度慢、地图页面加载速度慢、透明度的兼容CSS设置、js引擎、浏览器引擎和数据存储等问题修复。</w:t>
            </w:r>
          </w:p>
        </w:tc>
        <w:tc>
          <w:tcPr>
            <w:tcW w:w="438" w:type="dxa"/>
            <w:shd w:val="clear" w:color="auto" w:fill="auto"/>
            <w:vAlign w:val="center"/>
          </w:tcPr>
          <w:p w14:paraId="2DC58615">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项</w:t>
            </w:r>
          </w:p>
        </w:tc>
        <w:tc>
          <w:tcPr>
            <w:tcW w:w="454" w:type="dxa"/>
            <w:shd w:val="clear" w:color="auto" w:fill="auto"/>
            <w:vAlign w:val="center"/>
          </w:tcPr>
          <w:p w14:paraId="7D5FE032">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936" w:type="dxa"/>
            <w:shd w:val="clear" w:color="auto" w:fill="auto"/>
            <w:vAlign w:val="center"/>
          </w:tcPr>
          <w:p w14:paraId="5E4E9732">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适配</w:t>
            </w:r>
          </w:p>
        </w:tc>
      </w:tr>
      <w:tr w14:paraId="2D033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434" w:type="dxa"/>
            <w:vMerge w:val="continue"/>
            <w:shd w:val="clear" w:color="auto" w:fill="auto"/>
            <w:vAlign w:val="center"/>
          </w:tcPr>
          <w:p w14:paraId="319F5A56">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3101" w:type="dxa"/>
            <w:vMerge w:val="continue"/>
            <w:shd w:val="clear" w:color="auto" w:fill="auto"/>
            <w:vAlign w:val="center"/>
          </w:tcPr>
          <w:p w14:paraId="16852C69">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924" w:type="dxa"/>
            <w:shd w:val="clear" w:color="auto" w:fill="auto"/>
            <w:vAlign w:val="center"/>
          </w:tcPr>
          <w:p w14:paraId="4FCD1265">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涉绿项目管控</w:t>
            </w:r>
          </w:p>
        </w:tc>
        <w:tc>
          <w:tcPr>
            <w:tcW w:w="3216" w:type="dxa"/>
            <w:shd w:val="clear" w:color="auto" w:fill="auto"/>
            <w:vAlign w:val="center"/>
          </w:tcPr>
          <w:p w14:paraId="54849C61">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绿化项目全过程管理系统，针对绿化工程建设项目管理进行系统化管理，并建设绿地管理台账，对被侵占的绿地信息进行统计，进行绿化补偿费计算</w:t>
            </w:r>
          </w:p>
        </w:tc>
        <w:tc>
          <w:tcPr>
            <w:tcW w:w="3216" w:type="dxa"/>
            <w:shd w:val="clear" w:color="auto" w:fill="auto"/>
            <w:vAlign w:val="center"/>
          </w:tcPr>
          <w:p w14:paraId="71E43214">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系统信创改造包括用户界面展示、高度适配、字体适配、适配查询功能、渲染引擎兼容性问题、页面加载渲染速度慢、地图页面加载速度慢、透明度的兼容CSS设置、js引擎、浏览器引擎和数据存储等问题修复。</w:t>
            </w:r>
          </w:p>
        </w:tc>
        <w:tc>
          <w:tcPr>
            <w:tcW w:w="438" w:type="dxa"/>
            <w:shd w:val="clear" w:color="auto" w:fill="auto"/>
            <w:vAlign w:val="center"/>
          </w:tcPr>
          <w:p w14:paraId="09EAB54F">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项</w:t>
            </w:r>
          </w:p>
        </w:tc>
        <w:tc>
          <w:tcPr>
            <w:tcW w:w="454" w:type="dxa"/>
            <w:shd w:val="clear" w:color="auto" w:fill="auto"/>
            <w:vAlign w:val="center"/>
          </w:tcPr>
          <w:p w14:paraId="28F6ADFB">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936" w:type="dxa"/>
            <w:shd w:val="clear" w:color="auto" w:fill="auto"/>
            <w:vAlign w:val="center"/>
          </w:tcPr>
          <w:p w14:paraId="37656942">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适配</w:t>
            </w:r>
          </w:p>
        </w:tc>
      </w:tr>
      <w:tr w14:paraId="7BE5B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4" w:type="dxa"/>
            <w:vMerge w:val="continue"/>
            <w:shd w:val="clear" w:color="auto" w:fill="auto"/>
            <w:vAlign w:val="center"/>
          </w:tcPr>
          <w:p w14:paraId="4C27A223">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3101" w:type="dxa"/>
            <w:vMerge w:val="continue"/>
            <w:shd w:val="clear" w:color="auto" w:fill="auto"/>
            <w:vAlign w:val="center"/>
          </w:tcPr>
          <w:p w14:paraId="3ED2C2E9">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924" w:type="dxa"/>
            <w:shd w:val="clear" w:color="auto" w:fill="auto"/>
            <w:vAlign w:val="center"/>
          </w:tcPr>
          <w:p w14:paraId="72B67721">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绿地养护管控</w:t>
            </w:r>
          </w:p>
        </w:tc>
        <w:tc>
          <w:tcPr>
            <w:tcW w:w="3216" w:type="dxa"/>
            <w:shd w:val="clear" w:color="auto" w:fill="auto"/>
            <w:vAlign w:val="center"/>
          </w:tcPr>
          <w:p w14:paraId="61E398AB">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巡检任务管理、养护网格化管理、养护计划管理、工单生成、处置记录、处置提醒、结果统计、养护台账管理、工作管理统计、养护结果分析、绿地作业模型的建立等</w:t>
            </w:r>
          </w:p>
        </w:tc>
        <w:tc>
          <w:tcPr>
            <w:tcW w:w="3216" w:type="dxa"/>
            <w:shd w:val="clear" w:color="auto" w:fill="auto"/>
            <w:vAlign w:val="center"/>
          </w:tcPr>
          <w:p w14:paraId="3BA69901">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系统信创改造包括用户界面展示、高度适配、字体适配、适配查询功能、渲染引擎兼容性问题、页面加载渲染速度慢、地图页面加载速度慢、透明度的兼容CSS设置、js引擎、浏览器引擎和数据存储等问题修复。</w:t>
            </w:r>
          </w:p>
        </w:tc>
        <w:tc>
          <w:tcPr>
            <w:tcW w:w="438" w:type="dxa"/>
            <w:shd w:val="clear" w:color="auto" w:fill="auto"/>
            <w:vAlign w:val="center"/>
          </w:tcPr>
          <w:p w14:paraId="7DECF8C7">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项</w:t>
            </w:r>
          </w:p>
        </w:tc>
        <w:tc>
          <w:tcPr>
            <w:tcW w:w="454" w:type="dxa"/>
            <w:shd w:val="clear" w:color="auto" w:fill="auto"/>
            <w:vAlign w:val="center"/>
          </w:tcPr>
          <w:p w14:paraId="5EB14509">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1936" w:type="dxa"/>
            <w:shd w:val="clear" w:color="auto" w:fill="auto"/>
            <w:vAlign w:val="center"/>
          </w:tcPr>
          <w:p w14:paraId="2809B27F">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适配</w:t>
            </w:r>
          </w:p>
        </w:tc>
      </w:tr>
      <w:tr w14:paraId="6B66A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4" w:type="dxa"/>
            <w:vMerge w:val="continue"/>
            <w:shd w:val="clear" w:color="auto" w:fill="auto"/>
            <w:vAlign w:val="center"/>
          </w:tcPr>
          <w:p w14:paraId="616EA87D">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3101" w:type="dxa"/>
            <w:vMerge w:val="continue"/>
            <w:shd w:val="clear" w:color="auto" w:fill="auto"/>
            <w:vAlign w:val="center"/>
          </w:tcPr>
          <w:p w14:paraId="3BA67F8E">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924" w:type="dxa"/>
            <w:shd w:val="clear" w:color="auto" w:fill="auto"/>
            <w:vAlign w:val="center"/>
          </w:tcPr>
          <w:p w14:paraId="48FCE7C1">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考核评价管理</w:t>
            </w:r>
          </w:p>
        </w:tc>
        <w:tc>
          <w:tcPr>
            <w:tcW w:w="3216" w:type="dxa"/>
            <w:shd w:val="clear" w:color="auto" w:fill="auto"/>
            <w:vAlign w:val="center"/>
          </w:tcPr>
          <w:p w14:paraId="452CD633">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设定考核细则，进行考核评价，统计考核结果，并基于考核结果进行考核通报</w:t>
            </w:r>
          </w:p>
        </w:tc>
        <w:tc>
          <w:tcPr>
            <w:tcW w:w="3216" w:type="dxa"/>
            <w:shd w:val="clear" w:color="auto" w:fill="auto"/>
            <w:vAlign w:val="center"/>
          </w:tcPr>
          <w:p w14:paraId="5B7649AD">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系统信创改造包括用户界面展示、高度适配、字体适配、适配查询功能、渲染引擎兼容性问题、页面加载渲染速度慢、地图页面加载速度慢、透明度的兼容CSS设置、js引擎、浏览器引擎和数据存储等问题修复。</w:t>
            </w:r>
          </w:p>
        </w:tc>
        <w:tc>
          <w:tcPr>
            <w:tcW w:w="438" w:type="dxa"/>
            <w:shd w:val="clear" w:color="auto" w:fill="auto"/>
            <w:vAlign w:val="center"/>
          </w:tcPr>
          <w:p w14:paraId="2E2DFF26">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项</w:t>
            </w:r>
          </w:p>
        </w:tc>
        <w:tc>
          <w:tcPr>
            <w:tcW w:w="454" w:type="dxa"/>
            <w:shd w:val="clear" w:color="auto" w:fill="auto"/>
            <w:vAlign w:val="center"/>
          </w:tcPr>
          <w:p w14:paraId="5AE81284">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936" w:type="dxa"/>
            <w:shd w:val="clear" w:color="auto" w:fill="auto"/>
            <w:vAlign w:val="center"/>
          </w:tcPr>
          <w:p w14:paraId="7845351E">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适配</w:t>
            </w:r>
          </w:p>
        </w:tc>
      </w:tr>
      <w:tr w14:paraId="382A4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434" w:type="dxa"/>
            <w:vMerge w:val="continue"/>
            <w:shd w:val="clear" w:color="auto" w:fill="auto"/>
            <w:vAlign w:val="center"/>
          </w:tcPr>
          <w:p w14:paraId="2D03B299">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3101" w:type="dxa"/>
            <w:vMerge w:val="continue"/>
            <w:shd w:val="clear" w:color="auto" w:fill="auto"/>
            <w:vAlign w:val="center"/>
          </w:tcPr>
          <w:p w14:paraId="328D0BCC">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924" w:type="dxa"/>
            <w:shd w:val="clear" w:color="auto" w:fill="auto"/>
            <w:vAlign w:val="center"/>
          </w:tcPr>
          <w:p w14:paraId="5610707B">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决策分析管理</w:t>
            </w:r>
          </w:p>
        </w:tc>
        <w:tc>
          <w:tcPr>
            <w:tcW w:w="3216" w:type="dxa"/>
            <w:shd w:val="clear" w:color="auto" w:fill="auto"/>
            <w:vAlign w:val="center"/>
          </w:tcPr>
          <w:p w14:paraId="720C3B83">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城市绿地率、绿化覆盖率分析，人均公园绿地面积分析，公园服务半径分析，各块城市绿地建设养护工作辅助分析等</w:t>
            </w:r>
          </w:p>
        </w:tc>
        <w:tc>
          <w:tcPr>
            <w:tcW w:w="3216" w:type="dxa"/>
            <w:shd w:val="clear" w:color="auto" w:fill="auto"/>
            <w:vAlign w:val="center"/>
          </w:tcPr>
          <w:p w14:paraId="4F10CE2E">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系统信创改造包括用户界面展示、高度适配、字体适配、适配查询功能、渲染引擎兼容性问题、页面加载渲染速度慢、地图页面加载速度慢、透明度的兼容CSS设置、js引擎、浏览器引擎和数据存储等问题修复。</w:t>
            </w:r>
          </w:p>
        </w:tc>
        <w:tc>
          <w:tcPr>
            <w:tcW w:w="438" w:type="dxa"/>
            <w:shd w:val="clear" w:color="auto" w:fill="auto"/>
            <w:vAlign w:val="center"/>
          </w:tcPr>
          <w:p w14:paraId="7C5A7701">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项</w:t>
            </w:r>
          </w:p>
        </w:tc>
        <w:tc>
          <w:tcPr>
            <w:tcW w:w="454" w:type="dxa"/>
            <w:shd w:val="clear" w:color="auto" w:fill="auto"/>
            <w:vAlign w:val="center"/>
          </w:tcPr>
          <w:p w14:paraId="596FD877">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936" w:type="dxa"/>
            <w:shd w:val="clear" w:color="auto" w:fill="auto"/>
            <w:vAlign w:val="center"/>
          </w:tcPr>
          <w:p w14:paraId="61DD6494">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适配</w:t>
            </w:r>
          </w:p>
        </w:tc>
      </w:tr>
      <w:tr w14:paraId="014F8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434" w:type="dxa"/>
            <w:vMerge w:val="continue"/>
            <w:shd w:val="clear" w:color="auto" w:fill="auto"/>
            <w:vAlign w:val="center"/>
          </w:tcPr>
          <w:p w14:paraId="5006A5EE">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3101" w:type="dxa"/>
            <w:vMerge w:val="continue"/>
            <w:shd w:val="clear" w:color="auto" w:fill="auto"/>
            <w:vAlign w:val="center"/>
          </w:tcPr>
          <w:p w14:paraId="51B9D14A">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924" w:type="dxa"/>
            <w:shd w:val="clear" w:color="auto" w:fill="auto"/>
            <w:vAlign w:val="center"/>
          </w:tcPr>
          <w:p w14:paraId="09081EB1">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园林通升级</w:t>
            </w:r>
          </w:p>
        </w:tc>
        <w:tc>
          <w:tcPr>
            <w:tcW w:w="3216" w:type="dxa"/>
            <w:shd w:val="clear" w:color="auto" w:fill="auto"/>
            <w:vAlign w:val="center"/>
          </w:tcPr>
          <w:p w14:paraId="3E9FDA31">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对现有的园林通进行升级，加入APP能协助人员快速找到问题发生点，上报问题，反馈处置情况</w:t>
            </w:r>
          </w:p>
        </w:tc>
        <w:tc>
          <w:tcPr>
            <w:tcW w:w="3216" w:type="dxa"/>
            <w:shd w:val="clear" w:color="auto" w:fill="auto"/>
            <w:vAlign w:val="center"/>
          </w:tcPr>
          <w:p w14:paraId="7AD1D9C5">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系统信创改造包括用户界面展示、高度适配、字体适配、适配查询功能、渲染引擎兼容性问题、页面加载渲染速度慢、地图页面加载速度慢、透明度的兼容CSS设置、js引擎、浏览器引擎和数据存储等问题修复。</w:t>
            </w:r>
          </w:p>
        </w:tc>
        <w:tc>
          <w:tcPr>
            <w:tcW w:w="438" w:type="dxa"/>
            <w:shd w:val="clear" w:color="auto" w:fill="auto"/>
            <w:vAlign w:val="center"/>
          </w:tcPr>
          <w:p w14:paraId="68A99CEC">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项</w:t>
            </w:r>
          </w:p>
        </w:tc>
        <w:tc>
          <w:tcPr>
            <w:tcW w:w="454" w:type="dxa"/>
            <w:shd w:val="clear" w:color="auto" w:fill="auto"/>
            <w:vAlign w:val="center"/>
          </w:tcPr>
          <w:p w14:paraId="46436C8E">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936" w:type="dxa"/>
            <w:shd w:val="clear" w:color="auto" w:fill="auto"/>
            <w:vAlign w:val="center"/>
          </w:tcPr>
          <w:p w14:paraId="15D2D3DB">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升级并适配</w:t>
            </w:r>
          </w:p>
        </w:tc>
      </w:tr>
      <w:tr w14:paraId="591EF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434" w:type="dxa"/>
            <w:vMerge w:val="continue"/>
            <w:shd w:val="clear" w:color="auto" w:fill="auto"/>
            <w:vAlign w:val="center"/>
          </w:tcPr>
          <w:p w14:paraId="19BC6660">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3101" w:type="dxa"/>
            <w:vMerge w:val="continue"/>
            <w:shd w:val="clear" w:color="auto" w:fill="auto"/>
            <w:vAlign w:val="center"/>
          </w:tcPr>
          <w:p w14:paraId="0A52A7DD">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924" w:type="dxa"/>
            <w:shd w:val="clear" w:color="auto" w:fill="auto"/>
            <w:vAlign w:val="center"/>
          </w:tcPr>
          <w:p w14:paraId="7D17D469">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土壤及环境监测</w:t>
            </w:r>
          </w:p>
        </w:tc>
        <w:tc>
          <w:tcPr>
            <w:tcW w:w="3216" w:type="dxa"/>
            <w:shd w:val="clear" w:color="auto" w:fill="auto"/>
            <w:vAlign w:val="center"/>
          </w:tcPr>
          <w:p w14:paraId="6C1D184F">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土壤及环境监测相关管理平台进行升级适配改造</w:t>
            </w:r>
          </w:p>
        </w:tc>
        <w:tc>
          <w:tcPr>
            <w:tcW w:w="3216" w:type="dxa"/>
            <w:shd w:val="clear" w:color="auto" w:fill="auto"/>
            <w:vAlign w:val="center"/>
          </w:tcPr>
          <w:p w14:paraId="1E1AEA95">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系统信创改造包括用户界面展示、高度适配、字体适配、适配查询功能、渲染引擎兼容性问题、页面加载渲染速度慢、地图页面加载速度慢、透明度的兼容CSS设置、js引擎、浏览器引擎和数据存储等问题修复。</w:t>
            </w:r>
          </w:p>
        </w:tc>
        <w:tc>
          <w:tcPr>
            <w:tcW w:w="438" w:type="dxa"/>
            <w:shd w:val="clear" w:color="auto" w:fill="auto"/>
            <w:vAlign w:val="center"/>
          </w:tcPr>
          <w:p w14:paraId="65951110">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项</w:t>
            </w:r>
          </w:p>
        </w:tc>
        <w:tc>
          <w:tcPr>
            <w:tcW w:w="454" w:type="dxa"/>
            <w:shd w:val="clear" w:color="auto" w:fill="auto"/>
            <w:vAlign w:val="center"/>
          </w:tcPr>
          <w:p w14:paraId="6C9FE9A1">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936" w:type="dxa"/>
            <w:shd w:val="clear" w:color="auto" w:fill="auto"/>
            <w:vAlign w:val="center"/>
          </w:tcPr>
          <w:p w14:paraId="300108C4">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升级并适配</w:t>
            </w:r>
          </w:p>
        </w:tc>
      </w:tr>
      <w:tr w14:paraId="61535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16" w:type="dxa"/>
            <w:gridSpan w:val="7"/>
            <w:shd w:val="clear" w:color="auto" w:fill="auto"/>
            <w:vAlign w:val="center"/>
          </w:tcPr>
          <w:p w14:paraId="0EA801EB">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二、配套服务部分</w:t>
            </w:r>
          </w:p>
        </w:tc>
        <w:tc>
          <w:tcPr>
            <w:tcW w:w="1936" w:type="dxa"/>
            <w:shd w:val="clear" w:color="auto" w:fill="auto"/>
            <w:vAlign w:val="center"/>
          </w:tcPr>
          <w:p w14:paraId="37962387">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r>
      <w:tr w14:paraId="4AB4A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4" w:type="dxa"/>
            <w:shd w:val="clear" w:color="auto" w:fill="auto"/>
            <w:vAlign w:val="center"/>
          </w:tcPr>
          <w:p w14:paraId="7C3B958A">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3101" w:type="dxa"/>
            <w:vMerge w:val="restart"/>
            <w:shd w:val="clear" w:color="auto" w:fill="auto"/>
            <w:vAlign w:val="center"/>
          </w:tcPr>
          <w:p w14:paraId="3DCEF769">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智慧城管监控平台</w:t>
            </w:r>
          </w:p>
        </w:tc>
        <w:tc>
          <w:tcPr>
            <w:tcW w:w="924" w:type="dxa"/>
            <w:shd w:val="clear" w:color="auto" w:fill="auto"/>
            <w:vAlign w:val="center"/>
          </w:tcPr>
          <w:p w14:paraId="5092F6B7">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平台基础门户</w:t>
            </w:r>
          </w:p>
        </w:tc>
        <w:tc>
          <w:tcPr>
            <w:tcW w:w="3216" w:type="dxa"/>
            <w:shd w:val="clear" w:color="auto" w:fill="auto"/>
            <w:vAlign w:val="center"/>
          </w:tcPr>
          <w:p w14:paraId="49591FE4">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城管业务基础管理门户</w:t>
            </w:r>
          </w:p>
        </w:tc>
        <w:tc>
          <w:tcPr>
            <w:tcW w:w="3216" w:type="dxa"/>
            <w:shd w:val="clear" w:color="auto" w:fill="auto"/>
            <w:vAlign w:val="center"/>
          </w:tcPr>
          <w:p w14:paraId="4FB5C9AB">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针对信创操作系统、浏览器、中间件的特性和功能进行适配和优化，优化和处理网站中的图片和多媒体内容，以确保在信创浏览器中的兼容性和性能。高度适配、字体适配、适配查询功能、渲染引擎兼容性问题、页面加载渲染速度慢、地图页面加载速度慢、透明度的兼容CSS设置、js引擎、浏览器引擎和数据存储等问题修复。</w:t>
            </w:r>
          </w:p>
        </w:tc>
        <w:tc>
          <w:tcPr>
            <w:tcW w:w="438" w:type="dxa"/>
            <w:shd w:val="clear" w:color="auto" w:fill="auto"/>
            <w:vAlign w:val="center"/>
          </w:tcPr>
          <w:p w14:paraId="43AC6B8E">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项</w:t>
            </w:r>
          </w:p>
        </w:tc>
        <w:tc>
          <w:tcPr>
            <w:tcW w:w="454" w:type="dxa"/>
            <w:shd w:val="clear" w:color="auto" w:fill="auto"/>
            <w:vAlign w:val="center"/>
          </w:tcPr>
          <w:p w14:paraId="297F2100">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936" w:type="dxa"/>
            <w:shd w:val="clear" w:color="auto" w:fill="auto"/>
            <w:vAlign w:val="center"/>
          </w:tcPr>
          <w:p w14:paraId="62BD25C3">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left"/>
              <w:rPr>
                <w:rFonts w:hint="eastAsia" w:ascii="仿宋" w:hAnsi="仿宋" w:eastAsia="仿宋" w:cs="仿宋"/>
                <w:i w:val="0"/>
                <w:iCs w:val="0"/>
                <w:color w:val="auto"/>
                <w:sz w:val="21"/>
                <w:szCs w:val="21"/>
                <w:highlight w:val="none"/>
                <w:u w:val="none"/>
              </w:rPr>
            </w:pPr>
          </w:p>
        </w:tc>
      </w:tr>
      <w:tr w14:paraId="75AE7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4" w:type="dxa"/>
            <w:shd w:val="clear" w:color="auto" w:fill="auto"/>
            <w:vAlign w:val="center"/>
          </w:tcPr>
          <w:p w14:paraId="046A623B">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3101" w:type="dxa"/>
            <w:vMerge w:val="continue"/>
            <w:shd w:val="clear" w:color="auto" w:fill="auto"/>
            <w:vAlign w:val="center"/>
          </w:tcPr>
          <w:p w14:paraId="08E08BBF">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924" w:type="dxa"/>
            <w:shd w:val="clear" w:color="auto" w:fill="auto"/>
            <w:vAlign w:val="center"/>
          </w:tcPr>
          <w:p w14:paraId="536E6D21">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城管AR子系统</w:t>
            </w:r>
          </w:p>
        </w:tc>
        <w:tc>
          <w:tcPr>
            <w:tcW w:w="3216" w:type="dxa"/>
            <w:shd w:val="clear" w:color="auto" w:fill="auto"/>
            <w:vAlign w:val="center"/>
          </w:tcPr>
          <w:p w14:paraId="5FC9EF22">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视频地图系统全景视频画面添加标签，标签有视频监控、卡口、人脸、人流密度、岗亭、建筑物、道路等不同类别，标签联动视频以画中画方式展示视频、图片、数据，以及黑名单布控报警等。</w:t>
            </w:r>
          </w:p>
        </w:tc>
        <w:tc>
          <w:tcPr>
            <w:tcW w:w="3216" w:type="dxa"/>
            <w:shd w:val="clear" w:color="auto" w:fill="auto"/>
            <w:vAlign w:val="center"/>
          </w:tcPr>
          <w:p w14:paraId="185F4F2F">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针对信创浏览器的特性和功能进行适配和优化，优化和处理网站中的图片和多媒体内容，以确保在信创浏览器中的兼容性和性能。使用弹性图像技术，例如CSS中的`max-width`属性和`img`元素的`srcset`属性，以确保图像能够根据容器的大小自适应并保持比例。针对不同设备和屏幕尺寸，提供适当的资源和内容，以减少不必要的加载和数据传输。高度适配、字体适配、适配查询功能、渲染引擎兼容性问题、页面加载渲染速度慢、地图页面加载速度慢、透明度的兼容CSS设置、js引擎、浏览器引擎和数据存储等问题修复。</w:t>
            </w:r>
          </w:p>
        </w:tc>
        <w:tc>
          <w:tcPr>
            <w:tcW w:w="438" w:type="dxa"/>
            <w:shd w:val="clear" w:color="auto" w:fill="auto"/>
            <w:vAlign w:val="center"/>
          </w:tcPr>
          <w:p w14:paraId="1CBB13CF">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项</w:t>
            </w:r>
          </w:p>
        </w:tc>
        <w:tc>
          <w:tcPr>
            <w:tcW w:w="454" w:type="dxa"/>
            <w:shd w:val="clear" w:color="auto" w:fill="auto"/>
            <w:vAlign w:val="center"/>
          </w:tcPr>
          <w:p w14:paraId="1048917B">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936" w:type="dxa"/>
            <w:shd w:val="clear" w:color="auto" w:fill="auto"/>
            <w:vAlign w:val="center"/>
          </w:tcPr>
          <w:p w14:paraId="7B8599C8">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r>
      <w:tr w14:paraId="5FD30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434" w:type="dxa"/>
            <w:shd w:val="clear" w:color="auto" w:fill="auto"/>
            <w:vAlign w:val="center"/>
          </w:tcPr>
          <w:p w14:paraId="2BA4B791">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w:t>
            </w:r>
          </w:p>
        </w:tc>
        <w:tc>
          <w:tcPr>
            <w:tcW w:w="3101" w:type="dxa"/>
            <w:vMerge w:val="continue"/>
            <w:shd w:val="clear" w:color="auto" w:fill="auto"/>
            <w:vAlign w:val="center"/>
          </w:tcPr>
          <w:p w14:paraId="666BE9C3">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924" w:type="dxa"/>
            <w:shd w:val="clear" w:color="auto" w:fill="auto"/>
            <w:vAlign w:val="center"/>
          </w:tcPr>
          <w:p w14:paraId="57200253">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城管智能巡查（市容管理）</w:t>
            </w:r>
          </w:p>
        </w:tc>
        <w:tc>
          <w:tcPr>
            <w:tcW w:w="3216" w:type="dxa"/>
            <w:shd w:val="clear" w:color="auto" w:fill="auto"/>
            <w:vAlign w:val="center"/>
          </w:tcPr>
          <w:p w14:paraId="27ABB2FE">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城市管理的占道经营、店外经营、游摊小贩、乱堆物堆料等11种违法类型的智能分析和识别，对发现的违法情况进行自动识别和报警，同时支持与城管业务平台对接，将报警数据上报业务平台存档</w:t>
            </w:r>
          </w:p>
        </w:tc>
        <w:tc>
          <w:tcPr>
            <w:tcW w:w="3216" w:type="dxa"/>
            <w:shd w:val="clear" w:color="auto" w:fill="auto"/>
            <w:vAlign w:val="center"/>
          </w:tcPr>
          <w:p w14:paraId="6B21866F">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针对信创操作系统、浏览器、中间件的特性和功能进行适配和优化，优化和处理网站中的图片和多媒体内容，以确保在信创浏览器中的兼容性和性能。高度适配、字体适配、适配查询功能、渲染引擎兼容性问题、页面加载渲染速度慢、地图页面加载速度慢、透明度的兼容CSS设置、js引擎、浏览器引擎和数据存储等问题修复。</w:t>
            </w:r>
          </w:p>
        </w:tc>
        <w:tc>
          <w:tcPr>
            <w:tcW w:w="438" w:type="dxa"/>
            <w:shd w:val="clear" w:color="auto" w:fill="auto"/>
            <w:vAlign w:val="center"/>
          </w:tcPr>
          <w:p w14:paraId="6A590CED">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项</w:t>
            </w:r>
          </w:p>
        </w:tc>
        <w:tc>
          <w:tcPr>
            <w:tcW w:w="454" w:type="dxa"/>
            <w:shd w:val="clear" w:color="auto" w:fill="auto"/>
            <w:vAlign w:val="center"/>
          </w:tcPr>
          <w:p w14:paraId="27F44D75">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936" w:type="dxa"/>
            <w:shd w:val="clear" w:color="auto" w:fill="auto"/>
            <w:vAlign w:val="center"/>
          </w:tcPr>
          <w:p w14:paraId="6D0229FD">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left"/>
              <w:rPr>
                <w:rFonts w:hint="eastAsia" w:ascii="仿宋" w:hAnsi="仿宋" w:eastAsia="仿宋" w:cs="仿宋"/>
                <w:i w:val="0"/>
                <w:iCs w:val="0"/>
                <w:color w:val="auto"/>
                <w:sz w:val="21"/>
                <w:szCs w:val="21"/>
                <w:highlight w:val="none"/>
                <w:u w:val="none"/>
              </w:rPr>
            </w:pPr>
          </w:p>
        </w:tc>
      </w:tr>
      <w:tr w14:paraId="693F0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4" w:type="dxa"/>
            <w:shd w:val="clear" w:color="auto" w:fill="auto"/>
            <w:vAlign w:val="center"/>
          </w:tcPr>
          <w:p w14:paraId="6EA81D94">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w:t>
            </w:r>
          </w:p>
        </w:tc>
        <w:tc>
          <w:tcPr>
            <w:tcW w:w="3101" w:type="dxa"/>
            <w:vMerge w:val="restart"/>
            <w:shd w:val="clear" w:color="auto" w:fill="auto"/>
            <w:vAlign w:val="center"/>
          </w:tcPr>
          <w:p w14:paraId="7034B3F3">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移动终端综合管理平台</w:t>
            </w:r>
          </w:p>
        </w:tc>
        <w:tc>
          <w:tcPr>
            <w:tcW w:w="924" w:type="dxa"/>
            <w:shd w:val="clear" w:color="auto" w:fill="auto"/>
            <w:vAlign w:val="center"/>
          </w:tcPr>
          <w:p w14:paraId="0B929F51">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执法队伍管理</w:t>
            </w:r>
          </w:p>
        </w:tc>
        <w:tc>
          <w:tcPr>
            <w:tcW w:w="3216" w:type="dxa"/>
            <w:shd w:val="clear" w:color="auto" w:fill="auto"/>
            <w:vAlign w:val="center"/>
          </w:tcPr>
          <w:p w14:paraId="1171ED78">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执法队伍基础管理</w:t>
            </w:r>
          </w:p>
        </w:tc>
        <w:tc>
          <w:tcPr>
            <w:tcW w:w="3216" w:type="dxa"/>
            <w:vMerge w:val="restart"/>
            <w:shd w:val="clear" w:color="auto" w:fill="auto"/>
            <w:vAlign w:val="center"/>
          </w:tcPr>
          <w:p w14:paraId="71339865">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针对信创浏览器的特性和功能进行适配和优化，优化和处理网站中的图片和多媒体内容，以确保在信创浏览器中的兼容性和性能。使用弹性图像技术，例如CSS中的`max-width`属性和`img`元素的`srcset`属性，以确保图像能够根据容器的大小自适应并保持比例。针对不同设备和屏幕尺寸，提供适当的资源和内容，以减少不必要的加载和数据传输。高度适配、字体适配、适配查询功能、渲染引擎兼容性问题、页面加载渲染速度慢、地图页面加载速度慢、透明度的兼容CSS设置、js引擎、浏览器引擎和数据存储等问题修复。</w:t>
            </w:r>
          </w:p>
        </w:tc>
        <w:tc>
          <w:tcPr>
            <w:tcW w:w="438" w:type="dxa"/>
            <w:shd w:val="clear" w:color="auto" w:fill="auto"/>
            <w:vAlign w:val="center"/>
          </w:tcPr>
          <w:p w14:paraId="19C76CC7">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项</w:t>
            </w:r>
          </w:p>
        </w:tc>
        <w:tc>
          <w:tcPr>
            <w:tcW w:w="454" w:type="dxa"/>
            <w:shd w:val="clear" w:color="auto" w:fill="auto"/>
            <w:vAlign w:val="center"/>
          </w:tcPr>
          <w:p w14:paraId="1F12FCFC">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936" w:type="dxa"/>
            <w:shd w:val="clear" w:color="auto" w:fill="auto"/>
            <w:vAlign w:val="center"/>
          </w:tcPr>
          <w:p w14:paraId="6F65B366">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left"/>
              <w:rPr>
                <w:rFonts w:hint="eastAsia" w:ascii="仿宋" w:hAnsi="仿宋" w:eastAsia="仿宋" w:cs="仿宋"/>
                <w:i w:val="0"/>
                <w:iCs w:val="0"/>
                <w:color w:val="auto"/>
                <w:sz w:val="21"/>
                <w:szCs w:val="21"/>
                <w:highlight w:val="none"/>
                <w:u w:val="none"/>
              </w:rPr>
            </w:pPr>
          </w:p>
        </w:tc>
      </w:tr>
      <w:tr w14:paraId="4D7D9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434" w:type="dxa"/>
            <w:shd w:val="clear" w:color="auto" w:fill="auto"/>
            <w:vAlign w:val="center"/>
          </w:tcPr>
          <w:p w14:paraId="346E4F06">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w:t>
            </w:r>
          </w:p>
        </w:tc>
        <w:tc>
          <w:tcPr>
            <w:tcW w:w="3101" w:type="dxa"/>
            <w:vMerge w:val="continue"/>
            <w:shd w:val="clear" w:color="auto" w:fill="auto"/>
            <w:vAlign w:val="center"/>
          </w:tcPr>
          <w:p w14:paraId="291FC0AE">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924" w:type="dxa"/>
            <w:shd w:val="clear" w:color="auto" w:fill="auto"/>
            <w:vAlign w:val="center"/>
          </w:tcPr>
          <w:p w14:paraId="570159BF">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执法指挥调度</w:t>
            </w:r>
          </w:p>
        </w:tc>
        <w:tc>
          <w:tcPr>
            <w:tcW w:w="3216" w:type="dxa"/>
            <w:shd w:val="clear" w:color="auto" w:fill="auto"/>
            <w:vAlign w:val="center"/>
          </w:tcPr>
          <w:p w14:paraId="0371442E">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执法指挥调度</w:t>
            </w:r>
          </w:p>
        </w:tc>
        <w:tc>
          <w:tcPr>
            <w:tcW w:w="3216" w:type="dxa"/>
            <w:vMerge w:val="continue"/>
            <w:shd w:val="clear" w:color="auto" w:fill="auto"/>
            <w:vAlign w:val="center"/>
          </w:tcPr>
          <w:p w14:paraId="17924633">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left"/>
              <w:rPr>
                <w:rFonts w:hint="eastAsia" w:ascii="仿宋" w:hAnsi="仿宋" w:eastAsia="仿宋" w:cs="仿宋"/>
                <w:i w:val="0"/>
                <w:iCs w:val="0"/>
                <w:color w:val="auto"/>
                <w:sz w:val="21"/>
                <w:szCs w:val="21"/>
                <w:highlight w:val="none"/>
                <w:u w:val="none"/>
              </w:rPr>
            </w:pPr>
          </w:p>
        </w:tc>
        <w:tc>
          <w:tcPr>
            <w:tcW w:w="438" w:type="dxa"/>
            <w:shd w:val="clear" w:color="auto" w:fill="auto"/>
            <w:vAlign w:val="center"/>
          </w:tcPr>
          <w:p w14:paraId="624718EF">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项</w:t>
            </w:r>
          </w:p>
        </w:tc>
        <w:tc>
          <w:tcPr>
            <w:tcW w:w="454" w:type="dxa"/>
            <w:shd w:val="clear" w:color="auto" w:fill="auto"/>
            <w:vAlign w:val="center"/>
          </w:tcPr>
          <w:p w14:paraId="4BB98027">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936" w:type="dxa"/>
            <w:shd w:val="clear" w:color="auto" w:fill="auto"/>
            <w:vAlign w:val="center"/>
          </w:tcPr>
          <w:p w14:paraId="6903BE8A">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left"/>
              <w:rPr>
                <w:rFonts w:hint="eastAsia" w:ascii="仿宋" w:hAnsi="仿宋" w:eastAsia="仿宋" w:cs="仿宋"/>
                <w:i w:val="0"/>
                <w:iCs w:val="0"/>
                <w:color w:val="auto"/>
                <w:sz w:val="21"/>
                <w:szCs w:val="21"/>
                <w:highlight w:val="none"/>
                <w:u w:val="none"/>
              </w:rPr>
            </w:pPr>
          </w:p>
        </w:tc>
      </w:tr>
      <w:tr w14:paraId="72E27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4" w:type="dxa"/>
            <w:shd w:val="clear" w:color="auto" w:fill="auto"/>
            <w:vAlign w:val="center"/>
          </w:tcPr>
          <w:p w14:paraId="285B6089">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6</w:t>
            </w:r>
          </w:p>
        </w:tc>
        <w:tc>
          <w:tcPr>
            <w:tcW w:w="3101" w:type="dxa"/>
            <w:vMerge w:val="continue"/>
            <w:shd w:val="clear" w:color="auto" w:fill="auto"/>
            <w:vAlign w:val="center"/>
          </w:tcPr>
          <w:p w14:paraId="39F7F0A7">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924" w:type="dxa"/>
            <w:shd w:val="clear" w:color="auto" w:fill="auto"/>
            <w:vAlign w:val="center"/>
          </w:tcPr>
          <w:p w14:paraId="725C08D1">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电子证据管理</w:t>
            </w:r>
          </w:p>
        </w:tc>
        <w:tc>
          <w:tcPr>
            <w:tcW w:w="3216" w:type="dxa"/>
            <w:shd w:val="clear" w:color="auto" w:fill="auto"/>
            <w:vAlign w:val="center"/>
          </w:tcPr>
          <w:p w14:paraId="2826B564">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电子证据管理</w:t>
            </w:r>
          </w:p>
        </w:tc>
        <w:tc>
          <w:tcPr>
            <w:tcW w:w="3216" w:type="dxa"/>
            <w:vMerge w:val="continue"/>
            <w:shd w:val="clear" w:color="auto" w:fill="auto"/>
            <w:vAlign w:val="center"/>
          </w:tcPr>
          <w:p w14:paraId="13FCB6E2">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left"/>
              <w:rPr>
                <w:rFonts w:hint="eastAsia" w:ascii="仿宋" w:hAnsi="仿宋" w:eastAsia="仿宋" w:cs="仿宋"/>
                <w:i w:val="0"/>
                <w:iCs w:val="0"/>
                <w:color w:val="auto"/>
                <w:sz w:val="21"/>
                <w:szCs w:val="21"/>
                <w:highlight w:val="none"/>
                <w:u w:val="none"/>
              </w:rPr>
            </w:pPr>
          </w:p>
        </w:tc>
        <w:tc>
          <w:tcPr>
            <w:tcW w:w="438" w:type="dxa"/>
            <w:shd w:val="clear" w:color="auto" w:fill="auto"/>
            <w:vAlign w:val="center"/>
          </w:tcPr>
          <w:p w14:paraId="02140302">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项</w:t>
            </w:r>
          </w:p>
        </w:tc>
        <w:tc>
          <w:tcPr>
            <w:tcW w:w="454" w:type="dxa"/>
            <w:shd w:val="clear" w:color="auto" w:fill="auto"/>
            <w:vAlign w:val="center"/>
          </w:tcPr>
          <w:p w14:paraId="6CB3217D">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936" w:type="dxa"/>
            <w:shd w:val="clear" w:color="auto" w:fill="auto"/>
            <w:vAlign w:val="center"/>
          </w:tcPr>
          <w:p w14:paraId="737FA674">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left"/>
              <w:rPr>
                <w:rFonts w:hint="eastAsia" w:ascii="仿宋" w:hAnsi="仿宋" w:eastAsia="仿宋" w:cs="仿宋"/>
                <w:i w:val="0"/>
                <w:iCs w:val="0"/>
                <w:color w:val="auto"/>
                <w:sz w:val="21"/>
                <w:szCs w:val="21"/>
                <w:highlight w:val="none"/>
                <w:u w:val="none"/>
              </w:rPr>
            </w:pPr>
          </w:p>
        </w:tc>
      </w:tr>
      <w:tr w14:paraId="774F7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434" w:type="dxa"/>
            <w:shd w:val="clear" w:color="auto" w:fill="auto"/>
            <w:vAlign w:val="center"/>
          </w:tcPr>
          <w:p w14:paraId="783011B5">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7</w:t>
            </w:r>
          </w:p>
        </w:tc>
        <w:tc>
          <w:tcPr>
            <w:tcW w:w="3101" w:type="dxa"/>
            <w:vMerge w:val="continue"/>
            <w:shd w:val="clear" w:color="auto" w:fill="auto"/>
            <w:vAlign w:val="center"/>
          </w:tcPr>
          <w:p w14:paraId="1E22E9BD">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924" w:type="dxa"/>
            <w:shd w:val="clear" w:color="auto" w:fill="auto"/>
            <w:vAlign w:val="center"/>
          </w:tcPr>
          <w:p w14:paraId="7F7FA25F">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即时通讯</w:t>
            </w:r>
          </w:p>
        </w:tc>
        <w:tc>
          <w:tcPr>
            <w:tcW w:w="3216" w:type="dxa"/>
            <w:shd w:val="clear" w:color="auto" w:fill="auto"/>
            <w:vAlign w:val="center"/>
          </w:tcPr>
          <w:p w14:paraId="021FE282">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即时通讯</w:t>
            </w:r>
          </w:p>
        </w:tc>
        <w:tc>
          <w:tcPr>
            <w:tcW w:w="3216" w:type="dxa"/>
            <w:vMerge w:val="continue"/>
            <w:shd w:val="clear" w:color="auto" w:fill="auto"/>
            <w:vAlign w:val="center"/>
          </w:tcPr>
          <w:p w14:paraId="76300C56">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left"/>
              <w:rPr>
                <w:rFonts w:hint="eastAsia" w:ascii="仿宋" w:hAnsi="仿宋" w:eastAsia="仿宋" w:cs="仿宋"/>
                <w:i w:val="0"/>
                <w:iCs w:val="0"/>
                <w:color w:val="auto"/>
                <w:sz w:val="21"/>
                <w:szCs w:val="21"/>
                <w:highlight w:val="none"/>
                <w:u w:val="none"/>
              </w:rPr>
            </w:pPr>
          </w:p>
        </w:tc>
        <w:tc>
          <w:tcPr>
            <w:tcW w:w="438" w:type="dxa"/>
            <w:shd w:val="clear" w:color="auto" w:fill="auto"/>
            <w:vAlign w:val="center"/>
          </w:tcPr>
          <w:p w14:paraId="7E4D63FF">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项</w:t>
            </w:r>
          </w:p>
        </w:tc>
        <w:tc>
          <w:tcPr>
            <w:tcW w:w="454" w:type="dxa"/>
            <w:shd w:val="clear" w:color="auto" w:fill="auto"/>
            <w:vAlign w:val="center"/>
          </w:tcPr>
          <w:p w14:paraId="4FB8275A">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936" w:type="dxa"/>
            <w:shd w:val="clear" w:color="auto" w:fill="auto"/>
            <w:vAlign w:val="center"/>
          </w:tcPr>
          <w:p w14:paraId="2DDA2A96">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left"/>
              <w:rPr>
                <w:rFonts w:hint="eastAsia" w:ascii="仿宋" w:hAnsi="仿宋" w:eastAsia="仿宋" w:cs="仿宋"/>
                <w:i w:val="0"/>
                <w:iCs w:val="0"/>
                <w:color w:val="auto"/>
                <w:sz w:val="21"/>
                <w:szCs w:val="21"/>
                <w:highlight w:val="none"/>
                <w:u w:val="none"/>
              </w:rPr>
            </w:pPr>
          </w:p>
        </w:tc>
      </w:tr>
      <w:tr w14:paraId="62F44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4" w:type="dxa"/>
            <w:shd w:val="clear" w:color="auto" w:fill="auto"/>
            <w:vAlign w:val="center"/>
          </w:tcPr>
          <w:p w14:paraId="7B49614C">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8</w:t>
            </w:r>
          </w:p>
        </w:tc>
        <w:tc>
          <w:tcPr>
            <w:tcW w:w="3101" w:type="dxa"/>
            <w:vMerge w:val="continue"/>
            <w:shd w:val="clear" w:color="auto" w:fill="auto"/>
            <w:vAlign w:val="center"/>
          </w:tcPr>
          <w:p w14:paraId="68FB4AF6">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924" w:type="dxa"/>
            <w:shd w:val="clear" w:color="auto" w:fill="auto"/>
            <w:vAlign w:val="center"/>
          </w:tcPr>
          <w:p w14:paraId="14B597CB">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第三方接口开发</w:t>
            </w:r>
          </w:p>
        </w:tc>
        <w:tc>
          <w:tcPr>
            <w:tcW w:w="3216" w:type="dxa"/>
            <w:shd w:val="clear" w:color="auto" w:fill="auto"/>
            <w:vAlign w:val="center"/>
          </w:tcPr>
          <w:p w14:paraId="03894EE6">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第三方接口开发</w:t>
            </w:r>
          </w:p>
        </w:tc>
        <w:tc>
          <w:tcPr>
            <w:tcW w:w="3216" w:type="dxa"/>
            <w:vMerge w:val="continue"/>
            <w:shd w:val="clear" w:color="auto" w:fill="auto"/>
            <w:vAlign w:val="center"/>
          </w:tcPr>
          <w:p w14:paraId="25E88EAF">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left"/>
              <w:rPr>
                <w:rFonts w:hint="eastAsia" w:ascii="仿宋" w:hAnsi="仿宋" w:eastAsia="仿宋" w:cs="仿宋"/>
                <w:i w:val="0"/>
                <w:iCs w:val="0"/>
                <w:color w:val="auto"/>
                <w:sz w:val="21"/>
                <w:szCs w:val="21"/>
                <w:highlight w:val="none"/>
                <w:u w:val="none"/>
              </w:rPr>
            </w:pPr>
          </w:p>
        </w:tc>
        <w:tc>
          <w:tcPr>
            <w:tcW w:w="438" w:type="dxa"/>
            <w:shd w:val="clear" w:color="auto" w:fill="auto"/>
            <w:vAlign w:val="center"/>
          </w:tcPr>
          <w:p w14:paraId="7FE4AA9F">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项</w:t>
            </w:r>
          </w:p>
        </w:tc>
        <w:tc>
          <w:tcPr>
            <w:tcW w:w="454" w:type="dxa"/>
            <w:shd w:val="clear" w:color="auto" w:fill="auto"/>
            <w:vAlign w:val="center"/>
          </w:tcPr>
          <w:p w14:paraId="2B49E8F2">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936" w:type="dxa"/>
            <w:shd w:val="clear" w:color="auto" w:fill="auto"/>
            <w:vAlign w:val="center"/>
          </w:tcPr>
          <w:p w14:paraId="2A9F8817">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left"/>
              <w:rPr>
                <w:rFonts w:hint="eastAsia" w:ascii="仿宋" w:hAnsi="仿宋" w:eastAsia="仿宋" w:cs="仿宋"/>
                <w:i w:val="0"/>
                <w:iCs w:val="0"/>
                <w:color w:val="auto"/>
                <w:sz w:val="21"/>
                <w:szCs w:val="21"/>
                <w:highlight w:val="none"/>
                <w:u w:val="none"/>
              </w:rPr>
            </w:pPr>
          </w:p>
        </w:tc>
      </w:tr>
      <w:tr w14:paraId="56A65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434" w:type="dxa"/>
            <w:vMerge w:val="restart"/>
            <w:shd w:val="clear" w:color="auto" w:fill="auto"/>
            <w:vAlign w:val="center"/>
          </w:tcPr>
          <w:p w14:paraId="467589EA">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9</w:t>
            </w:r>
          </w:p>
        </w:tc>
        <w:tc>
          <w:tcPr>
            <w:tcW w:w="3101" w:type="dxa"/>
            <w:vMerge w:val="restart"/>
            <w:shd w:val="clear" w:color="auto" w:fill="auto"/>
            <w:vAlign w:val="center"/>
          </w:tcPr>
          <w:p w14:paraId="20536819">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平台数据迁移</w:t>
            </w:r>
          </w:p>
        </w:tc>
        <w:tc>
          <w:tcPr>
            <w:tcW w:w="924" w:type="dxa"/>
            <w:vMerge w:val="restart"/>
            <w:shd w:val="clear" w:color="auto" w:fill="auto"/>
            <w:vAlign w:val="center"/>
          </w:tcPr>
          <w:p w14:paraId="09F2D6FB">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特殊定制迁移</w:t>
            </w:r>
          </w:p>
        </w:tc>
        <w:tc>
          <w:tcPr>
            <w:tcW w:w="3216" w:type="dxa"/>
            <w:vMerge w:val="restart"/>
            <w:shd w:val="clear" w:color="auto" w:fill="auto"/>
            <w:vAlign w:val="center"/>
          </w:tcPr>
          <w:p w14:paraId="417EFA34">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特殊定制迁移</w:t>
            </w:r>
          </w:p>
        </w:tc>
        <w:tc>
          <w:tcPr>
            <w:tcW w:w="3216" w:type="dxa"/>
            <w:vMerge w:val="restart"/>
            <w:shd w:val="clear" w:color="auto" w:fill="auto"/>
            <w:vAlign w:val="center"/>
          </w:tcPr>
          <w:p w14:paraId="3CFCA684">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系统信创改造包括用户界面展示、高度适配、字体适配、适配查询功能、渲染引擎兼容性问题、页面加载渲染速度慢、地图页面加载速度慢、透明度的兼容CSS设置、js引擎、浏览器引擎和数据存储等问题修复。</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 xml:space="preserve">    迁移过程涉及迁移发起方、实施方、配合方，具体迁移过程包括：迁移调研、设计、实施和收尾等四个步骤：</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1) 迁移调研：数据迁移的需求调研分析、明确迁移内容；</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2) 迁移设计：结合迁移业务目标、对迁移内容进行评估、制定迁移步骤等；</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3) 迁移实施：进行迁移方案验证、资源准备、系统备份、迁移执行和组织迁移测试等工作；</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4) 迁移收尾：包括业务试运行、交付收尾等工作。</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数据与配置迁移包括信创环境下的产品部署及初始化配置服务、原有平台的数据迁移服务、接口开发对接服务等。</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产品部署服务包括：</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 xml:space="preserve">   产品部署：包括资源协调，产品部署等服务；</w:t>
            </w:r>
          </w:p>
        </w:tc>
        <w:tc>
          <w:tcPr>
            <w:tcW w:w="438" w:type="dxa"/>
            <w:vMerge w:val="restart"/>
            <w:shd w:val="clear" w:color="auto" w:fill="auto"/>
            <w:vAlign w:val="center"/>
          </w:tcPr>
          <w:p w14:paraId="1050395A">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项</w:t>
            </w:r>
          </w:p>
        </w:tc>
        <w:tc>
          <w:tcPr>
            <w:tcW w:w="454" w:type="dxa"/>
            <w:vMerge w:val="restart"/>
            <w:shd w:val="clear" w:color="auto" w:fill="auto"/>
            <w:vAlign w:val="center"/>
          </w:tcPr>
          <w:p w14:paraId="34FCBAFA">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936" w:type="dxa"/>
            <w:vMerge w:val="restart"/>
            <w:shd w:val="clear" w:color="auto" w:fill="auto"/>
            <w:vAlign w:val="center"/>
          </w:tcPr>
          <w:p w14:paraId="049F603D">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left"/>
              <w:rPr>
                <w:rFonts w:hint="eastAsia" w:ascii="仿宋" w:hAnsi="仿宋" w:eastAsia="仿宋" w:cs="仿宋"/>
                <w:i w:val="0"/>
                <w:iCs w:val="0"/>
                <w:color w:val="auto"/>
                <w:sz w:val="21"/>
                <w:szCs w:val="21"/>
                <w:highlight w:val="none"/>
                <w:u w:val="none"/>
              </w:rPr>
            </w:pPr>
          </w:p>
        </w:tc>
      </w:tr>
      <w:tr w14:paraId="33237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34" w:type="dxa"/>
            <w:vMerge w:val="continue"/>
            <w:shd w:val="clear" w:color="auto" w:fill="auto"/>
            <w:vAlign w:val="center"/>
          </w:tcPr>
          <w:p w14:paraId="33239EC4">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3101" w:type="dxa"/>
            <w:vMerge w:val="continue"/>
            <w:shd w:val="clear" w:color="auto" w:fill="auto"/>
            <w:vAlign w:val="center"/>
          </w:tcPr>
          <w:p w14:paraId="4AE5A38E">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924" w:type="dxa"/>
            <w:vMerge w:val="continue"/>
            <w:shd w:val="clear" w:color="auto" w:fill="auto"/>
            <w:vAlign w:val="center"/>
          </w:tcPr>
          <w:p w14:paraId="1998DB14">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3216" w:type="dxa"/>
            <w:vMerge w:val="continue"/>
            <w:shd w:val="clear" w:color="auto" w:fill="auto"/>
            <w:vAlign w:val="center"/>
          </w:tcPr>
          <w:p w14:paraId="72581059">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3216" w:type="dxa"/>
            <w:vMerge w:val="continue"/>
            <w:shd w:val="clear" w:color="auto" w:fill="auto"/>
            <w:vAlign w:val="center"/>
          </w:tcPr>
          <w:p w14:paraId="0E04E0BD">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438" w:type="dxa"/>
            <w:vMerge w:val="continue"/>
            <w:shd w:val="clear" w:color="auto" w:fill="auto"/>
            <w:vAlign w:val="center"/>
          </w:tcPr>
          <w:p w14:paraId="4EE53BB4">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454" w:type="dxa"/>
            <w:vMerge w:val="continue"/>
            <w:shd w:val="clear" w:color="auto" w:fill="auto"/>
            <w:vAlign w:val="center"/>
          </w:tcPr>
          <w:p w14:paraId="52F918F6">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1936" w:type="dxa"/>
            <w:vMerge w:val="continue"/>
            <w:shd w:val="clear" w:color="auto" w:fill="auto"/>
            <w:vAlign w:val="center"/>
          </w:tcPr>
          <w:p w14:paraId="0E2CA5F6">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r>
      <w:tr w14:paraId="7CB36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34" w:type="dxa"/>
            <w:vMerge w:val="continue"/>
            <w:shd w:val="clear" w:color="auto" w:fill="auto"/>
            <w:vAlign w:val="center"/>
          </w:tcPr>
          <w:p w14:paraId="57568E08">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3101" w:type="dxa"/>
            <w:vMerge w:val="continue"/>
            <w:shd w:val="clear" w:color="auto" w:fill="auto"/>
            <w:vAlign w:val="center"/>
          </w:tcPr>
          <w:p w14:paraId="39BA2301">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924" w:type="dxa"/>
            <w:vMerge w:val="continue"/>
            <w:shd w:val="clear" w:color="auto" w:fill="auto"/>
            <w:vAlign w:val="center"/>
          </w:tcPr>
          <w:p w14:paraId="5A8EC2F3">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3216" w:type="dxa"/>
            <w:vMerge w:val="continue"/>
            <w:shd w:val="clear" w:color="auto" w:fill="auto"/>
            <w:vAlign w:val="center"/>
          </w:tcPr>
          <w:p w14:paraId="5110CD0E">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3216" w:type="dxa"/>
            <w:vMerge w:val="continue"/>
            <w:shd w:val="clear" w:color="auto" w:fill="auto"/>
            <w:vAlign w:val="center"/>
          </w:tcPr>
          <w:p w14:paraId="60EC820A">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438" w:type="dxa"/>
            <w:vMerge w:val="continue"/>
            <w:shd w:val="clear" w:color="auto" w:fill="auto"/>
            <w:vAlign w:val="center"/>
          </w:tcPr>
          <w:p w14:paraId="19BA8D4C">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454" w:type="dxa"/>
            <w:vMerge w:val="continue"/>
            <w:shd w:val="clear" w:color="auto" w:fill="auto"/>
            <w:vAlign w:val="center"/>
          </w:tcPr>
          <w:p w14:paraId="4A29EFD2">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1936" w:type="dxa"/>
            <w:vMerge w:val="continue"/>
            <w:shd w:val="clear" w:color="auto" w:fill="auto"/>
            <w:vAlign w:val="center"/>
          </w:tcPr>
          <w:p w14:paraId="687EC3F1">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r>
      <w:tr w14:paraId="0FC8B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34" w:type="dxa"/>
            <w:vMerge w:val="continue"/>
            <w:shd w:val="clear" w:color="auto" w:fill="auto"/>
            <w:vAlign w:val="center"/>
          </w:tcPr>
          <w:p w14:paraId="25EF7FB8">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3101" w:type="dxa"/>
            <w:vMerge w:val="continue"/>
            <w:shd w:val="clear" w:color="auto" w:fill="auto"/>
            <w:vAlign w:val="center"/>
          </w:tcPr>
          <w:p w14:paraId="03C31E0B">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924" w:type="dxa"/>
            <w:vMerge w:val="continue"/>
            <w:shd w:val="clear" w:color="auto" w:fill="auto"/>
            <w:vAlign w:val="center"/>
          </w:tcPr>
          <w:p w14:paraId="27AC4CFB">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left"/>
              <w:rPr>
                <w:rFonts w:hint="eastAsia" w:ascii="仿宋" w:hAnsi="仿宋" w:eastAsia="仿宋" w:cs="仿宋"/>
                <w:i w:val="0"/>
                <w:iCs w:val="0"/>
                <w:color w:val="auto"/>
                <w:sz w:val="21"/>
                <w:szCs w:val="21"/>
                <w:highlight w:val="none"/>
                <w:u w:val="none"/>
              </w:rPr>
            </w:pPr>
          </w:p>
        </w:tc>
        <w:tc>
          <w:tcPr>
            <w:tcW w:w="3216" w:type="dxa"/>
            <w:vMerge w:val="continue"/>
            <w:shd w:val="clear" w:color="auto" w:fill="auto"/>
            <w:vAlign w:val="center"/>
          </w:tcPr>
          <w:p w14:paraId="23738C0D">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left"/>
              <w:rPr>
                <w:rFonts w:hint="eastAsia" w:ascii="仿宋" w:hAnsi="仿宋" w:eastAsia="仿宋" w:cs="仿宋"/>
                <w:i w:val="0"/>
                <w:iCs w:val="0"/>
                <w:color w:val="auto"/>
                <w:sz w:val="21"/>
                <w:szCs w:val="21"/>
                <w:highlight w:val="none"/>
                <w:u w:val="none"/>
              </w:rPr>
            </w:pPr>
          </w:p>
        </w:tc>
        <w:tc>
          <w:tcPr>
            <w:tcW w:w="3216" w:type="dxa"/>
            <w:vMerge w:val="continue"/>
            <w:shd w:val="clear" w:color="auto" w:fill="auto"/>
            <w:vAlign w:val="center"/>
          </w:tcPr>
          <w:p w14:paraId="2E356DE3">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left"/>
              <w:rPr>
                <w:rFonts w:hint="eastAsia" w:ascii="仿宋" w:hAnsi="仿宋" w:eastAsia="仿宋" w:cs="仿宋"/>
                <w:i w:val="0"/>
                <w:iCs w:val="0"/>
                <w:color w:val="auto"/>
                <w:sz w:val="21"/>
                <w:szCs w:val="21"/>
                <w:highlight w:val="none"/>
                <w:u w:val="none"/>
              </w:rPr>
            </w:pPr>
          </w:p>
        </w:tc>
        <w:tc>
          <w:tcPr>
            <w:tcW w:w="438" w:type="dxa"/>
            <w:vMerge w:val="continue"/>
            <w:shd w:val="clear" w:color="auto" w:fill="auto"/>
            <w:vAlign w:val="center"/>
          </w:tcPr>
          <w:p w14:paraId="1D089191">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454" w:type="dxa"/>
            <w:vMerge w:val="continue"/>
            <w:shd w:val="clear" w:color="auto" w:fill="auto"/>
            <w:vAlign w:val="center"/>
          </w:tcPr>
          <w:p w14:paraId="2EA0738F">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1936" w:type="dxa"/>
            <w:vMerge w:val="continue"/>
            <w:shd w:val="clear" w:color="auto" w:fill="auto"/>
            <w:vAlign w:val="center"/>
          </w:tcPr>
          <w:p w14:paraId="560C4669">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r>
      <w:tr w14:paraId="01DC3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34" w:type="dxa"/>
            <w:vMerge w:val="continue"/>
            <w:shd w:val="clear" w:color="auto" w:fill="auto"/>
            <w:vAlign w:val="center"/>
          </w:tcPr>
          <w:p w14:paraId="0063CB62">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3101" w:type="dxa"/>
            <w:vMerge w:val="continue"/>
            <w:shd w:val="clear" w:color="auto" w:fill="auto"/>
            <w:vAlign w:val="center"/>
          </w:tcPr>
          <w:p w14:paraId="22C456DF">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924" w:type="dxa"/>
            <w:vMerge w:val="continue"/>
            <w:shd w:val="clear" w:color="auto" w:fill="auto"/>
            <w:vAlign w:val="center"/>
          </w:tcPr>
          <w:p w14:paraId="5003FFFF">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left"/>
              <w:rPr>
                <w:rFonts w:hint="eastAsia" w:ascii="仿宋" w:hAnsi="仿宋" w:eastAsia="仿宋" w:cs="仿宋"/>
                <w:i w:val="0"/>
                <w:iCs w:val="0"/>
                <w:color w:val="auto"/>
                <w:sz w:val="21"/>
                <w:szCs w:val="21"/>
                <w:highlight w:val="none"/>
                <w:u w:val="none"/>
              </w:rPr>
            </w:pPr>
          </w:p>
        </w:tc>
        <w:tc>
          <w:tcPr>
            <w:tcW w:w="3216" w:type="dxa"/>
            <w:vMerge w:val="continue"/>
            <w:shd w:val="clear" w:color="auto" w:fill="auto"/>
            <w:vAlign w:val="center"/>
          </w:tcPr>
          <w:p w14:paraId="4B78AC6A">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left"/>
              <w:rPr>
                <w:rFonts w:hint="eastAsia" w:ascii="仿宋" w:hAnsi="仿宋" w:eastAsia="仿宋" w:cs="仿宋"/>
                <w:i w:val="0"/>
                <w:iCs w:val="0"/>
                <w:color w:val="auto"/>
                <w:sz w:val="21"/>
                <w:szCs w:val="21"/>
                <w:highlight w:val="none"/>
                <w:u w:val="none"/>
              </w:rPr>
            </w:pPr>
          </w:p>
        </w:tc>
        <w:tc>
          <w:tcPr>
            <w:tcW w:w="3216" w:type="dxa"/>
            <w:vMerge w:val="continue"/>
            <w:shd w:val="clear" w:color="auto" w:fill="auto"/>
            <w:vAlign w:val="center"/>
          </w:tcPr>
          <w:p w14:paraId="53F418CA">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left"/>
              <w:rPr>
                <w:rFonts w:hint="eastAsia" w:ascii="仿宋" w:hAnsi="仿宋" w:eastAsia="仿宋" w:cs="仿宋"/>
                <w:i w:val="0"/>
                <w:iCs w:val="0"/>
                <w:color w:val="auto"/>
                <w:sz w:val="21"/>
                <w:szCs w:val="21"/>
                <w:highlight w:val="none"/>
                <w:u w:val="none"/>
              </w:rPr>
            </w:pPr>
          </w:p>
        </w:tc>
        <w:tc>
          <w:tcPr>
            <w:tcW w:w="438" w:type="dxa"/>
            <w:vMerge w:val="continue"/>
            <w:shd w:val="clear" w:color="auto" w:fill="auto"/>
            <w:vAlign w:val="center"/>
          </w:tcPr>
          <w:p w14:paraId="52EB768D">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454" w:type="dxa"/>
            <w:vMerge w:val="continue"/>
            <w:shd w:val="clear" w:color="auto" w:fill="auto"/>
            <w:vAlign w:val="center"/>
          </w:tcPr>
          <w:p w14:paraId="2CA65EC7">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1936" w:type="dxa"/>
            <w:vMerge w:val="continue"/>
            <w:shd w:val="clear" w:color="auto" w:fill="auto"/>
            <w:vAlign w:val="center"/>
          </w:tcPr>
          <w:p w14:paraId="3960B23E">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r>
      <w:tr w14:paraId="19039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34" w:type="dxa"/>
            <w:vMerge w:val="continue"/>
            <w:shd w:val="clear" w:color="auto" w:fill="auto"/>
            <w:vAlign w:val="center"/>
          </w:tcPr>
          <w:p w14:paraId="7EADE8C5">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3101" w:type="dxa"/>
            <w:vMerge w:val="continue"/>
            <w:shd w:val="clear" w:color="auto" w:fill="auto"/>
            <w:vAlign w:val="center"/>
          </w:tcPr>
          <w:p w14:paraId="64E0DD32">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924" w:type="dxa"/>
            <w:vMerge w:val="continue"/>
            <w:shd w:val="clear" w:color="auto" w:fill="auto"/>
            <w:vAlign w:val="center"/>
          </w:tcPr>
          <w:p w14:paraId="6C13B3E2">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left"/>
              <w:rPr>
                <w:rFonts w:hint="eastAsia" w:ascii="仿宋" w:hAnsi="仿宋" w:eastAsia="仿宋" w:cs="仿宋"/>
                <w:i w:val="0"/>
                <w:iCs w:val="0"/>
                <w:color w:val="auto"/>
                <w:sz w:val="21"/>
                <w:szCs w:val="21"/>
                <w:highlight w:val="none"/>
                <w:u w:val="none"/>
              </w:rPr>
            </w:pPr>
          </w:p>
        </w:tc>
        <w:tc>
          <w:tcPr>
            <w:tcW w:w="3216" w:type="dxa"/>
            <w:vMerge w:val="continue"/>
            <w:shd w:val="clear" w:color="auto" w:fill="auto"/>
            <w:vAlign w:val="center"/>
          </w:tcPr>
          <w:p w14:paraId="597F09B4">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left"/>
              <w:rPr>
                <w:rFonts w:hint="eastAsia" w:ascii="仿宋" w:hAnsi="仿宋" w:eastAsia="仿宋" w:cs="仿宋"/>
                <w:i w:val="0"/>
                <w:iCs w:val="0"/>
                <w:color w:val="auto"/>
                <w:sz w:val="21"/>
                <w:szCs w:val="21"/>
                <w:highlight w:val="none"/>
                <w:u w:val="none"/>
              </w:rPr>
            </w:pPr>
          </w:p>
        </w:tc>
        <w:tc>
          <w:tcPr>
            <w:tcW w:w="3216" w:type="dxa"/>
            <w:vMerge w:val="continue"/>
            <w:shd w:val="clear" w:color="auto" w:fill="auto"/>
            <w:vAlign w:val="center"/>
          </w:tcPr>
          <w:p w14:paraId="7EA36797">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left"/>
              <w:rPr>
                <w:rFonts w:hint="eastAsia" w:ascii="仿宋" w:hAnsi="仿宋" w:eastAsia="仿宋" w:cs="仿宋"/>
                <w:i w:val="0"/>
                <w:iCs w:val="0"/>
                <w:color w:val="auto"/>
                <w:sz w:val="21"/>
                <w:szCs w:val="21"/>
                <w:highlight w:val="none"/>
                <w:u w:val="none"/>
              </w:rPr>
            </w:pPr>
          </w:p>
        </w:tc>
        <w:tc>
          <w:tcPr>
            <w:tcW w:w="438" w:type="dxa"/>
            <w:vMerge w:val="continue"/>
            <w:shd w:val="clear" w:color="auto" w:fill="auto"/>
            <w:vAlign w:val="center"/>
          </w:tcPr>
          <w:p w14:paraId="7BFD63EB">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454" w:type="dxa"/>
            <w:vMerge w:val="continue"/>
            <w:shd w:val="clear" w:color="auto" w:fill="auto"/>
            <w:vAlign w:val="center"/>
          </w:tcPr>
          <w:p w14:paraId="0BED4353">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1936" w:type="dxa"/>
            <w:vMerge w:val="continue"/>
            <w:shd w:val="clear" w:color="auto" w:fill="auto"/>
            <w:vAlign w:val="center"/>
          </w:tcPr>
          <w:p w14:paraId="795F3581">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r>
      <w:tr w14:paraId="2C3E6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34" w:type="dxa"/>
            <w:vMerge w:val="continue"/>
            <w:shd w:val="clear" w:color="auto" w:fill="auto"/>
            <w:vAlign w:val="center"/>
          </w:tcPr>
          <w:p w14:paraId="34B55294">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3101" w:type="dxa"/>
            <w:vMerge w:val="continue"/>
            <w:shd w:val="clear" w:color="auto" w:fill="auto"/>
            <w:vAlign w:val="center"/>
          </w:tcPr>
          <w:p w14:paraId="0528F2B3">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924" w:type="dxa"/>
            <w:vMerge w:val="continue"/>
            <w:shd w:val="clear" w:color="auto" w:fill="auto"/>
            <w:vAlign w:val="center"/>
          </w:tcPr>
          <w:p w14:paraId="15CB64F8">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left"/>
              <w:rPr>
                <w:rFonts w:hint="eastAsia" w:ascii="仿宋" w:hAnsi="仿宋" w:eastAsia="仿宋" w:cs="仿宋"/>
                <w:i w:val="0"/>
                <w:iCs w:val="0"/>
                <w:color w:val="auto"/>
                <w:sz w:val="21"/>
                <w:szCs w:val="21"/>
                <w:highlight w:val="none"/>
                <w:u w:val="none"/>
              </w:rPr>
            </w:pPr>
          </w:p>
        </w:tc>
        <w:tc>
          <w:tcPr>
            <w:tcW w:w="3216" w:type="dxa"/>
            <w:vMerge w:val="continue"/>
            <w:shd w:val="clear" w:color="auto" w:fill="auto"/>
            <w:vAlign w:val="center"/>
          </w:tcPr>
          <w:p w14:paraId="66C78107">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left"/>
              <w:rPr>
                <w:rFonts w:hint="eastAsia" w:ascii="仿宋" w:hAnsi="仿宋" w:eastAsia="仿宋" w:cs="仿宋"/>
                <w:i w:val="0"/>
                <w:iCs w:val="0"/>
                <w:color w:val="auto"/>
                <w:sz w:val="21"/>
                <w:szCs w:val="21"/>
                <w:highlight w:val="none"/>
                <w:u w:val="none"/>
              </w:rPr>
            </w:pPr>
          </w:p>
        </w:tc>
        <w:tc>
          <w:tcPr>
            <w:tcW w:w="3216" w:type="dxa"/>
            <w:vMerge w:val="continue"/>
            <w:shd w:val="clear" w:color="auto" w:fill="auto"/>
            <w:vAlign w:val="center"/>
          </w:tcPr>
          <w:p w14:paraId="6F911A40">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left"/>
              <w:rPr>
                <w:rFonts w:hint="eastAsia" w:ascii="仿宋" w:hAnsi="仿宋" w:eastAsia="仿宋" w:cs="仿宋"/>
                <w:i w:val="0"/>
                <w:iCs w:val="0"/>
                <w:color w:val="auto"/>
                <w:sz w:val="21"/>
                <w:szCs w:val="21"/>
                <w:highlight w:val="none"/>
                <w:u w:val="none"/>
              </w:rPr>
            </w:pPr>
          </w:p>
        </w:tc>
        <w:tc>
          <w:tcPr>
            <w:tcW w:w="438" w:type="dxa"/>
            <w:vMerge w:val="continue"/>
            <w:shd w:val="clear" w:color="auto" w:fill="auto"/>
            <w:vAlign w:val="center"/>
          </w:tcPr>
          <w:p w14:paraId="78B5A8FA">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454" w:type="dxa"/>
            <w:vMerge w:val="continue"/>
            <w:shd w:val="clear" w:color="auto" w:fill="auto"/>
            <w:vAlign w:val="center"/>
          </w:tcPr>
          <w:p w14:paraId="7666B5EF">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1936" w:type="dxa"/>
            <w:vMerge w:val="continue"/>
            <w:shd w:val="clear" w:color="auto" w:fill="auto"/>
            <w:vAlign w:val="center"/>
          </w:tcPr>
          <w:p w14:paraId="437E4570">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r>
      <w:tr w14:paraId="01001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434" w:type="dxa"/>
            <w:vMerge w:val="continue"/>
            <w:shd w:val="clear" w:color="auto" w:fill="auto"/>
            <w:vAlign w:val="center"/>
          </w:tcPr>
          <w:p w14:paraId="79BDAF53">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3101" w:type="dxa"/>
            <w:vMerge w:val="continue"/>
            <w:shd w:val="clear" w:color="auto" w:fill="auto"/>
            <w:vAlign w:val="center"/>
          </w:tcPr>
          <w:p w14:paraId="0FA78053">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924" w:type="dxa"/>
            <w:vMerge w:val="continue"/>
            <w:shd w:val="clear" w:color="auto" w:fill="auto"/>
            <w:vAlign w:val="center"/>
          </w:tcPr>
          <w:p w14:paraId="72B90DA8">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left"/>
              <w:rPr>
                <w:rFonts w:hint="eastAsia" w:ascii="仿宋" w:hAnsi="仿宋" w:eastAsia="仿宋" w:cs="仿宋"/>
                <w:i w:val="0"/>
                <w:iCs w:val="0"/>
                <w:color w:val="auto"/>
                <w:sz w:val="21"/>
                <w:szCs w:val="21"/>
                <w:highlight w:val="none"/>
                <w:u w:val="none"/>
              </w:rPr>
            </w:pPr>
          </w:p>
        </w:tc>
        <w:tc>
          <w:tcPr>
            <w:tcW w:w="3216" w:type="dxa"/>
            <w:vMerge w:val="continue"/>
            <w:shd w:val="clear" w:color="auto" w:fill="auto"/>
            <w:vAlign w:val="center"/>
          </w:tcPr>
          <w:p w14:paraId="4E29AC6E">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left"/>
              <w:rPr>
                <w:rFonts w:hint="eastAsia" w:ascii="仿宋" w:hAnsi="仿宋" w:eastAsia="仿宋" w:cs="仿宋"/>
                <w:i w:val="0"/>
                <w:iCs w:val="0"/>
                <w:color w:val="auto"/>
                <w:sz w:val="21"/>
                <w:szCs w:val="21"/>
                <w:highlight w:val="none"/>
                <w:u w:val="none"/>
              </w:rPr>
            </w:pPr>
          </w:p>
        </w:tc>
        <w:tc>
          <w:tcPr>
            <w:tcW w:w="3216" w:type="dxa"/>
            <w:vMerge w:val="continue"/>
            <w:shd w:val="clear" w:color="auto" w:fill="auto"/>
            <w:vAlign w:val="center"/>
          </w:tcPr>
          <w:p w14:paraId="65D19001">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left"/>
              <w:rPr>
                <w:rFonts w:hint="eastAsia" w:ascii="仿宋" w:hAnsi="仿宋" w:eastAsia="仿宋" w:cs="仿宋"/>
                <w:i w:val="0"/>
                <w:iCs w:val="0"/>
                <w:color w:val="auto"/>
                <w:sz w:val="21"/>
                <w:szCs w:val="21"/>
                <w:highlight w:val="none"/>
                <w:u w:val="none"/>
              </w:rPr>
            </w:pPr>
          </w:p>
        </w:tc>
        <w:tc>
          <w:tcPr>
            <w:tcW w:w="438" w:type="dxa"/>
            <w:vMerge w:val="continue"/>
            <w:shd w:val="clear" w:color="auto" w:fill="auto"/>
            <w:vAlign w:val="center"/>
          </w:tcPr>
          <w:p w14:paraId="7E285F39">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454" w:type="dxa"/>
            <w:vMerge w:val="continue"/>
            <w:shd w:val="clear" w:color="auto" w:fill="auto"/>
            <w:vAlign w:val="center"/>
          </w:tcPr>
          <w:p w14:paraId="20632E4E">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1936" w:type="dxa"/>
            <w:vMerge w:val="continue"/>
            <w:shd w:val="clear" w:color="auto" w:fill="auto"/>
            <w:vAlign w:val="center"/>
          </w:tcPr>
          <w:p w14:paraId="631207AD">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r>
      <w:tr w14:paraId="63D36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34" w:type="dxa"/>
            <w:vMerge w:val="continue"/>
            <w:shd w:val="clear" w:color="auto" w:fill="auto"/>
            <w:vAlign w:val="center"/>
          </w:tcPr>
          <w:p w14:paraId="6A9AC2DF">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3101" w:type="dxa"/>
            <w:vMerge w:val="continue"/>
            <w:shd w:val="clear" w:color="auto" w:fill="auto"/>
            <w:vAlign w:val="center"/>
          </w:tcPr>
          <w:p w14:paraId="55164D42">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924" w:type="dxa"/>
            <w:vMerge w:val="continue"/>
            <w:shd w:val="clear" w:color="auto" w:fill="auto"/>
            <w:vAlign w:val="center"/>
          </w:tcPr>
          <w:p w14:paraId="79D15C1E">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left"/>
              <w:rPr>
                <w:rFonts w:hint="eastAsia" w:ascii="仿宋" w:hAnsi="仿宋" w:eastAsia="仿宋" w:cs="仿宋"/>
                <w:i w:val="0"/>
                <w:iCs w:val="0"/>
                <w:color w:val="auto"/>
                <w:sz w:val="21"/>
                <w:szCs w:val="21"/>
                <w:highlight w:val="none"/>
                <w:u w:val="none"/>
              </w:rPr>
            </w:pPr>
          </w:p>
        </w:tc>
        <w:tc>
          <w:tcPr>
            <w:tcW w:w="3216" w:type="dxa"/>
            <w:vMerge w:val="continue"/>
            <w:shd w:val="clear" w:color="auto" w:fill="auto"/>
            <w:vAlign w:val="center"/>
          </w:tcPr>
          <w:p w14:paraId="74881D07">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left"/>
              <w:rPr>
                <w:rFonts w:hint="eastAsia" w:ascii="仿宋" w:hAnsi="仿宋" w:eastAsia="仿宋" w:cs="仿宋"/>
                <w:i w:val="0"/>
                <w:iCs w:val="0"/>
                <w:color w:val="auto"/>
                <w:sz w:val="21"/>
                <w:szCs w:val="21"/>
                <w:highlight w:val="none"/>
                <w:u w:val="none"/>
              </w:rPr>
            </w:pPr>
          </w:p>
        </w:tc>
        <w:tc>
          <w:tcPr>
            <w:tcW w:w="3216" w:type="dxa"/>
            <w:vMerge w:val="continue"/>
            <w:shd w:val="clear" w:color="auto" w:fill="auto"/>
            <w:vAlign w:val="center"/>
          </w:tcPr>
          <w:p w14:paraId="255BE0BF">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left"/>
              <w:rPr>
                <w:rFonts w:hint="eastAsia" w:ascii="仿宋" w:hAnsi="仿宋" w:eastAsia="仿宋" w:cs="仿宋"/>
                <w:i w:val="0"/>
                <w:iCs w:val="0"/>
                <w:color w:val="auto"/>
                <w:sz w:val="21"/>
                <w:szCs w:val="21"/>
                <w:highlight w:val="none"/>
                <w:u w:val="none"/>
              </w:rPr>
            </w:pPr>
          </w:p>
        </w:tc>
        <w:tc>
          <w:tcPr>
            <w:tcW w:w="438" w:type="dxa"/>
            <w:vMerge w:val="continue"/>
            <w:shd w:val="clear" w:color="auto" w:fill="auto"/>
            <w:vAlign w:val="center"/>
          </w:tcPr>
          <w:p w14:paraId="65081DB0">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454" w:type="dxa"/>
            <w:vMerge w:val="continue"/>
            <w:shd w:val="clear" w:color="auto" w:fill="auto"/>
            <w:vAlign w:val="center"/>
          </w:tcPr>
          <w:p w14:paraId="0BC72373">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1936" w:type="dxa"/>
            <w:vMerge w:val="continue"/>
            <w:shd w:val="clear" w:color="auto" w:fill="auto"/>
            <w:vAlign w:val="center"/>
          </w:tcPr>
          <w:p w14:paraId="09F27E95">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r>
      <w:tr w14:paraId="31C2C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4" w:type="dxa"/>
            <w:shd w:val="clear" w:color="auto" w:fill="auto"/>
            <w:vAlign w:val="center"/>
          </w:tcPr>
          <w:p w14:paraId="22A8F0B5">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10</w:t>
            </w:r>
          </w:p>
        </w:tc>
        <w:tc>
          <w:tcPr>
            <w:tcW w:w="3101" w:type="dxa"/>
            <w:vMerge w:val="continue"/>
            <w:shd w:val="clear" w:color="auto" w:fill="auto"/>
            <w:vAlign w:val="center"/>
          </w:tcPr>
          <w:p w14:paraId="13436140">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924" w:type="dxa"/>
            <w:shd w:val="clear" w:color="auto" w:fill="auto"/>
            <w:vAlign w:val="center"/>
          </w:tcPr>
          <w:p w14:paraId="38C99668">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业务系统接口迁移</w:t>
            </w:r>
          </w:p>
        </w:tc>
        <w:tc>
          <w:tcPr>
            <w:tcW w:w="3216" w:type="dxa"/>
            <w:shd w:val="clear" w:color="auto" w:fill="auto"/>
            <w:vAlign w:val="center"/>
          </w:tcPr>
          <w:p w14:paraId="3DA3EFC5">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业务系统接口迁移</w:t>
            </w:r>
          </w:p>
        </w:tc>
        <w:tc>
          <w:tcPr>
            <w:tcW w:w="3216" w:type="dxa"/>
            <w:shd w:val="clear" w:color="auto" w:fill="auto"/>
            <w:vAlign w:val="center"/>
          </w:tcPr>
          <w:p w14:paraId="7998DF18">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初始化配置：包括租户创建、用户创建、组织、类目创建等；</w:t>
            </w:r>
          </w:p>
        </w:tc>
        <w:tc>
          <w:tcPr>
            <w:tcW w:w="438" w:type="dxa"/>
            <w:shd w:val="clear" w:color="auto" w:fill="auto"/>
            <w:vAlign w:val="center"/>
          </w:tcPr>
          <w:p w14:paraId="36D2A734">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项</w:t>
            </w:r>
          </w:p>
        </w:tc>
        <w:tc>
          <w:tcPr>
            <w:tcW w:w="454" w:type="dxa"/>
            <w:shd w:val="clear" w:color="auto" w:fill="auto"/>
            <w:vAlign w:val="center"/>
          </w:tcPr>
          <w:p w14:paraId="3264CAAE">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936" w:type="dxa"/>
            <w:shd w:val="clear" w:color="auto" w:fill="auto"/>
            <w:vAlign w:val="center"/>
          </w:tcPr>
          <w:p w14:paraId="18AD4B08">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r>
      <w:tr w14:paraId="7EEA6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4" w:type="dxa"/>
            <w:shd w:val="clear" w:color="auto" w:fill="auto"/>
            <w:vAlign w:val="center"/>
          </w:tcPr>
          <w:p w14:paraId="40E0DC62">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11</w:t>
            </w:r>
          </w:p>
        </w:tc>
        <w:tc>
          <w:tcPr>
            <w:tcW w:w="3101" w:type="dxa"/>
            <w:vMerge w:val="continue"/>
            <w:shd w:val="clear" w:color="auto" w:fill="auto"/>
            <w:vAlign w:val="center"/>
          </w:tcPr>
          <w:p w14:paraId="13FEFB5B">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924" w:type="dxa"/>
            <w:shd w:val="clear" w:color="auto" w:fill="auto"/>
            <w:vAlign w:val="center"/>
          </w:tcPr>
          <w:p w14:paraId="0C47BE29">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原平台历史数据迁移</w:t>
            </w:r>
          </w:p>
        </w:tc>
        <w:tc>
          <w:tcPr>
            <w:tcW w:w="3216" w:type="dxa"/>
            <w:shd w:val="clear" w:color="auto" w:fill="auto"/>
            <w:vAlign w:val="center"/>
          </w:tcPr>
          <w:p w14:paraId="74332127">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原平台历史数据迁移</w:t>
            </w:r>
          </w:p>
        </w:tc>
        <w:tc>
          <w:tcPr>
            <w:tcW w:w="3216" w:type="dxa"/>
            <w:shd w:val="clear" w:color="auto" w:fill="auto"/>
            <w:vAlign w:val="center"/>
          </w:tcPr>
          <w:p w14:paraId="52B3C8AC">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用户中心认证：包括所有用户统一认证的代码的迁移和测试。</w:t>
            </w:r>
          </w:p>
        </w:tc>
        <w:tc>
          <w:tcPr>
            <w:tcW w:w="438" w:type="dxa"/>
            <w:shd w:val="clear" w:color="auto" w:fill="auto"/>
            <w:vAlign w:val="center"/>
          </w:tcPr>
          <w:p w14:paraId="6D890E38">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项</w:t>
            </w:r>
          </w:p>
        </w:tc>
        <w:tc>
          <w:tcPr>
            <w:tcW w:w="454" w:type="dxa"/>
            <w:shd w:val="clear" w:color="auto" w:fill="auto"/>
            <w:vAlign w:val="center"/>
          </w:tcPr>
          <w:p w14:paraId="06E4E7C5">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936" w:type="dxa"/>
            <w:shd w:val="clear" w:color="auto" w:fill="auto"/>
            <w:vAlign w:val="center"/>
          </w:tcPr>
          <w:p w14:paraId="496A8F75">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r>
      <w:tr w14:paraId="69838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16" w:type="dxa"/>
            <w:gridSpan w:val="7"/>
            <w:shd w:val="clear" w:color="auto" w:fill="auto"/>
            <w:vAlign w:val="center"/>
          </w:tcPr>
          <w:p w14:paraId="576DFC08">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三、资源设施部分</w:t>
            </w:r>
          </w:p>
        </w:tc>
        <w:tc>
          <w:tcPr>
            <w:tcW w:w="1936" w:type="dxa"/>
            <w:shd w:val="clear" w:color="auto" w:fill="auto"/>
            <w:vAlign w:val="center"/>
          </w:tcPr>
          <w:p w14:paraId="716D7D93">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r>
      <w:tr w14:paraId="0696A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4" w:type="dxa"/>
            <w:shd w:val="clear" w:color="auto" w:fill="auto"/>
            <w:vAlign w:val="center"/>
          </w:tcPr>
          <w:p w14:paraId="62E7B9C5">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序号</w:t>
            </w:r>
          </w:p>
        </w:tc>
        <w:tc>
          <w:tcPr>
            <w:tcW w:w="3101" w:type="dxa"/>
            <w:shd w:val="clear" w:color="auto" w:fill="auto"/>
            <w:vAlign w:val="center"/>
          </w:tcPr>
          <w:p w14:paraId="6CEB8D7E">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名称</w:t>
            </w:r>
          </w:p>
        </w:tc>
        <w:tc>
          <w:tcPr>
            <w:tcW w:w="3216" w:type="dxa"/>
            <w:gridSpan w:val="3"/>
            <w:shd w:val="clear" w:color="auto" w:fill="auto"/>
            <w:vAlign w:val="center"/>
          </w:tcPr>
          <w:p w14:paraId="4E169107">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参数</w:t>
            </w:r>
          </w:p>
        </w:tc>
        <w:tc>
          <w:tcPr>
            <w:tcW w:w="438" w:type="dxa"/>
            <w:shd w:val="clear" w:color="auto" w:fill="auto"/>
            <w:vAlign w:val="center"/>
          </w:tcPr>
          <w:p w14:paraId="23DD009C">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单位</w:t>
            </w:r>
          </w:p>
        </w:tc>
        <w:tc>
          <w:tcPr>
            <w:tcW w:w="454" w:type="dxa"/>
            <w:shd w:val="clear" w:color="auto" w:fill="auto"/>
            <w:vAlign w:val="center"/>
          </w:tcPr>
          <w:p w14:paraId="420187A3">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数量</w:t>
            </w:r>
          </w:p>
        </w:tc>
        <w:tc>
          <w:tcPr>
            <w:tcW w:w="1936" w:type="dxa"/>
            <w:shd w:val="clear" w:color="auto" w:fill="auto"/>
            <w:vAlign w:val="center"/>
          </w:tcPr>
          <w:p w14:paraId="0E97A392">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r>
      <w:tr w14:paraId="5A0C4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434" w:type="dxa"/>
            <w:vMerge w:val="restart"/>
            <w:shd w:val="clear" w:color="auto" w:fill="auto"/>
            <w:vAlign w:val="center"/>
          </w:tcPr>
          <w:p w14:paraId="28F05B4D">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3101" w:type="dxa"/>
            <w:vMerge w:val="restart"/>
            <w:shd w:val="clear" w:color="auto" w:fill="auto"/>
            <w:vAlign w:val="center"/>
          </w:tcPr>
          <w:p w14:paraId="0BDDC496">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信创服务器</w:t>
            </w:r>
          </w:p>
        </w:tc>
        <w:tc>
          <w:tcPr>
            <w:tcW w:w="3216" w:type="dxa"/>
            <w:gridSpan w:val="3"/>
            <w:shd w:val="clear" w:color="auto" w:fill="auto"/>
            <w:vAlign w:val="center"/>
          </w:tcPr>
          <w:p w14:paraId="18D9FDF1">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HG7380×1/32G DDR4×2/600G 10K SAS×2（8盘位，RAID 1）/SAS_HBA/1GbE*2（电）×1/550W(1＋1)/3Y</w:t>
            </w:r>
          </w:p>
        </w:tc>
        <w:tc>
          <w:tcPr>
            <w:tcW w:w="438" w:type="dxa"/>
            <w:vMerge w:val="restart"/>
            <w:shd w:val="clear" w:color="auto" w:fill="auto"/>
            <w:vAlign w:val="center"/>
          </w:tcPr>
          <w:p w14:paraId="22F6AF4B">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c>
          <w:tcPr>
            <w:tcW w:w="454" w:type="dxa"/>
            <w:vMerge w:val="restart"/>
            <w:shd w:val="clear" w:color="auto" w:fill="auto"/>
            <w:vAlign w:val="center"/>
          </w:tcPr>
          <w:p w14:paraId="1C56892F">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w:t>
            </w:r>
          </w:p>
        </w:tc>
        <w:tc>
          <w:tcPr>
            <w:tcW w:w="1936" w:type="dxa"/>
            <w:vMerge w:val="restart"/>
            <w:shd w:val="clear" w:color="auto" w:fill="auto"/>
            <w:vAlign w:val="center"/>
          </w:tcPr>
          <w:p w14:paraId="5586F049">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视频监控系统专用</w:t>
            </w:r>
          </w:p>
        </w:tc>
      </w:tr>
      <w:tr w14:paraId="5C5C7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4" w:type="dxa"/>
            <w:vMerge w:val="continue"/>
            <w:shd w:val="clear" w:color="auto" w:fill="auto"/>
            <w:vAlign w:val="center"/>
          </w:tcPr>
          <w:p w14:paraId="7188774B">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3101" w:type="dxa"/>
            <w:vMerge w:val="continue"/>
            <w:shd w:val="clear" w:color="auto" w:fill="auto"/>
            <w:vAlign w:val="center"/>
          </w:tcPr>
          <w:p w14:paraId="2F99B7A0">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3216" w:type="dxa"/>
            <w:gridSpan w:val="3"/>
            <w:shd w:val="clear" w:color="auto" w:fill="auto"/>
            <w:vAlign w:val="center"/>
          </w:tcPr>
          <w:p w14:paraId="0B8B6029">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CPU芯片内置安全BOOT ROM ，采用国密算法</w:t>
            </w:r>
          </w:p>
        </w:tc>
        <w:tc>
          <w:tcPr>
            <w:tcW w:w="438" w:type="dxa"/>
            <w:vMerge w:val="continue"/>
            <w:shd w:val="clear" w:color="auto" w:fill="auto"/>
            <w:vAlign w:val="center"/>
          </w:tcPr>
          <w:p w14:paraId="4DE5F8DC">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left"/>
              <w:rPr>
                <w:rFonts w:hint="eastAsia" w:ascii="仿宋" w:hAnsi="仿宋" w:eastAsia="仿宋" w:cs="仿宋"/>
                <w:i w:val="0"/>
                <w:iCs w:val="0"/>
                <w:color w:val="auto"/>
                <w:sz w:val="21"/>
                <w:szCs w:val="21"/>
                <w:highlight w:val="none"/>
                <w:u w:val="none"/>
              </w:rPr>
            </w:pPr>
          </w:p>
        </w:tc>
        <w:tc>
          <w:tcPr>
            <w:tcW w:w="454" w:type="dxa"/>
            <w:vMerge w:val="continue"/>
            <w:shd w:val="clear" w:color="auto" w:fill="auto"/>
            <w:vAlign w:val="center"/>
          </w:tcPr>
          <w:p w14:paraId="6D1CA95D">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1936" w:type="dxa"/>
            <w:vMerge w:val="continue"/>
            <w:shd w:val="clear" w:color="auto" w:fill="auto"/>
            <w:vAlign w:val="center"/>
          </w:tcPr>
          <w:p w14:paraId="3ACC21EA">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r>
      <w:tr w14:paraId="3C4B6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4" w:type="dxa"/>
            <w:vMerge w:val="continue"/>
            <w:shd w:val="clear" w:color="auto" w:fill="auto"/>
            <w:vAlign w:val="center"/>
          </w:tcPr>
          <w:p w14:paraId="317B80B5">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3101" w:type="dxa"/>
            <w:vMerge w:val="continue"/>
            <w:shd w:val="clear" w:color="auto" w:fill="auto"/>
            <w:vAlign w:val="center"/>
          </w:tcPr>
          <w:p w14:paraId="19C59A63">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3216" w:type="dxa"/>
            <w:gridSpan w:val="3"/>
            <w:shd w:val="clear" w:color="auto" w:fill="auto"/>
            <w:vAlign w:val="center"/>
          </w:tcPr>
          <w:p w14:paraId="5380F30D">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设备符合信创要求</w:t>
            </w:r>
          </w:p>
        </w:tc>
        <w:tc>
          <w:tcPr>
            <w:tcW w:w="438" w:type="dxa"/>
            <w:vMerge w:val="continue"/>
            <w:shd w:val="clear" w:color="auto" w:fill="auto"/>
            <w:vAlign w:val="center"/>
          </w:tcPr>
          <w:p w14:paraId="14B034A7">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left"/>
              <w:rPr>
                <w:rFonts w:hint="eastAsia" w:ascii="仿宋" w:hAnsi="仿宋" w:eastAsia="仿宋" w:cs="仿宋"/>
                <w:i w:val="0"/>
                <w:iCs w:val="0"/>
                <w:color w:val="auto"/>
                <w:sz w:val="21"/>
                <w:szCs w:val="21"/>
                <w:highlight w:val="none"/>
                <w:u w:val="none"/>
              </w:rPr>
            </w:pPr>
          </w:p>
        </w:tc>
        <w:tc>
          <w:tcPr>
            <w:tcW w:w="454" w:type="dxa"/>
            <w:vMerge w:val="continue"/>
            <w:shd w:val="clear" w:color="auto" w:fill="auto"/>
            <w:vAlign w:val="center"/>
          </w:tcPr>
          <w:p w14:paraId="4875627B">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1936" w:type="dxa"/>
            <w:vMerge w:val="continue"/>
            <w:shd w:val="clear" w:color="auto" w:fill="auto"/>
            <w:vAlign w:val="center"/>
          </w:tcPr>
          <w:p w14:paraId="4102F229">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r>
      <w:tr w14:paraId="18ED1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4" w:type="dxa"/>
            <w:shd w:val="clear" w:color="auto" w:fill="auto"/>
            <w:vAlign w:val="center"/>
          </w:tcPr>
          <w:p w14:paraId="42F5C695">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3101" w:type="dxa"/>
            <w:shd w:val="clear" w:color="auto" w:fill="auto"/>
            <w:vAlign w:val="center"/>
          </w:tcPr>
          <w:p w14:paraId="1EE6C890">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操作系统</w:t>
            </w:r>
          </w:p>
        </w:tc>
        <w:tc>
          <w:tcPr>
            <w:tcW w:w="3216" w:type="dxa"/>
            <w:gridSpan w:val="3"/>
            <w:shd w:val="clear" w:color="auto" w:fill="auto"/>
            <w:vAlign w:val="center"/>
          </w:tcPr>
          <w:p w14:paraId="665D37F9">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符合信创环境要求</w:t>
            </w:r>
          </w:p>
        </w:tc>
        <w:tc>
          <w:tcPr>
            <w:tcW w:w="438" w:type="dxa"/>
            <w:shd w:val="clear" w:color="auto" w:fill="auto"/>
            <w:vAlign w:val="center"/>
          </w:tcPr>
          <w:p w14:paraId="3B877909">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套</w:t>
            </w:r>
          </w:p>
        </w:tc>
        <w:tc>
          <w:tcPr>
            <w:tcW w:w="454" w:type="dxa"/>
            <w:shd w:val="clear" w:color="auto" w:fill="auto"/>
            <w:vAlign w:val="center"/>
          </w:tcPr>
          <w:p w14:paraId="1D8FD2FB">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w:t>
            </w:r>
          </w:p>
        </w:tc>
        <w:tc>
          <w:tcPr>
            <w:tcW w:w="1936" w:type="dxa"/>
            <w:shd w:val="clear" w:color="auto" w:fill="auto"/>
            <w:vAlign w:val="center"/>
          </w:tcPr>
          <w:p w14:paraId="0BC5114E">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一次性采购（视频监控系统专用）</w:t>
            </w:r>
          </w:p>
        </w:tc>
      </w:tr>
      <w:tr w14:paraId="4E152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4" w:type="dxa"/>
            <w:shd w:val="clear" w:color="auto" w:fill="auto"/>
            <w:vAlign w:val="center"/>
          </w:tcPr>
          <w:p w14:paraId="4D48CDDD">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w:t>
            </w:r>
          </w:p>
        </w:tc>
        <w:tc>
          <w:tcPr>
            <w:tcW w:w="3101" w:type="dxa"/>
            <w:shd w:val="clear" w:color="auto" w:fill="auto"/>
            <w:vAlign w:val="center"/>
          </w:tcPr>
          <w:p w14:paraId="46F7DB3E">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中间件</w:t>
            </w:r>
          </w:p>
        </w:tc>
        <w:tc>
          <w:tcPr>
            <w:tcW w:w="3216" w:type="dxa"/>
            <w:gridSpan w:val="3"/>
            <w:shd w:val="clear" w:color="auto" w:fill="auto"/>
            <w:vAlign w:val="center"/>
          </w:tcPr>
          <w:p w14:paraId="1AEE2707">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符合信创环境要求</w:t>
            </w:r>
          </w:p>
        </w:tc>
        <w:tc>
          <w:tcPr>
            <w:tcW w:w="438" w:type="dxa"/>
            <w:shd w:val="clear" w:color="auto" w:fill="auto"/>
            <w:vAlign w:val="center"/>
          </w:tcPr>
          <w:p w14:paraId="7A085D03">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套</w:t>
            </w:r>
          </w:p>
        </w:tc>
        <w:tc>
          <w:tcPr>
            <w:tcW w:w="454" w:type="dxa"/>
            <w:shd w:val="clear" w:color="auto" w:fill="auto"/>
            <w:vAlign w:val="center"/>
          </w:tcPr>
          <w:p w14:paraId="13649639">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936" w:type="dxa"/>
            <w:shd w:val="clear" w:color="auto" w:fill="auto"/>
            <w:vAlign w:val="center"/>
          </w:tcPr>
          <w:p w14:paraId="1CEFCC16">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一次性采购（视频监控系统专用）</w:t>
            </w:r>
          </w:p>
        </w:tc>
      </w:tr>
      <w:tr w14:paraId="4D12C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4" w:type="dxa"/>
            <w:shd w:val="clear" w:color="auto" w:fill="auto"/>
            <w:vAlign w:val="center"/>
          </w:tcPr>
          <w:p w14:paraId="0F7BF2FB">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w:t>
            </w:r>
          </w:p>
        </w:tc>
        <w:tc>
          <w:tcPr>
            <w:tcW w:w="3101" w:type="dxa"/>
            <w:shd w:val="clear" w:color="auto" w:fill="auto"/>
            <w:vAlign w:val="center"/>
          </w:tcPr>
          <w:p w14:paraId="5BE6DF0D">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数据库管理系统</w:t>
            </w:r>
          </w:p>
        </w:tc>
        <w:tc>
          <w:tcPr>
            <w:tcW w:w="3216" w:type="dxa"/>
            <w:gridSpan w:val="3"/>
            <w:shd w:val="clear" w:color="auto" w:fill="auto"/>
            <w:vAlign w:val="center"/>
          </w:tcPr>
          <w:p w14:paraId="6996D3A6">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符合信创环境要求</w:t>
            </w:r>
          </w:p>
        </w:tc>
        <w:tc>
          <w:tcPr>
            <w:tcW w:w="438" w:type="dxa"/>
            <w:shd w:val="clear" w:color="auto" w:fill="auto"/>
            <w:vAlign w:val="center"/>
          </w:tcPr>
          <w:p w14:paraId="01C5B761">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套</w:t>
            </w:r>
          </w:p>
        </w:tc>
        <w:tc>
          <w:tcPr>
            <w:tcW w:w="454" w:type="dxa"/>
            <w:shd w:val="clear" w:color="auto" w:fill="auto"/>
            <w:vAlign w:val="center"/>
          </w:tcPr>
          <w:p w14:paraId="17AEBB76">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936" w:type="dxa"/>
            <w:shd w:val="clear" w:color="auto" w:fill="auto"/>
            <w:vAlign w:val="center"/>
          </w:tcPr>
          <w:p w14:paraId="4EAD45F2">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一次性采购（视频监控系统专用）</w:t>
            </w:r>
          </w:p>
        </w:tc>
      </w:tr>
      <w:tr w14:paraId="12625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4" w:type="dxa"/>
            <w:shd w:val="clear" w:color="auto" w:fill="auto"/>
            <w:vAlign w:val="center"/>
          </w:tcPr>
          <w:p w14:paraId="3C52B976">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w:t>
            </w:r>
          </w:p>
        </w:tc>
        <w:tc>
          <w:tcPr>
            <w:tcW w:w="3101" w:type="dxa"/>
            <w:shd w:val="clear" w:color="auto" w:fill="auto"/>
            <w:vAlign w:val="center"/>
          </w:tcPr>
          <w:p w14:paraId="1F7B7B63">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应用服务器1</w:t>
            </w:r>
          </w:p>
        </w:tc>
        <w:tc>
          <w:tcPr>
            <w:tcW w:w="3216" w:type="dxa"/>
            <w:gridSpan w:val="3"/>
            <w:shd w:val="clear" w:color="auto" w:fill="auto"/>
            <w:vAlign w:val="center"/>
          </w:tcPr>
          <w:p w14:paraId="09EE513C">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8核 | 16GB，500G存储,ECS</w:t>
            </w:r>
          </w:p>
        </w:tc>
        <w:tc>
          <w:tcPr>
            <w:tcW w:w="438" w:type="dxa"/>
            <w:shd w:val="clear" w:color="auto" w:fill="auto"/>
            <w:vAlign w:val="center"/>
          </w:tcPr>
          <w:p w14:paraId="296C688C">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c>
          <w:tcPr>
            <w:tcW w:w="454" w:type="dxa"/>
            <w:shd w:val="clear" w:color="auto" w:fill="auto"/>
            <w:vAlign w:val="center"/>
          </w:tcPr>
          <w:p w14:paraId="55725AF3">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9</w:t>
            </w:r>
          </w:p>
        </w:tc>
        <w:tc>
          <w:tcPr>
            <w:tcW w:w="1936" w:type="dxa"/>
            <w:shd w:val="clear" w:color="auto" w:fill="auto"/>
            <w:vAlign w:val="center"/>
          </w:tcPr>
          <w:p w14:paraId="108FCFDE">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租赁</w:t>
            </w:r>
          </w:p>
        </w:tc>
      </w:tr>
      <w:tr w14:paraId="37F05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4" w:type="dxa"/>
            <w:shd w:val="clear" w:color="auto" w:fill="auto"/>
            <w:vAlign w:val="center"/>
          </w:tcPr>
          <w:p w14:paraId="29160916">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6</w:t>
            </w:r>
          </w:p>
        </w:tc>
        <w:tc>
          <w:tcPr>
            <w:tcW w:w="3101" w:type="dxa"/>
            <w:shd w:val="clear" w:color="auto" w:fill="auto"/>
            <w:vAlign w:val="center"/>
          </w:tcPr>
          <w:p w14:paraId="6774DF40">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应用服务器2</w:t>
            </w:r>
          </w:p>
        </w:tc>
        <w:tc>
          <w:tcPr>
            <w:tcW w:w="3216" w:type="dxa"/>
            <w:gridSpan w:val="3"/>
            <w:shd w:val="clear" w:color="auto" w:fill="auto"/>
            <w:vAlign w:val="center"/>
          </w:tcPr>
          <w:p w14:paraId="49161D65">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8核 | 64GB，500G存储,ECS</w:t>
            </w:r>
          </w:p>
        </w:tc>
        <w:tc>
          <w:tcPr>
            <w:tcW w:w="438" w:type="dxa"/>
            <w:shd w:val="clear" w:color="auto" w:fill="auto"/>
            <w:vAlign w:val="center"/>
          </w:tcPr>
          <w:p w14:paraId="376FD938">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c>
          <w:tcPr>
            <w:tcW w:w="454" w:type="dxa"/>
            <w:shd w:val="clear" w:color="auto" w:fill="auto"/>
            <w:vAlign w:val="center"/>
          </w:tcPr>
          <w:p w14:paraId="7CB17B69">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936" w:type="dxa"/>
            <w:shd w:val="clear" w:color="auto" w:fill="auto"/>
            <w:vAlign w:val="center"/>
          </w:tcPr>
          <w:p w14:paraId="2FF2E032">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租赁</w:t>
            </w:r>
          </w:p>
        </w:tc>
      </w:tr>
      <w:tr w14:paraId="3D4CA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4" w:type="dxa"/>
            <w:shd w:val="clear" w:color="auto" w:fill="auto"/>
            <w:vAlign w:val="center"/>
          </w:tcPr>
          <w:p w14:paraId="72130F56">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7</w:t>
            </w:r>
          </w:p>
        </w:tc>
        <w:tc>
          <w:tcPr>
            <w:tcW w:w="3101" w:type="dxa"/>
            <w:shd w:val="clear" w:color="auto" w:fill="auto"/>
            <w:vAlign w:val="center"/>
          </w:tcPr>
          <w:p w14:paraId="10D461F0">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应用服务器3</w:t>
            </w:r>
          </w:p>
        </w:tc>
        <w:tc>
          <w:tcPr>
            <w:tcW w:w="3216" w:type="dxa"/>
            <w:gridSpan w:val="3"/>
            <w:shd w:val="clear" w:color="auto" w:fill="auto"/>
            <w:vAlign w:val="center"/>
          </w:tcPr>
          <w:p w14:paraId="2591D7BC">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both"/>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8核 | 32GB，500G存储,ECS</w:t>
            </w:r>
          </w:p>
        </w:tc>
        <w:tc>
          <w:tcPr>
            <w:tcW w:w="438" w:type="dxa"/>
            <w:shd w:val="clear" w:color="auto" w:fill="auto"/>
            <w:vAlign w:val="center"/>
          </w:tcPr>
          <w:p w14:paraId="1EEDE456">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c>
          <w:tcPr>
            <w:tcW w:w="454" w:type="dxa"/>
            <w:shd w:val="clear" w:color="auto" w:fill="auto"/>
            <w:vAlign w:val="center"/>
          </w:tcPr>
          <w:p w14:paraId="7DB54114">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w:t>
            </w:r>
          </w:p>
        </w:tc>
        <w:tc>
          <w:tcPr>
            <w:tcW w:w="1936" w:type="dxa"/>
            <w:shd w:val="clear" w:color="auto" w:fill="auto"/>
            <w:vAlign w:val="center"/>
          </w:tcPr>
          <w:p w14:paraId="3400EFC9">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租赁</w:t>
            </w:r>
          </w:p>
        </w:tc>
      </w:tr>
      <w:tr w14:paraId="64443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4" w:type="dxa"/>
            <w:shd w:val="clear" w:color="auto" w:fill="auto"/>
            <w:vAlign w:val="center"/>
          </w:tcPr>
          <w:p w14:paraId="6569D083">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8</w:t>
            </w:r>
          </w:p>
        </w:tc>
        <w:tc>
          <w:tcPr>
            <w:tcW w:w="3101" w:type="dxa"/>
            <w:shd w:val="clear" w:color="auto" w:fill="auto"/>
            <w:vAlign w:val="center"/>
          </w:tcPr>
          <w:p w14:paraId="721B0574">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应用服务器4</w:t>
            </w:r>
          </w:p>
        </w:tc>
        <w:tc>
          <w:tcPr>
            <w:tcW w:w="3216" w:type="dxa"/>
            <w:gridSpan w:val="3"/>
            <w:shd w:val="clear" w:color="auto" w:fill="auto"/>
            <w:vAlign w:val="center"/>
          </w:tcPr>
          <w:p w14:paraId="25FC7F3D">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4核 | 8GB，100G存储,ECS</w:t>
            </w:r>
          </w:p>
        </w:tc>
        <w:tc>
          <w:tcPr>
            <w:tcW w:w="438" w:type="dxa"/>
            <w:shd w:val="clear" w:color="auto" w:fill="auto"/>
            <w:vAlign w:val="center"/>
          </w:tcPr>
          <w:p w14:paraId="06589CCE">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c>
          <w:tcPr>
            <w:tcW w:w="454" w:type="dxa"/>
            <w:shd w:val="clear" w:color="auto" w:fill="auto"/>
            <w:vAlign w:val="center"/>
          </w:tcPr>
          <w:p w14:paraId="31EA94ED">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936" w:type="dxa"/>
            <w:shd w:val="clear" w:color="auto" w:fill="auto"/>
            <w:vAlign w:val="center"/>
          </w:tcPr>
          <w:p w14:paraId="55BDBB7D">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租赁</w:t>
            </w:r>
          </w:p>
        </w:tc>
      </w:tr>
      <w:tr w14:paraId="0DD9D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434" w:type="dxa"/>
            <w:shd w:val="clear" w:color="auto" w:fill="auto"/>
            <w:vAlign w:val="center"/>
          </w:tcPr>
          <w:p w14:paraId="26CCE128">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9</w:t>
            </w:r>
          </w:p>
        </w:tc>
        <w:tc>
          <w:tcPr>
            <w:tcW w:w="3101" w:type="dxa"/>
            <w:shd w:val="clear" w:color="auto" w:fill="auto"/>
            <w:vAlign w:val="center"/>
          </w:tcPr>
          <w:p w14:paraId="2F1DA366">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应用服务器5</w:t>
            </w:r>
          </w:p>
        </w:tc>
        <w:tc>
          <w:tcPr>
            <w:tcW w:w="3216" w:type="dxa"/>
            <w:gridSpan w:val="3"/>
            <w:shd w:val="clear" w:color="auto" w:fill="auto"/>
            <w:vAlign w:val="center"/>
          </w:tcPr>
          <w:p w14:paraId="7377351D">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2核 | 8GB，500G存储,ECS</w:t>
            </w:r>
          </w:p>
        </w:tc>
        <w:tc>
          <w:tcPr>
            <w:tcW w:w="438" w:type="dxa"/>
            <w:shd w:val="clear" w:color="auto" w:fill="auto"/>
            <w:vAlign w:val="center"/>
          </w:tcPr>
          <w:p w14:paraId="526F1CB5">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c>
          <w:tcPr>
            <w:tcW w:w="454" w:type="dxa"/>
            <w:shd w:val="clear" w:color="auto" w:fill="auto"/>
            <w:vAlign w:val="center"/>
          </w:tcPr>
          <w:p w14:paraId="633FCB71">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936" w:type="dxa"/>
            <w:shd w:val="clear" w:color="auto" w:fill="auto"/>
            <w:vAlign w:val="center"/>
          </w:tcPr>
          <w:p w14:paraId="1236AC21">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租赁</w:t>
            </w:r>
          </w:p>
        </w:tc>
      </w:tr>
      <w:tr w14:paraId="45100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4" w:type="dxa"/>
            <w:shd w:val="clear" w:color="auto" w:fill="auto"/>
            <w:vAlign w:val="center"/>
          </w:tcPr>
          <w:p w14:paraId="1AB18FDA">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10</w:t>
            </w:r>
          </w:p>
        </w:tc>
        <w:tc>
          <w:tcPr>
            <w:tcW w:w="3101" w:type="dxa"/>
            <w:shd w:val="clear" w:color="auto" w:fill="auto"/>
            <w:vAlign w:val="center"/>
          </w:tcPr>
          <w:p w14:paraId="6E763919">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数据库服务器1</w:t>
            </w:r>
          </w:p>
        </w:tc>
        <w:tc>
          <w:tcPr>
            <w:tcW w:w="3216" w:type="dxa"/>
            <w:gridSpan w:val="3"/>
            <w:shd w:val="clear" w:color="auto" w:fill="auto"/>
            <w:noWrap/>
            <w:vAlign w:val="center"/>
          </w:tcPr>
          <w:p w14:paraId="167F4313">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16核 32G内存，1000G存储</w:t>
            </w:r>
          </w:p>
        </w:tc>
        <w:tc>
          <w:tcPr>
            <w:tcW w:w="438" w:type="dxa"/>
            <w:shd w:val="clear" w:color="auto" w:fill="auto"/>
            <w:vAlign w:val="center"/>
          </w:tcPr>
          <w:p w14:paraId="47F20D46">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c>
          <w:tcPr>
            <w:tcW w:w="454" w:type="dxa"/>
            <w:shd w:val="clear" w:color="auto" w:fill="auto"/>
            <w:vAlign w:val="center"/>
          </w:tcPr>
          <w:p w14:paraId="7AAB77A9">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w:t>
            </w:r>
          </w:p>
        </w:tc>
        <w:tc>
          <w:tcPr>
            <w:tcW w:w="1936" w:type="dxa"/>
            <w:shd w:val="clear" w:color="auto" w:fill="auto"/>
            <w:vAlign w:val="center"/>
          </w:tcPr>
          <w:p w14:paraId="41092E28">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租赁</w:t>
            </w:r>
          </w:p>
        </w:tc>
      </w:tr>
      <w:tr w14:paraId="3DB33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4" w:type="dxa"/>
            <w:shd w:val="clear" w:color="auto" w:fill="auto"/>
            <w:vAlign w:val="center"/>
          </w:tcPr>
          <w:p w14:paraId="089626D1">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11</w:t>
            </w:r>
          </w:p>
        </w:tc>
        <w:tc>
          <w:tcPr>
            <w:tcW w:w="3101" w:type="dxa"/>
            <w:shd w:val="clear" w:color="auto" w:fill="auto"/>
            <w:vAlign w:val="center"/>
          </w:tcPr>
          <w:p w14:paraId="0AFC358C">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数据库服务器2</w:t>
            </w:r>
          </w:p>
        </w:tc>
        <w:tc>
          <w:tcPr>
            <w:tcW w:w="3216" w:type="dxa"/>
            <w:gridSpan w:val="3"/>
            <w:shd w:val="clear" w:color="auto" w:fill="auto"/>
            <w:noWrap/>
            <w:vAlign w:val="center"/>
          </w:tcPr>
          <w:p w14:paraId="7739B963">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16核 64G内存，1000G存储</w:t>
            </w:r>
          </w:p>
        </w:tc>
        <w:tc>
          <w:tcPr>
            <w:tcW w:w="438" w:type="dxa"/>
            <w:shd w:val="clear" w:color="auto" w:fill="auto"/>
            <w:vAlign w:val="center"/>
          </w:tcPr>
          <w:p w14:paraId="60C350A8">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c>
          <w:tcPr>
            <w:tcW w:w="454" w:type="dxa"/>
            <w:shd w:val="clear" w:color="auto" w:fill="auto"/>
            <w:vAlign w:val="center"/>
          </w:tcPr>
          <w:p w14:paraId="490D2615">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936" w:type="dxa"/>
            <w:shd w:val="clear" w:color="auto" w:fill="auto"/>
            <w:vAlign w:val="center"/>
          </w:tcPr>
          <w:p w14:paraId="101A41DE">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租赁</w:t>
            </w:r>
          </w:p>
        </w:tc>
      </w:tr>
      <w:tr w14:paraId="26AB4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4" w:type="dxa"/>
            <w:shd w:val="clear" w:color="auto" w:fill="auto"/>
            <w:vAlign w:val="center"/>
          </w:tcPr>
          <w:p w14:paraId="5B47B796">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12</w:t>
            </w:r>
          </w:p>
        </w:tc>
        <w:tc>
          <w:tcPr>
            <w:tcW w:w="3101" w:type="dxa"/>
            <w:shd w:val="clear" w:color="auto" w:fill="auto"/>
            <w:vAlign w:val="center"/>
          </w:tcPr>
          <w:p w14:paraId="520D190C">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存储</w:t>
            </w:r>
          </w:p>
        </w:tc>
        <w:tc>
          <w:tcPr>
            <w:tcW w:w="3216" w:type="dxa"/>
            <w:gridSpan w:val="3"/>
            <w:shd w:val="clear" w:color="auto" w:fill="auto"/>
            <w:vAlign w:val="center"/>
          </w:tcPr>
          <w:p w14:paraId="702B16C5">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2TB，OSS</w:t>
            </w:r>
          </w:p>
        </w:tc>
        <w:tc>
          <w:tcPr>
            <w:tcW w:w="438" w:type="dxa"/>
            <w:shd w:val="clear" w:color="auto" w:fill="auto"/>
            <w:vAlign w:val="center"/>
          </w:tcPr>
          <w:p w14:paraId="3822D276">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项</w:t>
            </w:r>
          </w:p>
        </w:tc>
        <w:tc>
          <w:tcPr>
            <w:tcW w:w="454" w:type="dxa"/>
            <w:shd w:val="clear" w:color="auto" w:fill="auto"/>
            <w:vAlign w:val="center"/>
          </w:tcPr>
          <w:p w14:paraId="0E876D62">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1936" w:type="dxa"/>
            <w:shd w:val="clear" w:color="auto" w:fill="auto"/>
            <w:vAlign w:val="center"/>
          </w:tcPr>
          <w:p w14:paraId="3F7B2426">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租赁</w:t>
            </w:r>
          </w:p>
        </w:tc>
      </w:tr>
      <w:tr w14:paraId="0FB13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434" w:type="dxa"/>
            <w:shd w:val="clear" w:color="auto" w:fill="auto"/>
            <w:vAlign w:val="center"/>
          </w:tcPr>
          <w:p w14:paraId="48E8A014">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13</w:t>
            </w:r>
          </w:p>
        </w:tc>
        <w:tc>
          <w:tcPr>
            <w:tcW w:w="3101" w:type="dxa"/>
            <w:shd w:val="clear" w:color="auto" w:fill="auto"/>
            <w:vAlign w:val="center"/>
          </w:tcPr>
          <w:p w14:paraId="54959E29">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操作系统</w:t>
            </w:r>
          </w:p>
        </w:tc>
        <w:tc>
          <w:tcPr>
            <w:tcW w:w="3216" w:type="dxa"/>
            <w:gridSpan w:val="3"/>
            <w:shd w:val="clear" w:color="auto" w:fill="auto"/>
            <w:vAlign w:val="center"/>
          </w:tcPr>
          <w:p w14:paraId="7D548EC5">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符合信创要求品牌</w:t>
            </w:r>
          </w:p>
        </w:tc>
        <w:tc>
          <w:tcPr>
            <w:tcW w:w="438" w:type="dxa"/>
            <w:shd w:val="clear" w:color="auto" w:fill="auto"/>
            <w:vAlign w:val="center"/>
          </w:tcPr>
          <w:p w14:paraId="00E7771D">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套</w:t>
            </w:r>
          </w:p>
        </w:tc>
        <w:tc>
          <w:tcPr>
            <w:tcW w:w="454" w:type="dxa"/>
            <w:shd w:val="clear" w:color="auto" w:fill="auto"/>
            <w:vAlign w:val="center"/>
          </w:tcPr>
          <w:p w14:paraId="3E774625">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19</w:t>
            </w:r>
          </w:p>
        </w:tc>
        <w:tc>
          <w:tcPr>
            <w:tcW w:w="1936" w:type="dxa"/>
            <w:shd w:val="clear" w:color="auto" w:fill="auto"/>
            <w:vAlign w:val="center"/>
          </w:tcPr>
          <w:p w14:paraId="73C0F521">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租赁</w:t>
            </w:r>
          </w:p>
        </w:tc>
      </w:tr>
      <w:tr w14:paraId="08A56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4" w:type="dxa"/>
            <w:shd w:val="clear" w:color="auto" w:fill="auto"/>
            <w:vAlign w:val="center"/>
          </w:tcPr>
          <w:p w14:paraId="189D3DF5">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14</w:t>
            </w:r>
          </w:p>
        </w:tc>
        <w:tc>
          <w:tcPr>
            <w:tcW w:w="3101" w:type="dxa"/>
            <w:shd w:val="clear" w:color="auto" w:fill="auto"/>
            <w:vAlign w:val="center"/>
          </w:tcPr>
          <w:p w14:paraId="33F407CA">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中间件</w:t>
            </w:r>
          </w:p>
        </w:tc>
        <w:tc>
          <w:tcPr>
            <w:tcW w:w="3216" w:type="dxa"/>
            <w:gridSpan w:val="3"/>
            <w:shd w:val="clear" w:color="auto" w:fill="auto"/>
            <w:vAlign w:val="center"/>
          </w:tcPr>
          <w:p w14:paraId="54D37579">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符合信创要求品牌</w:t>
            </w:r>
          </w:p>
        </w:tc>
        <w:tc>
          <w:tcPr>
            <w:tcW w:w="438" w:type="dxa"/>
            <w:shd w:val="clear" w:color="auto" w:fill="auto"/>
            <w:vAlign w:val="center"/>
          </w:tcPr>
          <w:p w14:paraId="0842DC48">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套</w:t>
            </w:r>
          </w:p>
        </w:tc>
        <w:tc>
          <w:tcPr>
            <w:tcW w:w="454" w:type="dxa"/>
            <w:shd w:val="clear" w:color="auto" w:fill="auto"/>
            <w:vAlign w:val="center"/>
          </w:tcPr>
          <w:p w14:paraId="74FB9B4A">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6</w:t>
            </w:r>
          </w:p>
        </w:tc>
        <w:tc>
          <w:tcPr>
            <w:tcW w:w="1936" w:type="dxa"/>
            <w:shd w:val="clear" w:color="auto" w:fill="auto"/>
            <w:vAlign w:val="center"/>
          </w:tcPr>
          <w:p w14:paraId="555A6294">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租赁</w:t>
            </w:r>
          </w:p>
        </w:tc>
      </w:tr>
      <w:tr w14:paraId="0FC32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4" w:type="dxa"/>
            <w:shd w:val="clear" w:color="auto" w:fill="auto"/>
            <w:vAlign w:val="center"/>
          </w:tcPr>
          <w:p w14:paraId="72C45C33">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15</w:t>
            </w:r>
          </w:p>
        </w:tc>
        <w:tc>
          <w:tcPr>
            <w:tcW w:w="3101" w:type="dxa"/>
            <w:shd w:val="clear" w:color="auto" w:fill="auto"/>
            <w:vAlign w:val="center"/>
          </w:tcPr>
          <w:p w14:paraId="340921B4">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数据库</w:t>
            </w:r>
          </w:p>
        </w:tc>
        <w:tc>
          <w:tcPr>
            <w:tcW w:w="3216" w:type="dxa"/>
            <w:gridSpan w:val="3"/>
            <w:shd w:val="clear" w:color="auto" w:fill="auto"/>
            <w:vAlign w:val="center"/>
          </w:tcPr>
          <w:p w14:paraId="2A2B7060">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符合信创要求品牌</w:t>
            </w:r>
          </w:p>
        </w:tc>
        <w:tc>
          <w:tcPr>
            <w:tcW w:w="438" w:type="dxa"/>
            <w:shd w:val="clear" w:color="auto" w:fill="auto"/>
            <w:vAlign w:val="center"/>
          </w:tcPr>
          <w:p w14:paraId="1E00C4C8">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套</w:t>
            </w:r>
          </w:p>
        </w:tc>
        <w:tc>
          <w:tcPr>
            <w:tcW w:w="454" w:type="dxa"/>
            <w:shd w:val="clear" w:color="auto" w:fill="auto"/>
            <w:vAlign w:val="center"/>
          </w:tcPr>
          <w:p w14:paraId="6863A035">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w:t>
            </w:r>
          </w:p>
        </w:tc>
        <w:tc>
          <w:tcPr>
            <w:tcW w:w="1936" w:type="dxa"/>
            <w:shd w:val="clear" w:color="auto" w:fill="auto"/>
            <w:vAlign w:val="center"/>
          </w:tcPr>
          <w:p w14:paraId="479EA5F0">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租赁</w:t>
            </w:r>
          </w:p>
        </w:tc>
      </w:tr>
      <w:tr w14:paraId="2110C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4" w:type="dxa"/>
            <w:shd w:val="clear" w:color="auto" w:fill="auto"/>
            <w:vAlign w:val="center"/>
          </w:tcPr>
          <w:p w14:paraId="2CCCA46D">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16</w:t>
            </w:r>
          </w:p>
        </w:tc>
        <w:tc>
          <w:tcPr>
            <w:tcW w:w="3101" w:type="dxa"/>
            <w:shd w:val="clear" w:color="auto" w:fill="auto"/>
            <w:vAlign w:val="center"/>
          </w:tcPr>
          <w:p w14:paraId="4FE88CEB">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中间件</w:t>
            </w:r>
          </w:p>
        </w:tc>
        <w:tc>
          <w:tcPr>
            <w:tcW w:w="3216" w:type="dxa"/>
            <w:gridSpan w:val="3"/>
            <w:shd w:val="clear" w:color="auto" w:fill="auto"/>
            <w:vAlign w:val="center"/>
          </w:tcPr>
          <w:p w14:paraId="6A0090FE">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符合信创要求品牌</w:t>
            </w:r>
          </w:p>
        </w:tc>
        <w:tc>
          <w:tcPr>
            <w:tcW w:w="438" w:type="dxa"/>
            <w:shd w:val="clear" w:color="auto" w:fill="auto"/>
            <w:vAlign w:val="center"/>
          </w:tcPr>
          <w:p w14:paraId="5F39F48D">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套</w:t>
            </w:r>
          </w:p>
        </w:tc>
        <w:tc>
          <w:tcPr>
            <w:tcW w:w="454" w:type="dxa"/>
            <w:shd w:val="clear" w:color="auto" w:fill="auto"/>
            <w:vAlign w:val="center"/>
          </w:tcPr>
          <w:p w14:paraId="61853678">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w:t>
            </w:r>
          </w:p>
        </w:tc>
        <w:tc>
          <w:tcPr>
            <w:tcW w:w="1936" w:type="dxa"/>
            <w:shd w:val="clear" w:color="auto" w:fill="auto"/>
            <w:vAlign w:val="center"/>
          </w:tcPr>
          <w:p w14:paraId="5B043487">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租赁</w:t>
            </w:r>
          </w:p>
        </w:tc>
      </w:tr>
      <w:tr w14:paraId="4F65C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4" w:type="dxa"/>
            <w:shd w:val="clear" w:color="auto" w:fill="auto"/>
            <w:vAlign w:val="center"/>
          </w:tcPr>
          <w:p w14:paraId="318C881A">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17</w:t>
            </w:r>
          </w:p>
        </w:tc>
        <w:tc>
          <w:tcPr>
            <w:tcW w:w="3101" w:type="dxa"/>
            <w:shd w:val="clear" w:color="auto" w:fill="auto"/>
            <w:vAlign w:val="center"/>
          </w:tcPr>
          <w:p w14:paraId="3A77681A">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数据库</w:t>
            </w:r>
          </w:p>
        </w:tc>
        <w:tc>
          <w:tcPr>
            <w:tcW w:w="3216" w:type="dxa"/>
            <w:gridSpan w:val="3"/>
            <w:shd w:val="clear" w:color="auto" w:fill="auto"/>
            <w:vAlign w:val="center"/>
          </w:tcPr>
          <w:p w14:paraId="4EB44D7D">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符合信创要求品牌</w:t>
            </w:r>
          </w:p>
        </w:tc>
        <w:tc>
          <w:tcPr>
            <w:tcW w:w="438" w:type="dxa"/>
            <w:shd w:val="clear" w:color="auto" w:fill="auto"/>
            <w:vAlign w:val="center"/>
          </w:tcPr>
          <w:p w14:paraId="4D1BF9DA">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套</w:t>
            </w:r>
          </w:p>
        </w:tc>
        <w:tc>
          <w:tcPr>
            <w:tcW w:w="454" w:type="dxa"/>
            <w:shd w:val="clear" w:color="auto" w:fill="auto"/>
            <w:vAlign w:val="center"/>
          </w:tcPr>
          <w:p w14:paraId="6986E1D2">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1936" w:type="dxa"/>
            <w:shd w:val="clear" w:color="auto" w:fill="auto"/>
            <w:vAlign w:val="center"/>
          </w:tcPr>
          <w:p w14:paraId="5E870265">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租赁</w:t>
            </w:r>
          </w:p>
        </w:tc>
      </w:tr>
      <w:tr w14:paraId="340D7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4" w:type="dxa"/>
            <w:vMerge w:val="restart"/>
            <w:shd w:val="clear" w:color="auto" w:fill="auto"/>
            <w:vAlign w:val="center"/>
          </w:tcPr>
          <w:p w14:paraId="43780538">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18</w:t>
            </w:r>
          </w:p>
        </w:tc>
        <w:tc>
          <w:tcPr>
            <w:tcW w:w="3101" w:type="dxa"/>
            <w:vMerge w:val="restart"/>
            <w:shd w:val="clear" w:color="auto" w:fill="auto"/>
            <w:vAlign w:val="center"/>
          </w:tcPr>
          <w:p w14:paraId="65762624">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安全服务</w:t>
            </w:r>
          </w:p>
        </w:tc>
        <w:tc>
          <w:tcPr>
            <w:tcW w:w="3216" w:type="dxa"/>
            <w:gridSpan w:val="3"/>
            <w:shd w:val="clear" w:color="auto" w:fill="auto"/>
            <w:noWrap/>
            <w:vAlign w:val="center"/>
          </w:tcPr>
          <w:p w14:paraId="5F7EBA35">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WAF云应用防火墙</w:t>
            </w:r>
          </w:p>
        </w:tc>
        <w:tc>
          <w:tcPr>
            <w:tcW w:w="438" w:type="dxa"/>
            <w:shd w:val="clear" w:color="auto" w:fill="auto"/>
            <w:vAlign w:val="center"/>
          </w:tcPr>
          <w:p w14:paraId="14B7C0FF">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项</w:t>
            </w:r>
          </w:p>
        </w:tc>
        <w:tc>
          <w:tcPr>
            <w:tcW w:w="454" w:type="dxa"/>
            <w:shd w:val="clear" w:color="auto" w:fill="auto"/>
            <w:vAlign w:val="center"/>
          </w:tcPr>
          <w:p w14:paraId="55B007DC">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19</w:t>
            </w:r>
          </w:p>
        </w:tc>
        <w:tc>
          <w:tcPr>
            <w:tcW w:w="1936" w:type="dxa"/>
            <w:vMerge w:val="restart"/>
            <w:shd w:val="clear" w:color="auto" w:fill="auto"/>
            <w:vAlign w:val="center"/>
          </w:tcPr>
          <w:p w14:paraId="06910656">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以实际要求为准</w:t>
            </w:r>
          </w:p>
        </w:tc>
      </w:tr>
      <w:tr w14:paraId="29BFA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4" w:type="dxa"/>
            <w:vMerge w:val="continue"/>
            <w:shd w:val="clear" w:color="auto" w:fill="auto"/>
            <w:vAlign w:val="center"/>
          </w:tcPr>
          <w:p w14:paraId="577FF6D1">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3101" w:type="dxa"/>
            <w:vMerge w:val="continue"/>
            <w:shd w:val="clear" w:color="auto" w:fill="auto"/>
            <w:vAlign w:val="center"/>
          </w:tcPr>
          <w:p w14:paraId="174B835E">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3216" w:type="dxa"/>
            <w:gridSpan w:val="3"/>
            <w:shd w:val="clear" w:color="auto" w:fill="auto"/>
            <w:noWrap/>
            <w:vAlign w:val="center"/>
          </w:tcPr>
          <w:p w14:paraId="60F5059B">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漏洞扫描</w:t>
            </w:r>
          </w:p>
        </w:tc>
        <w:tc>
          <w:tcPr>
            <w:tcW w:w="438" w:type="dxa"/>
            <w:shd w:val="clear" w:color="auto" w:fill="auto"/>
            <w:vAlign w:val="center"/>
          </w:tcPr>
          <w:p w14:paraId="40A618C4">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项</w:t>
            </w:r>
          </w:p>
        </w:tc>
        <w:tc>
          <w:tcPr>
            <w:tcW w:w="454" w:type="dxa"/>
            <w:shd w:val="clear" w:color="auto" w:fill="auto"/>
            <w:vAlign w:val="center"/>
          </w:tcPr>
          <w:p w14:paraId="36933F81">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19</w:t>
            </w:r>
          </w:p>
        </w:tc>
        <w:tc>
          <w:tcPr>
            <w:tcW w:w="1936" w:type="dxa"/>
            <w:vMerge w:val="continue"/>
            <w:shd w:val="clear" w:color="auto" w:fill="auto"/>
            <w:vAlign w:val="center"/>
          </w:tcPr>
          <w:p w14:paraId="445C4D0C">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r>
      <w:tr w14:paraId="21634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4" w:type="dxa"/>
            <w:vMerge w:val="continue"/>
            <w:shd w:val="clear" w:color="auto" w:fill="auto"/>
            <w:vAlign w:val="center"/>
          </w:tcPr>
          <w:p w14:paraId="3D96B701">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3101" w:type="dxa"/>
            <w:vMerge w:val="continue"/>
            <w:shd w:val="clear" w:color="auto" w:fill="auto"/>
            <w:vAlign w:val="center"/>
          </w:tcPr>
          <w:p w14:paraId="6A7B3CB0">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3216" w:type="dxa"/>
            <w:gridSpan w:val="3"/>
            <w:shd w:val="clear" w:color="auto" w:fill="auto"/>
            <w:noWrap/>
            <w:vAlign w:val="center"/>
          </w:tcPr>
          <w:p w14:paraId="5478E7E7">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云防火墙</w:t>
            </w:r>
          </w:p>
        </w:tc>
        <w:tc>
          <w:tcPr>
            <w:tcW w:w="438" w:type="dxa"/>
            <w:shd w:val="clear" w:color="auto" w:fill="auto"/>
            <w:vAlign w:val="center"/>
          </w:tcPr>
          <w:p w14:paraId="6029E4C8">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项</w:t>
            </w:r>
          </w:p>
        </w:tc>
        <w:tc>
          <w:tcPr>
            <w:tcW w:w="454" w:type="dxa"/>
            <w:shd w:val="clear" w:color="auto" w:fill="auto"/>
            <w:vAlign w:val="center"/>
          </w:tcPr>
          <w:p w14:paraId="3B856C5D">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19</w:t>
            </w:r>
          </w:p>
        </w:tc>
        <w:tc>
          <w:tcPr>
            <w:tcW w:w="1936" w:type="dxa"/>
            <w:vMerge w:val="continue"/>
            <w:shd w:val="clear" w:color="auto" w:fill="auto"/>
            <w:vAlign w:val="center"/>
          </w:tcPr>
          <w:p w14:paraId="34C6F202">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r>
      <w:tr w14:paraId="3C866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4" w:type="dxa"/>
            <w:vMerge w:val="continue"/>
            <w:shd w:val="clear" w:color="auto" w:fill="auto"/>
            <w:vAlign w:val="center"/>
          </w:tcPr>
          <w:p w14:paraId="4E9BC302">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3101" w:type="dxa"/>
            <w:vMerge w:val="continue"/>
            <w:shd w:val="clear" w:color="auto" w:fill="auto"/>
            <w:vAlign w:val="center"/>
          </w:tcPr>
          <w:p w14:paraId="11C9D60D">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3216" w:type="dxa"/>
            <w:gridSpan w:val="3"/>
            <w:shd w:val="clear" w:color="auto" w:fill="auto"/>
            <w:noWrap/>
            <w:vAlign w:val="center"/>
          </w:tcPr>
          <w:p w14:paraId="7C0843E6">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主机安全加固</w:t>
            </w:r>
          </w:p>
        </w:tc>
        <w:tc>
          <w:tcPr>
            <w:tcW w:w="438" w:type="dxa"/>
            <w:shd w:val="clear" w:color="auto" w:fill="auto"/>
            <w:vAlign w:val="center"/>
          </w:tcPr>
          <w:p w14:paraId="75A39047">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项</w:t>
            </w:r>
          </w:p>
        </w:tc>
        <w:tc>
          <w:tcPr>
            <w:tcW w:w="454" w:type="dxa"/>
            <w:shd w:val="clear" w:color="auto" w:fill="auto"/>
            <w:vAlign w:val="center"/>
          </w:tcPr>
          <w:p w14:paraId="19AB2092">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19</w:t>
            </w:r>
          </w:p>
        </w:tc>
        <w:tc>
          <w:tcPr>
            <w:tcW w:w="1936" w:type="dxa"/>
            <w:vMerge w:val="continue"/>
            <w:shd w:val="clear" w:color="auto" w:fill="auto"/>
            <w:vAlign w:val="center"/>
          </w:tcPr>
          <w:p w14:paraId="52B08FE1">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r>
      <w:tr w14:paraId="2EC7D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4" w:type="dxa"/>
            <w:vMerge w:val="continue"/>
            <w:shd w:val="clear" w:color="auto" w:fill="auto"/>
            <w:vAlign w:val="center"/>
          </w:tcPr>
          <w:p w14:paraId="6D8EE1E0">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3101" w:type="dxa"/>
            <w:vMerge w:val="continue"/>
            <w:shd w:val="clear" w:color="auto" w:fill="auto"/>
            <w:vAlign w:val="center"/>
          </w:tcPr>
          <w:p w14:paraId="58DAEC45">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3216" w:type="dxa"/>
            <w:gridSpan w:val="3"/>
            <w:shd w:val="clear" w:color="auto" w:fill="auto"/>
            <w:noWrap/>
            <w:vAlign w:val="center"/>
          </w:tcPr>
          <w:p w14:paraId="609715FA">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综合日志审计</w:t>
            </w:r>
          </w:p>
        </w:tc>
        <w:tc>
          <w:tcPr>
            <w:tcW w:w="438" w:type="dxa"/>
            <w:shd w:val="clear" w:color="auto" w:fill="auto"/>
            <w:vAlign w:val="center"/>
          </w:tcPr>
          <w:p w14:paraId="13C34C01">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项</w:t>
            </w:r>
          </w:p>
        </w:tc>
        <w:tc>
          <w:tcPr>
            <w:tcW w:w="454" w:type="dxa"/>
            <w:shd w:val="clear" w:color="auto" w:fill="auto"/>
            <w:vAlign w:val="center"/>
          </w:tcPr>
          <w:p w14:paraId="3CF500DA">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19</w:t>
            </w:r>
          </w:p>
        </w:tc>
        <w:tc>
          <w:tcPr>
            <w:tcW w:w="1936" w:type="dxa"/>
            <w:vMerge w:val="continue"/>
            <w:shd w:val="clear" w:color="auto" w:fill="auto"/>
            <w:vAlign w:val="center"/>
          </w:tcPr>
          <w:p w14:paraId="6E7FFD43">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r>
      <w:tr w14:paraId="61513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4" w:type="dxa"/>
            <w:vMerge w:val="continue"/>
            <w:shd w:val="clear" w:color="auto" w:fill="auto"/>
            <w:vAlign w:val="center"/>
          </w:tcPr>
          <w:p w14:paraId="5A3025E5">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3101" w:type="dxa"/>
            <w:vMerge w:val="continue"/>
            <w:shd w:val="clear" w:color="auto" w:fill="auto"/>
            <w:vAlign w:val="center"/>
          </w:tcPr>
          <w:p w14:paraId="11BE0C82">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3216" w:type="dxa"/>
            <w:gridSpan w:val="3"/>
            <w:shd w:val="clear" w:color="auto" w:fill="auto"/>
            <w:noWrap/>
            <w:vAlign w:val="center"/>
          </w:tcPr>
          <w:p w14:paraId="00689038">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堡垒机服务</w:t>
            </w:r>
          </w:p>
        </w:tc>
        <w:tc>
          <w:tcPr>
            <w:tcW w:w="438" w:type="dxa"/>
            <w:shd w:val="clear" w:color="auto" w:fill="auto"/>
            <w:vAlign w:val="center"/>
          </w:tcPr>
          <w:p w14:paraId="6CC51873">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项</w:t>
            </w:r>
          </w:p>
        </w:tc>
        <w:tc>
          <w:tcPr>
            <w:tcW w:w="454" w:type="dxa"/>
            <w:shd w:val="clear" w:color="auto" w:fill="auto"/>
            <w:vAlign w:val="center"/>
          </w:tcPr>
          <w:p w14:paraId="22A1C551">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19</w:t>
            </w:r>
          </w:p>
        </w:tc>
        <w:tc>
          <w:tcPr>
            <w:tcW w:w="1936" w:type="dxa"/>
            <w:vMerge w:val="continue"/>
            <w:shd w:val="clear" w:color="auto" w:fill="auto"/>
            <w:vAlign w:val="center"/>
          </w:tcPr>
          <w:p w14:paraId="414C7A4A">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r>
      <w:tr w14:paraId="03D07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4" w:type="dxa"/>
            <w:vMerge w:val="continue"/>
            <w:shd w:val="clear" w:color="auto" w:fill="auto"/>
            <w:vAlign w:val="center"/>
          </w:tcPr>
          <w:p w14:paraId="47784794">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3101" w:type="dxa"/>
            <w:vMerge w:val="continue"/>
            <w:shd w:val="clear" w:color="auto" w:fill="auto"/>
            <w:vAlign w:val="center"/>
          </w:tcPr>
          <w:p w14:paraId="2F0072C6">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3216" w:type="dxa"/>
            <w:gridSpan w:val="3"/>
            <w:shd w:val="clear" w:color="auto" w:fill="auto"/>
            <w:noWrap/>
            <w:vAlign w:val="center"/>
          </w:tcPr>
          <w:p w14:paraId="3831C2D4">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渗透测试服务</w:t>
            </w:r>
          </w:p>
        </w:tc>
        <w:tc>
          <w:tcPr>
            <w:tcW w:w="438" w:type="dxa"/>
            <w:shd w:val="clear" w:color="auto" w:fill="auto"/>
            <w:vAlign w:val="center"/>
          </w:tcPr>
          <w:p w14:paraId="316B65C3">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项</w:t>
            </w:r>
          </w:p>
        </w:tc>
        <w:tc>
          <w:tcPr>
            <w:tcW w:w="454" w:type="dxa"/>
            <w:shd w:val="clear" w:color="auto" w:fill="auto"/>
            <w:vAlign w:val="center"/>
          </w:tcPr>
          <w:p w14:paraId="341A4476">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936" w:type="dxa"/>
            <w:vMerge w:val="continue"/>
            <w:shd w:val="clear" w:color="auto" w:fill="auto"/>
            <w:vAlign w:val="center"/>
          </w:tcPr>
          <w:p w14:paraId="49B15054">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r>
      <w:tr w14:paraId="57C32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434" w:type="dxa"/>
            <w:vMerge w:val="continue"/>
            <w:shd w:val="clear" w:color="auto" w:fill="auto"/>
            <w:vAlign w:val="center"/>
          </w:tcPr>
          <w:p w14:paraId="6643CC58">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3101" w:type="dxa"/>
            <w:vMerge w:val="continue"/>
            <w:shd w:val="clear" w:color="auto" w:fill="auto"/>
            <w:vAlign w:val="center"/>
          </w:tcPr>
          <w:p w14:paraId="6B3D43A1">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3216" w:type="dxa"/>
            <w:gridSpan w:val="3"/>
            <w:shd w:val="clear" w:color="auto" w:fill="auto"/>
            <w:noWrap/>
            <w:vAlign w:val="center"/>
          </w:tcPr>
          <w:p w14:paraId="12103141">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态势感知</w:t>
            </w:r>
          </w:p>
        </w:tc>
        <w:tc>
          <w:tcPr>
            <w:tcW w:w="438" w:type="dxa"/>
            <w:shd w:val="clear" w:color="auto" w:fill="auto"/>
            <w:vAlign w:val="center"/>
          </w:tcPr>
          <w:p w14:paraId="5BB89927">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项</w:t>
            </w:r>
          </w:p>
        </w:tc>
        <w:tc>
          <w:tcPr>
            <w:tcW w:w="454" w:type="dxa"/>
            <w:shd w:val="clear" w:color="auto" w:fill="auto"/>
            <w:vAlign w:val="center"/>
          </w:tcPr>
          <w:p w14:paraId="0AA0287A">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21</w:t>
            </w:r>
          </w:p>
        </w:tc>
        <w:tc>
          <w:tcPr>
            <w:tcW w:w="1936" w:type="dxa"/>
            <w:vMerge w:val="continue"/>
            <w:shd w:val="clear" w:color="auto" w:fill="auto"/>
            <w:vAlign w:val="center"/>
          </w:tcPr>
          <w:p w14:paraId="5CC67E45">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r>
      <w:tr w14:paraId="67F00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4" w:type="dxa"/>
            <w:vMerge w:val="restart"/>
            <w:shd w:val="clear" w:color="auto" w:fill="auto"/>
            <w:vAlign w:val="center"/>
          </w:tcPr>
          <w:p w14:paraId="1AEF68DC">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19</w:t>
            </w:r>
          </w:p>
        </w:tc>
        <w:tc>
          <w:tcPr>
            <w:tcW w:w="3101" w:type="dxa"/>
            <w:vMerge w:val="restart"/>
            <w:shd w:val="clear" w:color="auto" w:fill="auto"/>
            <w:vAlign w:val="center"/>
          </w:tcPr>
          <w:p w14:paraId="1297D5D0">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网络安全</w:t>
            </w:r>
          </w:p>
        </w:tc>
        <w:tc>
          <w:tcPr>
            <w:tcW w:w="3216" w:type="dxa"/>
            <w:gridSpan w:val="3"/>
            <w:shd w:val="clear" w:color="auto" w:fill="auto"/>
            <w:noWrap/>
            <w:vAlign w:val="center"/>
          </w:tcPr>
          <w:p w14:paraId="495E22CA">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视频安全防护系统</w:t>
            </w:r>
          </w:p>
        </w:tc>
        <w:tc>
          <w:tcPr>
            <w:tcW w:w="438" w:type="dxa"/>
            <w:shd w:val="clear" w:color="auto" w:fill="auto"/>
            <w:vAlign w:val="center"/>
          </w:tcPr>
          <w:p w14:paraId="3D2FC149">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项</w:t>
            </w:r>
          </w:p>
        </w:tc>
        <w:tc>
          <w:tcPr>
            <w:tcW w:w="454" w:type="dxa"/>
            <w:shd w:val="clear" w:color="auto" w:fill="auto"/>
            <w:vAlign w:val="center"/>
          </w:tcPr>
          <w:p w14:paraId="759C06FD">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1936" w:type="dxa"/>
            <w:shd w:val="clear" w:color="auto" w:fill="auto"/>
            <w:vAlign w:val="center"/>
          </w:tcPr>
          <w:p w14:paraId="55D486F4">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r>
      <w:tr w14:paraId="06B1E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4" w:type="dxa"/>
            <w:vMerge w:val="continue"/>
            <w:shd w:val="clear" w:color="auto" w:fill="auto"/>
            <w:vAlign w:val="center"/>
          </w:tcPr>
          <w:p w14:paraId="157E4536">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3101" w:type="dxa"/>
            <w:vMerge w:val="continue"/>
            <w:shd w:val="clear" w:color="auto" w:fill="auto"/>
            <w:vAlign w:val="center"/>
          </w:tcPr>
          <w:p w14:paraId="4F9BFAE7">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3216" w:type="dxa"/>
            <w:gridSpan w:val="3"/>
            <w:shd w:val="clear" w:color="auto" w:fill="auto"/>
            <w:vAlign w:val="center"/>
          </w:tcPr>
          <w:p w14:paraId="08EB540F">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日志审计系统</w:t>
            </w:r>
          </w:p>
        </w:tc>
        <w:tc>
          <w:tcPr>
            <w:tcW w:w="438" w:type="dxa"/>
            <w:shd w:val="clear" w:color="auto" w:fill="auto"/>
            <w:vAlign w:val="center"/>
          </w:tcPr>
          <w:p w14:paraId="16345035">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项</w:t>
            </w:r>
          </w:p>
        </w:tc>
        <w:tc>
          <w:tcPr>
            <w:tcW w:w="454" w:type="dxa"/>
            <w:shd w:val="clear" w:color="auto" w:fill="auto"/>
            <w:vAlign w:val="center"/>
          </w:tcPr>
          <w:p w14:paraId="59582187">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936" w:type="dxa"/>
            <w:shd w:val="clear" w:color="auto" w:fill="auto"/>
            <w:vAlign w:val="center"/>
          </w:tcPr>
          <w:p w14:paraId="681CF9F2">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r>
      <w:tr w14:paraId="29DE8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4" w:type="dxa"/>
            <w:vMerge w:val="continue"/>
            <w:shd w:val="clear" w:color="auto" w:fill="auto"/>
            <w:vAlign w:val="center"/>
          </w:tcPr>
          <w:p w14:paraId="3D2EE8A6">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3101" w:type="dxa"/>
            <w:vMerge w:val="continue"/>
            <w:shd w:val="clear" w:color="auto" w:fill="auto"/>
            <w:vAlign w:val="center"/>
          </w:tcPr>
          <w:p w14:paraId="685ADBCF">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3216" w:type="dxa"/>
            <w:gridSpan w:val="3"/>
            <w:shd w:val="clear" w:color="auto" w:fill="auto"/>
            <w:vAlign w:val="center"/>
          </w:tcPr>
          <w:p w14:paraId="15188972">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防火墙</w:t>
            </w:r>
          </w:p>
        </w:tc>
        <w:tc>
          <w:tcPr>
            <w:tcW w:w="438" w:type="dxa"/>
            <w:shd w:val="clear" w:color="auto" w:fill="auto"/>
            <w:vAlign w:val="center"/>
          </w:tcPr>
          <w:p w14:paraId="749829CD">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项</w:t>
            </w:r>
          </w:p>
        </w:tc>
        <w:tc>
          <w:tcPr>
            <w:tcW w:w="454" w:type="dxa"/>
            <w:shd w:val="clear" w:color="auto" w:fill="auto"/>
            <w:vAlign w:val="center"/>
          </w:tcPr>
          <w:p w14:paraId="471A1E22">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936" w:type="dxa"/>
            <w:shd w:val="clear" w:color="auto" w:fill="auto"/>
            <w:vAlign w:val="center"/>
          </w:tcPr>
          <w:p w14:paraId="53EAC15D">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r>
      <w:tr w14:paraId="083DC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16" w:type="dxa"/>
            <w:gridSpan w:val="7"/>
            <w:shd w:val="clear" w:color="auto" w:fill="auto"/>
            <w:vAlign w:val="center"/>
          </w:tcPr>
          <w:p w14:paraId="421DC275">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四、其他配套部分</w:t>
            </w:r>
          </w:p>
        </w:tc>
        <w:tc>
          <w:tcPr>
            <w:tcW w:w="1936" w:type="dxa"/>
            <w:shd w:val="clear" w:color="auto" w:fill="auto"/>
            <w:vAlign w:val="center"/>
          </w:tcPr>
          <w:p w14:paraId="6DF12798">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r>
      <w:tr w14:paraId="76AC8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4" w:type="dxa"/>
            <w:shd w:val="clear" w:color="auto" w:fill="auto"/>
            <w:vAlign w:val="center"/>
          </w:tcPr>
          <w:p w14:paraId="16564DA1">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3216" w:type="dxa"/>
            <w:gridSpan w:val="4"/>
            <w:shd w:val="clear" w:color="auto" w:fill="auto"/>
            <w:vAlign w:val="center"/>
          </w:tcPr>
          <w:p w14:paraId="3E9E080F">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等保测评费</w:t>
            </w:r>
          </w:p>
        </w:tc>
        <w:tc>
          <w:tcPr>
            <w:tcW w:w="438" w:type="dxa"/>
            <w:shd w:val="clear" w:color="auto" w:fill="auto"/>
            <w:vAlign w:val="center"/>
          </w:tcPr>
          <w:p w14:paraId="69EEF102">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项</w:t>
            </w:r>
          </w:p>
        </w:tc>
        <w:tc>
          <w:tcPr>
            <w:tcW w:w="454" w:type="dxa"/>
            <w:shd w:val="clear" w:color="auto" w:fill="auto"/>
            <w:vAlign w:val="center"/>
          </w:tcPr>
          <w:p w14:paraId="75B5816E">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936" w:type="dxa"/>
            <w:shd w:val="clear" w:color="auto" w:fill="auto"/>
            <w:vAlign w:val="center"/>
          </w:tcPr>
          <w:p w14:paraId="0137378E">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等保二级</w:t>
            </w:r>
          </w:p>
        </w:tc>
      </w:tr>
      <w:tr w14:paraId="50706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4" w:type="dxa"/>
            <w:vMerge w:val="restart"/>
            <w:shd w:val="clear" w:color="auto" w:fill="auto"/>
            <w:vAlign w:val="center"/>
          </w:tcPr>
          <w:p w14:paraId="50001B38">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3216" w:type="dxa"/>
            <w:gridSpan w:val="4"/>
            <w:shd w:val="clear" w:color="auto" w:fill="auto"/>
            <w:noWrap/>
            <w:vAlign w:val="center"/>
          </w:tcPr>
          <w:p w14:paraId="39714E51">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密码云资源租赁（密码服务）</w:t>
            </w:r>
          </w:p>
        </w:tc>
        <w:tc>
          <w:tcPr>
            <w:tcW w:w="438" w:type="dxa"/>
            <w:shd w:val="clear" w:color="auto" w:fill="auto"/>
            <w:vAlign w:val="center"/>
          </w:tcPr>
          <w:p w14:paraId="0CB24EFF">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项</w:t>
            </w:r>
          </w:p>
        </w:tc>
        <w:tc>
          <w:tcPr>
            <w:tcW w:w="454" w:type="dxa"/>
            <w:shd w:val="clear" w:color="auto" w:fill="auto"/>
            <w:vAlign w:val="center"/>
          </w:tcPr>
          <w:p w14:paraId="0274C7D5">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w:t>
            </w:r>
          </w:p>
        </w:tc>
        <w:tc>
          <w:tcPr>
            <w:tcW w:w="1936" w:type="dxa"/>
            <w:shd w:val="clear" w:color="auto" w:fill="auto"/>
            <w:vAlign w:val="center"/>
          </w:tcPr>
          <w:p w14:paraId="17414487">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针对并发用户数小于 100，加解密服务并发小于2500的应用提供国密改造服务(含密码咨询服务、密码应用方案编制)，按套计费。如应用超出用户数及并发分需要根据应用实际用量需求</w:t>
            </w:r>
          </w:p>
        </w:tc>
      </w:tr>
      <w:tr w14:paraId="095FA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4" w:type="dxa"/>
            <w:vMerge w:val="continue"/>
            <w:shd w:val="clear" w:color="auto" w:fill="auto"/>
            <w:vAlign w:val="center"/>
          </w:tcPr>
          <w:p w14:paraId="7047D641">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c>
          <w:tcPr>
            <w:tcW w:w="3216" w:type="dxa"/>
            <w:gridSpan w:val="4"/>
            <w:shd w:val="clear" w:color="auto" w:fill="auto"/>
            <w:vAlign w:val="center"/>
          </w:tcPr>
          <w:p w14:paraId="7CB8391B">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商用密码应用安全性系统评估</w:t>
            </w:r>
          </w:p>
        </w:tc>
        <w:tc>
          <w:tcPr>
            <w:tcW w:w="438" w:type="dxa"/>
            <w:shd w:val="clear" w:color="auto" w:fill="auto"/>
            <w:vAlign w:val="center"/>
          </w:tcPr>
          <w:p w14:paraId="330A5A42">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项</w:t>
            </w:r>
          </w:p>
        </w:tc>
        <w:tc>
          <w:tcPr>
            <w:tcW w:w="454" w:type="dxa"/>
            <w:shd w:val="clear" w:color="auto" w:fill="auto"/>
            <w:vAlign w:val="center"/>
          </w:tcPr>
          <w:p w14:paraId="1A3EBE35">
            <w:pPr>
              <w:keepNext w:val="0"/>
              <w:keepLines w:val="0"/>
              <w:pageBreakBefore w:val="0"/>
              <w:widowControl/>
              <w:suppressLineNumbers w:val="0"/>
              <w:kinsoku/>
              <w:wordWrap/>
              <w:overflowPunct/>
              <w:topLinePunct w:val="0"/>
              <w:autoSpaceDE/>
              <w:autoSpaceDN/>
              <w:bidi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936" w:type="dxa"/>
            <w:shd w:val="clear" w:color="auto" w:fill="auto"/>
            <w:vAlign w:val="center"/>
          </w:tcPr>
          <w:p w14:paraId="30B7D52F">
            <w:pPr>
              <w:keepNext w:val="0"/>
              <w:keepLines w:val="0"/>
              <w:pageBreakBefore w:val="0"/>
              <w:widowControl/>
              <w:kinsoku/>
              <w:wordWrap/>
              <w:overflowPunct/>
              <w:topLinePunct w:val="0"/>
              <w:autoSpaceDE/>
              <w:autoSpaceDN/>
              <w:bidi w:val="0"/>
              <w:snapToGrid w:val="0"/>
              <w:spacing w:line="360" w:lineRule="auto"/>
              <w:ind w:left="0" w:leftChars="0" w:right="0" w:rightChars="0" w:firstLine="0" w:firstLineChars="0"/>
              <w:jc w:val="center"/>
              <w:rPr>
                <w:rFonts w:hint="eastAsia" w:ascii="仿宋" w:hAnsi="仿宋" w:eastAsia="仿宋" w:cs="仿宋"/>
                <w:i w:val="0"/>
                <w:iCs w:val="0"/>
                <w:color w:val="auto"/>
                <w:sz w:val="21"/>
                <w:szCs w:val="21"/>
                <w:highlight w:val="none"/>
                <w:u w:val="none"/>
              </w:rPr>
            </w:pPr>
          </w:p>
        </w:tc>
      </w:tr>
    </w:tbl>
    <w:p w14:paraId="4286A11A">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firstLine="482" w:firstLineChars="200"/>
        <w:textAlignment w:val="auto"/>
        <w:rPr>
          <w:rFonts w:hint="eastAsia" w:ascii="仿宋" w:hAnsi="仿宋" w:eastAsia="仿宋" w:cs="宋体"/>
          <w:b/>
          <w:color w:val="auto"/>
          <w:kern w:val="0"/>
          <w:sz w:val="24"/>
          <w:szCs w:val="24"/>
          <w:highlight w:val="none"/>
          <w:lang w:val="en-US" w:eastAsia="zh-CN" w:bidi="ar-SA"/>
        </w:rPr>
      </w:pPr>
    </w:p>
    <w:p w14:paraId="2C666117">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firstLine="482" w:firstLineChars="200"/>
        <w:textAlignment w:val="auto"/>
        <w:rPr>
          <w:rFonts w:hint="eastAsia" w:ascii="仿宋" w:hAnsi="仿宋" w:eastAsia="仿宋" w:cs="宋体"/>
          <w:b/>
          <w:color w:val="auto"/>
          <w:kern w:val="0"/>
          <w:sz w:val="24"/>
          <w:szCs w:val="24"/>
          <w:highlight w:val="none"/>
          <w:lang w:val="en-US" w:eastAsia="zh-CN" w:bidi="ar-SA"/>
        </w:rPr>
      </w:pPr>
    </w:p>
    <w:p w14:paraId="28BD549C">
      <w:pPr>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br w:type="page"/>
      </w:r>
    </w:p>
    <w:p w14:paraId="49EA434F">
      <w:pPr>
        <w:pStyle w:val="864"/>
        <w:topLinePunct/>
        <w:spacing w:line="440" w:lineRule="exact"/>
        <w:ind w:left="0" w:leftChars="0" w:firstLine="482" w:firstLineChars="200"/>
        <w:outlineLvl w:val="1"/>
        <w:rPr>
          <w:rFonts w:hint="eastAsia" w:ascii="仿宋" w:hAnsi="仿宋" w:eastAsia="仿宋" w:cs="仿宋"/>
          <w:b/>
          <w:bCs/>
          <w:color w:val="auto"/>
          <w:highlight w:val="none"/>
          <w:lang w:val="en-US" w:eastAsia="zh-CN"/>
        </w:rPr>
        <w:sectPr>
          <w:pgSz w:w="16840" w:h="11907" w:orient="landscape"/>
          <w:pgMar w:top="1474" w:right="1814" w:bottom="1474" w:left="1814" w:header="851" w:footer="851" w:gutter="0"/>
          <w:pgNumType w:fmt="decimal"/>
          <w:cols w:space="720" w:num="1"/>
        </w:sectPr>
      </w:pPr>
    </w:p>
    <w:p w14:paraId="7CAD5066">
      <w:pPr>
        <w:pStyle w:val="864"/>
        <w:topLinePunct/>
        <w:ind w:left="1003" w:hanging="442" w:firstLineChars="0"/>
        <w:outlineLvl w:val="1"/>
        <w:rPr>
          <w:rFonts w:hint="default"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四</w:t>
      </w:r>
      <w:r>
        <w:rPr>
          <w:rFonts w:hint="eastAsia" w:ascii="仿宋" w:hAnsi="仿宋" w:eastAsia="仿宋" w:cs="仿宋"/>
          <w:b/>
          <w:bCs/>
          <w:color w:val="auto"/>
          <w:highlight w:val="none"/>
        </w:rPr>
        <w:t>、</w:t>
      </w:r>
      <w:r>
        <w:rPr>
          <w:rFonts w:hint="eastAsia" w:ascii="仿宋" w:hAnsi="仿宋" w:eastAsia="仿宋" w:cs="仿宋"/>
          <w:b/>
          <w:bCs/>
          <w:color w:val="auto"/>
          <w:highlight w:val="none"/>
          <w:lang w:val="en-US" w:eastAsia="zh-CN"/>
        </w:rPr>
        <w:t>其他要求</w:t>
      </w:r>
    </w:p>
    <w:p w14:paraId="73D3559B">
      <w:pPr>
        <w:pStyle w:val="864"/>
        <w:keepNext w:val="0"/>
        <w:keepLines w:val="0"/>
        <w:pageBreakBefore w:val="0"/>
        <w:widowControl w:val="0"/>
        <w:kinsoku/>
        <w:wordWrap/>
        <w:overflowPunct/>
        <w:topLinePunct/>
        <w:autoSpaceDE/>
        <w:autoSpaceDN/>
        <w:bidi w:val="0"/>
        <w:adjustRightInd w:val="0"/>
        <w:snapToGrid/>
        <w:spacing w:line="440" w:lineRule="exact"/>
        <w:ind w:left="1003" w:right="238" w:hanging="442" w:firstLineChars="0"/>
        <w:textAlignment w:val="auto"/>
        <w:outlineLvl w:val="9"/>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1.信创要求</w:t>
      </w:r>
    </w:p>
    <w:p w14:paraId="6D050F5C">
      <w:pPr>
        <w:pStyle w:val="864"/>
        <w:keepNext w:val="0"/>
        <w:keepLines w:val="0"/>
        <w:pageBreakBefore w:val="0"/>
        <w:widowControl w:val="0"/>
        <w:kinsoku/>
        <w:wordWrap/>
        <w:overflowPunct/>
        <w:topLinePunct/>
        <w:autoSpaceDE/>
        <w:autoSpaceDN/>
        <w:bidi w:val="0"/>
        <w:adjustRightInd w:val="0"/>
        <w:snapToGrid/>
        <w:spacing w:line="440" w:lineRule="exact"/>
        <w:ind w:left="1003" w:right="238" w:hanging="442" w:firstLineChars="0"/>
        <w:textAlignment w:val="auto"/>
        <w:outlineLvl w:val="9"/>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涉及的所有软硬件设备均应符合信创要求。</w:t>
      </w:r>
    </w:p>
    <w:p w14:paraId="20F87B88">
      <w:pPr>
        <w:pStyle w:val="864"/>
        <w:keepNext w:val="0"/>
        <w:keepLines w:val="0"/>
        <w:pageBreakBefore w:val="0"/>
        <w:widowControl w:val="0"/>
        <w:kinsoku/>
        <w:wordWrap/>
        <w:overflowPunct/>
        <w:topLinePunct/>
        <w:autoSpaceDE/>
        <w:autoSpaceDN/>
        <w:bidi w:val="0"/>
        <w:adjustRightInd w:val="0"/>
        <w:snapToGrid/>
        <w:spacing w:line="440" w:lineRule="exact"/>
        <w:ind w:left="1003" w:right="238" w:hanging="442" w:firstLineChars="0"/>
        <w:textAlignment w:val="auto"/>
        <w:outlineLvl w:val="9"/>
        <w:rPr>
          <w:rFonts w:hint="default"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2.项目进度管理要求</w:t>
      </w:r>
    </w:p>
    <w:p w14:paraId="39BFD0B2">
      <w:pPr>
        <w:pStyle w:val="864"/>
        <w:keepNext w:val="0"/>
        <w:keepLines w:val="0"/>
        <w:pageBreakBefore w:val="0"/>
        <w:widowControl w:val="0"/>
        <w:kinsoku/>
        <w:wordWrap/>
        <w:overflowPunct/>
        <w:topLinePunct/>
        <w:autoSpaceDE/>
        <w:autoSpaceDN/>
        <w:bidi w:val="0"/>
        <w:adjustRightInd w:val="0"/>
        <w:snapToGrid/>
        <w:spacing w:line="440" w:lineRule="exact"/>
        <w:ind w:left="0" w:right="238" w:firstLine="480" w:firstLineChars="200"/>
        <w:textAlignment w:val="auto"/>
        <w:outlineLvl w:val="1"/>
        <w:rPr>
          <w:rFonts w:hint="eastAsia" w:ascii="仿宋" w:hAnsi="仿宋" w:eastAsia="仿宋" w:cs="仿宋"/>
          <w:b/>
          <w:bCs/>
          <w:color w:val="auto"/>
          <w:highlight w:val="none"/>
          <w:lang w:val="en-US" w:eastAsia="zh-CN"/>
        </w:rPr>
      </w:pPr>
      <w:r>
        <w:rPr>
          <w:rFonts w:hint="eastAsia" w:ascii="仿宋" w:hAnsi="仿宋" w:eastAsia="仿宋" w:cs="仿宋"/>
          <w:b w:val="0"/>
          <w:bCs w:val="0"/>
          <w:color w:val="auto"/>
          <w:highlight w:val="none"/>
          <w:lang w:val="en-US" w:eastAsia="zh-CN"/>
        </w:rPr>
        <w:t>进度管理从任务分解、时间进度安排到资源分配，每个阶段都有里程碑标志，每个阶段都须严格按照工期要求按时、保质完成，项目负责人负责项目进度控制。</w:t>
      </w:r>
    </w:p>
    <w:p w14:paraId="2F9BC88F">
      <w:pPr>
        <w:pStyle w:val="864"/>
        <w:keepNext w:val="0"/>
        <w:keepLines w:val="0"/>
        <w:pageBreakBefore w:val="0"/>
        <w:widowControl w:val="0"/>
        <w:kinsoku/>
        <w:wordWrap/>
        <w:overflowPunct/>
        <w:topLinePunct/>
        <w:autoSpaceDE/>
        <w:autoSpaceDN/>
        <w:bidi w:val="0"/>
        <w:snapToGrid/>
        <w:spacing w:line="440" w:lineRule="exact"/>
        <w:ind w:left="1003" w:right="238" w:hanging="442" w:firstLineChars="0"/>
        <w:textAlignment w:val="auto"/>
        <w:outlineLvl w:val="1"/>
        <w:rPr>
          <w:rFonts w:hint="default"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3.质量要求</w:t>
      </w:r>
    </w:p>
    <w:p w14:paraId="059A4FDE">
      <w:pPr>
        <w:keepNext w:val="0"/>
        <w:keepLines w:val="0"/>
        <w:pageBreakBefore w:val="0"/>
        <w:widowControl w:val="0"/>
        <w:kinsoku/>
        <w:wordWrap/>
        <w:overflowPunct/>
        <w:topLinePunct w:val="0"/>
        <w:autoSpaceDE/>
        <w:autoSpaceDN/>
        <w:bidi w:val="0"/>
        <w:snapToGrid/>
        <w:spacing w:line="44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本项目合同服务的质量、技术标准按最新的国家或专业标准执行。所有工作须满足本项目需要及采购人要求。</w:t>
      </w:r>
      <w:r>
        <w:rPr>
          <w:rFonts w:hint="eastAsia" w:ascii="仿宋" w:hAnsi="仿宋" w:eastAsia="仿宋" w:cs="仿宋"/>
          <w:bCs/>
          <w:color w:val="auto"/>
          <w:sz w:val="24"/>
          <w:szCs w:val="24"/>
          <w:highlight w:val="none"/>
        </w:rPr>
        <w:t>中</w:t>
      </w:r>
      <w:r>
        <w:rPr>
          <w:rFonts w:hint="eastAsia" w:ascii="仿宋" w:hAnsi="仿宋" w:eastAsia="仿宋" w:cs="仿宋"/>
          <w:bCs/>
          <w:color w:val="auto"/>
          <w:sz w:val="24"/>
          <w:szCs w:val="24"/>
          <w:highlight w:val="none"/>
          <w:lang w:val="zh-CN"/>
        </w:rPr>
        <w:t>标</w:t>
      </w:r>
      <w:r>
        <w:rPr>
          <w:rFonts w:hint="eastAsia" w:ascii="仿宋" w:hAnsi="仿宋" w:eastAsia="仿宋" w:cs="仿宋"/>
          <w:bCs/>
          <w:color w:val="auto"/>
          <w:sz w:val="24"/>
          <w:szCs w:val="24"/>
          <w:highlight w:val="none"/>
          <w:lang w:val="en-US" w:eastAsia="zh-CN"/>
        </w:rPr>
        <w:t>单位</w:t>
      </w:r>
      <w:r>
        <w:rPr>
          <w:rFonts w:hint="eastAsia" w:ascii="仿宋" w:hAnsi="仿宋" w:eastAsia="仿宋" w:cs="仿宋"/>
          <w:bCs/>
          <w:color w:val="auto"/>
          <w:sz w:val="24"/>
          <w:szCs w:val="24"/>
          <w:highlight w:val="none"/>
          <w:lang w:val="zh-CN"/>
        </w:rPr>
        <w:t>必须保证解决项目所涉及的技术问题，如因技术原因无法满足采购人需求，由此产生的风险由投标人承担。</w:t>
      </w:r>
      <w:r>
        <w:rPr>
          <w:rFonts w:hint="eastAsia" w:ascii="仿宋" w:hAnsi="仿宋" w:eastAsia="仿宋" w:cs="仿宋"/>
          <w:bCs/>
          <w:color w:val="auto"/>
          <w:sz w:val="24"/>
          <w:szCs w:val="24"/>
          <w:highlight w:val="none"/>
        </w:rPr>
        <w:t>列入国家生产许可或有国家强制性要求的或3C目录的产品，在项目实施前必须取得并提供相应说明资料备查。</w:t>
      </w:r>
    </w:p>
    <w:p w14:paraId="05312067">
      <w:pPr>
        <w:keepNext w:val="0"/>
        <w:keepLines w:val="0"/>
        <w:pageBreakBefore w:val="0"/>
        <w:widowControl w:val="0"/>
        <w:kinsoku/>
        <w:wordWrap/>
        <w:overflowPunct/>
        <w:topLinePunct w:val="0"/>
        <w:autoSpaceDE/>
        <w:autoSpaceDN/>
        <w:bidi w:val="0"/>
        <w:snapToGrid/>
        <w:spacing w:line="44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val="zh-CN"/>
        </w:rPr>
        <w:t>如招标文件中遗漏了必须具备的服务、</w:t>
      </w:r>
      <w:r>
        <w:rPr>
          <w:rFonts w:hint="eastAsia" w:ascii="仿宋" w:hAnsi="仿宋" w:eastAsia="仿宋" w:cs="仿宋"/>
          <w:color w:val="auto"/>
          <w:sz w:val="24"/>
          <w:szCs w:val="24"/>
          <w:highlight w:val="none"/>
          <w:lang w:val="en-US" w:eastAsia="zh-CN"/>
        </w:rPr>
        <w:t>功能、软件或其他内容</w:t>
      </w:r>
      <w:r>
        <w:rPr>
          <w:rFonts w:hint="eastAsia" w:ascii="仿宋" w:hAnsi="仿宋" w:eastAsia="仿宋" w:cs="仿宋"/>
          <w:color w:val="auto"/>
          <w:sz w:val="24"/>
          <w:szCs w:val="24"/>
          <w:highlight w:val="none"/>
          <w:lang w:val="zh-CN"/>
        </w:rPr>
        <w:t>，请投标人在投标文件中指出，并提出解决方案供采购人参考；</w:t>
      </w:r>
      <w:r>
        <w:rPr>
          <w:rFonts w:hint="eastAsia" w:ascii="仿宋" w:hAnsi="仿宋" w:eastAsia="仿宋" w:cs="仿宋"/>
          <w:color w:val="auto"/>
          <w:sz w:val="24"/>
          <w:szCs w:val="24"/>
          <w:highlight w:val="none"/>
        </w:rPr>
        <w:t>投标人</w:t>
      </w:r>
      <w:r>
        <w:rPr>
          <w:rFonts w:hint="eastAsia" w:ascii="仿宋" w:hAnsi="仿宋" w:eastAsia="仿宋" w:cs="仿宋"/>
          <w:color w:val="auto"/>
          <w:sz w:val="24"/>
          <w:szCs w:val="24"/>
          <w:highlight w:val="none"/>
          <w:lang w:val="zh-CN"/>
        </w:rPr>
        <w:t>有义务保证采购人</w:t>
      </w:r>
      <w:r>
        <w:rPr>
          <w:rFonts w:hint="eastAsia" w:ascii="仿宋" w:hAnsi="仿宋" w:eastAsia="仿宋" w:cs="仿宋"/>
          <w:color w:val="auto"/>
          <w:sz w:val="24"/>
          <w:szCs w:val="24"/>
          <w:highlight w:val="none"/>
          <w:lang w:val="en-US" w:eastAsia="zh-CN"/>
        </w:rPr>
        <w:t>项目</w:t>
      </w:r>
      <w:r>
        <w:rPr>
          <w:rFonts w:hint="eastAsia" w:ascii="仿宋" w:hAnsi="仿宋" w:eastAsia="仿宋" w:cs="仿宋"/>
          <w:color w:val="auto"/>
          <w:sz w:val="24"/>
          <w:szCs w:val="24"/>
          <w:highlight w:val="none"/>
          <w:lang w:val="zh-CN"/>
        </w:rPr>
        <w:t>的完整性，如项目实施过程中因缺少服务、</w:t>
      </w:r>
      <w:r>
        <w:rPr>
          <w:rFonts w:hint="eastAsia" w:ascii="仿宋" w:hAnsi="仿宋" w:eastAsia="仿宋" w:cs="仿宋"/>
          <w:color w:val="auto"/>
          <w:sz w:val="24"/>
          <w:szCs w:val="24"/>
          <w:highlight w:val="none"/>
          <w:lang w:val="en-US" w:eastAsia="zh-CN"/>
        </w:rPr>
        <w:t>功能、软件或其他工作内容</w:t>
      </w:r>
      <w:r>
        <w:rPr>
          <w:rFonts w:hint="eastAsia" w:ascii="仿宋" w:hAnsi="仿宋" w:eastAsia="仿宋" w:cs="仿宋"/>
          <w:color w:val="auto"/>
          <w:sz w:val="24"/>
          <w:szCs w:val="24"/>
          <w:highlight w:val="none"/>
          <w:lang w:val="zh-CN"/>
        </w:rPr>
        <w:t>导致采购人</w:t>
      </w:r>
      <w:r>
        <w:rPr>
          <w:rFonts w:hint="eastAsia" w:ascii="仿宋" w:hAnsi="仿宋" w:eastAsia="仿宋" w:cs="仿宋"/>
          <w:color w:val="auto"/>
          <w:sz w:val="24"/>
          <w:szCs w:val="24"/>
          <w:highlight w:val="none"/>
          <w:lang w:val="en-US" w:eastAsia="zh-CN"/>
        </w:rPr>
        <w:t>项目</w:t>
      </w:r>
      <w:r>
        <w:rPr>
          <w:rFonts w:hint="eastAsia" w:ascii="仿宋" w:hAnsi="仿宋" w:eastAsia="仿宋" w:cs="仿宋"/>
          <w:color w:val="auto"/>
          <w:sz w:val="24"/>
          <w:szCs w:val="24"/>
          <w:highlight w:val="none"/>
          <w:lang w:val="zh-CN"/>
        </w:rPr>
        <w:t>无法正常运</w:t>
      </w:r>
      <w:r>
        <w:rPr>
          <w:rFonts w:hint="eastAsia" w:ascii="仿宋" w:hAnsi="仿宋" w:eastAsia="仿宋" w:cs="仿宋"/>
          <w:color w:val="auto"/>
          <w:sz w:val="24"/>
          <w:szCs w:val="24"/>
          <w:highlight w:val="none"/>
          <w:lang w:val="en-US" w:eastAsia="zh-CN"/>
        </w:rPr>
        <w:t>用</w:t>
      </w: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rPr>
        <w:t>中标人</w:t>
      </w:r>
      <w:r>
        <w:rPr>
          <w:rFonts w:hint="eastAsia" w:ascii="仿宋" w:hAnsi="仿宋" w:eastAsia="仿宋" w:cs="仿宋"/>
          <w:color w:val="auto"/>
          <w:sz w:val="24"/>
          <w:szCs w:val="24"/>
          <w:highlight w:val="none"/>
          <w:lang w:val="zh-CN"/>
        </w:rPr>
        <w:t>须免费提供，报价时自行考虑。</w:t>
      </w:r>
    </w:p>
    <w:p w14:paraId="1DE88E69">
      <w:pPr>
        <w:keepNext w:val="0"/>
        <w:keepLines w:val="0"/>
        <w:pageBreakBefore w:val="0"/>
        <w:widowControl w:val="0"/>
        <w:kinsoku/>
        <w:wordWrap/>
        <w:overflowPunct/>
        <w:topLinePunct w:val="0"/>
        <w:autoSpaceDE/>
        <w:autoSpaceDN/>
        <w:bidi w:val="0"/>
        <w:snapToGrid/>
        <w:spacing w:line="440" w:lineRule="exact"/>
        <w:ind w:firstLine="480" w:firstLineChars="200"/>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5.项目方案具体在实施前须报经采购人同意后方可执行（本项目严格按采购人要求定制化开发），采购人有权修改中标人的项目实施方案，费用不再调整。</w:t>
      </w:r>
    </w:p>
    <w:p w14:paraId="4A1C5228">
      <w:pPr>
        <w:keepNext w:val="0"/>
        <w:keepLines w:val="0"/>
        <w:pageBreakBefore w:val="0"/>
        <w:widowControl w:val="0"/>
        <w:kinsoku/>
        <w:wordWrap/>
        <w:overflowPunct/>
        <w:topLinePunct w:val="0"/>
        <w:autoSpaceDE/>
        <w:autoSpaceDN/>
        <w:bidi w:val="0"/>
        <w:snapToGrid/>
        <w:spacing w:line="44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6.后续用户的接入或软件的拓展或与第三方的对接，由中标人无条件配合并提供无偿对接和技术支持，中标人须承诺交付源代码以支持开放第三方二次迭代开发，源代码知识产权归采购单位所有。</w:t>
      </w:r>
    </w:p>
    <w:p w14:paraId="33B4AE02">
      <w:pPr>
        <w:keepNext w:val="0"/>
        <w:keepLines w:val="0"/>
        <w:pageBreakBefore w:val="0"/>
        <w:widowControl w:val="0"/>
        <w:kinsoku/>
        <w:wordWrap/>
        <w:overflowPunct/>
        <w:topLinePunct w:val="0"/>
        <w:autoSpaceDE/>
        <w:autoSpaceDN/>
        <w:bidi w:val="0"/>
        <w:snapToGrid/>
        <w:spacing w:line="440" w:lineRule="exact"/>
        <w:ind w:firstLine="480" w:firstLineChars="200"/>
        <w:jc w:val="left"/>
        <w:textAlignment w:val="auto"/>
        <w:rPr>
          <w:rFonts w:hint="default"/>
          <w:color w:val="auto"/>
          <w:highlight w:val="none"/>
          <w:lang w:val="en-US" w:eastAsia="zh-CN"/>
        </w:rPr>
      </w:pPr>
      <w:r>
        <w:rPr>
          <w:rFonts w:hint="eastAsia" w:ascii="仿宋" w:hAnsi="仿宋" w:eastAsia="仿宋" w:cs="仿宋"/>
          <w:color w:val="auto"/>
          <w:sz w:val="24"/>
          <w:szCs w:val="24"/>
          <w:highlight w:val="none"/>
          <w:lang w:val="en-US" w:eastAsia="zh-CN"/>
        </w:rPr>
        <w:t>7.中标单位应确保网络和数据安全，由此造成的一切后果由中标单位承担，中标单位应赔偿经济损失并承担相应的法律责任。</w:t>
      </w:r>
    </w:p>
    <w:p w14:paraId="31F6CBAA">
      <w:pPr>
        <w:keepNext w:val="0"/>
        <w:keepLines w:val="0"/>
        <w:pageBreakBefore w:val="0"/>
        <w:widowControl w:val="0"/>
        <w:kinsoku/>
        <w:wordWrap/>
        <w:overflowPunct/>
        <w:topLinePunct w:val="0"/>
        <w:autoSpaceDE/>
        <w:autoSpaceDN/>
        <w:bidi w:val="0"/>
        <w:adjustRightInd/>
        <w:snapToGrid/>
        <w:spacing w:line="440" w:lineRule="exact"/>
        <w:ind w:left="0" w:leftChars="0" w:firstLine="482" w:firstLineChars="200"/>
        <w:jc w:val="both"/>
        <w:textAlignment w:val="auto"/>
        <w:rPr>
          <w:rFonts w:hint="eastAsia" w:ascii="仿宋" w:hAnsi="仿宋" w:eastAsia="仿宋" w:cs="仿宋"/>
          <w:b/>
          <w:bCs/>
          <w:color w:val="auto"/>
          <w:sz w:val="36"/>
          <w:szCs w:val="36"/>
          <w:highlight w:val="none"/>
          <w:lang w:val="en-US"/>
        </w:rPr>
      </w:pPr>
      <w:r>
        <w:rPr>
          <w:rFonts w:hint="eastAsia" w:ascii="仿宋" w:hAnsi="仿宋" w:eastAsia="仿宋" w:cs="仿宋"/>
          <w:b/>
          <w:bCs/>
          <w:color w:val="auto"/>
          <w:sz w:val="24"/>
          <w:szCs w:val="24"/>
          <w:highlight w:val="none"/>
          <w:lang w:val="en-US" w:eastAsia="zh-CN"/>
        </w:rPr>
        <w:t>★五</w:t>
      </w:r>
      <w:r>
        <w:rPr>
          <w:rFonts w:hint="eastAsia" w:ascii="仿宋" w:hAnsi="仿宋" w:eastAsia="仿宋" w:cs="仿宋"/>
          <w:b/>
          <w:bCs/>
          <w:color w:val="auto"/>
          <w:sz w:val="24"/>
          <w:szCs w:val="24"/>
          <w:highlight w:val="none"/>
          <w:lang w:eastAsia="zh-CN"/>
        </w:rPr>
        <w:t>、商务</w:t>
      </w:r>
      <w:r>
        <w:rPr>
          <w:rFonts w:hint="eastAsia" w:ascii="仿宋" w:hAnsi="仿宋" w:eastAsia="仿宋" w:cs="仿宋"/>
          <w:b/>
          <w:bCs/>
          <w:color w:val="auto"/>
          <w:sz w:val="24"/>
          <w:szCs w:val="24"/>
          <w:highlight w:val="none"/>
          <w:lang w:val="en-US" w:eastAsia="zh-CN"/>
        </w:rPr>
        <w:t>条款</w:t>
      </w:r>
    </w:p>
    <w:tbl>
      <w:tblPr>
        <w:tblStyle w:val="66"/>
        <w:tblW w:w="91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3"/>
        <w:gridCol w:w="7599"/>
      </w:tblGrid>
      <w:tr w14:paraId="47834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shd w:val="clear" w:color="auto" w:fill="auto"/>
            <w:vAlign w:val="center"/>
          </w:tcPr>
          <w:p w14:paraId="13A7FAB5">
            <w:pPr>
              <w:keepNext w:val="0"/>
              <w:keepLines w:val="0"/>
              <w:pageBreakBefore w:val="0"/>
              <w:widowControl w:val="0"/>
              <w:kinsoku/>
              <w:wordWrap/>
              <w:overflowPunct/>
              <w:autoSpaceDE/>
              <w:autoSpaceDN/>
              <w:bidi w:val="0"/>
              <w:snapToGrid/>
              <w:spacing w:line="440" w:lineRule="exact"/>
              <w:jc w:val="center"/>
              <w:textAlignment w:val="auto"/>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项目建设周期与实施地点</w:t>
            </w:r>
          </w:p>
        </w:tc>
        <w:tc>
          <w:tcPr>
            <w:tcW w:w="7599" w:type="dxa"/>
            <w:shd w:val="clear" w:color="auto" w:fill="auto"/>
          </w:tcPr>
          <w:p w14:paraId="2AF473F7">
            <w:pPr>
              <w:keepNext w:val="0"/>
              <w:keepLines w:val="0"/>
              <w:pageBreakBefore w:val="0"/>
              <w:widowControl w:val="0"/>
              <w:kinsoku/>
              <w:wordWrap/>
              <w:overflowPunct/>
              <w:autoSpaceDE/>
              <w:autoSpaceDN/>
              <w:bidi w:val="0"/>
              <w:snapToGrid/>
              <w:spacing w:line="440" w:lineRule="exact"/>
              <w:jc w:val="left"/>
              <w:textAlignment w:val="auto"/>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（1）2025年12月</w:t>
            </w:r>
            <w:r>
              <w:rPr>
                <w:rFonts w:hint="eastAsia" w:ascii="仿宋" w:hAnsi="仿宋" w:eastAsia="仿宋" w:cs="仿宋"/>
                <w:color w:val="auto"/>
                <w:kern w:val="0"/>
                <w:sz w:val="24"/>
                <w:szCs w:val="20"/>
                <w:highlight w:val="none"/>
                <w:lang w:val="en-US" w:eastAsia="zh-CN"/>
              </w:rPr>
              <w:t>20</w:t>
            </w:r>
            <w:r>
              <w:rPr>
                <w:rFonts w:hint="eastAsia" w:ascii="仿宋" w:hAnsi="仿宋" w:eastAsia="仿宋" w:cs="仿宋"/>
                <w:color w:val="auto"/>
                <w:kern w:val="0"/>
                <w:sz w:val="24"/>
                <w:szCs w:val="20"/>
                <w:highlight w:val="none"/>
              </w:rPr>
              <w:t>日前需达到初验标准，并开始上线试运行，在试运行期间，中标单位必须指派专人配合采购人做好试运行工作，对出现的问题及时进行修改完善。试运行1个月后再进行终验，完成软件所有实施对接和功能优化，达到验收要求。</w:t>
            </w:r>
          </w:p>
          <w:p w14:paraId="341A4D6B">
            <w:pPr>
              <w:keepNext w:val="0"/>
              <w:keepLines w:val="0"/>
              <w:pageBreakBefore w:val="0"/>
              <w:widowControl w:val="0"/>
              <w:kinsoku/>
              <w:wordWrap/>
              <w:overflowPunct/>
              <w:autoSpaceDE/>
              <w:autoSpaceDN/>
              <w:bidi w:val="0"/>
              <w:snapToGrid/>
              <w:spacing w:line="440" w:lineRule="exact"/>
              <w:jc w:val="left"/>
              <w:textAlignment w:val="auto"/>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（2）实施地点：采购人指定地点。</w:t>
            </w:r>
          </w:p>
          <w:p w14:paraId="22C17812">
            <w:pPr>
              <w:keepNext w:val="0"/>
              <w:keepLines w:val="0"/>
              <w:pageBreakBefore w:val="0"/>
              <w:widowControl w:val="0"/>
              <w:kinsoku/>
              <w:wordWrap/>
              <w:overflowPunct/>
              <w:autoSpaceDE/>
              <w:autoSpaceDN/>
              <w:bidi w:val="0"/>
              <w:snapToGrid/>
              <w:spacing w:line="440" w:lineRule="exact"/>
              <w:jc w:val="left"/>
              <w:textAlignment w:val="auto"/>
              <w:rPr>
                <w:rFonts w:eastAsia="仿宋"/>
                <w:color w:val="auto"/>
                <w:highlight w:val="none"/>
              </w:rPr>
            </w:pPr>
            <w:r>
              <w:rPr>
                <w:rFonts w:hint="eastAsia" w:ascii="仿宋" w:hAnsi="仿宋" w:eastAsia="仿宋" w:cs="仿宋"/>
                <w:color w:val="auto"/>
                <w:kern w:val="0"/>
                <w:sz w:val="24"/>
                <w:szCs w:val="20"/>
                <w:highlight w:val="none"/>
              </w:rPr>
              <w:t>（3）承诺项目实施阶段有一名及以上驻场实施人员。</w:t>
            </w:r>
          </w:p>
        </w:tc>
      </w:tr>
      <w:tr w14:paraId="1D2AE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83" w:type="dxa"/>
            <w:shd w:val="clear" w:color="auto" w:fill="auto"/>
            <w:vAlign w:val="center"/>
          </w:tcPr>
          <w:p w14:paraId="4D0414C6">
            <w:pPr>
              <w:keepNext w:val="0"/>
              <w:keepLines w:val="0"/>
              <w:pageBreakBefore w:val="0"/>
              <w:widowControl w:val="0"/>
              <w:kinsoku/>
              <w:wordWrap/>
              <w:overflowPunct/>
              <w:autoSpaceDE/>
              <w:autoSpaceDN/>
              <w:bidi w:val="0"/>
              <w:snapToGrid/>
              <w:spacing w:line="440" w:lineRule="exact"/>
              <w:jc w:val="center"/>
              <w:textAlignment w:val="auto"/>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售后服务要求</w:t>
            </w:r>
          </w:p>
          <w:p w14:paraId="1EBF4924">
            <w:pPr>
              <w:keepNext w:val="0"/>
              <w:keepLines w:val="0"/>
              <w:pageBreakBefore w:val="0"/>
              <w:widowControl w:val="0"/>
              <w:kinsoku/>
              <w:wordWrap/>
              <w:overflowPunct/>
              <w:autoSpaceDE/>
              <w:autoSpaceDN/>
              <w:bidi w:val="0"/>
              <w:snapToGrid/>
              <w:spacing w:line="440" w:lineRule="exact"/>
              <w:jc w:val="center"/>
              <w:textAlignment w:val="auto"/>
              <w:rPr>
                <w:rFonts w:hint="eastAsia" w:ascii="仿宋" w:hAnsi="仿宋" w:eastAsia="仿宋" w:cs="仿宋"/>
                <w:color w:val="auto"/>
                <w:kern w:val="0"/>
                <w:sz w:val="24"/>
                <w:szCs w:val="20"/>
                <w:highlight w:val="none"/>
              </w:rPr>
            </w:pPr>
          </w:p>
        </w:tc>
        <w:tc>
          <w:tcPr>
            <w:tcW w:w="7599" w:type="dxa"/>
            <w:shd w:val="clear" w:color="auto" w:fill="auto"/>
          </w:tcPr>
          <w:p w14:paraId="5BFFD040">
            <w:pPr>
              <w:keepNext w:val="0"/>
              <w:keepLines w:val="0"/>
              <w:pageBreakBefore w:val="0"/>
              <w:widowControl w:val="0"/>
              <w:kinsoku/>
              <w:wordWrap/>
              <w:overflowPunct/>
              <w:autoSpaceDE/>
              <w:autoSpaceDN/>
              <w:bidi w:val="0"/>
              <w:snapToGrid/>
              <w:spacing w:line="440" w:lineRule="exact"/>
              <w:jc w:val="left"/>
              <w:textAlignment w:val="auto"/>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（1）</w:t>
            </w:r>
            <w:r>
              <w:rPr>
                <w:rFonts w:hint="eastAsia" w:ascii="仿宋" w:hAnsi="仿宋" w:eastAsia="仿宋" w:cs="仿宋"/>
                <w:color w:val="auto"/>
                <w:kern w:val="0"/>
                <w:sz w:val="24"/>
                <w:szCs w:val="20"/>
                <w:highlight w:val="none"/>
                <w:lang w:val="en-US" w:eastAsia="zh-CN"/>
              </w:rPr>
              <w:t>运维期（质保期）</w:t>
            </w:r>
            <w:r>
              <w:rPr>
                <w:rFonts w:hint="eastAsia" w:ascii="仿宋" w:hAnsi="仿宋" w:eastAsia="仿宋" w:cs="仿宋"/>
                <w:color w:val="auto"/>
                <w:kern w:val="0"/>
                <w:sz w:val="24"/>
                <w:szCs w:val="20"/>
                <w:highlight w:val="none"/>
                <w:lang w:eastAsia="zh-CN"/>
              </w:rPr>
              <w:t>：</w:t>
            </w:r>
            <w:r>
              <w:rPr>
                <w:rFonts w:hint="eastAsia" w:ascii="仿宋" w:hAnsi="仿宋" w:eastAsia="仿宋" w:cs="仿宋"/>
                <w:color w:val="auto"/>
                <w:kern w:val="0"/>
                <w:sz w:val="24"/>
                <w:szCs w:val="20"/>
                <w:highlight w:val="none"/>
              </w:rPr>
              <w:t>项目验收合格之日起</w:t>
            </w:r>
            <w:r>
              <w:rPr>
                <w:rFonts w:hint="eastAsia" w:ascii="仿宋" w:hAnsi="仿宋" w:eastAsia="仿宋" w:cs="仿宋"/>
                <w:color w:val="auto"/>
                <w:kern w:val="0"/>
                <w:sz w:val="24"/>
                <w:szCs w:val="20"/>
                <w:highlight w:val="none"/>
                <w:lang w:val="en-US" w:eastAsia="zh-CN"/>
              </w:rPr>
              <w:t>3年</w:t>
            </w:r>
            <w:r>
              <w:rPr>
                <w:rFonts w:hint="eastAsia" w:ascii="仿宋" w:hAnsi="仿宋" w:eastAsia="仿宋" w:cs="仿宋"/>
                <w:color w:val="auto"/>
                <w:kern w:val="0"/>
                <w:sz w:val="24"/>
                <w:szCs w:val="20"/>
                <w:highlight w:val="none"/>
              </w:rPr>
              <w:t>。</w:t>
            </w:r>
          </w:p>
          <w:p w14:paraId="66903FD3">
            <w:pPr>
              <w:keepNext w:val="0"/>
              <w:keepLines w:val="0"/>
              <w:pageBreakBefore w:val="0"/>
              <w:widowControl w:val="0"/>
              <w:kinsoku/>
              <w:wordWrap/>
              <w:overflowPunct/>
              <w:autoSpaceDE/>
              <w:autoSpaceDN/>
              <w:bidi w:val="0"/>
              <w:snapToGrid/>
              <w:spacing w:line="440" w:lineRule="exact"/>
              <w:jc w:val="left"/>
              <w:textAlignment w:val="auto"/>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2）投标人须承诺提供7*24小时电话或电子邮件服务，1小时内做出明确响应和安排，2小时内做出故障诊断报告，如需现场服务的，具有解决故障能力的工程师应在4小时内到达现场，普通故障8小时内排除（遇到自然灾害等不可抗拒事故除外），未能在8小时内排除故障，提供备用方案确保运行正常。</w:t>
            </w:r>
          </w:p>
          <w:p w14:paraId="6DCD6B18">
            <w:pPr>
              <w:keepNext w:val="0"/>
              <w:keepLines w:val="0"/>
              <w:pageBreakBefore w:val="0"/>
              <w:widowControl w:val="0"/>
              <w:kinsoku/>
              <w:wordWrap/>
              <w:overflowPunct/>
              <w:autoSpaceDE/>
              <w:autoSpaceDN/>
              <w:bidi w:val="0"/>
              <w:snapToGrid/>
              <w:spacing w:line="440" w:lineRule="exact"/>
              <w:jc w:val="left"/>
              <w:textAlignment w:val="auto"/>
              <w:rPr>
                <w:color w:val="auto"/>
                <w:szCs w:val="20"/>
                <w:highlight w:val="none"/>
              </w:rPr>
            </w:pPr>
            <w:r>
              <w:rPr>
                <w:rFonts w:hint="eastAsia" w:ascii="仿宋" w:hAnsi="仿宋" w:eastAsia="仿宋" w:cs="仿宋"/>
                <w:color w:val="auto"/>
                <w:kern w:val="0"/>
                <w:sz w:val="24"/>
                <w:szCs w:val="20"/>
                <w:highlight w:val="none"/>
              </w:rPr>
              <w:t xml:space="preserve">（3）为保证项目顺利实施和后续维护服务，项目须由中标单位实施不允许转包、分包，投标人须具备相应的服务工程师。 </w:t>
            </w:r>
          </w:p>
        </w:tc>
      </w:tr>
      <w:tr w14:paraId="03A0C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vAlign w:val="center"/>
          </w:tcPr>
          <w:p w14:paraId="62E5D030">
            <w:pPr>
              <w:keepNext w:val="0"/>
              <w:keepLines w:val="0"/>
              <w:pageBreakBefore w:val="0"/>
              <w:widowControl w:val="0"/>
              <w:kinsoku/>
              <w:wordWrap/>
              <w:overflowPunct/>
              <w:autoSpaceDE/>
              <w:autoSpaceDN/>
              <w:bidi w:val="0"/>
              <w:snapToGrid/>
              <w:spacing w:line="440" w:lineRule="exact"/>
              <w:jc w:val="center"/>
              <w:textAlignment w:val="auto"/>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培训要求</w:t>
            </w:r>
          </w:p>
        </w:tc>
        <w:tc>
          <w:tcPr>
            <w:tcW w:w="7599" w:type="dxa"/>
          </w:tcPr>
          <w:p w14:paraId="367ACC87">
            <w:pPr>
              <w:keepNext w:val="0"/>
              <w:keepLines w:val="0"/>
              <w:pageBreakBefore w:val="0"/>
              <w:widowControl w:val="0"/>
              <w:kinsoku/>
              <w:wordWrap/>
              <w:overflowPunct/>
              <w:autoSpaceDE/>
              <w:autoSpaceDN/>
              <w:bidi w:val="0"/>
              <w:snapToGrid/>
              <w:spacing w:line="440" w:lineRule="exact"/>
              <w:jc w:val="left"/>
              <w:textAlignment w:val="auto"/>
              <w:rPr>
                <w:rFonts w:hint="eastAsia" w:ascii="仿宋" w:hAnsi="仿宋" w:eastAsia="仿宋" w:cs="仿宋"/>
                <w:color w:val="auto"/>
                <w:kern w:val="0"/>
                <w:sz w:val="24"/>
                <w:szCs w:val="20"/>
                <w:highlight w:val="none"/>
                <w:lang w:eastAsia="zh-CN"/>
              </w:rPr>
            </w:pPr>
            <w:r>
              <w:rPr>
                <w:rFonts w:hint="eastAsia" w:ascii="仿宋" w:hAnsi="仿宋" w:eastAsia="仿宋" w:cs="仿宋"/>
                <w:color w:val="auto"/>
                <w:kern w:val="0"/>
                <w:sz w:val="24"/>
                <w:szCs w:val="20"/>
                <w:highlight w:val="none"/>
              </w:rPr>
              <w:t>为确保项目的建设，</w:t>
            </w:r>
            <w:r>
              <w:rPr>
                <w:rFonts w:hint="eastAsia" w:ascii="仿宋" w:hAnsi="仿宋" w:eastAsia="仿宋" w:cs="仿宋"/>
                <w:color w:val="auto"/>
                <w:kern w:val="0"/>
                <w:sz w:val="24"/>
                <w:szCs w:val="20"/>
                <w:highlight w:val="none"/>
                <w:lang w:val="en-US" w:eastAsia="zh-CN"/>
              </w:rPr>
              <w:t>中标单位应</w:t>
            </w:r>
            <w:r>
              <w:rPr>
                <w:rFonts w:hint="eastAsia" w:ascii="仿宋" w:hAnsi="仿宋" w:eastAsia="仿宋" w:cs="仿宋"/>
                <w:color w:val="auto"/>
                <w:kern w:val="0"/>
                <w:sz w:val="24"/>
                <w:szCs w:val="20"/>
                <w:highlight w:val="none"/>
              </w:rPr>
              <w:t>建立专门的培训讲师组、培训协调组，并配备专业技术人员和管理、协调人员，保障培训工作的顺利进行，针对网信办相关安全管理人员和企业安全管理人员实际情况制定培训计划和课程内容，培养和配备一支网络安全技术过硬、日常操作熟练的系统运维队伍</w:t>
            </w:r>
            <w:r>
              <w:rPr>
                <w:rFonts w:hint="eastAsia" w:ascii="仿宋" w:hAnsi="仿宋" w:eastAsia="仿宋" w:cs="仿宋"/>
                <w:color w:val="auto"/>
                <w:kern w:val="0"/>
                <w:sz w:val="24"/>
                <w:szCs w:val="20"/>
                <w:highlight w:val="none"/>
                <w:lang w:eastAsia="zh-CN"/>
              </w:rPr>
              <w:t>。</w:t>
            </w:r>
          </w:p>
        </w:tc>
      </w:tr>
      <w:tr w14:paraId="79016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vAlign w:val="center"/>
          </w:tcPr>
          <w:p w14:paraId="1127F9D2">
            <w:pPr>
              <w:keepNext w:val="0"/>
              <w:keepLines w:val="0"/>
              <w:pageBreakBefore w:val="0"/>
              <w:widowControl w:val="0"/>
              <w:kinsoku/>
              <w:wordWrap/>
              <w:overflowPunct/>
              <w:autoSpaceDE/>
              <w:autoSpaceDN/>
              <w:bidi w:val="0"/>
              <w:snapToGrid/>
              <w:spacing w:line="440" w:lineRule="exact"/>
              <w:jc w:val="center"/>
              <w:textAlignment w:val="auto"/>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验收</w:t>
            </w:r>
          </w:p>
          <w:p w14:paraId="417A4F3D">
            <w:pPr>
              <w:keepNext w:val="0"/>
              <w:keepLines w:val="0"/>
              <w:pageBreakBefore w:val="0"/>
              <w:widowControl w:val="0"/>
              <w:kinsoku/>
              <w:wordWrap/>
              <w:overflowPunct/>
              <w:autoSpaceDE/>
              <w:autoSpaceDN/>
              <w:bidi w:val="0"/>
              <w:snapToGrid/>
              <w:spacing w:line="440" w:lineRule="exact"/>
              <w:jc w:val="center"/>
              <w:textAlignment w:val="auto"/>
              <w:rPr>
                <w:rFonts w:hint="eastAsia" w:ascii="仿宋" w:hAnsi="仿宋" w:eastAsia="仿宋" w:cs="仿宋"/>
                <w:color w:val="auto"/>
                <w:kern w:val="0"/>
                <w:sz w:val="24"/>
                <w:szCs w:val="20"/>
                <w:highlight w:val="none"/>
              </w:rPr>
            </w:pPr>
          </w:p>
        </w:tc>
        <w:tc>
          <w:tcPr>
            <w:tcW w:w="7599" w:type="dxa"/>
          </w:tcPr>
          <w:p w14:paraId="4C9BFA62">
            <w:pPr>
              <w:keepNext w:val="0"/>
              <w:keepLines w:val="0"/>
              <w:pageBreakBefore w:val="0"/>
              <w:widowControl w:val="0"/>
              <w:kinsoku/>
              <w:wordWrap/>
              <w:overflowPunct/>
              <w:autoSpaceDE/>
              <w:autoSpaceDN/>
              <w:bidi w:val="0"/>
              <w:snapToGrid/>
              <w:spacing w:line="440" w:lineRule="exact"/>
              <w:jc w:val="left"/>
              <w:textAlignment w:val="auto"/>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项目的验收包括初验和终验：</w:t>
            </w:r>
          </w:p>
          <w:p w14:paraId="5757C1A9">
            <w:pPr>
              <w:keepNext w:val="0"/>
              <w:keepLines w:val="0"/>
              <w:pageBreakBefore w:val="0"/>
              <w:widowControl w:val="0"/>
              <w:kinsoku/>
              <w:wordWrap/>
              <w:overflowPunct/>
              <w:autoSpaceDE/>
              <w:autoSpaceDN/>
              <w:bidi w:val="0"/>
              <w:snapToGrid/>
              <w:spacing w:line="440" w:lineRule="exact"/>
              <w:jc w:val="left"/>
              <w:textAlignment w:val="auto"/>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1.初验</w:t>
            </w:r>
          </w:p>
          <w:p w14:paraId="13C61F95">
            <w:pPr>
              <w:keepNext w:val="0"/>
              <w:keepLines w:val="0"/>
              <w:pageBreakBefore w:val="0"/>
              <w:widowControl w:val="0"/>
              <w:kinsoku/>
              <w:wordWrap/>
              <w:overflowPunct/>
              <w:autoSpaceDE/>
              <w:autoSpaceDN/>
              <w:bidi w:val="0"/>
              <w:snapToGrid/>
              <w:spacing w:line="440" w:lineRule="exact"/>
              <w:jc w:val="left"/>
              <w:textAlignment w:val="auto"/>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软件开发实施部署完成并经测试通过后，系统完成初验进入试运行，试运行时间为</w:t>
            </w:r>
            <w:r>
              <w:rPr>
                <w:rFonts w:hint="eastAsia" w:ascii="仿宋" w:hAnsi="仿宋" w:eastAsia="仿宋" w:cs="仿宋"/>
                <w:color w:val="auto"/>
                <w:kern w:val="0"/>
                <w:sz w:val="24"/>
                <w:szCs w:val="20"/>
                <w:highlight w:val="none"/>
                <w:lang w:val="en-US" w:eastAsia="zh-CN"/>
              </w:rPr>
              <w:t>1</w:t>
            </w:r>
            <w:r>
              <w:rPr>
                <w:rFonts w:hint="eastAsia" w:ascii="仿宋" w:hAnsi="仿宋" w:eastAsia="仿宋" w:cs="仿宋"/>
                <w:color w:val="auto"/>
                <w:kern w:val="0"/>
                <w:sz w:val="24"/>
                <w:szCs w:val="20"/>
                <w:highlight w:val="none"/>
              </w:rPr>
              <w:t>个月。</w:t>
            </w:r>
          </w:p>
          <w:p w14:paraId="301864D8">
            <w:pPr>
              <w:keepNext w:val="0"/>
              <w:keepLines w:val="0"/>
              <w:pageBreakBefore w:val="0"/>
              <w:widowControl w:val="0"/>
              <w:kinsoku/>
              <w:wordWrap/>
              <w:overflowPunct/>
              <w:autoSpaceDE/>
              <w:autoSpaceDN/>
              <w:bidi w:val="0"/>
              <w:snapToGrid/>
              <w:spacing w:line="440" w:lineRule="exact"/>
              <w:jc w:val="left"/>
              <w:textAlignment w:val="auto"/>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2.终验</w:t>
            </w:r>
          </w:p>
          <w:p w14:paraId="5888107C">
            <w:pPr>
              <w:keepNext w:val="0"/>
              <w:keepLines w:val="0"/>
              <w:pageBreakBefore w:val="0"/>
              <w:widowControl w:val="0"/>
              <w:kinsoku/>
              <w:wordWrap/>
              <w:overflowPunct/>
              <w:autoSpaceDE/>
              <w:autoSpaceDN/>
              <w:bidi w:val="0"/>
              <w:snapToGrid/>
              <w:spacing w:line="440" w:lineRule="exact"/>
              <w:jc w:val="left"/>
              <w:textAlignment w:val="auto"/>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系统通过试运行后，中标</w:t>
            </w:r>
            <w:r>
              <w:rPr>
                <w:rFonts w:hint="eastAsia" w:ascii="仿宋" w:hAnsi="仿宋" w:eastAsia="仿宋" w:cs="仿宋"/>
                <w:color w:val="auto"/>
                <w:kern w:val="0"/>
                <w:sz w:val="24"/>
                <w:szCs w:val="20"/>
                <w:highlight w:val="none"/>
                <w:lang w:val="en-US" w:eastAsia="zh-CN"/>
              </w:rPr>
              <w:t>单位</w:t>
            </w:r>
            <w:r>
              <w:rPr>
                <w:rFonts w:hint="eastAsia" w:ascii="仿宋" w:hAnsi="仿宋" w:eastAsia="仿宋" w:cs="仿宋"/>
                <w:color w:val="auto"/>
                <w:kern w:val="0"/>
                <w:sz w:val="24"/>
                <w:szCs w:val="20"/>
                <w:highlight w:val="none"/>
              </w:rPr>
              <w:t>向</w:t>
            </w:r>
            <w:r>
              <w:rPr>
                <w:rFonts w:hint="eastAsia" w:ascii="仿宋" w:hAnsi="仿宋" w:eastAsia="仿宋" w:cs="仿宋"/>
                <w:color w:val="auto"/>
                <w:kern w:val="0"/>
                <w:sz w:val="24"/>
                <w:szCs w:val="20"/>
                <w:highlight w:val="none"/>
                <w:lang w:val="en-US" w:eastAsia="zh-CN"/>
              </w:rPr>
              <w:t>采购人</w:t>
            </w:r>
            <w:r>
              <w:rPr>
                <w:rFonts w:hint="eastAsia" w:ascii="仿宋" w:hAnsi="仿宋" w:eastAsia="仿宋" w:cs="仿宋"/>
                <w:color w:val="auto"/>
                <w:kern w:val="0"/>
                <w:sz w:val="24"/>
                <w:szCs w:val="20"/>
                <w:highlight w:val="none"/>
              </w:rPr>
              <w:t>提出终验申请，</w:t>
            </w:r>
            <w:r>
              <w:rPr>
                <w:rFonts w:hint="eastAsia" w:ascii="仿宋" w:hAnsi="仿宋" w:eastAsia="仿宋" w:cs="仿宋"/>
                <w:color w:val="auto"/>
                <w:kern w:val="0"/>
                <w:sz w:val="24"/>
                <w:szCs w:val="20"/>
                <w:highlight w:val="none"/>
                <w:lang w:val="en-US" w:eastAsia="zh-CN"/>
              </w:rPr>
              <w:t>采购人</w:t>
            </w:r>
            <w:r>
              <w:rPr>
                <w:rFonts w:hint="eastAsia" w:ascii="仿宋" w:hAnsi="仿宋" w:eastAsia="仿宋" w:cs="仿宋"/>
                <w:color w:val="auto"/>
                <w:kern w:val="0"/>
                <w:sz w:val="24"/>
                <w:szCs w:val="20"/>
                <w:highlight w:val="none"/>
              </w:rPr>
              <w:t>组织相关单位进行系统的终验。系统终验通过，进入正式运行阶段。系统终验收合格的条件必须至少满足以下</w:t>
            </w:r>
            <w:r>
              <w:rPr>
                <w:rFonts w:hint="eastAsia" w:ascii="仿宋" w:hAnsi="仿宋" w:eastAsia="仿宋" w:cs="仿宋"/>
                <w:color w:val="auto"/>
                <w:kern w:val="0"/>
                <w:sz w:val="24"/>
                <w:szCs w:val="20"/>
                <w:highlight w:val="none"/>
                <w:lang w:eastAsia="zh-CN"/>
              </w:rPr>
              <w:t>三点</w:t>
            </w:r>
            <w:r>
              <w:rPr>
                <w:rFonts w:hint="eastAsia" w:ascii="仿宋" w:hAnsi="仿宋" w:eastAsia="仿宋" w:cs="仿宋"/>
                <w:color w:val="auto"/>
                <w:kern w:val="0"/>
                <w:sz w:val="24"/>
                <w:szCs w:val="20"/>
                <w:highlight w:val="none"/>
              </w:rPr>
              <w:t>要求：已提供了合同要求的全部设备、资料；试运行时功能满足合同要求；测试和试运行时出现的问题已被解决。</w:t>
            </w:r>
          </w:p>
        </w:tc>
      </w:tr>
      <w:tr w14:paraId="473D4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vAlign w:val="center"/>
          </w:tcPr>
          <w:p w14:paraId="055D87DB">
            <w:pPr>
              <w:keepNext w:val="0"/>
              <w:keepLines w:val="0"/>
              <w:pageBreakBefore w:val="0"/>
              <w:widowControl w:val="0"/>
              <w:kinsoku/>
              <w:wordWrap/>
              <w:overflowPunct/>
              <w:autoSpaceDE/>
              <w:autoSpaceDN/>
              <w:bidi w:val="0"/>
              <w:snapToGrid/>
              <w:spacing w:line="440" w:lineRule="exact"/>
              <w:jc w:val="center"/>
              <w:textAlignment w:val="auto"/>
              <w:rPr>
                <w:rFonts w:hint="eastAsia" w:ascii="仿宋" w:hAnsi="仿宋" w:eastAsia="仿宋" w:cs="仿宋"/>
                <w:color w:val="auto"/>
                <w:kern w:val="0"/>
                <w:sz w:val="24"/>
                <w:szCs w:val="20"/>
                <w:highlight w:val="none"/>
                <w:lang w:val="en-US" w:eastAsia="zh-CN"/>
              </w:rPr>
            </w:pPr>
            <w:r>
              <w:rPr>
                <w:rFonts w:hint="eastAsia" w:ascii="仿宋" w:hAnsi="仿宋" w:eastAsia="仿宋" w:cs="仿宋"/>
                <w:color w:val="auto"/>
                <w:kern w:val="0"/>
                <w:sz w:val="24"/>
                <w:szCs w:val="20"/>
                <w:highlight w:val="none"/>
                <w:lang w:val="en-US" w:eastAsia="zh-CN"/>
              </w:rPr>
              <w:t>履约保证金</w:t>
            </w:r>
          </w:p>
        </w:tc>
        <w:tc>
          <w:tcPr>
            <w:tcW w:w="7599" w:type="dxa"/>
          </w:tcPr>
          <w:p w14:paraId="779FD2CA">
            <w:pPr>
              <w:keepNext w:val="0"/>
              <w:keepLines w:val="0"/>
              <w:pageBreakBefore w:val="0"/>
              <w:widowControl w:val="0"/>
              <w:numPr>
                <w:ilvl w:val="0"/>
                <w:numId w:val="0"/>
              </w:numPr>
              <w:kinsoku/>
              <w:wordWrap/>
              <w:overflowPunct/>
              <w:autoSpaceDE/>
              <w:autoSpaceDN/>
              <w:bidi w:val="0"/>
              <w:adjustRightInd/>
              <w:snapToGrid/>
              <w:spacing w:line="440" w:lineRule="exact"/>
              <w:jc w:val="left"/>
              <w:textAlignment w:val="auto"/>
              <w:rPr>
                <w:rFonts w:hint="default" w:ascii="仿宋" w:hAnsi="仿宋" w:eastAsia="仿宋" w:cs="仿宋"/>
                <w:color w:val="auto"/>
                <w:kern w:val="0"/>
                <w:sz w:val="24"/>
                <w:szCs w:val="20"/>
                <w:highlight w:val="none"/>
                <w:lang w:val="en-US" w:eastAsia="zh-CN"/>
              </w:rPr>
            </w:pPr>
            <w:r>
              <w:rPr>
                <w:rFonts w:hint="eastAsia" w:ascii="仿宋" w:hAnsi="仿宋" w:eastAsia="仿宋" w:cs="仿宋"/>
                <w:color w:val="auto"/>
                <w:sz w:val="24"/>
                <w:szCs w:val="24"/>
                <w:highlight w:val="none"/>
                <w:lang w:val="en-US" w:eastAsia="zh-CN"/>
              </w:rPr>
              <w:t>中标后</w:t>
            </w:r>
            <w:r>
              <w:rPr>
                <w:rFonts w:hint="eastAsia" w:ascii="仿宋" w:hAnsi="仿宋" w:eastAsia="仿宋" w:cs="仿宋"/>
                <w:color w:val="auto"/>
                <w:sz w:val="24"/>
                <w:szCs w:val="24"/>
                <w:highlight w:val="none"/>
              </w:rPr>
              <w:t>中标人须向采购</w:t>
            </w:r>
            <w:r>
              <w:rPr>
                <w:rFonts w:hint="eastAsia" w:ascii="仿宋" w:hAnsi="仿宋" w:eastAsia="仿宋" w:cs="仿宋"/>
                <w:color w:val="auto"/>
                <w:sz w:val="24"/>
                <w:szCs w:val="24"/>
                <w:highlight w:val="none"/>
                <w:lang w:val="en-US" w:eastAsia="zh-CN"/>
              </w:rPr>
              <w:t>人缴纳中标金额1%的</w:t>
            </w:r>
            <w:r>
              <w:rPr>
                <w:rFonts w:hint="eastAsia" w:ascii="仿宋" w:hAnsi="仿宋" w:eastAsia="仿宋" w:cs="仿宋"/>
                <w:color w:val="auto"/>
                <w:sz w:val="24"/>
                <w:szCs w:val="24"/>
                <w:highlight w:val="none"/>
              </w:rPr>
              <w:t>履约保证金</w:t>
            </w:r>
            <w:r>
              <w:rPr>
                <w:rFonts w:hint="eastAsia" w:ascii="仿宋" w:hAnsi="仿宋" w:eastAsia="仿宋" w:cs="仿宋"/>
                <w:color w:val="auto"/>
                <w:sz w:val="24"/>
                <w:szCs w:val="24"/>
                <w:highlight w:val="none"/>
                <w:lang w:val="en-US" w:eastAsia="zh-CN"/>
              </w:rPr>
              <w:t>（电汇/汇票/本票等转账方式或银行保函方式）</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履约保证金在</w:t>
            </w:r>
            <w:r>
              <w:rPr>
                <w:rFonts w:hint="eastAsia" w:ascii="仿宋" w:hAnsi="仿宋" w:eastAsia="仿宋" w:cs="仿宋"/>
                <w:color w:val="auto"/>
                <w:sz w:val="24"/>
                <w:szCs w:val="24"/>
                <w:highlight w:val="none"/>
                <w:lang w:val="en-US" w:eastAsia="zh-CN"/>
              </w:rPr>
              <w:t>服务期满</w:t>
            </w:r>
            <w:r>
              <w:rPr>
                <w:rFonts w:hint="eastAsia" w:ascii="仿宋" w:hAnsi="仿宋" w:eastAsia="仿宋" w:cs="仿宋"/>
                <w:color w:val="auto"/>
                <w:sz w:val="24"/>
                <w:szCs w:val="24"/>
                <w:highlight w:val="none"/>
              </w:rPr>
              <w:t>后</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个工作日内退还（不计息）</w:t>
            </w:r>
            <w:r>
              <w:rPr>
                <w:rFonts w:hint="eastAsia" w:ascii="仿宋" w:hAnsi="仿宋" w:eastAsia="仿宋" w:cs="仿宋"/>
                <w:color w:val="auto"/>
                <w:kern w:val="0"/>
                <w:sz w:val="24"/>
                <w:szCs w:val="24"/>
                <w:highlight w:val="none"/>
                <w:lang w:val="en-US" w:eastAsia="zh-CN"/>
              </w:rPr>
              <w:t>。</w:t>
            </w:r>
          </w:p>
        </w:tc>
      </w:tr>
      <w:tr w14:paraId="1FA78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vAlign w:val="center"/>
          </w:tcPr>
          <w:p w14:paraId="6327339C">
            <w:pPr>
              <w:keepNext w:val="0"/>
              <w:keepLines w:val="0"/>
              <w:pageBreakBefore w:val="0"/>
              <w:widowControl w:val="0"/>
              <w:kinsoku/>
              <w:wordWrap/>
              <w:overflowPunct/>
              <w:autoSpaceDE/>
              <w:autoSpaceDN/>
              <w:bidi w:val="0"/>
              <w:snapToGrid/>
              <w:spacing w:line="440" w:lineRule="exact"/>
              <w:jc w:val="center"/>
              <w:textAlignment w:val="auto"/>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付款方式</w:t>
            </w:r>
          </w:p>
        </w:tc>
        <w:tc>
          <w:tcPr>
            <w:tcW w:w="7599" w:type="dxa"/>
          </w:tcPr>
          <w:p w14:paraId="59EFD616">
            <w:pPr>
              <w:keepNext w:val="0"/>
              <w:keepLines w:val="0"/>
              <w:pageBreakBefore w:val="0"/>
              <w:widowControl w:val="0"/>
              <w:kinsoku/>
              <w:wordWrap/>
              <w:overflowPunct/>
              <w:autoSpaceDE/>
              <w:autoSpaceDN/>
              <w:bidi w:val="0"/>
              <w:snapToGrid/>
              <w:spacing w:line="440" w:lineRule="exact"/>
              <w:jc w:val="left"/>
              <w:textAlignment w:val="auto"/>
              <w:rPr>
                <w:rFonts w:hint="eastAsia" w:ascii="仿宋" w:hAnsi="仿宋" w:eastAsia="仿宋" w:cs="仿宋"/>
                <w:color w:val="auto"/>
                <w:kern w:val="0"/>
                <w:sz w:val="24"/>
                <w:szCs w:val="20"/>
                <w:highlight w:val="none"/>
                <w:lang w:val="en-US" w:eastAsia="zh-CN"/>
              </w:rPr>
            </w:pPr>
            <w:r>
              <w:rPr>
                <w:rFonts w:hint="eastAsia" w:ascii="仿宋" w:hAnsi="仿宋" w:eastAsia="仿宋" w:cs="仿宋"/>
                <w:color w:val="auto"/>
                <w:kern w:val="0"/>
                <w:sz w:val="24"/>
                <w:szCs w:val="20"/>
                <w:highlight w:val="none"/>
              </w:rPr>
              <w:t>本项目初验合格后支付</w:t>
            </w:r>
            <w:r>
              <w:rPr>
                <w:rFonts w:hint="eastAsia" w:ascii="仿宋" w:hAnsi="仿宋" w:eastAsia="仿宋" w:cs="仿宋"/>
                <w:color w:val="auto"/>
                <w:kern w:val="0"/>
                <w:sz w:val="24"/>
                <w:szCs w:val="20"/>
                <w:highlight w:val="none"/>
                <w:lang w:val="en-US" w:eastAsia="zh-CN"/>
              </w:rPr>
              <w:t>5</w:t>
            </w:r>
            <w:r>
              <w:rPr>
                <w:rFonts w:hint="eastAsia" w:ascii="仿宋" w:hAnsi="仿宋" w:eastAsia="仿宋" w:cs="仿宋"/>
                <w:color w:val="auto"/>
                <w:kern w:val="0"/>
                <w:sz w:val="24"/>
                <w:szCs w:val="20"/>
                <w:highlight w:val="none"/>
              </w:rPr>
              <w:t>0%，终验合格后支付</w:t>
            </w:r>
            <w:r>
              <w:rPr>
                <w:rFonts w:hint="eastAsia" w:ascii="仿宋" w:hAnsi="仿宋" w:eastAsia="仿宋" w:cs="仿宋"/>
                <w:color w:val="auto"/>
                <w:kern w:val="0"/>
                <w:sz w:val="24"/>
                <w:szCs w:val="20"/>
                <w:highlight w:val="none"/>
                <w:lang w:val="en-US" w:eastAsia="zh-CN"/>
              </w:rPr>
              <w:t>20</w:t>
            </w:r>
            <w:r>
              <w:rPr>
                <w:rFonts w:hint="eastAsia" w:ascii="仿宋" w:hAnsi="仿宋" w:eastAsia="仿宋" w:cs="仿宋"/>
                <w:color w:val="auto"/>
                <w:kern w:val="0"/>
                <w:sz w:val="24"/>
                <w:szCs w:val="20"/>
                <w:highlight w:val="none"/>
              </w:rPr>
              <w:t>%</w:t>
            </w:r>
            <w:r>
              <w:rPr>
                <w:rFonts w:hint="eastAsia" w:ascii="仿宋" w:hAnsi="仿宋" w:eastAsia="仿宋" w:cs="仿宋"/>
                <w:color w:val="auto"/>
                <w:kern w:val="0"/>
                <w:sz w:val="24"/>
                <w:szCs w:val="20"/>
                <w:highlight w:val="none"/>
                <w:lang w:eastAsia="zh-CN"/>
              </w:rPr>
              <w:t>。</w:t>
            </w:r>
            <w:r>
              <w:rPr>
                <w:rFonts w:hint="eastAsia" w:ascii="仿宋" w:hAnsi="仿宋" w:eastAsia="仿宋" w:cs="仿宋"/>
                <w:color w:val="auto"/>
                <w:kern w:val="0"/>
                <w:sz w:val="24"/>
                <w:szCs w:val="20"/>
                <w:highlight w:val="none"/>
                <w:lang w:val="en-US" w:eastAsia="zh-CN"/>
              </w:rPr>
              <w:t>云资源费用运维期满一年后按实付清，余额按运维期每年平均支付。</w:t>
            </w:r>
          </w:p>
        </w:tc>
      </w:tr>
      <w:tr w14:paraId="62A1E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vAlign w:val="center"/>
          </w:tcPr>
          <w:p w14:paraId="036C71F0">
            <w:pPr>
              <w:keepNext w:val="0"/>
              <w:keepLines w:val="0"/>
              <w:pageBreakBefore w:val="0"/>
              <w:widowControl w:val="0"/>
              <w:kinsoku/>
              <w:wordWrap/>
              <w:overflowPunct/>
              <w:autoSpaceDE/>
              <w:autoSpaceDN/>
              <w:bidi w:val="0"/>
              <w:snapToGrid/>
              <w:spacing w:line="440" w:lineRule="exact"/>
              <w:jc w:val="center"/>
              <w:textAlignment w:val="auto"/>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知识产权</w:t>
            </w:r>
          </w:p>
        </w:tc>
        <w:tc>
          <w:tcPr>
            <w:tcW w:w="7599" w:type="dxa"/>
          </w:tcPr>
          <w:p w14:paraId="3BA8035C">
            <w:pPr>
              <w:keepNext w:val="0"/>
              <w:keepLines w:val="0"/>
              <w:pageBreakBefore w:val="0"/>
              <w:widowControl w:val="0"/>
              <w:kinsoku/>
              <w:wordWrap/>
              <w:overflowPunct/>
              <w:autoSpaceDE/>
              <w:autoSpaceDN/>
              <w:bidi w:val="0"/>
              <w:snapToGrid/>
              <w:spacing w:line="440" w:lineRule="exact"/>
              <w:jc w:val="left"/>
              <w:textAlignment w:val="auto"/>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lang w:val="en-US" w:eastAsia="zh-CN"/>
              </w:rPr>
              <w:t>1.</w:t>
            </w:r>
            <w:r>
              <w:rPr>
                <w:rFonts w:hint="eastAsia" w:ascii="仿宋" w:hAnsi="仿宋" w:eastAsia="仿宋" w:cs="仿宋"/>
                <w:color w:val="auto"/>
                <w:kern w:val="0"/>
                <w:sz w:val="24"/>
                <w:szCs w:val="20"/>
                <w:highlight w:val="none"/>
              </w:rPr>
              <w:t>本项目建设成果的相关知识产权归</w:t>
            </w:r>
            <w:r>
              <w:rPr>
                <w:rFonts w:hint="eastAsia" w:ascii="仿宋" w:hAnsi="仿宋" w:eastAsia="仿宋" w:cs="仿宋"/>
                <w:color w:val="auto"/>
                <w:kern w:val="0"/>
                <w:sz w:val="24"/>
                <w:szCs w:val="20"/>
                <w:highlight w:val="none"/>
                <w:lang w:val="en-US" w:eastAsia="zh-CN"/>
              </w:rPr>
              <w:t>采购人</w:t>
            </w:r>
            <w:r>
              <w:rPr>
                <w:rFonts w:hint="eastAsia" w:ascii="仿宋" w:hAnsi="仿宋" w:eastAsia="仿宋" w:cs="仿宋"/>
                <w:color w:val="auto"/>
                <w:kern w:val="0"/>
                <w:sz w:val="24"/>
                <w:szCs w:val="20"/>
                <w:highlight w:val="none"/>
              </w:rPr>
              <w:t>所有，中标单位必须提供项目的所有有效、合法、完整的代码源和开发文档。</w:t>
            </w:r>
          </w:p>
          <w:p w14:paraId="2BB6218F">
            <w:pPr>
              <w:keepNext w:val="0"/>
              <w:keepLines w:val="0"/>
              <w:pageBreakBefore w:val="0"/>
              <w:widowControl w:val="0"/>
              <w:kinsoku/>
              <w:wordWrap/>
              <w:overflowPunct/>
              <w:autoSpaceDE/>
              <w:autoSpaceDN/>
              <w:bidi w:val="0"/>
              <w:snapToGrid/>
              <w:spacing w:line="440" w:lineRule="exact"/>
              <w:jc w:val="left"/>
              <w:textAlignment w:val="auto"/>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lang w:val="en-US" w:eastAsia="zh-CN"/>
              </w:rPr>
              <w:t>2.</w:t>
            </w:r>
            <w:r>
              <w:rPr>
                <w:rFonts w:hint="eastAsia" w:ascii="仿宋" w:hAnsi="仿宋" w:eastAsia="仿宋" w:cs="仿宋"/>
                <w:color w:val="auto"/>
                <w:kern w:val="0"/>
                <w:sz w:val="24"/>
                <w:szCs w:val="20"/>
                <w:highlight w:val="none"/>
              </w:rPr>
              <w:t>在合同有效期及质保期内，中标单位提交的技术服务工作成果所完成的新的技术成果，归业主所有。</w:t>
            </w:r>
          </w:p>
          <w:p w14:paraId="0E9971E7">
            <w:pPr>
              <w:keepNext w:val="0"/>
              <w:keepLines w:val="0"/>
              <w:pageBreakBefore w:val="0"/>
              <w:widowControl w:val="0"/>
              <w:kinsoku/>
              <w:wordWrap/>
              <w:overflowPunct/>
              <w:autoSpaceDE/>
              <w:autoSpaceDN/>
              <w:bidi w:val="0"/>
              <w:snapToGrid/>
              <w:spacing w:line="440" w:lineRule="exact"/>
              <w:jc w:val="left"/>
              <w:textAlignment w:val="auto"/>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lang w:val="en-US" w:eastAsia="zh-CN"/>
              </w:rPr>
              <w:t>3.</w:t>
            </w:r>
            <w:r>
              <w:rPr>
                <w:rFonts w:hint="eastAsia" w:ascii="仿宋" w:hAnsi="仿宋" w:eastAsia="仿宋" w:cs="仿宋"/>
                <w:color w:val="auto"/>
                <w:kern w:val="0"/>
                <w:sz w:val="24"/>
                <w:szCs w:val="20"/>
                <w:highlight w:val="none"/>
              </w:rPr>
              <w:t>中标单位不得将所共享的项目研发过程中所形成的技术资产和成果用于业主单位以外用户</w:t>
            </w:r>
            <w:r>
              <w:rPr>
                <w:rFonts w:hint="eastAsia" w:ascii="仿宋" w:hAnsi="仿宋" w:eastAsia="仿宋" w:cs="仿宋"/>
                <w:color w:val="auto"/>
                <w:kern w:val="0"/>
                <w:sz w:val="24"/>
                <w:szCs w:val="20"/>
                <w:highlight w:val="none"/>
                <w:lang w:eastAsia="zh-CN"/>
              </w:rPr>
              <w:t>，</w:t>
            </w:r>
            <w:r>
              <w:rPr>
                <w:rFonts w:hint="eastAsia" w:ascii="仿宋" w:hAnsi="仿宋" w:eastAsia="仿宋" w:cs="仿宋"/>
                <w:color w:val="auto"/>
                <w:kern w:val="0"/>
                <w:sz w:val="24"/>
                <w:szCs w:val="20"/>
                <w:highlight w:val="none"/>
                <w:lang w:val="en-US" w:eastAsia="zh-CN"/>
              </w:rPr>
              <w:t>一经发现须按合同价的200%赔偿</w:t>
            </w:r>
            <w:r>
              <w:rPr>
                <w:rFonts w:hint="eastAsia" w:ascii="仿宋" w:hAnsi="仿宋" w:eastAsia="仿宋" w:cs="仿宋"/>
                <w:color w:val="auto"/>
                <w:kern w:val="0"/>
                <w:sz w:val="24"/>
                <w:szCs w:val="20"/>
                <w:highlight w:val="none"/>
              </w:rPr>
              <w:t>。</w:t>
            </w:r>
          </w:p>
        </w:tc>
      </w:tr>
      <w:tr w14:paraId="6F1E3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83" w:type="dxa"/>
            <w:vAlign w:val="center"/>
          </w:tcPr>
          <w:p w14:paraId="0FB69959">
            <w:pPr>
              <w:keepNext w:val="0"/>
              <w:keepLines w:val="0"/>
              <w:pageBreakBefore w:val="0"/>
              <w:widowControl w:val="0"/>
              <w:kinsoku/>
              <w:wordWrap/>
              <w:overflowPunct/>
              <w:autoSpaceDE/>
              <w:autoSpaceDN/>
              <w:bidi w:val="0"/>
              <w:snapToGrid/>
              <w:spacing w:line="440" w:lineRule="exact"/>
              <w:jc w:val="center"/>
              <w:textAlignment w:val="auto"/>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保密要求</w:t>
            </w:r>
          </w:p>
        </w:tc>
        <w:tc>
          <w:tcPr>
            <w:tcW w:w="7599" w:type="dxa"/>
          </w:tcPr>
          <w:p w14:paraId="7BB6C761">
            <w:pPr>
              <w:keepNext w:val="0"/>
              <w:keepLines w:val="0"/>
              <w:pageBreakBefore w:val="0"/>
              <w:widowControl w:val="0"/>
              <w:kinsoku/>
              <w:wordWrap/>
              <w:overflowPunct/>
              <w:autoSpaceDE/>
              <w:autoSpaceDN/>
              <w:bidi w:val="0"/>
              <w:snapToGrid/>
              <w:spacing w:line="440" w:lineRule="exact"/>
              <w:textAlignment w:val="auto"/>
              <w:rPr>
                <w:rFonts w:hint="eastAsia" w:ascii="仿宋" w:hAnsi="仿宋" w:eastAsia="仿宋" w:cs="仿宋"/>
                <w:bCs/>
                <w:color w:val="auto"/>
                <w:sz w:val="24"/>
                <w:highlight w:val="none"/>
              </w:rPr>
            </w:pPr>
            <w:r>
              <w:rPr>
                <w:rFonts w:hint="eastAsia" w:ascii="仿宋" w:hAnsi="仿宋" w:eastAsia="仿宋" w:cs="仿宋"/>
                <w:color w:val="auto"/>
                <w:sz w:val="24"/>
                <w:highlight w:val="none"/>
              </w:rPr>
              <w:t>1.中标单位对在工作过程中接触到的采购人的任何资料、文件、数据</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无论</w:t>
            </w:r>
            <w:r>
              <w:rPr>
                <w:rFonts w:hint="eastAsia" w:ascii="仿宋" w:hAnsi="仿宋" w:eastAsia="仿宋" w:cs="仿宋"/>
                <w:bCs/>
                <w:color w:val="auto"/>
                <w:sz w:val="24"/>
                <w:highlight w:val="none"/>
              </w:rPr>
              <w:t>是书面的还是电子的</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rPr>
              <w:t>，以及对为采购人服务形成的任何交付物，负有为采购人保密的责任。未经采购人书面同意，中标单位不得以任何方式向任何第三方提供或透露。</w:t>
            </w:r>
          </w:p>
          <w:p w14:paraId="7B0454E2">
            <w:pPr>
              <w:keepNext w:val="0"/>
              <w:keepLines w:val="0"/>
              <w:pageBreakBefore w:val="0"/>
              <w:widowControl w:val="0"/>
              <w:kinsoku/>
              <w:wordWrap/>
              <w:overflowPunct/>
              <w:autoSpaceDE/>
              <w:autoSpaceDN/>
              <w:bidi w:val="0"/>
              <w:snapToGrid/>
              <w:spacing w:line="440" w:lineRule="exact"/>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2.采购人向中标单位提供的任何资料、文件和信息，在中标单位服务结束后，中标单位均应及时归还采购人，电子</w:t>
            </w:r>
            <w:r>
              <w:rPr>
                <w:rFonts w:hint="eastAsia" w:ascii="仿宋" w:hAnsi="仿宋" w:eastAsia="仿宋" w:cs="仿宋"/>
                <w:bCs/>
                <w:color w:val="auto"/>
                <w:sz w:val="24"/>
                <w:highlight w:val="none"/>
                <w:lang w:eastAsia="zh-CN"/>
              </w:rPr>
              <w:t>文档</w:t>
            </w:r>
            <w:r>
              <w:rPr>
                <w:rFonts w:hint="eastAsia" w:ascii="仿宋" w:hAnsi="仿宋" w:eastAsia="仿宋" w:cs="仿宋"/>
                <w:bCs/>
                <w:color w:val="auto"/>
                <w:sz w:val="24"/>
                <w:highlight w:val="none"/>
              </w:rPr>
              <w:t>应从自己的电脑等存储设备上予永久删除</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lang w:val="en-US" w:eastAsia="zh-CN"/>
              </w:rPr>
              <w:t>提供处理视频</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rPr>
              <w:t>。</w:t>
            </w:r>
          </w:p>
          <w:p w14:paraId="02B311E9">
            <w:pPr>
              <w:keepNext w:val="0"/>
              <w:keepLines w:val="0"/>
              <w:pageBreakBefore w:val="0"/>
              <w:widowControl w:val="0"/>
              <w:kinsoku/>
              <w:wordWrap/>
              <w:overflowPunct/>
              <w:autoSpaceDE/>
              <w:autoSpaceDN/>
              <w:bidi w:val="0"/>
              <w:snapToGrid/>
              <w:spacing w:line="440" w:lineRule="exact"/>
              <w:jc w:val="left"/>
              <w:textAlignment w:val="auto"/>
              <w:rPr>
                <w:rFonts w:hint="eastAsia" w:ascii="仿宋" w:hAnsi="仿宋" w:eastAsia="仿宋" w:cs="仿宋"/>
                <w:color w:val="auto"/>
                <w:kern w:val="0"/>
                <w:sz w:val="24"/>
                <w:szCs w:val="20"/>
                <w:highlight w:val="none"/>
              </w:rPr>
            </w:pPr>
            <w:r>
              <w:rPr>
                <w:rFonts w:hint="eastAsia" w:ascii="仿宋" w:hAnsi="仿宋" w:eastAsia="仿宋" w:cs="仿宋"/>
                <w:color w:val="auto"/>
                <w:sz w:val="24"/>
                <w:highlight w:val="none"/>
              </w:rPr>
              <w:t>3.中标单位人员违反上述保密规定事项，中标单位应承担相应法律责任。</w:t>
            </w:r>
          </w:p>
        </w:tc>
      </w:tr>
      <w:tr w14:paraId="4C596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vAlign w:val="center"/>
          </w:tcPr>
          <w:p w14:paraId="0A276671">
            <w:pPr>
              <w:keepNext w:val="0"/>
              <w:keepLines w:val="0"/>
              <w:pageBreakBefore w:val="0"/>
              <w:widowControl w:val="0"/>
              <w:kinsoku/>
              <w:wordWrap/>
              <w:overflowPunct/>
              <w:autoSpaceDE/>
              <w:autoSpaceDN/>
              <w:bidi w:val="0"/>
              <w:snapToGrid/>
              <w:spacing w:line="440" w:lineRule="exact"/>
              <w:jc w:val="center"/>
              <w:textAlignment w:val="auto"/>
              <w:rPr>
                <w:rFonts w:hint="eastAsia" w:ascii="仿宋" w:hAnsi="仿宋" w:eastAsia="仿宋" w:cs="仿宋"/>
                <w:color w:val="auto"/>
                <w:kern w:val="0"/>
                <w:sz w:val="24"/>
                <w:szCs w:val="20"/>
                <w:highlight w:val="none"/>
                <w:lang w:val="en-US" w:eastAsia="zh-CN"/>
              </w:rPr>
            </w:pPr>
            <w:r>
              <w:rPr>
                <w:rFonts w:hint="eastAsia" w:ascii="仿宋" w:hAnsi="仿宋" w:eastAsia="仿宋" w:cs="仿宋"/>
                <w:color w:val="auto"/>
                <w:kern w:val="0"/>
                <w:sz w:val="24"/>
                <w:szCs w:val="20"/>
                <w:highlight w:val="none"/>
                <w:lang w:val="en-US" w:eastAsia="zh-CN"/>
              </w:rPr>
              <w:t>其他</w:t>
            </w:r>
          </w:p>
        </w:tc>
        <w:tc>
          <w:tcPr>
            <w:tcW w:w="7599" w:type="dxa"/>
          </w:tcPr>
          <w:p w14:paraId="3DDDE7D4">
            <w:pPr>
              <w:keepNext w:val="0"/>
              <w:keepLines w:val="0"/>
              <w:pageBreakBefore w:val="0"/>
              <w:widowControl w:val="0"/>
              <w:numPr>
                <w:ilvl w:val="-1"/>
                <w:numId w:val="0"/>
              </w:numPr>
              <w:kinsoku/>
              <w:wordWrap/>
              <w:overflowPunct/>
              <w:autoSpaceDE/>
              <w:autoSpaceDN/>
              <w:bidi w:val="0"/>
              <w:snapToGrid/>
              <w:spacing w:line="440" w:lineRule="exact"/>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1.中标单位需向原软件单位做好衔接工作，如产生相关费用一并包含在本次投标报价中，采购人不单独支付额外费用。</w:t>
            </w:r>
          </w:p>
          <w:p w14:paraId="723E030E">
            <w:pPr>
              <w:keepNext w:val="0"/>
              <w:keepLines w:val="0"/>
              <w:pageBreakBefore w:val="0"/>
              <w:widowControl w:val="0"/>
              <w:numPr>
                <w:ilvl w:val="-1"/>
                <w:numId w:val="0"/>
              </w:numPr>
              <w:kinsoku/>
              <w:wordWrap/>
              <w:overflowPunct/>
              <w:autoSpaceDE/>
              <w:autoSpaceDN/>
              <w:bidi w:val="0"/>
              <w:snapToGrid/>
              <w:spacing w:line="440" w:lineRule="exact"/>
              <w:jc w:val="left"/>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2.数据迁移过程前后产生的任何费用也包含在本次投标报价中，采购人不单独支付额外费用。</w:t>
            </w:r>
          </w:p>
        </w:tc>
      </w:tr>
    </w:tbl>
    <w:p w14:paraId="306A2495">
      <w:pPr>
        <w:pStyle w:val="864"/>
        <w:topLinePunct/>
        <w:spacing w:line="440" w:lineRule="exact"/>
        <w:ind w:left="0" w:leftChars="0" w:firstLine="482" w:firstLineChars="200"/>
        <w:outlineLvl w:val="1"/>
        <w:rPr>
          <w:rFonts w:hint="eastAsia" w:ascii="仿宋" w:hAnsi="仿宋" w:eastAsia="仿宋" w:cs="仿宋"/>
          <w:b/>
          <w:bCs/>
          <w:color w:val="auto"/>
          <w:highlight w:val="none"/>
          <w:lang w:val="en-US" w:eastAsia="zh-CN"/>
        </w:rPr>
        <w:sectPr>
          <w:pgSz w:w="11907" w:h="16840"/>
          <w:pgMar w:top="1814" w:right="1474" w:bottom="1814" w:left="1474" w:header="851" w:footer="851" w:gutter="0"/>
          <w:pgNumType w:fmt="decimal"/>
          <w:cols w:space="720" w:num="1"/>
        </w:sectPr>
      </w:pPr>
    </w:p>
    <w:p w14:paraId="0233C4C1">
      <w:pPr>
        <w:keepNext w:val="0"/>
        <w:keepLines w:val="0"/>
        <w:pageBreakBefore w:val="0"/>
        <w:widowControl w:val="0"/>
        <w:kinsoku/>
        <w:wordWrap/>
        <w:overflowPunct/>
        <w:topLinePunct w:val="0"/>
        <w:bidi w:val="0"/>
        <w:adjustRightInd w:val="0"/>
        <w:snapToGrid/>
        <w:spacing w:line="440" w:lineRule="exact"/>
        <w:jc w:val="center"/>
        <w:textAlignment w:val="auto"/>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第</w:t>
      </w:r>
      <w:r>
        <w:rPr>
          <w:rFonts w:hint="eastAsia" w:ascii="仿宋" w:hAnsi="仿宋" w:eastAsia="仿宋" w:cs="仿宋"/>
          <w:b/>
          <w:color w:val="auto"/>
          <w:sz w:val="36"/>
          <w:szCs w:val="36"/>
          <w:highlight w:val="none"/>
          <w:lang w:val="en-US" w:eastAsia="zh-CN"/>
        </w:rPr>
        <w:t>四</w:t>
      </w:r>
      <w:r>
        <w:rPr>
          <w:rFonts w:hint="eastAsia" w:ascii="仿宋" w:hAnsi="仿宋" w:eastAsia="仿宋" w:cs="仿宋"/>
          <w:b/>
          <w:color w:val="auto"/>
          <w:sz w:val="36"/>
          <w:szCs w:val="36"/>
          <w:highlight w:val="none"/>
        </w:rPr>
        <w:t>部分</w:t>
      </w:r>
      <w:r>
        <w:rPr>
          <w:rFonts w:hint="eastAsia" w:ascii="仿宋" w:hAnsi="仿宋" w:eastAsia="仿宋" w:cs="仿宋"/>
          <w:b/>
          <w:color w:val="auto"/>
          <w:sz w:val="36"/>
          <w:szCs w:val="36"/>
          <w:highlight w:val="none"/>
          <w:lang w:val="en-US" w:eastAsia="zh-CN"/>
        </w:rPr>
        <w:t xml:space="preserve">  </w:t>
      </w:r>
      <w:r>
        <w:rPr>
          <w:rFonts w:hint="eastAsia" w:ascii="仿宋" w:hAnsi="仿宋" w:eastAsia="仿宋" w:cs="仿宋"/>
          <w:b/>
          <w:color w:val="auto"/>
          <w:sz w:val="36"/>
          <w:szCs w:val="36"/>
          <w:highlight w:val="none"/>
        </w:rPr>
        <w:t>评标方法及标准</w:t>
      </w:r>
    </w:p>
    <w:p w14:paraId="4E7E7B54">
      <w:pPr>
        <w:keepNext w:val="0"/>
        <w:keepLines w:val="0"/>
        <w:pageBreakBefore w:val="0"/>
        <w:widowControl w:val="0"/>
        <w:kinsoku/>
        <w:wordWrap/>
        <w:overflowPunct/>
        <w:topLinePunct w:val="0"/>
        <w:autoSpaceDE/>
        <w:autoSpaceDN/>
        <w:bidi w:val="0"/>
        <w:adjustRightInd w:val="0"/>
        <w:snapToGrid/>
        <w:spacing w:line="440" w:lineRule="exact"/>
        <w:jc w:val="left"/>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w:t>
      </w:r>
      <w:r>
        <w:rPr>
          <w:rFonts w:hint="eastAsia" w:ascii="仿宋" w:hAnsi="仿宋" w:eastAsia="仿宋" w:cs="仿宋"/>
          <w:b/>
          <w:color w:val="auto"/>
          <w:sz w:val="24"/>
          <w:highlight w:val="none"/>
          <w:lang w:val="en-US" w:eastAsia="zh-CN"/>
        </w:rPr>
        <w:t>.</w:t>
      </w:r>
      <w:r>
        <w:rPr>
          <w:rFonts w:hint="eastAsia" w:ascii="仿宋" w:hAnsi="仿宋" w:eastAsia="仿宋" w:cs="仿宋"/>
          <w:b/>
          <w:color w:val="auto"/>
          <w:sz w:val="24"/>
          <w:highlight w:val="none"/>
        </w:rPr>
        <w:t>评标方法：</w:t>
      </w:r>
    </w:p>
    <w:p w14:paraId="00083AB8">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本次评标采用综合评分法，总分为100分。合格投标人的评标得分为各项目汇总得分，中标候选资格按评标得分由高到低顺序排列</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得分相同的，按投标报价由低到高顺序排列；得分且投标报价相同的，现场抽签决定。评分过程中采用四舍五入法，并保留小数2位。</w:t>
      </w:r>
    </w:p>
    <w:p w14:paraId="11536FA8">
      <w:pPr>
        <w:keepNext w:val="0"/>
        <w:keepLines w:val="0"/>
        <w:pageBreakBefore w:val="0"/>
        <w:widowControl w:val="0"/>
        <w:kinsoku/>
        <w:wordWrap/>
        <w:overflowPunct/>
        <w:topLinePunct w:val="0"/>
        <w:autoSpaceDE/>
        <w:autoSpaceDN/>
        <w:bidi w:val="0"/>
        <w:adjustRightInd w:val="0"/>
        <w:snapToGrid/>
        <w:spacing w:line="440" w:lineRule="exact"/>
        <w:jc w:val="left"/>
        <w:textAlignment w:val="auto"/>
        <w:rPr>
          <w:rFonts w:hint="eastAsia" w:ascii="仿宋" w:hAnsi="仿宋" w:eastAsia="仿宋" w:cs="仿宋"/>
          <w:b/>
          <w:color w:val="auto"/>
          <w:sz w:val="24"/>
          <w:highlight w:val="none"/>
          <w:lang w:val="en-US" w:eastAsia="zh-CN"/>
        </w:rPr>
      </w:pPr>
      <w:r>
        <w:rPr>
          <w:rFonts w:hint="eastAsia" w:ascii="仿宋" w:hAnsi="仿宋" w:eastAsia="仿宋" w:cs="仿宋"/>
          <w:b/>
          <w:bCs/>
          <w:color w:val="auto"/>
          <w:sz w:val="24"/>
          <w:highlight w:val="none"/>
          <w:lang w:val="en-US" w:eastAsia="zh-CN"/>
        </w:rPr>
        <w:t>2.定标办法：</w:t>
      </w:r>
    </w:p>
    <w:p w14:paraId="1917CE4B">
      <w:pPr>
        <w:keepNext w:val="0"/>
        <w:keepLines w:val="0"/>
        <w:pageBreakBefore w:val="0"/>
        <w:widowControl w:val="0"/>
        <w:numPr>
          <w:ilvl w:val="0"/>
          <w:numId w:val="0"/>
        </w:numPr>
        <w:kinsoku/>
        <w:wordWrap/>
        <w:overflowPunct/>
        <w:topLinePunct w:val="0"/>
        <w:autoSpaceDE/>
        <w:autoSpaceDN/>
        <w:bidi w:val="0"/>
        <w:adjustRightInd w:val="0"/>
        <w:snapToGrid/>
        <w:spacing w:line="440" w:lineRule="exact"/>
        <w:ind w:firstLine="480" w:firstLineChars="200"/>
        <w:jc w:val="left"/>
        <w:textAlignment w:val="auto"/>
        <w:rPr>
          <w:rFonts w:hint="eastAsia" w:ascii="仿宋" w:hAnsi="仿宋" w:eastAsia="仿宋" w:cs="仿宋"/>
          <w:b/>
          <w:color w:val="auto"/>
          <w:sz w:val="24"/>
          <w:highlight w:val="none"/>
          <w:lang w:val="en-US" w:eastAsia="zh-CN"/>
        </w:rPr>
      </w:pPr>
      <w:r>
        <w:rPr>
          <w:rFonts w:hint="eastAsia" w:ascii="仿宋" w:hAnsi="仿宋" w:eastAsia="仿宋" w:cs="仿宋"/>
          <w:b w:val="0"/>
          <w:bCs/>
          <w:color w:val="auto"/>
          <w:sz w:val="24"/>
          <w:highlight w:val="none"/>
          <w:lang w:val="en-US" w:eastAsia="zh-CN"/>
        </w:rPr>
        <w:t>评标结束后，招标人根据评标委员会提交的评审报告和推荐意见，对进入候选的投标人进行最终审查。终审后根据推荐的中标候选人情况确定中标人。最低报价不是中标的唯一保证。整个评标过程应严格保密，评标委员会成员及工作人员应严格遵守纪律，不得泄漏任何评标信息。</w:t>
      </w:r>
    </w:p>
    <w:p w14:paraId="3C52D240">
      <w:pPr>
        <w:spacing w:line="440" w:lineRule="exact"/>
        <w:jc w:val="left"/>
        <w:rPr>
          <w:rFonts w:hint="eastAsia" w:ascii="仿宋" w:hAnsi="仿宋" w:eastAsia="仿宋" w:cs="仿宋"/>
          <w:color w:val="auto"/>
          <w:sz w:val="24"/>
          <w:highlight w:val="none"/>
        </w:rPr>
      </w:pPr>
      <w:r>
        <w:rPr>
          <w:rFonts w:hint="eastAsia" w:ascii="仿宋" w:hAnsi="仿宋" w:eastAsia="仿宋" w:cs="仿宋"/>
          <w:b/>
          <w:color w:val="auto"/>
          <w:sz w:val="24"/>
          <w:highlight w:val="none"/>
          <w:lang w:val="en-US" w:eastAsia="zh-CN"/>
        </w:rPr>
        <w:t>3</w:t>
      </w:r>
      <w:r>
        <w:rPr>
          <w:rFonts w:hint="eastAsia" w:ascii="仿宋" w:hAnsi="仿宋" w:eastAsia="仿宋" w:cs="仿宋"/>
          <w:b/>
          <w:color w:val="auto"/>
          <w:sz w:val="24"/>
          <w:highlight w:val="none"/>
        </w:rPr>
        <w:t>.评分标准：</w:t>
      </w:r>
      <w:r>
        <w:rPr>
          <w:rFonts w:hint="eastAsia" w:ascii="仿宋" w:hAnsi="仿宋" w:eastAsia="仿宋" w:cs="仿宋"/>
          <w:color w:val="auto"/>
          <w:sz w:val="24"/>
          <w:highlight w:val="none"/>
        </w:rPr>
        <w:t>共100分，其中商务技术分</w:t>
      </w:r>
      <w:r>
        <w:rPr>
          <w:rFonts w:hint="eastAsia" w:ascii="仿宋" w:hAnsi="仿宋" w:eastAsia="仿宋" w:cs="仿宋"/>
          <w:color w:val="auto"/>
          <w:sz w:val="24"/>
          <w:highlight w:val="none"/>
          <w:u w:val="single"/>
          <w:lang w:val="en-US" w:eastAsia="zh-CN"/>
        </w:rPr>
        <w:t xml:space="preserve"> 50 </w:t>
      </w:r>
      <w:r>
        <w:rPr>
          <w:rFonts w:hint="eastAsia" w:ascii="仿宋" w:hAnsi="仿宋" w:eastAsia="仿宋" w:cs="仿宋"/>
          <w:color w:val="auto"/>
          <w:sz w:val="24"/>
          <w:highlight w:val="none"/>
        </w:rPr>
        <w:t>分，价格分</w:t>
      </w:r>
      <w:r>
        <w:rPr>
          <w:rFonts w:hint="eastAsia" w:ascii="仿宋" w:hAnsi="仿宋" w:eastAsia="仿宋" w:cs="仿宋"/>
          <w:color w:val="auto"/>
          <w:sz w:val="24"/>
          <w:highlight w:val="none"/>
          <w:u w:val="single"/>
          <w:lang w:val="en-US" w:eastAsia="zh-CN"/>
        </w:rPr>
        <w:t xml:space="preserve"> 50 </w:t>
      </w:r>
      <w:r>
        <w:rPr>
          <w:rFonts w:hint="eastAsia" w:ascii="仿宋" w:hAnsi="仿宋" w:eastAsia="仿宋" w:cs="仿宋"/>
          <w:color w:val="auto"/>
          <w:sz w:val="24"/>
          <w:highlight w:val="none"/>
        </w:rPr>
        <w:t>分。评分依下述所列为评标打分依据，分值如下（计算分值时，按其算术平均值保留小数2位）。</w:t>
      </w:r>
    </w:p>
    <w:p w14:paraId="4E9CF9EA">
      <w:pPr>
        <w:spacing w:line="440" w:lineRule="exact"/>
        <w:rPr>
          <w:rFonts w:hint="eastAsia" w:ascii="仿宋" w:hAnsi="仿宋" w:eastAsia="仿宋" w:cs="仿宋"/>
          <w:color w:val="auto"/>
          <w:sz w:val="24"/>
          <w:szCs w:val="24"/>
          <w:highlight w:val="none"/>
          <w:shd w:val="clear" w:color="auto" w:fill="FFFFFF"/>
        </w:rPr>
      </w:pPr>
      <w:r>
        <w:rPr>
          <w:rFonts w:hint="eastAsia" w:ascii="仿宋" w:hAnsi="仿宋" w:eastAsia="仿宋" w:cs="仿宋"/>
          <w:b/>
          <w:bCs/>
          <w:iCs/>
          <w:color w:val="auto"/>
          <w:sz w:val="24"/>
          <w:highlight w:val="none"/>
          <w:lang w:val="en-US" w:eastAsia="zh-CN"/>
        </w:rPr>
        <w:t>3</w:t>
      </w:r>
      <w:r>
        <w:rPr>
          <w:rFonts w:hint="eastAsia" w:ascii="仿宋" w:hAnsi="仿宋" w:eastAsia="仿宋" w:cs="仿宋"/>
          <w:b/>
          <w:bCs/>
          <w:iCs/>
          <w:color w:val="auto"/>
          <w:sz w:val="24"/>
          <w:highlight w:val="none"/>
        </w:rPr>
        <w:t>.1商务技术分（</w:t>
      </w:r>
      <w:r>
        <w:rPr>
          <w:rFonts w:hint="eastAsia" w:ascii="仿宋" w:hAnsi="仿宋" w:eastAsia="仿宋" w:cs="仿宋"/>
          <w:b/>
          <w:bCs/>
          <w:iCs/>
          <w:color w:val="auto"/>
          <w:sz w:val="24"/>
          <w:highlight w:val="none"/>
          <w:lang w:val="en-US" w:eastAsia="zh-CN"/>
        </w:rPr>
        <w:t>50</w:t>
      </w:r>
      <w:r>
        <w:rPr>
          <w:rFonts w:hint="eastAsia" w:ascii="仿宋" w:hAnsi="仿宋" w:eastAsia="仿宋" w:cs="仿宋"/>
          <w:b/>
          <w:bCs/>
          <w:iCs/>
          <w:color w:val="auto"/>
          <w:sz w:val="24"/>
          <w:highlight w:val="none"/>
        </w:rPr>
        <w:t>分）</w:t>
      </w:r>
    </w:p>
    <w:tbl>
      <w:tblPr>
        <w:tblStyle w:val="65"/>
        <w:tblW w:w="97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57"/>
        <w:gridCol w:w="1296"/>
        <w:gridCol w:w="6768"/>
        <w:gridCol w:w="780"/>
      </w:tblGrid>
      <w:tr w14:paraId="3812C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1" w:hRule="atLeast"/>
          <w:jc w:val="center"/>
        </w:trPr>
        <w:tc>
          <w:tcPr>
            <w:tcW w:w="857" w:type="dxa"/>
            <w:shd w:val="clear" w:color="auto" w:fill="auto"/>
            <w:noWrap w:val="0"/>
            <w:vAlign w:val="center"/>
          </w:tcPr>
          <w:p w14:paraId="59AC5762">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auto"/>
                <w:kern w:val="0"/>
                <w:sz w:val="24"/>
                <w:szCs w:val="24"/>
                <w:highlight w:val="none"/>
                <w:lang w:eastAsia="zh-CN"/>
              </w:rPr>
            </w:pPr>
            <w:r>
              <w:rPr>
                <w:rFonts w:hint="eastAsia" w:ascii="仿宋" w:hAnsi="仿宋" w:eastAsia="仿宋" w:cs="仿宋"/>
                <w:b/>
                <w:bCs/>
                <w:color w:val="auto"/>
                <w:kern w:val="0"/>
                <w:sz w:val="24"/>
                <w:szCs w:val="24"/>
                <w:highlight w:val="none"/>
                <w:lang w:eastAsia="zh-CN"/>
              </w:rPr>
              <w:t>序号</w:t>
            </w:r>
          </w:p>
        </w:tc>
        <w:tc>
          <w:tcPr>
            <w:tcW w:w="1296" w:type="dxa"/>
            <w:shd w:val="clear" w:color="auto" w:fill="auto"/>
            <w:noWrap w:val="0"/>
            <w:vAlign w:val="center"/>
          </w:tcPr>
          <w:p w14:paraId="4256F0FA">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auto"/>
                <w:kern w:val="0"/>
                <w:sz w:val="24"/>
                <w:szCs w:val="24"/>
                <w:highlight w:val="none"/>
                <w:lang w:eastAsia="zh-CN"/>
              </w:rPr>
            </w:pPr>
            <w:r>
              <w:rPr>
                <w:rFonts w:hint="eastAsia" w:ascii="仿宋" w:hAnsi="仿宋" w:eastAsia="仿宋" w:cs="仿宋"/>
                <w:b/>
                <w:bCs/>
                <w:color w:val="auto"/>
                <w:kern w:val="0"/>
                <w:sz w:val="24"/>
                <w:szCs w:val="24"/>
                <w:highlight w:val="none"/>
                <w:lang w:eastAsia="zh-CN"/>
              </w:rPr>
              <w:t>评分项</w:t>
            </w:r>
          </w:p>
        </w:tc>
        <w:tc>
          <w:tcPr>
            <w:tcW w:w="6768" w:type="dxa"/>
            <w:shd w:val="clear" w:color="auto" w:fill="auto"/>
            <w:noWrap w:val="0"/>
            <w:vAlign w:val="center"/>
          </w:tcPr>
          <w:p w14:paraId="614AD211">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auto"/>
                <w:kern w:val="0"/>
                <w:sz w:val="24"/>
                <w:szCs w:val="24"/>
                <w:highlight w:val="none"/>
                <w:lang w:eastAsia="zh-CN"/>
              </w:rPr>
            </w:pPr>
            <w:r>
              <w:rPr>
                <w:rFonts w:hint="eastAsia" w:ascii="仿宋" w:hAnsi="仿宋" w:eastAsia="仿宋" w:cs="仿宋"/>
                <w:b/>
                <w:bCs/>
                <w:color w:val="auto"/>
                <w:kern w:val="0"/>
                <w:sz w:val="24"/>
                <w:szCs w:val="24"/>
                <w:highlight w:val="none"/>
                <w:lang w:eastAsia="zh-CN"/>
              </w:rPr>
              <w:t>评审依据及标准</w:t>
            </w:r>
          </w:p>
        </w:tc>
        <w:tc>
          <w:tcPr>
            <w:tcW w:w="780" w:type="dxa"/>
            <w:shd w:val="clear" w:color="auto" w:fill="auto"/>
            <w:noWrap w:val="0"/>
            <w:vAlign w:val="center"/>
          </w:tcPr>
          <w:p w14:paraId="091122FB">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auto"/>
                <w:kern w:val="0"/>
                <w:sz w:val="24"/>
                <w:szCs w:val="24"/>
                <w:highlight w:val="none"/>
                <w:lang w:eastAsia="zh-CN"/>
              </w:rPr>
            </w:pPr>
            <w:r>
              <w:rPr>
                <w:rFonts w:hint="eastAsia" w:ascii="仿宋" w:hAnsi="仿宋" w:eastAsia="仿宋" w:cs="仿宋"/>
                <w:b/>
                <w:bCs/>
                <w:color w:val="auto"/>
                <w:kern w:val="0"/>
                <w:sz w:val="24"/>
                <w:szCs w:val="24"/>
                <w:highlight w:val="none"/>
                <w:lang w:eastAsia="zh-CN"/>
              </w:rPr>
              <w:t>分值</w:t>
            </w:r>
          </w:p>
        </w:tc>
      </w:tr>
      <w:tr w14:paraId="217E5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34" w:hRule="atLeast"/>
          <w:jc w:val="center"/>
        </w:trPr>
        <w:tc>
          <w:tcPr>
            <w:tcW w:w="857" w:type="dxa"/>
            <w:shd w:val="clear" w:color="auto" w:fill="auto"/>
            <w:noWrap w:val="0"/>
            <w:vAlign w:val="center"/>
          </w:tcPr>
          <w:p w14:paraId="11073C94">
            <w:pPr>
              <w:keepNext w:val="0"/>
              <w:keepLines w:val="0"/>
              <w:pageBreakBefore w:val="0"/>
              <w:widowControl/>
              <w:kinsoku/>
              <w:wordWrap/>
              <w:overflowPunct/>
              <w:topLinePunct w:val="0"/>
              <w:autoSpaceDE/>
              <w:autoSpaceDN/>
              <w:bidi w:val="0"/>
              <w:adjustRightInd w:val="0"/>
              <w:spacing w:line="360" w:lineRule="auto"/>
              <w:ind w:firstLine="0" w:firstLine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1</w:t>
            </w:r>
          </w:p>
        </w:tc>
        <w:tc>
          <w:tcPr>
            <w:tcW w:w="1296" w:type="dxa"/>
            <w:shd w:val="clear" w:color="auto" w:fill="auto"/>
            <w:noWrap w:val="0"/>
            <w:vAlign w:val="center"/>
          </w:tcPr>
          <w:p w14:paraId="615A999B">
            <w:pPr>
              <w:keepNext w:val="0"/>
              <w:keepLines w:val="0"/>
              <w:pageBreakBefore w:val="0"/>
              <w:widowControl/>
              <w:kinsoku/>
              <w:wordWrap/>
              <w:overflowPunct/>
              <w:topLinePunct w:val="0"/>
              <w:autoSpaceDE/>
              <w:autoSpaceDN/>
              <w:bidi w:val="0"/>
              <w:adjustRightInd w:val="0"/>
              <w:spacing w:line="360" w:lineRule="auto"/>
              <w:ind w:firstLine="0" w:firstLine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rPr>
              <w:t>资信证书</w:t>
            </w:r>
          </w:p>
        </w:tc>
        <w:tc>
          <w:tcPr>
            <w:tcW w:w="6768" w:type="dxa"/>
            <w:shd w:val="clear" w:color="auto" w:fill="auto"/>
            <w:noWrap w:val="0"/>
            <w:vAlign w:val="center"/>
          </w:tcPr>
          <w:p w14:paraId="5282D865">
            <w:pPr>
              <w:keepNext w:val="0"/>
              <w:keepLines w:val="0"/>
              <w:pageBreakBefore w:val="0"/>
              <w:widowControl/>
              <w:kinsoku/>
              <w:wordWrap/>
              <w:overflowPunct/>
              <w:topLinePunct w:val="0"/>
              <w:autoSpaceDE/>
              <w:autoSpaceDN/>
              <w:bidi w:val="0"/>
              <w:adjustRightInd w:val="0"/>
              <w:spacing w:line="360" w:lineRule="auto"/>
              <w:ind w:firstLine="0" w:firstLineChars="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1.投标人具有信息技术服务管理体系标准证书的得1分。</w:t>
            </w:r>
          </w:p>
          <w:p w14:paraId="6C8DA3E4">
            <w:pPr>
              <w:keepNext w:val="0"/>
              <w:keepLines w:val="0"/>
              <w:pageBreakBefore w:val="0"/>
              <w:widowControl/>
              <w:kinsoku/>
              <w:wordWrap/>
              <w:overflowPunct/>
              <w:topLinePunct w:val="0"/>
              <w:autoSpaceDE/>
              <w:autoSpaceDN/>
              <w:bidi w:val="0"/>
              <w:adjustRightInd w:val="0"/>
              <w:spacing w:line="360" w:lineRule="auto"/>
              <w:ind w:firstLine="0" w:firstLineChars="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2.投标人具有质量管理体系认证证书的得1分。</w:t>
            </w:r>
          </w:p>
          <w:p w14:paraId="3C9BD4B1">
            <w:pPr>
              <w:keepNext w:val="0"/>
              <w:keepLines w:val="0"/>
              <w:pageBreakBefore w:val="0"/>
              <w:widowControl/>
              <w:kinsoku/>
              <w:wordWrap/>
              <w:overflowPunct/>
              <w:topLinePunct w:val="0"/>
              <w:autoSpaceDE/>
              <w:autoSpaceDN/>
              <w:bidi w:val="0"/>
              <w:adjustRightInd w:val="0"/>
              <w:spacing w:line="360" w:lineRule="auto"/>
              <w:ind w:firstLine="0" w:firstLineChars="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3.投标人具有数据安全能力成熟度认证证书的得1分。</w:t>
            </w:r>
          </w:p>
          <w:p w14:paraId="33612D22">
            <w:pPr>
              <w:keepNext w:val="0"/>
              <w:keepLines w:val="0"/>
              <w:pageBreakBefore w:val="0"/>
              <w:widowControl/>
              <w:kinsoku/>
              <w:wordWrap/>
              <w:overflowPunct/>
              <w:topLinePunct w:val="0"/>
              <w:autoSpaceDE/>
              <w:autoSpaceDN/>
              <w:bidi w:val="0"/>
              <w:adjustRightInd w:val="0"/>
              <w:spacing w:line="360" w:lineRule="auto"/>
              <w:ind w:firstLine="0" w:firstLineChars="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（提供相关证明材料原件彩色扫描件。）</w:t>
            </w:r>
          </w:p>
        </w:tc>
        <w:tc>
          <w:tcPr>
            <w:tcW w:w="780" w:type="dxa"/>
            <w:shd w:val="clear" w:color="auto" w:fill="auto"/>
            <w:noWrap w:val="0"/>
            <w:vAlign w:val="center"/>
          </w:tcPr>
          <w:p w14:paraId="05818A94">
            <w:pPr>
              <w:keepNext w:val="0"/>
              <w:keepLines w:val="0"/>
              <w:pageBreakBefore w:val="0"/>
              <w:widowControl/>
              <w:kinsoku/>
              <w:wordWrap/>
              <w:overflowPunct/>
              <w:topLinePunct w:val="0"/>
              <w:autoSpaceDE/>
              <w:autoSpaceDN/>
              <w:bidi w:val="0"/>
              <w:adjustRightInd w:val="0"/>
              <w:spacing w:line="360" w:lineRule="auto"/>
              <w:ind w:firstLine="0" w:firstLineChars="0"/>
              <w:jc w:val="center"/>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3分</w:t>
            </w:r>
          </w:p>
        </w:tc>
      </w:tr>
      <w:tr w14:paraId="58354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34" w:hRule="atLeast"/>
          <w:jc w:val="center"/>
        </w:trPr>
        <w:tc>
          <w:tcPr>
            <w:tcW w:w="857" w:type="dxa"/>
            <w:shd w:val="clear" w:color="auto" w:fill="auto"/>
            <w:noWrap w:val="0"/>
            <w:vAlign w:val="center"/>
          </w:tcPr>
          <w:p w14:paraId="775FF209">
            <w:pPr>
              <w:keepNext w:val="0"/>
              <w:keepLines w:val="0"/>
              <w:pageBreakBefore w:val="0"/>
              <w:widowControl/>
              <w:kinsoku/>
              <w:wordWrap/>
              <w:overflowPunct/>
              <w:topLinePunct w:val="0"/>
              <w:autoSpaceDE/>
              <w:autoSpaceDN/>
              <w:bidi w:val="0"/>
              <w:adjustRightInd w:val="0"/>
              <w:spacing w:line="360" w:lineRule="auto"/>
              <w:ind w:firstLine="0" w:firstLine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2</w:t>
            </w:r>
          </w:p>
        </w:tc>
        <w:tc>
          <w:tcPr>
            <w:tcW w:w="1296" w:type="dxa"/>
            <w:shd w:val="clear" w:color="auto" w:fill="auto"/>
            <w:noWrap w:val="0"/>
            <w:vAlign w:val="center"/>
          </w:tcPr>
          <w:p w14:paraId="1E724268">
            <w:pPr>
              <w:keepNext w:val="0"/>
              <w:keepLines w:val="0"/>
              <w:pageBreakBefore w:val="0"/>
              <w:widowControl/>
              <w:kinsoku/>
              <w:wordWrap/>
              <w:overflowPunct/>
              <w:topLinePunct w:val="0"/>
              <w:autoSpaceDE/>
              <w:autoSpaceDN/>
              <w:bidi w:val="0"/>
              <w:adjustRightInd w:val="0"/>
              <w:spacing w:line="360" w:lineRule="auto"/>
              <w:ind w:firstLine="0" w:firstLine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rPr>
              <w:t>类似业绩</w:t>
            </w:r>
          </w:p>
        </w:tc>
        <w:tc>
          <w:tcPr>
            <w:tcW w:w="6768" w:type="dxa"/>
            <w:shd w:val="clear" w:color="auto" w:fill="auto"/>
            <w:noWrap w:val="0"/>
            <w:vAlign w:val="center"/>
          </w:tcPr>
          <w:p w14:paraId="41F913A3">
            <w:pPr>
              <w:keepNext w:val="0"/>
              <w:keepLines w:val="0"/>
              <w:pageBreakBefore w:val="0"/>
              <w:kinsoku/>
              <w:wordWrap/>
              <w:overflowPunct/>
              <w:topLinePunct w:val="0"/>
              <w:autoSpaceDE/>
              <w:autoSpaceDN/>
              <w:bidi w:val="0"/>
              <w:adjustRightInd w:val="0"/>
              <w:spacing w:line="360" w:lineRule="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rPr>
              <w:t>投标人提供自2022年1月1日以来（以合同签订时间为准）类似项目成功实施案例的，每提供一个案例得</w:t>
            </w:r>
            <w:r>
              <w:rPr>
                <w:rFonts w:hint="eastAsia" w:ascii="仿宋" w:hAnsi="仿宋" w:eastAsia="仿宋" w:cs="仿宋"/>
                <w:color w:val="auto"/>
                <w:sz w:val="24"/>
                <w:szCs w:val="24"/>
                <w:highlight w:val="none"/>
                <w:shd w:val="clear" w:color="auto" w:fill="auto"/>
                <w:lang w:val="en-US" w:eastAsia="zh-CN"/>
              </w:rPr>
              <w:t>1</w:t>
            </w:r>
            <w:r>
              <w:rPr>
                <w:rFonts w:hint="eastAsia" w:ascii="仿宋" w:hAnsi="仿宋" w:eastAsia="仿宋" w:cs="仿宋"/>
                <w:color w:val="auto"/>
                <w:sz w:val="24"/>
                <w:szCs w:val="24"/>
                <w:highlight w:val="none"/>
                <w:shd w:val="clear" w:color="auto" w:fill="auto"/>
              </w:rPr>
              <w:t>分</w:t>
            </w:r>
            <w:r>
              <w:rPr>
                <w:rFonts w:hint="eastAsia" w:ascii="仿宋" w:hAnsi="仿宋" w:eastAsia="仿宋" w:cs="仿宋"/>
                <w:color w:val="auto"/>
                <w:sz w:val="24"/>
                <w:szCs w:val="24"/>
                <w:highlight w:val="none"/>
              </w:rPr>
              <w:t>，最高得</w:t>
            </w:r>
            <w:r>
              <w:rPr>
                <w:rFonts w:hint="eastAsia" w:ascii="仿宋" w:hAnsi="仿宋" w:eastAsia="仿宋" w:cs="仿宋"/>
                <w:color w:val="auto"/>
                <w:sz w:val="24"/>
                <w:szCs w:val="24"/>
                <w:highlight w:val="none"/>
                <w:shd w:val="clear" w:color="auto" w:fill="auto"/>
                <w:lang w:val="en-US" w:eastAsia="zh-CN"/>
              </w:rPr>
              <w:t>3</w:t>
            </w:r>
            <w:r>
              <w:rPr>
                <w:rFonts w:hint="eastAsia" w:ascii="仿宋" w:hAnsi="仿宋" w:eastAsia="仿宋" w:cs="仿宋"/>
                <w:color w:val="auto"/>
                <w:sz w:val="24"/>
                <w:szCs w:val="24"/>
                <w:highlight w:val="none"/>
                <w:shd w:val="clear" w:color="auto" w:fill="auto"/>
              </w:rPr>
              <w:t>分</w:t>
            </w:r>
            <w:r>
              <w:rPr>
                <w:rFonts w:hint="eastAsia" w:ascii="仿宋" w:hAnsi="仿宋" w:eastAsia="仿宋" w:cs="仿宋"/>
                <w:color w:val="auto"/>
                <w:sz w:val="24"/>
                <w:szCs w:val="24"/>
                <w:highlight w:val="none"/>
              </w:rPr>
              <w:t>。（提供</w:t>
            </w:r>
            <w:r>
              <w:rPr>
                <w:rFonts w:hint="eastAsia" w:ascii="仿宋" w:hAnsi="仿宋" w:eastAsia="仿宋" w:cs="仿宋"/>
                <w:color w:val="auto"/>
                <w:sz w:val="24"/>
                <w:szCs w:val="24"/>
                <w:highlight w:val="none"/>
                <w:lang w:val="zh-CN"/>
              </w:rPr>
              <w:t>合同、</w:t>
            </w:r>
            <w:r>
              <w:rPr>
                <w:rFonts w:hint="eastAsia" w:ascii="仿宋" w:hAnsi="仿宋" w:eastAsia="仿宋" w:cs="仿宋"/>
                <w:color w:val="auto"/>
                <w:sz w:val="24"/>
                <w:szCs w:val="24"/>
                <w:highlight w:val="none"/>
              </w:rPr>
              <w:t>中标通知书扫描</w:t>
            </w:r>
            <w:r>
              <w:rPr>
                <w:rFonts w:hint="eastAsia" w:ascii="仿宋" w:hAnsi="仿宋" w:eastAsia="仿宋" w:cs="仿宋"/>
                <w:color w:val="auto"/>
                <w:sz w:val="24"/>
                <w:szCs w:val="24"/>
                <w:highlight w:val="none"/>
                <w:lang w:val="zh-CN"/>
              </w:rPr>
              <w:t>件</w:t>
            </w:r>
            <w:r>
              <w:rPr>
                <w:rFonts w:hint="eastAsia" w:ascii="仿宋" w:hAnsi="仿宋" w:eastAsia="仿宋" w:cs="仿宋"/>
                <w:color w:val="auto"/>
                <w:sz w:val="24"/>
                <w:szCs w:val="24"/>
                <w:highlight w:val="none"/>
                <w:lang w:val="en-US" w:eastAsia="zh-CN"/>
              </w:rPr>
              <w:t>及网站截图</w:t>
            </w:r>
            <w:r>
              <w:rPr>
                <w:rFonts w:hint="eastAsia" w:ascii="仿宋" w:hAnsi="仿宋" w:eastAsia="仿宋" w:cs="仿宋"/>
                <w:color w:val="auto"/>
                <w:sz w:val="24"/>
                <w:szCs w:val="24"/>
                <w:highlight w:val="none"/>
                <w:lang w:val="zh-CN"/>
              </w:rPr>
              <w:t>并</w:t>
            </w:r>
            <w:r>
              <w:rPr>
                <w:rFonts w:hint="eastAsia" w:ascii="仿宋" w:hAnsi="仿宋" w:eastAsia="仿宋" w:cs="仿宋"/>
                <w:color w:val="auto"/>
                <w:sz w:val="24"/>
                <w:szCs w:val="24"/>
                <w:highlight w:val="none"/>
              </w:rPr>
              <w:t>加盖CA签章</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缺一不得分。</w:t>
            </w:r>
            <w:r>
              <w:rPr>
                <w:rFonts w:hint="eastAsia" w:ascii="仿宋" w:hAnsi="仿宋" w:eastAsia="仿宋" w:cs="仿宋"/>
                <w:color w:val="auto"/>
                <w:sz w:val="24"/>
                <w:szCs w:val="24"/>
                <w:highlight w:val="none"/>
              </w:rPr>
              <w:t>）</w:t>
            </w:r>
          </w:p>
        </w:tc>
        <w:tc>
          <w:tcPr>
            <w:tcW w:w="780" w:type="dxa"/>
            <w:shd w:val="clear" w:color="auto" w:fill="auto"/>
            <w:noWrap w:val="0"/>
            <w:vAlign w:val="center"/>
          </w:tcPr>
          <w:p w14:paraId="5129E76A">
            <w:pPr>
              <w:keepNext w:val="0"/>
              <w:keepLines w:val="0"/>
              <w:pageBreakBefore w:val="0"/>
              <w:kinsoku/>
              <w:wordWrap/>
              <w:overflowPunct/>
              <w:topLinePunct w:val="0"/>
              <w:autoSpaceDE/>
              <w:autoSpaceDN/>
              <w:bidi w:val="0"/>
              <w:adjustRightInd w:val="0"/>
              <w:spacing w:line="360" w:lineRule="auto"/>
              <w:jc w:val="center"/>
              <w:rPr>
                <w:rFonts w:hint="eastAsia" w:ascii="仿宋" w:hAnsi="仿宋" w:eastAsia="宋体" w:cs="仿宋"/>
                <w:color w:val="auto"/>
                <w:kern w:val="0"/>
                <w:sz w:val="24"/>
                <w:szCs w:val="24"/>
                <w:highlight w:val="none"/>
                <w:lang w:val="en-US" w:eastAsia="zh-CN" w:bidi="ar-SA"/>
              </w:rPr>
            </w:pPr>
            <w:r>
              <w:rPr>
                <w:rFonts w:hint="eastAsia" w:ascii="仿宋" w:hAnsi="仿宋" w:eastAsia="仿宋" w:cs="仿宋"/>
                <w:color w:val="auto"/>
                <w:sz w:val="24"/>
                <w:szCs w:val="24"/>
                <w:highlight w:val="none"/>
                <w:shd w:val="clear" w:color="auto" w:fill="auto"/>
                <w:lang w:val="en-US" w:eastAsia="zh-CN"/>
              </w:rPr>
              <w:t>3</w:t>
            </w:r>
            <w:r>
              <w:rPr>
                <w:rFonts w:hint="eastAsia" w:ascii="仿宋" w:hAnsi="仿宋" w:eastAsia="仿宋" w:cs="仿宋"/>
                <w:color w:val="auto"/>
                <w:sz w:val="24"/>
                <w:szCs w:val="24"/>
                <w:highlight w:val="none"/>
                <w:shd w:val="clear" w:color="auto" w:fill="auto"/>
              </w:rPr>
              <w:t>分</w:t>
            </w:r>
          </w:p>
        </w:tc>
      </w:tr>
      <w:tr w14:paraId="7D407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4" w:hRule="atLeast"/>
          <w:jc w:val="center"/>
        </w:trPr>
        <w:tc>
          <w:tcPr>
            <w:tcW w:w="857" w:type="dxa"/>
            <w:shd w:val="clear" w:color="auto" w:fill="auto"/>
            <w:noWrap w:val="0"/>
            <w:vAlign w:val="center"/>
          </w:tcPr>
          <w:p w14:paraId="06452ECE">
            <w:pPr>
              <w:keepNext w:val="0"/>
              <w:keepLines w:val="0"/>
              <w:pageBreakBefore w:val="0"/>
              <w:widowControl/>
              <w:kinsoku/>
              <w:wordWrap/>
              <w:overflowPunct/>
              <w:topLinePunct w:val="0"/>
              <w:autoSpaceDE/>
              <w:autoSpaceDN/>
              <w:bidi w:val="0"/>
              <w:adjustRightInd w:val="0"/>
              <w:spacing w:line="360" w:lineRule="auto"/>
              <w:ind w:firstLine="0" w:firstLine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3</w:t>
            </w:r>
          </w:p>
        </w:tc>
        <w:tc>
          <w:tcPr>
            <w:tcW w:w="1296" w:type="dxa"/>
            <w:shd w:val="clear" w:color="auto" w:fill="auto"/>
            <w:noWrap w:val="0"/>
            <w:vAlign w:val="center"/>
          </w:tcPr>
          <w:p w14:paraId="4E390C90">
            <w:pPr>
              <w:keepNext w:val="0"/>
              <w:keepLines w:val="0"/>
              <w:pageBreakBefore w:val="0"/>
              <w:widowControl/>
              <w:kinsoku/>
              <w:wordWrap/>
              <w:overflowPunct/>
              <w:topLinePunct w:val="0"/>
              <w:autoSpaceDE/>
              <w:autoSpaceDN/>
              <w:bidi w:val="0"/>
              <w:adjustRightInd w:val="0"/>
              <w:spacing w:line="360" w:lineRule="auto"/>
              <w:ind w:firstLine="0" w:firstLine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人员技术力量配置</w:t>
            </w:r>
          </w:p>
        </w:tc>
        <w:tc>
          <w:tcPr>
            <w:tcW w:w="6768" w:type="dxa"/>
            <w:shd w:val="clear" w:color="auto" w:fill="auto"/>
            <w:noWrap w:val="0"/>
            <w:vAlign w:val="center"/>
          </w:tcPr>
          <w:p w14:paraId="2D3F6ADE">
            <w:pPr>
              <w:keepNext w:val="0"/>
              <w:keepLines w:val="0"/>
              <w:pageBreakBefore w:val="0"/>
              <w:widowControl/>
              <w:kinsoku/>
              <w:wordWrap/>
              <w:overflowPunct/>
              <w:topLinePunct w:val="0"/>
              <w:autoSpaceDE/>
              <w:autoSpaceDN/>
              <w:bidi w:val="0"/>
              <w:adjustRightInd w:val="0"/>
              <w:spacing w:line="360" w:lineRule="auto"/>
              <w:ind w:firstLine="0" w:firstLineChars="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1、项目负责人具有信息系统项目管理师、网络工程师、信息通信技术高级工程师证书，每有1个得1分，最高得</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分。</w:t>
            </w:r>
          </w:p>
          <w:p w14:paraId="07BB5A21">
            <w:pPr>
              <w:keepNext w:val="0"/>
              <w:keepLines w:val="0"/>
              <w:pageBreakBefore w:val="0"/>
              <w:widowControl/>
              <w:kinsoku/>
              <w:wordWrap/>
              <w:overflowPunct/>
              <w:topLinePunct w:val="0"/>
              <w:autoSpaceDE/>
              <w:autoSpaceDN/>
              <w:bidi w:val="0"/>
              <w:adjustRightInd w:val="0"/>
              <w:spacing w:line="360" w:lineRule="auto"/>
              <w:ind w:firstLine="0" w:firstLineChars="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2、项目技术负责人具有信息系统项目管理师、系统集成项目管理工程师、信息安全工程师，每有1个得1分，最高得</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分。</w:t>
            </w:r>
          </w:p>
          <w:p w14:paraId="085F5941">
            <w:pPr>
              <w:keepNext w:val="0"/>
              <w:keepLines w:val="0"/>
              <w:pageBreakBefore w:val="0"/>
              <w:widowControl/>
              <w:kinsoku/>
              <w:wordWrap/>
              <w:overflowPunct/>
              <w:topLinePunct w:val="0"/>
              <w:autoSpaceDE/>
              <w:autoSpaceDN/>
              <w:bidi w:val="0"/>
              <w:adjustRightInd w:val="0"/>
              <w:spacing w:line="360" w:lineRule="auto"/>
              <w:ind w:firstLine="0" w:firstLineChars="0"/>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（以上须提供相关人员证书扫描件及近三个月本单位在职社保缴纳证明并加盖CA签章）</w:t>
            </w:r>
            <w:r>
              <w:rPr>
                <w:rFonts w:hint="eastAsia" w:ascii="仿宋" w:hAnsi="仿宋" w:eastAsia="仿宋" w:cs="仿宋"/>
                <w:color w:val="auto"/>
                <w:sz w:val="24"/>
                <w:szCs w:val="24"/>
                <w:highlight w:val="none"/>
              </w:rPr>
              <w:t>。</w:t>
            </w:r>
          </w:p>
        </w:tc>
        <w:tc>
          <w:tcPr>
            <w:tcW w:w="780" w:type="dxa"/>
            <w:shd w:val="clear" w:color="auto" w:fill="auto"/>
            <w:noWrap w:val="0"/>
            <w:vAlign w:val="center"/>
          </w:tcPr>
          <w:p w14:paraId="675E74D8">
            <w:pPr>
              <w:keepNext w:val="0"/>
              <w:keepLines w:val="0"/>
              <w:pageBreakBefore w:val="0"/>
              <w:widowControl/>
              <w:kinsoku/>
              <w:wordWrap/>
              <w:overflowPunct/>
              <w:topLinePunct w:val="0"/>
              <w:autoSpaceDE/>
              <w:autoSpaceDN/>
              <w:bidi w:val="0"/>
              <w:adjustRightInd w:val="0"/>
              <w:spacing w:line="360" w:lineRule="auto"/>
              <w:ind w:firstLine="0" w:firstLineChars="0"/>
              <w:jc w:val="center"/>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6分</w:t>
            </w:r>
          </w:p>
        </w:tc>
      </w:tr>
      <w:tr w14:paraId="20B1E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34" w:hRule="atLeast"/>
          <w:jc w:val="center"/>
        </w:trPr>
        <w:tc>
          <w:tcPr>
            <w:tcW w:w="857" w:type="dxa"/>
            <w:shd w:val="clear" w:color="auto" w:fill="auto"/>
            <w:noWrap w:val="0"/>
            <w:vAlign w:val="center"/>
          </w:tcPr>
          <w:p w14:paraId="1E74006A">
            <w:pPr>
              <w:keepNext w:val="0"/>
              <w:keepLines w:val="0"/>
              <w:pageBreakBefore w:val="0"/>
              <w:widowControl/>
              <w:kinsoku/>
              <w:wordWrap/>
              <w:overflowPunct/>
              <w:topLinePunct w:val="0"/>
              <w:autoSpaceDE/>
              <w:autoSpaceDN/>
              <w:bidi w:val="0"/>
              <w:adjustRightInd w:val="0"/>
              <w:spacing w:line="360" w:lineRule="auto"/>
              <w:ind w:firstLine="0" w:firstLine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4</w:t>
            </w:r>
          </w:p>
        </w:tc>
        <w:tc>
          <w:tcPr>
            <w:tcW w:w="1296" w:type="dxa"/>
            <w:shd w:val="clear" w:color="auto" w:fill="auto"/>
            <w:noWrap w:val="0"/>
            <w:vAlign w:val="center"/>
          </w:tcPr>
          <w:p w14:paraId="43A92BD3">
            <w:pPr>
              <w:keepNext w:val="0"/>
              <w:keepLines w:val="0"/>
              <w:pageBreakBefore w:val="0"/>
              <w:widowControl/>
              <w:kinsoku/>
              <w:wordWrap/>
              <w:overflowPunct/>
              <w:topLinePunct w:val="0"/>
              <w:autoSpaceDE/>
              <w:autoSpaceDN/>
              <w:bidi w:val="0"/>
              <w:adjustRightInd w:val="0"/>
              <w:spacing w:line="360" w:lineRule="auto"/>
              <w:ind w:firstLine="0" w:firstLine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软件技术方案</w:t>
            </w:r>
          </w:p>
        </w:tc>
        <w:tc>
          <w:tcPr>
            <w:tcW w:w="6768" w:type="dxa"/>
            <w:shd w:val="clear" w:color="auto" w:fill="auto"/>
            <w:noWrap w:val="0"/>
            <w:vAlign w:val="center"/>
          </w:tcPr>
          <w:p w14:paraId="0CFB34ED">
            <w:pPr>
              <w:keepNext w:val="0"/>
              <w:keepLines w:val="0"/>
              <w:pageBreakBefore w:val="0"/>
              <w:widowControl/>
              <w:kinsoku/>
              <w:wordWrap/>
              <w:overflowPunct/>
              <w:topLinePunct w:val="0"/>
              <w:autoSpaceDE/>
              <w:autoSpaceDN/>
              <w:bidi w:val="0"/>
              <w:adjustRightInd w:val="0"/>
              <w:spacing w:line="360" w:lineRule="auto"/>
              <w:ind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根据投标人整体技术方案中设备选型科学合理，所采用技术较为先进，功能完善，性能稳定。</w:t>
            </w:r>
          </w:p>
          <w:p w14:paraId="34414FFF">
            <w:pPr>
              <w:keepNext w:val="0"/>
              <w:keepLines w:val="0"/>
              <w:pageBreakBefore w:val="0"/>
              <w:widowControl/>
              <w:numPr>
                <w:ilvl w:val="0"/>
                <w:numId w:val="1"/>
              </w:numPr>
              <w:kinsoku/>
              <w:wordWrap/>
              <w:overflowPunct/>
              <w:topLinePunct w:val="0"/>
              <w:autoSpaceDE/>
              <w:autoSpaceDN/>
              <w:bidi w:val="0"/>
              <w:adjustRightInd w:val="0"/>
              <w:snapToGrid w:val="0"/>
              <w:spacing w:line="360" w:lineRule="auto"/>
              <w:ind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根据投</w:t>
            </w:r>
            <w:r>
              <w:rPr>
                <w:rFonts w:hint="eastAsia" w:ascii="仿宋" w:hAnsi="仿宋" w:eastAsia="仿宋" w:cs="仿宋"/>
                <w:color w:val="auto"/>
                <w:kern w:val="0"/>
                <w:sz w:val="24"/>
                <w:szCs w:val="24"/>
                <w:highlight w:val="none"/>
              </w:rPr>
              <w:t>标人编制的总体建设思路方案进行评分。</w:t>
            </w:r>
            <w:r>
              <w:rPr>
                <w:rFonts w:hint="eastAsia" w:ascii="仿宋" w:hAnsi="仿宋" w:eastAsia="仿宋" w:cs="仿宋"/>
                <w:bCs/>
                <w:color w:val="auto"/>
                <w:sz w:val="24"/>
                <w:szCs w:val="24"/>
                <w:highlight w:val="none"/>
                <w:lang w:eastAsia="zh-CN"/>
              </w:rPr>
              <w:t>（评分分值范围：</w:t>
            </w:r>
            <w:r>
              <w:rPr>
                <w:rFonts w:hint="eastAsia" w:ascii="仿宋" w:hAnsi="仿宋" w:eastAsia="仿宋" w:cs="仿宋"/>
                <w:bCs/>
                <w:color w:val="auto"/>
                <w:sz w:val="24"/>
                <w:szCs w:val="24"/>
                <w:highlight w:val="none"/>
                <w:lang w:val="en-US" w:eastAsia="zh-CN"/>
              </w:rPr>
              <w:t>2，1.8，</w:t>
            </w:r>
            <w:r>
              <w:rPr>
                <w:rFonts w:hint="eastAsia" w:ascii="仿宋" w:hAnsi="仿宋" w:eastAsia="仿宋" w:cs="仿宋"/>
                <w:bCs/>
                <w:color w:val="auto"/>
                <w:sz w:val="24"/>
                <w:szCs w:val="24"/>
                <w:highlight w:val="none"/>
                <w:lang w:eastAsia="zh-CN"/>
              </w:rPr>
              <w:t>…,0，</w:t>
            </w:r>
            <w:r>
              <w:rPr>
                <w:rFonts w:hint="eastAsia" w:ascii="仿宋" w:hAnsi="仿宋" w:eastAsia="仿宋" w:cs="仿宋"/>
                <w:bCs/>
                <w:color w:val="auto"/>
                <w:sz w:val="24"/>
                <w:szCs w:val="24"/>
                <w:highlight w:val="none"/>
                <w:lang w:val="en-US" w:eastAsia="zh-CN"/>
              </w:rPr>
              <w:t>步幅0.2</w:t>
            </w:r>
            <w:r>
              <w:rPr>
                <w:rFonts w:hint="eastAsia" w:ascii="仿宋" w:hAnsi="仿宋" w:eastAsia="仿宋" w:cs="仿宋"/>
                <w:bCs/>
                <w:color w:val="auto"/>
                <w:sz w:val="24"/>
                <w:szCs w:val="24"/>
                <w:highlight w:val="none"/>
                <w:lang w:eastAsia="zh-CN"/>
              </w:rPr>
              <w:t>）</w:t>
            </w:r>
          </w:p>
          <w:p w14:paraId="578F27FF">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根据投标人编制的业务系统的</w:t>
            </w:r>
            <w:r>
              <w:rPr>
                <w:rFonts w:hint="eastAsia" w:ascii="仿宋" w:hAnsi="仿宋" w:eastAsia="仿宋" w:cs="仿宋"/>
                <w:color w:val="auto"/>
                <w:kern w:val="0"/>
                <w:sz w:val="24"/>
                <w:szCs w:val="24"/>
                <w:highlight w:val="none"/>
                <w:lang w:eastAsia="zh-CN"/>
              </w:rPr>
              <w:t>信创</w:t>
            </w:r>
            <w:r>
              <w:rPr>
                <w:rFonts w:hint="eastAsia" w:ascii="仿宋" w:hAnsi="仿宋" w:eastAsia="仿宋" w:cs="仿宋"/>
                <w:color w:val="auto"/>
                <w:kern w:val="0"/>
                <w:sz w:val="24"/>
                <w:szCs w:val="24"/>
                <w:highlight w:val="none"/>
              </w:rPr>
              <w:t>改造方案进行评分。</w:t>
            </w:r>
            <w:r>
              <w:rPr>
                <w:rFonts w:hint="eastAsia" w:ascii="仿宋" w:hAnsi="仿宋" w:eastAsia="仿宋" w:cs="仿宋"/>
                <w:bCs/>
                <w:color w:val="auto"/>
                <w:sz w:val="24"/>
                <w:szCs w:val="24"/>
                <w:highlight w:val="none"/>
                <w:lang w:eastAsia="zh-CN"/>
              </w:rPr>
              <w:t>（评分分值范围：</w:t>
            </w:r>
            <w:r>
              <w:rPr>
                <w:rFonts w:hint="eastAsia" w:ascii="仿宋" w:hAnsi="仿宋" w:eastAsia="仿宋" w:cs="仿宋"/>
                <w:bCs/>
                <w:color w:val="auto"/>
                <w:sz w:val="24"/>
                <w:szCs w:val="24"/>
                <w:highlight w:val="none"/>
                <w:lang w:val="en-US" w:eastAsia="zh-CN"/>
              </w:rPr>
              <w:t>3，2.8，</w:t>
            </w:r>
            <w:r>
              <w:rPr>
                <w:rFonts w:hint="eastAsia" w:ascii="仿宋" w:hAnsi="仿宋" w:eastAsia="仿宋" w:cs="仿宋"/>
                <w:bCs/>
                <w:color w:val="auto"/>
                <w:sz w:val="24"/>
                <w:szCs w:val="24"/>
                <w:highlight w:val="none"/>
                <w:lang w:eastAsia="zh-CN"/>
              </w:rPr>
              <w:t>…,0，</w:t>
            </w:r>
            <w:r>
              <w:rPr>
                <w:rFonts w:hint="eastAsia" w:ascii="仿宋" w:hAnsi="仿宋" w:eastAsia="仿宋" w:cs="仿宋"/>
                <w:bCs/>
                <w:color w:val="auto"/>
                <w:sz w:val="24"/>
                <w:szCs w:val="24"/>
                <w:highlight w:val="none"/>
                <w:lang w:val="en-US" w:eastAsia="zh-CN"/>
              </w:rPr>
              <w:t>步幅0.2</w:t>
            </w:r>
            <w:r>
              <w:rPr>
                <w:rFonts w:hint="eastAsia" w:ascii="仿宋" w:hAnsi="仿宋" w:eastAsia="仿宋" w:cs="仿宋"/>
                <w:bCs/>
                <w:color w:val="auto"/>
                <w:sz w:val="24"/>
                <w:szCs w:val="24"/>
                <w:highlight w:val="none"/>
                <w:lang w:eastAsia="zh-CN"/>
              </w:rPr>
              <w:t>）</w:t>
            </w:r>
          </w:p>
          <w:p w14:paraId="2F2E4407">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根据投标人编制的功能优化方案进行评分。</w:t>
            </w:r>
            <w:r>
              <w:rPr>
                <w:rFonts w:hint="eastAsia" w:ascii="仿宋" w:hAnsi="仿宋" w:eastAsia="仿宋" w:cs="仿宋"/>
                <w:bCs/>
                <w:color w:val="auto"/>
                <w:sz w:val="24"/>
                <w:szCs w:val="24"/>
                <w:highlight w:val="none"/>
                <w:lang w:eastAsia="zh-CN"/>
              </w:rPr>
              <w:t>（评分分值范围：</w:t>
            </w:r>
            <w:r>
              <w:rPr>
                <w:rFonts w:hint="eastAsia" w:ascii="仿宋" w:hAnsi="仿宋" w:eastAsia="仿宋" w:cs="仿宋"/>
                <w:bCs/>
                <w:color w:val="auto"/>
                <w:sz w:val="24"/>
                <w:szCs w:val="24"/>
                <w:highlight w:val="none"/>
                <w:lang w:val="en-US" w:eastAsia="zh-CN"/>
              </w:rPr>
              <w:t>3，2.8，</w:t>
            </w:r>
            <w:r>
              <w:rPr>
                <w:rFonts w:hint="eastAsia" w:ascii="仿宋" w:hAnsi="仿宋" w:eastAsia="仿宋" w:cs="仿宋"/>
                <w:bCs/>
                <w:color w:val="auto"/>
                <w:sz w:val="24"/>
                <w:szCs w:val="24"/>
                <w:highlight w:val="none"/>
                <w:lang w:eastAsia="zh-CN"/>
              </w:rPr>
              <w:t>…,0，</w:t>
            </w:r>
            <w:r>
              <w:rPr>
                <w:rFonts w:hint="eastAsia" w:ascii="仿宋" w:hAnsi="仿宋" w:eastAsia="仿宋" w:cs="仿宋"/>
                <w:bCs/>
                <w:color w:val="auto"/>
                <w:sz w:val="24"/>
                <w:szCs w:val="24"/>
                <w:highlight w:val="none"/>
                <w:lang w:val="en-US" w:eastAsia="zh-CN"/>
              </w:rPr>
              <w:t>步幅0.2</w:t>
            </w:r>
            <w:r>
              <w:rPr>
                <w:rFonts w:hint="eastAsia" w:ascii="仿宋" w:hAnsi="仿宋" w:eastAsia="仿宋" w:cs="仿宋"/>
                <w:bCs/>
                <w:color w:val="auto"/>
                <w:sz w:val="24"/>
                <w:szCs w:val="24"/>
                <w:highlight w:val="none"/>
                <w:lang w:eastAsia="zh-CN"/>
              </w:rPr>
              <w:t>）</w:t>
            </w:r>
          </w:p>
        </w:tc>
        <w:tc>
          <w:tcPr>
            <w:tcW w:w="780" w:type="dxa"/>
            <w:shd w:val="clear" w:color="auto" w:fill="auto"/>
            <w:noWrap w:val="0"/>
            <w:vAlign w:val="center"/>
          </w:tcPr>
          <w:p w14:paraId="20A8652C">
            <w:pPr>
              <w:keepNext w:val="0"/>
              <w:keepLines w:val="0"/>
              <w:pageBreakBefore w:val="0"/>
              <w:widowControl/>
              <w:kinsoku/>
              <w:wordWrap/>
              <w:overflowPunct/>
              <w:topLinePunct w:val="0"/>
              <w:autoSpaceDE/>
              <w:autoSpaceDN/>
              <w:bidi w:val="0"/>
              <w:adjustRightInd w:val="0"/>
              <w:spacing w:line="360" w:lineRule="auto"/>
              <w:ind w:firstLine="0" w:firstLineChars="0"/>
              <w:jc w:val="center"/>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8分</w:t>
            </w:r>
          </w:p>
        </w:tc>
      </w:tr>
      <w:tr w14:paraId="19BF8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34" w:hRule="atLeast"/>
          <w:jc w:val="center"/>
        </w:trPr>
        <w:tc>
          <w:tcPr>
            <w:tcW w:w="857" w:type="dxa"/>
            <w:shd w:val="clear" w:color="auto" w:fill="auto"/>
            <w:vAlign w:val="center"/>
          </w:tcPr>
          <w:p w14:paraId="00225E07">
            <w:pPr>
              <w:keepNext w:val="0"/>
              <w:keepLines w:val="0"/>
              <w:pageBreakBefore w:val="0"/>
              <w:widowControl/>
              <w:kinsoku/>
              <w:wordWrap/>
              <w:overflowPunct/>
              <w:topLinePunct w:val="0"/>
              <w:autoSpaceDE/>
              <w:autoSpaceDN/>
              <w:bidi w:val="0"/>
              <w:adjustRightInd w:val="0"/>
              <w:spacing w:line="360" w:lineRule="auto"/>
              <w:ind w:firstLine="0" w:firstLine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5</w:t>
            </w:r>
          </w:p>
        </w:tc>
        <w:tc>
          <w:tcPr>
            <w:tcW w:w="1296" w:type="dxa"/>
            <w:shd w:val="clear" w:color="auto" w:fill="auto"/>
            <w:vAlign w:val="center"/>
          </w:tcPr>
          <w:p w14:paraId="4ECF6064">
            <w:pPr>
              <w:keepNext w:val="0"/>
              <w:keepLines w:val="0"/>
              <w:pageBreakBefore w:val="0"/>
              <w:widowControl/>
              <w:kinsoku/>
              <w:wordWrap/>
              <w:overflowPunct/>
              <w:topLinePunct w:val="0"/>
              <w:autoSpaceDE/>
              <w:autoSpaceDN/>
              <w:bidi w:val="0"/>
              <w:adjustRightInd w:val="0"/>
              <w:spacing w:line="360" w:lineRule="auto"/>
              <w:ind w:firstLine="0" w:firstLine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系统迁移方案</w:t>
            </w:r>
          </w:p>
        </w:tc>
        <w:tc>
          <w:tcPr>
            <w:tcW w:w="6768" w:type="dxa"/>
            <w:shd w:val="clear" w:color="auto" w:fill="auto"/>
            <w:vAlign w:val="center"/>
          </w:tcPr>
          <w:p w14:paraId="2A648095">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根据投标人编制的应用、数据迁移方案进行评分。</w:t>
            </w:r>
            <w:r>
              <w:rPr>
                <w:rFonts w:hint="eastAsia" w:ascii="仿宋" w:hAnsi="仿宋" w:eastAsia="仿宋" w:cs="仿宋"/>
                <w:bCs/>
                <w:color w:val="auto"/>
                <w:sz w:val="24"/>
                <w:szCs w:val="24"/>
                <w:highlight w:val="none"/>
                <w:lang w:eastAsia="zh-CN"/>
              </w:rPr>
              <w:t>（评分分值范围：</w:t>
            </w:r>
            <w:r>
              <w:rPr>
                <w:rFonts w:hint="eastAsia" w:ascii="仿宋" w:hAnsi="仿宋" w:eastAsia="仿宋" w:cs="仿宋"/>
                <w:bCs/>
                <w:color w:val="auto"/>
                <w:sz w:val="24"/>
                <w:szCs w:val="24"/>
                <w:highlight w:val="none"/>
                <w:lang w:val="en-US" w:eastAsia="zh-CN"/>
              </w:rPr>
              <w:t>4，3.8，</w:t>
            </w:r>
            <w:r>
              <w:rPr>
                <w:rFonts w:hint="eastAsia" w:ascii="仿宋" w:hAnsi="仿宋" w:eastAsia="仿宋" w:cs="仿宋"/>
                <w:bCs/>
                <w:color w:val="auto"/>
                <w:sz w:val="24"/>
                <w:szCs w:val="24"/>
                <w:highlight w:val="none"/>
                <w:lang w:eastAsia="zh-CN"/>
              </w:rPr>
              <w:t>…,0，</w:t>
            </w:r>
            <w:r>
              <w:rPr>
                <w:rFonts w:hint="eastAsia" w:ascii="仿宋" w:hAnsi="仿宋" w:eastAsia="仿宋" w:cs="仿宋"/>
                <w:bCs/>
                <w:color w:val="auto"/>
                <w:sz w:val="24"/>
                <w:szCs w:val="24"/>
                <w:highlight w:val="none"/>
                <w:lang w:val="en-US" w:eastAsia="zh-CN"/>
              </w:rPr>
              <w:t>步幅0.2</w:t>
            </w:r>
            <w:r>
              <w:rPr>
                <w:rFonts w:hint="eastAsia" w:ascii="仿宋" w:hAnsi="仿宋" w:eastAsia="仿宋" w:cs="仿宋"/>
                <w:bCs/>
                <w:color w:val="auto"/>
                <w:sz w:val="24"/>
                <w:szCs w:val="24"/>
                <w:highlight w:val="none"/>
                <w:lang w:eastAsia="zh-CN"/>
              </w:rPr>
              <w:t>）</w:t>
            </w:r>
          </w:p>
        </w:tc>
        <w:tc>
          <w:tcPr>
            <w:tcW w:w="780" w:type="dxa"/>
            <w:shd w:val="clear" w:color="auto" w:fill="auto"/>
            <w:vAlign w:val="center"/>
          </w:tcPr>
          <w:p w14:paraId="6054FD8F">
            <w:pPr>
              <w:keepNext w:val="0"/>
              <w:keepLines w:val="0"/>
              <w:pageBreakBefore w:val="0"/>
              <w:widowControl/>
              <w:kinsoku/>
              <w:wordWrap/>
              <w:overflowPunct/>
              <w:topLinePunct w:val="0"/>
              <w:autoSpaceDE/>
              <w:autoSpaceDN/>
              <w:bidi w:val="0"/>
              <w:adjustRightInd w:val="0"/>
              <w:spacing w:line="360" w:lineRule="auto"/>
              <w:ind w:firstLine="0" w:firstLineChars="0"/>
              <w:jc w:val="center"/>
              <w:rPr>
                <w:rFonts w:hint="eastAsia" w:ascii="仿宋" w:hAnsi="仿宋" w:eastAsia="宋体" w:cs="仿宋"/>
                <w:color w:val="auto"/>
                <w:kern w:val="0"/>
                <w:sz w:val="24"/>
                <w:szCs w:val="24"/>
                <w:highlight w:val="none"/>
                <w:lang w:val="en-US" w:eastAsia="zh-CN" w:bidi="ar-SA"/>
              </w:rPr>
            </w:pPr>
            <w:r>
              <w:rPr>
                <w:rFonts w:hint="eastAsia" w:ascii="仿宋" w:hAnsi="仿宋" w:cs="仿宋"/>
                <w:color w:val="auto"/>
                <w:kern w:val="0"/>
                <w:sz w:val="24"/>
                <w:highlight w:val="none"/>
                <w:lang w:val="en-US" w:eastAsia="zh-CN"/>
              </w:rPr>
              <w:t>4</w:t>
            </w:r>
            <w:r>
              <w:rPr>
                <w:rFonts w:hint="eastAsia" w:ascii="仿宋" w:hAnsi="仿宋" w:eastAsia="宋体" w:cs="仿宋"/>
                <w:color w:val="auto"/>
                <w:kern w:val="0"/>
                <w:sz w:val="24"/>
                <w:highlight w:val="none"/>
              </w:rPr>
              <w:t>分</w:t>
            </w:r>
          </w:p>
        </w:tc>
      </w:tr>
      <w:tr w14:paraId="08A4B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34" w:hRule="atLeast"/>
          <w:jc w:val="center"/>
        </w:trPr>
        <w:tc>
          <w:tcPr>
            <w:tcW w:w="857" w:type="dxa"/>
            <w:shd w:val="clear" w:color="auto" w:fill="auto"/>
            <w:vAlign w:val="center"/>
          </w:tcPr>
          <w:p w14:paraId="7939FA96">
            <w:pPr>
              <w:keepNext w:val="0"/>
              <w:keepLines w:val="0"/>
              <w:pageBreakBefore w:val="0"/>
              <w:widowControl/>
              <w:kinsoku/>
              <w:wordWrap/>
              <w:overflowPunct/>
              <w:topLinePunct w:val="0"/>
              <w:autoSpaceDE/>
              <w:autoSpaceDN/>
              <w:bidi w:val="0"/>
              <w:adjustRightInd w:val="0"/>
              <w:spacing w:line="360" w:lineRule="auto"/>
              <w:ind w:firstLine="0" w:firstLine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6</w:t>
            </w:r>
          </w:p>
        </w:tc>
        <w:tc>
          <w:tcPr>
            <w:tcW w:w="1296" w:type="dxa"/>
            <w:shd w:val="clear" w:color="auto" w:fill="auto"/>
            <w:vAlign w:val="center"/>
          </w:tcPr>
          <w:p w14:paraId="0B058ADE">
            <w:pPr>
              <w:keepNext w:val="0"/>
              <w:keepLines w:val="0"/>
              <w:pageBreakBefore w:val="0"/>
              <w:widowControl/>
              <w:kinsoku/>
              <w:wordWrap/>
              <w:overflowPunct/>
              <w:topLinePunct w:val="0"/>
              <w:autoSpaceDE/>
              <w:autoSpaceDN/>
              <w:bidi w:val="0"/>
              <w:adjustRightInd w:val="0"/>
              <w:spacing w:line="360" w:lineRule="auto"/>
              <w:ind w:firstLine="0" w:firstLine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实施方案</w:t>
            </w:r>
          </w:p>
        </w:tc>
        <w:tc>
          <w:tcPr>
            <w:tcW w:w="6768" w:type="dxa"/>
            <w:shd w:val="clear" w:color="auto" w:fill="auto"/>
            <w:vAlign w:val="center"/>
          </w:tcPr>
          <w:p w14:paraId="61903FBB">
            <w:pPr>
              <w:keepNext w:val="0"/>
              <w:keepLines w:val="0"/>
              <w:pageBreakBefore w:val="0"/>
              <w:widowControl/>
              <w:kinsoku/>
              <w:wordWrap/>
              <w:overflowPunct/>
              <w:topLinePunct w:val="0"/>
              <w:autoSpaceDE/>
              <w:autoSpaceDN/>
              <w:bidi w:val="0"/>
              <w:adjustRightInd w:val="0"/>
              <w:spacing w:line="360" w:lineRule="auto"/>
              <w:ind w:firstLine="0" w:firstLineChars="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rPr>
              <w:t>根据投标人的项目编制实施方案，项目管理及施工方案的合理性、人员安排、进度计划、质量控制等方面进行评分。</w:t>
            </w:r>
            <w:r>
              <w:rPr>
                <w:rFonts w:hint="eastAsia" w:ascii="仿宋" w:hAnsi="仿宋" w:eastAsia="仿宋" w:cs="仿宋"/>
                <w:bCs/>
                <w:color w:val="auto"/>
                <w:sz w:val="24"/>
                <w:szCs w:val="24"/>
                <w:highlight w:val="none"/>
                <w:lang w:eastAsia="zh-CN"/>
              </w:rPr>
              <w:t>（评分分值范围：</w:t>
            </w:r>
            <w:r>
              <w:rPr>
                <w:rFonts w:hint="eastAsia" w:ascii="仿宋" w:hAnsi="仿宋" w:eastAsia="仿宋" w:cs="仿宋"/>
                <w:bCs/>
                <w:color w:val="auto"/>
                <w:sz w:val="24"/>
                <w:szCs w:val="24"/>
                <w:highlight w:val="none"/>
                <w:lang w:val="en-US" w:eastAsia="zh-CN"/>
              </w:rPr>
              <w:t>4，3.8，</w:t>
            </w:r>
            <w:r>
              <w:rPr>
                <w:rFonts w:hint="eastAsia" w:ascii="仿宋" w:hAnsi="仿宋" w:eastAsia="仿宋" w:cs="仿宋"/>
                <w:bCs/>
                <w:color w:val="auto"/>
                <w:sz w:val="24"/>
                <w:szCs w:val="24"/>
                <w:highlight w:val="none"/>
                <w:lang w:eastAsia="zh-CN"/>
              </w:rPr>
              <w:t>…,0，</w:t>
            </w:r>
            <w:r>
              <w:rPr>
                <w:rFonts w:hint="eastAsia" w:ascii="仿宋" w:hAnsi="仿宋" w:eastAsia="仿宋" w:cs="仿宋"/>
                <w:bCs/>
                <w:color w:val="auto"/>
                <w:sz w:val="24"/>
                <w:szCs w:val="24"/>
                <w:highlight w:val="none"/>
                <w:lang w:val="en-US" w:eastAsia="zh-CN"/>
              </w:rPr>
              <w:t>步幅0.2</w:t>
            </w:r>
            <w:r>
              <w:rPr>
                <w:rFonts w:hint="eastAsia" w:ascii="仿宋" w:hAnsi="仿宋" w:eastAsia="仿宋" w:cs="仿宋"/>
                <w:bCs/>
                <w:color w:val="auto"/>
                <w:sz w:val="24"/>
                <w:szCs w:val="24"/>
                <w:highlight w:val="none"/>
                <w:lang w:eastAsia="zh-CN"/>
              </w:rPr>
              <w:t>）</w:t>
            </w:r>
          </w:p>
        </w:tc>
        <w:tc>
          <w:tcPr>
            <w:tcW w:w="780" w:type="dxa"/>
            <w:shd w:val="clear" w:color="auto" w:fill="auto"/>
            <w:vAlign w:val="center"/>
          </w:tcPr>
          <w:p w14:paraId="51FF8E2D">
            <w:pPr>
              <w:keepNext w:val="0"/>
              <w:keepLines w:val="0"/>
              <w:pageBreakBefore w:val="0"/>
              <w:widowControl/>
              <w:kinsoku/>
              <w:wordWrap/>
              <w:overflowPunct/>
              <w:topLinePunct w:val="0"/>
              <w:autoSpaceDE/>
              <w:autoSpaceDN/>
              <w:bidi w:val="0"/>
              <w:adjustRightInd w:val="0"/>
              <w:spacing w:line="360" w:lineRule="auto"/>
              <w:ind w:firstLine="0" w:firstLineChars="0"/>
              <w:jc w:val="center"/>
              <w:rPr>
                <w:rFonts w:hint="eastAsia" w:ascii="仿宋" w:hAnsi="仿宋" w:eastAsia="宋体" w:cs="仿宋"/>
                <w:color w:val="auto"/>
                <w:kern w:val="0"/>
                <w:sz w:val="24"/>
                <w:szCs w:val="24"/>
                <w:highlight w:val="none"/>
                <w:lang w:val="en-US" w:eastAsia="zh-CN" w:bidi="ar-SA"/>
              </w:rPr>
            </w:pPr>
            <w:r>
              <w:rPr>
                <w:rFonts w:hint="eastAsia" w:ascii="仿宋" w:hAnsi="仿宋" w:cs="仿宋"/>
                <w:color w:val="auto"/>
                <w:kern w:val="0"/>
                <w:sz w:val="24"/>
                <w:highlight w:val="none"/>
                <w:lang w:val="en-US" w:eastAsia="zh-CN"/>
              </w:rPr>
              <w:t>4</w:t>
            </w:r>
            <w:r>
              <w:rPr>
                <w:rFonts w:hint="eastAsia" w:ascii="仿宋" w:hAnsi="仿宋" w:eastAsia="宋体" w:cs="仿宋"/>
                <w:color w:val="auto"/>
                <w:kern w:val="0"/>
                <w:sz w:val="24"/>
                <w:highlight w:val="none"/>
              </w:rPr>
              <w:t>分</w:t>
            </w:r>
          </w:p>
        </w:tc>
      </w:tr>
      <w:tr w14:paraId="61D0B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34" w:hRule="atLeast"/>
          <w:jc w:val="center"/>
        </w:trPr>
        <w:tc>
          <w:tcPr>
            <w:tcW w:w="857" w:type="dxa"/>
            <w:shd w:val="clear" w:color="auto" w:fill="auto"/>
            <w:vAlign w:val="center"/>
          </w:tcPr>
          <w:p w14:paraId="6AEFCF7C">
            <w:pPr>
              <w:keepNext w:val="0"/>
              <w:keepLines w:val="0"/>
              <w:pageBreakBefore w:val="0"/>
              <w:widowControl/>
              <w:kinsoku/>
              <w:wordWrap/>
              <w:overflowPunct/>
              <w:topLinePunct w:val="0"/>
              <w:autoSpaceDE/>
              <w:autoSpaceDN/>
              <w:bidi w:val="0"/>
              <w:adjustRightInd w:val="0"/>
              <w:spacing w:line="360" w:lineRule="auto"/>
              <w:ind w:firstLine="0" w:firstLine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7</w:t>
            </w:r>
          </w:p>
        </w:tc>
        <w:tc>
          <w:tcPr>
            <w:tcW w:w="1296" w:type="dxa"/>
            <w:shd w:val="clear" w:color="auto" w:fill="auto"/>
            <w:vAlign w:val="center"/>
          </w:tcPr>
          <w:p w14:paraId="585810B6">
            <w:pPr>
              <w:keepNext w:val="0"/>
              <w:keepLines w:val="0"/>
              <w:pageBreakBefore w:val="0"/>
              <w:widowControl/>
              <w:kinsoku/>
              <w:wordWrap/>
              <w:overflowPunct/>
              <w:topLinePunct w:val="0"/>
              <w:autoSpaceDE/>
              <w:autoSpaceDN/>
              <w:bidi w:val="0"/>
              <w:adjustRightInd w:val="0"/>
              <w:spacing w:line="360" w:lineRule="auto"/>
              <w:ind w:firstLine="0" w:firstLine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培训方案</w:t>
            </w:r>
          </w:p>
        </w:tc>
        <w:tc>
          <w:tcPr>
            <w:tcW w:w="6768" w:type="dxa"/>
            <w:shd w:val="clear" w:color="auto" w:fill="auto"/>
            <w:vAlign w:val="center"/>
          </w:tcPr>
          <w:p w14:paraId="6CA41D6C">
            <w:pPr>
              <w:keepNext w:val="0"/>
              <w:keepLines w:val="0"/>
              <w:pageBreakBefore w:val="0"/>
              <w:widowControl/>
              <w:kinsoku/>
              <w:wordWrap/>
              <w:overflowPunct/>
              <w:topLinePunct w:val="0"/>
              <w:autoSpaceDE/>
              <w:autoSpaceDN/>
              <w:bidi w:val="0"/>
              <w:adjustRightInd w:val="0"/>
              <w:spacing w:line="360" w:lineRule="auto"/>
              <w:ind w:firstLine="0" w:firstLineChars="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根据项目实际需求，是否提供完整、可行的培训计划和培训实施方案，明确具体培训与实施计划（含对相关的系统维护管理人员、业务管理人员和业务经办人员等的培训），是否配备专业的培训队伍</w:t>
            </w:r>
            <w:r>
              <w:rPr>
                <w:rFonts w:hint="eastAsia" w:ascii="仿宋" w:hAnsi="仿宋" w:eastAsia="仿宋" w:cs="仿宋"/>
                <w:color w:val="auto"/>
                <w:sz w:val="24"/>
                <w:szCs w:val="24"/>
                <w:highlight w:val="none"/>
                <w:lang w:val="en-US" w:eastAsia="zh-CN"/>
              </w:rPr>
              <w:t>等情况</w:t>
            </w:r>
            <w:r>
              <w:rPr>
                <w:rFonts w:hint="eastAsia" w:ascii="仿宋" w:hAnsi="仿宋" w:eastAsia="仿宋" w:cs="仿宋"/>
                <w:color w:val="auto"/>
                <w:sz w:val="24"/>
                <w:szCs w:val="24"/>
                <w:highlight w:val="none"/>
              </w:rPr>
              <w:t>由评委进行评分。</w:t>
            </w:r>
            <w:r>
              <w:rPr>
                <w:rFonts w:hint="eastAsia" w:ascii="仿宋" w:hAnsi="仿宋" w:eastAsia="仿宋" w:cs="仿宋"/>
                <w:bCs/>
                <w:color w:val="auto"/>
                <w:sz w:val="24"/>
                <w:szCs w:val="24"/>
                <w:highlight w:val="none"/>
                <w:lang w:eastAsia="zh-CN"/>
              </w:rPr>
              <w:t>（评分分值范围：</w:t>
            </w:r>
            <w:r>
              <w:rPr>
                <w:rFonts w:hint="eastAsia" w:ascii="仿宋" w:hAnsi="仿宋" w:eastAsia="仿宋" w:cs="仿宋"/>
                <w:bCs/>
                <w:color w:val="auto"/>
                <w:sz w:val="24"/>
                <w:szCs w:val="24"/>
                <w:highlight w:val="none"/>
                <w:lang w:val="en-US" w:eastAsia="zh-CN"/>
              </w:rPr>
              <w:t>2，1.8，</w:t>
            </w:r>
            <w:r>
              <w:rPr>
                <w:rFonts w:hint="eastAsia" w:ascii="仿宋" w:hAnsi="仿宋" w:eastAsia="仿宋" w:cs="仿宋"/>
                <w:bCs/>
                <w:color w:val="auto"/>
                <w:sz w:val="24"/>
                <w:szCs w:val="24"/>
                <w:highlight w:val="none"/>
                <w:lang w:eastAsia="zh-CN"/>
              </w:rPr>
              <w:t>…,0，</w:t>
            </w:r>
            <w:r>
              <w:rPr>
                <w:rFonts w:hint="eastAsia" w:ascii="仿宋" w:hAnsi="仿宋" w:eastAsia="仿宋" w:cs="仿宋"/>
                <w:bCs/>
                <w:color w:val="auto"/>
                <w:sz w:val="24"/>
                <w:szCs w:val="24"/>
                <w:highlight w:val="none"/>
                <w:lang w:val="en-US" w:eastAsia="zh-CN"/>
              </w:rPr>
              <w:t>步幅0.2</w:t>
            </w:r>
            <w:r>
              <w:rPr>
                <w:rFonts w:hint="eastAsia" w:ascii="仿宋" w:hAnsi="仿宋" w:eastAsia="仿宋" w:cs="仿宋"/>
                <w:bCs/>
                <w:color w:val="auto"/>
                <w:sz w:val="24"/>
                <w:szCs w:val="24"/>
                <w:highlight w:val="none"/>
                <w:lang w:eastAsia="zh-CN"/>
              </w:rPr>
              <w:t>）</w:t>
            </w:r>
          </w:p>
        </w:tc>
        <w:tc>
          <w:tcPr>
            <w:tcW w:w="780" w:type="dxa"/>
            <w:shd w:val="clear" w:color="auto" w:fill="auto"/>
            <w:vAlign w:val="center"/>
          </w:tcPr>
          <w:p w14:paraId="031840CC">
            <w:pPr>
              <w:keepNext w:val="0"/>
              <w:keepLines w:val="0"/>
              <w:pageBreakBefore w:val="0"/>
              <w:widowControl/>
              <w:kinsoku/>
              <w:wordWrap/>
              <w:overflowPunct/>
              <w:topLinePunct w:val="0"/>
              <w:autoSpaceDE/>
              <w:autoSpaceDN/>
              <w:bidi w:val="0"/>
              <w:adjustRightInd w:val="0"/>
              <w:spacing w:line="360" w:lineRule="auto"/>
              <w:ind w:firstLine="0" w:firstLineChars="0"/>
              <w:jc w:val="center"/>
              <w:rPr>
                <w:rFonts w:hint="eastAsia" w:ascii="仿宋" w:hAnsi="仿宋" w:eastAsia="宋体" w:cs="仿宋"/>
                <w:color w:val="auto"/>
                <w:kern w:val="0"/>
                <w:sz w:val="24"/>
                <w:szCs w:val="24"/>
                <w:highlight w:val="none"/>
                <w:lang w:val="en-US" w:eastAsia="zh-CN" w:bidi="ar-SA"/>
              </w:rPr>
            </w:pPr>
            <w:r>
              <w:rPr>
                <w:rFonts w:hint="eastAsia" w:ascii="仿宋" w:hAnsi="仿宋" w:eastAsia="宋体" w:cs="仿宋"/>
                <w:color w:val="auto"/>
                <w:kern w:val="0"/>
                <w:sz w:val="24"/>
                <w:highlight w:val="none"/>
                <w:lang w:val="en-US" w:eastAsia="zh-CN"/>
              </w:rPr>
              <w:t>2</w:t>
            </w:r>
            <w:r>
              <w:rPr>
                <w:rFonts w:hint="eastAsia" w:ascii="仿宋" w:hAnsi="仿宋" w:eastAsia="宋体" w:cs="仿宋"/>
                <w:color w:val="auto"/>
                <w:kern w:val="0"/>
                <w:sz w:val="24"/>
                <w:highlight w:val="none"/>
              </w:rPr>
              <w:t>分</w:t>
            </w:r>
          </w:p>
        </w:tc>
      </w:tr>
      <w:tr w14:paraId="7D3D3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4" w:hRule="atLeast"/>
          <w:jc w:val="center"/>
        </w:trPr>
        <w:tc>
          <w:tcPr>
            <w:tcW w:w="857" w:type="dxa"/>
            <w:shd w:val="clear" w:color="auto" w:fill="auto"/>
            <w:vAlign w:val="center"/>
          </w:tcPr>
          <w:p w14:paraId="2167197C">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8</w:t>
            </w:r>
          </w:p>
        </w:tc>
        <w:tc>
          <w:tcPr>
            <w:tcW w:w="1296" w:type="dxa"/>
            <w:shd w:val="clear" w:color="auto" w:fill="auto"/>
            <w:vAlign w:val="center"/>
          </w:tcPr>
          <w:p w14:paraId="54D7745D">
            <w:pPr>
              <w:keepNext w:val="0"/>
              <w:keepLines w:val="0"/>
              <w:pageBreakBefore w:val="0"/>
              <w:widowControl/>
              <w:kinsoku/>
              <w:wordWrap/>
              <w:overflowPunct/>
              <w:topLinePunct w:val="0"/>
              <w:autoSpaceDE/>
              <w:autoSpaceDN/>
              <w:bidi w:val="0"/>
              <w:adjustRightInd w:val="0"/>
              <w:spacing w:line="360" w:lineRule="auto"/>
              <w:jc w:val="center"/>
              <w:rPr>
                <w:rFonts w:hint="eastAsia" w:ascii="仿宋" w:hAnsi="仿宋" w:eastAsia="仿宋" w:cs="仿宋_GB2312"/>
                <w:bCs/>
                <w:color w:val="auto"/>
                <w:kern w:val="2"/>
                <w:sz w:val="24"/>
                <w:szCs w:val="24"/>
                <w:highlight w:val="none"/>
                <w:lang w:val="en-US" w:eastAsia="zh-CN" w:bidi="ar-SA"/>
              </w:rPr>
            </w:pPr>
            <w:r>
              <w:rPr>
                <w:rFonts w:ascii="仿宋" w:hAnsi="仿宋" w:eastAsia="仿宋" w:cs="仿宋_GB2312"/>
                <w:bCs/>
                <w:color w:val="auto"/>
                <w:sz w:val="24"/>
                <w:highlight w:val="none"/>
              </w:rPr>
              <w:t>售后服务</w:t>
            </w:r>
          </w:p>
        </w:tc>
        <w:tc>
          <w:tcPr>
            <w:tcW w:w="6768" w:type="dxa"/>
            <w:shd w:val="clear" w:color="auto" w:fill="auto"/>
            <w:vAlign w:val="center"/>
          </w:tcPr>
          <w:p w14:paraId="185AA429">
            <w:pPr>
              <w:keepNext w:val="0"/>
              <w:keepLines w:val="0"/>
              <w:pageBreakBefore w:val="0"/>
              <w:widowControl/>
              <w:kinsoku/>
              <w:wordWrap/>
              <w:overflowPunct/>
              <w:topLinePunct w:val="0"/>
              <w:autoSpaceDE/>
              <w:autoSpaceDN/>
              <w:bidi w:val="0"/>
              <w:adjustRightInd w:val="0"/>
              <w:spacing w:line="360" w:lineRule="auto"/>
              <w:textAlignment w:val="baseline"/>
              <w:rPr>
                <w:rFonts w:hint="eastAsia" w:ascii="仿宋" w:hAnsi="仿宋" w:eastAsia="仿宋" w:cs="仿宋"/>
                <w:snapToGrid w:val="0"/>
                <w:color w:val="auto"/>
                <w:kern w:val="2"/>
                <w:sz w:val="24"/>
                <w:szCs w:val="24"/>
                <w:highlight w:val="none"/>
                <w:lang w:val="en-US" w:eastAsia="zh-CN" w:bidi="ar-SA"/>
              </w:rPr>
            </w:pPr>
            <w:r>
              <w:rPr>
                <w:rFonts w:hint="eastAsia" w:ascii="仿宋" w:hAnsi="仿宋" w:eastAsia="仿宋" w:cs="仿宋"/>
                <w:snapToGrid w:val="0"/>
                <w:color w:val="auto"/>
                <w:sz w:val="24"/>
                <w:highlight w:val="none"/>
              </w:rPr>
              <w:t>根据投标人针对本项目的售后服务方案（包括但不限于售后服务计划以及服务承诺、服务保障措施、应急方案等方面）进行评分</w:t>
            </w:r>
            <w:r>
              <w:rPr>
                <w:rFonts w:hint="eastAsia" w:ascii="仿宋" w:hAnsi="仿宋" w:eastAsia="仿宋" w:cs="仿宋"/>
                <w:snapToGrid w:val="0"/>
                <w:color w:val="auto"/>
                <w:sz w:val="24"/>
                <w:highlight w:val="none"/>
                <w:lang w:val="zh-CN"/>
              </w:rPr>
              <w:t>。</w:t>
            </w:r>
            <w:r>
              <w:rPr>
                <w:rFonts w:hint="eastAsia" w:ascii="仿宋" w:hAnsi="仿宋" w:eastAsia="仿宋" w:cs="仿宋"/>
                <w:bCs/>
                <w:color w:val="auto"/>
                <w:sz w:val="24"/>
                <w:szCs w:val="24"/>
                <w:highlight w:val="none"/>
                <w:lang w:eastAsia="zh-CN"/>
              </w:rPr>
              <w:t>（评分分值范围：</w:t>
            </w:r>
            <w:r>
              <w:rPr>
                <w:rFonts w:hint="eastAsia" w:ascii="仿宋" w:hAnsi="仿宋" w:eastAsia="仿宋" w:cs="仿宋"/>
                <w:bCs/>
                <w:color w:val="auto"/>
                <w:sz w:val="24"/>
                <w:szCs w:val="24"/>
                <w:highlight w:val="none"/>
                <w:lang w:val="en-US" w:eastAsia="zh-CN"/>
              </w:rPr>
              <w:t>2，1.8，</w:t>
            </w:r>
            <w:r>
              <w:rPr>
                <w:rFonts w:hint="eastAsia" w:ascii="仿宋" w:hAnsi="仿宋" w:eastAsia="仿宋" w:cs="仿宋"/>
                <w:bCs/>
                <w:color w:val="auto"/>
                <w:sz w:val="24"/>
                <w:szCs w:val="24"/>
                <w:highlight w:val="none"/>
                <w:lang w:eastAsia="zh-CN"/>
              </w:rPr>
              <w:t>…,0，</w:t>
            </w:r>
            <w:r>
              <w:rPr>
                <w:rFonts w:hint="eastAsia" w:ascii="仿宋" w:hAnsi="仿宋" w:eastAsia="仿宋" w:cs="仿宋"/>
                <w:bCs/>
                <w:color w:val="auto"/>
                <w:sz w:val="24"/>
                <w:szCs w:val="24"/>
                <w:highlight w:val="none"/>
                <w:lang w:val="en-US" w:eastAsia="zh-CN"/>
              </w:rPr>
              <w:t>步幅0.2</w:t>
            </w:r>
            <w:r>
              <w:rPr>
                <w:rFonts w:hint="eastAsia" w:ascii="仿宋" w:hAnsi="仿宋" w:eastAsia="仿宋" w:cs="仿宋"/>
                <w:bCs/>
                <w:color w:val="auto"/>
                <w:sz w:val="24"/>
                <w:szCs w:val="24"/>
                <w:highlight w:val="none"/>
                <w:lang w:eastAsia="zh-CN"/>
              </w:rPr>
              <w:t>）</w:t>
            </w:r>
          </w:p>
        </w:tc>
        <w:tc>
          <w:tcPr>
            <w:tcW w:w="780" w:type="dxa"/>
            <w:shd w:val="clear" w:color="auto" w:fill="auto"/>
            <w:vAlign w:val="center"/>
          </w:tcPr>
          <w:p w14:paraId="447139DE">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2分</w:t>
            </w:r>
          </w:p>
        </w:tc>
      </w:tr>
      <w:tr w14:paraId="56888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4" w:hRule="atLeast"/>
          <w:jc w:val="center"/>
        </w:trPr>
        <w:tc>
          <w:tcPr>
            <w:tcW w:w="857" w:type="dxa"/>
            <w:shd w:val="clear" w:color="auto" w:fill="auto"/>
            <w:vAlign w:val="center"/>
          </w:tcPr>
          <w:p w14:paraId="08F907DD">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9</w:t>
            </w:r>
          </w:p>
        </w:tc>
        <w:tc>
          <w:tcPr>
            <w:tcW w:w="1296" w:type="dxa"/>
            <w:shd w:val="clear" w:color="auto" w:fill="auto"/>
            <w:vAlign w:val="center"/>
          </w:tcPr>
          <w:p w14:paraId="566D1D76">
            <w:pPr>
              <w:keepNext w:val="0"/>
              <w:keepLines w:val="0"/>
              <w:pageBreakBefore w:val="0"/>
              <w:widowControl/>
              <w:kinsoku/>
              <w:wordWrap/>
              <w:overflowPunct/>
              <w:topLinePunct w:val="0"/>
              <w:autoSpaceDE/>
              <w:autoSpaceDN/>
              <w:bidi w:val="0"/>
              <w:adjustRightInd w:val="0"/>
              <w:spacing w:line="360" w:lineRule="auto"/>
              <w:jc w:val="center"/>
              <w:rPr>
                <w:rFonts w:ascii="仿宋" w:hAnsi="仿宋" w:eastAsia="仿宋" w:cs="仿宋_GB2312"/>
                <w:bCs/>
                <w:color w:val="auto"/>
                <w:sz w:val="24"/>
                <w:highlight w:val="none"/>
              </w:rPr>
            </w:pPr>
            <w:r>
              <w:rPr>
                <w:rFonts w:hint="eastAsia" w:ascii="仿宋" w:hAnsi="仿宋" w:eastAsia="仿宋" w:cs="仿宋"/>
                <w:color w:val="auto"/>
                <w:kern w:val="0"/>
                <w:sz w:val="24"/>
                <w:szCs w:val="20"/>
                <w:highlight w:val="none"/>
                <w:lang w:val="en-US" w:eastAsia="zh-CN"/>
              </w:rPr>
              <w:t>运维期（质保期）</w:t>
            </w:r>
          </w:p>
        </w:tc>
        <w:tc>
          <w:tcPr>
            <w:tcW w:w="6768" w:type="dxa"/>
            <w:shd w:val="clear" w:color="auto" w:fill="auto"/>
            <w:vAlign w:val="center"/>
          </w:tcPr>
          <w:p w14:paraId="4D6BDD1A">
            <w:pPr>
              <w:keepNext w:val="0"/>
              <w:keepLines w:val="0"/>
              <w:pageBreakBefore w:val="0"/>
              <w:widowControl/>
              <w:kinsoku/>
              <w:wordWrap/>
              <w:overflowPunct/>
              <w:topLinePunct w:val="0"/>
              <w:autoSpaceDE/>
              <w:autoSpaceDN/>
              <w:bidi w:val="0"/>
              <w:adjustRightInd w:val="0"/>
              <w:spacing w:line="360" w:lineRule="auto"/>
              <w:textAlignment w:val="baseline"/>
              <w:rPr>
                <w:rFonts w:hint="default" w:ascii="仿宋" w:hAnsi="仿宋" w:eastAsia="仿宋" w:cs="仿宋"/>
                <w:snapToGrid w:val="0"/>
                <w:color w:val="auto"/>
                <w:sz w:val="24"/>
                <w:highlight w:val="none"/>
                <w:lang w:val="en-US" w:eastAsia="zh-CN"/>
              </w:rPr>
            </w:pPr>
            <w:r>
              <w:rPr>
                <w:rFonts w:hint="eastAsia" w:ascii="仿宋" w:hAnsi="仿宋" w:eastAsia="仿宋" w:cs="仿宋"/>
                <w:snapToGrid w:val="0"/>
                <w:color w:val="auto"/>
                <w:sz w:val="24"/>
                <w:highlight w:val="none"/>
                <w:lang w:val="en-US" w:eastAsia="zh-CN"/>
              </w:rPr>
              <w:t>在招标文件要求的基础上，每增加一年得1分，最多得3分。提供承诺函。</w:t>
            </w:r>
          </w:p>
        </w:tc>
        <w:tc>
          <w:tcPr>
            <w:tcW w:w="780" w:type="dxa"/>
            <w:shd w:val="clear" w:color="auto" w:fill="auto"/>
            <w:vAlign w:val="center"/>
          </w:tcPr>
          <w:p w14:paraId="6C92D802">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3分</w:t>
            </w:r>
          </w:p>
        </w:tc>
      </w:tr>
      <w:tr w14:paraId="50AEB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4" w:hRule="atLeast"/>
          <w:jc w:val="center"/>
        </w:trPr>
        <w:tc>
          <w:tcPr>
            <w:tcW w:w="857" w:type="dxa"/>
            <w:shd w:val="clear" w:color="auto" w:fill="auto"/>
            <w:vAlign w:val="center"/>
          </w:tcPr>
          <w:p w14:paraId="2B592EF1">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10</w:t>
            </w:r>
          </w:p>
        </w:tc>
        <w:tc>
          <w:tcPr>
            <w:tcW w:w="1296" w:type="dxa"/>
            <w:shd w:val="clear" w:color="auto" w:fill="auto"/>
            <w:vAlign w:val="center"/>
          </w:tcPr>
          <w:p w14:paraId="792C8C60">
            <w:pPr>
              <w:keepNext w:val="0"/>
              <w:keepLines w:val="0"/>
              <w:pageBreakBefore w:val="0"/>
              <w:widowControl/>
              <w:kinsoku/>
              <w:wordWrap/>
              <w:overflowPunct/>
              <w:topLinePunct w:val="0"/>
              <w:autoSpaceDE/>
              <w:autoSpaceDN/>
              <w:bidi w:val="0"/>
              <w:adjustRightInd w:val="0"/>
              <w:spacing w:line="360" w:lineRule="auto"/>
              <w:ind w:firstLine="0" w:firstLine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演示</w:t>
            </w:r>
          </w:p>
        </w:tc>
        <w:tc>
          <w:tcPr>
            <w:tcW w:w="6768" w:type="dxa"/>
            <w:shd w:val="clear" w:color="auto" w:fill="auto"/>
            <w:vAlign w:val="center"/>
          </w:tcPr>
          <w:p w14:paraId="14F62B04">
            <w:pPr>
              <w:keepNext w:val="0"/>
              <w:keepLines w:val="0"/>
              <w:pageBreakBefore w:val="0"/>
              <w:widowControl/>
              <w:kinsoku/>
              <w:wordWrap/>
              <w:overflowPunct/>
              <w:topLinePunct w:val="0"/>
              <w:autoSpaceDE/>
              <w:autoSpaceDN/>
              <w:bidi w:val="0"/>
              <w:adjustRightInd w:val="0"/>
              <w:spacing w:line="360" w:lineRule="auto"/>
              <w:ind w:firstLine="0" w:firstLineChars="0"/>
              <w:jc w:val="left"/>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根据演示各项功能、设计及讲解综合打分。</w:t>
            </w:r>
          </w:p>
          <w:p w14:paraId="5630383F">
            <w:pPr>
              <w:keepNext w:val="0"/>
              <w:keepLines w:val="0"/>
              <w:pageBreakBefore w:val="0"/>
              <w:widowControl/>
              <w:numPr>
                <w:ilvl w:val="0"/>
                <w:numId w:val="0"/>
              </w:numPr>
              <w:kinsoku/>
              <w:wordWrap/>
              <w:overflowPunct/>
              <w:topLinePunct w:val="0"/>
              <w:autoSpaceDE/>
              <w:autoSpaceDN/>
              <w:bidi w:val="0"/>
              <w:adjustRightInd w:val="0"/>
              <w:spacing w:line="360" w:lineRule="auto"/>
              <w:ind w:leftChars="0"/>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rPr>
              <w:t>1、城市智能运维管理服务平台</w:t>
            </w:r>
            <w:r>
              <w:rPr>
                <w:rFonts w:hint="eastAsia" w:ascii="仿宋" w:hAnsi="仿宋" w:eastAsia="仿宋" w:cs="仿宋"/>
                <w:color w:val="auto"/>
                <w:kern w:val="0"/>
                <w:sz w:val="24"/>
                <w:szCs w:val="24"/>
                <w:highlight w:val="none"/>
              </w:rPr>
              <w:t>功能演示，包括</w:t>
            </w:r>
            <w:r>
              <w:rPr>
                <w:rFonts w:hint="eastAsia" w:ascii="仿宋" w:hAnsi="仿宋" w:eastAsia="仿宋" w:cs="仿宋"/>
                <w:color w:val="auto"/>
                <w:kern w:val="0"/>
                <w:sz w:val="24"/>
                <w:szCs w:val="24"/>
                <w:highlight w:val="none"/>
                <w:lang w:val="en-US" w:eastAsia="zh-CN"/>
              </w:rPr>
              <w:t>美丽办城乡环境、综合评价、智慧工地、门前三包、决策分析、智能感知</w:t>
            </w:r>
            <w:r>
              <w:rPr>
                <w:rFonts w:hint="eastAsia" w:ascii="仿宋" w:hAnsi="仿宋" w:eastAsia="仿宋" w:cs="仿宋"/>
                <w:color w:val="auto"/>
                <w:kern w:val="0"/>
                <w:sz w:val="24"/>
                <w:szCs w:val="24"/>
                <w:highlight w:val="none"/>
              </w:rPr>
              <w:t>等功能由评委进行评分。</w:t>
            </w:r>
            <w:r>
              <w:rPr>
                <w:rFonts w:hint="eastAsia" w:ascii="仿宋" w:hAnsi="仿宋" w:eastAsia="仿宋" w:cs="仿宋"/>
                <w:bCs/>
                <w:color w:val="auto"/>
                <w:sz w:val="24"/>
                <w:szCs w:val="24"/>
                <w:highlight w:val="none"/>
                <w:lang w:eastAsia="zh-CN"/>
              </w:rPr>
              <w:t>（评分分值范围：</w:t>
            </w:r>
            <w:r>
              <w:rPr>
                <w:rFonts w:hint="eastAsia" w:ascii="仿宋" w:hAnsi="仿宋" w:eastAsia="仿宋" w:cs="仿宋"/>
                <w:bCs/>
                <w:color w:val="auto"/>
                <w:sz w:val="24"/>
                <w:szCs w:val="24"/>
                <w:highlight w:val="none"/>
                <w:lang w:val="en-US" w:eastAsia="zh-CN"/>
              </w:rPr>
              <w:t>3，2.8，</w:t>
            </w:r>
            <w:r>
              <w:rPr>
                <w:rFonts w:hint="eastAsia" w:ascii="仿宋" w:hAnsi="仿宋" w:eastAsia="仿宋" w:cs="仿宋"/>
                <w:bCs/>
                <w:color w:val="auto"/>
                <w:sz w:val="24"/>
                <w:szCs w:val="24"/>
                <w:highlight w:val="none"/>
                <w:lang w:eastAsia="zh-CN"/>
              </w:rPr>
              <w:t>…,0，</w:t>
            </w:r>
            <w:r>
              <w:rPr>
                <w:rFonts w:hint="eastAsia" w:ascii="仿宋" w:hAnsi="仿宋" w:eastAsia="仿宋" w:cs="仿宋"/>
                <w:bCs/>
                <w:color w:val="auto"/>
                <w:sz w:val="24"/>
                <w:szCs w:val="24"/>
                <w:highlight w:val="none"/>
                <w:lang w:val="en-US" w:eastAsia="zh-CN"/>
              </w:rPr>
              <w:t>步幅0.2</w:t>
            </w:r>
            <w:r>
              <w:rPr>
                <w:rFonts w:hint="eastAsia" w:ascii="仿宋" w:hAnsi="仿宋" w:eastAsia="仿宋" w:cs="仿宋"/>
                <w:bCs/>
                <w:color w:val="auto"/>
                <w:sz w:val="24"/>
                <w:szCs w:val="24"/>
                <w:highlight w:val="none"/>
                <w:lang w:eastAsia="zh-CN"/>
              </w:rPr>
              <w:t>）</w:t>
            </w:r>
          </w:p>
          <w:p w14:paraId="344B1AF3">
            <w:pPr>
              <w:keepNext w:val="0"/>
              <w:keepLines w:val="0"/>
              <w:pageBreakBefore w:val="0"/>
              <w:widowControl/>
              <w:numPr>
                <w:ilvl w:val="0"/>
                <w:numId w:val="0"/>
              </w:numPr>
              <w:kinsoku/>
              <w:wordWrap/>
              <w:overflowPunct/>
              <w:topLinePunct w:val="0"/>
              <w:autoSpaceDE/>
              <w:autoSpaceDN/>
              <w:bidi w:val="0"/>
              <w:adjustRightInd w:val="0"/>
              <w:spacing w:line="360" w:lineRule="auto"/>
              <w:ind w:leftChars="0"/>
              <w:jc w:val="left"/>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2、智慧园林平台</w:t>
            </w:r>
            <w:r>
              <w:rPr>
                <w:rFonts w:hint="eastAsia" w:ascii="仿宋" w:hAnsi="仿宋" w:eastAsia="仿宋" w:cs="仿宋"/>
                <w:color w:val="auto"/>
                <w:kern w:val="0"/>
                <w:sz w:val="24"/>
                <w:szCs w:val="24"/>
                <w:highlight w:val="none"/>
              </w:rPr>
              <w:t>功能演示，包括工作驾驶舱、普查数据管理、园林工作管控、绿地管控、养护巡检、考核评价、决策分析、园林通等功能由评委进行评分。</w:t>
            </w:r>
            <w:r>
              <w:rPr>
                <w:rFonts w:hint="eastAsia" w:ascii="仿宋" w:hAnsi="仿宋" w:eastAsia="仿宋" w:cs="仿宋"/>
                <w:bCs/>
                <w:color w:val="auto"/>
                <w:sz w:val="24"/>
                <w:szCs w:val="24"/>
                <w:highlight w:val="none"/>
                <w:lang w:eastAsia="zh-CN"/>
              </w:rPr>
              <w:t>（评分分值范围：评分分值范围：</w:t>
            </w:r>
            <w:r>
              <w:rPr>
                <w:rFonts w:hint="eastAsia" w:ascii="仿宋" w:hAnsi="仿宋" w:eastAsia="仿宋" w:cs="仿宋"/>
                <w:bCs/>
                <w:color w:val="auto"/>
                <w:sz w:val="24"/>
                <w:szCs w:val="24"/>
                <w:highlight w:val="none"/>
                <w:lang w:val="en-US" w:eastAsia="zh-CN"/>
              </w:rPr>
              <w:t>3，2.8，</w:t>
            </w:r>
            <w:r>
              <w:rPr>
                <w:rFonts w:hint="eastAsia" w:ascii="仿宋" w:hAnsi="仿宋" w:eastAsia="仿宋" w:cs="仿宋"/>
                <w:bCs/>
                <w:color w:val="auto"/>
                <w:sz w:val="24"/>
                <w:szCs w:val="24"/>
                <w:highlight w:val="none"/>
                <w:lang w:eastAsia="zh-CN"/>
              </w:rPr>
              <w:t>…,0，</w:t>
            </w:r>
            <w:r>
              <w:rPr>
                <w:rFonts w:hint="eastAsia" w:ascii="仿宋" w:hAnsi="仿宋" w:eastAsia="仿宋" w:cs="仿宋"/>
                <w:bCs/>
                <w:color w:val="auto"/>
                <w:sz w:val="24"/>
                <w:szCs w:val="24"/>
                <w:highlight w:val="none"/>
                <w:lang w:val="en-US" w:eastAsia="zh-CN"/>
              </w:rPr>
              <w:t>步幅0.2</w:t>
            </w:r>
            <w:r>
              <w:rPr>
                <w:rFonts w:hint="eastAsia" w:ascii="仿宋" w:hAnsi="仿宋" w:eastAsia="仿宋" w:cs="仿宋"/>
                <w:bCs/>
                <w:color w:val="auto"/>
                <w:sz w:val="24"/>
                <w:szCs w:val="24"/>
                <w:highlight w:val="none"/>
                <w:lang w:eastAsia="zh-CN"/>
              </w:rPr>
              <w:t>）</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隔油池清理数字化监管平台</w:t>
            </w:r>
            <w:r>
              <w:rPr>
                <w:rFonts w:hint="eastAsia" w:ascii="仿宋" w:hAnsi="仿宋" w:eastAsia="仿宋" w:cs="仿宋"/>
                <w:color w:val="auto"/>
                <w:kern w:val="0"/>
                <w:sz w:val="24"/>
                <w:szCs w:val="24"/>
                <w:highlight w:val="none"/>
              </w:rPr>
              <w:t>功能演示，包括</w:t>
            </w:r>
            <w:r>
              <w:rPr>
                <w:rFonts w:hint="eastAsia" w:ascii="仿宋" w:hAnsi="仿宋" w:eastAsia="仿宋" w:cs="仿宋"/>
                <w:color w:val="auto"/>
                <w:kern w:val="0"/>
                <w:sz w:val="24"/>
                <w:szCs w:val="24"/>
                <w:highlight w:val="none"/>
                <w:lang w:val="en-US" w:eastAsia="zh-CN"/>
              </w:rPr>
              <w:t>餐饮商户管理、清运人员管理、巡查人员管理、运维管理、隔油池管理、巡查管理、查询统计</w:t>
            </w:r>
            <w:r>
              <w:rPr>
                <w:rFonts w:hint="eastAsia" w:ascii="仿宋" w:hAnsi="仿宋" w:eastAsia="仿宋" w:cs="仿宋"/>
                <w:color w:val="auto"/>
                <w:kern w:val="0"/>
                <w:sz w:val="24"/>
                <w:szCs w:val="24"/>
                <w:highlight w:val="none"/>
              </w:rPr>
              <w:t>等内容。由评委进行评分。</w:t>
            </w:r>
            <w:r>
              <w:rPr>
                <w:rFonts w:hint="eastAsia" w:ascii="仿宋" w:hAnsi="仿宋" w:eastAsia="仿宋" w:cs="仿宋"/>
                <w:bCs/>
                <w:color w:val="auto"/>
                <w:sz w:val="24"/>
                <w:szCs w:val="24"/>
                <w:highlight w:val="none"/>
                <w:lang w:eastAsia="zh-CN"/>
              </w:rPr>
              <w:t>（评分分值范围：评分分值范围：</w:t>
            </w:r>
            <w:r>
              <w:rPr>
                <w:rFonts w:hint="eastAsia" w:ascii="仿宋" w:hAnsi="仿宋" w:eastAsia="仿宋" w:cs="仿宋"/>
                <w:bCs/>
                <w:color w:val="auto"/>
                <w:sz w:val="24"/>
                <w:szCs w:val="24"/>
                <w:highlight w:val="none"/>
                <w:lang w:val="en-US" w:eastAsia="zh-CN"/>
              </w:rPr>
              <w:t>3，2.8，</w:t>
            </w:r>
            <w:r>
              <w:rPr>
                <w:rFonts w:hint="eastAsia" w:ascii="仿宋" w:hAnsi="仿宋" w:eastAsia="仿宋" w:cs="仿宋"/>
                <w:bCs/>
                <w:color w:val="auto"/>
                <w:sz w:val="24"/>
                <w:szCs w:val="24"/>
                <w:highlight w:val="none"/>
                <w:lang w:eastAsia="zh-CN"/>
              </w:rPr>
              <w:t>…,0，</w:t>
            </w:r>
            <w:r>
              <w:rPr>
                <w:rFonts w:hint="eastAsia" w:ascii="仿宋" w:hAnsi="仿宋" w:eastAsia="仿宋" w:cs="仿宋"/>
                <w:bCs/>
                <w:color w:val="auto"/>
                <w:sz w:val="24"/>
                <w:szCs w:val="24"/>
                <w:highlight w:val="none"/>
                <w:lang w:val="en-US" w:eastAsia="zh-CN"/>
              </w:rPr>
              <w:t>步幅0.2</w:t>
            </w:r>
            <w:r>
              <w:rPr>
                <w:rFonts w:hint="eastAsia" w:ascii="仿宋" w:hAnsi="仿宋" w:eastAsia="仿宋" w:cs="仿宋"/>
                <w:bCs/>
                <w:color w:val="auto"/>
                <w:sz w:val="24"/>
                <w:szCs w:val="24"/>
                <w:highlight w:val="none"/>
                <w:lang w:eastAsia="zh-CN"/>
              </w:rPr>
              <w:t>）</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4</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智慧环卫平台功能</w:t>
            </w:r>
            <w:r>
              <w:rPr>
                <w:rFonts w:hint="eastAsia" w:ascii="仿宋" w:hAnsi="仿宋" w:eastAsia="仿宋" w:cs="仿宋"/>
                <w:color w:val="auto"/>
                <w:kern w:val="0"/>
                <w:sz w:val="24"/>
                <w:szCs w:val="24"/>
                <w:highlight w:val="none"/>
              </w:rPr>
              <w:t>演示：包括</w:t>
            </w:r>
            <w:r>
              <w:rPr>
                <w:rFonts w:hint="eastAsia" w:ascii="仿宋" w:hAnsi="仿宋" w:eastAsia="仿宋" w:cs="仿宋"/>
                <w:color w:val="auto"/>
                <w:kern w:val="0"/>
                <w:sz w:val="24"/>
                <w:szCs w:val="24"/>
                <w:highlight w:val="none"/>
                <w:lang w:val="en-US" w:eastAsia="zh-CN"/>
              </w:rPr>
              <w:t>运营管控、基础管理、可视管理、智慧公厕、作业管理、指挥调度、品质督查</w:t>
            </w:r>
            <w:r>
              <w:rPr>
                <w:rFonts w:hint="eastAsia" w:ascii="仿宋" w:hAnsi="仿宋" w:eastAsia="仿宋" w:cs="仿宋"/>
                <w:color w:val="auto"/>
                <w:kern w:val="0"/>
                <w:sz w:val="24"/>
                <w:szCs w:val="24"/>
                <w:highlight w:val="none"/>
              </w:rPr>
              <w:t>等</w:t>
            </w:r>
            <w:r>
              <w:rPr>
                <w:rFonts w:hint="eastAsia" w:ascii="仿宋" w:hAnsi="仿宋" w:eastAsia="仿宋" w:cs="仿宋"/>
                <w:color w:val="auto"/>
                <w:kern w:val="0"/>
                <w:sz w:val="24"/>
                <w:szCs w:val="24"/>
                <w:highlight w:val="none"/>
                <w:lang w:val="en-US" w:eastAsia="zh-CN"/>
              </w:rPr>
              <w:t>内容</w:t>
            </w:r>
            <w:r>
              <w:rPr>
                <w:rFonts w:hint="eastAsia" w:ascii="仿宋" w:hAnsi="仿宋" w:eastAsia="仿宋" w:cs="仿宋"/>
                <w:color w:val="auto"/>
                <w:kern w:val="0"/>
                <w:sz w:val="24"/>
                <w:szCs w:val="24"/>
                <w:highlight w:val="none"/>
              </w:rPr>
              <w:t>由评委进行评分。</w:t>
            </w:r>
            <w:r>
              <w:rPr>
                <w:rFonts w:hint="eastAsia" w:ascii="仿宋" w:hAnsi="仿宋" w:eastAsia="仿宋" w:cs="仿宋"/>
                <w:bCs/>
                <w:color w:val="auto"/>
                <w:sz w:val="24"/>
                <w:szCs w:val="24"/>
                <w:highlight w:val="none"/>
                <w:lang w:eastAsia="zh-CN"/>
              </w:rPr>
              <w:t>（评分分值范围：</w:t>
            </w:r>
            <w:r>
              <w:rPr>
                <w:rFonts w:hint="eastAsia" w:ascii="仿宋" w:hAnsi="仿宋" w:eastAsia="仿宋" w:cs="仿宋"/>
                <w:bCs/>
                <w:color w:val="auto"/>
                <w:sz w:val="24"/>
                <w:szCs w:val="24"/>
                <w:highlight w:val="none"/>
                <w:lang w:val="en-US" w:eastAsia="zh-CN"/>
              </w:rPr>
              <w:t>3，2.8，</w:t>
            </w:r>
            <w:r>
              <w:rPr>
                <w:rFonts w:hint="eastAsia" w:ascii="仿宋" w:hAnsi="仿宋" w:eastAsia="仿宋" w:cs="仿宋"/>
                <w:bCs/>
                <w:color w:val="auto"/>
                <w:sz w:val="24"/>
                <w:szCs w:val="24"/>
                <w:highlight w:val="none"/>
                <w:lang w:eastAsia="zh-CN"/>
              </w:rPr>
              <w:t>…,0，</w:t>
            </w:r>
            <w:r>
              <w:rPr>
                <w:rFonts w:hint="eastAsia" w:ascii="仿宋" w:hAnsi="仿宋" w:eastAsia="仿宋" w:cs="仿宋"/>
                <w:bCs/>
                <w:color w:val="auto"/>
                <w:sz w:val="24"/>
                <w:szCs w:val="24"/>
                <w:highlight w:val="none"/>
                <w:lang w:val="en-US" w:eastAsia="zh-CN"/>
              </w:rPr>
              <w:t>步幅0.2</w:t>
            </w:r>
            <w:r>
              <w:rPr>
                <w:rFonts w:hint="eastAsia" w:ascii="仿宋" w:hAnsi="仿宋" w:eastAsia="仿宋" w:cs="仿宋"/>
                <w:bCs/>
                <w:color w:val="auto"/>
                <w:sz w:val="24"/>
                <w:szCs w:val="24"/>
                <w:highlight w:val="none"/>
                <w:lang w:eastAsia="zh-CN"/>
              </w:rPr>
              <w:t>）</w:t>
            </w:r>
          </w:p>
          <w:p w14:paraId="520491CC">
            <w:pPr>
              <w:keepNext w:val="0"/>
              <w:keepLines w:val="0"/>
              <w:pageBreakBefore w:val="0"/>
              <w:widowControl/>
              <w:kinsoku/>
              <w:wordWrap/>
              <w:overflowPunct/>
              <w:topLinePunct w:val="0"/>
              <w:autoSpaceDE/>
              <w:autoSpaceDN/>
              <w:bidi w:val="0"/>
              <w:adjustRightInd w:val="0"/>
              <w:spacing w:line="360" w:lineRule="auto"/>
              <w:ind w:firstLine="0" w:firstLineChars="0"/>
              <w:jc w:val="left"/>
              <w:textAlignment w:val="center"/>
              <w:rPr>
                <w:rFonts w:hint="eastAsia" w:ascii="仿宋" w:hAnsi="仿宋" w:eastAsia="仿宋" w:cs="仿宋"/>
                <w:bCs/>
                <w:color w:val="auto"/>
                <w:sz w:val="24"/>
                <w:szCs w:val="24"/>
                <w:highlight w:val="none"/>
                <w:lang w:eastAsia="zh-CN"/>
              </w:rPr>
            </w:pPr>
            <w:r>
              <w:rPr>
                <w:rFonts w:hint="eastAsia" w:ascii="仿宋" w:hAnsi="仿宋" w:eastAsia="仿宋" w:cs="仿宋"/>
                <w:color w:val="auto"/>
                <w:kern w:val="0"/>
                <w:sz w:val="24"/>
                <w:szCs w:val="24"/>
                <w:highlight w:val="none"/>
              </w:rPr>
              <w:t>5</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垃圾分类</w:t>
            </w:r>
            <w:r>
              <w:rPr>
                <w:rFonts w:hint="eastAsia" w:ascii="仿宋" w:hAnsi="仿宋" w:eastAsia="仿宋" w:cs="仿宋"/>
                <w:color w:val="auto"/>
                <w:kern w:val="0"/>
                <w:sz w:val="24"/>
                <w:szCs w:val="24"/>
                <w:highlight w:val="none"/>
              </w:rPr>
              <w:t>平台演示：包括</w:t>
            </w:r>
            <w:r>
              <w:rPr>
                <w:rFonts w:hint="eastAsia" w:ascii="仿宋" w:hAnsi="仿宋" w:eastAsia="仿宋" w:cs="仿宋"/>
                <w:color w:val="auto"/>
                <w:kern w:val="0"/>
                <w:sz w:val="24"/>
                <w:szCs w:val="24"/>
                <w:highlight w:val="none"/>
                <w:lang w:val="en-US" w:eastAsia="zh-CN"/>
              </w:rPr>
              <w:t>垃圾分类一张图、信息管理系统、数据采集系统、分类监管系统、垃圾分类考核、垃圾分类决策支持、农村生活垃圾监管、互联网+预约回收</w:t>
            </w:r>
            <w:r>
              <w:rPr>
                <w:rFonts w:hint="eastAsia" w:ascii="仿宋" w:hAnsi="仿宋" w:eastAsia="仿宋" w:cs="仿宋"/>
                <w:color w:val="auto"/>
                <w:kern w:val="0"/>
                <w:sz w:val="24"/>
                <w:szCs w:val="24"/>
                <w:highlight w:val="none"/>
              </w:rPr>
              <w:t>等内容由评委进行评分。</w:t>
            </w:r>
            <w:r>
              <w:rPr>
                <w:rFonts w:hint="eastAsia" w:ascii="仿宋" w:hAnsi="仿宋" w:eastAsia="仿宋" w:cs="仿宋"/>
                <w:bCs/>
                <w:color w:val="auto"/>
                <w:sz w:val="24"/>
                <w:szCs w:val="24"/>
                <w:highlight w:val="none"/>
                <w:lang w:eastAsia="zh-CN"/>
              </w:rPr>
              <w:t>（评分分值范围：</w:t>
            </w:r>
            <w:r>
              <w:rPr>
                <w:rFonts w:hint="eastAsia" w:ascii="仿宋" w:hAnsi="仿宋" w:eastAsia="仿宋" w:cs="仿宋"/>
                <w:bCs/>
                <w:color w:val="auto"/>
                <w:sz w:val="24"/>
                <w:szCs w:val="24"/>
                <w:highlight w:val="none"/>
                <w:lang w:val="en-US" w:eastAsia="zh-CN"/>
              </w:rPr>
              <w:t>3，2.8，</w:t>
            </w:r>
            <w:r>
              <w:rPr>
                <w:rFonts w:hint="eastAsia" w:ascii="仿宋" w:hAnsi="仿宋" w:eastAsia="仿宋" w:cs="仿宋"/>
                <w:bCs/>
                <w:color w:val="auto"/>
                <w:sz w:val="24"/>
                <w:szCs w:val="24"/>
                <w:highlight w:val="none"/>
                <w:lang w:eastAsia="zh-CN"/>
              </w:rPr>
              <w:t>…,0，</w:t>
            </w:r>
            <w:r>
              <w:rPr>
                <w:rFonts w:hint="eastAsia" w:ascii="仿宋" w:hAnsi="仿宋" w:eastAsia="仿宋" w:cs="仿宋"/>
                <w:bCs/>
                <w:color w:val="auto"/>
                <w:sz w:val="24"/>
                <w:szCs w:val="24"/>
                <w:highlight w:val="none"/>
                <w:lang w:val="en-US" w:eastAsia="zh-CN"/>
              </w:rPr>
              <w:t>步幅0.2</w:t>
            </w:r>
            <w:r>
              <w:rPr>
                <w:rFonts w:hint="eastAsia" w:ascii="仿宋" w:hAnsi="仿宋" w:eastAsia="仿宋" w:cs="仿宋"/>
                <w:bCs/>
                <w:color w:val="auto"/>
                <w:sz w:val="24"/>
                <w:szCs w:val="24"/>
                <w:highlight w:val="none"/>
                <w:lang w:eastAsia="zh-CN"/>
              </w:rPr>
              <w:t>）</w:t>
            </w:r>
          </w:p>
          <w:p w14:paraId="2907D10F">
            <w:pPr>
              <w:keepNext w:val="0"/>
              <w:keepLines w:val="0"/>
              <w:pageBreakBefore w:val="0"/>
              <w:widowControl/>
              <w:kinsoku/>
              <w:wordWrap/>
              <w:overflowPunct/>
              <w:topLinePunct w:val="0"/>
              <w:autoSpaceDE/>
              <w:autoSpaceDN/>
              <w:bidi w:val="0"/>
              <w:adjustRightInd w:val="0"/>
              <w:spacing w:line="360" w:lineRule="auto"/>
              <w:ind w:firstLine="0" w:firstLineChars="0"/>
              <w:jc w:val="left"/>
              <w:textAlignment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供应商自行录制功能方案演示，</w:t>
            </w:r>
            <w:r>
              <w:rPr>
                <w:rFonts w:hint="eastAsia" w:ascii="仿宋" w:hAnsi="仿宋" w:eastAsia="仿宋" w:cs="仿宋"/>
                <w:color w:val="auto"/>
                <w:kern w:val="0"/>
                <w:sz w:val="24"/>
                <w:szCs w:val="24"/>
                <w:highlight w:val="none"/>
                <w:lang w:eastAsia="zh-CN"/>
              </w:rPr>
              <w:t>每个平台</w:t>
            </w:r>
            <w:r>
              <w:rPr>
                <w:rFonts w:hint="eastAsia" w:ascii="仿宋" w:hAnsi="仿宋" w:eastAsia="仿宋" w:cs="仿宋"/>
                <w:color w:val="auto"/>
                <w:kern w:val="0"/>
                <w:sz w:val="24"/>
                <w:szCs w:val="24"/>
                <w:highlight w:val="none"/>
              </w:rPr>
              <w:t>视频时长不超过1</w:t>
            </w:r>
            <w:r>
              <w:rPr>
                <w:rFonts w:hint="eastAsia" w:ascii="仿宋" w:hAnsi="仿宋" w:eastAsia="仿宋" w:cs="仿宋"/>
                <w:color w:val="auto"/>
                <w:kern w:val="0"/>
                <w:sz w:val="24"/>
                <w:szCs w:val="24"/>
                <w:highlight w:val="none"/>
                <w:lang w:val="en-US" w:eastAsia="zh-CN"/>
              </w:rPr>
              <w:t>0</w:t>
            </w:r>
            <w:r>
              <w:rPr>
                <w:rFonts w:hint="eastAsia" w:ascii="仿宋" w:hAnsi="仿宋" w:eastAsia="仿宋" w:cs="仿宋"/>
                <w:color w:val="auto"/>
                <w:kern w:val="0"/>
                <w:sz w:val="24"/>
                <w:szCs w:val="24"/>
                <w:highlight w:val="none"/>
              </w:rPr>
              <w:t>分钟以录制视频形式播放，由投标人自行制作后拷贝到U盘中播放，采用</w:t>
            </w:r>
            <w:r>
              <w:rPr>
                <w:rFonts w:hint="eastAsia" w:ascii="仿宋" w:hAnsi="仿宋" w:eastAsia="仿宋" w:cs="仿宋"/>
                <w:color w:val="auto"/>
                <w:kern w:val="0"/>
                <w:sz w:val="24"/>
                <w:szCs w:val="24"/>
                <w:highlight w:val="none"/>
                <w:lang w:val="en-US" w:eastAsia="zh-CN"/>
              </w:rPr>
              <w:t>MP4</w:t>
            </w:r>
            <w:r>
              <w:rPr>
                <w:rFonts w:hint="eastAsia" w:ascii="仿宋" w:hAnsi="仿宋" w:eastAsia="仿宋" w:cs="仿宋"/>
                <w:color w:val="auto"/>
                <w:kern w:val="0"/>
                <w:sz w:val="24"/>
                <w:szCs w:val="24"/>
                <w:highlight w:val="none"/>
              </w:rPr>
              <w:t>演示方式。</w:t>
            </w:r>
          </w:p>
        </w:tc>
        <w:tc>
          <w:tcPr>
            <w:tcW w:w="780" w:type="dxa"/>
            <w:shd w:val="clear" w:color="auto" w:fill="auto"/>
            <w:vAlign w:val="center"/>
          </w:tcPr>
          <w:p w14:paraId="21384572">
            <w:pPr>
              <w:keepNext w:val="0"/>
              <w:keepLines w:val="0"/>
              <w:pageBreakBefore w:val="0"/>
              <w:widowControl/>
              <w:kinsoku/>
              <w:wordWrap/>
              <w:overflowPunct/>
              <w:topLinePunct w:val="0"/>
              <w:autoSpaceDE/>
              <w:autoSpaceDN/>
              <w:bidi w:val="0"/>
              <w:adjustRightInd w:val="0"/>
              <w:spacing w:line="360" w:lineRule="auto"/>
              <w:ind w:firstLine="0" w:firstLineChars="0"/>
              <w:jc w:val="center"/>
              <w:rPr>
                <w:rFonts w:hint="eastAsia" w:ascii="仿宋" w:hAnsi="仿宋" w:eastAsia="宋体" w:cs="仿宋"/>
                <w:color w:val="auto"/>
                <w:kern w:val="0"/>
                <w:sz w:val="24"/>
                <w:szCs w:val="24"/>
                <w:highlight w:val="none"/>
                <w:lang w:val="en-US" w:eastAsia="zh-CN" w:bidi="ar-SA"/>
              </w:rPr>
            </w:pPr>
            <w:r>
              <w:rPr>
                <w:rFonts w:hint="eastAsia" w:ascii="仿宋" w:hAnsi="仿宋" w:cs="仿宋"/>
                <w:color w:val="auto"/>
                <w:kern w:val="0"/>
                <w:sz w:val="24"/>
                <w:highlight w:val="none"/>
                <w:lang w:val="en-US" w:eastAsia="zh-CN"/>
              </w:rPr>
              <w:t>15</w:t>
            </w:r>
            <w:r>
              <w:rPr>
                <w:rFonts w:hint="eastAsia" w:ascii="仿宋" w:hAnsi="仿宋" w:eastAsia="宋体" w:cs="仿宋"/>
                <w:color w:val="auto"/>
                <w:kern w:val="0"/>
                <w:sz w:val="24"/>
                <w:highlight w:val="none"/>
              </w:rPr>
              <w:t>分</w:t>
            </w:r>
          </w:p>
        </w:tc>
      </w:tr>
    </w:tbl>
    <w:p w14:paraId="7CC3C0D5">
      <w:pPr>
        <w:spacing w:line="440" w:lineRule="exact"/>
        <w:ind w:firstLine="482" w:firstLineChars="200"/>
        <w:rPr>
          <w:rFonts w:hint="eastAsia"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lang w:val="en-US" w:eastAsia="zh-CN"/>
        </w:rPr>
        <w:t>注：</w:t>
      </w:r>
      <w:r>
        <w:rPr>
          <w:rFonts w:hint="eastAsia" w:ascii="仿宋" w:hAnsi="仿宋" w:eastAsia="仿宋" w:cs="仿宋"/>
          <w:b/>
          <w:bCs/>
          <w:color w:val="auto"/>
          <w:kern w:val="0"/>
          <w:sz w:val="24"/>
          <w:szCs w:val="24"/>
          <w:highlight w:val="none"/>
        </w:rPr>
        <w:t>投标人商务技术得分低于</w:t>
      </w:r>
      <w:r>
        <w:rPr>
          <w:rFonts w:hint="eastAsia" w:ascii="仿宋" w:hAnsi="仿宋" w:eastAsia="仿宋" w:cs="仿宋"/>
          <w:b/>
          <w:bCs/>
          <w:color w:val="auto"/>
          <w:kern w:val="0"/>
          <w:sz w:val="24"/>
          <w:szCs w:val="24"/>
          <w:highlight w:val="none"/>
          <w:lang w:val="en-US" w:eastAsia="zh-CN"/>
        </w:rPr>
        <w:t>30</w:t>
      </w:r>
      <w:r>
        <w:rPr>
          <w:rFonts w:hint="eastAsia" w:ascii="仿宋" w:hAnsi="仿宋" w:eastAsia="仿宋" w:cs="仿宋"/>
          <w:b/>
          <w:bCs/>
          <w:color w:val="auto"/>
          <w:kern w:val="0"/>
          <w:sz w:val="24"/>
          <w:szCs w:val="24"/>
          <w:highlight w:val="none"/>
        </w:rPr>
        <w:t>分（商务技术分的60%），视为不满足采购需求，</w:t>
      </w:r>
      <w:r>
        <w:rPr>
          <w:rFonts w:hint="eastAsia" w:ascii="仿宋" w:hAnsi="仿宋" w:eastAsia="仿宋" w:cs="仿宋"/>
          <w:b/>
          <w:bCs/>
          <w:color w:val="auto"/>
          <w:kern w:val="0"/>
          <w:sz w:val="24"/>
          <w:szCs w:val="24"/>
          <w:highlight w:val="none"/>
          <w:lang w:val="en-US" w:eastAsia="zh-CN"/>
        </w:rPr>
        <w:t>作无效标处理</w:t>
      </w:r>
      <w:r>
        <w:rPr>
          <w:rFonts w:hint="eastAsia" w:ascii="仿宋" w:hAnsi="仿宋" w:eastAsia="仿宋" w:cs="仿宋"/>
          <w:b/>
          <w:bCs/>
          <w:color w:val="auto"/>
          <w:kern w:val="0"/>
          <w:sz w:val="24"/>
          <w:szCs w:val="24"/>
          <w:highlight w:val="none"/>
        </w:rPr>
        <w:t>【因乐采云系统操作限制，该无效判定在符合性审查阶段执行】。</w:t>
      </w:r>
    </w:p>
    <w:p w14:paraId="618B5665">
      <w:pPr>
        <w:keepNext w:val="0"/>
        <w:keepLines w:val="0"/>
        <w:pageBreakBefore w:val="0"/>
        <w:widowControl w:val="0"/>
        <w:kinsoku/>
        <w:wordWrap/>
        <w:overflowPunct/>
        <w:topLinePunct w:val="0"/>
        <w:bidi w:val="0"/>
        <w:adjustRightInd w:val="0"/>
        <w:spacing w:line="440" w:lineRule="exact"/>
        <w:textAlignment w:val="auto"/>
        <w:rPr>
          <w:rFonts w:hint="eastAsia" w:ascii="仿宋" w:hAnsi="仿宋" w:eastAsia="仿宋" w:cs="仿宋"/>
          <w:b/>
          <w:bCs/>
          <w:iCs/>
          <w:color w:val="auto"/>
          <w:sz w:val="24"/>
          <w:highlight w:val="none"/>
        </w:rPr>
      </w:pPr>
      <w:r>
        <w:rPr>
          <w:rFonts w:hint="eastAsia" w:ascii="仿宋" w:hAnsi="仿宋" w:eastAsia="仿宋" w:cs="仿宋"/>
          <w:b/>
          <w:bCs/>
          <w:iCs/>
          <w:color w:val="auto"/>
          <w:sz w:val="24"/>
          <w:highlight w:val="none"/>
          <w:lang w:val="en-US" w:eastAsia="zh-CN"/>
        </w:rPr>
        <w:t>3</w:t>
      </w:r>
      <w:r>
        <w:rPr>
          <w:rFonts w:hint="eastAsia" w:ascii="仿宋" w:hAnsi="仿宋" w:eastAsia="仿宋" w:cs="仿宋"/>
          <w:b/>
          <w:bCs/>
          <w:iCs/>
          <w:color w:val="auto"/>
          <w:sz w:val="24"/>
          <w:highlight w:val="none"/>
        </w:rPr>
        <w:t>.2价格分（</w:t>
      </w:r>
      <w:r>
        <w:rPr>
          <w:rFonts w:hint="eastAsia" w:ascii="仿宋" w:hAnsi="仿宋" w:eastAsia="仿宋" w:cs="仿宋"/>
          <w:b/>
          <w:bCs/>
          <w:iCs/>
          <w:color w:val="auto"/>
          <w:sz w:val="24"/>
          <w:highlight w:val="none"/>
          <w:lang w:val="en-US" w:eastAsia="zh-CN"/>
        </w:rPr>
        <w:t>50</w:t>
      </w:r>
      <w:r>
        <w:rPr>
          <w:rFonts w:hint="eastAsia" w:ascii="仿宋" w:hAnsi="仿宋" w:eastAsia="仿宋" w:cs="仿宋"/>
          <w:b/>
          <w:bCs/>
          <w:iCs/>
          <w:color w:val="auto"/>
          <w:sz w:val="24"/>
          <w:highlight w:val="none"/>
        </w:rPr>
        <w:t>分）</w:t>
      </w:r>
    </w:p>
    <w:p w14:paraId="73EC9DD8">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auto"/>
        <w:rPr>
          <w:rFonts w:hint="eastAsia" w:ascii="仿宋" w:hAnsi="仿宋" w:eastAsia="仿宋" w:cs="仿宋"/>
          <w:bCs/>
          <w:iCs/>
          <w:color w:val="auto"/>
          <w:sz w:val="24"/>
          <w:highlight w:val="none"/>
        </w:rPr>
      </w:pPr>
      <w:r>
        <w:rPr>
          <w:rFonts w:hint="eastAsia" w:ascii="仿宋" w:hAnsi="仿宋" w:eastAsia="仿宋" w:cs="仿宋"/>
          <w:bCs/>
          <w:iCs/>
          <w:color w:val="auto"/>
          <w:sz w:val="24"/>
          <w:highlight w:val="none"/>
          <w:lang w:val="en-US" w:eastAsia="zh-CN"/>
        </w:rPr>
        <w:t>3</w:t>
      </w:r>
      <w:r>
        <w:rPr>
          <w:rFonts w:hint="eastAsia" w:ascii="仿宋" w:hAnsi="仿宋" w:eastAsia="仿宋" w:cs="仿宋"/>
          <w:bCs/>
          <w:iCs/>
          <w:color w:val="auto"/>
          <w:sz w:val="24"/>
          <w:highlight w:val="none"/>
        </w:rPr>
        <w:t>.2.</w:t>
      </w:r>
      <w:r>
        <w:rPr>
          <w:rFonts w:hint="eastAsia" w:ascii="仿宋" w:hAnsi="仿宋" w:eastAsia="仿宋" w:cs="仿宋"/>
          <w:bCs/>
          <w:iCs/>
          <w:color w:val="auto"/>
          <w:sz w:val="24"/>
          <w:highlight w:val="none"/>
          <w:lang w:val="en-US" w:eastAsia="zh-CN"/>
        </w:rPr>
        <w:t>1</w:t>
      </w:r>
      <w:r>
        <w:rPr>
          <w:rFonts w:hint="eastAsia" w:ascii="仿宋" w:hAnsi="仿宋" w:eastAsia="仿宋" w:cs="仿宋"/>
          <w:bCs/>
          <w:iCs/>
          <w:color w:val="auto"/>
          <w:sz w:val="24"/>
          <w:highlight w:val="none"/>
        </w:rPr>
        <w:t>评标基准价</w:t>
      </w:r>
      <w:r>
        <w:rPr>
          <w:rFonts w:hint="eastAsia" w:ascii="仿宋" w:hAnsi="仿宋" w:eastAsia="仿宋" w:cs="仿宋"/>
          <w:bCs/>
          <w:iCs/>
          <w:color w:val="auto"/>
          <w:sz w:val="24"/>
          <w:highlight w:val="none"/>
          <w:lang w:eastAsia="zh-CN"/>
        </w:rPr>
        <w:t>：</w:t>
      </w:r>
      <w:r>
        <w:rPr>
          <w:rFonts w:hint="eastAsia" w:ascii="仿宋" w:hAnsi="仿宋" w:eastAsia="仿宋" w:cs="仿宋"/>
          <w:bCs/>
          <w:iCs/>
          <w:color w:val="auto"/>
          <w:sz w:val="24"/>
          <w:highlight w:val="none"/>
        </w:rPr>
        <w:t>即满足招标文件要求且投标价格最低的投标报价为评标基准价，其价格分为满分。</w:t>
      </w:r>
    </w:p>
    <w:p w14:paraId="12BA41A5">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auto"/>
        <w:rPr>
          <w:rFonts w:hint="eastAsia" w:ascii="仿宋" w:hAnsi="仿宋" w:eastAsia="仿宋" w:cs="仿宋"/>
          <w:bCs/>
          <w:iCs/>
          <w:color w:val="auto"/>
          <w:sz w:val="24"/>
          <w:highlight w:val="none"/>
        </w:rPr>
      </w:pPr>
      <w:r>
        <w:rPr>
          <w:rFonts w:hint="eastAsia" w:ascii="仿宋" w:hAnsi="仿宋" w:eastAsia="仿宋" w:cs="仿宋"/>
          <w:bCs/>
          <w:iCs/>
          <w:color w:val="auto"/>
          <w:sz w:val="24"/>
          <w:highlight w:val="none"/>
          <w:lang w:val="en-US" w:eastAsia="zh-CN"/>
        </w:rPr>
        <w:t>3</w:t>
      </w:r>
      <w:r>
        <w:rPr>
          <w:rFonts w:hint="eastAsia" w:ascii="仿宋" w:hAnsi="仿宋" w:eastAsia="仿宋" w:cs="仿宋"/>
          <w:bCs/>
          <w:iCs/>
          <w:color w:val="auto"/>
          <w:sz w:val="24"/>
          <w:highlight w:val="none"/>
        </w:rPr>
        <w:t>.2.</w:t>
      </w:r>
      <w:r>
        <w:rPr>
          <w:rFonts w:hint="eastAsia" w:ascii="仿宋" w:hAnsi="仿宋" w:eastAsia="仿宋" w:cs="仿宋"/>
          <w:bCs/>
          <w:iCs/>
          <w:color w:val="auto"/>
          <w:sz w:val="24"/>
          <w:highlight w:val="none"/>
          <w:lang w:val="en-US" w:eastAsia="zh-CN"/>
        </w:rPr>
        <w:t>2</w:t>
      </w:r>
      <w:r>
        <w:rPr>
          <w:rFonts w:hint="eastAsia" w:ascii="仿宋" w:hAnsi="仿宋" w:eastAsia="仿宋" w:cs="仿宋"/>
          <w:bCs/>
          <w:iCs/>
          <w:color w:val="auto"/>
          <w:sz w:val="24"/>
          <w:highlight w:val="none"/>
        </w:rPr>
        <w:t>其他投标人的价格分统一按照下列公式计算：</w:t>
      </w:r>
    </w:p>
    <w:p w14:paraId="22A94510">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auto"/>
        <w:rPr>
          <w:rFonts w:hint="eastAsia" w:ascii="仿宋" w:hAnsi="仿宋" w:eastAsia="仿宋" w:cs="仿宋"/>
          <w:bCs/>
          <w:iCs/>
          <w:color w:val="auto"/>
          <w:sz w:val="24"/>
          <w:highlight w:val="none"/>
        </w:rPr>
      </w:pPr>
      <w:r>
        <w:rPr>
          <w:rFonts w:hint="eastAsia" w:ascii="仿宋" w:hAnsi="仿宋" w:eastAsia="仿宋" w:cs="仿宋"/>
          <w:bCs/>
          <w:iCs/>
          <w:color w:val="auto"/>
          <w:sz w:val="24"/>
          <w:highlight w:val="none"/>
        </w:rPr>
        <w:t>投标报价得分=(评标基准价／投标报价)×价格权值×100</w:t>
      </w:r>
    </w:p>
    <w:p w14:paraId="393879BB">
      <w:pPr>
        <w:pStyle w:val="2"/>
        <w:keepNext w:val="0"/>
        <w:keepLines w:val="0"/>
        <w:pageBreakBefore w:val="0"/>
        <w:widowControl w:val="0"/>
        <w:kinsoku/>
        <w:wordWrap/>
        <w:overflowPunct/>
        <w:topLinePunct w:val="0"/>
        <w:bidi w:val="0"/>
        <w:adjustRightInd w:val="0"/>
        <w:spacing w:line="440" w:lineRule="exact"/>
        <w:ind w:left="0" w:leftChars="0" w:firstLine="480" w:firstLineChars="200"/>
        <w:textAlignment w:val="auto"/>
        <w:rPr>
          <w:rFonts w:hint="eastAsia" w:ascii="仿宋" w:hAnsi="仿宋" w:eastAsia="仿宋" w:cs="仿宋"/>
          <w:color w:val="auto"/>
          <w:highlight w:val="none"/>
          <w:lang w:eastAsia="zh-CN"/>
        </w:rPr>
      </w:pPr>
      <w:r>
        <w:rPr>
          <w:rFonts w:hint="eastAsia" w:ascii="仿宋" w:hAnsi="仿宋" w:eastAsia="仿宋" w:cs="仿宋"/>
          <w:bCs/>
          <w:iCs/>
          <w:color w:val="auto"/>
          <w:sz w:val="24"/>
          <w:highlight w:val="none"/>
        </w:rPr>
        <w:t>即：投标报价得分=(评标基准价／投标报价)×</w:t>
      </w:r>
      <w:r>
        <w:rPr>
          <w:rFonts w:hint="eastAsia" w:ascii="仿宋" w:hAnsi="仿宋" w:eastAsia="仿宋" w:cs="仿宋"/>
          <w:bCs/>
          <w:iCs/>
          <w:color w:val="auto"/>
          <w:sz w:val="24"/>
          <w:highlight w:val="none"/>
          <w:u w:val="single"/>
          <w:lang w:val="en-US" w:eastAsia="zh-CN"/>
        </w:rPr>
        <w:t xml:space="preserve"> 50 </w:t>
      </w:r>
      <w:r>
        <w:rPr>
          <w:rFonts w:hint="eastAsia" w:ascii="仿宋" w:hAnsi="仿宋" w:eastAsia="仿宋" w:cs="仿宋"/>
          <w:bCs/>
          <w:iCs/>
          <w:color w:val="auto"/>
          <w:sz w:val="24"/>
          <w:highlight w:val="none"/>
          <w:u w:val="none"/>
          <w:lang w:val="en-US" w:eastAsia="zh-CN"/>
        </w:rPr>
        <w:t>%</w:t>
      </w:r>
      <w:r>
        <w:rPr>
          <w:rFonts w:hint="eastAsia" w:ascii="仿宋" w:hAnsi="仿宋" w:eastAsia="仿宋" w:cs="仿宋"/>
          <w:bCs/>
          <w:iCs/>
          <w:color w:val="auto"/>
          <w:sz w:val="24"/>
          <w:highlight w:val="none"/>
        </w:rPr>
        <w:t>×100</w:t>
      </w:r>
    </w:p>
    <w:p w14:paraId="531611EB">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spacing w:line="440" w:lineRule="exact"/>
        <w:ind w:firstLine="480" w:firstLineChars="200"/>
        <w:textAlignment w:val="auto"/>
        <w:rPr>
          <w:rFonts w:hint="eastAsia" w:ascii="仿宋" w:hAnsi="仿宋" w:eastAsia="仿宋" w:cs="仿宋"/>
          <w:bCs/>
          <w:iCs/>
          <w:color w:val="auto"/>
          <w:sz w:val="24"/>
          <w:highlight w:val="none"/>
        </w:rPr>
      </w:pPr>
      <w:r>
        <w:rPr>
          <w:rFonts w:hint="eastAsia" w:ascii="仿宋" w:hAnsi="仿宋" w:eastAsia="仿宋" w:cs="仿宋"/>
          <w:bCs/>
          <w:iCs/>
          <w:color w:val="auto"/>
          <w:sz w:val="24"/>
          <w:highlight w:val="none"/>
        </w:rPr>
        <w:t>评标委员会在评标过程中发现投标人的报价低于采购预算价的60%（即2205988.8‬元），供应商应从成本角度充分说明报价合理性，并附证明材料；投标人应在评标现场合理的时间内通过乐采云平台提供线上说明，投标人不能证明其报价合理性的，评标委员会应当将其作为无效投标处理，并在评审报告中说明。</w:t>
      </w:r>
    </w:p>
    <w:p w14:paraId="679B9CFE">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spacing w:line="440" w:lineRule="exact"/>
        <w:ind w:firstLine="480" w:firstLineChars="200"/>
        <w:textAlignment w:val="auto"/>
        <w:rPr>
          <w:rFonts w:hint="eastAsia" w:ascii="仿宋" w:hAnsi="仿宋" w:eastAsia="仿宋" w:cs="仿宋"/>
          <w:b/>
          <w:color w:val="auto"/>
          <w:sz w:val="36"/>
          <w:szCs w:val="36"/>
          <w:highlight w:val="none"/>
        </w:rPr>
      </w:pPr>
      <w:r>
        <w:rPr>
          <w:rFonts w:hint="eastAsia" w:ascii="仿宋" w:hAnsi="仿宋" w:eastAsia="仿宋" w:cs="仿宋"/>
          <w:b w:val="0"/>
          <w:bCs/>
          <w:color w:val="auto"/>
          <w:sz w:val="24"/>
          <w:szCs w:val="24"/>
          <w:highlight w:val="none"/>
          <w:lang w:val="en-US" w:eastAsia="zh-CN"/>
        </w:rPr>
        <w:t>本项目设风险控制价，风险控制价为预算价的80%（即2909318.4‬元）</w:t>
      </w:r>
      <w:r>
        <w:rPr>
          <w:rFonts w:hint="eastAsia" w:ascii="仿宋" w:hAnsi="仿宋" w:eastAsia="仿宋" w:cs="仿宋"/>
          <w:bCs/>
          <w:iCs/>
          <w:color w:val="auto"/>
          <w:sz w:val="24"/>
          <w:highlight w:val="none"/>
        </w:rPr>
        <w:t>，若中标人低于该风险控制价中标的，中标人必须额外补交中标价净值与风险控制价之差额，中标人不</w:t>
      </w:r>
      <w:r>
        <w:rPr>
          <w:rFonts w:hint="eastAsia" w:ascii="仿宋" w:hAnsi="仿宋" w:eastAsia="仿宋" w:cs="仿宋"/>
          <w:bCs/>
          <w:iCs/>
          <w:color w:val="auto"/>
          <w:sz w:val="24"/>
          <w:highlight w:val="none"/>
          <w:lang w:val="en-US" w:eastAsia="zh-CN"/>
        </w:rPr>
        <w:t>按规定</w:t>
      </w:r>
      <w:r>
        <w:rPr>
          <w:rFonts w:hint="eastAsia" w:ascii="仿宋" w:hAnsi="仿宋" w:eastAsia="仿宋" w:cs="仿宋"/>
          <w:bCs/>
          <w:iCs/>
          <w:color w:val="auto"/>
          <w:sz w:val="24"/>
          <w:highlight w:val="none"/>
        </w:rPr>
        <w:t>提交的视为放弃中标，相关损失由放弃中标的中标单位承担。</w:t>
      </w:r>
      <w:r>
        <w:rPr>
          <w:rFonts w:hint="eastAsia" w:ascii="仿宋" w:hAnsi="仿宋" w:eastAsia="仿宋" w:cs="仿宋"/>
          <w:bCs/>
          <w:iCs/>
          <w:color w:val="auto"/>
          <w:sz w:val="24"/>
          <w:highlight w:val="none"/>
          <w:lang w:val="en-US" w:eastAsia="zh-CN"/>
        </w:rPr>
        <w:t>差额</w:t>
      </w:r>
      <w:r>
        <w:rPr>
          <w:rFonts w:hint="eastAsia" w:ascii="仿宋" w:hAnsi="仿宋" w:eastAsia="仿宋" w:cs="仿宋"/>
          <w:bCs/>
          <w:iCs/>
          <w:color w:val="auto"/>
          <w:sz w:val="24"/>
          <w:highlight w:val="none"/>
        </w:rPr>
        <w:t>保证金</w:t>
      </w:r>
      <w:r>
        <w:rPr>
          <w:rFonts w:hint="eastAsia" w:ascii="仿宋" w:hAnsi="仿宋" w:eastAsia="仿宋" w:cs="仿宋"/>
          <w:bCs/>
          <w:iCs/>
          <w:color w:val="auto"/>
          <w:sz w:val="24"/>
          <w:highlight w:val="none"/>
          <w:lang w:val="en-US" w:eastAsia="zh-CN"/>
        </w:rPr>
        <w:t>在项目服务期满后无相关违约问题30天</w:t>
      </w:r>
      <w:r>
        <w:rPr>
          <w:rFonts w:hint="eastAsia" w:ascii="仿宋" w:hAnsi="仿宋" w:eastAsia="仿宋" w:cs="仿宋"/>
          <w:bCs/>
          <w:iCs/>
          <w:color w:val="auto"/>
          <w:sz w:val="24"/>
          <w:highlight w:val="none"/>
        </w:rPr>
        <w:t>内无息退还</w:t>
      </w:r>
      <w:r>
        <w:rPr>
          <w:rFonts w:hint="eastAsia" w:ascii="仿宋" w:hAnsi="仿宋" w:eastAsia="仿宋" w:cs="仿宋"/>
          <w:bCs/>
          <w:iCs/>
          <w:color w:val="auto"/>
          <w:sz w:val="24"/>
          <w:highlight w:val="none"/>
          <w:lang w:val="en-US" w:eastAsia="zh-CN"/>
        </w:rPr>
        <w:t>。（差额</w:t>
      </w:r>
      <w:r>
        <w:rPr>
          <w:rFonts w:hint="eastAsia" w:ascii="仿宋" w:hAnsi="仿宋" w:eastAsia="仿宋" w:cs="仿宋"/>
          <w:bCs/>
          <w:iCs/>
          <w:color w:val="auto"/>
          <w:sz w:val="24"/>
          <w:highlight w:val="none"/>
        </w:rPr>
        <w:t>保证金在</w:t>
      </w:r>
      <w:r>
        <w:rPr>
          <w:rFonts w:hint="eastAsia" w:ascii="仿宋" w:hAnsi="仿宋" w:eastAsia="仿宋" w:cs="仿宋"/>
          <w:bCs/>
          <w:iCs/>
          <w:color w:val="auto"/>
          <w:sz w:val="24"/>
          <w:highlight w:val="none"/>
          <w:lang w:val="en-US" w:eastAsia="zh-CN"/>
        </w:rPr>
        <w:t>中标公告</w:t>
      </w:r>
      <w:r>
        <w:rPr>
          <w:rFonts w:hint="eastAsia" w:ascii="仿宋" w:hAnsi="仿宋" w:eastAsia="仿宋" w:cs="仿宋"/>
          <w:bCs/>
          <w:iCs/>
          <w:color w:val="auto"/>
          <w:sz w:val="24"/>
          <w:highlight w:val="none"/>
        </w:rPr>
        <w:t>发出后10个工作日内交至采购单位，以电汇、转账方式交纳)</w:t>
      </w:r>
    </w:p>
    <w:p w14:paraId="1F295AFE">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spacing w:line="440" w:lineRule="exact"/>
        <w:textAlignment w:val="auto"/>
        <w:rPr>
          <w:rFonts w:hint="eastAsia" w:ascii="仿宋" w:hAnsi="仿宋" w:eastAsia="仿宋" w:cs="仿宋"/>
          <w:b/>
          <w:color w:val="auto"/>
          <w:sz w:val="36"/>
          <w:szCs w:val="36"/>
          <w:highlight w:val="none"/>
        </w:rPr>
        <w:sectPr>
          <w:pgSz w:w="11907" w:h="16840"/>
          <w:pgMar w:top="1814" w:right="1474" w:bottom="1814" w:left="1474" w:header="851" w:footer="851" w:gutter="0"/>
          <w:pgNumType w:fmt="decimal"/>
          <w:cols w:space="720" w:num="1"/>
        </w:sectPr>
      </w:pPr>
    </w:p>
    <w:bookmarkEnd w:id="28"/>
    <w:bookmarkEnd w:id="29"/>
    <w:p w14:paraId="3706935C">
      <w:pPr>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第</w:t>
      </w:r>
      <w:r>
        <w:rPr>
          <w:rFonts w:hint="eastAsia" w:ascii="仿宋" w:hAnsi="仿宋" w:eastAsia="仿宋" w:cs="仿宋"/>
          <w:b/>
          <w:color w:val="auto"/>
          <w:sz w:val="36"/>
          <w:szCs w:val="36"/>
          <w:highlight w:val="none"/>
          <w:lang w:val="en-US" w:eastAsia="zh-CN"/>
        </w:rPr>
        <w:t>五</w:t>
      </w:r>
      <w:r>
        <w:rPr>
          <w:rFonts w:hint="eastAsia" w:ascii="仿宋" w:hAnsi="仿宋" w:eastAsia="仿宋" w:cs="仿宋"/>
          <w:b/>
          <w:color w:val="auto"/>
          <w:sz w:val="36"/>
          <w:szCs w:val="36"/>
          <w:highlight w:val="none"/>
        </w:rPr>
        <w:t>部分</w:t>
      </w:r>
      <w:r>
        <w:rPr>
          <w:rFonts w:hint="eastAsia" w:ascii="仿宋" w:hAnsi="仿宋" w:eastAsia="仿宋" w:cs="仿宋"/>
          <w:b/>
          <w:color w:val="auto"/>
          <w:sz w:val="36"/>
          <w:szCs w:val="36"/>
          <w:highlight w:val="none"/>
          <w:lang w:val="en-US" w:eastAsia="zh-CN"/>
        </w:rPr>
        <w:t xml:space="preserve">  </w:t>
      </w:r>
      <w:r>
        <w:rPr>
          <w:rFonts w:hint="eastAsia" w:ascii="仿宋" w:hAnsi="仿宋" w:eastAsia="仿宋" w:cs="仿宋"/>
          <w:b/>
          <w:color w:val="auto"/>
          <w:sz w:val="36"/>
          <w:szCs w:val="36"/>
          <w:highlight w:val="none"/>
        </w:rPr>
        <w:t>拟签订的合同文本</w:t>
      </w:r>
    </w:p>
    <w:p w14:paraId="0765CFD8">
      <w:pPr>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合同编号：</w:t>
      </w:r>
    </w:p>
    <w:p w14:paraId="6F979285">
      <w:pPr>
        <w:spacing w:line="480" w:lineRule="auto"/>
        <w:jc w:val="center"/>
        <w:rPr>
          <w:rFonts w:hint="eastAsia" w:ascii="仿宋" w:hAnsi="仿宋" w:eastAsia="仿宋" w:cs="仿宋"/>
          <w:b/>
          <w:color w:val="auto"/>
          <w:sz w:val="28"/>
          <w:szCs w:val="28"/>
          <w:highlight w:val="none"/>
        </w:rPr>
      </w:pPr>
    </w:p>
    <w:p w14:paraId="2F575D6F">
      <w:pPr>
        <w:spacing w:line="480" w:lineRule="auto"/>
        <w:jc w:val="center"/>
        <w:rPr>
          <w:rFonts w:hint="eastAsia" w:ascii="仿宋" w:hAnsi="仿宋" w:eastAsia="仿宋" w:cs="仿宋"/>
          <w:b/>
          <w:color w:val="auto"/>
          <w:sz w:val="24"/>
          <w:highlight w:val="none"/>
        </w:rPr>
      </w:pPr>
    </w:p>
    <w:p w14:paraId="635E6431">
      <w:pPr>
        <w:spacing w:line="480" w:lineRule="auto"/>
        <w:jc w:val="center"/>
        <w:rPr>
          <w:rFonts w:hint="eastAsia" w:ascii="仿宋" w:hAnsi="仿宋" w:eastAsia="仿宋" w:cs="仿宋"/>
          <w:b/>
          <w:color w:val="auto"/>
          <w:sz w:val="24"/>
          <w:highlight w:val="none"/>
        </w:rPr>
      </w:pPr>
    </w:p>
    <w:p w14:paraId="5A736C46">
      <w:pPr>
        <w:spacing w:line="480" w:lineRule="auto"/>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采购合同参考范本</w:t>
      </w:r>
    </w:p>
    <w:p w14:paraId="46CB3CA4">
      <w:pPr>
        <w:spacing w:line="480" w:lineRule="auto"/>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w:t>
      </w:r>
      <w:r>
        <w:rPr>
          <w:rFonts w:hint="eastAsia" w:ascii="仿宋" w:hAnsi="仿宋" w:eastAsia="仿宋" w:cs="仿宋"/>
          <w:b/>
          <w:color w:val="auto"/>
          <w:sz w:val="36"/>
          <w:szCs w:val="36"/>
          <w:highlight w:val="none"/>
          <w:lang w:val="en-US" w:eastAsia="zh-CN"/>
        </w:rPr>
        <w:t>服务</w:t>
      </w:r>
      <w:r>
        <w:rPr>
          <w:rFonts w:hint="eastAsia" w:ascii="仿宋" w:hAnsi="仿宋" w:eastAsia="仿宋" w:cs="仿宋"/>
          <w:b/>
          <w:color w:val="auto"/>
          <w:sz w:val="36"/>
          <w:szCs w:val="36"/>
          <w:highlight w:val="none"/>
        </w:rPr>
        <w:t>类）</w:t>
      </w:r>
    </w:p>
    <w:p w14:paraId="469A101E">
      <w:pPr>
        <w:pStyle w:val="704"/>
        <w:ind w:left="0" w:leftChars="0" w:firstLine="0" w:firstLineChars="0"/>
        <w:rPr>
          <w:rFonts w:hint="eastAsia" w:ascii="仿宋" w:hAnsi="仿宋" w:eastAsia="仿宋" w:cs="仿宋"/>
          <w:color w:val="auto"/>
          <w:szCs w:val="24"/>
          <w:highlight w:val="none"/>
        </w:rPr>
      </w:pPr>
    </w:p>
    <w:p w14:paraId="1083C548">
      <w:pPr>
        <w:pStyle w:val="704"/>
        <w:ind w:left="0" w:leftChars="0" w:firstLine="0" w:firstLineChars="0"/>
        <w:rPr>
          <w:rFonts w:hint="eastAsia" w:ascii="仿宋" w:hAnsi="仿宋" w:eastAsia="仿宋" w:cs="仿宋"/>
          <w:b/>
          <w:color w:val="auto"/>
          <w:szCs w:val="24"/>
          <w:highlight w:val="none"/>
        </w:rPr>
      </w:pPr>
    </w:p>
    <w:p w14:paraId="606C4B13">
      <w:pPr>
        <w:pStyle w:val="704"/>
        <w:rPr>
          <w:rFonts w:hint="eastAsia" w:ascii="仿宋" w:hAnsi="仿宋" w:eastAsia="仿宋" w:cs="仿宋"/>
          <w:color w:val="auto"/>
          <w:szCs w:val="24"/>
          <w:highlight w:val="none"/>
        </w:rPr>
      </w:pPr>
    </w:p>
    <w:p w14:paraId="33D311AB">
      <w:pPr>
        <w:pStyle w:val="704"/>
        <w:rPr>
          <w:rFonts w:hint="eastAsia" w:ascii="仿宋" w:hAnsi="仿宋" w:eastAsia="仿宋" w:cs="仿宋"/>
          <w:color w:val="auto"/>
          <w:szCs w:val="24"/>
          <w:highlight w:val="none"/>
        </w:rPr>
      </w:pPr>
    </w:p>
    <w:p w14:paraId="562734D5">
      <w:pPr>
        <w:spacing w:before="120" w:line="22" w:lineRule="atLeast"/>
        <w:rPr>
          <w:rFonts w:hint="eastAsia" w:ascii="仿宋" w:hAnsi="仿宋" w:eastAsia="仿宋" w:cs="仿宋"/>
          <w:color w:val="auto"/>
          <w:sz w:val="24"/>
          <w:highlight w:val="none"/>
        </w:rPr>
      </w:pPr>
    </w:p>
    <w:p w14:paraId="612FD210">
      <w:pPr>
        <w:spacing w:before="120" w:line="22" w:lineRule="atLeast"/>
        <w:ind w:left="96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p>
    <w:p w14:paraId="55109586">
      <w:pPr>
        <w:pStyle w:val="601"/>
        <w:spacing w:before="120" w:line="22" w:lineRule="atLeast"/>
        <w:rPr>
          <w:rFonts w:hint="eastAsia" w:ascii="仿宋" w:hAnsi="仿宋" w:eastAsia="仿宋" w:cs="仿宋"/>
          <w:color w:val="auto"/>
          <w:szCs w:val="24"/>
          <w:highlight w:val="none"/>
        </w:rPr>
      </w:pPr>
    </w:p>
    <w:p w14:paraId="724CFDFD">
      <w:pPr>
        <w:pStyle w:val="601"/>
        <w:spacing w:before="120" w:line="22" w:lineRule="atLeast"/>
        <w:rPr>
          <w:rFonts w:hint="eastAsia" w:ascii="仿宋" w:hAnsi="仿宋" w:eastAsia="仿宋" w:cs="仿宋"/>
          <w:color w:val="auto"/>
          <w:szCs w:val="24"/>
          <w:highlight w:val="none"/>
        </w:rPr>
      </w:pPr>
    </w:p>
    <w:p w14:paraId="5EB818D2">
      <w:pPr>
        <w:rPr>
          <w:rFonts w:hint="eastAsia" w:ascii="仿宋" w:hAnsi="仿宋" w:eastAsia="仿宋" w:cs="仿宋"/>
          <w:color w:val="auto"/>
          <w:sz w:val="24"/>
          <w:highlight w:val="none"/>
        </w:rPr>
      </w:pPr>
    </w:p>
    <w:p w14:paraId="0AA9C990">
      <w:pPr>
        <w:spacing w:before="120" w:line="22" w:lineRule="atLeast"/>
        <w:ind w:left="960"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甲方：</w:t>
      </w:r>
    </w:p>
    <w:p w14:paraId="515697CF">
      <w:pPr>
        <w:spacing w:before="120" w:line="22" w:lineRule="atLeast"/>
        <w:rPr>
          <w:rFonts w:hint="eastAsia" w:ascii="仿宋" w:hAnsi="仿宋" w:eastAsia="仿宋" w:cs="仿宋"/>
          <w:color w:val="auto"/>
          <w:sz w:val="24"/>
          <w:highlight w:val="none"/>
        </w:rPr>
      </w:pPr>
    </w:p>
    <w:p w14:paraId="54B503D2">
      <w:pPr>
        <w:spacing w:before="120" w:line="22" w:lineRule="atLeast"/>
        <w:ind w:left="960"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乙方：</w:t>
      </w:r>
    </w:p>
    <w:p w14:paraId="4B730D34">
      <w:pPr>
        <w:spacing w:before="120" w:line="22" w:lineRule="atLeast"/>
        <w:rPr>
          <w:rFonts w:hint="eastAsia" w:ascii="仿宋" w:hAnsi="仿宋" w:eastAsia="仿宋" w:cs="仿宋"/>
          <w:color w:val="auto"/>
          <w:sz w:val="24"/>
          <w:highlight w:val="none"/>
        </w:rPr>
      </w:pPr>
    </w:p>
    <w:p w14:paraId="21ADDD47">
      <w:pPr>
        <w:spacing w:before="120" w:line="22" w:lineRule="atLeast"/>
        <w:ind w:firstLine="1440" w:firstLineChars="6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签订地：</w:t>
      </w:r>
    </w:p>
    <w:p w14:paraId="2B57F768">
      <w:pPr>
        <w:spacing w:before="120" w:line="22" w:lineRule="atLeast"/>
        <w:rPr>
          <w:rFonts w:hint="eastAsia" w:ascii="仿宋" w:hAnsi="仿宋" w:eastAsia="仿宋" w:cs="仿宋"/>
          <w:color w:val="auto"/>
          <w:sz w:val="24"/>
          <w:highlight w:val="none"/>
        </w:rPr>
      </w:pPr>
    </w:p>
    <w:p w14:paraId="20BCDC76">
      <w:pPr>
        <w:spacing w:before="120" w:line="22" w:lineRule="atLeast"/>
        <w:ind w:firstLine="1440" w:firstLineChars="600"/>
        <w:rPr>
          <w:rFonts w:hint="eastAsia" w:ascii="仿宋" w:hAnsi="仿宋" w:eastAsia="仿宋" w:cs="仿宋"/>
          <w:color w:val="auto"/>
          <w:kern w:val="0"/>
          <w:sz w:val="24"/>
          <w:highlight w:val="none"/>
        </w:rPr>
        <w:sectPr>
          <w:pgSz w:w="11907" w:h="16840"/>
          <w:pgMar w:top="1814" w:right="1474" w:bottom="1814" w:left="1474" w:header="851" w:footer="851" w:gutter="0"/>
          <w:pgNumType w:fmt="decimal"/>
          <w:cols w:space="720" w:num="1"/>
        </w:sectPr>
      </w:pPr>
      <w:r>
        <w:rPr>
          <w:rFonts w:hint="eastAsia" w:ascii="仿宋" w:hAnsi="仿宋" w:eastAsia="仿宋" w:cs="仿宋"/>
          <w:color w:val="auto"/>
          <w:sz w:val="24"/>
          <w:highlight w:val="none"/>
        </w:rPr>
        <w:t>签订日期：</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w:t>
      </w:r>
    </w:p>
    <w:p w14:paraId="6C3B38D0">
      <w:pPr>
        <w:keepNext w:val="0"/>
        <w:keepLines w:val="0"/>
        <w:pageBreakBefore w:val="0"/>
        <w:kinsoku/>
        <w:wordWrap/>
        <w:overflowPunct/>
        <w:topLinePunct w:val="0"/>
        <w:autoSpaceDE/>
        <w:autoSpaceDN/>
        <w:bidi w:val="0"/>
        <w:adjustRightInd w:val="0"/>
        <w:snapToGrid/>
        <w:spacing w:line="360" w:lineRule="auto"/>
        <w:ind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lang w:val="zh-CN"/>
        </w:rPr>
        <w:t>年</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lang w:val="zh-CN"/>
        </w:rPr>
        <w:t>月</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lang w:val="zh-CN"/>
        </w:rPr>
        <w:t>日</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（采购人）   </w:t>
      </w:r>
      <w:r>
        <w:rPr>
          <w:rFonts w:hint="eastAsia" w:ascii="仿宋" w:hAnsi="仿宋" w:eastAsia="仿宋" w:cs="仿宋"/>
          <w:color w:val="auto"/>
          <w:sz w:val="24"/>
          <w:szCs w:val="24"/>
          <w:highlight w:val="none"/>
        </w:rPr>
        <w:t>以</w:t>
      </w:r>
      <w:r>
        <w:rPr>
          <w:rFonts w:hint="eastAsia" w:ascii="仿宋" w:hAnsi="仿宋" w:eastAsia="仿宋" w:cs="仿宋"/>
          <w:color w:val="auto"/>
          <w:sz w:val="24"/>
          <w:szCs w:val="24"/>
          <w:highlight w:val="none"/>
          <w:u w:val="single"/>
        </w:rPr>
        <w:t xml:space="preserve">   （政府采购方式）  </w:t>
      </w:r>
      <w:r>
        <w:rPr>
          <w:rFonts w:hint="eastAsia" w:ascii="仿宋" w:hAnsi="仿宋" w:eastAsia="仿宋" w:cs="仿宋"/>
          <w:color w:val="auto"/>
          <w:sz w:val="24"/>
          <w:szCs w:val="24"/>
          <w:highlight w:val="none"/>
        </w:rPr>
        <w:t>对</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eastAsia="zh-CN"/>
        </w:rPr>
        <w:t>（项目名称）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项目进行了采购。经</w:t>
      </w:r>
      <w:r>
        <w:rPr>
          <w:rFonts w:hint="eastAsia" w:ascii="仿宋" w:hAnsi="仿宋" w:eastAsia="仿宋" w:cs="仿宋"/>
          <w:color w:val="auto"/>
          <w:sz w:val="24"/>
          <w:szCs w:val="24"/>
          <w:highlight w:val="none"/>
          <w:u w:val="single"/>
        </w:rPr>
        <w:t xml:space="preserve">   （相关评定主体名称）   </w:t>
      </w:r>
      <w:r>
        <w:rPr>
          <w:rFonts w:hint="eastAsia" w:ascii="仿宋" w:hAnsi="仿宋" w:eastAsia="仿宋" w:cs="仿宋"/>
          <w:color w:val="auto"/>
          <w:sz w:val="24"/>
          <w:szCs w:val="24"/>
          <w:highlight w:val="none"/>
        </w:rPr>
        <w:t>评定，</w:t>
      </w:r>
      <w:r>
        <w:rPr>
          <w:rFonts w:hint="eastAsia" w:ascii="仿宋" w:hAnsi="仿宋" w:eastAsia="仿宋" w:cs="仿宋"/>
          <w:color w:val="auto"/>
          <w:sz w:val="24"/>
          <w:szCs w:val="24"/>
          <w:highlight w:val="none"/>
          <w:u w:val="single"/>
        </w:rPr>
        <w:t xml:space="preserve">   （中标或者成交供应商名称） </w:t>
      </w:r>
      <w:r>
        <w:rPr>
          <w:rFonts w:hint="eastAsia" w:ascii="仿宋" w:hAnsi="仿宋" w:eastAsia="仿宋" w:cs="仿宋"/>
          <w:color w:val="auto"/>
          <w:sz w:val="24"/>
          <w:szCs w:val="24"/>
          <w:highlight w:val="none"/>
        </w:rPr>
        <w:t>为该项目中标或者成交供应商。现于中标或者成交通知书发出之日起</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个日内，按照采购文件确定的事项签订本合同。</w:t>
      </w:r>
    </w:p>
    <w:p w14:paraId="4F19B853">
      <w:pPr>
        <w:keepNext w:val="0"/>
        <w:keepLines w:val="0"/>
        <w:pageBreakBefore w:val="0"/>
        <w:kinsoku/>
        <w:wordWrap/>
        <w:overflowPunct/>
        <w:topLinePunct w:val="0"/>
        <w:autoSpaceDE/>
        <w:autoSpaceDN/>
        <w:bidi w:val="0"/>
        <w:adjustRightInd w:val="0"/>
        <w:snapToGrid/>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根据《中华人民共和国民法典》等相关法律法规之规定，按照平等、自愿、公平和诚实信用的原则，经</w:t>
      </w:r>
      <w:r>
        <w:rPr>
          <w:rFonts w:hint="eastAsia" w:ascii="仿宋" w:hAnsi="仿宋" w:eastAsia="仿宋" w:cs="仿宋"/>
          <w:color w:val="auto"/>
          <w:sz w:val="24"/>
          <w:szCs w:val="24"/>
          <w:highlight w:val="none"/>
          <w:u w:val="single"/>
        </w:rPr>
        <w:t xml:space="preserve">   （采购人）   </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lang w:val="zh-CN"/>
        </w:rPr>
        <w:t>以下简称：甲方）和</w:t>
      </w:r>
      <w:r>
        <w:rPr>
          <w:rFonts w:hint="eastAsia" w:ascii="仿宋" w:hAnsi="仿宋" w:eastAsia="仿宋" w:cs="仿宋"/>
          <w:color w:val="auto"/>
          <w:sz w:val="24"/>
          <w:szCs w:val="24"/>
          <w:highlight w:val="none"/>
          <w:u w:val="single"/>
        </w:rPr>
        <w:t xml:space="preserve">   （中或者成交标供应商名称）   </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lang w:val="zh-CN"/>
        </w:rPr>
        <w:t>以下简称：乙方）协商一致，约定以下合同</w:t>
      </w:r>
      <w:r>
        <w:rPr>
          <w:rFonts w:hint="eastAsia" w:ascii="仿宋" w:hAnsi="仿宋" w:eastAsia="仿宋" w:cs="仿宋"/>
          <w:color w:val="auto"/>
          <w:sz w:val="24"/>
          <w:szCs w:val="24"/>
          <w:highlight w:val="none"/>
        </w:rPr>
        <w:t>条款，以兹共同遵守、全面履行。</w:t>
      </w:r>
    </w:p>
    <w:p w14:paraId="3EDF610F">
      <w:pPr>
        <w:keepNext w:val="0"/>
        <w:keepLines w:val="0"/>
        <w:pageBreakBefore w:val="0"/>
        <w:kinsoku/>
        <w:wordWrap/>
        <w:overflowPunct/>
        <w:topLinePunct w:val="0"/>
        <w:autoSpaceDE/>
        <w:autoSpaceDN/>
        <w:bidi w:val="0"/>
        <w:adjustRightInd w:val="0"/>
        <w:snapToGrid/>
        <w:spacing w:line="360" w:lineRule="auto"/>
        <w:ind w:left="0" w:leftChars="0" w:right="0" w:rightChars="0" w:firstLine="482" w:firstLineChars="200"/>
        <w:textAlignment w:val="auto"/>
        <w:outlineLvl w:val="0"/>
        <w:rPr>
          <w:rFonts w:hint="eastAsia" w:ascii="仿宋" w:hAnsi="仿宋" w:eastAsia="仿宋" w:cs="仿宋"/>
          <w:color w:val="auto"/>
          <w:sz w:val="24"/>
          <w:szCs w:val="24"/>
          <w:highlight w:val="none"/>
        </w:rPr>
      </w:pPr>
      <w:bookmarkStart w:id="30" w:name="_Toc15367"/>
      <w:bookmarkStart w:id="31" w:name="_Toc20421"/>
      <w:bookmarkStart w:id="32" w:name="_Toc19273"/>
      <w:bookmarkStart w:id="33" w:name="_Toc28855"/>
      <w:bookmarkStart w:id="34" w:name="_Toc22967"/>
      <w:r>
        <w:rPr>
          <w:rFonts w:hint="eastAsia" w:ascii="仿宋" w:hAnsi="仿宋" w:eastAsia="仿宋" w:cs="仿宋"/>
          <w:b/>
          <w:color w:val="auto"/>
          <w:sz w:val="24"/>
          <w:szCs w:val="24"/>
          <w:highlight w:val="none"/>
          <w:lang w:val="en-US" w:eastAsia="zh-CN"/>
        </w:rPr>
        <w:t>一、</w:t>
      </w:r>
      <w:r>
        <w:rPr>
          <w:rFonts w:hint="eastAsia" w:ascii="仿宋" w:hAnsi="仿宋" w:eastAsia="仿宋" w:cs="仿宋"/>
          <w:b/>
          <w:color w:val="auto"/>
          <w:sz w:val="24"/>
          <w:szCs w:val="24"/>
          <w:highlight w:val="none"/>
        </w:rPr>
        <w:t>合同组成部分</w:t>
      </w:r>
      <w:bookmarkEnd w:id="30"/>
      <w:bookmarkEnd w:id="31"/>
      <w:bookmarkEnd w:id="32"/>
      <w:bookmarkEnd w:id="33"/>
      <w:bookmarkEnd w:id="34"/>
    </w:p>
    <w:p w14:paraId="21B730B6">
      <w:pPr>
        <w:keepNext w:val="0"/>
        <w:keepLines w:val="0"/>
        <w:pageBreakBefore w:val="0"/>
        <w:kinsoku/>
        <w:wordWrap/>
        <w:overflowPunct/>
        <w:topLinePunct w:val="0"/>
        <w:autoSpaceDE/>
        <w:autoSpaceDN/>
        <w:bidi w:val="0"/>
        <w:adjustRightInd w:val="0"/>
        <w:snapToGrid/>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3C3F22D8">
      <w:pPr>
        <w:keepNext w:val="0"/>
        <w:keepLines w:val="0"/>
        <w:pageBreakBefore w:val="0"/>
        <w:kinsoku/>
        <w:wordWrap/>
        <w:overflowPunct/>
        <w:topLinePunct w:val="0"/>
        <w:autoSpaceDE/>
        <w:autoSpaceDN/>
        <w:bidi w:val="0"/>
        <w:adjustRightInd w:val="0"/>
        <w:snapToGrid/>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 本合同及其补充合同、变更协议；</w:t>
      </w:r>
    </w:p>
    <w:p w14:paraId="72F476DA">
      <w:pPr>
        <w:keepNext w:val="0"/>
        <w:keepLines w:val="0"/>
        <w:pageBreakBefore w:val="0"/>
        <w:kinsoku/>
        <w:wordWrap/>
        <w:overflowPunct/>
        <w:topLinePunct w:val="0"/>
        <w:autoSpaceDE/>
        <w:autoSpaceDN/>
        <w:bidi w:val="0"/>
        <w:adjustRightInd w:val="0"/>
        <w:snapToGrid/>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 中标或者成交通知书；</w:t>
      </w:r>
    </w:p>
    <w:p w14:paraId="14AD9066">
      <w:pPr>
        <w:keepNext w:val="0"/>
        <w:keepLines w:val="0"/>
        <w:pageBreakBefore w:val="0"/>
        <w:kinsoku/>
        <w:wordWrap/>
        <w:overflowPunct/>
        <w:topLinePunct w:val="0"/>
        <w:autoSpaceDE/>
        <w:autoSpaceDN/>
        <w:bidi w:val="0"/>
        <w:adjustRightInd w:val="0"/>
        <w:snapToGrid/>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 投标或者响应文件（含澄清或者说明文件）；</w:t>
      </w:r>
    </w:p>
    <w:p w14:paraId="5C7F4379">
      <w:pPr>
        <w:keepNext w:val="0"/>
        <w:keepLines w:val="0"/>
        <w:pageBreakBefore w:val="0"/>
        <w:kinsoku/>
        <w:wordWrap/>
        <w:overflowPunct/>
        <w:topLinePunct w:val="0"/>
        <w:autoSpaceDE/>
        <w:autoSpaceDN/>
        <w:bidi w:val="0"/>
        <w:adjustRightInd w:val="0"/>
        <w:snapToGrid/>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 采购文件（含澄清或者修改文件）；</w:t>
      </w:r>
    </w:p>
    <w:p w14:paraId="6695B191">
      <w:pPr>
        <w:keepNext w:val="0"/>
        <w:keepLines w:val="0"/>
        <w:pageBreakBefore w:val="0"/>
        <w:kinsoku/>
        <w:wordWrap/>
        <w:overflowPunct/>
        <w:topLinePunct w:val="0"/>
        <w:autoSpaceDE/>
        <w:autoSpaceDN/>
        <w:bidi w:val="0"/>
        <w:adjustRightInd w:val="0"/>
        <w:snapToGrid/>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 其他相关采购文件。</w:t>
      </w:r>
    </w:p>
    <w:p w14:paraId="19C8650A">
      <w:pPr>
        <w:spacing w:line="360" w:lineRule="auto"/>
        <w:ind w:firstLine="482" w:firstLineChars="200"/>
        <w:contextualSpacing/>
        <w:rPr>
          <w:rFonts w:hint="eastAsia" w:ascii="仿宋" w:hAnsi="仿宋" w:eastAsia="仿宋" w:cs="仿宋"/>
          <w:color w:val="auto"/>
          <w:sz w:val="24"/>
          <w:highlight w:val="none"/>
        </w:rPr>
      </w:pPr>
      <w:bookmarkStart w:id="35" w:name="_Toc15583"/>
      <w:bookmarkStart w:id="36" w:name="_Toc16021"/>
      <w:bookmarkStart w:id="37" w:name="_Toc28375"/>
      <w:r>
        <w:rPr>
          <w:rFonts w:hint="eastAsia" w:ascii="仿宋" w:hAnsi="仿宋" w:eastAsia="仿宋" w:cs="仿宋"/>
          <w:b/>
          <w:bCs/>
          <w:color w:val="auto"/>
          <w:sz w:val="24"/>
          <w:highlight w:val="none"/>
          <w:lang w:val="en-US" w:eastAsia="zh-CN"/>
        </w:rPr>
        <w:t>二</w:t>
      </w:r>
      <w:r>
        <w:rPr>
          <w:rFonts w:hint="eastAsia" w:ascii="仿宋" w:hAnsi="仿宋" w:eastAsia="仿宋" w:cs="仿宋"/>
          <w:b/>
          <w:bCs/>
          <w:color w:val="auto"/>
          <w:sz w:val="24"/>
          <w:highlight w:val="none"/>
        </w:rPr>
        <w:t>、项目内容、合同金额及清单</w:t>
      </w:r>
    </w:p>
    <w:tbl>
      <w:tblPr>
        <w:tblStyle w:val="65"/>
        <w:tblW w:w="84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3426"/>
        <w:gridCol w:w="757"/>
        <w:gridCol w:w="1067"/>
        <w:gridCol w:w="2497"/>
      </w:tblGrid>
      <w:tr w14:paraId="60070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37" w:type="dxa"/>
            <w:vAlign w:val="center"/>
          </w:tcPr>
          <w:p w14:paraId="3F1F9350">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3426" w:type="dxa"/>
            <w:vAlign w:val="center"/>
          </w:tcPr>
          <w:p w14:paraId="590629A7">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名称</w:t>
            </w:r>
          </w:p>
        </w:tc>
        <w:tc>
          <w:tcPr>
            <w:tcW w:w="757" w:type="dxa"/>
            <w:vAlign w:val="center"/>
          </w:tcPr>
          <w:p w14:paraId="354F4A72">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数量</w:t>
            </w:r>
          </w:p>
        </w:tc>
        <w:tc>
          <w:tcPr>
            <w:tcW w:w="1067" w:type="dxa"/>
            <w:vAlign w:val="center"/>
          </w:tcPr>
          <w:p w14:paraId="19F38DC2">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单位</w:t>
            </w:r>
          </w:p>
        </w:tc>
        <w:tc>
          <w:tcPr>
            <w:tcW w:w="2497" w:type="dxa"/>
            <w:vAlign w:val="center"/>
          </w:tcPr>
          <w:p w14:paraId="7A3BCD5E">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总价（元）</w:t>
            </w:r>
          </w:p>
        </w:tc>
      </w:tr>
      <w:tr w14:paraId="60186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37" w:type="dxa"/>
            <w:vAlign w:val="center"/>
          </w:tcPr>
          <w:p w14:paraId="7DB31836">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3426" w:type="dxa"/>
            <w:vAlign w:val="center"/>
          </w:tcPr>
          <w:p w14:paraId="6DA5CDC3">
            <w:pPr>
              <w:spacing w:line="360" w:lineRule="auto"/>
              <w:jc w:val="center"/>
              <w:rPr>
                <w:rFonts w:hint="eastAsia" w:ascii="仿宋" w:hAnsi="仿宋" w:eastAsia="仿宋" w:cs="仿宋"/>
                <w:color w:val="auto"/>
                <w:sz w:val="24"/>
                <w:highlight w:val="none"/>
                <w:lang w:eastAsia="zh-CN"/>
              </w:rPr>
            </w:pPr>
          </w:p>
        </w:tc>
        <w:tc>
          <w:tcPr>
            <w:tcW w:w="757" w:type="dxa"/>
            <w:vAlign w:val="center"/>
          </w:tcPr>
          <w:p w14:paraId="018FCFDC">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1067" w:type="dxa"/>
            <w:vAlign w:val="center"/>
          </w:tcPr>
          <w:p w14:paraId="425B0F87">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w:t>
            </w:r>
          </w:p>
        </w:tc>
        <w:tc>
          <w:tcPr>
            <w:tcW w:w="2497" w:type="dxa"/>
            <w:vAlign w:val="center"/>
          </w:tcPr>
          <w:p w14:paraId="35E9298F">
            <w:pPr>
              <w:spacing w:line="360" w:lineRule="auto"/>
              <w:jc w:val="center"/>
              <w:rPr>
                <w:rFonts w:hint="eastAsia" w:ascii="仿宋" w:hAnsi="仿宋" w:eastAsia="仿宋" w:cs="仿宋"/>
                <w:color w:val="auto"/>
                <w:sz w:val="24"/>
                <w:highlight w:val="none"/>
              </w:rPr>
            </w:pPr>
          </w:p>
        </w:tc>
      </w:tr>
      <w:tr w14:paraId="01904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484" w:type="dxa"/>
            <w:gridSpan w:val="5"/>
            <w:vAlign w:val="center"/>
          </w:tcPr>
          <w:p w14:paraId="755462B8">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合计（金额大写）：</w:t>
            </w:r>
          </w:p>
        </w:tc>
      </w:tr>
    </w:tbl>
    <w:p w14:paraId="0D0C468D">
      <w:pPr>
        <w:keepNext w:val="0"/>
        <w:keepLines w:val="0"/>
        <w:pageBreakBefore w:val="0"/>
        <w:kinsoku/>
        <w:wordWrap/>
        <w:overflowPunct/>
        <w:bidi w:val="0"/>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注：以上合同总价包含甲方或甲方指定用户能正常使用乙方提供服务所需的一切费用。建设清单详见</w:t>
      </w:r>
      <w:bookmarkStart w:id="38" w:name="OLE_LINK2"/>
      <w:r>
        <w:rPr>
          <w:rFonts w:hint="eastAsia" w:ascii="仿宋" w:hAnsi="仿宋" w:eastAsia="仿宋" w:cs="仿宋"/>
          <w:color w:val="auto"/>
          <w:sz w:val="24"/>
          <w:highlight w:val="none"/>
        </w:rPr>
        <w:t>附件。</w:t>
      </w:r>
    </w:p>
    <w:bookmarkEnd w:id="38"/>
    <w:p w14:paraId="4398DE62">
      <w:pPr>
        <w:keepNext w:val="0"/>
        <w:keepLines w:val="0"/>
        <w:pageBreakBefore w:val="0"/>
        <w:kinsoku/>
        <w:wordWrap/>
        <w:overflowPunct/>
        <w:bidi w:val="0"/>
        <w:spacing w:line="440" w:lineRule="exact"/>
        <w:ind w:firstLine="482" w:firstLineChars="200"/>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三</w:t>
      </w:r>
      <w:r>
        <w:rPr>
          <w:rFonts w:hint="eastAsia" w:ascii="仿宋" w:hAnsi="仿宋" w:eastAsia="仿宋" w:cs="仿宋"/>
          <w:b/>
          <w:bCs/>
          <w:color w:val="auto"/>
          <w:sz w:val="24"/>
          <w:highlight w:val="none"/>
        </w:rPr>
        <w:t>、项目建设周期</w:t>
      </w:r>
    </w:p>
    <w:p w14:paraId="645D537D">
      <w:pPr>
        <w:keepNext w:val="0"/>
        <w:keepLines w:val="0"/>
        <w:pageBreakBefore w:val="0"/>
        <w:kinsoku/>
        <w:wordWrap/>
        <w:overflowPunct/>
        <w:bidi w:val="0"/>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2025年12月</w:t>
      </w:r>
      <w:r>
        <w:rPr>
          <w:rFonts w:hint="eastAsia" w:ascii="仿宋" w:hAnsi="仿宋" w:eastAsia="仿宋" w:cs="仿宋"/>
          <w:color w:val="auto"/>
          <w:sz w:val="24"/>
          <w:highlight w:val="none"/>
          <w:lang w:val="en-US" w:eastAsia="zh-CN"/>
        </w:rPr>
        <w:t>20</w:t>
      </w:r>
      <w:r>
        <w:rPr>
          <w:rFonts w:hint="eastAsia" w:ascii="仿宋" w:hAnsi="仿宋" w:eastAsia="仿宋" w:cs="仿宋"/>
          <w:color w:val="auto"/>
          <w:sz w:val="24"/>
          <w:highlight w:val="none"/>
        </w:rPr>
        <w:t>日前需达到初验标准，并开始上线试运行，在试运行期间，</w:t>
      </w:r>
      <w:r>
        <w:rPr>
          <w:rFonts w:hint="eastAsia" w:ascii="仿宋" w:hAnsi="仿宋" w:eastAsia="仿宋" w:cs="仿宋"/>
          <w:color w:val="auto"/>
          <w:sz w:val="24"/>
          <w:highlight w:val="none"/>
          <w:lang w:val="en-US" w:eastAsia="zh-CN"/>
        </w:rPr>
        <w:t>乙方</w:t>
      </w:r>
      <w:r>
        <w:rPr>
          <w:rFonts w:hint="eastAsia" w:ascii="仿宋" w:hAnsi="仿宋" w:eastAsia="仿宋" w:cs="仿宋"/>
          <w:color w:val="auto"/>
          <w:sz w:val="24"/>
          <w:highlight w:val="none"/>
        </w:rPr>
        <w:t>必须指派专人配合</w:t>
      </w:r>
      <w:r>
        <w:rPr>
          <w:rFonts w:hint="eastAsia" w:ascii="仿宋" w:hAnsi="仿宋" w:eastAsia="仿宋" w:cs="仿宋"/>
          <w:color w:val="auto"/>
          <w:sz w:val="24"/>
          <w:highlight w:val="none"/>
          <w:lang w:val="en-US" w:eastAsia="zh-CN"/>
        </w:rPr>
        <w:t>甲方</w:t>
      </w:r>
      <w:r>
        <w:rPr>
          <w:rFonts w:hint="eastAsia" w:ascii="仿宋" w:hAnsi="仿宋" w:eastAsia="仿宋" w:cs="仿宋"/>
          <w:color w:val="auto"/>
          <w:sz w:val="24"/>
          <w:highlight w:val="none"/>
        </w:rPr>
        <w:t>做好试运行工作，对出现的问题及时进行修改完善。试运行1个月后再进行终验，完成软件所有实施对接和功能优化，达到验收要求。</w:t>
      </w:r>
    </w:p>
    <w:p w14:paraId="53B1B3AD">
      <w:pPr>
        <w:keepNext w:val="0"/>
        <w:keepLines w:val="0"/>
        <w:pageBreakBefore w:val="0"/>
        <w:kinsoku/>
        <w:wordWrap/>
        <w:overflowPunct/>
        <w:bidi w:val="0"/>
        <w:spacing w:line="440" w:lineRule="exact"/>
        <w:ind w:firstLine="482" w:firstLineChars="200"/>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四</w:t>
      </w:r>
      <w:r>
        <w:rPr>
          <w:rFonts w:hint="eastAsia" w:ascii="仿宋" w:hAnsi="仿宋" w:eastAsia="仿宋" w:cs="仿宋"/>
          <w:b/>
          <w:bCs/>
          <w:color w:val="auto"/>
          <w:sz w:val="24"/>
          <w:highlight w:val="none"/>
        </w:rPr>
        <w:t>、实施地点</w:t>
      </w:r>
    </w:p>
    <w:p w14:paraId="5C2AE2BF">
      <w:pPr>
        <w:keepNext w:val="0"/>
        <w:keepLines w:val="0"/>
        <w:pageBreakBefore w:val="0"/>
        <w:kinsoku/>
        <w:wordWrap/>
        <w:overflowPunct/>
        <w:bidi w:val="0"/>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甲方指定地点。</w:t>
      </w:r>
    </w:p>
    <w:p w14:paraId="1B8EF243">
      <w:pPr>
        <w:keepNext w:val="0"/>
        <w:keepLines w:val="0"/>
        <w:pageBreakBefore w:val="0"/>
        <w:kinsoku/>
        <w:wordWrap/>
        <w:overflowPunct/>
        <w:bidi w:val="0"/>
        <w:spacing w:line="440" w:lineRule="exact"/>
        <w:ind w:firstLine="482" w:firstLineChars="200"/>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五</w:t>
      </w:r>
      <w:r>
        <w:rPr>
          <w:rFonts w:hint="eastAsia" w:ascii="仿宋" w:hAnsi="仿宋" w:eastAsia="仿宋" w:cs="仿宋"/>
          <w:b/>
          <w:bCs/>
          <w:color w:val="auto"/>
          <w:sz w:val="24"/>
          <w:highlight w:val="none"/>
        </w:rPr>
        <w:t>、知识产权</w:t>
      </w:r>
    </w:p>
    <w:p w14:paraId="088485A5">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left"/>
        <w:textAlignment w:val="auto"/>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lang w:val="en-US" w:eastAsia="zh-CN"/>
        </w:rPr>
        <w:t>1.</w:t>
      </w:r>
      <w:r>
        <w:rPr>
          <w:rFonts w:hint="eastAsia" w:ascii="仿宋" w:hAnsi="仿宋" w:eastAsia="仿宋" w:cs="仿宋"/>
          <w:color w:val="auto"/>
          <w:kern w:val="0"/>
          <w:sz w:val="24"/>
          <w:szCs w:val="20"/>
          <w:highlight w:val="none"/>
        </w:rPr>
        <w:t>本项目建设成果的相关知识产权归</w:t>
      </w:r>
      <w:r>
        <w:rPr>
          <w:rFonts w:hint="eastAsia" w:ascii="仿宋" w:hAnsi="仿宋" w:eastAsia="仿宋" w:cs="仿宋"/>
          <w:color w:val="auto"/>
          <w:kern w:val="0"/>
          <w:sz w:val="24"/>
          <w:szCs w:val="20"/>
          <w:highlight w:val="none"/>
          <w:lang w:val="en-US" w:eastAsia="zh-CN"/>
        </w:rPr>
        <w:t>甲方</w:t>
      </w:r>
      <w:r>
        <w:rPr>
          <w:rFonts w:hint="eastAsia" w:ascii="仿宋" w:hAnsi="仿宋" w:eastAsia="仿宋" w:cs="仿宋"/>
          <w:color w:val="auto"/>
          <w:kern w:val="0"/>
          <w:sz w:val="24"/>
          <w:szCs w:val="20"/>
          <w:highlight w:val="none"/>
        </w:rPr>
        <w:t>所有，</w:t>
      </w:r>
      <w:r>
        <w:rPr>
          <w:rFonts w:hint="eastAsia" w:ascii="仿宋" w:hAnsi="仿宋" w:eastAsia="仿宋" w:cs="仿宋"/>
          <w:color w:val="auto"/>
          <w:kern w:val="0"/>
          <w:sz w:val="24"/>
          <w:szCs w:val="20"/>
          <w:highlight w:val="none"/>
          <w:lang w:val="en-US" w:eastAsia="zh-CN"/>
        </w:rPr>
        <w:t>乙方</w:t>
      </w:r>
      <w:r>
        <w:rPr>
          <w:rFonts w:hint="eastAsia" w:ascii="仿宋" w:hAnsi="仿宋" w:eastAsia="仿宋" w:cs="仿宋"/>
          <w:color w:val="auto"/>
          <w:kern w:val="0"/>
          <w:sz w:val="24"/>
          <w:szCs w:val="20"/>
          <w:highlight w:val="none"/>
        </w:rPr>
        <w:t>必须提供项目的所有有效、合法、完整的代码源和开发文档。</w:t>
      </w:r>
    </w:p>
    <w:p w14:paraId="064A9A7E">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left"/>
        <w:textAlignment w:val="auto"/>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lang w:val="en-US" w:eastAsia="zh-CN"/>
        </w:rPr>
        <w:t>2.</w:t>
      </w:r>
      <w:r>
        <w:rPr>
          <w:rFonts w:hint="eastAsia" w:ascii="仿宋" w:hAnsi="仿宋" w:eastAsia="仿宋" w:cs="仿宋"/>
          <w:color w:val="auto"/>
          <w:kern w:val="0"/>
          <w:sz w:val="24"/>
          <w:szCs w:val="20"/>
          <w:highlight w:val="none"/>
        </w:rPr>
        <w:t>在合同有效期及质保期内，乙方提交的技术服务工作成果所完成的新的技术成果，归业主所有。</w:t>
      </w:r>
    </w:p>
    <w:p w14:paraId="7CD25177">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hint="eastAsia" w:ascii="仿宋" w:hAnsi="仿宋" w:eastAsia="仿宋" w:cs="仿宋"/>
          <w:b/>
          <w:bCs/>
          <w:color w:val="auto"/>
          <w:sz w:val="24"/>
          <w:highlight w:val="none"/>
        </w:rPr>
      </w:pPr>
      <w:r>
        <w:rPr>
          <w:rFonts w:hint="eastAsia" w:ascii="仿宋" w:hAnsi="仿宋" w:eastAsia="仿宋" w:cs="仿宋"/>
          <w:color w:val="auto"/>
          <w:kern w:val="0"/>
          <w:sz w:val="24"/>
          <w:szCs w:val="20"/>
          <w:highlight w:val="none"/>
          <w:lang w:val="en-US" w:eastAsia="zh-CN"/>
        </w:rPr>
        <w:t>3.乙方</w:t>
      </w:r>
      <w:r>
        <w:rPr>
          <w:rFonts w:hint="eastAsia" w:ascii="仿宋" w:hAnsi="仿宋" w:eastAsia="仿宋" w:cs="仿宋"/>
          <w:color w:val="auto"/>
          <w:kern w:val="0"/>
          <w:sz w:val="24"/>
          <w:szCs w:val="20"/>
          <w:highlight w:val="none"/>
        </w:rPr>
        <w:t>不得将所共享的项目研发过程中所形成的技术资产和成果用于业主单位以外用户</w:t>
      </w:r>
      <w:r>
        <w:rPr>
          <w:rFonts w:hint="eastAsia" w:ascii="仿宋" w:hAnsi="仿宋" w:eastAsia="仿宋" w:cs="仿宋"/>
          <w:color w:val="auto"/>
          <w:kern w:val="0"/>
          <w:sz w:val="24"/>
          <w:szCs w:val="20"/>
          <w:highlight w:val="none"/>
          <w:lang w:eastAsia="zh-CN"/>
        </w:rPr>
        <w:t>，</w:t>
      </w:r>
      <w:r>
        <w:rPr>
          <w:rFonts w:hint="eastAsia" w:ascii="仿宋" w:hAnsi="仿宋" w:eastAsia="仿宋" w:cs="仿宋"/>
          <w:color w:val="auto"/>
          <w:kern w:val="0"/>
          <w:sz w:val="24"/>
          <w:szCs w:val="20"/>
          <w:highlight w:val="none"/>
          <w:lang w:val="en-US" w:eastAsia="zh-CN"/>
        </w:rPr>
        <w:t>一经发现须按合同价的200%赔偿</w:t>
      </w:r>
      <w:r>
        <w:rPr>
          <w:rFonts w:hint="eastAsia" w:ascii="仿宋" w:hAnsi="仿宋" w:eastAsia="仿宋" w:cs="仿宋"/>
          <w:color w:val="auto"/>
          <w:kern w:val="0"/>
          <w:sz w:val="24"/>
          <w:szCs w:val="20"/>
          <w:highlight w:val="none"/>
        </w:rPr>
        <w:t>。</w:t>
      </w:r>
    </w:p>
    <w:p w14:paraId="1E6D92AC">
      <w:pPr>
        <w:keepNext w:val="0"/>
        <w:keepLines w:val="0"/>
        <w:pageBreakBefore w:val="0"/>
        <w:kinsoku/>
        <w:wordWrap/>
        <w:overflowPunct/>
        <w:bidi w:val="0"/>
        <w:spacing w:line="440" w:lineRule="exact"/>
        <w:ind w:firstLine="482" w:firstLineChars="200"/>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六</w:t>
      </w:r>
      <w:r>
        <w:rPr>
          <w:rFonts w:hint="eastAsia" w:ascii="仿宋" w:hAnsi="仿宋" w:eastAsia="仿宋" w:cs="仿宋"/>
          <w:b/>
          <w:bCs/>
          <w:color w:val="auto"/>
          <w:sz w:val="24"/>
          <w:highlight w:val="none"/>
        </w:rPr>
        <w:t>、保密要求</w:t>
      </w:r>
    </w:p>
    <w:p w14:paraId="45A18E88">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eastAsia="zh-CN"/>
        </w:rPr>
        <w:t>乙方</w:t>
      </w:r>
      <w:r>
        <w:rPr>
          <w:rFonts w:hint="eastAsia" w:ascii="仿宋" w:hAnsi="仿宋" w:eastAsia="仿宋" w:cs="仿宋"/>
          <w:color w:val="auto"/>
          <w:sz w:val="24"/>
          <w:highlight w:val="none"/>
        </w:rPr>
        <w:t>对在工作过程中接触到的采购人的任何资料、文件、数据</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无论</w:t>
      </w:r>
      <w:r>
        <w:rPr>
          <w:rFonts w:hint="eastAsia" w:ascii="仿宋" w:hAnsi="仿宋" w:eastAsia="仿宋" w:cs="仿宋"/>
          <w:bCs/>
          <w:color w:val="auto"/>
          <w:sz w:val="24"/>
          <w:highlight w:val="none"/>
        </w:rPr>
        <w:t>是书面的还是电子的</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rPr>
        <w:t>，以及对为采购人服务形成的任何交付物，负有为</w:t>
      </w:r>
      <w:r>
        <w:rPr>
          <w:rFonts w:hint="eastAsia" w:ascii="仿宋" w:hAnsi="仿宋" w:eastAsia="仿宋" w:cs="仿宋"/>
          <w:bCs/>
          <w:color w:val="auto"/>
          <w:sz w:val="24"/>
          <w:highlight w:val="none"/>
          <w:lang w:val="en-US" w:eastAsia="zh-CN"/>
        </w:rPr>
        <w:t>甲方</w:t>
      </w:r>
      <w:r>
        <w:rPr>
          <w:rFonts w:hint="eastAsia" w:ascii="仿宋" w:hAnsi="仿宋" w:eastAsia="仿宋" w:cs="仿宋"/>
          <w:bCs/>
          <w:color w:val="auto"/>
          <w:sz w:val="24"/>
          <w:highlight w:val="none"/>
        </w:rPr>
        <w:t>保密的责任。未经</w:t>
      </w:r>
      <w:r>
        <w:rPr>
          <w:rFonts w:hint="eastAsia" w:ascii="仿宋" w:hAnsi="仿宋" w:eastAsia="仿宋" w:cs="仿宋"/>
          <w:bCs/>
          <w:color w:val="auto"/>
          <w:sz w:val="24"/>
          <w:highlight w:val="none"/>
          <w:lang w:val="en-US" w:eastAsia="zh-CN"/>
        </w:rPr>
        <w:t>甲方</w:t>
      </w:r>
      <w:r>
        <w:rPr>
          <w:rFonts w:hint="eastAsia" w:ascii="仿宋" w:hAnsi="仿宋" w:eastAsia="仿宋" w:cs="仿宋"/>
          <w:bCs/>
          <w:color w:val="auto"/>
          <w:sz w:val="24"/>
          <w:highlight w:val="none"/>
        </w:rPr>
        <w:t>书面同意，</w:t>
      </w:r>
      <w:r>
        <w:rPr>
          <w:rFonts w:hint="eastAsia" w:ascii="仿宋" w:hAnsi="仿宋" w:eastAsia="仿宋" w:cs="仿宋"/>
          <w:bCs/>
          <w:color w:val="auto"/>
          <w:sz w:val="24"/>
          <w:highlight w:val="none"/>
          <w:lang w:eastAsia="zh-CN"/>
        </w:rPr>
        <w:t>乙方</w:t>
      </w:r>
      <w:r>
        <w:rPr>
          <w:rFonts w:hint="eastAsia" w:ascii="仿宋" w:hAnsi="仿宋" w:eastAsia="仿宋" w:cs="仿宋"/>
          <w:bCs/>
          <w:color w:val="auto"/>
          <w:sz w:val="24"/>
          <w:highlight w:val="none"/>
        </w:rPr>
        <w:t>不得以任何方式向任何第三方提供或透露。</w:t>
      </w:r>
    </w:p>
    <w:p w14:paraId="2B0FCDB7">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w:t>
      </w:r>
      <w:r>
        <w:rPr>
          <w:rFonts w:hint="eastAsia" w:ascii="仿宋" w:hAnsi="仿宋" w:eastAsia="仿宋" w:cs="仿宋"/>
          <w:bCs/>
          <w:color w:val="auto"/>
          <w:sz w:val="24"/>
          <w:highlight w:val="none"/>
          <w:lang w:val="en-US" w:eastAsia="zh-CN"/>
        </w:rPr>
        <w:t>甲方</w:t>
      </w:r>
      <w:r>
        <w:rPr>
          <w:rFonts w:hint="eastAsia" w:ascii="仿宋" w:hAnsi="仿宋" w:eastAsia="仿宋" w:cs="仿宋"/>
          <w:bCs/>
          <w:color w:val="auto"/>
          <w:sz w:val="24"/>
          <w:highlight w:val="none"/>
        </w:rPr>
        <w:t>向</w:t>
      </w:r>
      <w:r>
        <w:rPr>
          <w:rFonts w:hint="eastAsia" w:ascii="仿宋" w:hAnsi="仿宋" w:eastAsia="仿宋" w:cs="仿宋"/>
          <w:bCs/>
          <w:color w:val="auto"/>
          <w:sz w:val="24"/>
          <w:highlight w:val="none"/>
          <w:lang w:eastAsia="zh-CN"/>
        </w:rPr>
        <w:t>乙方</w:t>
      </w:r>
      <w:r>
        <w:rPr>
          <w:rFonts w:hint="eastAsia" w:ascii="仿宋" w:hAnsi="仿宋" w:eastAsia="仿宋" w:cs="仿宋"/>
          <w:bCs/>
          <w:color w:val="auto"/>
          <w:sz w:val="24"/>
          <w:highlight w:val="none"/>
        </w:rPr>
        <w:t>提供的任何资料、文件和信息，在</w:t>
      </w:r>
      <w:r>
        <w:rPr>
          <w:rFonts w:hint="eastAsia" w:ascii="仿宋" w:hAnsi="仿宋" w:eastAsia="仿宋" w:cs="仿宋"/>
          <w:bCs/>
          <w:color w:val="auto"/>
          <w:sz w:val="24"/>
          <w:highlight w:val="none"/>
          <w:lang w:eastAsia="zh-CN"/>
        </w:rPr>
        <w:t>乙方</w:t>
      </w:r>
      <w:r>
        <w:rPr>
          <w:rFonts w:hint="eastAsia" w:ascii="仿宋" w:hAnsi="仿宋" w:eastAsia="仿宋" w:cs="仿宋"/>
          <w:bCs/>
          <w:color w:val="auto"/>
          <w:sz w:val="24"/>
          <w:highlight w:val="none"/>
        </w:rPr>
        <w:t>服务结束后，</w:t>
      </w:r>
      <w:r>
        <w:rPr>
          <w:rFonts w:hint="eastAsia" w:ascii="仿宋" w:hAnsi="仿宋" w:eastAsia="仿宋" w:cs="仿宋"/>
          <w:bCs/>
          <w:color w:val="auto"/>
          <w:sz w:val="24"/>
          <w:highlight w:val="none"/>
          <w:lang w:eastAsia="zh-CN"/>
        </w:rPr>
        <w:t>乙方</w:t>
      </w:r>
      <w:r>
        <w:rPr>
          <w:rFonts w:hint="eastAsia" w:ascii="仿宋" w:hAnsi="仿宋" w:eastAsia="仿宋" w:cs="仿宋"/>
          <w:bCs/>
          <w:color w:val="auto"/>
          <w:sz w:val="24"/>
          <w:highlight w:val="none"/>
        </w:rPr>
        <w:t>均应及时归还</w:t>
      </w:r>
      <w:r>
        <w:rPr>
          <w:rFonts w:hint="eastAsia" w:ascii="仿宋" w:hAnsi="仿宋" w:eastAsia="仿宋" w:cs="仿宋"/>
          <w:bCs/>
          <w:color w:val="auto"/>
          <w:sz w:val="24"/>
          <w:highlight w:val="none"/>
          <w:lang w:val="en-US" w:eastAsia="zh-CN"/>
        </w:rPr>
        <w:t>甲方</w:t>
      </w:r>
      <w:r>
        <w:rPr>
          <w:rFonts w:hint="eastAsia" w:ascii="仿宋" w:hAnsi="仿宋" w:eastAsia="仿宋" w:cs="仿宋"/>
          <w:bCs/>
          <w:color w:val="auto"/>
          <w:sz w:val="24"/>
          <w:highlight w:val="none"/>
        </w:rPr>
        <w:t>，电子</w:t>
      </w:r>
      <w:r>
        <w:rPr>
          <w:rFonts w:hint="eastAsia" w:ascii="仿宋" w:hAnsi="仿宋" w:eastAsia="仿宋" w:cs="仿宋"/>
          <w:bCs/>
          <w:color w:val="auto"/>
          <w:sz w:val="24"/>
          <w:highlight w:val="none"/>
          <w:lang w:eastAsia="zh-CN"/>
        </w:rPr>
        <w:t>文档</w:t>
      </w:r>
      <w:r>
        <w:rPr>
          <w:rFonts w:hint="eastAsia" w:ascii="仿宋" w:hAnsi="仿宋" w:eastAsia="仿宋" w:cs="仿宋"/>
          <w:bCs/>
          <w:color w:val="auto"/>
          <w:sz w:val="24"/>
          <w:highlight w:val="none"/>
        </w:rPr>
        <w:t>应从自己的电脑等存储设备上予永久删除。</w:t>
      </w:r>
    </w:p>
    <w:p w14:paraId="44CCDB78">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eastAsia="zh-CN"/>
        </w:rPr>
        <w:t>乙方</w:t>
      </w:r>
      <w:r>
        <w:rPr>
          <w:rFonts w:hint="eastAsia" w:ascii="仿宋" w:hAnsi="仿宋" w:eastAsia="仿宋" w:cs="仿宋"/>
          <w:color w:val="auto"/>
          <w:sz w:val="24"/>
          <w:highlight w:val="none"/>
        </w:rPr>
        <w:t>人员违反上述保密规定事项，</w:t>
      </w:r>
      <w:r>
        <w:rPr>
          <w:rFonts w:hint="eastAsia" w:ascii="仿宋" w:hAnsi="仿宋" w:eastAsia="仿宋" w:cs="仿宋"/>
          <w:color w:val="auto"/>
          <w:sz w:val="24"/>
          <w:highlight w:val="none"/>
          <w:lang w:eastAsia="zh-CN"/>
        </w:rPr>
        <w:t>乙方</w:t>
      </w:r>
      <w:r>
        <w:rPr>
          <w:rFonts w:hint="eastAsia" w:ascii="仿宋" w:hAnsi="仿宋" w:eastAsia="仿宋" w:cs="仿宋"/>
          <w:color w:val="auto"/>
          <w:sz w:val="24"/>
          <w:highlight w:val="none"/>
        </w:rPr>
        <w:t>应承担相应法律责任。</w:t>
      </w:r>
    </w:p>
    <w:p w14:paraId="78A8936F">
      <w:pPr>
        <w:keepNext w:val="0"/>
        <w:keepLines w:val="0"/>
        <w:pageBreakBefore w:val="0"/>
        <w:kinsoku/>
        <w:wordWrap/>
        <w:overflowPunct/>
        <w:bidi w:val="0"/>
        <w:spacing w:line="440" w:lineRule="exact"/>
        <w:ind w:firstLine="482" w:firstLineChars="200"/>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七</w:t>
      </w:r>
      <w:r>
        <w:rPr>
          <w:rFonts w:hint="eastAsia" w:ascii="仿宋" w:hAnsi="仿宋" w:eastAsia="仿宋" w:cs="仿宋"/>
          <w:b/>
          <w:bCs/>
          <w:color w:val="auto"/>
          <w:sz w:val="24"/>
          <w:highlight w:val="none"/>
        </w:rPr>
        <w:t>、项目培训要求</w:t>
      </w:r>
    </w:p>
    <w:p w14:paraId="147374AF">
      <w:pPr>
        <w:keepNext w:val="0"/>
        <w:keepLines w:val="0"/>
        <w:pageBreakBefore w:val="0"/>
        <w:kinsoku/>
        <w:wordWrap/>
        <w:overflowPunct/>
        <w:bidi w:val="0"/>
        <w:spacing w:line="44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对甲方及其下属单位的技术人员和操作人员进行系统的使用和维护培训，教会技术人员在日常和紧急情况下如何判断、操作和报修，教会操作人员正确使用系统开展相关工作，并向相关单位提供培训文档。</w:t>
      </w:r>
    </w:p>
    <w:p w14:paraId="272B1843">
      <w:pPr>
        <w:keepNext w:val="0"/>
        <w:keepLines w:val="0"/>
        <w:pageBreakBefore w:val="0"/>
        <w:kinsoku/>
        <w:wordWrap/>
        <w:overflowPunct/>
        <w:bidi w:val="0"/>
        <w:spacing w:line="440" w:lineRule="exact"/>
        <w:ind w:firstLine="482" w:firstLineChars="200"/>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szCs w:val="20"/>
          <w:highlight w:val="none"/>
          <w:lang w:val="en-US" w:eastAsia="zh-CN"/>
        </w:rPr>
        <w:t>八</w:t>
      </w:r>
      <w:r>
        <w:rPr>
          <w:rFonts w:hint="eastAsia" w:ascii="仿宋" w:hAnsi="仿宋" w:eastAsia="仿宋" w:cs="仿宋"/>
          <w:b/>
          <w:bCs/>
          <w:color w:val="auto"/>
          <w:sz w:val="24"/>
          <w:szCs w:val="20"/>
          <w:highlight w:val="none"/>
        </w:rPr>
        <w:t>、</w:t>
      </w:r>
      <w:r>
        <w:rPr>
          <w:rFonts w:hint="eastAsia" w:ascii="仿宋" w:hAnsi="仿宋" w:eastAsia="仿宋" w:cs="仿宋"/>
          <w:b/>
          <w:bCs/>
          <w:color w:val="auto"/>
          <w:sz w:val="24"/>
          <w:highlight w:val="none"/>
        </w:rPr>
        <w:t>项目验收要求</w:t>
      </w:r>
    </w:p>
    <w:p w14:paraId="6E058EB8">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left"/>
        <w:textAlignment w:val="auto"/>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项目的验收包括初验和终验：</w:t>
      </w:r>
    </w:p>
    <w:p w14:paraId="04F9B95D">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left"/>
        <w:textAlignment w:val="auto"/>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1.初验</w:t>
      </w:r>
    </w:p>
    <w:p w14:paraId="0BA59A1A">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left"/>
        <w:textAlignment w:val="auto"/>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软件开发实施部署完成并经测试通过后，系统完成初验进入试运行，试运行时间为</w:t>
      </w:r>
      <w:r>
        <w:rPr>
          <w:rFonts w:hint="eastAsia" w:ascii="仿宋" w:hAnsi="仿宋" w:eastAsia="仿宋" w:cs="仿宋"/>
          <w:color w:val="auto"/>
          <w:kern w:val="0"/>
          <w:sz w:val="24"/>
          <w:szCs w:val="20"/>
          <w:highlight w:val="none"/>
          <w:lang w:val="en-US" w:eastAsia="zh-CN"/>
        </w:rPr>
        <w:t>1</w:t>
      </w:r>
      <w:r>
        <w:rPr>
          <w:rFonts w:hint="eastAsia" w:ascii="仿宋" w:hAnsi="仿宋" w:eastAsia="仿宋" w:cs="仿宋"/>
          <w:color w:val="auto"/>
          <w:kern w:val="0"/>
          <w:sz w:val="24"/>
          <w:szCs w:val="20"/>
          <w:highlight w:val="none"/>
        </w:rPr>
        <w:t>个月。</w:t>
      </w:r>
    </w:p>
    <w:p w14:paraId="05209545">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left"/>
        <w:textAlignment w:val="auto"/>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2.终验</w:t>
      </w:r>
    </w:p>
    <w:p w14:paraId="0AD1A819">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系统通过试运行后，</w:t>
      </w:r>
      <w:r>
        <w:rPr>
          <w:rFonts w:hint="eastAsia" w:ascii="仿宋" w:hAnsi="仿宋" w:eastAsia="仿宋" w:cs="仿宋"/>
          <w:color w:val="auto"/>
          <w:kern w:val="0"/>
          <w:sz w:val="24"/>
          <w:szCs w:val="20"/>
          <w:highlight w:val="none"/>
          <w:lang w:eastAsia="zh-CN"/>
        </w:rPr>
        <w:t>乙方</w:t>
      </w:r>
      <w:r>
        <w:rPr>
          <w:rFonts w:hint="eastAsia" w:ascii="仿宋" w:hAnsi="仿宋" w:eastAsia="仿宋" w:cs="仿宋"/>
          <w:color w:val="auto"/>
          <w:kern w:val="0"/>
          <w:sz w:val="24"/>
          <w:szCs w:val="20"/>
          <w:highlight w:val="none"/>
        </w:rPr>
        <w:t>向</w:t>
      </w:r>
      <w:r>
        <w:rPr>
          <w:rFonts w:hint="eastAsia" w:ascii="仿宋" w:hAnsi="仿宋" w:eastAsia="仿宋" w:cs="仿宋"/>
          <w:bCs/>
          <w:color w:val="auto"/>
          <w:sz w:val="24"/>
          <w:highlight w:val="none"/>
          <w:lang w:val="en-US" w:eastAsia="zh-CN"/>
        </w:rPr>
        <w:t>甲方</w:t>
      </w:r>
      <w:r>
        <w:rPr>
          <w:rFonts w:hint="eastAsia" w:ascii="仿宋" w:hAnsi="仿宋" w:eastAsia="仿宋" w:cs="仿宋"/>
          <w:color w:val="auto"/>
          <w:kern w:val="0"/>
          <w:sz w:val="24"/>
          <w:szCs w:val="20"/>
          <w:highlight w:val="none"/>
        </w:rPr>
        <w:t>提出终验申请，</w:t>
      </w:r>
      <w:r>
        <w:rPr>
          <w:rFonts w:hint="eastAsia" w:ascii="仿宋" w:hAnsi="仿宋" w:eastAsia="仿宋" w:cs="仿宋"/>
          <w:bCs/>
          <w:color w:val="auto"/>
          <w:sz w:val="24"/>
          <w:highlight w:val="none"/>
          <w:lang w:val="en-US" w:eastAsia="zh-CN"/>
        </w:rPr>
        <w:t>甲方</w:t>
      </w:r>
      <w:r>
        <w:rPr>
          <w:rFonts w:hint="eastAsia" w:ascii="仿宋" w:hAnsi="仿宋" w:eastAsia="仿宋" w:cs="仿宋"/>
          <w:color w:val="auto"/>
          <w:kern w:val="0"/>
          <w:sz w:val="24"/>
          <w:szCs w:val="20"/>
          <w:highlight w:val="none"/>
        </w:rPr>
        <w:t>组织相关单位进行系统的终验。系统终验通过，进入正式运行阶段。系统终验收合格的条件必须至少满足以下三个要求：已提供了合同要求的全部设备、资料；试运行时功能满足合同要求；测试和试运行时出现的问题已被解决。</w:t>
      </w:r>
    </w:p>
    <w:p w14:paraId="43F9EDFC">
      <w:pPr>
        <w:keepNext w:val="0"/>
        <w:keepLines w:val="0"/>
        <w:pageBreakBefore w:val="0"/>
        <w:kinsoku/>
        <w:wordWrap/>
        <w:overflowPunct/>
        <w:bidi w:val="0"/>
        <w:spacing w:line="440" w:lineRule="exact"/>
        <w:ind w:firstLine="482" w:firstLineChars="200"/>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九</w:t>
      </w:r>
      <w:r>
        <w:rPr>
          <w:rFonts w:hint="eastAsia" w:ascii="仿宋" w:hAnsi="仿宋" w:eastAsia="仿宋" w:cs="仿宋"/>
          <w:b/>
          <w:bCs/>
          <w:color w:val="auto"/>
          <w:sz w:val="24"/>
          <w:highlight w:val="none"/>
        </w:rPr>
        <w:t>、项目售后服务要求</w:t>
      </w:r>
    </w:p>
    <w:p w14:paraId="33D95CE7">
      <w:pPr>
        <w:keepNext w:val="0"/>
        <w:keepLines w:val="0"/>
        <w:pageBreakBefore w:val="0"/>
        <w:kinsoku/>
        <w:wordWrap/>
        <w:overflowPunct/>
        <w:bidi w:val="0"/>
        <w:spacing w:line="44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kern w:val="0"/>
          <w:sz w:val="24"/>
          <w:szCs w:val="20"/>
          <w:highlight w:val="none"/>
          <w:lang w:val="en-US" w:eastAsia="zh-CN"/>
        </w:rPr>
        <w:t>运维期（质保期）</w:t>
      </w:r>
      <w:r>
        <w:rPr>
          <w:rFonts w:hint="eastAsia" w:ascii="仿宋" w:hAnsi="仿宋" w:eastAsia="仿宋" w:cs="仿宋"/>
          <w:color w:val="auto"/>
          <w:kern w:val="0"/>
          <w:sz w:val="24"/>
          <w:szCs w:val="20"/>
          <w:highlight w:val="none"/>
          <w:lang w:eastAsia="zh-CN"/>
        </w:rPr>
        <w:t>：</w:t>
      </w:r>
      <w:r>
        <w:rPr>
          <w:rFonts w:hint="eastAsia" w:ascii="仿宋" w:hAnsi="仿宋" w:eastAsia="仿宋" w:cs="仿宋"/>
          <w:color w:val="auto"/>
          <w:kern w:val="0"/>
          <w:sz w:val="24"/>
          <w:szCs w:val="20"/>
          <w:highlight w:val="none"/>
        </w:rPr>
        <w:t>项目验收合格之日起</w:t>
      </w:r>
      <w:r>
        <w:rPr>
          <w:rFonts w:hint="eastAsia" w:ascii="仿宋" w:hAnsi="仿宋" w:eastAsia="仿宋" w:cs="仿宋"/>
          <w:color w:val="auto"/>
          <w:kern w:val="0"/>
          <w:sz w:val="24"/>
          <w:szCs w:val="20"/>
          <w:highlight w:val="none"/>
          <w:lang w:val="en-US" w:eastAsia="zh-CN"/>
        </w:rPr>
        <w:t>3年</w:t>
      </w:r>
      <w:r>
        <w:rPr>
          <w:rFonts w:hint="eastAsia" w:ascii="仿宋" w:hAnsi="仿宋" w:eastAsia="仿宋" w:cs="仿宋"/>
          <w:color w:val="auto"/>
          <w:kern w:val="0"/>
          <w:sz w:val="24"/>
          <w:szCs w:val="20"/>
          <w:highlight w:val="none"/>
        </w:rPr>
        <w:t>。</w:t>
      </w:r>
    </w:p>
    <w:p w14:paraId="2B734474">
      <w:pPr>
        <w:keepNext w:val="0"/>
        <w:keepLines w:val="0"/>
        <w:pageBreakBefore w:val="0"/>
        <w:kinsoku/>
        <w:wordWrap/>
        <w:overflowPunct/>
        <w:bidi w:val="0"/>
        <w:spacing w:line="44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投标人须承诺提供7*24小时电话或电子邮件服务，1小时内做出明确响应和安排，2小时内做出故障诊断报告，如需现场服务的，具有解决故障能力的工程师应在4小时内到达现场，普通故障8小时内排除（遇到自然灾害等不可抗拒事故除外），未能在8小时内排除故障，提供备用方案确保运行正常。</w:t>
      </w:r>
    </w:p>
    <w:p w14:paraId="3BC7C831">
      <w:pPr>
        <w:keepNext w:val="0"/>
        <w:keepLines w:val="0"/>
        <w:pageBreakBefore w:val="0"/>
        <w:kinsoku/>
        <w:wordWrap/>
        <w:overflowPunct/>
        <w:bidi w:val="0"/>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（3）为保证项目顺利实施和后续维护服务，项目须由乙方实施不允许转包、分包，乙方须具备相应的服务工程师。</w:t>
      </w:r>
    </w:p>
    <w:p w14:paraId="740E91A4">
      <w:pPr>
        <w:pStyle w:val="864"/>
        <w:keepNext w:val="0"/>
        <w:keepLines w:val="0"/>
        <w:pageBreakBefore w:val="0"/>
        <w:kinsoku/>
        <w:wordWrap/>
        <w:overflowPunct/>
        <w:topLinePunct/>
        <w:bidi w:val="0"/>
        <w:spacing w:line="440" w:lineRule="exact"/>
        <w:ind w:left="1003" w:hanging="442" w:firstLineChars="0"/>
        <w:textAlignment w:val="auto"/>
        <w:outlineLvl w:val="1"/>
        <w:rPr>
          <w:rFonts w:hint="default" w:ascii="仿宋" w:hAnsi="仿宋" w:eastAsia="仿宋" w:cs="仿宋"/>
          <w:b/>
          <w:bCs/>
          <w:color w:val="auto"/>
          <w:highlight w:val="none"/>
          <w:lang w:val="en-US" w:eastAsia="zh-CN"/>
        </w:rPr>
      </w:pPr>
      <w:r>
        <w:rPr>
          <w:rFonts w:hint="eastAsia" w:ascii="仿宋" w:hAnsi="仿宋" w:eastAsia="仿宋" w:cs="仿宋"/>
          <w:b/>
          <w:bCs/>
          <w:color w:val="auto"/>
          <w:sz w:val="24"/>
          <w:highlight w:val="none"/>
          <w:lang w:val="en-US" w:eastAsia="zh-CN"/>
        </w:rPr>
        <w:t>十</w:t>
      </w:r>
      <w:r>
        <w:rPr>
          <w:rFonts w:hint="eastAsia" w:ascii="仿宋" w:hAnsi="仿宋" w:eastAsia="仿宋" w:cs="仿宋"/>
          <w:b/>
          <w:bCs/>
          <w:color w:val="auto"/>
          <w:sz w:val="24"/>
          <w:highlight w:val="none"/>
        </w:rPr>
        <w:t>、</w:t>
      </w:r>
      <w:r>
        <w:rPr>
          <w:rFonts w:hint="eastAsia" w:ascii="仿宋" w:hAnsi="仿宋" w:eastAsia="仿宋" w:cs="仿宋"/>
          <w:b/>
          <w:bCs/>
          <w:color w:val="auto"/>
          <w:highlight w:val="none"/>
          <w:lang w:val="en-US" w:eastAsia="zh-CN"/>
        </w:rPr>
        <w:t>其他要求</w:t>
      </w:r>
    </w:p>
    <w:p w14:paraId="6B81A9DF">
      <w:pPr>
        <w:pStyle w:val="864"/>
        <w:keepNext w:val="0"/>
        <w:keepLines w:val="0"/>
        <w:pageBreakBefore w:val="0"/>
        <w:widowControl w:val="0"/>
        <w:kinsoku/>
        <w:wordWrap/>
        <w:overflowPunct/>
        <w:topLinePunct/>
        <w:autoSpaceDE/>
        <w:autoSpaceDN/>
        <w:bidi w:val="0"/>
        <w:adjustRightInd w:val="0"/>
        <w:snapToGrid/>
        <w:spacing w:line="440" w:lineRule="exact"/>
        <w:ind w:left="1003" w:hanging="442" w:firstLineChars="0"/>
        <w:textAlignment w:val="auto"/>
        <w:outlineLvl w:val="9"/>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1.信创要求</w:t>
      </w:r>
    </w:p>
    <w:p w14:paraId="799500B6">
      <w:pPr>
        <w:pStyle w:val="864"/>
        <w:keepNext w:val="0"/>
        <w:keepLines w:val="0"/>
        <w:pageBreakBefore w:val="0"/>
        <w:widowControl w:val="0"/>
        <w:kinsoku/>
        <w:wordWrap/>
        <w:overflowPunct/>
        <w:topLinePunct/>
        <w:autoSpaceDE/>
        <w:autoSpaceDN/>
        <w:bidi w:val="0"/>
        <w:adjustRightInd w:val="0"/>
        <w:snapToGrid/>
        <w:spacing w:line="440" w:lineRule="exact"/>
        <w:ind w:left="1003" w:hanging="442" w:firstLineChars="0"/>
        <w:textAlignment w:val="auto"/>
        <w:outlineLvl w:val="9"/>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涉及的所有软硬件设备均应符合信创要求。</w:t>
      </w:r>
    </w:p>
    <w:p w14:paraId="32C1FDD8">
      <w:pPr>
        <w:pStyle w:val="864"/>
        <w:keepNext w:val="0"/>
        <w:keepLines w:val="0"/>
        <w:pageBreakBefore w:val="0"/>
        <w:widowControl w:val="0"/>
        <w:kinsoku/>
        <w:wordWrap/>
        <w:overflowPunct/>
        <w:topLinePunct/>
        <w:autoSpaceDE/>
        <w:autoSpaceDN/>
        <w:bidi w:val="0"/>
        <w:adjustRightInd w:val="0"/>
        <w:snapToGrid/>
        <w:spacing w:line="440" w:lineRule="exact"/>
        <w:ind w:left="1003" w:hanging="442" w:firstLineChars="0"/>
        <w:textAlignment w:val="auto"/>
        <w:outlineLvl w:val="9"/>
        <w:rPr>
          <w:rFonts w:hint="default"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2.项目进度管理要求</w:t>
      </w:r>
    </w:p>
    <w:p w14:paraId="4D058777">
      <w:pPr>
        <w:pStyle w:val="864"/>
        <w:keepNext w:val="0"/>
        <w:keepLines w:val="0"/>
        <w:pageBreakBefore w:val="0"/>
        <w:widowControl w:val="0"/>
        <w:kinsoku/>
        <w:wordWrap/>
        <w:overflowPunct/>
        <w:topLinePunct/>
        <w:autoSpaceDE/>
        <w:autoSpaceDN/>
        <w:bidi w:val="0"/>
        <w:adjustRightInd w:val="0"/>
        <w:snapToGrid/>
        <w:spacing w:line="440" w:lineRule="exact"/>
        <w:ind w:left="0" w:firstLine="480" w:firstLineChars="200"/>
        <w:textAlignment w:val="auto"/>
        <w:outlineLvl w:val="1"/>
        <w:rPr>
          <w:rFonts w:hint="eastAsia" w:ascii="仿宋" w:hAnsi="仿宋" w:eastAsia="仿宋" w:cs="仿宋"/>
          <w:b/>
          <w:bCs/>
          <w:color w:val="auto"/>
          <w:highlight w:val="none"/>
          <w:lang w:val="en-US" w:eastAsia="zh-CN"/>
        </w:rPr>
      </w:pPr>
      <w:r>
        <w:rPr>
          <w:rFonts w:hint="eastAsia" w:ascii="仿宋" w:hAnsi="仿宋" w:eastAsia="仿宋" w:cs="仿宋"/>
          <w:b w:val="0"/>
          <w:bCs w:val="0"/>
          <w:color w:val="auto"/>
          <w:highlight w:val="none"/>
          <w:lang w:val="en-US" w:eastAsia="zh-CN"/>
        </w:rPr>
        <w:t>进度管理从任务分解、时间进度安排到资源分配，每个阶段都有里程碑标志，每个阶段都须严格按照工期要求按时、保质完成，项目经理负责项目进度控制。</w:t>
      </w:r>
    </w:p>
    <w:p w14:paraId="08978B7A">
      <w:pPr>
        <w:pStyle w:val="864"/>
        <w:keepNext w:val="0"/>
        <w:keepLines w:val="0"/>
        <w:pageBreakBefore w:val="0"/>
        <w:kinsoku/>
        <w:wordWrap/>
        <w:overflowPunct/>
        <w:topLinePunct/>
        <w:bidi w:val="0"/>
        <w:spacing w:line="440" w:lineRule="exact"/>
        <w:ind w:left="1003" w:hanging="442" w:firstLineChars="0"/>
        <w:textAlignment w:val="auto"/>
        <w:outlineLvl w:val="1"/>
        <w:rPr>
          <w:rFonts w:hint="default"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3.质量要求</w:t>
      </w:r>
    </w:p>
    <w:p w14:paraId="3F366D6A">
      <w:pPr>
        <w:keepNext w:val="0"/>
        <w:keepLines w:val="0"/>
        <w:pageBreakBefore w:val="0"/>
        <w:kinsoku/>
        <w:wordWrap/>
        <w:overflowPunct/>
        <w:topLinePunct w:val="0"/>
        <w:bidi w:val="0"/>
        <w:spacing w:line="44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本项目合同服务的质量、技术标准按最新的国家或专业标准执行。所有工作须满足本项目需要及</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rPr>
        <w:t>要求。</w:t>
      </w:r>
      <w:r>
        <w:rPr>
          <w:rFonts w:hint="eastAsia" w:ascii="仿宋" w:hAnsi="仿宋" w:eastAsia="仿宋" w:cs="仿宋"/>
          <w:bCs/>
          <w:color w:val="auto"/>
          <w:sz w:val="24"/>
          <w:szCs w:val="24"/>
          <w:highlight w:val="none"/>
          <w:lang w:eastAsia="zh-CN"/>
        </w:rPr>
        <w:t>乙方</w:t>
      </w:r>
      <w:r>
        <w:rPr>
          <w:rFonts w:hint="eastAsia" w:ascii="仿宋" w:hAnsi="仿宋" w:eastAsia="仿宋" w:cs="仿宋"/>
          <w:bCs/>
          <w:color w:val="auto"/>
          <w:sz w:val="24"/>
          <w:szCs w:val="24"/>
          <w:highlight w:val="none"/>
          <w:lang w:val="zh-CN"/>
        </w:rPr>
        <w:t>必须保证解决项目所涉及的技术问题，如因技术原因无法满足采购人需求，由此产生的风险由投标人承担。</w:t>
      </w:r>
      <w:r>
        <w:rPr>
          <w:rFonts w:hint="eastAsia" w:ascii="仿宋" w:hAnsi="仿宋" w:eastAsia="仿宋" w:cs="仿宋"/>
          <w:bCs/>
          <w:color w:val="auto"/>
          <w:sz w:val="24"/>
          <w:szCs w:val="24"/>
          <w:highlight w:val="none"/>
        </w:rPr>
        <w:t>列入国家生产许可或有国家强制性要求的或3C目录的产品，在项目实施前必须取得并提供相应说明资料备查。</w:t>
      </w:r>
    </w:p>
    <w:p w14:paraId="5B80376B">
      <w:pPr>
        <w:keepNext w:val="0"/>
        <w:keepLines w:val="0"/>
        <w:pageBreakBefore w:val="0"/>
        <w:kinsoku/>
        <w:wordWrap/>
        <w:overflowPunct/>
        <w:topLinePunct w:val="0"/>
        <w:bidi w:val="0"/>
        <w:spacing w:line="44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val="zh-CN"/>
        </w:rPr>
        <w:t>如招标文件中遗漏了必须具备的服务、</w:t>
      </w:r>
      <w:r>
        <w:rPr>
          <w:rFonts w:hint="eastAsia" w:ascii="仿宋" w:hAnsi="仿宋" w:eastAsia="仿宋" w:cs="仿宋"/>
          <w:color w:val="auto"/>
          <w:sz w:val="24"/>
          <w:szCs w:val="24"/>
          <w:highlight w:val="none"/>
          <w:lang w:val="en-US" w:eastAsia="zh-CN"/>
        </w:rPr>
        <w:t>功能、软件或其他内容</w:t>
      </w:r>
      <w:r>
        <w:rPr>
          <w:rFonts w:hint="eastAsia" w:ascii="仿宋" w:hAnsi="仿宋" w:eastAsia="仿宋" w:cs="仿宋"/>
          <w:color w:val="auto"/>
          <w:sz w:val="24"/>
          <w:szCs w:val="24"/>
          <w:highlight w:val="none"/>
          <w:lang w:val="zh-CN"/>
        </w:rPr>
        <w:t>，请</w:t>
      </w:r>
      <w:r>
        <w:rPr>
          <w:rFonts w:hint="eastAsia" w:ascii="仿宋" w:hAnsi="仿宋" w:eastAsia="仿宋" w:cs="仿宋"/>
          <w:bCs/>
          <w:color w:val="auto"/>
          <w:sz w:val="24"/>
          <w:szCs w:val="24"/>
          <w:highlight w:val="none"/>
          <w:lang w:eastAsia="zh-CN"/>
        </w:rPr>
        <w:t>乙方</w:t>
      </w:r>
      <w:r>
        <w:rPr>
          <w:rFonts w:hint="eastAsia" w:ascii="仿宋" w:hAnsi="仿宋" w:eastAsia="仿宋" w:cs="仿宋"/>
          <w:color w:val="auto"/>
          <w:sz w:val="24"/>
          <w:szCs w:val="24"/>
          <w:highlight w:val="none"/>
          <w:lang w:val="zh-CN"/>
        </w:rPr>
        <w:t>在投标文件中指出，并提出解决方案供</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lang w:val="zh-CN"/>
        </w:rPr>
        <w:t>参考；</w:t>
      </w:r>
      <w:r>
        <w:rPr>
          <w:rFonts w:hint="eastAsia" w:ascii="仿宋" w:hAnsi="仿宋" w:eastAsia="仿宋" w:cs="仿宋"/>
          <w:bCs/>
          <w:color w:val="auto"/>
          <w:sz w:val="24"/>
          <w:szCs w:val="24"/>
          <w:highlight w:val="none"/>
          <w:lang w:eastAsia="zh-CN"/>
        </w:rPr>
        <w:t>乙方</w:t>
      </w:r>
      <w:r>
        <w:rPr>
          <w:rFonts w:hint="eastAsia" w:ascii="仿宋" w:hAnsi="仿宋" w:eastAsia="仿宋" w:cs="仿宋"/>
          <w:color w:val="auto"/>
          <w:sz w:val="24"/>
          <w:szCs w:val="24"/>
          <w:highlight w:val="none"/>
          <w:lang w:val="zh-CN"/>
        </w:rPr>
        <w:t>有义务保证</w:t>
      </w:r>
      <w:r>
        <w:rPr>
          <w:rFonts w:hint="eastAsia" w:ascii="仿宋" w:hAnsi="仿宋" w:eastAsia="仿宋" w:cs="仿宋"/>
          <w:color w:val="auto"/>
          <w:sz w:val="24"/>
          <w:szCs w:val="24"/>
          <w:highlight w:val="none"/>
          <w:lang w:val="en-US" w:eastAsia="zh-CN"/>
        </w:rPr>
        <w:t>甲方项目</w:t>
      </w:r>
      <w:r>
        <w:rPr>
          <w:rFonts w:hint="eastAsia" w:ascii="仿宋" w:hAnsi="仿宋" w:eastAsia="仿宋" w:cs="仿宋"/>
          <w:color w:val="auto"/>
          <w:sz w:val="24"/>
          <w:szCs w:val="24"/>
          <w:highlight w:val="none"/>
          <w:lang w:val="zh-CN"/>
        </w:rPr>
        <w:t>的完整性，如项目实施过程中因缺少服务、</w:t>
      </w:r>
      <w:r>
        <w:rPr>
          <w:rFonts w:hint="eastAsia" w:ascii="仿宋" w:hAnsi="仿宋" w:eastAsia="仿宋" w:cs="仿宋"/>
          <w:color w:val="auto"/>
          <w:sz w:val="24"/>
          <w:szCs w:val="24"/>
          <w:highlight w:val="none"/>
          <w:lang w:val="en-US" w:eastAsia="zh-CN"/>
        </w:rPr>
        <w:t>功能、软件或其他工作内容</w:t>
      </w:r>
      <w:r>
        <w:rPr>
          <w:rFonts w:hint="eastAsia" w:ascii="仿宋" w:hAnsi="仿宋" w:eastAsia="仿宋" w:cs="仿宋"/>
          <w:color w:val="auto"/>
          <w:sz w:val="24"/>
          <w:szCs w:val="24"/>
          <w:highlight w:val="none"/>
          <w:lang w:val="zh-CN"/>
        </w:rPr>
        <w:t>导致</w:t>
      </w:r>
      <w:r>
        <w:rPr>
          <w:rFonts w:hint="eastAsia" w:ascii="仿宋" w:hAnsi="仿宋" w:eastAsia="仿宋" w:cs="仿宋"/>
          <w:color w:val="auto"/>
          <w:sz w:val="24"/>
          <w:szCs w:val="24"/>
          <w:highlight w:val="none"/>
          <w:lang w:val="en-US" w:eastAsia="zh-CN"/>
        </w:rPr>
        <w:t>甲方项目</w:t>
      </w:r>
      <w:r>
        <w:rPr>
          <w:rFonts w:hint="eastAsia" w:ascii="仿宋" w:hAnsi="仿宋" w:eastAsia="仿宋" w:cs="仿宋"/>
          <w:color w:val="auto"/>
          <w:sz w:val="24"/>
          <w:szCs w:val="24"/>
          <w:highlight w:val="none"/>
          <w:lang w:val="zh-CN"/>
        </w:rPr>
        <w:t>无法正常运</w:t>
      </w:r>
      <w:r>
        <w:rPr>
          <w:rFonts w:hint="eastAsia" w:ascii="仿宋" w:hAnsi="仿宋" w:eastAsia="仿宋" w:cs="仿宋"/>
          <w:color w:val="auto"/>
          <w:sz w:val="24"/>
          <w:szCs w:val="24"/>
          <w:highlight w:val="none"/>
          <w:lang w:val="en-US" w:eastAsia="zh-CN"/>
        </w:rPr>
        <w:t>用</w:t>
      </w:r>
      <w:r>
        <w:rPr>
          <w:rFonts w:hint="eastAsia" w:ascii="仿宋" w:hAnsi="仿宋" w:eastAsia="仿宋" w:cs="仿宋"/>
          <w:color w:val="auto"/>
          <w:sz w:val="24"/>
          <w:szCs w:val="24"/>
          <w:highlight w:val="none"/>
          <w:lang w:val="zh-CN"/>
        </w:rPr>
        <w:t>，</w:t>
      </w:r>
      <w:r>
        <w:rPr>
          <w:rFonts w:hint="eastAsia" w:ascii="仿宋" w:hAnsi="仿宋" w:eastAsia="仿宋" w:cs="仿宋"/>
          <w:bCs/>
          <w:color w:val="auto"/>
          <w:sz w:val="24"/>
          <w:szCs w:val="24"/>
          <w:highlight w:val="none"/>
          <w:lang w:eastAsia="zh-CN"/>
        </w:rPr>
        <w:t>乙方</w:t>
      </w:r>
      <w:r>
        <w:rPr>
          <w:rFonts w:hint="eastAsia" w:ascii="仿宋" w:hAnsi="仿宋" w:eastAsia="仿宋" w:cs="仿宋"/>
          <w:color w:val="auto"/>
          <w:sz w:val="24"/>
          <w:szCs w:val="24"/>
          <w:highlight w:val="none"/>
          <w:lang w:val="zh-CN"/>
        </w:rPr>
        <w:t>须免费提供，报价时自行考虑。</w:t>
      </w:r>
    </w:p>
    <w:p w14:paraId="3FEBF27F">
      <w:pPr>
        <w:keepNext w:val="0"/>
        <w:keepLines w:val="0"/>
        <w:pageBreakBefore w:val="0"/>
        <w:kinsoku/>
        <w:wordWrap/>
        <w:overflowPunct/>
        <w:topLinePunct w:val="0"/>
        <w:bidi w:val="0"/>
        <w:spacing w:line="440" w:lineRule="exact"/>
        <w:ind w:firstLine="480" w:firstLineChars="200"/>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5.项目方案具体在实施前须报经甲方同意后方可执行（本项目严格按甲方要求定制化开发），甲方有权修改乙方的项目实施方案，费用不再调整。</w:t>
      </w:r>
    </w:p>
    <w:p w14:paraId="72A4FD7D">
      <w:pPr>
        <w:keepNext w:val="0"/>
        <w:keepLines w:val="0"/>
        <w:pageBreakBefore w:val="0"/>
        <w:kinsoku/>
        <w:wordWrap/>
        <w:overflowPunct/>
        <w:topLinePunct w:val="0"/>
        <w:bidi w:val="0"/>
        <w:spacing w:line="44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6.后续用户的接入或软件的拓展或与第三方的对接，由</w:t>
      </w:r>
      <w:r>
        <w:rPr>
          <w:rFonts w:hint="eastAsia" w:ascii="仿宋" w:hAnsi="仿宋" w:eastAsia="仿宋" w:cs="仿宋"/>
          <w:bCs/>
          <w:color w:val="auto"/>
          <w:sz w:val="24"/>
          <w:szCs w:val="24"/>
          <w:highlight w:val="none"/>
          <w:lang w:eastAsia="zh-CN"/>
        </w:rPr>
        <w:t>乙方</w:t>
      </w:r>
      <w:r>
        <w:rPr>
          <w:rFonts w:hint="eastAsia" w:ascii="仿宋" w:hAnsi="仿宋" w:eastAsia="仿宋" w:cs="仿宋"/>
          <w:color w:val="auto"/>
          <w:sz w:val="24"/>
          <w:szCs w:val="24"/>
          <w:highlight w:val="none"/>
          <w:lang w:val="en-US" w:eastAsia="zh-CN"/>
        </w:rPr>
        <w:t>无条件配合并提供无偿对接和技术支持，</w:t>
      </w:r>
      <w:r>
        <w:rPr>
          <w:rFonts w:hint="eastAsia" w:ascii="仿宋" w:hAnsi="仿宋" w:eastAsia="仿宋" w:cs="仿宋"/>
          <w:bCs/>
          <w:color w:val="auto"/>
          <w:sz w:val="24"/>
          <w:szCs w:val="24"/>
          <w:highlight w:val="none"/>
          <w:lang w:eastAsia="zh-CN"/>
        </w:rPr>
        <w:t>乙方</w:t>
      </w:r>
      <w:r>
        <w:rPr>
          <w:rFonts w:hint="eastAsia" w:ascii="仿宋" w:hAnsi="仿宋" w:eastAsia="仿宋" w:cs="仿宋"/>
          <w:color w:val="auto"/>
          <w:sz w:val="24"/>
          <w:szCs w:val="24"/>
          <w:highlight w:val="none"/>
          <w:lang w:val="en-US" w:eastAsia="zh-CN"/>
        </w:rPr>
        <w:t>须承诺交付源代码以支持开放第三方二次迭代开发，源代码知识产权归甲方所有。</w:t>
      </w:r>
    </w:p>
    <w:p w14:paraId="4D7624B6">
      <w:pPr>
        <w:keepNext w:val="0"/>
        <w:keepLines w:val="0"/>
        <w:pageBreakBefore w:val="0"/>
        <w:kinsoku/>
        <w:wordWrap/>
        <w:overflowPunct/>
        <w:topLinePunct w:val="0"/>
        <w:bidi w:val="0"/>
        <w:spacing w:line="44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lang w:val="en-US" w:eastAsia="zh-CN"/>
        </w:rPr>
        <w:t>7.乙方应确保网络和数据安全，由此造成的一切后果由乙方承担，乙方赔偿经济损失并承担相应的法律责任。</w:t>
      </w:r>
    </w:p>
    <w:p w14:paraId="69680C3C">
      <w:pPr>
        <w:keepNext w:val="0"/>
        <w:keepLines w:val="0"/>
        <w:pageBreakBefore w:val="0"/>
        <w:kinsoku/>
        <w:wordWrap/>
        <w:overflowPunct/>
        <w:bidi w:val="0"/>
        <w:spacing w:line="440" w:lineRule="exact"/>
        <w:ind w:firstLine="482" w:firstLineChars="200"/>
        <w:jc w:val="left"/>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十一、</w:t>
      </w:r>
      <w:r>
        <w:rPr>
          <w:rFonts w:hint="eastAsia" w:ascii="仿宋" w:hAnsi="仿宋" w:eastAsia="仿宋" w:cs="仿宋"/>
          <w:b/>
          <w:bCs/>
          <w:color w:val="auto"/>
          <w:sz w:val="24"/>
          <w:highlight w:val="none"/>
        </w:rPr>
        <w:t>履约保证金</w:t>
      </w:r>
    </w:p>
    <w:p w14:paraId="12808A11">
      <w:pPr>
        <w:keepNext w:val="0"/>
        <w:keepLines w:val="0"/>
        <w:pageBreakBefore w:val="0"/>
        <w:kinsoku/>
        <w:wordWrap/>
        <w:overflowPunct/>
        <w:bidi w:val="0"/>
        <w:spacing w:line="440" w:lineRule="exact"/>
        <w:ind w:firstLine="480" w:firstLineChars="200"/>
        <w:jc w:val="left"/>
        <w:textAlignment w:val="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ab/>
      </w:r>
      <w:r>
        <w:rPr>
          <w:rFonts w:hint="eastAsia" w:ascii="仿宋" w:hAnsi="仿宋" w:eastAsia="仿宋" w:cs="仿宋"/>
          <w:b w:val="0"/>
          <w:bCs w:val="0"/>
          <w:color w:val="auto"/>
          <w:sz w:val="24"/>
          <w:highlight w:val="none"/>
        </w:rPr>
        <w:t>中标后</w:t>
      </w:r>
      <w:r>
        <w:rPr>
          <w:rFonts w:hint="eastAsia" w:ascii="仿宋" w:hAnsi="仿宋" w:eastAsia="仿宋" w:cs="仿宋"/>
          <w:b w:val="0"/>
          <w:bCs w:val="0"/>
          <w:color w:val="auto"/>
          <w:sz w:val="24"/>
          <w:highlight w:val="none"/>
          <w:lang w:val="en-US" w:eastAsia="zh-CN"/>
        </w:rPr>
        <w:t>乙方</w:t>
      </w:r>
      <w:r>
        <w:rPr>
          <w:rFonts w:hint="eastAsia" w:ascii="仿宋" w:hAnsi="仿宋" w:eastAsia="仿宋" w:cs="仿宋"/>
          <w:b w:val="0"/>
          <w:bCs w:val="0"/>
          <w:color w:val="auto"/>
          <w:sz w:val="24"/>
          <w:highlight w:val="none"/>
        </w:rPr>
        <w:t>须向</w:t>
      </w:r>
      <w:r>
        <w:rPr>
          <w:rFonts w:hint="eastAsia" w:ascii="仿宋" w:hAnsi="仿宋" w:eastAsia="仿宋" w:cs="仿宋"/>
          <w:b w:val="0"/>
          <w:bCs w:val="0"/>
          <w:color w:val="auto"/>
          <w:sz w:val="24"/>
          <w:highlight w:val="none"/>
          <w:lang w:val="en-US" w:eastAsia="zh-CN"/>
        </w:rPr>
        <w:t>甲方</w:t>
      </w:r>
      <w:r>
        <w:rPr>
          <w:rFonts w:hint="eastAsia" w:ascii="仿宋" w:hAnsi="仿宋" w:eastAsia="仿宋" w:cs="仿宋"/>
          <w:b w:val="0"/>
          <w:bCs w:val="0"/>
          <w:color w:val="auto"/>
          <w:sz w:val="24"/>
          <w:highlight w:val="none"/>
        </w:rPr>
        <w:t>缴纳中标金额1%的履约保证金（电汇/汇票/本票等转账方式或银行保函方式），履约保证金在服务期满后30个工作日内退还（不计息）。</w:t>
      </w:r>
    </w:p>
    <w:p w14:paraId="512EFB56">
      <w:pPr>
        <w:keepNext w:val="0"/>
        <w:keepLines w:val="0"/>
        <w:pageBreakBefore w:val="0"/>
        <w:kinsoku/>
        <w:wordWrap/>
        <w:overflowPunct/>
        <w:bidi w:val="0"/>
        <w:spacing w:line="440" w:lineRule="exact"/>
        <w:ind w:firstLine="482" w:firstLineChars="200"/>
        <w:jc w:val="left"/>
        <w:textAlignment w:val="auto"/>
        <w:rPr>
          <w:rFonts w:hint="eastAsia" w:ascii="仿宋" w:hAnsi="仿宋" w:eastAsia="仿宋" w:cs="仿宋"/>
          <w:b/>
          <w:bCs/>
          <w:color w:val="auto"/>
          <w:sz w:val="24"/>
          <w:highlight w:val="none"/>
          <w:lang w:eastAsia="zh-CN"/>
        </w:rPr>
      </w:pPr>
      <w:r>
        <w:rPr>
          <w:rFonts w:hint="eastAsia" w:ascii="仿宋" w:hAnsi="仿宋" w:eastAsia="仿宋" w:cs="仿宋"/>
          <w:b/>
          <w:bCs/>
          <w:color w:val="auto"/>
          <w:sz w:val="24"/>
          <w:highlight w:val="none"/>
        </w:rPr>
        <w:t>十</w:t>
      </w:r>
      <w:r>
        <w:rPr>
          <w:rFonts w:hint="eastAsia" w:ascii="仿宋" w:hAnsi="仿宋" w:eastAsia="仿宋" w:cs="仿宋"/>
          <w:b/>
          <w:bCs/>
          <w:color w:val="auto"/>
          <w:sz w:val="24"/>
          <w:highlight w:val="none"/>
          <w:lang w:val="en-US" w:eastAsia="zh-CN"/>
        </w:rPr>
        <w:t>二</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付款方式</w:t>
      </w:r>
    </w:p>
    <w:p w14:paraId="5F41E5DC">
      <w:pPr>
        <w:keepNext w:val="0"/>
        <w:keepLines w:val="0"/>
        <w:pageBreakBefore w:val="0"/>
        <w:kinsoku/>
        <w:wordWrap/>
        <w:overflowPunct/>
        <w:bidi w:val="0"/>
        <w:spacing w:line="440" w:lineRule="exact"/>
        <w:ind w:firstLine="480" w:firstLineChars="200"/>
        <w:textAlignment w:val="auto"/>
        <w:rPr>
          <w:rFonts w:hint="eastAsia" w:ascii="仿宋" w:hAnsi="仿宋" w:eastAsia="仿宋" w:cs="仿宋"/>
          <w:b/>
          <w:bCs/>
          <w:color w:val="auto"/>
          <w:sz w:val="24"/>
          <w:highlight w:val="none"/>
        </w:rPr>
      </w:pPr>
      <w:r>
        <w:rPr>
          <w:rFonts w:hint="eastAsia" w:ascii="仿宋" w:hAnsi="仿宋" w:eastAsia="仿宋" w:cs="仿宋"/>
          <w:color w:val="auto"/>
          <w:kern w:val="0"/>
          <w:sz w:val="24"/>
          <w:szCs w:val="20"/>
          <w:highlight w:val="none"/>
        </w:rPr>
        <w:t>本项目初验合格后支付</w:t>
      </w:r>
      <w:r>
        <w:rPr>
          <w:rFonts w:hint="eastAsia" w:ascii="仿宋" w:hAnsi="仿宋" w:eastAsia="仿宋" w:cs="仿宋"/>
          <w:color w:val="auto"/>
          <w:kern w:val="0"/>
          <w:sz w:val="24"/>
          <w:szCs w:val="20"/>
          <w:highlight w:val="none"/>
          <w:lang w:val="en-US" w:eastAsia="zh-CN"/>
        </w:rPr>
        <w:t>5</w:t>
      </w:r>
      <w:r>
        <w:rPr>
          <w:rFonts w:hint="eastAsia" w:ascii="仿宋" w:hAnsi="仿宋" w:eastAsia="仿宋" w:cs="仿宋"/>
          <w:color w:val="auto"/>
          <w:kern w:val="0"/>
          <w:sz w:val="24"/>
          <w:szCs w:val="20"/>
          <w:highlight w:val="none"/>
        </w:rPr>
        <w:t>0%，终验合格后支付</w:t>
      </w:r>
      <w:r>
        <w:rPr>
          <w:rFonts w:hint="eastAsia" w:ascii="仿宋" w:hAnsi="仿宋" w:eastAsia="仿宋" w:cs="仿宋"/>
          <w:color w:val="auto"/>
          <w:kern w:val="0"/>
          <w:sz w:val="24"/>
          <w:szCs w:val="20"/>
          <w:highlight w:val="none"/>
          <w:lang w:val="en-US" w:eastAsia="zh-CN"/>
        </w:rPr>
        <w:t>20</w:t>
      </w:r>
      <w:r>
        <w:rPr>
          <w:rFonts w:hint="eastAsia" w:ascii="仿宋" w:hAnsi="仿宋" w:eastAsia="仿宋" w:cs="仿宋"/>
          <w:color w:val="auto"/>
          <w:kern w:val="0"/>
          <w:sz w:val="24"/>
          <w:szCs w:val="20"/>
          <w:highlight w:val="none"/>
        </w:rPr>
        <w:t>%</w:t>
      </w:r>
      <w:r>
        <w:rPr>
          <w:rFonts w:hint="eastAsia" w:ascii="仿宋" w:hAnsi="仿宋" w:eastAsia="仿宋" w:cs="仿宋"/>
          <w:color w:val="auto"/>
          <w:kern w:val="0"/>
          <w:sz w:val="24"/>
          <w:szCs w:val="20"/>
          <w:highlight w:val="none"/>
          <w:lang w:eastAsia="zh-CN"/>
        </w:rPr>
        <w:t>。</w:t>
      </w:r>
      <w:r>
        <w:rPr>
          <w:rFonts w:hint="eastAsia" w:ascii="仿宋" w:hAnsi="仿宋" w:eastAsia="仿宋" w:cs="仿宋"/>
          <w:color w:val="auto"/>
          <w:kern w:val="0"/>
          <w:sz w:val="24"/>
          <w:szCs w:val="20"/>
          <w:highlight w:val="none"/>
          <w:lang w:val="en-US" w:eastAsia="zh-CN"/>
        </w:rPr>
        <w:t>云资源费用运维期满一年后按实付清，余额按运维期每年平均支付。</w:t>
      </w:r>
    </w:p>
    <w:p w14:paraId="2CFD12F8">
      <w:pPr>
        <w:keepNext w:val="0"/>
        <w:keepLines w:val="0"/>
        <w:pageBreakBefore w:val="0"/>
        <w:kinsoku/>
        <w:wordWrap/>
        <w:overflowPunct/>
        <w:bidi w:val="0"/>
        <w:spacing w:line="440" w:lineRule="exact"/>
        <w:ind w:firstLine="482" w:firstLineChars="200"/>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十</w:t>
      </w:r>
      <w:r>
        <w:rPr>
          <w:rFonts w:hint="eastAsia" w:ascii="仿宋" w:hAnsi="仿宋" w:eastAsia="仿宋" w:cs="仿宋"/>
          <w:b/>
          <w:bCs/>
          <w:color w:val="auto"/>
          <w:sz w:val="24"/>
          <w:highlight w:val="none"/>
          <w:lang w:val="en-US" w:eastAsia="zh-CN"/>
        </w:rPr>
        <w:t>三</w:t>
      </w:r>
      <w:r>
        <w:rPr>
          <w:rFonts w:hint="eastAsia" w:ascii="仿宋" w:hAnsi="仿宋" w:eastAsia="仿宋" w:cs="仿宋"/>
          <w:b/>
          <w:bCs/>
          <w:color w:val="auto"/>
          <w:sz w:val="24"/>
          <w:highlight w:val="none"/>
        </w:rPr>
        <w:t>、税费</w:t>
      </w:r>
    </w:p>
    <w:p w14:paraId="41B6343D">
      <w:pPr>
        <w:keepNext w:val="0"/>
        <w:keepLines w:val="0"/>
        <w:pageBreakBefore w:val="0"/>
        <w:kinsoku/>
        <w:wordWrap/>
        <w:overflowPunct/>
        <w:bidi w:val="0"/>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本合同执行中相关的一切税费均由乙方负担。</w:t>
      </w:r>
    </w:p>
    <w:p w14:paraId="016CC1E2">
      <w:pPr>
        <w:keepNext w:val="0"/>
        <w:keepLines w:val="0"/>
        <w:pageBreakBefore w:val="0"/>
        <w:kinsoku/>
        <w:wordWrap/>
        <w:overflowPunct/>
        <w:bidi w:val="0"/>
        <w:spacing w:line="440" w:lineRule="exact"/>
        <w:ind w:firstLine="482" w:firstLineChars="200"/>
        <w:textAlignment w:val="auto"/>
        <w:outlineLvl w:val="0"/>
        <w:rPr>
          <w:rFonts w:hint="eastAsia" w:ascii="仿宋" w:hAnsi="仿宋" w:eastAsia="仿宋" w:cs="仿宋"/>
          <w:b/>
          <w:color w:val="auto"/>
          <w:sz w:val="24"/>
          <w:highlight w:val="none"/>
        </w:rPr>
      </w:pPr>
      <w:r>
        <w:rPr>
          <w:rFonts w:hint="eastAsia" w:ascii="仿宋" w:hAnsi="仿宋" w:eastAsia="仿宋" w:cs="仿宋"/>
          <w:b/>
          <w:bCs/>
          <w:color w:val="auto"/>
          <w:sz w:val="24"/>
          <w:highlight w:val="none"/>
        </w:rPr>
        <w:t>十</w:t>
      </w:r>
      <w:r>
        <w:rPr>
          <w:rFonts w:hint="eastAsia" w:ascii="仿宋" w:hAnsi="仿宋" w:eastAsia="仿宋" w:cs="仿宋"/>
          <w:b/>
          <w:bCs/>
          <w:color w:val="auto"/>
          <w:sz w:val="24"/>
          <w:highlight w:val="none"/>
          <w:lang w:val="en-US" w:eastAsia="zh-CN"/>
        </w:rPr>
        <w:t>四</w:t>
      </w:r>
      <w:r>
        <w:rPr>
          <w:rFonts w:hint="eastAsia" w:ascii="仿宋" w:hAnsi="仿宋" w:eastAsia="仿宋" w:cs="仿宋"/>
          <w:b/>
          <w:bCs/>
          <w:color w:val="auto"/>
          <w:sz w:val="24"/>
          <w:highlight w:val="none"/>
        </w:rPr>
        <w:t>、</w:t>
      </w:r>
      <w:r>
        <w:rPr>
          <w:rFonts w:hint="eastAsia" w:ascii="仿宋" w:hAnsi="仿宋" w:eastAsia="仿宋" w:cs="仿宋"/>
          <w:b/>
          <w:color w:val="auto"/>
          <w:sz w:val="24"/>
          <w:highlight w:val="none"/>
        </w:rPr>
        <w:t>转包或分包</w:t>
      </w:r>
    </w:p>
    <w:p w14:paraId="79C0876A">
      <w:pPr>
        <w:keepNext w:val="0"/>
        <w:keepLines w:val="0"/>
        <w:pageBreakBefore w:val="0"/>
        <w:kinsoku/>
        <w:wordWrap/>
        <w:overflowPunct/>
        <w:bidi w:val="0"/>
        <w:spacing w:line="440" w:lineRule="exact"/>
        <w:ind w:firstLine="480" w:firstLineChars="200"/>
        <w:textAlignment w:val="auto"/>
        <w:outlineLvl w:val="0"/>
        <w:rPr>
          <w:rFonts w:hint="eastAsia" w:ascii="仿宋" w:hAnsi="仿宋" w:eastAsia="仿宋" w:cs="仿宋"/>
          <w:color w:val="auto"/>
          <w:sz w:val="24"/>
          <w:highlight w:val="none"/>
        </w:rPr>
      </w:pPr>
      <w:r>
        <w:rPr>
          <w:rFonts w:hint="eastAsia" w:ascii="仿宋" w:hAnsi="仿宋" w:eastAsia="仿宋" w:cs="仿宋"/>
          <w:bCs/>
          <w:color w:val="auto"/>
          <w:sz w:val="24"/>
          <w:highlight w:val="none"/>
        </w:rPr>
        <w:t>本合同范</w:t>
      </w:r>
      <w:r>
        <w:rPr>
          <w:rFonts w:hint="eastAsia" w:ascii="仿宋" w:hAnsi="仿宋" w:eastAsia="仿宋" w:cs="仿宋"/>
          <w:bCs/>
          <w:color w:val="auto"/>
          <w:sz w:val="24"/>
          <w:highlight w:val="none"/>
          <w:lang w:eastAsia="zh-CN"/>
        </w:rPr>
        <w:t>围内</w:t>
      </w:r>
      <w:r>
        <w:rPr>
          <w:rFonts w:hint="eastAsia" w:ascii="仿宋" w:hAnsi="仿宋" w:eastAsia="仿宋" w:cs="仿宋"/>
          <w:bCs/>
          <w:color w:val="auto"/>
          <w:sz w:val="24"/>
          <w:highlight w:val="none"/>
        </w:rPr>
        <w:t>的服务，应由乙方直接供应，不得转包或分包给他人供应，否则，甲方有权解除合同，且乙方按合同总金额的5%作为违约金支付给甲方，如实际造成的损失超过违约金的则按实际损失赔偿。</w:t>
      </w:r>
    </w:p>
    <w:p w14:paraId="407864C6">
      <w:pPr>
        <w:keepNext w:val="0"/>
        <w:keepLines w:val="0"/>
        <w:pageBreakBefore w:val="0"/>
        <w:kinsoku/>
        <w:wordWrap/>
        <w:overflowPunct/>
        <w:bidi w:val="0"/>
        <w:spacing w:line="440" w:lineRule="exact"/>
        <w:ind w:firstLine="482" w:firstLineChars="200"/>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十</w:t>
      </w:r>
      <w:r>
        <w:rPr>
          <w:rFonts w:hint="eastAsia" w:ascii="仿宋" w:hAnsi="仿宋" w:eastAsia="仿宋" w:cs="仿宋"/>
          <w:b/>
          <w:bCs/>
          <w:color w:val="auto"/>
          <w:sz w:val="24"/>
          <w:highlight w:val="none"/>
          <w:lang w:val="en-US" w:eastAsia="zh-CN"/>
        </w:rPr>
        <w:t>五</w:t>
      </w:r>
      <w:r>
        <w:rPr>
          <w:rFonts w:hint="eastAsia" w:ascii="仿宋" w:hAnsi="仿宋" w:eastAsia="仿宋" w:cs="仿宋"/>
          <w:b/>
          <w:bCs/>
          <w:color w:val="auto"/>
          <w:sz w:val="24"/>
          <w:highlight w:val="none"/>
        </w:rPr>
        <w:t>、违约责任</w:t>
      </w:r>
    </w:p>
    <w:p w14:paraId="7F282251">
      <w:pPr>
        <w:keepNext w:val="0"/>
        <w:keepLines w:val="0"/>
        <w:pageBreakBefore w:val="0"/>
        <w:kinsoku/>
        <w:wordWrap/>
        <w:overflowPunct/>
        <w:bidi w:val="0"/>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1.甲方无正当理由拒收接受服务的，甲方向乙方偿付合同款项百分之五作为违约金。</w:t>
      </w:r>
    </w:p>
    <w:p w14:paraId="0CCDB011">
      <w:pPr>
        <w:keepNext w:val="0"/>
        <w:keepLines w:val="0"/>
        <w:pageBreakBefore w:val="0"/>
        <w:kinsoku/>
        <w:wordWrap/>
        <w:overflowPunct/>
        <w:bidi w:val="0"/>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2.甲方无故逾期验收和办理款项支付手续的</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甲方应按逾期付款总额每日万分之五向乙方支付违约金。</w:t>
      </w:r>
    </w:p>
    <w:p w14:paraId="7298AD3A">
      <w:pPr>
        <w:keepNext w:val="0"/>
        <w:keepLines w:val="0"/>
        <w:pageBreakBefore w:val="0"/>
        <w:kinsoku/>
        <w:wordWrap/>
        <w:overflowPunct/>
        <w:bidi w:val="0"/>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3.乙方未能如期提供服务的，每日向甲方支付合同款项的千分之一作为违约金。乙方超过约定日期10个工作日仍不能提供服务的，甲方可解除本合同。乙方因未能如期提供服务或因其他违约行为导致甲方解除合同的，乙方应向甲方支付合同总值5%的违约金，如造成甲方损失超过违约金的，超出部分由乙方继续承担赔偿责任。 </w:t>
      </w:r>
    </w:p>
    <w:p w14:paraId="33C3FFAD">
      <w:pPr>
        <w:keepNext w:val="0"/>
        <w:keepLines w:val="0"/>
        <w:pageBreakBefore w:val="0"/>
        <w:kinsoku/>
        <w:wordWrap/>
        <w:overflowPunct/>
        <w:bidi w:val="0"/>
        <w:spacing w:line="440" w:lineRule="exact"/>
        <w:ind w:firstLine="480" w:firstLineChars="200"/>
        <w:textAlignment w:val="auto"/>
        <w:rPr>
          <w:rFonts w:hint="default" w:ascii="仿宋" w:hAnsi="仿宋" w:eastAsia="仿宋" w:cs="仿宋"/>
          <w:color w:val="auto"/>
          <w:sz w:val="24"/>
          <w:highlight w:val="none"/>
          <w:lang w:val="en-US"/>
        </w:rPr>
      </w:pPr>
      <w:r>
        <w:rPr>
          <w:rFonts w:hint="eastAsia" w:ascii="仿宋" w:hAnsi="仿宋" w:eastAsia="仿宋" w:cs="仿宋"/>
          <w:color w:val="auto"/>
          <w:sz w:val="24"/>
          <w:highlight w:val="none"/>
          <w:lang w:val="en-US" w:eastAsia="zh-CN"/>
        </w:rPr>
        <w:t>4.项目终验前</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若发生网络安全、数据泄露等数据安全问题，</w:t>
      </w:r>
      <w:r>
        <w:rPr>
          <w:rFonts w:hint="eastAsia" w:ascii="仿宋" w:hAnsi="仿宋" w:eastAsia="仿宋" w:cs="仿宋"/>
          <w:color w:val="auto"/>
          <w:sz w:val="24"/>
          <w:highlight w:val="none"/>
        </w:rPr>
        <w:t>乙方</w:t>
      </w:r>
      <w:r>
        <w:rPr>
          <w:rFonts w:hint="eastAsia" w:ascii="仿宋" w:hAnsi="仿宋" w:eastAsia="仿宋" w:cs="仿宋"/>
          <w:color w:val="auto"/>
          <w:sz w:val="24"/>
          <w:highlight w:val="none"/>
          <w:lang w:val="en-US" w:eastAsia="zh-CN"/>
        </w:rPr>
        <w:t>以等同于履约保证金金额</w:t>
      </w:r>
      <w:r>
        <w:rPr>
          <w:rFonts w:hint="eastAsia" w:ascii="仿宋" w:hAnsi="仿宋" w:eastAsia="仿宋" w:cs="仿宋"/>
          <w:color w:val="auto"/>
          <w:sz w:val="24"/>
          <w:highlight w:val="none"/>
        </w:rPr>
        <w:t>向甲方支付违约金</w:t>
      </w:r>
      <w:r>
        <w:rPr>
          <w:rFonts w:hint="eastAsia" w:ascii="仿宋" w:hAnsi="仿宋" w:eastAsia="仿宋" w:cs="仿宋"/>
          <w:color w:val="auto"/>
          <w:sz w:val="24"/>
          <w:highlight w:val="none"/>
          <w:lang w:eastAsia="zh-CN"/>
        </w:rPr>
        <w:t>。</w:t>
      </w:r>
    </w:p>
    <w:p w14:paraId="7EB2D818">
      <w:pPr>
        <w:keepNext w:val="0"/>
        <w:keepLines w:val="0"/>
        <w:pageBreakBefore w:val="0"/>
        <w:kinsoku/>
        <w:wordWrap/>
        <w:overflowPunct/>
        <w:bidi w:val="0"/>
        <w:spacing w:line="440" w:lineRule="exact"/>
        <w:ind w:firstLine="480" w:firstLineChars="200"/>
        <w:textAlignment w:val="auto"/>
        <w:rPr>
          <w:rFonts w:hint="eastAsia" w:ascii="仿宋" w:hAnsi="仿宋" w:eastAsia="仿宋" w:cs="仿宋"/>
          <w:b/>
          <w:bCs/>
          <w:color w:val="auto"/>
          <w:sz w:val="24"/>
          <w:highlight w:val="none"/>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.运维服务期内，乙方未能按照合同约定提供售后服务的，甲方有权要求乙方按1000元/次向甲方支付违约金</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可以累计计算</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，并要求乙方立即采取补救措施。乙方拒绝采取补救措施的或者乙方采取补救措施后仍不能解决问题的，则甲方有权另行委托第三方提供服务，相应的费用</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以甲方和第三方签订的合同金额为准</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由乙方承担。</w:t>
      </w:r>
    </w:p>
    <w:p w14:paraId="2E4FFF38">
      <w:pPr>
        <w:keepNext w:val="0"/>
        <w:keepLines w:val="0"/>
        <w:pageBreakBefore w:val="0"/>
        <w:kinsoku/>
        <w:wordWrap/>
        <w:overflowPunct/>
        <w:bidi w:val="0"/>
        <w:spacing w:line="440" w:lineRule="exact"/>
        <w:ind w:firstLine="482" w:firstLineChars="200"/>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十</w:t>
      </w:r>
      <w:r>
        <w:rPr>
          <w:rFonts w:hint="eastAsia" w:ascii="仿宋" w:hAnsi="仿宋" w:eastAsia="仿宋" w:cs="仿宋"/>
          <w:b/>
          <w:bCs/>
          <w:color w:val="auto"/>
          <w:sz w:val="24"/>
          <w:highlight w:val="none"/>
          <w:lang w:val="en-US" w:eastAsia="zh-CN"/>
        </w:rPr>
        <w:t>六</w:t>
      </w:r>
      <w:r>
        <w:rPr>
          <w:rFonts w:hint="eastAsia" w:ascii="仿宋" w:hAnsi="仿宋" w:eastAsia="仿宋" w:cs="仿宋"/>
          <w:b/>
          <w:bCs/>
          <w:color w:val="auto"/>
          <w:sz w:val="24"/>
          <w:highlight w:val="none"/>
        </w:rPr>
        <w:t>、不可抗力事件处理</w:t>
      </w:r>
    </w:p>
    <w:p w14:paraId="5D6251A0">
      <w:pPr>
        <w:keepNext w:val="0"/>
        <w:keepLines w:val="0"/>
        <w:pageBreakBefore w:val="0"/>
        <w:kinsoku/>
        <w:wordWrap/>
        <w:overflowPunct/>
        <w:bidi w:val="0"/>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1.在合同有效期内，任何一方因不可抗力事件导致不能履行合同，则合同履行期可延长，其延长期与不可抗力影响期相同。</w:t>
      </w:r>
    </w:p>
    <w:p w14:paraId="46CBE397">
      <w:pPr>
        <w:keepNext w:val="0"/>
        <w:keepLines w:val="0"/>
        <w:pageBreakBefore w:val="0"/>
        <w:kinsoku/>
        <w:wordWrap/>
        <w:overflowPunct/>
        <w:bidi w:val="0"/>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2.本条所述的“不可抗力”系指那些双方不可预见、不可避免、不可克服的事件</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但不包括双方的违约或 疏忽。这些事件包括但不限于</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战争、严重</w:t>
      </w:r>
      <w:r>
        <w:rPr>
          <w:rFonts w:hint="eastAsia" w:ascii="仿宋" w:hAnsi="仿宋" w:eastAsia="仿宋" w:cs="仿宋"/>
          <w:color w:val="auto"/>
          <w:sz w:val="24"/>
          <w:highlight w:val="none"/>
          <w:lang w:eastAsia="zh-CN"/>
        </w:rPr>
        <w:t>火灾</w:t>
      </w:r>
      <w:r>
        <w:rPr>
          <w:rFonts w:hint="eastAsia" w:ascii="仿宋" w:hAnsi="仿宋" w:eastAsia="仿宋" w:cs="仿宋"/>
          <w:color w:val="auto"/>
          <w:sz w:val="24"/>
          <w:highlight w:val="none"/>
        </w:rPr>
        <w:t>、洪水、台风、地震、国家政策的重大变化</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 xml:space="preserve">以及双方商定的其他事件。 </w:t>
      </w:r>
    </w:p>
    <w:p w14:paraId="582CB2E6">
      <w:pPr>
        <w:keepNext w:val="0"/>
        <w:keepLines w:val="0"/>
        <w:pageBreakBefore w:val="0"/>
        <w:kinsoku/>
        <w:wordWrap/>
        <w:overflowPunct/>
        <w:bidi w:val="0"/>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3.不可抗力事件发生后，应立即通知对方，并寄送有关权威机构出具的证明。</w:t>
      </w:r>
    </w:p>
    <w:p w14:paraId="19AFF183">
      <w:pPr>
        <w:keepNext w:val="0"/>
        <w:keepLines w:val="0"/>
        <w:pageBreakBefore w:val="0"/>
        <w:kinsoku/>
        <w:wordWrap/>
        <w:overflowPunct/>
        <w:bidi w:val="0"/>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4.不可抗力事件延续120天以上，双方应通过友好协商，确定是否继续履行合同。</w:t>
      </w:r>
    </w:p>
    <w:p w14:paraId="3BBD0508">
      <w:pPr>
        <w:keepNext w:val="0"/>
        <w:keepLines w:val="0"/>
        <w:pageBreakBefore w:val="0"/>
        <w:kinsoku/>
        <w:wordWrap/>
        <w:overflowPunct/>
        <w:bidi w:val="0"/>
        <w:spacing w:line="440" w:lineRule="exact"/>
        <w:ind w:firstLine="482" w:firstLineChars="200"/>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十</w:t>
      </w:r>
      <w:r>
        <w:rPr>
          <w:rFonts w:hint="eastAsia" w:ascii="仿宋" w:hAnsi="仿宋" w:eastAsia="仿宋" w:cs="仿宋"/>
          <w:b/>
          <w:bCs/>
          <w:color w:val="auto"/>
          <w:sz w:val="24"/>
          <w:highlight w:val="none"/>
          <w:lang w:val="en-US" w:eastAsia="zh-CN"/>
        </w:rPr>
        <w:t>七</w:t>
      </w:r>
      <w:r>
        <w:rPr>
          <w:rFonts w:hint="eastAsia" w:ascii="仿宋" w:hAnsi="仿宋" w:eastAsia="仿宋" w:cs="仿宋"/>
          <w:b/>
          <w:bCs/>
          <w:color w:val="auto"/>
          <w:sz w:val="24"/>
          <w:highlight w:val="none"/>
        </w:rPr>
        <w:t>、法律适用及争议解决</w:t>
      </w:r>
    </w:p>
    <w:p w14:paraId="286EB628">
      <w:pPr>
        <w:keepNext w:val="0"/>
        <w:keepLines w:val="0"/>
        <w:pageBreakBefore w:val="0"/>
        <w:kinsoku/>
        <w:wordWrap/>
        <w:overflowPunct/>
        <w:bidi w:val="0"/>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本合同履行过程中发生的任何争议，双方当事人均可通过和解或者调解解决；不愿和解、调解或者和解、调解不成的，将争议提交绍兴仲裁委员会仲裁。</w:t>
      </w:r>
    </w:p>
    <w:p w14:paraId="35027F6F">
      <w:pPr>
        <w:keepNext w:val="0"/>
        <w:keepLines w:val="0"/>
        <w:pageBreakBefore w:val="0"/>
        <w:kinsoku/>
        <w:wordWrap/>
        <w:overflowPunct/>
        <w:bidi w:val="0"/>
        <w:spacing w:line="440" w:lineRule="exact"/>
        <w:ind w:firstLine="482" w:firstLineChars="200"/>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十</w:t>
      </w:r>
      <w:r>
        <w:rPr>
          <w:rFonts w:hint="eastAsia" w:ascii="仿宋" w:hAnsi="仿宋" w:eastAsia="仿宋" w:cs="仿宋"/>
          <w:b/>
          <w:bCs/>
          <w:color w:val="auto"/>
          <w:sz w:val="24"/>
          <w:highlight w:val="none"/>
          <w:lang w:val="en-US" w:eastAsia="zh-CN"/>
        </w:rPr>
        <w:t>八</w:t>
      </w:r>
      <w:r>
        <w:rPr>
          <w:rFonts w:hint="eastAsia" w:ascii="仿宋" w:hAnsi="仿宋" w:eastAsia="仿宋" w:cs="仿宋"/>
          <w:b/>
          <w:bCs/>
          <w:color w:val="auto"/>
          <w:sz w:val="24"/>
          <w:highlight w:val="none"/>
        </w:rPr>
        <w:t>、合同组成</w:t>
      </w:r>
    </w:p>
    <w:p w14:paraId="35E49918">
      <w:pPr>
        <w:keepNext w:val="0"/>
        <w:keepLines w:val="0"/>
        <w:pageBreakBefore w:val="0"/>
        <w:kinsoku/>
        <w:wordWrap/>
        <w:overflowPunct/>
        <w:bidi w:val="0"/>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有关本次采购项目的采购文件以及相关的函件如答疑函、承诺函、乙方投标文件等均为本合同不可分割的一部分。若“本次采购项目的采购文件以及相关的函件如答疑函、承诺函”与本合同有出入时，以“本次采购项目的采购文件以及相关的函件如答疑函、承诺函”为准。</w:t>
      </w:r>
    </w:p>
    <w:p w14:paraId="41F2AA74">
      <w:pPr>
        <w:keepNext w:val="0"/>
        <w:keepLines w:val="0"/>
        <w:pageBreakBefore w:val="0"/>
        <w:kinsoku/>
        <w:wordWrap/>
        <w:overflowPunct/>
        <w:bidi w:val="0"/>
        <w:spacing w:line="440" w:lineRule="exact"/>
        <w:ind w:firstLine="482" w:firstLineChars="200"/>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十</w:t>
      </w:r>
      <w:r>
        <w:rPr>
          <w:rFonts w:hint="eastAsia" w:ascii="仿宋" w:hAnsi="仿宋" w:eastAsia="仿宋" w:cs="仿宋"/>
          <w:b/>
          <w:bCs/>
          <w:color w:val="auto"/>
          <w:sz w:val="24"/>
          <w:highlight w:val="none"/>
          <w:lang w:val="en-US" w:eastAsia="zh-CN"/>
        </w:rPr>
        <w:t>九</w:t>
      </w:r>
      <w:r>
        <w:rPr>
          <w:rFonts w:hint="eastAsia" w:ascii="仿宋" w:hAnsi="仿宋" w:eastAsia="仿宋" w:cs="仿宋"/>
          <w:b/>
          <w:bCs/>
          <w:color w:val="auto"/>
          <w:sz w:val="24"/>
          <w:highlight w:val="none"/>
        </w:rPr>
        <w:t>、合同生效及其它</w:t>
      </w:r>
    </w:p>
    <w:p w14:paraId="223986EF">
      <w:pPr>
        <w:keepNext w:val="0"/>
        <w:keepLines w:val="0"/>
        <w:pageBreakBefore w:val="0"/>
        <w:kinsoku/>
        <w:wordWrap/>
        <w:overflowPunct/>
        <w:bidi w:val="0"/>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1.合同经双方法定代表人或授权代表签字并加盖单位公章后生效。</w:t>
      </w:r>
    </w:p>
    <w:p w14:paraId="6065599C">
      <w:pPr>
        <w:keepNext w:val="0"/>
        <w:keepLines w:val="0"/>
        <w:pageBreakBefore w:val="0"/>
        <w:kinsoku/>
        <w:wordWrap/>
        <w:overflowPunct/>
        <w:bidi w:val="0"/>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2.合同执行中涉及采购资金和采购内容修改或补充的，须并</w:t>
      </w:r>
      <w:r>
        <w:rPr>
          <w:rFonts w:hint="eastAsia" w:ascii="仿宋" w:hAnsi="仿宋" w:eastAsia="仿宋" w:cs="仿宋"/>
          <w:color w:val="auto"/>
          <w:sz w:val="24"/>
          <w:highlight w:val="none"/>
          <w:lang w:eastAsia="zh-CN"/>
        </w:rPr>
        <w:t>签订</w:t>
      </w:r>
      <w:r>
        <w:rPr>
          <w:rFonts w:hint="eastAsia" w:ascii="仿宋" w:hAnsi="仿宋" w:eastAsia="仿宋" w:cs="仿宋"/>
          <w:color w:val="auto"/>
          <w:sz w:val="24"/>
          <w:highlight w:val="none"/>
        </w:rPr>
        <w:t>书面补充协议方可作为主合同不可分割的一部分。</w:t>
      </w:r>
    </w:p>
    <w:p w14:paraId="27FF39E4">
      <w:pPr>
        <w:keepNext w:val="0"/>
        <w:keepLines w:val="0"/>
        <w:pageBreakBefore w:val="0"/>
        <w:kinsoku/>
        <w:wordWrap/>
        <w:overflowPunct/>
        <w:bidi w:val="0"/>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3.本合同未尽事宜，遵照《中华人民共和国政府采购法》、《中华人民共和国民法典》有关条文执行。</w:t>
      </w:r>
    </w:p>
    <w:p w14:paraId="7D9B694A">
      <w:pPr>
        <w:keepNext w:val="0"/>
        <w:keepLines w:val="0"/>
        <w:pageBreakBefore w:val="0"/>
        <w:widowControl/>
        <w:tabs>
          <w:tab w:val="left" w:pos="478"/>
        </w:tabs>
        <w:kinsoku/>
        <w:wordWrap/>
        <w:overflowPunct/>
        <w:autoSpaceDE w:val="0"/>
        <w:autoSpaceDN w:val="0"/>
        <w:bidi w:val="0"/>
        <w:spacing w:line="440" w:lineRule="exact"/>
        <w:ind w:left="971" w:leftChars="171" w:hanging="612" w:hangingChars="255"/>
        <w:jc w:val="left"/>
        <w:textAlignment w:val="auto"/>
        <w:outlineLvl w:val="0"/>
        <w:rPr>
          <w:rFonts w:hint="eastAsia" w:ascii="仿宋" w:hAnsi="仿宋" w:eastAsia="仿宋" w:cs="仿宋"/>
          <w:color w:val="auto"/>
          <w:sz w:val="24"/>
          <w:highlight w:val="none"/>
        </w:rPr>
      </w:pPr>
      <w:r>
        <w:rPr>
          <w:rFonts w:hint="eastAsia" w:ascii="仿宋" w:hAnsi="仿宋" w:eastAsia="仿宋" w:cs="仿宋"/>
          <w:color w:val="auto"/>
          <w:sz w:val="24"/>
          <w:highlight w:val="none"/>
        </w:rPr>
        <w:t>4.本合同正本一式伍份，具有同等法律效力，甲乙双方各执贰份；备案壹份。</w:t>
      </w:r>
    </w:p>
    <w:p w14:paraId="57A599DD">
      <w:pPr>
        <w:keepNext w:val="0"/>
        <w:keepLines w:val="0"/>
        <w:pageBreakBefore w:val="0"/>
        <w:widowControl/>
        <w:tabs>
          <w:tab w:val="left" w:pos="478"/>
        </w:tabs>
        <w:kinsoku/>
        <w:wordWrap/>
        <w:overflowPunct/>
        <w:autoSpaceDE w:val="0"/>
        <w:autoSpaceDN w:val="0"/>
        <w:bidi w:val="0"/>
        <w:spacing w:line="440" w:lineRule="exact"/>
        <w:ind w:left="958" w:hanging="958"/>
        <w:jc w:val="left"/>
        <w:textAlignment w:val="auto"/>
        <w:outlineLvl w:val="0"/>
        <w:rPr>
          <w:color w:val="auto"/>
          <w:highlight w:val="none"/>
        </w:rPr>
      </w:pPr>
      <w:r>
        <w:rPr>
          <w:rFonts w:hint="eastAsia" w:ascii="仿宋" w:hAnsi="仿宋" w:eastAsia="仿宋" w:cs="仿宋"/>
          <w:color w:val="auto"/>
          <w:sz w:val="24"/>
          <w:highlight w:val="none"/>
        </w:rPr>
        <w:t>附件：</w:t>
      </w:r>
      <w:r>
        <w:rPr>
          <w:rFonts w:hint="eastAsia" w:ascii="仿宋" w:hAnsi="仿宋" w:eastAsia="仿宋" w:cs="仿宋"/>
          <w:color w:val="auto"/>
          <w:sz w:val="24"/>
          <w:highlight w:val="none"/>
          <w:lang w:eastAsia="zh-CN"/>
        </w:rPr>
        <w:t>项目</w:t>
      </w:r>
      <w:r>
        <w:rPr>
          <w:rFonts w:hint="eastAsia" w:ascii="仿宋" w:hAnsi="仿宋" w:eastAsia="仿宋" w:cs="仿宋"/>
          <w:color w:val="auto"/>
          <w:sz w:val="24"/>
          <w:highlight w:val="none"/>
        </w:rPr>
        <w:t>清单</w:t>
      </w:r>
      <w:bookmarkEnd w:id="35"/>
      <w:bookmarkEnd w:id="36"/>
      <w:bookmarkEnd w:id="37"/>
    </w:p>
    <w:tbl>
      <w:tblPr>
        <w:tblStyle w:val="65"/>
        <w:tblW w:w="9044" w:type="dxa"/>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00"/>
        <w:gridCol w:w="4744"/>
      </w:tblGrid>
      <w:tr w14:paraId="6DC48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00" w:type="dxa"/>
            <w:tcBorders>
              <w:top w:val="nil"/>
              <w:left w:val="nil"/>
              <w:bottom w:val="nil"/>
              <w:right w:val="nil"/>
            </w:tcBorders>
            <w:noWrap w:val="0"/>
            <w:vAlign w:val="top"/>
          </w:tcPr>
          <w:p w14:paraId="69F1758E">
            <w:pPr>
              <w:keepNext w:val="0"/>
              <w:keepLines w:val="0"/>
              <w:pageBreakBefore w:val="0"/>
              <w:widowControl w:val="0"/>
              <w:suppressLineNumbers w:val="0"/>
              <w:kinsoku/>
              <w:wordWrap/>
              <w:overflowPunct/>
              <w:topLinePunct w:val="0"/>
              <w:autoSpaceDE/>
              <w:autoSpaceDN/>
              <w:bidi w:val="0"/>
              <w:adjustRightInd w:val="0"/>
              <w:snapToGrid w:val="0"/>
              <w:spacing w:before="157" w:beforeAutospacing="0" w:after="157" w:afterAutospacing="0" w:line="440" w:lineRule="exact"/>
              <w:ind w:left="0" w:leftChars="0" w:right="0" w:firstLine="0" w:firstLineChars="0"/>
              <w:jc w:val="both"/>
              <w:textAlignment w:val="auto"/>
              <w:rPr>
                <w:rFonts w:hint="eastAsia" w:ascii="仿宋" w:hAnsi="仿宋" w:eastAsia="仿宋" w:cs="仿宋"/>
                <w:snapToGrid/>
                <w:color w:val="auto"/>
                <w:kern w:val="2"/>
                <w:sz w:val="24"/>
                <w:szCs w:val="24"/>
                <w:highlight w:val="none"/>
                <w:lang w:val="en-US" w:eastAsia="zh-CN" w:bidi="ar-SA"/>
              </w:rPr>
            </w:pPr>
            <w:r>
              <w:rPr>
                <w:rFonts w:hint="eastAsia" w:ascii="仿宋" w:hAnsi="仿宋" w:eastAsia="仿宋" w:cs="仿宋"/>
                <w:snapToGrid/>
                <w:color w:val="auto"/>
                <w:kern w:val="2"/>
                <w:sz w:val="24"/>
                <w:szCs w:val="24"/>
                <w:highlight w:val="none"/>
                <w:lang w:val="en-US" w:eastAsia="zh-CN" w:bidi="ar-SA"/>
              </w:rPr>
              <w:t xml:space="preserve">甲方（盖章）： </w:t>
            </w:r>
          </w:p>
        </w:tc>
        <w:tc>
          <w:tcPr>
            <w:tcW w:w="4744" w:type="dxa"/>
            <w:tcBorders>
              <w:top w:val="nil"/>
              <w:left w:val="nil"/>
              <w:bottom w:val="nil"/>
              <w:right w:val="nil"/>
            </w:tcBorders>
            <w:noWrap w:val="0"/>
            <w:vAlign w:val="top"/>
          </w:tcPr>
          <w:p w14:paraId="1D18DA12">
            <w:pPr>
              <w:keepNext w:val="0"/>
              <w:keepLines w:val="0"/>
              <w:pageBreakBefore w:val="0"/>
              <w:widowControl w:val="0"/>
              <w:suppressLineNumbers w:val="0"/>
              <w:kinsoku/>
              <w:wordWrap/>
              <w:overflowPunct/>
              <w:topLinePunct w:val="0"/>
              <w:autoSpaceDE/>
              <w:autoSpaceDN/>
              <w:bidi w:val="0"/>
              <w:adjustRightInd w:val="0"/>
              <w:snapToGrid w:val="0"/>
              <w:spacing w:before="157" w:beforeAutospacing="0" w:after="157" w:afterAutospacing="0" w:line="440" w:lineRule="exact"/>
              <w:ind w:left="0" w:leftChars="0" w:right="0" w:firstLine="0" w:firstLineChars="0"/>
              <w:jc w:val="both"/>
              <w:textAlignment w:val="auto"/>
              <w:rPr>
                <w:rFonts w:hint="eastAsia" w:ascii="仿宋" w:hAnsi="仿宋" w:eastAsia="仿宋" w:cs="仿宋"/>
                <w:snapToGrid/>
                <w:color w:val="auto"/>
                <w:kern w:val="2"/>
                <w:sz w:val="24"/>
                <w:szCs w:val="24"/>
                <w:highlight w:val="none"/>
                <w:lang w:val="en-US" w:eastAsia="zh-CN" w:bidi="ar-SA"/>
              </w:rPr>
            </w:pPr>
            <w:r>
              <w:rPr>
                <w:rFonts w:hint="eastAsia" w:ascii="仿宋" w:hAnsi="仿宋" w:eastAsia="仿宋" w:cs="仿宋"/>
                <w:snapToGrid/>
                <w:color w:val="auto"/>
                <w:kern w:val="2"/>
                <w:sz w:val="24"/>
                <w:szCs w:val="24"/>
                <w:highlight w:val="none"/>
                <w:lang w:val="en-US" w:eastAsia="zh-CN" w:bidi="ar-SA"/>
              </w:rPr>
              <w:t>乙方（盖章）：</w:t>
            </w:r>
          </w:p>
        </w:tc>
      </w:tr>
      <w:tr w14:paraId="4CA1D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00" w:type="dxa"/>
            <w:tcBorders>
              <w:top w:val="nil"/>
              <w:left w:val="nil"/>
              <w:bottom w:val="nil"/>
              <w:right w:val="nil"/>
            </w:tcBorders>
            <w:noWrap w:val="0"/>
            <w:vAlign w:val="top"/>
          </w:tcPr>
          <w:p w14:paraId="005FF4E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0" w:firstLineChars="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法定代表人或受委托人（签字） ： </w:t>
            </w:r>
          </w:p>
        </w:tc>
        <w:tc>
          <w:tcPr>
            <w:tcW w:w="4744" w:type="dxa"/>
            <w:tcBorders>
              <w:top w:val="nil"/>
              <w:left w:val="nil"/>
              <w:bottom w:val="nil"/>
              <w:right w:val="nil"/>
            </w:tcBorders>
            <w:noWrap w:val="0"/>
            <w:vAlign w:val="top"/>
          </w:tcPr>
          <w:p w14:paraId="4B7159C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0" w:firstLineChars="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法定代表人或受委托人（签字） ： </w:t>
            </w:r>
          </w:p>
        </w:tc>
      </w:tr>
      <w:tr w14:paraId="04587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00" w:type="dxa"/>
            <w:tcBorders>
              <w:top w:val="nil"/>
              <w:left w:val="nil"/>
              <w:bottom w:val="nil"/>
              <w:right w:val="nil"/>
            </w:tcBorders>
            <w:noWrap w:val="0"/>
            <w:vAlign w:val="top"/>
          </w:tcPr>
          <w:p w14:paraId="3AAF8BA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0" w:firstLineChars="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p>
        </w:tc>
        <w:tc>
          <w:tcPr>
            <w:tcW w:w="4744" w:type="dxa"/>
            <w:tcBorders>
              <w:top w:val="nil"/>
              <w:left w:val="nil"/>
              <w:bottom w:val="nil"/>
              <w:right w:val="nil"/>
            </w:tcBorders>
            <w:noWrap w:val="0"/>
            <w:vAlign w:val="top"/>
          </w:tcPr>
          <w:p w14:paraId="564C615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0" w:firstLineChars="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p>
        </w:tc>
      </w:tr>
      <w:tr w14:paraId="3900A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00" w:type="dxa"/>
            <w:tcBorders>
              <w:top w:val="nil"/>
              <w:left w:val="nil"/>
              <w:bottom w:val="nil"/>
              <w:right w:val="nil"/>
            </w:tcBorders>
            <w:noWrap w:val="0"/>
            <w:vAlign w:val="top"/>
          </w:tcPr>
          <w:p w14:paraId="67BD6A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0" w:firstLineChars="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tc>
        <w:tc>
          <w:tcPr>
            <w:tcW w:w="4744" w:type="dxa"/>
            <w:tcBorders>
              <w:top w:val="nil"/>
              <w:left w:val="nil"/>
              <w:bottom w:val="nil"/>
              <w:right w:val="nil"/>
            </w:tcBorders>
            <w:noWrap w:val="0"/>
            <w:vAlign w:val="top"/>
          </w:tcPr>
          <w:p w14:paraId="39455C3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0" w:firstLineChars="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tc>
      </w:tr>
      <w:tr w14:paraId="3CE95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00" w:type="dxa"/>
            <w:tcBorders>
              <w:top w:val="nil"/>
              <w:left w:val="nil"/>
              <w:bottom w:val="nil"/>
              <w:right w:val="nil"/>
            </w:tcBorders>
            <w:noWrap w:val="0"/>
            <w:vAlign w:val="top"/>
          </w:tcPr>
          <w:p w14:paraId="4E7EFE2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0" w:firstLineChars="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p>
        </w:tc>
        <w:tc>
          <w:tcPr>
            <w:tcW w:w="4744" w:type="dxa"/>
            <w:tcBorders>
              <w:top w:val="nil"/>
              <w:left w:val="nil"/>
              <w:bottom w:val="nil"/>
              <w:right w:val="nil"/>
            </w:tcBorders>
            <w:noWrap w:val="0"/>
            <w:vAlign w:val="top"/>
          </w:tcPr>
          <w:p w14:paraId="75AC05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0" w:firstLineChars="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p>
        </w:tc>
      </w:tr>
      <w:tr w14:paraId="1B605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4300" w:type="dxa"/>
            <w:tcBorders>
              <w:top w:val="nil"/>
              <w:left w:val="nil"/>
              <w:bottom w:val="nil"/>
              <w:right w:val="nil"/>
            </w:tcBorders>
            <w:noWrap w:val="0"/>
            <w:vAlign w:val="top"/>
          </w:tcPr>
          <w:p w14:paraId="5AD23E3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0" w:firstLineChars="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账号</w:t>
            </w:r>
            <w:r>
              <w:rPr>
                <w:rFonts w:hint="eastAsia" w:ascii="仿宋" w:hAnsi="仿宋" w:eastAsia="仿宋" w:cs="仿宋"/>
                <w:color w:val="auto"/>
                <w:sz w:val="24"/>
                <w:szCs w:val="24"/>
                <w:highlight w:val="none"/>
              </w:rPr>
              <w:t>：</w:t>
            </w:r>
          </w:p>
        </w:tc>
        <w:tc>
          <w:tcPr>
            <w:tcW w:w="4744" w:type="dxa"/>
            <w:tcBorders>
              <w:top w:val="nil"/>
              <w:left w:val="nil"/>
              <w:bottom w:val="nil"/>
              <w:right w:val="nil"/>
            </w:tcBorders>
            <w:noWrap w:val="0"/>
            <w:vAlign w:val="top"/>
          </w:tcPr>
          <w:p w14:paraId="59A04E7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0" w:firstLineChars="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账号</w:t>
            </w:r>
            <w:r>
              <w:rPr>
                <w:rFonts w:hint="eastAsia" w:ascii="仿宋" w:hAnsi="仿宋" w:eastAsia="仿宋" w:cs="仿宋"/>
                <w:color w:val="auto"/>
                <w:sz w:val="24"/>
                <w:szCs w:val="24"/>
                <w:highlight w:val="none"/>
              </w:rPr>
              <w:t>：</w:t>
            </w:r>
          </w:p>
        </w:tc>
      </w:tr>
      <w:tr w14:paraId="21D0F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00" w:type="dxa"/>
            <w:tcBorders>
              <w:top w:val="nil"/>
              <w:left w:val="nil"/>
              <w:bottom w:val="nil"/>
              <w:right w:val="nil"/>
            </w:tcBorders>
            <w:noWrap w:val="0"/>
            <w:vAlign w:val="top"/>
          </w:tcPr>
          <w:p w14:paraId="398E25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0" w:firstLineChars="0"/>
              <w:jc w:val="both"/>
              <w:textAlignment w:val="auto"/>
              <w:rPr>
                <w:rFonts w:hint="eastAsia" w:ascii="仿宋" w:hAnsi="仿宋" w:eastAsia="仿宋" w:cs="仿宋"/>
                <w:color w:val="auto"/>
                <w:sz w:val="24"/>
                <w:szCs w:val="24"/>
                <w:highlight w:val="none"/>
              </w:rPr>
            </w:pPr>
          </w:p>
        </w:tc>
        <w:tc>
          <w:tcPr>
            <w:tcW w:w="4744" w:type="dxa"/>
            <w:tcBorders>
              <w:top w:val="nil"/>
              <w:left w:val="nil"/>
              <w:bottom w:val="nil"/>
              <w:right w:val="nil"/>
            </w:tcBorders>
            <w:noWrap w:val="0"/>
            <w:vAlign w:val="top"/>
          </w:tcPr>
          <w:p w14:paraId="6AAB71D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0" w:firstLineChars="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合同签订地点： </w:t>
            </w:r>
          </w:p>
        </w:tc>
      </w:tr>
      <w:tr w14:paraId="2DB45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44" w:type="dxa"/>
            <w:gridSpan w:val="2"/>
            <w:tcBorders>
              <w:top w:val="nil"/>
              <w:left w:val="nil"/>
              <w:bottom w:val="nil"/>
              <w:right w:val="nil"/>
            </w:tcBorders>
            <w:noWrap w:val="0"/>
            <w:vAlign w:val="top"/>
          </w:tcPr>
          <w:p w14:paraId="18544A6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320" w:firstLineChars="18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w:t>
            </w:r>
            <w:r>
              <w:rPr>
                <w:rFonts w:hint="eastAsia" w:ascii="仿宋" w:hAnsi="仿宋" w:eastAsia="仿宋" w:cs="仿宋"/>
                <w:color w:val="auto"/>
                <w:sz w:val="24"/>
                <w:szCs w:val="24"/>
                <w:highlight w:val="none"/>
                <w:u w:val="single"/>
              </w:rPr>
              <w:t xml:space="preserve">                </w:t>
            </w:r>
          </w:p>
        </w:tc>
      </w:tr>
    </w:tbl>
    <w:p w14:paraId="1F6E0E15">
      <w:pPr>
        <w:jc w:val="center"/>
        <w:rPr>
          <w:rFonts w:hint="eastAsia" w:ascii="仿宋" w:hAnsi="仿宋" w:eastAsia="仿宋" w:cs="仿宋"/>
          <w:b/>
          <w:color w:val="auto"/>
          <w:sz w:val="36"/>
          <w:szCs w:val="20"/>
          <w:highlight w:val="none"/>
        </w:rPr>
      </w:pPr>
      <w:r>
        <w:rPr>
          <w:rFonts w:hint="eastAsia" w:ascii="仿宋" w:hAnsi="仿宋" w:eastAsia="仿宋" w:cs="仿宋"/>
          <w:b/>
          <w:color w:val="auto"/>
          <w:sz w:val="36"/>
          <w:szCs w:val="20"/>
          <w:highlight w:val="none"/>
        </w:rPr>
        <w:t>第六部分</w:t>
      </w:r>
      <w:r>
        <w:rPr>
          <w:rFonts w:hint="eastAsia" w:ascii="仿宋" w:hAnsi="仿宋" w:eastAsia="仿宋" w:cs="仿宋"/>
          <w:b/>
          <w:color w:val="auto"/>
          <w:sz w:val="36"/>
          <w:szCs w:val="20"/>
          <w:highlight w:val="none"/>
          <w:lang w:val="en-US" w:eastAsia="zh-CN"/>
        </w:rPr>
        <w:t xml:space="preserve">  </w:t>
      </w:r>
      <w:r>
        <w:rPr>
          <w:rFonts w:hint="eastAsia" w:ascii="仿宋" w:hAnsi="仿宋" w:eastAsia="仿宋" w:cs="仿宋"/>
          <w:b/>
          <w:color w:val="auto"/>
          <w:sz w:val="36"/>
          <w:szCs w:val="20"/>
          <w:highlight w:val="none"/>
        </w:rPr>
        <w:t>投标文件及其附件格式</w:t>
      </w:r>
    </w:p>
    <w:p w14:paraId="25161674">
      <w:pPr>
        <w:spacing w:line="360" w:lineRule="auto"/>
        <w:jc w:val="center"/>
        <w:outlineLvl w:val="0"/>
        <w:rPr>
          <w:rFonts w:hint="eastAsia" w:ascii="仿宋" w:hAnsi="仿宋" w:eastAsia="仿宋" w:cs="仿宋"/>
          <w:b/>
          <w:color w:val="auto"/>
          <w:kern w:val="0"/>
          <w:sz w:val="36"/>
          <w:szCs w:val="36"/>
          <w:highlight w:val="none"/>
        </w:rPr>
      </w:pPr>
    </w:p>
    <w:p w14:paraId="6F7D5F78">
      <w:pPr>
        <w:spacing w:line="360" w:lineRule="auto"/>
        <w:jc w:val="center"/>
        <w:outlineLvl w:val="0"/>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资格文件部分</w:t>
      </w:r>
    </w:p>
    <w:p w14:paraId="6D313505">
      <w:pPr>
        <w:spacing w:line="360" w:lineRule="auto"/>
        <w:jc w:val="center"/>
        <w:outlineLvl w:val="0"/>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目录</w:t>
      </w:r>
    </w:p>
    <w:p w14:paraId="7B0143A3">
      <w:pPr>
        <w:spacing w:line="360" w:lineRule="auto"/>
        <w:jc w:val="center"/>
        <w:outlineLvl w:val="0"/>
        <w:rPr>
          <w:rFonts w:hint="eastAsia" w:ascii="仿宋" w:hAnsi="仿宋" w:eastAsia="仿宋" w:cs="仿宋"/>
          <w:b/>
          <w:color w:val="auto"/>
          <w:kern w:val="0"/>
          <w:sz w:val="36"/>
          <w:szCs w:val="36"/>
          <w:highlight w:val="none"/>
        </w:rPr>
      </w:pPr>
    </w:p>
    <w:p w14:paraId="0577818A">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eastAsia="zh-CN"/>
        </w:rPr>
        <w:t>营业执照扫描件</w:t>
      </w:r>
      <w:r>
        <w:rPr>
          <w:rFonts w:hint="eastAsia" w:ascii="仿宋" w:hAnsi="仿宋" w:eastAsia="仿宋" w:cs="仿宋"/>
          <w:color w:val="auto"/>
          <w:sz w:val="24"/>
          <w:highlight w:val="none"/>
        </w:rPr>
        <w:t>…………………………………………………………………（页码）</w:t>
      </w:r>
    </w:p>
    <w:p w14:paraId="62D552E2">
      <w:pPr>
        <w:snapToGrid w:val="0"/>
        <w:spacing w:line="360" w:lineRule="auto"/>
        <w:rPr>
          <w:rFonts w:hint="eastAsia" w:ascii="仿宋" w:hAnsi="仿宋" w:eastAsia="仿宋" w:cs="仿宋"/>
          <w:color w:val="auto"/>
          <w:sz w:val="24"/>
          <w:highlight w:val="none"/>
        </w:rPr>
      </w:pPr>
      <w:r>
        <w:rPr>
          <w:rFonts w:hint="eastAsia" w:ascii="仿宋" w:hAnsi="仿宋" w:eastAsia="仿宋" w:cs="仿宋"/>
          <w:snapToGrid w:val="0"/>
          <w:color w:val="auto"/>
          <w:kern w:val="28"/>
          <w:sz w:val="24"/>
          <w:szCs w:val="20"/>
          <w:highlight w:val="none"/>
        </w:rPr>
        <w:t>（2）</w:t>
      </w:r>
      <w:r>
        <w:rPr>
          <w:rFonts w:hint="eastAsia" w:ascii="仿宋" w:hAnsi="仿宋" w:eastAsia="仿宋" w:cs="仿宋"/>
          <w:color w:val="auto"/>
          <w:sz w:val="24"/>
          <w:highlight w:val="none"/>
        </w:rPr>
        <w:t>法定代表人身份证明书…………………………………………………………（页码）</w:t>
      </w:r>
    </w:p>
    <w:p w14:paraId="3A3BA248">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（3）法定代表人授权委托书</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若委托</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……………………………………………（页码）（</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符合参加采购活动应当具备的一般条件的承诺函</w:t>
      </w:r>
      <w:r>
        <w:rPr>
          <w:rFonts w:hint="eastAsia" w:ascii="仿宋" w:hAnsi="仿宋" w:eastAsia="仿宋" w:cs="仿宋"/>
          <w:color w:val="auto"/>
          <w:sz w:val="24"/>
          <w:highlight w:val="none"/>
        </w:rPr>
        <w:t>……………………………（页码）</w:t>
      </w:r>
    </w:p>
    <w:p w14:paraId="13D4480D">
      <w:pPr>
        <w:spacing w:line="360" w:lineRule="auto"/>
        <w:ind w:firstLine="480" w:firstLineChars="200"/>
        <w:rPr>
          <w:rFonts w:hint="eastAsia" w:ascii="仿宋" w:hAnsi="仿宋" w:eastAsia="仿宋" w:cs="仿宋"/>
          <w:color w:val="auto"/>
          <w:sz w:val="24"/>
          <w:highlight w:val="none"/>
        </w:rPr>
      </w:pPr>
    </w:p>
    <w:p w14:paraId="5CA5AFD6">
      <w:pPr>
        <w:snapToGrid w:val="0"/>
        <w:spacing w:line="360" w:lineRule="auto"/>
        <w:ind w:right="480"/>
        <w:jc w:val="both"/>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val="en-US" w:eastAsia="zh-CN"/>
        </w:rPr>
        <w:t>注：</w:t>
      </w:r>
      <w:r>
        <w:rPr>
          <w:rFonts w:hint="eastAsia" w:ascii="仿宋" w:hAnsi="仿宋" w:eastAsia="仿宋" w:cs="仿宋"/>
          <w:b/>
          <w:bCs/>
          <w:color w:val="auto"/>
          <w:sz w:val="22"/>
          <w:szCs w:val="22"/>
          <w:highlight w:val="none"/>
          <w:lang w:eastAsia="zh-CN"/>
        </w:rPr>
        <w:fldChar w:fldCharType="begin"/>
      </w:r>
      <w:r>
        <w:rPr>
          <w:rFonts w:hint="eastAsia" w:ascii="仿宋" w:hAnsi="仿宋" w:eastAsia="仿宋" w:cs="仿宋"/>
          <w:b/>
          <w:bCs/>
          <w:color w:val="auto"/>
          <w:sz w:val="22"/>
          <w:szCs w:val="22"/>
          <w:highlight w:val="none"/>
          <w:lang w:eastAsia="zh-CN"/>
        </w:rPr>
        <w:instrText xml:space="preserve"> HYPERLINK "mailto:在电子投标文件解密后，将《政府采购活动现场确认声明书》填写完成，通过邮箱554318517@qq.com以PDF格式传给代理公" </w:instrText>
      </w:r>
      <w:r>
        <w:rPr>
          <w:rFonts w:hint="eastAsia" w:ascii="仿宋" w:hAnsi="仿宋" w:eastAsia="仿宋" w:cs="仿宋"/>
          <w:b/>
          <w:bCs/>
          <w:color w:val="auto"/>
          <w:sz w:val="22"/>
          <w:szCs w:val="22"/>
          <w:highlight w:val="none"/>
          <w:lang w:eastAsia="zh-CN"/>
        </w:rPr>
        <w:fldChar w:fldCharType="separate"/>
      </w:r>
      <w:r>
        <w:rPr>
          <w:rStyle w:val="79"/>
          <w:rFonts w:hint="eastAsia" w:ascii="仿宋" w:hAnsi="仿宋" w:eastAsia="仿宋" w:cs="仿宋"/>
          <w:b/>
          <w:bCs/>
          <w:color w:val="auto"/>
          <w:sz w:val="22"/>
          <w:szCs w:val="22"/>
          <w:highlight w:val="none"/>
          <w:lang w:eastAsia="zh-CN"/>
        </w:rPr>
        <w:t>在电子投标文件解密后，</w:t>
      </w:r>
      <w:r>
        <w:rPr>
          <w:rStyle w:val="79"/>
          <w:rFonts w:hint="eastAsia" w:ascii="仿宋" w:hAnsi="仿宋" w:eastAsia="仿宋" w:cs="仿宋"/>
          <w:b/>
          <w:bCs/>
          <w:color w:val="auto"/>
          <w:sz w:val="22"/>
          <w:szCs w:val="22"/>
          <w:highlight w:val="none"/>
          <w:lang w:val="en-US" w:eastAsia="zh-CN"/>
        </w:rPr>
        <w:t>结合单位实际情况</w:t>
      </w:r>
      <w:r>
        <w:rPr>
          <w:rStyle w:val="79"/>
          <w:rFonts w:hint="eastAsia" w:ascii="仿宋" w:hAnsi="仿宋" w:eastAsia="仿宋" w:cs="仿宋"/>
          <w:b/>
          <w:bCs/>
          <w:color w:val="auto"/>
          <w:sz w:val="22"/>
          <w:szCs w:val="22"/>
          <w:highlight w:val="none"/>
          <w:lang w:eastAsia="zh-CN"/>
        </w:rPr>
        <w:t>将《政企采购活动现场确认声明书》填写完成，以PDF格式通过邮箱1132452991@qq.com传给代理</w:t>
      </w:r>
      <w:r>
        <w:rPr>
          <w:rFonts w:hint="eastAsia" w:ascii="仿宋" w:hAnsi="仿宋" w:eastAsia="仿宋" w:cs="仿宋"/>
          <w:b/>
          <w:bCs/>
          <w:color w:val="auto"/>
          <w:sz w:val="22"/>
          <w:szCs w:val="22"/>
          <w:highlight w:val="none"/>
          <w:lang w:val="en-US" w:eastAsia="zh-CN"/>
        </w:rPr>
        <w:t>机构</w:t>
      </w:r>
      <w:r>
        <w:rPr>
          <w:rFonts w:hint="eastAsia" w:ascii="仿宋" w:hAnsi="仿宋" w:eastAsia="仿宋" w:cs="仿宋"/>
          <w:b/>
          <w:bCs/>
          <w:color w:val="auto"/>
          <w:sz w:val="22"/>
          <w:szCs w:val="22"/>
          <w:highlight w:val="none"/>
          <w:lang w:eastAsia="zh-CN"/>
        </w:rPr>
        <w:fldChar w:fldCharType="end"/>
      </w:r>
    </w:p>
    <w:p w14:paraId="76948EA0">
      <w:pP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br w:type="page"/>
      </w:r>
    </w:p>
    <w:p w14:paraId="7CDC33CB">
      <w:pPr>
        <w:snapToGrid w:val="0"/>
        <w:spacing w:line="360" w:lineRule="auto"/>
        <w:ind w:right="480"/>
        <w:jc w:val="cente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一、</w:t>
      </w:r>
      <w:r>
        <w:rPr>
          <w:rFonts w:hint="eastAsia" w:ascii="仿宋" w:hAnsi="仿宋" w:eastAsia="仿宋" w:cs="仿宋"/>
          <w:b/>
          <w:color w:val="auto"/>
          <w:kern w:val="0"/>
          <w:sz w:val="32"/>
          <w:szCs w:val="32"/>
          <w:highlight w:val="none"/>
          <w:lang w:eastAsia="zh-CN"/>
        </w:rPr>
        <w:t>营业执照扫描件</w:t>
      </w:r>
    </w:p>
    <w:p w14:paraId="75F95C32">
      <w:pPr>
        <w:snapToGrid w:val="0"/>
        <w:spacing w:line="360" w:lineRule="auto"/>
        <w:ind w:right="480"/>
        <w:jc w:val="center"/>
        <w:rPr>
          <w:rFonts w:hint="eastAsia" w:ascii="仿宋" w:hAnsi="仿宋" w:eastAsia="仿宋" w:cs="仿宋"/>
          <w:b/>
          <w:color w:val="auto"/>
          <w:kern w:val="0"/>
          <w:sz w:val="32"/>
          <w:szCs w:val="32"/>
          <w:highlight w:val="none"/>
          <w:lang w:val="en-US" w:eastAsia="zh-CN"/>
        </w:rPr>
      </w:pPr>
    </w:p>
    <w:p w14:paraId="6BB44FE1">
      <w:pPr>
        <w:snapToGrid w:val="0"/>
        <w:spacing w:line="360" w:lineRule="auto"/>
        <w:ind w:right="480"/>
        <w:jc w:val="center"/>
        <w:rPr>
          <w:rFonts w:hint="eastAsia" w:ascii="仿宋" w:hAnsi="仿宋" w:eastAsia="仿宋" w:cs="仿宋"/>
          <w:b/>
          <w:color w:val="auto"/>
          <w:kern w:val="0"/>
          <w:sz w:val="32"/>
          <w:szCs w:val="32"/>
          <w:highlight w:val="none"/>
          <w:lang w:val="en-US" w:eastAsia="zh-CN"/>
        </w:rPr>
      </w:pPr>
    </w:p>
    <w:p w14:paraId="7190DBB3">
      <w:pPr>
        <w:keepNext w:val="0"/>
        <w:keepLines w:val="0"/>
        <w:pageBreakBefore w:val="0"/>
        <w:widowControl w:val="0"/>
        <w:kinsoku/>
        <w:wordWrap/>
        <w:overflowPunct/>
        <w:topLinePunct w:val="0"/>
        <w:autoSpaceDE/>
        <w:autoSpaceDN/>
        <w:bidi w:val="0"/>
        <w:adjustRightInd w:val="0"/>
        <w:snapToGrid w:val="0"/>
        <w:spacing w:line="360" w:lineRule="auto"/>
        <w:ind w:right="480"/>
        <w:jc w:val="center"/>
        <w:textAlignment w:val="auto"/>
        <w:rPr>
          <w:rFonts w:hint="eastAsia" w:ascii="仿宋" w:hAnsi="仿宋" w:eastAsia="仿宋" w:cs="仿宋"/>
          <w:b/>
          <w:color w:val="auto"/>
          <w:kern w:val="0"/>
          <w:sz w:val="32"/>
          <w:szCs w:val="32"/>
          <w:highlight w:val="none"/>
          <w:lang w:val="en-US" w:eastAsia="zh-CN"/>
        </w:rPr>
      </w:pPr>
    </w:p>
    <w:p w14:paraId="7C7BEECF">
      <w:pPr>
        <w:keepNext w:val="0"/>
        <w:keepLines w:val="0"/>
        <w:pageBreakBefore w:val="0"/>
        <w:widowControl w:val="0"/>
        <w:kinsoku/>
        <w:wordWrap/>
        <w:overflowPunct/>
        <w:topLinePunct w:val="0"/>
        <w:autoSpaceDE/>
        <w:autoSpaceDN/>
        <w:bidi w:val="0"/>
        <w:adjustRightInd w:val="0"/>
        <w:snapToGrid w:val="0"/>
        <w:spacing w:line="360" w:lineRule="auto"/>
        <w:ind w:right="480"/>
        <w:jc w:val="center"/>
        <w:textAlignment w:val="auto"/>
        <w:rPr>
          <w:rFonts w:hint="eastAsia" w:ascii="仿宋" w:hAnsi="仿宋" w:eastAsia="仿宋" w:cs="仿宋"/>
          <w:color w:val="auto"/>
          <w:sz w:val="24"/>
          <w:highlight w:val="none"/>
        </w:rPr>
      </w:pPr>
      <w:r>
        <w:rPr>
          <w:rFonts w:hint="eastAsia" w:ascii="仿宋" w:hAnsi="仿宋" w:eastAsia="仿宋" w:cs="仿宋"/>
          <w:b/>
          <w:color w:val="auto"/>
          <w:kern w:val="0"/>
          <w:sz w:val="32"/>
          <w:szCs w:val="32"/>
          <w:highlight w:val="none"/>
          <w:lang w:val="en-US" w:eastAsia="zh-CN"/>
        </w:rPr>
        <w:t>二、法定代表人身份证明书</w:t>
      </w:r>
    </w:p>
    <w:p w14:paraId="4497CF91">
      <w:pPr>
        <w:keepNext w:val="0"/>
        <w:keepLines w:val="0"/>
        <w:pageBreakBefore w:val="0"/>
        <w:widowControl w:val="0"/>
        <w:kinsoku/>
        <w:wordWrap/>
        <w:overflowPunct/>
        <w:topLinePunct w:val="0"/>
        <w:autoSpaceDE/>
        <w:autoSpaceDN/>
        <w:bidi w:val="0"/>
        <w:adjustRightInd w:val="0"/>
        <w:spacing w:line="360" w:lineRule="auto"/>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 标 人：</w:t>
      </w:r>
      <w:r>
        <w:rPr>
          <w:rFonts w:hint="eastAsia" w:ascii="仿宋" w:hAnsi="仿宋" w:eastAsia="仿宋" w:cs="仿宋"/>
          <w:color w:val="auto"/>
          <w:sz w:val="24"/>
          <w:highlight w:val="none"/>
          <w:u w:val="single"/>
        </w:rPr>
        <w:t xml:space="preserve">                          </w:t>
      </w:r>
    </w:p>
    <w:p w14:paraId="4CD4D02E">
      <w:pPr>
        <w:keepNext w:val="0"/>
        <w:keepLines w:val="0"/>
        <w:pageBreakBefore w:val="0"/>
        <w:widowControl w:val="0"/>
        <w:kinsoku/>
        <w:wordWrap/>
        <w:overflowPunct/>
        <w:topLinePunct w:val="0"/>
        <w:autoSpaceDE/>
        <w:autoSpaceDN/>
        <w:bidi w:val="0"/>
        <w:adjustRightInd w:val="0"/>
        <w:spacing w:line="360" w:lineRule="auto"/>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single"/>
        </w:rPr>
        <w:t xml:space="preserve">                          </w:t>
      </w:r>
    </w:p>
    <w:p w14:paraId="2D3EE400">
      <w:pPr>
        <w:keepNext w:val="0"/>
        <w:keepLines w:val="0"/>
        <w:pageBreakBefore w:val="0"/>
        <w:widowControl w:val="0"/>
        <w:kinsoku/>
        <w:wordWrap/>
        <w:overflowPunct/>
        <w:topLinePunct w:val="0"/>
        <w:autoSpaceDE/>
        <w:autoSpaceDN/>
        <w:bidi w:val="0"/>
        <w:adjustRightInd w:val="0"/>
        <w:spacing w:line="360" w:lineRule="auto"/>
        <w:ind w:right="281" w:rightChars="134"/>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姓    名：</w:t>
      </w:r>
      <w:r>
        <w:rPr>
          <w:rFonts w:hint="eastAsia" w:ascii="仿宋" w:hAnsi="仿宋" w:eastAsia="仿宋" w:cs="仿宋"/>
          <w:color w:val="auto"/>
          <w:sz w:val="24"/>
          <w:highlight w:val="none"/>
          <w:u w:val="single"/>
        </w:rPr>
        <w:t xml:space="preserve">                          </w:t>
      </w:r>
    </w:p>
    <w:p w14:paraId="28FA64A9">
      <w:pPr>
        <w:keepNext w:val="0"/>
        <w:keepLines w:val="0"/>
        <w:pageBreakBefore w:val="0"/>
        <w:widowControl w:val="0"/>
        <w:kinsoku/>
        <w:wordWrap/>
        <w:overflowPunct/>
        <w:topLinePunct w:val="0"/>
        <w:autoSpaceDE/>
        <w:autoSpaceDN/>
        <w:bidi w:val="0"/>
        <w:adjustRightInd w:val="0"/>
        <w:spacing w:line="360" w:lineRule="auto"/>
        <w:ind w:right="281" w:rightChars="134"/>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身份证号码：</w:t>
      </w:r>
      <w:r>
        <w:rPr>
          <w:rFonts w:hint="eastAsia" w:ascii="仿宋" w:hAnsi="仿宋" w:eastAsia="仿宋" w:cs="仿宋"/>
          <w:color w:val="auto"/>
          <w:sz w:val="24"/>
          <w:highlight w:val="none"/>
          <w:u w:val="single"/>
        </w:rPr>
        <w:t xml:space="preserve">                        </w:t>
      </w:r>
    </w:p>
    <w:p w14:paraId="0B13B77F">
      <w:pPr>
        <w:keepNext w:val="0"/>
        <w:keepLines w:val="0"/>
        <w:pageBreakBefore w:val="0"/>
        <w:widowControl w:val="0"/>
        <w:kinsoku/>
        <w:wordWrap/>
        <w:overflowPunct/>
        <w:topLinePunct w:val="0"/>
        <w:autoSpaceDE/>
        <w:autoSpaceDN/>
        <w:bidi w:val="0"/>
        <w:adjustRightInd w:val="0"/>
        <w:spacing w:line="360" w:lineRule="auto"/>
        <w:ind w:right="281" w:rightChars="134"/>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职   务：</w:t>
      </w:r>
      <w:r>
        <w:rPr>
          <w:rFonts w:hint="eastAsia" w:ascii="仿宋" w:hAnsi="仿宋" w:eastAsia="仿宋" w:cs="仿宋"/>
          <w:color w:val="auto"/>
          <w:sz w:val="24"/>
          <w:highlight w:val="none"/>
          <w:u w:val="single"/>
        </w:rPr>
        <w:t xml:space="preserve">                           </w:t>
      </w:r>
    </w:p>
    <w:p w14:paraId="5713FC48">
      <w:pPr>
        <w:keepNext w:val="0"/>
        <w:keepLines w:val="0"/>
        <w:pageBreakBefore w:val="0"/>
        <w:widowControl w:val="0"/>
        <w:kinsoku/>
        <w:wordWrap/>
        <w:overflowPunct/>
        <w:topLinePunct w:val="0"/>
        <w:autoSpaceDE/>
        <w:autoSpaceDN/>
        <w:bidi w:val="0"/>
        <w:adjustRightInd w:val="0"/>
        <w:spacing w:line="360" w:lineRule="auto"/>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系</w:t>
      </w:r>
      <w:r>
        <w:rPr>
          <w:rFonts w:hint="eastAsia" w:ascii="仿宋" w:hAnsi="仿宋" w:eastAsia="仿宋" w:cs="仿宋"/>
          <w:color w:val="auto"/>
          <w:sz w:val="24"/>
          <w:highlight w:val="none"/>
          <w:u w:val="single"/>
        </w:rPr>
        <w:t xml:space="preserve">            （填写投标人名称）</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的法定代表人。</w:t>
      </w:r>
    </w:p>
    <w:p w14:paraId="159BA9C6">
      <w:pPr>
        <w:keepNext w:val="0"/>
        <w:keepLines w:val="0"/>
        <w:pageBreakBefore w:val="0"/>
        <w:widowControl w:val="0"/>
        <w:kinsoku/>
        <w:wordWrap/>
        <w:overflowPunct/>
        <w:topLinePunct w:val="0"/>
        <w:autoSpaceDE/>
        <w:autoSpaceDN/>
        <w:bidi w:val="0"/>
        <w:adjustRightInd w:val="0"/>
        <w:spacing w:line="360" w:lineRule="auto"/>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特此证明。</w:t>
      </w:r>
    </w:p>
    <w:p w14:paraId="07D927FF">
      <w:pPr>
        <w:keepNext w:val="0"/>
        <w:keepLines w:val="0"/>
        <w:pageBreakBefore w:val="0"/>
        <w:widowControl w:val="0"/>
        <w:kinsoku/>
        <w:wordWrap/>
        <w:overflowPunct/>
        <w:topLinePunct w:val="0"/>
        <w:autoSpaceDE/>
        <w:autoSpaceDN/>
        <w:bidi w:val="0"/>
        <w:adjustRightInd w:val="0"/>
        <w:spacing w:line="360" w:lineRule="auto"/>
        <w:textAlignment w:val="auto"/>
        <w:rPr>
          <w:rFonts w:hint="eastAsia" w:ascii="仿宋" w:hAnsi="仿宋" w:eastAsia="仿宋" w:cs="仿宋"/>
          <w:color w:val="auto"/>
          <w:sz w:val="24"/>
          <w:highlight w:val="none"/>
        </w:rPr>
      </w:pPr>
    </w:p>
    <w:p w14:paraId="15E17544">
      <w:pPr>
        <w:keepNext w:val="0"/>
        <w:keepLines w:val="0"/>
        <w:pageBreakBefore w:val="0"/>
        <w:widowControl w:val="0"/>
        <w:kinsoku/>
        <w:wordWrap/>
        <w:overflowPunct/>
        <w:topLinePunct w:val="0"/>
        <w:autoSpaceDE/>
        <w:autoSpaceDN/>
        <w:bidi w:val="0"/>
        <w:adjustRightInd w:val="0"/>
        <w:spacing w:line="360" w:lineRule="auto"/>
        <w:jc w:val="right"/>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投标人</w:t>
      </w:r>
      <w:r>
        <w:rPr>
          <w:rFonts w:hint="eastAsia" w:ascii="仿宋" w:hAnsi="仿宋" w:eastAsia="仿宋" w:cs="仿宋"/>
          <w:color w:val="auto"/>
          <w:sz w:val="24"/>
          <w:highlight w:val="none"/>
          <w:lang w:eastAsia="zh-CN"/>
        </w:rPr>
        <w:t>名称</w:t>
      </w:r>
      <w:r>
        <w:rPr>
          <w:rFonts w:hint="eastAsia" w:ascii="仿宋" w:hAnsi="仿宋" w:eastAsia="仿宋" w:cs="仿宋"/>
          <w:color w:val="auto"/>
          <w:sz w:val="24"/>
          <w:highlight w:val="none"/>
        </w:rPr>
        <w:t>（</w:t>
      </w:r>
      <w:r>
        <w:rPr>
          <w:rFonts w:hint="eastAsia" w:ascii="仿宋" w:hAnsi="仿宋" w:eastAsia="仿宋" w:cs="仿宋"/>
          <w:color w:val="auto"/>
          <w:kern w:val="0"/>
          <w:sz w:val="24"/>
          <w:highlight w:val="none"/>
          <w:lang w:val="zh-CN"/>
        </w:rPr>
        <w:t>电子签章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w:t>
      </w:r>
    </w:p>
    <w:p w14:paraId="2F33B273">
      <w:pPr>
        <w:keepNext w:val="0"/>
        <w:keepLines w:val="0"/>
        <w:pageBreakBefore w:val="0"/>
        <w:widowControl w:val="0"/>
        <w:kinsoku/>
        <w:wordWrap/>
        <w:overflowPunct/>
        <w:topLinePunct w:val="0"/>
        <w:autoSpaceDE/>
        <w:autoSpaceDN/>
        <w:bidi w:val="0"/>
        <w:adjustRightInd w:val="0"/>
        <w:spacing w:line="360" w:lineRule="auto"/>
        <w:jc w:val="righ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法定代表人（签字或盖章）：        </w:t>
      </w:r>
    </w:p>
    <w:p w14:paraId="1833E916">
      <w:pPr>
        <w:keepNext w:val="0"/>
        <w:keepLines w:val="0"/>
        <w:pageBreakBefore w:val="0"/>
        <w:widowControl w:val="0"/>
        <w:kinsoku/>
        <w:wordWrap/>
        <w:overflowPunct/>
        <w:topLinePunct w:val="0"/>
        <w:autoSpaceDE/>
        <w:autoSpaceDN/>
        <w:bidi w:val="0"/>
        <w:adjustRightInd w:val="0"/>
        <w:snapToGrid w:val="0"/>
        <w:spacing w:line="360" w:lineRule="auto"/>
        <w:ind w:right="480"/>
        <w:jc w:val="right"/>
        <w:textAlignment w:val="auto"/>
        <w:rPr>
          <w:rFonts w:hint="eastAsia" w:ascii="仿宋" w:hAnsi="仿宋" w:eastAsia="仿宋" w:cs="仿宋"/>
          <w:b/>
          <w:color w:val="auto"/>
          <w:kern w:val="0"/>
          <w:sz w:val="32"/>
          <w:szCs w:val="32"/>
          <w:highlight w:val="none"/>
          <w:lang w:val="en-US" w:eastAsia="zh-CN"/>
        </w:rPr>
      </w:pPr>
      <w:r>
        <w:rPr>
          <w:rFonts w:hint="eastAsia" w:ascii="仿宋" w:hAnsi="仿宋" w:eastAsia="仿宋" w:cs="仿宋"/>
          <w:color w:val="auto"/>
          <w:sz w:val="24"/>
          <w:highlight w:val="none"/>
        </w:rPr>
        <w:t>年   月   日</w:t>
      </w:r>
    </w:p>
    <w:p w14:paraId="7CC71BA2">
      <w:pPr>
        <w:snapToGrid w:val="0"/>
        <w:spacing w:line="360" w:lineRule="auto"/>
        <w:ind w:right="480"/>
        <w:jc w:val="center"/>
        <w:rPr>
          <w:rFonts w:hint="eastAsia" w:ascii="仿宋" w:hAnsi="仿宋" w:eastAsia="仿宋" w:cs="仿宋"/>
          <w:b/>
          <w:color w:val="auto"/>
          <w:kern w:val="0"/>
          <w:sz w:val="32"/>
          <w:szCs w:val="32"/>
          <w:highlight w:val="none"/>
          <w:lang w:val="en-US" w:eastAsia="zh-CN"/>
        </w:rPr>
      </w:pPr>
    </w:p>
    <w:p w14:paraId="19BB7244">
      <w:pPr>
        <w:snapToGrid w:val="0"/>
        <w:spacing w:line="360" w:lineRule="auto"/>
        <w:ind w:right="480"/>
        <w:jc w:val="center"/>
        <w:rPr>
          <w:rFonts w:hint="eastAsia" w:ascii="仿宋" w:hAnsi="仿宋" w:eastAsia="仿宋" w:cs="仿宋"/>
          <w:b/>
          <w:color w:val="auto"/>
          <w:kern w:val="0"/>
          <w:sz w:val="32"/>
          <w:szCs w:val="32"/>
          <w:highlight w:val="none"/>
          <w:lang w:val="en-US" w:eastAsia="zh-CN"/>
        </w:rPr>
      </w:pPr>
    </w:p>
    <w:p w14:paraId="02B0466C">
      <w:pPr>
        <w:snapToGrid w:val="0"/>
        <w:spacing w:line="360" w:lineRule="auto"/>
        <w:ind w:right="480"/>
        <w:jc w:val="center"/>
        <w:rPr>
          <w:rFonts w:hint="eastAsia" w:ascii="仿宋" w:hAnsi="仿宋" w:eastAsia="仿宋" w:cs="仿宋"/>
          <w:b/>
          <w:color w:val="auto"/>
          <w:kern w:val="0"/>
          <w:sz w:val="32"/>
          <w:szCs w:val="32"/>
          <w:highlight w:val="none"/>
          <w:lang w:val="en-US" w:eastAsia="zh-CN"/>
        </w:rPr>
      </w:pPr>
    </w:p>
    <w:p w14:paraId="790B321A">
      <w:pPr>
        <w:snapToGrid w:val="0"/>
        <w:spacing w:line="360" w:lineRule="auto"/>
        <w:ind w:right="480"/>
        <w:jc w:val="center"/>
        <w:rPr>
          <w:rFonts w:hint="eastAsia" w:ascii="仿宋" w:hAnsi="仿宋" w:eastAsia="仿宋" w:cs="仿宋"/>
          <w:b/>
          <w:color w:val="auto"/>
          <w:kern w:val="0"/>
          <w:sz w:val="32"/>
          <w:szCs w:val="32"/>
          <w:highlight w:val="none"/>
          <w:lang w:val="en-US" w:eastAsia="zh-CN"/>
        </w:rPr>
      </w:pPr>
    </w:p>
    <w:p w14:paraId="450DC618">
      <w:pPr>
        <w:snapToGrid w:val="0"/>
        <w:spacing w:line="360" w:lineRule="auto"/>
        <w:ind w:right="480"/>
        <w:jc w:val="center"/>
        <w:rPr>
          <w:rFonts w:hint="eastAsia" w:ascii="仿宋" w:hAnsi="仿宋" w:eastAsia="仿宋" w:cs="仿宋"/>
          <w:b/>
          <w:color w:val="auto"/>
          <w:kern w:val="0"/>
          <w:sz w:val="32"/>
          <w:szCs w:val="32"/>
          <w:highlight w:val="none"/>
          <w:lang w:val="en-US" w:eastAsia="zh-CN"/>
        </w:rPr>
      </w:pPr>
    </w:p>
    <w:p w14:paraId="5EA37F7A">
      <w:pPr>
        <w:snapToGrid w:val="0"/>
        <w:spacing w:line="360" w:lineRule="auto"/>
        <w:ind w:right="480"/>
        <w:jc w:val="center"/>
        <w:rPr>
          <w:rFonts w:hint="eastAsia" w:ascii="仿宋" w:hAnsi="仿宋" w:eastAsia="仿宋" w:cs="仿宋"/>
          <w:b/>
          <w:color w:val="auto"/>
          <w:kern w:val="0"/>
          <w:sz w:val="32"/>
          <w:szCs w:val="32"/>
          <w:highlight w:val="none"/>
          <w:lang w:val="en-US" w:eastAsia="zh-CN"/>
        </w:rPr>
      </w:pPr>
    </w:p>
    <w:p w14:paraId="434D6180">
      <w:pPr>
        <w:snapToGrid w:val="0"/>
        <w:spacing w:line="360" w:lineRule="auto"/>
        <w:ind w:right="480"/>
        <w:jc w:val="center"/>
        <w:rPr>
          <w:rFonts w:hint="eastAsia" w:ascii="仿宋" w:hAnsi="仿宋" w:eastAsia="仿宋" w:cs="仿宋"/>
          <w:b/>
          <w:color w:val="auto"/>
          <w:kern w:val="0"/>
          <w:sz w:val="32"/>
          <w:szCs w:val="32"/>
          <w:highlight w:val="none"/>
          <w:lang w:val="en-US" w:eastAsia="zh-CN"/>
        </w:rPr>
      </w:pPr>
    </w:p>
    <w:p w14:paraId="2B338835">
      <w:pPr>
        <w:snapToGrid w:val="0"/>
        <w:spacing w:line="360" w:lineRule="auto"/>
        <w:ind w:right="480"/>
        <w:jc w:val="center"/>
        <w:rPr>
          <w:rFonts w:hint="eastAsia" w:ascii="仿宋" w:hAnsi="仿宋" w:eastAsia="仿宋" w:cs="仿宋"/>
          <w:b/>
          <w:color w:val="auto"/>
          <w:kern w:val="0"/>
          <w:sz w:val="32"/>
          <w:szCs w:val="32"/>
          <w:highlight w:val="none"/>
          <w:lang w:val="en-US" w:eastAsia="zh-CN"/>
        </w:rPr>
      </w:pPr>
    </w:p>
    <w:p w14:paraId="2CC37E1D">
      <w:pPr>
        <w:jc w:val="center"/>
        <w:rPr>
          <w:rFonts w:hint="eastAsia" w:ascii="仿宋" w:hAnsi="仿宋" w:eastAsia="仿宋" w:cs="仿宋"/>
          <w:color w:val="auto"/>
          <w:sz w:val="24"/>
          <w:highlight w:val="none"/>
        </w:rPr>
      </w:pPr>
      <w:r>
        <w:rPr>
          <w:rFonts w:hint="eastAsia" w:ascii="仿宋" w:hAnsi="仿宋" w:eastAsia="仿宋" w:cs="仿宋"/>
          <w:b/>
          <w:color w:val="auto"/>
          <w:kern w:val="0"/>
          <w:sz w:val="32"/>
          <w:szCs w:val="32"/>
          <w:highlight w:val="none"/>
          <w:lang w:val="en-US" w:eastAsia="zh-CN"/>
        </w:rPr>
        <w:t>三、法定代表人授权委托书（若委托）</w:t>
      </w:r>
    </w:p>
    <w:p w14:paraId="3A5AD8E8">
      <w:pPr>
        <w:snapToGrid w:val="0"/>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本授权委托书声明：我</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rPr>
        <w:t>填写姓名</w:t>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rPr>
        <w:t>系</w:t>
      </w:r>
      <w:r>
        <w:rPr>
          <w:rFonts w:hint="eastAsia" w:ascii="仿宋" w:hAnsi="仿宋" w:eastAsia="仿宋" w:cs="仿宋"/>
          <w:color w:val="auto"/>
          <w:sz w:val="24"/>
          <w:highlight w:val="none"/>
          <w:u w:val="single"/>
        </w:rPr>
        <w:t xml:space="preserve">                   （填写投标人单位全称）</w:t>
      </w:r>
      <w:r>
        <w:rPr>
          <w:rFonts w:hint="eastAsia" w:ascii="仿宋" w:hAnsi="仿宋" w:eastAsia="仿宋" w:cs="仿宋"/>
          <w:color w:val="auto"/>
          <w:sz w:val="24"/>
          <w:highlight w:val="none"/>
        </w:rPr>
        <w:t>的法定代表人，现授权委托</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（填写单位全称）</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（填写姓名）</w:t>
      </w:r>
      <w:r>
        <w:rPr>
          <w:rFonts w:hint="eastAsia" w:ascii="仿宋" w:hAnsi="仿宋" w:eastAsia="仿宋" w:cs="仿宋"/>
          <w:color w:val="auto"/>
          <w:sz w:val="24"/>
          <w:highlight w:val="none"/>
        </w:rPr>
        <w:t>为我公司授权代表，</w:t>
      </w:r>
      <w:r>
        <w:rPr>
          <w:rFonts w:hint="eastAsia" w:ascii="仿宋" w:hAnsi="仿宋" w:eastAsia="仿宋" w:cs="仿宋"/>
          <w:color w:val="auto"/>
          <w:sz w:val="24"/>
          <w:highlight w:val="none"/>
          <w:u w:val="single"/>
        </w:rPr>
        <w:t>（填写身份证号码：                       ）</w:t>
      </w:r>
      <w:r>
        <w:rPr>
          <w:rFonts w:hint="eastAsia" w:ascii="仿宋" w:hAnsi="仿宋" w:eastAsia="仿宋" w:cs="仿宋"/>
          <w:color w:val="auto"/>
          <w:sz w:val="24"/>
          <w:highlight w:val="none"/>
        </w:rPr>
        <w:t>。以本公司的名义参加</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组织的</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投标活动。授权代表在开标、评标、合同谈判过程中所签署的一切文件和处理与之有关的一切事务，我均予以承认。</w:t>
      </w:r>
    </w:p>
    <w:p w14:paraId="7A5CE023">
      <w:pPr>
        <w:snapToGrid w:val="0"/>
        <w:spacing w:line="56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在撤销授权的书面通知以前，本授权书一直有效。全权代表在授权书有效期内签署的所有文件不因授权的撤销而失效。</w:t>
      </w:r>
    </w:p>
    <w:p w14:paraId="77276979">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授权代表无转委托权。特此委托。</w:t>
      </w:r>
    </w:p>
    <w:p w14:paraId="185BAD4E">
      <w:pPr>
        <w:snapToGrid w:val="0"/>
        <w:spacing w:line="600" w:lineRule="exact"/>
        <w:jc w:val="left"/>
        <w:rPr>
          <w:rFonts w:hint="eastAsia" w:ascii="仿宋" w:hAnsi="仿宋" w:eastAsia="仿宋" w:cs="仿宋"/>
          <w:color w:val="auto"/>
          <w:sz w:val="24"/>
          <w:highlight w:val="none"/>
        </w:rPr>
      </w:pPr>
    </w:p>
    <w:p w14:paraId="17DF1848">
      <w:pPr>
        <w:keepNext w:val="0"/>
        <w:keepLines w:val="0"/>
        <w:pageBreakBefore w:val="0"/>
        <w:kinsoku/>
        <w:wordWrap/>
        <w:overflowPunct/>
        <w:topLinePunct w:val="0"/>
        <w:autoSpaceDE/>
        <w:autoSpaceDN/>
        <w:bidi w:val="0"/>
        <w:adjustRightInd w:val="0"/>
        <w:spacing w:line="360" w:lineRule="auto"/>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授权代表（签字或盖章）：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性别：               年龄：</w:t>
      </w:r>
    </w:p>
    <w:p w14:paraId="000EE0AC">
      <w:pPr>
        <w:keepNext w:val="0"/>
        <w:keepLines w:val="0"/>
        <w:pageBreakBefore w:val="0"/>
        <w:kinsoku/>
        <w:wordWrap/>
        <w:overflowPunct/>
        <w:topLinePunct w:val="0"/>
        <w:autoSpaceDE/>
        <w:autoSpaceDN/>
        <w:bidi w:val="0"/>
        <w:adjustRightInd w:val="0"/>
        <w:spacing w:line="360" w:lineRule="auto"/>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单位：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部门：               职务：</w:t>
      </w:r>
    </w:p>
    <w:p w14:paraId="11BF47AF">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 xml:space="preserve">办公地址：                  </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rPr>
        <w:t>联系电话：           传真：</w:t>
      </w:r>
    </w:p>
    <w:p w14:paraId="09F893DC">
      <w:pPr>
        <w:keepNext w:val="0"/>
        <w:keepLines w:val="0"/>
        <w:pageBreakBefore w:val="0"/>
        <w:kinsoku/>
        <w:wordWrap/>
        <w:overflowPunct/>
        <w:topLinePunct w:val="0"/>
        <w:autoSpaceDE/>
        <w:autoSpaceDN/>
        <w:bidi w:val="0"/>
        <w:adjustRightInd w:val="0"/>
        <w:spacing w:line="360" w:lineRule="auto"/>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w:t>
      </w:r>
      <w:r>
        <w:rPr>
          <w:rFonts w:hint="eastAsia" w:ascii="仿宋" w:hAnsi="仿宋" w:eastAsia="仿宋" w:cs="仿宋"/>
          <w:color w:val="auto"/>
          <w:kern w:val="0"/>
          <w:sz w:val="24"/>
          <w:highlight w:val="none"/>
          <w:lang w:val="zh-CN"/>
        </w:rPr>
        <w:t>电子签章</w:t>
      </w:r>
      <w:r>
        <w:rPr>
          <w:rFonts w:hint="eastAsia" w:ascii="仿宋" w:hAnsi="仿宋" w:eastAsia="仿宋" w:cs="仿宋"/>
          <w:color w:val="auto"/>
          <w:sz w:val="24"/>
          <w:highlight w:val="none"/>
        </w:rPr>
        <w:t>）：</w:t>
      </w:r>
    </w:p>
    <w:p w14:paraId="701D99FD">
      <w:pPr>
        <w:keepNext w:val="0"/>
        <w:keepLines w:val="0"/>
        <w:pageBreakBefore w:val="0"/>
        <w:kinsoku/>
        <w:wordWrap/>
        <w:overflowPunct/>
        <w:topLinePunct w:val="0"/>
        <w:autoSpaceDE/>
        <w:autoSpaceDN/>
        <w:bidi w:val="0"/>
        <w:adjustRightInd w:val="0"/>
        <w:spacing w:line="360" w:lineRule="auto"/>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法定代表人（签字或盖章）：</w:t>
      </w:r>
    </w:p>
    <w:p w14:paraId="1355997A">
      <w:pPr>
        <w:spacing w:line="360" w:lineRule="exact"/>
        <w:rPr>
          <w:rFonts w:hint="eastAsia" w:ascii="仿宋" w:hAnsi="仿宋" w:eastAsia="仿宋" w:cs="仿宋"/>
          <w:color w:val="auto"/>
          <w:sz w:val="24"/>
          <w:highlight w:val="none"/>
        </w:rPr>
      </w:pPr>
    </w:p>
    <w:p w14:paraId="59A217F9">
      <w:pPr>
        <w:snapToGrid w:val="0"/>
        <w:spacing w:line="360" w:lineRule="auto"/>
        <w:ind w:right="480"/>
        <w:jc w:val="right"/>
        <w:rPr>
          <w:rFonts w:hint="eastAsia" w:ascii="仿宋" w:hAnsi="仿宋" w:eastAsia="仿宋" w:cs="仿宋"/>
          <w:b/>
          <w:color w:val="auto"/>
          <w:kern w:val="0"/>
          <w:sz w:val="32"/>
          <w:szCs w:val="32"/>
          <w:highlight w:val="none"/>
          <w:lang w:val="en-US" w:eastAsia="zh-CN"/>
        </w:rPr>
      </w:pPr>
      <w:r>
        <w:rPr>
          <w:rFonts w:hint="eastAsia" w:ascii="仿宋" w:hAnsi="仿宋" w:eastAsia="仿宋" w:cs="仿宋"/>
          <w:color w:val="auto"/>
          <w:sz w:val="24"/>
          <w:highlight w:val="none"/>
        </w:rPr>
        <w:t>日期：    年   月   日</w:t>
      </w:r>
    </w:p>
    <w:p w14:paraId="1D708A41">
      <w:pPr>
        <w:snapToGrid w:val="0"/>
        <w:spacing w:line="360" w:lineRule="auto"/>
        <w:ind w:right="480"/>
        <w:jc w:val="both"/>
        <w:rPr>
          <w:rFonts w:hint="eastAsia" w:ascii="仿宋" w:hAnsi="仿宋" w:eastAsia="仿宋" w:cs="仿宋"/>
          <w:b/>
          <w:color w:val="auto"/>
          <w:kern w:val="0"/>
          <w:sz w:val="32"/>
          <w:szCs w:val="32"/>
          <w:highlight w:val="none"/>
          <w:lang w:val="en-US" w:eastAsia="zh-CN"/>
        </w:rPr>
      </w:pPr>
      <w:r>
        <w:rPr>
          <w:rFonts w:hint="eastAsia" w:ascii="仿宋" w:hAnsi="仿宋" w:eastAsia="仿宋" w:cs="仿宋"/>
          <w:b/>
          <w:bCs/>
          <w:color w:val="auto"/>
          <w:sz w:val="24"/>
          <w:szCs w:val="24"/>
          <w:highlight w:val="none"/>
        </w:rPr>
        <w:t>附：法人身份证复印件及授权人身份证复印件。</w:t>
      </w:r>
    </w:p>
    <w:p w14:paraId="22A59BC6">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b/>
          <w:bCs w:val="0"/>
          <w:color w:val="auto"/>
          <w:kern w:val="0"/>
          <w:sz w:val="24"/>
          <w:szCs w:val="24"/>
          <w:highlight w:val="none"/>
          <w:lang w:val="en-US" w:eastAsia="zh-CN"/>
        </w:rPr>
      </w:pPr>
    </w:p>
    <w:p w14:paraId="0467C7F0">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b/>
          <w:bCs w:val="0"/>
          <w:color w:val="auto"/>
          <w:kern w:val="0"/>
          <w:sz w:val="24"/>
          <w:szCs w:val="24"/>
          <w:highlight w:val="none"/>
          <w:lang w:val="en-US" w:eastAsia="zh-CN"/>
        </w:rPr>
      </w:pPr>
    </w:p>
    <w:p w14:paraId="07E20053">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b/>
          <w:bCs w:val="0"/>
          <w:color w:val="auto"/>
          <w:kern w:val="0"/>
          <w:sz w:val="24"/>
          <w:szCs w:val="24"/>
          <w:highlight w:val="none"/>
          <w:lang w:val="en-US" w:eastAsia="zh-CN"/>
        </w:rPr>
      </w:pPr>
    </w:p>
    <w:p w14:paraId="3C5602BC">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b/>
          <w:bCs w:val="0"/>
          <w:color w:val="auto"/>
          <w:kern w:val="0"/>
          <w:sz w:val="24"/>
          <w:szCs w:val="24"/>
          <w:highlight w:val="none"/>
          <w:lang w:val="en-US" w:eastAsia="zh-CN"/>
        </w:rPr>
      </w:pPr>
    </w:p>
    <w:p w14:paraId="0009CD75">
      <w:pPr>
        <w:keepNext w:val="0"/>
        <w:keepLines w:val="0"/>
        <w:pageBreakBefore w:val="0"/>
        <w:widowControl w:val="0"/>
        <w:kinsoku/>
        <w:wordWrap/>
        <w:overflowPunct/>
        <w:topLinePunct w:val="0"/>
        <w:autoSpaceDE/>
        <w:autoSpaceDN/>
        <w:bidi w:val="0"/>
        <w:adjustRightInd w:val="0"/>
        <w:snapToGrid w:val="0"/>
        <w:spacing w:line="360" w:lineRule="auto"/>
        <w:ind w:right="482"/>
        <w:jc w:val="both"/>
        <w:textAlignment w:val="auto"/>
        <w:rPr>
          <w:rFonts w:hint="eastAsia" w:ascii="仿宋" w:hAnsi="仿宋" w:eastAsia="仿宋" w:cs="仿宋"/>
          <w:b/>
          <w:bCs w:val="0"/>
          <w:color w:val="auto"/>
          <w:kern w:val="0"/>
          <w:sz w:val="24"/>
          <w:szCs w:val="24"/>
          <w:highlight w:val="none"/>
          <w:lang w:val="en-US" w:eastAsia="zh-CN"/>
        </w:rPr>
      </w:pPr>
    </w:p>
    <w:p w14:paraId="62723E5C">
      <w:pPr>
        <w:keepNext w:val="0"/>
        <w:keepLines w:val="0"/>
        <w:pageBreakBefore w:val="0"/>
        <w:widowControl w:val="0"/>
        <w:kinsoku/>
        <w:wordWrap/>
        <w:overflowPunct/>
        <w:topLinePunct w:val="0"/>
        <w:autoSpaceDE/>
        <w:autoSpaceDN/>
        <w:bidi w:val="0"/>
        <w:adjustRightInd w:val="0"/>
        <w:snapToGrid w:val="0"/>
        <w:spacing w:line="360" w:lineRule="auto"/>
        <w:ind w:right="482"/>
        <w:jc w:val="both"/>
        <w:textAlignment w:val="auto"/>
        <w:rPr>
          <w:rFonts w:hint="eastAsia" w:ascii="仿宋" w:hAnsi="仿宋" w:eastAsia="仿宋" w:cs="仿宋"/>
          <w:b/>
          <w:bCs w:val="0"/>
          <w:color w:val="auto"/>
          <w:kern w:val="0"/>
          <w:sz w:val="24"/>
          <w:szCs w:val="24"/>
          <w:highlight w:val="none"/>
          <w:lang w:val="en-US" w:eastAsia="zh-CN"/>
        </w:rPr>
      </w:pPr>
    </w:p>
    <w:p w14:paraId="7066DC7B">
      <w:pPr>
        <w:keepNext w:val="0"/>
        <w:keepLines w:val="0"/>
        <w:pageBreakBefore w:val="0"/>
        <w:widowControl w:val="0"/>
        <w:kinsoku/>
        <w:wordWrap/>
        <w:overflowPunct/>
        <w:topLinePunct w:val="0"/>
        <w:autoSpaceDE/>
        <w:autoSpaceDN/>
        <w:bidi w:val="0"/>
        <w:adjustRightInd w:val="0"/>
        <w:snapToGrid w:val="0"/>
        <w:spacing w:line="360" w:lineRule="auto"/>
        <w:ind w:right="482"/>
        <w:jc w:val="both"/>
        <w:textAlignment w:val="auto"/>
        <w:rPr>
          <w:rFonts w:hint="eastAsia" w:ascii="仿宋" w:hAnsi="仿宋" w:eastAsia="仿宋" w:cs="仿宋"/>
          <w:b/>
          <w:bCs w:val="0"/>
          <w:color w:val="auto"/>
          <w:kern w:val="0"/>
          <w:sz w:val="24"/>
          <w:szCs w:val="24"/>
          <w:highlight w:val="none"/>
          <w:lang w:val="en-US" w:eastAsia="zh-CN"/>
        </w:rPr>
      </w:pPr>
    </w:p>
    <w:p w14:paraId="7C678CE0">
      <w:pPr>
        <w:snapToGrid w:val="0"/>
        <w:spacing w:line="360" w:lineRule="auto"/>
        <w:ind w:right="480"/>
        <w:jc w:val="cente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lang w:val="en-US" w:eastAsia="zh-CN"/>
        </w:rPr>
        <w:t>四、</w:t>
      </w:r>
      <w:r>
        <w:rPr>
          <w:rFonts w:hint="eastAsia" w:ascii="仿宋" w:hAnsi="仿宋" w:eastAsia="仿宋" w:cs="仿宋"/>
          <w:b/>
          <w:color w:val="auto"/>
          <w:kern w:val="0"/>
          <w:sz w:val="32"/>
          <w:szCs w:val="32"/>
          <w:highlight w:val="none"/>
        </w:rPr>
        <w:t>符合参加采购活动应当具备的一般条件的承诺函</w:t>
      </w:r>
    </w:p>
    <w:p w14:paraId="5CF9ADA5">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嵊州市城市建设投资发展集团有限公司、绍兴平准招标代理有限公司</w:t>
      </w:r>
      <w:r>
        <w:rPr>
          <w:rFonts w:hint="eastAsia" w:ascii="仿宋" w:hAnsi="仿宋" w:eastAsia="仿宋" w:cs="仿宋"/>
          <w:color w:val="auto"/>
          <w:sz w:val="24"/>
          <w:highlight w:val="none"/>
        </w:rPr>
        <w:t>：</w:t>
      </w:r>
    </w:p>
    <w:p w14:paraId="1B820B2E">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我方参与</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lang w:eastAsia="zh-CN"/>
        </w:rPr>
        <w:t>（项目名称）</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项目</w:t>
      </w:r>
      <w:r>
        <w:rPr>
          <w:rFonts w:hint="eastAsia" w:ascii="仿宋" w:hAnsi="仿宋" w:eastAsia="仿宋" w:cs="仿宋"/>
          <w:color w:val="auto"/>
          <w:sz w:val="24"/>
          <w:highlight w:val="none"/>
        </w:rPr>
        <w:t>编号：</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】采购活动，郑重承诺：</w:t>
      </w:r>
    </w:p>
    <w:p w14:paraId="7C2F0307">
      <w:pPr>
        <w:snapToGrid w:val="0"/>
        <w:spacing w:line="336"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（一）具备《嵊州市市属国有企业货物和服务采购管理办法（试行）》第十七条规定的条件：</w:t>
      </w:r>
    </w:p>
    <w:p w14:paraId="455270B2">
      <w:pPr>
        <w:spacing w:line="360" w:lineRule="auto"/>
        <w:ind w:firstLine="424" w:firstLineChars="177"/>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1.具有独立承担民事责任的能力；</w:t>
      </w:r>
    </w:p>
    <w:p w14:paraId="1BC7CBCB">
      <w:pPr>
        <w:spacing w:line="360" w:lineRule="auto"/>
        <w:ind w:firstLine="424" w:firstLineChars="177"/>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2.具有良好的商业信誉；</w:t>
      </w:r>
    </w:p>
    <w:p w14:paraId="69187079">
      <w:pPr>
        <w:spacing w:line="360" w:lineRule="auto"/>
        <w:ind w:firstLine="424" w:firstLineChars="177"/>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3.具有履行合同所必需的设备和专业技术，售后保障等能力；</w:t>
      </w:r>
    </w:p>
    <w:p w14:paraId="5442D2D6">
      <w:pPr>
        <w:spacing w:line="360" w:lineRule="auto"/>
        <w:ind w:firstLine="424" w:firstLineChars="177"/>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4.有依法缴纳税收和社会保障资金的良好记录；</w:t>
      </w:r>
    </w:p>
    <w:p w14:paraId="3C4A4174">
      <w:pPr>
        <w:spacing w:line="360" w:lineRule="auto"/>
        <w:ind w:firstLine="424" w:firstLineChars="177"/>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5.参加采购活动前三年内，没有重大违法记录，严重失信行为和行贿记录；</w:t>
      </w:r>
    </w:p>
    <w:p w14:paraId="73D35E27">
      <w:pPr>
        <w:snapToGrid w:val="0"/>
        <w:spacing w:line="336"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kern w:val="0"/>
          <w:sz w:val="24"/>
          <w:highlight w:val="none"/>
        </w:rPr>
        <w:t>6.法律、行政法规规定的其他条件</w:t>
      </w:r>
      <w:r>
        <w:rPr>
          <w:rFonts w:hint="eastAsia" w:ascii="仿宋" w:hAnsi="仿宋" w:eastAsia="仿宋" w:cs="仿宋"/>
          <w:color w:val="auto"/>
          <w:kern w:val="0"/>
          <w:sz w:val="24"/>
          <w:highlight w:val="none"/>
          <w:lang w:eastAsia="zh-CN"/>
        </w:rPr>
        <w:t>。</w:t>
      </w:r>
    </w:p>
    <w:p w14:paraId="4014A5BD">
      <w:pPr>
        <w:snapToGrid w:val="0"/>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具有独立承担民事责任的能力（如供应商为金融、保险、通讯等特定行业的全国性企业所设立的区域性分支机构，以及个体工商户、个人独资企业、合伙企业，已经依法办理了工商、税务和社保登记手续，并且获得总公司（总机构）授权或能够提供房产权证或其他有效财产资料，承诺具备实际承担责任的能力和法定的缔结合同能力，可以独立参加采购活动）；</w:t>
      </w:r>
    </w:p>
    <w:p w14:paraId="0217D19F">
      <w:pPr>
        <w:snapToGrid w:val="0"/>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（二）未被信用中国（www.creditchina.gov.cn</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、中国政府采购网（www.ccgp.gov.cn）列入失信被执行人、重大税收违法案件当事人名单、政府采购严重违法失信行为记录名单。</w:t>
      </w:r>
    </w:p>
    <w:p w14:paraId="71816A47">
      <w:pPr>
        <w:snapToGrid w:val="0"/>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（三）不存在以下情况：</w:t>
      </w:r>
    </w:p>
    <w:p w14:paraId="1DC58C45">
      <w:pPr>
        <w:snapToGrid w:val="0"/>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1.</w:t>
      </w:r>
      <w:r>
        <w:rPr>
          <w:rFonts w:hint="eastAsia" w:ascii="仿宋" w:hAnsi="仿宋" w:eastAsia="仿宋" w:cs="仿宋"/>
          <w:color w:val="auto"/>
          <w:sz w:val="24"/>
          <w:highlight w:val="none"/>
        </w:rPr>
        <w:t>单位负责人为同一人或者存在直接控股、管理关系的不同供应商参加同一合同项下的采购活动的；</w:t>
      </w:r>
    </w:p>
    <w:p w14:paraId="7DBD0764">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2.</w:t>
      </w:r>
      <w:r>
        <w:rPr>
          <w:rFonts w:hint="eastAsia" w:ascii="仿宋" w:hAnsi="仿宋" w:eastAsia="仿宋" w:cs="仿宋"/>
          <w:color w:val="auto"/>
          <w:sz w:val="24"/>
          <w:highlight w:val="none"/>
        </w:rPr>
        <w:t>为采购项目提供整体设计、规范编制或者项目管理、监理、检测等服务后再参加该采购项目的其他采购活动的。</w:t>
      </w:r>
    </w:p>
    <w:p w14:paraId="5069EA23">
      <w:pPr>
        <w:snapToGrid w:val="0"/>
        <w:spacing w:line="360" w:lineRule="auto"/>
        <w:ind w:firstLine="5520" w:firstLineChars="2300"/>
        <w:rPr>
          <w:rFonts w:hint="eastAsia" w:ascii="仿宋" w:hAnsi="仿宋" w:eastAsia="仿宋" w:cs="仿宋"/>
          <w:color w:val="auto"/>
          <w:kern w:val="0"/>
          <w:sz w:val="24"/>
          <w:highlight w:val="none"/>
          <w:lang w:val="zh-CN"/>
        </w:rPr>
      </w:pPr>
    </w:p>
    <w:p w14:paraId="54D92C19">
      <w:pPr>
        <w:snapToGrid w:val="0"/>
        <w:spacing w:line="360" w:lineRule="auto"/>
        <w:ind w:firstLine="5520" w:firstLineChars="23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投标人名称（电子签章）：</w:t>
      </w:r>
    </w:p>
    <w:p w14:paraId="6A94CE8E">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 xml:space="preserve">                        </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日期</w:t>
      </w:r>
      <w:r>
        <w:rPr>
          <w:rFonts w:hint="eastAsia" w:ascii="仿宋" w:hAnsi="仿宋" w:eastAsia="仿宋" w:cs="仿宋"/>
          <w:color w:val="auto"/>
          <w:kern w:val="0"/>
          <w:sz w:val="24"/>
          <w:highlight w:val="none"/>
        </w:rPr>
        <w:t xml:space="preserve">：  年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w:t>
      </w:r>
    </w:p>
    <w:p w14:paraId="638710F0">
      <w:pPr>
        <w:snapToGrid w:val="0"/>
        <w:ind w:firstLine="0" w:firstLineChars="0"/>
        <w:jc w:val="left"/>
        <w:outlineLvl w:val="9"/>
        <w:rPr>
          <w:rFonts w:hint="eastAsia" w:ascii="仿宋" w:hAnsi="仿宋" w:eastAsia="仿宋" w:cs="仿宋"/>
          <w:b/>
          <w:bCs/>
          <w:color w:val="auto"/>
          <w:sz w:val="28"/>
          <w:szCs w:val="28"/>
          <w:highlight w:val="none"/>
        </w:rPr>
      </w:pPr>
      <w:r>
        <w:rPr>
          <w:rFonts w:hint="eastAsia" w:ascii="仿宋" w:hAnsi="仿宋" w:eastAsia="仿宋" w:cs="仿宋"/>
          <w:b/>
          <w:color w:val="auto"/>
          <w:kern w:val="0"/>
          <w:sz w:val="36"/>
          <w:szCs w:val="36"/>
          <w:highlight w:val="none"/>
        </w:rPr>
        <w:br w:type="page"/>
      </w:r>
    </w:p>
    <w:p w14:paraId="1BCBBEDA">
      <w:pPr>
        <w:widowControl/>
        <w:spacing w:line="360" w:lineRule="auto"/>
        <w:jc w:val="center"/>
        <w:rPr>
          <w:rFonts w:hint="eastAsia" w:ascii="仿宋" w:hAnsi="仿宋" w:eastAsia="仿宋" w:cs="仿宋"/>
          <w:color w:val="auto"/>
          <w:kern w:val="0"/>
          <w:sz w:val="24"/>
          <w:szCs w:val="24"/>
          <w:highlight w:val="none"/>
          <w:u w:val="single"/>
          <w:lang w:eastAsia="zh-CN"/>
        </w:rPr>
      </w:pPr>
      <w:r>
        <w:rPr>
          <w:rFonts w:hint="eastAsia" w:ascii="仿宋" w:hAnsi="仿宋" w:eastAsia="仿宋" w:cs="仿宋"/>
          <w:b/>
          <w:color w:val="auto"/>
          <w:kern w:val="0"/>
          <w:sz w:val="32"/>
          <w:szCs w:val="32"/>
          <w:highlight w:val="none"/>
        </w:rPr>
        <w:t>政企采购活动现场确认声明书</w:t>
      </w:r>
    </w:p>
    <w:p w14:paraId="5D9B9532">
      <w:pPr>
        <w:pStyle w:val="967"/>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0" w:firstLineChars="0"/>
        <w:jc w:val="both"/>
        <w:textAlignment w:val="auto"/>
        <w:outlineLvl w:val="9"/>
        <w:rPr>
          <w:rFonts w:hint="eastAsia" w:ascii="仿宋" w:hAnsi="仿宋" w:eastAsia="仿宋" w:cs="仿宋"/>
          <w:b/>
          <w:bCs/>
          <w:color w:val="auto"/>
          <w:sz w:val="24"/>
          <w:szCs w:val="24"/>
          <w:highlight w:val="none"/>
        </w:rPr>
      </w:pPr>
      <w:r>
        <w:rPr>
          <w:rFonts w:hint="eastAsia" w:ascii="仿宋" w:hAnsi="仿宋" w:eastAsia="仿宋" w:cs="仿宋"/>
          <w:color w:val="auto"/>
          <w:kern w:val="0"/>
          <w:sz w:val="24"/>
          <w:szCs w:val="24"/>
          <w:highlight w:val="none"/>
          <w:u w:val="single"/>
          <w:lang w:eastAsia="zh-CN"/>
        </w:rPr>
        <w:t>绍兴平准招标代理有限公司</w:t>
      </w:r>
      <w:r>
        <w:rPr>
          <w:rFonts w:hint="eastAsia" w:ascii="仿宋" w:hAnsi="仿宋" w:eastAsia="仿宋" w:cs="仿宋"/>
          <w:color w:val="auto"/>
          <w:kern w:val="0"/>
          <w:sz w:val="24"/>
          <w:szCs w:val="24"/>
          <w:highlight w:val="none"/>
        </w:rPr>
        <w:t>（采购组织机构名称）：</w:t>
      </w:r>
    </w:p>
    <w:p w14:paraId="4993D61B">
      <w:pPr>
        <w:pStyle w:val="967"/>
        <w:keepNext w:val="0"/>
        <w:keepLines w:val="0"/>
        <w:pageBreakBefore w:val="0"/>
        <w:kinsoku/>
        <w:wordWrap w:val="0"/>
        <w:overflowPunct/>
        <w:topLinePunct w:val="0"/>
        <w:autoSpaceDE/>
        <w:autoSpaceDN/>
        <w:bidi w:val="0"/>
        <w:adjustRightInd w:val="0"/>
        <w:spacing w:line="360" w:lineRule="auto"/>
        <w:ind w:firstLine="504"/>
        <w:textAlignment w:val="auto"/>
        <w:outlineLvl w:val="9"/>
        <w:rPr>
          <w:rFonts w:hint="eastAsia" w:ascii="仿宋" w:hAnsi="仿宋" w:eastAsia="仿宋" w:cs="仿宋"/>
          <w:b/>
          <w:bCs/>
          <w:color w:val="auto"/>
          <w:spacing w:val="6"/>
          <w:sz w:val="24"/>
          <w:szCs w:val="24"/>
          <w:highlight w:val="none"/>
          <w:u w:val="single"/>
        </w:rPr>
      </w:pPr>
      <w:r>
        <w:rPr>
          <w:rFonts w:hint="eastAsia" w:ascii="仿宋" w:hAnsi="仿宋" w:eastAsia="仿宋" w:cs="仿宋"/>
          <w:color w:val="auto"/>
          <w:spacing w:val="6"/>
          <w:sz w:val="24"/>
          <w:szCs w:val="24"/>
          <w:highlight w:val="none"/>
        </w:rPr>
        <w:t>本人经由</w:t>
      </w:r>
      <w:r>
        <w:rPr>
          <w:rFonts w:hint="eastAsia" w:ascii="仿宋" w:hAnsi="仿宋" w:eastAsia="仿宋" w:cs="仿宋"/>
          <w:color w:val="auto"/>
          <w:spacing w:val="6"/>
          <w:sz w:val="24"/>
          <w:szCs w:val="24"/>
          <w:highlight w:val="none"/>
          <w:u w:val="single"/>
        </w:rPr>
        <w:t xml:space="preserve">                      </w:t>
      </w:r>
      <w:r>
        <w:rPr>
          <w:rFonts w:hint="eastAsia" w:ascii="仿宋" w:hAnsi="仿宋" w:eastAsia="仿宋" w:cs="仿宋"/>
          <w:color w:val="auto"/>
          <w:spacing w:val="6"/>
          <w:sz w:val="24"/>
          <w:szCs w:val="24"/>
          <w:highlight w:val="none"/>
        </w:rPr>
        <w:t>（单位）负责人</w:t>
      </w:r>
      <w:r>
        <w:rPr>
          <w:rFonts w:hint="eastAsia" w:ascii="仿宋" w:hAnsi="仿宋" w:eastAsia="仿宋" w:cs="仿宋"/>
          <w:color w:val="auto"/>
          <w:spacing w:val="6"/>
          <w:sz w:val="24"/>
          <w:szCs w:val="24"/>
          <w:highlight w:val="none"/>
          <w:u w:val="single"/>
        </w:rPr>
        <w:t xml:space="preserve">         （姓名）</w:t>
      </w:r>
      <w:r>
        <w:rPr>
          <w:rFonts w:hint="eastAsia" w:ascii="仿宋" w:hAnsi="仿宋" w:eastAsia="仿宋" w:cs="仿宋"/>
          <w:color w:val="auto"/>
          <w:spacing w:val="6"/>
          <w:sz w:val="24"/>
          <w:szCs w:val="24"/>
          <w:highlight w:val="none"/>
        </w:rPr>
        <w:t>合法授权参加</w:t>
      </w:r>
      <w:r>
        <w:rPr>
          <w:rFonts w:hint="eastAsia" w:ascii="仿宋" w:hAnsi="仿宋" w:eastAsia="仿宋" w:cs="仿宋"/>
          <w:color w:val="auto"/>
          <w:spacing w:val="6"/>
          <w:sz w:val="24"/>
          <w:szCs w:val="24"/>
          <w:highlight w:val="none"/>
          <w:u w:val="single"/>
          <w:lang w:val="en-US" w:eastAsia="zh-CN"/>
        </w:rPr>
        <w:t xml:space="preserve">          </w:t>
      </w:r>
      <w:r>
        <w:rPr>
          <w:rFonts w:hint="eastAsia" w:ascii="仿宋" w:hAnsi="仿宋" w:eastAsia="仿宋" w:cs="仿宋"/>
          <w:color w:val="auto"/>
          <w:spacing w:val="6"/>
          <w:sz w:val="24"/>
          <w:szCs w:val="24"/>
          <w:highlight w:val="none"/>
        </w:rPr>
        <w:t>（编号</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u w:val="single"/>
          <w:lang w:val="en-US" w:eastAsia="zh-CN"/>
        </w:rPr>
        <w:t xml:space="preserve">        </w:t>
      </w:r>
      <w:r>
        <w:rPr>
          <w:rFonts w:hint="eastAsia" w:ascii="仿宋" w:hAnsi="仿宋" w:eastAsia="仿宋" w:cs="仿宋"/>
          <w:color w:val="auto"/>
          <w:spacing w:val="6"/>
          <w:sz w:val="24"/>
          <w:szCs w:val="24"/>
          <w:highlight w:val="none"/>
        </w:rPr>
        <w:t xml:space="preserve">）采购活动，经与本单位法人代表（负责人）联系确认，现就有关公平竞争事项郑重声明如下： </w:t>
      </w:r>
    </w:p>
    <w:p w14:paraId="60E9F327">
      <w:pPr>
        <w:pStyle w:val="968"/>
        <w:keepNext w:val="0"/>
        <w:keepLines w:val="0"/>
        <w:pageBreakBefore w:val="0"/>
        <w:widowControl/>
        <w:kinsoku/>
        <w:overflowPunct/>
        <w:topLinePunct w:val="0"/>
        <w:autoSpaceDE/>
        <w:autoSpaceDN/>
        <w:bidi w:val="0"/>
        <w:adjustRightInd w:val="0"/>
        <w:snapToGrid w:val="0"/>
        <w:spacing w:line="360" w:lineRule="auto"/>
        <w:ind w:firstLine="480"/>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一、本单位与采购人之间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0"/>
          <w:sz w:val="24"/>
          <w:szCs w:val="24"/>
          <w:highlight w:val="none"/>
        </w:rPr>
        <w:t xml:space="preserve">不存在利害关系 </w:t>
      </w:r>
      <w:r>
        <w:rPr>
          <w:rFonts w:hint="eastAsia" w:ascii="仿宋" w:hAnsi="仿宋" w:eastAsia="仿宋" w:cs="仿宋"/>
          <w:color w:val="auto"/>
          <w:sz w:val="24"/>
          <w:szCs w:val="24"/>
          <w:highlight w:val="none"/>
        </w:rPr>
        <w:t>□</w:t>
      </w:r>
      <w:r>
        <w:rPr>
          <w:rFonts w:hint="eastAsia" w:ascii="仿宋" w:hAnsi="仿宋" w:eastAsia="仿宋" w:cs="仿宋"/>
          <w:color w:val="auto"/>
          <w:kern w:val="0"/>
          <w:sz w:val="24"/>
          <w:szCs w:val="24"/>
          <w:highlight w:val="none"/>
        </w:rPr>
        <w:t>存在下列利害关系</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14:paraId="46436B8E">
      <w:pPr>
        <w:pStyle w:val="968"/>
        <w:keepNext w:val="0"/>
        <w:keepLines w:val="0"/>
        <w:pageBreakBefore w:val="0"/>
        <w:widowControl/>
        <w:kinsoku/>
        <w:overflowPunct/>
        <w:topLinePunct w:val="0"/>
        <w:autoSpaceDE/>
        <w:autoSpaceDN/>
        <w:bidi w:val="0"/>
        <w:adjustRightInd w:val="0"/>
        <w:snapToGrid w:val="0"/>
        <w:spacing w:line="360" w:lineRule="auto"/>
        <w:ind w:firstLine="480"/>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A.投资关系    B.行政隶属关系    C.业务指导关系</w:t>
      </w:r>
    </w:p>
    <w:p w14:paraId="3C98284B">
      <w:pPr>
        <w:pStyle w:val="968"/>
        <w:keepNext w:val="0"/>
        <w:keepLines w:val="0"/>
        <w:pageBreakBefore w:val="0"/>
        <w:widowControl/>
        <w:kinsoku/>
        <w:overflowPunct/>
        <w:topLinePunct w:val="0"/>
        <w:autoSpaceDE/>
        <w:autoSpaceDN/>
        <w:bidi w:val="0"/>
        <w:adjustRightInd w:val="0"/>
        <w:snapToGrid w:val="0"/>
        <w:spacing w:line="360" w:lineRule="auto"/>
        <w:ind w:firstLine="480"/>
        <w:jc w:val="left"/>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D.其他可能</w:t>
      </w:r>
      <w:r>
        <w:rPr>
          <w:rFonts w:hint="eastAsia" w:ascii="仿宋" w:hAnsi="仿宋" w:eastAsia="仿宋" w:cs="仿宋"/>
          <w:color w:val="auto"/>
          <w:sz w:val="24"/>
          <w:szCs w:val="24"/>
          <w:highlight w:val="none"/>
        </w:rPr>
        <w:t>影响采购公正的</w:t>
      </w:r>
      <w:r>
        <w:rPr>
          <w:rFonts w:hint="eastAsia" w:ascii="仿宋" w:hAnsi="仿宋" w:eastAsia="仿宋" w:cs="仿宋"/>
          <w:color w:val="auto"/>
          <w:kern w:val="0"/>
          <w:sz w:val="24"/>
          <w:szCs w:val="24"/>
          <w:highlight w:val="none"/>
        </w:rPr>
        <w:t>利害关系</w:t>
      </w:r>
      <w:r>
        <w:rPr>
          <w:rFonts w:hint="eastAsia" w:ascii="仿宋" w:hAnsi="仿宋" w:eastAsia="仿宋" w:cs="仿宋"/>
          <w:color w:val="auto"/>
          <w:kern w:val="0"/>
          <w:sz w:val="24"/>
          <w:szCs w:val="24"/>
          <w:highlight w:val="none"/>
          <w:u w:val="single"/>
        </w:rPr>
        <w:t xml:space="preserve">（如有，请如实说明）               </w:t>
      </w:r>
      <w:r>
        <w:rPr>
          <w:rFonts w:hint="eastAsia" w:ascii="仿宋" w:hAnsi="仿宋" w:eastAsia="仿宋" w:cs="仿宋"/>
          <w:color w:val="auto"/>
          <w:kern w:val="0"/>
          <w:sz w:val="24"/>
          <w:szCs w:val="24"/>
          <w:highlight w:val="none"/>
        </w:rPr>
        <w:t>。</w:t>
      </w:r>
    </w:p>
    <w:p w14:paraId="707359BB">
      <w:pPr>
        <w:pStyle w:val="968"/>
        <w:keepNext w:val="0"/>
        <w:keepLines w:val="0"/>
        <w:pageBreakBefore w:val="0"/>
        <w:widowControl/>
        <w:kinsoku/>
        <w:overflowPunct/>
        <w:topLinePunct w:val="0"/>
        <w:autoSpaceDE/>
        <w:autoSpaceDN/>
        <w:bidi w:val="0"/>
        <w:adjustRightInd w:val="0"/>
        <w:snapToGrid w:val="0"/>
        <w:spacing w:line="360" w:lineRule="auto"/>
        <w:ind w:firstLine="504"/>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spacing w:val="6"/>
          <w:sz w:val="24"/>
          <w:szCs w:val="24"/>
          <w:highlight w:val="none"/>
        </w:rPr>
        <w:t>二、</w:t>
      </w:r>
      <w:r>
        <w:rPr>
          <w:rFonts w:hint="eastAsia" w:ascii="仿宋" w:hAnsi="仿宋" w:eastAsia="仿宋" w:cs="仿宋"/>
          <w:color w:val="auto"/>
          <w:kern w:val="0"/>
          <w:sz w:val="24"/>
          <w:szCs w:val="24"/>
          <w:highlight w:val="none"/>
        </w:rPr>
        <w:t xml:space="preserve">现已清楚知道参加本项目采购活动的其他所有供应商名称，本单位 </w:t>
      </w:r>
      <w:r>
        <w:rPr>
          <w:rFonts w:hint="eastAsia" w:ascii="仿宋" w:hAnsi="仿宋" w:eastAsia="仿宋" w:cs="仿宋"/>
          <w:color w:val="auto"/>
          <w:sz w:val="24"/>
          <w:szCs w:val="24"/>
          <w:highlight w:val="none"/>
        </w:rPr>
        <w:sym w:font="Wingdings 2" w:char="0052"/>
      </w:r>
      <w:r>
        <w:rPr>
          <w:rFonts w:hint="eastAsia" w:ascii="仿宋" w:hAnsi="仿宋" w:eastAsia="仿宋" w:cs="仿宋"/>
          <w:color w:val="auto"/>
          <w:kern w:val="0"/>
          <w:sz w:val="24"/>
          <w:szCs w:val="24"/>
          <w:highlight w:val="none"/>
        </w:rPr>
        <w:t xml:space="preserve">与其他所有供应商之间均不存在利害关系 </w:t>
      </w:r>
      <w:r>
        <w:rPr>
          <w:rFonts w:hint="eastAsia" w:ascii="仿宋" w:hAnsi="仿宋" w:eastAsia="仿宋" w:cs="仿宋"/>
          <w:color w:val="auto"/>
          <w:sz w:val="24"/>
          <w:szCs w:val="24"/>
          <w:highlight w:val="none"/>
        </w:rPr>
        <w:t>□</w:t>
      </w:r>
      <w:r>
        <w:rPr>
          <w:rFonts w:hint="eastAsia" w:ascii="仿宋" w:hAnsi="仿宋" w:eastAsia="仿宋" w:cs="仿宋"/>
          <w:color w:val="auto"/>
          <w:kern w:val="0"/>
          <w:sz w:val="24"/>
          <w:szCs w:val="24"/>
          <w:highlight w:val="none"/>
        </w:rPr>
        <w:t>与</w:t>
      </w:r>
      <w:r>
        <w:rPr>
          <w:rFonts w:hint="eastAsia" w:ascii="仿宋" w:hAnsi="仿宋" w:eastAsia="仿宋" w:cs="仿宋"/>
          <w:color w:val="auto"/>
          <w:kern w:val="0"/>
          <w:sz w:val="24"/>
          <w:szCs w:val="24"/>
          <w:highlight w:val="none"/>
          <w:u w:val="single"/>
        </w:rPr>
        <w:t xml:space="preserve">           （供应商名称）</w:t>
      </w:r>
      <w:r>
        <w:rPr>
          <w:rFonts w:hint="eastAsia" w:ascii="仿宋" w:hAnsi="仿宋" w:eastAsia="仿宋" w:cs="仿宋"/>
          <w:color w:val="auto"/>
          <w:kern w:val="0"/>
          <w:sz w:val="24"/>
          <w:szCs w:val="24"/>
          <w:highlight w:val="none"/>
        </w:rPr>
        <w:t>之间存在下列利害关系</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14:paraId="6FD4E7AD">
      <w:pPr>
        <w:pStyle w:val="967"/>
        <w:keepNext w:val="0"/>
        <w:keepLines w:val="0"/>
        <w:pageBreakBefore w:val="0"/>
        <w:widowControl w:val="0"/>
        <w:kinsoku/>
        <w:overflowPunct/>
        <w:topLinePunct w:val="0"/>
        <w:autoSpaceDE/>
        <w:autoSpaceDN/>
        <w:bidi w:val="0"/>
        <w:adjustRightInd w:val="0"/>
        <w:snapToGrid w:val="0"/>
        <w:spacing w:line="360" w:lineRule="auto"/>
        <w:ind w:firstLine="480"/>
        <w:jc w:val="both"/>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A.法定代表人或负责人或实际控制人是同一人</w:t>
      </w:r>
    </w:p>
    <w:p w14:paraId="5C74D43B">
      <w:pPr>
        <w:pStyle w:val="967"/>
        <w:keepNext w:val="0"/>
        <w:keepLines w:val="0"/>
        <w:pageBreakBefore w:val="0"/>
        <w:widowControl w:val="0"/>
        <w:kinsoku/>
        <w:overflowPunct/>
        <w:topLinePunct w:val="0"/>
        <w:autoSpaceDE/>
        <w:autoSpaceDN/>
        <w:bidi w:val="0"/>
        <w:adjustRightInd w:val="0"/>
        <w:snapToGrid w:val="0"/>
        <w:spacing w:line="360" w:lineRule="auto"/>
        <w:ind w:firstLine="480"/>
        <w:jc w:val="both"/>
        <w:textAlignment w:val="auto"/>
        <w:outlineLvl w:val="9"/>
        <w:rPr>
          <w:rFonts w:hint="eastAsia" w:ascii="仿宋" w:hAnsi="仿宋" w:eastAsia="仿宋" w:cs="仿宋"/>
          <w:color w:val="auto"/>
          <w:spacing w:val="6"/>
          <w:sz w:val="24"/>
          <w:szCs w:val="24"/>
          <w:highlight w:val="none"/>
        </w:rPr>
      </w:pPr>
      <w:r>
        <w:rPr>
          <w:rFonts w:hint="eastAsia" w:ascii="仿宋" w:hAnsi="仿宋" w:eastAsia="仿宋" w:cs="仿宋"/>
          <w:color w:val="auto"/>
          <w:kern w:val="0"/>
          <w:sz w:val="24"/>
          <w:szCs w:val="24"/>
          <w:highlight w:val="none"/>
        </w:rPr>
        <w:t xml:space="preserve"> B.法定代表人或负责人或实际控制人是夫妻关系</w:t>
      </w:r>
    </w:p>
    <w:p w14:paraId="15819478">
      <w:pPr>
        <w:pStyle w:val="967"/>
        <w:keepNext w:val="0"/>
        <w:keepLines w:val="0"/>
        <w:pageBreakBefore w:val="0"/>
        <w:widowControl w:val="0"/>
        <w:kinsoku/>
        <w:overflowPunct/>
        <w:topLinePunct w:val="0"/>
        <w:autoSpaceDE/>
        <w:autoSpaceDN/>
        <w:bidi w:val="0"/>
        <w:adjustRightInd w:val="0"/>
        <w:snapToGrid w:val="0"/>
        <w:spacing w:line="360" w:lineRule="auto"/>
        <w:ind w:firstLine="480"/>
        <w:jc w:val="both"/>
        <w:textAlignment w:val="auto"/>
        <w:outlineLvl w:val="9"/>
        <w:rPr>
          <w:rFonts w:hint="eastAsia" w:ascii="仿宋" w:hAnsi="仿宋" w:eastAsia="仿宋" w:cs="仿宋"/>
          <w:color w:val="auto"/>
          <w:spacing w:val="6"/>
          <w:sz w:val="24"/>
          <w:szCs w:val="24"/>
          <w:highlight w:val="none"/>
        </w:rPr>
      </w:pPr>
      <w:r>
        <w:rPr>
          <w:rFonts w:hint="eastAsia" w:ascii="仿宋" w:hAnsi="仿宋" w:eastAsia="仿宋" w:cs="仿宋"/>
          <w:color w:val="auto"/>
          <w:kern w:val="0"/>
          <w:sz w:val="24"/>
          <w:szCs w:val="24"/>
          <w:highlight w:val="none"/>
        </w:rPr>
        <w:t xml:space="preserve"> C.法定代表人或负责人或实际控制人是直系血亲关系</w:t>
      </w:r>
    </w:p>
    <w:p w14:paraId="18B4721E">
      <w:pPr>
        <w:pStyle w:val="967"/>
        <w:keepNext w:val="0"/>
        <w:keepLines w:val="0"/>
        <w:pageBreakBefore w:val="0"/>
        <w:widowControl w:val="0"/>
        <w:kinsoku/>
        <w:overflowPunct/>
        <w:topLinePunct w:val="0"/>
        <w:autoSpaceDE/>
        <w:autoSpaceDN/>
        <w:bidi w:val="0"/>
        <w:adjustRightInd w:val="0"/>
        <w:snapToGrid w:val="0"/>
        <w:spacing w:line="360" w:lineRule="auto"/>
        <w:ind w:firstLine="480"/>
        <w:jc w:val="both"/>
        <w:textAlignment w:val="auto"/>
        <w:outlineLvl w:val="9"/>
        <w:rPr>
          <w:rFonts w:hint="eastAsia" w:ascii="仿宋" w:hAnsi="仿宋" w:eastAsia="仿宋" w:cs="仿宋"/>
          <w:color w:val="auto"/>
          <w:spacing w:val="6"/>
          <w:sz w:val="24"/>
          <w:szCs w:val="24"/>
          <w:highlight w:val="none"/>
        </w:rPr>
      </w:pPr>
      <w:r>
        <w:rPr>
          <w:rFonts w:hint="eastAsia" w:ascii="仿宋" w:hAnsi="仿宋" w:eastAsia="仿宋" w:cs="仿宋"/>
          <w:color w:val="auto"/>
          <w:kern w:val="0"/>
          <w:sz w:val="24"/>
          <w:szCs w:val="24"/>
          <w:highlight w:val="none"/>
        </w:rPr>
        <w:t xml:space="preserve"> D.法定代表人或负责人或实际控制人存在三代以内旁系血亲关系</w:t>
      </w:r>
    </w:p>
    <w:p w14:paraId="5B29F073">
      <w:pPr>
        <w:pStyle w:val="967"/>
        <w:keepNext w:val="0"/>
        <w:keepLines w:val="0"/>
        <w:pageBreakBefore w:val="0"/>
        <w:widowControl w:val="0"/>
        <w:kinsoku/>
        <w:overflowPunct/>
        <w:topLinePunct w:val="0"/>
        <w:autoSpaceDE/>
        <w:autoSpaceDN/>
        <w:bidi w:val="0"/>
        <w:adjustRightInd w:val="0"/>
        <w:snapToGrid w:val="0"/>
        <w:spacing w:line="360" w:lineRule="auto"/>
        <w:ind w:firstLine="480"/>
        <w:jc w:val="both"/>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E.法定代表人或负责人或实际控制人存在近姻亲关系</w:t>
      </w:r>
    </w:p>
    <w:p w14:paraId="5B13BEB3">
      <w:pPr>
        <w:pStyle w:val="967"/>
        <w:keepNext w:val="0"/>
        <w:keepLines w:val="0"/>
        <w:pageBreakBefore w:val="0"/>
        <w:widowControl w:val="0"/>
        <w:kinsoku/>
        <w:overflowPunct/>
        <w:topLinePunct w:val="0"/>
        <w:autoSpaceDE/>
        <w:autoSpaceDN/>
        <w:bidi w:val="0"/>
        <w:adjustRightInd w:val="0"/>
        <w:snapToGrid w:val="0"/>
        <w:spacing w:line="360" w:lineRule="auto"/>
        <w:ind w:firstLine="480"/>
        <w:jc w:val="both"/>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F.法定代表人或负责人或实际控制人存在股份控制或实际控制关系</w:t>
      </w:r>
    </w:p>
    <w:p w14:paraId="64F48F80">
      <w:pPr>
        <w:pStyle w:val="967"/>
        <w:keepNext w:val="0"/>
        <w:keepLines w:val="0"/>
        <w:pageBreakBefore w:val="0"/>
        <w:widowControl w:val="0"/>
        <w:kinsoku/>
        <w:overflowPunct/>
        <w:topLinePunct w:val="0"/>
        <w:autoSpaceDE/>
        <w:autoSpaceDN/>
        <w:bidi w:val="0"/>
        <w:adjustRightInd w:val="0"/>
        <w:snapToGrid w:val="0"/>
        <w:spacing w:line="360" w:lineRule="auto"/>
        <w:ind w:firstLine="480"/>
        <w:jc w:val="both"/>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w:t>
      </w:r>
      <w:bookmarkStart w:id="39" w:name="_Toc18026"/>
      <w:r>
        <w:rPr>
          <w:rFonts w:hint="eastAsia" w:ascii="仿宋" w:hAnsi="仿宋" w:eastAsia="仿宋" w:cs="仿宋"/>
          <w:color w:val="auto"/>
          <w:kern w:val="0"/>
          <w:sz w:val="24"/>
          <w:szCs w:val="24"/>
          <w:highlight w:val="none"/>
        </w:rPr>
        <w:t>G.存在共同直接或间接投资设立子公司、联营企业和合营企业情况</w:t>
      </w:r>
      <w:bookmarkEnd w:id="39"/>
    </w:p>
    <w:p w14:paraId="3A9E85DC">
      <w:pPr>
        <w:pStyle w:val="967"/>
        <w:keepNext w:val="0"/>
        <w:keepLines w:val="0"/>
        <w:pageBreakBefore w:val="0"/>
        <w:widowControl w:val="0"/>
        <w:kinsoku/>
        <w:overflowPunct/>
        <w:topLinePunct w:val="0"/>
        <w:autoSpaceDE/>
        <w:autoSpaceDN/>
        <w:bidi w:val="0"/>
        <w:adjustRightInd w:val="0"/>
        <w:snapToGrid w:val="0"/>
        <w:spacing w:line="360" w:lineRule="auto"/>
        <w:ind w:firstLine="480"/>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 xml:space="preserve"> H.存在分级代理或代销关系、同一生产制造商关系、</w:t>
      </w:r>
      <w:r>
        <w:rPr>
          <w:rFonts w:hint="eastAsia" w:ascii="仿宋" w:hAnsi="仿宋" w:eastAsia="仿宋" w:cs="仿宋"/>
          <w:color w:val="auto"/>
          <w:sz w:val="24"/>
          <w:szCs w:val="24"/>
          <w:highlight w:val="none"/>
        </w:rPr>
        <w:t>管理关系、重要业务（占主营业务收入50%以上）或重要财务往来关系（如融资）等其他实质性控制关系</w:t>
      </w:r>
    </w:p>
    <w:p w14:paraId="3971FD6B">
      <w:pPr>
        <w:pStyle w:val="967"/>
        <w:keepNext w:val="0"/>
        <w:keepLines w:val="0"/>
        <w:pageBreakBefore w:val="0"/>
        <w:widowControl w:val="0"/>
        <w:tabs>
          <w:tab w:val="left" w:pos="426"/>
        </w:tabs>
        <w:kinsoku/>
        <w:overflowPunct/>
        <w:topLinePunct w:val="0"/>
        <w:autoSpaceDE/>
        <w:autoSpaceDN/>
        <w:bidi w:val="0"/>
        <w:adjustRightInd w:val="0"/>
        <w:snapToGrid w:val="0"/>
        <w:spacing w:line="360" w:lineRule="auto"/>
        <w:ind w:firstLine="480"/>
        <w:jc w:val="both"/>
        <w:textAlignment w:val="auto"/>
        <w:outlineLvl w:val="9"/>
        <w:rPr>
          <w:rFonts w:hint="eastAsia" w:ascii="仿宋" w:hAnsi="仿宋" w:eastAsia="仿宋" w:cs="仿宋"/>
          <w:color w:val="auto"/>
          <w:spacing w:val="6"/>
          <w:sz w:val="24"/>
          <w:szCs w:val="24"/>
          <w:highlight w:val="none"/>
        </w:rPr>
      </w:pPr>
      <w:r>
        <w:rPr>
          <w:rFonts w:hint="eastAsia" w:ascii="仿宋" w:hAnsi="仿宋" w:eastAsia="仿宋" w:cs="仿宋"/>
          <w:color w:val="auto"/>
          <w:sz w:val="24"/>
          <w:szCs w:val="24"/>
          <w:highlight w:val="none"/>
        </w:rPr>
        <w:t>I</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其他利害关系情况</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rPr>
        <w:t>。</w:t>
      </w:r>
    </w:p>
    <w:p w14:paraId="232A1C41">
      <w:pPr>
        <w:pStyle w:val="968"/>
        <w:keepNext w:val="0"/>
        <w:keepLines w:val="0"/>
        <w:pageBreakBefore w:val="0"/>
        <w:widowControl/>
        <w:numPr>
          <w:ilvl w:val="0"/>
          <w:numId w:val="2"/>
        </w:numPr>
        <w:kinsoku/>
        <w:overflowPunct/>
        <w:topLinePunct w:val="0"/>
        <w:autoSpaceDE/>
        <w:autoSpaceDN/>
        <w:bidi w:val="0"/>
        <w:adjustRightInd w:val="0"/>
        <w:snapToGrid w:val="0"/>
        <w:spacing w:line="360" w:lineRule="auto"/>
        <w:ind w:firstLine="480"/>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现已清楚知道并</w:t>
      </w:r>
      <w:r>
        <w:rPr>
          <w:rFonts w:hint="eastAsia" w:ascii="仿宋" w:hAnsi="仿宋" w:eastAsia="仿宋" w:cs="仿宋"/>
          <w:color w:val="auto"/>
          <w:kern w:val="0"/>
          <w:sz w:val="24"/>
          <w:szCs w:val="24"/>
          <w:highlight w:val="none"/>
        </w:rPr>
        <w:t>严格遵守采购法律法规和现场纪律。</w:t>
      </w:r>
    </w:p>
    <w:p w14:paraId="09323612">
      <w:pPr>
        <w:pStyle w:val="968"/>
        <w:keepNext w:val="0"/>
        <w:keepLines w:val="0"/>
        <w:pageBreakBefore w:val="0"/>
        <w:widowControl/>
        <w:numPr>
          <w:ilvl w:val="0"/>
          <w:numId w:val="2"/>
        </w:numPr>
        <w:kinsoku/>
        <w:overflowPunct/>
        <w:topLinePunct w:val="0"/>
        <w:autoSpaceDE/>
        <w:autoSpaceDN/>
        <w:bidi w:val="0"/>
        <w:adjustRightInd w:val="0"/>
        <w:snapToGrid w:val="0"/>
        <w:spacing w:line="360" w:lineRule="auto"/>
        <w:ind w:firstLine="48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我发现</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供应商之间存在或可能存在上述第二条第</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项利害关系。</w:t>
      </w:r>
    </w:p>
    <w:p w14:paraId="2F13235B">
      <w:pPr>
        <w:pStyle w:val="967"/>
        <w:widowControl w:val="0"/>
        <w:snapToGrid w:val="0"/>
        <w:spacing w:line="440" w:lineRule="exact"/>
        <w:ind w:firstLine="480"/>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（供应商代表签名）</w:t>
      </w:r>
    </w:p>
    <w:p w14:paraId="7D421E87">
      <w:pPr>
        <w:pStyle w:val="967"/>
        <w:widowControl w:val="0"/>
        <w:snapToGrid w:val="0"/>
        <w:spacing w:line="440" w:lineRule="exact"/>
        <w:ind w:firstLine="480"/>
        <w:jc w:val="center"/>
        <w:outlineLvl w:val="9"/>
        <w:rPr>
          <w:rFonts w:hint="eastAsia" w:ascii="仿宋" w:hAnsi="仿宋" w:eastAsia="仿宋" w:cs="仿宋"/>
          <w:bCs/>
          <w:color w:val="auto"/>
          <w:sz w:val="24"/>
          <w:highlight w:val="none"/>
        </w:rPr>
      </w:pPr>
      <w:r>
        <w:rPr>
          <w:rFonts w:hint="eastAsia" w:ascii="仿宋" w:hAnsi="仿宋" w:eastAsia="仿宋" w:cs="仿宋"/>
          <w:color w:val="auto"/>
          <w:sz w:val="24"/>
          <w:szCs w:val="24"/>
          <w:highlight w:val="none"/>
        </w:rPr>
        <w:t xml:space="preserve">                                 年  月</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w:t>
      </w:r>
    </w:p>
    <w:p w14:paraId="1C78C6D0">
      <w:pPr>
        <w:spacing w:line="360" w:lineRule="auto"/>
        <w:jc w:val="center"/>
        <w:rPr>
          <w:rFonts w:hint="eastAsia" w:ascii="仿宋" w:hAnsi="仿宋" w:eastAsia="仿宋" w:cs="仿宋"/>
          <w:color w:val="auto"/>
          <w:sz w:val="24"/>
          <w:highlight w:val="none"/>
        </w:rPr>
      </w:pPr>
    </w:p>
    <w:p w14:paraId="31EBE050">
      <w:pPr>
        <w:spacing w:line="336" w:lineRule="auto"/>
        <w:jc w:val="center"/>
        <w:rPr>
          <w:rFonts w:hint="eastAsia" w:ascii="仿宋" w:hAnsi="仿宋" w:eastAsia="仿宋" w:cs="仿宋"/>
          <w:b/>
          <w:color w:val="auto"/>
          <w:kern w:val="0"/>
          <w:sz w:val="24"/>
          <w:highlight w:val="none"/>
        </w:rPr>
      </w:pPr>
      <w:r>
        <w:rPr>
          <w:rFonts w:hint="eastAsia" w:ascii="仿宋" w:hAnsi="仿宋" w:eastAsia="仿宋" w:cs="仿宋"/>
          <w:b/>
          <w:color w:val="auto"/>
          <w:kern w:val="0"/>
          <w:sz w:val="36"/>
          <w:szCs w:val="36"/>
          <w:highlight w:val="none"/>
        </w:rPr>
        <w:t>商务技术文件部分</w:t>
      </w:r>
    </w:p>
    <w:p w14:paraId="5399D69C">
      <w:pPr>
        <w:spacing w:line="336" w:lineRule="auto"/>
        <w:jc w:val="center"/>
        <w:outlineLvl w:val="0"/>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36"/>
          <w:szCs w:val="36"/>
          <w:highlight w:val="none"/>
        </w:rPr>
        <w:t>目录</w:t>
      </w:r>
    </w:p>
    <w:p w14:paraId="12570086">
      <w:pPr>
        <w:pStyle w:val="908"/>
        <w:numPr>
          <w:ilvl w:val="0"/>
          <w:numId w:val="0"/>
        </w:numPr>
        <w:spacing w:line="336" w:lineRule="auto"/>
        <w:ind w:left="0" w:leftChars="0" w:firstLine="0" w:firstLineChars="0"/>
        <w:jc w:val="both"/>
        <w:rPr>
          <w:rFonts w:hint="eastAsia" w:ascii="仿宋" w:hAnsi="仿宋" w:eastAsia="仿宋" w:cs="仿宋"/>
          <w:color w:val="auto"/>
          <w:highlight w:val="none"/>
        </w:rPr>
      </w:pPr>
      <w:r>
        <w:rPr>
          <w:rFonts w:hint="eastAsia" w:ascii="仿宋" w:hAnsi="仿宋" w:eastAsia="仿宋" w:cs="仿宋"/>
          <w:color w:val="auto"/>
          <w:kern w:val="2"/>
          <w:sz w:val="24"/>
          <w:szCs w:val="24"/>
          <w:highlight w:val="none"/>
          <w:lang w:val="en-US" w:eastAsia="zh-CN" w:bidi="ar-SA"/>
        </w:rPr>
        <w:t>（1）</w:t>
      </w:r>
      <w:r>
        <w:rPr>
          <w:rFonts w:hint="eastAsia" w:ascii="仿宋" w:hAnsi="仿宋" w:eastAsia="仿宋" w:cs="仿宋"/>
          <w:color w:val="auto"/>
          <w:sz w:val="24"/>
          <w:highlight w:val="none"/>
          <w:lang w:eastAsia="zh-CN"/>
        </w:rPr>
        <w:t>营业执照扫描件</w:t>
      </w:r>
      <w:r>
        <w:rPr>
          <w:rFonts w:hint="eastAsia" w:ascii="仿宋" w:hAnsi="仿宋" w:eastAsia="仿宋" w:cs="仿宋"/>
          <w:color w:val="auto"/>
          <w:highlight w:val="none"/>
        </w:rPr>
        <w:t>…………………………………………………………………（页码）</w:t>
      </w:r>
    </w:p>
    <w:p w14:paraId="5E5A1EDA">
      <w:pPr>
        <w:pStyle w:val="908"/>
        <w:numPr>
          <w:ilvl w:val="0"/>
          <w:numId w:val="0"/>
        </w:numPr>
        <w:spacing w:line="336" w:lineRule="auto"/>
        <w:ind w:left="0" w:leftChars="0" w:firstLine="0" w:firstLineChars="0"/>
        <w:jc w:val="both"/>
        <w:rPr>
          <w:rFonts w:hint="eastAsia" w:ascii="仿宋" w:hAnsi="仿宋" w:eastAsia="仿宋" w:cs="仿宋"/>
          <w:color w:val="auto"/>
          <w:highlight w:val="none"/>
        </w:rPr>
      </w:pPr>
      <w:r>
        <w:rPr>
          <w:rFonts w:hint="eastAsia" w:ascii="仿宋" w:hAnsi="仿宋" w:eastAsia="仿宋" w:cs="仿宋"/>
          <w:color w:val="auto"/>
          <w:kern w:val="2"/>
          <w:sz w:val="24"/>
          <w:szCs w:val="24"/>
          <w:highlight w:val="none"/>
          <w:lang w:val="en-US" w:eastAsia="zh-CN" w:bidi="ar-SA"/>
        </w:rPr>
        <w:t>（2）</w:t>
      </w:r>
      <w:r>
        <w:rPr>
          <w:rFonts w:hint="eastAsia" w:ascii="仿宋" w:hAnsi="仿宋" w:eastAsia="仿宋" w:cs="仿宋"/>
          <w:color w:val="auto"/>
          <w:highlight w:val="none"/>
          <w:lang w:eastAsia="zh-CN"/>
        </w:rPr>
        <w:t>投标函</w:t>
      </w:r>
      <w:r>
        <w:rPr>
          <w:rFonts w:hint="eastAsia" w:ascii="仿宋" w:hAnsi="仿宋" w:eastAsia="仿宋" w:cs="仿宋"/>
          <w:color w:val="auto"/>
          <w:highlight w:val="none"/>
        </w:rPr>
        <w:t>……………………………………………………………………………（页码）</w:t>
      </w:r>
    </w:p>
    <w:p w14:paraId="5BCC7B61">
      <w:pPr>
        <w:pStyle w:val="908"/>
        <w:numPr>
          <w:ilvl w:val="0"/>
          <w:numId w:val="0"/>
        </w:numPr>
        <w:spacing w:line="336" w:lineRule="auto"/>
        <w:ind w:left="0" w:leftChars="0" w:firstLine="0" w:firstLineChars="0"/>
        <w:jc w:val="both"/>
        <w:rPr>
          <w:rFonts w:hint="eastAsia" w:ascii="仿宋" w:hAnsi="仿宋" w:eastAsia="仿宋" w:cs="仿宋"/>
          <w:color w:val="auto"/>
          <w:highlight w:val="none"/>
        </w:rPr>
      </w:pPr>
      <w:r>
        <w:rPr>
          <w:rFonts w:hint="eastAsia" w:ascii="仿宋" w:hAnsi="仿宋" w:eastAsia="仿宋" w:cs="仿宋"/>
          <w:color w:val="auto"/>
          <w:kern w:val="2"/>
          <w:sz w:val="24"/>
          <w:szCs w:val="24"/>
          <w:highlight w:val="none"/>
          <w:lang w:val="en-US" w:eastAsia="zh-CN" w:bidi="ar-SA"/>
        </w:rPr>
        <w:t>（3）</w:t>
      </w:r>
      <w:r>
        <w:rPr>
          <w:rFonts w:hint="eastAsia" w:ascii="仿宋" w:hAnsi="仿宋" w:eastAsia="仿宋" w:cs="仿宋"/>
          <w:color w:val="auto"/>
          <w:sz w:val="24"/>
          <w:highlight w:val="none"/>
        </w:rPr>
        <w:t>法定代表人身份证明书</w:t>
      </w:r>
      <w:r>
        <w:rPr>
          <w:rFonts w:hint="eastAsia" w:ascii="仿宋" w:hAnsi="仿宋" w:eastAsia="仿宋" w:cs="仿宋"/>
          <w:color w:val="auto"/>
          <w:highlight w:val="none"/>
        </w:rPr>
        <w:t>…………………………………………………………（页码）</w:t>
      </w:r>
    </w:p>
    <w:p w14:paraId="32DE2AA1">
      <w:pPr>
        <w:pStyle w:val="908"/>
        <w:numPr>
          <w:ilvl w:val="0"/>
          <w:numId w:val="0"/>
        </w:numPr>
        <w:spacing w:line="336" w:lineRule="auto"/>
        <w:ind w:left="0" w:leftChars="0" w:firstLine="0" w:firstLineChars="0"/>
        <w:jc w:val="both"/>
        <w:rPr>
          <w:rFonts w:hint="eastAsia" w:ascii="仿宋" w:hAnsi="仿宋" w:eastAsia="仿宋" w:cs="仿宋"/>
          <w:color w:val="auto"/>
          <w:highlight w:val="none"/>
        </w:rPr>
      </w:pPr>
      <w:r>
        <w:rPr>
          <w:rFonts w:hint="eastAsia" w:ascii="仿宋" w:hAnsi="仿宋" w:eastAsia="仿宋" w:cs="仿宋"/>
          <w:color w:val="auto"/>
          <w:kern w:val="2"/>
          <w:sz w:val="24"/>
          <w:szCs w:val="24"/>
          <w:highlight w:val="none"/>
          <w:lang w:val="en-US" w:eastAsia="zh-CN" w:bidi="ar-SA"/>
        </w:rPr>
        <w:t>（4）</w:t>
      </w:r>
      <w:r>
        <w:rPr>
          <w:rFonts w:hint="eastAsia" w:ascii="仿宋" w:hAnsi="仿宋" w:eastAsia="仿宋" w:cs="仿宋"/>
          <w:color w:val="auto"/>
          <w:sz w:val="24"/>
          <w:highlight w:val="none"/>
          <w:lang w:eastAsia="zh-CN"/>
        </w:rPr>
        <w:t>法定代表人授权委托书（</w:t>
      </w:r>
      <w:r>
        <w:rPr>
          <w:rFonts w:hint="eastAsia" w:ascii="仿宋" w:hAnsi="仿宋" w:eastAsia="仿宋" w:cs="仿宋"/>
          <w:color w:val="auto"/>
          <w:sz w:val="24"/>
          <w:highlight w:val="none"/>
          <w:lang w:val="en-US" w:eastAsia="zh-CN"/>
        </w:rPr>
        <w:t>若委托</w:t>
      </w:r>
      <w:r>
        <w:rPr>
          <w:rFonts w:hint="eastAsia" w:ascii="仿宋" w:hAnsi="仿宋" w:eastAsia="仿宋" w:cs="仿宋"/>
          <w:color w:val="auto"/>
          <w:sz w:val="24"/>
          <w:highlight w:val="none"/>
          <w:lang w:eastAsia="zh-CN"/>
        </w:rPr>
        <w:t>）</w:t>
      </w:r>
      <w:r>
        <w:rPr>
          <w:rFonts w:hint="eastAsia" w:ascii="仿宋" w:hAnsi="仿宋" w:eastAsia="仿宋" w:cs="仿宋"/>
          <w:color w:val="auto"/>
          <w:highlight w:val="none"/>
        </w:rPr>
        <w:t>……………………………………………（页码）</w:t>
      </w:r>
    </w:p>
    <w:p w14:paraId="3D145D3C">
      <w:pPr>
        <w:pStyle w:val="908"/>
        <w:numPr>
          <w:ilvl w:val="0"/>
          <w:numId w:val="0"/>
        </w:numPr>
        <w:spacing w:line="336" w:lineRule="auto"/>
        <w:ind w:left="0" w:leftChars="0" w:firstLine="0" w:firstLineChars="0"/>
        <w:jc w:val="both"/>
        <w:rPr>
          <w:rFonts w:hint="eastAsia" w:ascii="仿宋" w:hAnsi="仿宋" w:eastAsia="仿宋" w:cs="仿宋"/>
          <w:color w:val="auto"/>
          <w:highlight w:val="none"/>
        </w:rPr>
      </w:pPr>
      <w:r>
        <w:rPr>
          <w:rFonts w:hint="eastAsia" w:ascii="仿宋" w:hAnsi="仿宋" w:eastAsia="仿宋" w:cs="仿宋"/>
          <w:color w:val="auto"/>
          <w:kern w:val="2"/>
          <w:sz w:val="24"/>
          <w:szCs w:val="24"/>
          <w:highlight w:val="none"/>
          <w:lang w:val="en-US" w:eastAsia="zh-CN" w:bidi="ar-SA"/>
        </w:rPr>
        <w:t>（5）</w:t>
      </w:r>
      <w:r>
        <w:rPr>
          <w:rFonts w:hint="eastAsia" w:ascii="仿宋" w:hAnsi="仿宋" w:eastAsia="仿宋" w:cs="仿宋"/>
          <w:color w:val="auto"/>
          <w:sz w:val="24"/>
          <w:szCs w:val="24"/>
          <w:highlight w:val="none"/>
          <w:lang w:val="en-US" w:eastAsia="zh-CN"/>
        </w:rPr>
        <w:t>评分索引表</w:t>
      </w:r>
      <w:r>
        <w:rPr>
          <w:rFonts w:hint="eastAsia" w:ascii="仿宋" w:hAnsi="仿宋" w:eastAsia="仿宋" w:cs="仿宋"/>
          <w:color w:val="auto"/>
          <w:highlight w:val="none"/>
        </w:rPr>
        <w:t>………………………………………………………………………（页码）</w:t>
      </w:r>
    </w:p>
    <w:p w14:paraId="23054902">
      <w:pPr>
        <w:pStyle w:val="908"/>
        <w:numPr>
          <w:ilvl w:val="0"/>
          <w:numId w:val="0"/>
        </w:numPr>
        <w:spacing w:line="336" w:lineRule="auto"/>
        <w:ind w:left="0" w:leftChars="0" w:firstLine="0" w:firstLineChars="0"/>
        <w:jc w:val="both"/>
        <w:rPr>
          <w:rFonts w:hint="eastAsia" w:ascii="仿宋" w:hAnsi="仿宋" w:eastAsia="仿宋" w:cs="仿宋"/>
          <w:color w:val="auto"/>
          <w:highlight w:val="none"/>
        </w:rPr>
      </w:pPr>
      <w:r>
        <w:rPr>
          <w:rFonts w:hint="eastAsia" w:ascii="仿宋" w:hAnsi="仿宋" w:eastAsia="仿宋" w:cs="仿宋"/>
          <w:color w:val="auto"/>
          <w:kern w:val="2"/>
          <w:sz w:val="24"/>
          <w:szCs w:val="24"/>
          <w:highlight w:val="none"/>
          <w:lang w:val="en-US" w:eastAsia="zh-CN" w:bidi="ar-SA"/>
        </w:rPr>
        <w:t>（6）</w:t>
      </w:r>
      <w:r>
        <w:rPr>
          <w:rFonts w:hint="eastAsia" w:ascii="仿宋" w:hAnsi="仿宋" w:eastAsia="仿宋" w:cs="仿宋"/>
          <w:color w:val="auto"/>
          <w:sz w:val="24"/>
          <w:szCs w:val="24"/>
          <w:highlight w:val="none"/>
          <w:lang w:val="en-US" w:eastAsia="zh-CN"/>
        </w:rPr>
        <w:t>采购供应商廉洁自律承诺书</w:t>
      </w:r>
      <w:r>
        <w:rPr>
          <w:rFonts w:hint="eastAsia" w:ascii="仿宋" w:hAnsi="仿宋" w:eastAsia="仿宋" w:cs="仿宋"/>
          <w:color w:val="auto"/>
          <w:highlight w:val="none"/>
        </w:rPr>
        <w:t>……………………………………………………（页码）</w:t>
      </w:r>
    </w:p>
    <w:p w14:paraId="23AE5B99">
      <w:pPr>
        <w:pStyle w:val="908"/>
        <w:numPr>
          <w:ilvl w:val="0"/>
          <w:numId w:val="0"/>
        </w:numPr>
        <w:spacing w:line="336" w:lineRule="auto"/>
        <w:ind w:left="0" w:leftChars="0" w:firstLine="0" w:firstLineChars="0"/>
        <w:jc w:val="both"/>
        <w:rPr>
          <w:rFonts w:hint="eastAsia" w:ascii="仿宋" w:hAnsi="仿宋" w:eastAsia="仿宋" w:cs="仿宋"/>
          <w:color w:val="auto"/>
          <w:highlight w:val="none"/>
        </w:rPr>
      </w:pPr>
      <w:r>
        <w:rPr>
          <w:rFonts w:hint="eastAsia" w:ascii="仿宋" w:hAnsi="仿宋" w:eastAsia="仿宋" w:cs="仿宋"/>
          <w:color w:val="auto"/>
          <w:kern w:val="2"/>
          <w:sz w:val="24"/>
          <w:szCs w:val="24"/>
          <w:highlight w:val="none"/>
          <w:lang w:val="en-US" w:eastAsia="zh-CN" w:bidi="ar-SA"/>
        </w:rPr>
        <w:t>（7）</w:t>
      </w:r>
      <w:r>
        <w:rPr>
          <w:rFonts w:hint="eastAsia" w:ascii="仿宋" w:hAnsi="仿宋" w:eastAsia="仿宋" w:cs="仿宋"/>
          <w:color w:val="auto"/>
          <w:highlight w:val="none"/>
        </w:rPr>
        <w:t>资信及商务响应表………………………………………………………………（页码）</w:t>
      </w:r>
    </w:p>
    <w:p w14:paraId="1DF21E9C">
      <w:pPr>
        <w:pStyle w:val="908"/>
        <w:numPr>
          <w:ilvl w:val="0"/>
          <w:numId w:val="0"/>
        </w:numPr>
        <w:spacing w:line="336" w:lineRule="auto"/>
        <w:ind w:left="0" w:leftChars="0" w:firstLine="0" w:firstLineChars="0"/>
        <w:jc w:val="both"/>
        <w:rPr>
          <w:rFonts w:hint="eastAsia" w:ascii="仿宋" w:hAnsi="仿宋" w:eastAsia="仿宋" w:cs="Times New Roman"/>
          <w:bCs/>
          <w:snapToGrid/>
          <w:color w:val="auto"/>
          <w:sz w:val="24"/>
          <w:szCs w:val="24"/>
          <w:highlight w:val="none"/>
          <w:lang w:val="en-US"/>
        </w:rPr>
      </w:pPr>
      <w:r>
        <w:rPr>
          <w:rFonts w:hint="eastAsia" w:ascii="仿宋" w:hAnsi="仿宋" w:eastAsia="仿宋" w:cs="仿宋"/>
          <w:color w:val="auto"/>
          <w:kern w:val="2"/>
          <w:sz w:val="24"/>
          <w:szCs w:val="24"/>
          <w:highlight w:val="none"/>
          <w:lang w:val="en-US" w:eastAsia="zh-CN" w:bidi="ar-SA"/>
        </w:rPr>
        <w:t>（8）</w:t>
      </w:r>
      <w:r>
        <w:rPr>
          <w:rFonts w:hint="eastAsia" w:ascii="仿宋" w:hAnsi="仿宋" w:eastAsia="仿宋" w:cs="Times New Roman"/>
          <w:bCs/>
          <w:snapToGrid/>
          <w:color w:val="auto"/>
          <w:sz w:val="24"/>
          <w:szCs w:val="24"/>
          <w:highlight w:val="none"/>
          <w:lang w:val="en-US"/>
        </w:rPr>
        <w:t>资信证书</w:t>
      </w:r>
      <w:r>
        <w:rPr>
          <w:rFonts w:hint="eastAsia" w:ascii="仿宋" w:hAnsi="仿宋" w:eastAsia="仿宋" w:cs="仿宋"/>
          <w:color w:val="auto"/>
          <w:highlight w:val="none"/>
        </w:rPr>
        <w:t>…………………………………………………………………………（页码）</w:t>
      </w:r>
    </w:p>
    <w:p w14:paraId="311E67AF">
      <w:pPr>
        <w:pStyle w:val="908"/>
        <w:numPr>
          <w:ilvl w:val="0"/>
          <w:numId w:val="0"/>
        </w:numPr>
        <w:spacing w:line="336" w:lineRule="auto"/>
        <w:ind w:left="0" w:leftChars="0" w:firstLine="0" w:firstLineChars="0"/>
        <w:jc w:val="both"/>
        <w:rPr>
          <w:rFonts w:hint="eastAsia" w:ascii="仿宋" w:hAnsi="仿宋" w:eastAsia="仿宋" w:cs="仿宋"/>
          <w:color w:val="auto"/>
          <w:highlight w:val="none"/>
        </w:rPr>
      </w:pPr>
      <w:r>
        <w:rPr>
          <w:rFonts w:hint="eastAsia" w:ascii="仿宋" w:eastAsia="仿宋" w:cs="Times New Roman"/>
          <w:bCs/>
          <w:snapToGrid/>
          <w:color w:val="auto"/>
          <w:sz w:val="24"/>
          <w:szCs w:val="24"/>
          <w:highlight w:val="none"/>
          <w:lang w:val="en-US" w:eastAsia="zh-CN"/>
        </w:rPr>
        <w:t>（9）</w:t>
      </w:r>
      <w:r>
        <w:rPr>
          <w:rFonts w:hint="eastAsia" w:ascii="仿宋" w:eastAsia="仿宋" w:cs="仿宋"/>
          <w:color w:val="auto"/>
          <w:kern w:val="2"/>
          <w:sz w:val="24"/>
          <w:szCs w:val="24"/>
          <w:highlight w:val="none"/>
          <w:lang w:val="en-US" w:eastAsia="zh-CN" w:bidi="ar-SA"/>
        </w:rPr>
        <w:t>类似业绩</w:t>
      </w:r>
      <w:r>
        <w:rPr>
          <w:rFonts w:hint="eastAsia" w:ascii="仿宋" w:hAnsi="仿宋" w:eastAsia="仿宋" w:cs="仿宋"/>
          <w:color w:val="auto"/>
          <w:highlight w:val="none"/>
        </w:rPr>
        <w:t>…………………………………………………………………………（页码）</w:t>
      </w:r>
    </w:p>
    <w:p w14:paraId="7A41A25D">
      <w:pPr>
        <w:pStyle w:val="908"/>
        <w:numPr>
          <w:ilvl w:val="0"/>
          <w:numId w:val="0"/>
        </w:numPr>
        <w:spacing w:line="336" w:lineRule="auto"/>
        <w:ind w:left="0" w:leftChars="0" w:firstLine="0" w:firstLineChars="0"/>
        <w:jc w:val="both"/>
        <w:rPr>
          <w:rFonts w:hint="eastAsia" w:ascii="仿宋" w:hAnsi="仿宋" w:eastAsia="仿宋" w:cs="仿宋"/>
          <w:color w:val="auto"/>
          <w:highlight w:val="none"/>
        </w:rPr>
      </w:pPr>
      <w:r>
        <w:rPr>
          <w:rFonts w:hint="eastAsia" w:ascii="仿宋" w:hAnsi="仿宋" w:eastAsia="仿宋" w:cs="仿宋"/>
          <w:color w:val="auto"/>
          <w:kern w:val="2"/>
          <w:sz w:val="24"/>
          <w:szCs w:val="24"/>
          <w:highlight w:val="none"/>
          <w:lang w:val="en-US" w:eastAsia="zh-CN" w:bidi="ar-SA"/>
        </w:rPr>
        <w:t>（10）</w:t>
      </w:r>
      <w:r>
        <w:rPr>
          <w:rFonts w:hint="eastAsia" w:ascii="仿宋" w:eastAsia="仿宋" w:cs="仿宋"/>
          <w:color w:val="auto"/>
          <w:kern w:val="2"/>
          <w:sz w:val="24"/>
          <w:szCs w:val="24"/>
          <w:highlight w:val="none"/>
          <w:lang w:val="en-US" w:eastAsia="zh-CN" w:bidi="ar"/>
        </w:rPr>
        <w:t>技术响应表</w:t>
      </w:r>
      <w:r>
        <w:rPr>
          <w:rFonts w:hint="eastAsia" w:ascii="仿宋" w:hAnsi="仿宋" w:eastAsia="仿宋" w:cs="仿宋"/>
          <w:color w:val="auto"/>
          <w:highlight w:val="none"/>
        </w:rPr>
        <w:t>……………………………………………………………………（页码）</w:t>
      </w:r>
    </w:p>
    <w:p w14:paraId="6DDC8D06">
      <w:pPr>
        <w:pStyle w:val="908"/>
        <w:numPr>
          <w:ilvl w:val="0"/>
          <w:numId w:val="0"/>
        </w:numPr>
        <w:spacing w:line="336" w:lineRule="auto"/>
        <w:ind w:left="0" w:leftChars="0" w:firstLine="0" w:firstLineChars="0"/>
        <w:jc w:val="both"/>
        <w:rPr>
          <w:rFonts w:hint="eastAsia" w:ascii="仿宋" w:hAnsi="仿宋" w:eastAsia="仿宋" w:cs="仿宋"/>
          <w:color w:val="auto"/>
          <w:highlight w:val="none"/>
        </w:rPr>
      </w:pPr>
      <w:r>
        <w:rPr>
          <w:rFonts w:hint="eastAsia" w:ascii="仿宋" w:hAnsi="仿宋" w:eastAsia="仿宋" w:cs="仿宋"/>
          <w:color w:val="auto"/>
          <w:kern w:val="2"/>
          <w:sz w:val="24"/>
          <w:szCs w:val="24"/>
          <w:highlight w:val="none"/>
          <w:lang w:val="en-US" w:eastAsia="zh-CN" w:bidi="ar-SA"/>
        </w:rPr>
        <w:t>（11）</w:t>
      </w:r>
      <w:r>
        <w:rPr>
          <w:rFonts w:hint="eastAsia" w:ascii="仿宋" w:eastAsia="仿宋" w:cs="仿宋"/>
          <w:i w:val="0"/>
          <w:iCs w:val="0"/>
          <w:color w:val="auto"/>
          <w:kern w:val="0"/>
          <w:sz w:val="24"/>
          <w:szCs w:val="24"/>
          <w:highlight w:val="none"/>
          <w:u w:val="none"/>
          <w:lang w:val="en-US" w:eastAsia="zh-CN" w:bidi="ar"/>
        </w:rPr>
        <w:t>人员技术力量配置</w:t>
      </w:r>
      <w:r>
        <w:rPr>
          <w:rFonts w:hint="eastAsia" w:ascii="仿宋" w:hAnsi="仿宋" w:eastAsia="仿宋" w:cs="仿宋"/>
          <w:color w:val="auto"/>
          <w:highlight w:val="none"/>
        </w:rPr>
        <w:t>……………………………………………………………（页码）</w:t>
      </w:r>
    </w:p>
    <w:p w14:paraId="70D37260">
      <w:pPr>
        <w:pStyle w:val="908"/>
        <w:numPr>
          <w:ilvl w:val="0"/>
          <w:numId w:val="0"/>
        </w:numPr>
        <w:spacing w:line="336" w:lineRule="auto"/>
        <w:ind w:left="0" w:leftChars="0" w:firstLine="0" w:firstLineChars="0"/>
        <w:jc w:val="both"/>
        <w:rPr>
          <w:rFonts w:hint="eastAsia" w:ascii="仿宋" w:hAnsi="仿宋" w:eastAsia="仿宋" w:cs="仿宋"/>
          <w:color w:val="auto"/>
          <w:highlight w:val="none"/>
        </w:rPr>
      </w:pPr>
      <w:r>
        <w:rPr>
          <w:rFonts w:hint="eastAsia" w:ascii="仿宋" w:hAnsi="仿宋" w:eastAsia="仿宋" w:cs="仿宋"/>
          <w:color w:val="auto"/>
          <w:kern w:val="2"/>
          <w:sz w:val="24"/>
          <w:szCs w:val="24"/>
          <w:highlight w:val="none"/>
          <w:lang w:val="en-US" w:eastAsia="zh-CN" w:bidi="ar-SA"/>
        </w:rPr>
        <w:t>（12）</w:t>
      </w:r>
      <w:r>
        <w:rPr>
          <w:rFonts w:hint="eastAsia" w:ascii="仿宋" w:eastAsia="仿宋" w:cs="仿宋"/>
          <w:color w:val="auto"/>
          <w:sz w:val="24"/>
          <w:szCs w:val="24"/>
          <w:highlight w:val="none"/>
          <w:lang w:val="en-US" w:eastAsia="zh-CN"/>
        </w:rPr>
        <w:t>软件技术方案</w:t>
      </w:r>
      <w:r>
        <w:rPr>
          <w:rFonts w:hint="eastAsia" w:ascii="仿宋" w:hAnsi="仿宋" w:eastAsia="仿宋" w:cs="仿宋"/>
          <w:color w:val="auto"/>
          <w:highlight w:val="none"/>
        </w:rPr>
        <w:t>…………………………………………………………………（页码）</w:t>
      </w:r>
    </w:p>
    <w:p w14:paraId="03D78D32">
      <w:pPr>
        <w:pStyle w:val="908"/>
        <w:numPr>
          <w:ilvl w:val="0"/>
          <w:numId w:val="0"/>
        </w:numPr>
        <w:spacing w:line="336" w:lineRule="auto"/>
        <w:ind w:left="0" w:leftChars="0" w:firstLine="0" w:firstLineChars="0"/>
        <w:jc w:val="both"/>
        <w:rPr>
          <w:rFonts w:hint="eastAsia" w:ascii="仿宋" w:hAnsi="仿宋" w:eastAsia="仿宋" w:cs="仿宋"/>
          <w:color w:val="auto"/>
          <w:kern w:val="0"/>
          <w:sz w:val="24"/>
          <w:highlight w:val="none"/>
        </w:rPr>
      </w:pPr>
      <w:r>
        <w:rPr>
          <w:rFonts w:hint="eastAsia" w:ascii="仿宋" w:hAnsi="仿宋" w:eastAsia="仿宋" w:cs="仿宋"/>
          <w:color w:val="auto"/>
          <w:kern w:val="0"/>
          <w:sz w:val="24"/>
          <w:szCs w:val="24"/>
          <w:highlight w:val="none"/>
          <w:lang w:val="en-US" w:eastAsia="zh-CN" w:bidi="ar-SA"/>
        </w:rPr>
        <w:t>（13）</w:t>
      </w:r>
      <w:r>
        <w:rPr>
          <w:rFonts w:hint="eastAsia" w:ascii="仿宋" w:hAnsi="仿宋" w:eastAsia="仿宋" w:cs="仿宋"/>
          <w:color w:val="auto"/>
          <w:sz w:val="24"/>
          <w:highlight w:val="none"/>
          <w:lang w:val="en-US" w:eastAsia="zh-CN"/>
        </w:rPr>
        <w:t>系统迁移方案</w:t>
      </w:r>
      <w:r>
        <w:rPr>
          <w:rFonts w:hint="eastAsia" w:ascii="仿宋" w:hAnsi="仿宋" w:eastAsia="仿宋" w:cs="仿宋"/>
          <w:color w:val="auto"/>
          <w:highlight w:val="none"/>
        </w:rPr>
        <w:t>…………………………………………………………………（页码）</w:t>
      </w:r>
    </w:p>
    <w:p w14:paraId="1BE86C99">
      <w:pPr>
        <w:pStyle w:val="908"/>
        <w:numPr>
          <w:ilvl w:val="0"/>
          <w:numId w:val="0"/>
        </w:numPr>
        <w:spacing w:line="336" w:lineRule="auto"/>
        <w:ind w:left="0" w:leftChars="0" w:firstLine="0" w:firstLineChars="0"/>
        <w:jc w:val="both"/>
        <w:rPr>
          <w:rFonts w:hint="eastAsia" w:ascii="仿宋" w:hAnsi="仿宋" w:eastAsia="仿宋" w:cs="仿宋"/>
          <w:color w:val="auto"/>
          <w:kern w:val="0"/>
          <w:sz w:val="24"/>
          <w:highlight w:val="none"/>
        </w:rPr>
      </w:pPr>
      <w:r>
        <w:rPr>
          <w:rFonts w:hint="eastAsia" w:ascii="仿宋" w:hAnsi="仿宋" w:eastAsia="仿宋" w:cs="仿宋"/>
          <w:color w:val="auto"/>
          <w:kern w:val="0"/>
          <w:sz w:val="24"/>
          <w:szCs w:val="24"/>
          <w:highlight w:val="none"/>
          <w:lang w:val="en-US" w:eastAsia="zh-CN" w:bidi="ar-SA"/>
        </w:rPr>
        <w:t>（14）</w:t>
      </w:r>
      <w:r>
        <w:rPr>
          <w:rFonts w:hint="eastAsia" w:ascii="仿宋" w:hAnsi="仿宋" w:eastAsia="仿宋" w:cs="仿宋"/>
          <w:color w:val="auto"/>
          <w:sz w:val="24"/>
          <w:szCs w:val="24"/>
          <w:highlight w:val="none"/>
          <w:lang w:val="en-US" w:eastAsia="zh-CN"/>
        </w:rPr>
        <w:t>实施方案</w:t>
      </w:r>
      <w:r>
        <w:rPr>
          <w:rFonts w:hint="eastAsia" w:ascii="仿宋" w:hAnsi="仿宋" w:eastAsia="仿宋" w:cs="仿宋"/>
          <w:color w:val="auto"/>
          <w:highlight w:val="none"/>
        </w:rPr>
        <w:t>……………………………………………………………………（页码）</w:t>
      </w:r>
    </w:p>
    <w:p w14:paraId="1CC000C4">
      <w:pPr>
        <w:pStyle w:val="908"/>
        <w:numPr>
          <w:ilvl w:val="0"/>
          <w:numId w:val="0"/>
        </w:numPr>
        <w:spacing w:line="336" w:lineRule="auto"/>
        <w:ind w:left="0" w:leftChars="0" w:firstLine="0" w:firstLineChars="0"/>
        <w:jc w:val="both"/>
        <w:rPr>
          <w:rFonts w:hint="eastAsia" w:ascii="仿宋" w:hAnsi="仿宋" w:eastAsia="仿宋" w:cs="仿宋"/>
          <w:color w:val="auto"/>
          <w:kern w:val="0"/>
          <w:sz w:val="24"/>
          <w:highlight w:val="none"/>
        </w:rPr>
      </w:pPr>
      <w:r>
        <w:rPr>
          <w:rFonts w:hint="eastAsia" w:ascii="仿宋" w:hAnsi="仿宋" w:eastAsia="仿宋" w:cs="仿宋"/>
          <w:color w:val="auto"/>
          <w:kern w:val="0"/>
          <w:sz w:val="24"/>
          <w:szCs w:val="24"/>
          <w:highlight w:val="none"/>
          <w:lang w:val="en-US" w:eastAsia="zh-CN" w:bidi="ar-SA"/>
        </w:rPr>
        <w:t>（15）</w:t>
      </w:r>
      <w:r>
        <w:rPr>
          <w:rFonts w:hint="eastAsia" w:ascii="仿宋" w:eastAsia="仿宋" w:cs="仿宋"/>
          <w:color w:val="auto"/>
          <w:sz w:val="24"/>
          <w:highlight w:val="none"/>
          <w:u w:val="none"/>
          <w:lang w:val="en-US" w:eastAsia="zh-CN"/>
        </w:rPr>
        <w:t>培训方案</w:t>
      </w:r>
      <w:r>
        <w:rPr>
          <w:rFonts w:hint="eastAsia" w:ascii="仿宋" w:hAnsi="仿宋" w:eastAsia="仿宋" w:cs="仿宋"/>
          <w:color w:val="auto"/>
          <w:highlight w:val="none"/>
        </w:rPr>
        <w:t>………………………………………………………………………（页码）</w:t>
      </w:r>
    </w:p>
    <w:p w14:paraId="0FF24A05">
      <w:pPr>
        <w:pStyle w:val="908"/>
        <w:numPr>
          <w:ilvl w:val="0"/>
          <w:numId w:val="0"/>
        </w:numPr>
        <w:spacing w:line="336" w:lineRule="auto"/>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（16）</w:t>
      </w:r>
      <w:r>
        <w:rPr>
          <w:rFonts w:hint="eastAsia" w:ascii="仿宋" w:hAnsi="仿宋" w:eastAsia="仿宋" w:cs="仿宋"/>
          <w:color w:val="auto"/>
          <w:sz w:val="24"/>
          <w:highlight w:val="none"/>
          <w:u w:val="none"/>
          <w:lang w:val="en-US" w:eastAsia="zh-CN"/>
        </w:rPr>
        <w:t>售后服务</w:t>
      </w:r>
      <w:r>
        <w:rPr>
          <w:rFonts w:hint="eastAsia" w:ascii="仿宋" w:hAnsi="仿宋" w:eastAsia="仿宋" w:cs="仿宋"/>
          <w:color w:val="auto"/>
          <w:highlight w:val="none"/>
        </w:rPr>
        <w:t>………………………………………………………………………（页码）</w:t>
      </w:r>
      <w:r>
        <w:rPr>
          <w:rFonts w:hint="eastAsia" w:ascii="仿宋" w:eastAsia="仿宋" w:cs="仿宋"/>
          <w:color w:val="auto"/>
          <w:highlight w:val="none"/>
          <w:lang w:eastAsia="zh-CN"/>
        </w:rPr>
        <w:t>（</w:t>
      </w:r>
      <w:r>
        <w:rPr>
          <w:rFonts w:hint="eastAsia" w:ascii="仿宋" w:eastAsia="仿宋" w:cs="仿宋"/>
          <w:color w:val="auto"/>
          <w:highlight w:val="none"/>
          <w:lang w:val="en-US" w:eastAsia="zh-CN"/>
        </w:rPr>
        <w:t>17</w:t>
      </w:r>
      <w:r>
        <w:rPr>
          <w:rFonts w:hint="eastAsia" w:ascii="仿宋" w:eastAsia="仿宋" w:cs="仿宋"/>
          <w:color w:val="auto"/>
          <w:highlight w:val="none"/>
          <w:lang w:eastAsia="zh-CN"/>
        </w:rPr>
        <w:t>）</w:t>
      </w:r>
      <w:r>
        <w:rPr>
          <w:rFonts w:hint="eastAsia" w:ascii="仿宋" w:hAnsi="仿宋" w:eastAsia="仿宋" w:cs="仿宋"/>
          <w:color w:val="auto"/>
          <w:kern w:val="0"/>
          <w:sz w:val="24"/>
          <w:szCs w:val="20"/>
          <w:highlight w:val="none"/>
          <w:lang w:val="en-US" w:eastAsia="zh-CN"/>
        </w:rPr>
        <w:t>运维期（质保期）</w:t>
      </w:r>
      <w:r>
        <w:rPr>
          <w:rFonts w:hint="eastAsia" w:ascii="仿宋" w:hAnsi="仿宋" w:eastAsia="仿宋" w:cs="仿宋"/>
          <w:color w:val="auto"/>
          <w:highlight w:val="none"/>
        </w:rPr>
        <w:t>……………………………………………………………（页码）</w:t>
      </w:r>
    </w:p>
    <w:p w14:paraId="725F9B95">
      <w:pPr>
        <w:pStyle w:val="908"/>
        <w:numPr>
          <w:ilvl w:val="0"/>
          <w:numId w:val="0"/>
        </w:numPr>
        <w:spacing w:line="336" w:lineRule="auto"/>
        <w:ind w:left="0" w:leftChars="0" w:firstLine="0" w:firstLineChars="0"/>
        <w:jc w:val="both"/>
        <w:rPr>
          <w:rFonts w:hint="eastAsia" w:ascii="仿宋" w:hAnsi="仿宋" w:eastAsia="仿宋" w:cs="仿宋"/>
          <w:color w:val="auto"/>
          <w:sz w:val="24"/>
          <w:szCs w:val="24"/>
          <w:highlight w:val="none"/>
          <w:lang w:val="zh-CN" w:eastAsia="zh-CN"/>
        </w:rPr>
      </w:pPr>
      <w:r>
        <w:rPr>
          <w:rFonts w:hint="eastAsia" w:ascii="仿宋" w:hAnsi="仿宋" w:eastAsia="仿宋" w:cs="仿宋"/>
          <w:color w:val="auto"/>
          <w:kern w:val="2"/>
          <w:sz w:val="24"/>
          <w:szCs w:val="24"/>
          <w:highlight w:val="none"/>
          <w:lang w:val="zh-CN" w:eastAsia="zh-CN" w:bidi="ar-SA"/>
        </w:rPr>
        <w:t>（1</w:t>
      </w:r>
      <w:r>
        <w:rPr>
          <w:rFonts w:hint="eastAsia" w:ascii="仿宋" w:eastAsia="仿宋" w:cs="仿宋"/>
          <w:color w:val="auto"/>
          <w:kern w:val="2"/>
          <w:sz w:val="24"/>
          <w:szCs w:val="24"/>
          <w:highlight w:val="none"/>
          <w:lang w:val="en-US" w:eastAsia="zh-CN" w:bidi="ar-SA"/>
        </w:rPr>
        <w:t>8</w:t>
      </w:r>
      <w:r>
        <w:rPr>
          <w:rFonts w:hint="eastAsia" w:ascii="仿宋" w:hAnsi="仿宋" w:eastAsia="仿宋" w:cs="仿宋"/>
          <w:color w:val="auto"/>
          <w:kern w:val="2"/>
          <w:sz w:val="24"/>
          <w:szCs w:val="24"/>
          <w:highlight w:val="none"/>
          <w:lang w:val="zh-CN" w:eastAsia="zh-CN" w:bidi="ar-SA"/>
        </w:rPr>
        <w:t>）</w:t>
      </w:r>
      <w:r>
        <w:rPr>
          <w:rFonts w:hint="eastAsia" w:ascii="仿宋" w:hAnsi="仿宋" w:eastAsia="仿宋" w:cs="仿宋"/>
          <w:color w:val="auto"/>
          <w:sz w:val="24"/>
          <w:szCs w:val="24"/>
          <w:highlight w:val="none"/>
          <w:lang w:val="en-US" w:eastAsia="zh-CN"/>
        </w:rPr>
        <w:t>投标人需要说明的其他文件和说明（若有）</w:t>
      </w:r>
      <w:r>
        <w:rPr>
          <w:rFonts w:hint="eastAsia" w:ascii="仿宋" w:hAnsi="仿宋" w:eastAsia="仿宋" w:cs="仿宋"/>
          <w:color w:val="auto"/>
          <w:highlight w:val="none"/>
        </w:rPr>
        <w:t>………………………………（页码）</w:t>
      </w:r>
    </w:p>
    <w:p w14:paraId="06F70372">
      <w:pPr>
        <w:snapToGrid w:val="0"/>
        <w:spacing w:line="360" w:lineRule="auto"/>
        <w:jc w:val="center"/>
        <w:rPr>
          <w:rFonts w:hint="eastAsia" w:ascii="仿宋" w:hAnsi="仿宋" w:eastAsia="仿宋" w:cs="仿宋"/>
          <w:b/>
          <w:color w:val="auto"/>
          <w:kern w:val="0"/>
          <w:sz w:val="32"/>
          <w:szCs w:val="32"/>
          <w:highlight w:val="none"/>
          <w:lang w:val="zh-CN"/>
        </w:rPr>
      </w:pPr>
    </w:p>
    <w:p w14:paraId="0432BA23">
      <w:pPr>
        <w:snapToGrid w:val="0"/>
        <w:spacing w:line="360" w:lineRule="auto"/>
        <w:jc w:val="center"/>
        <w:rPr>
          <w:rFonts w:hint="eastAsia" w:ascii="仿宋" w:hAnsi="仿宋" w:eastAsia="仿宋" w:cs="仿宋"/>
          <w:b/>
          <w:color w:val="auto"/>
          <w:kern w:val="0"/>
          <w:sz w:val="32"/>
          <w:szCs w:val="32"/>
          <w:highlight w:val="none"/>
          <w:lang w:val="zh-CN"/>
        </w:rPr>
      </w:pPr>
    </w:p>
    <w:p w14:paraId="39C4B329">
      <w:pPr>
        <w:snapToGrid w:val="0"/>
        <w:spacing w:line="360" w:lineRule="auto"/>
        <w:jc w:val="both"/>
        <w:rPr>
          <w:rFonts w:hint="eastAsia" w:ascii="仿宋" w:hAnsi="仿宋" w:eastAsia="仿宋" w:cs="仿宋"/>
          <w:b/>
          <w:color w:val="auto"/>
          <w:kern w:val="0"/>
          <w:sz w:val="32"/>
          <w:szCs w:val="32"/>
          <w:highlight w:val="none"/>
          <w:lang w:val="zh-CN"/>
        </w:rPr>
      </w:pPr>
    </w:p>
    <w:p w14:paraId="2C02EA56">
      <w:pPr>
        <w:widowControl/>
        <w:adjustRightInd/>
        <w:jc w:val="left"/>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br w:type="page"/>
      </w:r>
    </w:p>
    <w:p w14:paraId="356F05F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jc w:val="center"/>
        <w:textAlignment w:val="auto"/>
        <w:outlineLvl w:val="0"/>
        <w:rPr>
          <w:rFonts w:hint="eastAsia" w:ascii="仿宋" w:hAnsi="仿宋" w:eastAsia="仿宋" w:cs="仿宋"/>
          <w:b/>
          <w:color w:val="auto"/>
          <w:kern w:val="0"/>
          <w:sz w:val="32"/>
          <w:szCs w:val="32"/>
          <w:highlight w:val="none"/>
          <w:lang w:eastAsia="zh-CN"/>
        </w:rPr>
      </w:pPr>
      <w:r>
        <w:rPr>
          <w:rFonts w:hint="eastAsia" w:ascii="仿宋" w:hAnsi="仿宋" w:eastAsia="仿宋" w:cs="仿宋"/>
          <w:b/>
          <w:color w:val="auto"/>
          <w:kern w:val="0"/>
          <w:sz w:val="32"/>
          <w:szCs w:val="32"/>
          <w:highlight w:val="none"/>
          <w:lang w:val="en-US" w:eastAsia="zh-CN"/>
        </w:rPr>
        <w:t>一、</w:t>
      </w:r>
      <w:r>
        <w:rPr>
          <w:rFonts w:hint="eastAsia" w:ascii="仿宋" w:hAnsi="仿宋" w:eastAsia="仿宋" w:cs="仿宋"/>
          <w:b/>
          <w:color w:val="auto"/>
          <w:kern w:val="0"/>
          <w:sz w:val="32"/>
          <w:szCs w:val="32"/>
          <w:highlight w:val="none"/>
          <w:lang w:eastAsia="zh-CN"/>
        </w:rPr>
        <w:t>营业执照扫描件</w:t>
      </w:r>
    </w:p>
    <w:p w14:paraId="130087F9">
      <w:pPr>
        <w:numPr>
          <w:ilvl w:val="0"/>
          <w:numId w:val="0"/>
        </w:numPr>
        <w:snapToGrid w:val="0"/>
        <w:spacing w:line="360" w:lineRule="auto"/>
        <w:jc w:val="both"/>
        <w:outlineLvl w:val="0"/>
        <w:rPr>
          <w:rFonts w:hint="eastAsia" w:ascii="仿宋" w:hAnsi="仿宋" w:eastAsia="仿宋" w:cs="仿宋"/>
          <w:b/>
          <w:color w:val="auto"/>
          <w:kern w:val="0"/>
          <w:sz w:val="32"/>
          <w:szCs w:val="32"/>
          <w:highlight w:val="none"/>
          <w:lang w:val="en-US" w:eastAsia="zh-CN"/>
        </w:rPr>
      </w:pPr>
    </w:p>
    <w:p w14:paraId="706E5326">
      <w:pPr>
        <w:pStyle w:val="83"/>
        <w:rPr>
          <w:rFonts w:hint="eastAsia" w:ascii="仿宋" w:hAnsi="仿宋" w:eastAsia="仿宋" w:cs="仿宋"/>
          <w:color w:val="auto"/>
          <w:highlight w:val="none"/>
          <w:lang w:val="en-US" w:eastAsia="zh-CN"/>
        </w:rPr>
      </w:pPr>
    </w:p>
    <w:p w14:paraId="17FBCA89">
      <w:pPr>
        <w:numPr>
          <w:ilvl w:val="0"/>
          <w:numId w:val="0"/>
        </w:numPr>
        <w:snapToGrid w:val="0"/>
        <w:spacing w:line="360" w:lineRule="auto"/>
        <w:jc w:val="center"/>
        <w:outlineLvl w:val="0"/>
        <w:rPr>
          <w:rFonts w:hint="eastAsia" w:ascii="仿宋" w:hAnsi="仿宋" w:eastAsia="仿宋" w:cs="仿宋"/>
          <w:b/>
          <w:color w:val="auto"/>
          <w:sz w:val="32"/>
          <w:szCs w:val="32"/>
          <w:highlight w:val="none"/>
        </w:rPr>
      </w:pPr>
      <w:r>
        <w:rPr>
          <w:rFonts w:hint="eastAsia" w:ascii="仿宋" w:hAnsi="仿宋" w:eastAsia="仿宋" w:cs="仿宋"/>
          <w:b/>
          <w:color w:val="auto"/>
          <w:kern w:val="0"/>
          <w:sz w:val="32"/>
          <w:szCs w:val="32"/>
          <w:highlight w:val="none"/>
          <w:lang w:val="en-US" w:eastAsia="zh-CN"/>
        </w:rPr>
        <w:t>二</w:t>
      </w:r>
      <w:r>
        <w:rPr>
          <w:rFonts w:hint="eastAsia" w:ascii="仿宋" w:hAnsi="仿宋" w:eastAsia="仿宋" w:cs="仿宋"/>
          <w:b/>
          <w:color w:val="auto"/>
          <w:kern w:val="0"/>
          <w:sz w:val="32"/>
          <w:szCs w:val="32"/>
          <w:highlight w:val="none"/>
        </w:rPr>
        <w:t>、投标</w:t>
      </w:r>
      <w:r>
        <w:rPr>
          <w:rFonts w:hint="eastAsia" w:ascii="仿宋" w:hAnsi="仿宋" w:eastAsia="仿宋" w:cs="仿宋"/>
          <w:b/>
          <w:color w:val="auto"/>
          <w:sz w:val="32"/>
          <w:szCs w:val="32"/>
          <w:highlight w:val="none"/>
        </w:rPr>
        <w:t>函</w:t>
      </w:r>
    </w:p>
    <w:p w14:paraId="67FC9982">
      <w:pPr>
        <w:keepNext w:val="0"/>
        <w:keepLines w:val="0"/>
        <w:pageBreakBefore w:val="0"/>
        <w:kinsoku/>
        <w:wordWrap/>
        <w:overflowPunct/>
        <w:topLinePunct w:val="0"/>
        <w:autoSpaceDE/>
        <w:autoSpaceDN/>
        <w:bidi w:val="0"/>
        <w:snapToGrid w:val="0"/>
        <w:spacing w:line="336"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highlight w:val="none"/>
          <w:lang w:eastAsia="zh-CN"/>
        </w:rPr>
        <w:t>嵊州市城市建设投资发展集团有限公司、绍兴平准招标代理有限公司</w:t>
      </w:r>
      <w:r>
        <w:rPr>
          <w:rFonts w:hint="eastAsia" w:ascii="仿宋" w:hAnsi="仿宋" w:eastAsia="仿宋" w:cs="仿宋"/>
          <w:color w:val="auto"/>
          <w:sz w:val="24"/>
          <w:highlight w:val="none"/>
        </w:rPr>
        <w:t>：</w:t>
      </w:r>
      <w:r>
        <w:rPr>
          <w:rFonts w:hint="eastAsia" w:ascii="仿宋" w:hAnsi="仿宋" w:eastAsia="仿宋" w:cs="仿宋"/>
          <w:color w:val="auto"/>
          <w:sz w:val="24"/>
          <w:szCs w:val="24"/>
          <w:highlight w:val="none"/>
          <w:lang w:val="en-US" w:eastAsia="zh-CN"/>
        </w:rPr>
        <w:t xml:space="preserve"> </w:t>
      </w:r>
    </w:p>
    <w:p w14:paraId="19A004DF">
      <w:pPr>
        <w:keepNext w:val="0"/>
        <w:keepLines w:val="0"/>
        <w:pageBreakBefore w:val="0"/>
        <w:kinsoku/>
        <w:wordWrap/>
        <w:overflowPunct/>
        <w:topLinePunct w:val="0"/>
        <w:autoSpaceDE/>
        <w:autoSpaceDN/>
        <w:bidi w:val="0"/>
        <w:snapToGrid w:val="0"/>
        <w:spacing w:line="336"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根据贵方招标文件</w:t>
      </w:r>
      <w:r>
        <w:rPr>
          <w:rFonts w:hint="eastAsia" w:ascii="仿宋" w:hAnsi="仿宋" w:eastAsia="仿宋" w:cs="仿宋"/>
          <w:b/>
          <w:bCs/>
          <w:color w:val="auto"/>
          <w:sz w:val="24"/>
          <w:szCs w:val="24"/>
          <w:highlight w:val="none"/>
          <w:u w:val="single"/>
        </w:rPr>
        <w:t>（项目编号：</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single"/>
        </w:rPr>
        <w:t>）</w:t>
      </w:r>
      <w:r>
        <w:rPr>
          <w:rFonts w:hint="eastAsia" w:ascii="仿宋" w:hAnsi="仿宋" w:eastAsia="仿宋" w:cs="仿宋"/>
          <w:color w:val="auto"/>
          <w:sz w:val="24"/>
          <w:szCs w:val="24"/>
          <w:highlight w:val="none"/>
        </w:rPr>
        <w:t>的要求，正式授权</w:t>
      </w:r>
      <w:r>
        <w:rPr>
          <w:rFonts w:hint="eastAsia" w:ascii="仿宋" w:hAnsi="仿宋" w:eastAsia="仿宋" w:cs="仿宋"/>
          <w:b/>
          <w:bCs/>
          <w:color w:val="auto"/>
          <w:sz w:val="24"/>
          <w:szCs w:val="24"/>
          <w:highlight w:val="none"/>
          <w:u w:val="single"/>
        </w:rPr>
        <w:t>（全权代表姓名    、单位    、职务   ）</w:t>
      </w:r>
      <w:r>
        <w:rPr>
          <w:rFonts w:hint="eastAsia" w:ascii="仿宋" w:hAnsi="仿宋" w:eastAsia="仿宋" w:cs="仿宋"/>
          <w:color w:val="auto"/>
          <w:sz w:val="24"/>
          <w:szCs w:val="24"/>
          <w:highlight w:val="none"/>
        </w:rPr>
        <w:t>代表投标人</w:t>
      </w:r>
      <w:r>
        <w:rPr>
          <w:rFonts w:hint="eastAsia" w:ascii="仿宋" w:hAnsi="仿宋" w:eastAsia="仿宋" w:cs="仿宋"/>
          <w:b/>
          <w:bCs/>
          <w:color w:val="auto"/>
          <w:sz w:val="24"/>
          <w:szCs w:val="24"/>
          <w:highlight w:val="none"/>
          <w:u w:val="single"/>
        </w:rPr>
        <w:t>（填写单位    、地址   ）</w:t>
      </w:r>
      <w:r>
        <w:rPr>
          <w:rFonts w:hint="eastAsia" w:ascii="仿宋" w:hAnsi="仿宋" w:eastAsia="仿宋" w:cs="仿宋"/>
          <w:color w:val="auto"/>
          <w:sz w:val="24"/>
          <w:szCs w:val="24"/>
          <w:highlight w:val="none"/>
        </w:rPr>
        <w:t>提交投标文件。</w:t>
      </w:r>
    </w:p>
    <w:p w14:paraId="7EBDCAD3">
      <w:pPr>
        <w:keepNext w:val="0"/>
        <w:keepLines w:val="0"/>
        <w:pageBreakBefore w:val="0"/>
        <w:kinsoku/>
        <w:wordWrap/>
        <w:overflowPunct/>
        <w:topLinePunct w:val="0"/>
        <w:autoSpaceDE/>
        <w:autoSpaceDN/>
        <w:bidi w:val="0"/>
        <w:snapToGrid w:val="0"/>
        <w:spacing w:line="336"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我方已完全明白招标文件的所有条款要求，兹声明同意如下：</w:t>
      </w:r>
    </w:p>
    <w:p w14:paraId="325E30EB">
      <w:pPr>
        <w:keepNext w:val="0"/>
        <w:keepLines w:val="0"/>
        <w:pageBreakBefore w:val="0"/>
        <w:kinsoku/>
        <w:wordWrap/>
        <w:overflowPunct/>
        <w:topLinePunct w:val="0"/>
        <w:autoSpaceDE/>
        <w:autoSpaceDN/>
        <w:bidi w:val="0"/>
        <w:snapToGrid w:val="0"/>
        <w:spacing w:line="336"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1.我方同意在投标人须知规定的开标日期起遵守本投标文件中的承诺且在投标有效期满之前均具有约束力。</w:t>
      </w:r>
    </w:p>
    <w:p w14:paraId="290D4899">
      <w:pPr>
        <w:keepNext w:val="0"/>
        <w:keepLines w:val="0"/>
        <w:pageBreakBefore w:val="0"/>
        <w:kinsoku/>
        <w:wordWrap/>
        <w:overflowPunct/>
        <w:topLinePunct w:val="0"/>
        <w:autoSpaceDE/>
        <w:autoSpaceDN/>
        <w:bidi w:val="0"/>
        <w:snapToGrid w:val="0"/>
        <w:spacing w:line="336"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2.我方承诺已经具备</w:t>
      </w:r>
      <w:r>
        <w:rPr>
          <w:rFonts w:hint="eastAsia" w:ascii="仿宋" w:hAnsi="仿宋" w:eastAsia="仿宋" w:cs="仿宋"/>
          <w:color w:val="auto"/>
          <w:sz w:val="24"/>
          <w:highlight w:val="none"/>
        </w:rPr>
        <w:t>《嵊州市市属国有企业货物和服务采购管理办法（试行）》</w:t>
      </w:r>
      <w:r>
        <w:rPr>
          <w:rFonts w:hint="eastAsia" w:ascii="仿宋" w:hAnsi="仿宋" w:eastAsia="仿宋" w:cs="仿宋"/>
          <w:color w:val="auto"/>
          <w:sz w:val="24"/>
          <w:szCs w:val="24"/>
          <w:highlight w:val="none"/>
        </w:rPr>
        <w:t>中规定的参加采购活动的供应商应当具备的条件。</w:t>
      </w:r>
    </w:p>
    <w:p w14:paraId="22C4C6D8">
      <w:pPr>
        <w:keepNext w:val="0"/>
        <w:keepLines w:val="0"/>
        <w:pageBreakBefore w:val="0"/>
        <w:kinsoku/>
        <w:wordWrap/>
        <w:overflowPunct/>
        <w:topLinePunct w:val="0"/>
        <w:autoSpaceDE/>
        <w:autoSpaceDN/>
        <w:bidi w:val="0"/>
        <w:snapToGrid w:val="0"/>
        <w:spacing w:line="336"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3.本公司投标文件中填列的技术参数、配置、服务、数量等相关内容都是真实、准确的。保证在本次项目中所提供的资料全部真实和合法。同意向</w:t>
      </w:r>
      <w:r>
        <w:rPr>
          <w:rFonts w:hint="eastAsia" w:ascii="仿宋" w:hAnsi="仿宋" w:eastAsia="仿宋" w:cs="仿宋"/>
          <w:color w:val="auto"/>
          <w:sz w:val="24"/>
          <w:szCs w:val="24"/>
          <w:highlight w:val="none"/>
          <w:lang w:eastAsia="zh-CN"/>
        </w:rPr>
        <w:t>采购代理机构</w:t>
      </w:r>
      <w:r>
        <w:rPr>
          <w:rFonts w:hint="eastAsia" w:ascii="仿宋" w:hAnsi="仿宋" w:eastAsia="仿宋" w:cs="仿宋"/>
          <w:color w:val="auto"/>
          <w:sz w:val="24"/>
          <w:szCs w:val="24"/>
          <w:highlight w:val="none"/>
        </w:rPr>
        <w:t>提供可能另外要求的与投标有关的任何数据或资料。</w:t>
      </w:r>
    </w:p>
    <w:p w14:paraId="42EA8146">
      <w:pPr>
        <w:keepNext w:val="0"/>
        <w:keepLines w:val="0"/>
        <w:pageBreakBefore w:val="0"/>
        <w:kinsoku/>
        <w:wordWrap/>
        <w:overflowPunct/>
        <w:topLinePunct w:val="0"/>
        <w:autoSpaceDE/>
        <w:autoSpaceDN/>
        <w:bidi w:val="0"/>
        <w:snapToGrid w:val="0"/>
        <w:spacing w:line="336"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4.我方理解贵方将不受你们所收到的最低报价的约束。</w:t>
      </w:r>
    </w:p>
    <w:p w14:paraId="44354C27">
      <w:pPr>
        <w:keepNext w:val="0"/>
        <w:keepLines w:val="0"/>
        <w:pageBreakBefore w:val="0"/>
        <w:kinsoku/>
        <w:wordWrap/>
        <w:overflowPunct/>
        <w:topLinePunct w:val="0"/>
        <w:autoSpaceDE/>
        <w:autoSpaceDN/>
        <w:bidi w:val="0"/>
        <w:snapToGrid w:val="0"/>
        <w:spacing w:line="336"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eastAsia="zh-CN"/>
        </w:rPr>
        <w:t>本次</w:t>
      </w:r>
      <w:r>
        <w:rPr>
          <w:rFonts w:hint="eastAsia" w:ascii="仿宋" w:hAnsi="仿宋" w:eastAsia="仿宋" w:cs="仿宋"/>
          <w:color w:val="auto"/>
          <w:sz w:val="24"/>
          <w:szCs w:val="24"/>
          <w:highlight w:val="none"/>
        </w:rPr>
        <w:t>投标自开标之日（投标截止之日）起90天内有效。</w:t>
      </w:r>
    </w:p>
    <w:p w14:paraId="74F77251">
      <w:pPr>
        <w:keepNext w:val="0"/>
        <w:keepLines w:val="0"/>
        <w:pageBreakBefore w:val="0"/>
        <w:kinsoku/>
        <w:wordWrap/>
        <w:overflowPunct/>
        <w:topLinePunct w:val="0"/>
        <w:autoSpaceDE/>
        <w:autoSpaceDN/>
        <w:bidi w:val="0"/>
        <w:snapToGrid w:val="0"/>
        <w:spacing w:line="336"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6.我方将严格遵守</w:t>
      </w:r>
      <w:r>
        <w:rPr>
          <w:rFonts w:hint="eastAsia" w:ascii="仿宋" w:hAnsi="仿宋" w:eastAsia="仿宋" w:cs="仿宋"/>
          <w:color w:val="auto"/>
          <w:sz w:val="24"/>
          <w:szCs w:val="24"/>
          <w:highlight w:val="none"/>
          <w:lang w:val="en-US" w:eastAsia="zh-CN"/>
        </w:rPr>
        <w:t>相关采购</w:t>
      </w:r>
      <w:r>
        <w:rPr>
          <w:rFonts w:hint="eastAsia" w:ascii="仿宋" w:hAnsi="仿宋" w:eastAsia="仿宋" w:cs="仿宋"/>
          <w:color w:val="auto"/>
          <w:sz w:val="24"/>
          <w:szCs w:val="24"/>
          <w:highlight w:val="none"/>
        </w:rPr>
        <w:t>规定，供应商有下列情形之一的，处以采购金额5‰以上10‰以下的罚款，列入不良行为记录名单，在一至三年内禁止参加采购活动；有违法所得的，并处没收违法所得；情节严重的，由政府有关部门或市场监督管理局吊销营业执照；构成犯罪的，依法追究刑事责任：</w:t>
      </w:r>
    </w:p>
    <w:p w14:paraId="77885866">
      <w:pPr>
        <w:keepNext w:val="0"/>
        <w:keepLines w:val="0"/>
        <w:pageBreakBefore w:val="0"/>
        <w:kinsoku/>
        <w:wordWrap/>
        <w:overflowPunct/>
        <w:topLinePunct w:val="0"/>
        <w:autoSpaceDE/>
        <w:autoSpaceDN/>
        <w:bidi w:val="0"/>
        <w:snapToGrid w:val="0"/>
        <w:spacing w:line="336"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a）</w:t>
      </w:r>
      <w:r>
        <w:rPr>
          <w:rFonts w:hint="eastAsia" w:ascii="仿宋" w:hAnsi="仿宋" w:eastAsia="仿宋" w:cs="仿宋"/>
          <w:color w:val="auto"/>
          <w:sz w:val="24"/>
          <w:szCs w:val="24"/>
          <w:highlight w:val="none"/>
        </w:rPr>
        <w:t>提供虚假材料谋取中标、成交的；</w:t>
      </w:r>
    </w:p>
    <w:p w14:paraId="2874A4A2">
      <w:pPr>
        <w:keepNext w:val="0"/>
        <w:keepLines w:val="0"/>
        <w:pageBreakBefore w:val="0"/>
        <w:kinsoku/>
        <w:wordWrap/>
        <w:overflowPunct/>
        <w:topLinePunct w:val="0"/>
        <w:autoSpaceDE/>
        <w:autoSpaceDN/>
        <w:bidi w:val="0"/>
        <w:snapToGrid w:val="0"/>
        <w:spacing w:line="336"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b）</w:t>
      </w:r>
      <w:r>
        <w:rPr>
          <w:rFonts w:hint="eastAsia" w:ascii="仿宋" w:hAnsi="仿宋" w:eastAsia="仿宋" w:cs="仿宋"/>
          <w:color w:val="auto"/>
          <w:sz w:val="24"/>
          <w:szCs w:val="24"/>
          <w:highlight w:val="none"/>
        </w:rPr>
        <w:t>采取不正当手段诋毁、排挤其他供应商的；</w:t>
      </w:r>
    </w:p>
    <w:p w14:paraId="2E0EDEFB">
      <w:pPr>
        <w:keepNext w:val="0"/>
        <w:keepLines w:val="0"/>
        <w:pageBreakBefore w:val="0"/>
        <w:kinsoku/>
        <w:wordWrap/>
        <w:overflowPunct/>
        <w:topLinePunct w:val="0"/>
        <w:autoSpaceDE/>
        <w:autoSpaceDN/>
        <w:bidi w:val="0"/>
        <w:snapToGrid w:val="0"/>
        <w:spacing w:line="336"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c）</w:t>
      </w:r>
      <w:r>
        <w:rPr>
          <w:rFonts w:hint="eastAsia" w:ascii="仿宋" w:hAnsi="仿宋" w:eastAsia="仿宋" w:cs="仿宋"/>
          <w:color w:val="auto"/>
          <w:sz w:val="24"/>
          <w:szCs w:val="24"/>
          <w:highlight w:val="none"/>
        </w:rPr>
        <w:t>与采购人、</w:t>
      </w:r>
      <w:r>
        <w:rPr>
          <w:rFonts w:hint="eastAsia" w:ascii="仿宋" w:hAnsi="仿宋" w:eastAsia="仿宋" w:cs="仿宋"/>
          <w:color w:val="auto"/>
          <w:sz w:val="24"/>
          <w:szCs w:val="24"/>
          <w:highlight w:val="none"/>
          <w:lang w:eastAsia="zh-CN"/>
        </w:rPr>
        <w:t>其他</w:t>
      </w:r>
      <w:r>
        <w:rPr>
          <w:rFonts w:hint="eastAsia" w:ascii="仿宋" w:hAnsi="仿宋" w:eastAsia="仿宋" w:cs="仿宋"/>
          <w:color w:val="auto"/>
          <w:sz w:val="24"/>
          <w:szCs w:val="24"/>
          <w:highlight w:val="none"/>
        </w:rPr>
        <w:t>供应商或者采购代理机构恶意串通的；</w:t>
      </w:r>
    </w:p>
    <w:p w14:paraId="043923CE">
      <w:pPr>
        <w:keepNext w:val="0"/>
        <w:keepLines w:val="0"/>
        <w:pageBreakBefore w:val="0"/>
        <w:kinsoku/>
        <w:wordWrap/>
        <w:overflowPunct/>
        <w:topLinePunct w:val="0"/>
        <w:autoSpaceDE/>
        <w:autoSpaceDN/>
        <w:bidi w:val="0"/>
        <w:snapToGrid w:val="0"/>
        <w:spacing w:line="336"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d）</w:t>
      </w:r>
      <w:r>
        <w:rPr>
          <w:rFonts w:hint="eastAsia" w:ascii="仿宋" w:hAnsi="仿宋" w:eastAsia="仿宋" w:cs="仿宋"/>
          <w:color w:val="auto"/>
          <w:sz w:val="24"/>
          <w:szCs w:val="24"/>
          <w:highlight w:val="none"/>
        </w:rPr>
        <w:t>向采购人、采购代理机构行贿或者提供其他不正当利益的；</w:t>
      </w:r>
    </w:p>
    <w:p w14:paraId="16B6C105">
      <w:pPr>
        <w:keepNext w:val="0"/>
        <w:keepLines w:val="0"/>
        <w:pageBreakBefore w:val="0"/>
        <w:kinsoku/>
        <w:wordWrap/>
        <w:overflowPunct/>
        <w:topLinePunct w:val="0"/>
        <w:autoSpaceDE/>
        <w:autoSpaceDN/>
        <w:bidi w:val="0"/>
        <w:snapToGrid w:val="0"/>
        <w:spacing w:line="336"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e）</w:t>
      </w:r>
      <w:r>
        <w:rPr>
          <w:rFonts w:hint="eastAsia" w:ascii="仿宋" w:hAnsi="仿宋" w:eastAsia="仿宋" w:cs="仿宋"/>
          <w:color w:val="auto"/>
          <w:sz w:val="24"/>
          <w:szCs w:val="24"/>
          <w:highlight w:val="none"/>
        </w:rPr>
        <w:t>在招标采购过程中与采购人进行协商谈判的；</w:t>
      </w:r>
    </w:p>
    <w:p w14:paraId="38EB4A4D">
      <w:pPr>
        <w:keepNext w:val="0"/>
        <w:keepLines w:val="0"/>
        <w:pageBreakBefore w:val="0"/>
        <w:kinsoku/>
        <w:wordWrap/>
        <w:overflowPunct/>
        <w:topLinePunct w:val="0"/>
        <w:autoSpaceDE/>
        <w:autoSpaceDN/>
        <w:bidi w:val="0"/>
        <w:snapToGrid w:val="0"/>
        <w:spacing w:line="336"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f）</w:t>
      </w:r>
      <w:r>
        <w:rPr>
          <w:rFonts w:hint="eastAsia" w:ascii="仿宋" w:hAnsi="仿宋" w:eastAsia="仿宋" w:cs="仿宋"/>
          <w:color w:val="auto"/>
          <w:sz w:val="24"/>
          <w:szCs w:val="24"/>
          <w:highlight w:val="none"/>
        </w:rPr>
        <w:t>拒绝有关部门监督检查或提供虚假情况的。</w:t>
      </w:r>
    </w:p>
    <w:p w14:paraId="368EEE98">
      <w:pPr>
        <w:keepNext w:val="0"/>
        <w:keepLines w:val="0"/>
        <w:pageBreakBefore w:val="0"/>
        <w:kinsoku/>
        <w:wordWrap/>
        <w:overflowPunct/>
        <w:topLinePunct w:val="0"/>
        <w:autoSpaceDE/>
        <w:autoSpaceDN/>
        <w:bidi w:val="0"/>
        <w:snapToGrid w:val="0"/>
        <w:spacing w:line="336"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供应商有前款第a</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至e</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项情形之一的，中标、成交无效。</w:t>
      </w:r>
    </w:p>
    <w:p w14:paraId="15A4D7FD">
      <w:pPr>
        <w:pStyle w:val="399"/>
        <w:keepNext w:val="0"/>
        <w:keepLines w:val="0"/>
        <w:pageBreakBefore w:val="0"/>
        <w:kinsoku/>
        <w:wordWrap/>
        <w:overflowPunct/>
        <w:topLinePunct w:val="0"/>
        <w:autoSpaceDE/>
        <w:autoSpaceDN/>
        <w:bidi w:val="0"/>
        <w:spacing w:after="0" w:line="336" w:lineRule="auto"/>
        <w:ind w:firstLine="480"/>
        <w:textAlignment w:val="auto"/>
        <w:rPr>
          <w:rFonts w:hint="eastAsia" w:ascii="仿宋" w:hAnsi="仿宋" w:eastAsia="仿宋" w:cs="仿宋"/>
          <w:color w:val="auto"/>
          <w:sz w:val="24"/>
          <w:szCs w:val="24"/>
          <w:highlight w:val="none"/>
        </w:rPr>
      </w:pPr>
    </w:p>
    <w:p w14:paraId="5192D546">
      <w:pPr>
        <w:pStyle w:val="399"/>
        <w:keepNext w:val="0"/>
        <w:keepLines w:val="0"/>
        <w:pageBreakBefore w:val="0"/>
        <w:kinsoku/>
        <w:wordWrap/>
        <w:overflowPunct/>
        <w:topLinePunct w:val="0"/>
        <w:autoSpaceDE/>
        <w:autoSpaceDN/>
        <w:bidi w:val="0"/>
        <w:spacing w:after="0" w:line="336" w:lineRule="auto"/>
        <w:ind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　　　　　　　　　　　　　　　邮政编码：</w:t>
      </w:r>
    </w:p>
    <w:p w14:paraId="1096D070">
      <w:pPr>
        <w:pStyle w:val="399"/>
        <w:keepNext w:val="0"/>
        <w:keepLines w:val="0"/>
        <w:pageBreakBefore w:val="0"/>
        <w:kinsoku/>
        <w:wordWrap/>
        <w:overflowPunct/>
        <w:topLinePunct w:val="0"/>
        <w:autoSpaceDE/>
        <w:autoSpaceDN/>
        <w:bidi w:val="0"/>
        <w:spacing w:after="0" w:line="336" w:lineRule="auto"/>
        <w:ind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                              传真：</w:t>
      </w:r>
    </w:p>
    <w:p w14:paraId="013DD9E0">
      <w:pPr>
        <w:pStyle w:val="399"/>
        <w:keepNext w:val="0"/>
        <w:keepLines w:val="0"/>
        <w:pageBreakBefore w:val="0"/>
        <w:kinsoku/>
        <w:wordWrap/>
        <w:overflowPunct/>
        <w:topLinePunct w:val="0"/>
        <w:autoSpaceDE/>
        <w:autoSpaceDN/>
        <w:bidi w:val="0"/>
        <w:spacing w:after="0" w:line="336" w:lineRule="auto"/>
        <w:ind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开户银行：                          </w:t>
      </w:r>
      <w:r>
        <w:rPr>
          <w:rFonts w:hint="eastAsia" w:ascii="仿宋" w:hAnsi="仿宋" w:eastAsia="仿宋" w:cs="仿宋"/>
          <w:color w:val="auto"/>
          <w:sz w:val="24"/>
          <w:szCs w:val="24"/>
          <w:highlight w:val="none"/>
          <w:lang w:eastAsia="zh-CN"/>
        </w:rPr>
        <w:t>账号</w:t>
      </w:r>
      <w:r>
        <w:rPr>
          <w:rFonts w:hint="eastAsia" w:ascii="仿宋" w:hAnsi="仿宋" w:eastAsia="仿宋" w:cs="仿宋"/>
          <w:color w:val="auto"/>
          <w:sz w:val="24"/>
          <w:szCs w:val="24"/>
          <w:highlight w:val="none"/>
        </w:rPr>
        <w:t>：</w:t>
      </w:r>
    </w:p>
    <w:p w14:paraId="6A3EA8AD">
      <w:pPr>
        <w:pStyle w:val="399"/>
        <w:keepNext w:val="0"/>
        <w:keepLines w:val="0"/>
        <w:pageBreakBefore w:val="0"/>
        <w:kinsoku/>
        <w:wordWrap/>
        <w:overflowPunct/>
        <w:topLinePunct w:val="0"/>
        <w:autoSpaceDE/>
        <w:autoSpaceDN/>
        <w:bidi w:val="0"/>
        <w:spacing w:after="0" w:line="336" w:lineRule="auto"/>
        <w:ind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法定代表人或其授权代表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签字或盖章</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p>
    <w:p w14:paraId="4D399896">
      <w:pPr>
        <w:keepNext w:val="0"/>
        <w:keepLines w:val="0"/>
        <w:pageBreakBefore w:val="0"/>
        <w:kinsoku/>
        <w:wordWrap/>
        <w:overflowPunct/>
        <w:topLinePunct w:val="0"/>
        <w:autoSpaceDE/>
        <w:autoSpaceDN/>
        <w:bidi w:val="0"/>
        <w:snapToGrid w:val="0"/>
        <w:spacing w:line="336" w:lineRule="auto"/>
        <w:ind w:firstLine="480" w:firstLineChars="200"/>
        <w:jc w:val="left"/>
        <w:textAlignment w:val="auto"/>
        <w:rPr>
          <w:rFonts w:hint="eastAsia" w:ascii="仿宋" w:hAnsi="仿宋" w:eastAsia="仿宋" w:cs="仿宋"/>
          <w:color w:val="auto"/>
          <w:sz w:val="24"/>
          <w:szCs w:val="24"/>
          <w:highlight w:val="none"/>
        </w:rPr>
      </w:pPr>
    </w:p>
    <w:p w14:paraId="782BE09B">
      <w:pPr>
        <w:keepNext w:val="0"/>
        <w:keepLines w:val="0"/>
        <w:pageBreakBefore w:val="0"/>
        <w:kinsoku/>
        <w:wordWrap/>
        <w:overflowPunct/>
        <w:topLinePunct w:val="0"/>
        <w:autoSpaceDE/>
        <w:autoSpaceDN/>
        <w:bidi w:val="0"/>
        <w:snapToGrid w:val="0"/>
        <w:spacing w:line="336"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0"/>
          <w:sz w:val="24"/>
          <w:highlight w:val="none"/>
          <w:lang w:val="zh-CN"/>
        </w:rPr>
        <w:t>电子签章）</w:t>
      </w:r>
      <w:r>
        <w:rPr>
          <w:rFonts w:hint="eastAsia" w:ascii="仿宋" w:hAnsi="仿宋" w:eastAsia="仿宋" w:cs="仿宋"/>
          <w:color w:val="auto"/>
          <w:sz w:val="24"/>
          <w:szCs w:val="24"/>
          <w:highlight w:val="none"/>
        </w:rPr>
        <w:t xml:space="preserve">：　　　　　　　　　日期：  </w:t>
      </w:r>
    </w:p>
    <w:p w14:paraId="7B3F1D05">
      <w:pPr>
        <w:pStyle w:val="83"/>
        <w:rPr>
          <w:rFonts w:hint="eastAsia" w:ascii="仿宋" w:hAnsi="仿宋" w:eastAsia="仿宋" w:cs="仿宋"/>
          <w:color w:val="auto"/>
          <w:sz w:val="24"/>
          <w:szCs w:val="24"/>
          <w:highlight w:val="none"/>
        </w:rPr>
      </w:pPr>
    </w:p>
    <w:p w14:paraId="7E21C888">
      <w:pPr>
        <w:pStyle w:val="84"/>
        <w:rPr>
          <w:rFonts w:hint="eastAsia" w:ascii="仿宋" w:hAnsi="仿宋" w:eastAsia="仿宋" w:cs="仿宋"/>
          <w:color w:val="auto"/>
          <w:sz w:val="24"/>
          <w:szCs w:val="24"/>
          <w:highlight w:val="none"/>
        </w:rPr>
      </w:pPr>
    </w:p>
    <w:p w14:paraId="438EE98B">
      <w:pPr>
        <w:rPr>
          <w:rFonts w:hint="eastAsia" w:ascii="仿宋" w:hAnsi="仿宋" w:eastAsia="仿宋" w:cs="仿宋"/>
          <w:color w:val="auto"/>
          <w:sz w:val="24"/>
          <w:szCs w:val="24"/>
          <w:highlight w:val="none"/>
        </w:rPr>
      </w:pPr>
    </w:p>
    <w:p w14:paraId="4CB601D4">
      <w:pPr>
        <w:pStyle w:val="83"/>
        <w:rPr>
          <w:rFonts w:hint="eastAsia" w:ascii="仿宋" w:hAnsi="仿宋" w:eastAsia="仿宋" w:cs="仿宋"/>
          <w:color w:val="auto"/>
          <w:sz w:val="24"/>
          <w:szCs w:val="24"/>
          <w:highlight w:val="none"/>
        </w:rPr>
      </w:pPr>
    </w:p>
    <w:p w14:paraId="01F9A898">
      <w:pPr>
        <w:pStyle w:val="84"/>
        <w:rPr>
          <w:rFonts w:hint="eastAsia" w:ascii="仿宋" w:hAnsi="仿宋" w:eastAsia="仿宋" w:cs="仿宋"/>
          <w:color w:val="auto"/>
          <w:sz w:val="24"/>
          <w:szCs w:val="24"/>
          <w:highlight w:val="none"/>
        </w:rPr>
      </w:pPr>
    </w:p>
    <w:p w14:paraId="767E1F8C">
      <w:pPr>
        <w:keepNext w:val="0"/>
        <w:keepLines w:val="0"/>
        <w:pageBreakBefore w:val="0"/>
        <w:widowControl w:val="0"/>
        <w:kinsoku/>
        <w:wordWrap/>
        <w:overflowPunct/>
        <w:topLinePunct w:val="0"/>
        <w:autoSpaceDE/>
        <w:autoSpaceDN/>
        <w:bidi w:val="0"/>
        <w:adjustRightInd w:val="0"/>
        <w:snapToGrid w:val="0"/>
        <w:spacing w:line="360" w:lineRule="auto"/>
        <w:ind w:right="480"/>
        <w:jc w:val="center"/>
        <w:textAlignment w:val="auto"/>
        <w:rPr>
          <w:rFonts w:hint="eastAsia" w:ascii="仿宋" w:hAnsi="仿宋" w:eastAsia="仿宋" w:cs="仿宋"/>
          <w:b/>
          <w:color w:val="auto"/>
          <w:kern w:val="0"/>
          <w:sz w:val="32"/>
          <w:szCs w:val="32"/>
          <w:highlight w:val="none"/>
          <w:lang w:val="en-US" w:eastAsia="zh-CN"/>
        </w:rPr>
      </w:pPr>
    </w:p>
    <w:p w14:paraId="6AA9B594">
      <w:pPr>
        <w:keepNext w:val="0"/>
        <w:keepLines w:val="0"/>
        <w:pageBreakBefore w:val="0"/>
        <w:widowControl w:val="0"/>
        <w:kinsoku/>
        <w:wordWrap/>
        <w:overflowPunct/>
        <w:topLinePunct w:val="0"/>
        <w:autoSpaceDE/>
        <w:autoSpaceDN/>
        <w:bidi w:val="0"/>
        <w:adjustRightInd w:val="0"/>
        <w:snapToGrid w:val="0"/>
        <w:spacing w:line="360" w:lineRule="auto"/>
        <w:ind w:right="480"/>
        <w:jc w:val="center"/>
        <w:textAlignment w:val="auto"/>
        <w:rPr>
          <w:rFonts w:hint="eastAsia" w:ascii="仿宋" w:hAnsi="仿宋" w:eastAsia="仿宋" w:cs="仿宋"/>
          <w:color w:val="auto"/>
          <w:sz w:val="24"/>
          <w:highlight w:val="none"/>
        </w:rPr>
      </w:pPr>
      <w:r>
        <w:rPr>
          <w:rFonts w:hint="eastAsia" w:ascii="仿宋" w:hAnsi="仿宋" w:eastAsia="仿宋" w:cs="仿宋"/>
          <w:b/>
          <w:color w:val="auto"/>
          <w:kern w:val="0"/>
          <w:sz w:val="32"/>
          <w:szCs w:val="32"/>
          <w:highlight w:val="none"/>
          <w:lang w:val="en-US" w:eastAsia="zh-CN"/>
        </w:rPr>
        <w:t>三、法定代表人身份证明书</w:t>
      </w:r>
    </w:p>
    <w:p w14:paraId="475BE976">
      <w:pPr>
        <w:keepNext w:val="0"/>
        <w:keepLines w:val="0"/>
        <w:pageBreakBefore w:val="0"/>
        <w:widowControl w:val="0"/>
        <w:kinsoku/>
        <w:wordWrap/>
        <w:overflowPunct/>
        <w:topLinePunct w:val="0"/>
        <w:autoSpaceDE/>
        <w:autoSpaceDN/>
        <w:bidi w:val="0"/>
        <w:adjustRightInd w:val="0"/>
        <w:spacing w:line="360" w:lineRule="auto"/>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 标 人：</w:t>
      </w:r>
      <w:r>
        <w:rPr>
          <w:rFonts w:hint="eastAsia" w:ascii="仿宋" w:hAnsi="仿宋" w:eastAsia="仿宋" w:cs="仿宋"/>
          <w:color w:val="auto"/>
          <w:sz w:val="24"/>
          <w:highlight w:val="none"/>
          <w:u w:val="single"/>
        </w:rPr>
        <w:t xml:space="preserve">                          </w:t>
      </w:r>
    </w:p>
    <w:p w14:paraId="39700B50">
      <w:pPr>
        <w:keepNext w:val="0"/>
        <w:keepLines w:val="0"/>
        <w:pageBreakBefore w:val="0"/>
        <w:widowControl w:val="0"/>
        <w:kinsoku/>
        <w:wordWrap/>
        <w:overflowPunct/>
        <w:topLinePunct w:val="0"/>
        <w:autoSpaceDE/>
        <w:autoSpaceDN/>
        <w:bidi w:val="0"/>
        <w:adjustRightInd w:val="0"/>
        <w:spacing w:line="360" w:lineRule="auto"/>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single"/>
        </w:rPr>
        <w:t xml:space="preserve">                          </w:t>
      </w:r>
    </w:p>
    <w:p w14:paraId="01D77BCF">
      <w:pPr>
        <w:keepNext w:val="0"/>
        <w:keepLines w:val="0"/>
        <w:pageBreakBefore w:val="0"/>
        <w:widowControl w:val="0"/>
        <w:kinsoku/>
        <w:wordWrap/>
        <w:overflowPunct/>
        <w:topLinePunct w:val="0"/>
        <w:autoSpaceDE/>
        <w:autoSpaceDN/>
        <w:bidi w:val="0"/>
        <w:adjustRightInd w:val="0"/>
        <w:spacing w:line="360" w:lineRule="auto"/>
        <w:ind w:right="281" w:rightChars="134"/>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姓    名：</w:t>
      </w:r>
      <w:r>
        <w:rPr>
          <w:rFonts w:hint="eastAsia" w:ascii="仿宋" w:hAnsi="仿宋" w:eastAsia="仿宋" w:cs="仿宋"/>
          <w:color w:val="auto"/>
          <w:sz w:val="24"/>
          <w:highlight w:val="none"/>
          <w:u w:val="single"/>
        </w:rPr>
        <w:t xml:space="preserve">                          </w:t>
      </w:r>
    </w:p>
    <w:p w14:paraId="6496C281">
      <w:pPr>
        <w:keepNext w:val="0"/>
        <w:keepLines w:val="0"/>
        <w:pageBreakBefore w:val="0"/>
        <w:widowControl w:val="0"/>
        <w:kinsoku/>
        <w:wordWrap/>
        <w:overflowPunct/>
        <w:topLinePunct w:val="0"/>
        <w:autoSpaceDE/>
        <w:autoSpaceDN/>
        <w:bidi w:val="0"/>
        <w:adjustRightInd w:val="0"/>
        <w:spacing w:line="360" w:lineRule="auto"/>
        <w:ind w:right="281" w:rightChars="134"/>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身份证号码：</w:t>
      </w:r>
      <w:r>
        <w:rPr>
          <w:rFonts w:hint="eastAsia" w:ascii="仿宋" w:hAnsi="仿宋" w:eastAsia="仿宋" w:cs="仿宋"/>
          <w:color w:val="auto"/>
          <w:sz w:val="24"/>
          <w:highlight w:val="none"/>
          <w:u w:val="single"/>
        </w:rPr>
        <w:t xml:space="preserve">                        </w:t>
      </w:r>
    </w:p>
    <w:p w14:paraId="5E43B648">
      <w:pPr>
        <w:keepNext w:val="0"/>
        <w:keepLines w:val="0"/>
        <w:pageBreakBefore w:val="0"/>
        <w:widowControl w:val="0"/>
        <w:kinsoku/>
        <w:wordWrap/>
        <w:overflowPunct/>
        <w:topLinePunct w:val="0"/>
        <w:autoSpaceDE/>
        <w:autoSpaceDN/>
        <w:bidi w:val="0"/>
        <w:adjustRightInd w:val="0"/>
        <w:spacing w:line="360" w:lineRule="auto"/>
        <w:ind w:right="281" w:rightChars="134"/>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职   务：</w:t>
      </w:r>
      <w:r>
        <w:rPr>
          <w:rFonts w:hint="eastAsia" w:ascii="仿宋" w:hAnsi="仿宋" w:eastAsia="仿宋" w:cs="仿宋"/>
          <w:color w:val="auto"/>
          <w:sz w:val="24"/>
          <w:highlight w:val="none"/>
          <w:u w:val="single"/>
        </w:rPr>
        <w:t xml:space="preserve">                           </w:t>
      </w:r>
    </w:p>
    <w:p w14:paraId="4363DD3F">
      <w:pPr>
        <w:keepNext w:val="0"/>
        <w:keepLines w:val="0"/>
        <w:pageBreakBefore w:val="0"/>
        <w:widowControl w:val="0"/>
        <w:kinsoku/>
        <w:wordWrap/>
        <w:overflowPunct/>
        <w:topLinePunct w:val="0"/>
        <w:autoSpaceDE/>
        <w:autoSpaceDN/>
        <w:bidi w:val="0"/>
        <w:adjustRightInd w:val="0"/>
        <w:spacing w:line="360" w:lineRule="auto"/>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系</w:t>
      </w:r>
      <w:r>
        <w:rPr>
          <w:rFonts w:hint="eastAsia" w:ascii="仿宋" w:hAnsi="仿宋" w:eastAsia="仿宋" w:cs="仿宋"/>
          <w:color w:val="auto"/>
          <w:sz w:val="24"/>
          <w:highlight w:val="none"/>
          <w:u w:val="single"/>
        </w:rPr>
        <w:t xml:space="preserve">            （填写投标人名称）</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的法定代表人。</w:t>
      </w:r>
    </w:p>
    <w:p w14:paraId="05915E9C">
      <w:pPr>
        <w:keepNext w:val="0"/>
        <w:keepLines w:val="0"/>
        <w:pageBreakBefore w:val="0"/>
        <w:widowControl w:val="0"/>
        <w:kinsoku/>
        <w:wordWrap/>
        <w:overflowPunct/>
        <w:topLinePunct w:val="0"/>
        <w:autoSpaceDE/>
        <w:autoSpaceDN/>
        <w:bidi w:val="0"/>
        <w:adjustRightInd w:val="0"/>
        <w:spacing w:line="360" w:lineRule="auto"/>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特此证明。</w:t>
      </w:r>
    </w:p>
    <w:p w14:paraId="213E2AF8">
      <w:pPr>
        <w:keepNext w:val="0"/>
        <w:keepLines w:val="0"/>
        <w:pageBreakBefore w:val="0"/>
        <w:widowControl w:val="0"/>
        <w:kinsoku/>
        <w:wordWrap/>
        <w:overflowPunct/>
        <w:topLinePunct w:val="0"/>
        <w:autoSpaceDE/>
        <w:autoSpaceDN/>
        <w:bidi w:val="0"/>
        <w:adjustRightInd w:val="0"/>
        <w:spacing w:line="360" w:lineRule="auto"/>
        <w:textAlignment w:val="auto"/>
        <w:rPr>
          <w:rFonts w:hint="eastAsia" w:ascii="仿宋" w:hAnsi="仿宋" w:eastAsia="仿宋" w:cs="仿宋"/>
          <w:color w:val="auto"/>
          <w:sz w:val="24"/>
          <w:highlight w:val="none"/>
        </w:rPr>
      </w:pPr>
    </w:p>
    <w:p w14:paraId="7DC79603">
      <w:pPr>
        <w:keepNext w:val="0"/>
        <w:keepLines w:val="0"/>
        <w:pageBreakBefore w:val="0"/>
        <w:widowControl w:val="0"/>
        <w:kinsoku/>
        <w:wordWrap/>
        <w:overflowPunct/>
        <w:topLinePunct w:val="0"/>
        <w:autoSpaceDE/>
        <w:autoSpaceDN/>
        <w:bidi w:val="0"/>
        <w:adjustRightInd w:val="0"/>
        <w:spacing w:line="360" w:lineRule="auto"/>
        <w:jc w:val="right"/>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投标人</w:t>
      </w:r>
      <w:r>
        <w:rPr>
          <w:rFonts w:hint="eastAsia" w:ascii="仿宋" w:hAnsi="仿宋" w:eastAsia="仿宋" w:cs="仿宋"/>
          <w:color w:val="auto"/>
          <w:sz w:val="24"/>
          <w:highlight w:val="none"/>
          <w:lang w:eastAsia="zh-CN"/>
        </w:rPr>
        <w:t>名称</w:t>
      </w:r>
      <w:r>
        <w:rPr>
          <w:rFonts w:hint="eastAsia" w:ascii="仿宋" w:hAnsi="仿宋" w:eastAsia="仿宋" w:cs="仿宋"/>
          <w:color w:val="auto"/>
          <w:sz w:val="24"/>
          <w:highlight w:val="none"/>
        </w:rPr>
        <w:t>（</w:t>
      </w:r>
      <w:r>
        <w:rPr>
          <w:rFonts w:hint="eastAsia" w:ascii="仿宋" w:hAnsi="仿宋" w:eastAsia="仿宋" w:cs="仿宋"/>
          <w:color w:val="auto"/>
          <w:kern w:val="0"/>
          <w:sz w:val="24"/>
          <w:highlight w:val="none"/>
          <w:lang w:val="zh-CN"/>
        </w:rPr>
        <w:t>电子签章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w:t>
      </w:r>
    </w:p>
    <w:p w14:paraId="46831761">
      <w:pPr>
        <w:keepNext w:val="0"/>
        <w:keepLines w:val="0"/>
        <w:pageBreakBefore w:val="0"/>
        <w:widowControl w:val="0"/>
        <w:kinsoku/>
        <w:wordWrap/>
        <w:overflowPunct/>
        <w:topLinePunct w:val="0"/>
        <w:autoSpaceDE/>
        <w:autoSpaceDN/>
        <w:bidi w:val="0"/>
        <w:adjustRightInd w:val="0"/>
        <w:spacing w:line="360" w:lineRule="auto"/>
        <w:jc w:val="righ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法定代表人（签字或盖章）：        </w:t>
      </w:r>
    </w:p>
    <w:p w14:paraId="606694E7">
      <w:pPr>
        <w:keepNext w:val="0"/>
        <w:keepLines w:val="0"/>
        <w:pageBreakBefore w:val="0"/>
        <w:widowControl w:val="0"/>
        <w:kinsoku/>
        <w:wordWrap/>
        <w:overflowPunct/>
        <w:topLinePunct w:val="0"/>
        <w:autoSpaceDE/>
        <w:autoSpaceDN/>
        <w:bidi w:val="0"/>
        <w:adjustRightInd w:val="0"/>
        <w:snapToGrid w:val="0"/>
        <w:spacing w:line="360" w:lineRule="auto"/>
        <w:ind w:right="480"/>
        <w:jc w:val="right"/>
        <w:textAlignment w:val="auto"/>
        <w:rPr>
          <w:rFonts w:hint="eastAsia" w:ascii="仿宋" w:hAnsi="仿宋" w:eastAsia="仿宋" w:cs="仿宋"/>
          <w:b/>
          <w:color w:val="auto"/>
          <w:kern w:val="0"/>
          <w:sz w:val="32"/>
          <w:szCs w:val="32"/>
          <w:highlight w:val="none"/>
          <w:lang w:val="en-US" w:eastAsia="zh-CN"/>
        </w:rPr>
      </w:pPr>
      <w:r>
        <w:rPr>
          <w:rFonts w:hint="eastAsia" w:ascii="仿宋" w:hAnsi="仿宋" w:eastAsia="仿宋" w:cs="仿宋"/>
          <w:color w:val="auto"/>
          <w:sz w:val="24"/>
          <w:highlight w:val="none"/>
        </w:rPr>
        <w:t>年   月   日</w:t>
      </w:r>
    </w:p>
    <w:p w14:paraId="4263764D">
      <w:pPr>
        <w:snapToGrid w:val="0"/>
        <w:spacing w:line="360" w:lineRule="auto"/>
        <w:ind w:right="480"/>
        <w:jc w:val="center"/>
        <w:rPr>
          <w:rFonts w:hint="eastAsia" w:ascii="仿宋" w:hAnsi="仿宋" w:eastAsia="仿宋" w:cs="仿宋"/>
          <w:b/>
          <w:color w:val="auto"/>
          <w:kern w:val="0"/>
          <w:sz w:val="32"/>
          <w:szCs w:val="32"/>
          <w:highlight w:val="none"/>
          <w:lang w:val="en-US" w:eastAsia="zh-CN"/>
        </w:rPr>
      </w:pPr>
    </w:p>
    <w:p w14:paraId="5887A67C">
      <w:pPr>
        <w:snapToGrid w:val="0"/>
        <w:spacing w:line="360" w:lineRule="auto"/>
        <w:ind w:right="480"/>
        <w:jc w:val="both"/>
        <w:rPr>
          <w:rFonts w:hint="eastAsia" w:ascii="仿宋" w:hAnsi="仿宋" w:eastAsia="仿宋" w:cs="仿宋"/>
          <w:b/>
          <w:color w:val="auto"/>
          <w:kern w:val="0"/>
          <w:sz w:val="32"/>
          <w:szCs w:val="32"/>
          <w:highlight w:val="none"/>
          <w:lang w:val="en-US" w:eastAsia="zh-CN"/>
        </w:rPr>
      </w:pPr>
    </w:p>
    <w:p w14:paraId="47DBA379">
      <w:pPr>
        <w:keepNext w:val="0"/>
        <w:keepLines w:val="0"/>
        <w:pageBreakBefore w:val="0"/>
        <w:widowControl w:val="0"/>
        <w:kinsoku/>
        <w:wordWrap/>
        <w:overflowPunct/>
        <w:topLinePunct w:val="0"/>
        <w:autoSpaceDE/>
        <w:autoSpaceDN/>
        <w:bidi w:val="0"/>
        <w:adjustRightInd w:val="0"/>
        <w:snapToGrid w:val="0"/>
        <w:spacing w:line="360" w:lineRule="auto"/>
        <w:ind w:right="480"/>
        <w:jc w:val="center"/>
        <w:textAlignment w:val="auto"/>
        <w:rPr>
          <w:rFonts w:hint="eastAsia" w:ascii="仿宋" w:hAnsi="仿宋" w:eastAsia="仿宋" w:cs="仿宋"/>
          <w:color w:val="auto"/>
          <w:sz w:val="24"/>
          <w:highlight w:val="none"/>
        </w:rPr>
      </w:pPr>
      <w:r>
        <w:rPr>
          <w:rFonts w:hint="eastAsia" w:ascii="仿宋" w:hAnsi="仿宋" w:eastAsia="仿宋" w:cs="仿宋"/>
          <w:b/>
          <w:color w:val="auto"/>
          <w:kern w:val="0"/>
          <w:sz w:val="32"/>
          <w:szCs w:val="32"/>
          <w:highlight w:val="none"/>
          <w:lang w:val="en-US" w:eastAsia="zh-CN"/>
        </w:rPr>
        <w:t>四、法定代表人授权委托书（若委托）</w:t>
      </w:r>
    </w:p>
    <w:p w14:paraId="56145149">
      <w:pPr>
        <w:snapToGrid w:val="0"/>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本授权委托书声明：我</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rPr>
        <w:t>填写姓名</w:t>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rPr>
        <w:t>系</w:t>
      </w:r>
      <w:r>
        <w:rPr>
          <w:rFonts w:hint="eastAsia" w:ascii="仿宋" w:hAnsi="仿宋" w:eastAsia="仿宋" w:cs="仿宋"/>
          <w:color w:val="auto"/>
          <w:sz w:val="24"/>
          <w:highlight w:val="none"/>
          <w:u w:val="single"/>
        </w:rPr>
        <w:t xml:space="preserve">                   （填写投标人单位全称）</w:t>
      </w:r>
      <w:r>
        <w:rPr>
          <w:rFonts w:hint="eastAsia" w:ascii="仿宋" w:hAnsi="仿宋" w:eastAsia="仿宋" w:cs="仿宋"/>
          <w:color w:val="auto"/>
          <w:sz w:val="24"/>
          <w:highlight w:val="none"/>
        </w:rPr>
        <w:t>的法定代表人，现授权委托</w:t>
      </w:r>
      <w:r>
        <w:rPr>
          <w:rFonts w:hint="eastAsia" w:ascii="仿宋" w:hAnsi="仿宋" w:eastAsia="仿宋" w:cs="仿宋"/>
          <w:color w:val="auto"/>
          <w:sz w:val="24"/>
          <w:highlight w:val="none"/>
          <w:u w:val="single"/>
        </w:rPr>
        <w:t xml:space="preserve">                  （填写单位全称）</w:t>
      </w:r>
      <w:r>
        <w:rPr>
          <w:rFonts w:hint="eastAsia" w:ascii="仿宋" w:hAnsi="仿宋" w:eastAsia="仿宋" w:cs="仿宋"/>
          <w:color w:val="auto"/>
          <w:sz w:val="24"/>
          <w:highlight w:val="none"/>
        </w:rPr>
        <w:t>的（填写姓名）为我公司授权代表，</w:t>
      </w:r>
      <w:r>
        <w:rPr>
          <w:rFonts w:hint="eastAsia" w:ascii="仿宋" w:hAnsi="仿宋" w:eastAsia="仿宋" w:cs="仿宋"/>
          <w:color w:val="auto"/>
          <w:sz w:val="24"/>
          <w:highlight w:val="none"/>
          <w:u w:val="single"/>
        </w:rPr>
        <w:t>（填写身份证号码：                       ）</w:t>
      </w:r>
      <w:r>
        <w:rPr>
          <w:rFonts w:hint="eastAsia" w:ascii="仿宋" w:hAnsi="仿宋" w:eastAsia="仿宋" w:cs="仿宋"/>
          <w:color w:val="auto"/>
          <w:sz w:val="24"/>
          <w:highlight w:val="none"/>
        </w:rPr>
        <w:t>。以本公司的名义参加</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组织的</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投标活动。授权代表在开标、评标、合同谈判过程中所签署的一切文件和处理与之有关的一切事务，我均予以承认。</w:t>
      </w:r>
    </w:p>
    <w:p w14:paraId="7263EBDE">
      <w:pPr>
        <w:snapToGrid w:val="0"/>
        <w:spacing w:line="56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在撤销授权的书面通知以前，本授权书一直有效。全权代表在授权书有效期内签署的所有文件不因授权的撤销而失效。</w:t>
      </w:r>
    </w:p>
    <w:p w14:paraId="65D1C530">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授权代表无转委托权。特此委托。</w:t>
      </w:r>
    </w:p>
    <w:p w14:paraId="0C698716">
      <w:pPr>
        <w:snapToGrid w:val="0"/>
        <w:spacing w:line="600" w:lineRule="exact"/>
        <w:jc w:val="left"/>
        <w:rPr>
          <w:rFonts w:hint="eastAsia" w:ascii="仿宋" w:hAnsi="仿宋" w:eastAsia="仿宋" w:cs="仿宋"/>
          <w:color w:val="auto"/>
          <w:sz w:val="24"/>
          <w:highlight w:val="none"/>
        </w:rPr>
      </w:pPr>
    </w:p>
    <w:p w14:paraId="3BFB456A">
      <w:pPr>
        <w:keepNext w:val="0"/>
        <w:keepLines w:val="0"/>
        <w:pageBreakBefore w:val="0"/>
        <w:kinsoku/>
        <w:wordWrap/>
        <w:overflowPunct/>
        <w:topLinePunct w:val="0"/>
        <w:autoSpaceDE/>
        <w:autoSpaceDN/>
        <w:bidi w:val="0"/>
        <w:adjustRightInd w:val="0"/>
        <w:spacing w:line="360" w:lineRule="auto"/>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授权代表（签字或盖章）：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性别：               年龄：</w:t>
      </w:r>
    </w:p>
    <w:p w14:paraId="26C648BE">
      <w:pPr>
        <w:keepNext w:val="0"/>
        <w:keepLines w:val="0"/>
        <w:pageBreakBefore w:val="0"/>
        <w:kinsoku/>
        <w:wordWrap/>
        <w:overflowPunct/>
        <w:topLinePunct w:val="0"/>
        <w:autoSpaceDE/>
        <w:autoSpaceDN/>
        <w:bidi w:val="0"/>
        <w:adjustRightInd w:val="0"/>
        <w:spacing w:line="360" w:lineRule="auto"/>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单位：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部门：               职务：</w:t>
      </w:r>
    </w:p>
    <w:p w14:paraId="456E289D">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 xml:space="preserve">办公地址：                  </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rPr>
        <w:t>联系电话：           传真：</w:t>
      </w:r>
    </w:p>
    <w:p w14:paraId="60D8F786">
      <w:pPr>
        <w:keepNext w:val="0"/>
        <w:keepLines w:val="0"/>
        <w:pageBreakBefore w:val="0"/>
        <w:kinsoku/>
        <w:wordWrap/>
        <w:overflowPunct/>
        <w:topLinePunct w:val="0"/>
        <w:autoSpaceDE/>
        <w:autoSpaceDN/>
        <w:bidi w:val="0"/>
        <w:adjustRightInd w:val="0"/>
        <w:spacing w:line="360" w:lineRule="auto"/>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w:t>
      </w:r>
      <w:r>
        <w:rPr>
          <w:rFonts w:hint="eastAsia" w:ascii="仿宋" w:hAnsi="仿宋" w:eastAsia="仿宋" w:cs="仿宋"/>
          <w:color w:val="auto"/>
          <w:kern w:val="0"/>
          <w:sz w:val="24"/>
          <w:highlight w:val="none"/>
          <w:lang w:val="zh-CN"/>
        </w:rPr>
        <w:t>电子签章</w:t>
      </w:r>
      <w:r>
        <w:rPr>
          <w:rFonts w:hint="eastAsia" w:ascii="仿宋" w:hAnsi="仿宋" w:eastAsia="仿宋" w:cs="仿宋"/>
          <w:color w:val="auto"/>
          <w:sz w:val="24"/>
          <w:highlight w:val="none"/>
        </w:rPr>
        <w:t>）：</w:t>
      </w:r>
    </w:p>
    <w:p w14:paraId="480E7367">
      <w:pPr>
        <w:keepNext w:val="0"/>
        <w:keepLines w:val="0"/>
        <w:pageBreakBefore w:val="0"/>
        <w:kinsoku/>
        <w:wordWrap/>
        <w:overflowPunct/>
        <w:topLinePunct w:val="0"/>
        <w:autoSpaceDE/>
        <w:autoSpaceDN/>
        <w:bidi w:val="0"/>
        <w:adjustRightInd w:val="0"/>
        <w:spacing w:line="360" w:lineRule="auto"/>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法定代表人（签字或盖章）：</w:t>
      </w:r>
    </w:p>
    <w:p w14:paraId="5E628E39">
      <w:pPr>
        <w:spacing w:line="360" w:lineRule="exact"/>
        <w:rPr>
          <w:rFonts w:hint="eastAsia" w:ascii="仿宋" w:hAnsi="仿宋" w:eastAsia="仿宋" w:cs="仿宋"/>
          <w:color w:val="auto"/>
          <w:sz w:val="24"/>
          <w:highlight w:val="none"/>
        </w:rPr>
      </w:pPr>
    </w:p>
    <w:p w14:paraId="0FE90527">
      <w:pPr>
        <w:snapToGrid w:val="0"/>
        <w:spacing w:line="360" w:lineRule="auto"/>
        <w:ind w:right="480"/>
        <w:jc w:val="right"/>
        <w:rPr>
          <w:rFonts w:hint="eastAsia" w:ascii="仿宋" w:hAnsi="仿宋" w:eastAsia="仿宋" w:cs="仿宋"/>
          <w:b/>
          <w:color w:val="auto"/>
          <w:kern w:val="0"/>
          <w:sz w:val="32"/>
          <w:szCs w:val="32"/>
          <w:highlight w:val="none"/>
          <w:lang w:val="en-US" w:eastAsia="zh-CN"/>
        </w:rPr>
      </w:pPr>
      <w:r>
        <w:rPr>
          <w:rFonts w:hint="eastAsia" w:ascii="仿宋" w:hAnsi="仿宋" w:eastAsia="仿宋" w:cs="仿宋"/>
          <w:color w:val="auto"/>
          <w:sz w:val="24"/>
          <w:highlight w:val="none"/>
        </w:rPr>
        <w:t>日期：    年   月   日</w:t>
      </w:r>
    </w:p>
    <w:p w14:paraId="5FA52280">
      <w:pPr>
        <w:snapToGrid w:val="0"/>
        <w:spacing w:line="360" w:lineRule="auto"/>
        <w:ind w:right="480"/>
        <w:jc w:val="both"/>
        <w:rPr>
          <w:rFonts w:hint="eastAsia" w:ascii="仿宋" w:hAnsi="仿宋" w:eastAsia="仿宋" w:cs="仿宋"/>
          <w:b/>
          <w:color w:val="auto"/>
          <w:kern w:val="0"/>
          <w:sz w:val="32"/>
          <w:szCs w:val="32"/>
          <w:highlight w:val="none"/>
          <w:lang w:val="en-US" w:eastAsia="zh-CN"/>
        </w:rPr>
      </w:pPr>
      <w:r>
        <w:rPr>
          <w:rFonts w:hint="eastAsia" w:ascii="仿宋" w:hAnsi="仿宋" w:eastAsia="仿宋" w:cs="仿宋"/>
          <w:b/>
          <w:bCs/>
          <w:color w:val="auto"/>
          <w:sz w:val="24"/>
          <w:szCs w:val="24"/>
          <w:highlight w:val="none"/>
        </w:rPr>
        <w:t>附：法人身份证复印件及授权人身份证复印件。</w:t>
      </w:r>
    </w:p>
    <w:p w14:paraId="5710FE69">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b/>
          <w:bCs w:val="0"/>
          <w:color w:val="auto"/>
          <w:kern w:val="0"/>
          <w:sz w:val="24"/>
          <w:szCs w:val="24"/>
          <w:highlight w:val="none"/>
          <w:lang w:val="en-US" w:eastAsia="zh-CN"/>
        </w:rPr>
      </w:pPr>
    </w:p>
    <w:p w14:paraId="0E393BE2">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b/>
          <w:bCs w:val="0"/>
          <w:color w:val="auto"/>
          <w:kern w:val="0"/>
          <w:sz w:val="24"/>
          <w:szCs w:val="24"/>
          <w:highlight w:val="none"/>
          <w:lang w:val="en-US" w:eastAsia="zh-CN"/>
        </w:rPr>
      </w:pPr>
    </w:p>
    <w:p w14:paraId="4AD2DD5D">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b/>
          <w:bCs w:val="0"/>
          <w:color w:val="auto"/>
          <w:kern w:val="0"/>
          <w:sz w:val="24"/>
          <w:szCs w:val="24"/>
          <w:highlight w:val="none"/>
          <w:lang w:val="en-US" w:eastAsia="zh-CN"/>
        </w:rPr>
      </w:pPr>
    </w:p>
    <w:p w14:paraId="38B9969F">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b/>
          <w:bCs w:val="0"/>
          <w:color w:val="auto"/>
          <w:kern w:val="0"/>
          <w:sz w:val="24"/>
          <w:szCs w:val="24"/>
          <w:highlight w:val="none"/>
          <w:lang w:val="en-US" w:eastAsia="zh-CN"/>
        </w:rPr>
      </w:pPr>
    </w:p>
    <w:p w14:paraId="5EE1A3C8">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b/>
          <w:bCs w:val="0"/>
          <w:color w:val="auto"/>
          <w:kern w:val="0"/>
          <w:sz w:val="24"/>
          <w:szCs w:val="24"/>
          <w:highlight w:val="none"/>
          <w:lang w:val="en-US" w:eastAsia="zh-CN"/>
        </w:rPr>
      </w:pPr>
    </w:p>
    <w:p w14:paraId="118FF356">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b/>
          <w:bCs w:val="0"/>
          <w:color w:val="auto"/>
          <w:kern w:val="0"/>
          <w:sz w:val="24"/>
          <w:szCs w:val="24"/>
          <w:highlight w:val="none"/>
          <w:lang w:val="en-US" w:eastAsia="zh-CN"/>
        </w:rPr>
      </w:pPr>
    </w:p>
    <w:p w14:paraId="4F474C8A">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b/>
          <w:bCs w:val="0"/>
          <w:color w:val="auto"/>
          <w:kern w:val="0"/>
          <w:sz w:val="24"/>
          <w:szCs w:val="24"/>
          <w:highlight w:val="none"/>
          <w:lang w:val="en-US" w:eastAsia="zh-CN"/>
        </w:rPr>
      </w:pPr>
    </w:p>
    <w:p w14:paraId="6B2DB51D">
      <w:pPr>
        <w:jc w:val="center"/>
        <w:rPr>
          <w:rFonts w:hint="eastAsia" w:ascii="仿宋" w:hAnsi="仿宋" w:eastAsia="仿宋" w:cs="仿宋"/>
          <w:b/>
          <w:color w:val="auto"/>
          <w:kern w:val="0"/>
          <w:sz w:val="32"/>
          <w:szCs w:val="32"/>
          <w:highlight w:val="none"/>
          <w:lang w:val="en-US" w:eastAsia="zh-CN"/>
        </w:rPr>
      </w:pPr>
      <w:r>
        <w:rPr>
          <w:rFonts w:hint="eastAsia" w:ascii="仿宋" w:hAnsi="仿宋" w:eastAsia="仿宋" w:cs="仿宋"/>
          <w:b/>
          <w:bCs w:val="0"/>
          <w:color w:val="auto"/>
          <w:kern w:val="0"/>
          <w:sz w:val="32"/>
          <w:szCs w:val="32"/>
          <w:highlight w:val="none"/>
          <w:lang w:val="en-US" w:eastAsia="zh-CN"/>
        </w:rPr>
        <w:t>五、评分索引表</w:t>
      </w:r>
    </w:p>
    <w:tbl>
      <w:tblPr>
        <w:tblStyle w:val="65"/>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559"/>
        <w:gridCol w:w="2127"/>
        <w:gridCol w:w="992"/>
        <w:gridCol w:w="1276"/>
        <w:gridCol w:w="1134"/>
      </w:tblGrid>
      <w:tr w14:paraId="750FB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exact"/>
          <w:jc w:val="center"/>
        </w:trPr>
        <w:tc>
          <w:tcPr>
            <w:tcW w:w="1384" w:type="dxa"/>
            <w:noWrap w:val="0"/>
            <w:vAlign w:val="center"/>
          </w:tcPr>
          <w:p w14:paraId="7FBF3861">
            <w:pPr>
              <w:adjustRightInd/>
              <w:spacing w:line="380" w:lineRule="exact"/>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559" w:type="dxa"/>
            <w:noWrap w:val="0"/>
            <w:vAlign w:val="center"/>
          </w:tcPr>
          <w:p w14:paraId="67A46D17">
            <w:pPr>
              <w:adjustRightInd/>
              <w:spacing w:line="380" w:lineRule="exact"/>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评审内容</w:t>
            </w:r>
          </w:p>
        </w:tc>
        <w:tc>
          <w:tcPr>
            <w:tcW w:w="2127" w:type="dxa"/>
            <w:noWrap w:val="0"/>
            <w:vAlign w:val="center"/>
          </w:tcPr>
          <w:p w14:paraId="7DF894BE">
            <w:pPr>
              <w:adjustRightInd/>
              <w:spacing w:line="380" w:lineRule="exact"/>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评分细则及要求</w:t>
            </w:r>
          </w:p>
        </w:tc>
        <w:tc>
          <w:tcPr>
            <w:tcW w:w="992" w:type="dxa"/>
            <w:noWrap w:val="0"/>
            <w:vAlign w:val="center"/>
          </w:tcPr>
          <w:p w14:paraId="1AF32F70">
            <w:pPr>
              <w:adjustRightInd/>
              <w:spacing w:line="380" w:lineRule="exact"/>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分值</w:t>
            </w:r>
          </w:p>
        </w:tc>
        <w:tc>
          <w:tcPr>
            <w:tcW w:w="1276" w:type="dxa"/>
            <w:noWrap w:val="0"/>
            <w:vAlign w:val="center"/>
          </w:tcPr>
          <w:p w14:paraId="5AE7DFA0">
            <w:pPr>
              <w:adjustRightInd/>
              <w:spacing w:line="380" w:lineRule="exact"/>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对应页码</w:t>
            </w:r>
          </w:p>
        </w:tc>
        <w:tc>
          <w:tcPr>
            <w:tcW w:w="1134" w:type="dxa"/>
            <w:noWrap w:val="0"/>
            <w:vAlign w:val="center"/>
          </w:tcPr>
          <w:p w14:paraId="11F3183E">
            <w:pPr>
              <w:adjustRightInd/>
              <w:spacing w:line="380" w:lineRule="exact"/>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自评分</w:t>
            </w:r>
          </w:p>
        </w:tc>
      </w:tr>
      <w:tr w14:paraId="490B3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384" w:type="dxa"/>
            <w:noWrap w:val="0"/>
            <w:vAlign w:val="center"/>
          </w:tcPr>
          <w:p w14:paraId="5D76D1B8">
            <w:pPr>
              <w:adjustRightInd/>
              <w:spacing w:line="380" w:lineRule="exact"/>
              <w:jc w:val="center"/>
              <w:outlineLvl w:val="9"/>
              <w:rPr>
                <w:rFonts w:hint="eastAsia" w:ascii="仿宋" w:hAnsi="仿宋" w:eastAsia="仿宋" w:cs="仿宋"/>
                <w:color w:val="auto"/>
                <w:sz w:val="24"/>
                <w:szCs w:val="24"/>
                <w:highlight w:val="none"/>
              </w:rPr>
            </w:pPr>
          </w:p>
        </w:tc>
        <w:tc>
          <w:tcPr>
            <w:tcW w:w="1559" w:type="dxa"/>
            <w:noWrap w:val="0"/>
            <w:vAlign w:val="center"/>
          </w:tcPr>
          <w:p w14:paraId="7CA4E217">
            <w:pPr>
              <w:adjustRightInd/>
              <w:spacing w:line="380" w:lineRule="exact"/>
              <w:jc w:val="center"/>
              <w:outlineLvl w:val="9"/>
              <w:rPr>
                <w:rFonts w:hint="eastAsia" w:ascii="仿宋" w:hAnsi="仿宋" w:eastAsia="仿宋" w:cs="仿宋"/>
                <w:color w:val="auto"/>
                <w:sz w:val="24"/>
                <w:szCs w:val="24"/>
                <w:highlight w:val="none"/>
              </w:rPr>
            </w:pPr>
          </w:p>
        </w:tc>
        <w:tc>
          <w:tcPr>
            <w:tcW w:w="2127" w:type="dxa"/>
            <w:noWrap w:val="0"/>
            <w:vAlign w:val="center"/>
          </w:tcPr>
          <w:p w14:paraId="5EB1BD28">
            <w:pPr>
              <w:adjustRightInd/>
              <w:spacing w:line="380" w:lineRule="exact"/>
              <w:jc w:val="center"/>
              <w:outlineLvl w:val="9"/>
              <w:rPr>
                <w:rFonts w:hint="eastAsia" w:ascii="仿宋" w:hAnsi="仿宋" w:eastAsia="仿宋" w:cs="仿宋"/>
                <w:color w:val="auto"/>
                <w:sz w:val="24"/>
                <w:szCs w:val="24"/>
                <w:highlight w:val="none"/>
              </w:rPr>
            </w:pPr>
          </w:p>
        </w:tc>
        <w:tc>
          <w:tcPr>
            <w:tcW w:w="992" w:type="dxa"/>
            <w:noWrap w:val="0"/>
            <w:vAlign w:val="center"/>
          </w:tcPr>
          <w:p w14:paraId="3BFFB515">
            <w:pPr>
              <w:adjustRightInd/>
              <w:spacing w:line="380" w:lineRule="exact"/>
              <w:jc w:val="center"/>
              <w:outlineLvl w:val="9"/>
              <w:rPr>
                <w:rFonts w:hint="eastAsia" w:ascii="仿宋" w:hAnsi="仿宋" w:eastAsia="仿宋" w:cs="仿宋"/>
                <w:color w:val="auto"/>
                <w:sz w:val="24"/>
                <w:szCs w:val="24"/>
                <w:highlight w:val="none"/>
              </w:rPr>
            </w:pPr>
          </w:p>
        </w:tc>
        <w:tc>
          <w:tcPr>
            <w:tcW w:w="1276" w:type="dxa"/>
            <w:noWrap w:val="0"/>
            <w:vAlign w:val="center"/>
          </w:tcPr>
          <w:p w14:paraId="5F676A0F">
            <w:pPr>
              <w:adjustRightInd/>
              <w:spacing w:line="380" w:lineRule="exact"/>
              <w:jc w:val="center"/>
              <w:outlineLvl w:val="9"/>
              <w:rPr>
                <w:rFonts w:hint="eastAsia" w:ascii="仿宋" w:hAnsi="仿宋" w:eastAsia="仿宋" w:cs="仿宋"/>
                <w:color w:val="auto"/>
                <w:sz w:val="24"/>
                <w:szCs w:val="24"/>
                <w:highlight w:val="none"/>
              </w:rPr>
            </w:pPr>
          </w:p>
        </w:tc>
        <w:tc>
          <w:tcPr>
            <w:tcW w:w="1134" w:type="dxa"/>
            <w:noWrap w:val="0"/>
            <w:vAlign w:val="center"/>
          </w:tcPr>
          <w:p w14:paraId="61BED50E">
            <w:pPr>
              <w:adjustRightInd/>
              <w:spacing w:line="380" w:lineRule="exact"/>
              <w:jc w:val="center"/>
              <w:outlineLvl w:val="9"/>
              <w:rPr>
                <w:rFonts w:hint="eastAsia" w:ascii="仿宋" w:hAnsi="仿宋" w:eastAsia="仿宋" w:cs="仿宋"/>
                <w:color w:val="auto"/>
                <w:sz w:val="24"/>
                <w:szCs w:val="24"/>
                <w:highlight w:val="none"/>
              </w:rPr>
            </w:pPr>
          </w:p>
        </w:tc>
      </w:tr>
      <w:tr w14:paraId="3FE27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384" w:type="dxa"/>
            <w:noWrap w:val="0"/>
            <w:vAlign w:val="center"/>
          </w:tcPr>
          <w:p w14:paraId="4AC50FC5">
            <w:pPr>
              <w:adjustRightInd/>
              <w:spacing w:line="380" w:lineRule="exact"/>
              <w:jc w:val="center"/>
              <w:outlineLvl w:val="9"/>
              <w:rPr>
                <w:rFonts w:hint="eastAsia" w:ascii="仿宋" w:hAnsi="仿宋" w:eastAsia="仿宋" w:cs="仿宋"/>
                <w:color w:val="auto"/>
                <w:sz w:val="24"/>
                <w:szCs w:val="24"/>
                <w:highlight w:val="none"/>
              </w:rPr>
            </w:pPr>
          </w:p>
        </w:tc>
        <w:tc>
          <w:tcPr>
            <w:tcW w:w="1559" w:type="dxa"/>
            <w:noWrap w:val="0"/>
            <w:vAlign w:val="center"/>
          </w:tcPr>
          <w:p w14:paraId="0A6CF145">
            <w:pPr>
              <w:adjustRightInd/>
              <w:spacing w:line="380" w:lineRule="exact"/>
              <w:jc w:val="center"/>
              <w:outlineLvl w:val="9"/>
              <w:rPr>
                <w:rFonts w:hint="eastAsia" w:ascii="仿宋" w:hAnsi="仿宋" w:eastAsia="仿宋" w:cs="仿宋"/>
                <w:color w:val="auto"/>
                <w:sz w:val="24"/>
                <w:szCs w:val="24"/>
                <w:highlight w:val="none"/>
              </w:rPr>
            </w:pPr>
          </w:p>
        </w:tc>
        <w:tc>
          <w:tcPr>
            <w:tcW w:w="2127" w:type="dxa"/>
            <w:noWrap w:val="0"/>
            <w:vAlign w:val="center"/>
          </w:tcPr>
          <w:p w14:paraId="2C9C49ED">
            <w:pPr>
              <w:adjustRightInd/>
              <w:spacing w:line="380" w:lineRule="exact"/>
              <w:jc w:val="center"/>
              <w:outlineLvl w:val="9"/>
              <w:rPr>
                <w:rFonts w:hint="eastAsia" w:ascii="仿宋" w:hAnsi="仿宋" w:eastAsia="仿宋" w:cs="仿宋"/>
                <w:color w:val="auto"/>
                <w:sz w:val="24"/>
                <w:szCs w:val="24"/>
                <w:highlight w:val="none"/>
              </w:rPr>
            </w:pPr>
          </w:p>
        </w:tc>
        <w:tc>
          <w:tcPr>
            <w:tcW w:w="992" w:type="dxa"/>
            <w:noWrap w:val="0"/>
            <w:vAlign w:val="center"/>
          </w:tcPr>
          <w:p w14:paraId="11EE8586">
            <w:pPr>
              <w:adjustRightInd/>
              <w:spacing w:line="380" w:lineRule="exact"/>
              <w:jc w:val="center"/>
              <w:outlineLvl w:val="9"/>
              <w:rPr>
                <w:rFonts w:hint="eastAsia" w:ascii="仿宋" w:hAnsi="仿宋" w:eastAsia="仿宋" w:cs="仿宋"/>
                <w:color w:val="auto"/>
                <w:sz w:val="24"/>
                <w:szCs w:val="24"/>
                <w:highlight w:val="none"/>
              </w:rPr>
            </w:pPr>
          </w:p>
        </w:tc>
        <w:tc>
          <w:tcPr>
            <w:tcW w:w="1276" w:type="dxa"/>
            <w:noWrap w:val="0"/>
            <w:vAlign w:val="center"/>
          </w:tcPr>
          <w:p w14:paraId="15339D5A">
            <w:pPr>
              <w:adjustRightInd/>
              <w:spacing w:line="380" w:lineRule="exact"/>
              <w:jc w:val="center"/>
              <w:outlineLvl w:val="9"/>
              <w:rPr>
                <w:rFonts w:hint="eastAsia" w:ascii="仿宋" w:hAnsi="仿宋" w:eastAsia="仿宋" w:cs="仿宋"/>
                <w:color w:val="auto"/>
                <w:sz w:val="24"/>
                <w:szCs w:val="24"/>
                <w:highlight w:val="none"/>
              </w:rPr>
            </w:pPr>
          </w:p>
        </w:tc>
        <w:tc>
          <w:tcPr>
            <w:tcW w:w="1134" w:type="dxa"/>
            <w:noWrap w:val="0"/>
            <w:vAlign w:val="center"/>
          </w:tcPr>
          <w:p w14:paraId="0A0E0282">
            <w:pPr>
              <w:adjustRightInd/>
              <w:spacing w:line="380" w:lineRule="exact"/>
              <w:jc w:val="center"/>
              <w:outlineLvl w:val="9"/>
              <w:rPr>
                <w:rFonts w:hint="eastAsia" w:ascii="仿宋" w:hAnsi="仿宋" w:eastAsia="仿宋" w:cs="仿宋"/>
                <w:color w:val="auto"/>
                <w:sz w:val="24"/>
                <w:szCs w:val="24"/>
                <w:highlight w:val="none"/>
              </w:rPr>
            </w:pPr>
          </w:p>
        </w:tc>
      </w:tr>
      <w:tr w14:paraId="3B0EC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384" w:type="dxa"/>
            <w:noWrap w:val="0"/>
            <w:vAlign w:val="center"/>
          </w:tcPr>
          <w:p w14:paraId="4EB63EA4">
            <w:pPr>
              <w:adjustRightInd/>
              <w:spacing w:line="380" w:lineRule="exact"/>
              <w:jc w:val="center"/>
              <w:outlineLvl w:val="9"/>
              <w:rPr>
                <w:rFonts w:hint="eastAsia" w:ascii="仿宋" w:hAnsi="仿宋" w:eastAsia="仿宋" w:cs="仿宋"/>
                <w:color w:val="auto"/>
                <w:sz w:val="24"/>
                <w:szCs w:val="24"/>
                <w:highlight w:val="none"/>
              </w:rPr>
            </w:pPr>
          </w:p>
        </w:tc>
        <w:tc>
          <w:tcPr>
            <w:tcW w:w="1559" w:type="dxa"/>
            <w:noWrap w:val="0"/>
            <w:vAlign w:val="center"/>
          </w:tcPr>
          <w:p w14:paraId="3CBDC5F6">
            <w:pPr>
              <w:adjustRightInd/>
              <w:spacing w:line="380" w:lineRule="exact"/>
              <w:jc w:val="center"/>
              <w:outlineLvl w:val="9"/>
              <w:rPr>
                <w:rFonts w:hint="eastAsia" w:ascii="仿宋" w:hAnsi="仿宋" w:eastAsia="仿宋" w:cs="仿宋"/>
                <w:color w:val="auto"/>
                <w:sz w:val="24"/>
                <w:szCs w:val="24"/>
                <w:highlight w:val="none"/>
              </w:rPr>
            </w:pPr>
          </w:p>
        </w:tc>
        <w:tc>
          <w:tcPr>
            <w:tcW w:w="2127" w:type="dxa"/>
            <w:noWrap w:val="0"/>
            <w:vAlign w:val="center"/>
          </w:tcPr>
          <w:p w14:paraId="220420B6">
            <w:pPr>
              <w:adjustRightInd/>
              <w:spacing w:line="380" w:lineRule="exact"/>
              <w:jc w:val="center"/>
              <w:outlineLvl w:val="9"/>
              <w:rPr>
                <w:rFonts w:hint="eastAsia" w:ascii="仿宋" w:hAnsi="仿宋" w:eastAsia="仿宋" w:cs="仿宋"/>
                <w:color w:val="auto"/>
                <w:sz w:val="24"/>
                <w:szCs w:val="24"/>
                <w:highlight w:val="none"/>
              </w:rPr>
            </w:pPr>
          </w:p>
        </w:tc>
        <w:tc>
          <w:tcPr>
            <w:tcW w:w="992" w:type="dxa"/>
            <w:noWrap w:val="0"/>
            <w:vAlign w:val="center"/>
          </w:tcPr>
          <w:p w14:paraId="7A185D84">
            <w:pPr>
              <w:adjustRightInd/>
              <w:spacing w:line="380" w:lineRule="exact"/>
              <w:jc w:val="center"/>
              <w:outlineLvl w:val="9"/>
              <w:rPr>
                <w:rFonts w:hint="eastAsia" w:ascii="仿宋" w:hAnsi="仿宋" w:eastAsia="仿宋" w:cs="仿宋"/>
                <w:color w:val="auto"/>
                <w:sz w:val="24"/>
                <w:szCs w:val="24"/>
                <w:highlight w:val="none"/>
              </w:rPr>
            </w:pPr>
          </w:p>
        </w:tc>
        <w:tc>
          <w:tcPr>
            <w:tcW w:w="1276" w:type="dxa"/>
            <w:noWrap w:val="0"/>
            <w:vAlign w:val="center"/>
          </w:tcPr>
          <w:p w14:paraId="460AF96C">
            <w:pPr>
              <w:adjustRightInd/>
              <w:spacing w:line="380" w:lineRule="exact"/>
              <w:jc w:val="center"/>
              <w:outlineLvl w:val="9"/>
              <w:rPr>
                <w:rFonts w:hint="eastAsia" w:ascii="仿宋" w:hAnsi="仿宋" w:eastAsia="仿宋" w:cs="仿宋"/>
                <w:color w:val="auto"/>
                <w:sz w:val="24"/>
                <w:szCs w:val="24"/>
                <w:highlight w:val="none"/>
              </w:rPr>
            </w:pPr>
          </w:p>
        </w:tc>
        <w:tc>
          <w:tcPr>
            <w:tcW w:w="1134" w:type="dxa"/>
            <w:noWrap w:val="0"/>
            <w:vAlign w:val="center"/>
          </w:tcPr>
          <w:p w14:paraId="292F3BEA">
            <w:pPr>
              <w:adjustRightInd/>
              <w:spacing w:line="380" w:lineRule="exact"/>
              <w:jc w:val="center"/>
              <w:outlineLvl w:val="9"/>
              <w:rPr>
                <w:rFonts w:hint="eastAsia" w:ascii="仿宋" w:hAnsi="仿宋" w:eastAsia="仿宋" w:cs="仿宋"/>
                <w:color w:val="auto"/>
                <w:sz w:val="24"/>
                <w:szCs w:val="24"/>
                <w:highlight w:val="none"/>
              </w:rPr>
            </w:pPr>
          </w:p>
        </w:tc>
      </w:tr>
      <w:tr w14:paraId="248CC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384" w:type="dxa"/>
            <w:noWrap w:val="0"/>
            <w:vAlign w:val="center"/>
          </w:tcPr>
          <w:p w14:paraId="41199F81">
            <w:pPr>
              <w:adjustRightInd/>
              <w:spacing w:line="380" w:lineRule="exact"/>
              <w:jc w:val="center"/>
              <w:outlineLvl w:val="9"/>
              <w:rPr>
                <w:rFonts w:hint="eastAsia" w:ascii="仿宋" w:hAnsi="仿宋" w:eastAsia="仿宋" w:cs="仿宋"/>
                <w:color w:val="auto"/>
                <w:sz w:val="24"/>
                <w:szCs w:val="24"/>
                <w:highlight w:val="none"/>
              </w:rPr>
            </w:pPr>
          </w:p>
        </w:tc>
        <w:tc>
          <w:tcPr>
            <w:tcW w:w="1559" w:type="dxa"/>
            <w:noWrap w:val="0"/>
            <w:vAlign w:val="center"/>
          </w:tcPr>
          <w:p w14:paraId="7475BA48">
            <w:pPr>
              <w:adjustRightInd/>
              <w:spacing w:line="380" w:lineRule="exact"/>
              <w:jc w:val="center"/>
              <w:outlineLvl w:val="9"/>
              <w:rPr>
                <w:rFonts w:hint="eastAsia" w:ascii="仿宋" w:hAnsi="仿宋" w:eastAsia="仿宋" w:cs="仿宋"/>
                <w:color w:val="auto"/>
                <w:sz w:val="24"/>
                <w:szCs w:val="24"/>
                <w:highlight w:val="none"/>
              </w:rPr>
            </w:pPr>
          </w:p>
        </w:tc>
        <w:tc>
          <w:tcPr>
            <w:tcW w:w="2127" w:type="dxa"/>
            <w:noWrap w:val="0"/>
            <w:vAlign w:val="center"/>
          </w:tcPr>
          <w:p w14:paraId="4F76FAAC">
            <w:pPr>
              <w:adjustRightInd/>
              <w:spacing w:line="380" w:lineRule="exact"/>
              <w:jc w:val="center"/>
              <w:outlineLvl w:val="9"/>
              <w:rPr>
                <w:rFonts w:hint="eastAsia" w:ascii="仿宋" w:hAnsi="仿宋" w:eastAsia="仿宋" w:cs="仿宋"/>
                <w:color w:val="auto"/>
                <w:sz w:val="24"/>
                <w:szCs w:val="24"/>
                <w:highlight w:val="none"/>
              </w:rPr>
            </w:pPr>
          </w:p>
        </w:tc>
        <w:tc>
          <w:tcPr>
            <w:tcW w:w="992" w:type="dxa"/>
            <w:noWrap w:val="0"/>
            <w:vAlign w:val="center"/>
          </w:tcPr>
          <w:p w14:paraId="2DB2B0D4">
            <w:pPr>
              <w:adjustRightInd/>
              <w:spacing w:line="380" w:lineRule="exact"/>
              <w:jc w:val="center"/>
              <w:outlineLvl w:val="9"/>
              <w:rPr>
                <w:rFonts w:hint="eastAsia" w:ascii="仿宋" w:hAnsi="仿宋" w:eastAsia="仿宋" w:cs="仿宋"/>
                <w:color w:val="auto"/>
                <w:sz w:val="24"/>
                <w:szCs w:val="24"/>
                <w:highlight w:val="none"/>
              </w:rPr>
            </w:pPr>
          </w:p>
        </w:tc>
        <w:tc>
          <w:tcPr>
            <w:tcW w:w="1276" w:type="dxa"/>
            <w:noWrap w:val="0"/>
            <w:vAlign w:val="center"/>
          </w:tcPr>
          <w:p w14:paraId="606D8873">
            <w:pPr>
              <w:adjustRightInd/>
              <w:spacing w:line="380" w:lineRule="exact"/>
              <w:jc w:val="center"/>
              <w:outlineLvl w:val="9"/>
              <w:rPr>
                <w:rFonts w:hint="eastAsia" w:ascii="仿宋" w:hAnsi="仿宋" w:eastAsia="仿宋" w:cs="仿宋"/>
                <w:color w:val="auto"/>
                <w:sz w:val="24"/>
                <w:szCs w:val="24"/>
                <w:highlight w:val="none"/>
              </w:rPr>
            </w:pPr>
          </w:p>
        </w:tc>
        <w:tc>
          <w:tcPr>
            <w:tcW w:w="1134" w:type="dxa"/>
            <w:noWrap w:val="0"/>
            <w:vAlign w:val="center"/>
          </w:tcPr>
          <w:p w14:paraId="28E411FE">
            <w:pPr>
              <w:adjustRightInd/>
              <w:spacing w:line="380" w:lineRule="exact"/>
              <w:jc w:val="center"/>
              <w:outlineLvl w:val="9"/>
              <w:rPr>
                <w:rFonts w:hint="eastAsia" w:ascii="仿宋" w:hAnsi="仿宋" w:eastAsia="仿宋" w:cs="仿宋"/>
                <w:color w:val="auto"/>
                <w:sz w:val="24"/>
                <w:szCs w:val="24"/>
                <w:highlight w:val="none"/>
              </w:rPr>
            </w:pPr>
          </w:p>
        </w:tc>
      </w:tr>
      <w:tr w14:paraId="3B94C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384" w:type="dxa"/>
            <w:noWrap w:val="0"/>
            <w:vAlign w:val="center"/>
          </w:tcPr>
          <w:p w14:paraId="393B38BD">
            <w:pPr>
              <w:adjustRightInd/>
              <w:spacing w:line="380" w:lineRule="exact"/>
              <w:jc w:val="center"/>
              <w:outlineLvl w:val="9"/>
              <w:rPr>
                <w:rFonts w:hint="eastAsia" w:ascii="仿宋" w:hAnsi="仿宋" w:eastAsia="仿宋" w:cs="仿宋"/>
                <w:color w:val="auto"/>
                <w:sz w:val="24"/>
                <w:szCs w:val="24"/>
                <w:highlight w:val="none"/>
              </w:rPr>
            </w:pPr>
          </w:p>
        </w:tc>
        <w:tc>
          <w:tcPr>
            <w:tcW w:w="1559" w:type="dxa"/>
            <w:noWrap w:val="0"/>
            <w:vAlign w:val="center"/>
          </w:tcPr>
          <w:p w14:paraId="228A487E">
            <w:pPr>
              <w:adjustRightInd/>
              <w:spacing w:line="380" w:lineRule="exact"/>
              <w:jc w:val="center"/>
              <w:outlineLvl w:val="9"/>
              <w:rPr>
                <w:rFonts w:hint="eastAsia" w:ascii="仿宋" w:hAnsi="仿宋" w:eastAsia="仿宋" w:cs="仿宋"/>
                <w:color w:val="auto"/>
                <w:sz w:val="24"/>
                <w:szCs w:val="24"/>
                <w:highlight w:val="none"/>
              </w:rPr>
            </w:pPr>
          </w:p>
        </w:tc>
        <w:tc>
          <w:tcPr>
            <w:tcW w:w="2127" w:type="dxa"/>
            <w:noWrap w:val="0"/>
            <w:vAlign w:val="center"/>
          </w:tcPr>
          <w:p w14:paraId="2F257D90">
            <w:pPr>
              <w:adjustRightInd/>
              <w:spacing w:line="380" w:lineRule="exact"/>
              <w:jc w:val="center"/>
              <w:outlineLvl w:val="9"/>
              <w:rPr>
                <w:rFonts w:hint="eastAsia" w:ascii="仿宋" w:hAnsi="仿宋" w:eastAsia="仿宋" w:cs="仿宋"/>
                <w:color w:val="auto"/>
                <w:sz w:val="24"/>
                <w:szCs w:val="24"/>
                <w:highlight w:val="none"/>
              </w:rPr>
            </w:pPr>
          </w:p>
        </w:tc>
        <w:tc>
          <w:tcPr>
            <w:tcW w:w="992" w:type="dxa"/>
            <w:noWrap w:val="0"/>
            <w:vAlign w:val="center"/>
          </w:tcPr>
          <w:p w14:paraId="31A6166C">
            <w:pPr>
              <w:adjustRightInd/>
              <w:spacing w:line="380" w:lineRule="exact"/>
              <w:jc w:val="center"/>
              <w:outlineLvl w:val="9"/>
              <w:rPr>
                <w:rFonts w:hint="eastAsia" w:ascii="仿宋" w:hAnsi="仿宋" w:eastAsia="仿宋" w:cs="仿宋"/>
                <w:color w:val="auto"/>
                <w:sz w:val="24"/>
                <w:szCs w:val="24"/>
                <w:highlight w:val="none"/>
              </w:rPr>
            </w:pPr>
          </w:p>
        </w:tc>
        <w:tc>
          <w:tcPr>
            <w:tcW w:w="1276" w:type="dxa"/>
            <w:noWrap w:val="0"/>
            <w:vAlign w:val="center"/>
          </w:tcPr>
          <w:p w14:paraId="37439AF6">
            <w:pPr>
              <w:adjustRightInd/>
              <w:spacing w:line="380" w:lineRule="exact"/>
              <w:jc w:val="center"/>
              <w:outlineLvl w:val="9"/>
              <w:rPr>
                <w:rFonts w:hint="eastAsia" w:ascii="仿宋" w:hAnsi="仿宋" w:eastAsia="仿宋" w:cs="仿宋"/>
                <w:color w:val="auto"/>
                <w:sz w:val="24"/>
                <w:szCs w:val="24"/>
                <w:highlight w:val="none"/>
              </w:rPr>
            </w:pPr>
          </w:p>
        </w:tc>
        <w:tc>
          <w:tcPr>
            <w:tcW w:w="1134" w:type="dxa"/>
            <w:noWrap w:val="0"/>
            <w:vAlign w:val="center"/>
          </w:tcPr>
          <w:p w14:paraId="4A4F72ED">
            <w:pPr>
              <w:adjustRightInd/>
              <w:spacing w:line="380" w:lineRule="exact"/>
              <w:jc w:val="center"/>
              <w:outlineLvl w:val="9"/>
              <w:rPr>
                <w:rFonts w:hint="eastAsia" w:ascii="仿宋" w:hAnsi="仿宋" w:eastAsia="仿宋" w:cs="仿宋"/>
                <w:color w:val="auto"/>
                <w:sz w:val="24"/>
                <w:szCs w:val="24"/>
                <w:highlight w:val="none"/>
              </w:rPr>
            </w:pPr>
          </w:p>
        </w:tc>
      </w:tr>
    </w:tbl>
    <w:p w14:paraId="621B5B58">
      <w:pPr>
        <w:keepNext w:val="0"/>
        <w:keepLines w:val="0"/>
        <w:pageBreakBefore w:val="0"/>
        <w:widowControl w:val="0"/>
        <w:kinsoku/>
        <w:wordWrap/>
        <w:overflowPunct/>
        <w:topLinePunct w:val="0"/>
        <w:autoSpaceDE/>
        <w:autoSpaceDN/>
        <w:bidi w:val="0"/>
        <w:adjustRightInd w:val="0"/>
        <w:snapToGrid/>
        <w:spacing w:line="360" w:lineRule="auto"/>
        <w:ind w:firstLine="240" w:firstLineChars="100"/>
        <w:jc w:val="both"/>
        <w:textAlignment w:val="auto"/>
        <w:rPr>
          <w:rFonts w:hint="eastAsia" w:ascii="仿宋" w:hAnsi="仿宋" w:eastAsia="仿宋" w:cs="仿宋"/>
          <w:b/>
          <w:color w:val="auto"/>
          <w:kern w:val="0"/>
          <w:sz w:val="32"/>
          <w:szCs w:val="32"/>
          <w:highlight w:val="none"/>
          <w:lang w:eastAsia="zh-CN"/>
        </w:rPr>
      </w:pPr>
      <w:r>
        <w:rPr>
          <w:rFonts w:hint="eastAsia" w:ascii="仿宋" w:hAnsi="仿宋" w:eastAsia="仿宋" w:cs="仿宋"/>
          <w:b w:val="0"/>
          <w:bCs/>
          <w:color w:val="auto"/>
          <w:kern w:val="0"/>
          <w:sz w:val="24"/>
          <w:szCs w:val="24"/>
          <w:highlight w:val="none"/>
          <w:lang w:val="en-US" w:eastAsia="zh-CN"/>
        </w:rPr>
        <w:t>对应第四部分评标方法及标准（报价除外）</w:t>
      </w:r>
    </w:p>
    <w:p w14:paraId="7AF9CEE6">
      <w:pPr>
        <w:keepNext w:val="0"/>
        <w:keepLines w:val="0"/>
        <w:pageBreakBefore w:val="0"/>
        <w:widowControl w:val="0"/>
        <w:kinsoku/>
        <w:wordWrap/>
        <w:overflowPunct/>
        <w:topLinePunct w:val="0"/>
        <w:autoSpaceDE/>
        <w:autoSpaceDN/>
        <w:bidi w:val="0"/>
        <w:adjustRightInd w:val="0"/>
        <w:snapToGrid/>
        <w:spacing w:line="360" w:lineRule="auto"/>
        <w:jc w:val="both"/>
        <w:textAlignment w:val="auto"/>
        <w:rPr>
          <w:rFonts w:hint="eastAsia" w:ascii="仿宋" w:hAnsi="仿宋" w:eastAsia="仿宋" w:cs="仿宋"/>
          <w:b/>
          <w:color w:val="auto"/>
          <w:kern w:val="0"/>
          <w:sz w:val="32"/>
          <w:szCs w:val="32"/>
          <w:highlight w:val="none"/>
          <w:lang w:eastAsia="zh-CN"/>
        </w:rPr>
      </w:pPr>
    </w:p>
    <w:p w14:paraId="4CC76EFE">
      <w:pP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br w:type="page"/>
      </w:r>
    </w:p>
    <w:p w14:paraId="1C88784F">
      <w:pPr>
        <w:widowControl/>
        <w:adjustRightInd/>
        <w:jc w:val="center"/>
        <w:rPr>
          <w:rFonts w:hint="eastAsia" w:ascii="仿宋" w:hAnsi="仿宋" w:eastAsia="仿宋" w:cs="仿宋"/>
          <w:b/>
          <w:color w:val="auto"/>
          <w:kern w:val="0"/>
          <w:sz w:val="32"/>
          <w:szCs w:val="32"/>
          <w:highlight w:val="none"/>
        </w:rPr>
      </w:pPr>
      <w:r>
        <w:rPr>
          <w:rFonts w:hint="eastAsia" w:ascii="仿宋" w:hAnsi="仿宋" w:eastAsia="仿宋" w:cs="仿宋"/>
          <w:b/>
          <w:bCs/>
          <w:color w:val="auto"/>
          <w:sz w:val="32"/>
          <w:szCs w:val="32"/>
          <w:highlight w:val="none"/>
          <w:lang w:val="en-US" w:eastAsia="zh-CN"/>
        </w:rPr>
        <w:t>六</w:t>
      </w:r>
      <w:r>
        <w:rPr>
          <w:rFonts w:hint="eastAsia" w:ascii="仿宋" w:hAnsi="仿宋" w:eastAsia="仿宋" w:cs="仿宋"/>
          <w:b/>
          <w:color w:val="auto"/>
          <w:kern w:val="0"/>
          <w:sz w:val="32"/>
          <w:szCs w:val="32"/>
          <w:highlight w:val="none"/>
        </w:rPr>
        <w:t>、</w:t>
      </w:r>
      <w:r>
        <w:rPr>
          <w:rFonts w:hint="eastAsia" w:ascii="仿宋" w:hAnsi="仿宋" w:eastAsia="仿宋" w:cs="仿宋"/>
          <w:b/>
          <w:color w:val="auto"/>
          <w:kern w:val="0"/>
          <w:sz w:val="32"/>
          <w:szCs w:val="32"/>
          <w:highlight w:val="none"/>
          <w:lang w:val="zh-CN"/>
        </w:rPr>
        <w:t>采购供应商廉洁自律承诺书</w:t>
      </w:r>
    </w:p>
    <w:p w14:paraId="410EB74D">
      <w:pPr>
        <w:snapToGrid w:val="0"/>
        <w:spacing w:line="360" w:lineRule="auto"/>
        <w:rPr>
          <w:rFonts w:hint="eastAsia" w:ascii="仿宋" w:hAnsi="仿宋" w:eastAsia="仿宋" w:cs="仿宋"/>
          <w:color w:val="auto"/>
          <w:sz w:val="24"/>
          <w:highlight w:val="none"/>
        </w:rPr>
      </w:pPr>
    </w:p>
    <w:p w14:paraId="15BA0E43">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lang w:eastAsia="zh-CN"/>
        </w:rPr>
        <w:t>嵊州市城市建设投资发展集团有限公司</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绍兴平准招标代理有限公司</w:t>
      </w:r>
      <w:r>
        <w:rPr>
          <w:rFonts w:hint="eastAsia" w:ascii="仿宋" w:hAnsi="仿宋" w:eastAsia="仿宋" w:cs="仿宋"/>
          <w:color w:val="auto"/>
          <w:kern w:val="0"/>
          <w:sz w:val="24"/>
          <w:highlight w:val="none"/>
          <w:lang w:val="zh-CN"/>
        </w:rPr>
        <w:t>：</w:t>
      </w:r>
    </w:p>
    <w:p w14:paraId="619AEAF3">
      <w:pPr>
        <w:autoSpaceDE w:val="0"/>
        <w:autoSpaceDN w:val="0"/>
        <w:spacing w:line="360" w:lineRule="auto"/>
        <w:ind w:left="2" w:leftChars="1"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我单位响应你</w:t>
      </w:r>
      <w:r>
        <w:rPr>
          <w:rFonts w:hint="eastAsia" w:ascii="仿宋" w:hAnsi="仿宋" w:eastAsia="仿宋" w:cs="仿宋"/>
          <w:color w:val="auto"/>
          <w:sz w:val="24"/>
          <w:highlight w:val="none"/>
        </w:rPr>
        <w:t>单位</w:t>
      </w:r>
      <w:r>
        <w:rPr>
          <w:rFonts w:hint="eastAsia" w:ascii="仿宋" w:hAnsi="仿宋" w:eastAsia="仿宋" w:cs="仿宋"/>
          <w:color w:val="auto"/>
          <w:kern w:val="0"/>
          <w:sz w:val="24"/>
          <w:highlight w:val="none"/>
          <w:lang w:val="zh-CN"/>
        </w:rPr>
        <w:t>项目招标要求参加投标。在这次投标过程中和中标后，我们将严格遵守国家法律法规要求，并郑重承诺：</w:t>
      </w:r>
    </w:p>
    <w:p w14:paraId="11AE08ED">
      <w:pPr>
        <w:autoSpaceDE w:val="0"/>
        <w:autoSpaceDN w:val="0"/>
        <w:spacing w:line="360" w:lineRule="auto"/>
        <w:ind w:left="2" w:leftChars="1"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一、不向项目有关人员及部门赠送礼金礼物、有价证券、回扣以及中介费、介绍费、咨询费等好处费； </w:t>
      </w:r>
    </w:p>
    <w:p w14:paraId="0AFB80AE">
      <w:pPr>
        <w:autoSpaceDE w:val="0"/>
        <w:autoSpaceDN w:val="0"/>
        <w:spacing w:line="360" w:lineRule="auto"/>
        <w:ind w:left="2" w:leftChars="1"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二、不为项目有关人员及部门报销应由你方单位或个人支付的费用； </w:t>
      </w:r>
    </w:p>
    <w:p w14:paraId="1EBD15FE">
      <w:pPr>
        <w:autoSpaceDE w:val="0"/>
        <w:autoSpaceDN w:val="0"/>
        <w:spacing w:line="360" w:lineRule="auto"/>
        <w:ind w:left="2" w:leftChars="1"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三、不向项目有关人员及部门提供有可能影响公正的宴请和健身娱乐等活动； </w:t>
      </w:r>
    </w:p>
    <w:p w14:paraId="70B52F1D">
      <w:pPr>
        <w:autoSpaceDE w:val="0"/>
        <w:autoSpaceDN w:val="0"/>
        <w:spacing w:line="360" w:lineRule="auto"/>
        <w:ind w:left="2" w:leftChars="1"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四、不为项目有关人员及部门出国（境）、旅游等提供方便；</w:t>
      </w:r>
    </w:p>
    <w:p w14:paraId="14264E3B">
      <w:pPr>
        <w:autoSpaceDE w:val="0"/>
        <w:autoSpaceDN w:val="0"/>
        <w:spacing w:line="360" w:lineRule="auto"/>
        <w:ind w:left="481" w:leftChars="229"/>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五、不为项目有关人员个人装修住房、婚丧嫁娶、配偶子女工作安排等提供</w:t>
      </w:r>
    </w:p>
    <w:p w14:paraId="141E1677">
      <w:pPr>
        <w:autoSpaceDE w:val="0"/>
        <w:autoSpaceDN w:val="0"/>
        <w:spacing w:line="360" w:lineRule="auto"/>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好处；</w:t>
      </w:r>
    </w:p>
    <w:p w14:paraId="44BAF20A">
      <w:pPr>
        <w:autoSpaceDE w:val="0"/>
        <w:autoSpaceDN w:val="0"/>
        <w:spacing w:line="360" w:lineRule="auto"/>
        <w:ind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六、严格遵守《</w:t>
      </w:r>
      <w:r>
        <w:rPr>
          <w:rFonts w:hint="eastAsia" w:ascii="仿宋" w:hAnsi="仿宋" w:eastAsia="仿宋" w:cs="仿宋"/>
          <w:color w:val="auto"/>
          <w:sz w:val="24"/>
          <w:highlight w:val="none"/>
          <w:lang w:val="zh-CN"/>
        </w:rPr>
        <w:t>中华人民共和国</w:t>
      </w:r>
      <w:r>
        <w:rPr>
          <w:rFonts w:hint="eastAsia" w:ascii="仿宋" w:hAnsi="仿宋" w:eastAsia="仿宋" w:cs="仿宋"/>
          <w:color w:val="auto"/>
          <w:kern w:val="0"/>
          <w:sz w:val="24"/>
          <w:highlight w:val="none"/>
          <w:lang w:val="zh-CN"/>
        </w:rPr>
        <w:t>招标投标法》、</w:t>
      </w:r>
      <w:r>
        <w:rPr>
          <w:rFonts w:hint="eastAsia" w:ascii="仿宋" w:hAnsi="仿宋" w:eastAsia="仿宋" w:cs="仿宋"/>
          <w:color w:val="auto"/>
          <w:sz w:val="24"/>
          <w:highlight w:val="none"/>
          <w:lang w:val="zh-CN"/>
        </w:rPr>
        <w:t>《中华人民共和国民法典》</w:t>
      </w:r>
      <w:r>
        <w:rPr>
          <w:rFonts w:hint="eastAsia" w:ascii="仿宋" w:hAnsi="仿宋" w:eastAsia="仿宋" w:cs="仿宋"/>
          <w:color w:val="auto"/>
          <w:kern w:val="0"/>
          <w:sz w:val="24"/>
          <w:highlight w:val="none"/>
          <w:lang w:val="zh-CN"/>
        </w:rPr>
        <w:t xml:space="preserve">等法律法规，诚实守信，合法经营，坚决抵制各种违法违纪行为。 </w:t>
      </w:r>
    </w:p>
    <w:p w14:paraId="79337CE4">
      <w:pPr>
        <w:autoSpaceDE w:val="0"/>
        <w:autoSpaceDN w:val="0"/>
        <w:spacing w:line="360" w:lineRule="auto"/>
        <w:ind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如违反上述承诺，你</w:t>
      </w:r>
      <w:r>
        <w:rPr>
          <w:rFonts w:hint="eastAsia" w:ascii="仿宋" w:hAnsi="仿宋" w:eastAsia="仿宋" w:cs="仿宋"/>
          <w:color w:val="auto"/>
          <w:sz w:val="24"/>
          <w:highlight w:val="none"/>
        </w:rPr>
        <w:t>单位</w:t>
      </w:r>
      <w:r>
        <w:rPr>
          <w:rFonts w:hint="eastAsia" w:ascii="仿宋" w:hAnsi="仿宋" w:eastAsia="仿宋" w:cs="仿宋"/>
          <w:color w:val="auto"/>
          <w:kern w:val="0"/>
          <w:sz w:val="24"/>
          <w:highlight w:val="none"/>
          <w:lang w:val="zh-CN"/>
        </w:rPr>
        <w:t>有权立即取消我单位投标、中标或在建项目的建设资格，有权拒绝我单位在一定时期内进入你</w:t>
      </w:r>
      <w:r>
        <w:rPr>
          <w:rFonts w:hint="eastAsia" w:ascii="仿宋" w:hAnsi="仿宋" w:eastAsia="仿宋" w:cs="仿宋"/>
          <w:color w:val="auto"/>
          <w:sz w:val="24"/>
          <w:highlight w:val="none"/>
        </w:rPr>
        <w:t>单位</w:t>
      </w:r>
      <w:r>
        <w:rPr>
          <w:rFonts w:hint="eastAsia" w:ascii="仿宋" w:hAnsi="仿宋" w:eastAsia="仿宋" w:cs="仿宋"/>
          <w:color w:val="auto"/>
          <w:kern w:val="0"/>
          <w:sz w:val="24"/>
          <w:highlight w:val="none"/>
          <w:lang w:val="zh-CN"/>
        </w:rPr>
        <w:t>进行项目建设或其他经营活动，并通报市财政局。由此引起的相应损失均由我单位承担。</w:t>
      </w:r>
    </w:p>
    <w:p w14:paraId="58FFEE52">
      <w:pPr>
        <w:autoSpaceDE w:val="0"/>
        <w:autoSpaceDN w:val="0"/>
        <w:spacing w:line="360" w:lineRule="auto"/>
        <w:ind w:left="2"/>
        <w:jc w:val="left"/>
        <w:rPr>
          <w:rFonts w:hint="eastAsia" w:ascii="仿宋" w:hAnsi="仿宋" w:eastAsia="仿宋" w:cs="仿宋"/>
          <w:color w:val="auto"/>
          <w:kern w:val="0"/>
          <w:sz w:val="24"/>
          <w:highlight w:val="none"/>
          <w:lang w:val="zh-CN"/>
        </w:rPr>
      </w:pPr>
    </w:p>
    <w:p w14:paraId="255BA4B4">
      <w:pPr>
        <w:autoSpaceDE w:val="0"/>
        <w:autoSpaceDN w:val="0"/>
        <w:spacing w:line="360" w:lineRule="auto"/>
        <w:ind w:left="2"/>
        <w:jc w:val="left"/>
        <w:rPr>
          <w:rFonts w:hint="eastAsia" w:ascii="仿宋" w:hAnsi="仿宋" w:eastAsia="仿宋" w:cs="仿宋"/>
          <w:color w:val="auto"/>
          <w:kern w:val="0"/>
          <w:sz w:val="24"/>
          <w:highlight w:val="none"/>
          <w:lang w:val="zh-CN"/>
        </w:rPr>
      </w:pPr>
    </w:p>
    <w:p w14:paraId="5CAB6D46">
      <w:pPr>
        <w:autoSpaceDE w:val="0"/>
        <w:autoSpaceDN w:val="0"/>
        <w:spacing w:line="360" w:lineRule="auto"/>
        <w:ind w:left="2"/>
        <w:jc w:val="left"/>
        <w:rPr>
          <w:rFonts w:hint="eastAsia" w:ascii="仿宋" w:hAnsi="仿宋" w:eastAsia="仿宋" w:cs="仿宋"/>
          <w:color w:val="auto"/>
          <w:kern w:val="0"/>
          <w:sz w:val="24"/>
          <w:highlight w:val="none"/>
          <w:lang w:val="zh-CN"/>
        </w:rPr>
      </w:pPr>
    </w:p>
    <w:p w14:paraId="0CABED69">
      <w:pPr>
        <w:autoSpaceDE w:val="0"/>
        <w:autoSpaceDN w:val="0"/>
        <w:spacing w:line="360" w:lineRule="auto"/>
        <w:ind w:left="2" w:leftChars="1" w:right="1120" w:firstLine="4560" w:firstLineChars="19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投标人名称（</w:t>
      </w:r>
      <w:r>
        <w:rPr>
          <w:rFonts w:hint="eastAsia" w:ascii="仿宋" w:hAnsi="仿宋" w:eastAsia="仿宋" w:cs="仿宋"/>
          <w:color w:val="auto"/>
          <w:sz w:val="24"/>
          <w:highlight w:val="none"/>
          <w:lang w:eastAsia="zh-CN"/>
        </w:rPr>
        <w:t>电子签章</w:t>
      </w:r>
      <w:r>
        <w:rPr>
          <w:rFonts w:hint="eastAsia" w:ascii="仿宋" w:hAnsi="仿宋" w:eastAsia="仿宋" w:cs="仿宋"/>
          <w:color w:val="auto"/>
          <w:kern w:val="0"/>
          <w:sz w:val="24"/>
          <w:highlight w:val="none"/>
          <w:lang w:val="zh-CN"/>
        </w:rPr>
        <w:t xml:space="preserve">）：                                                                                                                                                                                                               </w:t>
      </w:r>
    </w:p>
    <w:p w14:paraId="665B0D10">
      <w:pPr>
        <w:spacing w:line="360" w:lineRule="auto"/>
        <w:ind w:left="4620" w:leftChars="22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val="zh-CN"/>
        </w:rPr>
        <w:t>日期</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zh-CN"/>
        </w:rPr>
        <w:t xml:space="preserve">   年   月   日</w:t>
      </w:r>
    </w:p>
    <w:p w14:paraId="57319593">
      <w:pPr>
        <w:spacing w:line="360" w:lineRule="auto"/>
        <w:jc w:val="center"/>
        <w:rPr>
          <w:rFonts w:hint="eastAsia" w:ascii="仿宋" w:hAnsi="仿宋" w:eastAsia="仿宋" w:cs="仿宋"/>
          <w:b/>
          <w:bCs/>
          <w:color w:val="auto"/>
          <w:sz w:val="24"/>
          <w:highlight w:val="none"/>
        </w:rPr>
      </w:pPr>
    </w:p>
    <w:p w14:paraId="10BD2E04">
      <w:pPr>
        <w:spacing w:line="360" w:lineRule="auto"/>
        <w:ind w:right="420"/>
        <w:rPr>
          <w:rFonts w:hint="eastAsia" w:ascii="仿宋" w:hAnsi="仿宋" w:eastAsia="仿宋" w:cs="仿宋"/>
          <w:color w:val="auto"/>
          <w:sz w:val="24"/>
          <w:highlight w:val="none"/>
        </w:rPr>
      </w:pPr>
      <w:r>
        <w:rPr>
          <w:rFonts w:hint="eastAsia" w:ascii="仿宋" w:hAnsi="仿宋" w:eastAsia="仿宋" w:cs="仿宋"/>
          <w:color w:val="auto"/>
          <w:sz w:val="24"/>
          <w:highlight w:val="none"/>
        </w:rPr>
        <w:t>注：按本格式和要求提供。</w:t>
      </w:r>
    </w:p>
    <w:p w14:paraId="50CC46B1">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jc w:val="center"/>
        <w:textAlignment w:val="auto"/>
        <w:rPr>
          <w:rFonts w:hint="eastAsia" w:ascii="仿宋" w:hAnsi="仿宋" w:eastAsia="仿宋" w:cs="仿宋"/>
          <w:b/>
          <w:color w:val="auto"/>
          <w:kern w:val="0"/>
          <w:sz w:val="32"/>
          <w:szCs w:val="32"/>
          <w:highlight w:val="none"/>
          <w:lang w:val="en-US" w:eastAsia="zh-CN"/>
        </w:rPr>
      </w:pPr>
    </w:p>
    <w:p w14:paraId="4C617EB1">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jc w:val="center"/>
        <w:textAlignment w:val="auto"/>
        <w:rPr>
          <w:rFonts w:hint="eastAsia" w:ascii="仿宋" w:hAnsi="仿宋" w:eastAsia="仿宋" w:cs="仿宋"/>
          <w:b/>
          <w:color w:val="auto"/>
          <w:kern w:val="0"/>
          <w:sz w:val="32"/>
          <w:szCs w:val="32"/>
          <w:highlight w:val="none"/>
          <w:lang w:val="en-US" w:eastAsia="zh-CN"/>
        </w:rPr>
      </w:pPr>
    </w:p>
    <w:p w14:paraId="460FE699">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jc w:val="center"/>
        <w:textAlignment w:val="auto"/>
        <w:rPr>
          <w:rFonts w:hint="eastAsia" w:ascii="仿宋" w:hAnsi="仿宋" w:eastAsia="仿宋" w:cs="仿宋"/>
          <w:b/>
          <w:color w:val="auto"/>
          <w:kern w:val="0"/>
          <w:sz w:val="32"/>
          <w:szCs w:val="32"/>
          <w:highlight w:val="none"/>
          <w:lang w:val="en-US" w:eastAsia="zh-CN"/>
        </w:rPr>
      </w:pPr>
    </w:p>
    <w:p w14:paraId="06537FFC">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jc w:val="center"/>
        <w:textAlignment w:val="auto"/>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lang w:val="en-US" w:eastAsia="zh-CN"/>
        </w:rPr>
        <w:t>七、</w:t>
      </w:r>
      <w:r>
        <w:rPr>
          <w:rFonts w:hint="eastAsia" w:ascii="仿宋" w:hAnsi="仿宋" w:eastAsia="仿宋" w:cs="仿宋"/>
          <w:b/>
          <w:color w:val="auto"/>
          <w:kern w:val="0"/>
          <w:sz w:val="32"/>
          <w:szCs w:val="32"/>
          <w:highlight w:val="none"/>
        </w:rPr>
        <w:t>资信及商务响应表</w:t>
      </w:r>
    </w:p>
    <w:p w14:paraId="31C451B2">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jc w:val="center"/>
        <w:textAlignment w:val="auto"/>
        <w:rPr>
          <w:rFonts w:hint="eastAsia" w:ascii="仿宋" w:hAnsi="仿宋" w:eastAsia="仿宋" w:cs="仿宋"/>
          <w:b/>
          <w:color w:val="auto"/>
          <w:kern w:val="0"/>
          <w:sz w:val="32"/>
          <w:szCs w:val="32"/>
          <w:highlight w:val="none"/>
        </w:rPr>
      </w:pPr>
      <w:r>
        <w:rPr>
          <w:rFonts w:hint="eastAsia" w:ascii="仿宋" w:hAnsi="仿宋" w:eastAsia="仿宋" w:cs="仿宋"/>
          <w:color w:val="auto"/>
          <w:sz w:val="24"/>
          <w:highlight w:val="none"/>
        </w:rPr>
        <w:t>（由投标人根据采购需求及招标文件要求编制）</w:t>
      </w:r>
    </w:p>
    <w:tbl>
      <w:tblPr>
        <w:tblStyle w:val="66"/>
        <w:tblW w:w="9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590"/>
        <w:gridCol w:w="2754"/>
        <w:gridCol w:w="2835"/>
        <w:gridCol w:w="1260"/>
      </w:tblGrid>
      <w:tr w14:paraId="6DB64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2" w:type="dxa"/>
            <w:vAlign w:val="center"/>
          </w:tcPr>
          <w:p w14:paraId="5A3807E1">
            <w:pPr>
              <w:adjustRightInd/>
              <w:spacing w:line="380" w:lineRule="exact"/>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590" w:type="dxa"/>
            <w:vAlign w:val="center"/>
          </w:tcPr>
          <w:p w14:paraId="61B3C678">
            <w:pPr>
              <w:adjustRightInd/>
              <w:spacing w:line="380" w:lineRule="exact"/>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名称</w:t>
            </w:r>
          </w:p>
        </w:tc>
        <w:tc>
          <w:tcPr>
            <w:tcW w:w="2754" w:type="dxa"/>
            <w:vAlign w:val="center"/>
          </w:tcPr>
          <w:p w14:paraId="7B201477">
            <w:pPr>
              <w:adjustRightInd/>
              <w:spacing w:line="380" w:lineRule="exact"/>
              <w:jc w:val="center"/>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招标文件</w:t>
            </w:r>
            <w:r>
              <w:rPr>
                <w:rFonts w:hint="eastAsia" w:ascii="仿宋" w:hAnsi="仿宋" w:eastAsia="仿宋" w:cs="仿宋"/>
                <w:color w:val="auto"/>
                <w:sz w:val="24"/>
                <w:szCs w:val="24"/>
                <w:highlight w:val="none"/>
                <w:lang w:val="en-US" w:eastAsia="zh-CN"/>
              </w:rPr>
              <w:t>要求</w:t>
            </w:r>
          </w:p>
        </w:tc>
        <w:tc>
          <w:tcPr>
            <w:tcW w:w="2835" w:type="dxa"/>
            <w:vAlign w:val="center"/>
          </w:tcPr>
          <w:p w14:paraId="47F40670">
            <w:pPr>
              <w:adjustRightInd/>
              <w:spacing w:line="380" w:lineRule="exact"/>
              <w:jc w:val="center"/>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投标文件</w:t>
            </w:r>
            <w:r>
              <w:rPr>
                <w:rFonts w:hint="eastAsia" w:ascii="仿宋" w:hAnsi="仿宋" w:eastAsia="仿宋" w:cs="仿宋"/>
                <w:color w:val="auto"/>
                <w:sz w:val="24"/>
                <w:szCs w:val="24"/>
                <w:highlight w:val="none"/>
                <w:lang w:val="en-US" w:eastAsia="zh-CN"/>
              </w:rPr>
              <w:t>响应</w:t>
            </w:r>
          </w:p>
        </w:tc>
        <w:tc>
          <w:tcPr>
            <w:tcW w:w="1260" w:type="dxa"/>
            <w:vAlign w:val="center"/>
          </w:tcPr>
          <w:p w14:paraId="677360F0">
            <w:pPr>
              <w:adjustRightInd/>
              <w:spacing w:line="380" w:lineRule="exact"/>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偏离说明</w:t>
            </w:r>
          </w:p>
        </w:tc>
      </w:tr>
      <w:tr w14:paraId="3CEBD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2" w:type="dxa"/>
            <w:vAlign w:val="center"/>
          </w:tcPr>
          <w:p w14:paraId="702E4F5C">
            <w:pPr>
              <w:adjustRightInd/>
              <w:spacing w:line="380" w:lineRule="exact"/>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590" w:type="dxa"/>
            <w:vAlign w:val="center"/>
          </w:tcPr>
          <w:p w14:paraId="214D18E2">
            <w:pPr>
              <w:keepNext w:val="0"/>
              <w:keepLines w:val="0"/>
              <w:pageBreakBefore w:val="0"/>
              <w:kinsoku/>
              <w:wordWrap/>
              <w:overflowPunct/>
              <w:topLinePunct w:val="0"/>
              <w:autoSpaceDE/>
              <w:autoSpaceDN/>
              <w:bidi w:val="0"/>
              <w:adjustRightInd w:val="0"/>
              <w:snapToGrid/>
              <w:spacing w:line="400" w:lineRule="exact"/>
              <w:ind w:firstLine="0" w:firstLineChars="0"/>
              <w:jc w:val="center"/>
              <w:textAlignment w:val="auto"/>
              <w:rPr>
                <w:rFonts w:hint="eastAsia" w:ascii="仿宋" w:hAnsi="仿宋" w:eastAsia="仿宋" w:cs="仿宋"/>
                <w:color w:val="auto"/>
                <w:kern w:val="2"/>
                <w:sz w:val="24"/>
                <w:szCs w:val="24"/>
                <w:highlight w:val="none"/>
                <w:lang w:val="en-US" w:eastAsia="zh-CN" w:bidi="ar-SA"/>
              </w:rPr>
            </w:pPr>
          </w:p>
        </w:tc>
        <w:tc>
          <w:tcPr>
            <w:tcW w:w="2754" w:type="dxa"/>
          </w:tcPr>
          <w:p w14:paraId="7F334B8F">
            <w:pPr>
              <w:adjustRightInd/>
              <w:spacing w:line="380" w:lineRule="exact"/>
              <w:jc w:val="center"/>
              <w:outlineLvl w:val="9"/>
              <w:rPr>
                <w:rFonts w:hint="eastAsia" w:ascii="仿宋" w:hAnsi="仿宋" w:eastAsia="仿宋" w:cs="仿宋"/>
                <w:color w:val="auto"/>
                <w:sz w:val="24"/>
                <w:szCs w:val="24"/>
                <w:highlight w:val="none"/>
              </w:rPr>
            </w:pPr>
          </w:p>
        </w:tc>
        <w:tc>
          <w:tcPr>
            <w:tcW w:w="2835" w:type="dxa"/>
          </w:tcPr>
          <w:p w14:paraId="78A02F88">
            <w:pPr>
              <w:adjustRightInd/>
              <w:spacing w:line="380" w:lineRule="exact"/>
              <w:jc w:val="center"/>
              <w:outlineLvl w:val="9"/>
              <w:rPr>
                <w:rFonts w:hint="eastAsia" w:ascii="仿宋" w:hAnsi="仿宋" w:eastAsia="仿宋" w:cs="仿宋"/>
                <w:color w:val="auto"/>
                <w:sz w:val="24"/>
                <w:szCs w:val="24"/>
                <w:highlight w:val="none"/>
              </w:rPr>
            </w:pPr>
          </w:p>
        </w:tc>
        <w:tc>
          <w:tcPr>
            <w:tcW w:w="1260" w:type="dxa"/>
          </w:tcPr>
          <w:p w14:paraId="5050296B">
            <w:pPr>
              <w:adjustRightInd/>
              <w:spacing w:line="380" w:lineRule="exact"/>
              <w:jc w:val="center"/>
              <w:outlineLvl w:val="9"/>
              <w:rPr>
                <w:rFonts w:hint="eastAsia" w:ascii="仿宋" w:hAnsi="仿宋" w:eastAsia="仿宋" w:cs="仿宋"/>
                <w:color w:val="auto"/>
                <w:sz w:val="24"/>
                <w:szCs w:val="24"/>
                <w:highlight w:val="none"/>
              </w:rPr>
            </w:pPr>
          </w:p>
        </w:tc>
      </w:tr>
      <w:tr w14:paraId="4A60B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2" w:type="dxa"/>
            <w:vAlign w:val="center"/>
          </w:tcPr>
          <w:p w14:paraId="702D61CE">
            <w:pPr>
              <w:adjustRightInd/>
              <w:spacing w:line="380" w:lineRule="exact"/>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590" w:type="dxa"/>
            <w:vAlign w:val="center"/>
          </w:tcPr>
          <w:p w14:paraId="37CBCCD5">
            <w:pPr>
              <w:keepNext w:val="0"/>
              <w:keepLines w:val="0"/>
              <w:pageBreakBefore w:val="0"/>
              <w:widowControl w:val="0"/>
              <w:kinsoku/>
              <w:wordWrap/>
              <w:overflowPunct/>
              <w:topLinePunct w:val="0"/>
              <w:bidi w:val="0"/>
              <w:adjustRightInd w:val="0"/>
              <w:snapToGrid/>
              <w:spacing w:line="440" w:lineRule="exact"/>
              <w:jc w:val="center"/>
              <w:textAlignment w:val="auto"/>
              <w:rPr>
                <w:rFonts w:hint="eastAsia" w:ascii="仿宋" w:hAnsi="仿宋" w:eastAsia="仿宋" w:cs="仿宋"/>
                <w:color w:val="auto"/>
                <w:kern w:val="2"/>
                <w:sz w:val="24"/>
                <w:szCs w:val="24"/>
                <w:highlight w:val="none"/>
                <w:lang w:val="en-US" w:eastAsia="zh-CN" w:bidi="ar-SA"/>
              </w:rPr>
            </w:pPr>
          </w:p>
        </w:tc>
        <w:tc>
          <w:tcPr>
            <w:tcW w:w="2754" w:type="dxa"/>
          </w:tcPr>
          <w:p w14:paraId="1C5589A3">
            <w:pPr>
              <w:adjustRightInd/>
              <w:spacing w:line="380" w:lineRule="exact"/>
              <w:jc w:val="center"/>
              <w:outlineLvl w:val="9"/>
              <w:rPr>
                <w:rFonts w:hint="eastAsia" w:ascii="仿宋" w:hAnsi="仿宋" w:eastAsia="仿宋" w:cs="仿宋"/>
                <w:color w:val="auto"/>
                <w:sz w:val="24"/>
                <w:szCs w:val="24"/>
                <w:highlight w:val="none"/>
              </w:rPr>
            </w:pPr>
          </w:p>
        </w:tc>
        <w:tc>
          <w:tcPr>
            <w:tcW w:w="2835" w:type="dxa"/>
          </w:tcPr>
          <w:p w14:paraId="0EC3620C">
            <w:pPr>
              <w:adjustRightInd/>
              <w:spacing w:line="380" w:lineRule="exact"/>
              <w:jc w:val="center"/>
              <w:outlineLvl w:val="9"/>
              <w:rPr>
                <w:rFonts w:hint="eastAsia" w:ascii="仿宋" w:hAnsi="仿宋" w:eastAsia="仿宋" w:cs="仿宋"/>
                <w:color w:val="auto"/>
                <w:sz w:val="24"/>
                <w:szCs w:val="24"/>
                <w:highlight w:val="none"/>
              </w:rPr>
            </w:pPr>
          </w:p>
        </w:tc>
        <w:tc>
          <w:tcPr>
            <w:tcW w:w="1260" w:type="dxa"/>
          </w:tcPr>
          <w:p w14:paraId="0D7A9B8A">
            <w:pPr>
              <w:adjustRightInd/>
              <w:spacing w:line="380" w:lineRule="exact"/>
              <w:jc w:val="center"/>
              <w:outlineLvl w:val="9"/>
              <w:rPr>
                <w:rFonts w:hint="eastAsia" w:ascii="仿宋" w:hAnsi="仿宋" w:eastAsia="仿宋" w:cs="仿宋"/>
                <w:color w:val="auto"/>
                <w:sz w:val="24"/>
                <w:szCs w:val="24"/>
                <w:highlight w:val="none"/>
              </w:rPr>
            </w:pPr>
          </w:p>
        </w:tc>
      </w:tr>
      <w:tr w14:paraId="37834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2" w:type="dxa"/>
            <w:vAlign w:val="center"/>
          </w:tcPr>
          <w:p w14:paraId="7EA25267">
            <w:pPr>
              <w:adjustRightInd/>
              <w:spacing w:line="380" w:lineRule="exact"/>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1590" w:type="dxa"/>
            <w:vAlign w:val="center"/>
          </w:tcPr>
          <w:p w14:paraId="58B77809">
            <w:pPr>
              <w:keepNext w:val="0"/>
              <w:keepLines w:val="0"/>
              <w:pageBreakBefore w:val="0"/>
              <w:widowControl w:val="0"/>
              <w:kinsoku/>
              <w:wordWrap/>
              <w:overflowPunct/>
              <w:topLinePunct w:val="0"/>
              <w:bidi w:val="0"/>
              <w:adjustRightInd w:val="0"/>
              <w:snapToGrid/>
              <w:spacing w:line="440" w:lineRule="exact"/>
              <w:jc w:val="center"/>
              <w:textAlignment w:val="auto"/>
              <w:rPr>
                <w:rFonts w:hint="eastAsia" w:ascii="仿宋" w:hAnsi="仿宋" w:eastAsia="仿宋" w:cs="仿宋"/>
                <w:color w:val="auto"/>
                <w:kern w:val="2"/>
                <w:sz w:val="24"/>
                <w:szCs w:val="24"/>
                <w:highlight w:val="none"/>
                <w:lang w:val="en-US" w:eastAsia="zh-CN" w:bidi="ar-SA"/>
              </w:rPr>
            </w:pPr>
          </w:p>
        </w:tc>
        <w:tc>
          <w:tcPr>
            <w:tcW w:w="2754" w:type="dxa"/>
          </w:tcPr>
          <w:p w14:paraId="7E166D71">
            <w:pPr>
              <w:adjustRightInd/>
              <w:spacing w:line="380" w:lineRule="exact"/>
              <w:jc w:val="center"/>
              <w:outlineLvl w:val="9"/>
              <w:rPr>
                <w:rFonts w:hint="eastAsia" w:ascii="仿宋" w:hAnsi="仿宋" w:eastAsia="仿宋" w:cs="仿宋"/>
                <w:color w:val="auto"/>
                <w:sz w:val="24"/>
                <w:szCs w:val="24"/>
                <w:highlight w:val="none"/>
              </w:rPr>
            </w:pPr>
          </w:p>
        </w:tc>
        <w:tc>
          <w:tcPr>
            <w:tcW w:w="2835" w:type="dxa"/>
          </w:tcPr>
          <w:p w14:paraId="5E6AA07A">
            <w:pPr>
              <w:adjustRightInd/>
              <w:spacing w:line="380" w:lineRule="exact"/>
              <w:jc w:val="center"/>
              <w:outlineLvl w:val="9"/>
              <w:rPr>
                <w:rFonts w:hint="eastAsia" w:ascii="仿宋" w:hAnsi="仿宋" w:eastAsia="仿宋" w:cs="仿宋"/>
                <w:color w:val="auto"/>
                <w:sz w:val="24"/>
                <w:szCs w:val="24"/>
                <w:highlight w:val="none"/>
              </w:rPr>
            </w:pPr>
          </w:p>
        </w:tc>
        <w:tc>
          <w:tcPr>
            <w:tcW w:w="1260" w:type="dxa"/>
          </w:tcPr>
          <w:p w14:paraId="766A5EFB">
            <w:pPr>
              <w:adjustRightInd/>
              <w:spacing w:line="380" w:lineRule="exact"/>
              <w:jc w:val="center"/>
              <w:outlineLvl w:val="9"/>
              <w:rPr>
                <w:rFonts w:hint="eastAsia" w:ascii="仿宋" w:hAnsi="仿宋" w:eastAsia="仿宋" w:cs="仿宋"/>
                <w:color w:val="auto"/>
                <w:sz w:val="24"/>
                <w:szCs w:val="24"/>
                <w:highlight w:val="none"/>
              </w:rPr>
            </w:pPr>
          </w:p>
        </w:tc>
      </w:tr>
      <w:tr w14:paraId="24C01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2" w:type="dxa"/>
            <w:vAlign w:val="center"/>
          </w:tcPr>
          <w:p w14:paraId="2D186500">
            <w:pPr>
              <w:adjustRightInd/>
              <w:spacing w:line="380" w:lineRule="exact"/>
              <w:jc w:val="center"/>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4</w:t>
            </w:r>
          </w:p>
        </w:tc>
        <w:tc>
          <w:tcPr>
            <w:tcW w:w="1590" w:type="dxa"/>
            <w:vAlign w:val="center"/>
          </w:tcPr>
          <w:p w14:paraId="1A758B68">
            <w:pPr>
              <w:keepNext w:val="0"/>
              <w:keepLines w:val="0"/>
              <w:pageBreakBefore w:val="0"/>
              <w:widowControl w:val="0"/>
              <w:kinsoku/>
              <w:wordWrap/>
              <w:overflowPunct/>
              <w:topLinePunct w:val="0"/>
              <w:bidi w:val="0"/>
              <w:adjustRightInd w:val="0"/>
              <w:snapToGrid/>
              <w:spacing w:line="440" w:lineRule="exact"/>
              <w:jc w:val="center"/>
              <w:textAlignment w:val="auto"/>
              <w:rPr>
                <w:rFonts w:hint="eastAsia" w:ascii="仿宋" w:hAnsi="仿宋" w:eastAsia="仿宋" w:cs="仿宋"/>
                <w:color w:val="auto"/>
                <w:kern w:val="2"/>
                <w:sz w:val="24"/>
                <w:szCs w:val="24"/>
                <w:highlight w:val="none"/>
                <w:lang w:val="en-US" w:eastAsia="zh-CN" w:bidi="ar-SA"/>
              </w:rPr>
            </w:pPr>
          </w:p>
        </w:tc>
        <w:tc>
          <w:tcPr>
            <w:tcW w:w="2754" w:type="dxa"/>
          </w:tcPr>
          <w:p w14:paraId="12C09558">
            <w:pPr>
              <w:adjustRightInd/>
              <w:spacing w:line="380" w:lineRule="exact"/>
              <w:jc w:val="center"/>
              <w:outlineLvl w:val="9"/>
              <w:rPr>
                <w:rFonts w:hint="eastAsia" w:ascii="仿宋" w:hAnsi="仿宋" w:eastAsia="仿宋" w:cs="仿宋"/>
                <w:color w:val="auto"/>
                <w:sz w:val="24"/>
                <w:szCs w:val="24"/>
                <w:highlight w:val="none"/>
              </w:rPr>
            </w:pPr>
          </w:p>
        </w:tc>
        <w:tc>
          <w:tcPr>
            <w:tcW w:w="2835" w:type="dxa"/>
          </w:tcPr>
          <w:p w14:paraId="04079C65">
            <w:pPr>
              <w:adjustRightInd/>
              <w:spacing w:line="380" w:lineRule="exact"/>
              <w:jc w:val="center"/>
              <w:outlineLvl w:val="9"/>
              <w:rPr>
                <w:rFonts w:hint="eastAsia" w:ascii="仿宋" w:hAnsi="仿宋" w:eastAsia="仿宋" w:cs="仿宋"/>
                <w:color w:val="auto"/>
                <w:sz w:val="24"/>
                <w:szCs w:val="24"/>
                <w:highlight w:val="none"/>
              </w:rPr>
            </w:pPr>
          </w:p>
        </w:tc>
        <w:tc>
          <w:tcPr>
            <w:tcW w:w="1260" w:type="dxa"/>
          </w:tcPr>
          <w:p w14:paraId="678464D7">
            <w:pPr>
              <w:adjustRightInd/>
              <w:spacing w:line="380" w:lineRule="exact"/>
              <w:jc w:val="center"/>
              <w:outlineLvl w:val="9"/>
              <w:rPr>
                <w:rFonts w:hint="eastAsia" w:ascii="仿宋" w:hAnsi="仿宋" w:eastAsia="仿宋" w:cs="仿宋"/>
                <w:color w:val="auto"/>
                <w:sz w:val="24"/>
                <w:szCs w:val="24"/>
                <w:highlight w:val="none"/>
              </w:rPr>
            </w:pPr>
          </w:p>
        </w:tc>
      </w:tr>
      <w:tr w14:paraId="359ED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2" w:type="dxa"/>
            <w:vAlign w:val="center"/>
          </w:tcPr>
          <w:p w14:paraId="4AD8FAAC">
            <w:pPr>
              <w:adjustRightInd/>
              <w:spacing w:line="380" w:lineRule="exact"/>
              <w:jc w:val="center"/>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w:t>
            </w:r>
          </w:p>
        </w:tc>
        <w:tc>
          <w:tcPr>
            <w:tcW w:w="1590" w:type="dxa"/>
            <w:vAlign w:val="center"/>
          </w:tcPr>
          <w:p w14:paraId="30644B4B">
            <w:pPr>
              <w:keepNext w:val="0"/>
              <w:keepLines w:val="0"/>
              <w:pageBreakBefore w:val="0"/>
              <w:widowControl w:val="0"/>
              <w:kinsoku/>
              <w:wordWrap/>
              <w:overflowPunct/>
              <w:topLinePunct w:val="0"/>
              <w:bidi w:val="0"/>
              <w:adjustRightInd w:val="0"/>
              <w:snapToGrid/>
              <w:spacing w:line="440" w:lineRule="exact"/>
              <w:jc w:val="center"/>
              <w:textAlignment w:val="auto"/>
              <w:rPr>
                <w:rFonts w:hint="eastAsia" w:ascii="仿宋" w:hAnsi="仿宋" w:eastAsia="仿宋" w:cs="仿宋"/>
                <w:color w:val="auto"/>
                <w:kern w:val="2"/>
                <w:sz w:val="24"/>
                <w:szCs w:val="24"/>
                <w:highlight w:val="none"/>
                <w:lang w:val="en-US" w:eastAsia="zh-CN" w:bidi="ar-SA"/>
              </w:rPr>
            </w:pPr>
          </w:p>
        </w:tc>
        <w:tc>
          <w:tcPr>
            <w:tcW w:w="2754" w:type="dxa"/>
          </w:tcPr>
          <w:p w14:paraId="152D03E2">
            <w:pPr>
              <w:adjustRightInd/>
              <w:spacing w:line="380" w:lineRule="exact"/>
              <w:jc w:val="center"/>
              <w:outlineLvl w:val="9"/>
              <w:rPr>
                <w:rFonts w:hint="eastAsia" w:ascii="仿宋" w:hAnsi="仿宋" w:eastAsia="仿宋" w:cs="仿宋"/>
                <w:color w:val="auto"/>
                <w:sz w:val="24"/>
                <w:szCs w:val="24"/>
                <w:highlight w:val="none"/>
              </w:rPr>
            </w:pPr>
          </w:p>
        </w:tc>
        <w:tc>
          <w:tcPr>
            <w:tcW w:w="2835" w:type="dxa"/>
          </w:tcPr>
          <w:p w14:paraId="58EBFD0A">
            <w:pPr>
              <w:adjustRightInd/>
              <w:spacing w:line="380" w:lineRule="exact"/>
              <w:jc w:val="center"/>
              <w:outlineLvl w:val="9"/>
              <w:rPr>
                <w:rFonts w:hint="eastAsia" w:ascii="仿宋" w:hAnsi="仿宋" w:eastAsia="仿宋" w:cs="仿宋"/>
                <w:color w:val="auto"/>
                <w:sz w:val="24"/>
                <w:szCs w:val="24"/>
                <w:highlight w:val="none"/>
              </w:rPr>
            </w:pPr>
          </w:p>
        </w:tc>
        <w:tc>
          <w:tcPr>
            <w:tcW w:w="1260" w:type="dxa"/>
          </w:tcPr>
          <w:p w14:paraId="5C753C75">
            <w:pPr>
              <w:adjustRightInd/>
              <w:spacing w:line="380" w:lineRule="exact"/>
              <w:jc w:val="center"/>
              <w:outlineLvl w:val="9"/>
              <w:rPr>
                <w:rFonts w:hint="eastAsia" w:ascii="仿宋" w:hAnsi="仿宋" w:eastAsia="仿宋" w:cs="仿宋"/>
                <w:color w:val="auto"/>
                <w:sz w:val="24"/>
                <w:szCs w:val="24"/>
                <w:highlight w:val="none"/>
              </w:rPr>
            </w:pPr>
          </w:p>
        </w:tc>
      </w:tr>
      <w:tr w14:paraId="53510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2" w:type="dxa"/>
            <w:vAlign w:val="center"/>
          </w:tcPr>
          <w:p w14:paraId="1181E06A">
            <w:pPr>
              <w:adjustRightInd/>
              <w:spacing w:line="380" w:lineRule="exact"/>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1590" w:type="dxa"/>
            <w:vAlign w:val="center"/>
          </w:tcPr>
          <w:p w14:paraId="4E893CE7">
            <w:pPr>
              <w:keepNext w:val="0"/>
              <w:keepLines w:val="0"/>
              <w:pageBreakBefore w:val="0"/>
              <w:widowControl w:val="0"/>
              <w:kinsoku/>
              <w:wordWrap/>
              <w:overflowPunct/>
              <w:topLinePunct w:val="0"/>
              <w:bidi w:val="0"/>
              <w:adjustRightInd w:val="0"/>
              <w:snapToGrid/>
              <w:spacing w:line="440" w:lineRule="exact"/>
              <w:jc w:val="center"/>
              <w:textAlignment w:val="auto"/>
              <w:rPr>
                <w:rFonts w:hint="eastAsia" w:ascii="仿宋" w:hAnsi="仿宋" w:eastAsia="仿宋" w:cs="仿宋"/>
                <w:color w:val="auto"/>
                <w:sz w:val="24"/>
                <w:szCs w:val="24"/>
                <w:highlight w:val="none"/>
              </w:rPr>
            </w:pPr>
          </w:p>
        </w:tc>
        <w:tc>
          <w:tcPr>
            <w:tcW w:w="2754" w:type="dxa"/>
          </w:tcPr>
          <w:p w14:paraId="2C0122D8">
            <w:pPr>
              <w:adjustRightInd/>
              <w:spacing w:line="380" w:lineRule="exact"/>
              <w:jc w:val="center"/>
              <w:outlineLvl w:val="9"/>
              <w:rPr>
                <w:rFonts w:hint="eastAsia" w:ascii="仿宋" w:hAnsi="仿宋" w:eastAsia="仿宋" w:cs="仿宋"/>
                <w:color w:val="auto"/>
                <w:sz w:val="24"/>
                <w:szCs w:val="24"/>
                <w:highlight w:val="none"/>
              </w:rPr>
            </w:pPr>
          </w:p>
        </w:tc>
        <w:tc>
          <w:tcPr>
            <w:tcW w:w="2835" w:type="dxa"/>
          </w:tcPr>
          <w:p w14:paraId="78F94B20">
            <w:pPr>
              <w:adjustRightInd/>
              <w:spacing w:line="380" w:lineRule="exact"/>
              <w:jc w:val="center"/>
              <w:outlineLvl w:val="9"/>
              <w:rPr>
                <w:rFonts w:hint="eastAsia" w:ascii="仿宋" w:hAnsi="仿宋" w:eastAsia="仿宋" w:cs="仿宋"/>
                <w:color w:val="auto"/>
                <w:sz w:val="24"/>
                <w:szCs w:val="24"/>
                <w:highlight w:val="none"/>
              </w:rPr>
            </w:pPr>
          </w:p>
        </w:tc>
        <w:tc>
          <w:tcPr>
            <w:tcW w:w="1260" w:type="dxa"/>
          </w:tcPr>
          <w:p w14:paraId="041F5293">
            <w:pPr>
              <w:adjustRightInd/>
              <w:spacing w:line="380" w:lineRule="exact"/>
              <w:jc w:val="center"/>
              <w:outlineLvl w:val="9"/>
              <w:rPr>
                <w:rFonts w:hint="eastAsia" w:ascii="仿宋" w:hAnsi="仿宋" w:eastAsia="仿宋" w:cs="仿宋"/>
                <w:color w:val="auto"/>
                <w:sz w:val="24"/>
                <w:szCs w:val="24"/>
                <w:highlight w:val="none"/>
              </w:rPr>
            </w:pPr>
          </w:p>
        </w:tc>
      </w:tr>
      <w:tr w14:paraId="76546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2" w:type="dxa"/>
            <w:vAlign w:val="center"/>
          </w:tcPr>
          <w:p w14:paraId="3097FF1D">
            <w:pPr>
              <w:adjustRightInd/>
              <w:spacing w:line="380" w:lineRule="exact"/>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1590" w:type="dxa"/>
            <w:vAlign w:val="center"/>
          </w:tcPr>
          <w:p w14:paraId="1A72AC43">
            <w:pPr>
              <w:keepNext w:val="0"/>
              <w:keepLines w:val="0"/>
              <w:pageBreakBefore w:val="0"/>
              <w:widowControl w:val="0"/>
              <w:kinsoku/>
              <w:wordWrap/>
              <w:overflowPunct/>
              <w:topLinePunct w:val="0"/>
              <w:bidi w:val="0"/>
              <w:adjustRightInd w:val="0"/>
              <w:snapToGrid/>
              <w:spacing w:line="440" w:lineRule="exact"/>
              <w:jc w:val="center"/>
              <w:textAlignment w:val="auto"/>
              <w:rPr>
                <w:rFonts w:hint="eastAsia" w:ascii="仿宋" w:hAnsi="仿宋" w:eastAsia="仿宋" w:cs="仿宋"/>
                <w:color w:val="auto"/>
                <w:sz w:val="24"/>
                <w:szCs w:val="24"/>
                <w:highlight w:val="none"/>
              </w:rPr>
            </w:pPr>
          </w:p>
        </w:tc>
        <w:tc>
          <w:tcPr>
            <w:tcW w:w="2754" w:type="dxa"/>
          </w:tcPr>
          <w:p w14:paraId="55DB5E24">
            <w:pPr>
              <w:adjustRightInd/>
              <w:spacing w:line="380" w:lineRule="exact"/>
              <w:jc w:val="center"/>
              <w:outlineLvl w:val="9"/>
              <w:rPr>
                <w:rFonts w:hint="eastAsia" w:ascii="仿宋" w:hAnsi="仿宋" w:eastAsia="仿宋" w:cs="仿宋"/>
                <w:color w:val="auto"/>
                <w:sz w:val="24"/>
                <w:szCs w:val="24"/>
                <w:highlight w:val="none"/>
              </w:rPr>
            </w:pPr>
          </w:p>
        </w:tc>
        <w:tc>
          <w:tcPr>
            <w:tcW w:w="2835" w:type="dxa"/>
          </w:tcPr>
          <w:p w14:paraId="520E3411">
            <w:pPr>
              <w:adjustRightInd/>
              <w:spacing w:line="380" w:lineRule="exact"/>
              <w:jc w:val="center"/>
              <w:outlineLvl w:val="9"/>
              <w:rPr>
                <w:rFonts w:hint="eastAsia" w:ascii="仿宋" w:hAnsi="仿宋" w:eastAsia="仿宋" w:cs="仿宋"/>
                <w:color w:val="auto"/>
                <w:sz w:val="24"/>
                <w:szCs w:val="24"/>
                <w:highlight w:val="none"/>
              </w:rPr>
            </w:pPr>
          </w:p>
        </w:tc>
        <w:tc>
          <w:tcPr>
            <w:tcW w:w="1260" w:type="dxa"/>
          </w:tcPr>
          <w:p w14:paraId="18C645A0">
            <w:pPr>
              <w:adjustRightInd/>
              <w:spacing w:line="380" w:lineRule="exact"/>
              <w:jc w:val="center"/>
              <w:outlineLvl w:val="9"/>
              <w:rPr>
                <w:rFonts w:hint="eastAsia" w:ascii="仿宋" w:hAnsi="仿宋" w:eastAsia="仿宋" w:cs="仿宋"/>
                <w:color w:val="auto"/>
                <w:sz w:val="24"/>
                <w:szCs w:val="24"/>
                <w:highlight w:val="none"/>
              </w:rPr>
            </w:pPr>
          </w:p>
        </w:tc>
      </w:tr>
      <w:tr w14:paraId="4E177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2" w:type="dxa"/>
            <w:vAlign w:val="center"/>
          </w:tcPr>
          <w:p w14:paraId="40DBBC72">
            <w:pPr>
              <w:adjustRightInd/>
              <w:spacing w:line="380" w:lineRule="exact"/>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1590" w:type="dxa"/>
            <w:shd w:val="clear" w:color="auto" w:fill="auto"/>
            <w:vAlign w:val="center"/>
          </w:tcPr>
          <w:p w14:paraId="629CA2F7">
            <w:pPr>
              <w:keepNext w:val="0"/>
              <w:keepLines w:val="0"/>
              <w:pageBreakBefore w:val="0"/>
              <w:widowControl w:val="0"/>
              <w:kinsoku/>
              <w:wordWrap/>
              <w:overflowPunct/>
              <w:topLinePunct w:val="0"/>
              <w:bidi w:val="0"/>
              <w:adjustRightInd w:val="0"/>
              <w:snapToGrid/>
              <w:spacing w:line="440" w:lineRule="exact"/>
              <w:jc w:val="center"/>
              <w:textAlignment w:val="auto"/>
              <w:rPr>
                <w:rFonts w:hint="eastAsia" w:ascii="仿宋" w:hAnsi="仿宋" w:eastAsia="仿宋" w:cs="仿宋"/>
                <w:color w:val="auto"/>
                <w:kern w:val="2"/>
                <w:sz w:val="24"/>
                <w:szCs w:val="24"/>
                <w:highlight w:val="none"/>
                <w:lang w:val="en-US" w:eastAsia="zh-CN" w:bidi="ar-SA"/>
              </w:rPr>
            </w:pPr>
          </w:p>
        </w:tc>
        <w:tc>
          <w:tcPr>
            <w:tcW w:w="2754" w:type="dxa"/>
          </w:tcPr>
          <w:p w14:paraId="7B9C9579">
            <w:pPr>
              <w:adjustRightInd/>
              <w:spacing w:line="380" w:lineRule="exact"/>
              <w:jc w:val="center"/>
              <w:outlineLvl w:val="9"/>
              <w:rPr>
                <w:rFonts w:hint="eastAsia" w:ascii="仿宋" w:hAnsi="仿宋" w:eastAsia="仿宋" w:cs="仿宋"/>
                <w:color w:val="auto"/>
                <w:sz w:val="24"/>
                <w:szCs w:val="24"/>
                <w:highlight w:val="none"/>
              </w:rPr>
            </w:pPr>
          </w:p>
        </w:tc>
        <w:tc>
          <w:tcPr>
            <w:tcW w:w="2835" w:type="dxa"/>
          </w:tcPr>
          <w:p w14:paraId="19720A38">
            <w:pPr>
              <w:adjustRightInd/>
              <w:spacing w:line="380" w:lineRule="exact"/>
              <w:jc w:val="center"/>
              <w:outlineLvl w:val="9"/>
              <w:rPr>
                <w:rFonts w:hint="eastAsia" w:ascii="仿宋" w:hAnsi="仿宋" w:eastAsia="仿宋" w:cs="仿宋"/>
                <w:color w:val="auto"/>
                <w:sz w:val="24"/>
                <w:szCs w:val="24"/>
                <w:highlight w:val="none"/>
              </w:rPr>
            </w:pPr>
          </w:p>
        </w:tc>
        <w:tc>
          <w:tcPr>
            <w:tcW w:w="1260" w:type="dxa"/>
          </w:tcPr>
          <w:p w14:paraId="0AF61C5A">
            <w:pPr>
              <w:adjustRightInd/>
              <w:spacing w:line="380" w:lineRule="exact"/>
              <w:jc w:val="center"/>
              <w:outlineLvl w:val="9"/>
              <w:rPr>
                <w:rFonts w:hint="eastAsia" w:ascii="仿宋" w:hAnsi="仿宋" w:eastAsia="仿宋" w:cs="仿宋"/>
                <w:color w:val="auto"/>
                <w:sz w:val="24"/>
                <w:szCs w:val="24"/>
                <w:highlight w:val="none"/>
              </w:rPr>
            </w:pPr>
          </w:p>
        </w:tc>
      </w:tr>
      <w:tr w14:paraId="6F804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2" w:type="dxa"/>
            <w:vAlign w:val="center"/>
          </w:tcPr>
          <w:p w14:paraId="12F00A1B">
            <w:pPr>
              <w:adjustRightInd/>
              <w:spacing w:line="380" w:lineRule="exact"/>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w:t>
            </w:r>
          </w:p>
        </w:tc>
        <w:tc>
          <w:tcPr>
            <w:tcW w:w="1590" w:type="dxa"/>
            <w:shd w:val="clear" w:color="auto" w:fill="auto"/>
            <w:vAlign w:val="center"/>
          </w:tcPr>
          <w:p w14:paraId="437CBEEA">
            <w:pPr>
              <w:keepNext w:val="0"/>
              <w:keepLines w:val="0"/>
              <w:pageBreakBefore w:val="0"/>
              <w:widowControl w:val="0"/>
              <w:kinsoku/>
              <w:wordWrap/>
              <w:overflowPunct/>
              <w:topLinePunct w:val="0"/>
              <w:bidi w:val="0"/>
              <w:adjustRightInd w:val="0"/>
              <w:snapToGrid/>
              <w:spacing w:line="440" w:lineRule="exact"/>
              <w:jc w:val="center"/>
              <w:textAlignment w:val="auto"/>
              <w:rPr>
                <w:rFonts w:hint="eastAsia" w:ascii="仿宋" w:hAnsi="仿宋" w:eastAsia="仿宋" w:cs="仿宋"/>
                <w:color w:val="auto"/>
                <w:kern w:val="2"/>
                <w:sz w:val="24"/>
                <w:szCs w:val="24"/>
                <w:highlight w:val="none"/>
                <w:lang w:val="en-US" w:eastAsia="zh-CN" w:bidi="ar-SA"/>
              </w:rPr>
            </w:pPr>
          </w:p>
        </w:tc>
        <w:tc>
          <w:tcPr>
            <w:tcW w:w="2754" w:type="dxa"/>
          </w:tcPr>
          <w:p w14:paraId="4230205D">
            <w:pPr>
              <w:adjustRightInd/>
              <w:spacing w:line="380" w:lineRule="exact"/>
              <w:jc w:val="center"/>
              <w:outlineLvl w:val="9"/>
              <w:rPr>
                <w:rFonts w:hint="eastAsia" w:ascii="仿宋" w:hAnsi="仿宋" w:eastAsia="仿宋" w:cs="仿宋"/>
                <w:color w:val="auto"/>
                <w:sz w:val="24"/>
                <w:szCs w:val="24"/>
                <w:highlight w:val="none"/>
              </w:rPr>
            </w:pPr>
          </w:p>
        </w:tc>
        <w:tc>
          <w:tcPr>
            <w:tcW w:w="2835" w:type="dxa"/>
          </w:tcPr>
          <w:p w14:paraId="70608E2E">
            <w:pPr>
              <w:adjustRightInd/>
              <w:spacing w:line="380" w:lineRule="exact"/>
              <w:jc w:val="center"/>
              <w:outlineLvl w:val="9"/>
              <w:rPr>
                <w:rFonts w:hint="eastAsia" w:ascii="仿宋" w:hAnsi="仿宋" w:eastAsia="仿宋" w:cs="仿宋"/>
                <w:color w:val="auto"/>
                <w:sz w:val="24"/>
                <w:szCs w:val="24"/>
                <w:highlight w:val="none"/>
              </w:rPr>
            </w:pPr>
          </w:p>
        </w:tc>
        <w:tc>
          <w:tcPr>
            <w:tcW w:w="1260" w:type="dxa"/>
          </w:tcPr>
          <w:p w14:paraId="72D027B1">
            <w:pPr>
              <w:adjustRightInd/>
              <w:spacing w:line="380" w:lineRule="exact"/>
              <w:jc w:val="center"/>
              <w:outlineLvl w:val="9"/>
              <w:rPr>
                <w:rFonts w:hint="eastAsia" w:ascii="仿宋" w:hAnsi="仿宋" w:eastAsia="仿宋" w:cs="仿宋"/>
                <w:color w:val="auto"/>
                <w:sz w:val="24"/>
                <w:szCs w:val="24"/>
                <w:highlight w:val="none"/>
              </w:rPr>
            </w:pPr>
          </w:p>
        </w:tc>
      </w:tr>
      <w:tr w14:paraId="22026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2" w:type="dxa"/>
            <w:vAlign w:val="center"/>
          </w:tcPr>
          <w:p w14:paraId="3CB69EF3">
            <w:pPr>
              <w:adjustRightInd/>
              <w:spacing w:line="380" w:lineRule="exact"/>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1590" w:type="dxa"/>
            <w:shd w:val="clear" w:color="auto" w:fill="auto"/>
            <w:vAlign w:val="center"/>
          </w:tcPr>
          <w:p w14:paraId="7D0A9C4D">
            <w:pPr>
              <w:keepNext w:val="0"/>
              <w:keepLines w:val="0"/>
              <w:pageBreakBefore w:val="0"/>
              <w:widowControl w:val="0"/>
              <w:kinsoku/>
              <w:wordWrap/>
              <w:overflowPunct/>
              <w:topLinePunct w:val="0"/>
              <w:bidi w:val="0"/>
              <w:adjustRightInd w:val="0"/>
              <w:snapToGrid/>
              <w:spacing w:line="440" w:lineRule="exact"/>
              <w:jc w:val="center"/>
              <w:textAlignment w:val="auto"/>
              <w:rPr>
                <w:rFonts w:hint="eastAsia" w:ascii="仿宋" w:hAnsi="仿宋" w:eastAsia="仿宋" w:cs="仿宋"/>
                <w:color w:val="auto"/>
                <w:kern w:val="2"/>
                <w:sz w:val="24"/>
                <w:szCs w:val="24"/>
                <w:highlight w:val="none"/>
                <w:lang w:val="en-US" w:eastAsia="zh-CN" w:bidi="ar-SA"/>
              </w:rPr>
            </w:pPr>
          </w:p>
        </w:tc>
        <w:tc>
          <w:tcPr>
            <w:tcW w:w="2754" w:type="dxa"/>
          </w:tcPr>
          <w:p w14:paraId="10BCB9FC">
            <w:pPr>
              <w:adjustRightInd/>
              <w:spacing w:line="380" w:lineRule="exact"/>
              <w:jc w:val="center"/>
              <w:outlineLvl w:val="9"/>
              <w:rPr>
                <w:rFonts w:hint="eastAsia" w:ascii="仿宋" w:hAnsi="仿宋" w:eastAsia="仿宋" w:cs="仿宋"/>
                <w:color w:val="auto"/>
                <w:sz w:val="24"/>
                <w:szCs w:val="24"/>
                <w:highlight w:val="none"/>
              </w:rPr>
            </w:pPr>
          </w:p>
        </w:tc>
        <w:tc>
          <w:tcPr>
            <w:tcW w:w="2835" w:type="dxa"/>
          </w:tcPr>
          <w:p w14:paraId="5D65E981">
            <w:pPr>
              <w:adjustRightInd/>
              <w:spacing w:line="380" w:lineRule="exact"/>
              <w:jc w:val="center"/>
              <w:outlineLvl w:val="9"/>
              <w:rPr>
                <w:rFonts w:hint="eastAsia" w:ascii="仿宋" w:hAnsi="仿宋" w:eastAsia="仿宋" w:cs="仿宋"/>
                <w:color w:val="auto"/>
                <w:sz w:val="24"/>
                <w:szCs w:val="24"/>
                <w:highlight w:val="none"/>
              </w:rPr>
            </w:pPr>
          </w:p>
        </w:tc>
        <w:tc>
          <w:tcPr>
            <w:tcW w:w="1260" w:type="dxa"/>
          </w:tcPr>
          <w:p w14:paraId="3F9EDEBA">
            <w:pPr>
              <w:adjustRightInd/>
              <w:spacing w:line="380" w:lineRule="exact"/>
              <w:jc w:val="center"/>
              <w:outlineLvl w:val="9"/>
              <w:rPr>
                <w:rFonts w:hint="eastAsia" w:ascii="仿宋" w:hAnsi="仿宋" w:eastAsia="仿宋" w:cs="仿宋"/>
                <w:color w:val="auto"/>
                <w:sz w:val="24"/>
                <w:szCs w:val="24"/>
                <w:highlight w:val="none"/>
              </w:rPr>
            </w:pPr>
          </w:p>
        </w:tc>
      </w:tr>
      <w:tr w14:paraId="1C006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2" w:type="dxa"/>
            <w:vAlign w:val="center"/>
          </w:tcPr>
          <w:p w14:paraId="225BF89C">
            <w:pPr>
              <w:adjustRightInd/>
              <w:spacing w:line="380" w:lineRule="exact"/>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w:t>
            </w:r>
          </w:p>
        </w:tc>
        <w:tc>
          <w:tcPr>
            <w:tcW w:w="1590" w:type="dxa"/>
            <w:shd w:val="clear" w:color="auto" w:fill="auto"/>
            <w:vAlign w:val="center"/>
          </w:tcPr>
          <w:p w14:paraId="0A8159AB">
            <w:pPr>
              <w:keepNext w:val="0"/>
              <w:keepLines w:val="0"/>
              <w:pageBreakBefore w:val="0"/>
              <w:widowControl w:val="0"/>
              <w:kinsoku/>
              <w:wordWrap/>
              <w:overflowPunct/>
              <w:topLinePunct w:val="0"/>
              <w:bidi w:val="0"/>
              <w:adjustRightInd w:val="0"/>
              <w:snapToGrid/>
              <w:spacing w:line="440" w:lineRule="exact"/>
              <w:jc w:val="center"/>
              <w:textAlignment w:val="auto"/>
              <w:rPr>
                <w:rFonts w:hint="eastAsia" w:ascii="仿宋" w:hAnsi="仿宋" w:eastAsia="仿宋" w:cs="仿宋"/>
                <w:color w:val="auto"/>
                <w:kern w:val="2"/>
                <w:sz w:val="24"/>
                <w:szCs w:val="24"/>
                <w:highlight w:val="none"/>
                <w:lang w:val="en-US" w:eastAsia="zh-CN" w:bidi="ar-SA"/>
              </w:rPr>
            </w:pPr>
          </w:p>
        </w:tc>
        <w:tc>
          <w:tcPr>
            <w:tcW w:w="2754" w:type="dxa"/>
          </w:tcPr>
          <w:p w14:paraId="5FDF450D">
            <w:pPr>
              <w:adjustRightInd/>
              <w:spacing w:line="380" w:lineRule="exact"/>
              <w:jc w:val="center"/>
              <w:outlineLvl w:val="9"/>
              <w:rPr>
                <w:rFonts w:hint="eastAsia" w:ascii="仿宋" w:hAnsi="仿宋" w:eastAsia="仿宋" w:cs="仿宋"/>
                <w:color w:val="auto"/>
                <w:sz w:val="24"/>
                <w:szCs w:val="24"/>
                <w:highlight w:val="none"/>
              </w:rPr>
            </w:pPr>
          </w:p>
        </w:tc>
        <w:tc>
          <w:tcPr>
            <w:tcW w:w="2835" w:type="dxa"/>
          </w:tcPr>
          <w:p w14:paraId="2218C99D">
            <w:pPr>
              <w:adjustRightInd/>
              <w:spacing w:line="380" w:lineRule="exact"/>
              <w:jc w:val="center"/>
              <w:outlineLvl w:val="9"/>
              <w:rPr>
                <w:rFonts w:hint="eastAsia" w:ascii="仿宋" w:hAnsi="仿宋" w:eastAsia="仿宋" w:cs="仿宋"/>
                <w:color w:val="auto"/>
                <w:sz w:val="24"/>
                <w:szCs w:val="24"/>
                <w:highlight w:val="none"/>
              </w:rPr>
            </w:pPr>
          </w:p>
        </w:tc>
        <w:tc>
          <w:tcPr>
            <w:tcW w:w="1260" w:type="dxa"/>
          </w:tcPr>
          <w:p w14:paraId="79EBCE21">
            <w:pPr>
              <w:adjustRightInd/>
              <w:spacing w:line="380" w:lineRule="exact"/>
              <w:jc w:val="center"/>
              <w:outlineLvl w:val="9"/>
              <w:rPr>
                <w:rFonts w:hint="eastAsia" w:ascii="仿宋" w:hAnsi="仿宋" w:eastAsia="仿宋" w:cs="仿宋"/>
                <w:color w:val="auto"/>
                <w:sz w:val="24"/>
                <w:szCs w:val="24"/>
                <w:highlight w:val="none"/>
              </w:rPr>
            </w:pPr>
          </w:p>
        </w:tc>
      </w:tr>
      <w:tr w14:paraId="08CFE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2" w:type="dxa"/>
            <w:vAlign w:val="center"/>
          </w:tcPr>
          <w:p w14:paraId="5A491A2A">
            <w:pPr>
              <w:adjustRightInd/>
              <w:spacing w:line="380" w:lineRule="exact"/>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w:t>
            </w:r>
          </w:p>
        </w:tc>
        <w:tc>
          <w:tcPr>
            <w:tcW w:w="1590" w:type="dxa"/>
            <w:shd w:val="clear" w:color="auto" w:fill="auto"/>
            <w:vAlign w:val="center"/>
          </w:tcPr>
          <w:p w14:paraId="76ACDB77">
            <w:pPr>
              <w:keepNext w:val="0"/>
              <w:keepLines w:val="0"/>
              <w:pageBreakBefore w:val="0"/>
              <w:widowControl w:val="0"/>
              <w:kinsoku/>
              <w:wordWrap/>
              <w:overflowPunct/>
              <w:topLinePunct w:val="0"/>
              <w:bidi w:val="0"/>
              <w:adjustRightInd w:val="0"/>
              <w:snapToGrid/>
              <w:spacing w:line="440" w:lineRule="exact"/>
              <w:jc w:val="center"/>
              <w:textAlignment w:val="auto"/>
              <w:rPr>
                <w:rFonts w:hint="eastAsia" w:ascii="仿宋" w:hAnsi="仿宋" w:eastAsia="仿宋" w:cs="仿宋"/>
                <w:color w:val="auto"/>
                <w:kern w:val="2"/>
                <w:sz w:val="24"/>
                <w:szCs w:val="24"/>
                <w:highlight w:val="none"/>
                <w:lang w:val="en-US" w:eastAsia="zh-CN" w:bidi="ar-SA"/>
              </w:rPr>
            </w:pPr>
          </w:p>
        </w:tc>
        <w:tc>
          <w:tcPr>
            <w:tcW w:w="2754" w:type="dxa"/>
          </w:tcPr>
          <w:p w14:paraId="50293760">
            <w:pPr>
              <w:adjustRightInd/>
              <w:spacing w:line="380" w:lineRule="exact"/>
              <w:jc w:val="center"/>
              <w:outlineLvl w:val="9"/>
              <w:rPr>
                <w:rFonts w:hint="eastAsia" w:ascii="仿宋" w:hAnsi="仿宋" w:eastAsia="仿宋" w:cs="仿宋"/>
                <w:color w:val="auto"/>
                <w:sz w:val="24"/>
                <w:szCs w:val="24"/>
                <w:highlight w:val="none"/>
              </w:rPr>
            </w:pPr>
          </w:p>
        </w:tc>
        <w:tc>
          <w:tcPr>
            <w:tcW w:w="2835" w:type="dxa"/>
          </w:tcPr>
          <w:p w14:paraId="6F58E084">
            <w:pPr>
              <w:adjustRightInd/>
              <w:spacing w:line="380" w:lineRule="exact"/>
              <w:jc w:val="center"/>
              <w:outlineLvl w:val="9"/>
              <w:rPr>
                <w:rFonts w:hint="eastAsia" w:ascii="仿宋" w:hAnsi="仿宋" w:eastAsia="仿宋" w:cs="仿宋"/>
                <w:color w:val="auto"/>
                <w:sz w:val="24"/>
                <w:szCs w:val="24"/>
                <w:highlight w:val="none"/>
              </w:rPr>
            </w:pPr>
          </w:p>
        </w:tc>
        <w:tc>
          <w:tcPr>
            <w:tcW w:w="1260" w:type="dxa"/>
          </w:tcPr>
          <w:p w14:paraId="5F6E0F5E">
            <w:pPr>
              <w:adjustRightInd/>
              <w:spacing w:line="380" w:lineRule="exact"/>
              <w:jc w:val="center"/>
              <w:outlineLvl w:val="9"/>
              <w:rPr>
                <w:rFonts w:hint="eastAsia" w:ascii="仿宋" w:hAnsi="仿宋" w:eastAsia="仿宋" w:cs="仿宋"/>
                <w:color w:val="auto"/>
                <w:sz w:val="24"/>
                <w:szCs w:val="24"/>
                <w:highlight w:val="none"/>
              </w:rPr>
            </w:pPr>
          </w:p>
        </w:tc>
      </w:tr>
      <w:tr w14:paraId="0E59F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2" w:type="dxa"/>
            <w:vAlign w:val="center"/>
          </w:tcPr>
          <w:p w14:paraId="08A4182C">
            <w:pPr>
              <w:adjustRightInd/>
              <w:spacing w:line="380" w:lineRule="exact"/>
              <w:jc w:val="center"/>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590" w:type="dxa"/>
            <w:shd w:val="clear" w:color="auto" w:fill="auto"/>
            <w:vAlign w:val="center"/>
          </w:tcPr>
          <w:p w14:paraId="040CF383">
            <w:pPr>
              <w:tabs>
                <w:tab w:val="left" w:pos="3780"/>
              </w:tabs>
              <w:spacing w:line="440" w:lineRule="exact"/>
              <w:ind w:firstLine="0" w:firstLineChars="0"/>
              <w:jc w:val="center"/>
              <w:rPr>
                <w:rFonts w:hint="eastAsia" w:ascii="仿宋" w:hAnsi="仿宋" w:eastAsia="仿宋" w:cs="仿宋"/>
                <w:color w:val="auto"/>
                <w:kern w:val="2"/>
                <w:sz w:val="24"/>
                <w:szCs w:val="24"/>
                <w:highlight w:val="none"/>
                <w:lang w:val="en-US" w:eastAsia="zh-CN" w:bidi="ar-SA"/>
              </w:rPr>
            </w:pPr>
          </w:p>
        </w:tc>
        <w:tc>
          <w:tcPr>
            <w:tcW w:w="2754" w:type="dxa"/>
          </w:tcPr>
          <w:p w14:paraId="0B2CFFBA">
            <w:pPr>
              <w:adjustRightInd/>
              <w:spacing w:line="380" w:lineRule="exact"/>
              <w:jc w:val="center"/>
              <w:outlineLvl w:val="9"/>
              <w:rPr>
                <w:rFonts w:hint="eastAsia" w:ascii="仿宋" w:hAnsi="仿宋" w:eastAsia="仿宋" w:cs="仿宋"/>
                <w:color w:val="auto"/>
                <w:sz w:val="24"/>
                <w:szCs w:val="24"/>
                <w:highlight w:val="none"/>
              </w:rPr>
            </w:pPr>
          </w:p>
        </w:tc>
        <w:tc>
          <w:tcPr>
            <w:tcW w:w="2835" w:type="dxa"/>
          </w:tcPr>
          <w:p w14:paraId="68EFFB44">
            <w:pPr>
              <w:adjustRightInd/>
              <w:spacing w:line="380" w:lineRule="exact"/>
              <w:jc w:val="center"/>
              <w:outlineLvl w:val="9"/>
              <w:rPr>
                <w:rFonts w:hint="eastAsia" w:ascii="仿宋" w:hAnsi="仿宋" w:eastAsia="仿宋" w:cs="仿宋"/>
                <w:color w:val="auto"/>
                <w:sz w:val="24"/>
                <w:szCs w:val="24"/>
                <w:highlight w:val="none"/>
              </w:rPr>
            </w:pPr>
          </w:p>
        </w:tc>
        <w:tc>
          <w:tcPr>
            <w:tcW w:w="1260" w:type="dxa"/>
          </w:tcPr>
          <w:p w14:paraId="1CDD904B">
            <w:pPr>
              <w:adjustRightInd/>
              <w:spacing w:line="380" w:lineRule="exact"/>
              <w:jc w:val="center"/>
              <w:outlineLvl w:val="9"/>
              <w:rPr>
                <w:rFonts w:hint="eastAsia" w:ascii="仿宋" w:hAnsi="仿宋" w:eastAsia="仿宋" w:cs="仿宋"/>
                <w:color w:val="auto"/>
                <w:sz w:val="24"/>
                <w:szCs w:val="24"/>
                <w:highlight w:val="none"/>
              </w:rPr>
            </w:pPr>
          </w:p>
        </w:tc>
      </w:tr>
    </w:tbl>
    <w:p w14:paraId="148EC9FF">
      <w:pPr>
        <w:keepNext w:val="0"/>
        <w:keepLines w:val="0"/>
        <w:pageBreakBefore w:val="0"/>
        <w:kinsoku/>
        <w:wordWrap/>
        <w:overflowPunct/>
        <w:topLinePunct w:val="0"/>
        <w:autoSpaceDE/>
        <w:autoSpaceDN/>
        <w:bidi w:val="0"/>
        <w:spacing w:line="360" w:lineRule="auto"/>
        <w:ind w:left="0" w:leftChars="0" w:right="-21" w:rightChars="-10" w:firstLine="0" w:firstLineChars="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投标人应根据</w:t>
      </w:r>
      <w:r>
        <w:rPr>
          <w:rFonts w:hint="eastAsia" w:ascii="仿宋" w:hAnsi="仿宋" w:eastAsia="仿宋" w:cs="仿宋"/>
          <w:color w:val="auto"/>
          <w:sz w:val="24"/>
          <w:szCs w:val="24"/>
          <w:highlight w:val="none"/>
          <w:lang w:val="en-US" w:eastAsia="zh-CN"/>
        </w:rPr>
        <w:t>相关要求</w:t>
      </w:r>
      <w:r>
        <w:rPr>
          <w:rFonts w:hint="eastAsia" w:ascii="仿宋" w:hAnsi="仿宋" w:eastAsia="仿宋" w:cs="仿宋"/>
          <w:color w:val="auto"/>
          <w:sz w:val="24"/>
          <w:szCs w:val="24"/>
          <w:highlight w:val="none"/>
        </w:rPr>
        <w:t>、对照</w:t>
      </w:r>
      <w:r>
        <w:rPr>
          <w:rFonts w:hint="eastAsia" w:ascii="仿宋" w:hAnsi="仿宋" w:eastAsia="仿宋" w:cs="仿宋"/>
          <w:color w:val="auto"/>
          <w:sz w:val="24"/>
          <w:szCs w:val="24"/>
          <w:highlight w:val="none"/>
          <w:lang w:val="en-US" w:eastAsia="zh-CN"/>
        </w:rPr>
        <w:t>招标文件</w:t>
      </w:r>
      <w:r>
        <w:rPr>
          <w:rFonts w:hint="eastAsia" w:ascii="仿宋" w:hAnsi="仿宋" w:eastAsia="仿宋" w:cs="仿宋"/>
          <w:color w:val="auto"/>
          <w:sz w:val="24"/>
          <w:szCs w:val="24"/>
          <w:highlight w:val="none"/>
        </w:rPr>
        <w:t>要求在“偏离情况”栏注明“正偏离”、“负偏离”或“无偏离”。</w:t>
      </w:r>
      <w:r>
        <w:rPr>
          <w:rFonts w:hint="eastAsia" w:ascii="仿宋" w:hAnsi="仿宋" w:eastAsia="仿宋" w:cs="仿宋"/>
          <w:b/>
          <w:bCs/>
          <w:color w:val="auto"/>
          <w:sz w:val="24"/>
          <w:szCs w:val="24"/>
          <w:highlight w:val="none"/>
        </w:rPr>
        <w:t>以上内容为实质性条款，</w:t>
      </w:r>
      <w:r>
        <w:rPr>
          <w:rFonts w:hint="eastAsia" w:ascii="仿宋" w:hAnsi="仿宋" w:eastAsia="仿宋" w:cs="仿宋"/>
          <w:b/>
          <w:bCs/>
          <w:color w:val="auto"/>
          <w:sz w:val="24"/>
          <w:szCs w:val="24"/>
          <w:highlight w:val="none"/>
          <w:lang w:val="en-US" w:eastAsia="zh-CN"/>
        </w:rPr>
        <w:t>若</w:t>
      </w:r>
      <w:r>
        <w:rPr>
          <w:rFonts w:hint="eastAsia" w:ascii="仿宋" w:hAnsi="仿宋" w:eastAsia="仿宋" w:cs="仿宋"/>
          <w:b/>
          <w:bCs/>
          <w:color w:val="auto"/>
          <w:sz w:val="24"/>
          <w:szCs w:val="24"/>
          <w:highlight w:val="none"/>
        </w:rPr>
        <w:t>“负偏离”作无效</w:t>
      </w:r>
      <w:r>
        <w:rPr>
          <w:rFonts w:hint="eastAsia" w:ascii="仿宋" w:hAnsi="仿宋" w:eastAsia="仿宋" w:cs="仿宋"/>
          <w:b/>
          <w:bCs/>
          <w:color w:val="auto"/>
          <w:sz w:val="24"/>
          <w:szCs w:val="24"/>
          <w:highlight w:val="none"/>
          <w:lang w:val="en-US" w:eastAsia="zh-CN"/>
        </w:rPr>
        <w:t>标</w:t>
      </w:r>
      <w:r>
        <w:rPr>
          <w:rFonts w:hint="eastAsia" w:ascii="仿宋" w:hAnsi="仿宋" w:eastAsia="仿宋" w:cs="仿宋"/>
          <w:b/>
          <w:bCs/>
          <w:color w:val="auto"/>
          <w:sz w:val="24"/>
          <w:szCs w:val="24"/>
          <w:highlight w:val="none"/>
        </w:rPr>
        <w:t>处理。</w:t>
      </w:r>
    </w:p>
    <w:p w14:paraId="05668325">
      <w:pPr>
        <w:spacing w:line="360" w:lineRule="auto"/>
        <w:ind w:right="420" w:firstLine="480" w:firstLineChars="200"/>
        <w:rPr>
          <w:rFonts w:hint="eastAsia" w:ascii="仿宋" w:hAnsi="仿宋" w:eastAsia="仿宋" w:cs="仿宋"/>
          <w:b/>
          <w:bCs/>
          <w:color w:val="auto"/>
          <w:sz w:val="32"/>
          <w:szCs w:val="32"/>
          <w:highlight w:val="none"/>
        </w:rPr>
      </w:pPr>
      <w:r>
        <w:rPr>
          <w:rFonts w:hint="eastAsia" w:ascii="仿宋" w:hAnsi="仿宋" w:eastAsia="仿宋" w:cs="仿宋"/>
          <w:color w:val="auto"/>
          <w:sz w:val="24"/>
          <w:szCs w:val="24"/>
          <w:highlight w:val="none"/>
        </w:rPr>
        <w:t>2.不</w:t>
      </w:r>
      <w:r>
        <w:rPr>
          <w:rFonts w:hint="eastAsia" w:ascii="仿宋" w:hAnsi="仿宋" w:eastAsia="仿宋" w:cs="仿宋"/>
          <w:color w:val="auto"/>
          <w:sz w:val="24"/>
          <w:szCs w:val="24"/>
          <w:highlight w:val="none"/>
          <w:lang w:val="en-US" w:eastAsia="zh-CN"/>
        </w:rPr>
        <w:t>填写</w:t>
      </w:r>
      <w:r>
        <w:rPr>
          <w:rFonts w:hint="eastAsia" w:ascii="仿宋" w:hAnsi="仿宋" w:eastAsia="仿宋" w:cs="仿宋"/>
          <w:color w:val="auto"/>
          <w:sz w:val="24"/>
          <w:szCs w:val="24"/>
          <w:highlight w:val="none"/>
        </w:rPr>
        <w:t>此表或注明“无偏离”均将视为投标人完全响应及满足招标文件要求。</w:t>
      </w:r>
    </w:p>
    <w:p w14:paraId="76679C41">
      <w:pPr>
        <w:autoSpaceDE w:val="0"/>
        <w:autoSpaceDN w:val="0"/>
        <w:spacing w:line="360" w:lineRule="auto"/>
        <w:ind w:left="2" w:leftChars="1" w:right="1120" w:firstLine="4560" w:firstLineChars="1900"/>
        <w:jc w:val="left"/>
        <w:rPr>
          <w:rFonts w:hint="eastAsia" w:ascii="仿宋" w:hAnsi="仿宋" w:eastAsia="仿宋" w:cs="仿宋"/>
          <w:color w:val="auto"/>
          <w:kern w:val="0"/>
          <w:sz w:val="24"/>
          <w:highlight w:val="none"/>
          <w:lang w:val="zh-CN"/>
        </w:rPr>
      </w:pPr>
    </w:p>
    <w:p w14:paraId="2CD35234">
      <w:pPr>
        <w:autoSpaceDE w:val="0"/>
        <w:autoSpaceDN w:val="0"/>
        <w:spacing w:line="360" w:lineRule="auto"/>
        <w:ind w:left="2" w:leftChars="1" w:right="1120" w:firstLine="4560" w:firstLineChars="19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投标人名称（</w:t>
      </w:r>
      <w:r>
        <w:rPr>
          <w:rFonts w:hint="eastAsia" w:ascii="仿宋" w:hAnsi="仿宋" w:eastAsia="仿宋" w:cs="仿宋"/>
          <w:color w:val="auto"/>
          <w:sz w:val="24"/>
          <w:highlight w:val="none"/>
          <w:lang w:eastAsia="zh-CN"/>
        </w:rPr>
        <w:t>电子签章</w:t>
      </w:r>
      <w:r>
        <w:rPr>
          <w:rFonts w:hint="eastAsia" w:ascii="仿宋" w:hAnsi="仿宋" w:eastAsia="仿宋" w:cs="仿宋"/>
          <w:color w:val="auto"/>
          <w:kern w:val="0"/>
          <w:sz w:val="24"/>
          <w:highlight w:val="none"/>
          <w:lang w:val="zh-CN"/>
        </w:rPr>
        <w:t xml:space="preserve">）：                                                                                                                                                                                                               </w:t>
      </w:r>
    </w:p>
    <w:p w14:paraId="0E82703E">
      <w:pPr>
        <w:spacing w:line="360" w:lineRule="auto"/>
        <w:ind w:left="4620" w:leftChars="2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zh-CN"/>
        </w:rPr>
        <w:t xml:space="preserve">   年   月   日</w:t>
      </w:r>
    </w:p>
    <w:p w14:paraId="6E1EECA2">
      <w:pPr>
        <w:spacing w:line="360" w:lineRule="auto"/>
        <w:ind w:left="4620" w:leftChars="2200"/>
        <w:rPr>
          <w:rFonts w:hint="eastAsia" w:ascii="仿宋" w:hAnsi="仿宋" w:eastAsia="仿宋" w:cs="仿宋"/>
          <w:color w:val="auto"/>
          <w:kern w:val="0"/>
          <w:sz w:val="24"/>
          <w:highlight w:val="none"/>
          <w:lang w:val="zh-CN"/>
        </w:rPr>
      </w:pPr>
    </w:p>
    <w:p w14:paraId="61A8D011">
      <w:pPr>
        <w:keepNext w:val="0"/>
        <w:keepLines w:val="0"/>
        <w:pageBreakBefore w:val="0"/>
        <w:widowControl w:val="0"/>
        <w:kinsoku/>
        <w:wordWrap/>
        <w:overflowPunct/>
        <w:topLinePunct w:val="0"/>
        <w:bidi w:val="0"/>
        <w:adjustRightInd w:val="0"/>
        <w:snapToGrid/>
        <w:spacing w:line="360" w:lineRule="auto"/>
        <w:jc w:val="center"/>
        <w:textAlignment w:val="auto"/>
        <w:rPr>
          <w:rFonts w:hint="eastAsia" w:ascii="仿宋" w:hAnsi="仿宋" w:eastAsia="仿宋" w:cs="仿宋"/>
          <w:b/>
          <w:bCs/>
          <w:color w:val="auto"/>
          <w:kern w:val="0"/>
          <w:sz w:val="32"/>
          <w:szCs w:val="32"/>
          <w:highlight w:val="none"/>
          <w:lang w:val="en-US" w:eastAsia="zh-CN"/>
        </w:rPr>
      </w:pPr>
    </w:p>
    <w:p w14:paraId="720AC8C4">
      <w:pPr>
        <w:keepNext w:val="0"/>
        <w:keepLines w:val="0"/>
        <w:pageBreakBefore w:val="0"/>
        <w:widowControl w:val="0"/>
        <w:numPr>
          <w:ilvl w:val="0"/>
          <w:numId w:val="0"/>
        </w:numPr>
        <w:kinsoku/>
        <w:wordWrap/>
        <w:overflowPunct/>
        <w:topLinePunct w:val="0"/>
        <w:bidi w:val="0"/>
        <w:adjustRightInd w:val="0"/>
        <w:snapToGrid/>
        <w:spacing w:line="360" w:lineRule="auto"/>
        <w:jc w:val="center"/>
        <w:textAlignment w:val="auto"/>
        <w:rPr>
          <w:rFonts w:hint="eastAsia" w:ascii="仿宋" w:hAnsi="仿宋" w:eastAsia="仿宋" w:cs="仿宋"/>
          <w:b/>
          <w:bCs/>
          <w:color w:val="auto"/>
          <w:kern w:val="0"/>
          <w:sz w:val="32"/>
          <w:szCs w:val="32"/>
          <w:highlight w:val="none"/>
          <w:lang w:val="zh-CN"/>
        </w:rPr>
      </w:pPr>
      <w:r>
        <w:rPr>
          <w:rFonts w:hint="eastAsia" w:ascii="仿宋" w:hAnsi="仿宋" w:eastAsia="仿宋" w:cs="仿宋"/>
          <w:b/>
          <w:bCs/>
          <w:color w:val="auto"/>
          <w:kern w:val="0"/>
          <w:sz w:val="32"/>
          <w:szCs w:val="32"/>
          <w:highlight w:val="none"/>
          <w:lang w:val="zh-CN" w:eastAsia="zh-CN" w:bidi="ar-SA"/>
        </w:rPr>
        <w:t>八、</w:t>
      </w:r>
      <w:r>
        <w:rPr>
          <w:rFonts w:hint="eastAsia" w:ascii="仿宋" w:hAnsi="仿宋" w:eastAsia="仿宋" w:cs="仿宋"/>
          <w:b/>
          <w:bCs/>
          <w:color w:val="auto"/>
          <w:kern w:val="0"/>
          <w:sz w:val="32"/>
          <w:szCs w:val="32"/>
          <w:highlight w:val="none"/>
          <w:lang w:val="zh-CN"/>
        </w:rPr>
        <w:t>资信证书</w:t>
      </w:r>
    </w:p>
    <w:p w14:paraId="45705101">
      <w:pPr>
        <w:spacing w:line="360" w:lineRule="auto"/>
        <w:ind w:firstLine="480" w:firstLineChars="200"/>
        <w:jc w:val="center"/>
        <w:rPr>
          <w:rFonts w:hint="eastAsia" w:ascii="仿宋" w:hAnsi="仿宋" w:eastAsia="仿宋" w:cs="仿宋"/>
          <w:color w:val="auto"/>
          <w:sz w:val="24"/>
          <w:szCs w:val="20"/>
          <w:highlight w:val="none"/>
        </w:rPr>
      </w:pPr>
      <w:r>
        <w:rPr>
          <w:rFonts w:hint="eastAsia" w:ascii="仿宋" w:hAnsi="仿宋" w:eastAsia="仿宋" w:cs="仿宋"/>
          <w:color w:val="auto"/>
          <w:sz w:val="24"/>
          <w:highlight w:val="none"/>
        </w:rPr>
        <w:t>（由投标人根据采购需求及招标文件</w:t>
      </w:r>
      <w:r>
        <w:rPr>
          <w:rFonts w:hint="eastAsia" w:ascii="仿宋" w:hAnsi="仿宋" w:eastAsia="仿宋" w:cs="仿宋"/>
          <w:color w:val="auto"/>
          <w:sz w:val="24"/>
          <w:highlight w:val="none"/>
          <w:lang w:val="en-US" w:eastAsia="zh-CN"/>
        </w:rPr>
        <w:t>评分</w:t>
      </w:r>
      <w:r>
        <w:rPr>
          <w:rFonts w:hint="eastAsia" w:ascii="仿宋" w:hAnsi="仿宋" w:eastAsia="仿宋" w:cs="仿宋"/>
          <w:color w:val="auto"/>
          <w:sz w:val="24"/>
          <w:highlight w:val="none"/>
        </w:rPr>
        <w:t>要求编制）</w:t>
      </w:r>
    </w:p>
    <w:p w14:paraId="3DBB9C63">
      <w:pPr>
        <w:spacing w:line="336" w:lineRule="auto"/>
        <w:ind w:firstLine="3600" w:firstLineChars="1500"/>
        <w:rPr>
          <w:rFonts w:hint="eastAsia" w:ascii="仿宋" w:hAnsi="仿宋" w:eastAsia="仿宋" w:cs="仿宋"/>
          <w:color w:val="auto"/>
          <w:sz w:val="24"/>
          <w:highlight w:val="none"/>
          <w:lang w:eastAsia="zh-CN"/>
        </w:rPr>
      </w:pPr>
    </w:p>
    <w:p w14:paraId="54B7CD13">
      <w:pPr>
        <w:spacing w:line="336" w:lineRule="auto"/>
        <w:ind w:firstLine="3600" w:firstLineChars="15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lang w:eastAsia="zh-CN"/>
        </w:rPr>
        <w:t>电子签章</w:t>
      </w:r>
      <w:r>
        <w:rPr>
          <w:rFonts w:hint="eastAsia" w:ascii="仿宋" w:hAnsi="仿宋" w:eastAsia="仿宋" w:cs="仿宋"/>
          <w:color w:val="auto"/>
          <w:sz w:val="24"/>
          <w:highlight w:val="none"/>
        </w:rPr>
        <w:t xml:space="preserve">）：                          </w:t>
      </w:r>
    </w:p>
    <w:p w14:paraId="28464B00">
      <w:pPr>
        <w:spacing w:line="336" w:lineRule="auto"/>
        <w:jc w:val="center"/>
        <w:rPr>
          <w:rFonts w:hint="eastAsia" w:ascii="仿宋" w:hAnsi="仿宋" w:eastAsia="仿宋" w:cs="仿宋"/>
          <w:b/>
          <w:bCs/>
          <w:color w:val="auto"/>
          <w:sz w:val="32"/>
          <w:szCs w:val="32"/>
          <w:highlight w:val="none"/>
          <w:lang w:eastAsia="zh-CN"/>
        </w:rPr>
      </w:pPr>
      <w:r>
        <w:rPr>
          <w:rFonts w:hint="eastAsia" w:ascii="仿宋" w:hAnsi="仿宋" w:eastAsia="仿宋" w:cs="仿宋"/>
          <w:color w:val="auto"/>
          <w:sz w:val="24"/>
          <w:highlight w:val="none"/>
        </w:rPr>
        <w:t xml:space="preserve">     日期：  年   月   日</w:t>
      </w:r>
    </w:p>
    <w:p w14:paraId="11C7A845">
      <w:pPr>
        <w:keepNext w:val="0"/>
        <w:keepLines w:val="0"/>
        <w:pageBreakBefore w:val="0"/>
        <w:widowControl w:val="0"/>
        <w:numPr>
          <w:ilvl w:val="0"/>
          <w:numId w:val="0"/>
        </w:numPr>
        <w:kinsoku/>
        <w:wordWrap/>
        <w:overflowPunct/>
        <w:topLinePunct w:val="0"/>
        <w:bidi w:val="0"/>
        <w:adjustRightInd w:val="0"/>
        <w:snapToGrid/>
        <w:spacing w:line="360" w:lineRule="auto"/>
        <w:jc w:val="center"/>
        <w:textAlignment w:val="auto"/>
        <w:rPr>
          <w:rFonts w:hint="eastAsia" w:ascii="仿宋" w:hAnsi="仿宋" w:eastAsia="仿宋" w:cs="仿宋"/>
          <w:b/>
          <w:color w:val="auto"/>
          <w:sz w:val="32"/>
          <w:szCs w:val="32"/>
          <w:highlight w:val="none"/>
          <w:lang w:val="en-US" w:eastAsia="zh-CN"/>
        </w:rPr>
      </w:pPr>
    </w:p>
    <w:p w14:paraId="5AAA6D8F">
      <w:pPr>
        <w:keepNext w:val="0"/>
        <w:keepLines w:val="0"/>
        <w:pageBreakBefore w:val="0"/>
        <w:widowControl w:val="0"/>
        <w:numPr>
          <w:ilvl w:val="0"/>
          <w:numId w:val="0"/>
        </w:numPr>
        <w:kinsoku/>
        <w:wordWrap/>
        <w:overflowPunct/>
        <w:topLinePunct w:val="0"/>
        <w:bidi w:val="0"/>
        <w:adjustRightInd w:val="0"/>
        <w:snapToGrid/>
        <w:spacing w:line="360" w:lineRule="auto"/>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32"/>
          <w:szCs w:val="32"/>
          <w:highlight w:val="none"/>
          <w:lang w:val="en-US" w:eastAsia="zh-CN"/>
        </w:rPr>
        <w:t>九、类似业绩</w:t>
      </w:r>
    </w:p>
    <w:tbl>
      <w:tblPr>
        <w:tblStyle w:val="65"/>
        <w:tblW w:w="882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1"/>
        <w:gridCol w:w="1305"/>
        <w:gridCol w:w="1350"/>
        <w:gridCol w:w="1530"/>
        <w:gridCol w:w="1440"/>
        <w:gridCol w:w="1335"/>
      </w:tblGrid>
      <w:tr w14:paraId="576BC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1861" w:type="dxa"/>
            <w:vAlign w:val="center"/>
          </w:tcPr>
          <w:p w14:paraId="28322078">
            <w:pPr>
              <w:adjustRightInd/>
              <w:spacing w:line="380" w:lineRule="exact"/>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1305" w:type="dxa"/>
            <w:vAlign w:val="center"/>
          </w:tcPr>
          <w:p w14:paraId="2A11B07E">
            <w:pPr>
              <w:adjustRightInd/>
              <w:spacing w:line="380" w:lineRule="exact"/>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合同签订时间</w:t>
            </w:r>
          </w:p>
        </w:tc>
        <w:tc>
          <w:tcPr>
            <w:tcW w:w="1350" w:type="dxa"/>
            <w:vAlign w:val="center"/>
          </w:tcPr>
          <w:p w14:paraId="24C68A5B">
            <w:pPr>
              <w:adjustRightInd/>
              <w:spacing w:line="380" w:lineRule="exact"/>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合同金额</w:t>
            </w:r>
          </w:p>
          <w:p w14:paraId="63AA5D01">
            <w:pPr>
              <w:adjustRightInd/>
              <w:spacing w:line="380" w:lineRule="exact"/>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（万元）</w:t>
            </w:r>
          </w:p>
        </w:tc>
        <w:tc>
          <w:tcPr>
            <w:tcW w:w="1530" w:type="dxa"/>
            <w:vAlign w:val="center"/>
          </w:tcPr>
          <w:p w14:paraId="64D75797">
            <w:pPr>
              <w:adjustRightInd/>
              <w:spacing w:line="380" w:lineRule="exact"/>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项目地址与采购单位联系电话</w:t>
            </w:r>
          </w:p>
        </w:tc>
        <w:tc>
          <w:tcPr>
            <w:tcW w:w="1440" w:type="dxa"/>
            <w:vAlign w:val="center"/>
          </w:tcPr>
          <w:p w14:paraId="1199B64E">
            <w:pPr>
              <w:adjustRightInd/>
              <w:spacing w:line="380" w:lineRule="exact"/>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合同页码</w:t>
            </w:r>
          </w:p>
        </w:tc>
        <w:tc>
          <w:tcPr>
            <w:tcW w:w="1335" w:type="dxa"/>
            <w:vAlign w:val="center"/>
          </w:tcPr>
          <w:p w14:paraId="1D398AE6">
            <w:pPr>
              <w:adjustRightInd/>
              <w:spacing w:line="380" w:lineRule="exact"/>
              <w:jc w:val="center"/>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备注</w:t>
            </w:r>
          </w:p>
        </w:tc>
      </w:tr>
      <w:tr w14:paraId="3B9B3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861" w:type="dxa"/>
          </w:tcPr>
          <w:p w14:paraId="234B5D07">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仿宋" w:hAnsi="仿宋" w:eastAsia="仿宋" w:cs="仿宋"/>
                <w:color w:val="auto"/>
                <w:sz w:val="24"/>
                <w:highlight w:val="none"/>
              </w:rPr>
            </w:pPr>
          </w:p>
        </w:tc>
        <w:tc>
          <w:tcPr>
            <w:tcW w:w="1305" w:type="dxa"/>
          </w:tcPr>
          <w:p w14:paraId="0A52F433">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仿宋" w:hAnsi="仿宋" w:eastAsia="仿宋" w:cs="仿宋"/>
                <w:color w:val="auto"/>
                <w:sz w:val="24"/>
                <w:highlight w:val="none"/>
              </w:rPr>
            </w:pPr>
          </w:p>
        </w:tc>
        <w:tc>
          <w:tcPr>
            <w:tcW w:w="1350" w:type="dxa"/>
          </w:tcPr>
          <w:p w14:paraId="51468F2A">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仿宋" w:hAnsi="仿宋" w:eastAsia="仿宋" w:cs="仿宋"/>
                <w:color w:val="auto"/>
                <w:sz w:val="24"/>
                <w:highlight w:val="none"/>
              </w:rPr>
            </w:pPr>
          </w:p>
        </w:tc>
        <w:tc>
          <w:tcPr>
            <w:tcW w:w="1530" w:type="dxa"/>
          </w:tcPr>
          <w:p w14:paraId="08B698D0">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仿宋" w:hAnsi="仿宋" w:eastAsia="仿宋" w:cs="仿宋"/>
                <w:color w:val="auto"/>
                <w:sz w:val="24"/>
                <w:highlight w:val="none"/>
              </w:rPr>
            </w:pPr>
          </w:p>
        </w:tc>
        <w:tc>
          <w:tcPr>
            <w:tcW w:w="1440" w:type="dxa"/>
          </w:tcPr>
          <w:p w14:paraId="6D7F7396">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仿宋" w:hAnsi="仿宋" w:eastAsia="仿宋" w:cs="仿宋"/>
                <w:color w:val="auto"/>
                <w:sz w:val="24"/>
                <w:highlight w:val="none"/>
              </w:rPr>
            </w:pPr>
          </w:p>
        </w:tc>
        <w:tc>
          <w:tcPr>
            <w:tcW w:w="1335" w:type="dxa"/>
          </w:tcPr>
          <w:p w14:paraId="56027A6F">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仿宋" w:hAnsi="仿宋" w:eastAsia="仿宋" w:cs="仿宋"/>
                <w:color w:val="auto"/>
                <w:sz w:val="24"/>
                <w:highlight w:val="none"/>
              </w:rPr>
            </w:pPr>
          </w:p>
        </w:tc>
      </w:tr>
      <w:tr w14:paraId="23896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861" w:type="dxa"/>
          </w:tcPr>
          <w:p w14:paraId="35F7E3F0">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仿宋" w:hAnsi="仿宋" w:eastAsia="仿宋" w:cs="仿宋"/>
                <w:color w:val="auto"/>
                <w:sz w:val="24"/>
                <w:highlight w:val="none"/>
              </w:rPr>
            </w:pPr>
          </w:p>
        </w:tc>
        <w:tc>
          <w:tcPr>
            <w:tcW w:w="1305" w:type="dxa"/>
          </w:tcPr>
          <w:p w14:paraId="4CA052EA">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仿宋" w:hAnsi="仿宋" w:eastAsia="仿宋" w:cs="仿宋"/>
                <w:color w:val="auto"/>
                <w:sz w:val="24"/>
                <w:highlight w:val="none"/>
              </w:rPr>
            </w:pPr>
          </w:p>
        </w:tc>
        <w:tc>
          <w:tcPr>
            <w:tcW w:w="1350" w:type="dxa"/>
          </w:tcPr>
          <w:p w14:paraId="355CD19D">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仿宋" w:hAnsi="仿宋" w:eastAsia="仿宋" w:cs="仿宋"/>
                <w:color w:val="auto"/>
                <w:sz w:val="24"/>
                <w:highlight w:val="none"/>
              </w:rPr>
            </w:pPr>
          </w:p>
        </w:tc>
        <w:tc>
          <w:tcPr>
            <w:tcW w:w="1530" w:type="dxa"/>
          </w:tcPr>
          <w:p w14:paraId="47E2FC0B">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仿宋" w:hAnsi="仿宋" w:eastAsia="仿宋" w:cs="仿宋"/>
                <w:color w:val="auto"/>
                <w:sz w:val="24"/>
                <w:highlight w:val="none"/>
              </w:rPr>
            </w:pPr>
          </w:p>
        </w:tc>
        <w:tc>
          <w:tcPr>
            <w:tcW w:w="1440" w:type="dxa"/>
          </w:tcPr>
          <w:p w14:paraId="0C50FA6E">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仿宋" w:hAnsi="仿宋" w:eastAsia="仿宋" w:cs="仿宋"/>
                <w:color w:val="auto"/>
                <w:sz w:val="24"/>
                <w:highlight w:val="none"/>
              </w:rPr>
            </w:pPr>
          </w:p>
        </w:tc>
        <w:tc>
          <w:tcPr>
            <w:tcW w:w="1335" w:type="dxa"/>
          </w:tcPr>
          <w:p w14:paraId="3433AAA3">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仿宋" w:hAnsi="仿宋" w:eastAsia="仿宋" w:cs="仿宋"/>
                <w:color w:val="auto"/>
                <w:sz w:val="24"/>
                <w:highlight w:val="none"/>
              </w:rPr>
            </w:pPr>
          </w:p>
        </w:tc>
      </w:tr>
      <w:tr w14:paraId="7682B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861" w:type="dxa"/>
          </w:tcPr>
          <w:p w14:paraId="178EB2FE">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仿宋" w:hAnsi="仿宋" w:eastAsia="仿宋" w:cs="仿宋"/>
                <w:color w:val="auto"/>
                <w:sz w:val="24"/>
                <w:highlight w:val="none"/>
              </w:rPr>
            </w:pPr>
          </w:p>
        </w:tc>
        <w:tc>
          <w:tcPr>
            <w:tcW w:w="1305" w:type="dxa"/>
          </w:tcPr>
          <w:p w14:paraId="06961E1B">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仿宋" w:hAnsi="仿宋" w:eastAsia="仿宋" w:cs="仿宋"/>
                <w:color w:val="auto"/>
                <w:sz w:val="24"/>
                <w:highlight w:val="none"/>
              </w:rPr>
            </w:pPr>
          </w:p>
        </w:tc>
        <w:tc>
          <w:tcPr>
            <w:tcW w:w="1350" w:type="dxa"/>
          </w:tcPr>
          <w:p w14:paraId="6673DE28">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仿宋" w:hAnsi="仿宋" w:eastAsia="仿宋" w:cs="仿宋"/>
                <w:color w:val="auto"/>
                <w:sz w:val="24"/>
                <w:highlight w:val="none"/>
              </w:rPr>
            </w:pPr>
          </w:p>
        </w:tc>
        <w:tc>
          <w:tcPr>
            <w:tcW w:w="1530" w:type="dxa"/>
          </w:tcPr>
          <w:p w14:paraId="272708D7">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仿宋" w:hAnsi="仿宋" w:eastAsia="仿宋" w:cs="仿宋"/>
                <w:color w:val="auto"/>
                <w:sz w:val="24"/>
                <w:highlight w:val="none"/>
              </w:rPr>
            </w:pPr>
          </w:p>
        </w:tc>
        <w:tc>
          <w:tcPr>
            <w:tcW w:w="1440" w:type="dxa"/>
          </w:tcPr>
          <w:p w14:paraId="0183AD0D">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仿宋" w:hAnsi="仿宋" w:eastAsia="仿宋" w:cs="仿宋"/>
                <w:color w:val="auto"/>
                <w:sz w:val="24"/>
                <w:highlight w:val="none"/>
              </w:rPr>
            </w:pPr>
          </w:p>
        </w:tc>
        <w:tc>
          <w:tcPr>
            <w:tcW w:w="1335" w:type="dxa"/>
          </w:tcPr>
          <w:p w14:paraId="19143E6A">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仿宋" w:hAnsi="仿宋" w:eastAsia="仿宋" w:cs="仿宋"/>
                <w:color w:val="auto"/>
                <w:sz w:val="24"/>
                <w:highlight w:val="none"/>
              </w:rPr>
            </w:pPr>
          </w:p>
        </w:tc>
      </w:tr>
    </w:tbl>
    <w:p w14:paraId="41C7BB57">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仿宋" w:hAnsi="仿宋" w:eastAsia="仿宋" w:cs="仿宋"/>
          <w:b/>
          <w:color w:val="auto"/>
          <w:sz w:val="24"/>
          <w:highlight w:val="none"/>
          <w:lang w:val="en-US" w:eastAsia="zh-CN"/>
        </w:rPr>
      </w:pPr>
      <w:r>
        <w:rPr>
          <w:rFonts w:hint="eastAsia" w:ascii="仿宋" w:hAnsi="仿宋" w:eastAsia="仿宋" w:cs="仿宋"/>
          <w:b w:val="0"/>
          <w:bCs/>
          <w:color w:val="auto"/>
          <w:sz w:val="24"/>
          <w:highlight w:val="none"/>
        </w:rPr>
        <w:t>注：</w:t>
      </w:r>
      <w:r>
        <w:rPr>
          <w:rFonts w:hint="eastAsia" w:ascii="仿宋" w:hAnsi="仿宋" w:eastAsia="仿宋" w:cs="仿宋"/>
          <w:b w:val="0"/>
          <w:bCs/>
          <w:color w:val="auto"/>
          <w:sz w:val="24"/>
          <w:highlight w:val="none"/>
          <w:lang w:val="en-US" w:eastAsia="zh-CN"/>
        </w:rPr>
        <w:t>提供评分标准中要求的相关材料附后。</w:t>
      </w:r>
    </w:p>
    <w:p w14:paraId="46BC237A">
      <w:pPr>
        <w:autoSpaceDE w:val="0"/>
        <w:autoSpaceDN w:val="0"/>
        <w:spacing w:line="360" w:lineRule="auto"/>
        <w:jc w:val="right"/>
        <w:rPr>
          <w:rFonts w:hint="eastAsia" w:ascii="仿宋" w:hAnsi="仿宋" w:eastAsia="仿宋" w:cs="仿宋"/>
          <w:color w:val="auto"/>
          <w:sz w:val="24"/>
          <w:highlight w:val="none"/>
        </w:rPr>
      </w:pPr>
    </w:p>
    <w:p w14:paraId="5B3AF03B">
      <w:pPr>
        <w:spacing w:line="336" w:lineRule="auto"/>
        <w:ind w:firstLine="3600" w:firstLineChars="150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lang w:eastAsia="zh-CN"/>
        </w:rPr>
        <w:t>电子签章</w:t>
      </w:r>
      <w:r>
        <w:rPr>
          <w:rFonts w:hint="eastAsia" w:ascii="仿宋" w:hAnsi="仿宋" w:eastAsia="仿宋" w:cs="仿宋"/>
          <w:color w:val="auto"/>
          <w:sz w:val="24"/>
          <w:highlight w:val="none"/>
        </w:rPr>
        <w:t xml:space="preserve">）：                          </w:t>
      </w:r>
    </w:p>
    <w:p w14:paraId="7E24621B">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jc w:val="center"/>
        <w:textAlignment w:val="auto"/>
        <w:rPr>
          <w:rFonts w:hint="eastAsia" w:ascii="仿宋" w:hAnsi="仿宋" w:eastAsia="仿宋" w:cs="仿宋"/>
          <w:b/>
          <w:color w:val="auto"/>
          <w:kern w:val="0"/>
          <w:sz w:val="32"/>
          <w:szCs w:val="32"/>
          <w:highlight w:val="none"/>
          <w:lang w:val="en-US" w:eastAsia="zh-CN"/>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  年   月   日</w:t>
      </w:r>
    </w:p>
    <w:p w14:paraId="3DD4268C">
      <w:pPr>
        <w:spacing w:line="336" w:lineRule="auto"/>
        <w:jc w:val="center"/>
        <w:rPr>
          <w:rFonts w:hint="eastAsia" w:ascii="仿宋" w:hAnsi="仿宋" w:eastAsia="仿宋" w:cs="仿宋"/>
          <w:b/>
          <w:bCs/>
          <w:color w:val="auto"/>
          <w:sz w:val="32"/>
          <w:szCs w:val="32"/>
          <w:highlight w:val="none"/>
          <w:lang w:eastAsia="zh-CN"/>
        </w:rPr>
      </w:pPr>
    </w:p>
    <w:p w14:paraId="1BF107B6">
      <w:pPr>
        <w:spacing w:line="336" w:lineRule="auto"/>
        <w:jc w:val="center"/>
        <w:rPr>
          <w:rFonts w:hint="eastAsia" w:ascii="仿宋" w:hAnsi="仿宋" w:eastAsia="仿宋" w:cs="仿宋"/>
          <w:b/>
          <w:bCs/>
          <w:color w:val="auto"/>
          <w:sz w:val="32"/>
          <w:szCs w:val="32"/>
          <w:highlight w:val="none"/>
          <w:lang w:val="en-US" w:eastAsia="zh-CN"/>
        </w:rPr>
      </w:pPr>
    </w:p>
    <w:p w14:paraId="69435E0C">
      <w:pPr>
        <w:keepNext w:val="0"/>
        <w:keepLines w:val="0"/>
        <w:pageBreakBefore w:val="0"/>
        <w:widowControl w:val="0"/>
        <w:kinsoku/>
        <w:wordWrap/>
        <w:overflowPunct/>
        <w:topLinePunct w:val="0"/>
        <w:bidi w:val="0"/>
        <w:adjustRightInd w:val="0"/>
        <w:snapToGrid/>
        <w:spacing w:line="360" w:lineRule="auto"/>
        <w:jc w:val="center"/>
        <w:textAlignment w:val="auto"/>
        <w:rPr>
          <w:rFonts w:hint="eastAsia" w:ascii="仿宋" w:hAnsi="仿宋" w:eastAsia="仿宋" w:cs="仿宋"/>
          <w:b/>
          <w:color w:val="auto"/>
          <w:kern w:val="0"/>
          <w:sz w:val="32"/>
          <w:szCs w:val="32"/>
          <w:highlight w:val="none"/>
        </w:rPr>
      </w:pPr>
      <w:r>
        <w:rPr>
          <w:rFonts w:hint="eastAsia" w:ascii="仿宋" w:hAnsi="仿宋" w:eastAsia="仿宋" w:cs="仿宋"/>
          <w:b/>
          <w:bCs/>
          <w:color w:val="auto"/>
          <w:sz w:val="32"/>
          <w:szCs w:val="32"/>
          <w:highlight w:val="none"/>
          <w:lang w:val="en-US" w:eastAsia="zh-CN"/>
        </w:rPr>
        <w:t>十</w:t>
      </w:r>
      <w:r>
        <w:rPr>
          <w:rFonts w:hint="eastAsia" w:ascii="仿宋" w:hAnsi="仿宋" w:eastAsia="仿宋" w:cs="仿宋"/>
          <w:b/>
          <w:bCs/>
          <w:color w:val="auto"/>
          <w:sz w:val="32"/>
          <w:szCs w:val="32"/>
          <w:highlight w:val="none"/>
        </w:rPr>
        <w:t>、</w:t>
      </w:r>
      <w:r>
        <w:rPr>
          <w:rFonts w:hint="eastAsia" w:ascii="仿宋" w:hAnsi="仿宋" w:eastAsia="仿宋" w:cs="仿宋"/>
          <w:b/>
          <w:color w:val="auto"/>
          <w:kern w:val="0"/>
          <w:sz w:val="32"/>
          <w:szCs w:val="32"/>
          <w:highlight w:val="none"/>
          <w:lang w:val="en-US" w:eastAsia="zh-CN"/>
        </w:rPr>
        <w:t>技术</w:t>
      </w:r>
      <w:r>
        <w:rPr>
          <w:rFonts w:hint="eastAsia" w:ascii="仿宋" w:hAnsi="仿宋" w:eastAsia="仿宋" w:cs="仿宋"/>
          <w:b/>
          <w:color w:val="auto"/>
          <w:kern w:val="0"/>
          <w:sz w:val="32"/>
          <w:szCs w:val="32"/>
          <w:highlight w:val="none"/>
          <w:lang w:val="zh-CN"/>
        </w:rPr>
        <w:t>响应</w:t>
      </w:r>
      <w:r>
        <w:rPr>
          <w:rFonts w:hint="eastAsia" w:ascii="仿宋" w:hAnsi="仿宋" w:eastAsia="仿宋" w:cs="仿宋"/>
          <w:b/>
          <w:color w:val="auto"/>
          <w:kern w:val="0"/>
          <w:sz w:val="32"/>
          <w:szCs w:val="32"/>
          <w:highlight w:val="none"/>
        </w:rPr>
        <w:t>表</w:t>
      </w:r>
    </w:p>
    <w:p w14:paraId="28340873">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jc w:val="center"/>
        <w:textAlignment w:val="auto"/>
        <w:rPr>
          <w:rFonts w:hint="eastAsia" w:ascii="仿宋" w:hAnsi="仿宋" w:eastAsia="仿宋" w:cs="仿宋"/>
          <w:b/>
          <w:color w:val="auto"/>
          <w:kern w:val="0"/>
          <w:sz w:val="32"/>
          <w:szCs w:val="32"/>
          <w:highlight w:val="none"/>
        </w:rPr>
      </w:pPr>
      <w:r>
        <w:rPr>
          <w:rFonts w:hint="eastAsia" w:ascii="仿宋" w:hAnsi="仿宋" w:eastAsia="仿宋" w:cs="仿宋"/>
          <w:color w:val="auto"/>
          <w:sz w:val="24"/>
          <w:highlight w:val="none"/>
        </w:rPr>
        <w:t>（由投标人根据采购需求及招标文件要求编制）</w:t>
      </w:r>
    </w:p>
    <w:tbl>
      <w:tblPr>
        <w:tblStyle w:val="66"/>
        <w:tblW w:w="9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1417"/>
        <w:gridCol w:w="2835"/>
        <w:gridCol w:w="2835"/>
        <w:gridCol w:w="1260"/>
      </w:tblGrid>
      <w:tr w14:paraId="12EE8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4" w:type="dxa"/>
            <w:vAlign w:val="center"/>
          </w:tcPr>
          <w:p w14:paraId="7C0E9EB7">
            <w:pPr>
              <w:adjustRightInd/>
              <w:spacing w:line="380" w:lineRule="exact"/>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417" w:type="dxa"/>
            <w:vAlign w:val="center"/>
          </w:tcPr>
          <w:p w14:paraId="66778154">
            <w:pPr>
              <w:adjustRightInd/>
              <w:spacing w:line="380" w:lineRule="exact"/>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名称</w:t>
            </w:r>
          </w:p>
        </w:tc>
        <w:tc>
          <w:tcPr>
            <w:tcW w:w="2835" w:type="dxa"/>
            <w:vAlign w:val="center"/>
          </w:tcPr>
          <w:p w14:paraId="606EFB11">
            <w:pPr>
              <w:adjustRightInd/>
              <w:spacing w:line="380" w:lineRule="exact"/>
              <w:jc w:val="center"/>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招标文件</w:t>
            </w:r>
            <w:r>
              <w:rPr>
                <w:rFonts w:hint="eastAsia" w:ascii="仿宋" w:hAnsi="仿宋" w:eastAsia="仿宋" w:cs="仿宋"/>
                <w:color w:val="auto"/>
                <w:sz w:val="24"/>
                <w:szCs w:val="24"/>
                <w:highlight w:val="none"/>
                <w:lang w:val="en-US" w:eastAsia="zh-CN"/>
              </w:rPr>
              <w:t>要求</w:t>
            </w:r>
          </w:p>
        </w:tc>
        <w:tc>
          <w:tcPr>
            <w:tcW w:w="2835" w:type="dxa"/>
            <w:vAlign w:val="center"/>
          </w:tcPr>
          <w:p w14:paraId="02DAE5A8">
            <w:pPr>
              <w:adjustRightInd/>
              <w:spacing w:line="380" w:lineRule="exact"/>
              <w:jc w:val="center"/>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投标文件</w:t>
            </w:r>
            <w:r>
              <w:rPr>
                <w:rFonts w:hint="eastAsia" w:ascii="仿宋" w:hAnsi="仿宋" w:eastAsia="仿宋" w:cs="仿宋"/>
                <w:color w:val="auto"/>
                <w:sz w:val="24"/>
                <w:szCs w:val="24"/>
                <w:highlight w:val="none"/>
                <w:lang w:val="en-US" w:eastAsia="zh-CN"/>
              </w:rPr>
              <w:t>响应</w:t>
            </w:r>
          </w:p>
        </w:tc>
        <w:tc>
          <w:tcPr>
            <w:tcW w:w="1260" w:type="dxa"/>
            <w:vAlign w:val="center"/>
          </w:tcPr>
          <w:p w14:paraId="46C04E45">
            <w:pPr>
              <w:adjustRightInd/>
              <w:spacing w:line="380" w:lineRule="exact"/>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偏离说明</w:t>
            </w:r>
          </w:p>
        </w:tc>
      </w:tr>
      <w:tr w14:paraId="1CAC2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4" w:type="dxa"/>
            <w:vAlign w:val="center"/>
          </w:tcPr>
          <w:p w14:paraId="2F4F4C1F">
            <w:pPr>
              <w:adjustRightInd/>
              <w:spacing w:line="380" w:lineRule="exact"/>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417" w:type="dxa"/>
          </w:tcPr>
          <w:p w14:paraId="3ABC3A63">
            <w:pPr>
              <w:adjustRightInd/>
              <w:spacing w:line="380" w:lineRule="exact"/>
              <w:jc w:val="center"/>
              <w:outlineLvl w:val="9"/>
              <w:rPr>
                <w:rFonts w:hint="eastAsia" w:ascii="仿宋" w:hAnsi="仿宋" w:eastAsia="仿宋" w:cs="仿宋"/>
                <w:color w:val="auto"/>
                <w:sz w:val="24"/>
                <w:szCs w:val="24"/>
                <w:highlight w:val="none"/>
              </w:rPr>
            </w:pPr>
          </w:p>
        </w:tc>
        <w:tc>
          <w:tcPr>
            <w:tcW w:w="2835" w:type="dxa"/>
          </w:tcPr>
          <w:p w14:paraId="75CCF842">
            <w:pPr>
              <w:adjustRightInd/>
              <w:spacing w:line="380" w:lineRule="exact"/>
              <w:jc w:val="center"/>
              <w:outlineLvl w:val="9"/>
              <w:rPr>
                <w:rFonts w:hint="eastAsia" w:ascii="仿宋" w:hAnsi="仿宋" w:eastAsia="仿宋" w:cs="仿宋"/>
                <w:color w:val="auto"/>
                <w:sz w:val="24"/>
                <w:szCs w:val="24"/>
                <w:highlight w:val="none"/>
              </w:rPr>
            </w:pPr>
          </w:p>
        </w:tc>
        <w:tc>
          <w:tcPr>
            <w:tcW w:w="2835" w:type="dxa"/>
          </w:tcPr>
          <w:p w14:paraId="0965721F">
            <w:pPr>
              <w:adjustRightInd/>
              <w:spacing w:line="380" w:lineRule="exact"/>
              <w:jc w:val="center"/>
              <w:outlineLvl w:val="9"/>
              <w:rPr>
                <w:rFonts w:hint="eastAsia" w:ascii="仿宋" w:hAnsi="仿宋" w:eastAsia="仿宋" w:cs="仿宋"/>
                <w:color w:val="auto"/>
                <w:sz w:val="24"/>
                <w:szCs w:val="24"/>
                <w:highlight w:val="none"/>
              </w:rPr>
            </w:pPr>
          </w:p>
        </w:tc>
        <w:tc>
          <w:tcPr>
            <w:tcW w:w="1260" w:type="dxa"/>
          </w:tcPr>
          <w:p w14:paraId="3C0181F3">
            <w:pPr>
              <w:adjustRightInd/>
              <w:spacing w:line="380" w:lineRule="exact"/>
              <w:jc w:val="center"/>
              <w:outlineLvl w:val="9"/>
              <w:rPr>
                <w:rFonts w:hint="eastAsia" w:ascii="仿宋" w:hAnsi="仿宋" w:eastAsia="仿宋" w:cs="仿宋"/>
                <w:color w:val="auto"/>
                <w:sz w:val="24"/>
                <w:szCs w:val="24"/>
                <w:highlight w:val="none"/>
              </w:rPr>
            </w:pPr>
          </w:p>
        </w:tc>
      </w:tr>
      <w:tr w14:paraId="5F22A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4" w:type="dxa"/>
            <w:vAlign w:val="center"/>
          </w:tcPr>
          <w:p w14:paraId="20C7A894">
            <w:pPr>
              <w:adjustRightInd/>
              <w:spacing w:line="380" w:lineRule="exact"/>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1417" w:type="dxa"/>
          </w:tcPr>
          <w:p w14:paraId="7BD44EC6">
            <w:pPr>
              <w:adjustRightInd/>
              <w:spacing w:line="380" w:lineRule="exact"/>
              <w:jc w:val="center"/>
              <w:outlineLvl w:val="9"/>
              <w:rPr>
                <w:rFonts w:hint="eastAsia" w:ascii="仿宋" w:hAnsi="仿宋" w:eastAsia="仿宋" w:cs="仿宋"/>
                <w:color w:val="auto"/>
                <w:sz w:val="24"/>
                <w:szCs w:val="24"/>
                <w:highlight w:val="none"/>
              </w:rPr>
            </w:pPr>
          </w:p>
        </w:tc>
        <w:tc>
          <w:tcPr>
            <w:tcW w:w="2835" w:type="dxa"/>
          </w:tcPr>
          <w:p w14:paraId="15344FDD">
            <w:pPr>
              <w:adjustRightInd/>
              <w:spacing w:line="380" w:lineRule="exact"/>
              <w:jc w:val="center"/>
              <w:outlineLvl w:val="9"/>
              <w:rPr>
                <w:rFonts w:hint="eastAsia" w:ascii="仿宋" w:hAnsi="仿宋" w:eastAsia="仿宋" w:cs="仿宋"/>
                <w:color w:val="auto"/>
                <w:sz w:val="24"/>
                <w:szCs w:val="24"/>
                <w:highlight w:val="none"/>
              </w:rPr>
            </w:pPr>
          </w:p>
        </w:tc>
        <w:tc>
          <w:tcPr>
            <w:tcW w:w="2835" w:type="dxa"/>
          </w:tcPr>
          <w:p w14:paraId="4DE65EE0">
            <w:pPr>
              <w:adjustRightInd/>
              <w:spacing w:line="380" w:lineRule="exact"/>
              <w:jc w:val="center"/>
              <w:outlineLvl w:val="9"/>
              <w:rPr>
                <w:rFonts w:hint="eastAsia" w:ascii="仿宋" w:hAnsi="仿宋" w:eastAsia="仿宋" w:cs="仿宋"/>
                <w:color w:val="auto"/>
                <w:sz w:val="24"/>
                <w:szCs w:val="24"/>
                <w:highlight w:val="none"/>
              </w:rPr>
            </w:pPr>
          </w:p>
        </w:tc>
        <w:tc>
          <w:tcPr>
            <w:tcW w:w="1260" w:type="dxa"/>
          </w:tcPr>
          <w:p w14:paraId="317F4E6E">
            <w:pPr>
              <w:adjustRightInd/>
              <w:spacing w:line="380" w:lineRule="exact"/>
              <w:jc w:val="center"/>
              <w:outlineLvl w:val="9"/>
              <w:rPr>
                <w:rFonts w:hint="eastAsia" w:ascii="仿宋" w:hAnsi="仿宋" w:eastAsia="仿宋" w:cs="仿宋"/>
                <w:color w:val="auto"/>
                <w:sz w:val="24"/>
                <w:szCs w:val="24"/>
                <w:highlight w:val="none"/>
              </w:rPr>
            </w:pPr>
          </w:p>
        </w:tc>
      </w:tr>
    </w:tbl>
    <w:p w14:paraId="55D4F462">
      <w:pPr>
        <w:spacing w:line="360" w:lineRule="auto"/>
        <w:ind w:right="420"/>
        <w:rPr>
          <w:rFonts w:hint="eastAsia" w:ascii="仿宋" w:hAnsi="仿宋" w:eastAsia="仿宋" w:cs="仿宋"/>
          <w:b/>
          <w:bCs/>
          <w:color w:val="auto"/>
          <w:sz w:val="32"/>
          <w:szCs w:val="32"/>
          <w:highlight w:val="none"/>
        </w:rPr>
      </w:pPr>
    </w:p>
    <w:p w14:paraId="2104DC8C">
      <w:pPr>
        <w:autoSpaceDE w:val="0"/>
        <w:autoSpaceDN w:val="0"/>
        <w:spacing w:line="360" w:lineRule="auto"/>
        <w:ind w:left="2" w:leftChars="1" w:right="1120" w:firstLine="4560" w:firstLineChars="19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投标人名称（</w:t>
      </w:r>
      <w:r>
        <w:rPr>
          <w:rFonts w:hint="eastAsia" w:ascii="仿宋" w:hAnsi="仿宋" w:eastAsia="仿宋" w:cs="仿宋"/>
          <w:color w:val="auto"/>
          <w:sz w:val="24"/>
          <w:highlight w:val="none"/>
          <w:lang w:eastAsia="zh-CN"/>
        </w:rPr>
        <w:t>电子签章</w:t>
      </w:r>
      <w:r>
        <w:rPr>
          <w:rFonts w:hint="eastAsia" w:ascii="仿宋" w:hAnsi="仿宋" w:eastAsia="仿宋" w:cs="仿宋"/>
          <w:color w:val="auto"/>
          <w:kern w:val="0"/>
          <w:sz w:val="24"/>
          <w:highlight w:val="none"/>
          <w:lang w:val="zh-CN"/>
        </w:rPr>
        <w:t xml:space="preserve">）：                                                                                                                                                                                                               </w:t>
      </w:r>
    </w:p>
    <w:p w14:paraId="5DA0C5BF">
      <w:pPr>
        <w:ind w:firstLine="4560" w:firstLineChars="1900"/>
        <w:rPr>
          <w:rFonts w:hint="eastAsia" w:ascii="仿宋" w:hAnsi="仿宋" w:eastAsia="仿宋" w:cs="仿宋"/>
          <w:b/>
          <w:bCs/>
          <w:color w:val="auto"/>
          <w:sz w:val="32"/>
          <w:szCs w:val="32"/>
          <w:highlight w:val="none"/>
          <w:lang w:eastAsia="zh-CN"/>
        </w:rPr>
      </w:pPr>
      <w:r>
        <w:rPr>
          <w:rFonts w:hint="eastAsia" w:ascii="仿宋" w:hAnsi="仿宋" w:eastAsia="仿宋" w:cs="仿宋"/>
          <w:color w:val="auto"/>
          <w:kern w:val="0"/>
          <w:sz w:val="24"/>
          <w:highlight w:val="none"/>
          <w:lang w:val="zh-CN"/>
        </w:rPr>
        <w:t>日期</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zh-CN"/>
        </w:rPr>
        <w:t xml:space="preserve">   年   月   日</w:t>
      </w:r>
    </w:p>
    <w:p w14:paraId="07A7C914">
      <w:pPr>
        <w:widowControl/>
        <w:adjustRightInd/>
        <w:jc w:val="center"/>
        <w:rPr>
          <w:rFonts w:hint="eastAsia" w:ascii="仿宋" w:hAnsi="仿宋" w:eastAsia="仿宋" w:cs="仿宋"/>
          <w:b/>
          <w:bCs/>
          <w:color w:val="auto"/>
          <w:sz w:val="32"/>
          <w:szCs w:val="32"/>
          <w:highlight w:val="none"/>
          <w:lang w:val="en-US" w:eastAsia="zh-CN"/>
        </w:rPr>
      </w:pPr>
    </w:p>
    <w:p w14:paraId="3A5C9ED5">
      <w:pPr>
        <w:keepNext w:val="0"/>
        <w:keepLines w:val="0"/>
        <w:pageBreakBefore w:val="0"/>
        <w:kinsoku/>
        <w:wordWrap/>
        <w:overflowPunct/>
        <w:topLinePunct w:val="0"/>
        <w:autoSpaceDE/>
        <w:autoSpaceDN/>
        <w:bidi w:val="0"/>
        <w:spacing w:line="360" w:lineRule="auto"/>
        <w:ind w:left="0" w:leftChars="0" w:right="-21" w:rightChars="-10" w:firstLine="0" w:firstLineChars="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投标人应根据</w:t>
      </w:r>
      <w:r>
        <w:rPr>
          <w:rFonts w:hint="eastAsia" w:ascii="仿宋" w:hAnsi="仿宋" w:eastAsia="仿宋" w:cs="仿宋"/>
          <w:color w:val="auto"/>
          <w:sz w:val="24"/>
          <w:szCs w:val="24"/>
          <w:highlight w:val="none"/>
          <w:lang w:val="en-US" w:eastAsia="zh-CN"/>
        </w:rPr>
        <w:t>采购需求</w:t>
      </w:r>
      <w:r>
        <w:rPr>
          <w:rFonts w:hint="eastAsia" w:ascii="仿宋" w:hAnsi="仿宋" w:eastAsia="仿宋" w:cs="仿宋"/>
          <w:color w:val="auto"/>
          <w:sz w:val="24"/>
          <w:szCs w:val="24"/>
          <w:highlight w:val="none"/>
        </w:rPr>
        <w:t>、对照</w:t>
      </w:r>
      <w:r>
        <w:rPr>
          <w:rFonts w:hint="eastAsia" w:ascii="仿宋" w:hAnsi="仿宋" w:eastAsia="仿宋" w:cs="仿宋"/>
          <w:color w:val="auto"/>
          <w:kern w:val="2"/>
          <w:sz w:val="24"/>
          <w:szCs w:val="24"/>
          <w:highlight w:val="none"/>
          <w:lang w:val="en-US" w:eastAsia="zh-CN" w:bidi="ar-SA"/>
        </w:rPr>
        <w:t>招标文件</w:t>
      </w:r>
      <w:r>
        <w:rPr>
          <w:rFonts w:hint="eastAsia" w:ascii="仿宋" w:hAnsi="仿宋" w:eastAsia="仿宋" w:cs="仿宋"/>
          <w:color w:val="auto"/>
          <w:sz w:val="24"/>
          <w:szCs w:val="24"/>
          <w:highlight w:val="none"/>
        </w:rPr>
        <w:t>要求在“偏离情况”栏注明“正偏离”、“负偏离”或“无偏离”。</w:t>
      </w:r>
    </w:p>
    <w:p w14:paraId="23E875B8">
      <w:pPr>
        <w:spacing w:line="336" w:lineRule="auto"/>
        <w:jc w:val="both"/>
        <w:rPr>
          <w:rFonts w:hint="eastAsia" w:ascii="仿宋" w:hAnsi="仿宋" w:eastAsia="仿宋" w:cs="仿宋"/>
          <w:b/>
          <w:bCs/>
          <w:color w:val="auto"/>
          <w:sz w:val="32"/>
          <w:szCs w:val="32"/>
          <w:highlight w:val="none"/>
          <w:lang w:eastAsia="zh-CN"/>
        </w:rPr>
      </w:pPr>
      <w:r>
        <w:rPr>
          <w:rFonts w:hint="eastAsia" w:ascii="仿宋" w:hAnsi="仿宋" w:eastAsia="仿宋" w:cs="仿宋"/>
          <w:color w:val="auto"/>
          <w:kern w:val="2"/>
          <w:sz w:val="24"/>
          <w:szCs w:val="24"/>
          <w:highlight w:val="none"/>
          <w:lang w:val="en-US" w:eastAsia="zh-CN" w:bidi="ar-SA"/>
        </w:rPr>
        <w:t>2.</w:t>
      </w:r>
      <w:r>
        <w:rPr>
          <w:rFonts w:hint="eastAsia" w:ascii="仿宋" w:hAnsi="仿宋" w:eastAsia="仿宋" w:cs="仿宋"/>
          <w:b w:val="0"/>
          <w:bCs w:val="0"/>
          <w:color w:val="auto"/>
          <w:sz w:val="24"/>
          <w:szCs w:val="24"/>
          <w:highlight w:val="none"/>
          <w:lang w:val="en-US" w:eastAsia="zh-CN"/>
        </w:rPr>
        <w:t>结合采购需求及评分标准将相关证明材料附后。</w:t>
      </w:r>
    </w:p>
    <w:p w14:paraId="3AB01A0F">
      <w:pPr>
        <w:keepNext w:val="0"/>
        <w:keepLines w:val="0"/>
        <w:pageBreakBefore w:val="0"/>
        <w:widowControl w:val="0"/>
        <w:kinsoku/>
        <w:wordWrap/>
        <w:overflowPunct/>
        <w:topLinePunct w:val="0"/>
        <w:bidi w:val="0"/>
        <w:adjustRightInd w:val="0"/>
        <w:snapToGrid/>
        <w:spacing w:line="360" w:lineRule="auto"/>
        <w:jc w:val="center"/>
        <w:textAlignment w:val="auto"/>
        <w:rPr>
          <w:rFonts w:hint="eastAsia" w:ascii="仿宋" w:hAnsi="仿宋" w:eastAsia="仿宋" w:cs="仿宋"/>
          <w:b/>
          <w:color w:val="auto"/>
          <w:kern w:val="0"/>
          <w:sz w:val="32"/>
          <w:szCs w:val="32"/>
          <w:highlight w:val="none"/>
          <w:lang w:val="en-US" w:eastAsia="zh-CN"/>
        </w:rPr>
      </w:pPr>
    </w:p>
    <w:p w14:paraId="524ECF6E">
      <w:pPr>
        <w:ind w:firstLine="2249" w:firstLineChars="700"/>
        <w:rPr>
          <w:rFonts w:hint="eastAsia" w:ascii="仿宋" w:hAnsi="仿宋" w:eastAsia="仿宋" w:cs="仿宋"/>
          <w:b/>
          <w:bCs/>
          <w:color w:val="auto"/>
          <w:sz w:val="32"/>
          <w:szCs w:val="32"/>
          <w:highlight w:val="none"/>
          <w:lang w:eastAsia="zh-CN"/>
        </w:rPr>
      </w:pPr>
    </w:p>
    <w:p w14:paraId="5F9F25DE">
      <w:pPr>
        <w:jc w:val="center"/>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lang w:eastAsia="zh-CN"/>
        </w:rPr>
        <w:t>十</w:t>
      </w:r>
      <w:r>
        <w:rPr>
          <w:rFonts w:hint="eastAsia" w:ascii="仿宋" w:hAnsi="仿宋" w:eastAsia="仿宋" w:cs="仿宋"/>
          <w:b/>
          <w:bCs/>
          <w:color w:val="auto"/>
          <w:sz w:val="32"/>
          <w:szCs w:val="32"/>
          <w:highlight w:val="none"/>
          <w:lang w:val="en-US" w:eastAsia="zh-CN"/>
        </w:rPr>
        <w:t>一</w:t>
      </w:r>
      <w:r>
        <w:rPr>
          <w:rFonts w:hint="eastAsia" w:ascii="仿宋" w:hAnsi="仿宋" w:eastAsia="仿宋" w:cs="仿宋"/>
          <w:b/>
          <w:bCs/>
          <w:color w:val="auto"/>
          <w:sz w:val="32"/>
          <w:szCs w:val="32"/>
          <w:highlight w:val="none"/>
        </w:rPr>
        <w:t>、</w:t>
      </w:r>
      <w:r>
        <w:rPr>
          <w:rFonts w:hint="eastAsia" w:ascii="仿宋" w:hAnsi="仿宋" w:eastAsia="仿宋" w:cs="仿宋"/>
          <w:b/>
          <w:bCs/>
          <w:color w:val="auto"/>
          <w:sz w:val="32"/>
          <w:szCs w:val="32"/>
          <w:highlight w:val="none"/>
          <w:lang w:val="en-US" w:eastAsia="zh-CN"/>
        </w:rPr>
        <w:t>人员技术力量配置</w:t>
      </w:r>
    </w:p>
    <w:p w14:paraId="1DCD7BA9">
      <w:pPr>
        <w:spacing w:line="360" w:lineRule="auto"/>
        <w:ind w:firstLine="480" w:firstLineChars="200"/>
        <w:jc w:val="center"/>
        <w:rPr>
          <w:rFonts w:hint="eastAsia" w:ascii="仿宋" w:hAnsi="仿宋" w:eastAsia="仿宋" w:cs="仿宋"/>
          <w:color w:val="auto"/>
          <w:sz w:val="24"/>
          <w:szCs w:val="20"/>
          <w:highlight w:val="none"/>
        </w:rPr>
      </w:pPr>
      <w:r>
        <w:rPr>
          <w:rFonts w:hint="eastAsia" w:ascii="仿宋" w:hAnsi="仿宋" w:eastAsia="仿宋" w:cs="仿宋"/>
          <w:color w:val="auto"/>
          <w:sz w:val="24"/>
          <w:highlight w:val="none"/>
        </w:rPr>
        <w:t>（由投标人根据采购需求及招标文件</w:t>
      </w:r>
      <w:r>
        <w:rPr>
          <w:rFonts w:hint="eastAsia" w:ascii="仿宋" w:hAnsi="仿宋" w:eastAsia="仿宋" w:cs="仿宋"/>
          <w:color w:val="auto"/>
          <w:sz w:val="24"/>
          <w:highlight w:val="none"/>
          <w:lang w:val="en-US" w:eastAsia="zh-CN"/>
        </w:rPr>
        <w:t>评分</w:t>
      </w:r>
      <w:r>
        <w:rPr>
          <w:rFonts w:hint="eastAsia" w:ascii="仿宋" w:hAnsi="仿宋" w:eastAsia="仿宋" w:cs="仿宋"/>
          <w:color w:val="auto"/>
          <w:sz w:val="24"/>
          <w:highlight w:val="none"/>
        </w:rPr>
        <w:t>要求编制）</w:t>
      </w:r>
    </w:p>
    <w:p w14:paraId="26D88D3E">
      <w:pPr>
        <w:spacing w:line="336" w:lineRule="auto"/>
        <w:ind w:firstLine="3600" w:firstLineChars="1500"/>
        <w:rPr>
          <w:rFonts w:hint="eastAsia" w:ascii="仿宋" w:hAnsi="仿宋" w:eastAsia="仿宋" w:cs="仿宋"/>
          <w:color w:val="auto"/>
          <w:sz w:val="24"/>
          <w:highlight w:val="none"/>
          <w:lang w:eastAsia="zh-CN"/>
        </w:rPr>
      </w:pPr>
    </w:p>
    <w:p w14:paraId="37CF4010">
      <w:pPr>
        <w:spacing w:line="336" w:lineRule="auto"/>
        <w:ind w:firstLine="3600" w:firstLineChars="15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lang w:eastAsia="zh-CN"/>
        </w:rPr>
        <w:t>电子签章</w:t>
      </w:r>
      <w:r>
        <w:rPr>
          <w:rFonts w:hint="eastAsia" w:ascii="仿宋" w:hAnsi="仿宋" w:eastAsia="仿宋" w:cs="仿宋"/>
          <w:color w:val="auto"/>
          <w:sz w:val="24"/>
          <w:highlight w:val="none"/>
        </w:rPr>
        <w:t xml:space="preserve">）：                          </w:t>
      </w:r>
    </w:p>
    <w:p w14:paraId="2FA7F75F">
      <w:pPr>
        <w:spacing w:line="336" w:lineRule="auto"/>
        <w:jc w:val="center"/>
        <w:rPr>
          <w:rFonts w:hint="eastAsia" w:ascii="仿宋" w:hAnsi="仿宋" w:eastAsia="仿宋" w:cs="仿宋"/>
          <w:b/>
          <w:bCs/>
          <w:color w:val="auto"/>
          <w:sz w:val="32"/>
          <w:szCs w:val="32"/>
          <w:highlight w:val="none"/>
          <w:lang w:eastAsia="zh-CN"/>
        </w:rPr>
      </w:pPr>
      <w:r>
        <w:rPr>
          <w:rFonts w:hint="eastAsia" w:ascii="仿宋" w:hAnsi="仿宋" w:eastAsia="仿宋" w:cs="仿宋"/>
          <w:color w:val="auto"/>
          <w:sz w:val="24"/>
          <w:highlight w:val="none"/>
        </w:rPr>
        <w:t xml:space="preserve">     日期：  年   月   日</w:t>
      </w:r>
    </w:p>
    <w:p w14:paraId="305640CB">
      <w:pPr>
        <w:spacing w:line="336" w:lineRule="auto"/>
        <w:jc w:val="both"/>
        <w:rPr>
          <w:rFonts w:hint="eastAsia" w:ascii="仿宋" w:hAnsi="仿宋" w:eastAsia="仿宋" w:cs="仿宋"/>
          <w:b/>
          <w:bCs/>
          <w:color w:val="auto"/>
          <w:sz w:val="32"/>
          <w:szCs w:val="32"/>
          <w:highlight w:val="none"/>
          <w:lang w:eastAsia="zh-CN"/>
        </w:rPr>
      </w:pPr>
    </w:p>
    <w:p w14:paraId="11E5B4DC">
      <w:pPr>
        <w:spacing w:line="336" w:lineRule="auto"/>
        <w:jc w:val="center"/>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lang w:eastAsia="zh-CN"/>
        </w:rPr>
        <w:t>十</w:t>
      </w:r>
      <w:r>
        <w:rPr>
          <w:rFonts w:hint="eastAsia" w:ascii="仿宋" w:hAnsi="仿宋" w:eastAsia="仿宋" w:cs="仿宋"/>
          <w:b/>
          <w:bCs/>
          <w:color w:val="auto"/>
          <w:sz w:val="32"/>
          <w:szCs w:val="32"/>
          <w:highlight w:val="none"/>
          <w:lang w:val="en-US" w:eastAsia="zh-CN"/>
        </w:rPr>
        <w:t>二</w:t>
      </w:r>
      <w:r>
        <w:rPr>
          <w:rFonts w:hint="eastAsia" w:ascii="仿宋" w:hAnsi="仿宋" w:eastAsia="仿宋" w:cs="仿宋"/>
          <w:b/>
          <w:bCs/>
          <w:color w:val="auto"/>
          <w:sz w:val="32"/>
          <w:szCs w:val="32"/>
          <w:highlight w:val="none"/>
        </w:rPr>
        <w:t>、</w:t>
      </w:r>
      <w:r>
        <w:rPr>
          <w:rFonts w:hint="eastAsia" w:ascii="仿宋" w:hAnsi="仿宋" w:eastAsia="仿宋" w:cs="仿宋"/>
          <w:b/>
          <w:bCs/>
          <w:color w:val="auto"/>
          <w:sz w:val="32"/>
          <w:szCs w:val="32"/>
          <w:highlight w:val="none"/>
          <w:lang w:eastAsia="zh-CN"/>
        </w:rPr>
        <w:t>软件技术方案</w:t>
      </w:r>
    </w:p>
    <w:p w14:paraId="1CB7B3D4">
      <w:pPr>
        <w:autoSpaceDE w:val="0"/>
        <w:autoSpaceDN w:val="0"/>
        <w:spacing w:line="360" w:lineRule="auto"/>
        <w:jc w:val="center"/>
        <w:rPr>
          <w:rFonts w:hint="eastAsia" w:ascii="仿宋" w:hAnsi="仿宋" w:eastAsia="仿宋" w:cs="仿宋"/>
          <w:color w:val="auto"/>
          <w:highlight w:val="none"/>
        </w:rPr>
      </w:pPr>
      <w:r>
        <w:rPr>
          <w:rFonts w:hint="eastAsia" w:ascii="仿宋" w:hAnsi="仿宋" w:eastAsia="仿宋" w:cs="仿宋"/>
          <w:color w:val="auto"/>
          <w:sz w:val="24"/>
          <w:highlight w:val="none"/>
        </w:rPr>
        <w:t>（由投标人根据采购需求及招标文件</w:t>
      </w:r>
      <w:r>
        <w:rPr>
          <w:rFonts w:hint="eastAsia" w:ascii="仿宋" w:hAnsi="仿宋" w:eastAsia="仿宋" w:cs="仿宋"/>
          <w:color w:val="auto"/>
          <w:sz w:val="24"/>
          <w:highlight w:val="none"/>
          <w:lang w:val="en-US" w:eastAsia="zh-CN"/>
        </w:rPr>
        <w:t>评分</w:t>
      </w:r>
      <w:r>
        <w:rPr>
          <w:rFonts w:hint="eastAsia" w:ascii="仿宋" w:hAnsi="仿宋" w:eastAsia="仿宋" w:cs="仿宋"/>
          <w:color w:val="auto"/>
          <w:sz w:val="24"/>
          <w:highlight w:val="none"/>
        </w:rPr>
        <w:t>要求编制）</w:t>
      </w:r>
    </w:p>
    <w:p w14:paraId="707EAE18">
      <w:pPr>
        <w:spacing w:line="336" w:lineRule="auto"/>
        <w:ind w:firstLine="3600" w:firstLineChars="1500"/>
        <w:rPr>
          <w:rFonts w:hint="eastAsia" w:ascii="仿宋" w:hAnsi="仿宋" w:eastAsia="仿宋" w:cs="仿宋"/>
          <w:color w:val="auto"/>
          <w:sz w:val="24"/>
          <w:highlight w:val="none"/>
          <w:lang w:eastAsia="zh-CN"/>
        </w:rPr>
      </w:pPr>
    </w:p>
    <w:p w14:paraId="746CD55D">
      <w:pPr>
        <w:spacing w:line="336" w:lineRule="auto"/>
        <w:ind w:firstLine="3600" w:firstLineChars="15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lang w:eastAsia="zh-CN"/>
        </w:rPr>
        <w:t>电子签章</w:t>
      </w:r>
      <w:r>
        <w:rPr>
          <w:rFonts w:hint="eastAsia" w:ascii="仿宋" w:hAnsi="仿宋" w:eastAsia="仿宋" w:cs="仿宋"/>
          <w:color w:val="auto"/>
          <w:sz w:val="24"/>
          <w:highlight w:val="none"/>
        </w:rPr>
        <w:t xml:space="preserve">）：                          </w:t>
      </w:r>
    </w:p>
    <w:p w14:paraId="12EFE9AC">
      <w:pPr>
        <w:spacing w:line="336"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日期：  年   月   日</w:t>
      </w:r>
    </w:p>
    <w:p w14:paraId="1DD974D2">
      <w:pPr>
        <w:spacing w:line="336" w:lineRule="auto"/>
        <w:jc w:val="center"/>
        <w:rPr>
          <w:rFonts w:hint="eastAsia" w:ascii="仿宋" w:hAnsi="仿宋" w:eastAsia="仿宋" w:cs="仿宋"/>
          <w:b/>
          <w:bCs/>
          <w:color w:val="auto"/>
          <w:sz w:val="32"/>
          <w:szCs w:val="32"/>
          <w:highlight w:val="none"/>
          <w:lang w:eastAsia="zh-CN"/>
        </w:rPr>
      </w:pPr>
    </w:p>
    <w:p w14:paraId="389A0A53">
      <w:pPr>
        <w:spacing w:line="336" w:lineRule="auto"/>
        <w:jc w:val="center"/>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lang w:eastAsia="zh-CN"/>
        </w:rPr>
        <w:t>十</w:t>
      </w:r>
      <w:r>
        <w:rPr>
          <w:rFonts w:hint="eastAsia" w:ascii="仿宋" w:hAnsi="仿宋" w:eastAsia="仿宋" w:cs="仿宋"/>
          <w:b/>
          <w:bCs/>
          <w:color w:val="auto"/>
          <w:sz w:val="32"/>
          <w:szCs w:val="32"/>
          <w:highlight w:val="none"/>
          <w:lang w:val="en-US" w:eastAsia="zh-CN"/>
        </w:rPr>
        <w:t>三</w:t>
      </w:r>
      <w:r>
        <w:rPr>
          <w:rFonts w:hint="eastAsia" w:ascii="仿宋" w:hAnsi="仿宋" w:eastAsia="仿宋" w:cs="仿宋"/>
          <w:b/>
          <w:bCs/>
          <w:color w:val="auto"/>
          <w:sz w:val="32"/>
          <w:szCs w:val="32"/>
          <w:highlight w:val="none"/>
        </w:rPr>
        <w:t>、</w:t>
      </w:r>
      <w:r>
        <w:rPr>
          <w:rFonts w:hint="eastAsia" w:ascii="仿宋" w:hAnsi="仿宋" w:eastAsia="仿宋" w:cs="仿宋"/>
          <w:b/>
          <w:bCs/>
          <w:color w:val="auto"/>
          <w:sz w:val="32"/>
          <w:szCs w:val="32"/>
          <w:highlight w:val="none"/>
          <w:lang w:eastAsia="zh-CN"/>
        </w:rPr>
        <w:t>系统迁移方案</w:t>
      </w:r>
    </w:p>
    <w:p w14:paraId="3256DD2E">
      <w:pPr>
        <w:autoSpaceDE w:val="0"/>
        <w:autoSpaceDN w:val="0"/>
        <w:spacing w:line="360" w:lineRule="auto"/>
        <w:jc w:val="center"/>
        <w:rPr>
          <w:rFonts w:hint="eastAsia" w:ascii="仿宋" w:hAnsi="仿宋" w:eastAsia="仿宋" w:cs="仿宋"/>
          <w:color w:val="auto"/>
          <w:highlight w:val="none"/>
        </w:rPr>
      </w:pPr>
      <w:r>
        <w:rPr>
          <w:rFonts w:hint="eastAsia" w:ascii="仿宋" w:hAnsi="仿宋" w:eastAsia="仿宋" w:cs="仿宋"/>
          <w:color w:val="auto"/>
          <w:sz w:val="24"/>
          <w:highlight w:val="none"/>
        </w:rPr>
        <w:t>（由投标人根据采购需求及招标文件</w:t>
      </w:r>
      <w:r>
        <w:rPr>
          <w:rFonts w:hint="eastAsia" w:ascii="仿宋" w:hAnsi="仿宋" w:eastAsia="仿宋" w:cs="仿宋"/>
          <w:color w:val="auto"/>
          <w:sz w:val="24"/>
          <w:highlight w:val="none"/>
          <w:lang w:val="en-US" w:eastAsia="zh-CN"/>
        </w:rPr>
        <w:t>评分</w:t>
      </w:r>
      <w:r>
        <w:rPr>
          <w:rFonts w:hint="eastAsia" w:ascii="仿宋" w:hAnsi="仿宋" w:eastAsia="仿宋" w:cs="仿宋"/>
          <w:color w:val="auto"/>
          <w:sz w:val="24"/>
          <w:highlight w:val="none"/>
        </w:rPr>
        <w:t>要求编制）</w:t>
      </w:r>
    </w:p>
    <w:p w14:paraId="0FEE6CE7">
      <w:pPr>
        <w:spacing w:line="336" w:lineRule="auto"/>
        <w:ind w:firstLine="3600" w:firstLineChars="1500"/>
        <w:rPr>
          <w:rFonts w:hint="eastAsia" w:ascii="仿宋" w:hAnsi="仿宋" w:eastAsia="仿宋" w:cs="仿宋"/>
          <w:color w:val="auto"/>
          <w:sz w:val="24"/>
          <w:highlight w:val="none"/>
          <w:lang w:eastAsia="zh-CN"/>
        </w:rPr>
      </w:pPr>
    </w:p>
    <w:p w14:paraId="46D8BB53">
      <w:pPr>
        <w:spacing w:line="336" w:lineRule="auto"/>
        <w:ind w:firstLine="3600" w:firstLineChars="15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lang w:eastAsia="zh-CN"/>
        </w:rPr>
        <w:t>电子签章</w:t>
      </w:r>
      <w:r>
        <w:rPr>
          <w:rFonts w:hint="eastAsia" w:ascii="仿宋" w:hAnsi="仿宋" w:eastAsia="仿宋" w:cs="仿宋"/>
          <w:color w:val="auto"/>
          <w:sz w:val="24"/>
          <w:highlight w:val="none"/>
        </w:rPr>
        <w:t xml:space="preserve">）：                          </w:t>
      </w:r>
    </w:p>
    <w:p w14:paraId="035D7093">
      <w:pPr>
        <w:spacing w:line="336"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日期：  年   月   日</w:t>
      </w:r>
    </w:p>
    <w:p w14:paraId="08D09519">
      <w:pPr>
        <w:spacing w:line="336" w:lineRule="auto"/>
        <w:jc w:val="center"/>
        <w:rPr>
          <w:rFonts w:hint="eastAsia" w:ascii="仿宋" w:hAnsi="仿宋" w:eastAsia="仿宋" w:cs="仿宋"/>
          <w:b/>
          <w:bCs/>
          <w:color w:val="auto"/>
          <w:sz w:val="32"/>
          <w:szCs w:val="32"/>
          <w:highlight w:val="none"/>
          <w:lang w:eastAsia="zh-CN"/>
        </w:rPr>
      </w:pPr>
    </w:p>
    <w:p w14:paraId="7A3B71CE">
      <w:pPr>
        <w:spacing w:line="336" w:lineRule="auto"/>
        <w:jc w:val="center"/>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lang w:eastAsia="zh-CN"/>
        </w:rPr>
        <w:t>十</w:t>
      </w:r>
      <w:r>
        <w:rPr>
          <w:rFonts w:hint="eastAsia" w:ascii="仿宋" w:hAnsi="仿宋" w:eastAsia="仿宋" w:cs="仿宋"/>
          <w:b/>
          <w:bCs/>
          <w:color w:val="auto"/>
          <w:sz w:val="32"/>
          <w:szCs w:val="32"/>
          <w:highlight w:val="none"/>
          <w:lang w:val="en-US" w:eastAsia="zh-CN"/>
        </w:rPr>
        <w:t>四</w:t>
      </w:r>
      <w:r>
        <w:rPr>
          <w:rFonts w:hint="eastAsia" w:ascii="仿宋" w:hAnsi="仿宋" w:eastAsia="仿宋" w:cs="仿宋"/>
          <w:b/>
          <w:bCs/>
          <w:color w:val="auto"/>
          <w:sz w:val="32"/>
          <w:szCs w:val="32"/>
          <w:highlight w:val="none"/>
        </w:rPr>
        <w:t>、</w:t>
      </w:r>
      <w:r>
        <w:rPr>
          <w:rFonts w:hint="eastAsia" w:ascii="仿宋" w:hAnsi="仿宋" w:eastAsia="仿宋" w:cs="仿宋"/>
          <w:b/>
          <w:bCs/>
          <w:color w:val="auto"/>
          <w:sz w:val="32"/>
          <w:szCs w:val="32"/>
          <w:highlight w:val="none"/>
          <w:lang w:eastAsia="zh-CN"/>
        </w:rPr>
        <w:t>实施方案</w:t>
      </w:r>
    </w:p>
    <w:p w14:paraId="7C8509FE">
      <w:pPr>
        <w:autoSpaceDE w:val="0"/>
        <w:autoSpaceDN w:val="0"/>
        <w:spacing w:line="360" w:lineRule="auto"/>
        <w:jc w:val="center"/>
        <w:rPr>
          <w:rFonts w:hint="eastAsia" w:ascii="仿宋" w:hAnsi="仿宋" w:eastAsia="仿宋" w:cs="仿宋"/>
          <w:color w:val="auto"/>
          <w:highlight w:val="none"/>
        </w:rPr>
      </w:pPr>
      <w:r>
        <w:rPr>
          <w:rFonts w:hint="eastAsia" w:ascii="仿宋" w:hAnsi="仿宋" w:eastAsia="仿宋" w:cs="仿宋"/>
          <w:color w:val="auto"/>
          <w:sz w:val="24"/>
          <w:highlight w:val="none"/>
        </w:rPr>
        <w:t>（由投标人根据采购需求及招标文件</w:t>
      </w:r>
      <w:r>
        <w:rPr>
          <w:rFonts w:hint="eastAsia" w:ascii="仿宋" w:hAnsi="仿宋" w:eastAsia="仿宋" w:cs="仿宋"/>
          <w:color w:val="auto"/>
          <w:sz w:val="24"/>
          <w:highlight w:val="none"/>
          <w:lang w:val="en-US" w:eastAsia="zh-CN"/>
        </w:rPr>
        <w:t>评分</w:t>
      </w:r>
      <w:r>
        <w:rPr>
          <w:rFonts w:hint="eastAsia" w:ascii="仿宋" w:hAnsi="仿宋" w:eastAsia="仿宋" w:cs="仿宋"/>
          <w:color w:val="auto"/>
          <w:sz w:val="24"/>
          <w:highlight w:val="none"/>
        </w:rPr>
        <w:t>要求编制）</w:t>
      </w:r>
    </w:p>
    <w:p w14:paraId="5B5DF993">
      <w:pPr>
        <w:spacing w:line="336" w:lineRule="auto"/>
        <w:ind w:firstLine="3600" w:firstLineChars="1500"/>
        <w:rPr>
          <w:rFonts w:hint="eastAsia" w:ascii="仿宋" w:hAnsi="仿宋" w:eastAsia="仿宋" w:cs="仿宋"/>
          <w:color w:val="auto"/>
          <w:sz w:val="24"/>
          <w:highlight w:val="none"/>
          <w:lang w:eastAsia="zh-CN"/>
        </w:rPr>
      </w:pPr>
    </w:p>
    <w:p w14:paraId="111311F4">
      <w:pPr>
        <w:spacing w:line="336" w:lineRule="auto"/>
        <w:ind w:firstLine="3600" w:firstLineChars="15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lang w:eastAsia="zh-CN"/>
        </w:rPr>
        <w:t>电子签章</w:t>
      </w:r>
      <w:r>
        <w:rPr>
          <w:rFonts w:hint="eastAsia" w:ascii="仿宋" w:hAnsi="仿宋" w:eastAsia="仿宋" w:cs="仿宋"/>
          <w:color w:val="auto"/>
          <w:sz w:val="24"/>
          <w:highlight w:val="none"/>
        </w:rPr>
        <w:t xml:space="preserve">）：                          </w:t>
      </w:r>
    </w:p>
    <w:p w14:paraId="1B67777C">
      <w:pPr>
        <w:spacing w:line="336"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日期：  年   月   日</w:t>
      </w:r>
    </w:p>
    <w:p w14:paraId="07F9DE0B">
      <w:pPr>
        <w:spacing w:line="336" w:lineRule="auto"/>
        <w:jc w:val="center"/>
        <w:rPr>
          <w:rFonts w:hint="eastAsia" w:ascii="仿宋" w:hAnsi="仿宋" w:eastAsia="仿宋" w:cs="仿宋"/>
          <w:b/>
          <w:bCs/>
          <w:color w:val="auto"/>
          <w:sz w:val="32"/>
          <w:szCs w:val="32"/>
          <w:highlight w:val="none"/>
          <w:lang w:eastAsia="zh-CN"/>
        </w:rPr>
      </w:pPr>
    </w:p>
    <w:p w14:paraId="2887485F">
      <w:pPr>
        <w:spacing w:line="336" w:lineRule="auto"/>
        <w:jc w:val="center"/>
        <w:rPr>
          <w:rFonts w:hint="default"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eastAsia="zh-CN"/>
        </w:rPr>
        <w:t>十</w:t>
      </w:r>
      <w:r>
        <w:rPr>
          <w:rFonts w:hint="eastAsia" w:ascii="仿宋" w:hAnsi="仿宋" w:eastAsia="仿宋" w:cs="仿宋"/>
          <w:b/>
          <w:bCs/>
          <w:color w:val="auto"/>
          <w:sz w:val="32"/>
          <w:szCs w:val="32"/>
          <w:highlight w:val="none"/>
          <w:lang w:val="en-US" w:eastAsia="zh-CN"/>
        </w:rPr>
        <w:t>五</w:t>
      </w:r>
      <w:r>
        <w:rPr>
          <w:rFonts w:hint="eastAsia" w:ascii="仿宋" w:hAnsi="仿宋" w:eastAsia="仿宋" w:cs="仿宋"/>
          <w:b/>
          <w:bCs/>
          <w:color w:val="auto"/>
          <w:sz w:val="32"/>
          <w:szCs w:val="32"/>
          <w:highlight w:val="none"/>
        </w:rPr>
        <w:t>、</w:t>
      </w:r>
      <w:r>
        <w:rPr>
          <w:rFonts w:hint="eastAsia" w:ascii="仿宋" w:hAnsi="仿宋" w:eastAsia="仿宋" w:cs="仿宋"/>
          <w:b/>
          <w:bCs/>
          <w:color w:val="auto"/>
          <w:sz w:val="32"/>
          <w:szCs w:val="32"/>
          <w:highlight w:val="none"/>
          <w:lang w:val="en-US" w:eastAsia="zh-CN"/>
        </w:rPr>
        <w:t>培训方案</w:t>
      </w:r>
    </w:p>
    <w:p w14:paraId="4A1799C1">
      <w:pPr>
        <w:autoSpaceDE w:val="0"/>
        <w:autoSpaceDN w:val="0"/>
        <w:spacing w:line="360" w:lineRule="auto"/>
        <w:jc w:val="center"/>
        <w:rPr>
          <w:rFonts w:hint="eastAsia" w:ascii="仿宋" w:hAnsi="仿宋" w:eastAsia="仿宋" w:cs="仿宋"/>
          <w:color w:val="auto"/>
          <w:highlight w:val="none"/>
        </w:rPr>
      </w:pPr>
      <w:r>
        <w:rPr>
          <w:rFonts w:hint="eastAsia" w:ascii="仿宋" w:hAnsi="仿宋" w:eastAsia="仿宋" w:cs="仿宋"/>
          <w:color w:val="auto"/>
          <w:sz w:val="24"/>
          <w:highlight w:val="none"/>
        </w:rPr>
        <w:t>（由投标人根据采购需求及招标文件</w:t>
      </w:r>
      <w:r>
        <w:rPr>
          <w:rFonts w:hint="eastAsia" w:ascii="仿宋" w:hAnsi="仿宋" w:eastAsia="仿宋" w:cs="仿宋"/>
          <w:color w:val="auto"/>
          <w:sz w:val="24"/>
          <w:highlight w:val="none"/>
          <w:lang w:val="en-US" w:eastAsia="zh-CN"/>
        </w:rPr>
        <w:t>评分</w:t>
      </w:r>
      <w:r>
        <w:rPr>
          <w:rFonts w:hint="eastAsia" w:ascii="仿宋" w:hAnsi="仿宋" w:eastAsia="仿宋" w:cs="仿宋"/>
          <w:color w:val="auto"/>
          <w:sz w:val="24"/>
          <w:highlight w:val="none"/>
        </w:rPr>
        <w:t>要求编制）</w:t>
      </w:r>
    </w:p>
    <w:p w14:paraId="6FAE8D58">
      <w:pPr>
        <w:spacing w:line="336" w:lineRule="auto"/>
        <w:ind w:firstLine="3600" w:firstLineChars="1500"/>
        <w:rPr>
          <w:rFonts w:hint="eastAsia" w:ascii="仿宋" w:hAnsi="仿宋" w:eastAsia="仿宋" w:cs="仿宋"/>
          <w:color w:val="auto"/>
          <w:sz w:val="24"/>
          <w:highlight w:val="none"/>
          <w:lang w:eastAsia="zh-CN"/>
        </w:rPr>
      </w:pPr>
    </w:p>
    <w:p w14:paraId="0BEABD21">
      <w:pPr>
        <w:spacing w:line="336" w:lineRule="auto"/>
        <w:ind w:firstLine="3600" w:firstLineChars="15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lang w:eastAsia="zh-CN"/>
        </w:rPr>
        <w:t>电子签章</w:t>
      </w:r>
      <w:r>
        <w:rPr>
          <w:rFonts w:hint="eastAsia" w:ascii="仿宋" w:hAnsi="仿宋" w:eastAsia="仿宋" w:cs="仿宋"/>
          <w:color w:val="auto"/>
          <w:sz w:val="24"/>
          <w:highlight w:val="none"/>
        </w:rPr>
        <w:t xml:space="preserve">）：                          </w:t>
      </w:r>
    </w:p>
    <w:p w14:paraId="68176E29">
      <w:pPr>
        <w:spacing w:line="336"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日期：  年   月   日</w:t>
      </w:r>
    </w:p>
    <w:p w14:paraId="45FE2752">
      <w:pPr>
        <w:spacing w:line="336" w:lineRule="auto"/>
        <w:jc w:val="center"/>
        <w:rPr>
          <w:rFonts w:hint="eastAsia" w:ascii="仿宋" w:hAnsi="仿宋" w:eastAsia="仿宋" w:cs="仿宋"/>
          <w:b/>
          <w:bCs/>
          <w:color w:val="auto"/>
          <w:sz w:val="32"/>
          <w:szCs w:val="32"/>
          <w:highlight w:val="none"/>
          <w:lang w:eastAsia="zh-CN"/>
        </w:rPr>
      </w:pPr>
    </w:p>
    <w:p w14:paraId="682AC083">
      <w:pPr>
        <w:spacing w:line="336" w:lineRule="auto"/>
        <w:jc w:val="center"/>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lang w:eastAsia="zh-CN"/>
        </w:rPr>
        <w:t>十</w:t>
      </w:r>
      <w:r>
        <w:rPr>
          <w:rFonts w:hint="eastAsia" w:ascii="仿宋" w:hAnsi="仿宋" w:eastAsia="仿宋" w:cs="仿宋"/>
          <w:b/>
          <w:bCs/>
          <w:color w:val="auto"/>
          <w:sz w:val="32"/>
          <w:szCs w:val="32"/>
          <w:highlight w:val="none"/>
          <w:lang w:val="en-US" w:eastAsia="zh-CN"/>
        </w:rPr>
        <w:t>六</w:t>
      </w:r>
      <w:r>
        <w:rPr>
          <w:rFonts w:hint="eastAsia" w:ascii="仿宋" w:hAnsi="仿宋" w:eastAsia="仿宋" w:cs="仿宋"/>
          <w:b/>
          <w:bCs/>
          <w:color w:val="auto"/>
          <w:sz w:val="32"/>
          <w:szCs w:val="32"/>
          <w:highlight w:val="none"/>
        </w:rPr>
        <w:t>、</w:t>
      </w:r>
      <w:r>
        <w:rPr>
          <w:rFonts w:hint="eastAsia" w:ascii="仿宋" w:hAnsi="仿宋" w:eastAsia="仿宋" w:cs="仿宋"/>
          <w:b/>
          <w:bCs/>
          <w:color w:val="auto"/>
          <w:sz w:val="32"/>
          <w:szCs w:val="32"/>
          <w:highlight w:val="none"/>
          <w:lang w:eastAsia="zh-CN"/>
        </w:rPr>
        <w:t>售后服务</w:t>
      </w:r>
    </w:p>
    <w:p w14:paraId="54D375D6">
      <w:pPr>
        <w:autoSpaceDE w:val="0"/>
        <w:autoSpaceDN w:val="0"/>
        <w:spacing w:line="360" w:lineRule="auto"/>
        <w:jc w:val="center"/>
        <w:rPr>
          <w:rFonts w:hint="eastAsia" w:ascii="仿宋" w:hAnsi="仿宋" w:eastAsia="仿宋" w:cs="仿宋"/>
          <w:color w:val="auto"/>
          <w:highlight w:val="none"/>
        </w:rPr>
      </w:pPr>
      <w:r>
        <w:rPr>
          <w:rFonts w:hint="eastAsia" w:ascii="仿宋" w:hAnsi="仿宋" w:eastAsia="仿宋" w:cs="仿宋"/>
          <w:color w:val="auto"/>
          <w:sz w:val="24"/>
          <w:highlight w:val="none"/>
        </w:rPr>
        <w:t>（由投标人根据采购需求及招标文件</w:t>
      </w:r>
      <w:r>
        <w:rPr>
          <w:rFonts w:hint="eastAsia" w:ascii="仿宋" w:hAnsi="仿宋" w:eastAsia="仿宋" w:cs="仿宋"/>
          <w:color w:val="auto"/>
          <w:sz w:val="24"/>
          <w:highlight w:val="none"/>
          <w:lang w:val="en-US" w:eastAsia="zh-CN"/>
        </w:rPr>
        <w:t>评分</w:t>
      </w:r>
      <w:r>
        <w:rPr>
          <w:rFonts w:hint="eastAsia" w:ascii="仿宋" w:hAnsi="仿宋" w:eastAsia="仿宋" w:cs="仿宋"/>
          <w:color w:val="auto"/>
          <w:sz w:val="24"/>
          <w:highlight w:val="none"/>
        </w:rPr>
        <w:t>要求编制）</w:t>
      </w:r>
    </w:p>
    <w:p w14:paraId="4EF09D1F">
      <w:pPr>
        <w:spacing w:line="336" w:lineRule="auto"/>
        <w:ind w:firstLine="3600" w:firstLineChars="1500"/>
        <w:rPr>
          <w:rFonts w:hint="eastAsia" w:ascii="仿宋" w:hAnsi="仿宋" w:eastAsia="仿宋" w:cs="仿宋"/>
          <w:color w:val="auto"/>
          <w:sz w:val="24"/>
          <w:highlight w:val="none"/>
          <w:lang w:eastAsia="zh-CN"/>
        </w:rPr>
      </w:pPr>
    </w:p>
    <w:p w14:paraId="2CC84A90">
      <w:pPr>
        <w:spacing w:line="336" w:lineRule="auto"/>
        <w:ind w:firstLine="3600" w:firstLineChars="15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lang w:eastAsia="zh-CN"/>
        </w:rPr>
        <w:t>电子签章</w:t>
      </w:r>
      <w:r>
        <w:rPr>
          <w:rFonts w:hint="eastAsia" w:ascii="仿宋" w:hAnsi="仿宋" w:eastAsia="仿宋" w:cs="仿宋"/>
          <w:color w:val="auto"/>
          <w:sz w:val="24"/>
          <w:highlight w:val="none"/>
        </w:rPr>
        <w:t xml:space="preserve">）：                          </w:t>
      </w:r>
    </w:p>
    <w:p w14:paraId="3DBFA933">
      <w:pPr>
        <w:spacing w:line="336"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日期：  年   月   日</w:t>
      </w:r>
    </w:p>
    <w:p w14:paraId="06354174">
      <w:pPr>
        <w:spacing w:line="336" w:lineRule="auto"/>
        <w:jc w:val="center"/>
        <w:rPr>
          <w:rFonts w:hint="eastAsia" w:ascii="仿宋" w:hAnsi="仿宋" w:eastAsia="仿宋" w:cs="仿宋"/>
          <w:color w:val="auto"/>
          <w:sz w:val="24"/>
          <w:highlight w:val="none"/>
        </w:rPr>
      </w:pPr>
    </w:p>
    <w:p w14:paraId="4D98FCCA">
      <w:pPr>
        <w:spacing w:line="336" w:lineRule="auto"/>
        <w:jc w:val="center"/>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lang w:eastAsia="zh-CN"/>
        </w:rPr>
        <w:t>十</w:t>
      </w:r>
      <w:r>
        <w:rPr>
          <w:rFonts w:hint="eastAsia" w:ascii="仿宋" w:hAnsi="仿宋" w:eastAsia="仿宋" w:cs="仿宋"/>
          <w:b/>
          <w:bCs/>
          <w:color w:val="auto"/>
          <w:sz w:val="32"/>
          <w:szCs w:val="32"/>
          <w:highlight w:val="none"/>
          <w:lang w:val="en-US" w:eastAsia="zh-CN"/>
        </w:rPr>
        <w:t>七</w:t>
      </w:r>
      <w:r>
        <w:rPr>
          <w:rFonts w:hint="eastAsia" w:ascii="仿宋" w:hAnsi="仿宋" w:eastAsia="仿宋" w:cs="仿宋"/>
          <w:b/>
          <w:bCs/>
          <w:color w:val="auto"/>
          <w:sz w:val="32"/>
          <w:szCs w:val="32"/>
          <w:highlight w:val="none"/>
        </w:rPr>
        <w:t>、</w:t>
      </w:r>
      <w:r>
        <w:rPr>
          <w:rFonts w:hint="eastAsia" w:ascii="仿宋" w:hAnsi="仿宋" w:eastAsia="仿宋" w:cs="仿宋"/>
          <w:b/>
          <w:bCs/>
          <w:color w:val="auto"/>
          <w:sz w:val="32"/>
          <w:szCs w:val="32"/>
          <w:highlight w:val="none"/>
          <w:lang w:eastAsia="zh-CN"/>
        </w:rPr>
        <w:t>运维期（质保期）</w:t>
      </w:r>
    </w:p>
    <w:p w14:paraId="727C8A9A">
      <w:pPr>
        <w:autoSpaceDE w:val="0"/>
        <w:autoSpaceDN w:val="0"/>
        <w:spacing w:line="360" w:lineRule="auto"/>
        <w:jc w:val="center"/>
        <w:rPr>
          <w:rFonts w:hint="eastAsia" w:ascii="仿宋" w:hAnsi="仿宋" w:eastAsia="仿宋" w:cs="仿宋"/>
          <w:color w:val="auto"/>
          <w:highlight w:val="none"/>
        </w:rPr>
      </w:pPr>
      <w:r>
        <w:rPr>
          <w:rFonts w:hint="eastAsia" w:ascii="仿宋" w:hAnsi="仿宋" w:eastAsia="仿宋" w:cs="仿宋"/>
          <w:color w:val="auto"/>
          <w:sz w:val="24"/>
          <w:highlight w:val="none"/>
        </w:rPr>
        <w:t>（由投标人根据采购需求及招标文件</w:t>
      </w:r>
      <w:r>
        <w:rPr>
          <w:rFonts w:hint="eastAsia" w:ascii="仿宋" w:hAnsi="仿宋" w:eastAsia="仿宋" w:cs="仿宋"/>
          <w:color w:val="auto"/>
          <w:sz w:val="24"/>
          <w:highlight w:val="none"/>
          <w:lang w:val="en-US" w:eastAsia="zh-CN"/>
        </w:rPr>
        <w:t>评分</w:t>
      </w:r>
      <w:r>
        <w:rPr>
          <w:rFonts w:hint="eastAsia" w:ascii="仿宋" w:hAnsi="仿宋" w:eastAsia="仿宋" w:cs="仿宋"/>
          <w:color w:val="auto"/>
          <w:sz w:val="24"/>
          <w:highlight w:val="none"/>
        </w:rPr>
        <w:t>要求编制）</w:t>
      </w:r>
    </w:p>
    <w:p w14:paraId="70CDC06D">
      <w:pPr>
        <w:spacing w:line="336" w:lineRule="auto"/>
        <w:ind w:firstLine="3600" w:firstLineChars="1500"/>
        <w:rPr>
          <w:rFonts w:hint="eastAsia" w:ascii="仿宋" w:hAnsi="仿宋" w:eastAsia="仿宋" w:cs="仿宋"/>
          <w:color w:val="auto"/>
          <w:sz w:val="24"/>
          <w:highlight w:val="none"/>
          <w:lang w:eastAsia="zh-CN"/>
        </w:rPr>
      </w:pPr>
    </w:p>
    <w:p w14:paraId="6D05C3BE">
      <w:pPr>
        <w:spacing w:line="336" w:lineRule="auto"/>
        <w:ind w:firstLine="3600" w:firstLineChars="15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lang w:eastAsia="zh-CN"/>
        </w:rPr>
        <w:t>电子签章</w:t>
      </w:r>
      <w:r>
        <w:rPr>
          <w:rFonts w:hint="eastAsia" w:ascii="仿宋" w:hAnsi="仿宋" w:eastAsia="仿宋" w:cs="仿宋"/>
          <w:color w:val="auto"/>
          <w:sz w:val="24"/>
          <w:highlight w:val="none"/>
        </w:rPr>
        <w:t xml:space="preserve">）：                          </w:t>
      </w:r>
    </w:p>
    <w:p w14:paraId="2FE67898">
      <w:pPr>
        <w:spacing w:line="336"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日期：  年   月   日</w:t>
      </w:r>
    </w:p>
    <w:p w14:paraId="6391BCB4">
      <w:pPr>
        <w:spacing w:line="360" w:lineRule="auto"/>
        <w:jc w:val="center"/>
        <w:rPr>
          <w:rFonts w:hint="eastAsia" w:ascii="仿宋" w:hAnsi="仿宋" w:eastAsia="仿宋" w:cs="仿宋"/>
          <w:color w:val="auto"/>
          <w:sz w:val="24"/>
          <w:highlight w:val="none"/>
        </w:rPr>
      </w:pPr>
      <w:r>
        <w:rPr>
          <w:rFonts w:hint="eastAsia" w:ascii="仿宋" w:hAnsi="仿宋" w:eastAsia="仿宋" w:cs="仿宋"/>
          <w:b/>
          <w:bCs/>
          <w:color w:val="auto"/>
          <w:sz w:val="32"/>
          <w:szCs w:val="32"/>
          <w:highlight w:val="none"/>
          <w:lang w:eastAsia="zh-CN"/>
        </w:rPr>
        <w:t>十</w:t>
      </w:r>
      <w:r>
        <w:rPr>
          <w:rFonts w:hint="eastAsia" w:ascii="仿宋" w:hAnsi="仿宋" w:eastAsia="仿宋" w:cs="仿宋"/>
          <w:b/>
          <w:bCs/>
          <w:color w:val="auto"/>
          <w:sz w:val="32"/>
          <w:szCs w:val="32"/>
          <w:highlight w:val="none"/>
          <w:lang w:val="en-US" w:eastAsia="zh-CN"/>
        </w:rPr>
        <w:t>八</w:t>
      </w:r>
      <w:r>
        <w:rPr>
          <w:rFonts w:hint="eastAsia" w:ascii="仿宋" w:hAnsi="仿宋" w:eastAsia="仿宋" w:cs="仿宋"/>
          <w:b/>
          <w:bCs/>
          <w:color w:val="auto"/>
          <w:sz w:val="32"/>
          <w:szCs w:val="32"/>
          <w:highlight w:val="none"/>
        </w:rPr>
        <w:t>、投标人需要说明的其他文件和说明（若有）</w:t>
      </w:r>
    </w:p>
    <w:p w14:paraId="6525FEAA">
      <w:pPr>
        <w:spacing w:line="360" w:lineRule="auto"/>
        <w:rPr>
          <w:rFonts w:hint="eastAsia" w:ascii="仿宋" w:hAnsi="仿宋" w:eastAsia="仿宋" w:cs="仿宋"/>
          <w:color w:val="auto"/>
          <w:sz w:val="24"/>
          <w:highlight w:val="none"/>
        </w:rPr>
      </w:pPr>
    </w:p>
    <w:p w14:paraId="391A2CFC">
      <w:pPr>
        <w:spacing w:line="336" w:lineRule="auto"/>
        <w:ind w:firstLine="3600" w:firstLineChars="15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lang w:eastAsia="zh-CN"/>
        </w:rPr>
        <w:t>电子签章</w:t>
      </w:r>
      <w:r>
        <w:rPr>
          <w:rFonts w:hint="eastAsia" w:ascii="仿宋" w:hAnsi="仿宋" w:eastAsia="仿宋" w:cs="仿宋"/>
          <w:color w:val="auto"/>
          <w:sz w:val="24"/>
          <w:highlight w:val="none"/>
        </w:rPr>
        <w:t xml:space="preserve">）：                          </w:t>
      </w:r>
    </w:p>
    <w:p w14:paraId="16EF4C6F">
      <w:pPr>
        <w:spacing w:line="336"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日期：  年   月   日</w:t>
      </w:r>
    </w:p>
    <w:p w14:paraId="053CEFF7">
      <w:pPr>
        <w:pStyle w:val="84"/>
        <w:rPr>
          <w:rFonts w:hint="eastAsia" w:ascii="仿宋" w:hAnsi="仿宋" w:eastAsia="仿宋" w:cs="仿宋"/>
          <w:color w:val="auto"/>
          <w:highlight w:val="none"/>
        </w:rPr>
        <w:sectPr>
          <w:headerReference r:id="rId15" w:type="first"/>
          <w:footerReference r:id="rId17" w:type="first"/>
          <w:headerReference r:id="rId14" w:type="default"/>
          <w:footerReference r:id="rId16" w:type="default"/>
          <w:pgSz w:w="11906" w:h="16838"/>
          <w:pgMar w:top="1814" w:right="1474" w:bottom="1814" w:left="1474" w:header="851" w:footer="992" w:gutter="0"/>
          <w:pgNumType w:fmt="decimal"/>
          <w:cols w:space="720" w:num="1"/>
          <w:titlePg/>
          <w:docGrid w:linePitch="312" w:charSpace="0"/>
        </w:sectPr>
      </w:pPr>
    </w:p>
    <w:p w14:paraId="1AC3B12D">
      <w:pPr>
        <w:spacing w:line="360" w:lineRule="auto"/>
        <w:jc w:val="center"/>
        <w:outlineLvl w:val="0"/>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报价文件部分</w:t>
      </w:r>
    </w:p>
    <w:p w14:paraId="212F4FEA">
      <w:pPr>
        <w:spacing w:line="360" w:lineRule="auto"/>
        <w:jc w:val="center"/>
        <w:outlineLvl w:val="0"/>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目录</w:t>
      </w:r>
    </w:p>
    <w:p w14:paraId="7CA10F27">
      <w:pPr>
        <w:spacing w:line="360" w:lineRule="auto"/>
        <w:jc w:val="center"/>
        <w:outlineLvl w:val="0"/>
        <w:rPr>
          <w:rFonts w:hint="eastAsia" w:ascii="仿宋" w:hAnsi="仿宋" w:eastAsia="仿宋" w:cs="仿宋"/>
          <w:b/>
          <w:color w:val="auto"/>
          <w:kern w:val="0"/>
          <w:sz w:val="36"/>
          <w:szCs w:val="36"/>
          <w:highlight w:val="none"/>
        </w:rPr>
      </w:pPr>
    </w:p>
    <w:p w14:paraId="095E7D67">
      <w:pPr>
        <w:numPr>
          <w:ilvl w:val="0"/>
          <w:numId w:val="3"/>
        </w:num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开标一览表………………………………………………………………………（页码）</w:t>
      </w:r>
    </w:p>
    <w:p w14:paraId="0C0B5791">
      <w:pPr>
        <w:numPr>
          <w:ilvl w:val="0"/>
          <w:numId w:val="3"/>
        </w:num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报价明细表………………………………………………………………………（页码）</w:t>
      </w:r>
    </w:p>
    <w:p w14:paraId="18559396">
      <w:pPr>
        <w:numPr>
          <w:ilvl w:val="0"/>
          <w:numId w:val="3"/>
        </w:num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投标人针对报价需要说明的其他文件和说明（</w:t>
      </w:r>
      <w:r>
        <w:rPr>
          <w:rFonts w:hint="eastAsia" w:ascii="仿宋" w:hAnsi="仿宋" w:eastAsia="仿宋" w:cs="仿宋"/>
          <w:color w:val="auto"/>
          <w:sz w:val="24"/>
          <w:highlight w:val="none"/>
          <w:lang w:val="en-US" w:eastAsia="zh-CN"/>
        </w:rPr>
        <w:t>若有</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………………………（页码）</w:t>
      </w:r>
    </w:p>
    <w:p w14:paraId="47DA17F2">
      <w:pPr>
        <w:snapToGrid w:val="0"/>
        <w:spacing w:line="360" w:lineRule="auto"/>
        <w:ind w:right="480"/>
        <w:jc w:val="center"/>
        <w:rPr>
          <w:rFonts w:hint="eastAsia" w:ascii="仿宋" w:hAnsi="仿宋" w:eastAsia="仿宋" w:cs="仿宋"/>
          <w:b/>
          <w:color w:val="auto"/>
          <w:kern w:val="0"/>
          <w:sz w:val="32"/>
          <w:szCs w:val="32"/>
          <w:highlight w:val="none"/>
        </w:rPr>
      </w:pPr>
    </w:p>
    <w:p w14:paraId="20517C03">
      <w:pPr>
        <w:snapToGrid w:val="0"/>
        <w:spacing w:line="360" w:lineRule="auto"/>
        <w:ind w:right="480"/>
        <w:jc w:val="center"/>
        <w:rPr>
          <w:rFonts w:hint="eastAsia" w:ascii="仿宋" w:hAnsi="仿宋" w:eastAsia="仿宋" w:cs="仿宋"/>
          <w:b/>
          <w:color w:val="auto"/>
          <w:kern w:val="0"/>
          <w:sz w:val="32"/>
          <w:szCs w:val="32"/>
          <w:highlight w:val="none"/>
        </w:rPr>
      </w:pPr>
    </w:p>
    <w:p w14:paraId="4246D797">
      <w:pPr>
        <w:snapToGrid w:val="0"/>
        <w:spacing w:line="360" w:lineRule="auto"/>
        <w:ind w:right="480"/>
        <w:jc w:val="center"/>
        <w:rPr>
          <w:rFonts w:hint="eastAsia" w:ascii="仿宋" w:hAnsi="仿宋" w:eastAsia="仿宋" w:cs="仿宋"/>
          <w:b/>
          <w:color w:val="auto"/>
          <w:kern w:val="0"/>
          <w:sz w:val="32"/>
          <w:szCs w:val="32"/>
          <w:highlight w:val="none"/>
        </w:rPr>
      </w:pPr>
    </w:p>
    <w:p w14:paraId="2B87DFCC">
      <w:pPr>
        <w:snapToGrid w:val="0"/>
        <w:spacing w:line="360" w:lineRule="auto"/>
        <w:ind w:right="480"/>
        <w:jc w:val="center"/>
        <w:rPr>
          <w:rFonts w:hint="eastAsia" w:ascii="仿宋" w:hAnsi="仿宋" w:eastAsia="仿宋" w:cs="仿宋"/>
          <w:b/>
          <w:color w:val="auto"/>
          <w:kern w:val="0"/>
          <w:sz w:val="32"/>
          <w:szCs w:val="32"/>
          <w:highlight w:val="none"/>
        </w:rPr>
      </w:pPr>
    </w:p>
    <w:p w14:paraId="3777D39C">
      <w:pPr>
        <w:snapToGrid w:val="0"/>
        <w:spacing w:line="360" w:lineRule="auto"/>
        <w:ind w:right="480"/>
        <w:jc w:val="center"/>
        <w:rPr>
          <w:rFonts w:hint="eastAsia" w:ascii="仿宋" w:hAnsi="仿宋" w:eastAsia="仿宋" w:cs="仿宋"/>
          <w:b/>
          <w:color w:val="auto"/>
          <w:kern w:val="0"/>
          <w:sz w:val="32"/>
          <w:szCs w:val="32"/>
          <w:highlight w:val="none"/>
        </w:rPr>
      </w:pPr>
    </w:p>
    <w:p w14:paraId="7A8251D9">
      <w:pPr>
        <w:snapToGrid w:val="0"/>
        <w:spacing w:line="360" w:lineRule="auto"/>
        <w:ind w:right="480"/>
        <w:jc w:val="center"/>
        <w:rPr>
          <w:rFonts w:hint="eastAsia" w:ascii="仿宋" w:hAnsi="仿宋" w:eastAsia="仿宋" w:cs="仿宋"/>
          <w:b/>
          <w:color w:val="auto"/>
          <w:kern w:val="0"/>
          <w:sz w:val="32"/>
          <w:szCs w:val="32"/>
          <w:highlight w:val="none"/>
        </w:rPr>
      </w:pPr>
    </w:p>
    <w:p w14:paraId="0A9C63A5">
      <w:pPr>
        <w:snapToGrid w:val="0"/>
        <w:spacing w:line="360" w:lineRule="auto"/>
        <w:ind w:right="480"/>
        <w:jc w:val="center"/>
        <w:rPr>
          <w:rFonts w:hint="eastAsia" w:ascii="仿宋" w:hAnsi="仿宋" w:eastAsia="仿宋" w:cs="仿宋"/>
          <w:b/>
          <w:color w:val="auto"/>
          <w:kern w:val="0"/>
          <w:sz w:val="32"/>
          <w:szCs w:val="32"/>
          <w:highlight w:val="none"/>
        </w:rPr>
      </w:pPr>
    </w:p>
    <w:p w14:paraId="035B7FB0">
      <w:pPr>
        <w:snapToGrid w:val="0"/>
        <w:spacing w:line="360" w:lineRule="auto"/>
        <w:ind w:right="480"/>
        <w:jc w:val="center"/>
        <w:rPr>
          <w:rFonts w:hint="eastAsia" w:ascii="仿宋" w:hAnsi="仿宋" w:eastAsia="仿宋" w:cs="仿宋"/>
          <w:b/>
          <w:color w:val="auto"/>
          <w:kern w:val="0"/>
          <w:sz w:val="32"/>
          <w:szCs w:val="32"/>
          <w:highlight w:val="none"/>
        </w:rPr>
      </w:pPr>
    </w:p>
    <w:p w14:paraId="088A7AA5">
      <w:pPr>
        <w:snapToGrid w:val="0"/>
        <w:spacing w:line="360" w:lineRule="auto"/>
        <w:ind w:right="480"/>
        <w:jc w:val="center"/>
        <w:rPr>
          <w:rFonts w:hint="eastAsia" w:ascii="仿宋" w:hAnsi="仿宋" w:eastAsia="仿宋" w:cs="仿宋"/>
          <w:b/>
          <w:color w:val="auto"/>
          <w:kern w:val="0"/>
          <w:sz w:val="32"/>
          <w:szCs w:val="32"/>
          <w:highlight w:val="none"/>
        </w:rPr>
      </w:pPr>
    </w:p>
    <w:p w14:paraId="3494C539">
      <w:pPr>
        <w:snapToGrid w:val="0"/>
        <w:spacing w:line="360" w:lineRule="auto"/>
        <w:ind w:right="480"/>
        <w:jc w:val="center"/>
        <w:rPr>
          <w:rFonts w:hint="eastAsia" w:ascii="仿宋" w:hAnsi="仿宋" w:eastAsia="仿宋" w:cs="仿宋"/>
          <w:b/>
          <w:color w:val="auto"/>
          <w:kern w:val="0"/>
          <w:sz w:val="32"/>
          <w:szCs w:val="32"/>
          <w:highlight w:val="none"/>
        </w:rPr>
      </w:pPr>
    </w:p>
    <w:p w14:paraId="623480B2">
      <w:pPr>
        <w:snapToGrid w:val="0"/>
        <w:spacing w:line="360" w:lineRule="auto"/>
        <w:ind w:right="480"/>
        <w:jc w:val="center"/>
        <w:rPr>
          <w:rFonts w:hint="eastAsia" w:ascii="仿宋" w:hAnsi="仿宋" w:eastAsia="仿宋" w:cs="仿宋"/>
          <w:b/>
          <w:color w:val="auto"/>
          <w:kern w:val="0"/>
          <w:sz w:val="32"/>
          <w:szCs w:val="32"/>
          <w:highlight w:val="none"/>
        </w:rPr>
      </w:pPr>
    </w:p>
    <w:p w14:paraId="1616C73D">
      <w:pPr>
        <w:snapToGrid w:val="0"/>
        <w:spacing w:line="360" w:lineRule="auto"/>
        <w:ind w:right="480"/>
        <w:jc w:val="center"/>
        <w:rPr>
          <w:rFonts w:hint="eastAsia" w:ascii="仿宋" w:hAnsi="仿宋" w:eastAsia="仿宋" w:cs="仿宋"/>
          <w:b/>
          <w:color w:val="auto"/>
          <w:kern w:val="0"/>
          <w:sz w:val="32"/>
          <w:szCs w:val="32"/>
          <w:highlight w:val="none"/>
        </w:rPr>
      </w:pPr>
    </w:p>
    <w:p w14:paraId="6F4C14AA">
      <w:pPr>
        <w:rPr>
          <w:rFonts w:hint="eastAsia" w:ascii="仿宋" w:hAnsi="仿宋" w:eastAsia="仿宋" w:cs="仿宋"/>
          <w:b/>
          <w:bCs/>
          <w:color w:val="auto"/>
          <w:kern w:val="2"/>
          <w:sz w:val="32"/>
          <w:szCs w:val="32"/>
          <w:highlight w:val="none"/>
        </w:rPr>
      </w:pPr>
      <w:r>
        <w:rPr>
          <w:rFonts w:hint="eastAsia" w:ascii="仿宋" w:hAnsi="仿宋" w:eastAsia="仿宋" w:cs="仿宋"/>
          <w:b/>
          <w:bCs/>
          <w:color w:val="auto"/>
          <w:kern w:val="2"/>
          <w:sz w:val="32"/>
          <w:szCs w:val="32"/>
          <w:highlight w:val="none"/>
        </w:rPr>
        <w:br w:type="page"/>
      </w:r>
    </w:p>
    <w:p w14:paraId="0719C4B0">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2"/>
          <w:sz w:val="32"/>
          <w:szCs w:val="32"/>
          <w:highlight w:val="none"/>
        </w:rPr>
        <w:t>一、开标一览表</w:t>
      </w:r>
    </w:p>
    <w:p w14:paraId="30E5915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项目名称：                                        </w:t>
      </w:r>
    </w:p>
    <w:p w14:paraId="63B6C1D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w:t>
      </w:r>
    </w:p>
    <w:p w14:paraId="4C07A142">
      <w:pPr>
        <w:keepNext w:val="0"/>
        <w:keepLines w:val="0"/>
        <w:pageBreakBefore w:val="0"/>
        <w:widowControl w:val="0"/>
        <w:kinsoku/>
        <w:wordWrap/>
        <w:overflowPunct/>
        <w:topLinePunct w:val="0"/>
        <w:autoSpaceDE/>
        <w:autoSpaceDN/>
        <w:bidi w:val="0"/>
        <w:adjustRightInd w:val="0"/>
        <w:snapToGrid w:val="0"/>
        <w:spacing w:line="360" w:lineRule="auto"/>
        <w:ind w:firstLine="6240" w:firstLineChars="26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单位：（人民币）元 </w:t>
      </w:r>
    </w:p>
    <w:tbl>
      <w:tblPr>
        <w:tblStyle w:val="65"/>
        <w:tblW w:w="90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5030"/>
        <w:gridCol w:w="1459"/>
        <w:gridCol w:w="1781"/>
      </w:tblGrid>
      <w:tr w14:paraId="6682D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735" w:type="dxa"/>
            <w:vAlign w:val="center"/>
          </w:tcPr>
          <w:p w14:paraId="0819E93C">
            <w:pPr>
              <w:adjustRightInd/>
              <w:spacing w:line="380" w:lineRule="exact"/>
              <w:jc w:val="center"/>
              <w:rPr>
                <w:rFonts w:hint="eastAsia" w:ascii="仿宋" w:hAnsi="仿宋" w:eastAsia="仿宋" w:cs="仿宋"/>
                <w:color w:val="auto"/>
                <w:sz w:val="24"/>
              </w:rPr>
            </w:pPr>
            <w:r>
              <w:rPr>
                <w:rFonts w:hint="eastAsia" w:ascii="仿宋" w:hAnsi="仿宋" w:eastAsia="仿宋" w:cs="仿宋"/>
                <w:color w:val="auto"/>
                <w:sz w:val="24"/>
              </w:rPr>
              <w:t>序号</w:t>
            </w:r>
          </w:p>
        </w:tc>
        <w:tc>
          <w:tcPr>
            <w:tcW w:w="5030" w:type="dxa"/>
            <w:vAlign w:val="center"/>
          </w:tcPr>
          <w:p w14:paraId="1C0BAC2B">
            <w:pPr>
              <w:adjustRightInd/>
              <w:spacing w:line="380" w:lineRule="exact"/>
              <w:jc w:val="center"/>
              <w:rPr>
                <w:rFonts w:hint="eastAsia" w:ascii="仿宋" w:hAnsi="仿宋" w:eastAsia="仿宋" w:cs="仿宋"/>
                <w:color w:val="auto"/>
                <w:sz w:val="24"/>
              </w:rPr>
            </w:pPr>
            <w:r>
              <w:rPr>
                <w:rFonts w:hint="eastAsia" w:ascii="仿宋" w:hAnsi="仿宋" w:eastAsia="仿宋" w:cs="仿宋"/>
                <w:color w:val="auto"/>
                <w:sz w:val="24"/>
              </w:rPr>
              <w:t>项目名称</w:t>
            </w:r>
          </w:p>
        </w:tc>
        <w:tc>
          <w:tcPr>
            <w:tcW w:w="1459" w:type="dxa"/>
            <w:vAlign w:val="center"/>
          </w:tcPr>
          <w:p w14:paraId="007D5E68">
            <w:pPr>
              <w:adjustRightInd/>
              <w:spacing w:line="380" w:lineRule="exact"/>
              <w:jc w:val="center"/>
              <w:rPr>
                <w:rFonts w:hint="eastAsia" w:ascii="仿宋" w:hAnsi="仿宋" w:eastAsia="仿宋" w:cs="仿宋"/>
                <w:color w:val="auto"/>
                <w:sz w:val="24"/>
              </w:rPr>
            </w:pPr>
            <w:r>
              <w:rPr>
                <w:rFonts w:hint="eastAsia" w:ascii="仿宋" w:hAnsi="仿宋" w:eastAsia="仿宋" w:cs="仿宋"/>
                <w:color w:val="auto"/>
                <w:sz w:val="24"/>
              </w:rPr>
              <w:t>数量</w:t>
            </w:r>
          </w:p>
        </w:tc>
        <w:tc>
          <w:tcPr>
            <w:tcW w:w="1781" w:type="dxa"/>
            <w:vAlign w:val="center"/>
          </w:tcPr>
          <w:p w14:paraId="5EF8E2F4">
            <w:pPr>
              <w:adjustRightInd/>
              <w:spacing w:line="380" w:lineRule="exact"/>
              <w:jc w:val="center"/>
              <w:rPr>
                <w:rFonts w:hint="eastAsia" w:ascii="仿宋" w:hAnsi="仿宋" w:eastAsia="仿宋" w:cs="仿宋"/>
                <w:color w:val="auto"/>
                <w:sz w:val="24"/>
              </w:rPr>
            </w:pPr>
            <w:r>
              <w:rPr>
                <w:rFonts w:hint="eastAsia" w:ascii="仿宋" w:hAnsi="仿宋" w:eastAsia="仿宋" w:cs="仿宋"/>
                <w:color w:val="auto"/>
                <w:sz w:val="24"/>
              </w:rPr>
              <w:t>单位</w:t>
            </w:r>
          </w:p>
        </w:tc>
      </w:tr>
      <w:tr w14:paraId="48F0C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jc w:val="center"/>
        </w:trPr>
        <w:tc>
          <w:tcPr>
            <w:tcW w:w="735" w:type="dxa"/>
            <w:vAlign w:val="center"/>
          </w:tcPr>
          <w:p w14:paraId="32F98D02">
            <w:pPr>
              <w:adjustRightInd/>
              <w:spacing w:line="380" w:lineRule="exact"/>
              <w:jc w:val="center"/>
              <w:rPr>
                <w:rFonts w:hint="eastAsia" w:ascii="仿宋" w:hAnsi="仿宋" w:eastAsia="仿宋" w:cs="仿宋"/>
                <w:color w:val="auto"/>
                <w:sz w:val="24"/>
              </w:rPr>
            </w:pPr>
            <w:r>
              <w:rPr>
                <w:rFonts w:hint="eastAsia" w:ascii="仿宋" w:hAnsi="仿宋" w:eastAsia="仿宋" w:cs="仿宋"/>
                <w:color w:val="auto"/>
                <w:sz w:val="24"/>
              </w:rPr>
              <w:t>1</w:t>
            </w:r>
          </w:p>
        </w:tc>
        <w:tc>
          <w:tcPr>
            <w:tcW w:w="5030" w:type="dxa"/>
            <w:vAlign w:val="center"/>
          </w:tcPr>
          <w:p w14:paraId="07A911FD">
            <w:pPr>
              <w:adjustRightInd/>
              <w:spacing w:line="380" w:lineRule="exact"/>
              <w:jc w:val="center"/>
              <w:rPr>
                <w:rFonts w:hint="eastAsia" w:ascii="仿宋" w:hAnsi="仿宋" w:eastAsia="仿宋" w:cs="仿宋"/>
                <w:color w:val="auto"/>
                <w:sz w:val="24"/>
                <w:lang w:eastAsia="zh-CN"/>
              </w:rPr>
            </w:pPr>
          </w:p>
        </w:tc>
        <w:tc>
          <w:tcPr>
            <w:tcW w:w="1459" w:type="dxa"/>
            <w:vAlign w:val="center"/>
          </w:tcPr>
          <w:p w14:paraId="73D9B019">
            <w:pPr>
              <w:adjustRightInd/>
              <w:spacing w:line="380" w:lineRule="exact"/>
              <w:jc w:val="center"/>
              <w:rPr>
                <w:rFonts w:hint="eastAsia" w:ascii="仿宋" w:hAnsi="仿宋" w:eastAsia="仿宋" w:cs="仿宋"/>
                <w:color w:val="auto"/>
                <w:sz w:val="24"/>
              </w:rPr>
            </w:pPr>
          </w:p>
        </w:tc>
        <w:tc>
          <w:tcPr>
            <w:tcW w:w="1781" w:type="dxa"/>
            <w:vAlign w:val="center"/>
          </w:tcPr>
          <w:p w14:paraId="78DBD696">
            <w:pPr>
              <w:adjustRightInd/>
              <w:spacing w:line="380" w:lineRule="exact"/>
              <w:jc w:val="center"/>
              <w:rPr>
                <w:rFonts w:hint="eastAsia" w:ascii="仿宋" w:hAnsi="仿宋" w:eastAsia="仿宋" w:cs="仿宋"/>
                <w:color w:val="auto"/>
                <w:sz w:val="24"/>
              </w:rPr>
            </w:pPr>
          </w:p>
        </w:tc>
      </w:tr>
      <w:tr w14:paraId="08C82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9005" w:type="dxa"/>
            <w:gridSpan w:val="4"/>
            <w:vAlign w:val="center"/>
          </w:tcPr>
          <w:p w14:paraId="56510977">
            <w:pPr>
              <w:adjustRightInd/>
              <w:spacing w:line="380" w:lineRule="exact"/>
              <w:jc w:val="left"/>
              <w:rPr>
                <w:rFonts w:hint="eastAsia" w:ascii="仿宋" w:hAnsi="仿宋" w:eastAsia="仿宋" w:cs="仿宋"/>
                <w:color w:val="auto"/>
                <w:sz w:val="24"/>
              </w:rPr>
            </w:pPr>
            <w:r>
              <w:rPr>
                <w:rFonts w:hint="eastAsia" w:ascii="仿宋" w:hAnsi="仿宋" w:eastAsia="仿宋" w:cs="仿宋"/>
                <w:color w:val="auto"/>
                <w:sz w:val="24"/>
              </w:rPr>
              <w:t>投标报价合计金额</w:t>
            </w:r>
          </w:p>
        </w:tc>
      </w:tr>
      <w:tr w14:paraId="0DDC1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9005" w:type="dxa"/>
            <w:gridSpan w:val="4"/>
            <w:vAlign w:val="center"/>
          </w:tcPr>
          <w:p w14:paraId="331A95AB">
            <w:pPr>
              <w:adjustRightInd/>
              <w:spacing w:line="380" w:lineRule="exact"/>
              <w:jc w:val="left"/>
              <w:rPr>
                <w:rFonts w:hint="eastAsia" w:ascii="仿宋" w:hAnsi="仿宋" w:eastAsia="仿宋" w:cs="仿宋"/>
                <w:color w:val="auto"/>
                <w:sz w:val="24"/>
              </w:rPr>
            </w:pPr>
            <w:r>
              <w:rPr>
                <w:rFonts w:hint="eastAsia" w:ascii="仿宋" w:hAnsi="仿宋" w:eastAsia="仿宋" w:cs="仿宋"/>
                <w:color w:val="auto"/>
                <w:sz w:val="24"/>
              </w:rPr>
              <w:t>投标报价合计金额大写：</w:t>
            </w:r>
          </w:p>
        </w:tc>
      </w:tr>
    </w:tbl>
    <w:p w14:paraId="49C94D1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highlight w:val="none"/>
          <w:lang w:val="en-US" w:eastAsia="zh-CN"/>
        </w:rPr>
        <w:t>投标报价是完成本招标文件所述的项目内容所需的全部费用，包括但不限于系统的设计与开发、安装、调试、施工、技术培训、售后服务、验收、税金及其他配套服务过程中涉及的一切费用</w:t>
      </w:r>
      <w:r>
        <w:rPr>
          <w:rFonts w:hint="eastAsia" w:ascii="仿宋" w:hAnsi="仿宋" w:eastAsia="仿宋" w:cs="仿宋"/>
          <w:bCs/>
          <w:color w:val="auto"/>
          <w:sz w:val="24"/>
          <w:highlight w:val="none"/>
          <w:lang w:val="en-US" w:eastAsia="zh-CN"/>
        </w:rPr>
        <w:t>。</w:t>
      </w:r>
    </w:p>
    <w:p w14:paraId="1717E7E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报价一经涂改，应在涂改处加盖单位公章</w:t>
      </w:r>
      <w:r>
        <w:rPr>
          <w:rFonts w:hint="eastAsia" w:ascii="仿宋" w:hAnsi="仿宋" w:eastAsia="仿宋" w:cs="仿宋"/>
          <w:color w:val="auto"/>
          <w:sz w:val="24"/>
          <w:szCs w:val="24"/>
          <w:highlight w:val="none"/>
          <w:lang w:eastAsia="zh-CN"/>
        </w:rPr>
        <w:t>或</w:t>
      </w:r>
      <w:r>
        <w:rPr>
          <w:rFonts w:hint="eastAsia" w:ascii="仿宋" w:hAnsi="仿宋" w:eastAsia="仿宋" w:cs="仿宋"/>
          <w:color w:val="auto"/>
          <w:sz w:val="24"/>
          <w:szCs w:val="24"/>
          <w:highlight w:val="none"/>
        </w:rPr>
        <w:t>由法定代表人或授权委托人签字或盖章，否则其投标作无效标处理。</w:t>
      </w:r>
    </w:p>
    <w:p w14:paraId="09468975">
      <w:pPr>
        <w:pStyle w:val="873"/>
        <w:keepNext w:val="0"/>
        <w:keepLines w:val="0"/>
        <w:pageBreakBefore w:val="0"/>
        <w:tabs>
          <w:tab w:val="left" w:pos="390"/>
          <w:tab w:val="left" w:pos="454"/>
          <w:tab w:val="left" w:pos="720"/>
          <w:tab w:val="left" w:pos="900"/>
        </w:tabs>
        <w:kinsoku/>
        <w:wordWrap/>
        <w:overflowPunct/>
        <w:topLinePunct w:val="0"/>
        <w:autoSpaceDE/>
        <w:autoSpaceDN/>
        <w:bidi w:val="0"/>
        <w:spacing w:afterLines="0" w:line="360" w:lineRule="auto"/>
        <w:ind w:left="0" w:firstLine="480" w:firstLineChars="200"/>
        <w:textAlignment w:val="auto"/>
        <w:rPr>
          <w:rFonts w:hint="eastAsia" w:ascii="仿宋" w:hAnsi="仿宋" w:eastAsia="仿宋" w:cs="仿宋"/>
          <w:color w:val="auto"/>
          <w:sz w:val="24"/>
          <w:szCs w:val="24"/>
          <w:highlight w:val="none"/>
        </w:rPr>
      </w:pPr>
    </w:p>
    <w:p w14:paraId="14F41B24">
      <w:pPr>
        <w:keepNext w:val="0"/>
        <w:keepLines w:val="0"/>
        <w:pageBreakBefore w:val="0"/>
        <w:kinsoku/>
        <w:wordWrap/>
        <w:overflowPunct/>
        <w:topLinePunct w:val="0"/>
        <w:autoSpaceDE/>
        <w:autoSpaceDN/>
        <w:bidi w:val="0"/>
        <w:spacing w:line="360" w:lineRule="auto"/>
        <w:ind w:right="-21" w:rightChars="-10" w:firstLine="5040" w:firstLineChars="2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lang w:eastAsia="zh-CN"/>
        </w:rPr>
        <w:t>电子签章</w:t>
      </w:r>
      <w:r>
        <w:rPr>
          <w:rFonts w:hint="eastAsia" w:ascii="仿宋" w:hAnsi="仿宋" w:eastAsia="仿宋" w:cs="仿宋"/>
          <w:color w:val="auto"/>
          <w:sz w:val="24"/>
          <w:highlight w:val="none"/>
        </w:rPr>
        <w:t>）</w:t>
      </w:r>
      <w:r>
        <w:rPr>
          <w:rFonts w:hint="eastAsia" w:ascii="仿宋" w:hAnsi="仿宋" w:eastAsia="仿宋" w:cs="仿宋"/>
          <w:color w:val="auto"/>
          <w:sz w:val="24"/>
          <w:szCs w:val="24"/>
          <w:highlight w:val="none"/>
        </w:rPr>
        <w:t>：</w:t>
      </w:r>
    </w:p>
    <w:p w14:paraId="138FC727">
      <w:pPr>
        <w:keepNext w:val="0"/>
        <w:keepLines w:val="0"/>
        <w:pageBreakBefore w:val="0"/>
        <w:kinsoku/>
        <w:wordWrap/>
        <w:overflowPunct/>
        <w:topLinePunct w:val="0"/>
        <w:autoSpaceDE/>
        <w:autoSpaceDN/>
        <w:bidi w:val="0"/>
        <w:spacing w:line="360" w:lineRule="auto"/>
        <w:ind w:right="-21" w:rightChars="-10" w:firstLine="48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法定代表人</w:t>
      </w:r>
      <w:r>
        <w:rPr>
          <w:rFonts w:hint="eastAsia" w:ascii="仿宋" w:hAnsi="仿宋" w:eastAsia="仿宋" w:cs="仿宋"/>
          <w:color w:val="auto"/>
          <w:sz w:val="24"/>
          <w:szCs w:val="24"/>
          <w:highlight w:val="none"/>
          <w:lang w:val="en-US" w:eastAsia="zh-CN"/>
        </w:rPr>
        <w:t>或授权代表</w:t>
      </w:r>
      <w:r>
        <w:rPr>
          <w:rFonts w:hint="eastAsia" w:ascii="仿宋" w:hAnsi="仿宋" w:eastAsia="仿宋" w:cs="仿宋"/>
          <w:color w:val="auto"/>
          <w:sz w:val="24"/>
          <w:szCs w:val="24"/>
          <w:highlight w:val="none"/>
        </w:rPr>
        <w:t>（签字或盖章）：</w:t>
      </w:r>
    </w:p>
    <w:p w14:paraId="61E93BCB">
      <w:pPr>
        <w:keepNext w:val="0"/>
        <w:keepLines w:val="0"/>
        <w:pageBreakBefore w:val="0"/>
        <w:kinsoku/>
        <w:wordWrap/>
        <w:overflowPunct/>
        <w:topLinePunct w:val="0"/>
        <w:autoSpaceDE/>
        <w:autoSpaceDN/>
        <w:bidi w:val="0"/>
        <w:snapToGrid w:val="0"/>
        <w:spacing w:line="360" w:lineRule="auto"/>
        <w:ind w:right="480"/>
        <w:jc w:val="center"/>
        <w:textAlignment w:val="auto"/>
        <w:rPr>
          <w:rFonts w:hint="eastAsia" w:ascii="仿宋" w:hAnsi="仿宋" w:eastAsia="仿宋" w:cs="仿宋"/>
          <w:b/>
          <w:color w:val="auto"/>
          <w:kern w:val="0"/>
          <w:sz w:val="32"/>
          <w:szCs w:val="32"/>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highlight w:val="none"/>
        </w:rPr>
        <w:t>日期：  年   月   日</w:t>
      </w:r>
    </w:p>
    <w:p w14:paraId="046B345F">
      <w:pPr>
        <w:pStyle w:val="695"/>
        <w:keepNext w:val="0"/>
        <w:pageBreakBefore w:val="0"/>
        <w:tabs>
          <w:tab w:val="clear" w:pos="720"/>
        </w:tabs>
        <w:snapToGrid w:val="0"/>
        <w:spacing w:before="120" w:after="120"/>
        <w:ind w:firstLine="643"/>
        <w:outlineLvl w:val="9"/>
        <w:rPr>
          <w:rFonts w:hint="eastAsia" w:ascii="仿宋" w:hAnsi="仿宋" w:eastAsia="仿宋" w:cs="仿宋"/>
          <w:color w:val="auto"/>
          <w:kern w:val="2"/>
          <w:sz w:val="32"/>
          <w:szCs w:val="32"/>
          <w:highlight w:val="none"/>
          <w:lang w:val="en-US" w:eastAsia="zh-CN"/>
        </w:rPr>
      </w:pPr>
    </w:p>
    <w:p w14:paraId="4A045135">
      <w:pPr>
        <w:rPr>
          <w:rFonts w:hint="eastAsia" w:ascii="仿宋" w:hAnsi="仿宋" w:eastAsia="仿宋" w:cs="仿宋"/>
          <w:b/>
          <w:color w:val="auto"/>
          <w:kern w:val="2"/>
          <w:sz w:val="32"/>
          <w:szCs w:val="32"/>
          <w:highlight w:val="none"/>
          <w:lang w:val="en-US" w:eastAsia="zh-CN" w:bidi="ar-SA"/>
        </w:rPr>
      </w:pPr>
      <w:r>
        <w:rPr>
          <w:rFonts w:hint="eastAsia" w:ascii="仿宋" w:hAnsi="仿宋" w:eastAsia="仿宋" w:cs="仿宋"/>
          <w:b/>
          <w:color w:val="auto"/>
          <w:kern w:val="2"/>
          <w:sz w:val="32"/>
          <w:szCs w:val="32"/>
          <w:highlight w:val="none"/>
          <w:lang w:val="en-US" w:eastAsia="zh-CN" w:bidi="ar-SA"/>
        </w:rPr>
        <w:br w:type="page"/>
      </w:r>
    </w:p>
    <w:p w14:paraId="0721BAD9">
      <w:pPr>
        <w:pStyle w:val="695"/>
        <w:keepNext w:val="0"/>
        <w:pageBreakBefore w:val="0"/>
        <w:numPr>
          <w:ilvl w:val="0"/>
          <w:numId w:val="0"/>
        </w:numPr>
        <w:tabs>
          <w:tab w:val="clear" w:pos="720"/>
        </w:tabs>
        <w:snapToGrid w:val="0"/>
        <w:spacing w:before="120" w:after="120"/>
        <w:ind w:firstLine="643" w:firstLineChars="0"/>
        <w:outlineLvl w:val="9"/>
        <w:rPr>
          <w:rFonts w:hint="eastAsia" w:ascii="仿宋" w:hAnsi="仿宋" w:eastAsia="仿宋" w:cs="仿宋"/>
          <w:color w:val="auto"/>
          <w:kern w:val="2"/>
          <w:sz w:val="32"/>
          <w:szCs w:val="32"/>
          <w:highlight w:val="none"/>
          <w:lang w:eastAsia="zh-CN"/>
        </w:rPr>
      </w:pPr>
      <w:r>
        <w:rPr>
          <w:rFonts w:hint="eastAsia" w:ascii="仿宋" w:hAnsi="仿宋" w:eastAsia="仿宋" w:cs="仿宋"/>
          <w:b/>
          <w:color w:val="auto"/>
          <w:kern w:val="2"/>
          <w:sz w:val="32"/>
          <w:szCs w:val="32"/>
          <w:highlight w:val="none"/>
          <w:lang w:val="en-US" w:eastAsia="zh-CN" w:bidi="ar-SA"/>
        </w:rPr>
        <w:t>二、</w:t>
      </w:r>
      <w:r>
        <w:rPr>
          <w:rFonts w:hint="eastAsia" w:ascii="仿宋" w:hAnsi="仿宋" w:eastAsia="仿宋" w:cs="仿宋"/>
          <w:color w:val="auto"/>
          <w:kern w:val="2"/>
          <w:sz w:val="32"/>
          <w:szCs w:val="32"/>
          <w:highlight w:val="none"/>
        </w:rPr>
        <w:t>报价明细表</w:t>
      </w:r>
    </w:p>
    <w:tbl>
      <w:tblPr>
        <w:tblStyle w:val="65"/>
        <w:tblW w:w="91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3"/>
        <w:gridCol w:w="284"/>
        <w:gridCol w:w="3250"/>
        <w:gridCol w:w="965"/>
        <w:gridCol w:w="1160"/>
        <w:gridCol w:w="862"/>
        <w:gridCol w:w="1276"/>
        <w:gridCol w:w="850"/>
      </w:tblGrid>
      <w:tr w14:paraId="031790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9180" w:type="dxa"/>
            <w:gridSpan w:val="8"/>
            <w:tcBorders>
              <w:top w:val="single" w:color="auto" w:sz="4" w:space="0"/>
              <w:left w:val="single" w:color="auto" w:sz="4" w:space="0"/>
              <w:bottom w:val="single" w:color="auto" w:sz="4" w:space="0"/>
              <w:right w:val="single" w:color="auto" w:sz="4" w:space="0"/>
            </w:tcBorders>
            <w:vAlign w:val="center"/>
          </w:tcPr>
          <w:p w14:paraId="41F5116A">
            <w:pPr>
              <w:snapToGrid w:val="0"/>
              <w:spacing w:line="400" w:lineRule="exact"/>
              <w:jc w:val="center"/>
              <w:rPr>
                <w:rFonts w:hint="eastAsia" w:ascii="仿宋" w:hAnsi="仿宋" w:eastAsia="仿宋" w:cs="仿宋"/>
                <w:bCs/>
                <w:color w:val="auto"/>
                <w:sz w:val="24"/>
              </w:rPr>
            </w:pPr>
            <w:r>
              <w:rPr>
                <w:rFonts w:hint="eastAsia" w:ascii="仿宋" w:hAnsi="仿宋" w:eastAsia="仿宋" w:cs="仿宋"/>
                <w:bCs/>
                <w:color w:val="auto"/>
                <w:sz w:val="24"/>
              </w:rPr>
              <w:t>服务类</w:t>
            </w:r>
          </w:p>
        </w:tc>
      </w:tr>
      <w:tr w14:paraId="1C5D8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17" w:type="dxa"/>
            <w:gridSpan w:val="2"/>
            <w:tcBorders>
              <w:top w:val="single" w:color="auto" w:sz="4" w:space="0"/>
              <w:left w:val="single" w:color="auto" w:sz="4" w:space="0"/>
              <w:bottom w:val="nil"/>
              <w:right w:val="single" w:color="auto" w:sz="4" w:space="0"/>
            </w:tcBorders>
            <w:vAlign w:val="center"/>
          </w:tcPr>
          <w:p w14:paraId="0FC72218">
            <w:pPr>
              <w:widowControl/>
              <w:textAlignment w:val="center"/>
              <w:rPr>
                <w:rFonts w:hint="eastAsia" w:ascii="仿宋" w:hAnsi="仿宋" w:eastAsia="仿宋" w:cs="仿宋"/>
                <w:bCs/>
                <w:color w:val="auto"/>
                <w:sz w:val="24"/>
              </w:rPr>
            </w:pPr>
            <w:r>
              <w:rPr>
                <w:rFonts w:hint="eastAsia" w:ascii="仿宋" w:hAnsi="仿宋" w:eastAsia="仿宋" w:cs="仿宋"/>
                <w:bCs/>
                <w:color w:val="auto"/>
                <w:kern w:val="0"/>
                <w:sz w:val="24"/>
                <w:lang w:bidi="ar"/>
              </w:rPr>
              <w:t>序号</w:t>
            </w:r>
          </w:p>
        </w:tc>
        <w:tc>
          <w:tcPr>
            <w:tcW w:w="3250" w:type="dxa"/>
            <w:tcBorders>
              <w:top w:val="single" w:color="auto" w:sz="4" w:space="0"/>
              <w:left w:val="single" w:color="auto" w:sz="4" w:space="0"/>
              <w:bottom w:val="nil"/>
              <w:right w:val="single" w:color="auto" w:sz="4" w:space="0"/>
            </w:tcBorders>
            <w:vAlign w:val="center"/>
          </w:tcPr>
          <w:p w14:paraId="51A3B941">
            <w:pPr>
              <w:widowControl/>
              <w:jc w:val="center"/>
              <w:textAlignment w:val="center"/>
              <w:rPr>
                <w:rFonts w:hint="eastAsia" w:ascii="仿宋" w:hAnsi="仿宋" w:eastAsia="仿宋" w:cs="仿宋"/>
                <w:bCs/>
                <w:color w:val="auto"/>
                <w:sz w:val="24"/>
                <w:lang w:val="en-US" w:eastAsia="zh-CN"/>
              </w:rPr>
            </w:pPr>
            <w:r>
              <w:rPr>
                <w:rFonts w:hint="eastAsia" w:ascii="仿宋" w:hAnsi="仿宋" w:eastAsia="仿宋" w:cs="仿宋"/>
                <w:bCs/>
                <w:color w:val="auto"/>
                <w:sz w:val="24"/>
                <w:lang w:val="en-US" w:eastAsia="zh-CN"/>
              </w:rPr>
              <w:t>内容</w:t>
            </w:r>
          </w:p>
        </w:tc>
        <w:tc>
          <w:tcPr>
            <w:tcW w:w="965" w:type="dxa"/>
            <w:tcBorders>
              <w:top w:val="single" w:color="auto" w:sz="4" w:space="0"/>
              <w:left w:val="single" w:color="auto" w:sz="4" w:space="0"/>
              <w:bottom w:val="nil"/>
              <w:right w:val="single" w:color="auto" w:sz="4" w:space="0"/>
            </w:tcBorders>
            <w:vAlign w:val="center"/>
          </w:tcPr>
          <w:p w14:paraId="57D9A3A8">
            <w:pPr>
              <w:widowControl/>
              <w:jc w:val="center"/>
              <w:textAlignment w:val="center"/>
              <w:rPr>
                <w:rFonts w:hint="eastAsia" w:ascii="仿宋" w:hAnsi="仿宋" w:eastAsia="仿宋" w:cs="仿宋"/>
                <w:bCs/>
                <w:color w:val="auto"/>
                <w:sz w:val="24"/>
              </w:rPr>
            </w:pPr>
            <w:r>
              <w:rPr>
                <w:rFonts w:hint="eastAsia" w:ascii="仿宋" w:hAnsi="仿宋" w:eastAsia="仿宋" w:cs="仿宋"/>
                <w:bCs/>
                <w:color w:val="auto"/>
                <w:kern w:val="0"/>
                <w:sz w:val="24"/>
                <w:lang w:bidi="ar"/>
              </w:rPr>
              <w:t>数量</w:t>
            </w:r>
          </w:p>
        </w:tc>
        <w:tc>
          <w:tcPr>
            <w:tcW w:w="1160" w:type="dxa"/>
            <w:tcBorders>
              <w:top w:val="single" w:color="auto" w:sz="4" w:space="0"/>
              <w:left w:val="single" w:color="auto" w:sz="4" w:space="0"/>
              <w:bottom w:val="nil"/>
              <w:right w:val="single" w:color="auto" w:sz="4" w:space="0"/>
            </w:tcBorders>
            <w:vAlign w:val="center"/>
          </w:tcPr>
          <w:p w14:paraId="744D1EC9">
            <w:pPr>
              <w:snapToGrid w:val="0"/>
              <w:spacing w:line="400" w:lineRule="exact"/>
              <w:jc w:val="center"/>
              <w:rPr>
                <w:rFonts w:hint="eastAsia" w:ascii="仿宋" w:hAnsi="仿宋" w:eastAsia="仿宋" w:cs="仿宋"/>
                <w:bCs/>
                <w:color w:val="auto"/>
                <w:sz w:val="24"/>
              </w:rPr>
            </w:pPr>
            <w:r>
              <w:rPr>
                <w:rFonts w:hint="eastAsia" w:ascii="仿宋" w:hAnsi="仿宋" w:eastAsia="仿宋" w:cs="仿宋"/>
                <w:bCs/>
                <w:color w:val="auto"/>
                <w:sz w:val="24"/>
              </w:rPr>
              <w:t>单位</w:t>
            </w:r>
          </w:p>
        </w:tc>
        <w:tc>
          <w:tcPr>
            <w:tcW w:w="862" w:type="dxa"/>
            <w:tcBorders>
              <w:top w:val="single" w:color="auto" w:sz="4" w:space="0"/>
              <w:left w:val="single" w:color="auto" w:sz="4" w:space="0"/>
              <w:bottom w:val="nil"/>
              <w:right w:val="single" w:color="auto" w:sz="4" w:space="0"/>
            </w:tcBorders>
            <w:vAlign w:val="center"/>
          </w:tcPr>
          <w:p w14:paraId="1A832008">
            <w:pPr>
              <w:snapToGrid w:val="0"/>
              <w:spacing w:line="400" w:lineRule="exact"/>
              <w:jc w:val="center"/>
              <w:rPr>
                <w:rFonts w:hint="eastAsia" w:ascii="仿宋" w:hAnsi="仿宋" w:eastAsia="仿宋" w:cs="仿宋"/>
                <w:bCs/>
                <w:color w:val="auto"/>
                <w:sz w:val="24"/>
              </w:rPr>
            </w:pPr>
            <w:r>
              <w:rPr>
                <w:rFonts w:hint="eastAsia" w:ascii="仿宋" w:hAnsi="仿宋" w:eastAsia="仿宋" w:cs="仿宋"/>
                <w:bCs/>
                <w:color w:val="auto"/>
                <w:sz w:val="24"/>
              </w:rPr>
              <w:t>单价（元）</w:t>
            </w:r>
          </w:p>
        </w:tc>
        <w:tc>
          <w:tcPr>
            <w:tcW w:w="1276" w:type="dxa"/>
            <w:tcBorders>
              <w:top w:val="single" w:color="auto" w:sz="4" w:space="0"/>
              <w:left w:val="single" w:color="auto" w:sz="4" w:space="0"/>
              <w:bottom w:val="nil"/>
              <w:right w:val="single" w:color="auto" w:sz="4" w:space="0"/>
            </w:tcBorders>
            <w:vAlign w:val="center"/>
          </w:tcPr>
          <w:p w14:paraId="59649185">
            <w:pPr>
              <w:snapToGrid w:val="0"/>
              <w:spacing w:line="400" w:lineRule="exact"/>
              <w:jc w:val="center"/>
              <w:rPr>
                <w:rFonts w:hint="eastAsia" w:ascii="仿宋" w:hAnsi="仿宋" w:eastAsia="仿宋" w:cs="仿宋"/>
                <w:bCs/>
                <w:color w:val="auto"/>
                <w:sz w:val="24"/>
              </w:rPr>
            </w:pPr>
            <w:r>
              <w:rPr>
                <w:rFonts w:hint="eastAsia" w:ascii="仿宋" w:hAnsi="仿宋" w:eastAsia="仿宋" w:cs="仿宋"/>
                <w:bCs/>
                <w:color w:val="auto"/>
                <w:sz w:val="24"/>
              </w:rPr>
              <w:t>总价（元）</w:t>
            </w:r>
          </w:p>
        </w:tc>
        <w:tc>
          <w:tcPr>
            <w:tcW w:w="850" w:type="dxa"/>
            <w:tcBorders>
              <w:top w:val="single" w:color="auto" w:sz="4" w:space="0"/>
              <w:left w:val="single" w:color="auto" w:sz="4" w:space="0"/>
              <w:right w:val="single" w:color="auto" w:sz="4" w:space="0"/>
            </w:tcBorders>
            <w:vAlign w:val="center"/>
          </w:tcPr>
          <w:p w14:paraId="4033195A">
            <w:pPr>
              <w:snapToGrid w:val="0"/>
              <w:spacing w:line="400" w:lineRule="exact"/>
              <w:jc w:val="center"/>
              <w:rPr>
                <w:rFonts w:hint="eastAsia" w:ascii="仿宋" w:hAnsi="仿宋" w:eastAsia="仿宋" w:cs="仿宋"/>
                <w:bCs/>
                <w:color w:val="auto"/>
                <w:sz w:val="24"/>
              </w:rPr>
            </w:pPr>
            <w:r>
              <w:rPr>
                <w:rFonts w:hint="eastAsia" w:ascii="仿宋" w:hAnsi="仿宋" w:eastAsia="仿宋" w:cs="仿宋"/>
                <w:bCs/>
                <w:color w:val="auto"/>
                <w:sz w:val="24"/>
              </w:rPr>
              <w:t>备注</w:t>
            </w:r>
          </w:p>
        </w:tc>
      </w:tr>
      <w:tr w14:paraId="7F46D9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817" w:type="dxa"/>
            <w:gridSpan w:val="2"/>
            <w:tcBorders>
              <w:top w:val="single" w:color="auto" w:sz="4" w:space="0"/>
              <w:left w:val="single" w:color="auto" w:sz="4" w:space="0"/>
              <w:bottom w:val="single" w:color="auto" w:sz="4" w:space="0"/>
              <w:right w:val="single" w:color="auto" w:sz="4" w:space="0"/>
            </w:tcBorders>
            <w:vAlign w:val="center"/>
          </w:tcPr>
          <w:p w14:paraId="2E589EAE">
            <w:pPr>
              <w:widowControl/>
              <w:jc w:val="center"/>
              <w:textAlignment w:val="center"/>
              <w:rPr>
                <w:rFonts w:hint="eastAsia" w:ascii="仿宋" w:hAnsi="仿宋" w:eastAsia="仿宋" w:cs="仿宋"/>
                <w:bCs/>
                <w:color w:val="auto"/>
                <w:sz w:val="24"/>
              </w:rPr>
            </w:pPr>
          </w:p>
        </w:tc>
        <w:tc>
          <w:tcPr>
            <w:tcW w:w="3250" w:type="dxa"/>
            <w:tcBorders>
              <w:top w:val="single" w:color="auto" w:sz="4" w:space="0"/>
              <w:left w:val="single" w:color="auto" w:sz="4" w:space="0"/>
              <w:bottom w:val="single" w:color="auto" w:sz="4" w:space="0"/>
              <w:right w:val="single" w:color="auto" w:sz="4" w:space="0"/>
            </w:tcBorders>
            <w:vAlign w:val="center"/>
          </w:tcPr>
          <w:p w14:paraId="40CB78A2">
            <w:pPr>
              <w:widowControl/>
              <w:jc w:val="center"/>
              <w:textAlignment w:val="center"/>
              <w:rPr>
                <w:rFonts w:hint="eastAsia" w:ascii="仿宋" w:hAnsi="仿宋" w:eastAsia="仿宋" w:cs="仿宋"/>
                <w:bCs/>
                <w:color w:val="auto"/>
                <w:sz w:val="24"/>
              </w:rPr>
            </w:pPr>
          </w:p>
        </w:tc>
        <w:tc>
          <w:tcPr>
            <w:tcW w:w="965" w:type="dxa"/>
            <w:tcBorders>
              <w:top w:val="single" w:color="auto" w:sz="4" w:space="0"/>
              <w:left w:val="single" w:color="auto" w:sz="4" w:space="0"/>
              <w:bottom w:val="single" w:color="auto" w:sz="4" w:space="0"/>
              <w:right w:val="single" w:color="auto" w:sz="4" w:space="0"/>
            </w:tcBorders>
            <w:vAlign w:val="center"/>
          </w:tcPr>
          <w:p w14:paraId="0E9077B1">
            <w:pPr>
              <w:widowControl/>
              <w:jc w:val="center"/>
              <w:textAlignment w:val="center"/>
              <w:rPr>
                <w:rFonts w:hint="eastAsia" w:ascii="仿宋" w:hAnsi="仿宋" w:eastAsia="仿宋" w:cs="仿宋"/>
                <w:bCs/>
                <w:color w:val="auto"/>
                <w:sz w:val="24"/>
              </w:rPr>
            </w:pPr>
          </w:p>
        </w:tc>
        <w:tc>
          <w:tcPr>
            <w:tcW w:w="1160" w:type="dxa"/>
            <w:tcBorders>
              <w:top w:val="single" w:color="auto" w:sz="4" w:space="0"/>
              <w:left w:val="single" w:color="auto" w:sz="4" w:space="0"/>
              <w:bottom w:val="single" w:color="auto" w:sz="4" w:space="0"/>
              <w:right w:val="single" w:color="auto" w:sz="4" w:space="0"/>
            </w:tcBorders>
            <w:vAlign w:val="center"/>
          </w:tcPr>
          <w:p w14:paraId="74D70EC0">
            <w:pPr>
              <w:widowControl/>
              <w:jc w:val="center"/>
              <w:textAlignment w:val="center"/>
              <w:rPr>
                <w:rFonts w:hint="eastAsia" w:ascii="仿宋" w:hAnsi="仿宋" w:eastAsia="仿宋" w:cs="仿宋"/>
                <w:bCs/>
                <w:color w:val="auto"/>
                <w:sz w:val="24"/>
              </w:rPr>
            </w:pPr>
          </w:p>
        </w:tc>
        <w:tc>
          <w:tcPr>
            <w:tcW w:w="862" w:type="dxa"/>
            <w:tcBorders>
              <w:top w:val="single" w:color="auto" w:sz="4" w:space="0"/>
              <w:left w:val="single" w:color="auto" w:sz="4" w:space="0"/>
              <w:bottom w:val="single" w:color="auto" w:sz="4" w:space="0"/>
              <w:right w:val="single" w:color="auto" w:sz="4" w:space="0"/>
            </w:tcBorders>
            <w:vAlign w:val="center"/>
          </w:tcPr>
          <w:p w14:paraId="6A4AB509">
            <w:pPr>
              <w:snapToGrid w:val="0"/>
              <w:spacing w:line="400" w:lineRule="exact"/>
              <w:jc w:val="center"/>
              <w:rPr>
                <w:rFonts w:hint="eastAsia" w:ascii="仿宋" w:hAnsi="仿宋" w:eastAsia="仿宋" w:cs="仿宋"/>
                <w:bCs/>
                <w:color w:val="auto"/>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57EF7F4A">
            <w:pPr>
              <w:snapToGrid w:val="0"/>
              <w:spacing w:line="400" w:lineRule="exact"/>
              <w:jc w:val="center"/>
              <w:rPr>
                <w:rFonts w:hint="eastAsia" w:ascii="仿宋" w:hAnsi="仿宋" w:eastAsia="仿宋" w:cs="仿宋"/>
                <w:bCs/>
                <w:color w:val="auto"/>
                <w:sz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6B485D44">
            <w:pPr>
              <w:snapToGrid w:val="0"/>
              <w:spacing w:line="400" w:lineRule="exact"/>
              <w:jc w:val="center"/>
              <w:rPr>
                <w:rFonts w:hint="eastAsia" w:ascii="仿宋" w:hAnsi="仿宋" w:eastAsia="仿宋" w:cs="仿宋"/>
                <w:bCs/>
                <w:color w:val="auto"/>
                <w:sz w:val="24"/>
              </w:rPr>
            </w:pPr>
          </w:p>
        </w:tc>
      </w:tr>
      <w:tr w14:paraId="3E1098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33" w:hRule="atLeast"/>
        </w:trPr>
        <w:tc>
          <w:tcPr>
            <w:tcW w:w="817" w:type="dxa"/>
            <w:gridSpan w:val="2"/>
            <w:tcBorders>
              <w:top w:val="single" w:color="auto" w:sz="4" w:space="0"/>
              <w:left w:val="single" w:color="auto" w:sz="4" w:space="0"/>
              <w:bottom w:val="single" w:color="auto" w:sz="4" w:space="0"/>
              <w:right w:val="single" w:color="auto" w:sz="4" w:space="0"/>
            </w:tcBorders>
            <w:vAlign w:val="center"/>
          </w:tcPr>
          <w:p w14:paraId="0B031C95">
            <w:pPr>
              <w:widowControl/>
              <w:jc w:val="center"/>
              <w:textAlignment w:val="center"/>
              <w:rPr>
                <w:rFonts w:hint="eastAsia" w:ascii="仿宋" w:hAnsi="仿宋" w:eastAsia="仿宋" w:cs="仿宋"/>
                <w:bCs/>
                <w:color w:val="auto"/>
                <w:sz w:val="24"/>
              </w:rPr>
            </w:pPr>
          </w:p>
        </w:tc>
        <w:tc>
          <w:tcPr>
            <w:tcW w:w="3250" w:type="dxa"/>
            <w:tcBorders>
              <w:top w:val="single" w:color="auto" w:sz="4" w:space="0"/>
              <w:left w:val="single" w:color="auto" w:sz="4" w:space="0"/>
              <w:bottom w:val="single" w:color="auto" w:sz="4" w:space="0"/>
              <w:right w:val="single" w:color="auto" w:sz="4" w:space="0"/>
            </w:tcBorders>
            <w:vAlign w:val="center"/>
          </w:tcPr>
          <w:p w14:paraId="1295B728">
            <w:pPr>
              <w:widowControl/>
              <w:jc w:val="center"/>
              <w:textAlignment w:val="center"/>
              <w:rPr>
                <w:rFonts w:hint="eastAsia" w:ascii="仿宋" w:hAnsi="仿宋" w:eastAsia="仿宋" w:cs="仿宋"/>
                <w:bCs/>
                <w:color w:val="auto"/>
                <w:sz w:val="24"/>
              </w:rPr>
            </w:pPr>
          </w:p>
        </w:tc>
        <w:tc>
          <w:tcPr>
            <w:tcW w:w="965" w:type="dxa"/>
            <w:tcBorders>
              <w:top w:val="single" w:color="auto" w:sz="4" w:space="0"/>
              <w:left w:val="single" w:color="auto" w:sz="4" w:space="0"/>
              <w:bottom w:val="single" w:color="auto" w:sz="4" w:space="0"/>
              <w:right w:val="single" w:color="auto" w:sz="4" w:space="0"/>
            </w:tcBorders>
            <w:vAlign w:val="center"/>
          </w:tcPr>
          <w:p w14:paraId="2532AFE2">
            <w:pPr>
              <w:widowControl/>
              <w:jc w:val="center"/>
              <w:textAlignment w:val="center"/>
              <w:rPr>
                <w:rFonts w:hint="eastAsia" w:ascii="仿宋" w:hAnsi="仿宋" w:eastAsia="仿宋" w:cs="仿宋"/>
                <w:bCs/>
                <w:color w:val="auto"/>
                <w:sz w:val="24"/>
              </w:rPr>
            </w:pPr>
          </w:p>
        </w:tc>
        <w:tc>
          <w:tcPr>
            <w:tcW w:w="1160" w:type="dxa"/>
            <w:tcBorders>
              <w:top w:val="single" w:color="auto" w:sz="4" w:space="0"/>
              <w:left w:val="single" w:color="auto" w:sz="4" w:space="0"/>
              <w:bottom w:val="single" w:color="auto" w:sz="4" w:space="0"/>
              <w:right w:val="single" w:color="auto" w:sz="4" w:space="0"/>
            </w:tcBorders>
            <w:vAlign w:val="center"/>
          </w:tcPr>
          <w:p w14:paraId="2E460DCD">
            <w:pPr>
              <w:widowControl/>
              <w:jc w:val="center"/>
              <w:textAlignment w:val="center"/>
              <w:rPr>
                <w:rFonts w:hint="eastAsia" w:ascii="仿宋" w:hAnsi="仿宋" w:eastAsia="仿宋" w:cs="仿宋"/>
                <w:bCs/>
                <w:color w:val="auto"/>
                <w:sz w:val="24"/>
              </w:rPr>
            </w:pPr>
          </w:p>
        </w:tc>
        <w:tc>
          <w:tcPr>
            <w:tcW w:w="862" w:type="dxa"/>
            <w:tcBorders>
              <w:top w:val="single" w:color="auto" w:sz="4" w:space="0"/>
              <w:left w:val="single" w:color="auto" w:sz="4" w:space="0"/>
              <w:bottom w:val="single" w:color="auto" w:sz="4" w:space="0"/>
              <w:right w:val="single" w:color="auto" w:sz="4" w:space="0"/>
            </w:tcBorders>
            <w:vAlign w:val="center"/>
          </w:tcPr>
          <w:p w14:paraId="6AC0E019">
            <w:pPr>
              <w:snapToGrid w:val="0"/>
              <w:spacing w:line="400" w:lineRule="exact"/>
              <w:jc w:val="center"/>
              <w:rPr>
                <w:rFonts w:hint="eastAsia" w:ascii="仿宋" w:hAnsi="仿宋" w:eastAsia="仿宋" w:cs="仿宋"/>
                <w:bCs/>
                <w:color w:val="auto"/>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3253E83C">
            <w:pPr>
              <w:snapToGrid w:val="0"/>
              <w:spacing w:line="400" w:lineRule="exact"/>
              <w:jc w:val="center"/>
              <w:rPr>
                <w:rFonts w:hint="eastAsia" w:ascii="仿宋" w:hAnsi="仿宋" w:eastAsia="仿宋" w:cs="仿宋"/>
                <w:bCs/>
                <w:color w:val="auto"/>
                <w:sz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3E203F40">
            <w:pPr>
              <w:snapToGrid w:val="0"/>
              <w:spacing w:line="400" w:lineRule="exact"/>
              <w:jc w:val="center"/>
              <w:rPr>
                <w:rFonts w:hint="eastAsia" w:ascii="仿宋" w:hAnsi="仿宋" w:eastAsia="仿宋" w:cs="仿宋"/>
                <w:bCs/>
                <w:color w:val="auto"/>
                <w:sz w:val="24"/>
              </w:rPr>
            </w:pPr>
          </w:p>
        </w:tc>
      </w:tr>
      <w:tr w14:paraId="47A420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817" w:type="dxa"/>
            <w:gridSpan w:val="2"/>
            <w:tcBorders>
              <w:top w:val="single" w:color="auto" w:sz="4" w:space="0"/>
              <w:left w:val="single" w:color="auto" w:sz="4" w:space="0"/>
              <w:bottom w:val="single" w:color="auto" w:sz="4" w:space="0"/>
              <w:right w:val="single" w:color="auto" w:sz="4" w:space="0"/>
            </w:tcBorders>
            <w:vAlign w:val="center"/>
          </w:tcPr>
          <w:p w14:paraId="33C34AD8">
            <w:pPr>
              <w:widowControl/>
              <w:jc w:val="center"/>
              <w:textAlignment w:val="center"/>
              <w:rPr>
                <w:rFonts w:hint="eastAsia" w:ascii="仿宋" w:hAnsi="仿宋" w:eastAsia="仿宋" w:cs="仿宋"/>
                <w:bCs/>
                <w:color w:val="auto"/>
                <w:sz w:val="24"/>
              </w:rPr>
            </w:pPr>
          </w:p>
        </w:tc>
        <w:tc>
          <w:tcPr>
            <w:tcW w:w="3250" w:type="dxa"/>
            <w:tcBorders>
              <w:top w:val="single" w:color="auto" w:sz="4" w:space="0"/>
              <w:left w:val="single" w:color="auto" w:sz="4" w:space="0"/>
              <w:bottom w:val="single" w:color="auto" w:sz="4" w:space="0"/>
              <w:right w:val="single" w:color="auto" w:sz="4" w:space="0"/>
            </w:tcBorders>
            <w:vAlign w:val="center"/>
          </w:tcPr>
          <w:p w14:paraId="759AB277">
            <w:pPr>
              <w:widowControl/>
              <w:jc w:val="center"/>
              <w:textAlignment w:val="center"/>
              <w:rPr>
                <w:rFonts w:hint="eastAsia" w:ascii="仿宋" w:hAnsi="仿宋" w:eastAsia="仿宋" w:cs="仿宋"/>
                <w:bCs/>
                <w:color w:val="auto"/>
                <w:sz w:val="24"/>
              </w:rPr>
            </w:pPr>
          </w:p>
        </w:tc>
        <w:tc>
          <w:tcPr>
            <w:tcW w:w="965" w:type="dxa"/>
            <w:tcBorders>
              <w:top w:val="single" w:color="auto" w:sz="4" w:space="0"/>
              <w:left w:val="single" w:color="auto" w:sz="4" w:space="0"/>
              <w:bottom w:val="single" w:color="auto" w:sz="4" w:space="0"/>
              <w:right w:val="single" w:color="auto" w:sz="4" w:space="0"/>
            </w:tcBorders>
            <w:vAlign w:val="center"/>
          </w:tcPr>
          <w:p w14:paraId="698BC95C">
            <w:pPr>
              <w:widowControl/>
              <w:jc w:val="center"/>
              <w:textAlignment w:val="center"/>
              <w:rPr>
                <w:rFonts w:hint="eastAsia" w:ascii="仿宋" w:hAnsi="仿宋" w:eastAsia="仿宋" w:cs="仿宋"/>
                <w:bCs/>
                <w:color w:val="auto"/>
                <w:sz w:val="24"/>
              </w:rPr>
            </w:pPr>
          </w:p>
        </w:tc>
        <w:tc>
          <w:tcPr>
            <w:tcW w:w="1160" w:type="dxa"/>
            <w:tcBorders>
              <w:top w:val="single" w:color="auto" w:sz="4" w:space="0"/>
              <w:left w:val="single" w:color="auto" w:sz="4" w:space="0"/>
              <w:bottom w:val="single" w:color="auto" w:sz="4" w:space="0"/>
              <w:right w:val="single" w:color="auto" w:sz="4" w:space="0"/>
            </w:tcBorders>
            <w:vAlign w:val="center"/>
          </w:tcPr>
          <w:p w14:paraId="5150638F">
            <w:pPr>
              <w:widowControl/>
              <w:jc w:val="center"/>
              <w:textAlignment w:val="center"/>
              <w:rPr>
                <w:rFonts w:hint="eastAsia" w:ascii="仿宋" w:hAnsi="仿宋" w:eastAsia="仿宋" w:cs="仿宋"/>
                <w:bCs/>
                <w:color w:val="auto"/>
                <w:sz w:val="24"/>
              </w:rPr>
            </w:pPr>
          </w:p>
        </w:tc>
        <w:tc>
          <w:tcPr>
            <w:tcW w:w="862" w:type="dxa"/>
            <w:tcBorders>
              <w:top w:val="single" w:color="auto" w:sz="4" w:space="0"/>
              <w:left w:val="single" w:color="auto" w:sz="4" w:space="0"/>
              <w:bottom w:val="single" w:color="auto" w:sz="4" w:space="0"/>
              <w:right w:val="single" w:color="auto" w:sz="4" w:space="0"/>
            </w:tcBorders>
            <w:vAlign w:val="center"/>
          </w:tcPr>
          <w:p w14:paraId="01CD9CC9">
            <w:pPr>
              <w:snapToGrid w:val="0"/>
              <w:spacing w:line="400" w:lineRule="exact"/>
              <w:jc w:val="center"/>
              <w:rPr>
                <w:rFonts w:hint="eastAsia" w:ascii="仿宋" w:hAnsi="仿宋" w:eastAsia="仿宋" w:cs="仿宋"/>
                <w:bCs/>
                <w:color w:val="auto"/>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0CBCBB55">
            <w:pPr>
              <w:snapToGrid w:val="0"/>
              <w:spacing w:line="400" w:lineRule="exact"/>
              <w:jc w:val="center"/>
              <w:rPr>
                <w:rFonts w:hint="eastAsia" w:ascii="仿宋" w:hAnsi="仿宋" w:eastAsia="仿宋" w:cs="仿宋"/>
                <w:bCs/>
                <w:color w:val="auto"/>
                <w:sz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2EFEFDF8">
            <w:pPr>
              <w:snapToGrid w:val="0"/>
              <w:spacing w:line="400" w:lineRule="exact"/>
              <w:jc w:val="center"/>
              <w:rPr>
                <w:rFonts w:hint="eastAsia" w:ascii="仿宋" w:hAnsi="仿宋" w:eastAsia="仿宋" w:cs="仿宋"/>
                <w:bCs/>
                <w:color w:val="auto"/>
                <w:sz w:val="24"/>
              </w:rPr>
            </w:pPr>
          </w:p>
        </w:tc>
      </w:tr>
      <w:tr w14:paraId="68B8F5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817" w:type="dxa"/>
            <w:gridSpan w:val="2"/>
            <w:tcBorders>
              <w:top w:val="single" w:color="auto" w:sz="4" w:space="0"/>
              <w:left w:val="single" w:color="auto" w:sz="4" w:space="0"/>
              <w:bottom w:val="single" w:color="auto" w:sz="4" w:space="0"/>
              <w:right w:val="single" w:color="auto" w:sz="4" w:space="0"/>
            </w:tcBorders>
            <w:vAlign w:val="center"/>
          </w:tcPr>
          <w:p w14:paraId="4BF336C5">
            <w:pPr>
              <w:widowControl/>
              <w:jc w:val="center"/>
              <w:textAlignment w:val="center"/>
              <w:rPr>
                <w:rFonts w:hint="eastAsia" w:ascii="仿宋" w:hAnsi="仿宋" w:eastAsia="仿宋" w:cs="仿宋"/>
                <w:bCs/>
                <w:color w:val="auto"/>
                <w:sz w:val="24"/>
              </w:rPr>
            </w:pPr>
          </w:p>
        </w:tc>
        <w:tc>
          <w:tcPr>
            <w:tcW w:w="3250" w:type="dxa"/>
            <w:tcBorders>
              <w:top w:val="single" w:color="auto" w:sz="4" w:space="0"/>
              <w:left w:val="single" w:color="auto" w:sz="4" w:space="0"/>
              <w:bottom w:val="single" w:color="auto" w:sz="4" w:space="0"/>
              <w:right w:val="single" w:color="auto" w:sz="4" w:space="0"/>
            </w:tcBorders>
            <w:vAlign w:val="center"/>
          </w:tcPr>
          <w:p w14:paraId="512A8E01">
            <w:pPr>
              <w:widowControl/>
              <w:jc w:val="center"/>
              <w:textAlignment w:val="center"/>
              <w:rPr>
                <w:rFonts w:hint="eastAsia" w:ascii="仿宋" w:hAnsi="仿宋" w:eastAsia="仿宋" w:cs="仿宋"/>
                <w:bCs/>
                <w:color w:val="auto"/>
                <w:sz w:val="24"/>
              </w:rPr>
            </w:pPr>
          </w:p>
        </w:tc>
        <w:tc>
          <w:tcPr>
            <w:tcW w:w="965" w:type="dxa"/>
            <w:tcBorders>
              <w:top w:val="single" w:color="auto" w:sz="4" w:space="0"/>
              <w:left w:val="single" w:color="auto" w:sz="4" w:space="0"/>
              <w:bottom w:val="single" w:color="auto" w:sz="4" w:space="0"/>
              <w:right w:val="single" w:color="auto" w:sz="4" w:space="0"/>
            </w:tcBorders>
            <w:vAlign w:val="center"/>
          </w:tcPr>
          <w:p w14:paraId="782046A5">
            <w:pPr>
              <w:widowControl/>
              <w:jc w:val="center"/>
              <w:textAlignment w:val="center"/>
              <w:rPr>
                <w:rFonts w:hint="eastAsia" w:ascii="仿宋" w:hAnsi="仿宋" w:eastAsia="仿宋" w:cs="仿宋"/>
                <w:bCs/>
                <w:color w:val="auto"/>
                <w:sz w:val="24"/>
              </w:rPr>
            </w:pPr>
          </w:p>
        </w:tc>
        <w:tc>
          <w:tcPr>
            <w:tcW w:w="1160" w:type="dxa"/>
            <w:tcBorders>
              <w:top w:val="single" w:color="auto" w:sz="4" w:space="0"/>
              <w:left w:val="single" w:color="auto" w:sz="4" w:space="0"/>
              <w:bottom w:val="single" w:color="auto" w:sz="4" w:space="0"/>
              <w:right w:val="single" w:color="auto" w:sz="4" w:space="0"/>
            </w:tcBorders>
            <w:vAlign w:val="center"/>
          </w:tcPr>
          <w:p w14:paraId="1C149165">
            <w:pPr>
              <w:widowControl/>
              <w:jc w:val="center"/>
              <w:textAlignment w:val="center"/>
              <w:rPr>
                <w:rFonts w:hint="eastAsia" w:ascii="仿宋" w:hAnsi="仿宋" w:eastAsia="仿宋" w:cs="仿宋"/>
                <w:bCs/>
                <w:color w:val="auto"/>
                <w:sz w:val="24"/>
              </w:rPr>
            </w:pPr>
          </w:p>
        </w:tc>
        <w:tc>
          <w:tcPr>
            <w:tcW w:w="862" w:type="dxa"/>
            <w:tcBorders>
              <w:top w:val="single" w:color="auto" w:sz="4" w:space="0"/>
              <w:left w:val="single" w:color="auto" w:sz="4" w:space="0"/>
              <w:bottom w:val="single" w:color="auto" w:sz="4" w:space="0"/>
              <w:right w:val="single" w:color="auto" w:sz="4" w:space="0"/>
            </w:tcBorders>
            <w:vAlign w:val="center"/>
          </w:tcPr>
          <w:p w14:paraId="28C39ED9">
            <w:pPr>
              <w:snapToGrid w:val="0"/>
              <w:spacing w:line="400" w:lineRule="exact"/>
              <w:jc w:val="center"/>
              <w:rPr>
                <w:rFonts w:hint="eastAsia" w:ascii="仿宋" w:hAnsi="仿宋" w:eastAsia="仿宋" w:cs="仿宋"/>
                <w:bCs/>
                <w:color w:val="auto"/>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75378758">
            <w:pPr>
              <w:snapToGrid w:val="0"/>
              <w:spacing w:line="400" w:lineRule="exact"/>
              <w:jc w:val="center"/>
              <w:rPr>
                <w:rFonts w:hint="eastAsia" w:ascii="仿宋" w:hAnsi="仿宋" w:eastAsia="仿宋" w:cs="仿宋"/>
                <w:bCs/>
                <w:color w:val="auto"/>
                <w:sz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45018DB7">
            <w:pPr>
              <w:snapToGrid w:val="0"/>
              <w:spacing w:line="400" w:lineRule="exact"/>
              <w:jc w:val="center"/>
              <w:rPr>
                <w:rFonts w:hint="eastAsia" w:ascii="仿宋" w:hAnsi="仿宋" w:eastAsia="仿宋" w:cs="仿宋"/>
                <w:bCs/>
                <w:color w:val="auto"/>
                <w:sz w:val="24"/>
              </w:rPr>
            </w:pPr>
          </w:p>
        </w:tc>
      </w:tr>
      <w:tr w14:paraId="0FA6AD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817" w:type="dxa"/>
            <w:gridSpan w:val="2"/>
            <w:tcBorders>
              <w:top w:val="single" w:color="auto" w:sz="4" w:space="0"/>
              <w:left w:val="single" w:color="auto" w:sz="4" w:space="0"/>
              <w:bottom w:val="single" w:color="auto" w:sz="4" w:space="0"/>
              <w:right w:val="single" w:color="auto" w:sz="4" w:space="0"/>
            </w:tcBorders>
            <w:vAlign w:val="center"/>
          </w:tcPr>
          <w:p w14:paraId="5EB54231">
            <w:pPr>
              <w:widowControl/>
              <w:jc w:val="center"/>
              <w:textAlignment w:val="center"/>
              <w:rPr>
                <w:rFonts w:hint="eastAsia" w:ascii="仿宋" w:hAnsi="仿宋" w:eastAsia="仿宋" w:cs="仿宋"/>
                <w:bCs/>
                <w:color w:val="auto"/>
                <w:sz w:val="24"/>
              </w:rPr>
            </w:pPr>
          </w:p>
        </w:tc>
        <w:tc>
          <w:tcPr>
            <w:tcW w:w="3250" w:type="dxa"/>
            <w:tcBorders>
              <w:top w:val="single" w:color="auto" w:sz="4" w:space="0"/>
              <w:left w:val="single" w:color="auto" w:sz="4" w:space="0"/>
              <w:bottom w:val="single" w:color="auto" w:sz="4" w:space="0"/>
              <w:right w:val="single" w:color="auto" w:sz="4" w:space="0"/>
            </w:tcBorders>
            <w:vAlign w:val="center"/>
          </w:tcPr>
          <w:p w14:paraId="6D6411E1">
            <w:pPr>
              <w:widowControl/>
              <w:jc w:val="center"/>
              <w:textAlignment w:val="center"/>
              <w:rPr>
                <w:rFonts w:hint="eastAsia" w:ascii="仿宋" w:hAnsi="仿宋" w:eastAsia="仿宋" w:cs="仿宋"/>
                <w:bCs/>
                <w:color w:val="auto"/>
                <w:sz w:val="24"/>
              </w:rPr>
            </w:pPr>
          </w:p>
        </w:tc>
        <w:tc>
          <w:tcPr>
            <w:tcW w:w="965" w:type="dxa"/>
            <w:tcBorders>
              <w:top w:val="single" w:color="auto" w:sz="4" w:space="0"/>
              <w:left w:val="single" w:color="auto" w:sz="4" w:space="0"/>
              <w:bottom w:val="single" w:color="auto" w:sz="4" w:space="0"/>
              <w:right w:val="single" w:color="auto" w:sz="4" w:space="0"/>
            </w:tcBorders>
            <w:vAlign w:val="center"/>
          </w:tcPr>
          <w:p w14:paraId="3E7D1980">
            <w:pPr>
              <w:widowControl/>
              <w:jc w:val="center"/>
              <w:textAlignment w:val="center"/>
              <w:rPr>
                <w:rFonts w:hint="eastAsia" w:ascii="仿宋" w:hAnsi="仿宋" w:eastAsia="仿宋" w:cs="仿宋"/>
                <w:bCs/>
                <w:color w:val="auto"/>
                <w:sz w:val="24"/>
              </w:rPr>
            </w:pPr>
          </w:p>
        </w:tc>
        <w:tc>
          <w:tcPr>
            <w:tcW w:w="1160" w:type="dxa"/>
            <w:tcBorders>
              <w:top w:val="single" w:color="auto" w:sz="4" w:space="0"/>
              <w:left w:val="single" w:color="auto" w:sz="4" w:space="0"/>
              <w:bottom w:val="single" w:color="auto" w:sz="4" w:space="0"/>
              <w:right w:val="single" w:color="auto" w:sz="4" w:space="0"/>
            </w:tcBorders>
            <w:vAlign w:val="center"/>
          </w:tcPr>
          <w:p w14:paraId="194A301B">
            <w:pPr>
              <w:widowControl/>
              <w:jc w:val="center"/>
              <w:textAlignment w:val="center"/>
              <w:rPr>
                <w:rFonts w:hint="eastAsia" w:ascii="仿宋" w:hAnsi="仿宋" w:eastAsia="仿宋" w:cs="仿宋"/>
                <w:bCs/>
                <w:color w:val="auto"/>
                <w:sz w:val="24"/>
              </w:rPr>
            </w:pPr>
          </w:p>
        </w:tc>
        <w:tc>
          <w:tcPr>
            <w:tcW w:w="862" w:type="dxa"/>
            <w:tcBorders>
              <w:top w:val="single" w:color="auto" w:sz="4" w:space="0"/>
              <w:left w:val="single" w:color="auto" w:sz="4" w:space="0"/>
              <w:bottom w:val="single" w:color="auto" w:sz="4" w:space="0"/>
              <w:right w:val="single" w:color="auto" w:sz="4" w:space="0"/>
            </w:tcBorders>
            <w:vAlign w:val="center"/>
          </w:tcPr>
          <w:p w14:paraId="1D527276">
            <w:pPr>
              <w:snapToGrid w:val="0"/>
              <w:spacing w:line="400" w:lineRule="exact"/>
              <w:jc w:val="center"/>
              <w:rPr>
                <w:rFonts w:hint="eastAsia" w:ascii="仿宋" w:hAnsi="仿宋" w:eastAsia="仿宋" w:cs="仿宋"/>
                <w:bCs/>
                <w:color w:val="auto"/>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114ADC8C">
            <w:pPr>
              <w:snapToGrid w:val="0"/>
              <w:spacing w:line="400" w:lineRule="exact"/>
              <w:jc w:val="center"/>
              <w:rPr>
                <w:rFonts w:hint="eastAsia" w:ascii="仿宋" w:hAnsi="仿宋" w:eastAsia="仿宋" w:cs="仿宋"/>
                <w:bCs/>
                <w:color w:val="auto"/>
                <w:sz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49CD3A53">
            <w:pPr>
              <w:snapToGrid w:val="0"/>
              <w:spacing w:line="400" w:lineRule="exact"/>
              <w:jc w:val="center"/>
              <w:rPr>
                <w:rFonts w:hint="eastAsia" w:ascii="仿宋" w:hAnsi="仿宋" w:eastAsia="仿宋" w:cs="仿宋"/>
                <w:bCs/>
                <w:color w:val="auto"/>
                <w:sz w:val="24"/>
              </w:rPr>
            </w:pPr>
          </w:p>
        </w:tc>
      </w:tr>
      <w:tr w14:paraId="2FF7CA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817" w:type="dxa"/>
            <w:gridSpan w:val="2"/>
            <w:tcBorders>
              <w:top w:val="single" w:color="auto" w:sz="4" w:space="0"/>
              <w:left w:val="single" w:color="auto" w:sz="4" w:space="0"/>
              <w:bottom w:val="single" w:color="auto" w:sz="4" w:space="0"/>
              <w:right w:val="single" w:color="auto" w:sz="4" w:space="0"/>
            </w:tcBorders>
            <w:vAlign w:val="center"/>
          </w:tcPr>
          <w:p w14:paraId="51D9FFC8">
            <w:pPr>
              <w:widowControl/>
              <w:jc w:val="center"/>
              <w:textAlignment w:val="center"/>
              <w:rPr>
                <w:rFonts w:hint="eastAsia" w:ascii="仿宋" w:hAnsi="仿宋" w:eastAsia="仿宋" w:cs="仿宋"/>
                <w:bCs/>
                <w:color w:val="auto"/>
                <w:sz w:val="24"/>
              </w:rPr>
            </w:pPr>
          </w:p>
        </w:tc>
        <w:tc>
          <w:tcPr>
            <w:tcW w:w="3250" w:type="dxa"/>
            <w:tcBorders>
              <w:top w:val="single" w:color="auto" w:sz="4" w:space="0"/>
              <w:left w:val="single" w:color="auto" w:sz="4" w:space="0"/>
              <w:bottom w:val="single" w:color="auto" w:sz="4" w:space="0"/>
              <w:right w:val="single" w:color="auto" w:sz="4" w:space="0"/>
            </w:tcBorders>
            <w:vAlign w:val="center"/>
          </w:tcPr>
          <w:p w14:paraId="6D4BF0A2">
            <w:pPr>
              <w:widowControl/>
              <w:jc w:val="center"/>
              <w:textAlignment w:val="center"/>
              <w:rPr>
                <w:rFonts w:hint="eastAsia" w:ascii="仿宋" w:hAnsi="仿宋" w:eastAsia="仿宋" w:cs="仿宋"/>
                <w:bCs/>
                <w:color w:val="auto"/>
                <w:sz w:val="24"/>
              </w:rPr>
            </w:pPr>
          </w:p>
        </w:tc>
        <w:tc>
          <w:tcPr>
            <w:tcW w:w="965" w:type="dxa"/>
            <w:tcBorders>
              <w:top w:val="single" w:color="auto" w:sz="4" w:space="0"/>
              <w:left w:val="single" w:color="auto" w:sz="4" w:space="0"/>
              <w:bottom w:val="single" w:color="auto" w:sz="4" w:space="0"/>
              <w:right w:val="single" w:color="auto" w:sz="4" w:space="0"/>
            </w:tcBorders>
            <w:vAlign w:val="center"/>
          </w:tcPr>
          <w:p w14:paraId="13BA81BF">
            <w:pPr>
              <w:widowControl/>
              <w:jc w:val="center"/>
              <w:textAlignment w:val="center"/>
              <w:rPr>
                <w:rFonts w:hint="eastAsia" w:ascii="仿宋" w:hAnsi="仿宋" w:eastAsia="仿宋" w:cs="仿宋"/>
                <w:bCs/>
                <w:color w:val="auto"/>
                <w:sz w:val="24"/>
              </w:rPr>
            </w:pPr>
          </w:p>
        </w:tc>
        <w:tc>
          <w:tcPr>
            <w:tcW w:w="1160" w:type="dxa"/>
            <w:tcBorders>
              <w:top w:val="single" w:color="auto" w:sz="4" w:space="0"/>
              <w:left w:val="single" w:color="auto" w:sz="4" w:space="0"/>
              <w:bottom w:val="single" w:color="auto" w:sz="4" w:space="0"/>
              <w:right w:val="single" w:color="auto" w:sz="4" w:space="0"/>
            </w:tcBorders>
            <w:vAlign w:val="center"/>
          </w:tcPr>
          <w:p w14:paraId="3DFF911E">
            <w:pPr>
              <w:widowControl/>
              <w:jc w:val="center"/>
              <w:textAlignment w:val="center"/>
              <w:rPr>
                <w:rFonts w:hint="eastAsia" w:ascii="仿宋" w:hAnsi="仿宋" w:eastAsia="仿宋" w:cs="仿宋"/>
                <w:bCs/>
                <w:color w:val="auto"/>
                <w:sz w:val="24"/>
              </w:rPr>
            </w:pPr>
          </w:p>
        </w:tc>
        <w:tc>
          <w:tcPr>
            <w:tcW w:w="862" w:type="dxa"/>
            <w:tcBorders>
              <w:top w:val="single" w:color="auto" w:sz="4" w:space="0"/>
              <w:left w:val="single" w:color="auto" w:sz="4" w:space="0"/>
              <w:bottom w:val="single" w:color="auto" w:sz="4" w:space="0"/>
              <w:right w:val="single" w:color="auto" w:sz="4" w:space="0"/>
            </w:tcBorders>
            <w:vAlign w:val="center"/>
          </w:tcPr>
          <w:p w14:paraId="0BF8208A">
            <w:pPr>
              <w:snapToGrid w:val="0"/>
              <w:spacing w:line="400" w:lineRule="exact"/>
              <w:jc w:val="center"/>
              <w:rPr>
                <w:rFonts w:hint="eastAsia" w:ascii="仿宋" w:hAnsi="仿宋" w:eastAsia="仿宋" w:cs="仿宋"/>
                <w:bCs/>
                <w:color w:val="auto"/>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5D89C8E6">
            <w:pPr>
              <w:snapToGrid w:val="0"/>
              <w:spacing w:line="400" w:lineRule="exact"/>
              <w:jc w:val="center"/>
              <w:rPr>
                <w:rFonts w:hint="eastAsia" w:ascii="仿宋" w:hAnsi="仿宋" w:eastAsia="仿宋" w:cs="仿宋"/>
                <w:bCs/>
                <w:color w:val="auto"/>
                <w:sz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1DAA6988">
            <w:pPr>
              <w:snapToGrid w:val="0"/>
              <w:spacing w:line="400" w:lineRule="exact"/>
              <w:jc w:val="center"/>
              <w:rPr>
                <w:rFonts w:hint="eastAsia" w:ascii="仿宋" w:hAnsi="仿宋" w:eastAsia="仿宋" w:cs="仿宋"/>
                <w:bCs/>
                <w:color w:val="auto"/>
                <w:sz w:val="24"/>
              </w:rPr>
            </w:pPr>
          </w:p>
        </w:tc>
      </w:tr>
      <w:tr w14:paraId="42B171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817" w:type="dxa"/>
            <w:gridSpan w:val="2"/>
            <w:tcBorders>
              <w:top w:val="single" w:color="auto" w:sz="4" w:space="0"/>
              <w:left w:val="single" w:color="auto" w:sz="4" w:space="0"/>
              <w:bottom w:val="single" w:color="auto" w:sz="4" w:space="0"/>
              <w:right w:val="single" w:color="auto" w:sz="4" w:space="0"/>
            </w:tcBorders>
            <w:vAlign w:val="center"/>
          </w:tcPr>
          <w:p w14:paraId="4F7B336C">
            <w:pPr>
              <w:widowControl/>
              <w:jc w:val="center"/>
              <w:textAlignment w:val="center"/>
              <w:rPr>
                <w:rFonts w:hint="eastAsia" w:ascii="仿宋" w:hAnsi="仿宋" w:eastAsia="仿宋" w:cs="仿宋"/>
                <w:bCs/>
                <w:color w:val="auto"/>
                <w:sz w:val="24"/>
              </w:rPr>
            </w:pPr>
          </w:p>
        </w:tc>
        <w:tc>
          <w:tcPr>
            <w:tcW w:w="3250" w:type="dxa"/>
            <w:tcBorders>
              <w:top w:val="single" w:color="auto" w:sz="4" w:space="0"/>
              <w:left w:val="single" w:color="auto" w:sz="4" w:space="0"/>
              <w:bottom w:val="single" w:color="auto" w:sz="4" w:space="0"/>
              <w:right w:val="single" w:color="auto" w:sz="4" w:space="0"/>
            </w:tcBorders>
            <w:vAlign w:val="center"/>
          </w:tcPr>
          <w:p w14:paraId="798BFE74">
            <w:pPr>
              <w:widowControl/>
              <w:jc w:val="center"/>
              <w:textAlignment w:val="center"/>
              <w:rPr>
                <w:rFonts w:hint="eastAsia" w:ascii="仿宋" w:hAnsi="仿宋" w:eastAsia="仿宋" w:cs="仿宋"/>
                <w:bCs/>
                <w:color w:val="auto"/>
                <w:sz w:val="24"/>
              </w:rPr>
            </w:pPr>
          </w:p>
        </w:tc>
        <w:tc>
          <w:tcPr>
            <w:tcW w:w="965" w:type="dxa"/>
            <w:tcBorders>
              <w:top w:val="single" w:color="auto" w:sz="4" w:space="0"/>
              <w:left w:val="single" w:color="auto" w:sz="4" w:space="0"/>
              <w:bottom w:val="single" w:color="auto" w:sz="4" w:space="0"/>
              <w:right w:val="single" w:color="auto" w:sz="4" w:space="0"/>
            </w:tcBorders>
            <w:vAlign w:val="center"/>
          </w:tcPr>
          <w:p w14:paraId="58E944CF">
            <w:pPr>
              <w:widowControl/>
              <w:jc w:val="center"/>
              <w:textAlignment w:val="center"/>
              <w:rPr>
                <w:rFonts w:hint="eastAsia" w:ascii="仿宋" w:hAnsi="仿宋" w:eastAsia="仿宋" w:cs="仿宋"/>
                <w:bCs/>
                <w:color w:val="auto"/>
                <w:sz w:val="24"/>
              </w:rPr>
            </w:pPr>
          </w:p>
        </w:tc>
        <w:tc>
          <w:tcPr>
            <w:tcW w:w="1160" w:type="dxa"/>
            <w:tcBorders>
              <w:top w:val="single" w:color="auto" w:sz="4" w:space="0"/>
              <w:left w:val="single" w:color="auto" w:sz="4" w:space="0"/>
              <w:bottom w:val="single" w:color="auto" w:sz="4" w:space="0"/>
              <w:right w:val="single" w:color="auto" w:sz="4" w:space="0"/>
            </w:tcBorders>
            <w:vAlign w:val="center"/>
          </w:tcPr>
          <w:p w14:paraId="586430D2">
            <w:pPr>
              <w:widowControl/>
              <w:jc w:val="center"/>
              <w:textAlignment w:val="center"/>
              <w:rPr>
                <w:rFonts w:hint="eastAsia" w:ascii="仿宋" w:hAnsi="仿宋" w:eastAsia="仿宋" w:cs="仿宋"/>
                <w:bCs/>
                <w:color w:val="auto"/>
                <w:sz w:val="24"/>
              </w:rPr>
            </w:pPr>
          </w:p>
        </w:tc>
        <w:tc>
          <w:tcPr>
            <w:tcW w:w="862" w:type="dxa"/>
            <w:tcBorders>
              <w:top w:val="single" w:color="auto" w:sz="4" w:space="0"/>
              <w:left w:val="single" w:color="auto" w:sz="4" w:space="0"/>
              <w:bottom w:val="single" w:color="auto" w:sz="4" w:space="0"/>
              <w:right w:val="single" w:color="auto" w:sz="4" w:space="0"/>
            </w:tcBorders>
            <w:vAlign w:val="center"/>
          </w:tcPr>
          <w:p w14:paraId="1D5F743F">
            <w:pPr>
              <w:snapToGrid w:val="0"/>
              <w:spacing w:line="400" w:lineRule="exact"/>
              <w:jc w:val="center"/>
              <w:rPr>
                <w:rFonts w:hint="eastAsia" w:ascii="仿宋" w:hAnsi="仿宋" w:eastAsia="仿宋" w:cs="仿宋"/>
                <w:bCs/>
                <w:color w:val="auto"/>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4D73FF8B">
            <w:pPr>
              <w:snapToGrid w:val="0"/>
              <w:spacing w:line="400" w:lineRule="exact"/>
              <w:jc w:val="center"/>
              <w:rPr>
                <w:rFonts w:hint="eastAsia" w:ascii="仿宋" w:hAnsi="仿宋" w:eastAsia="仿宋" w:cs="仿宋"/>
                <w:bCs/>
                <w:color w:val="auto"/>
                <w:sz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6E6FB213">
            <w:pPr>
              <w:snapToGrid w:val="0"/>
              <w:spacing w:line="400" w:lineRule="exact"/>
              <w:jc w:val="center"/>
              <w:rPr>
                <w:rFonts w:hint="eastAsia" w:ascii="仿宋" w:hAnsi="仿宋" w:eastAsia="仿宋" w:cs="仿宋"/>
                <w:bCs/>
                <w:color w:val="auto"/>
                <w:sz w:val="24"/>
              </w:rPr>
            </w:pPr>
          </w:p>
        </w:tc>
      </w:tr>
      <w:tr w14:paraId="36BDE5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817" w:type="dxa"/>
            <w:gridSpan w:val="2"/>
            <w:tcBorders>
              <w:top w:val="single" w:color="auto" w:sz="4" w:space="0"/>
              <w:left w:val="single" w:color="auto" w:sz="4" w:space="0"/>
              <w:bottom w:val="single" w:color="auto" w:sz="4" w:space="0"/>
              <w:right w:val="single" w:color="auto" w:sz="4" w:space="0"/>
            </w:tcBorders>
            <w:vAlign w:val="center"/>
          </w:tcPr>
          <w:p w14:paraId="0C506111">
            <w:pPr>
              <w:widowControl/>
              <w:jc w:val="center"/>
              <w:textAlignment w:val="center"/>
              <w:rPr>
                <w:rFonts w:hint="eastAsia" w:ascii="仿宋" w:hAnsi="仿宋" w:eastAsia="仿宋" w:cs="仿宋"/>
                <w:bCs/>
                <w:color w:val="auto"/>
                <w:sz w:val="24"/>
              </w:rPr>
            </w:pPr>
          </w:p>
        </w:tc>
        <w:tc>
          <w:tcPr>
            <w:tcW w:w="3250" w:type="dxa"/>
            <w:tcBorders>
              <w:top w:val="single" w:color="auto" w:sz="4" w:space="0"/>
              <w:left w:val="single" w:color="auto" w:sz="4" w:space="0"/>
              <w:bottom w:val="single" w:color="auto" w:sz="4" w:space="0"/>
              <w:right w:val="single" w:color="auto" w:sz="4" w:space="0"/>
            </w:tcBorders>
            <w:vAlign w:val="center"/>
          </w:tcPr>
          <w:p w14:paraId="00D43609">
            <w:pPr>
              <w:pStyle w:val="978"/>
              <w:widowControl/>
              <w:topLinePunct/>
              <w:spacing w:line="420" w:lineRule="exact"/>
              <w:ind w:firstLine="0"/>
              <w:jc w:val="center"/>
              <w:textAlignment w:val="center"/>
              <w:outlineLvl w:val="1"/>
              <w:rPr>
                <w:rFonts w:hint="eastAsia" w:ascii="仿宋" w:hAnsi="仿宋" w:eastAsia="仿宋" w:cs="仿宋"/>
                <w:bCs/>
                <w:color w:val="auto"/>
              </w:rPr>
            </w:pPr>
          </w:p>
        </w:tc>
        <w:tc>
          <w:tcPr>
            <w:tcW w:w="965" w:type="dxa"/>
            <w:tcBorders>
              <w:top w:val="single" w:color="auto" w:sz="4" w:space="0"/>
              <w:left w:val="single" w:color="auto" w:sz="4" w:space="0"/>
              <w:bottom w:val="single" w:color="auto" w:sz="4" w:space="0"/>
              <w:right w:val="single" w:color="auto" w:sz="4" w:space="0"/>
            </w:tcBorders>
            <w:vAlign w:val="center"/>
          </w:tcPr>
          <w:p w14:paraId="7106CBDE">
            <w:pPr>
              <w:widowControl/>
              <w:jc w:val="center"/>
              <w:textAlignment w:val="center"/>
              <w:rPr>
                <w:rFonts w:hint="eastAsia" w:ascii="仿宋" w:hAnsi="仿宋" w:eastAsia="仿宋" w:cs="仿宋"/>
                <w:bCs/>
                <w:color w:val="auto"/>
                <w:sz w:val="24"/>
              </w:rPr>
            </w:pPr>
          </w:p>
        </w:tc>
        <w:tc>
          <w:tcPr>
            <w:tcW w:w="1160" w:type="dxa"/>
            <w:tcBorders>
              <w:top w:val="single" w:color="auto" w:sz="4" w:space="0"/>
              <w:left w:val="single" w:color="auto" w:sz="4" w:space="0"/>
              <w:bottom w:val="single" w:color="auto" w:sz="4" w:space="0"/>
              <w:right w:val="single" w:color="auto" w:sz="4" w:space="0"/>
            </w:tcBorders>
            <w:vAlign w:val="center"/>
          </w:tcPr>
          <w:p w14:paraId="64389F8C">
            <w:pPr>
              <w:widowControl/>
              <w:jc w:val="center"/>
              <w:textAlignment w:val="center"/>
              <w:rPr>
                <w:rFonts w:hint="eastAsia" w:ascii="仿宋" w:hAnsi="仿宋" w:eastAsia="仿宋" w:cs="仿宋"/>
                <w:bCs/>
                <w:color w:val="auto"/>
                <w:sz w:val="24"/>
              </w:rPr>
            </w:pPr>
          </w:p>
        </w:tc>
        <w:tc>
          <w:tcPr>
            <w:tcW w:w="862" w:type="dxa"/>
            <w:tcBorders>
              <w:top w:val="single" w:color="auto" w:sz="4" w:space="0"/>
              <w:left w:val="single" w:color="auto" w:sz="4" w:space="0"/>
              <w:bottom w:val="single" w:color="auto" w:sz="4" w:space="0"/>
              <w:right w:val="single" w:color="auto" w:sz="4" w:space="0"/>
            </w:tcBorders>
            <w:vAlign w:val="center"/>
          </w:tcPr>
          <w:p w14:paraId="53294FDD">
            <w:pPr>
              <w:snapToGrid w:val="0"/>
              <w:spacing w:line="400" w:lineRule="exact"/>
              <w:jc w:val="center"/>
              <w:rPr>
                <w:rFonts w:hint="eastAsia" w:ascii="仿宋" w:hAnsi="仿宋" w:eastAsia="仿宋" w:cs="仿宋"/>
                <w:bCs/>
                <w:color w:val="auto"/>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11F75E71">
            <w:pPr>
              <w:snapToGrid w:val="0"/>
              <w:spacing w:line="400" w:lineRule="exact"/>
              <w:jc w:val="center"/>
              <w:rPr>
                <w:rFonts w:hint="eastAsia" w:ascii="仿宋" w:hAnsi="仿宋" w:eastAsia="仿宋" w:cs="仿宋"/>
                <w:bCs/>
                <w:color w:val="auto"/>
                <w:sz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3FC48E7A">
            <w:pPr>
              <w:snapToGrid w:val="0"/>
              <w:spacing w:line="400" w:lineRule="exact"/>
              <w:jc w:val="center"/>
              <w:rPr>
                <w:rFonts w:hint="eastAsia" w:ascii="仿宋" w:hAnsi="仿宋" w:eastAsia="仿宋" w:cs="仿宋"/>
                <w:bCs/>
                <w:color w:val="auto"/>
                <w:sz w:val="24"/>
              </w:rPr>
            </w:pPr>
          </w:p>
        </w:tc>
      </w:tr>
      <w:tr w14:paraId="40AE04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817" w:type="dxa"/>
            <w:gridSpan w:val="2"/>
            <w:tcBorders>
              <w:top w:val="single" w:color="auto" w:sz="4" w:space="0"/>
              <w:left w:val="single" w:color="auto" w:sz="4" w:space="0"/>
              <w:bottom w:val="single" w:color="auto" w:sz="4" w:space="0"/>
              <w:right w:val="single" w:color="auto" w:sz="4" w:space="0"/>
            </w:tcBorders>
            <w:vAlign w:val="center"/>
          </w:tcPr>
          <w:p w14:paraId="7A01C5E8">
            <w:pPr>
              <w:widowControl/>
              <w:jc w:val="center"/>
              <w:textAlignment w:val="center"/>
              <w:rPr>
                <w:rFonts w:hint="eastAsia" w:ascii="仿宋" w:hAnsi="仿宋" w:eastAsia="仿宋" w:cs="仿宋"/>
                <w:bCs/>
                <w:color w:val="auto"/>
                <w:sz w:val="24"/>
              </w:rPr>
            </w:pPr>
          </w:p>
        </w:tc>
        <w:tc>
          <w:tcPr>
            <w:tcW w:w="3250" w:type="dxa"/>
            <w:tcBorders>
              <w:top w:val="single" w:color="auto" w:sz="4" w:space="0"/>
              <w:left w:val="single" w:color="auto" w:sz="4" w:space="0"/>
              <w:bottom w:val="single" w:color="auto" w:sz="4" w:space="0"/>
              <w:right w:val="single" w:color="auto" w:sz="4" w:space="0"/>
            </w:tcBorders>
            <w:vAlign w:val="center"/>
          </w:tcPr>
          <w:p w14:paraId="233443EA">
            <w:pPr>
              <w:pStyle w:val="978"/>
              <w:widowControl/>
              <w:topLinePunct/>
              <w:spacing w:line="420" w:lineRule="exact"/>
              <w:ind w:firstLine="0"/>
              <w:jc w:val="center"/>
              <w:textAlignment w:val="center"/>
              <w:outlineLvl w:val="1"/>
              <w:rPr>
                <w:rFonts w:hint="eastAsia" w:ascii="仿宋" w:hAnsi="仿宋" w:eastAsia="仿宋" w:cs="仿宋"/>
                <w:color w:val="auto"/>
              </w:rPr>
            </w:pPr>
          </w:p>
        </w:tc>
        <w:tc>
          <w:tcPr>
            <w:tcW w:w="965" w:type="dxa"/>
            <w:tcBorders>
              <w:top w:val="single" w:color="auto" w:sz="4" w:space="0"/>
              <w:left w:val="single" w:color="auto" w:sz="4" w:space="0"/>
              <w:bottom w:val="single" w:color="auto" w:sz="4" w:space="0"/>
              <w:right w:val="single" w:color="auto" w:sz="4" w:space="0"/>
            </w:tcBorders>
            <w:vAlign w:val="center"/>
          </w:tcPr>
          <w:p w14:paraId="16641886">
            <w:pPr>
              <w:widowControl/>
              <w:jc w:val="center"/>
              <w:textAlignment w:val="center"/>
              <w:rPr>
                <w:rFonts w:hint="eastAsia" w:ascii="仿宋" w:hAnsi="仿宋" w:eastAsia="仿宋" w:cs="仿宋"/>
                <w:bCs/>
                <w:color w:val="auto"/>
                <w:sz w:val="24"/>
              </w:rPr>
            </w:pPr>
          </w:p>
        </w:tc>
        <w:tc>
          <w:tcPr>
            <w:tcW w:w="1160" w:type="dxa"/>
            <w:tcBorders>
              <w:top w:val="single" w:color="auto" w:sz="4" w:space="0"/>
              <w:left w:val="single" w:color="auto" w:sz="4" w:space="0"/>
              <w:bottom w:val="single" w:color="auto" w:sz="4" w:space="0"/>
              <w:right w:val="single" w:color="auto" w:sz="4" w:space="0"/>
            </w:tcBorders>
            <w:vAlign w:val="center"/>
          </w:tcPr>
          <w:p w14:paraId="604CC6FB">
            <w:pPr>
              <w:widowControl/>
              <w:jc w:val="center"/>
              <w:textAlignment w:val="center"/>
              <w:rPr>
                <w:rFonts w:hint="eastAsia" w:ascii="仿宋" w:hAnsi="仿宋" w:eastAsia="仿宋" w:cs="仿宋"/>
                <w:bCs/>
                <w:color w:val="auto"/>
                <w:sz w:val="24"/>
              </w:rPr>
            </w:pPr>
          </w:p>
        </w:tc>
        <w:tc>
          <w:tcPr>
            <w:tcW w:w="862" w:type="dxa"/>
            <w:tcBorders>
              <w:top w:val="single" w:color="auto" w:sz="4" w:space="0"/>
              <w:left w:val="single" w:color="auto" w:sz="4" w:space="0"/>
              <w:bottom w:val="single" w:color="auto" w:sz="4" w:space="0"/>
              <w:right w:val="single" w:color="auto" w:sz="4" w:space="0"/>
            </w:tcBorders>
            <w:vAlign w:val="center"/>
          </w:tcPr>
          <w:p w14:paraId="5A628832">
            <w:pPr>
              <w:snapToGrid w:val="0"/>
              <w:spacing w:line="400" w:lineRule="exact"/>
              <w:jc w:val="center"/>
              <w:rPr>
                <w:rFonts w:hint="eastAsia" w:ascii="仿宋" w:hAnsi="仿宋" w:eastAsia="仿宋" w:cs="仿宋"/>
                <w:bCs/>
                <w:color w:val="auto"/>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6D6BD784">
            <w:pPr>
              <w:snapToGrid w:val="0"/>
              <w:spacing w:line="400" w:lineRule="exact"/>
              <w:jc w:val="center"/>
              <w:rPr>
                <w:rFonts w:hint="eastAsia" w:ascii="仿宋" w:hAnsi="仿宋" w:eastAsia="仿宋" w:cs="仿宋"/>
                <w:bCs/>
                <w:color w:val="auto"/>
                <w:sz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5C58FFA3">
            <w:pPr>
              <w:snapToGrid w:val="0"/>
              <w:spacing w:line="400" w:lineRule="exact"/>
              <w:jc w:val="center"/>
              <w:rPr>
                <w:rFonts w:hint="eastAsia" w:ascii="仿宋" w:hAnsi="仿宋" w:eastAsia="仿宋" w:cs="仿宋"/>
                <w:bCs/>
                <w:color w:val="auto"/>
                <w:sz w:val="24"/>
              </w:rPr>
            </w:pPr>
          </w:p>
        </w:tc>
      </w:tr>
      <w:tr w14:paraId="183D7C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817" w:type="dxa"/>
            <w:gridSpan w:val="2"/>
            <w:tcBorders>
              <w:top w:val="single" w:color="auto" w:sz="4" w:space="0"/>
              <w:left w:val="single" w:color="auto" w:sz="4" w:space="0"/>
              <w:bottom w:val="single" w:color="auto" w:sz="4" w:space="0"/>
              <w:right w:val="single" w:color="auto" w:sz="4" w:space="0"/>
            </w:tcBorders>
            <w:vAlign w:val="center"/>
          </w:tcPr>
          <w:p w14:paraId="31A32D2F">
            <w:pPr>
              <w:widowControl/>
              <w:jc w:val="center"/>
              <w:textAlignment w:val="center"/>
              <w:rPr>
                <w:rFonts w:hint="eastAsia" w:ascii="仿宋" w:hAnsi="仿宋" w:eastAsia="仿宋" w:cs="仿宋"/>
                <w:bCs/>
                <w:color w:val="auto"/>
                <w:sz w:val="24"/>
              </w:rPr>
            </w:pPr>
          </w:p>
        </w:tc>
        <w:tc>
          <w:tcPr>
            <w:tcW w:w="3250" w:type="dxa"/>
            <w:tcBorders>
              <w:top w:val="single" w:color="auto" w:sz="4" w:space="0"/>
              <w:left w:val="single" w:color="auto" w:sz="4" w:space="0"/>
              <w:bottom w:val="single" w:color="auto" w:sz="4" w:space="0"/>
              <w:right w:val="single" w:color="auto" w:sz="4" w:space="0"/>
            </w:tcBorders>
            <w:vAlign w:val="center"/>
          </w:tcPr>
          <w:p w14:paraId="58FB5560">
            <w:pPr>
              <w:rPr>
                <w:rFonts w:hint="eastAsia" w:ascii="仿宋" w:hAnsi="仿宋" w:eastAsia="仿宋" w:cs="仿宋"/>
                <w:color w:val="auto"/>
                <w:sz w:val="24"/>
              </w:rPr>
            </w:pPr>
          </w:p>
        </w:tc>
        <w:tc>
          <w:tcPr>
            <w:tcW w:w="965" w:type="dxa"/>
            <w:tcBorders>
              <w:top w:val="single" w:color="auto" w:sz="4" w:space="0"/>
              <w:left w:val="single" w:color="auto" w:sz="4" w:space="0"/>
              <w:bottom w:val="single" w:color="auto" w:sz="4" w:space="0"/>
              <w:right w:val="single" w:color="auto" w:sz="4" w:space="0"/>
            </w:tcBorders>
            <w:vAlign w:val="center"/>
          </w:tcPr>
          <w:p w14:paraId="565EC5A7">
            <w:pPr>
              <w:widowControl/>
              <w:jc w:val="center"/>
              <w:textAlignment w:val="center"/>
              <w:rPr>
                <w:rFonts w:hint="eastAsia" w:ascii="仿宋" w:hAnsi="仿宋" w:eastAsia="仿宋" w:cs="仿宋"/>
                <w:bCs/>
                <w:color w:val="auto"/>
                <w:sz w:val="24"/>
              </w:rPr>
            </w:pPr>
          </w:p>
        </w:tc>
        <w:tc>
          <w:tcPr>
            <w:tcW w:w="1160" w:type="dxa"/>
            <w:tcBorders>
              <w:top w:val="single" w:color="auto" w:sz="4" w:space="0"/>
              <w:left w:val="single" w:color="auto" w:sz="4" w:space="0"/>
              <w:bottom w:val="single" w:color="auto" w:sz="4" w:space="0"/>
              <w:right w:val="single" w:color="auto" w:sz="4" w:space="0"/>
            </w:tcBorders>
            <w:vAlign w:val="center"/>
          </w:tcPr>
          <w:p w14:paraId="247B80C1">
            <w:pPr>
              <w:widowControl/>
              <w:jc w:val="center"/>
              <w:textAlignment w:val="center"/>
              <w:rPr>
                <w:rFonts w:hint="eastAsia" w:ascii="仿宋" w:hAnsi="仿宋" w:eastAsia="仿宋" w:cs="仿宋"/>
                <w:bCs/>
                <w:color w:val="auto"/>
                <w:sz w:val="24"/>
              </w:rPr>
            </w:pPr>
          </w:p>
        </w:tc>
        <w:tc>
          <w:tcPr>
            <w:tcW w:w="862" w:type="dxa"/>
            <w:tcBorders>
              <w:top w:val="single" w:color="auto" w:sz="4" w:space="0"/>
              <w:left w:val="single" w:color="auto" w:sz="4" w:space="0"/>
              <w:bottom w:val="single" w:color="auto" w:sz="4" w:space="0"/>
              <w:right w:val="single" w:color="auto" w:sz="4" w:space="0"/>
            </w:tcBorders>
            <w:vAlign w:val="center"/>
          </w:tcPr>
          <w:p w14:paraId="0C0E6E61">
            <w:pPr>
              <w:snapToGrid w:val="0"/>
              <w:spacing w:line="400" w:lineRule="exact"/>
              <w:jc w:val="center"/>
              <w:rPr>
                <w:rFonts w:hint="eastAsia" w:ascii="仿宋" w:hAnsi="仿宋" w:eastAsia="仿宋" w:cs="仿宋"/>
                <w:bCs/>
                <w:color w:val="auto"/>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189CBCA7">
            <w:pPr>
              <w:snapToGrid w:val="0"/>
              <w:spacing w:line="400" w:lineRule="exact"/>
              <w:jc w:val="center"/>
              <w:rPr>
                <w:rFonts w:hint="eastAsia" w:ascii="仿宋" w:hAnsi="仿宋" w:eastAsia="仿宋" w:cs="仿宋"/>
                <w:bCs/>
                <w:color w:val="auto"/>
                <w:sz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5C9F3DD6">
            <w:pPr>
              <w:snapToGrid w:val="0"/>
              <w:spacing w:line="400" w:lineRule="exact"/>
              <w:jc w:val="center"/>
              <w:rPr>
                <w:rFonts w:hint="eastAsia" w:ascii="仿宋" w:hAnsi="仿宋" w:eastAsia="仿宋" w:cs="仿宋"/>
                <w:bCs/>
                <w:color w:val="auto"/>
                <w:sz w:val="24"/>
              </w:rPr>
            </w:pPr>
          </w:p>
        </w:tc>
      </w:tr>
      <w:tr w14:paraId="16438D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817" w:type="dxa"/>
            <w:gridSpan w:val="2"/>
            <w:tcBorders>
              <w:top w:val="single" w:color="auto" w:sz="4" w:space="0"/>
              <w:left w:val="single" w:color="auto" w:sz="4" w:space="0"/>
              <w:bottom w:val="single" w:color="auto" w:sz="4" w:space="0"/>
              <w:right w:val="single" w:color="auto" w:sz="4" w:space="0"/>
            </w:tcBorders>
            <w:vAlign w:val="center"/>
          </w:tcPr>
          <w:p w14:paraId="7D70F080">
            <w:pPr>
              <w:widowControl/>
              <w:jc w:val="center"/>
              <w:textAlignment w:val="center"/>
              <w:rPr>
                <w:rFonts w:hint="eastAsia" w:ascii="仿宋" w:hAnsi="仿宋" w:eastAsia="仿宋" w:cs="仿宋"/>
                <w:bCs/>
                <w:color w:val="auto"/>
                <w:sz w:val="24"/>
              </w:rPr>
            </w:pPr>
          </w:p>
        </w:tc>
        <w:tc>
          <w:tcPr>
            <w:tcW w:w="3250" w:type="dxa"/>
            <w:tcBorders>
              <w:top w:val="single" w:color="auto" w:sz="4" w:space="0"/>
              <w:left w:val="single" w:color="auto" w:sz="4" w:space="0"/>
              <w:bottom w:val="single" w:color="auto" w:sz="4" w:space="0"/>
              <w:right w:val="single" w:color="auto" w:sz="4" w:space="0"/>
            </w:tcBorders>
            <w:vAlign w:val="center"/>
          </w:tcPr>
          <w:p w14:paraId="7EAFDC76">
            <w:pPr>
              <w:widowControl/>
              <w:jc w:val="center"/>
              <w:textAlignment w:val="center"/>
              <w:rPr>
                <w:rFonts w:hint="eastAsia" w:ascii="仿宋" w:hAnsi="仿宋" w:eastAsia="仿宋" w:cs="仿宋"/>
                <w:bCs/>
                <w:color w:val="auto"/>
                <w:sz w:val="24"/>
              </w:rPr>
            </w:pPr>
          </w:p>
        </w:tc>
        <w:tc>
          <w:tcPr>
            <w:tcW w:w="965" w:type="dxa"/>
            <w:tcBorders>
              <w:top w:val="single" w:color="auto" w:sz="4" w:space="0"/>
              <w:left w:val="single" w:color="auto" w:sz="4" w:space="0"/>
              <w:bottom w:val="single" w:color="auto" w:sz="4" w:space="0"/>
              <w:right w:val="single" w:color="auto" w:sz="4" w:space="0"/>
            </w:tcBorders>
            <w:vAlign w:val="center"/>
          </w:tcPr>
          <w:p w14:paraId="09768089">
            <w:pPr>
              <w:widowControl/>
              <w:jc w:val="center"/>
              <w:textAlignment w:val="center"/>
              <w:rPr>
                <w:rFonts w:hint="eastAsia" w:ascii="仿宋" w:hAnsi="仿宋" w:eastAsia="仿宋" w:cs="仿宋"/>
                <w:bCs/>
                <w:color w:val="auto"/>
                <w:sz w:val="24"/>
              </w:rPr>
            </w:pPr>
          </w:p>
        </w:tc>
        <w:tc>
          <w:tcPr>
            <w:tcW w:w="1160" w:type="dxa"/>
            <w:tcBorders>
              <w:top w:val="single" w:color="auto" w:sz="4" w:space="0"/>
              <w:left w:val="single" w:color="auto" w:sz="4" w:space="0"/>
              <w:bottom w:val="single" w:color="auto" w:sz="4" w:space="0"/>
              <w:right w:val="single" w:color="auto" w:sz="4" w:space="0"/>
            </w:tcBorders>
            <w:vAlign w:val="center"/>
          </w:tcPr>
          <w:p w14:paraId="61E561D7">
            <w:pPr>
              <w:widowControl/>
              <w:jc w:val="center"/>
              <w:textAlignment w:val="center"/>
              <w:rPr>
                <w:rFonts w:hint="eastAsia" w:ascii="仿宋" w:hAnsi="仿宋" w:eastAsia="仿宋" w:cs="仿宋"/>
                <w:bCs/>
                <w:color w:val="auto"/>
                <w:sz w:val="24"/>
              </w:rPr>
            </w:pPr>
          </w:p>
        </w:tc>
        <w:tc>
          <w:tcPr>
            <w:tcW w:w="862" w:type="dxa"/>
            <w:tcBorders>
              <w:top w:val="single" w:color="auto" w:sz="4" w:space="0"/>
              <w:left w:val="single" w:color="auto" w:sz="4" w:space="0"/>
              <w:bottom w:val="single" w:color="auto" w:sz="4" w:space="0"/>
              <w:right w:val="single" w:color="auto" w:sz="4" w:space="0"/>
            </w:tcBorders>
            <w:vAlign w:val="center"/>
          </w:tcPr>
          <w:p w14:paraId="12DBB5BA">
            <w:pPr>
              <w:snapToGrid w:val="0"/>
              <w:spacing w:line="400" w:lineRule="exact"/>
              <w:jc w:val="center"/>
              <w:rPr>
                <w:rFonts w:hint="eastAsia" w:ascii="仿宋" w:hAnsi="仿宋" w:eastAsia="仿宋" w:cs="仿宋"/>
                <w:bCs/>
                <w:color w:val="auto"/>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0F563727">
            <w:pPr>
              <w:snapToGrid w:val="0"/>
              <w:spacing w:line="400" w:lineRule="exact"/>
              <w:jc w:val="center"/>
              <w:rPr>
                <w:rFonts w:hint="eastAsia" w:ascii="仿宋" w:hAnsi="仿宋" w:eastAsia="仿宋" w:cs="仿宋"/>
                <w:bCs/>
                <w:color w:val="auto"/>
                <w:sz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1B6D21D7">
            <w:pPr>
              <w:snapToGrid w:val="0"/>
              <w:spacing w:line="400" w:lineRule="exact"/>
              <w:jc w:val="center"/>
              <w:rPr>
                <w:rFonts w:hint="eastAsia" w:ascii="仿宋" w:hAnsi="仿宋" w:eastAsia="仿宋" w:cs="仿宋"/>
                <w:bCs/>
                <w:color w:val="auto"/>
                <w:sz w:val="24"/>
              </w:rPr>
            </w:pPr>
          </w:p>
        </w:tc>
      </w:tr>
      <w:tr w14:paraId="116911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6" w:hRule="atLeast"/>
        </w:trPr>
        <w:tc>
          <w:tcPr>
            <w:tcW w:w="9180" w:type="dxa"/>
            <w:gridSpan w:val="8"/>
            <w:tcBorders>
              <w:top w:val="single" w:color="auto" w:sz="4" w:space="0"/>
              <w:left w:val="single" w:color="auto" w:sz="4" w:space="0"/>
              <w:bottom w:val="single" w:color="auto" w:sz="4" w:space="0"/>
              <w:right w:val="single" w:color="auto" w:sz="4" w:space="0"/>
            </w:tcBorders>
            <w:vAlign w:val="center"/>
          </w:tcPr>
          <w:p w14:paraId="769F9996">
            <w:pPr>
              <w:snapToGrid w:val="0"/>
              <w:spacing w:line="400" w:lineRule="exact"/>
              <w:rPr>
                <w:rFonts w:hint="eastAsia" w:ascii="仿宋" w:hAnsi="仿宋" w:eastAsia="仿宋" w:cs="仿宋"/>
                <w:bCs/>
                <w:color w:val="auto"/>
                <w:sz w:val="24"/>
              </w:rPr>
            </w:pPr>
            <w:r>
              <w:rPr>
                <w:rFonts w:hint="eastAsia" w:ascii="仿宋" w:hAnsi="仿宋" w:eastAsia="仿宋" w:cs="仿宋"/>
                <w:bCs/>
                <w:color w:val="auto"/>
                <w:sz w:val="24"/>
              </w:rPr>
              <w:t>投标总价合计金额大写：                              小写： ￥</w:t>
            </w:r>
            <w:r>
              <w:rPr>
                <w:rFonts w:hint="eastAsia" w:ascii="仿宋" w:hAnsi="仿宋" w:eastAsia="仿宋" w:cs="仿宋"/>
                <w:bCs/>
                <w:color w:val="auto"/>
                <w:sz w:val="24"/>
                <w:u w:val="single"/>
              </w:rPr>
              <w:t xml:space="preserve">          </w:t>
            </w:r>
          </w:p>
        </w:tc>
      </w:tr>
      <w:tr w14:paraId="7823E4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35" w:hRule="atLeast"/>
        </w:trPr>
        <w:tc>
          <w:tcPr>
            <w:tcW w:w="533" w:type="dxa"/>
            <w:tcBorders>
              <w:top w:val="single" w:color="auto" w:sz="4" w:space="0"/>
              <w:left w:val="single" w:color="auto" w:sz="4" w:space="0"/>
              <w:bottom w:val="single" w:color="auto" w:sz="4" w:space="0"/>
              <w:right w:val="single" w:color="auto" w:sz="4" w:space="0"/>
            </w:tcBorders>
            <w:vAlign w:val="center"/>
          </w:tcPr>
          <w:p w14:paraId="36C0CECE">
            <w:pPr>
              <w:snapToGrid w:val="0"/>
              <w:rPr>
                <w:rFonts w:hint="eastAsia" w:ascii="仿宋" w:hAnsi="仿宋" w:eastAsia="仿宋" w:cs="仿宋"/>
                <w:bCs/>
                <w:color w:val="auto"/>
                <w:sz w:val="24"/>
              </w:rPr>
            </w:pPr>
            <w:r>
              <w:rPr>
                <w:rFonts w:hint="eastAsia" w:ascii="仿宋" w:hAnsi="仿宋" w:eastAsia="仿宋" w:cs="仿宋"/>
                <w:bCs/>
                <w:color w:val="auto"/>
                <w:sz w:val="24"/>
              </w:rPr>
              <w:t>备注</w:t>
            </w:r>
          </w:p>
        </w:tc>
        <w:tc>
          <w:tcPr>
            <w:tcW w:w="8647" w:type="dxa"/>
            <w:gridSpan w:val="7"/>
            <w:tcBorders>
              <w:top w:val="single" w:color="auto" w:sz="4" w:space="0"/>
              <w:left w:val="single" w:color="auto" w:sz="4" w:space="0"/>
              <w:bottom w:val="single" w:color="auto" w:sz="4" w:space="0"/>
              <w:right w:val="single" w:color="auto" w:sz="4" w:space="0"/>
            </w:tcBorders>
            <w:vAlign w:val="center"/>
          </w:tcPr>
          <w:p w14:paraId="19D6B20E">
            <w:pPr>
              <w:snapToGrid w:val="0"/>
              <w:spacing w:line="440" w:lineRule="exact"/>
              <w:jc w:val="left"/>
              <w:rPr>
                <w:rFonts w:hint="eastAsia" w:ascii="仿宋" w:hAnsi="仿宋" w:eastAsia="仿宋" w:cs="仿宋"/>
                <w:bCs/>
                <w:color w:val="auto"/>
                <w:sz w:val="24"/>
              </w:rPr>
            </w:pPr>
            <w:r>
              <w:rPr>
                <w:rFonts w:hint="eastAsia" w:ascii="仿宋" w:hAnsi="仿宋" w:eastAsia="仿宋" w:cs="仿宋"/>
                <w:bCs/>
                <w:color w:val="auto"/>
                <w:sz w:val="24"/>
              </w:rPr>
              <w:t>1.此表应按项目的明细情况列项填报</w:t>
            </w:r>
            <w:r>
              <w:rPr>
                <w:rFonts w:hint="eastAsia" w:ascii="仿宋" w:hAnsi="仿宋" w:eastAsia="仿宋" w:cs="仿宋"/>
                <w:bCs/>
                <w:color w:val="auto"/>
                <w:sz w:val="24"/>
                <w:lang w:eastAsia="zh-CN"/>
              </w:rPr>
              <w:t>，</w:t>
            </w:r>
            <w:r>
              <w:rPr>
                <w:rFonts w:hint="eastAsia" w:ascii="仿宋" w:hAnsi="仿宋" w:eastAsia="仿宋" w:cs="仿宋"/>
                <w:bCs/>
                <w:color w:val="auto"/>
                <w:sz w:val="24"/>
              </w:rPr>
              <w:t>在填写时，如上表不适合本项目的实际情况，可在确保投标明细内容完整的情况下自行划表填写。</w:t>
            </w:r>
          </w:p>
          <w:p w14:paraId="5B5FA360">
            <w:pPr>
              <w:snapToGrid w:val="0"/>
              <w:spacing w:line="440" w:lineRule="exact"/>
              <w:rPr>
                <w:rFonts w:hint="eastAsia" w:ascii="仿宋" w:hAnsi="仿宋" w:eastAsia="仿宋" w:cs="仿宋"/>
                <w:bCs/>
                <w:color w:val="auto"/>
                <w:sz w:val="24"/>
              </w:rPr>
            </w:pPr>
            <w:r>
              <w:rPr>
                <w:rFonts w:hint="eastAsia" w:ascii="仿宋" w:hAnsi="仿宋" w:eastAsia="仿宋" w:cs="仿宋"/>
                <w:bCs/>
                <w:color w:val="auto"/>
                <w:sz w:val="24"/>
              </w:rPr>
              <w:t>2.报价要求：投标报价合计是履行合同的最终价格，包括系统的设计与开发、安装、调试、施工、技术培训、售后服务、验收、税金及其他配套服务过程中涉及的一切费用。</w:t>
            </w:r>
          </w:p>
          <w:p w14:paraId="2D0FFD1C">
            <w:pPr>
              <w:snapToGrid w:val="0"/>
              <w:spacing w:line="440" w:lineRule="exact"/>
              <w:rPr>
                <w:rFonts w:hint="eastAsia" w:ascii="仿宋" w:hAnsi="仿宋" w:eastAsia="仿宋" w:cs="仿宋"/>
                <w:bCs/>
                <w:color w:val="auto"/>
                <w:sz w:val="24"/>
              </w:rPr>
            </w:pPr>
            <w:r>
              <w:rPr>
                <w:rFonts w:hint="eastAsia" w:ascii="仿宋" w:hAnsi="仿宋" w:eastAsia="仿宋" w:cs="仿宋"/>
                <w:bCs/>
                <w:color w:val="auto"/>
                <w:sz w:val="24"/>
              </w:rPr>
              <w:t>3.报价中不允许出现报价优惠等字样</w:t>
            </w:r>
            <w:r>
              <w:rPr>
                <w:rFonts w:hint="eastAsia" w:ascii="仿宋" w:hAnsi="仿宋" w:eastAsia="仿宋" w:cs="仿宋"/>
                <w:bCs/>
                <w:color w:val="auto"/>
                <w:sz w:val="24"/>
                <w:lang w:eastAsia="zh-CN"/>
              </w:rPr>
              <w:t>，</w:t>
            </w:r>
            <w:r>
              <w:rPr>
                <w:rFonts w:hint="eastAsia" w:ascii="仿宋" w:hAnsi="仿宋" w:eastAsia="仿宋" w:cs="仿宋"/>
                <w:bCs/>
                <w:color w:val="auto"/>
                <w:sz w:val="24"/>
              </w:rPr>
              <w:t>投标总价合计金额应与明细报价汇总相等。</w:t>
            </w:r>
          </w:p>
        </w:tc>
      </w:tr>
    </w:tbl>
    <w:p w14:paraId="2B8EC034">
      <w:pPr>
        <w:spacing w:line="360" w:lineRule="auto"/>
        <w:jc w:val="center"/>
        <w:rPr>
          <w:rFonts w:hint="eastAsia" w:ascii="仿宋" w:hAnsi="仿宋" w:eastAsia="仿宋" w:cs="仿宋"/>
          <w:b/>
          <w:bCs/>
          <w:color w:val="auto"/>
          <w:sz w:val="32"/>
          <w:szCs w:val="32"/>
          <w:highlight w:val="none"/>
          <w:lang w:val="en-US" w:eastAsia="zh-CN"/>
        </w:rPr>
      </w:pPr>
    </w:p>
    <w:p w14:paraId="77DC3C1B">
      <w:pPr>
        <w:keepNext w:val="0"/>
        <w:keepLines w:val="0"/>
        <w:pageBreakBefore w:val="0"/>
        <w:kinsoku/>
        <w:wordWrap/>
        <w:overflowPunct/>
        <w:topLinePunct w:val="0"/>
        <w:autoSpaceDE/>
        <w:autoSpaceDN/>
        <w:bidi w:val="0"/>
        <w:spacing w:line="360" w:lineRule="auto"/>
        <w:ind w:right="-21" w:rightChars="-10" w:firstLine="5040" w:firstLineChars="2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lang w:eastAsia="zh-CN"/>
        </w:rPr>
        <w:t>电子签章</w:t>
      </w:r>
      <w:r>
        <w:rPr>
          <w:rFonts w:hint="eastAsia" w:ascii="仿宋" w:hAnsi="仿宋" w:eastAsia="仿宋" w:cs="仿宋"/>
          <w:color w:val="auto"/>
          <w:sz w:val="24"/>
          <w:highlight w:val="none"/>
        </w:rPr>
        <w:t>）</w:t>
      </w:r>
      <w:r>
        <w:rPr>
          <w:rFonts w:hint="eastAsia" w:ascii="仿宋" w:hAnsi="仿宋" w:eastAsia="仿宋" w:cs="仿宋"/>
          <w:color w:val="auto"/>
          <w:sz w:val="24"/>
          <w:szCs w:val="24"/>
          <w:highlight w:val="none"/>
        </w:rPr>
        <w:t>：</w:t>
      </w:r>
    </w:p>
    <w:p w14:paraId="666BDF42">
      <w:pPr>
        <w:keepNext w:val="0"/>
        <w:keepLines w:val="0"/>
        <w:pageBreakBefore w:val="0"/>
        <w:kinsoku/>
        <w:wordWrap/>
        <w:overflowPunct/>
        <w:topLinePunct w:val="0"/>
        <w:autoSpaceDE/>
        <w:autoSpaceDN/>
        <w:bidi w:val="0"/>
        <w:spacing w:line="360" w:lineRule="auto"/>
        <w:ind w:right="-21" w:rightChars="-10" w:firstLine="48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法定代表人</w:t>
      </w:r>
      <w:r>
        <w:rPr>
          <w:rFonts w:hint="eastAsia" w:ascii="仿宋" w:hAnsi="仿宋" w:eastAsia="仿宋" w:cs="仿宋"/>
          <w:color w:val="auto"/>
          <w:sz w:val="24"/>
          <w:szCs w:val="24"/>
          <w:highlight w:val="none"/>
          <w:lang w:val="en-US" w:eastAsia="zh-CN"/>
        </w:rPr>
        <w:t>或授权代表</w:t>
      </w:r>
      <w:r>
        <w:rPr>
          <w:rFonts w:hint="eastAsia" w:ascii="仿宋" w:hAnsi="仿宋" w:eastAsia="仿宋" w:cs="仿宋"/>
          <w:color w:val="auto"/>
          <w:sz w:val="24"/>
          <w:szCs w:val="24"/>
          <w:highlight w:val="none"/>
        </w:rPr>
        <w:t>（签字或盖章）：</w:t>
      </w:r>
    </w:p>
    <w:p w14:paraId="1D3B4067">
      <w:pPr>
        <w:keepNext w:val="0"/>
        <w:keepLines w:val="0"/>
        <w:pageBreakBefore w:val="0"/>
        <w:kinsoku/>
        <w:wordWrap/>
        <w:overflowPunct/>
        <w:topLinePunct w:val="0"/>
        <w:autoSpaceDE/>
        <w:autoSpaceDN/>
        <w:bidi w:val="0"/>
        <w:snapToGrid w:val="0"/>
        <w:spacing w:line="360" w:lineRule="auto"/>
        <w:ind w:right="480"/>
        <w:jc w:val="center"/>
        <w:textAlignment w:val="auto"/>
        <w:rPr>
          <w:rFonts w:hint="eastAsia" w:ascii="仿宋" w:hAnsi="仿宋" w:eastAsia="仿宋" w:cs="仿宋"/>
          <w:b/>
          <w:color w:val="auto"/>
          <w:kern w:val="0"/>
          <w:sz w:val="32"/>
          <w:szCs w:val="32"/>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highlight w:val="none"/>
        </w:rPr>
        <w:t>日期：  年   月   日</w:t>
      </w:r>
    </w:p>
    <w:p w14:paraId="0093596A">
      <w:pPr>
        <w:spacing w:line="360" w:lineRule="auto"/>
        <w:jc w:val="center"/>
        <w:rPr>
          <w:rFonts w:hint="eastAsia" w:ascii="仿宋" w:hAnsi="仿宋" w:eastAsia="仿宋" w:cs="仿宋"/>
          <w:b/>
          <w:bCs/>
          <w:color w:val="auto"/>
          <w:sz w:val="32"/>
          <w:szCs w:val="32"/>
          <w:highlight w:val="none"/>
          <w:lang w:val="en-US" w:eastAsia="zh-CN"/>
        </w:rPr>
      </w:pPr>
    </w:p>
    <w:p w14:paraId="78121B4A">
      <w:pP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br w:type="page"/>
      </w:r>
    </w:p>
    <w:p w14:paraId="6AB805AA">
      <w:pPr>
        <w:spacing w:line="360" w:lineRule="auto"/>
        <w:jc w:val="center"/>
        <w:rPr>
          <w:rFonts w:hint="eastAsia" w:ascii="仿宋" w:hAnsi="仿宋" w:eastAsia="仿宋" w:cs="仿宋"/>
          <w:color w:val="auto"/>
          <w:sz w:val="24"/>
          <w:highlight w:val="none"/>
        </w:rPr>
      </w:pPr>
      <w:r>
        <w:rPr>
          <w:rFonts w:hint="eastAsia" w:ascii="仿宋" w:hAnsi="仿宋" w:eastAsia="仿宋" w:cs="仿宋"/>
          <w:b/>
          <w:bCs/>
          <w:color w:val="auto"/>
          <w:sz w:val="32"/>
          <w:szCs w:val="32"/>
          <w:highlight w:val="none"/>
          <w:lang w:val="en-US" w:eastAsia="zh-CN"/>
        </w:rPr>
        <w:t>三、</w:t>
      </w:r>
      <w:r>
        <w:rPr>
          <w:rFonts w:hint="eastAsia" w:ascii="仿宋" w:hAnsi="仿宋" w:eastAsia="仿宋" w:cs="仿宋"/>
          <w:b/>
          <w:bCs/>
          <w:color w:val="auto"/>
          <w:sz w:val="32"/>
          <w:szCs w:val="32"/>
          <w:highlight w:val="none"/>
        </w:rPr>
        <w:t>投标人针对报价需要说明的其他文件和说明（若有）</w:t>
      </w:r>
    </w:p>
    <w:p w14:paraId="0566A2B4">
      <w:pPr>
        <w:spacing w:line="360" w:lineRule="auto"/>
        <w:rPr>
          <w:rFonts w:hint="eastAsia" w:ascii="仿宋" w:hAnsi="仿宋" w:eastAsia="仿宋" w:cs="仿宋"/>
          <w:color w:val="auto"/>
          <w:sz w:val="24"/>
          <w:highlight w:val="none"/>
        </w:rPr>
      </w:pPr>
    </w:p>
    <w:p w14:paraId="3BDFAD2C">
      <w:pPr>
        <w:spacing w:line="336" w:lineRule="auto"/>
        <w:ind w:firstLine="3600" w:firstLineChars="15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lang w:eastAsia="zh-CN"/>
        </w:rPr>
        <w:t>电子签章</w:t>
      </w:r>
      <w:r>
        <w:rPr>
          <w:rFonts w:hint="eastAsia" w:ascii="仿宋" w:hAnsi="仿宋" w:eastAsia="仿宋" w:cs="仿宋"/>
          <w:color w:val="auto"/>
          <w:sz w:val="24"/>
          <w:highlight w:val="none"/>
        </w:rPr>
        <w:t xml:space="preserve">）：                          </w:t>
      </w:r>
    </w:p>
    <w:p w14:paraId="34EF9D5B">
      <w:pPr>
        <w:pStyle w:val="695"/>
        <w:keepNext w:val="0"/>
        <w:pageBreakBefore w:val="0"/>
        <w:tabs>
          <w:tab w:val="clear" w:pos="720"/>
        </w:tabs>
        <w:snapToGrid w:val="0"/>
        <w:spacing w:before="120" w:after="120"/>
        <w:ind w:firstLine="643"/>
        <w:outlineLvl w:val="9"/>
        <w:rPr>
          <w:rFonts w:hint="eastAsia" w:ascii="仿宋" w:hAnsi="仿宋" w:eastAsia="仿宋" w:cs="仿宋"/>
          <w:color w:val="auto"/>
          <w:kern w:val="2"/>
          <w:sz w:val="32"/>
          <w:szCs w:val="32"/>
          <w:highlight w:val="none"/>
        </w:rPr>
      </w:pPr>
      <w:r>
        <w:rPr>
          <w:rFonts w:hint="eastAsia" w:ascii="仿宋" w:hAnsi="仿宋" w:eastAsia="仿宋" w:cs="仿宋"/>
          <w:b w:val="0"/>
          <w:bCs/>
          <w:color w:val="auto"/>
          <w:sz w:val="24"/>
          <w:highlight w:val="none"/>
        </w:rPr>
        <w:t>日期：  年   月   日</w:t>
      </w:r>
    </w:p>
    <w:p w14:paraId="0A5C6630">
      <w:pPr>
        <w:pStyle w:val="4"/>
        <w:keepNext w:val="0"/>
        <w:keepLines w:val="0"/>
        <w:pageBreakBefore/>
        <w:widowControl/>
        <w:spacing w:before="100" w:beforeAutospacing="1" w:after="100" w:afterAutospacing="1" w:line="360" w:lineRule="auto"/>
        <w:rPr>
          <w:rFonts w:hint="eastAsia" w:ascii="仿宋" w:hAnsi="仿宋" w:eastAsia="仿宋" w:cs="仿宋"/>
          <w:color w:val="auto"/>
          <w:highlight w:val="none"/>
        </w:rPr>
      </w:pPr>
      <w:bookmarkStart w:id="40" w:name="_Toc465665161"/>
      <w:r>
        <w:rPr>
          <w:rFonts w:hint="eastAsia" w:ascii="仿宋" w:hAnsi="仿宋" w:eastAsia="仿宋" w:cs="仿宋"/>
          <w:color w:val="auto"/>
          <w:highlight w:val="none"/>
        </w:rPr>
        <w:t>附件</w:t>
      </w:r>
      <w:bookmarkEnd w:id="40"/>
    </w:p>
    <w:p w14:paraId="1E4A43AF">
      <w:pPr>
        <w:spacing w:line="360" w:lineRule="auto"/>
        <w:jc w:val="left"/>
        <w:rPr>
          <w:rFonts w:hint="eastAsia" w:ascii="仿宋" w:hAnsi="仿宋" w:eastAsia="仿宋" w:cs="仿宋"/>
          <w:b/>
          <w:color w:val="auto"/>
          <w:spacing w:val="6"/>
          <w:sz w:val="32"/>
          <w:szCs w:val="32"/>
          <w:highlight w:val="none"/>
        </w:rPr>
      </w:pPr>
      <w:r>
        <w:rPr>
          <w:rFonts w:hint="eastAsia" w:ascii="仿宋" w:hAnsi="仿宋" w:eastAsia="仿宋" w:cs="仿宋"/>
          <w:b/>
          <w:color w:val="auto"/>
          <w:spacing w:val="6"/>
          <w:sz w:val="32"/>
          <w:szCs w:val="32"/>
          <w:highlight w:val="none"/>
        </w:rPr>
        <w:t>附件1：质疑函范本及制作说明</w:t>
      </w:r>
    </w:p>
    <w:p w14:paraId="65511848">
      <w:pPr>
        <w:spacing w:line="360" w:lineRule="auto"/>
        <w:jc w:val="center"/>
        <w:rPr>
          <w:rFonts w:hint="eastAsia" w:ascii="仿宋" w:hAnsi="仿宋" w:eastAsia="仿宋" w:cs="仿宋"/>
          <w:b/>
          <w:color w:val="auto"/>
          <w:spacing w:val="6"/>
          <w:sz w:val="32"/>
          <w:szCs w:val="32"/>
          <w:highlight w:val="none"/>
        </w:rPr>
      </w:pPr>
      <w:r>
        <w:rPr>
          <w:rFonts w:hint="eastAsia" w:ascii="仿宋" w:hAnsi="仿宋" w:eastAsia="仿宋" w:cs="仿宋"/>
          <w:b/>
          <w:color w:val="auto"/>
          <w:spacing w:val="6"/>
          <w:sz w:val="32"/>
          <w:szCs w:val="32"/>
          <w:highlight w:val="none"/>
        </w:rPr>
        <w:t>质疑函范本</w:t>
      </w:r>
    </w:p>
    <w:p w14:paraId="6828F88D">
      <w:pPr>
        <w:snapToGrid w:val="0"/>
        <w:spacing w:before="240" w:beforeLines="100"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一、质疑供应商基本信息</w:t>
      </w:r>
    </w:p>
    <w:p w14:paraId="749D4D19">
      <w:pPr>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质疑供应商：</w:t>
      </w:r>
    </w:p>
    <w:p w14:paraId="62EE34C3">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地址：邮编：</w:t>
      </w:r>
    </w:p>
    <w:p w14:paraId="3469917E">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联系人：联系电话：</w:t>
      </w:r>
    </w:p>
    <w:p w14:paraId="26A21279">
      <w:pPr>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授权代表：</w:t>
      </w:r>
    </w:p>
    <w:p w14:paraId="7334C9D0">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联系电话：</w:t>
      </w:r>
    </w:p>
    <w:p w14:paraId="5F975FD0">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地址：邮编：</w:t>
      </w:r>
    </w:p>
    <w:p w14:paraId="6A10F233">
      <w:pPr>
        <w:snapToGrid w:val="0"/>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二、质疑项目基本情况</w:t>
      </w:r>
    </w:p>
    <w:p w14:paraId="3E5DB341">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质疑项目的名称：</w:t>
      </w:r>
    </w:p>
    <w:p w14:paraId="48802A5A">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质疑项目的编号：包号：</w:t>
      </w:r>
    </w:p>
    <w:p w14:paraId="1A81BB38">
      <w:pPr>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采购人名称：</w:t>
      </w:r>
    </w:p>
    <w:p w14:paraId="5F70FFB7">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采购文件获取日期：</w:t>
      </w:r>
    </w:p>
    <w:p w14:paraId="56F3BD16">
      <w:pPr>
        <w:snapToGrid w:val="0"/>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三、质疑事项具体内容</w:t>
      </w:r>
    </w:p>
    <w:p w14:paraId="03DB9D4E">
      <w:pPr>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质疑事项1：</w:t>
      </w:r>
    </w:p>
    <w:p w14:paraId="32E58662">
      <w:pPr>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事实依据：</w:t>
      </w:r>
    </w:p>
    <w:p w14:paraId="1179DC62">
      <w:pPr>
        <w:snapToGrid w:val="0"/>
        <w:spacing w:line="360" w:lineRule="auto"/>
        <w:rPr>
          <w:rFonts w:hint="eastAsia" w:ascii="仿宋" w:hAnsi="仿宋" w:eastAsia="仿宋" w:cs="仿宋"/>
          <w:color w:val="auto"/>
          <w:sz w:val="24"/>
          <w:highlight w:val="none"/>
        </w:rPr>
      </w:pPr>
    </w:p>
    <w:p w14:paraId="2C08FA85">
      <w:pPr>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法律依据：</w:t>
      </w:r>
    </w:p>
    <w:p w14:paraId="6043F392">
      <w:pPr>
        <w:snapToGrid w:val="0"/>
        <w:spacing w:line="360" w:lineRule="auto"/>
        <w:rPr>
          <w:rFonts w:hint="eastAsia" w:ascii="仿宋" w:hAnsi="仿宋" w:eastAsia="仿宋" w:cs="仿宋"/>
          <w:color w:val="auto"/>
          <w:sz w:val="24"/>
          <w:highlight w:val="none"/>
          <w:u w:val="dotted"/>
        </w:rPr>
      </w:pPr>
    </w:p>
    <w:p w14:paraId="41DB623E">
      <w:pPr>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质疑事项2</w:t>
      </w:r>
    </w:p>
    <w:p w14:paraId="77888C21">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p w14:paraId="17595A93">
      <w:pPr>
        <w:snapToGrid w:val="0"/>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四、与质疑事项相关的质疑请求</w:t>
      </w:r>
    </w:p>
    <w:p w14:paraId="175AE528">
      <w:pPr>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请求：</w:t>
      </w:r>
    </w:p>
    <w:p w14:paraId="58D88E31">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签字</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签章</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 xml:space="preserve">：                   公章：                      </w:t>
      </w:r>
    </w:p>
    <w:p w14:paraId="1778093F">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w:t>
      </w:r>
    </w:p>
    <w:p w14:paraId="42083F97">
      <w:pPr>
        <w:spacing w:line="360" w:lineRule="auto"/>
        <w:jc w:val="center"/>
        <w:rPr>
          <w:rFonts w:hint="eastAsia" w:ascii="仿宋" w:hAnsi="仿宋" w:eastAsia="仿宋" w:cs="仿宋"/>
          <w:b/>
          <w:bCs/>
          <w:color w:val="auto"/>
          <w:sz w:val="24"/>
          <w:highlight w:val="none"/>
        </w:rPr>
      </w:pPr>
    </w:p>
    <w:p w14:paraId="5AE1BF1B">
      <w:pPr>
        <w:spacing w:line="360" w:lineRule="auto"/>
        <w:rPr>
          <w:rFonts w:hint="eastAsia" w:ascii="仿宋" w:hAnsi="仿宋" w:eastAsia="仿宋" w:cs="仿宋"/>
          <w:b/>
          <w:color w:val="auto"/>
          <w:sz w:val="24"/>
          <w:highlight w:val="none"/>
        </w:rPr>
      </w:pPr>
    </w:p>
    <w:p w14:paraId="45D34A38">
      <w:pPr>
        <w:spacing w:line="360" w:lineRule="auto"/>
        <w:rPr>
          <w:rFonts w:hint="eastAsia" w:ascii="仿宋" w:hAnsi="仿宋" w:eastAsia="仿宋" w:cs="仿宋"/>
          <w:b/>
          <w:color w:val="auto"/>
          <w:sz w:val="24"/>
          <w:highlight w:val="none"/>
        </w:rPr>
      </w:pPr>
    </w:p>
    <w:p w14:paraId="2C0C6BD6">
      <w:pPr>
        <w:spacing w:line="360" w:lineRule="auto"/>
        <w:rPr>
          <w:rFonts w:hint="eastAsia" w:ascii="仿宋" w:hAnsi="仿宋" w:eastAsia="仿宋" w:cs="仿宋"/>
          <w:b/>
          <w:color w:val="auto"/>
          <w:sz w:val="24"/>
          <w:highlight w:val="none"/>
        </w:rPr>
      </w:pPr>
    </w:p>
    <w:p w14:paraId="64764945">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质疑函制作说明：</w:t>
      </w:r>
    </w:p>
    <w:p w14:paraId="3F59FEE7">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1.供应商提出质疑时，应提交质疑函和必要的证明材料。</w:t>
      </w:r>
    </w:p>
    <w:p w14:paraId="0AECF83B">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2.质疑供应商若委托代理人进行质疑的，质疑函应按要求列明“授权代表”的有关内容，并在附件中提交由质疑</w:t>
      </w:r>
      <w:r>
        <w:rPr>
          <w:rFonts w:hint="eastAsia" w:ascii="仿宋" w:hAnsi="仿宋" w:eastAsia="仿宋" w:cs="仿宋"/>
          <w:color w:val="auto"/>
          <w:kern w:val="0"/>
          <w:sz w:val="24"/>
          <w:highlight w:val="none"/>
        </w:rPr>
        <w:t>供应商签署的授权委托书。授权委托书应载明代理人的姓名或者名称、代理事项、具体权限、期限和相关事项。</w:t>
      </w:r>
    </w:p>
    <w:p w14:paraId="45F0FB5E">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3.质疑供应商若对项目的某一分包进行质疑，质疑函中应列明具体分包号。</w:t>
      </w:r>
    </w:p>
    <w:p w14:paraId="67F38A0E">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4.质疑函的质疑事项应具体、明确，并有必要的事实依据和法律依据。</w:t>
      </w:r>
    </w:p>
    <w:p w14:paraId="5A8EBC08">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5.质疑函的质疑请求应与质疑事项相关。</w:t>
      </w:r>
    </w:p>
    <w:p w14:paraId="6A00D2D8">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6.质疑供应商为自然人的，质疑函应由本人签字；质疑供应商为法人或者其他组织的，质疑函应由法定代表人、主要负责人，或者其授权代表签字或者盖章，并加盖公章。</w:t>
      </w:r>
    </w:p>
    <w:p w14:paraId="06A99DC3">
      <w:pPr>
        <w:widowControl/>
        <w:spacing w:line="360" w:lineRule="auto"/>
        <w:ind w:firstLine="600" w:firstLineChars="200"/>
        <w:jc w:val="left"/>
        <w:rPr>
          <w:rFonts w:hint="eastAsia" w:ascii="仿宋" w:hAnsi="仿宋" w:eastAsia="仿宋" w:cs="仿宋"/>
          <w:color w:val="auto"/>
          <w:sz w:val="30"/>
          <w:szCs w:val="30"/>
          <w:highlight w:val="none"/>
        </w:rPr>
      </w:pPr>
    </w:p>
    <w:p w14:paraId="3B5E4E4C">
      <w:pPr>
        <w:spacing w:line="360" w:lineRule="auto"/>
        <w:jc w:val="center"/>
        <w:rPr>
          <w:rFonts w:hint="eastAsia" w:ascii="仿宋" w:hAnsi="仿宋" w:eastAsia="仿宋" w:cs="仿宋"/>
          <w:b/>
          <w:color w:val="auto"/>
          <w:spacing w:val="6"/>
          <w:sz w:val="32"/>
          <w:szCs w:val="32"/>
          <w:highlight w:val="none"/>
        </w:rPr>
      </w:pPr>
    </w:p>
    <w:p w14:paraId="0B2EA606">
      <w:pPr>
        <w:pStyle w:val="83"/>
        <w:rPr>
          <w:rFonts w:hint="eastAsia" w:ascii="仿宋" w:hAnsi="仿宋" w:eastAsia="仿宋" w:cs="仿宋"/>
          <w:color w:val="auto"/>
          <w:highlight w:val="none"/>
        </w:rPr>
      </w:pPr>
    </w:p>
    <w:p w14:paraId="27F10665">
      <w:pPr>
        <w:pStyle w:val="84"/>
        <w:rPr>
          <w:rFonts w:hint="eastAsia" w:ascii="仿宋" w:hAnsi="仿宋" w:eastAsia="仿宋" w:cs="仿宋"/>
          <w:color w:val="auto"/>
          <w:highlight w:val="none"/>
        </w:rPr>
      </w:pPr>
    </w:p>
    <w:p w14:paraId="4235432D">
      <w:pPr>
        <w:rPr>
          <w:rFonts w:hint="eastAsia" w:ascii="仿宋" w:hAnsi="仿宋" w:eastAsia="仿宋" w:cs="仿宋"/>
          <w:color w:val="auto"/>
          <w:highlight w:val="none"/>
        </w:rPr>
      </w:pPr>
    </w:p>
    <w:p w14:paraId="2E8EA6ED">
      <w:pPr>
        <w:pStyle w:val="83"/>
        <w:rPr>
          <w:rFonts w:hint="eastAsia" w:ascii="仿宋" w:hAnsi="仿宋" w:eastAsia="仿宋" w:cs="仿宋"/>
          <w:color w:val="auto"/>
          <w:highlight w:val="none"/>
        </w:rPr>
      </w:pPr>
    </w:p>
    <w:p w14:paraId="4E355C06">
      <w:pPr>
        <w:pStyle w:val="84"/>
        <w:rPr>
          <w:rFonts w:hint="eastAsia" w:ascii="仿宋" w:hAnsi="仿宋" w:eastAsia="仿宋" w:cs="仿宋"/>
          <w:color w:val="auto"/>
          <w:highlight w:val="none"/>
        </w:rPr>
      </w:pPr>
    </w:p>
    <w:p w14:paraId="0B96F146">
      <w:pPr>
        <w:rPr>
          <w:rFonts w:hint="eastAsia" w:ascii="仿宋" w:hAnsi="仿宋" w:eastAsia="仿宋" w:cs="仿宋"/>
          <w:color w:val="auto"/>
          <w:highlight w:val="none"/>
        </w:rPr>
      </w:pPr>
    </w:p>
    <w:p w14:paraId="7582B970">
      <w:pPr>
        <w:pStyle w:val="83"/>
        <w:rPr>
          <w:rFonts w:hint="eastAsia" w:ascii="仿宋" w:hAnsi="仿宋" w:eastAsia="仿宋" w:cs="仿宋"/>
          <w:color w:val="auto"/>
          <w:highlight w:val="none"/>
        </w:rPr>
      </w:pPr>
    </w:p>
    <w:p w14:paraId="0A3B8AA2">
      <w:pPr>
        <w:pStyle w:val="84"/>
        <w:rPr>
          <w:rFonts w:hint="eastAsia" w:ascii="仿宋" w:hAnsi="仿宋" w:eastAsia="仿宋" w:cs="仿宋"/>
          <w:color w:val="auto"/>
          <w:highlight w:val="none"/>
        </w:rPr>
      </w:pPr>
    </w:p>
    <w:p w14:paraId="20F6F3FB">
      <w:pPr>
        <w:rPr>
          <w:rFonts w:hint="eastAsia" w:ascii="仿宋" w:hAnsi="仿宋" w:eastAsia="仿宋" w:cs="仿宋"/>
          <w:color w:val="auto"/>
          <w:highlight w:val="none"/>
        </w:rPr>
      </w:pPr>
    </w:p>
    <w:p w14:paraId="2ACF6BC3">
      <w:pPr>
        <w:pStyle w:val="83"/>
        <w:rPr>
          <w:rFonts w:hint="eastAsia" w:ascii="仿宋" w:hAnsi="仿宋" w:eastAsia="仿宋" w:cs="仿宋"/>
          <w:color w:val="auto"/>
          <w:highlight w:val="none"/>
        </w:rPr>
      </w:pPr>
    </w:p>
    <w:p w14:paraId="01A29D89">
      <w:pPr>
        <w:pStyle w:val="84"/>
        <w:rPr>
          <w:rFonts w:hint="eastAsia" w:ascii="仿宋" w:hAnsi="仿宋" w:eastAsia="仿宋" w:cs="仿宋"/>
          <w:color w:val="auto"/>
          <w:highlight w:val="none"/>
        </w:rPr>
      </w:pPr>
    </w:p>
    <w:p w14:paraId="32103BB1">
      <w:pPr>
        <w:rPr>
          <w:rFonts w:hint="eastAsia" w:ascii="仿宋" w:hAnsi="仿宋" w:eastAsia="仿宋" w:cs="仿宋"/>
          <w:color w:val="auto"/>
          <w:highlight w:val="none"/>
        </w:rPr>
      </w:pPr>
    </w:p>
    <w:p w14:paraId="6C86F4CD">
      <w:pPr>
        <w:pStyle w:val="83"/>
        <w:rPr>
          <w:rFonts w:hint="eastAsia" w:ascii="仿宋" w:hAnsi="仿宋" w:eastAsia="仿宋" w:cs="仿宋"/>
          <w:color w:val="auto"/>
          <w:highlight w:val="none"/>
        </w:rPr>
      </w:pPr>
    </w:p>
    <w:p w14:paraId="1282BA55">
      <w:pPr>
        <w:pStyle w:val="84"/>
        <w:rPr>
          <w:rFonts w:hint="eastAsia" w:ascii="仿宋" w:hAnsi="仿宋" w:eastAsia="仿宋" w:cs="仿宋"/>
          <w:color w:val="auto"/>
          <w:highlight w:val="none"/>
        </w:rPr>
      </w:pPr>
    </w:p>
    <w:p w14:paraId="6CA1AA02">
      <w:pPr>
        <w:rPr>
          <w:rFonts w:hint="eastAsia" w:ascii="仿宋" w:hAnsi="仿宋" w:eastAsia="仿宋" w:cs="仿宋"/>
          <w:color w:val="auto"/>
          <w:highlight w:val="none"/>
        </w:rPr>
      </w:pPr>
    </w:p>
    <w:p w14:paraId="537C2F7A">
      <w:pPr>
        <w:spacing w:line="360" w:lineRule="auto"/>
        <w:jc w:val="left"/>
        <w:rPr>
          <w:rFonts w:hint="eastAsia" w:ascii="仿宋" w:hAnsi="仿宋" w:eastAsia="仿宋" w:cs="仿宋"/>
          <w:b/>
          <w:color w:val="auto"/>
          <w:spacing w:val="6"/>
          <w:sz w:val="32"/>
          <w:szCs w:val="32"/>
          <w:highlight w:val="none"/>
        </w:rPr>
      </w:pPr>
      <w:r>
        <w:rPr>
          <w:rFonts w:hint="eastAsia" w:ascii="仿宋" w:hAnsi="仿宋" w:eastAsia="仿宋" w:cs="仿宋"/>
          <w:b/>
          <w:color w:val="auto"/>
          <w:spacing w:val="6"/>
          <w:sz w:val="32"/>
          <w:szCs w:val="32"/>
          <w:highlight w:val="none"/>
        </w:rPr>
        <w:t>附件2：投诉书范本及制作说明</w:t>
      </w:r>
    </w:p>
    <w:p w14:paraId="3127FCD0">
      <w:pPr>
        <w:spacing w:line="360" w:lineRule="auto"/>
        <w:jc w:val="center"/>
        <w:rPr>
          <w:rFonts w:hint="eastAsia" w:ascii="仿宋" w:hAnsi="仿宋" w:eastAsia="仿宋" w:cs="仿宋"/>
          <w:b/>
          <w:color w:val="auto"/>
          <w:sz w:val="24"/>
          <w:highlight w:val="none"/>
        </w:rPr>
      </w:pPr>
    </w:p>
    <w:p w14:paraId="1AC690D9">
      <w:pPr>
        <w:spacing w:line="360" w:lineRule="auto"/>
        <w:jc w:val="center"/>
        <w:rPr>
          <w:rFonts w:hint="eastAsia" w:ascii="仿宋" w:hAnsi="仿宋" w:eastAsia="仿宋" w:cs="仿宋"/>
          <w:b/>
          <w:color w:val="auto"/>
          <w:spacing w:val="6"/>
          <w:sz w:val="32"/>
          <w:szCs w:val="32"/>
          <w:highlight w:val="none"/>
        </w:rPr>
      </w:pPr>
      <w:r>
        <w:rPr>
          <w:rFonts w:hint="eastAsia" w:ascii="仿宋" w:hAnsi="仿宋" w:eastAsia="仿宋" w:cs="仿宋"/>
          <w:b/>
          <w:color w:val="auto"/>
          <w:spacing w:val="6"/>
          <w:sz w:val="32"/>
          <w:szCs w:val="32"/>
          <w:highlight w:val="none"/>
        </w:rPr>
        <w:t>投诉书范本</w:t>
      </w:r>
    </w:p>
    <w:p w14:paraId="7FC4F82A">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一、投诉相关主体基本情况</w:t>
      </w:r>
    </w:p>
    <w:p w14:paraId="2071D3F1">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投诉人：</w:t>
      </w:r>
    </w:p>
    <w:p w14:paraId="7B4D3BA7">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地址：邮编：</w:t>
      </w:r>
    </w:p>
    <w:p w14:paraId="30FCC2E9">
      <w:pPr>
        <w:tabs>
          <w:tab w:val="left" w:pos="6510"/>
        </w:tabs>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法定代表人/主要负责人：</w:t>
      </w:r>
    </w:p>
    <w:p w14:paraId="787BC1D9">
      <w:pPr>
        <w:tabs>
          <w:tab w:val="left" w:pos="6510"/>
        </w:tabs>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联系电话：</w:t>
      </w:r>
    </w:p>
    <w:p w14:paraId="30706C90">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授权代表：联系电话</w:t>
      </w:r>
      <w:r>
        <w:rPr>
          <w:rFonts w:hint="eastAsia" w:ascii="仿宋" w:hAnsi="仿宋" w:eastAsia="仿宋" w:cs="仿宋"/>
          <w:color w:val="auto"/>
          <w:sz w:val="24"/>
          <w:highlight w:val="none"/>
          <w:u w:val="dotted"/>
        </w:rPr>
        <w:t>：</w:t>
      </w:r>
    </w:p>
    <w:p w14:paraId="42CECA49">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地址：邮编：</w:t>
      </w:r>
    </w:p>
    <w:p w14:paraId="234648B6">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被投诉人1：</w:t>
      </w:r>
    </w:p>
    <w:p w14:paraId="75B870AC">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地址：邮编：</w:t>
      </w:r>
    </w:p>
    <w:p w14:paraId="671AD2F2">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联系人：联系电话：</w:t>
      </w:r>
    </w:p>
    <w:p w14:paraId="17199886">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被投诉人2</w:t>
      </w:r>
    </w:p>
    <w:p w14:paraId="22613FF3">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w:t>
      </w:r>
    </w:p>
    <w:p w14:paraId="4F6C7309">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相关供应商：</w:t>
      </w:r>
    </w:p>
    <w:p w14:paraId="197EB540">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地址：邮编：</w:t>
      </w:r>
    </w:p>
    <w:p w14:paraId="1A68F20A">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联系人：联系电话：</w:t>
      </w:r>
    </w:p>
    <w:p w14:paraId="1A947740">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二、投诉项目基本情况</w:t>
      </w:r>
    </w:p>
    <w:p w14:paraId="484BC0ED">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采购项目名称：</w:t>
      </w:r>
    </w:p>
    <w:p w14:paraId="740BEB85">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采购项目编号：包号：</w:t>
      </w:r>
    </w:p>
    <w:p w14:paraId="11A466CC">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采购人名称：</w:t>
      </w:r>
    </w:p>
    <w:p w14:paraId="4401D8EA">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代理机构名称：</w:t>
      </w:r>
    </w:p>
    <w:p w14:paraId="49E21517">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采购文件公告</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dotted"/>
        </w:rPr>
        <w:t xml:space="preserve">是/否 </w:t>
      </w:r>
      <w:r>
        <w:rPr>
          <w:rFonts w:hint="eastAsia" w:ascii="仿宋" w:hAnsi="仿宋" w:eastAsia="仿宋" w:cs="仿宋"/>
          <w:color w:val="auto"/>
          <w:sz w:val="24"/>
          <w:highlight w:val="none"/>
        </w:rPr>
        <w:t>公告期限：</w:t>
      </w:r>
    </w:p>
    <w:p w14:paraId="76C86648">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采购结果公告</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dotted"/>
        </w:rPr>
        <w:t xml:space="preserve">是/否 </w:t>
      </w:r>
      <w:r>
        <w:rPr>
          <w:rFonts w:hint="eastAsia" w:ascii="仿宋" w:hAnsi="仿宋" w:eastAsia="仿宋" w:cs="仿宋"/>
          <w:color w:val="auto"/>
          <w:sz w:val="24"/>
          <w:highlight w:val="none"/>
        </w:rPr>
        <w:t>公告期限：</w:t>
      </w:r>
    </w:p>
    <w:p w14:paraId="6296CBB4">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三、质疑基本情况</w:t>
      </w:r>
    </w:p>
    <w:p w14:paraId="39F3EAFA">
      <w:pPr>
        <w:spacing w:line="360" w:lineRule="auto"/>
        <w:ind w:firstLine="480" w:firstLineChars="200"/>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投诉人于年月日</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向提出质疑，质疑事项为：</w:t>
      </w:r>
    </w:p>
    <w:p w14:paraId="777017F7">
      <w:pPr>
        <w:spacing w:line="360" w:lineRule="auto"/>
        <w:rPr>
          <w:rFonts w:hint="eastAsia" w:ascii="仿宋" w:hAnsi="仿宋" w:eastAsia="仿宋" w:cs="仿宋"/>
          <w:color w:val="auto"/>
          <w:sz w:val="24"/>
          <w:highlight w:val="none"/>
          <w:u w:val="dotted"/>
        </w:rPr>
      </w:pPr>
    </w:p>
    <w:p w14:paraId="5E3060BF">
      <w:pPr>
        <w:spacing w:line="360"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u w:val="dotted"/>
        </w:rPr>
        <w:t>采购人/代理机构</w:t>
      </w:r>
      <w:r>
        <w:rPr>
          <w:rFonts w:hint="eastAsia" w:ascii="仿宋" w:hAnsi="仿宋" w:eastAsia="仿宋" w:cs="仿宋"/>
          <w:color w:val="auto"/>
          <w:sz w:val="24"/>
          <w:highlight w:val="none"/>
        </w:rPr>
        <w:t>于年月日</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就质疑事项作出了答复/没有在法定期限内作出答复。</w:t>
      </w:r>
    </w:p>
    <w:p w14:paraId="57A9B74E">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四、投诉事项具体内容</w:t>
      </w:r>
    </w:p>
    <w:p w14:paraId="6BB2DFB3">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投诉事项 1：</w:t>
      </w:r>
    </w:p>
    <w:p w14:paraId="0B551388">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事实依据：</w:t>
      </w:r>
    </w:p>
    <w:p w14:paraId="50866CDB">
      <w:pPr>
        <w:spacing w:line="360" w:lineRule="auto"/>
        <w:rPr>
          <w:rFonts w:hint="eastAsia" w:ascii="仿宋" w:hAnsi="仿宋" w:eastAsia="仿宋" w:cs="仿宋"/>
          <w:color w:val="auto"/>
          <w:sz w:val="24"/>
          <w:highlight w:val="none"/>
          <w:u w:val="dotted"/>
        </w:rPr>
      </w:pPr>
    </w:p>
    <w:p w14:paraId="3E659743">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法律依据：</w:t>
      </w:r>
    </w:p>
    <w:p w14:paraId="75DB3B6A">
      <w:pPr>
        <w:spacing w:line="360" w:lineRule="auto"/>
        <w:rPr>
          <w:rFonts w:hint="eastAsia" w:ascii="仿宋" w:hAnsi="仿宋" w:eastAsia="仿宋" w:cs="仿宋"/>
          <w:color w:val="auto"/>
          <w:sz w:val="24"/>
          <w:highlight w:val="none"/>
          <w:u w:val="dotted"/>
        </w:rPr>
      </w:pPr>
    </w:p>
    <w:p w14:paraId="19615580">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投诉事项2</w:t>
      </w:r>
    </w:p>
    <w:p w14:paraId="024C50ED">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w:t>
      </w:r>
    </w:p>
    <w:p w14:paraId="6B21DB42">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五、与投诉事项相关的投诉请求</w:t>
      </w:r>
    </w:p>
    <w:p w14:paraId="21F9E361">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请求：</w:t>
      </w:r>
    </w:p>
    <w:p w14:paraId="22E1D1D5">
      <w:pPr>
        <w:spacing w:line="360" w:lineRule="auto"/>
        <w:rPr>
          <w:rFonts w:hint="eastAsia" w:ascii="仿宋" w:hAnsi="仿宋" w:eastAsia="仿宋" w:cs="仿宋"/>
          <w:color w:val="auto"/>
          <w:sz w:val="24"/>
          <w:highlight w:val="none"/>
          <w:u w:val="single"/>
        </w:rPr>
      </w:pPr>
    </w:p>
    <w:p w14:paraId="0F90CA8E">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签字</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签章</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 xml:space="preserve">：                   公章：                      </w:t>
      </w:r>
    </w:p>
    <w:p w14:paraId="718EDE0E">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w:t>
      </w:r>
    </w:p>
    <w:p w14:paraId="1B1AEE8C">
      <w:pPr>
        <w:spacing w:line="360" w:lineRule="auto"/>
        <w:rPr>
          <w:rFonts w:hint="eastAsia" w:ascii="仿宋" w:hAnsi="仿宋" w:eastAsia="仿宋" w:cs="仿宋"/>
          <w:b/>
          <w:color w:val="auto"/>
          <w:sz w:val="24"/>
          <w:highlight w:val="none"/>
        </w:rPr>
      </w:pPr>
    </w:p>
    <w:p w14:paraId="7836A692">
      <w:pPr>
        <w:spacing w:line="360" w:lineRule="auto"/>
        <w:rPr>
          <w:rFonts w:hint="eastAsia" w:ascii="仿宋" w:hAnsi="仿宋" w:eastAsia="仿宋" w:cs="仿宋"/>
          <w:b/>
          <w:color w:val="auto"/>
          <w:sz w:val="24"/>
          <w:highlight w:val="none"/>
        </w:rPr>
      </w:pPr>
    </w:p>
    <w:p w14:paraId="77ECD930">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投诉书制作说明：</w:t>
      </w:r>
    </w:p>
    <w:p w14:paraId="1A6A6CDF">
      <w:pPr>
        <w:widowControl/>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1.投诉人提起投诉时，应当提交投诉书和必要的证明材料，并按照被投诉人和与投诉事项有关的供应商数量提供投诉书副本。</w:t>
      </w:r>
    </w:p>
    <w:p w14:paraId="011B9204">
      <w:pPr>
        <w:widowControl/>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2.投诉人若委托代理人进行投诉的，投诉书应按照要求列明“授权代表”的有关内容，并在附件中提交由</w:t>
      </w:r>
      <w:r>
        <w:rPr>
          <w:rFonts w:hint="eastAsia" w:ascii="仿宋" w:hAnsi="仿宋" w:eastAsia="仿宋" w:cs="仿宋"/>
          <w:color w:val="auto"/>
          <w:kern w:val="0"/>
          <w:sz w:val="24"/>
          <w:highlight w:val="none"/>
        </w:rPr>
        <w:t>投诉人签署的授权委托书。授权委托书应当载明代理人的姓名或者名称、代理事项、具体权限、期限和相关事项。</w:t>
      </w:r>
    </w:p>
    <w:p w14:paraId="5F9882DD">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3.投诉人若对项目的某一分包进行投诉，投诉书应列明具体分包号。</w:t>
      </w:r>
    </w:p>
    <w:p w14:paraId="6C630A14">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4.投诉书应简要列明质疑事项，质疑函、质疑答复等作为附件材料提供。</w:t>
      </w:r>
    </w:p>
    <w:p w14:paraId="3E5FD6B6">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5.投诉书的投诉事项应具体、明确，并有必要的事实依据和法律依据。</w:t>
      </w:r>
    </w:p>
    <w:p w14:paraId="0A39BF3D">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6.投诉书的投诉请求应与投诉事项相关。</w:t>
      </w:r>
    </w:p>
    <w:p w14:paraId="67DB8ED6">
      <w:pPr>
        <w:widowControl/>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7.投诉人为自然人的，投诉书应当由本人签字；投诉人为法人或者其他组织的，投诉书应当由法定代表人、主要负责人，或者其授权代表签字或者盖章，并加盖公章。</w:t>
      </w:r>
    </w:p>
    <w:p w14:paraId="6E9D5FF8">
      <w:pPr>
        <w:spacing w:line="360" w:lineRule="auto"/>
        <w:rPr>
          <w:rFonts w:hint="eastAsia" w:ascii="仿宋" w:hAnsi="仿宋" w:eastAsia="仿宋" w:cs="仿宋"/>
          <w:b/>
          <w:color w:val="auto"/>
          <w:sz w:val="24"/>
          <w:highlight w:val="none"/>
        </w:rPr>
      </w:pPr>
    </w:p>
    <w:p w14:paraId="34A4F118">
      <w:pPr>
        <w:autoSpaceDE w:val="0"/>
        <w:autoSpaceDN w:val="0"/>
        <w:jc w:val="center"/>
        <w:rPr>
          <w:rFonts w:hint="eastAsia" w:ascii="仿宋" w:hAnsi="仿宋" w:eastAsia="仿宋" w:cs="仿宋"/>
          <w:b/>
          <w:color w:val="auto"/>
          <w:spacing w:val="6"/>
          <w:sz w:val="32"/>
          <w:szCs w:val="32"/>
          <w:highlight w:val="none"/>
        </w:rPr>
      </w:pPr>
    </w:p>
    <w:p w14:paraId="33F47E6A">
      <w:pPr>
        <w:pStyle w:val="83"/>
        <w:rPr>
          <w:rFonts w:hint="eastAsia" w:ascii="仿宋" w:hAnsi="仿宋" w:eastAsia="仿宋" w:cs="仿宋"/>
          <w:color w:val="auto"/>
          <w:highlight w:val="none"/>
        </w:rPr>
      </w:pPr>
    </w:p>
    <w:p w14:paraId="748A3A21">
      <w:pPr>
        <w:pStyle w:val="84"/>
        <w:rPr>
          <w:rFonts w:hint="eastAsia" w:ascii="仿宋" w:hAnsi="仿宋" w:eastAsia="仿宋" w:cs="仿宋"/>
          <w:color w:val="auto"/>
          <w:highlight w:val="none"/>
        </w:rPr>
      </w:pPr>
    </w:p>
    <w:p w14:paraId="57147F2A">
      <w:pPr>
        <w:rPr>
          <w:rFonts w:hint="eastAsia" w:ascii="仿宋" w:hAnsi="仿宋" w:eastAsia="仿宋" w:cs="仿宋"/>
          <w:color w:val="auto"/>
          <w:highlight w:val="none"/>
        </w:rPr>
      </w:pPr>
    </w:p>
    <w:p w14:paraId="71113734">
      <w:pPr>
        <w:pStyle w:val="83"/>
        <w:rPr>
          <w:rFonts w:hint="eastAsia" w:ascii="仿宋" w:hAnsi="仿宋" w:eastAsia="仿宋" w:cs="仿宋"/>
          <w:color w:val="auto"/>
          <w:highlight w:val="none"/>
        </w:rPr>
      </w:pPr>
    </w:p>
    <w:p w14:paraId="06C29865">
      <w:pPr>
        <w:pStyle w:val="84"/>
        <w:rPr>
          <w:rFonts w:hint="eastAsia" w:ascii="仿宋" w:hAnsi="仿宋" w:eastAsia="仿宋" w:cs="仿宋"/>
          <w:color w:val="auto"/>
          <w:highlight w:val="none"/>
        </w:rPr>
      </w:pPr>
    </w:p>
    <w:p w14:paraId="06A12435">
      <w:pPr>
        <w:rPr>
          <w:rFonts w:hint="eastAsia" w:ascii="仿宋" w:hAnsi="仿宋" w:eastAsia="仿宋" w:cs="仿宋"/>
          <w:color w:val="auto"/>
          <w:highlight w:val="none"/>
        </w:rPr>
      </w:pPr>
    </w:p>
    <w:p w14:paraId="3E26F365">
      <w:pPr>
        <w:pStyle w:val="83"/>
        <w:rPr>
          <w:rFonts w:hint="eastAsia" w:ascii="仿宋" w:hAnsi="仿宋" w:eastAsia="仿宋" w:cs="仿宋"/>
          <w:color w:val="auto"/>
          <w:highlight w:val="none"/>
        </w:rPr>
      </w:pPr>
    </w:p>
    <w:p w14:paraId="070F12B8">
      <w:pPr>
        <w:pStyle w:val="84"/>
        <w:rPr>
          <w:rFonts w:hint="eastAsia" w:ascii="仿宋" w:hAnsi="仿宋" w:eastAsia="仿宋" w:cs="仿宋"/>
          <w:color w:val="auto"/>
          <w:highlight w:val="none"/>
        </w:rPr>
      </w:pPr>
    </w:p>
    <w:p w14:paraId="2E434E8A">
      <w:pPr>
        <w:rPr>
          <w:rFonts w:hint="eastAsia" w:ascii="仿宋" w:hAnsi="仿宋" w:eastAsia="仿宋" w:cs="仿宋"/>
          <w:color w:val="auto"/>
          <w:highlight w:val="none"/>
        </w:rPr>
      </w:pPr>
    </w:p>
    <w:p w14:paraId="138FFA85">
      <w:pPr>
        <w:pStyle w:val="83"/>
        <w:rPr>
          <w:rFonts w:hint="eastAsia" w:ascii="仿宋" w:hAnsi="仿宋" w:eastAsia="仿宋" w:cs="仿宋"/>
          <w:color w:val="auto"/>
          <w:highlight w:val="none"/>
        </w:rPr>
      </w:pPr>
    </w:p>
    <w:p w14:paraId="16DEBA67">
      <w:pPr>
        <w:pStyle w:val="84"/>
        <w:rPr>
          <w:rFonts w:hint="eastAsia" w:ascii="仿宋" w:hAnsi="仿宋" w:eastAsia="仿宋" w:cs="仿宋"/>
          <w:color w:val="auto"/>
          <w:highlight w:val="none"/>
        </w:rPr>
      </w:pPr>
    </w:p>
    <w:p w14:paraId="7EAE4E0D">
      <w:pPr>
        <w:rPr>
          <w:rFonts w:hint="eastAsia" w:ascii="仿宋" w:hAnsi="仿宋" w:eastAsia="仿宋" w:cs="仿宋"/>
          <w:color w:val="auto"/>
          <w:highlight w:val="none"/>
        </w:rPr>
      </w:pPr>
    </w:p>
    <w:p w14:paraId="45514A58">
      <w:pPr>
        <w:pStyle w:val="83"/>
        <w:rPr>
          <w:rFonts w:hint="eastAsia" w:ascii="仿宋" w:hAnsi="仿宋" w:eastAsia="仿宋" w:cs="仿宋"/>
          <w:color w:val="auto"/>
          <w:highlight w:val="none"/>
        </w:rPr>
      </w:pPr>
    </w:p>
    <w:p w14:paraId="0DE97DF3">
      <w:pPr>
        <w:pStyle w:val="84"/>
        <w:rPr>
          <w:rFonts w:hint="eastAsia" w:ascii="仿宋" w:hAnsi="仿宋" w:eastAsia="仿宋" w:cs="仿宋"/>
          <w:color w:val="auto"/>
          <w:highlight w:val="none"/>
        </w:rPr>
      </w:pPr>
    </w:p>
    <w:p w14:paraId="24C0C2A1">
      <w:pPr>
        <w:rPr>
          <w:rFonts w:hint="eastAsia" w:ascii="仿宋" w:hAnsi="仿宋" w:eastAsia="仿宋" w:cs="仿宋"/>
          <w:color w:val="auto"/>
          <w:highlight w:val="none"/>
        </w:rPr>
      </w:pPr>
    </w:p>
    <w:p w14:paraId="1698EE8C">
      <w:pPr>
        <w:pStyle w:val="83"/>
        <w:rPr>
          <w:rFonts w:hint="eastAsia" w:ascii="仿宋" w:hAnsi="仿宋" w:eastAsia="仿宋" w:cs="仿宋"/>
          <w:color w:val="auto"/>
          <w:highlight w:val="none"/>
        </w:rPr>
      </w:pPr>
    </w:p>
    <w:p w14:paraId="5795BFA8">
      <w:pPr>
        <w:pStyle w:val="84"/>
        <w:rPr>
          <w:rFonts w:hint="eastAsia" w:ascii="仿宋" w:hAnsi="仿宋" w:eastAsia="仿宋" w:cs="仿宋"/>
          <w:color w:val="auto"/>
          <w:highlight w:val="none"/>
        </w:rPr>
      </w:pPr>
    </w:p>
    <w:p w14:paraId="0B08288F">
      <w:pPr>
        <w:rPr>
          <w:rFonts w:hint="eastAsia" w:ascii="仿宋" w:hAnsi="仿宋" w:eastAsia="仿宋" w:cs="仿宋"/>
          <w:color w:val="auto"/>
          <w:highlight w:val="none"/>
        </w:rPr>
      </w:pPr>
    </w:p>
    <w:p w14:paraId="50866080">
      <w:pPr>
        <w:pStyle w:val="83"/>
        <w:rPr>
          <w:rFonts w:hint="eastAsia" w:ascii="仿宋" w:hAnsi="仿宋" w:eastAsia="仿宋" w:cs="仿宋"/>
          <w:color w:val="auto"/>
          <w:highlight w:val="none"/>
        </w:rPr>
      </w:pPr>
    </w:p>
    <w:p w14:paraId="1E6A367F">
      <w:pPr>
        <w:pStyle w:val="84"/>
        <w:rPr>
          <w:rFonts w:hint="eastAsia" w:ascii="仿宋" w:hAnsi="仿宋" w:eastAsia="仿宋" w:cs="仿宋"/>
          <w:color w:val="auto"/>
          <w:highlight w:val="none"/>
        </w:rPr>
      </w:pPr>
    </w:p>
    <w:p w14:paraId="1ABC0C2F">
      <w:pPr>
        <w:rPr>
          <w:rFonts w:hint="eastAsia" w:ascii="仿宋" w:hAnsi="仿宋" w:eastAsia="仿宋" w:cs="仿宋"/>
          <w:color w:val="auto"/>
          <w:highlight w:val="none"/>
        </w:rPr>
      </w:pPr>
    </w:p>
    <w:p w14:paraId="2742BB58">
      <w:pPr>
        <w:pStyle w:val="83"/>
        <w:rPr>
          <w:rFonts w:hint="eastAsia" w:ascii="仿宋" w:hAnsi="仿宋" w:eastAsia="仿宋" w:cs="仿宋"/>
          <w:color w:val="auto"/>
          <w:highlight w:val="none"/>
        </w:rPr>
      </w:pPr>
    </w:p>
    <w:p w14:paraId="205BF7CB">
      <w:pPr>
        <w:pStyle w:val="84"/>
        <w:rPr>
          <w:rFonts w:hint="eastAsia" w:ascii="仿宋" w:hAnsi="仿宋" w:eastAsia="仿宋" w:cs="仿宋"/>
          <w:color w:val="auto"/>
          <w:highlight w:val="none"/>
        </w:rPr>
      </w:pPr>
    </w:p>
    <w:p w14:paraId="7E1AB6DE">
      <w:pPr>
        <w:rPr>
          <w:rFonts w:hint="eastAsia" w:ascii="仿宋" w:hAnsi="仿宋" w:eastAsia="仿宋" w:cs="仿宋"/>
          <w:color w:val="auto"/>
          <w:highlight w:val="none"/>
        </w:rPr>
      </w:pPr>
    </w:p>
    <w:p w14:paraId="5263D38C">
      <w:pPr>
        <w:pStyle w:val="83"/>
        <w:rPr>
          <w:rFonts w:hint="eastAsia" w:ascii="仿宋" w:hAnsi="仿宋" w:eastAsia="仿宋" w:cs="仿宋"/>
          <w:color w:val="auto"/>
          <w:highlight w:val="none"/>
        </w:rPr>
      </w:pPr>
    </w:p>
    <w:p w14:paraId="0ACF57AC">
      <w:pPr>
        <w:pStyle w:val="84"/>
        <w:rPr>
          <w:rFonts w:hint="eastAsia" w:ascii="仿宋" w:hAnsi="仿宋" w:eastAsia="仿宋" w:cs="仿宋"/>
          <w:color w:val="auto"/>
          <w:highlight w:val="none"/>
        </w:rPr>
      </w:pPr>
    </w:p>
    <w:p w14:paraId="298CDA33">
      <w:pPr>
        <w:rPr>
          <w:rFonts w:hint="eastAsia" w:ascii="仿宋" w:hAnsi="仿宋" w:eastAsia="仿宋" w:cs="仿宋"/>
          <w:color w:val="auto"/>
          <w:highlight w:val="none"/>
        </w:rPr>
      </w:pPr>
    </w:p>
    <w:p w14:paraId="0A1C4C69">
      <w:pPr>
        <w:pStyle w:val="83"/>
        <w:rPr>
          <w:rFonts w:hint="eastAsia" w:ascii="仿宋" w:hAnsi="仿宋" w:eastAsia="仿宋" w:cs="仿宋"/>
          <w:color w:val="auto"/>
          <w:highlight w:val="none"/>
        </w:rPr>
      </w:pPr>
    </w:p>
    <w:p w14:paraId="00582A9E">
      <w:pPr>
        <w:pStyle w:val="84"/>
        <w:rPr>
          <w:rFonts w:hint="eastAsia" w:ascii="仿宋" w:hAnsi="仿宋" w:eastAsia="仿宋" w:cs="仿宋"/>
          <w:color w:val="auto"/>
          <w:highlight w:val="none"/>
        </w:rPr>
      </w:pPr>
    </w:p>
    <w:p w14:paraId="7D75AF51">
      <w:pPr>
        <w:rPr>
          <w:rFonts w:hint="eastAsia" w:ascii="仿宋" w:hAnsi="仿宋" w:eastAsia="仿宋" w:cs="仿宋"/>
          <w:color w:val="auto"/>
          <w:highlight w:val="none"/>
        </w:rPr>
      </w:pPr>
    </w:p>
    <w:p w14:paraId="081B4979">
      <w:pPr>
        <w:pStyle w:val="83"/>
        <w:rPr>
          <w:rFonts w:hint="eastAsia" w:ascii="仿宋" w:hAnsi="仿宋" w:eastAsia="仿宋" w:cs="仿宋"/>
          <w:color w:val="auto"/>
          <w:highlight w:val="none"/>
        </w:rPr>
      </w:pPr>
    </w:p>
    <w:p w14:paraId="7680F65E">
      <w:pPr>
        <w:pStyle w:val="84"/>
        <w:rPr>
          <w:rFonts w:hint="eastAsia" w:ascii="仿宋" w:hAnsi="仿宋" w:eastAsia="仿宋" w:cs="仿宋"/>
          <w:color w:val="auto"/>
          <w:highlight w:val="none"/>
        </w:rPr>
      </w:pPr>
    </w:p>
    <w:p w14:paraId="470B3BBA">
      <w:pPr>
        <w:rPr>
          <w:rFonts w:hint="eastAsia" w:ascii="仿宋" w:hAnsi="仿宋" w:eastAsia="仿宋" w:cs="仿宋"/>
          <w:color w:val="auto"/>
          <w:highlight w:val="none"/>
        </w:rPr>
      </w:pPr>
    </w:p>
    <w:p w14:paraId="0A79660E">
      <w:pPr>
        <w:pStyle w:val="83"/>
        <w:rPr>
          <w:rFonts w:hint="eastAsia" w:ascii="仿宋" w:hAnsi="仿宋" w:eastAsia="仿宋" w:cs="仿宋"/>
          <w:color w:val="auto"/>
          <w:highlight w:val="none"/>
        </w:rPr>
      </w:pPr>
    </w:p>
    <w:p w14:paraId="4DA806C0">
      <w:pPr>
        <w:pStyle w:val="84"/>
        <w:rPr>
          <w:rFonts w:hint="eastAsia" w:ascii="仿宋" w:hAnsi="仿宋" w:eastAsia="仿宋" w:cs="仿宋"/>
          <w:color w:val="auto"/>
          <w:highlight w:val="none"/>
        </w:rPr>
      </w:pPr>
    </w:p>
    <w:p w14:paraId="2F8B5BF8">
      <w:pPr>
        <w:rPr>
          <w:rFonts w:hint="eastAsia" w:ascii="仿宋" w:hAnsi="仿宋" w:eastAsia="仿宋" w:cs="仿宋"/>
          <w:color w:val="auto"/>
          <w:highlight w:val="none"/>
        </w:rPr>
      </w:pPr>
    </w:p>
    <w:p w14:paraId="49EEBD8F">
      <w:pPr>
        <w:pStyle w:val="83"/>
        <w:rPr>
          <w:rFonts w:hint="eastAsia" w:ascii="仿宋" w:hAnsi="仿宋" w:eastAsia="仿宋" w:cs="仿宋"/>
          <w:color w:val="auto"/>
          <w:highlight w:val="none"/>
        </w:rPr>
      </w:pPr>
    </w:p>
    <w:p w14:paraId="70759FEB">
      <w:pPr>
        <w:pStyle w:val="84"/>
        <w:rPr>
          <w:rFonts w:hint="eastAsia" w:ascii="仿宋" w:hAnsi="仿宋" w:eastAsia="仿宋" w:cs="仿宋"/>
          <w:color w:val="auto"/>
          <w:highlight w:val="none"/>
        </w:rPr>
      </w:pPr>
    </w:p>
    <w:p w14:paraId="7AE053A5">
      <w:pPr>
        <w:pStyle w:val="83"/>
        <w:rPr>
          <w:rFonts w:hint="eastAsia" w:ascii="仿宋" w:hAnsi="仿宋" w:eastAsia="仿宋" w:cs="仿宋"/>
          <w:color w:val="auto"/>
          <w:highlight w:val="none"/>
        </w:rPr>
      </w:pPr>
    </w:p>
    <w:p w14:paraId="147EF17A">
      <w:pPr>
        <w:autoSpaceDE w:val="0"/>
        <w:autoSpaceDN w:val="0"/>
        <w:jc w:val="center"/>
        <w:rPr>
          <w:rFonts w:hint="eastAsia" w:ascii="仿宋" w:hAnsi="仿宋" w:eastAsia="仿宋" w:cs="仿宋"/>
          <w:b/>
          <w:bCs/>
          <w:color w:val="auto"/>
          <w:sz w:val="32"/>
          <w:szCs w:val="32"/>
          <w:highlight w:val="none"/>
        </w:rPr>
      </w:pPr>
      <w:r>
        <w:rPr>
          <w:rFonts w:hint="eastAsia" w:ascii="仿宋" w:hAnsi="仿宋" w:eastAsia="仿宋" w:cs="仿宋"/>
          <w:b/>
          <w:color w:val="auto"/>
          <w:spacing w:val="6"/>
          <w:sz w:val="32"/>
          <w:szCs w:val="32"/>
          <w:highlight w:val="none"/>
        </w:rPr>
        <w:t>附件3：</w:t>
      </w:r>
      <w:r>
        <w:rPr>
          <w:rFonts w:hint="eastAsia" w:ascii="仿宋" w:hAnsi="仿宋" w:eastAsia="仿宋" w:cs="仿宋"/>
          <w:b/>
          <w:bCs/>
          <w:color w:val="auto"/>
          <w:sz w:val="32"/>
          <w:szCs w:val="32"/>
          <w:highlight w:val="none"/>
        </w:rPr>
        <w:t>业务专用章使用说明函</w:t>
      </w:r>
    </w:p>
    <w:p w14:paraId="1F94B6E4">
      <w:pPr>
        <w:spacing w:line="360" w:lineRule="auto"/>
        <w:rPr>
          <w:rFonts w:hint="eastAsia" w:ascii="仿宋" w:hAnsi="仿宋" w:eastAsia="仿宋" w:cs="仿宋"/>
          <w:color w:val="auto"/>
          <w:sz w:val="24"/>
          <w:highlight w:val="none"/>
          <w:u w:val="single"/>
        </w:rPr>
      </w:pPr>
    </w:p>
    <w:p w14:paraId="5CCD3FE1">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（采购人）、（采购代理机构）：</w:t>
      </w:r>
    </w:p>
    <w:p w14:paraId="557AF4F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val="zh-CN"/>
        </w:rPr>
        <w:t>我方（</w:t>
      </w:r>
      <w:r>
        <w:rPr>
          <w:rFonts w:hint="eastAsia" w:ascii="仿宋" w:hAnsi="仿宋" w:eastAsia="仿宋" w:cs="仿宋"/>
          <w:color w:val="auto"/>
          <w:sz w:val="24"/>
          <w:highlight w:val="none"/>
        </w:rPr>
        <w:t>投标人全称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是中华人民共和国依法登记注册的合法企业，</w:t>
      </w:r>
      <w:r>
        <w:rPr>
          <w:rFonts w:hint="eastAsia" w:ascii="仿宋" w:hAnsi="仿宋" w:eastAsia="仿宋" w:cs="仿宋"/>
          <w:bCs/>
          <w:color w:val="auto"/>
          <w:sz w:val="24"/>
          <w:highlight w:val="none"/>
        </w:rPr>
        <w:t>在参加</w:t>
      </w:r>
      <w:r>
        <w:rPr>
          <w:rFonts w:hint="eastAsia" w:ascii="仿宋" w:hAnsi="仿宋" w:eastAsia="仿宋" w:cs="仿宋"/>
          <w:color w:val="auto"/>
          <w:sz w:val="24"/>
          <w:highlight w:val="none"/>
        </w:rPr>
        <w:t>你方组织的（项目名称）【招标编号：（采购编号）】</w:t>
      </w:r>
      <w:r>
        <w:rPr>
          <w:rFonts w:hint="eastAsia" w:ascii="仿宋" w:hAnsi="仿宋" w:eastAsia="仿宋" w:cs="仿宋"/>
          <w:bCs/>
          <w:color w:val="auto"/>
          <w:sz w:val="24"/>
          <w:highlight w:val="none"/>
        </w:rPr>
        <w:t>投标活动中作如下说明：</w:t>
      </w:r>
      <w:r>
        <w:rPr>
          <w:rFonts w:hint="eastAsia" w:ascii="仿宋" w:hAnsi="仿宋" w:eastAsia="仿宋" w:cs="仿宋"/>
          <w:color w:val="auto"/>
          <w:sz w:val="24"/>
          <w:highlight w:val="none"/>
        </w:rPr>
        <w:t xml:space="preserve">我方所使用的“XX专用章”与法定名称章具有同等的法律效力，对使用“XX专用章”的行为予以完全承认，并愿意承担相应责任。   </w:t>
      </w:r>
    </w:p>
    <w:p w14:paraId="3AF4B26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特此说明。</w:t>
      </w:r>
    </w:p>
    <w:p w14:paraId="7440BF56">
      <w:pPr>
        <w:spacing w:line="360" w:lineRule="auto"/>
        <w:ind w:firstLine="494"/>
        <w:rPr>
          <w:rFonts w:hint="eastAsia" w:ascii="仿宋" w:hAnsi="仿宋" w:eastAsia="仿宋" w:cs="仿宋"/>
          <w:color w:val="auto"/>
          <w:sz w:val="24"/>
          <w:highlight w:val="none"/>
        </w:rPr>
      </w:pPr>
    </w:p>
    <w:p w14:paraId="0795AC42">
      <w:pPr>
        <w:spacing w:line="360" w:lineRule="auto"/>
        <w:ind w:firstLine="494"/>
        <w:rPr>
          <w:rFonts w:hint="eastAsia" w:ascii="仿宋" w:hAnsi="仿宋" w:eastAsia="仿宋" w:cs="仿宋"/>
          <w:color w:val="auto"/>
          <w:sz w:val="24"/>
          <w:highlight w:val="none"/>
        </w:rPr>
      </w:pPr>
    </w:p>
    <w:p w14:paraId="5078E467">
      <w:pPr>
        <w:spacing w:line="360" w:lineRule="auto"/>
        <w:ind w:firstLine="494"/>
        <w:rPr>
          <w:rFonts w:hint="eastAsia" w:ascii="仿宋" w:hAnsi="仿宋" w:eastAsia="仿宋" w:cs="仿宋"/>
          <w:color w:val="auto"/>
          <w:sz w:val="24"/>
          <w:highlight w:val="none"/>
        </w:rPr>
      </w:pPr>
    </w:p>
    <w:p w14:paraId="7FE9F93D">
      <w:pPr>
        <w:spacing w:line="360" w:lineRule="auto"/>
        <w:ind w:right="480" w:firstLine="4080" w:firstLineChars="170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投标单位（法定名称章）：</w:t>
      </w:r>
    </w:p>
    <w:p w14:paraId="77DE0A1B">
      <w:pPr>
        <w:ind w:right="1440" w:firstLine="494"/>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日期：       年     月     日</w:t>
      </w:r>
    </w:p>
    <w:p w14:paraId="0868EFF8">
      <w:pPr>
        <w:pStyle w:val="83"/>
        <w:rPr>
          <w:rFonts w:hint="eastAsia" w:ascii="仿宋" w:hAnsi="仿宋" w:eastAsia="仿宋" w:cs="仿宋"/>
          <w:color w:val="auto"/>
          <w:highlight w:val="none"/>
        </w:rPr>
      </w:pPr>
    </w:p>
    <w:p w14:paraId="7C92D369">
      <w:pPr>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附：</w:t>
      </w:r>
    </w:p>
    <w:p w14:paraId="1C5017DA">
      <w:pPr>
        <w:spacing w:line="360" w:lineRule="auto"/>
        <w:rPr>
          <w:rFonts w:hint="eastAsia" w:ascii="仿宋" w:hAnsi="仿宋" w:eastAsia="仿宋" w:cs="仿宋"/>
          <w:bCs/>
          <w:color w:val="auto"/>
          <w:sz w:val="24"/>
          <w:highlight w:val="none"/>
        </w:rPr>
      </w:pPr>
      <w:r>
        <w:rPr>
          <w:rFonts w:hint="eastAsia" w:ascii="仿宋" w:hAnsi="仿宋" w:eastAsia="仿宋" w:cs="仿宋"/>
          <w:b/>
          <w:bCs/>
          <w:color w:val="auto"/>
          <w:sz w:val="24"/>
          <w:highlight w:val="none"/>
        </w:rPr>
        <mc:AlternateContent>
          <mc:Choice Requires="wps">
            <w:drawing>
              <wp:anchor distT="0" distB="0" distL="114300" distR="114300" simplePos="0" relativeHeight="251660288" behindDoc="1" locked="0" layoutInCell="1" allowOverlap="1">
                <wp:simplePos x="0" y="0"/>
                <wp:positionH relativeFrom="column">
                  <wp:posOffset>3034030</wp:posOffset>
                </wp:positionH>
                <wp:positionV relativeFrom="paragraph">
                  <wp:posOffset>356235</wp:posOffset>
                </wp:positionV>
                <wp:extent cx="2704465" cy="2253615"/>
                <wp:effectExtent l="5080" t="4445" r="18415" b="12700"/>
                <wp:wrapNone/>
                <wp:docPr id="1026" name="Rectangle 17"/>
                <wp:cNvGraphicFramePr/>
                <a:graphic xmlns:a="http://schemas.openxmlformats.org/drawingml/2006/main">
                  <a:graphicData uri="http://schemas.microsoft.com/office/word/2010/wordprocessingShape">
                    <wps:wsp>
                      <wps:cNvSpPr/>
                      <wps:spPr>
                        <a:xfrm>
                          <a:off x="0" y="0"/>
                          <a:ext cx="2704465" cy="2253615"/>
                        </a:xfrm>
                        <a:prstGeom prst="rect">
                          <a:avLst/>
                        </a:prstGeom>
                        <a:solidFill>
                          <a:srgbClr val="FFFFFF"/>
                        </a:solidFill>
                        <a:ln w="9525" cap="flat" cmpd="sng">
                          <a:solidFill>
                            <a:srgbClr val="000000"/>
                          </a:solidFill>
                          <a:prstDash val="solid"/>
                          <a:miter/>
                          <a:headEnd type="none" w="med" len="med"/>
                          <a:tailEnd type="none" w="med" len="med"/>
                        </a:ln>
                      </wps:spPr>
                      <wps:bodyPr/>
                    </wps:wsp>
                  </a:graphicData>
                </a:graphic>
              </wp:anchor>
            </w:drawing>
          </mc:Choice>
          <mc:Fallback>
            <w:pict>
              <v:rect id="Rectangle 17" o:spid="_x0000_s1026" o:spt="1" style="position:absolute;left:0pt;margin-left:238.9pt;margin-top:28.05pt;height:177.45pt;width:212.95pt;z-index:-251656192;mso-width-relative:page;mso-height-relative:page;" fillcolor="#FFFFFF" filled="t" stroked="t" coordsize="21600,21600" o:gfxdata="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x&#10;z/jB2AAAAAoBAAAPAAAAAAAAAAEAIAAAACIAAABkcnMvZG93bnJldi54bWxQSwECFAAUAAAACACH&#10;TuJADfIsy+sBAAAaBAAADgAAAAAAAAABACAAAAAnAQAAZHJzL2Uyb0RvYy54bWxQSwUGAAAAAAYA&#10;BgBZAQAAhAUAAAAA&#10;">
                <v:fill on="t" focussize="0,0"/>
                <v:stroke color="#000000" joinstyle="miter"/>
                <v:imagedata o:title=""/>
                <o:lock v:ext="edit" aspectratio="f"/>
              </v:rect>
            </w:pict>
          </mc:Fallback>
        </mc:AlternateContent>
      </w:r>
      <w:r>
        <w:rPr>
          <w:rFonts w:hint="eastAsia" w:ascii="仿宋" w:hAnsi="仿宋" w:eastAsia="仿宋" w:cs="仿宋"/>
          <w:b/>
          <w:bCs/>
          <w:color w:val="auto"/>
          <w:sz w:val="24"/>
          <w:highlight w:val="none"/>
        </w:rPr>
        <mc:AlternateContent>
          <mc:Choice Requires="wps">
            <w:drawing>
              <wp:anchor distT="0" distB="0" distL="114300" distR="114300" simplePos="0" relativeHeight="251661312" behindDoc="1" locked="0" layoutInCell="1" allowOverlap="1">
                <wp:simplePos x="0" y="0"/>
                <wp:positionH relativeFrom="column">
                  <wp:posOffset>-91440</wp:posOffset>
                </wp:positionH>
                <wp:positionV relativeFrom="paragraph">
                  <wp:posOffset>384810</wp:posOffset>
                </wp:positionV>
                <wp:extent cx="2647950" cy="2253615"/>
                <wp:effectExtent l="5080" t="4445" r="13970" b="12700"/>
                <wp:wrapNone/>
                <wp:docPr id="1027" name="Rectangle 16"/>
                <wp:cNvGraphicFramePr/>
                <a:graphic xmlns:a="http://schemas.openxmlformats.org/drawingml/2006/main">
                  <a:graphicData uri="http://schemas.microsoft.com/office/word/2010/wordprocessingShape">
                    <wps:wsp>
                      <wps:cNvSpPr/>
                      <wps:spPr>
                        <a:xfrm>
                          <a:off x="0" y="0"/>
                          <a:ext cx="2647950" cy="2253615"/>
                        </a:xfrm>
                        <a:prstGeom prst="rect">
                          <a:avLst/>
                        </a:prstGeom>
                        <a:solidFill>
                          <a:srgbClr val="FFFFFF"/>
                        </a:solidFill>
                        <a:ln w="9525" cap="flat" cmpd="sng">
                          <a:solidFill>
                            <a:srgbClr val="000000"/>
                          </a:solidFill>
                          <a:prstDash val="solid"/>
                          <a:miter/>
                          <a:headEnd type="none" w="med" len="med"/>
                          <a:tailEnd type="none" w="med" len="med"/>
                        </a:ln>
                      </wps:spPr>
                      <wps:bodyPr/>
                    </wps:wsp>
                  </a:graphicData>
                </a:graphic>
              </wp:anchor>
            </w:drawing>
          </mc:Choice>
          <mc:Fallback>
            <w:pict>
              <v:rect id="Rectangle 16" o:spid="_x0000_s1026" o:spt="1" style="position:absolute;left:0pt;margin-left:-7.2pt;margin-top:30.3pt;height:177.45pt;width:208.5pt;z-index:-251655168;mso-width-relative:page;mso-height-relative:page;" fillcolor="#FFFFFF" filled="t" stroked="t" coordsize="21600,21600" o:gfxdata="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ndOwWNgAAAAKAQAADwAAAAAAAAABACAAAAAiAAAAZHJzL2Rvd25yZXYueG1sUEsBAhQAFAAAAAgA&#10;h07iQJjnx4nsAQAAGgQAAA4AAAAAAAAAAQAgAAAAJwEAAGRycy9lMm9Eb2MueG1sUEsFBgAAAAAG&#10;AAYAWQEAAIUFAAAAAA==&#10;">
                <v:fill on="t" focussize="0,0"/>
                <v:stroke color="#000000" joinstyle="miter"/>
                <v:imagedata o:title=""/>
                <o:lock v:ext="edit" aspectratio="f"/>
              </v:rect>
            </w:pict>
          </mc:Fallback>
        </mc:AlternateContent>
      </w:r>
      <w:r>
        <w:rPr>
          <w:rFonts w:hint="eastAsia" w:ascii="仿宋" w:hAnsi="仿宋" w:eastAsia="仿宋" w:cs="仿宋"/>
          <w:color w:val="auto"/>
          <w:sz w:val="24"/>
          <w:highlight w:val="none"/>
        </w:rPr>
        <w:t>投标单位法定名称章（印模）投标单位“XX专用章”（印模）</w:t>
      </w:r>
    </w:p>
    <w:p w14:paraId="1A99CD67">
      <w:pPr>
        <w:autoSpaceDE w:val="0"/>
        <w:autoSpaceDN w:val="0"/>
        <w:jc w:val="center"/>
        <w:rPr>
          <w:rFonts w:hint="eastAsia" w:ascii="仿宋" w:hAnsi="仿宋" w:eastAsia="仿宋" w:cs="仿宋"/>
          <w:b/>
          <w:color w:val="auto"/>
          <w:spacing w:val="6"/>
          <w:sz w:val="32"/>
          <w:szCs w:val="32"/>
          <w:highlight w:val="none"/>
        </w:rPr>
      </w:pPr>
    </w:p>
    <w:p w14:paraId="2415243F">
      <w:pPr>
        <w:autoSpaceDE w:val="0"/>
        <w:autoSpaceDN w:val="0"/>
        <w:jc w:val="center"/>
        <w:rPr>
          <w:rFonts w:hint="eastAsia" w:ascii="仿宋" w:hAnsi="仿宋" w:eastAsia="仿宋" w:cs="仿宋"/>
          <w:b/>
          <w:color w:val="auto"/>
          <w:spacing w:val="6"/>
          <w:sz w:val="32"/>
          <w:szCs w:val="32"/>
          <w:highlight w:val="none"/>
        </w:rPr>
      </w:pPr>
    </w:p>
    <w:p w14:paraId="39E7FF47">
      <w:pPr>
        <w:autoSpaceDE w:val="0"/>
        <w:autoSpaceDN w:val="0"/>
        <w:jc w:val="center"/>
        <w:rPr>
          <w:rFonts w:hint="eastAsia" w:ascii="仿宋" w:hAnsi="仿宋" w:eastAsia="仿宋" w:cs="仿宋"/>
          <w:b/>
          <w:color w:val="auto"/>
          <w:spacing w:val="6"/>
          <w:sz w:val="32"/>
          <w:szCs w:val="32"/>
          <w:highlight w:val="none"/>
        </w:rPr>
      </w:pPr>
    </w:p>
    <w:p w14:paraId="2EC5DDCD">
      <w:pPr>
        <w:autoSpaceDE w:val="0"/>
        <w:autoSpaceDN w:val="0"/>
        <w:jc w:val="center"/>
        <w:rPr>
          <w:rFonts w:hint="eastAsia" w:ascii="仿宋" w:hAnsi="仿宋" w:eastAsia="仿宋" w:cs="仿宋"/>
          <w:b/>
          <w:color w:val="auto"/>
          <w:spacing w:val="6"/>
          <w:sz w:val="32"/>
          <w:szCs w:val="32"/>
          <w:highlight w:val="none"/>
        </w:rPr>
      </w:pPr>
    </w:p>
    <w:p w14:paraId="1935A2B5">
      <w:pPr>
        <w:autoSpaceDE w:val="0"/>
        <w:autoSpaceDN w:val="0"/>
        <w:jc w:val="center"/>
        <w:rPr>
          <w:rFonts w:hint="eastAsia" w:ascii="仿宋" w:hAnsi="仿宋" w:eastAsia="仿宋" w:cs="仿宋"/>
          <w:b/>
          <w:color w:val="auto"/>
          <w:spacing w:val="6"/>
          <w:sz w:val="32"/>
          <w:szCs w:val="32"/>
          <w:highlight w:val="none"/>
        </w:rPr>
      </w:pPr>
    </w:p>
    <w:p w14:paraId="015A1574">
      <w:pPr>
        <w:autoSpaceDE w:val="0"/>
        <w:autoSpaceDN w:val="0"/>
        <w:jc w:val="center"/>
        <w:rPr>
          <w:rFonts w:hint="eastAsia" w:ascii="仿宋" w:hAnsi="仿宋" w:eastAsia="仿宋" w:cs="仿宋"/>
          <w:b/>
          <w:color w:val="auto"/>
          <w:spacing w:val="6"/>
          <w:sz w:val="32"/>
          <w:szCs w:val="32"/>
          <w:highlight w:val="none"/>
        </w:rPr>
      </w:pPr>
    </w:p>
    <w:p w14:paraId="200FFDDB">
      <w:pPr>
        <w:autoSpaceDE w:val="0"/>
        <w:autoSpaceDN w:val="0"/>
        <w:jc w:val="center"/>
        <w:rPr>
          <w:rFonts w:hint="eastAsia" w:ascii="仿宋" w:hAnsi="仿宋" w:eastAsia="仿宋" w:cs="仿宋"/>
          <w:b/>
          <w:color w:val="auto"/>
          <w:spacing w:val="6"/>
          <w:sz w:val="32"/>
          <w:szCs w:val="32"/>
          <w:highlight w:val="none"/>
        </w:rPr>
      </w:pPr>
    </w:p>
    <w:p w14:paraId="19EA1C14">
      <w:pPr>
        <w:autoSpaceDE w:val="0"/>
        <w:autoSpaceDN w:val="0"/>
        <w:jc w:val="center"/>
        <w:rPr>
          <w:rFonts w:hint="eastAsia" w:ascii="仿宋" w:hAnsi="仿宋" w:eastAsia="仿宋" w:cs="仿宋"/>
          <w:b/>
          <w:color w:val="auto"/>
          <w:spacing w:val="6"/>
          <w:sz w:val="32"/>
          <w:szCs w:val="32"/>
          <w:highlight w:val="none"/>
        </w:rPr>
      </w:pPr>
    </w:p>
    <w:p w14:paraId="54E6C073">
      <w:pPr>
        <w:autoSpaceDE w:val="0"/>
        <w:autoSpaceDN w:val="0"/>
        <w:jc w:val="center"/>
        <w:rPr>
          <w:rFonts w:hint="eastAsia" w:ascii="仿宋" w:hAnsi="仿宋" w:eastAsia="仿宋" w:cs="仿宋"/>
          <w:b/>
          <w:color w:val="auto"/>
          <w:spacing w:val="6"/>
          <w:sz w:val="32"/>
          <w:szCs w:val="32"/>
          <w:highlight w:val="none"/>
        </w:rPr>
      </w:pPr>
    </w:p>
    <w:p w14:paraId="1C72D40E">
      <w:pPr>
        <w:autoSpaceDE w:val="0"/>
        <w:autoSpaceDN w:val="0"/>
        <w:jc w:val="center"/>
        <w:rPr>
          <w:rFonts w:hint="eastAsia" w:ascii="仿宋" w:hAnsi="仿宋" w:eastAsia="仿宋" w:cs="仿宋"/>
          <w:b/>
          <w:color w:val="auto"/>
          <w:spacing w:val="6"/>
          <w:sz w:val="32"/>
          <w:szCs w:val="32"/>
          <w:highlight w:val="none"/>
        </w:rPr>
      </w:pPr>
    </w:p>
    <w:p w14:paraId="4B96A5B8">
      <w:pPr>
        <w:autoSpaceDE w:val="0"/>
        <w:autoSpaceDN w:val="0"/>
        <w:jc w:val="center"/>
        <w:rPr>
          <w:rFonts w:hint="eastAsia" w:ascii="仿宋" w:hAnsi="仿宋" w:eastAsia="仿宋" w:cs="仿宋"/>
          <w:b/>
          <w:color w:val="auto"/>
          <w:spacing w:val="6"/>
          <w:sz w:val="32"/>
          <w:szCs w:val="32"/>
          <w:highlight w:val="none"/>
        </w:rPr>
      </w:pPr>
    </w:p>
    <w:p w14:paraId="154F2554">
      <w:pPr>
        <w:autoSpaceDE w:val="0"/>
        <w:autoSpaceDN w:val="0"/>
        <w:jc w:val="center"/>
        <w:rPr>
          <w:rFonts w:hint="eastAsia" w:ascii="仿宋" w:hAnsi="仿宋" w:eastAsia="仿宋" w:cs="仿宋"/>
          <w:b/>
          <w:color w:val="auto"/>
          <w:spacing w:val="6"/>
          <w:sz w:val="32"/>
          <w:szCs w:val="32"/>
          <w:highlight w:val="none"/>
        </w:rPr>
      </w:pPr>
    </w:p>
    <w:p w14:paraId="3B057667">
      <w:pPr>
        <w:autoSpaceDE w:val="0"/>
        <w:autoSpaceDN w:val="0"/>
        <w:jc w:val="center"/>
        <w:rPr>
          <w:rFonts w:hint="eastAsia" w:ascii="仿宋" w:hAnsi="仿宋" w:eastAsia="仿宋" w:cs="仿宋"/>
          <w:b/>
          <w:color w:val="auto"/>
          <w:spacing w:val="6"/>
          <w:sz w:val="32"/>
          <w:szCs w:val="32"/>
          <w:highlight w:val="none"/>
        </w:rPr>
      </w:pPr>
    </w:p>
    <w:p w14:paraId="34D6C905">
      <w:pPr>
        <w:spacing w:line="360" w:lineRule="auto"/>
        <w:rPr>
          <w:rFonts w:hint="eastAsia" w:ascii="仿宋" w:hAnsi="仿宋" w:eastAsia="仿宋" w:cs="仿宋"/>
          <w:bCs/>
          <w:color w:val="auto"/>
          <w:sz w:val="24"/>
          <w:highlight w:val="none"/>
        </w:rPr>
      </w:pPr>
    </w:p>
    <w:p w14:paraId="075255CD">
      <w:pPr>
        <w:spacing w:line="360" w:lineRule="auto"/>
        <w:rPr>
          <w:rFonts w:hint="eastAsia" w:ascii="仿宋" w:hAnsi="仿宋" w:eastAsia="仿宋" w:cs="仿宋"/>
          <w:bCs/>
          <w:color w:val="auto"/>
          <w:sz w:val="24"/>
          <w:highlight w:val="none"/>
        </w:rPr>
      </w:pPr>
    </w:p>
    <w:sectPr>
      <w:headerReference r:id="rId19" w:type="first"/>
      <w:footerReference r:id="rId22" w:type="first"/>
      <w:headerReference r:id="rId18" w:type="default"/>
      <w:footerReference r:id="rId20" w:type="default"/>
      <w:footerReference r:id="rId21" w:type="even"/>
      <w:pgSz w:w="11906" w:h="16838"/>
      <w:pgMar w:top="1814" w:right="1474" w:bottom="1814" w:left="1474" w:header="851" w:footer="992"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Futura Bk">
    <w:altName w:val="Arial"/>
    <w:panose1 w:val="00000000000000000000"/>
    <w:charset w:val="00"/>
    <w:family w:val="swiss"/>
    <w:pitch w:val="default"/>
    <w:sig w:usb0="00000000" w:usb1="00000000" w:usb2="00000000" w:usb3="00000000" w:csb0="00000011" w:csb1="0000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Arial"/>
    <w:panose1 w:val="020B0500000000000000"/>
    <w:charset w:val="00"/>
    <w:family w:val="swiss"/>
    <w:pitch w:val="default"/>
    <w:sig w:usb0="00000000" w:usb1="00000000" w:usb2="00000000" w:usb3="00000000" w:csb0="00000001" w:csb1="0000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Helvetica">
    <w:altName w:val="Arial"/>
    <w:panose1 w:val="020B0504020202020204"/>
    <w:charset w:val="00"/>
    <w:family w:val="swiss"/>
    <w:pitch w:val="default"/>
    <w:sig w:usb0="00000000" w:usb1="00000000" w:usb2="00000000" w:usb3="00000000" w:csb0="0000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Arial"/>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1"/>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83" w:usb1="288F0000" w:usb2="00000006" w:usb3="00000000" w:csb0="00040001" w:csb1="00000000"/>
  </w:font>
  <w:font w:name="Century Gothic">
    <w:altName w:val="Segoe Print"/>
    <w:panose1 w:val="020B0502020202020204"/>
    <w:charset w:val="00"/>
    <w:family w:val="swiss"/>
    <w:pitch w:val="default"/>
    <w:sig w:usb0="00000000" w:usb1="00000000" w:usb2="00000000" w:usb3="00000000" w:csb0="2000009F" w:csb1="DFD70000"/>
  </w:font>
  <w:font w:name="Aldine401 BT">
    <w:altName w:val="Arial"/>
    <w:panose1 w:val="00000000000000000000"/>
    <w:charset w:val="00"/>
    <w:family w:val="roman"/>
    <w:pitch w:val="default"/>
    <w:sig w:usb0="00000000" w:usb1="00000000" w:usb2="00000000" w:usb3="00000000" w:csb0="00000011" w:csb1="00000000"/>
  </w:font>
  <w:font w:name=".PingFang SC">
    <w:altName w:val="微软雅黑"/>
    <w:panose1 w:val="00000000000000000000"/>
    <w:charset w:val="00"/>
    <w:family w:val="modern"/>
    <w:pitch w:val="default"/>
    <w:sig w:usb0="00000000" w:usb1="00000000" w:usb2="00000000"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644F5">
    <w:pPr>
      <w:pStyle w:val="41"/>
      <w:framePr w:wrap="around" w:vAnchor="text" w:hAnchor="margin" w:xAlign="right" w:y="1"/>
      <w:rPr>
        <w:rStyle w:val="75"/>
      </w:rPr>
    </w:pPr>
    <w:r>
      <w:fldChar w:fldCharType="begin"/>
    </w:r>
    <w:r>
      <w:rPr>
        <w:rStyle w:val="75"/>
      </w:rPr>
      <w:instrText xml:space="preserve">PAGE  </w:instrText>
    </w:r>
    <w:r>
      <w:fldChar w:fldCharType="end"/>
    </w:r>
  </w:p>
  <w:p w14:paraId="04FE5296">
    <w:pPr>
      <w:pStyle w:val="41"/>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2A599">
    <w:pPr>
      <w:pStyle w:val="41"/>
      <w:framePr w:wrap="around" w:vAnchor="text" w:hAnchor="margin" w:xAlign="right" w:y="1"/>
      <w:rPr>
        <w:rStyle w:val="75"/>
      </w:rPr>
    </w:pPr>
    <w:r>
      <w:fldChar w:fldCharType="begin"/>
    </w:r>
    <w:r>
      <w:rPr>
        <w:rStyle w:val="75"/>
      </w:rPr>
      <w:instrText xml:space="preserve">PAGE  </w:instrText>
    </w:r>
    <w:r>
      <w:fldChar w:fldCharType="end"/>
    </w:r>
  </w:p>
  <w:p w14:paraId="11B60011">
    <w:pPr>
      <w:pStyle w:val="41"/>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E6CFE">
    <w:pPr>
      <w:pStyle w:val="41"/>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536C6C">
                          <w:pPr>
                            <w:pStyle w:val="41"/>
                          </w:pPr>
                          <w:r>
                            <w:t xml:space="preserve">第 </w:t>
                          </w:r>
                          <w:r>
                            <w:fldChar w:fldCharType="begin"/>
                          </w:r>
                          <w:r>
                            <w:instrText xml:space="preserve"> PAGE  \* MERGEFORMAT </w:instrText>
                          </w:r>
                          <w:r>
                            <w:fldChar w:fldCharType="separate"/>
                          </w:r>
                          <w:r>
                            <w:t>75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2536C6C">
                    <w:pPr>
                      <w:pStyle w:val="41"/>
                    </w:pPr>
                    <w:r>
                      <w:t xml:space="preserve">第 </w:t>
                    </w:r>
                    <w:r>
                      <w:fldChar w:fldCharType="begin"/>
                    </w:r>
                    <w:r>
                      <w:instrText xml:space="preserve"> PAGE  \* MERGEFORMAT </w:instrText>
                    </w:r>
                    <w:r>
                      <w:fldChar w:fldCharType="separate"/>
                    </w:r>
                    <w:r>
                      <w:t>75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B59C8">
    <w:pPr>
      <w:pStyle w:val="41"/>
      <w:rPr>
        <w:rFonts w:ascii="仿宋_GB2312" w:eastAsia="仿宋_GB23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9AED0">
    <w:pPr>
      <w:pStyle w:val="41"/>
      <w:framePr w:wrap="around" w:vAnchor="text" w:hAnchor="margin" w:xAlign="right" w:y="1"/>
      <w:rPr>
        <w:rStyle w:val="75"/>
      </w:rPr>
    </w:pPr>
    <w:r>
      <w:fldChar w:fldCharType="begin"/>
    </w:r>
    <w:r>
      <w:rPr>
        <w:rStyle w:val="75"/>
      </w:rPr>
      <w:instrText xml:space="preserve">PAGE  </w:instrText>
    </w:r>
    <w:r>
      <w:fldChar w:fldCharType="end"/>
    </w:r>
  </w:p>
  <w:p w14:paraId="124830D9">
    <w:pPr>
      <w:pStyle w:val="41"/>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14F90">
    <w:pPr>
      <w:pStyle w:val="41"/>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93FB2">
    <w:pPr>
      <w:pStyle w:val="41"/>
      <w:jc w:val="center"/>
      <w:rPr>
        <w:rFonts w:ascii="仿宋_GB2312" w:eastAsia="仿宋_GB2312"/>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CB38AC">
                          <w:pPr>
                            <w:pStyle w:val="41"/>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FCB38AC">
                    <w:pPr>
                      <w:pStyle w:val="41"/>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542B4">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4EB8C">
    <w:pPr>
      <w:rPr>
        <w:rFonts w:ascii="仿宋_GB2312" w:eastAsia="仿宋_GB2312"/>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9CF5B9">
                          <w:pPr>
                            <w:pStyle w:val="41"/>
                          </w:pPr>
                          <w:r>
                            <w:t xml:space="preserve">第 </w:t>
                          </w:r>
                          <w:r>
                            <w:fldChar w:fldCharType="begin"/>
                          </w:r>
                          <w:r>
                            <w:instrText xml:space="preserve"> PAGE  \* MERGEFORMAT </w:instrText>
                          </w:r>
                          <w:r>
                            <w:fldChar w:fldCharType="separate"/>
                          </w:r>
                          <w:r>
                            <w:t>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99CF5B9">
                    <w:pPr>
                      <w:pStyle w:val="41"/>
                    </w:pPr>
                    <w:r>
                      <w:t xml:space="preserve">第 </w:t>
                    </w:r>
                    <w:r>
                      <w:fldChar w:fldCharType="begin"/>
                    </w:r>
                    <w:r>
                      <w:instrText xml:space="preserve"> PAGE  \* MERGEFORMAT </w:instrText>
                    </w:r>
                    <w:r>
                      <w:fldChar w:fldCharType="separate"/>
                    </w:r>
                    <w:r>
                      <w:t>48</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1A1BB">
    <w:pPr>
      <w:rPr>
        <w:rFonts w:ascii="仿宋_GB2312" w:eastAsia="仿宋_GB2312"/>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EA7524">
                          <w:pPr>
                            <w:pStyle w:val="41"/>
                          </w:pPr>
                          <w:r>
                            <w:t xml:space="preserve">第 </w:t>
                          </w:r>
                          <w:r>
                            <w:fldChar w:fldCharType="begin"/>
                          </w:r>
                          <w:r>
                            <w:instrText xml:space="preserve"> PAGE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EEA7524">
                    <w:pPr>
                      <w:pStyle w:val="41"/>
                    </w:pPr>
                    <w:r>
                      <w:t xml:space="preserve">第 </w:t>
                    </w:r>
                    <w:r>
                      <w:fldChar w:fldCharType="begin"/>
                    </w:r>
                    <w:r>
                      <w:instrText xml:space="preserve"> PAGE  \* MERGEFORMAT </w:instrText>
                    </w:r>
                    <w:r>
                      <w:fldChar w:fldCharType="separate"/>
                    </w:r>
                    <w:r>
                      <w:t>47</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AD58F">
    <w:pPr>
      <w:pStyle w:val="41"/>
      <w:jc w:val="center"/>
      <w:rPr>
        <w:rFonts w:ascii="仿宋_GB2312" w:eastAsia="仿宋_GB2312"/>
        <w:szCs w:val="24"/>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A6693E">
                          <w:pPr>
                            <w:pStyle w:val="41"/>
                          </w:pPr>
                          <w:r>
                            <w:t xml:space="preserve">第 </w:t>
                          </w:r>
                          <w:r>
                            <w:fldChar w:fldCharType="begin"/>
                          </w:r>
                          <w:r>
                            <w:instrText xml:space="preserve"> PAGE  \* MERGEFORMAT </w:instrText>
                          </w:r>
                          <w:r>
                            <w:fldChar w:fldCharType="separate"/>
                          </w:r>
                          <w:r>
                            <w:t>76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4A6693E">
                    <w:pPr>
                      <w:pStyle w:val="41"/>
                    </w:pPr>
                    <w:r>
                      <w:t xml:space="preserve">第 </w:t>
                    </w:r>
                    <w:r>
                      <w:fldChar w:fldCharType="begin"/>
                    </w:r>
                    <w:r>
                      <w:instrText xml:space="preserve"> PAGE  \* MERGEFORMAT </w:instrText>
                    </w:r>
                    <w:r>
                      <w:fldChar w:fldCharType="separate"/>
                    </w:r>
                    <w:r>
                      <w:t>76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03DF8">
    <w:pPr>
      <w:pStyle w:val="61"/>
      <w:tabs>
        <w:tab w:val="center" w:pos="4535"/>
        <w:tab w:val="right" w:pos="9070"/>
      </w:tabs>
      <w:ind w:firstLine="180" w:firstLineChars="100"/>
      <w:jc w:val="both"/>
      <w:rPr>
        <w:rFonts w:ascii="仿宋_GB2312" w:eastAsia="仿宋_GB2312"/>
        <w:b w:val="0"/>
        <w:i/>
        <w:sz w:val="18"/>
        <w:u w:val="single"/>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57265">
    <w:pPr>
      <w:pStyle w:val="43"/>
      <w:pBdr>
        <w:bottom w:val="none" w:color="auto" w:sz="0" w:space="0"/>
      </w:pBdr>
      <w:tabs>
        <w:tab w:val="clear" w:pos="4153"/>
        <w:tab w:val="clear" w:pos="8306"/>
      </w:tabs>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20D40">
    <w:pPr>
      <w:pStyle w:val="43"/>
      <w:ind w:firstLine="360" w:firstLineChars="200"/>
      <w:jc w:val="left"/>
      <w:rPr>
        <w:rFonts w:ascii="仿宋_GB2312" w:eastAsia="仿宋_GB2312"/>
        <w:i/>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54C30">
    <w:pPr>
      <w:pStyle w:val="43"/>
      <w:pBdr>
        <w:bottom w:val="none" w:color="auto" w:sz="0" w:space="0"/>
      </w:pBdr>
      <w:tabs>
        <w:tab w:val="clear" w:pos="4153"/>
        <w:tab w:val="clear" w:pos="8306"/>
      </w:tabs>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CC572">
    <w:pPr>
      <w:pStyle w:val="43"/>
      <w:ind w:firstLine="360" w:firstLineChars="200"/>
      <w:jc w:val="left"/>
      <w:rPr>
        <w:rFonts w:ascii="仿宋_GB2312" w:eastAsia="仿宋_GB2312"/>
        <w:i/>
        <w:u w:val="singl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623CC">
    <w:pPr>
      <w:rPr>
        <w:rFonts w:ascii="仿宋_GB2312" w:eastAsia="仿宋_GB2312"/>
        <w:b/>
        <w:i/>
        <w:sz w:val="18"/>
        <w:u w:val="single"/>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21AB6">
    <w:pPr>
      <w:pStyle w:val="43"/>
      <w:pBdr>
        <w:bottom w:val="none" w:color="auto" w:sz="0" w:space="1"/>
      </w:pBdr>
      <w:jc w:val="both"/>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D12CE">
    <w:pPr>
      <w:pStyle w:val="43"/>
      <w:ind w:firstLine="361" w:firstLineChars="200"/>
      <w:jc w:val="left"/>
      <w:rPr>
        <w:rFonts w:ascii="仿宋_GB2312" w:eastAsia="仿宋_GB2312"/>
        <w:b/>
        <w:i/>
        <w:iCs/>
        <w:u w:val="single"/>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D58E2">
    <w:pPr>
      <w:pStyle w:val="43"/>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2BBE43"/>
    <w:multiLevelType w:val="singleLevel"/>
    <w:tmpl w:val="872BBE43"/>
    <w:lvl w:ilvl="0" w:tentative="0">
      <w:start w:val="1"/>
      <w:numFmt w:val="decimal"/>
      <w:suff w:val="nothing"/>
      <w:lvlText w:val="%1、"/>
      <w:lvlJc w:val="left"/>
    </w:lvl>
  </w:abstractNum>
  <w:abstractNum w:abstractNumId="1">
    <w:nsid w:val="00000005"/>
    <w:multiLevelType w:val="multilevel"/>
    <w:tmpl w:val="00000005"/>
    <w:lvl w:ilvl="0" w:tentative="0">
      <w:start w:val="3"/>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696F1A03"/>
    <w:multiLevelType w:val="singleLevel"/>
    <w:tmpl w:val="696F1A03"/>
    <w:lvl w:ilvl="0" w:tentative="0">
      <w:start w:val="1"/>
      <w:numFmt w:val="decimal"/>
      <w:suff w:val="nothing"/>
      <w:lvlText w:val="（%1）"/>
      <w:lvlJc w:val="left"/>
    </w:lvl>
  </w:abstractNum>
  <w:num w:numId="1">
    <w:abstractNumId w:val="0"/>
  </w:num>
  <w:num w:numId="2">
    <w:abstractNumId w:val="1"/>
    <w:lvlOverride w:ilvl="0">
      <w:startOverride w:val="3"/>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mNzZkZTBiNjhjMDQzYWRiNjBiMzMzMjE3ZmZjYzMifQ=="/>
    <w:docVar w:name="KSO_WPS_MARK_KEY" w:val="9d17a122-228d-40d0-9bbe-959a31fa9c6c"/>
  </w:docVars>
  <w:rsids>
    <w:rsidRoot w:val="00A91C81"/>
    <w:rsid w:val="0000631B"/>
    <w:rsid w:val="0001199A"/>
    <w:rsid w:val="00020092"/>
    <w:rsid w:val="00020B3B"/>
    <w:rsid w:val="000233D4"/>
    <w:rsid w:val="00064749"/>
    <w:rsid w:val="00070649"/>
    <w:rsid w:val="000827EC"/>
    <w:rsid w:val="00097A38"/>
    <w:rsid w:val="000A0F42"/>
    <w:rsid w:val="000A640B"/>
    <w:rsid w:val="000B417D"/>
    <w:rsid w:val="000B50A3"/>
    <w:rsid w:val="000C2561"/>
    <w:rsid w:val="000C3156"/>
    <w:rsid w:val="000E1B3E"/>
    <w:rsid w:val="00115871"/>
    <w:rsid w:val="00133117"/>
    <w:rsid w:val="00137E72"/>
    <w:rsid w:val="00140D63"/>
    <w:rsid w:val="00144B86"/>
    <w:rsid w:val="001808AF"/>
    <w:rsid w:val="00181FF2"/>
    <w:rsid w:val="001A00E8"/>
    <w:rsid w:val="001D2014"/>
    <w:rsid w:val="00206137"/>
    <w:rsid w:val="00237559"/>
    <w:rsid w:val="00241B3E"/>
    <w:rsid w:val="002758E2"/>
    <w:rsid w:val="0028101A"/>
    <w:rsid w:val="002A03F0"/>
    <w:rsid w:val="002A4CDA"/>
    <w:rsid w:val="002E7838"/>
    <w:rsid w:val="00307A95"/>
    <w:rsid w:val="003373F4"/>
    <w:rsid w:val="003532FE"/>
    <w:rsid w:val="00362093"/>
    <w:rsid w:val="003875BA"/>
    <w:rsid w:val="003A7A34"/>
    <w:rsid w:val="003B658C"/>
    <w:rsid w:val="003C64C9"/>
    <w:rsid w:val="003D028C"/>
    <w:rsid w:val="003D5F63"/>
    <w:rsid w:val="003D73FA"/>
    <w:rsid w:val="003E3B5F"/>
    <w:rsid w:val="003E766E"/>
    <w:rsid w:val="003F66E7"/>
    <w:rsid w:val="00433A5E"/>
    <w:rsid w:val="0043524A"/>
    <w:rsid w:val="00453A62"/>
    <w:rsid w:val="00481283"/>
    <w:rsid w:val="00482151"/>
    <w:rsid w:val="004911BC"/>
    <w:rsid w:val="004962D9"/>
    <w:rsid w:val="00497041"/>
    <w:rsid w:val="004A377A"/>
    <w:rsid w:val="004A7033"/>
    <w:rsid w:val="004B7015"/>
    <w:rsid w:val="004C140E"/>
    <w:rsid w:val="004E330F"/>
    <w:rsid w:val="004F4018"/>
    <w:rsid w:val="00550144"/>
    <w:rsid w:val="005504F8"/>
    <w:rsid w:val="005505AE"/>
    <w:rsid w:val="00586210"/>
    <w:rsid w:val="005A0FB6"/>
    <w:rsid w:val="005A285C"/>
    <w:rsid w:val="0062010E"/>
    <w:rsid w:val="006357E8"/>
    <w:rsid w:val="00636CE4"/>
    <w:rsid w:val="00641A2B"/>
    <w:rsid w:val="00643BE3"/>
    <w:rsid w:val="0065201E"/>
    <w:rsid w:val="006570F0"/>
    <w:rsid w:val="00661709"/>
    <w:rsid w:val="006640E8"/>
    <w:rsid w:val="006669B8"/>
    <w:rsid w:val="00674B9A"/>
    <w:rsid w:val="006E4AF1"/>
    <w:rsid w:val="006E4ED1"/>
    <w:rsid w:val="007247EB"/>
    <w:rsid w:val="007350A1"/>
    <w:rsid w:val="00753040"/>
    <w:rsid w:val="007531C0"/>
    <w:rsid w:val="0075656A"/>
    <w:rsid w:val="007710C9"/>
    <w:rsid w:val="00772B78"/>
    <w:rsid w:val="00781C7D"/>
    <w:rsid w:val="00783F38"/>
    <w:rsid w:val="007B724A"/>
    <w:rsid w:val="007F1A8A"/>
    <w:rsid w:val="00802FC0"/>
    <w:rsid w:val="0080489F"/>
    <w:rsid w:val="008102F1"/>
    <w:rsid w:val="0081639C"/>
    <w:rsid w:val="008B6A1F"/>
    <w:rsid w:val="008C21A0"/>
    <w:rsid w:val="008D3E5D"/>
    <w:rsid w:val="008F0F2F"/>
    <w:rsid w:val="00912C08"/>
    <w:rsid w:val="00916455"/>
    <w:rsid w:val="00923FF9"/>
    <w:rsid w:val="00932BB2"/>
    <w:rsid w:val="00940150"/>
    <w:rsid w:val="0094262F"/>
    <w:rsid w:val="00945277"/>
    <w:rsid w:val="00967DCB"/>
    <w:rsid w:val="00973FB8"/>
    <w:rsid w:val="00975D66"/>
    <w:rsid w:val="009912EC"/>
    <w:rsid w:val="0099132D"/>
    <w:rsid w:val="0099313C"/>
    <w:rsid w:val="009C5EE9"/>
    <w:rsid w:val="009E4DD7"/>
    <w:rsid w:val="009E70F5"/>
    <w:rsid w:val="00A10D55"/>
    <w:rsid w:val="00A17AFE"/>
    <w:rsid w:val="00A25271"/>
    <w:rsid w:val="00A27C9B"/>
    <w:rsid w:val="00A44607"/>
    <w:rsid w:val="00A52D11"/>
    <w:rsid w:val="00A56FD7"/>
    <w:rsid w:val="00A832A6"/>
    <w:rsid w:val="00A91C81"/>
    <w:rsid w:val="00A940A0"/>
    <w:rsid w:val="00A96DD5"/>
    <w:rsid w:val="00A96F7B"/>
    <w:rsid w:val="00AA6E02"/>
    <w:rsid w:val="00AE2DF4"/>
    <w:rsid w:val="00AE7AF6"/>
    <w:rsid w:val="00AF303D"/>
    <w:rsid w:val="00AF6AFC"/>
    <w:rsid w:val="00B02219"/>
    <w:rsid w:val="00B263FD"/>
    <w:rsid w:val="00B26AFB"/>
    <w:rsid w:val="00B82447"/>
    <w:rsid w:val="00BB7C2B"/>
    <w:rsid w:val="00BC5D12"/>
    <w:rsid w:val="00BD26D3"/>
    <w:rsid w:val="00BD28F3"/>
    <w:rsid w:val="00BD3B3D"/>
    <w:rsid w:val="00BD5829"/>
    <w:rsid w:val="00BE39B5"/>
    <w:rsid w:val="00BE73D7"/>
    <w:rsid w:val="00BF0220"/>
    <w:rsid w:val="00BF0BFD"/>
    <w:rsid w:val="00BF706B"/>
    <w:rsid w:val="00C16734"/>
    <w:rsid w:val="00C202D9"/>
    <w:rsid w:val="00C5095E"/>
    <w:rsid w:val="00C8494E"/>
    <w:rsid w:val="00CA5593"/>
    <w:rsid w:val="00CB25BB"/>
    <w:rsid w:val="00CD4990"/>
    <w:rsid w:val="00D01FF3"/>
    <w:rsid w:val="00D10971"/>
    <w:rsid w:val="00D163E4"/>
    <w:rsid w:val="00D2042F"/>
    <w:rsid w:val="00D24CC8"/>
    <w:rsid w:val="00D25EAF"/>
    <w:rsid w:val="00D3215E"/>
    <w:rsid w:val="00D3557D"/>
    <w:rsid w:val="00D502F1"/>
    <w:rsid w:val="00D57C14"/>
    <w:rsid w:val="00D61852"/>
    <w:rsid w:val="00D70ED4"/>
    <w:rsid w:val="00D94B4A"/>
    <w:rsid w:val="00DA5C53"/>
    <w:rsid w:val="00DB0813"/>
    <w:rsid w:val="00DB18F6"/>
    <w:rsid w:val="00DE3E75"/>
    <w:rsid w:val="00E0190B"/>
    <w:rsid w:val="00E025E7"/>
    <w:rsid w:val="00E22BC0"/>
    <w:rsid w:val="00E24DAB"/>
    <w:rsid w:val="00E27700"/>
    <w:rsid w:val="00E30D19"/>
    <w:rsid w:val="00E54EAD"/>
    <w:rsid w:val="00E67738"/>
    <w:rsid w:val="00E83FA8"/>
    <w:rsid w:val="00E865C2"/>
    <w:rsid w:val="00EA058C"/>
    <w:rsid w:val="00EA3C2D"/>
    <w:rsid w:val="00EE5EA4"/>
    <w:rsid w:val="00F071CA"/>
    <w:rsid w:val="00F10C25"/>
    <w:rsid w:val="00F12460"/>
    <w:rsid w:val="00F14037"/>
    <w:rsid w:val="00F21078"/>
    <w:rsid w:val="00F22F9D"/>
    <w:rsid w:val="00F27E16"/>
    <w:rsid w:val="00F33F22"/>
    <w:rsid w:val="00F408CF"/>
    <w:rsid w:val="00F45F10"/>
    <w:rsid w:val="00F47484"/>
    <w:rsid w:val="00F62C11"/>
    <w:rsid w:val="00F714C4"/>
    <w:rsid w:val="00F749E4"/>
    <w:rsid w:val="00F901DA"/>
    <w:rsid w:val="00FA0267"/>
    <w:rsid w:val="00FC02BF"/>
    <w:rsid w:val="00FC206D"/>
    <w:rsid w:val="00FC5095"/>
    <w:rsid w:val="01014824"/>
    <w:rsid w:val="010327F9"/>
    <w:rsid w:val="012D0479"/>
    <w:rsid w:val="01317F69"/>
    <w:rsid w:val="013C246A"/>
    <w:rsid w:val="01417E77"/>
    <w:rsid w:val="01431A4A"/>
    <w:rsid w:val="01433A92"/>
    <w:rsid w:val="01454703"/>
    <w:rsid w:val="014852B3"/>
    <w:rsid w:val="014D4621"/>
    <w:rsid w:val="0155123B"/>
    <w:rsid w:val="0156177E"/>
    <w:rsid w:val="016A347B"/>
    <w:rsid w:val="016C1A65"/>
    <w:rsid w:val="01715772"/>
    <w:rsid w:val="017E6F26"/>
    <w:rsid w:val="01822573"/>
    <w:rsid w:val="01826A17"/>
    <w:rsid w:val="019328B6"/>
    <w:rsid w:val="019978BC"/>
    <w:rsid w:val="01AC7A79"/>
    <w:rsid w:val="01AF0E8E"/>
    <w:rsid w:val="01B14C06"/>
    <w:rsid w:val="01B711E2"/>
    <w:rsid w:val="01BB7833"/>
    <w:rsid w:val="01C34939"/>
    <w:rsid w:val="01C548DB"/>
    <w:rsid w:val="01CF1530"/>
    <w:rsid w:val="01D152A8"/>
    <w:rsid w:val="01D6466C"/>
    <w:rsid w:val="01E11FEF"/>
    <w:rsid w:val="01F571E8"/>
    <w:rsid w:val="01FA65AD"/>
    <w:rsid w:val="01FD0682"/>
    <w:rsid w:val="02092C94"/>
    <w:rsid w:val="02182ED7"/>
    <w:rsid w:val="02186A33"/>
    <w:rsid w:val="02223D56"/>
    <w:rsid w:val="02247ACE"/>
    <w:rsid w:val="022A6766"/>
    <w:rsid w:val="023D0B8F"/>
    <w:rsid w:val="023E272A"/>
    <w:rsid w:val="02421D02"/>
    <w:rsid w:val="025008C3"/>
    <w:rsid w:val="02551A35"/>
    <w:rsid w:val="02641C78"/>
    <w:rsid w:val="026B3007"/>
    <w:rsid w:val="027345BF"/>
    <w:rsid w:val="0273635F"/>
    <w:rsid w:val="027C19E6"/>
    <w:rsid w:val="027C3466"/>
    <w:rsid w:val="02873BB9"/>
    <w:rsid w:val="028916DF"/>
    <w:rsid w:val="028D5673"/>
    <w:rsid w:val="02947BE0"/>
    <w:rsid w:val="0295277A"/>
    <w:rsid w:val="02960CB5"/>
    <w:rsid w:val="02987B74"/>
    <w:rsid w:val="029B3BC4"/>
    <w:rsid w:val="029E162E"/>
    <w:rsid w:val="02A14B54"/>
    <w:rsid w:val="02A824AD"/>
    <w:rsid w:val="02B726F0"/>
    <w:rsid w:val="02B7449E"/>
    <w:rsid w:val="02BA5D3C"/>
    <w:rsid w:val="02C31095"/>
    <w:rsid w:val="02C866AB"/>
    <w:rsid w:val="02C96BC5"/>
    <w:rsid w:val="02D611B0"/>
    <w:rsid w:val="02E01C47"/>
    <w:rsid w:val="02ED6112"/>
    <w:rsid w:val="02F00496"/>
    <w:rsid w:val="02F34868"/>
    <w:rsid w:val="02F70D3E"/>
    <w:rsid w:val="02FA438B"/>
    <w:rsid w:val="030C78DB"/>
    <w:rsid w:val="031C69F7"/>
    <w:rsid w:val="03253CBC"/>
    <w:rsid w:val="032D650E"/>
    <w:rsid w:val="03323B24"/>
    <w:rsid w:val="033A0C2B"/>
    <w:rsid w:val="033E089E"/>
    <w:rsid w:val="03406084"/>
    <w:rsid w:val="034F2928"/>
    <w:rsid w:val="034F45E8"/>
    <w:rsid w:val="03541CED"/>
    <w:rsid w:val="03561F09"/>
    <w:rsid w:val="03575C81"/>
    <w:rsid w:val="035E5896"/>
    <w:rsid w:val="039667A9"/>
    <w:rsid w:val="03990047"/>
    <w:rsid w:val="03A2514E"/>
    <w:rsid w:val="03A5079A"/>
    <w:rsid w:val="03AC38D7"/>
    <w:rsid w:val="03AE2298"/>
    <w:rsid w:val="03AF09AF"/>
    <w:rsid w:val="03B629A7"/>
    <w:rsid w:val="03B66504"/>
    <w:rsid w:val="03BB6210"/>
    <w:rsid w:val="03BC7892"/>
    <w:rsid w:val="03C230FA"/>
    <w:rsid w:val="03CA1FAF"/>
    <w:rsid w:val="03D031B4"/>
    <w:rsid w:val="03D22630"/>
    <w:rsid w:val="03D34A61"/>
    <w:rsid w:val="03D80B70"/>
    <w:rsid w:val="03D92099"/>
    <w:rsid w:val="03DE5A5A"/>
    <w:rsid w:val="03E219EE"/>
    <w:rsid w:val="03E5328D"/>
    <w:rsid w:val="03EE2141"/>
    <w:rsid w:val="03F90AE6"/>
    <w:rsid w:val="03FA5235"/>
    <w:rsid w:val="03FD4143"/>
    <w:rsid w:val="04003C23"/>
    <w:rsid w:val="04043713"/>
    <w:rsid w:val="0405748B"/>
    <w:rsid w:val="04082AD7"/>
    <w:rsid w:val="041A2F36"/>
    <w:rsid w:val="041E6F29"/>
    <w:rsid w:val="043F474B"/>
    <w:rsid w:val="044D31C4"/>
    <w:rsid w:val="044E575F"/>
    <w:rsid w:val="04567CE7"/>
    <w:rsid w:val="045D1075"/>
    <w:rsid w:val="045D72C7"/>
    <w:rsid w:val="045F7DBD"/>
    <w:rsid w:val="046046C1"/>
    <w:rsid w:val="046C48D8"/>
    <w:rsid w:val="04706FFA"/>
    <w:rsid w:val="04720041"/>
    <w:rsid w:val="04785EAF"/>
    <w:rsid w:val="04787C5D"/>
    <w:rsid w:val="04974587"/>
    <w:rsid w:val="04A66578"/>
    <w:rsid w:val="04B073F7"/>
    <w:rsid w:val="04B769D7"/>
    <w:rsid w:val="04B8274F"/>
    <w:rsid w:val="04BE1DEB"/>
    <w:rsid w:val="04D07A99"/>
    <w:rsid w:val="04D330E5"/>
    <w:rsid w:val="04D44454"/>
    <w:rsid w:val="04E672BC"/>
    <w:rsid w:val="04E83035"/>
    <w:rsid w:val="04EE7093"/>
    <w:rsid w:val="04F419D9"/>
    <w:rsid w:val="04F73278"/>
    <w:rsid w:val="04FA68C4"/>
    <w:rsid w:val="050339CA"/>
    <w:rsid w:val="05120CA5"/>
    <w:rsid w:val="05177476"/>
    <w:rsid w:val="051F457C"/>
    <w:rsid w:val="05237BC9"/>
    <w:rsid w:val="052E47BF"/>
    <w:rsid w:val="053A13B6"/>
    <w:rsid w:val="05445D91"/>
    <w:rsid w:val="054933A7"/>
    <w:rsid w:val="054A784B"/>
    <w:rsid w:val="054B365B"/>
    <w:rsid w:val="054D2E98"/>
    <w:rsid w:val="055406CA"/>
    <w:rsid w:val="056844A1"/>
    <w:rsid w:val="056A57F8"/>
    <w:rsid w:val="05706B86"/>
    <w:rsid w:val="057C552B"/>
    <w:rsid w:val="057F6DC9"/>
    <w:rsid w:val="05856AD5"/>
    <w:rsid w:val="058C1C12"/>
    <w:rsid w:val="058D7738"/>
    <w:rsid w:val="059960DD"/>
    <w:rsid w:val="059D41F1"/>
    <w:rsid w:val="05A54A82"/>
    <w:rsid w:val="05AC4062"/>
    <w:rsid w:val="05B2719F"/>
    <w:rsid w:val="05B81D48"/>
    <w:rsid w:val="05E05ABA"/>
    <w:rsid w:val="05E76E48"/>
    <w:rsid w:val="05F11A75"/>
    <w:rsid w:val="05F257ED"/>
    <w:rsid w:val="05F6352F"/>
    <w:rsid w:val="05FB6D97"/>
    <w:rsid w:val="06021ED4"/>
    <w:rsid w:val="061614DB"/>
    <w:rsid w:val="06366E11"/>
    <w:rsid w:val="06391C10"/>
    <w:rsid w:val="063A78C0"/>
    <w:rsid w:val="064249C6"/>
    <w:rsid w:val="064F49ED"/>
    <w:rsid w:val="0650515A"/>
    <w:rsid w:val="065B5A88"/>
    <w:rsid w:val="065F10D4"/>
    <w:rsid w:val="06767758"/>
    <w:rsid w:val="06774DCA"/>
    <w:rsid w:val="067B6EE2"/>
    <w:rsid w:val="067E50DF"/>
    <w:rsid w:val="067F3525"/>
    <w:rsid w:val="0680104B"/>
    <w:rsid w:val="068E5516"/>
    <w:rsid w:val="069331B4"/>
    <w:rsid w:val="06AB7B59"/>
    <w:rsid w:val="06BA27AF"/>
    <w:rsid w:val="06C673A5"/>
    <w:rsid w:val="06D11E99"/>
    <w:rsid w:val="06D74677"/>
    <w:rsid w:val="06E15F8D"/>
    <w:rsid w:val="06EA3869"/>
    <w:rsid w:val="06EF18C7"/>
    <w:rsid w:val="06F42B68"/>
    <w:rsid w:val="06F7755F"/>
    <w:rsid w:val="06FD2B23"/>
    <w:rsid w:val="070103DE"/>
    <w:rsid w:val="070B300A"/>
    <w:rsid w:val="070B669B"/>
    <w:rsid w:val="070F34B1"/>
    <w:rsid w:val="07106873"/>
    <w:rsid w:val="071C6FC5"/>
    <w:rsid w:val="072B02AD"/>
    <w:rsid w:val="072C6ABF"/>
    <w:rsid w:val="072F6D5A"/>
    <w:rsid w:val="07342561"/>
    <w:rsid w:val="073836D3"/>
    <w:rsid w:val="07434552"/>
    <w:rsid w:val="075E313A"/>
    <w:rsid w:val="076170CE"/>
    <w:rsid w:val="07660241"/>
    <w:rsid w:val="076A5F83"/>
    <w:rsid w:val="07797F74"/>
    <w:rsid w:val="077E1A2E"/>
    <w:rsid w:val="07834FAC"/>
    <w:rsid w:val="07866B35"/>
    <w:rsid w:val="07A07BF6"/>
    <w:rsid w:val="07B216D8"/>
    <w:rsid w:val="07B471FE"/>
    <w:rsid w:val="07BC60B3"/>
    <w:rsid w:val="07C02047"/>
    <w:rsid w:val="07C136C9"/>
    <w:rsid w:val="07CB7A15"/>
    <w:rsid w:val="07CC279A"/>
    <w:rsid w:val="07D71579"/>
    <w:rsid w:val="07F10452"/>
    <w:rsid w:val="08057A5A"/>
    <w:rsid w:val="080768F7"/>
    <w:rsid w:val="080A2401"/>
    <w:rsid w:val="08123F24"/>
    <w:rsid w:val="081D1247"/>
    <w:rsid w:val="08234384"/>
    <w:rsid w:val="082B64C9"/>
    <w:rsid w:val="082C3238"/>
    <w:rsid w:val="082C4FE6"/>
    <w:rsid w:val="08397703"/>
    <w:rsid w:val="083D71F3"/>
    <w:rsid w:val="084A1910"/>
    <w:rsid w:val="08536A17"/>
    <w:rsid w:val="08600B9B"/>
    <w:rsid w:val="0865674A"/>
    <w:rsid w:val="086724C2"/>
    <w:rsid w:val="0869448C"/>
    <w:rsid w:val="08746194"/>
    <w:rsid w:val="0889727B"/>
    <w:rsid w:val="08962DA7"/>
    <w:rsid w:val="089B03BE"/>
    <w:rsid w:val="089C322F"/>
    <w:rsid w:val="08A2799E"/>
    <w:rsid w:val="08A54B06"/>
    <w:rsid w:val="08A6123D"/>
    <w:rsid w:val="08BF22FE"/>
    <w:rsid w:val="08BF40AC"/>
    <w:rsid w:val="08CC0577"/>
    <w:rsid w:val="08CE6BCF"/>
    <w:rsid w:val="08CF045B"/>
    <w:rsid w:val="08D35DAA"/>
    <w:rsid w:val="08D631A4"/>
    <w:rsid w:val="08DD4532"/>
    <w:rsid w:val="08E104C7"/>
    <w:rsid w:val="08E41D65"/>
    <w:rsid w:val="08E43B13"/>
    <w:rsid w:val="08E6393C"/>
    <w:rsid w:val="08EB4EA1"/>
    <w:rsid w:val="08F07BD9"/>
    <w:rsid w:val="08F63846"/>
    <w:rsid w:val="08FC70AE"/>
    <w:rsid w:val="09023F99"/>
    <w:rsid w:val="090A6B36"/>
    <w:rsid w:val="09163E48"/>
    <w:rsid w:val="091B5C4C"/>
    <w:rsid w:val="0922463B"/>
    <w:rsid w:val="09267C87"/>
    <w:rsid w:val="09306D58"/>
    <w:rsid w:val="09322AD0"/>
    <w:rsid w:val="093C56FD"/>
    <w:rsid w:val="09440A55"/>
    <w:rsid w:val="09524F20"/>
    <w:rsid w:val="09534F5C"/>
    <w:rsid w:val="09630EDC"/>
    <w:rsid w:val="096F03AB"/>
    <w:rsid w:val="097D1872"/>
    <w:rsid w:val="097E3F67"/>
    <w:rsid w:val="0983157E"/>
    <w:rsid w:val="0985760A"/>
    <w:rsid w:val="098A46BA"/>
    <w:rsid w:val="098B3F8E"/>
    <w:rsid w:val="098D41AA"/>
    <w:rsid w:val="09972933"/>
    <w:rsid w:val="099E21CF"/>
    <w:rsid w:val="09A01D59"/>
    <w:rsid w:val="09A03EDE"/>
    <w:rsid w:val="09A11A04"/>
    <w:rsid w:val="09B34D68"/>
    <w:rsid w:val="09B71227"/>
    <w:rsid w:val="09BE6112"/>
    <w:rsid w:val="09C14803"/>
    <w:rsid w:val="09C37BCC"/>
    <w:rsid w:val="09CB082F"/>
    <w:rsid w:val="09CB27DF"/>
    <w:rsid w:val="09D05E45"/>
    <w:rsid w:val="09D41DD9"/>
    <w:rsid w:val="09D65B51"/>
    <w:rsid w:val="09E638BB"/>
    <w:rsid w:val="09EC7123"/>
    <w:rsid w:val="09EF276F"/>
    <w:rsid w:val="09F45FD8"/>
    <w:rsid w:val="09F75AC8"/>
    <w:rsid w:val="09FD136E"/>
    <w:rsid w:val="09FE29B2"/>
    <w:rsid w:val="09FF07C4"/>
    <w:rsid w:val="0A051F93"/>
    <w:rsid w:val="0A0C04D1"/>
    <w:rsid w:val="0A0D7099"/>
    <w:rsid w:val="0A0F3533"/>
    <w:rsid w:val="0A122902"/>
    <w:rsid w:val="0A13455E"/>
    <w:rsid w:val="0A1421D6"/>
    <w:rsid w:val="0A15050F"/>
    <w:rsid w:val="0A171CC6"/>
    <w:rsid w:val="0A252635"/>
    <w:rsid w:val="0A2D3298"/>
    <w:rsid w:val="0A2F0DBE"/>
    <w:rsid w:val="0A334D52"/>
    <w:rsid w:val="0A337B3E"/>
    <w:rsid w:val="0A3978F3"/>
    <w:rsid w:val="0A3F3469"/>
    <w:rsid w:val="0A4A209B"/>
    <w:rsid w:val="0A546A76"/>
    <w:rsid w:val="0A622F41"/>
    <w:rsid w:val="0A911A78"/>
    <w:rsid w:val="0A9357F1"/>
    <w:rsid w:val="0A9C61F8"/>
    <w:rsid w:val="0AA07F0D"/>
    <w:rsid w:val="0AA6399E"/>
    <w:rsid w:val="0AAC514D"/>
    <w:rsid w:val="0ABA2D7D"/>
    <w:rsid w:val="0ABB08A3"/>
    <w:rsid w:val="0ABF0394"/>
    <w:rsid w:val="0AC96D38"/>
    <w:rsid w:val="0ACE05D7"/>
    <w:rsid w:val="0AD83203"/>
    <w:rsid w:val="0ADB0F46"/>
    <w:rsid w:val="0ADF0A36"/>
    <w:rsid w:val="0AE1199B"/>
    <w:rsid w:val="0AE13C20"/>
    <w:rsid w:val="0AE27DE3"/>
    <w:rsid w:val="0AEF054D"/>
    <w:rsid w:val="0AF81AF7"/>
    <w:rsid w:val="0B022976"/>
    <w:rsid w:val="0B095AB3"/>
    <w:rsid w:val="0B0D00CF"/>
    <w:rsid w:val="0B1C3A38"/>
    <w:rsid w:val="0B2B2101"/>
    <w:rsid w:val="0B2E5519"/>
    <w:rsid w:val="0B330D82"/>
    <w:rsid w:val="0B380146"/>
    <w:rsid w:val="0B3D750A"/>
    <w:rsid w:val="0B4B1C27"/>
    <w:rsid w:val="0B4B7E79"/>
    <w:rsid w:val="0B552AA6"/>
    <w:rsid w:val="0B582596"/>
    <w:rsid w:val="0B6251C3"/>
    <w:rsid w:val="0B6B22C9"/>
    <w:rsid w:val="0B7F3FC7"/>
    <w:rsid w:val="0B867FFD"/>
    <w:rsid w:val="0B8D04E6"/>
    <w:rsid w:val="0B955598"/>
    <w:rsid w:val="0B9730BE"/>
    <w:rsid w:val="0B9C06D5"/>
    <w:rsid w:val="0BAF665A"/>
    <w:rsid w:val="0BB04180"/>
    <w:rsid w:val="0BB05F2E"/>
    <w:rsid w:val="0BC47C2C"/>
    <w:rsid w:val="0BE745C4"/>
    <w:rsid w:val="0BEA403A"/>
    <w:rsid w:val="0BF4406D"/>
    <w:rsid w:val="0BFB18FD"/>
    <w:rsid w:val="0C0A1AE2"/>
    <w:rsid w:val="0C233289"/>
    <w:rsid w:val="0C234952"/>
    <w:rsid w:val="0C346B5F"/>
    <w:rsid w:val="0C3F0030"/>
    <w:rsid w:val="0C4A4D46"/>
    <w:rsid w:val="0C4D19CF"/>
    <w:rsid w:val="0C564D28"/>
    <w:rsid w:val="0C580AA0"/>
    <w:rsid w:val="0C6A2581"/>
    <w:rsid w:val="0C725932"/>
    <w:rsid w:val="0C7F7309"/>
    <w:rsid w:val="0C8278CB"/>
    <w:rsid w:val="0C8353F1"/>
    <w:rsid w:val="0C8573BB"/>
    <w:rsid w:val="0C866B2A"/>
    <w:rsid w:val="0C9D4705"/>
    <w:rsid w:val="0CA27F6D"/>
    <w:rsid w:val="0CB97065"/>
    <w:rsid w:val="0CC872A8"/>
    <w:rsid w:val="0CCC6D98"/>
    <w:rsid w:val="0CD93263"/>
    <w:rsid w:val="0CE74AED"/>
    <w:rsid w:val="0CF167FE"/>
    <w:rsid w:val="0CF462EF"/>
    <w:rsid w:val="0CF62067"/>
    <w:rsid w:val="0CF83D0C"/>
    <w:rsid w:val="0CF87B8D"/>
    <w:rsid w:val="0CFB58CF"/>
    <w:rsid w:val="0D0227BA"/>
    <w:rsid w:val="0D0429D6"/>
    <w:rsid w:val="0D15073F"/>
    <w:rsid w:val="0D186481"/>
    <w:rsid w:val="0D224A65"/>
    <w:rsid w:val="0D26294C"/>
    <w:rsid w:val="0D3F756A"/>
    <w:rsid w:val="0D447EB9"/>
    <w:rsid w:val="0D4728C2"/>
    <w:rsid w:val="0D4C612B"/>
    <w:rsid w:val="0D4E23AE"/>
    <w:rsid w:val="0D651EB8"/>
    <w:rsid w:val="0D692839"/>
    <w:rsid w:val="0D6B0574"/>
    <w:rsid w:val="0D6B65B1"/>
    <w:rsid w:val="0D75742F"/>
    <w:rsid w:val="0D764D13"/>
    <w:rsid w:val="0D815DD4"/>
    <w:rsid w:val="0D860123"/>
    <w:rsid w:val="0D861BFE"/>
    <w:rsid w:val="0D890669"/>
    <w:rsid w:val="0D894C89"/>
    <w:rsid w:val="0D913B3D"/>
    <w:rsid w:val="0D921D8F"/>
    <w:rsid w:val="0D951880"/>
    <w:rsid w:val="0D9F625A"/>
    <w:rsid w:val="0DA47D15"/>
    <w:rsid w:val="0DA63A8D"/>
    <w:rsid w:val="0DAA6A79"/>
    <w:rsid w:val="0DAB4BFF"/>
    <w:rsid w:val="0DB53CD0"/>
    <w:rsid w:val="0DB55A7E"/>
    <w:rsid w:val="0DBF06AB"/>
    <w:rsid w:val="0DC62738"/>
    <w:rsid w:val="0DC857B1"/>
    <w:rsid w:val="0DC940F3"/>
    <w:rsid w:val="0DD5693F"/>
    <w:rsid w:val="0DD71E98"/>
    <w:rsid w:val="0DD8176C"/>
    <w:rsid w:val="0DDE3227"/>
    <w:rsid w:val="0DDE4FD5"/>
    <w:rsid w:val="0DDF0D4D"/>
    <w:rsid w:val="0DE93979"/>
    <w:rsid w:val="0DED16BC"/>
    <w:rsid w:val="0DEF3E23"/>
    <w:rsid w:val="0DF01CA5"/>
    <w:rsid w:val="0DF04D08"/>
    <w:rsid w:val="0DFC18FF"/>
    <w:rsid w:val="0E121D8E"/>
    <w:rsid w:val="0E122ED0"/>
    <w:rsid w:val="0E1518A1"/>
    <w:rsid w:val="0E1704E7"/>
    <w:rsid w:val="0E26697C"/>
    <w:rsid w:val="0E2A1FC8"/>
    <w:rsid w:val="0E2A646C"/>
    <w:rsid w:val="0E344BF5"/>
    <w:rsid w:val="0E3746E5"/>
    <w:rsid w:val="0E3F3599"/>
    <w:rsid w:val="0E4017EB"/>
    <w:rsid w:val="0E4D5CB6"/>
    <w:rsid w:val="0E5065FE"/>
    <w:rsid w:val="0E57426B"/>
    <w:rsid w:val="0E5C414B"/>
    <w:rsid w:val="0E5E6115"/>
    <w:rsid w:val="0E6A60FC"/>
    <w:rsid w:val="0E6B7694"/>
    <w:rsid w:val="0E72396F"/>
    <w:rsid w:val="0E7430C0"/>
    <w:rsid w:val="0E76520D"/>
    <w:rsid w:val="0E7F4110"/>
    <w:rsid w:val="0E884F40"/>
    <w:rsid w:val="0E96339B"/>
    <w:rsid w:val="0E981627"/>
    <w:rsid w:val="0E9B1118"/>
    <w:rsid w:val="0E9C1576"/>
    <w:rsid w:val="0EB126E9"/>
    <w:rsid w:val="0EB2255C"/>
    <w:rsid w:val="0EB75826"/>
    <w:rsid w:val="0EC63C5E"/>
    <w:rsid w:val="0ED10695"/>
    <w:rsid w:val="0ED70174"/>
    <w:rsid w:val="0EE505E5"/>
    <w:rsid w:val="0EE859DF"/>
    <w:rsid w:val="0EF56A7A"/>
    <w:rsid w:val="0F000F7B"/>
    <w:rsid w:val="0F0F11BE"/>
    <w:rsid w:val="0F2E5AE8"/>
    <w:rsid w:val="0F346E76"/>
    <w:rsid w:val="0F3B6457"/>
    <w:rsid w:val="0F501F02"/>
    <w:rsid w:val="0F503CB0"/>
    <w:rsid w:val="0F515C7A"/>
    <w:rsid w:val="0F5F2145"/>
    <w:rsid w:val="0F5F3EF3"/>
    <w:rsid w:val="0F683AA2"/>
    <w:rsid w:val="0F6C6610"/>
    <w:rsid w:val="0F6E4136"/>
    <w:rsid w:val="0F781459"/>
    <w:rsid w:val="0F787C0A"/>
    <w:rsid w:val="0F7A2ADB"/>
    <w:rsid w:val="0F7D25CB"/>
    <w:rsid w:val="0F844D6B"/>
    <w:rsid w:val="0F96368D"/>
    <w:rsid w:val="0FA0239A"/>
    <w:rsid w:val="0FA20284"/>
    <w:rsid w:val="0FC21262"/>
    <w:rsid w:val="0FC93A62"/>
    <w:rsid w:val="0FD20B69"/>
    <w:rsid w:val="0FD3043D"/>
    <w:rsid w:val="0FD50659"/>
    <w:rsid w:val="0FDD306A"/>
    <w:rsid w:val="0FDE143F"/>
    <w:rsid w:val="0FE95EB3"/>
    <w:rsid w:val="0FEF171B"/>
    <w:rsid w:val="0FF56606"/>
    <w:rsid w:val="0FF61E7A"/>
    <w:rsid w:val="0FFB48A8"/>
    <w:rsid w:val="0FFC1742"/>
    <w:rsid w:val="0FFD54BA"/>
    <w:rsid w:val="100827DD"/>
    <w:rsid w:val="100D1044"/>
    <w:rsid w:val="100D7DF3"/>
    <w:rsid w:val="1017657C"/>
    <w:rsid w:val="10190546"/>
    <w:rsid w:val="10240C99"/>
    <w:rsid w:val="10260EB5"/>
    <w:rsid w:val="10280789"/>
    <w:rsid w:val="102E38C6"/>
    <w:rsid w:val="10366B7F"/>
    <w:rsid w:val="103709CC"/>
    <w:rsid w:val="103D40B6"/>
    <w:rsid w:val="1043665F"/>
    <w:rsid w:val="10507CE0"/>
    <w:rsid w:val="10547151"/>
    <w:rsid w:val="105772C0"/>
    <w:rsid w:val="1065378B"/>
    <w:rsid w:val="106F63B8"/>
    <w:rsid w:val="10710382"/>
    <w:rsid w:val="1077526D"/>
    <w:rsid w:val="108654B0"/>
    <w:rsid w:val="108B0131"/>
    <w:rsid w:val="108B0D18"/>
    <w:rsid w:val="108D2CE2"/>
    <w:rsid w:val="10AA5642"/>
    <w:rsid w:val="10AF0EAA"/>
    <w:rsid w:val="10B169D0"/>
    <w:rsid w:val="10B4201D"/>
    <w:rsid w:val="10B464C1"/>
    <w:rsid w:val="10B63FE7"/>
    <w:rsid w:val="10BD35C7"/>
    <w:rsid w:val="10D10E21"/>
    <w:rsid w:val="10EC7A09"/>
    <w:rsid w:val="10F468BD"/>
    <w:rsid w:val="1102722C"/>
    <w:rsid w:val="11140D0D"/>
    <w:rsid w:val="11166B84"/>
    <w:rsid w:val="111B02EE"/>
    <w:rsid w:val="111E393A"/>
    <w:rsid w:val="1125116C"/>
    <w:rsid w:val="11274EE5"/>
    <w:rsid w:val="112A0531"/>
    <w:rsid w:val="11380EA0"/>
    <w:rsid w:val="114C66F9"/>
    <w:rsid w:val="114D06C7"/>
    <w:rsid w:val="115477A4"/>
    <w:rsid w:val="115C6002"/>
    <w:rsid w:val="115E01DA"/>
    <w:rsid w:val="117315F5"/>
    <w:rsid w:val="11743EDB"/>
    <w:rsid w:val="11763776"/>
    <w:rsid w:val="11771A06"/>
    <w:rsid w:val="117F6ACF"/>
    <w:rsid w:val="1187337F"/>
    <w:rsid w:val="11916802"/>
    <w:rsid w:val="1193257A"/>
    <w:rsid w:val="119360D6"/>
    <w:rsid w:val="11A6405B"/>
    <w:rsid w:val="11B16D8D"/>
    <w:rsid w:val="11B25E30"/>
    <w:rsid w:val="11C26637"/>
    <w:rsid w:val="11C9384E"/>
    <w:rsid w:val="11CD06B9"/>
    <w:rsid w:val="11D009E8"/>
    <w:rsid w:val="11D87F8D"/>
    <w:rsid w:val="11DF131B"/>
    <w:rsid w:val="11E15093"/>
    <w:rsid w:val="11E42DD6"/>
    <w:rsid w:val="11E65CFA"/>
    <w:rsid w:val="11EC679A"/>
    <w:rsid w:val="11EE77B0"/>
    <w:rsid w:val="1202325C"/>
    <w:rsid w:val="120C016C"/>
    <w:rsid w:val="121D3BF2"/>
    <w:rsid w:val="122127A5"/>
    <w:rsid w:val="122B4561"/>
    <w:rsid w:val="123B27A5"/>
    <w:rsid w:val="124D2729"/>
    <w:rsid w:val="12525F91"/>
    <w:rsid w:val="12575356"/>
    <w:rsid w:val="125F245C"/>
    <w:rsid w:val="126637EB"/>
    <w:rsid w:val="126D127D"/>
    <w:rsid w:val="12767ED2"/>
    <w:rsid w:val="128D0D77"/>
    <w:rsid w:val="12922832"/>
    <w:rsid w:val="129423DF"/>
    <w:rsid w:val="12993BC0"/>
    <w:rsid w:val="129C0FBA"/>
    <w:rsid w:val="129E4D32"/>
    <w:rsid w:val="12A06CFD"/>
    <w:rsid w:val="12AC38F3"/>
    <w:rsid w:val="12B36B62"/>
    <w:rsid w:val="12C0739F"/>
    <w:rsid w:val="12C56763"/>
    <w:rsid w:val="12D469A6"/>
    <w:rsid w:val="12D60970"/>
    <w:rsid w:val="12D746E8"/>
    <w:rsid w:val="12E070F9"/>
    <w:rsid w:val="12EA441C"/>
    <w:rsid w:val="12F6691D"/>
    <w:rsid w:val="12F928B1"/>
    <w:rsid w:val="12FE1008"/>
    <w:rsid w:val="130152C1"/>
    <w:rsid w:val="1304109C"/>
    <w:rsid w:val="13053004"/>
    <w:rsid w:val="130A061A"/>
    <w:rsid w:val="131B748C"/>
    <w:rsid w:val="131D659F"/>
    <w:rsid w:val="132C24D6"/>
    <w:rsid w:val="132F1E2E"/>
    <w:rsid w:val="133438E9"/>
    <w:rsid w:val="133631BD"/>
    <w:rsid w:val="133B57E1"/>
    <w:rsid w:val="13545D39"/>
    <w:rsid w:val="13587189"/>
    <w:rsid w:val="13596EAB"/>
    <w:rsid w:val="135D2E40"/>
    <w:rsid w:val="136046DE"/>
    <w:rsid w:val="137D2B9A"/>
    <w:rsid w:val="138228A6"/>
    <w:rsid w:val="13877EBC"/>
    <w:rsid w:val="138A175B"/>
    <w:rsid w:val="138E2FF9"/>
    <w:rsid w:val="13985C26"/>
    <w:rsid w:val="1399374C"/>
    <w:rsid w:val="13A7230D"/>
    <w:rsid w:val="13A9398F"/>
    <w:rsid w:val="13AF2F6F"/>
    <w:rsid w:val="13BD568C"/>
    <w:rsid w:val="13CC4EC7"/>
    <w:rsid w:val="13D21C0B"/>
    <w:rsid w:val="13DA4490"/>
    <w:rsid w:val="13DA623E"/>
    <w:rsid w:val="13E250F3"/>
    <w:rsid w:val="13F54E26"/>
    <w:rsid w:val="13F866C4"/>
    <w:rsid w:val="13FA068E"/>
    <w:rsid w:val="14076BA8"/>
    <w:rsid w:val="140E1C37"/>
    <w:rsid w:val="140E5EE8"/>
    <w:rsid w:val="14127BE9"/>
    <w:rsid w:val="141334FE"/>
    <w:rsid w:val="141379A2"/>
    <w:rsid w:val="14215C1B"/>
    <w:rsid w:val="142500B8"/>
    <w:rsid w:val="142B0848"/>
    <w:rsid w:val="142E20E6"/>
    <w:rsid w:val="14327E28"/>
    <w:rsid w:val="143A0A8B"/>
    <w:rsid w:val="143A6CDD"/>
    <w:rsid w:val="14551D69"/>
    <w:rsid w:val="14587163"/>
    <w:rsid w:val="1461070D"/>
    <w:rsid w:val="146D4D02"/>
    <w:rsid w:val="14700F7C"/>
    <w:rsid w:val="14740441"/>
    <w:rsid w:val="147D74EC"/>
    <w:rsid w:val="14847F58"/>
    <w:rsid w:val="14860174"/>
    <w:rsid w:val="14AB7BDB"/>
    <w:rsid w:val="14AF1479"/>
    <w:rsid w:val="14B20F69"/>
    <w:rsid w:val="14C8078D"/>
    <w:rsid w:val="14CB731B"/>
    <w:rsid w:val="14CD18FF"/>
    <w:rsid w:val="14CF5677"/>
    <w:rsid w:val="14D507B4"/>
    <w:rsid w:val="14DB226E"/>
    <w:rsid w:val="14E86739"/>
    <w:rsid w:val="14EA425F"/>
    <w:rsid w:val="14EB7FD7"/>
    <w:rsid w:val="14F41582"/>
    <w:rsid w:val="14FC5C34"/>
    <w:rsid w:val="150D43F1"/>
    <w:rsid w:val="15113EE2"/>
    <w:rsid w:val="15121A08"/>
    <w:rsid w:val="15190FE8"/>
    <w:rsid w:val="15192D96"/>
    <w:rsid w:val="151A266A"/>
    <w:rsid w:val="151E325D"/>
    <w:rsid w:val="15207D7D"/>
    <w:rsid w:val="152359C3"/>
    <w:rsid w:val="152D1B5C"/>
    <w:rsid w:val="15396F94"/>
    <w:rsid w:val="153E27FD"/>
    <w:rsid w:val="15474D46"/>
    <w:rsid w:val="154C6CC8"/>
    <w:rsid w:val="154F4A0A"/>
    <w:rsid w:val="15553D7D"/>
    <w:rsid w:val="155B515D"/>
    <w:rsid w:val="155E7D1F"/>
    <w:rsid w:val="155F472D"/>
    <w:rsid w:val="157E709D"/>
    <w:rsid w:val="15883A78"/>
    <w:rsid w:val="15962639"/>
    <w:rsid w:val="15A46B04"/>
    <w:rsid w:val="15A5462A"/>
    <w:rsid w:val="15AA7E92"/>
    <w:rsid w:val="15AC59B8"/>
    <w:rsid w:val="15B12FCF"/>
    <w:rsid w:val="15B14D7D"/>
    <w:rsid w:val="15BB209F"/>
    <w:rsid w:val="15C727F2"/>
    <w:rsid w:val="15D13671"/>
    <w:rsid w:val="15D46CBD"/>
    <w:rsid w:val="15DB004C"/>
    <w:rsid w:val="15E47333"/>
    <w:rsid w:val="15EA64E1"/>
    <w:rsid w:val="15EB3A81"/>
    <w:rsid w:val="15F12EAE"/>
    <w:rsid w:val="15F43B8C"/>
    <w:rsid w:val="15FD4466"/>
    <w:rsid w:val="1601377E"/>
    <w:rsid w:val="160142ED"/>
    <w:rsid w:val="16096967"/>
    <w:rsid w:val="16104199"/>
    <w:rsid w:val="161A5018"/>
    <w:rsid w:val="162738E6"/>
    <w:rsid w:val="162B0FD3"/>
    <w:rsid w:val="163A7468"/>
    <w:rsid w:val="163D0D06"/>
    <w:rsid w:val="163F682C"/>
    <w:rsid w:val="16421E79"/>
    <w:rsid w:val="164400B1"/>
    <w:rsid w:val="16442095"/>
    <w:rsid w:val="16565924"/>
    <w:rsid w:val="16573B76"/>
    <w:rsid w:val="166E7112"/>
    <w:rsid w:val="168626AD"/>
    <w:rsid w:val="16893F4C"/>
    <w:rsid w:val="16921052"/>
    <w:rsid w:val="169C3C7F"/>
    <w:rsid w:val="169E17AF"/>
    <w:rsid w:val="16B8213B"/>
    <w:rsid w:val="16BE59A3"/>
    <w:rsid w:val="16CD5BE6"/>
    <w:rsid w:val="16D276A1"/>
    <w:rsid w:val="16D74CB7"/>
    <w:rsid w:val="16D8458B"/>
    <w:rsid w:val="16DC051F"/>
    <w:rsid w:val="16E2350D"/>
    <w:rsid w:val="16E80C72"/>
    <w:rsid w:val="16ED0036"/>
    <w:rsid w:val="16F94C2D"/>
    <w:rsid w:val="16FA2753"/>
    <w:rsid w:val="16FF7D6A"/>
    <w:rsid w:val="1706559C"/>
    <w:rsid w:val="1706734A"/>
    <w:rsid w:val="170D06D9"/>
    <w:rsid w:val="17155F34"/>
    <w:rsid w:val="17231CAA"/>
    <w:rsid w:val="1726179A"/>
    <w:rsid w:val="172A128B"/>
    <w:rsid w:val="17306175"/>
    <w:rsid w:val="17345C65"/>
    <w:rsid w:val="173739A8"/>
    <w:rsid w:val="17377504"/>
    <w:rsid w:val="17455147"/>
    <w:rsid w:val="174A7237"/>
    <w:rsid w:val="175C51BC"/>
    <w:rsid w:val="17620A24"/>
    <w:rsid w:val="17626C76"/>
    <w:rsid w:val="176C28C7"/>
    <w:rsid w:val="176D1177"/>
    <w:rsid w:val="1772678E"/>
    <w:rsid w:val="1776627E"/>
    <w:rsid w:val="177E5132"/>
    <w:rsid w:val="17A0712F"/>
    <w:rsid w:val="17A7069E"/>
    <w:rsid w:val="17B06B00"/>
    <w:rsid w:val="17B60D70"/>
    <w:rsid w:val="17B648CC"/>
    <w:rsid w:val="17B86896"/>
    <w:rsid w:val="17C0399D"/>
    <w:rsid w:val="17C3523B"/>
    <w:rsid w:val="17C92852"/>
    <w:rsid w:val="17CD3902"/>
    <w:rsid w:val="17CE6199"/>
    <w:rsid w:val="17D42FA4"/>
    <w:rsid w:val="17D8473E"/>
    <w:rsid w:val="17DD7783"/>
    <w:rsid w:val="17E01949"/>
    <w:rsid w:val="17EC4792"/>
    <w:rsid w:val="17EE22B8"/>
    <w:rsid w:val="17F56C61"/>
    <w:rsid w:val="17F65611"/>
    <w:rsid w:val="17FB6783"/>
    <w:rsid w:val="18133ACD"/>
    <w:rsid w:val="181A0A1C"/>
    <w:rsid w:val="181B0BD3"/>
    <w:rsid w:val="181D0DEF"/>
    <w:rsid w:val="181E2472"/>
    <w:rsid w:val="182B350C"/>
    <w:rsid w:val="182E4DAB"/>
    <w:rsid w:val="18335F1D"/>
    <w:rsid w:val="18381785"/>
    <w:rsid w:val="183B17EE"/>
    <w:rsid w:val="183D6D9C"/>
    <w:rsid w:val="184E2EA9"/>
    <w:rsid w:val="184E71FB"/>
    <w:rsid w:val="18581E27"/>
    <w:rsid w:val="18583BD5"/>
    <w:rsid w:val="185C5731"/>
    <w:rsid w:val="185C62B8"/>
    <w:rsid w:val="186407CC"/>
    <w:rsid w:val="1864257A"/>
    <w:rsid w:val="18721A3A"/>
    <w:rsid w:val="18793958"/>
    <w:rsid w:val="18823AC5"/>
    <w:rsid w:val="18893A58"/>
    <w:rsid w:val="1890511D"/>
    <w:rsid w:val="18916B15"/>
    <w:rsid w:val="18957613"/>
    <w:rsid w:val="189C686D"/>
    <w:rsid w:val="18A84B5D"/>
    <w:rsid w:val="18AE1A47"/>
    <w:rsid w:val="18B057C0"/>
    <w:rsid w:val="18B84674"/>
    <w:rsid w:val="18BC4164"/>
    <w:rsid w:val="18BF4571"/>
    <w:rsid w:val="18C43019"/>
    <w:rsid w:val="18CE20EA"/>
    <w:rsid w:val="18D05E62"/>
    <w:rsid w:val="18DA0A8E"/>
    <w:rsid w:val="18E15979"/>
    <w:rsid w:val="18EA6F23"/>
    <w:rsid w:val="18F356AC"/>
    <w:rsid w:val="18FD340F"/>
    <w:rsid w:val="1903089F"/>
    <w:rsid w:val="190B0C48"/>
    <w:rsid w:val="1910625E"/>
    <w:rsid w:val="19125D54"/>
    <w:rsid w:val="191306DF"/>
    <w:rsid w:val="1917583F"/>
    <w:rsid w:val="191A0E8B"/>
    <w:rsid w:val="19232435"/>
    <w:rsid w:val="192F0DDA"/>
    <w:rsid w:val="192F4936"/>
    <w:rsid w:val="19397DE7"/>
    <w:rsid w:val="193E2DCB"/>
    <w:rsid w:val="19445F08"/>
    <w:rsid w:val="194B7AF0"/>
    <w:rsid w:val="19512E99"/>
    <w:rsid w:val="1954439D"/>
    <w:rsid w:val="1957699C"/>
    <w:rsid w:val="195B397D"/>
    <w:rsid w:val="195E6FCA"/>
    <w:rsid w:val="195F2D42"/>
    <w:rsid w:val="196355F2"/>
    <w:rsid w:val="19720CC7"/>
    <w:rsid w:val="19722A75"/>
    <w:rsid w:val="197B401F"/>
    <w:rsid w:val="198527A8"/>
    <w:rsid w:val="198B3B37"/>
    <w:rsid w:val="199155F1"/>
    <w:rsid w:val="199926F8"/>
    <w:rsid w:val="19A90B8D"/>
    <w:rsid w:val="19AF1F1B"/>
    <w:rsid w:val="19B906A4"/>
    <w:rsid w:val="19BD63E6"/>
    <w:rsid w:val="19C57049"/>
    <w:rsid w:val="19CF7C98"/>
    <w:rsid w:val="19D43730"/>
    <w:rsid w:val="19DB061A"/>
    <w:rsid w:val="19DB3D80"/>
    <w:rsid w:val="19E27BFB"/>
    <w:rsid w:val="19E41BC5"/>
    <w:rsid w:val="19E75211"/>
    <w:rsid w:val="19E82D37"/>
    <w:rsid w:val="19F53DD2"/>
    <w:rsid w:val="1A0775B7"/>
    <w:rsid w:val="1A0832FB"/>
    <w:rsid w:val="1A27159F"/>
    <w:rsid w:val="1A3760C8"/>
    <w:rsid w:val="1A514D80"/>
    <w:rsid w:val="1A5959E3"/>
    <w:rsid w:val="1A5B175B"/>
    <w:rsid w:val="1A5B5BFF"/>
    <w:rsid w:val="1A622AE9"/>
    <w:rsid w:val="1A654388"/>
    <w:rsid w:val="1A761C17"/>
    <w:rsid w:val="1A7C004F"/>
    <w:rsid w:val="1A824F3A"/>
    <w:rsid w:val="1A8769F4"/>
    <w:rsid w:val="1A8D5661"/>
    <w:rsid w:val="1A937147"/>
    <w:rsid w:val="1ABD5F72"/>
    <w:rsid w:val="1ACF5051"/>
    <w:rsid w:val="1AD1680D"/>
    <w:rsid w:val="1AE538DB"/>
    <w:rsid w:val="1AEE25CF"/>
    <w:rsid w:val="1AF851FC"/>
    <w:rsid w:val="1B1464DA"/>
    <w:rsid w:val="1B275E89"/>
    <w:rsid w:val="1B2B55D1"/>
    <w:rsid w:val="1B2F50C2"/>
    <w:rsid w:val="1B324BB2"/>
    <w:rsid w:val="1B34092A"/>
    <w:rsid w:val="1B397CEE"/>
    <w:rsid w:val="1B3A3A66"/>
    <w:rsid w:val="1B3A5814"/>
    <w:rsid w:val="1B3B1CB8"/>
    <w:rsid w:val="1B5E59A7"/>
    <w:rsid w:val="1B650AE3"/>
    <w:rsid w:val="1B75684C"/>
    <w:rsid w:val="1B7C5E2D"/>
    <w:rsid w:val="1B8076CB"/>
    <w:rsid w:val="1B9969DF"/>
    <w:rsid w:val="1B9B1759"/>
    <w:rsid w:val="1BA52394"/>
    <w:rsid w:val="1BA62EAA"/>
    <w:rsid w:val="1BB04214"/>
    <w:rsid w:val="1BB235FD"/>
    <w:rsid w:val="1BB43819"/>
    <w:rsid w:val="1BB47375"/>
    <w:rsid w:val="1BB76E65"/>
    <w:rsid w:val="1BC05D1A"/>
    <w:rsid w:val="1BC131C3"/>
    <w:rsid w:val="1BC31CAE"/>
    <w:rsid w:val="1BC670A8"/>
    <w:rsid w:val="1BCA4DEA"/>
    <w:rsid w:val="1BD042EB"/>
    <w:rsid w:val="1BD17F27"/>
    <w:rsid w:val="1BD6378F"/>
    <w:rsid w:val="1BDE0896"/>
    <w:rsid w:val="1BEF5FA9"/>
    <w:rsid w:val="1BFE4A94"/>
    <w:rsid w:val="1C085913"/>
    <w:rsid w:val="1C0E2F29"/>
    <w:rsid w:val="1C111C42"/>
    <w:rsid w:val="1C142509"/>
    <w:rsid w:val="1C1442B7"/>
    <w:rsid w:val="1C183DA8"/>
    <w:rsid w:val="1C1C4F1A"/>
    <w:rsid w:val="1C224C26"/>
    <w:rsid w:val="1C252021"/>
    <w:rsid w:val="1C2B6E0C"/>
    <w:rsid w:val="1C2D7127"/>
    <w:rsid w:val="1C424981"/>
    <w:rsid w:val="1C44694B"/>
    <w:rsid w:val="1C4526C3"/>
    <w:rsid w:val="1C5C0B3E"/>
    <w:rsid w:val="1C766D20"/>
    <w:rsid w:val="1C7D00AF"/>
    <w:rsid w:val="1C7D3C0B"/>
    <w:rsid w:val="1C80194D"/>
    <w:rsid w:val="1C827473"/>
    <w:rsid w:val="1C844F99"/>
    <w:rsid w:val="1C8925AF"/>
    <w:rsid w:val="1C961170"/>
    <w:rsid w:val="1C9D605B"/>
    <w:rsid w:val="1CA13D9D"/>
    <w:rsid w:val="1CB33715"/>
    <w:rsid w:val="1CC037BD"/>
    <w:rsid w:val="1CC25AC1"/>
    <w:rsid w:val="1CD22153"/>
    <w:rsid w:val="1CE43C8A"/>
    <w:rsid w:val="1CEB14BC"/>
    <w:rsid w:val="1CFC5477"/>
    <w:rsid w:val="1D0165EA"/>
    <w:rsid w:val="1D0C4F8F"/>
    <w:rsid w:val="1D104A7F"/>
    <w:rsid w:val="1D1218AC"/>
    <w:rsid w:val="1D2247B2"/>
    <w:rsid w:val="1D2422D8"/>
    <w:rsid w:val="1D271DC8"/>
    <w:rsid w:val="1D287D9C"/>
    <w:rsid w:val="1D2A0D94"/>
    <w:rsid w:val="1D2B7B0B"/>
    <w:rsid w:val="1D2E13A9"/>
    <w:rsid w:val="1D344C11"/>
    <w:rsid w:val="1D41732E"/>
    <w:rsid w:val="1D44297A"/>
    <w:rsid w:val="1D507571"/>
    <w:rsid w:val="1D5232E9"/>
    <w:rsid w:val="1D526823"/>
    <w:rsid w:val="1D5A03F0"/>
    <w:rsid w:val="1D747CDC"/>
    <w:rsid w:val="1D750D86"/>
    <w:rsid w:val="1D8258AE"/>
    <w:rsid w:val="1D856CB7"/>
    <w:rsid w:val="1D887F78"/>
    <w:rsid w:val="1D8B67FB"/>
    <w:rsid w:val="1D8F725D"/>
    <w:rsid w:val="1DA07D7A"/>
    <w:rsid w:val="1DAC6862"/>
    <w:rsid w:val="1DAD49C3"/>
    <w:rsid w:val="1DAF4A05"/>
    <w:rsid w:val="1DB25B36"/>
    <w:rsid w:val="1DB838D7"/>
    <w:rsid w:val="1DC93146"/>
    <w:rsid w:val="1DCB4E4A"/>
    <w:rsid w:val="1DCB6BF8"/>
    <w:rsid w:val="1DD51824"/>
    <w:rsid w:val="1DD957B9"/>
    <w:rsid w:val="1DDB508D"/>
    <w:rsid w:val="1DDE2DCF"/>
    <w:rsid w:val="1DDF4451"/>
    <w:rsid w:val="1DE657E0"/>
    <w:rsid w:val="1DEA3522"/>
    <w:rsid w:val="1DEC15DB"/>
    <w:rsid w:val="1DEC729A"/>
    <w:rsid w:val="1DF502FC"/>
    <w:rsid w:val="1E032835"/>
    <w:rsid w:val="1E0A5972"/>
    <w:rsid w:val="1E171E3D"/>
    <w:rsid w:val="1E1A5D2C"/>
    <w:rsid w:val="1E1E141D"/>
    <w:rsid w:val="1E1F1EBF"/>
    <w:rsid w:val="1E220F0E"/>
    <w:rsid w:val="1E234C86"/>
    <w:rsid w:val="1E311151"/>
    <w:rsid w:val="1E334EC9"/>
    <w:rsid w:val="1E37603B"/>
    <w:rsid w:val="1E426EBA"/>
    <w:rsid w:val="1E51534F"/>
    <w:rsid w:val="1E5666DD"/>
    <w:rsid w:val="1E601A36"/>
    <w:rsid w:val="1E610F02"/>
    <w:rsid w:val="1E71779F"/>
    <w:rsid w:val="1E8170BF"/>
    <w:rsid w:val="1E9F4917"/>
    <w:rsid w:val="1EA758DF"/>
    <w:rsid w:val="1EC04283"/>
    <w:rsid w:val="1EC975DB"/>
    <w:rsid w:val="1ECB3353"/>
    <w:rsid w:val="1ECD34E0"/>
    <w:rsid w:val="1ECE699F"/>
    <w:rsid w:val="1ED1023E"/>
    <w:rsid w:val="1ED538EF"/>
    <w:rsid w:val="1EDA17E8"/>
    <w:rsid w:val="1EDB2E6A"/>
    <w:rsid w:val="1EDD3086"/>
    <w:rsid w:val="1EDE6925"/>
    <w:rsid w:val="1EE14925"/>
    <w:rsid w:val="1EF04B68"/>
    <w:rsid w:val="1EF31724"/>
    <w:rsid w:val="1EF34658"/>
    <w:rsid w:val="1EF53F2C"/>
    <w:rsid w:val="1EFD54D7"/>
    <w:rsid w:val="1F02239C"/>
    <w:rsid w:val="1F093E7B"/>
    <w:rsid w:val="1F0C571A"/>
    <w:rsid w:val="1F10520A"/>
    <w:rsid w:val="1F176598"/>
    <w:rsid w:val="1F1A1BE5"/>
    <w:rsid w:val="1F1F7B81"/>
    <w:rsid w:val="1F207821"/>
    <w:rsid w:val="1F374545"/>
    <w:rsid w:val="1F42113B"/>
    <w:rsid w:val="1F464788"/>
    <w:rsid w:val="1F470500"/>
    <w:rsid w:val="1F4D3D68"/>
    <w:rsid w:val="1F4E188E"/>
    <w:rsid w:val="1F6E3CDF"/>
    <w:rsid w:val="1F7C289F"/>
    <w:rsid w:val="1F7F7C9A"/>
    <w:rsid w:val="1F8B28A6"/>
    <w:rsid w:val="1F8C3E0D"/>
    <w:rsid w:val="1F8F25D3"/>
    <w:rsid w:val="1F925C1F"/>
    <w:rsid w:val="1F986C6B"/>
    <w:rsid w:val="1FA12306"/>
    <w:rsid w:val="1FA15E62"/>
    <w:rsid w:val="1FA6669F"/>
    <w:rsid w:val="1FA94D17"/>
    <w:rsid w:val="1FAB6CE1"/>
    <w:rsid w:val="1FAD006E"/>
    <w:rsid w:val="1FB060A5"/>
    <w:rsid w:val="1FB43DE7"/>
    <w:rsid w:val="1FB57B5F"/>
    <w:rsid w:val="1FBA5176"/>
    <w:rsid w:val="1FC102B2"/>
    <w:rsid w:val="1FD541CC"/>
    <w:rsid w:val="1FE43FA1"/>
    <w:rsid w:val="1FEB3581"/>
    <w:rsid w:val="1FF70178"/>
    <w:rsid w:val="200603BB"/>
    <w:rsid w:val="20146634"/>
    <w:rsid w:val="20190339"/>
    <w:rsid w:val="201F7B62"/>
    <w:rsid w:val="2020322B"/>
    <w:rsid w:val="20256A93"/>
    <w:rsid w:val="20281085"/>
    <w:rsid w:val="202D79FF"/>
    <w:rsid w:val="204D1B46"/>
    <w:rsid w:val="205D447F"/>
    <w:rsid w:val="20605D1D"/>
    <w:rsid w:val="20623843"/>
    <w:rsid w:val="20686980"/>
    <w:rsid w:val="20692E24"/>
    <w:rsid w:val="206D21E8"/>
    <w:rsid w:val="207D067D"/>
    <w:rsid w:val="20827A42"/>
    <w:rsid w:val="208C08C0"/>
    <w:rsid w:val="209D4F4E"/>
    <w:rsid w:val="20A35C0A"/>
    <w:rsid w:val="20B63B8F"/>
    <w:rsid w:val="20D64231"/>
    <w:rsid w:val="20DA787E"/>
    <w:rsid w:val="20DD111C"/>
    <w:rsid w:val="20DF4E94"/>
    <w:rsid w:val="20E73D48"/>
    <w:rsid w:val="20E8307A"/>
    <w:rsid w:val="20ED064D"/>
    <w:rsid w:val="20F90501"/>
    <w:rsid w:val="20FD17BE"/>
    <w:rsid w:val="21025026"/>
    <w:rsid w:val="211865F8"/>
    <w:rsid w:val="211A5ECC"/>
    <w:rsid w:val="211D59BC"/>
    <w:rsid w:val="212B632B"/>
    <w:rsid w:val="21313216"/>
    <w:rsid w:val="213276BA"/>
    <w:rsid w:val="213351E0"/>
    <w:rsid w:val="21486EDD"/>
    <w:rsid w:val="21494A03"/>
    <w:rsid w:val="215973F2"/>
    <w:rsid w:val="215A276C"/>
    <w:rsid w:val="215F3821"/>
    <w:rsid w:val="21611D4D"/>
    <w:rsid w:val="216B6728"/>
    <w:rsid w:val="2177331E"/>
    <w:rsid w:val="217F0425"/>
    <w:rsid w:val="217F6677"/>
    <w:rsid w:val="21853CB9"/>
    <w:rsid w:val="2186530F"/>
    <w:rsid w:val="21894E00"/>
    <w:rsid w:val="218E68BA"/>
    <w:rsid w:val="218F3D3D"/>
    <w:rsid w:val="219739C1"/>
    <w:rsid w:val="219A700D"/>
    <w:rsid w:val="21A34113"/>
    <w:rsid w:val="21AF0D0A"/>
    <w:rsid w:val="21B07155"/>
    <w:rsid w:val="21B77BBF"/>
    <w:rsid w:val="21C81DCC"/>
    <w:rsid w:val="21C978F2"/>
    <w:rsid w:val="21D62960"/>
    <w:rsid w:val="21DE15EF"/>
    <w:rsid w:val="21DF2ED8"/>
    <w:rsid w:val="21E07116"/>
    <w:rsid w:val="21E5472C"/>
    <w:rsid w:val="21F11323"/>
    <w:rsid w:val="21F52495"/>
    <w:rsid w:val="21F7445F"/>
    <w:rsid w:val="220646A2"/>
    <w:rsid w:val="22066450"/>
    <w:rsid w:val="220E602A"/>
    <w:rsid w:val="22121299"/>
    <w:rsid w:val="2217240B"/>
    <w:rsid w:val="221D42BA"/>
    <w:rsid w:val="22213649"/>
    <w:rsid w:val="2223038E"/>
    <w:rsid w:val="223034CD"/>
    <w:rsid w:val="22325497"/>
    <w:rsid w:val="22407BB4"/>
    <w:rsid w:val="22433200"/>
    <w:rsid w:val="224A0E08"/>
    <w:rsid w:val="224C47AB"/>
    <w:rsid w:val="22521696"/>
    <w:rsid w:val="22552F34"/>
    <w:rsid w:val="226C6BFB"/>
    <w:rsid w:val="22721A61"/>
    <w:rsid w:val="22925F36"/>
    <w:rsid w:val="229D6DB5"/>
    <w:rsid w:val="22A16179"/>
    <w:rsid w:val="22A53EBB"/>
    <w:rsid w:val="22A80539"/>
    <w:rsid w:val="22A85759"/>
    <w:rsid w:val="22B365D8"/>
    <w:rsid w:val="22B42350"/>
    <w:rsid w:val="22BB43D7"/>
    <w:rsid w:val="22BD7457"/>
    <w:rsid w:val="22BE4F7D"/>
    <w:rsid w:val="22C02AA3"/>
    <w:rsid w:val="22CA3482"/>
    <w:rsid w:val="22D87DED"/>
    <w:rsid w:val="22D969EF"/>
    <w:rsid w:val="22DA1DB7"/>
    <w:rsid w:val="22DD5403"/>
    <w:rsid w:val="22EF5136"/>
    <w:rsid w:val="22F32E79"/>
    <w:rsid w:val="22F62969"/>
    <w:rsid w:val="22F8223D"/>
    <w:rsid w:val="22FF7A6F"/>
    <w:rsid w:val="2302327F"/>
    <w:rsid w:val="23040BE2"/>
    <w:rsid w:val="23072480"/>
    <w:rsid w:val="231177A3"/>
    <w:rsid w:val="231925AC"/>
    <w:rsid w:val="23353491"/>
    <w:rsid w:val="2335523F"/>
    <w:rsid w:val="233D2346"/>
    <w:rsid w:val="23445482"/>
    <w:rsid w:val="234731C4"/>
    <w:rsid w:val="234C4337"/>
    <w:rsid w:val="234E00AF"/>
    <w:rsid w:val="234F5BD5"/>
    <w:rsid w:val="235C6C70"/>
    <w:rsid w:val="235F406A"/>
    <w:rsid w:val="23645B24"/>
    <w:rsid w:val="236773C3"/>
    <w:rsid w:val="236D2C2B"/>
    <w:rsid w:val="237D6BE6"/>
    <w:rsid w:val="23812232"/>
    <w:rsid w:val="23925DE1"/>
    <w:rsid w:val="23B136CE"/>
    <w:rsid w:val="23B56380"/>
    <w:rsid w:val="23C6058D"/>
    <w:rsid w:val="23C82878"/>
    <w:rsid w:val="23D031BA"/>
    <w:rsid w:val="23D06D16"/>
    <w:rsid w:val="23D26F32"/>
    <w:rsid w:val="23E115E8"/>
    <w:rsid w:val="23EC3D11"/>
    <w:rsid w:val="23F32A04"/>
    <w:rsid w:val="23F92711"/>
    <w:rsid w:val="24002F48"/>
    <w:rsid w:val="24082954"/>
    <w:rsid w:val="240864B0"/>
    <w:rsid w:val="240B2444"/>
    <w:rsid w:val="24183A7C"/>
    <w:rsid w:val="241E2177"/>
    <w:rsid w:val="242D23BA"/>
    <w:rsid w:val="243454F7"/>
    <w:rsid w:val="243A0981"/>
    <w:rsid w:val="243B4AD7"/>
    <w:rsid w:val="244020ED"/>
    <w:rsid w:val="244514B2"/>
    <w:rsid w:val="24482D50"/>
    <w:rsid w:val="244A4D1A"/>
    <w:rsid w:val="245060A9"/>
    <w:rsid w:val="245C4A4D"/>
    <w:rsid w:val="245E1D27"/>
    <w:rsid w:val="2460453E"/>
    <w:rsid w:val="246D0A09"/>
    <w:rsid w:val="24793672"/>
    <w:rsid w:val="247C6E9E"/>
    <w:rsid w:val="248144B4"/>
    <w:rsid w:val="248D4C07"/>
    <w:rsid w:val="248F6BD1"/>
    <w:rsid w:val="24A5123F"/>
    <w:rsid w:val="24A51F50"/>
    <w:rsid w:val="24A87C93"/>
    <w:rsid w:val="24AE34FB"/>
    <w:rsid w:val="24B6415E"/>
    <w:rsid w:val="24B91EA0"/>
    <w:rsid w:val="24B93C4E"/>
    <w:rsid w:val="24C30A24"/>
    <w:rsid w:val="24C3687B"/>
    <w:rsid w:val="24C84151"/>
    <w:rsid w:val="24C90335"/>
    <w:rsid w:val="24CF521F"/>
    <w:rsid w:val="24CF6FCD"/>
    <w:rsid w:val="24D12D46"/>
    <w:rsid w:val="24D665AE"/>
    <w:rsid w:val="24D745A3"/>
    <w:rsid w:val="24E16D01"/>
    <w:rsid w:val="24E3577E"/>
    <w:rsid w:val="24EE7D9B"/>
    <w:rsid w:val="24FB7DC2"/>
    <w:rsid w:val="2500187D"/>
    <w:rsid w:val="25070E5D"/>
    <w:rsid w:val="251B0465"/>
    <w:rsid w:val="2527505B"/>
    <w:rsid w:val="25407ECB"/>
    <w:rsid w:val="254A1F6B"/>
    <w:rsid w:val="254C4AC2"/>
    <w:rsid w:val="254E25E8"/>
    <w:rsid w:val="25585215"/>
    <w:rsid w:val="25626093"/>
    <w:rsid w:val="256A0792"/>
    <w:rsid w:val="25781413"/>
    <w:rsid w:val="257F6C45"/>
    <w:rsid w:val="258B7398"/>
    <w:rsid w:val="259C77F7"/>
    <w:rsid w:val="25A71967"/>
    <w:rsid w:val="25A8619C"/>
    <w:rsid w:val="25AD37B3"/>
    <w:rsid w:val="25AF752A"/>
    <w:rsid w:val="25B368EF"/>
    <w:rsid w:val="25B74631"/>
    <w:rsid w:val="25D725DE"/>
    <w:rsid w:val="25DC0C0D"/>
    <w:rsid w:val="25EA5B86"/>
    <w:rsid w:val="25EB7927"/>
    <w:rsid w:val="25F969F8"/>
    <w:rsid w:val="25FA62CC"/>
    <w:rsid w:val="25FF1B34"/>
    <w:rsid w:val="2609650F"/>
    <w:rsid w:val="260D5FFF"/>
    <w:rsid w:val="26213859"/>
    <w:rsid w:val="26217CFD"/>
    <w:rsid w:val="262477ED"/>
    <w:rsid w:val="262B46D7"/>
    <w:rsid w:val="2637307C"/>
    <w:rsid w:val="26385E8A"/>
    <w:rsid w:val="263A2B6C"/>
    <w:rsid w:val="263E6FB9"/>
    <w:rsid w:val="26467B59"/>
    <w:rsid w:val="264B2FCC"/>
    <w:rsid w:val="265005E2"/>
    <w:rsid w:val="265160C8"/>
    <w:rsid w:val="26541E80"/>
    <w:rsid w:val="265579A6"/>
    <w:rsid w:val="265E11E3"/>
    <w:rsid w:val="26697CF7"/>
    <w:rsid w:val="26747E2C"/>
    <w:rsid w:val="267A740D"/>
    <w:rsid w:val="267B3222"/>
    <w:rsid w:val="267C13D7"/>
    <w:rsid w:val="267E6EFD"/>
    <w:rsid w:val="268D5392"/>
    <w:rsid w:val="26915CAC"/>
    <w:rsid w:val="26923F1B"/>
    <w:rsid w:val="2694227D"/>
    <w:rsid w:val="26A60202"/>
    <w:rsid w:val="26A76454"/>
    <w:rsid w:val="26AC3A6A"/>
    <w:rsid w:val="26B20955"/>
    <w:rsid w:val="26B66697"/>
    <w:rsid w:val="26B741BD"/>
    <w:rsid w:val="26BE379D"/>
    <w:rsid w:val="26CA0394"/>
    <w:rsid w:val="26D42FC1"/>
    <w:rsid w:val="26D905D7"/>
    <w:rsid w:val="26DB7EAB"/>
    <w:rsid w:val="26E30CDC"/>
    <w:rsid w:val="26E36D60"/>
    <w:rsid w:val="26EC20B9"/>
    <w:rsid w:val="26FB22FC"/>
    <w:rsid w:val="26FE003E"/>
    <w:rsid w:val="270C4509"/>
    <w:rsid w:val="271B299E"/>
    <w:rsid w:val="271B6F16"/>
    <w:rsid w:val="272958A8"/>
    <w:rsid w:val="272C6959"/>
    <w:rsid w:val="27306831"/>
    <w:rsid w:val="27383CA7"/>
    <w:rsid w:val="2738639A"/>
    <w:rsid w:val="273D39B0"/>
    <w:rsid w:val="27455C6D"/>
    <w:rsid w:val="27457A1B"/>
    <w:rsid w:val="274C6FFB"/>
    <w:rsid w:val="275D4D64"/>
    <w:rsid w:val="275D6B12"/>
    <w:rsid w:val="276274D0"/>
    <w:rsid w:val="276854B7"/>
    <w:rsid w:val="27743E5C"/>
    <w:rsid w:val="278422F1"/>
    <w:rsid w:val="278975E5"/>
    <w:rsid w:val="278E3170"/>
    <w:rsid w:val="27916924"/>
    <w:rsid w:val="27AC5CEC"/>
    <w:rsid w:val="27B0758A"/>
    <w:rsid w:val="27B12B44"/>
    <w:rsid w:val="27C13545"/>
    <w:rsid w:val="27DA0163"/>
    <w:rsid w:val="27E014F2"/>
    <w:rsid w:val="27E965F8"/>
    <w:rsid w:val="27ED6457"/>
    <w:rsid w:val="27FF5E1C"/>
    <w:rsid w:val="28110E64"/>
    <w:rsid w:val="281D62A2"/>
    <w:rsid w:val="281E2746"/>
    <w:rsid w:val="282B09BF"/>
    <w:rsid w:val="28304227"/>
    <w:rsid w:val="2835183D"/>
    <w:rsid w:val="283A6E54"/>
    <w:rsid w:val="28416434"/>
    <w:rsid w:val="28447750"/>
    <w:rsid w:val="284B72B3"/>
    <w:rsid w:val="284F6DA3"/>
    <w:rsid w:val="28503FDC"/>
    <w:rsid w:val="285C14C0"/>
    <w:rsid w:val="286D0FD7"/>
    <w:rsid w:val="287E4F92"/>
    <w:rsid w:val="288A26C9"/>
    <w:rsid w:val="28926C90"/>
    <w:rsid w:val="2895052E"/>
    <w:rsid w:val="28991DCC"/>
    <w:rsid w:val="28A644E9"/>
    <w:rsid w:val="28AE66C7"/>
    <w:rsid w:val="28AF339E"/>
    <w:rsid w:val="28B5297E"/>
    <w:rsid w:val="28BF3505"/>
    <w:rsid w:val="28CA642A"/>
    <w:rsid w:val="28CF1C92"/>
    <w:rsid w:val="28D9083E"/>
    <w:rsid w:val="28E15521"/>
    <w:rsid w:val="28EA6ACC"/>
    <w:rsid w:val="28EF40E2"/>
    <w:rsid w:val="28FA4760"/>
    <w:rsid w:val="28FB4835"/>
    <w:rsid w:val="28FC05AD"/>
    <w:rsid w:val="29001F50"/>
    <w:rsid w:val="2907142C"/>
    <w:rsid w:val="290F208E"/>
    <w:rsid w:val="29194884"/>
    <w:rsid w:val="291C5438"/>
    <w:rsid w:val="292E4C0A"/>
    <w:rsid w:val="292F24BE"/>
    <w:rsid w:val="293009CA"/>
    <w:rsid w:val="293164A9"/>
    <w:rsid w:val="29323FCF"/>
    <w:rsid w:val="293B5F86"/>
    <w:rsid w:val="293E4722"/>
    <w:rsid w:val="29534671"/>
    <w:rsid w:val="29634188"/>
    <w:rsid w:val="296E3259"/>
    <w:rsid w:val="2976210D"/>
    <w:rsid w:val="29780903"/>
    <w:rsid w:val="297840D8"/>
    <w:rsid w:val="297A286D"/>
    <w:rsid w:val="297B1F53"/>
    <w:rsid w:val="29826D04"/>
    <w:rsid w:val="298365D8"/>
    <w:rsid w:val="29A053DC"/>
    <w:rsid w:val="29AE18A7"/>
    <w:rsid w:val="29C0393B"/>
    <w:rsid w:val="29C235A5"/>
    <w:rsid w:val="29C63095"/>
    <w:rsid w:val="29CE019B"/>
    <w:rsid w:val="29D41C18"/>
    <w:rsid w:val="29DB6414"/>
    <w:rsid w:val="29DD3F3B"/>
    <w:rsid w:val="29E057D9"/>
    <w:rsid w:val="29F51284"/>
    <w:rsid w:val="2A021BF3"/>
    <w:rsid w:val="2A0A42E6"/>
    <w:rsid w:val="2A135BAE"/>
    <w:rsid w:val="2A1D2DF3"/>
    <w:rsid w:val="2A2B43FC"/>
    <w:rsid w:val="2A2F3CDF"/>
    <w:rsid w:val="2A337FFE"/>
    <w:rsid w:val="2A391AB9"/>
    <w:rsid w:val="2A3A75DF"/>
    <w:rsid w:val="2A3C5105"/>
    <w:rsid w:val="2A443FBA"/>
    <w:rsid w:val="2A5306A1"/>
    <w:rsid w:val="2A554419"/>
    <w:rsid w:val="2A645CAD"/>
    <w:rsid w:val="2A742AF1"/>
    <w:rsid w:val="2A7D74CC"/>
    <w:rsid w:val="2A834F1F"/>
    <w:rsid w:val="2A9036A3"/>
    <w:rsid w:val="2A954815"/>
    <w:rsid w:val="2A9A1CF1"/>
    <w:rsid w:val="2A9A62D0"/>
    <w:rsid w:val="2A9C3DF6"/>
    <w:rsid w:val="2A9C5BA4"/>
    <w:rsid w:val="2AA809EC"/>
    <w:rsid w:val="2AAD7DB1"/>
    <w:rsid w:val="2AAF138F"/>
    <w:rsid w:val="2AB949A8"/>
    <w:rsid w:val="2AC60E73"/>
    <w:rsid w:val="2AC62C21"/>
    <w:rsid w:val="2ACF5F79"/>
    <w:rsid w:val="2ACF7D27"/>
    <w:rsid w:val="2AD92987"/>
    <w:rsid w:val="2AE9690F"/>
    <w:rsid w:val="2AEF03C9"/>
    <w:rsid w:val="2AF552B4"/>
    <w:rsid w:val="2AFE407F"/>
    <w:rsid w:val="2B057BED"/>
    <w:rsid w:val="2B17347C"/>
    <w:rsid w:val="2B177920"/>
    <w:rsid w:val="2B1C4DBF"/>
    <w:rsid w:val="2B230073"/>
    <w:rsid w:val="2B2636BF"/>
    <w:rsid w:val="2B2A31B0"/>
    <w:rsid w:val="2B2D0EF2"/>
    <w:rsid w:val="2B312790"/>
    <w:rsid w:val="2B3C2EE3"/>
    <w:rsid w:val="2B3E4EAD"/>
    <w:rsid w:val="2B42499D"/>
    <w:rsid w:val="2B45448D"/>
    <w:rsid w:val="2B50356B"/>
    <w:rsid w:val="2B563FA5"/>
    <w:rsid w:val="2B6A5CA2"/>
    <w:rsid w:val="2B7D59D5"/>
    <w:rsid w:val="2B82123D"/>
    <w:rsid w:val="2B836D64"/>
    <w:rsid w:val="2B870602"/>
    <w:rsid w:val="2B8E7BE2"/>
    <w:rsid w:val="2B992EDD"/>
    <w:rsid w:val="2BB04698"/>
    <w:rsid w:val="2BB1567F"/>
    <w:rsid w:val="2BB4516F"/>
    <w:rsid w:val="2BB46227"/>
    <w:rsid w:val="2BBE7D9C"/>
    <w:rsid w:val="2BC270C8"/>
    <w:rsid w:val="2BC52ED8"/>
    <w:rsid w:val="2BC929C8"/>
    <w:rsid w:val="2BCC24B9"/>
    <w:rsid w:val="2BDE3F9A"/>
    <w:rsid w:val="2BE47802"/>
    <w:rsid w:val="2BEA3703"/>
    <w:rsid w:val="2BF0264B"/>
    <w:rsid w:val="2BF44F91"/>
    <w:rsid w:val="2BFE4851"/>
    <w:rsid w:val="2C027C88"/>
    <w:rsid w:val="2C091017"/>
    <w:rsid w:val="2C0C0B07"/>
    <w:rsid w:val="2C106849"/>
    <w:rsid w:val="2C1125C1"/>
    <w:rsid w:val="2C155C0E"/>
    <w:rsid w:val="2C1A1476"/>
    <w:rsid w:val="2C2432C5"/>
    <w:rsid w:val="2C273B93"/>
    <w:rsid w:val="2C2825D7"/>
    <w:rsid w:val="2C3A1B18"/>
    <w:rsid w:val="2C3E0E32"/>
    <w:rsid w:val="2C42277B"/>
    <w:rsid w:val="2C4B162F"/>
    <w:rsid w:val="2C4D53F9"/>
    <w:rsid w:val="2C504E98"/>
    <w:rsid w:val="2C5053E5"/>
    <w:rsid w:val="2C5F332D"/>
    <w:rsid w:val="2C602C01"/>
    <w:rsid w:val="2C622E1D"/>
    <w:rsid w:val="2C624BC6"/>
    <w:rsid w:val="2C6C25F1"/>
    <w:rsid w:val="2C83526D"/>
    <w:rsid w:val="2C862667"/>
    <w:rsid w:val="2C8903AA"/>
    <w:rsid w:val="2C8B4122"/>
    <w:rsid w:val="2C9143AA"/>
    <w:rsid w:val="2C954FA0"/>
    <w:rsid w:val="2C990E57"/>
    <w:rsid w:val="2CA13945"/>
    <w:rsid w:val="2CA46F92"/>
    <w:rsid w:val="2CAB0320"/>
    <w:rsid w:val="2CAB47C4"/>
    <w:rsid w:val="2CAD23A4"/>
    <w:rsid w:val="2CAF6062"/>
    <w:rsid w:val="2CC15D95"/>
    <w:rsid w:val="2CC3566A"/>
    <w:rsid w:val="2CD06C13"/>
    <w:rsid w:val="2CD535EF"/>
    <w:rsid w:val="2CDA1498"/>
    <w:rsid w:val="2CDA6E57"/>
    <w:rsid w:val="2CE90E48"/>
    <w:rsid w:val="2CEF46B1"/>
    <w:rsid w:val="2CF27CFD"/>
    <w:rsid w:val="2CF73565"/>
    <w:rsid w:val="2CFA3055"/>
    <w:rsid w:val="2D085772"/>
    <w:rsid w:val="2D0A1DB8"/>
    <w:rsid w:val="2D0A3299"/>
    <w:rsid w:val="2D142369"/>
    <w:rsid w:val="2D145EC5"/>
    <w:rsid w:val="2D1759B5"/>
    <w:rsid w:val="2D182FF0"/>
    <w:rsid w:val="2D202ABC"/>
    <w:rsid w:val="2D320A41"/>
    <w:rsid w:val="2D39592C"/>
    <w:rsid w:val="2D3D2EDC"/>
    <w:rsid w:val="2D3E2F42"/>
    <w:rsid w:val="2D406CBA"/>
    <w:rsid w:val="2D49521F"/>
    <w:rsid w:val="2D4B4E2D"/>
    <w:rsid w:val="2D5A77C0"/>
    <w:rsid w:val="2D5B7F98"/>
    <w:rsid w:val="2D60110A"/>
    <w:rsid w:val="2D636E4D"/>
    <w:rsid w:val="2D6A3D37"/>
    <w:rsid w:val="2D713318"/>
    <w:rsid w:val="2D74105A"/>
    <w:rsid w:val="2D744BB6"/>
    <w:rsid w:val="2D76310C"/>
    <w:rsid w:val="2D765006"/>
    <w:rsid w:val="2D9D410D"/>
    <w:rsid w:val="2DAF2092"/>
    <w:rsid w:val="2DB86843"/>
    <w:rsid w:val="2DC01BA9"/>
    <w:rsid w:val="2DC518B5"/>
    <w:rsid w:val="2DCC49F2"/>
    <w:rsid w:val="2DCC67A0"/>
    <w:rsid w:val="2DD9710F"/>
    <w:rsid w:val="2DDA47E9"/>
    <w:rsid w:val="2DE0224B"/>
    <w:rsid w:val="2DEC0BF0"/>
    <w:rsid w:val="2DF14458"/>
    <w:rsid w:val="2DF301D1"/>
    <w:rsid w:val="2DF61A6F"/>
    <w:rsid w:val="2DF67CC1"/>
    <w:rsid w:val="2DF83A39"/>
    <w:rsid w:val="2DF87595"/>
    <w:rsid w:val="2DFE2383"/>
    <w:rsid w:val="2E035E72"/>
    <w:rsid w:val="2E0C1292"/>
    <w:rsid w:val="2E112405"/>
    <w:rsid w:val="2E1B3283"/>
    <w:rsid w:val="2E1D349F"/>
    <w:rsid w:val="2E222864"/>
    <w:rsid w:val="2E2963CD"/>
    <w:rsid w:val="2E2A3C30"/>
    <w:rsid w:val="2E3661A5"/>
    <w:rsid w:val="2E3A5DFF"/>
    <w:rsid w:val="2E4B1DBB"/>
    <w:rsid w:val="2E532A1D"/>
    <w:rsid w:val="2E586286"/>
    <w:rsid w:val="2E5A3DAC"/>
    <w:rsid w:val="2E5C3FC8"/>
    <w:rsid w:val="2E6115DE"/>
    <w:rsid w:val="2E6A50C3"/>
    <w:rsid w:val="2E6A7D67"/>
    <w:rsid w:val="2E6C65E9"/>
    <w:rsid w:val="2E6D7F83"/>
    <w:rsid w:val="2E7110F5"/>
    <w:rsid w:val="2E7330BF"/>
    <w:rsid w:val="2E7A3899"/>
    <w:rsid w:val="2E7D7A9A"/>
    <w:rsid w:val="2E884DBD"/>
    <w:rsid w:val="2E921798"/>
    <w:rsid w:val="2EB01C1E"/>
    <w:rsid w:val="2EB536D8"/>
    <w:rsid w:val="2EC55FA6"/>
    <w:rsid w:val="2ED00512"/>
    <w:rsid w:val="2EE95130"/>
    <w:rsid w:val="2EEE2746"/>
    <w:rsid w:val="2EF064BE"/>
    <w:rsid w:val="2EF44200"/>
    <w:rsid w:val="2EF835C5"/>
    <w:rsid w:val="2EF91817"/>
    <w:rsid w:val="2EFC4E63"/>
    <w:rsid w:val="2F065CE2"/>
    <w:rsid w:val="2F067A90"/>
    <w:rsid w:val="2F0A3A24"/>
    <w:rsid w:val="2F1877C3"/>
    <w:rsid w:val="2F1E127D"/>
    <w:rsid w:val="2F1F0B51"/>
    <w:rsid w:val="2F225080"/>
    <w:rsid w:val="2F2820FC"/>
    <w:rsid w:val="2F2B5748"/>
    <w:rsid w:val="2F37233F"/>
    <w:rsid w:val="2F3A598B"/>
    <w:rsid w:val="2F4800A8"/>
    <w:rsid w:val="2F4D1B62"/>
    <w:rsid w:val="2F511665"/>
    <w:rsid w:val="2F535D50"/>
    <w:rsid w:val="2F560A17"/>
    <w:rsid w:val="2F5C1DA5"/>
    <w:rsid w:val="2F656EAC"/>
    <w:rsid w:val="2F6A44C2"/>
    <w:rsid w:val="2F6B1FE9"/>
    <w:rsid w:val="2F6B3D97"/>
    <w:rsid w:val="2F6F1AD9"/>
    <w:rsid w:val="2F7610B9"/>
    <w:rsid w:val="2F806252"/>
    <w:rsid w:val="2F8310E0"/>
    <w:rsid w:val="2F917CA1"/>
    <w:rsid w:val="2F923A19"/>
    <w:rsid w:val="2F9331D6"/>
    <w:rsid w:val="2F9B467C"/>
    <w:rsid w:val="2FA35CF7"/>
    <w:rsid w:val="2FA379D4"/>
    <w:rsid w:val="2FA774C5"/>
    <w:rsid w:val="2FA84FEB"/>
    <w:rsid w:val="2FAD2601"/>
    <w:rsid w:val="2FAD43AF"/>
    <w:rsid w:val="2FB90FA6"/>
    <w:rsid w:val="2FC11C09"/>
    <w:rsid w:val="2FCC0559"/>
    <w:rsid w:val="2FCF07C9"/>
    <w:rsid w:val="2FD03036"/>
    <w:rsid w:val="2FD44032"/>
    <w:rsid w:val="2FD47B8E"/>
    <w:rsid w:val="2FD656B4"/>
    <w:rsid w:val="2FDB2CCA"/>
    <w:rsid w:val="2FED0C50"/>
    <w:rsid w:val="2FFB15BE"/>
    <w:rsid w:val="300A7A53"/>
    <w:rsid w:val="300C37CC"/>
    <w:rsid w:val="300F02F5"/>
    <w:rsid w:val="30161F54"/>
    <w:rsid w:val="301E705B"/>
    <w:rsid w:val="30240B15"/>
    <w:rsid w:val="30275F10"/>
    <w:rsid w:val="303E14AB"/>
    <w:rsid w:val="30416508"/>
    <w:rsid w:val="30425D7F"/>
    <w:rsid w:val="30444D13"/>
    <w:rsid w:val="304F5466"/>
    <w:rsid w:val="30591841"/>
    <w:rsid w:val="305A62E5"/>
    <w:rsid w:val="305D7B83"/>
    <w:rsid w:val="30647164"/>
    <w:rsid w:val="307448D2"/>
    <w:rsid w:val="30794CA9"/>
    <w:rsid w:val="307F7AFA"/>
    <w:rsid w:val="308974DB"/>
    <w:rsid w:val="309A2B85"/>
    <w:rsid w:val="309A4933"/>
    <w:rsid w:val="309D4424"/>
    <w:rsid w:val="30A77050"/>
    <w:rsid w:val="30AB4D93"/>
    <w:rsid w:val="30AB6B41"/>
    <w:rsid w:val="30AE6631"/>
    <w:rsid w:val="30BC0D4E"/>
    <w:rsid w:val="30DF67EA"/>
    <w:rsid w:val="30E20E8D"/>
    <w:rsid w:val="30F57DBC"/>
    <w:rsid w:val="30FC55EE"/>
    <w:rsid w:val="30FF50DE"/>
    <w:rsid w:val="31046251"/>
    <w:rsid w:val="310B15A3"/>
    <w:rsid w:val="310D3357"/>
    <w:rsid w:val="310F3573"/>
    <w:rsid w:val="31183C94"/>
    <w:rsid w:val="311B4A24"/>
    <w:rsid w:val="311E5564"/>
    <w:rsid w:val="31215055"/>
    <w:rsid w:val="31224929"/>
    <w:rsid w:val="312458E4"/>
    <w:rsid w:val="31290E2C"/>
    <w:rsid w:val="312B5ED3"/>
    <w:rsid w:val="312B7C81"/>
    <w:rsid w:val="31342FDA"/>
    <w:rsid w:val="314365DA"/>
    <w:rsid w:val="314D5E4A"/>
    <w:rsid w:val="31556FF7"/>
    <w:rsid w:val="315E0057"/>
    <w:rsid w:val="316311C9"/>
    <w:rsid w:val="3163566D"/>
    <w:rsid w:val="31644F41"/>
    <w:rsid w:val="31682C84"/>
    <w:rsid w:val="31684A32"/>
    <w:rsid w:val="316D2048"/>
    <w:rsid w:val="317258B0"/>
    <w:rsid w:val="31741628"/>
    <w:rsid w:val="317C228B"/>
    <w:rsid w:val="3196159F"/>
    <w:rsid w:val="31972C6C"/>
    <w:rsid w:val="319D6E9C"/>
    <w:rsid w:val="319E48F7"/>
    <w:rsid w:val="31AB491E"/>
    <w:rsid w:val="31AF08B2"/>
    <w:rsid w:val="31B22151"/>
    <w:rsid w:val="31BB1005"/>
    <w:rsid w:val="31C003CA"/>
    <w:rsid w:val="31C37EBA"/>
    <w:rsid w:val="31C854D0"/>
    <w:rsid w:val="31C87E7D"/>
    <w:rsid w:val="31C9091E"/>
    <w:rsid w:val="31D420C7"/>
    <w:rsid w:val="31D43E75"/>
    <w:rsid w:val="31E01503"/>
    <w:rsid w:val="31E63BA8"/>
    <w:rsid w:val="31F167D5"/>
    <w:rsid w:val="31FD7870"/>
    <w:rsid w:val="320A3D3B"/>
    <w:rsid w:val="320F30FF"/>
    <w:rsid w:val="32180206"/>
    <w:rsid w:val="32186458"/>
    <w:rsid w:val="321D3A6E"/>
    <w:rsid w:val="32222E32"/>
    <w:rsid w:val="32236BAB"/>
    <w:rsid w:val="322C3CB1"/>
    <w:rsid w:val="324234D5"/>
    <w:rsid w:val="324722CF"/>
    <w:rsid w:val="32476D3D"/>
    <w:rsid w:val="324835AD"/>
    <w:rsid w:val="32537490"/>
    <w:rsid w:val="325D030E"/>
    <w:rsid w:val="325D3E6B"/>
    <w:rsid w:val="325E7BE3"/>
    <w:rsid w:val="32672F3B"/>
    <w:rsid w:val="32755658"/>
    <w:rsid w:val="32837D71"/>
    <w:rsid w:val="328A09D8"/>
    <w:rsid w:val="329A6E6D"/>
    <w:rsid w:val="329D4BAF"/>
    <w:rsid w:val="32A01FA9"/>
    <w:rsid w:val="32AC6BA0"/>
    <w:rsid w:val="32AF043E"/>
    <w:rsid w:val="32B06690"/>
    <w:rsid w:val="32BF2D77"/>
    <w:rsid w:val="32BF68D3"/>
    <w:rsid w:val="32C0264B"/>
    <w:rsid w:val="32C51A10"/>
    <w:rsid w:val="32C959A4"/>
    <w:rsid w:val="32CA473F"/>
    <w:rsid w:val="32CE73F5"/>
    <w:rsid w:val="32DC56D7"/>
    <w:rsid w:val="32E60EA2"/>
    <w:rsid w:val="32FE389F"/>
    <w:rsid w:val="331C5AD4"/>
    <w:rsid w:val="331F3816"/>
    <w:rsid w:val="331F75B5"/>
    <w:rsid w:val="3321758E"/>
    <w:rsid w:val="33233306"/>
    <w:rsid w:val="333A23FE"/>
    <w:rsid w:val="335207E4"/>
    <w:rsid w:val="3355444E"/>
    <w:rsid w:val="3358616F"/>
    <w:rsid w:val="33633703"/>
    <w:rsid w:val="336B6A5B"/>
    <w:rsid w:val="337C2A16"/>
    <w:rsid w:val="337C47C4"/>
    <w:rsid w:val="338055D2"/>
    <w:rsid w:val="33A45AC9"/>
    <w:rsid w:val="33A8380B"/>
    <w:rsid w:val="33AD2BD0"/>
    <w:rsid w:val="33AE06F6"/>
    <w:rsid w:val="33BB353F"/>
    <w:rsid w:val="33D22636"/>
    <w:rsid w:val="33D740F0"/>
    <w:rsid w:val="33DE547F"/>
    <w:rsid w:val="33EB36F8"/>
    <w:rsid w:val="33F16F60"/>
    <w:rsid w:val="33F363B2"/>
    <w:rsid w:val="340744AA"/>
    <w:rsid w:val="340F388A"/>
    <w:rsid w:val="3411315F"/>
    <w:rsid w:val="341B07CA"/>
    <w:rsid w:val="3422536C"/>
    <w:rsid w:val="34227192"/>
    <w:rsid w:val="342A2472"/>
    <w:rsid w:val="343432F1"/>
    <w:rsid w:val="343B01DB"/>
    <w:rsid w:val="343F43EE"/>
    <w:rsid w:val="344572AC"/>
    <w:rsid w:val="344B40B4"/>
    <w:rsid w:val="345B6AD0"/>
    <w:rsid w:val="346911EC"/>
    <w:rsid w:val="34711E4F"/>
    <w:rsid w:val="347D07F4"/>
    <w:rsid w:val="347D25A2"/>
    <w:rsid w:val="348002E4"/>
    <w:rsid w:val="34823EFC"/>
    <w:rsid w:val="3489363D"/>
    <w:rsid w:val="34906F65"/>
    <w:rsid w:val="349D0E96"/>
    <w:rsid w:val="34A42225"/>
    <w:rsid w:val="34B00BC9"/>
    <w:rsid w:val="34CE54F3"/>
    <w:rsid w:val="34DF325D"/>
    <w:rsid w:val="34E57EFF"/>
    <w:rsid w:val="34EC3BCC"/>
    <w:rsid w:val="34FA2F6C"/>
    <w:rsid w:val="35044A71"/>
    <w:rsid w:val="350902DA"/>
    <w:rsid w:val="350B572D"/>
    <w:rsid w:val="351341A7"/>
    <w:rsid w:val="351F5D4F"/>
    <w:rsid w:val="35221760"/>
    <w:rsid w:val="353A1D60"/>
    <w:rsid w:val="35503608"/>
    <w:rsid w:val="35506E84"/>
    <w:rsid w:val="35577297"/>
    <w:rsid w:val="355F7EFA"/>
    <w:rsid w:val="356C257D"/>
    <w:rsid w:val="35777939"/>
    <w:rsid w:val="35784B06"/>
    <w:rsid w:val="357F234A"/>
    <w:rsid w:val="35814314"/>
    <w:rsid w:val="35847960"/>
    <w:rsid w:val="359758E5"/>
    <w:rsid w:val="35A10512"/>
    <w:rsid w:val="35A26038"/>
    <w:rsid w:val="35B244CD"/>
    <w:rsid w:val="35B41300"/>
    <w:rsid w:val="35B474AB"/>
    <w:rsid w:val="35B5220F"/>
    <w:rsid w:val="35BE10C4"/>
    <w:rsid w:val="35C12962"/>
    <w:rsid w:val="35C366DA"/>
    <w:rsid w:val="35D5640E"/>
    <w:rsid w:val="35D73F34"/>
    <w:rsid w:val="35D94150"/>
    <w:rsid w:val="35DB26F0"/>
    <w:rsid w:val="35DE1766"/>
    <w:rsid w:val="35E6061B"/>
    <w:rsid w:val="35E93C67"/>
    <w:rsid w:val="35EB3E83"/>
    <w:rsid w:val="35F94371"/>
    <w:rsid w:val="35FC399A"/>
    <w:rsid w:val="3606093C"/>
    <w:rsid w:val="360B0081"/>
    <w:rsid w:val="36252EF1"/>
    <w:rsid w:val="36257395"/>
    <w:rsid w:val="364041CF"/>
    <w:rsid w:val="364D41F6"/>
    <w:rsid w:val="365256CD"/>
    <w:rsid w:val="365D08DD"/>
    <w:rsid w:val="36624145"/>
    <w:rsid w:val="366D3A16"/>
    <w:rsid w:val="366E2AEA"/>
    <w:rsid w:val="366F4CEE"/>
    <w:rsid w:val="367125DA"/>
    <w:rsid w:val="367D4B5E"/>
    <w:rsid w:val="367E2601"/>
    <w:rsid w:val="36826596"/>
    <w:rsid w:val="3687595A"/>
    <w:rsid w:val="36882038"/>
    <w:rsid w:val="368C4D1E"/>
    <w:rsid w:val="36981915"/>
    <w:rsid w:val="36A4650C"/>
    <w:rsid w:val="36AA1648"/>
    <w:rsid w:val="36AF3103"/>
    <w:rsid w:val="36B204FD"/>
    <w:rsid w:val="36BA40D1"/>
    <w:rsid w:val="36C26992"/>
    <w:rsid w:val="36C720A4"/>
    <w:rsid w:val="36D14E27"/>
    <w:rsid w:val="36D36DF1"/>
    <w:rsid w:val="36D5005E"/>
    <w:rsid w:val="36DB7A54"/>
    <w:rsid w:val="36DD557A"/>
    <w:rsid w:val="36E06005"/>
    <w:rsid w:val="36E52680"/>
    <w:rsid w:val="36F77460"/>
    <w:rsid w:val="36F823B4"/>
    <w:rsid w:val="370A0624"/>
    <w:rsid w:val="370E7979"/>
    <w:rsid w:val="37145AF6"/>
    <w:rsid w:val="371C0798"/>
    <w:rsid w:val="371D62BE"/>
    <w:rsid w:val="3727407C"/>
    <w:rsid w:val="373158C6"/>
    <w:rsid w:val="374B653A"/>
    <w:rsid w:val="374C10A6"/>
    <w:rsid w:val="374C2700"/>
    <w:rsid w:val="375D2B5F"/>
    <w:rsid w:val="37695060"/>
    <w:rsid w:val="37753F8F"/>
    <w:rsid w:val="3784633D"/>
    <w:rsid w:val="378620B5"/>
    <w:rsid w:val="378974B0"/>
    <w:rsid w:val="378B4F02"/>
    <w:rsid w:val="379522F8"/>
    <w:rsid w:val="379C5435"/>
    <w:rsid w:val="37A8202C"/>
    <w:rsid w:val="37AE7266"/>
    <w:rsid w:val="37B409D1"/>
    <w:rsid w:val="37BC7885"/>
    <w:rsid w:val="37C852A8"/>
    <w:rsid w:val="37D50947"/>
    <w:rsid w:val="37DA5F5D"/>
    <w:rsid w:val="37EB1F18"/>
    <w:rsid w:val="37F1131E"/>
    <w:rsid w:val="37F214F9"/>
    <w:rsid w:val="37F30DCD"/>
    <w:rsid w:val="37F708BD"/>
    <w:rsid w:val="38033706"/>
    <w:rsid w:val="38060B00"/>
    <w:rsid w:val="380F5C07"/>
    <w:rsid w:val="381256F7"/>
    <w:rsid w:val="381E22EE"/>
    <w:rsid w:val="38233460"/>
    <w:rsid w:val="38343179"/>
    <w:rsid w:val="3835198A"/>
    <w:rsid w:val="38353194"/>
    <w:rsid w:val="383733B0"/>
    <w:rsid w:val="38402264"/>
    <w:rsid w:val="38417D8A"/>
    <w:rsid w:val="384D672F"/>
    <w:rsid w:val="385C0050"/>
    <w:rsid w:val="38713344"/>
    <w:rsid w:val="387243E8"/>
    <w:rsid w:val="387A3C2D"/>
    <w:rsid w:val="387B14EE"/>
    <w:rsid w:val="387C3606"/>
    <w:rsid w:val="387D5266"/>
    <w:rsid w:val="388A34DF"/>
    <w:rsid w:val="388D4D7E"/>
    <w:rsid w:val="389E4C84"/>
    <w:rsid w:val="38A073B4"/>
    <w:rsid w:val="38A65E3F"/>
    <w:rsid w:val="38A81BB8"/>
    <w:rsid w:val="38AC78FA"/>
    <w:rsid w:val="38D66725"/>
    <w:rsid w:val="38DE55D9"/>
    <w:rsid w:val="38F35529"/>
    <w:rsid w:val="38F848ED"/>
    <w:rsid w:val="39074B30"/>
    <w:rsid w:val="39095129"/>
    <w:rsid w:val="39173EC3"/>
    <w:rsid w:val="391C09CE"/>
    <w:rsid w:val="392A081F"/>
    <w:rsid w:val="393D67A4"/>
    <w:rsid w:val="39447B32"/>
    <w:rsid w:val="39461AFC"/>
    <w:rsid w:val="39477622"/>
    <w:rsid w:val="39495149"/>
    <w:rsid w:val="394D16E2"/>
    <w:rsid w:val="39551725"/>
    <w:rsid w:val="39565AB7"/>
    <w:rsid w:val="3958510F"/>
    <w:rsid w:val="395C1320"/>
    <w:rsid w:val="3962620A"/>
    <w:rsid w:val="39643D30"/>
    <w:rsid w:val="39653F0F"/>
    <w:rsid w:val="396E1053"/>
    <w:rsid w:val="396F26D5"/>
    <w:rsid w:val="3971644D"/>
    <w:rsid w:val="397321C6"/>
    <w:rsid w:val="39777F08"/>
    <w:rsid w:val="397F6DBC"/>
    <w:rsid w:val="39833969"/>
    <w:rsid w:val="39846181"/>
    <w:rsid w:val="39893797"/>
    <w:rsid w:val="398C28A0"/>
    <w:rsid w:val="398E611F"/>
    <w:rsid w:val="399A3BF6"/>
    <w:rsid w:val="399D7242"/>
    <w:rsid w:val="399F334E"/>
    <w:rsid w:val="39A131D7"/>
    <w:rsid w:val="39A95BE7"/>
    <w:rsid w:val="39B36A66"/>
    <w:rsid w:val="39BA6046"/>
    <w:rsid w:val="39CB3DB0"/>
    <w:rsid w:val="39CE38A0"/>
    <w:rsid w:val="39D569DC"/>
    <w:rsid w:val="39DA2245"/>
    <w:rsid w:val="39DF3CFF"/>
    <w:rsid w:val="39E6508D"/>
    <w:rsid w:val="39F2758E"/>
    <w:rsid w:val="39F552D0"/>
    <w:rsid w:val="3A015A23"/>
    <w:rsid w:val="3A064DE8"/>
    <w:rsid w:val="3A0D0C9A"/>
    <w:rsid w:val="3A19792F"/>
    <w:rsid w:val="3A1A4D37"/>
    <w:rsid w:val="3A211C22"/>
    <w:rsid w:val="3A296D28"/>
    <w:rsid w:val="3A3057C7"/>
    <w:rsid w:val="3A445910"/>
    <w:rsid w:val="3A4A73CA"/>
    <w:rsid w:val="3A4B4EF0"/>
    <w:rsid w:val="3A4D3806"/>
    <w:rsid w:val="3A571AE7"/>
    <w:rsid w:val="3A576901"/>
    <w:rsid w:val="3A5913BB"/>
    <w:rsid w:val="3A6366DE"/>
    <w:rsid w:val="3A706705"/>
    <w:rsid w:val="3A810912"/>
    <w:rsid w:val="3A881CA1"/>
    <w:rsid w:val="3A8874F8"/>
    <w:rsid w:val="3A8C4748"/>
    <w:rsid w:val="3A9248CD"/>
    <w:rsid w:val="3A9E3272"/>
    <w:rsid w:val="3AA52853"/>
    <w:rsid w:val="3AA80595"/>
    <w:rsid w:val="3AA82343"/>
    <w:rsid w:val="3AB94550"/>
    <w:rsid w:val="3ABE1B66"/>
    <w:rsid w:val="3ABE2449"/>
    <w:rsid w:val="3AC23089"/>
    <w:rsid w:val="3AC86541"/>
    <w:rsid w:val="3ACD1DA9"/>
    <w:rsid w:val="3AD21FC7"/>
    <w:rsid w:val="3AE07D2F"/>
    <w:rsid w:val="3AE315CD"/>
    <w:rsid w:val="3AE50EA1"/>
    <w:rsid w:val="3B133C60"/>
    <w:rsid w:val="3B1B2B15"/>
    <w:rsid w:val="3B2220F5"/>
    <w:rsid w:val="3B223EA3"/>
    <w:rsid w:val="3B2E2848"/>
    <w:rsid w:val="3B343BD6"/>
    <w:rsid w:val="3B441832"/>
    <w:rsid w:val="3B4A51A8"/>
    <w:rsid w:val="3B4E2EEA"/>
    <w:rsid w:val="3B521A38"/>
    <w:rsid w:val="3B561D9F"/>
    <w:rsid w:val="3B5878C5"/>
    <w:rsid w:val="3B5A188F"/>
    <w:rsid w:val="3B643E7F"/>
    <w:rsid w:val="3B692946"/>
    <w:rsid w:val="3B717104"/>
    <w:rsid w:val="3B7D557D"/>
    <w:rsid w:val="3B8E7126"/>
    <w:rsid w:val="3B9A04C3"/>
    <w:rsid w:val="3B9C7128"/>
    <w:rsid w:val="3B9D5C20"/>
    <w:rsid w:val="3BBA6E0C"/>
    <w:rsid w:val="3BBC60A6"/>
    <w:rsid w:val="3BC74A4B"/>
    <w:rsid w:val="3BC92571"/>
    <w:rsid w:val="3BCB62E9"/>
    <w:rsid w:val="3BE473AB"/>
    <w:rsid w:val="3BE92C13"/>
    <w:rsid w:val="3BFE66BE"/>
    <w:rsid w:val="3C027831"/>
    <w:rsid w:val="3C1A2DCC"/>
    <w:rsid w:val="3C1C6B44"/>
    <w:rsid w:val="3C2459F9"/>
    <w:rsid w:val="3C277297"/>
    <w:rsid w:val="3C28373B"/>
    <w:rsid w:val="3C291261"/>
    <w:rsid w:val="3C335C3C"/>
    <w:rsid w:val="3C44609B"/>
    <w:rsid w:val="3C524EA4"/>
    <w:rsid w:val="3C5462DE"/>
    <w:rsid w:val="3C5801EA"/>
    <w:rsid w:val="3C5D3B38"/>
    <w:rsid w:val="3C651D20"/>
    <w:rsid w:val="3C850B8E"/>
    <w:rsid w:val="3C8818A1"/>
    <w:rsid w:val="3C945CB8"/>
    <w:rsid w:val="3C9B3F0D"/>
    <w:rsid w:val="3C9D3FD3"/>
    <w:rsid w:val="3CA1704A"/>
    <w:rsid w:val="3CA32DC2"/>
    <w:rsid w:val="3CA408E8"/>
    <w:rsid w:val="3CA50728"/>
    <w:rsid w:val="3CA803D8"/>
    <w:rsid w:val="3CAF1767"/>
    <w:rsid w:val="3CB274A9"/>
    <w:rsid w:val="3CBD0DB7"/>
    <w:rsid w:val="3CBE7BFC"/>
    <w:rsid w:val="3CC176EC"/>
    <w:rsid w:val="3CC35212"/>
    <w:rsid w:val="3CCC42B8"/>
    <w:rsid w:val="3CE43BC9"/>
    <w:rsid w:val="3CE82ECA"/>
    <w:rsid w:val="3CEF24AB"/>
    <w:rsid w:val="3CF4361D"/>
    <w:rsid w:val="3CF74EBC"/>
    <w:rsid w:val="3CF814BC"/>
    <w:rsid w:val="3CFE26EE"/>
    <w:rsid w:val="3D0870C9"/>
    <w:rsid w:val="3D0C0967"/>
    <w:rsid w:val="3D0C6BB9"/>
    <w:rsid w:val="3D282866"/>
    <w:rsid w:val="3D3035A2"/>
    <w:rsid w:val="3D351B7B"/>
    <w:rsid w:val="3D385C00"/>
    <w:rsid w:val="3D407F0C"/>
    <w:rsid w:val="3D452922"/>
    <w:rsid w:val="3D491BBB"/>
    <w:rsid w:val="3D4C5207"/>
    <w:rsid w:val="3D4D1558"/>
    <w:rsid w:val="3D4D2D2E"/>
    <w:rsid w:val="3D566086"/>
    <w:rsid w:val="3D5F318D"/>
    <w:rsid w:val="3D605157"/>
    <w:rsid w:val="3D6F0EF6"/>
    <w:rsid w:val="3D734E8A"/>
    <w:rsid w:val="3D78424E"/>
    <w:rsid w:val="3D792818"/>
    <w:rsid w:val="3D7B2020"/>
    <w:rsid w:val="3D7E738B"/>
    <w:rsid w:val="3D7F55DD"/>
    <w:rsid w:val="3D850719"/>
    <w:rsid w:val="3D9D1F07"/>
    <w:rsid w:val="3D9D5A63"/>
    <w:rsid w:val="3DA728B5"/>
    <w:rsid w:val="3DA72FF0"/>
    <w:rsid w:val="3DB703A4"/>
    <w:rsid w:val="3DC96858"/>
    <w:rsid w:val="3DCB419E"/>
    <w:rsid w:val="3DD11BB1"/>
    <w:rsid w:val="3DD82F3F"/>
    <w:rsid w:val="3DD86A9B"/>
    <w:rsid w:val="3DDA2813"/>
    <w:rsid w:val="3DE6740A"/>
    <w:rsid w:val="3DEB77F8"/>
    <w:rsid w:val="3DF15DAF"/>
    <w:rsid w:val="3DF5589F"/>
    <w:rsid w:val="3DF65F15"/>
    <w:rsid w:val="3DFBFB7D"/>
    <w:rsid w:val="3DFE2EF9"/>
    <w:rsid w:val="3E0B50C2"/>
    <w:rsid w:val="3E0C2BE9"/>
    <w:rsid w:val="3E0C4997"/>
    <w:rsid w:val="3E0E6961"/>
    <w:rsid w:val="3E135D25"/>
    <w:rsid w:val="3E143A42"/>
    <w:rsid w:val="3E1C2D73"/>
    <w:rsid w:val="3E3143FD"/>
    <w:rsid w:val="3E3D0FF4"/>
    <w:rsid w:val="3E4652E7"/>
    <w:rsid w:val="3E690030"/>
    <w:rsid w:val="3E6D77BE"/>
    <w:rsid w:val="3E704F26"/>
    <w:rsid w:val="3E78202C"/>
    <w:rsid w:val="3E805F94"/>
    <w:rsid w:val="3E8804C1"/>
    <w:rsid w:val="3E88226F"/>
    <w:rsid w:val="3E8F3D5E"/>
    <w:rsid w:val="3E976956"/>
    <w:rsid w:val="3E9E1A93"/>
    <w:rsid w:val="3EA80B63"/>
    <w:rsid w:val="3EA82911"/>
    <w:rsid w:val="3EB957E9"/>
    <w:rsid w:val="3EBB0897"/>
    <w:rsid w:val="3EBC460F"/>
    <w:rsid w:val="3ECB6600"/>
    <w:rsid w:val="3ED100BA"/>
    <w:rsid w:val="3ED25BE0"/>
    <w:rsid w:val="3ED41958"/>
    <w:rsid w:val="3EE020AB"/>
    <w:rsid w:val="3EF142B8"/>
    <w:rsid w:val="3EF81910"/>
    <w:rsid w:val="3EF94F1B"/>
    <w:rsid w:val="3F0044FB"/>
    <w:rsid w:val="3F141D55"/>
    <w:rsid w:val="3F170C27"/>
    <w:rsid w:val="3F171845"/>
    <w:rsid w:val="3F1B1335"/>
    <w:rsid w:val="3F204B9F"/>
    <w:rsid w:val="3F220916"/>
    <w:rsid w:val="3F23468E"/>
    <w:rsid w:val="3F283A52"/>
    <w:rsid w:val="3F2A5A1C"/>
    <w:rsid w:val="3F2D2E17"/>
    <w:rsid w:val="3F2F4DE1"/>
    <w:rsid w:val="3F326AC0"/>
    <w:rsid w:val="3F373D8D"/>
    <w:rsid w:val="3F484A5E"/>
    <w:rsid w:val="3F516B05"/>
    <w:rsid w:val="3F60143E"/>
    <w:rsid w:val="3F634A8A"/>
    <w:rsid w:val="3F636838"/>
    <w:rsid w:val="3F67457A"/>
    <w:rsid w:val="3F780536"/>
    <w:rsid w:val="3F7E7842"/>
    <w:rsid w:val="3F84512C"/>
    <w:rsid w:val="3F866C14"/>
    <w:rsid w:val="3F8A2017"/>
    <w:rsid w:val="3F8F762D"/>
    <w:rsid w:val="3F9B06C8"/>
    <w:rsid w:val="3FA532F5"/>
    <w:rsid w:val="3FB84DD6"/>
    <w:rsid w:val="3FBE796A"/>
    <w:rsid w:val="3FC1037C"/>
    <w:rsid w:val="3FC7326B"/>
    <w:rsid w:val="3FCC262F"/>
    <w:rsid w:val="3FCE0156"/>
    <w:rsid w:val="3FD31C10"/>
    <w:rsid w:val="3FD4044F"/>
    <w:rsid w:val="3FD66F77"/>
    <w:rsid w:val="3FDA2F9E"/>
    <w:rsid w:val="3FE060DB"/>
    <w:rsid w:val="3FE200A5"/>
    <w:rsid w:val="3FE67B95"/>
    <w:rsid w:val="3FF1653A"/>
    <w:rsid w:val="3FFA53EF"/>
    <w:rsid w:val="3FFC1167"/>
    <w:rsid w:val="400224F5"/>
    <w:rsid w:val="400302B2"/>
    <w:rsid w:val="40073668"/>
    <w:rsid w:val="40087C64"/>
    <w:rsid w:val="401647FE"/>
    <w:rsid w:val="40210BCD"/>
    <w:rsid w:val="402266F3"/>
    <w:rsid w:val="40271F5C"/>
    <w:rsid w:val="40322DDA"/>
    <w:rsid w:val="4036290E"/>
    <w:rsid w:val="40363199"/>
    <w:rsid w:val="40420B44"/>
    <w:rsid w:val="40640ABA"/>
    <w:rsid w:val="40703903"/>
    <w:rsid w:val="4070745F"/>
    <w:rsid w:val="407927B7"/>
    <w:rsid w:val="408D6263"/>
    <w:rsid w:val="4090365D"/>
    <w:rsid w:val="40907B01"/>
    <w:rsid w:val="409E221E"/>
    <w:rsid w:val="409E3FCC"/>
    <w:rsid w:val="40AF271F"/>
    <w:rsid w:val="40AF61D9"/>
    <w:rsid w:val="40BC6B48"/>
    <w:rsid w:val="40C63523"/>
    <w:rsid w:val="40C94DC1"/>
    <w:rsid w:val="40CA1BEA"/>
    <w:rsid w:val="40DA6FCE"/>
    <w:rsid w:val="40DE4D21"/>
    <w:rsid w:val="40F167F2"/>
    <w:rsid w:val="40F40090"/>
    <w:rsid w:val="40F97454"/>
    <w:rsid w:val="40FD796C"/>
    <w:rsid w:val="40FF07E3"/>
    <w:rsid w:val="411336CC"/>
    <w:rsid w:val="411918A4"/>
    <w:rsid w:val="412D70FE"/>
    <w:rsid w:val="413B181B"/>
    <w:rsid w:val="4157061F"/>
    <w:rsid w:val="415723CD"/>
    <w:rsid w:val="415D5C35"/>
    <w:rsid w:val="41636052"/>
    <w:rsid w:val="416A2100"/>
    <w:rsid w:val="41792E05"/>
    <w:rsid w:val="418036D2"/>
    <w:rsid w:val="419D4283"/>
    <w:rsid w:val="419D7D7B"/>
    <w:rsid w:val="41A5138A"/>
    <w:rsid w:val="41A575DC"/>
    <w:rsid w:val="41BA3087"/>
    <w:rsid w:val="41BF069E"/>
    <w:rsid w:val="41C75A56"/>
    <w:rsid w:val="41CC6917"/>
    <w:rsid w:val="41D025A5"/>
    <w:rsid w:val="41D028AB"/>
    <w:rsid w:val="41D67795"/>
    <w:rsid w:val="41E719A3"/>
    <w:rsid w:val="41F12821"/>
    <w:rsid w:val="41F26DD8"/>
    <w:rsid w:val="41FF4F3E"/>
    <w:rsid w:val="420A5691"/>
    <w:rsid w:val="42120670"/>
    <w:rsid w:val="4216154E"/>
    <w:rsid w:val="42204EB5"/>
    <w:rsid w:val="42293D69"/>
    <w:rsid w:val="42295B17"/>
    <w:rsid w:val="422C5607"/>
    <w:rsid w:val="422E5823"/>
    <w:rsid w:val="42310E70"/>
    <w:rsid w:val="42426BD9"/>
    <w:rsid w:val="424C7A58"/>
    <w:rsid w:val="424E557E"/>
    <w:rsid w:val="42552DB0"/>
    <w:rsid w:val="425F59DD"/>
    <w:rsid w:val="42660B19"/>
    <w:rsid w:val="42666D6B"/>
    <w:rsid w:val="42733236"/>
    <w:rsid w:val="42764AD5"/>
    <w:rsid w:val="42786A9F"/>
    <w:rsid w:val="42876CE2"/>
    <w:rsid w:val="42890CAC"/>
    <w:rsid w:val="428B4A24"/>
    <w:rsid w:val="428F7412"/>
    <w:rsid w:val="4290203A"/>
    <w:rsid w:val="4292190E"/>
    <w:rsid w:val="42982C9D"/>
    <w:rsid w:val="429A4C67"/>
    <w:rsid w:val="429C453B"/>
    <w:rsid w:val="429F0D52"/>
    <w:rsid w:val="429F227D"/>
    <w:rsid w:val="42AD499A"/>
    <w:rsid w:val="42BC698B"/>
    <w:rsid w:val="42BF022A"/>
    <w:rsid w:val="42BF46CD"/>
    <w:rsid w:val="42C10446"/>
    <w:rsid w:val="42C65A5C"/>
    <w:rsid w:val="42CB6BCE"/>
    <w:rsid w:val="42CD0B98"/>
    <w:rsid w:val="42CD6DEA"/>
    <w:rsid w:val="42D02437"/>
    <w:rsid w:val="42DC0DDB"/>
    <w:rsid w:val="42E163F2"/>
    <w:rsid w:val="42E859D2"/>
    <w:rsid w:val="42F51E9D"/>
    <w:rsid w:val="42F8373B"/>
    <w:rsid w:val="430622FC"/>
    <w:rsid w:val="430B79A8"/>
    <w:rsid w:val="431C1983"/>
    <w:rsid w:val="431E7646"/>
    <w:rsid w:val="432307B8"/>
    <w:rsid w:val="432804C5"/>
    <w:rsid w:val="4340580E"/>
    <w:rsid w:val="43413334"/>
    <w:rsid w:val="434500D6"/>
    <w:rsid w:val="43452E25"/>
    <w:rsid w:val="435272F0"/>
    <w:rsid w:val="43635059"/>
    <w:rsid w:val="436A288B"/>
    <w:rsid w:val="437159C8"/>
    <w:rsid w:val="43762FDE"/>
    <w:rsid w:val="43866F99"/>
    <w:rsid w:val="438D0328"/>
    <w:rsid w:val="438F496B"/>
    <w:rsid w:val="4392593E"/>
    <w:rsid w:val="439A4EB6"/>
    <w:rsid w:val="439B2A45"/>
    <w:rsid w:val="439C7DF2"/>
    <w:rsid w:val="439D4A0F"/>
    <w:rsid w:val="43A7763B"/>
    <w:rsid w:val="43AA0EDA"/>
    <w:rsid w:val="43B41D58"/>
    <w:rsid w:val="43B43B06"/>
    <w:rsid w:val="43B6162D"/>
    <w:rsid w:val="43BC2D2F"/>
    <w:rsid w:val="43BD0C0D"/>
    <w:rsid w:val="43BE4985"/>
    <w:rsid w:val="43BF1440"/>
    <w:rsid w:val="43C04259"/>
    <w:rsid w:val="43D316C3"/>
    <w:rsid w:val="43D63A7D"/>
    <w:rsid w:val="43E015BF"/>
    <w:rsid w:val="43E272F3"/>
    <w:rsid w:val="43E725FF"/>
    <w:rsid w:val="43F16B09"/>
    <w:rsid w:val="44010418"/>
    <w:rsid w:val="4416031D"/>
    <w:rsid w:val="44307631"/>
    <w:rsid w:val="44332C7D"/>
    <w:rsid w:val="444A6219"/>
    <w:rsid w:val="44552246"/>
    <w:rsid w:val="44557097"/>
    <w:rsid w:val="44585241"/>
    <w:rsid w:val="445D5F4C"/>
    <w:rsid w:val="445D7CFA"/>
    <w:rsid w:val="446217B4"/>
    <w:rsid w:val="44811263"/>
    <w:rsid w:val="44867251"/>
    <w:rsid w:val="448D4A83"/>
    <w:rsid w:val="448E4357"/>
    <w:rsid w:val="449D1FC8"/>
    <w:rsid w:val="44B00772"/>
    <w:rsid w:val="44BA339E"/>
    <w:rsid w:val="44BA6EFA"/>
    <w:rsid w:val="44C71617"/>
    <w:rsid w:val="44F369B3"/>
    <w:rsid w:val="44F6020F"/>
    <w:rsid w:val="44FF0DB1"/>
    <w:rsid w:val="45091C30"/>
    <w:rsid w:val="451231DA"/>
    <w:rsid w:val="451A5BEB"/>
    <w:rsid w:val="451E392D"/>
    <w:rsid w:val="451F3201"/>
    <w:rsid w:val="452D3B70"/>
    <w:rsid w:val="45336CAD"/>
    <w:rsid w:val="45372C41"/>
    <w:rsid w:val="453B6485"/>
    <w:rsid w:val="453C7530"/>
    <w:rsid w:val="453F38A4"/>
    <w:rsid w:val="454A4722"/>
    <w:rsid w:val="45561319"/>
    <w:rsid w:val="45596713"/>
    <w:rsid w:val="45611F07"/>
    <w:rsid w:val="45617CBE"/>
    <w:rsid w:val="4577303D"/>
    <w:rsid w:val="45806396"/>
    <w:rsid w:val="45886FF9"/>
    <w:rsid w:val="458D460F"/>
    <w:rsid w:val="45966033"/>
    <w:rsid w:val="45A007E6"/>
    <w:rsid w:val="45A57BAB"/>
    <w:rsid w:val="45AD4CB1"/>
    <w:rsid w:val="45AF4585"/>
    <w:rsid w:val="45B8521F"/>
    <w:rsid w:val="45BB73CE"/>
    <w:rsid w:val="45C049E4"/>
    <w:rsid w:val="45C344D5"/>
    <w:rsid w:val="45C67B21"/>
    <w:rsid w:val="45CA7611"/>
    <w:rsid w:val="45D21CF5"/>
    <w:rsid w:val="45D24718"/>
    <w:rsid w:val="45E64915"/>
    <w:rsid w:val="45E83F3B"/>
    <w:rsid w:val="45F428E0"/>
    <w:rsid w:val="460135B8"/>
    <w:rsid w:val="46115240"/>
    <w:rsid w:val="46141834"/>
    <w:rsid w:val="46251440"/>
    <w:rsid w:val="46342CDD"/>
    <w:rsid w:val="46380A1F"/>
    <w:rsid w:val="463B406B"/>
    <w:rsid w:val="463C0ED7"/>
    <w:rsid w:val="46405B25"/>
    <w:rsid w:val="464253F9"/>
    <w:rsid w:val="464C5BD7"/>
    <w:rsid w:val="4654512D"/>
    <w:rsid w:val="46575256"/>
    <w:rsid w:val="465F5FAB"/>
    <w:rsid w:val="466C6EEB"/>
    <w:rsid w:val="46753A21"/>
    <w:rsid w:val="46761C9B"/>
    <w:rsid w:val="4685487C"/>
    <w:rsid w:val="468679DC"/>
    <w:rsid w:val="468B47AB"/>
    <w:rsid w:val="46933EA7"/>
    <w:rsid w:val="46957C1F"/>
    <w:rsid w:val="469B2D5C"/>
    <w:rsid w:val="469C5295"/>
    <w:rsid w:val="46AD6480"/>
    <w:rsid w:val="46B04A59"/>
    <w:rsid w:val="46B8390E"/>
    <w:rsid w:val="46BA1434"/>
    <w:rsid w:val="46BA58D8"/>
    <w:rsid w:val="46BE34E7"/>
    <w:rsid w:val="46BF6A4A"/>
    <w:rsid w:val="46CD006B"/>
    <w:rsid w:val="46D02A05"/>
    <w:rsid w:val="46D52711"/>
    <w:rsid w:val="46D85D5E"/>
    <w:rsid w:val="46DC584E"/>
    <w:rsid w:val="46DD5122"/>
    <w:rsid w:val="46E91D19"/>
    <w:rsid w:val="46F34946"/>
    <w:rsid w:val="47044DA5"/>
    <w:rsid w:val="470E352E"/>
    <w:rsid w:val="47262F6D"/>
    <w:rsid w:val="472703A0"/>
    <w:rsid w:val="472D42FC"/>
    <w:rsid w:val="472D60AA"/>
    <w:rsid w:val="473A41AE"/>
    <w:rsid w:val="473C799B"/>
    <w:rsid w:val="47460F19"/>
    <w:rsid w:val="47490A0A"/>
    <w:rsid w:val="476F66C2"/>
    <w:rsid w:val="47705F96"/>
    <w:rsid w:val="477A6E15"/>
    <w:rsid w:val="4783216D"/>
    <w:rsid w:val="47866373"/>
    <w:rsid w:val="478832E0"/>
    <w:rsid w:val="47947ED7"/>
    <w:rsid w:val="479B74B7"/>
    <w:rsid w:val="47A10846"/>
    <w:rsid w:val="47A67C0A"/>
    <w:rsid w:val="47AF44AD"/>
    <w:rsid w:val="47C06F1E"/>
    <w:rsid w:val="47C87B80"/>
    <w:rsid w:val="47CC4A9D"/>
    <w:rsid w:val="47CC5748"/>
    <w:rsid w:val="47D169E9"/>
    <w:rsid w:val="47DE55F6"/>
    <w:rsid w:val="47E349BA"/>
    <w:rsid w:val="47E64B5C"/>
    <w:rsid w:val="47E66258"/>
    <w:rsid w:val="47EA5D49"/>
    <w:rsid w:val="47EF15B1"/>
    <w:rsid w:val="47F10A2F"/>
    <w:rsid w:val="47F161EB"/>
    <w:rsid w:val="47F210A1"/>
    <w:rsid w:val="47F46BC7"/>
    <w:rsid w:val="47F941DE"/>
    <w:rsid w:val="47FE7A46"/>
    <w:rsid w:val="480165C3"/>
    <w:rsid w:val="480A63EB"/>
    <w:rsid w:val="4812704D"/>
    <w:rsid w:val="481334F1"/>
    <w:rsid w:val="48253552"/>
    <w:rsid w:val="482E20D9"/>
    <w:rsid w:val="483B0352"/>
    <w:rsid w:val="483E6094"/>
    <w:rsid w:val="485A1120"/>
    <w:rsid w:val="485D651B"/>
    <w:rsid w:val="48607974"/>
    <w:rsid w:val="486F4B51"/>
    <w:rsid w:val="4876582E"/>
    <w:rsid w:val="48822425"/>
    <w:rsid w:val="48877A3B"/>
    <w:rsid w:val="488C6E00"/>
    <w:rsid w:val="489D100D"/>
    <w:rsid w:val="48A4239B"/>
    <w:rsid w:val="48A759E8"/>
    <w:rsid w:val="48AA3E51"/>
    <w:rsid w:val="48B325DE"/>
    <w:rsid w:val="48B870E3"/>
    <w:rsid w:val="48BD54B3"/>
    <w:rsid w:val="48BF5427"/>
    <w:rsid w:val="48C60564"/>
    <w:rsid w:val="48C77E38"/>
    <w:rsid w:val="48C91E02"/>
    <w:rsid w:val="48CB3DCC"/>
    <w:rsid w:val="48E64762"/>
    <w:rsid w:val="48EA3B26"/>
    <w:rsid w:val="48F13107"/>
    <w:rsid w:val="48F6071D"/>
    <w:rsid w:val="48F84495"/>
    <w:rsid w:val="48FC3F85"/>
    <w:rsid w:val="48FE1BFC"/>
    <w:rsid w:val="49025314"/>
    <w:rsid w:val="490E5A67"/>
    <w:rsid w:val="491A265E"/>
    <w:rsid w:val="491C4628"/>
    <w:rsid w:val="491C63D6"/>
    <w:rsid w:val="492359B6"/>
    <w:rsid w:val="49267254"/>
    <w:rsid w:val="492677E1"/>
    <w:rsid w:val="49334F16"/>
    <w:rsid w:val="49496A9F"/>
    <w:rsid w:val="495042D1"/>
    <w:rsid w:val="49520049"/>
    <w:rsid w:val="4953791E"/>
    <w:rsid w:val="495C2C76"/>
    <w:rsid w:val="49674C3A"/>
    <w:rsid w:val="49685300"/>
    <w:rsid w:val="49834D21"/>
    <w:rsid w:val="49883A6B"/>
    <w:rsid w:val="49961747"/>
    <w:rsid w:val="49961E1D"/>
    <w:rsid w:val="49971F00"/>
    <w:rsid w:val="499A26B3"/>
    <w:rsid w:val="49A308A5"/>
    <w:rsid w:val="49AA4D20"/>
    <w:rsid w:val="49AB1508"/>
    <w:rsid w:val="49B72FF8"/>
    <w:rsid w:val="49C55298"/>
    <w:rsid w:val="49CF169A"/>
    <w:rsid w:val="49D2118A"/>
    <w:rsid w:val="49DC5F93"/>
    <w:rsid w:val="49E044F4"/>
    <w:rsid w:val="49E50EBD"/>
    <w:rsid w:val="49E52C6C"/>
    <w:rsid w:val="49E64214"/>
    <w:rsid w:val="49F64E79"/>
    <w:rsid w:val="49F7474D"/>
    <w:rsid w:val="49F96DC8"/>
    <w:rsid w:val="4A030768"/>
    <w:rsid w:val="4A0330F2"/>
    <w:rsid w:val="4A0B0B6D"/>
    <w:rsid w:val="4A0D5D1E"/>
    <w:rsid w:val="4A11580F"/>
    <w:rsid w:val="4A1C41B3"/>
    <w:rsid w:val="4A2B43F6"/>
    <w:rsid w:val="4A3A7958"/>
    <w:rsid w:val="4A5043FB"/>
    <w:rsid w:val="4A590F64"/>
    <w:rsid w:val="4A6C0C97"/>
    <w:rsid w:val="4A76283E"/>
    <w:rsid w:val="4A8835F7"/>
    <w:rsid w:val="4A9401EE"/>
    <w:rsid w:val="4A954692"/>
    <w:rsid w:val="4A9B157C"/>
    <w:rsid w:val="4AAA5C63"/>
    <w:rsid w:val="4AAD305D"/>
    <w:rsid w:val="4AB77452"/>
    <w:rsid w:val="4ABB39CC"/>
    <w:rsid w:val="4ABD5996"/>
    <w:rsid w:val="4AC42881"/>
    <w:rsid w:val="4AC72AD7"/>
    <w:rsid w:val="4AD54A5D"/>
    <w:rsid w:val="4ADA0CA0"/>
    <w:rsid w:val="4ADB5E1D"/>
    <w:rsid w:val="4AEC1DD8"/>
    <w:rsid w:val="4AF65E19"/>
    <w:rsid w:val="4AF8077D"/>
    <w:rsid w:val="4AF97B35"/>
    <w:rsid w:val="4B0329D1"/>
    <w:rsid w:val="4B0A4C46"/>
    <w:rsid w:val="4B0C78B4"/>
    <w:rsid w:val="4B11183E"/>
    <w:rsid w:val="4B1F21AD"/>
    <w:rsid w:val="4B257098"/>
    <w:rsid w:val="4B2C54CC"/>
    <w:rsid w:val="4B3043BA"/>
    <w:rsid w:val="4B3223A6"/>
    <w:rsid w:val="4B3814C1"/>
    <w:rsid w:val="4B4340EE"/>
    <w:rsid w:val="4B4C600B"/>
    <w:rsid w:val="4B5856BF"/>
    <w:rsid w:val="4B5C51AF"/>
    <w:rsid w:val="4B5F6A4E"/>
    <w:rsid w:val="4B6127C6"/>
    <w:rsid w:val="4B6C4CC7"/>
    <w:rsid w:val="4B702A09"/>
    <w:rsid w:val="4B7818BD"/>
    <w:rsid w:val="4B78366B"/>
    <w:rsid w:val="4B7C315C"/>
    <w:rsid w:val="4B8B339F"/>
    <w:rsid w:val="4BB26B7D"/>
    <w:rsid w:val="4BBD5522"/>
    <w:rsid w:val="4BC66ACD"/>
    <w:rsid w:val="4BC863A1"/>
    <w:rsid w:val="4BD11637"/>
    <w:rsid w:val="4BD5286C"/>
    <w:rsid w:val="4BE156B5"/>
    <w:rsid w:val="4BF821AF"/>
    <w:rsid w:val="4BFB49C8"/>
    <w:rsid w:val="4C043151"/>
    <w:rsid w:val="4C0575F5"/>
    <w:rsid w:val="4C07336D"/>
    <w:rsid w:val="4C1635B0"/>
    <w:rsid w:val="4C196BFC"/>
    <w:rsid w:val="4C1C049B"/>
    <w:rsid w:val="4C20442F"/>
    <w:rsid w:val="4C207F8B"/>
    <w:rsid w:val="4C26756B"/>
    <w:rsid w:val="4C293ACF"/>
    <w:rsid w:val="4C2D08FA"/>
    <w:rsid w:val="4C365A00"/>
    <w:rsid w:val="4C417F01"/>
    <w:rsid w:val="4C5145E8"/>
    <w:rsid w:val="4C5664B3"/>
    <w:rsid w:val="4C577725"/>
    <w:rsid w:val="4C59524B"/>
    <w:rsid w:val="4C696ADC"/>
    <w:rsid w:val="4C6B07D4"/>
    <w:rsid w:val="4C6C31D0"/>
    <w:rsid w:val="4C8524E4"/>
    <w:rsid w:val="4C8917B1"/>
    <w:rsid w:val="4C8C73CE"/>
    <w:rsid w:val="4C9B1D07"/>
    <w:rsid w:val="4CA02E7A"/>
    <w:rsid w:val="4CA46E0E"/>
    <w:rsid w:val="4CA57577"/>
    <w:rsid w:val="4CAC181F"/>
    <w:rsid w:val="4CD670D9"/>
    <w:rsid w:val="4CDA2830"/>
    <w:rsid w:val="4CEF0DB0"/>
    <w:rsid w:val="4CEF795D"/>
    <w:rsid w:val="4CF803E4"/>
    <w:rsid w:val="4CF945A5"/>
    <w:rsid w:val="4CFE2BA4"/>
    <w:rsid w:val="4D04165B"/>
    <w:rsid w:val="4D063AEC"/>
    <w:rsid w:val="4D0F1B11"/>
    <w:rsid w:val="4D0F7FFF"/>
    <w:rsid w:val="4D137AF0"/>
    <w:rsid w:val="4D186EB4"/>
    <w:rsid w:val="4D2E0486"/>
    <w:rsid w:val="4D2E2B7B"/>
    <w:rsid w:val="4D3161C8"/>
    <w:rsid w:val="4D333CEE"/>
    <w:rsid w:val="4D3857A8"/>
    <w:rsid w:val="4D3F2693"/>
    <w:rsid w:val="4D4001B9"/>
    <w:rsid w:val="4D425940"/>
    <w:rsid w:val="4D4D1254"/>
    <w:rsid w:val="4D602DC4"/>
    <w:rsid w:val="4D7019E6"/>
    <w:rsid w:val="4D702BD1"/>
    <w:rsid w:val="4D72678F"/>
    <w:rsid w:val="4D73058E"/>
    <w:rsid w:val="4D826A23"/>
    <w:rsid w:val="4D9724CF"/>
    <w:rsid w:val="4D9A3D6D"/>
    <w:rsid w:val="4DAE072C"/>
    <w:rsid w:val="4DB766CD"/>
    <w:rsid w:val="4DB841F3"/>
    <w:rsid w:val="4DBE5CAD"/>
    <w:rsid w:val="4DC62DB4"/>
    <w:rsid w:val="4DC92928"/>
    <w:rsid w:val="4DC967FE"/>
    <w:rsid w:val="4DC96B69"/>
    <w:rsid w:val="4DCB2A82"/>
    <w:rsid w:val="4DCD7C9F"/>
    <w:rsid w:val="4DCE1C69"/>
    <w:rsid w:val="4DD61377"/>
    <w:rsid w:val="4DDA060D"/>
    <w:rsid w:val="4DE4148C"/>
    <w:rsid w:val="4DE84AD8"/>
    <w:rsid w:val="4DEA4CF4"/>
    <w:rsid w:val="4E0062C6"/>
    <w:rsid w:val="4E075273"/>
    <w:rsid w:val="4E0833CC"/>
    <w:rsid w:val="4E102281"/>
    <w:rsid w:val="4E105DDD"/>
    <w:rsid w:val="4E1F4272"/>
    <w:rsid w:val="4E21448E"/>
    <w:rsid w:val="4E2912D3"/>
    <w:rsid w:val="4E3715BC"/>
    <w:rsid w:val="4E3E0B9C"/>
    <w:rsid w:val="4E3E6DEE"/>
    <w:rsid w:val="4E50267E"/>
    <w:rsid w:val="4E515B27"/>
    <w:rsid w:val="4E5401B4"/>
    <w:rsid w:val="4E683E6B"/>
    <w:rsid w:val="4E6A1991"/>
    <w:rsid w:val="4E7520E4"/>
    <w:rsid w:val="4E802F63"/>
    <w:rsid w:val="4E807407"/>
    <w:rsid w:val="4E9B5FEF"/>
    <w:rsid w:val="4EA12ED9"/>
    <w:rsid w:val="4EA604F0"/>
    <w:rsid w:val="4EA824BA"/>
    <w:rsid w:val="4EAD187E"/>
    <w:rsid w:val="4EB71303"/>
    <w:rsid w:val="4EBD7001"/>
    <w:rsid w:val="4EBE1CDD"/>
    <w:rsid w:val="4EBF6FC0"/>
    <w:rsid w:val="4ECC61A8"/>
    <w:rsid w:val="4ECD1F20"/>
    <w:rsid w:val="4ED07D21"/>
    <w:rsid w:val="4ED60DD5"/>
    <w:rsid w:val="4EDC5314"/>
    <w:rsid w:val="4EE10633"/>
    <w:rsid w:val="4EED0F0A"/>
    <w:rsid w:val="4EEE25C2"/>
    <w:rsid w:val="4EF179BD"/>
    <w:rsid w:val="4EF70D4B"/>
    <w:rsid w:val="4F0C0C9A"/>
    <w:rsid w:val="4F195165"/>
    <w:rsid w:val="4F281AC6"/>
    <w:rsid w:val="4F2953A8"/>
    <w:rsid w:val="4F4421E2"/>
    <w:rsid w:val="4F4915A7"/>
    <w:rsid w:val="4F4C1097"/>
    <w:rsid w:val="4F4E4841"/>
    <w:rsid w:val="4F5C39D0"/>
    <w:rsid w:val="4F5D14F6"/>
    <w:rsid w:val="4F6208BA"/>
    <w:rsid w:val="4F820914"/>
    <w:rsid w:val="4F8627FB"/>
    <w:rsid w:val="4F870321"/>
    <w:rsid w:val="4F8B6063"/>
    <w:rsid w:val="4F9547EC"/>
    <w:rsid w:val="4F9A44F8"/>
    <w:rsid w:val="4F9F566B"/>
    <w:rsid w:val="4FA12074"/>
    <w:rsid w:val="4FA42C81"/>
    <w:rsid w:val="4FA7451F"/>
    <w:rsid w:val="4FA964E9"/>
    <w:rsid w:val="4FAB400F"/>
    <w:rsid w:val="4FAE554B"/>
    <w:rsid w:val="4FB82BD0"/>
    <w:rsid w:val="4FBA6948"/>
    <w:rsid w:val="4FBC446F"/>
    <w:rsid w:val="4FBE01E7"/>
    <w:rsid w:val="4FC41575"/>
    <w:rsid w:val="4FCC48AC"/>
    <w:rsid w:val="4FD95020"/>
    <w:rsid w:val="4FEB08B0"/>
    <w:rsid w:val="4FF534DD"/>
    <w:rsid w:val="4FFF435B"/>
    <w:rsid w:val="50016325"/>
    <w:rsid w:val="50025BF9"/>
    <w:rsid w:val="50096F88"/>
    <w:rsid w:val="50100316"/>
    <w:rsid w:val="5019541D"/>
    <w:rsid w:val="501E6ED7"/>
    <w:rsid w:val="50281B04"/>
    <w:rsid w:val="5038161B"/>
    <w:rsid w:val="50390CB3"/>
    <w:rsid w:val="503C735D"/>
    <w:rsid w:val="50483F54"/>
    <w:rsid w:val="504A1A7A"/>
    <w:rsid w:val="504A7CCC"/>
    <w:rsid w:val="504D50C7"/>
    <w:rsid w:val="50506965"/>
    <w:rsid w:val="50666188"/>
    <w:rsid w:val="5075461D"/>
    <w:rsid w:val="508807F5"/>
    <w:rsid w:val="508942AC"/>
    <w:rsid w:val="508B5BEF"/>
    <w:rsid w:val="508D1967"/>
    <w:rsid w:val="50970A38"/>
    <w:rsid w:val="5099655E"/>
    <w:rsid w:val="50A32F39"/>
    <w:rsid w:val="50B05655"/>
    <w:rsid w:val="50B415EA"/>
    <w:rsid w:val="50BE7D72"/>
    <w:rsid w:val="50C11611"/>
    <w:rsid w:val="50C301CB"/>
    <w:rsid w:val="50C64E79"/>
    <w:rsid w:val="50D6330E"/>
    <w:rsid w:val="50D77086"/>
    <w:rsid w:val="50DE0415"/>
    <w:rsid w:val="50E0418D"/>
    <w:rsid w:val="50E17F53"/>
    <w:rsid w:val="50E35A2B"/>
    <w:rsid w:val="50EE68AA"/>
    <w:rsid w:val="50F73284"/>
    <w:rsid w:val="50FE637F"/>
    <w:rsid w:val="510D4856"/>
    <w:rsid w:val="51134562"/>
    <w:rsid w:val="51145BE4"/>
    <w:rsid w:val="51181B78"/>
    <w:rsid w:val="513242BC"/>
    <w:rsid w:val="51402E7D"/>
    <w:rsid w:val="51452242"/>
    <w:rsid w:val="5147420C"/>
    <w:rsid w:val="51487122"/>
    <w:rsid w:val="51501312"/>
    <w:rsid w:val="51542485"/>
    <w:rsid w:val="5156444F"/>
    <w:rsid w:val="5167665C"/>
    <w:rsid w:val="516F72BF"/>
    <w:rsid w:val="517610E6"/>
    <w:rsid w:val="51786173"/>
    <w:rsid w:val="517D3EBE"/>
    <w:rsid w:val="517D5E7F"/>
    <w:rsid w:val="517F7502"/>
    <w:rsid w:val="518C60C3"/>
    <w:rsid w:val="518E1E3B"/>
    <w:rsid w:val="51956D25"/>
    <w:rsid w:val="51AB2916"/>
    <w:rsid w:val="51AB479B"/>
    <w:rsid w:val="51B338DA"/>
    <w:rsid w:val="51B66C9C"/>
    <w:rsid w:val="51BF4335"/>
    <w:rsid w:val="51D04201"/>
    <w:rsid w:val="51D07D5D"/>
    <w:rsid w:val="51E11F6A"/>
    <w:rsid w:val="51E43809"/>
    <w:rsid w:val="51FE2294"/>
    <w:rsid w:val="5212481A"/>
    <w:rsid w:val="52140592"/>
    <w:rsid w:val="522105B9"/>
    <w:rsid w:val="52227DB0"/>
    <w:rsid w:val="5229693B"/>
    <w:rsid w:val="523C53F3"/>
    <w:rsid w:val="52497B10"/>
    <w:rsid w:val="524D7600"/>
    <w:rsid w:val="524E3378"/>
    <w:rsid w:val="524E5126"/>
    <w:rsid w:val="525564B4"/>
    <w:rsid w:val="52592449"/>
    <w:rsid w:val="525A3ACB"/>
    <w:rsid w:val="525D61ED"/>
    <w:rsid w:val="525F6FA6"/>
    <w:rsid w:val="526D1A50"/>
    <w:rsid w:val="52754DA9"/>
    <w:rsid w:val="5281374D"/>
    <w:rsid w:val="528F7C18"/>
    <w:rsid w:val="52AA2CA4"/>
    <w:rsid w:val="52AB2578"/>
    <w:rsid w:val="52AD4542"/>
    <w:rsid w:val="52BE405A"/>
    <w:rsid w:val="52C33D66"/>
    <w:rsid w:val="52C673B2"/>
    <w:rsid w:val="52CA10E7"/>
    <w:rsid w:val="52CA29FF"/>
    <w:rsid w:val="52D65847"/>
    <w:rsid w:val="52D970E6"/>
    <w:rsid w:val="52E57838"/>
    <w:rsid w:val="52F1442F"/>
    <w:rsid w:val="5302663C"/>
    <w:rsid w:val="530D4FE1"/>
    <w:rsid w:val="5311687F"/>
    <w:rsid w:val="532145E9"/>
    <w:rsid w:val="53283BC9"/>
    <w:rsid w:val="532A7941"/>
    <w:rsid w:val="535B7AFB"/>
    <w:rsid w:val="536746F1"/>
    <w:rsid w:val="536C61AC"/>
    <w:rsid w:val="536D2B47"/>
    <w:rsid w:val="537B019D"/>
    <w:rsid w:val="537C59B1"/>
    <w:rsid w:val="537D2167"/>
    <w:rsid w:val="53837051"/>
    <w:rsid w:val="53876B42"/>
    <w:rsid w:val="53982AFD"/>
    <w:rsid w:val="539D6365"/>
    <w:rsid w:val="53B86CFB"/>
    <w:rsid w:val="53BC2C8F"/>
    <w:rsid w:val="53C67F66"/>
    <w:rsid w:val="53D224B3"/>
    <w:rsid w:val="53DA4EC3"/>
    <w:rsid w:val="53DD2C05"/>
    <w:rsid w:val="53E43F94"/>
    <w:rsid w:val="53EA0E7E"/>
    <w:rsid w:val="53EC4BF7"/>
    <w:rsid w:val="53F57F4F"/>
    <w:rsid w:val="53F73CC7"/>
    <w:rsid w:val="540006A2"/>
    <w:rsid w:val="540C3AD2"/>
    <w:rsid w:val="541303D5"/>
    <w:rsid w:val="541879C0"/>
    <w:rsid w:val="54260108"/>
    <w:rsid w:val="54280325"/>
    <w:rsid w:val="542B3971"/>
    <w:rsid w:val="542F45F6"/>
    <w:rsid w:val="54302D35"/>
    <w:rsid w:val="543C16DA"/>
    <w:rsid w:val="54444A33"/>
    <w:rsid w:val="54596730"/>
    <w:rsid w:val="545C3B2A"/>
    <w:rsid w:val="54613836"/>
    <w:rsid w:val="546450D5"/>
    <w:rsid w:val="546E385E"/>
    <w:rsid w:val="54825E35"/>
    <w:rsid w:val="5486504B"/>
    <w:rsid w:val="549F7EBB"/>
    <w:rsid w:val="54A61249"/>
    <w:rsid w:val="54A83213"/>
    <w:rsid w:val="54B30E83"/>
    <w:rsid w:val="54B41BB8"/>
    <w:rsid w:val="54C65F50"/>
    <w:rsid w:val="54D2203E"/>
    <w:rsid w:val="54D758A7"/>
    <w:rsid w:val="54E83610"/>
    <w:rsid w:val="54EA55DA"/>
    <w:rsid w:val="54F74003"/>
    <w:rsid w:val="54FC530D"/>
    <w:rsid w:val="54FE2E33"/>
    <w:rsid w:val="550541C2"/>
    <w:rsid w:val="55055F70"/>
    <w:rsid w:val="550D609A"/>
    <w:rsid w:val="550F5041"/>
    <w:rsid w:val="551C38B2"/>
    <w:rsid w:val="551C775D"/>
    <w:rsid w:val="551D59AF"/>
    <w:rsid w:val="55207DCA"/>
    <w:rsid w:val="552D0B4D"/>
    <w:rsid w:val="55393E6B"/>
    <w:rsid w:val="553E6AE1"/>
    <w:rsid w:val="555C7B5A"/>
    <w:rsid w:val="555E1B24"/>
    <w:rsid w:val="555E7D76"/>
    <w:rsid w:val="55603AEE"/>
    <w:rsid w:val="55690BF5"/>
    <w:rsid w:val="55717AA9"/>
    <w:rsid w:val="557B0928"/>
    <w:rsid w:val="55855303"/>
    <w:rsid w:val="558C48E3"/>
    <w:rsid w:val="559612BE"/>
    <w:rsid w:val="5596541B"/>
    <w:rsid w:val="559B6CA6"/>
    <w:rsid w:val="559F4616"/>
    <w:rsid w:val="55B41744"/>
    <w:rsid w:val="55C73B6D"/>
    <w:rsid w:val="55CA0F67"/>
    <w:rsid w:val="55D3606E"/>
    <w:rsid w:val="55D911AB"/>
    <w:rsid w:val="55E262B1"/>
    <w:rsid w:val="55E62245"/>
    <w:rsid w:val="55FA431E"/>
    <w:rsid w:val="55FD7BA1"/>
    <w:rsid w:val="561623FF"/>
    <w:rsid w:val="56187031"/>
    <w:rsid w:val="561D378D"/>
    <w:rsid w:val="561F5757"/>
    <w:rsid w:val="56260894"/>
    <w:rsid w:val="56293EE0"/>
    <w:rsid w:val="562C577E"/>
    <w:rsid w:val="562D4B58"/>
    <w:rsid w:val="563C00B7"/>
    <w:rsid w:val="564725B8"/>
    <w:rsid w:val="564B20A8"/>
    <w:rsid w:val="564B3E56"/>
    <w:rsid w:val="565A678F"/>
    <w:rsid w:val="565E1E58"/>
    <w:rsid w:val="565F3DA6"/>
    <w:rsid w:val="5662368F"/>
    <w:rsid w:val="56665134"/>
    <w:rsid w:val="56690780"/>
    <w:rsid w:val="566B274A"/>
    <w:rsid w:val="566D64C3"/>
    <w:rsid w:val="566E5F5F"/>
    <w:rsid w:val="567333AD"/>
    <w:rsid w:val="567C4958"/>
    <w:rsid w:val="56815ACA"/>
    <w:rsid w:val="56837A94"/>
    <w:rsid w:val="568455BA"/>
    <w:rsid w:val="56867584"/>
    <w:rsid w:val="56892BD1"/>
    <w:rsid w:val="568A658C"/>
    <w:rsid w:val="56905D0D"/>
    <w:rsid w:val="569945BB"/>
    <w:rsid w:val="569A4DDE"/>
    <w:rsid w:val="56A25A40"/>
    <w:rsid w:val="56A874FB"/>
    <w:rsid w:val="56AA0BEB"/>
    <w:rsid w:val="56BC6B02"/>
    <w:rsid w:val="56BD287A"/>
    <w:rsid w:val="56BFE126"/>
    <w:rsid w:val="56C63E25"/>
    <w:rsid w:val="56C836F9"/>
    <w:rsid w:val="56C860DD"/>
    <w:rsid w:val="56DB18C8"/>
    <w:rsid w:val="56E85B49"/>
    <w:rsid w:val="56F42740"/>
    <w:rsid w:val="56FB1D20"/>
    <w:rsid w:val="56FE35BF"/>
    <w:rsid w:val="56FE536D"/>
    <w:rsid w:val="56FF1374"/>
    <w:rsid w:val="57034731"/>
    <w:rsid w:val="570D1A54"/>
    <w:rsid w:val="57234DD3"/>
    <w:rsid w:val="57325016"/>
    <w:rsid w:val="57340D8E"/>
    <w:rsid w:val="57415259"/>
    <w:rsid w:val="5743565B"/>
    <w:rsid w:val="574D1E50"/>
    <w:rsid w:val="57730905"/>
    <w:rsid w:val="57783820"/>
    <w:rsid w:val="57813603"/>
    <w:rsid w:val="57835872"/>
    <w:rsid w:val="57853398"/>
    <w:rsid w:val="578F4217"/>
    <w:rsid w:val="57AC4DC9"/>
    <w:rsid w:val="57B343A9"/>
    <w:rsid w:val="57BC3EBC"/>
    <w:rsid w:val="57BD5228"/>
    <w:rsid w:val="57C2052D"/>
    <w:rsid w:val="57C55E8A"/>
    <w:rsid w:val="57C71C02"/>
    <w:rsid w:val="57D03C14"/>
    <w:rsid w:val="57D67ECE"/>
    <w:rsid w:val="57D83E10"/>
    <w:rsid w:val="57DAE6E1"/>
    <w:rsid w:val="57E4161C"/>
    <w:rsid w:val="57E5381D"/>
    <w:rsid w:val="57F10A2D"/>
    <w:rsid w:val="57FD73D2"/>
    <w:rsid w:val="57FD745D"/>
    <w:rsid w:val="58054CEA"/>
    <w:rsid w:val="58095D77"/>
    <w:rsid w:val="580C3AB9"/>
    <w:rsid w:val="58132276"/>
    <w:rsid w:val="58134E48"/>
    <w:rsid w:val="58276B45"/>
    <w:rsid w:val="58294405"/>
    <w:rsid w:val="58366D88"/>
    <w:rsid w:val="583A6878"/>
    <w:rsid w:val="583F5C3D"/>
    <w:rsid w:val="5842572D"/>
    <w:rsid w:val="58472D43"/>
    <w:rsid w:val="58477E41"/>
    <w:rsid w:val="585F1E3B"/>
    <w:rsid w:val="58607961"/>
    <w:rsid w:val="58692CBA"/>
    <w:rsid w:val="586B6A32"/>
    <w:rsid w:val="58711B6E"/>
    <w:rsid w:val="58726012"/>
    <w:rsid w:val="588E44CE"/>
    <w:rsid w:val="588F46BB"/>
    <w:rsid w:val="58931AE5"/>
    <w:rsid w:val="58953BEB"/>
    <w:rsid w:val="589C09B9"/>
    <w:rsid w:val="589D2963"/>
    <w:rsid w:val="58A261CC"/>
    <w:rsid w:val="58A43CF2"/>
    <w:rsid w:val="58AB1524"/>
    <w:rsid w:val="58BE57B5"/>
    <w:rsid w:val="58C223CA"/>
    <w:rsid w:val="58C61EBA"/>
    <w:rsid w:val="58CB127E"/>
    <w:rsid w:val="58CD4FF7"/>
    <w:rsid w:val="58D72319"/>
    <w:rsid w:val="58E32A6C"/>
    <w:rsid w:val="58E93DFA"/>
    <w:rsid w:val="58EA204C"/>
    <w:rsid w:val="58EC0192"/>
    <w:rsid w:val="58ED5699"/>
    <w:rsid w:val="58F5279F"/>
    <w:rsid w:val="58F702C5"/>
    <w:rsid w:val="5906675A"/>
    <w:rsid w:val="590D5D3B"/>
    <w:rsid w:val="59164BA0"/>
    <w:rsid w:val="5919023C"/>
    <w:rsid w:val="591E5852"/>
    <w:rsid w:val="592D1F39"/>
    <w:rsid w:val="5932754F"/>
    <w:rsid w:val="59396B30"/>
    <w:rsid w:val="59527BF2"/>
    <w:rsid w:val="59575208"/>
    <w:rsid w:val="597265D0"/>
    <w:rsid w:val="59745DBA"/>
    <w:rsid w:val="59747B68"/>
    <w:rsid w:val="59765E13"/>
    <w:rsid w:val="59837DAB"/>
    <w:rsid w:val="598F04FE"/>
    <w:rsid w:val="599124C8"/>
    <w:rsid w:val="59975605"/>
    <w:rsid w:val="5999137D"/>
    <w:rsid w:val="599B4709"/>
    <w:rsid w:val="59B63CDD"/>
    <w:rsid w:val="59B77A55"/>
    <w:rsid w:val="59BC506B"/>
    <w:rsid w:val="59BD150F"/>
    <w:rsid w:val="59C77A9D"/>
    <w:rsid w:val="59DE4FE1"/>
    <w:rsid w:val="59E20F76"/>
    <w:rsid w:val="59E36A9C"/>
    <w:rsid w:val="59EC5950"/>
    <w:rsid w:val="59EF71EF"/>
    <w:rsid w:val="59F44805"/>
    <w:rsid w:val="59FB5B93"/>
    <w:rsid w:val="59FD190B"/>
    <w:rsid w:val="5A0C7744"/>
    <w:rsid w:val="5A144EA7"/>
    <w:rsid w:val="5A184997"/>
    <w:rsid w:val="5A20384C"/>
    <w:rsid w:val="5A24333C"/>
    <w:rsid w:val="5A276988"/>
    <w:rsid w:val="5A292701"/>
    <w:rsid w:val="5A490FF5"/>
    <w:rsid w:val="5A4968FF"/>
    <w:rsid w:val="5A6B063F"/>
    <w:rsid w:val="5A7140A7"/>
    <w:rsid w:val="5A821E11"/>
    <w:rsid w:val="5A8321EA"/>
    <w:rsid w:val="5A902780"/>
    <w:rsid w:val="5A951B44"/>
    <w:rsid w:val="5A962490"/>
    <w:rsid w:val="5A9823E2"/>
    <w:rsid w:val="5A9F0C15"/>
    <w:rsid w:val="5AA77AC9"/>
    <w:rsid w:val="5AA91A93"/>
    <w:rsid w:val="5AAC5686"/>
    <w:rsid w:val="5AAC6AAC"/>
    <w:rsid w:val="5AB13779"/>
    <w:rsid w:val="5ABE758F"/>
    <w:rsid w:val="5ABF3065"/>
    <w:rsid w:val="5AC32B55"/>
    <w:rsid w:val="5AC36AE1"/>
    <w:rsid w:val="5AC8016B"/>
    <w:rsid w:val="5AD04091"/>
    <w:rsid w:val="5AD96E27"/>
    <w:rsid w:val="5AE76118"/>
    <w:rsid w:val="5AE900E2"/>
    <w:rsid w:val="5AEE56F8"/>
    <w:rsid w:val="5AF3673A"/>
    <w:rsid w:val="5AF820D3"/>
    <w:rsid w:val="5AF852D1"/>
    <w:rsid w:val="5B0D2022"/>
    <w:rsid w:val="5B131307"/>
    <w:rsid w:val="5B1A473F"/>
    <w:rsid w:val="5B2D6220"/>
    <w:rsid w:val="5B2D7FCE"/>
    <w:rsid w:val="5B44356A"/>
    <w:rsid w:val="5B6B2166"/>
    <w:rsid w:val="5B6F05E7"/>
    <w:rsid w:val="5B7025B1"/>
    <w:rsid w:val="5B77749C"/>
    <w:rsid w:val="5B89601B"/>
    <w:rsid w:val="5B920268"/>
    <w:rsid w:val="5B9462A0"/>
    <w:rsid w:val="5B954FCA"/>
    <w:rsid w:val="5B975D90"/>
    <w:rsid w:val="5B9B5880"/>
    <w:rsid w:val="5BA806D8"/>
    <w:rsid w:val="5BAA7871"/>
    <w:rsid w:val="5BAF6C35"/>
    <w:rsid w:val="5BB64468"/>
    <w:rsid w:val="5BBC1352"/>
    <w:rsid w:val="5BC052E6"/>
    <w:rsid w:val="5BC8419B"/>
    <w:rsid w:val="5BE06663"/>
    <w:rsid w:val="5BE2700B"/>
    <w:rsid w:val="5BED2EB2"/>
    <w:rsid w:val="5BF23DFB"/>
    <w:rsid w:val="5BF60D08"/>
    <w:rsid w:val="5BF926CB"/>
    <w:rsid w:val="5C0657C7"/>
    <w:rsid w:val="5C10379E"/>
    <w:rsid w:val="5C237883"/>
    <w:rsid w:val="5C317F92"/>
    <w:rsid w:val="5C337866"/>
    <w:rsid w:val="5C3929A3"/>
    <w:rsid w:val="5C3B2BBF"/>
    <w:rsid w:val="5C3D2493"/>
    <w:rsid w:val="5C4001D5"/>
    <w:rsid w:val="5C4A02ED"/>
    <w:rsid w:val="5C4D676A"/>
    <w:rsid w:val="5C4E7981"/>
    <w:rsid w:val="5C553C81"/>
    <w:rsid w:val="5C5D2B35"/>
    <w:rsid w:val="5C606182"/>
    <w:rsid w:val="5C734107"/>
    <w:rsid w:val="5C7A5495"/>
    <w:rsid w:val="5C814A76"/>
    <w:rsid w:val="5C9522CF"/>
    <w:rsid w:val="5C961BA3"/>
    <w:rsid w:val="5CAC13C7"/>
    <w:rsid w:val="5CB00EB7"/>
    <w:rsid w:val="5CB404AA"/>
    <w:rsid w:val="5CC130C4"/>
    <w:rsid w:val="5CD94447"/>
    <w:rsid w:val="5CE33936"/>
    <w:rsid w:val="5CEB2603"/>
    <w:rsid w:val="5CFC234E"/>
    <w:rsid w:val="5CFC40FC"/>
    <w:rsid w:val="5D015BB7"/>
    <w:rsid w:val="5D131446"/>
    <w:rsid w:val="5D192F00"/>
    <w:rsid w:val="5D213B63"/>
    <w:rsid w:val="5D344983"/>
    <w:rsid w:val="5D3525BA"/>
    <w:rsid w:val="5D3B30F3"/>
    <w:rsid w:val="5D3F66DF"/>
    <w:rsid w:val="5D414205"/>
    <w:rsid w:val="5D4D4958"/>
    <w:rsid w:val="5D4D6706"/>
    <w:rsid w:val="5D521F6E"/>
    <w:rsid w:val="5D5977A1"/>
    <w:rsid w:val="5D5A0E23"/>
    <w:rsid w:val="5D616655"/>
    <w:rsid w:val="5D6350EB"/>
    <w:rsid w:val="5D663C6C"/>
    <w:rsid w:val="5D6B1282"/>
    <w:rsid w:val="5D746389"/>
    <w:rsid w:val="5D752101"/>
    <w:rsid w:val="5D7E07E2"/>
    <w:rsid w:val="5D7E0FB5"/>
    <w:rsid w:val="5D8D2FA6"/>
    <w:rsid w:val="5D900CE9"/>
    <w:rsid w:val="5D973E25"/>
    <w:rsid w:val="5D9C768D"/>
    <w:rsid w:val="5DA622BA"/>
    <w:rsid w:val="5DAF116F"/>
    <w:rsid w:val="5DB06C95"/>
    <w:rsid w:val="5DB14F7B"/>
    <w:rsid w:val="5DB449D7"/>
    <w:rsid w:val="5DB9023F"/>
    <w:rsid w:val="5DBB3FB7"/>
    <w:rsid w:val="5DC431DC"/>
    <w:rsid w:val="5DDC3F2E"/>
    <w:rsid w:val="5DDE3802"/>
    <w:rsid w:val="5DDE7CA6"/>
    <w:rsid w:val="5DE80B25"/>
    <w:rsid w:val="5DE933C6"/>
    <w:rsid w:val="5DEA21A7"/>
    <w:rsid w:val="5DF212CB"/>
    <w:rsid w:val="5DFF7AD9"/>
    <w:rsid w:val="5E086AD1"/>
    <w:rsid w:val="5E23390B"/>
    <w:rsid w:val="5E282CCF"/>
    <w:rsid w:val="5E297943"/>
    <w:rsid w:val="5E3404A7"/>
    <w:rsid w:val="5E345D1B"/>
    <w:rsid w:val="5E36363E"/>
    <w:rsid w:val="5E3873B6"/>
    <w:rsid w:val="5E3972E5"/>
    <w:rsid w:val="5E413D91"/>
    <w:rsid w:val="5E5813A3"/>
    <w:rsid w:val="5E587A58"/>
    <w:rsid w:val="5E5D506F"/>
    <w:rsid w:val="5E693A13"/>
    <w:rsid w:val="5E6C52B2"/>
    <w:rsid w:val="5E6D4B86"/>
    <w:rsid w:val="5E7A5C21"/>
    <w:rsid w:val="5E7B3747"/>
    <w:rsid w:val="5E7F3237"/>
    <w:rsid w:val="5E801A7A"/>
    <w:rsid w:val="5E856373"/>
    <w:rsid w:val="5E897C12"/>
    <w:rsid w:val="5E8E1FD8"/>
    <w:rsid w:val="5E9E6929"/>
    <w:rsid w:val="5EA22A81"/>
    <w:rsid w:val="5EAB536C"/>
    <w:rsid w:val="5EAC56AE"/>
    <w:rsid w:val="5EB36A3D"/>
    <w:rsid w:val="5EB54457"/>
    <w:rsid w:val="5EB629D1"/>
    <w:rsid w:val="5EC21376"/>
    <w:rsid w:val="5EC23124"/>
    <w:rsid w:val="5EC50D79"/>
    <w:rsid w:val="5EC549C2"/>
    <w:rsid w:val="5ECB022A"/>
    <w:rsid w:val="5ED864A3"/>
    <w:rsid w:val="5EE17A4E"/>
    <w:rsid w:val="5EE72758"/>
    <w:rsid w:val="5EE906B0"/>
    <w:rsid w:val="5EF419D5"/>
    <w:rsid w:val="5EF62DCD"/>
    <w:rsid w:val="5EF808F3"/>
    <w:rsid w:val="5EFD415C"/>
    <w:rsid w:val="5EFF404E"/>
    <w:rsid w:val="5EFF6126"/>
    <w:rsid w:val="5F0D0765"/>
    <w:rsid w:val="5F105348"/>
    <w:rsid w:val="5F1119B5"/>
    <w:rsid w:val="5F13397F"/>
    <w:rsid w:val="5F1F116C"/>
    <w:rsid w:val="5F1F40D2"/>
    <w:rsid w:val="5F223BC2"/>
    <w:rsid w:val="5F322057"/>
    <w:rsid w:val="5F33214B"/>
    <w:rsid w:val="5F335DCF"/>
    <w:rsid w:val="5F3758C0"/>
    <w:rsid w:val="5F3833E6"/>
    <w:rsid w:val="5F49114F"/>
    <w:rsid w:val="5F4C0C3F"/>
    <w:rsid w:val="5F4D6E91"/>
    <w:rsid w:val="5F4F0E5B"/>
    <w:rsid w:val="5F522491"/>
    <w:rsid w:val="5F5226F9"/>
    <w:rsid w:val="5F5521EA"/>
    <w:rsid w:val="5F557AF4"/>
    <w:rsid w:val="5F5D6B91"/>
    <w:rsid w:val="5F665FB3"/>
    <w:rsid w:val="5F677827"/>
    <w:rsid w:val="5F7206A6"/>
    <w:rsid w:val="5F7A39FE"/>
    <w:rsid w:val="5F7B3A7A"/>
    <w:rsid w:val="5F7C1524"/>
    <w:rsid w:val="5F7C7862"/>
    <w:rsid w:val="5F845BA8"/>
    <w:rsid w:val="5F8623A3"/>
    <w:rsid w:val="5F8E1258"/>
    <w:rsid w:val="5F97635E"/>
    <w:rsid w:val="5F9C5723"/>
    <w:rsid w:val="5FA171DD"/>
    <w:rsid w:val="5FAA42E4"/>
    <w:rsid w:val="5FAF18FA"/>
    <w:rsid w:val="5FB92779"/>
    <w:rsid w:val="5FC11917"/>
    <w:rsid w:val="5FC8294E"/>
    <w:rsid w:val="5FCA6734"/>
    <w:rsid w:val="5FCB425A"/>
    <w:rsid w:val="5FCF78A6"/>
    <w:rsid w:val="5FD01870"/>
    <w:rsid w:val="5FD21144"/>
    <w:rsid w:val="5FE61094"/>
    <w:rsid w:val="5FE80968"/>
    <w:rsid w:val="5FEF603B"/>
    <w:rsid w:val="5FF67529"/>
    <w:rsid w:val="5FF7504F"/>
    <w:rsid w:val="60082DB8"/>
    <w:rsid w:val="60116111"/>
    <w:rsid w:val="60121E89"/>
    <w:rsid w:val="60196D73"/>
    <w:rsid w:val="6027631E"/>
    <w:rsid w:val="602A0F80"/>
    <w:rsid w:val="60363DC9"/>
    <w:rsid w:val="604C539B"/>
    <w:rsid w:val="605129B1"/>
    <w:rsid w:val="60536729"/>
    <w:rsid w:val="60575F4E"/>
    <w:rsid w:val="605D3104"/>
    <w:rsid w:val="605E50CE"/>
    <w:rsid w:val="60610696"/>
    <w:rsid w:val="606326E4"/>
    <w:rsid w:val="606E639E"/>
    <w:rsid w:val="608C5797"/>
    <w:rsid w:val="608D150F"/>
    <w:rsid w:val="609F399B"/>
    <w:rsid w:val="60B46A9C"/>
    <w:rsid w:val="60C50CA9"/>
    <w:rsid w:val="60C70EC5"/>
    <w:rsid w:val="60CA4511"/>
    <w:rsid w:val="60CE7B5E"/>
    <w:rsid w:val="60D1764E"/>
    <w:rsid w:val="60D3786A"/>
    <w:rsid w:val="60D57568"/>
    <w:rsid w:val="60DF620F"/>
    <w:rsid w:val="60EE6452"/>
    <w:rsid w:val="60F53CD0"/>
    <w:rsid w:val="60FA4DF7"/>
    <w:rsid w:val="610712C2"/>
    <w:rsid w:val="61073070"/>
    <w:rsid w:val="610A511B"/>
    <w:rsid w:val="610F0176"/>
    <w:rsid w:val="610F0E49"/>
    <w:rsid w:val="61137C66"/>
    <w:rsid w:val="61167757"/>
    <w:rsid w:val="61181721"/>
    <w:rsid w:val="612A5A76"/>
    <w:rsid w:val="612B4FB0"/>
    <w:rsid w:val="612C0D28"/>
    <w:rsid w:val="6138129B"/>
    <w:rsid w:val="613D4CE3"/>
    <w:rsid w:val="61477910"/>
    <w:rsid w:val="61565DA5"/>
    <w:rsid w:val="61573FF7"/>
    <w:rsid w:val="616404C2"/>
    <w:rsid w:val="6166423A"/>
    <w:rsid w:val="61686204"/>
    <w:rsid w:val="617A1A94"/>
    <w:rsid w:val="617C1CB0"/>
    <w:rsid w:val="617D64C9"/>
    <w:rsid w:val="618409BD"/>
    <w:rsid w:val="61882403"/>
    <w:rsid w:val="61903065"/>
    <w:rsid w:val="619314C1"/>
    <w:rsid w:val="619568CD"/>
    <w:rsid w:val="619A3EE4"/>
    <w:rsid w:val="619F14FA"/>
    <w:rsid w:val="61A62889"/>
    <w:rsid w:val="61B34FA6"/>
    <w:rsid w:val="61B421DF"/>
    <w:rsid w:val="61BA4586"/>
    <w:rsid w:val="61C55405"/>
    <w:rsid w:val="61CD6067"/>
    <w:rsid w:val="61CE3B8D"/>
    <w:rsid w:val="61D174DD"/>
    <w:rsid w:val="61D4389A"/>
    <w:rsid w:val="61D45648"/>
    <w:rsid w:val="61D70C94"/>
    <w:rsid w:val="61DA69D6"/>
    <w:rsid w:val="61DB4C28"/>
    <w:rsid w:val="61ED495B"/>
    <w:rsid w:val="620A1069"/>
    <w:rsid w:val="620F6680"/>
    <w:rsid w:val="621E2705"/>
    <w:rsid w:val="62255EA3"/>
    <w:rsid w:val="62265778"/>
    <w:rsid w:val="622B7232"/>
    <w:rsid w:val="623936FD"/>
    <w:rsid w:val="623F6839"/>
    <w:rsid w:val="62562501"/>
    <w:rsid w:val="6256605D"/>
    <w:rsid w:val="62570027"/>
    <w:rsid w:val="625B7B17"/>
    <w:rsid w:val="62606EDB"/>
    <w:rsid w:val="6268653A"/>
    <w:rsid w:val="626A220D"/>
    <w:rsid w:val="628A3F58"/>
    <w:rsid w:val="62A52B40"/>
    <w:rsid w:val="62AF7E63"/>
    <w:rsid w:val="62B334AF"/>
    <w:rsid w:val="62B80AC5"/>
    <w:rsid w:val="62C12508"/>
    <w:rsid w:val="62C27B96"/>
    <w:rsid w:val="62D33B51"/>
    <w:rsid w:val="62DD22DA"/>
    <w:rsid w:val="62DE6052"/>
    <w:rsid w:val="62E26FB7"/>
    <w:rsid w:val="62E419D3"/>
    <w:rsid w:val="63147CC6"/>
    <w:rsid w:val="63163A3E"/>
    <w:rsid w:val="632919C3"/>
    <w:rsid w:val="632934FF"/>
    <w:rsid w:val="632B573B"/>
    <w:rsid w:val="632B74E9"/>
    <w:rsid w:val="63312626"/>
    <w:rsid w:val="63352116"/>
    <w:rsid w:val="634265E1"/>
    <w:rsid w:val="634B193A"/>
    <w:rsid w:val="63514A76"/>
    <w:rsid w:val="635527B8"/>
    <w:rsid w:val="63585E05"/>
    <w:rsid w:val="635A1B7D"/>
    <w:rsid w:val="63615744"/>
    <w:rsid w:val="63620A31"/>
    <w:rsid w:val="636563C7"/>
    <w:rsid w:val="636E387A"/>
    <w:rsid w:val="63715118"/>
    <w:rsid w:val="63737739"/>
    <w:rsid w:val="637864A7"/>
    <w:rsid w:val="637B43F6"/>
    <w:rsid w:val="63847AD9"/>
    <w:rsid w:val="63864720"/>
    <w:rsid w:val="638E5CCA"/>
    <w:rsid w:val="6390559E"/>
    <w:rsid w:val="63936E3D"/>
    <w:rsid w:val="63957059"/>
    <w:rsid w:val="63A86D8C"/>
    <w:rsid w:val="63BC6393"/>
    <w:rsid w:val="63C139AA"/>
    <w:rsid w:val="63C33BC6"/>
    <w:rsid w:val="63CB5574"/>
    <w:rsid w:val="63CF256B"/>
    <w:rsid w:val="63D63DC8"/>
    <w:rsid w:val="63EA3B06"/>
    <w:rsid w:val="63EB4ECB"/>
    <w:rsid w:val="63F14759"/>
    <w:rsid w:val="63F21DB5"/>
    <w:rsid w:val="63F57AF7"/>
    <w:rsid w:val="640970FF"/>
    <w:rsid w:val="640D3093"/>
    <w:rsid w:val="64137F7D"/>
    <w:rsid w:val="64177A6E"/>
    <w:rsid w:val="642152E2"/>
    <w:rsid w:val="64222C12"/>
    <w:rsid w:val="64261F2E"/>
    <w:rsid w:val="64300B2F"/>
    <w:rsid w:val="64305A77"/>
    <w:rsid w:val="643B38A3"/>
    <w:rsid w:val="643C2941"/>
    <w:rsid w:val="644F5459"/>
    <w:rsid w:val="64520AA6"/>
    <w:rsid w:val="645674A9"/>
    <w:rsid w:val="645B4E46"/>
    <w:rsid w:val="64654C7D"/>
    <w:rsid w:val="646D1D84"/>
    <w:rsid w:val="646D3B32"/>
    <w:rsid w:val="646F46F5"/>
    <w:rsid w:val="647E5D3F"/>
    <w:rsid w:val="6481158C"/>
    <w:rsid w:val="648275DD"/>
    <w:rsid w:val="6484619F"/>
    <w:rsid w:val="6486074F"/>
    <w:rsid w:val="648A7900"/>
    <w:rsid w:val="648D7C4D"/>
    <w:rsid w:val="64947310"/>
    <w:rsid w:val="649966D5"/>
    <w:rsid w:val="649E3CEB"/>
    <w:rsid w:val="64A01811"/>
    <w:rsid w:val="64A0240F"/>
    <w:rsid w:val="64A21EF5"/>
    <w:rsid w:val="64A85F96"/>
    <w:rsid w:val="64B67287"/>
    <w:rsid w:val="64B81251"/>
    <w:rsid w:val="64BB664B"/>
    <w:rsid w:val="64CC5D79"/>
    <w:rsid w:val="64CF0348"/>
    <w:rsid w:val="64D67929"/>
    <w:rsid w:val="64DB0A9B"/>
    <w:rsid w:val="64E8140A"/>
    <w:rsid w:val="64E979F1"/>
    <w:rsid w:val="64EF09EB"/>
    <w:rsid w:val="64F97173"/>
    <w:rsid w:val="64FB6FA3"/>
    <w:rsid w:val="650113FE"/>
    <w:rsid w:val="65077AE2"/>
    <w:rsid w:val="650F4BE9"/>
    <w:rsid w:val="651025ED"/>
    <w:rsid w:val="651421FF"/>
    <w:rsid w:val="65181CEF"/>
    <w:rsid w:val="65210FA6"/>
    <w:rsid w:val="655774EE"/>
    <w:rsid w:val="656042A1"/>
    <w:rsid w:val="656071F2"/>
    <w:rsid w:val="65646CE3"/>
    <w:rsid w:val="65670581"/>
    <w:rsid w:val="656B5ACE"/>
    <w:rsid w:val="656C3DE9"/>
    <w:rsid w:val="657D1B52"/>
    <w:rsid w:val="658A426F"/>
    <w:rsid w:val="65954D6B"/>
    <w:rsid w:val="65984BDE"/>
    <w:rsid w:val="659D0447"/>
    <w:rsid w:val="65A4178F"/>
    <w:rsid w:val="65AA682C"/>
    <w:rsid w:val="65AD68DC"/>
    <w:rsid w:val="65D04378"/>
    <w:rsid w:val="65D3619D"/>
    <w:rsid w:val="65DD6A95"/>
    <w:rsid w:val="65FE7137"/>
    <w:rsid w:val="660364FC"/>
    <w:rsid w:val="66044022"/>
    <w:rsid w:val="660758C0"/>
    <w:rsid w:val="660B3A0E"/>
    <w:rsid w:val="661204ED"/>
    <w:rsid w:val="661B1F2F"/>
    <w:rsid w:val="661C136B"/>
    <w:rsid w:val="661F70AE"/>
    <w:rsid w:val="66236B9E"/>
    <w:rsid w:val="66256220"/>
    <w:rsid w:val="663C37BC"/>
    <w:rsid w:val="663D12E2"/>
    <w:rsid w:val="6646032A"/>
    <w:rsid w:val="664A412A"/>
    <w:rsid w:val="665E1984"/>
    <w:rsid w:val="66611474"/>
    <w:rsid w:val="667411A7"/>
    <w:rsid w:val="66AE50EE"/>
    <w:rsid w:val="66B27D9D"/>
    <w:rsid w:val="66B71094"/>
    <w:rsid w:val="66BB5028"/>
    <w:rsid w:val="66BE6020"/>
    <w:rsid w:val="66C814F3"/>
    <w:rsid w:val="66C86279"/>
    <w:rsid w:val="66CC2D91"/>
    <w:rsid w:val="66D02156"/>
    <w:rsid w:val="66DB2FD4"/>
    <w:rsid w:val="66DD7251"/>
    <w:rsid w:val="66E005EB"/>
    <w:rsid w:val="66E14B7D"/>
    <w:rsid w:val="66EF4CD2"/>
    <w:rsid w:val="66F66060"/>
    <w:rsid w:val="670536F6"/>
    <w:rsid w:val="670A1B0C"/>
    <w:rsid w:val="671B1623"/>
    <w:rsid w:val="671B5556"/>
    <w:rsid w:val="67220901"/>
    <w:rsid w:val="672229B1"/>
    <w:rsid w:val="672506F4"/>
    <w:rsid w:val="672E0F80"/>
    <w:rsid w:val="67346B89"/>
    <w:rsid w:val="674212A6"/>
    <w:rsid w:val="67507479"/>
    <w:rsid w:val="6755795B"/>
    <w:rsid w:val="675B2367"/>
    <w:rsid w:val="676236F6"/>
    <w:rsid w:val="6764746E"/>
    <w:rsid w:val="67670D0C"/>
    <w:rsid w:val="677D408C"/>
    <w:rsid w:val="677E1BB2"/>
    <w:rsid w:val="678216A2"/>
    <w:rsid w:val="678C0773"/>
    <w:rsid w:val="678E6299"/>
    <w:rsid w:val="67987117"/>
    <w:rsid w:val="679A7B08"/>
    <w:rsid w:val="67A708BB"/>
    <w:rsid w:val="67B101D9"/>
    <w:rsid w:val="67B33581"/>
    <w:rsid w:val="67B53825"/>
    <w:rsid w:val="67B664BE"/>
    <w:rsid w:val="67BC2E06"/>
    <w:rsid w:val="67C73559"/>
    <w:rsid w:val="67CE2B39"/>
    <w:rsid w:val="67D068B1"/>
    <w:rsid w:val="67D57A24"/>
    <w:rsid w:val="67DD4B2A"/>
    <w:rsid w:val="67E91721"/>
    <w:rsid w:val="67EA004D"/>
    <w:rsid w:val="67EE0AE5"/>
    <w:rsid w:val="67F02AB0"/>
    <w:rsid w:val="67FE5108"/>
    <w:rsid w:val="67FF1EAE"/>
    <w:rsid w:val="680B5B3B"/>
    <w:rsid w:val="6813679E"/>
    <w:rsid w:val="681F3395"/>
    <w:rsid w:val="68215E2D"/>
    <w:rsid w:val="682B7A3B"/>
    <w:rsid w:val="683C5CF5"/>
    <w:rsid w:val="683F7593"/>
    <w:rsid w:val="68442DFB"/>
    <w:rsid w:val="685078EE"/>
    <w:rsid w:val="68555008"/>
    <w:rsid w:val="68582403"/>
    <w:rsid w:val="68646FFA"/>
    <w:rsid w:val="686C0F2F"/>
    <w:rsid w:val="6870599E"/>
    <w:rsid w:val="687A05CB"/>
    <w:rsid w:val="6881195A"/>
    <w:rsid w:val="688B27D8"/>
    <w:rsid w:val="688D6550"/>
    <w:rsid w:val="689C6793"/>
    <w:rsid w:val="689E0B96"/>
    <w:rsid w:val="68AA7123"/>
    <w:rsid w:val="68AD09A1"/>
    <w:rsid w:val="68B735CD"/>
    <w:rsid w:val="68D0643D"/>
    <w:rsid w:val="68D93544"/>
    <w:rsid w:val="68DC3034"/>
    <w:rsid w:val="68E62FDC"/>
    <w:rsid w:val="68E72104"/>
    <w:rsid w:val="68F93BE6"/>
    <w:rsid w:val="68FA3872"/>
    <w:rsid w:val="69006D22"/>
    <w:rsid w:val="69020CEC"/>
    <w:rsid w:val="690F2202"/>
    <w:rsid w:val="69117181"/>
    <w:rsid w:val="691602F4"/>
    <w:rsid w:val="69166546"/>
    <w:rsid w:val="691C1682"/>
    <w:rsid w:val="691D5B26"/>
    <w:rsid w:val="692769A5"/>
    <w:rsid w:val="692B6A88"/>
    <w:rsid w:val="692D388F"/>
    <w:rsid w:val="69382960"/>
    <w:rsid w:val="6942558D"/>
    <w:rsid w:val="694D7BF9"/>
    <w:rsid w:val="694E2184"/>
    <w:rsid w:val="69531548"/>
    <w:rsid w:val="6953779A"/>
    <w:rsid w:val="69586B5E"/>
    <w:rsid w:val="69601EB7"/>
    <w:rsid w:val="697B284D"/>
    <w:rsid w:val="697B45FB"/>
    <w:rsid w:val="698C05B6"/>
    <w:rsid w:val="6999798B"/>
    <w:rsid w:val="699E6578"/>
    <w:rsid w:val="69A00505"/>
    <w:rsid w:val="69A51678"/>
    <w:rsid w:val="69AC2A06"/>
    <w:rsid w:val="69AE49D0"/>
    <w:rsid w:val="69AF20E2"/>
    <w:rsid w:val="69BA15C7"/>
    <w:rsid w:val="69CC4E56"/>
    <w:rsid w:val="69D65CD5"/>
    <w:rsid w:val="69E55F18"/>
    <w:rsid w:val="69E76925"/>
    <w:rsid w:val="69F1199B"/>
    <w:rsid w:val="69F745C9"/>
    <w:rsid w:val="69F97F6F"/>
    <w:rsid w:val="69FB573C"/>
    <w:rsid w:val="6A002D52"/>
    <w:rsid w:val="6A0171F6"/>
    <w:rsid w:val="6A0445F0"/>
    <w:rsid w:val="6A06480C"/>
    <w:rsid w:val="6A0942FC"/>
    <w:rsid w:val="6A0B1E23"/>
    <w:rsid w:val="6A1231B1"/>
    <w:rsid w:val="6A154662"/>
    <w:rsid w:val="6A173CA8"/>
    <w:rsid w:val="6A1D56B2"/>
    <w:rsid w:val="6A2133F4"/>
    <w:rsid w:val="6A2627B9"/>
    <w:rsid w:val="6A294057"/>
    <w:rsid w:val="6A3179FB"/>
    <w:rsid w:val="6A35094D"/>
    <w:rsid w:val="6A3749C6"/>
    <w:rsid w:val="6A3A6264"/>
    <w:rsid w:val="6A3E02B1"/>
    <w:rsid w:val="6A4946F9"/>
    <w:rsid w:val="6A5A06B4"/>
    <w:rsid w:val="6A5A4B58"/>
    <w:rsid w:val="6A6908F7"/>
    <w:rsid w:val="6A6B0B13"/>
    <w:rsid w:val="6A736F31"/>
    <w:rsid w:val="6A911080"/>
    <w:rsid w:val="6A9F256B"/>
    <w:rsid w:val="6AB37DC4"/>
    <w:rsid w:val="6AC81E6B"/>
    <w:rsid w:val="6AE6588D"/>
    <w:rsid w:val="6AEF1016"/>
    <w:rsid w:val="6AF44665"/>
    <w:rsid w:val="6B013226"/>
    <w:rsid w:val="6B1C1E0E"/>
    <w:rsid w:val="6B321631"/>
    <w:rsid w:val="6B3C7DBA"/>
    <w:rsid w:val="6B476E8A"/>
    <w:rsid w:val="6B4A0729"/>
    <w:rsid w:val="6B4D4A20"/>
    <w:rsid w:val="6B511AB7"/>
    <w:rsid w:val="6B60619E"/>
    <w:rsid w:val="6B6317EA"/>
    <w:rsid w:val="6B686E01"/>
    <w:rsid w:val="6B6D42FF"/>
    <w:rsid w:val="6B7036D0"/>
    <w:rsid w:val="6B8359E9"/>
    <w:rsid w:val="6B8C0D41"/>
    <w:rsid w:val="6B93203D"/>
    <w:rsid w:val="6BA11A93"/>
    <w:rsid w:val="6BA3608B"/>
    <w:rsid w:val="6BAA51F9"/>
    <w:rsid w:val="6BAC4F3F"/>
    <w:rsid w:val="6BAD2A66"/>
    <w:rsid w:val="6BBA58AE"/>
    <w:rsid w:val="6BC009EB"/>
    <w:rsid w:val="6BC71D79"/>
    <w:rsid w:val="6BC8789F"/>
    <w:rsid w:val="6BCB7ABB"/>
    <w:rsid w:val="6BD526E8"/>
    <w:rsid w:val="6BD915C1"/>
    <w:rsid w:val="6BEE5558"/>
    <w:rsid w:val="6BF07522"/>
    <w:rsid w:val="6BF40694"/>
    <w:rsid w:val="6BF56A9C"/>
    <w:rsid w:val="6BF951C8"/>
    <w:rsid w:val="6C044D7B"/>
    <w:rsid w:val="6C066D46"/>
    <w:rsid w:val="6C103720"/>
    <w:rsid w:val="6C117498"/>
    <w:rsid w:val="6C136D6D"/>
    <w:rsid w:val="6C1D408F"/>
    <w:rsid w:val="6C1E4825"/>
    <w:rsid w:val="6C215196"/>
    <w:rsid w:val="6C2614F4"/>
    <w:rsid w:val="6C272818"/>
    <w:rsid w:val="6C30791F"/>
    <w:rsid w:val="6C315445"/>
    <w:rsid w:val="6C335661"/>
    <w:rsid w:val="6C3735BE"/>
    <w:rsid w:val="6C3D2E83"/>
    <w:rsid w:val="6C3D33A3"/>
    <w:rsid w:val="6C450EF0"/>
    <w:rsid w:val="6C4C227F"/>
    <w:rsid w:val="6C4D4392"/>
    <w:rsid w:val="6C537AB1"/>
    <w:rsid w:val="6C586E75"/>
    <w:rsid w:val="6C5A0E3F"/>
    <w:rsid w:val="6C67530A"/>
    <w:rsid w:val="6C6C46CF"/>
    <w:rsid w:val="6C6C4AF3"/>
    <w:rsid w:val="6C6D2921"/>
    <w:rsid w:val="6C6E6699"/>
    <w:rsid w:val="6C702411"/>
    <w:rsid w:val="6C711CE5"/>
    <w:rsid w:val="6C7204DE"/>
    <w:rsid w:val="6C830396"/>
    <w:rsid w:val="6C924135"/>
    <w:rsid w:val="6CA1081C"/>
    <w:rsid w:val="6CA351A2"/>
    <w:rsid w:val="6CA65E33"/>
    <w:rsid w:val="6CBF6EF4"/>
    <w:rsid w:val="6CC4275D"/>
    <w:rsid w:val="6CD52274"/>
    <w:rsid w:val="6CDD04B7"/>
    <w:rsid w:val="6CDECB16"/>
    <w:rsid w:val="6CE60925"/>
    <w:rsid w:val="6D140FEE"/>
    <w:rsid w:val="6D142D9C"/>
    <w:rsid w:val="6D15224B"/>
    <w:rsid w:val="6D1A3A80"/>
    <w:rsid w:val="6D2B0F0C"/>
    <w:rsid w:val="6D2C27DC"/>
    <w:rsid w:val="6D3050B3"/>
    <w:rsid w:val="6D33175E"/>
    <w:rsid w:val="6D386416"/>
    <w:rsid w:val="6D4B2536"/>
    <w:rsid w:val="6D505D9E"/>
    <w:rsid w:val="6D6A50B2"/>
    <w:rsid w:val="6D6F76B8"/>
    <w:rsid w:val="6D777F23"/>
    <w:rsid w:val="6D787219"/>
    <w:rsid w:val="6D7952F5"/>
    <w:rsid w:val="6D8048D6"/>
    <w:rsid w:val="6D8E6FF3"/>
    <w:rsid w:val="6D8F4B19"/>
    <w:rsid w:val="6D9739CD"/>
    <w:rsid w:val="6D97577B"/>
    <w:rsid w:val="6D9E4B9D"/>
    <w:rsid w:val="6DA02882"/>
    <w:rsid w:val="6DAC56CB"/>
    <w:rsid w:val="6DB95BE2"/>
    <w:rsid w:val="6DC04CD2"/>
    <w:rsid w:val="6DC20A4A"/>
    <w:rsid w:val="6DC742B3"/>
    <w:rsid w:val="6DD67814"/>
    <w:rsid w:val="6DD97036"/>
    <w:rsid w:val="6DDE1A7F"/>
    <w:rsid w:val="6DDE33AA"/>
    <w:rsid w:val="6DE44E65"/>
    <w:rsid w:val="6DE92D35"/>
    <w:rsid w:val="6DEA61F3"/>
    <w:rsid w:val="6DEA7FA1"/>
    <w:rsid w:val="6DEE5CE3"/>
    <w:rsid w:val="6DF27FD2"/>
    <w:rsid w:val="6DF350A8"/>
    <w:rsid w:val="6DF826BE"/>
    <w:rsid w:val="6DF8446C"/>
    <w:rsid w:val="6E03547A"/>
    <w:rsid w:val="6E250FD9"/>
    <w:rsid w:val="6E276AFF"/>
    <w:rsid w:val="6E296D1B"/>
    <w:rsid w:val="6E2F3C06"/>
    <w:rsid w:val="6E3B6A4F"/>
    <w:rsid w:val="6E3F02ED"/>
    <w:rsid w:val="6E411464"/>
    <w:rsid w:val="6E414065"/>
    <w:rsid w:val="6E46167B"/>
    <w:rsid w:val="6E492F1A"/>
    <w:rsid w:val="6E4C2A0A"/>
    <w:rsid w:val="6E530FAB"/>
    <w:rsid w:val="6E625D89"/>
    <w:rsid w:val="6E66012B"/>
    <w:rsid w:val="6E6935BC"/>
    <w:rsid w:val="6E731D44"/>
    <w:rsid w:val="6E833036"/>
    <w:rsid w:val="6E8757F0"/>
    <w:rsid w:val="6E8D2ACE"/>
    <w:rsid w:val="6EAE5472"/>
    <w:rsid w:val="6EB02F99"/>
    <w:rsid w:val="6EC627BC"/>
    <w:rsid w:val="6ECC76A7"/>
    <w:rsid w:val="6EDF387E"/>
    <w:rsid w:val="6EE449F0"/>
    <w:rsid w:val="6EE669BA"/>
    <w:rsid w:val="6EE85588"/>
    <w:rsid w:val="6EFD5AB2"/>
    <w:rsid w:val="6F23376B"/>
    <w:rsid w:val="6F2D283B"/>
    <w:rsid w:val="6F394D3C"/>
    <w:rsid w:val="6F395DBB"/>
    <w:rsid w:val="6F3A0AB4"/>
    <w:rsid w:val="6F4B0F13"/>
    <w:rsid w:val="6F502086"/>
    <w:rsid w:val="6F5C62BD"/>
    <w:rsid w:val="6F616041"/>
    <w:rsid w:val="6F651FD5"/>
    <w:rsid w:val="6F655B31"/>
    <w:rsid w:val="6F675D4D"/>
    <w:rsid w:val="6F6B5112"/>
    <w:rsid w:val="6F765F90"/>
    <w:rsid w:val="6F7C2E7B"/>
    <w:rsid w:val="6F897436"/>
    <w:rsid w:val="6F983A5D"/>
    <w:rsid w:val="6F9878D6"/>
    <w:rsid w:val="6F991C7F"/>
    <w:rsid w:val="6FA048A2"/>
    <w:rsid w:val="6FA32AFD"/>
    <w:rsid w:val="6FB83BE3"/>
    <w:rsid w:val="6FBFB3B1"/>
    <w:rsid w:val="6FC36CFC"/>
    <w:rsid w:val="6FD607DD"/>
    <w:rsid w:val="6FDE3B35"/>
    <w:rsid w:val="6FE1195F"/>
    <w:rsid w:val="6FEC1DAE"/>
    <w:rsid w:val="6FEC6252"/>
    <w:rsid w:val="6FF173C5"/>
    <w:rsid w:val="6FF2313D"/>
    <w:rsid w:val="6FFB46E7"/>
    <w:rsid w:val="6FFD045F"/>
    <w:rsid w:val="7003579F"/>
    <w:rsid w:val="700A0487"/>
    <w:rsid w:val="700E441B"/>
    <w:rsid w:val="704B11CB"/>
    <w:rsid w:val="704E514D"/>
    <w:rsid w:val="705160B5"/>
    <w:rsid w:val="705B6F34"/>
    <w:rsid w:val="70763D6E"/>
    <w:rsid w:val="70765B1C"/>
    <w:rsid w:val="70785D38"/>
    <w:rsid w:val="709D12FB"/>
    <w:rsid w:val="70A22DB5"/>
    <w:rsid w:val="70A628A5"/>
    <w:rsid w:val="70AB1C6A"/>
    <w:rsid w:val="70B36D70"/>
    <w:rsid w:val="70BC5C25"/>
    <w:rsid w:val="70BF3836"/>
    <w:rsid w:val="70C25205"/>
    <w:rsid w:val="70D93496"/>
    <w:rsid w:val="70E138DD"/>
    <w:rsid w:val="70F058CE"/>
    <w:rsid w:val="70F353BF"/>
    <w:rsid w:val="70F74EAF"/>
    <w:rsid w:val="710B2708"/>
    <w:rsid w:val="71184E25"/>
    <w:rsid w:val="712F289B"/>
    <w:rsid w:val="71306613"/>
    <w:rsid w:val="71324139"/>
    <w:rsid w:val="71333A0D"/>
    <w:rsid w:val="713D663A"/>
    <w:rsid w:val="713F5B44"/>
    <w:rsid w:val="71551BD5"/>
    <w:rsid w:val="715B3690"/>
    <w:rsid w:val="715D46EB"/>
    <w:rsid w:val="71647D8E"/>
    <w:rsid w:val="717007BD"/>
    <w:rsid w:val="71724535"/>
    <w:rsid w:val="71752277"/>
    <w:rsid w:val="717C7162"/>
    <w:rsid w:val="71881FAB"/>
    <w:rsid w:val="71883D59"/>
    <w:rsid w:val="7189187F"/>
    <w:rsid w:val="71926986"/>
    <w:rsid w:val="71A464A3"/>
    <w:rsid w:val="71AA0173"/>
    <w:rsid w:val="71AB7A47"/>
    <w:rsid w:val="71AC3EEB"/>
    <w:rsid w:val="71AF12E6"/>
    <w:rsid w:val="71BE3C1E"/>
    <w:rsid w:val="71C034F3"/>
    <w:rsid w:val="71CA4371"/>
    <w:rsid w:val="71CF3736"/>
    <w:rsid w:val="71D21478"/>
    <w:rsid w:val="71D377F1"/>
    <w:rsid w:val="71D90A58"/>
    <w:rsid w:val="71D92806"/>
    <w:rsid w:val="71DB4C11"/>
    <w:rsid w:val="71DC5E53"/>
    <w:rsid w:val="71E14339"/>
    <w:rsid w:val="71E511AB"/>
    <w:rsid w:val="71E60ADD"/>
    <w:rsid w:val="71EC3636"/>
    <w:rsid w:val="71EF202A"/>
    <w:rsid w:val="71F118FE"/>
    <w:rsid w:val="71F47640"/>
    <w:rsid w:val="720737DF"/>
    <w:rsid w:val="72133F6A"/>
    <w:rsid w:val="721B37CB"/>
    <w:rsid w:val="721C436A"/>
    <w:rsid w:val="72200435"/>
    <w:rsid w:val="7220687C"/>
    <w:rsid w:val="72233A82"/>
    <w:rsid w:val="72275320"/>
    <w:rsid w:val="723B526F"/>
    <w:rsid w:val="724203AC"/>
    <w:rsid w:val="72451C4A"/>
    <w:rsid w:val="724539F8"/>
    <w:rsid w:val="72541E8D"/>
    <w:rsid w:val="725D51E5"/>
    <w:rsid w:val="725D6F93"/>
    <w:rsid w:val="72604214"/>
    <w:rsid w:val="726241D7"/>
    <w:rsid w:val="72671BC0"/>
    <w:rsid w:val="726A16B0"/>
    <w:rsid w:val="726F2F43"/>
    <w:rsid w:val="72873175"/>
    <w:rsid w:val="729E74BD"/>
    <w:rsid w:val="72B1108D"/>
    <w:rsid w:val="72B868C0"/>
    <w:rsid w:val="72BD7A32"/>
    <w:rsid w:val="72C62D8B"/>
    <w:rsid w:val="72D354A8"/>
    <w:rsid w:val="72D80D10"/>
    <w:rsid w:val="72E2393D"/>
    <w:rsid w:val="72EE5E3E"/>
    <w:rsid w:val="72F316A6"/>
    <w:rsid w:val="72F83160"/>
    <w:rsid w:val="730040BD"/>
    <w:rsid w:val="730252BB"/>
    <w:rsid w:val="730D6C0C"/>
    <w:rsid w:val="731004AA"/>
    <w:rsid w:val="73125FD0"/>
    <w:rsid w:val="73142D5D"/>
    <w:rsid w:val="7318735E"/>
    <w:rsid w:val="731A4E85"/>
    <w:rsid w:val="73236401"/>
    <w:rsid w:val="732E0930"/>
    <w:rsid w:val="73330FF6"/>
    <w:rsid w:val="73336E2F"/>
    <w:rsid w:val="73375A36"/>
    <w:rsid w:val="73591E51"/>
    <w:rsid w:val="737A3B75"/>
    <w:rsid w:val="737C7E10"/>
    <w:rsid w:val="7399049F"/>
    <w:rsid w:val="739A5FC5"/>
    <w:rsid w:val="739D1444"/>
    <w:rsid w:val="73B250BD"/>
    <w:rsid w:val="73BA21C4"/>
    <w:rsid w:val="73C44DF0"/>
    <w:rsid w:val="73C66DBA"/>
    <w:rsid w:val="73C82765"/>
    <w:rsid w:val="73C92407"/>
    <w:rsid w:val="73C93B06"/>
    <w:rsid w:val="73D2575F"/>
    <w:rsid w:val="73D97B8A"/>
    <w:rsid w:val="73DA4614"/>
    <w:rsid w:val="73E07E7C"/>
    <w:rsid w:val="73EA4857"/>
    <w:rsid w:val="73EC4A73"/>
    <w:rsid w:val="73F27BAF"/>
    <w:rsid w:val="73F456D6"/>
    <w:rsid w:val="74013E6F"/>
    <w:rsid w:val="74040BB1"/>
    <w:rsid w:val="74046FBD"/>
    <w:rsid w:val="740617BB"/>
    <w:rsid w:val="740639D9"/>
    <w:rsid w:val="740D6797"/>
    <w:rsid w:val="740E4EC7"/>
    <w:rsid w:val="74100036"/>
    <w:rsid w:val="74185868"/>
    <w:rsid w:val="7419513C"/>
    <w:rsid w:val="741B2C62"/>
    <w:rsid w:val="741B5DCE"/>
    <w:rsid w:val="741F408E"/>
    <w:rsid w:val="74275AAB"/>
    <w:rsid w:val="74367A9C"/>
    <w:rsid w:val="74424693"/>
    <w:rsid w:val="74561EEC"/>
    <w:rsid w:val="74597C2E"/>
    <w:rsid w:val="745D14CD"/>
    <w:rsid w:val="74602D6B"/>
    <w:rsid w:val="746565D3"/>
    <w:rsid w:val="746C5BB4"/>
    <w:rsid w:val="747405C4"/>
    <w:rsid w:val="74793E2D"/>
    <w:rsid w:val="747B5DF7"/>
    <w:rsid w:val="74822EAD"/>
    <w:rsid w:val="74844CAB"/>
    <w:rsid w:val="74956A8E"/>
    <w:rsid w:val="74980757"/>
    <w:rsid w:val="7499002B"/>
    <w:rsid w:val="749F7D37"/>
    <w:rsid w:val="74A470FC"/>
    <w:rsid w:val="74AB66DC"/>
    <w:rsid w:val="74BC6591"/>
    <w:rsid w:val="74BF5CE3"/>
    <w:rsid w:val="74C27582"/>
    <w:rsid w:val="74CA6436"/>
    <w:rsid w:val="74DD43BC"/>
    <w:rsid w:val="74E03EAC"/>
    <w:rsid w:val="74E05C5A"/>
    <w:rsid w:val="74E53270"/>
    <w:rsid w:val="74EC2851"/>
    <w:rsid w:val="74F26168"/>
    <w:rsid w:val="74FA4438"/>
    <w:rsid w:val="751A5610"/>
    <w:rsid w:val="7525484F"/>
    <w:rsid w:val="75263FB5"/>
    <w:rsid w:val="75273889"/>
    <w:rsid w:val="752F4404"/>
    <w:rsid w:val="7535244A"/>
    <w:rsid w:val="753D39AD"/>
    <w:rsid w:val="7548234C"/>
    <w:rsid w:val="75530B22"/>
    <w:rsid w:val="7553467E"/>
    <w:rsid w:val="75552850"/>
    <w:rsid w:val="756E285F"/>
    <w:rsid w:val="756E3266"/>
    <w:rsid w:val="75722D56"/>
    <w:rsid w:val="7593317F"/>
    <w:rsid w:val="759A22AD"/>
    <w:rsid w:val="75A1188D"/>
    <w:rsid w:val="75AB6268"/>
    <w:rsid w:val="75B25848"/>
    <w:rsid w:val="75BC7538"/>
    <w:rsid w:val="75C31342"/>
    <w:rsid w:val="75F220E9"/>
    <w:rsid w:val="75F75951"/>
    <w:rsid w:val="75FA729D"/>
    <w:rsid w:val="75FD3DEB"/>
    <w:rsid w:val="75FE283B"/>
    <w:rsid w:val="760A5684"/>
    <w:rsid w:val="760F0E0D"/>
    <w:rsid w:val="7610256F"/>
    <w:rsid w:val="76120095"/>
    <w:rsid w:val="761B163F"/>
    <w:rsid w:val="761C363F"/>
    <w:rsid w:val="762F0C47"/>
    <w:rsid w:val="763E532E"/>
    <w:rsid w:val="76452218"/>
    <w:rsid w:val="764F12E9"/>
    <w:rsid w:val="76516E0F"/>
    <w:rsid w:val="765406AD"/>
    <w:rsid w:val="765508B1"/>
    <w:rsid w:val="76571F4C"/>
    <w:rsid w:val="765C57B4"/>
    <w:rsid w:val="766052A4"/>
    <w:rsid w:val="7662726E"/>
    <w:rsid w:val="766823AB"/>
    <w:rsid w:val="766C3C49"/>
    <w:rsid w:val="767336E4"/>
    <w:rsid w:val="76746FA2"/>
    <w:rsid w:val="76784D88"/>
    <w:rsid w:val="76794464"/>
    <w:rsid w:val="76911902"/>
    <w:rsid w:val="7691545E"/>
    <w:rsid w:val="769413F2"/>
    <w:rsid w:val="76984A3E"/>
    <w:rsid w:val="769A2AE8"/>
    <w:rsid w:val="76A21419"/>
    <w:rsid w:val="76A553AD"/>
    <w:rsid w:val="76BE3C4A"/>
    <w:rsid w:val="76C375E1"/>
    <w:rsid w:val="76E2215D"/>
    <w:rsid w:val="76E539FB"/>
    <w:rsid w:val="76F459ED"/>
    <w:rsid w:val="76FB6D7B"/>
    <w:rsid w:val="76FF686B"/>
    <w:rsid w:val="76FF9FEE"/>
    <w:rsid w:val="77063A58"/>
    <w:rsid w:val="770A16FE"/>
    <w:rsid w:val="770E6AAE"/>
    <w:rsid w:val="77130569"/>
    <w:rsid w:val="771340C5"/>
    <w:rsid w:val="77161E07"/>
    <w:rsid w:val="77185C44"/>
    <w:rsid w:val="771A07B8"/>
    <w:rsid w:val="77202EE9"/>
    <w:rsid w:val="772E7A2D"/>
    <w:rsid w:val="77304C77"/>
    <w:rsid w:val="77324E93"/>
    <w:rsid w:val="77336515"/>
    <w:rsid w:val="77512E3F"/>
    <w:rsid w:val="775546DD"/>
    <w:rsid w:val="775841CD"/>
    <w:rsid w:val="776912AE"/>
    <w:rsid w:val="7769462C"/>
    <w:rsid w:val="776963DA"/>
    <w:rsid w:val="776E39F1"/>
    <w:rsid w:val="776EECC1"/>
    <w:rsid w:val="777075F9"/>
    <w:rsid w:val="777976BA"/>
    <w:rsid w:val="777B6D0A"/>
    <w:rsid w:val="777C4360"/>
    <w:rsid w:val="777E63ED"/>
    <w:rsid w:val="77846D70"/>
    <w:rsid w:val="779416A9"/>
    <w:rsid w:val="779477B7"/>
    <w:rsid w:val="7795485B"/>
    <w:rsid w:val="779C40BA"/>
    <w:rsid w:val="77A15B74"/>
    <w:rsid w:val="77A613DD"/>
    <w:rsid w:val="77AF2E44"/>
    <w:rsid w:val="77BB491B"/>
    <w:rsid w:val="77D221D2"/>
    <w:rsid w:val="77DA2823"/>
    <w:rsid w:val="77DCDF75"/>
    <w:rsid w:val="77E42641"/>
    <w:rsid w:val="77E51F05"/>
    <w:rsid w:val="77F4039A"/>
    <w:rsid w:val="780954C8"/>
    <w:rsid w:val="780F50C8"/>
    <w:rsid w:val="780F5737"/>
    <w:rsid w:val="780F6F82"/>
    <w:rsid w:val="78126A72"/>
    <w:rsid w:val="78160310"/>
    <w:rsid w:val="78197E01"/>
    <w:rsid w:val="78232A2D"/>
    <w:rsid w:val="782C0658"/>
    <w:rsid w:val="78324A1E"/>
    <w:rsid w:val="78340796"/>
    <w:rsid w:val="7837477E"/>
    <w:rsid w:val="784309DA"/>
    <w:rsid w:val="78434E7D"/>
    <w:rsid w:val="78481B65"/>
    <w:rsid w:val="784A5868"/>
    <w:rsid w:val="784C3D32"/>
    <w:rsid w:val="784D1858"/>
    <w:rsid w:val="7851759A"/>
    <w:rsid w:val="78517746"/>
    <w:rsid w:val="78570929"/>
    <w:rsid w:val="78593FC6"/>
    <w:rsid w:val="7865182F"/>
    <w:rsid w:val="786D3CA8"/>
    <w:rsid w:val="787119EB"/>
    <w:rsid w:val="78743289"/>
    <w:rsid w:val="78760F2E"/>
    <w:rsid w:val="7883527A"/>
    <w:rsid w:val="78872FBC"/>
    <w:rsid w:val="788A03B6"/>
    <w:rsid w:val="788C2381"/>
    <w:rsid w:val="78964FAD"/>
    <w:rsid w:val="78972AD3"/>
    <w:rsid w:val="7899274E"/>
    <w:rsid w:val="78A21BA4"/>
    <w:rsid w:val="78A43B6E"/>
    <w:rsid w:val="78A70F68"/>
    <w:rsid w:val="78AD22F7"/>
    <w:rsid w:val="78B6564F"/>
    <w:rsid w:val="78B95140"/>
    <w:rsid w:val="78D36201"/>
    <w:rsid w:val="78D67AA0"/>
    <w:rsid w:val="78D9133E"/>
    <w:rsid w:val="78D96386"/>
    <w:rsid w:val="78E21FA1"/>
    <w:rsid w:val="78E51A91"/>
    <w:rsid w:val="78E73A5B"/>
    <w:rsid w:val="78E74258"/>
    <w:rsid w:val="78F04E11"/>
    <w:rsid w:val="78F61EF0"/>
    <w:rsid w:val="7904460D"/>
    <w:rsid w:val="790A315A"/>
    <w:rsid w:val="790F6B0E"/>
    <w:rsid w:val="791365FE"/>
    <w:rsid w:val="791660EE"/>
    <w:rsid w:val="792E51E6"/>
    <w:rsid w:val="79492020"/>
    <w:rsid w:val="794F33AE"/>
    <w:rsid w:val="79556C16"/>
    <w:rsid w:val="795E5322"/>
    <w:rsid w:val="796E5F2A"/>
    <w:rsid w:val="797352EE"/>
    <w:rsid w:val="79751067"/>
    <w:rsid w:val="797A48CF"/>
    <w:rsid w:val="797D616D"/>
    <w:rsid w:val="79815C5D"/>
    <w:rsid w:val="79856DD0"/>
    <w:rsid w:val="79892D64"/>
    <w:rsid w:val="798B6ADC"/>
    <w:rsid w:val="798C63B0"/>
    <w:rsid w:val="79986B03"/>
    <w:rsid w:val="799F4335"/>
    <w:rsid w:val="79A436FA"/>
    <w:rsid w:val="79B274E9"/>
    <w:rsid w:val="79B46DB6"/>
    <w:rsid w:val="79B61ECB"/>
    <w:rsid w:val="79C43D9C"/>
    <w:rsid w:val="79C478F8"/>
    <w:rsid w:val="79D00993"/>
    <w:rsid w:val="79DF4732"/>
    <w:rsid w:val="79EA1711"/>
    <w:rsid w:val="79F503F9"/>
    <w:rsid w:val="79FA156C"/>
    <w:rsid w:val="79FF3026"/>
    <w:rsid w:val="7A04063C"/>
    <w:rsid w:val="7A0917AF"/>
    <w:rsid w:val="7A0E5017"/>
    <w:rsid w:val="7A122D59"/>
    <w:rsid w:val="7A1C7734"/>
    <w:rsid w:val="7A2465E9"/>
    <w:rsid w:val="7A2B3E1B"/>
    <w:rsid w:val="7A3C408A"/>
    <w:rsid w:val="7A3E3B4E"/>
    <w:rsid w:val="7A456C8B"/>
    <w:rsid w:val="7A4D1FE3"/>
    <w:rsid w:val="7A581D45"/>
    <w:rsid w:val="7A61783D"/>
    <w:rsid w:val="7A6879D2"/>
    <w:rsid w:val="7A6A66F1"/>
    <w:rsid w:val="7A6D1D3E"/>
    <w:rsid w:val="7A794B87"/>
    <w:rsid w:val="7A7F28D1"/>
    <w:rsid w:val="7A861051"/>
    <w:rsid w:val="7A8C48BA"/>
    <w:rsid w:val="7A8F43AA"/>
    <w:rsid w:val="7A97325F"/>
    <w:rsid w:val="7A990D85"/>
    <w:rsid w:val="7AA17C39"/>
    <w:rsid w:val="7AA53BCD"/>
    <w:rsid w:val="7AC53928"/>
    <w:rsid w:val="7AC810FF"/>
    <w:rsid w:val="7ACC2F08"/>
    <w:rsid w:val="7AD61FD9"/>
    <w:rsid w:val="7AD63D87"/>
    <w:rsid w:val="7ADB75EF"/>
    <w:rsid w:val="7AEE7323"/>
    <w:rsid w:val="7AF406B1"/>
    <w:rsid w:val="7AF4420D"/>
    <w:rsid w:val="7AFB559C"/>
    <w:rsid w:val="7AFE32DE"/>
    <w:rsid w:val="7B0E1773"/>
    <w:rsid w:val="7B0F54EB"/>
    <w:rsid w:val="7B1228E5"/>
    <w:rsid w:val="7B166879"/>
    <w:rsid w:val="7B1B5C3E"/>
    <w:rsid w:val="7B1F572E"/>
    <w:rsid w:val="7B271119"/>
    <w:rsid w:val="7B3B1E3C"/>
    <w:rsid w:val="7B41739F"/>
    <w:rsid w:val="7B4D7E92"/>
    <w:rsid w:val="7B4E023F"/>
    <w:rsid w:val="7B58479C"/>
    <w:rsid w:val="7B5911D5"/>
    <w:rsid w:val="7B5D1DB2"/>
    <w:rsid w:val="7B62247C"/>
    <w:rsid w:val="7B622650"/>
    <w:rsid w:val="7B642CC8"/>
    <w:rsid w:val="7B6B0973"/>
    <w:rsid w:val="7B715048"/>
    <w:rsid w:val="7B787EE6"/>
    <w:rsid w:val="7B876E2F"/>
    <w:rsid w:val="7B92425F"/>
    <w:rsid w:val="7BA06164"/>
    <w:rsid w:val="7BA23C69"/>
    <w:rsid w:val="7BA40029"/>
    <w:rsid w:val="7BAD6B85"/>
    <w:rsid w:val="7BB06386"/>
    <w:rsid w:val="7BB35E76"/>
    <w:rsid w:val="7BBA0FB3"/>
    <w:rsid w:val="7BDC361F"/>
    <w:rsid w:val="7BE129E3"/>
    <w:rsid w:val="7BE14791"/>
    <w:rsid w:val="7BE97AEA"/>
    <w:rsid w:val="7BEB3862"/>
    <w:rsid w:val="7BF02C26"/>
    <w:rsid w:val="7BF21C6F"/>
    <w:rsid w:val="7BF94115"/>
    <w:rsid w:val="7BF97BE6"/>
    <w:rsid w:val="7BFA6928"/>
    <w:rsid w:val="7BFC781D"/>
    <w:rsid w:val="7BFF0ED0"/>
    <w:rsid w:val="7C02295A"/>
    <w:rsid w:val="7C0442F2"/>
    <w:rsid w:val="7C1A5EF5"/>
    <w:rsid w:val="7C1A7CA3"/>
    <w:rsid w:val="7C246D74"/>
    <w:rsid w:val="7C2700CB"/>
    <w:rsid w:val="7C3074C7"/>
    <w:rsid w:val="7C346BC6"/>
    <w:rsid w:val="7C3A20F4"/>
    <w:rsid w:val="7C3A5AD4"/>
    <w:rsid w:val="7C464F3C"/>
    <w:rsid w:val="7C490589"/>
    <w:rsid w:val="7C4D0079"/>
    <w:rsid w:val="7C594C70"/>
    <w:rsid w:val="7C7575D0"/>
    <w:rsid w:val="7C8141C6"/>
    <w:rsid w:val="7C935EA0"/>
    <w:rsid w:val="7C943EFA"/>
    <w:rsid w:val="7C9572D5"/>
    <w:rsid w:val="7C9A0DE4"/>
    <w:rsid w:val="7CB63E70"/>
    <w:rsid w:val="7CB93960"/>
    <w:rsid w:val="7CBB3234"/>
    <w:rsid w:val="7CC06A9D"/>
    <w:rsid w:val="7CC375BA"/>
    <w:rsid w:val="7CC52305"/>
    <w:rsid w:val="7CC55E61"/>
    <w:rsid w:val="7CC85951"/>
    <w:rsid w:val="7CC904A8"/>
    <w:rsid w:val="7CE9087C"/>
    <w:rsid w:val="7CEA3B1A"/>
    <w:rsid w:val="7CF2514D"/>
    <w:rsid w:val="7D0050EB"/>
    <w:rsid w:val="7D050953"/>
    <w:rsid w:val="7D056BA5"/>
    <w:rsid w:val="7D0D15B6"/>
    <w:rsid w:val="7D135A5B"/>
    <w:rsid w:val="7D146DE8"/>
    <w:rsid w:val="7D2C4132"/>
    <w:rsid w:val="7D384885"/>
    <w:rsid w:val="7D3CA82A"/>
    <w:rsid w:val="7D423956"/>
    <w:rsid w:val="7D472D1A"/>
    <w:rsid w:val="7D4D5EA4"/>
    <w:rsid w:val="7D580A83"/>
    <w:rsid w:val="7D60202E"/>
    <w:rsid w:val="7D657644"/>
    <w:rsid w:val="7D67516A"/>
    <w:rsid w:val="7D6E64F9"/>
    <w:rsid w:val="7D7C2DCD"/>
    <w:rsid w:val="7D80447E"/>
    <w:rsid w:val="7D851A94"/>
    <w:rsid w:val="7D8950E1"/>
    <w:rsid w:val="7D8F021D"/>
    <w:rsid w:val="7D8F646F"/>
    <w:rsid w:val="7D951CD7"/>
    <w:rsid w:val="7D9D3A60"/>
    <w:rsid w:val="7DA4016C"/>
    <w:rsid w:val="7DB639FC"/>
    <w:rsid w:val="7DBB7264"/>
    <w:rsid w:val="7DDD542C"/>
    <w:rsid w:val="7DDF2F52"/>
    <w:rsid w:val="7DEC566F"/>
    <w:rsid w:val="7DFD1EA3"/>
    <w:rsid w:val="7E066731"/>
    <w:rsid w:val="7E096221"/>
    <w:rsid w:val="7E0B3D48"/>
    <w:rsid w:val="7E1C41A7"/>
    <w:rsid w:val="7E1D6347"/>
    <w:rsid w:val="7E2B43EA"/>
    <w:rsid w:val="7E2B6198"/>
    <w:rsid w:val="7E317FCB"/>
    <w:rsid w:val="7E3223AE"/>
    <w:rsid w:val="7E353820"/>
    <w:rsid w:val="7E394D59"/>
    <w:rsid w:val="7E435D95"/>
    <w:rsid w:val="7E44676F"/>
    <w:rsid w:val="7E462FD2"/>
    <w:rsid w:val="7E4647C7"/>
    <w:rsid w:val="7E4B05E8"/>
    <w:rsid w:val="7E4F632A"/>
    <w:rsid w:val="7E633B84"/>
    <w:rsid w:val="7E655B4E"/>
    <w:rsid w:val="7E6873EC"/>
    <w:rsid w:val="7E6A3164"/>
    <w:rsid w:val="7E6B0C8A"/>
    <w:rsid w:val="7E6E42D6"/>
    <w:rsid w:val="7E7A711F"/>
    <w:rsid w:val="7E7E09BD"/>
    <w:rsid w:val="7E8D29AE"/>
    <w:rsid w:val="7E997234"/>
    <w:rsid w:val="7EA321D2"/>
    <w:rsid w:val="7EA36676"/>
    <w:rsid w:val="7EAB6311"/>
    <w:rsid w:val="7EB42631"/>
    <w:rsid w:val="7EB7B118"/>
    <w:rsid w:val="7EC54E07"/>
    <w:rsid w:val="7EC565EC"/>
    <w:rsid w:val="7EC65EC0"/>
    <w:rsid w:val="7EC81C39"/>
    <w:rsid w:val="7ECF2FC7"/>
    <w:rsid w:val="7ED54355"/>
    <w:rsid w:val="7EE04A9D"/>
    <w:rsid w:val="7EE06F82"/>
    <w:rsid w:val="7EF04CF2"/>
    <w:rsid w:val="7EF23159"/>
    <w:rsid w:val="7F211349"/>
    <w:rsid w:val="7F2D5F40"/>
    <w:rsid w:val="7F2F7F0A"/>
    <w:rsid w:val="7F3E1EFB"/>
    <w:rsid w:val="7F465912"/>
    <w:rsid w:val="7F484B27"/>
    <w:rsid w:val="7F4DBC21"/>
    <w:rsid w:val="7F6A2CF0"/>
    <w:rsid w:val="7F6A7194"/>
    <w:rsid w:val="7F7D2A23"/>
    <w:rsid w:val="7F7E49ED"/>
    <w:rsid w:val="7F8813C8"/>
    <w:rsid w:val="7F8A3392"/>
    <w:rsid w:val="7F8C710A"/>
    <w:rsid w:val="7F8E4C30"/>
    <w:rsid w:val="7F9676DE"/>
    <w:rsid w:val="7F9B734D"/>
    <w:rsid w:val="7F9E1F45"/>
    <w:rsid w:val="7FA06711"/>
    <w:rsid w:val="7FA52103"/>
    <w:rsid w:val="7FC00B62"/>
    <w:rsid w:val="7FCA19E0"/>
    <w:rsid w:val="7FD665D7"/>
    <w:rsid w:val="7FDC4D8C"/>
    <w:rsid w:val="7FEDD6DF"/>
    <w:rsid w:val="7FEE1B73"/>
    <w:rsid w:val="7FF627D5"/>
    <w:rsid w:val="9FFE049C"/>
    <w:rsid w:val="BE7DD4B5"/>
    <w:rsid w:val="BF7F16F3"/>
    <w:rsid w:val="BFEF579C"/>
    <w:rsid w:val="BFF8D61B"/>
    <w:rsid w:val="D5DFBEAF"/>
    <w:rsid w:val="DD7BA43F"/>
    <w:rsid w:val="ECDF148A"/>
    <w:rsid w:val="EE6FC1CF"/>
    <w:rsid w:val="EFBFF6B6"/>
    <w:rsid w:val="EFEF0A75"/>
    <w:rsid w:val="F46A798C"/>
    <w:rsid w:val="F4FF092B"/>
    <w:rsid w:val="F6E6BCEF"/>
    <w:rsid w:val="F6FD3520"/>
    <w:rsid w:val="F7EF65B7"/>
    <w:rsid w:val="FBBD0A4D"/>
    <w:rsid w:val="FCFEE948"/>
    <w:rsid w:val="FE4F30EE"/>
    <w:rsid w:val="FF1ED41E"/>
    <w:rsid w:val="FFF7C99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qFormat="1" w:unhideWhenUsed="0" w:uiPriority="0" w:semiHidden="0" w:name="Table Grid 5"/>
    <w:lsdException w:uiPriority="0" w:name="Table Grid 6"/>
    <w:lsdException w:uiPriority="0" w:name="Table Grid 7"/>
    <w:lsdException w:qFormat="1" w:unhideWhenUsed="0" w:uiPriority="0" w:semiHidden="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qFormat="1" w:unhideWhenUsed="0" w:uiPriority="0" w:semiHidden="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85"/>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5">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6">
    <w:name w:val="heading 3"/>
    <w:basedOn w:val="1"/>
    <w:next w:val="7"/>
    <w:qFormat/>
    <w:uiPriority w:val="0"/>
    <w:pPr>
      <w:keepNext/>
      <w:keepLines/>
      <w:tabs>
        <w:tab w:val="left" w:pos="900"/>
      </w:tabs>
      <w:spacing w:before="260" w:after="260" w:line="416" w:lineRule="auto"/>
      <w:ind w:left="900" w:hanging="720"/>
      <w:outlineLvl w:val="2"/>
    </w:pPr>
    <w:rPr>
      <w:b/>
      <w:bCs/>
      <w:sz w:val="32"/>
      <w:szCs w:val="32"/>
    </w:rPr>
  </w:style>
  <w:style w:type="paragraph" w:styleId="9">
    <w:name w:val="heading 4"/>
    <w:basedOn w:val="1"/>
    <w:next w:val="1"/>
    <w:link w:val="329"/>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10">
    <w:name w:val="heading 5"/>
    <w:basedOn w:val="1"/>
    <w:next w:val="1"/>
    <w:link w:val="295"/>
    <w:qFormat/>
    <w:uiPriority w:val="0"/>
    <w:pPr>
      <w:keepNext/>
      <w:keepLines/>
      <w:tabs>
        <w:tab w:val="left" w:pos="1008"/>
      </w:tabs>
      <w:spacing w:before="280" w:after="290" w:line="376" w:lineRule="auto"/>
      <w:ind w:left="1008" w:hanging="1008"/>
      <w:outlineLvl w:val="4"/>
    </w:pPr>
    <w:rPr>
      <w:b/>
      <w:bCs/>
      <w:sz w:val="28"/>
      <w:szCs w:val="28"/>
    </w:rPr>
  </w:style>
  <w:style w:type="paragraph" w:styleId="11">
    <w:name w:val="heading 6"/>
    <w:basedOn w:val="1"/>
    <w:next w:val="1"/>
    <w:link w:val="150"/>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12">
    <w:name w:val="heading 7"/>
    <w:basedOn w:val="1"/>
    <w:next w:val="1"/>
    <w:link w:val="309"/>
    <w:qFormat/>
    <w:uiPriority w:val="0"/>
    <w:pPr>
      <w:keepNext/>
      <w:keepLines/>
      <w:tabs>
        <w:tab w:val="left" w:pos="1296"/>
      </w:tabs>
      <w:spacing w:before="240" w:after="64" w:line="320" w:lineRule="auto"/>
      <w:ind w:left="1296" w:hanging="1296"/>
      <w:outlineLvl w:val="6"/>
    </w:pPr>
    <w:rPr>
      <w:b/>
      <w:bCs/>
      <w:sz w:val="24"/>
    </w:rPr>
  </w:style>
  <w:style w:type="paragraph" w:styleId="13">
    <w:name w:val="heading 8"/>
    <w:basedOn w:val="1"/>
    <w:next w:val="1"/>
    <w:link w:val="360"/>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4">
    <w:name w:val="heading 9"/>
    <w:basedOn w:val="1"/>
    <w:next w:val="1"/>
    <w:link w:val="185"/>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72">
    <w:name w:val="Default Paragraph Font"/>
    <w:semiHidden/>
    <w:unhideWhenUsed/>
    <w:qFormat/>
    <w:uiPriority w:val="1"/>
  </w:style>
  <w:style w:type="table" w:default="1" w:styleId="6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link w:val="323"/>
    <w:qFormat/>
    <w:uiPriority w:val="0"/>
    <w:pPr>
      <w:ind w:firstLine="420"/>
    </w:pPr>
    <w:rPr>
      <w:rFonts w:hAnsi="Calibri" w:cs="Times New Roman"/>
      <w:snapToGrid/>
      <w:szCs w:val="20"/>
    </w:rPr>
  </w:style>
  <w:style w:type="paragraph" w:styleId="3">
    <w:name w:val="Body Text"/>
    <w:basedOn w:val="1"/>
    <w:next w:val="2"/>
    <w:link w:val="432"/>
    <w:qFormat/>
    <w:uiPriority w:val="0"/>
    <w:pPr>
      <w:autoSpaceDE w:val="0"/>
      <w:autoSpaceDN w:val="0"/>
      <w:spacing w:line="360" w:lineRule="auto"/>
    </w:pPr>
    <w:rPr>
      <w:rFonts w:ascii="宋体" w:hAnsi="Arial" w:cs="Arial"/>
      <w:snapToGrid w:val="0"/>
      <w:sz w:val="24"/>
      <w:szCs w:val="21"/>
      <w:lang w:val="zh-CN"/>
    </w:rPr>
  </w:style>
  <w:style w:type="paragraph" w:styleId="7">
    <w:name w:val="Normal Indent"/>
    <w:basedOn w:val="1"/>
    <w:next w:val="8"/>
    <w:link w:val="196"/>
    <w:qFormat/>
    <w:uiPriority w:val="0"/>
    <w:pPr>
      <w:widowControl/>
      <w:snapToGrid w:val="0"/>
      <w:spacing w:line="480" w:lineRule="exact"/>
      <w:ind w:firstLine="567"/>
    </w:pPr>
    <w:rPr>
      <w:rFonts w:ascii="宋体"/>
      <w:snapToGrid w:val="0"/>
      <w:color w:val="000000"/>
      <w:kern w:val="28"/>
      <w:sz w:val="28"/>
      <w:szCs w:val="20"/>
    </w:rPr>
  </w:style>
  <w:style w:type="paragraph" w:styleId="8">
    <w:name w:val="Body Text Indent"/>
    <w:basedOn w:val="1"/>
    <w:next w:val="7"/>
    <w:link w:val="267"/>
    <w:qFormat/>
    <w:uiPriority w:val="0"/>
    <w:pPr>
      <w:spacing w:line="480" w:lineRule="exact"/>
      <w:ind w:firstLine="480" w:firstLineChars="200"/>
    </w:pPr>
    <w:rPr>
      <w:rFonts w:ascii="宋体" w:hAnsi="宋体"/>
      <w:sz w:val="24"/>
    </w:rPr>
  </w:style>
  <w:style w:type="paragraph" w:styleId="15">
    <w:name w:val="toc 7"/>
    <w:basedOn w:val="1"/>
    <w:next w:val="1"/>
    <w:qFormat/>
    <w:uiPriority w:val="0"/>
    <w:pPr>
      <w:ind w:left="2520" w:leftChars="1200"/>
    </w:pPr>
  </w:style>
  <w:style w:type="paragraph" w:styleId="16">
    <w:name w:val="List Number 2"/>
    <w:basedOn w:val="1"/>
    <w:qFormat/>
    <w:uiPriority w:val="0"/>
    <w:pPr>
      <w:widowControl/>
      <w:tabs>
        <w:tab w:val="left" w:pos="1697"/>
      </w:tabs>
      <w:adjustRightInd/>
      <w:spacing w:afterLines="50"/>
      <w:ind w:left="1697" w:hanging="420"/>
      <w:jc w:val="left"/>
    </w:pPr>
    <w:rPr>
      <w:kern w:val="0"/>
      <w:sz w:val="24"/>
      <w:szCs w:val="20"/>
    </w:rPr>
  </w:style>
  <w:style w:type="paragraph" w:styleId="17">
    <w:name w:val="table of authorities"/>
    <w:basedOn w:val="1"/>
    <w:next w:val="1"/>
    <w:semiHidden/>
    <w:qFormat/>
    <w:uiPriority w:val="0"/>
    <w:pPr>
      <w:spacing w:line="360" w:lineRule="auto"/>
      <w:ind w:left="420" w:leftChars="200"/>
    </w:pPr>
    <w:rPr>
      <w:rFonts w:ascii="Times New Roman" w:hAnsi="Times New Roman"/>
      <w:sz w:val="24"/>
      <w:szCs w:val="24"/>
    </w:rPr>
  </w:style>
  <w:style w:type="paragraph" w:styleId="18">
    <w:name w:val="List Bullet 4"/>
    <w:basedOn w:val="1"/>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9">
    <w:name w:val="List Number"/>
    <w:basedOn w:val="1"/>
    <w:qFormat/>
    <w:uiPriority w:val="0"/>
    <w:pPr>
      <w:widowControl/>
      <w:tabs>
        <w:tab w:val="left" w:pos="390"/>
        <w:tab w:val="left" w:pos="454"/>
      </w:tabs>
      <w:adjustRightInd/>
      <w:spacing w:afterLines="50"/>
      <w:ind w:left="454" w:hanging="284"/>
      <w:jc w:val="left"/>
    </w:pPr>
    <w:rPr>
      <w:kern w:val="0"/>
      <w:sz w:val="24"/>
      <w:szCs w:val="20"/>
    </w:rPr>
  </w:style>
  <w:style w:type="paragraph" w:styleId="20">
    <w:name w:val="caption"/>
    <w:basedOn w:val="1"/>
    <w:next w:val="1"/>
    <w:link w:val="232"/>
    <w:qFormat/>
    <w:uiPriority w:val="0"/>
    <w:rPr>
      <w:b/>
      <w:sz w:val="28"/>
      <w:szCs w:val="20"/>
    </w:rPr>
  </w:style>
  <w:style w:type="paragraph" w:styleId="21">
    <w:name w:val="index 5"/>
    <w:basedOn w:val="1"/>
    <w:next w:val="1"/>
    <w:qFormat/>
    <w:uiPriority w:val="0"/>
    <w:pPr>
      <w:adjustRightInd/>
      <w:ind w:left="800" w:leftChars="800" w:firstLine="200" w:firstLineChars="200"/>
    </w:pPr>
  </w:style>
  <w:style w:type="paragraph" w:styleId="22">
    <w:name w:val="Document Map"/>
    <w:basedOn w:val="1"/>
    <w:link w:val="205"/>
    <w:qFormat/>
    <w:uiPriority w:val="0"/>
    <w:pPr>
      <w:shd w:val="clear" w:color="auto" w:fill="000080"/>
    </w:pPr>
  </w:style>
  <w:style w:type="paragraph" w:styleId="23">
    <w:name w:val="annotation text"/>
    <w:basedOn w:val="1"/>
    <w:link w:val="346"/>
    <w:qFormat/>
    <w:uiPriority w:val="99"/>
    <w:pPr>
      <w:jc w:val="left"/>
    </w:pPr>
  </w:style>
  <w:style w:type="paragraph" w:styleId="24">
    <w:name w:val="Salutation"/>
    <w:basedOn w:val="1"/>
    <w:next w:val="1"/>
    <w:link w:val="300"/>
    <w:qFormat/>
    <w:uiPriority w:val="0"/>
    <w:rPr>
      <w:rFonts w:ascii="仿宋_GB2312" w:eastAsia="仿宋_GB2312"/>
      <w:sz w:val="28"/>
      <w:szCs w:val="20"/>
    </w:rPr>
  </w:style>
  <w:style w:type="paragraph" w:styleId="25">
    <w:name w:val="Body Text 3"/>
    <w:basedOn w:val="1"/>
    <w:link w:val="332"/>
    <w:qFormat/>
    <w:uiPriority w:val="0"/>
    <w:pPr>
      <w:jc w:val="center"/>
    </w:pPr>
    <w:rPr>
      <w:szCs w:val="20"/>
    </w:rPr>
  </w:style>
  <w:style w:type="paragraph" w:styleId="26">
    <w:name w:val="List Bullet 3"/>
    <w:basedOn w:val="1"/>
    <w:qFormat/>
    <w:uiPriority w:val="0"/>
    <w:pPr>
      <w:snapToGrid w:val="0"/>
      <w:spacing w:line="360" w:lineRule="auto"/>
      <w:ind w:left="360" w:right="238" w:hanging="360"/>
      <w:contextualSpacing/>
    </w:pPr>
    <w:rPr>
      <w:sz w:val="24"/>
    </w:rPr>
  </w:style>
  <w:style w:type="paragraph" w:styleId="27">
    <w:name w:val="List Number 3"/>
    <w:basedOn w:val="1"/>
    <w:qFormat/>
    <w:uiPriority w:val="0"/>
    <w:pPr>
      <w:widowControl/>
      <w:tabs>
        <w:tab w:val="left" w:pos="360"/>
        <w:tab w:val="left" w:pos="482"/>
      </w:tabs>
      <w:adjustRightInd/>
      <w:spacing w:afterLines="50"/>
      <w:ind w:left="482" w:hanging="340"/>
      <w:jc w:val="left"/>
    </w:pPr>
    <w:rPr>
      <w:kern w:val="0"/>
      <w:sz w:val="24"/>
      <w:szCs w:val="20"/>
    </w:rPr>
  </w:style>
  <w:style w:type="paragraph" w:styleId="28">
    <w:name w:val="List 2"/>
    <w:basedOn w:val="1"/>
    <w:qFormat/>
    <w:uiPriority w:val="0"/>
    <w:pPr>
      <w:adjustRightInd/>
      <w:spacing w:line="360" w:lineRule="auto"/>
      <w:ind w:left="100" w:leftChars="200" w:hanging="200" w:hangingChars="200"/>
    </w:pPr>
    <w:rPr>
      <w:rFonts w:eastAsia="微软雅黑"/>
    </w:rPr>
  </w:style>
  <w:style w:type="paragraph" w:styleId="29">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30">
    <w:name w:val="List Bullet 2"/>
    <w:basedOn w:val="1"/>
    <w:qFormat/>
    <w:uiPriority w:val="0"/>
    <w:pPr>
      <w:autoSpaceDE w:val="0"/>
      <w:autoSpaceDN w:val="0"/>
      <w:ind w:left="420"/>
      <w:jc w:val="left"/>
    </w:pPr>
    <w:rPr>
      <w:rFonts w:ascii="宋体" w:hAnsi="宋体"/>
      <w:color w:val="000000"/>
      <w:kern w:val="0"/>
      <w:sz w:val="24"/>
      <w:szCs w:val="20"/>
    </w:rPr>
  </w:style>
  <w:style w:type="paragraph" w:styleId="31">
    <w:name w:val="HTML Address"/>
    <w:basedOn w:val="1"/>
    <w:link w:val="222"/>
    <w:qFormat/>
    <w:uiPriority w:val="0"/>
    <w:pPr>
      <w:widowControl/>
      <w:adjustRightInd/>
      <w:ind w:firstLine="200" w:firstLineChars="200"/>
      <w:jc w:val="left"/>
    </w:pPr>
    <w:rPr>
      <w:rFonts w:ascii="宋体" w:hAnsi="宋体"/>
      <w:i/>
      <w:iCs/>
      <w:kern w:val="0"/>
      <w:sz w:val="24"/>
    </w:rPr>
  </w:style>
  <w:style w:type="paragraph" w:styleId="32">
    <w:name w:val="toc 5"/>
    <w:basedOn w:val="1"/>
    <w:next w:val="1"/>
    <w:qFormat/>
    <w:uiPriority w:val="0"/>
    <w:pPr>
      <w:ind w:left="1680" w:leftChars="800"/>
    </w:pPr>
  </w:style>
  <w:style w:type="paragraph" w:styleId="33">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4">
    <w:name w:val="Plain Text"/>
    <w:basedOn w:val="1"/>
    <w:next w:val="1"/>
    <w:link w:val="128"/>
    <w:qFormat/>
    <w:uiPriority w:val="0"/>
    <w:rPr>
      <w:rFonts w:ascii="宋体" w:hAnsi="Courier New" w:cs="Arial"/>
      <w:snapToGrid w:val="0"/>
      <w:szCs w:val="21"/>
    </w:rPr>
  </w:style>
  <w:style w:type="paragraph" w:styleId="35">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6">
    <w:name w:val="toc 8"/>
    <w:basedOn w:val="1"/>
    <w:next w:val="1"/>
    <w:qFormat/>
    <w:uiPriority w:val="0"/>
    <w:pPr>
      <w:ind w:left="2940" w:leftChars="1400"/>
    </w:pPr>
  </w:style>
  <w:style w:type="paragraph" w:styleId="37">
    <w:name w:val="Date"/>
    <w:basedOn w:val="1"/>
    <w:next w:val="1"/>
    <w:link w:val="184"/>
    <w:qFormat/>
    <w:uiPriority w:val="0"/>
    <w:pPr>
      <w:ind w:left="100" w:leftChars="2500"/>
    </w:pPr>
    <w:rPr>
      <w:rFonts w:ascii="宋体"/>
      <w:sz w:val="24"/>
      <w:szCs w:val="21"/>
      <w:lang w:val="zh-CN"/>
    </w:rPr>
  </w:style>
  <w:style w:type="paragraph" w:styleId="38">
    <w:name w:val="Body Text Indent 2"/>
    <w:basedOn w:val="1"/>
    <w:link w:val="310"/>
    <w:qFormat/>
    <w:uiPriority w:val="0"/>
    <w:pPr>
      <w:spacing w:line="360" w:lineRule="auto"/>
      <w:ind w:firstLine="601"/>
      <w:textAlignment w:val="baseline"/>
    </w:pPr>
    <w:rPr>
      <w:rFonts w:ascii="宋体"/>
      <w:kern w:val="0"/>
      <w:sz w:val="28"/>
      <w:szCs w:val="20"/>
    </w:rPr>
  </w:style>
  <w:style w:type="paragraph" w:styleId="39">
    <w:name w:val="endnote text"/>
    <w:basedOn w:val="1"/>
    <w:link w:val="934"/>
    <w:qFormat/>
    <w:uiPriority w:val="0"/>
    <w:rPr>
      <w:lang w:val="zh-CN"/>
    </w:rPr>
  </w:style>
  <w:style w:type="paragraph" w:styleId="40">
    <w:name w:val="Balloon Text"/>
    <w:basedOn w:val="1"/>
    <w:link w:val="191"/>
    <w:qFormat/>
    <w:uiPriority w:val="0"/>
    <w:rPr>
      <w:sz w:val="18"/>
      <w:szCs w:val="18"/>
    </w:rPr>
  </w:style>
  <w:style w:type="paragraph" w:styleId="41">
    <w:name w:val="footer"/>
    <w:basedOn w:val="1"/>
    <w:link w:val="385"/>
    <w:qFormat/>
    <w:uiPriority w:val="99"/>
    <w:pPr>
      <w:tabs>
        <w:tab w:val="center" w:pos="4153"/>
        <w:tab w:val="right" w:pos="8306"/>
      </w:tabs>
      <w:snapToGrid w:val="0"/>
      <w:jc w:val="left"/>
    </w:pPr>
    <w:rPr>
      <w:sz w:val="18"/>
      <w:szCs w:val="18"/>
    </w:rPr>
  </w:style>
  <w:style w:type="paragraph" w:styleId="42">
    <w:name w:val="envelope return"/>
    <w:basedOn w:val="1"/>
    <w:qFormat/>
    <w:uiPriority w:val="0"/>
    <w:pPr>
      <w:snapToGrid w:val="0"/>
    </w:pPr>
    <w:rPr>
      <w:rFonts w:ascii="Arial" w:hAnsi="Arial"/>
    </w:rPr>
  </w:style>
  <w:style w:type="paragraph" w:styleId="43">
    <w:name w:val="header"/>
    <w:basedOn w:val="1"/>
    <w:link w:val="394"/>
    <w:qFormat/>
    <w:uiPriority w:val="99"/>
    <w:pPr>
      <w:pBdr>
        <w:bottom w:val="single" w:color="auto" w:sz="6" w:space="1"/>
      </w:pBdr>
      <w:tabs>
        <w:tab w:val="center" w:pos="4153"/>
        <w:tab w:val="right" w:pos="8306"/>
      </w:tabs>
      <w:snapToGrid w:val="0"/>
      <w:jc w:val="center"/>
    </w:pPr>
    <w:rPr>
      <w:sz w:val="18"/>
      <w:szCs w:val="18"/>
    </w:rPr>
  </w:style>
  <w:style w:type="paragraph" w:styleId="44">
    <w:name w:val="Signature"/>
    <w:basedOn w:val="1"/>
    <w:link w:val="347"/>
    <w:qFormat/>
    <w:uiPriority w:val="0"/>
    <w:pPr>
      <w:spacing w:after="600" w:line="312" w:lineRule="atLeast"/>
      <w:jc w:val="center"/>
      <w:textAlignment w:val="baseline"/>
    </w:pPr>
    <w:rPr>
      <w:rFonts w:eastAsia="仿宋_GB2312"/>
      <w:kern w:val="0"/>
      <w:sz w:val="24"/>
      <w:szCs w:val="20"/>
    </w:rPr>
  </w:style>
  <w:style w:type="paragraph" w:styleId="45">
    <w:name w:val="toc 1"/>
    <w:basedOn w:val="1"/>
    <w:next w:val="1"/>
    <w:qFormat/>
    <w:uiPriority w:val="0"/>
  </w:style>
  <w:style w:type="paragraph" w:styleId="46">
    <w:name w:val="toc 4"/>
    <w:basedOn w:val="1"/>
    <w:next w:val="1"/>
    <w:qFormat/>
    <w:uiPriority w:val="0"/>
    <w:pPr>
      <w:ind w:left="1260" w:leftChars="600"/>
    </w:pPr>
  </w:style>
  <w:style w:type="paragraph" w:styleId="47">
    <w:name w:val="index heading"/>
    <w:basedOn w:val="1"/>
    <w:next w:val="48"/>
    <w:qFormat/>
    <w:uiPriority w:val="0"/>
    <w:pPr>
      <w:adjustRightInd/>
      <w:ind w:firstLine="200" w:firstLineChars="200"/>
    </w:pPr>
  </w:style>
  <w:style w:type="paragraph" w:styleId="48">
    <w:name w:val="index 1"/>
    <w:basedOn w:val="1"/>
    <w:next w:val="1"/>
    <w:qFormat/>
    <w:uiPriority w:val="0"/>
    <w:pPr>
      <w:adjustRightInd/>
      <w:spacing w:line="360" w:lineRule="auto"/>
      <w:ind w:firstLine="200" w:firstLineChars="200"/>
      <w:jc w:val="center"/>
    </w:pPr>
    <w:rPr>
      <w:sz w:val="24"/>
      <w:szCs w:val="20"/>
    </w:rPr>
  </w:style>
  <w:style w:type="paragraph" w:styleId="49">
    <w:name w:val="Subtitle"/>
    <w:link w:val="136"/>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50">
    <w:name w:val="List Number 5"/>
    <w:basedOn w:val="1"/>
    <w:qFormat/>
    <w:uiPriority w:val="0"/>
    <w:pPr>
      <w:tabs>
        <w:tab w:val="left" w:pos="902"/>
      </w:tabs>
      <w:adjustRightInd/>
      <w:spacing w:line="400" w:lineRule="exact"/>
      <w:ind w:left="902" w:hanging="420"/>
    </w:pPr>
    <w:rPr>
      <w:sz w:val="24"/>
      <w:szCs w:val="20"/>
    </w:rPr>
  </w:style>
  <w:style w:type="paragraph" w:styleId="51">
    <w:name w:val="List"/>
    <w:basedOn w:val="1"/>
    <w:qFormat/>
    <w:uiPriority w:val="0"/>
    <w:pPr>
      <w:ind w:left="200" w:hanging="200" w:hangingChars="200"/>
    </w:pPr>
  </w:style>
  <w:style w:type="paragraph" w:styleId="52">
    <w:name w:val="footnote text"/>
    <w:basedOn w:val="7"/>
    <w:link w:val="312"/>
    <w:qFormat/>
    <w:uiPriority w:val="0"/>
    <w:pPr>
      <w:adjustRightInd/>
      <w:snapToGrid/>
      <w:spacing w:before="60" w:after="60" w:line="300" w:lineRule="exact"/>
      <w:ind w:firstLine="0"/>
    </w:pPr>
    <w:rPr>
      <w:rFonts w:ascii="Calibri"/>
      <w:snapToGrid/>
      <w:color w:val="0000FF"/>
      <w:kern w:val="0"/>
      <w:sz w:val="21"/>
    </w:rPr>
  </w:style>
  <w:style w:type="paragraph" w:styleId="53">
    <w:name w:val="toc 6"/>
    <w:basedOn w:val="1"/>
    <w:next w:val="1"/>
    <w:qFormat/>
    <w:uiPriority w:val="0"/>
    <w:pPr>
      <w:ind w:left="2100" w:leftChars="1000"/>
    </w:pPr>
  </w:style>
  <w:style w:type="paragraph" w:styleId="54">
    <w:name w:val="List 5"/>
    <w:basedOn w:val="1"/>
    <w:qFormat/>
    <w:uiPriority w:val="0"/>
    <w:pPr>
      <w:adjustRightInd/>
      <w:ind w:left="100" w:leftChars="800" w:hanging="200" w:hangingChars="200"/>
    </w:pPr>
  </w:style>
  <w:style w:type="paragraph" w:styleId="55">
    <w:name w:val="Body Text Indent 3"/>
    <w:basedOn w:val="1"/>
    <w:link w:val="377"/>
    <w:qFormat/>
    <w:uiPriority w:val="0"/>
    <w:pPr>
      <w:spacing w:line="360" w:lineRule="auto"/>
      <w:ind w:firstLine="420"/>
    </w:pPr>
    <w:rPr>
      <w:sz w:val="24"/>
      <w:szCs w:val="20"/>
    </w:rPr>
  </w:style>
  <w:style w:type="paragraph" w:styleId="56">
    <w:name w:val="toc 2"/>
    <w:basedOn w:val="1"/>
    <w:next w:val="1"/>
    <w:qFormat/>
    <w:uiPriority w:val="0"/>
    <w:pPr>
      <w:ind w:left="420" w:leftChars="200"/>
    </w:pPr>
  </w:style>
  <w:style w:type="paragraph" w:styleId="57">
    <w:name w:val="toc 9"/>
    <w:basedOn w:val="1"/>
    <w:next w:val="1"/>
    <w:qFormat/>
    <w:uiPriority w:val="0"/>
    <w:pPr>
      <w:ind w:left="3360" w:leftChars="1600"/>
    </w:pPr>
  </w:style>
  <w:style w:type="paragraph" w:styleId="58">
    <w:name w:val="Body Text 2"/>
    <w:basedOn w:val="1"/>
    <w:link w:val="304"/>
    <w:qFormat/>
    <w:uiPriority w:val="0"/>
    <w:pPr>
      <w:spacing w:after="120" w:line="480" w:lineRule="auto"/>
    </w:pPr>
  </w:style>
  <w:style w:type="paragraph" w:styleId="59">
    <w:name w:val="HTML Preformatted"/>
    <w:basedOn w:val="1"/>
    <w:link w:val="30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60">
    <w:name w:val="Normal (Web)"/>
    <w:basedOn w:val="1"/>
    <w:qFormat/>
    <w:uiPriority w:val="99"/>
    <w:pPr>
      <w:widowControl/>
      <w:spacing w:before="100" w:beforeAutospacing="1" w:after="100" w:afterAutospacing="1"/>
      <w:jc w:val="left"/>
    </w:pPr>
    <w:rPr>
      <w:rFonts w:ascii="宋体" w:hAnsi="宋体"/>
      <w:kern w:val="0"/>
      <w:sz w:val="24"/>
    </w:rPr>
  </w:style>
  <w:style w:type="paragraph" w:styleId="61">
    <w:name w:val="Title"/>
    <w:basedOn w:val="1"/>
    <w:link w:val="288"/>
    <w:qFormat/>
    <w:uiPriority w:val="10"/>
    <w:pPr>
      <w:widowControl/>
      <w:overflowPunct w:val="0"/>
      <w:autoSpaceDE w:val="0"/>
      <w:autoSpaceDN w:val="0"/>
      <w:jc w:val="center"/>
      <w:textAlignment w:val="baseline"/>
    </w:pPr>
    <w:rPr>
      <w:b/>
      <w:kern w:val="0"/>
      <w:sz w:val="24"/>
      <w:szCs w:val="20"/>
      <w:lang w:val="en-GB"/>
    </w:rPr>
  </w:style>
  <w:style w:type="paragraph" w:styleId="62">
    <w:name w:val="annotation subject"/>
    <w:basedOn w:val="23"/>
    <w:next w:val="23"/>
    <w:link w:val="99"/>
    <w:qFormat/>
    <w:uiPriority w:val="0"/>
    <w:rPr>
      <w:b/>
      <w:bCs/>
    </w:rPr>
  </w:style>
  <w:style w:type="paragraph" w:styleId="63">
    <w:name w:val="Body Text First Indent 2"/>
    <w:basedOn w:val="8"/>
    <w:next w:val="64"/>
    <w:link w:val="124"/>
    <w:qFormat/>
    <w:uiPriority w:val="0"/>
    <w:pPr>
      <w:adjustRightInd/>
      <w:spacing w:after="120" w:line="240" w:lineRule="auto"/>
      <w:ind w:left="420" w:leftChars="200" w:firstLine="210"/>
    </w:pPr>
    <w:rPr>
      <w:sz w:val="21"/>
    </w:rPr>
  </w:style>
  <w:style w:type="paragraph" w:customStyle="1" w:styleId="64">
    <w:name w:val="xl53"/>
    <w:basedOn w:val="1"/>
    <w:qFormat/>
    <w:uiPriority w:val="0"/>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line="240" w:lineRule="auto"/>
      <w:ind w:firstLine="0" w:firstLineChars="0"/>
      <w:jc w:val="center"/>
      <w:textAlignment w:val="center"/>
    </w:pPr>
    <w:rPr>
      <w:rFonts w:ascii="Arial Unicode MS" w:hAnsi="Arial Unicode MS" w:eastAsia="Arial Unicode MS" w:cs="Times New Roman"/>
      <w:b/>
      <w:bCs/>
      <w:kern w:val="0"/>
      <w:sz w:val="20"/>
      <w:szCs w:val="20"/>
    </w:rPr>
  </w:style>
  <w:style w:type="table" w:styleId="66">
    <w:name w:val="Table Grid"/>
    <w:basedOn w:val="6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7">
    <w:name w:val="Table Theme"/>
    <w:basedOn w:val="6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8">
    <w:name w:val="Table Elegant"/>
    <w:basedOn w:val="65"/>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9">
    <w:name w:val="Table Grid 5"/>
    <w:basedOn w:val="65"/>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70">
    <w:name w:val="Table Grid 8"/>
    <w:basedOn w:val="65"/>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71">
    <w:name w:val="Table Professional"/>
    <w:basedOn w:val="65"/>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3">
    <w:name w:val="Strong"/>
    <w:qFormat/>
    <w:uiPriority w:val="22"/>
    <w:rPr>
      <w:b/>
      <w:bCs/>
    </w:rPr>
  </w:style>
  <w:style w:type="character" w:styleId="74">
    <w:name w:val="endnote reference"/>
    <w:qFormat/>
    <w:uiPriority w:val="0"/>
    <w:rPr>
      <w:vertAlign w:val="superscript"/>
    </w:rPr>
  </w:style>
  <w:style w:type="character" w:styleId="75">
    <w:name w:val="page number"/>
    <w:basedOn w:val="72"/>
    <w:qFormat/>
    <w:uiPriority w:val="0"/>
    <w:rPr>
      <w:rFonts w:ascii="Arial" w:hAnsi="Arial" w:eastAsia="黑体" w:cs="Arial"/>
      <w:snapToGrid w:val="0"/>
      <w:kern w:val="0"/>
      <w:szCs w:val="21"/>
    </w:rPr>
  </w:style>
  <w:style w:type="character" w:styleId="76">
    <w:name w:val="FollowedHyperlink"/>
    <w:qFormat/>
    <w:uiPriority w:val="99"/>
    <w:rPr>
      <w:rFonts w:ascii="Arial" w:hAnsi="Arial" w:eastAsia="黑体" w:cs="Arial"/>
      <w:snapToGrid w:val="0"/>
      <w:color w:val="000000"/>
      <w:kern w:val="0"/>
      <w:sz w:val="18"/>
      <w:szCs w:val="18"/>
      <w:u w:val="none"/>
    </w:rPr>
  </w:style>
  <w:style w:type="character" w:styleId="77">
    <w:name w:val="Emphasis"/>
    <w:qFormat/>
    <w:uiPriority w:val="20"/>
    <w:rPr>
      <w:color w:val="CC0033"/>
    </w:rPr>
  </w:style>
  <w:style w:type="character" w:styleId="78">
    <w:name w:val="line number"/>
    <w:basedOn w:val="72"/>
    <w:qFormat/>
    <w:uiPriority w:val="0"/>
    <w:rPr>
      <w:rFonts w:ascii="Arial" w:hAnsi="Arial" w:eastAsia="黑体" w:cs="Arial"/>
      <w:snapToGrid w:val="0"/>
      <w:kern w:val="0"/>
      <w:szCs w:val="21"/>
    </w:rPr>
  </w:style>
  <w:style w:type="character" w:styleId="79">
    <w:name w:val="Hyperlink"/>
    <w:basedOn w:val="72"/>
    <w:qFormat/>
    <w:uiPriority w:val="99"/>
    <w:rPr>
      <w:rFonts w:ascii="Arial" w:hAnsi="Arial" w:eastAsia="黑体" w:cs="Arial"/>
      <w:snapToGrid w:val="0"/>
      <w:color w:val="000000"/>
      <w:kern w:val="0"/>
      <w:sz w:val="18"/>
      <w:szCs w:val="18"/>
      <w:u w:val="none"/>
    </w:rPr>
  </w:style>
  <w:style w:type="character" w:styleId="80">
    <w:name w:val="HTML Code"/>
    <w:qFormat/>
    <w:uiPriority w:val="0"/>
    <w:rPr>
      <w:rFonts w:ascii="黑体" w:hAnsi="Courier New" w:eastAsia="黑体" w:cs="楷体_GB2312"/>
      <w:sz w:val="20"/>
      <w:szCs w:val="20"/>
    </w:rPr>
  </w:style>
  <w:style w:type="character" w:styleId="81">
    <w:name w:val="annotation reference"/>
    <w:qFormat/>
    <w:uiPriority w:val="99"/>
    <w:rPr>
      <w:sz w:val="21"/>
      <w:szCs w:val="21"/>
    </w:rPr>
  </w:style>
  <w:style w:type="paragraph" w:customStyle="1" w:styleId="82">
    <w:name w:val="Heading1"/>
    <w:basedOn w:val="1"/>
    <w:next w:val="1"/>
    <w:qFormat/>
    <w:uiPriority w:val="0"/>
    <w:pPr>
      <w:keepNext/>
      <w:keepLines/>
      <w:spacing w:before="340" w:after="330" w:line="578" w:lineRule="auto"/>
      <w:ind w:left="425" w:hanging="425"/>
    </w:pPr>
    <w:rPr>
      <w:rFonts w:eastAsia="仿宋_GB2312"/>
      <w:b/>
      <w:kern w:val="44"/>
      <w:sz w:val="44"/>
      <w:szCs w:val="20"/>
    </w:rPr>
  </w:style>
  <w:style w:type="paragraph" w:customStyle="1" w:styleId="83">
    <w:name w:val="Default"/>
    <w:next w:val="84"/>
    <w:link w:val="237"/>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84">
    <w:name w:val="目录 71"/>
    <w:next w:val="1"/>
    <w:qFormat/>
    <w:uiPriority w:val="0"/>
    <w:pPr>
      <w:wordWrap w:val="0"/>
      <w:ind w:left="2550"/>
      <w:jc w:val="both"/>
    </w:pPr>
    <w:rPr>
      <w:rFonts w:ascii="宋体" w:hAnsi="宋体" w:eastAsia="Times New Roman" w:cs="Times New Roman"/>
      <w:sz w:val="21"/>
      <w:lang w:val="en-US" w:eastAsia="zh-CN" w:bidi="ar-SA"/>
    </w:rPr>
  </w:style>
  <w:style w:type="character" w:customStyle="1" w:styleId="85">
    <w:name w:val="表格非标题文字 Char"/>
    <w:link w:val="86"/>
    <w:qFormat/>
    <w:uiPriority w:val="0"/>
    <w:rPr>
      <w:rFonts w:ascii="Futura Bk" w:hAnsi="Futura Bk"/>
      <w:kern w:val="2"/>
      <w:sz w:val="18"/>
      <w:szCs w:val="21"/>
      <w:lang w:val="en-US" w:eastAsia="zh-CN" w:bidi="ar-SA"/>
    </w:rPr>
  </w:style>
  <w:style w:type="paragraph" w:customStyle="1" w:styleId="86">
    <w:name w:val="表格非标题文字"/>
    <w:link w:val="85"/>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7">
    <w:name w:val="*正文 Char"/>
    <w:link w:val="88"/>
    <w:qFormat/>
    <w:uiPriority w:val="0"/>
    <w:rPr>
      <w:rFonts w:ascii="宋体" w:hAnsi="宋体"/>
      <w:sz w:val="24"/>
    </w:rPr>
  </w:style>
  <w:style w:type="paragraph" w:customStyle="1" w:styleId="88">
    <w:name w:val="*正文"/>
    <w:basedOn w:val="1"/>
    <w:link w:val="87"/>
    <w:qFormat/>
    <w:uiPriority w:val="0"/>
    <w:pPr>
      <w:snapToGrid w:val="0"/>
      <w:spacing w:line="360" w:lineRule="auto"/>
      <w:ind w:firstLine="482"/>
      <w:jc w:val="left"/>
    </w:pPr>
    <w:rPr>
      <w:rFonts w:ascii="宋体" w:hAnsi="宋体"/>
      <w:kern w:val="0"/>
      <w:sz w:val="24"/>
      <w:szCs w:val="20"/>
    </w:rPr>
  </w:style>
  <w:style w:type="character" w:customStyle="1" w:styleId="89">
    <w:name w:val="Char Char71"/>
    <w:qFormat/>
    <w:uiPriority w:val="0"/>
    <w:rPr>
      <w:rFonts w:eastAsia="宋体"/>
      <w:kern w:val="2"/>
      <w:sz w:val="21"/>
      <w:szCs w:val="24"/>
      <w:lang w:val="en-US" w:eastAsia="zh-CN" w:bidi="ar-SA"/>
    </w:rPr>
  </w:style>
  <w:style w:type="character" w:customStyle="1" w:styleId="90">
    <w:name w:val="Char Char6"/>
    <w:qFormat/>
    <w:uiPriority w:val="0"/>
    <w:rPr>
      <w:rFonts w:eastAsia="宋体"/>
      <w:kern w:val="2"/>
      <w:sz w:val="21"/>
      <w:szCs w:val="24"/>
      <w:lang w:val="en-US" w:eastAsia="zh-CN" w:bidi="ar-SA"/>
    </w:rPr>
  </w:style>
  <w:style w:type="character" w:customStyle="1" w:styleId="91">
    <w:name w:val="正文缩进 Char"/>
    <w:qFormat/>
    <w:uiPriority w:val="0"/>
    <w:rPr>
      <w:rFonts w:eastAsia="宋体"/>
      <w:kern w:val="2"/>
      <w:sz w:val="21"/>
      <w:lang w:val="en-US" w:eastAsia="zh-CN"/>
    </w:rPr>
  </w:style>
  <w:style w:type="character" w:customStyle="1" w:styleId="92">
    <w:name w:val="正文首行缩进 Char1"/>
    <w:qFormat/>
    <w:uiPriority w:val="0"/>
    <w:rPr>
      <w:rFonts w:ascii="宋体" w:hAnsi="Times New Roman" w:eastAsia="宋体" w:cs="Times New Roman"/>
      <w:snapToGrid w:val="0"/>
      <w:kern w:val="2"/>
      <w:sz w:val="24"/>
      <w:szCs w:val="21"/>
      <w:lang w:val="zh-CN"/>
    </w:rPr>
  </w:style>
  <w:style w:type="character" w:customStyle="1" w:styleId="93">
    <w:name w:val="Char Char28"/>
    <w:qFormat/>
    <w:uiPriority w:val="6"/>
    <w:rPr>
      <w:rFonts w:ascii="仿宋_GB2312" w:hAnsi="仿宋_GB2312" w:eastAsia="仿宋_GB2312"/>
      <w:kern w:val="1"/>
      <w:sz w:val="28"/>
    </w:rPr>
  </w:style>
  <w:style w:type="character" w:customStyle="1" w:styleId="94">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5">
    <w:name w:val="Heading 1 Char_a7bee19d-6ee1-4f59-9a95-63e8ae457081"/>
    <w:qFormat/>
    <w:uiPriority w:val="6"/>
    <w:rPr>
      <w:rFonts w:ascii="Times New Roman" w:hAnsi="Times New Roman" w:eastAsia="黑体" w:cs="Times New Roman"/>
      <w:b/>
      <w:kern w:val="0"/>
      <w:sz w:val="24"/>
      <w:szCs w:val="24"/>
    </w:rPr>
  </w:style>
  <w:style w:type="character" w:customStyle="1" w:styleId="96">
    <w:name w:val="U_正文 Char"/>
    <w:link w:val="97"/>
    <w:qFormat/>
    <w:uiPriority w:val="0"/>
    <w:rPr>
      <w:sz w:val="24"/>
      <w:szCs w:val="24"/>
    </w:rPr>
  </w:style>
  <w:style w:type="paragraph" w:customStyle="1" w:styleId="97">
    <w:name w:val="U_正文"/>
    <w:basedOn w:val="1"/>
    <w:link w:val="96"/>
    <w:qFormat/>
    <w:uiPriority w:val="0"/>
    <w:pPr>
      <w:adjustRightInd/>
      <w:spacing w:beforeLines="20" w:afterLines="20" w:line="300" w:lineRule="auto"/>
      <w:ind w:firstLine="200" w:firstLineChars="200"/>
    </w:pPr>
    <w:rPr>
      <w:kern w:val="0"/>
      <w:sz w:val="24"/>
    </w:rPr>
  </w:style>
  <w:style w:type="character" w:customStyle="1" w:styleId="98">
    <w:name w:val="HTML 地址 Char1"/>
    <w:qFormat/>
    <w:uiPriority w:val="0"/>
    <w:rPr>
      <w:rFonts w:ascii="Times New Roman" w:hAnsi="Times New Roman" w:eastAsia="宋体" w:cs="Times New Roman"/>
      <w:i/>
      <w:iCs/>
      <w:szCs w:val="24"/>
    </w:rPr>
  </w:style>
  <w:style w:type="character" w:customStyle="1" w:styleId="99">
    <w:name w:val="批注主题 Char1"/>
    <w:link w:val="62"/>
    <w:qFormat/>
    <w:uiPriority w:val="0"/>
    <w:rPr>
      <w:b/>
      <w:bCs/>
      <w:kern w:val="2"/>
      <w:sz w:val="21"/>
      <w:szCs w:val="24"/>
    </w:rPr>
  </w:style>
  <w:style w:type="character" w:customStyle="1" w:styleId="100">
    <w:name w:val="Char Char51"/>
    <w:qFormat/>
    <w:uiPriority w:val="0"/>
    <w:rPr>
      <w:rFonts w:ascii="宋体" w:hAnsi="Courier New" w:eastAsia="宋体"/>
      <w:kern w:val="2"/>
      <w:sz w:val="21"/>
      <w:lang w:val="en-US" w:eastAsia="zh-CN"/>
    </w:rPr>
  </w:style>
  <w:style w:type="character" w:customStyle="1" w:styleId="101">
    <w:name w:val="表正文 Char"/>
    <w:qFormat/>
    <w:uiPriority w:val="0"/>
    <w:rPr>
      <w:rFonts w:ascii="宋体" w:eastAsia="宋体"/>
      <w:snapToGrid w:val="0"/>
      <w:color w:val="000000"/>
      <w:kern w:val="28"/>
      <w:sz w:val="28"/>
      <w:lang w:val="en-US" w:eastAsia="zh-CN" w:bidi="ar-SA"/>
    </w:rPr>
  </w:style>
  <w:style w:type="character" w:customStyle="1" w:styleId="102">
    <w:name w:val="Char Char34"/>
    <w:qFormat/>
    <w:uiPriority w:val="6"/>
    <w:rPr>
      <w:b/>
      <w:kern w:val="1"/>
      <w:sz w:val="28"/>
      <w:szCs w:val="28"/>
    </w:rPr>
  </w:style>
  <w:style w:type="character" w:customStyle="1" w:styleId="103">
    <w:name w:val="Normal Indent Char"/>
    <w:qFormat/>
    <w:uiPriority w:val="0"/>
    <w:rPr>
      <w:rFonts w:ascii="Calibri" w:hAnsi="Calibri" w:eastAsia="宋体" w:cs="黑体"/>
      <w:snapToGrid w:val="0"/>
      <w:kern w:val="2"/>
      <w:sz w:val="24"/>
      <w:szCs w:val="22"/>
      <w:lang w:val="en-US" w:eastAsia="zh-CN" w:bidi="ar-SA"/>
    </w:rPr>
  </w:style>
  <w:style w:type="character" w:customStyle="1" w:styleId="104">
    <w:name w:val="哈哈正文 Char"/>
    <w:link w:val="105"/>
    <w:qFormat/>
    <w:uiPriority w:val="0"/>
    <w:rPr>
      <w:rFonts w:ascii="宋体" w:hAnsi="宋体" w:eastAsia="宋体"/>
      <w:kern w:val="2"/>
      <w:sz w:val="24"/>
      <w:lang w:bidi="ar-SA"/>
    </w:rPr>
  </w:style>
  <w:style w:type="paragraph" w:customStyle="1" w:styleId="105">
    <w:name w:val="哈哈正文"/>
    <w:basedOn w:val="1"/>
    <w:link w:val="104"/>
    <w:qFormat/>
    <w:uiPriority w:val="0"/>
    <w:pPr>
      <w:adjustRightInd/>
      <w:spacing w:line="360" w:lineRule="auto"/>
      <w:ind w:firstLine="200" w:firstLineChars="200"/>
    </w:pPr>
    <w:rPr>
      <w:rFonts w:ascii="宋体" w:hAnsi="宋体"/>
      <w:sz w:val="24"/>
      <w:szCs w:val="20"/>
    </w:rPr>
  </w:style>
  <w:style w:type="character" w:customStyle="1" w:styleId="106">
    <w:name w:val="未处理的提及1"/>
    <w:qFormat/>
    <w:uiPriority w:val="0"/>
    <w:rPr>
      <w:color w:val="808080"/>
      <w:shd w:val="clear" w:color="auto" w:fill="E6E6E6"/>
    </w:rPr>
  </w:style>
  <w:style w:type="character" w:customStyle="1" w:styleId="107">
    <w:name w:val="txt"/>
    <w:qFormat/>
    <w:uiPriority w:val="0"/>
    <w:rPr>
      <w:rFonts w:ascii="仿宋_GB2312" w:eastAsia="微软雅黑"/>
      <w:b/>
      <w:kern w:val="2"/>
      <w:sz w:val="32"/>
      <w:szCs w:val="32"/>
      <w:lang w:val="en-US" w:eastAsia="zh-CN" w:bidi="ar-SA"/>
    </w:rPr>
  </w:style>
  <w:style w:type="character" w:customStyle="1" w:styleId="108">
    <w:name w:val="二级标题 Char Char"/>
    <w:qFormat/>
    <w:uiPriority w:val="0"/>
    <w:rPr>
      <w:rFonts w:ascii="宋体" w:hAnsi="宋体" w:eastAsia="宋体"/>
      <w:b/>
      <w:snapToGrid w:val="0"/>
      <w:kern w:val="2"/>
      <w:sz w:val="24"/>
      <w:szCs w:val="24"/>
      <w:lang w:val="en-US" w:eastAsia="zh-CN" w:bidi="ar-SA"/>
    </w:rPr>
  </w:style>
  <w:style w:type="character" w:customStyle="1" w:styleId="109">
    <w:name w:val="Char Char32"/>
    <w:qFormat/>
    <w:uiPriority w:val="6"/>
    <w:rPr>
      <w:b/>
      <w:kern w:val="1"/>
      <w:sz w:val="24"/>
      <w:szCs w:val="24"/>
    </w:rPr>
  </w:style>
  <w:style w:type="character" w:customStyle="1" w:styleId="110">
    <w:name w:val="PI Char1"/>
    <w:qFormat/>
    <w:uiPriority w:val="0"/>
    <w:rPr>
      <w:rFonts w:ascii="宋体" w:hAnsi="宋体"/>
      <w:kern w:val="2"/>
      <w:sz w:val="24"/>
      <w:szCs w:val="24"/>
    </w:rPr>
  </w:style>
  <w:style w:type="character" w:customStyle="1" w:styleId="111">
    <w:name w:val="tw4winTerm"/>
    <w:qFormat/>
    <w:uiPriority w:val="0"/>
    <w:rPr>
      <w:color w:val="0000FF"/>
    </w:rPr>
  </w:style>
  <w:style w:type="character" w:customStyle="1" w:styleId="112">
    <w:name w:val="Footer Char_349d8ccd-87a8-4174-b318-483ee852d82b"/>
    <w:qFormat/>
    <w:uiPriority w:val="0"/>
    <w:rPr>
      <w:rFonts w:eastAsia="宋体"/>
      <w:kern w:val="2"/>
      <w:sz w:val="18"/>
      <w:lang w:val="en-US" w:eastAsia="zh-CN" w:bidi="ar-SA"/>
    </w:rPr>
  </w:style>
  <w:style w:type="character" w:customStyle="1" w:styleId="113">
    <w:name w:val="普通文字 Char Char1"/>
    <w:qFormat/>
    <w:uiPriority w:val="0"/>
    <w:rPr>
      <w:rFonts w:ascii="宋体" w:hAnsi="Courier New"/>
      <w:kern w:val="2"/>
      <w:sz w:val="21"/>
    </w:rPr>
  </w:style>
  <w:style w:type="character" w:customStyle="1" w:styleId="114">
    <w:name w:val="Char Char101"/>
    <w:qFormat/>
    <w:uiPriority w:val="6"/>
    <w:rPr>
      <w:rFonts w:ascii="宋体" w:hAnsi="宋体"/>
      <w:kern w:val="2"/>
      <w:sz w:val="21"/>
      <w:szCs w:val="24"/>
      <w:lang w:val="en-US" w:eastAsia="zh-CN"/>
    </w:rPr>
  </w:style>
  <w:style w:type="character" w:customStyle="1" w:styleId="115">
    <w:name w:val="标题 4 Char"/>
    <w:qFormat/>
    <w:uiPriority w:val="0"/>
    <w:rPr>
      <w:rFonts w:ascii="Arial" w:hAnsi="Arial" w:eastAsia="黑体"/>
      <w:b/>
      <w:kern w:val="2"/>
      <w:sz w:val="28"/>
    </w:rPr>
  </w:style>
  <w:style w:type="character" w:customStyle="1" w:styleId="116">
    <w:name w:val="链接"/>
    <w:qFormat/>
    <w:uiPriority w:val="0"/>
    <w:rPr>
      <w:color w:val="0000FF"/>
      <w:sz w:val="21"/>
      <w:szCs w:val="21"/>
      <w:u w:val="single"/>
    </w:rPr>
  </w:style>
  <w:style w:type="character" w:customStyle="1" w:styleId="117">
    <w:name w:val="h4 Char"/>
    <w:qFormat/>
    <w:uiPriority w:val="0"/>
    <w:rPr>
      <w:rFonts w:ascii="Arial" w:hAnsi="Arial" w:eastAsia="黑体"/>
      <w:b/>
      <w:bCs/>
      <w:kern w:val="2"/>
      <w:sz w:val="28"/>
      <w:szCs w:val="28"/>
      <w:lang w:val="zh-CN" w:eastAsia="zh-CN" w:bidi="ar-SA"/>
    </w:rPr>
  </w:style>
  <w:style w:type="character" w:customStyle="1" w:styleId="118">
    <w:name w:val="5正文 Char"/>
    <w:link w:val="119"/>
    <w:qFormat/>
    <w:uiPriority w:val="0"/>
    <w:rPr>
      <w:rFonts w:ascii="仿宋_GB2312" w:hAnsi="微软雅黑" w:eastAsia="仿宋_GB2312"/>
      <w:sz w:val="28"/>
      <w:szCs w:val="21"/>
    </w:rPr>
  </w:style>
  <w:style w:type="paragraph" w:customStyle="1" w:styleId="119">
    <w:name w:val="5正文"/>
    <w:basedOn w:val="1"/>
    <w:link w:val="118"/>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20">
    <w:name w:val="标题 3 字符"/>
    <w:qFormat/>
    <w:uiPriority w:val="9"/>
    <w:rPr>
      <w:b/>
      <w:bCs/>
      <w:kern w:val="2"/>
      <w:sz w:val="32"/>
      <w:szCs w:val="32"/>
    </w:rPr>
  </w:style>
  <w:style w:type="character" w:customStyle="1" w:styleId="121">
    <w:name w:val="样式6 Char"/>
    <w:qFormat/>
    <w:uiPriority w:val="0"/>
    <w:rPr>
      <w:rFonts w:ascii="仿宋_GB2312" w:hAnsi="宋体" w:eastAsia="仿宋_GB2312"/>
      <w:b/>
      <w:bCs/>
      <w:kern w:val="2"/>
      <w:sz w:val="24"/>
      <w:szCs w:val="24"/>
      <w:lang w:val="en-US" w:eastAsia="zh-CN" w:bidi="ar-SA"/>
    </w:rPr>
  </w:style>
  <w:style w:type="character" w:customStyle="1" w:styleId="122">
    <w:name w:val="Char Char14"/>
    <w:qFormat/>
    <w:uiPriority w:val="6"/>
    <w:rPr>
      <w:rFonts w:ascii="黑体" w:hAnsi="黑体" w:eastAsia="黑体"/>
    </w:rPr>
  </w:style>
  <w:style w:type="character" w:customStyle="1" w:styleId="123">
    <w:name w:val="Heading 2 Hidden Char"/>
    <w:qFormat/>
    <w:uiPriority w:val="0"/>
    <w:rPr>
      <w:rFonts w:ascii="仿宋_GB2312" w:eastAsia="仿宋_GB2312"/>
      <w:b/>
      <w:bCs/>
      <w:kern w:val="2"/>
      <w:sz w:val="24"/>
      <w:szCs w:val="24"/>
      <w:lang w:val="zh-CN" w:eastAsia="zh-CN" w:bidi="ar-SA"/>
    </w:rPr>
  </w:style>
  <w:style w:type="character" w:customStyle="1" w:styleId="124">
    <w:name w:val="正文首行缩进 2 Char"/>
    <w:link w:val="63"/>
    <w:qFormat/>
    <w:uiPriority w:val="0"/>
    <w:rPr>
      <w:rFonts w:ascii="宋体" w:hAnsi="宋体"/>
      <w:kern w:val="2"/>
      <w:sz w:val="21"/>
      <w:szCs w:val="24"/>
    </w:rPr>
  </w:style>
  <w:style w:type="character" w:customStyle="1" w:styleId="125">
    <w:name w:val="font11"/>
    <w:basedOn w:val="72"/>
    <w:qFormat/>
    <w:uiPriority w:val="0"/>
    <w:rPr>
      <w:rFonts w:hint="default" w:ascii="Times New Roman" w:hAnsi="Times New Roman" w:cs="Times New Roman"/>
      <w:color w:val="000000"/>
      <w:sz w:val="22"/>
      <w:szCs w:val="22"/>
      <w:u w:val="none"/>
    </w:rPr>
  </w:style>
  <w:style w:type="character" w:customStyle="1" w:styleId="126">
    <w:name w:val="表正文 Char1"/>
    <w:qFormat/>
    <w:uiPriority w:val="0"/>
    <w:rPr>
      <w:rFonts w:ascii="宋体" w:eastAsia="宋体"/>
      <w:snapToGrid w:val="0"/>
      <w:color w:val="000000"/>
      <w:kern w:val="28"/>
      <w:sz w:val="28"/>
    </w:rPr>
  </w:style>
  <w:style w:type="character" w:customStyle="1" w:styleId="127">
    <w:name w:val="blue1"/>
    <w:basedOn w:val="72"/>
    <w:qFormat/>
    <w:uiPriority w:val="0"/>
    <w:rPr>
      <w:rFonts w:ascii="Arial" w:hAnsi="Arial" w:eastAsia="黑体" w:cs="Arial"/>
      <w:snapToGrid w:val="0"/>
      <w:kern w:val="0"/>
      <w:szCs w:val="21"/>
    </w:rPr>
  </w:style>
  <w:style w:type="character" w:customStyle="1" w:styleId="128">
    <w:name w:val="纯文本 Char"/>
    <w:link w:val="34"/>
    <w:qFormat/>
    <w:uiPriority w:val="0"/>
    <w:rPr>
      <w:rFonts w:ascii="宋体" w:hAnsi="Courier New" w:eastAsia="宋体" w:cs="Arial"/>
      <w:snapToGrid w:val="0"/>
      <w:kern w:val="2"/>
      <w:sz w:val="21"/>
      <w:szCs w:val="21"/>
      <w:lang w:val="en-US" w:eastAsia="zh-CN" w:bidi="ar-SA"/>
    </w:rPr>
  </w:style>
  <w:style w:type="character" w:customStyle="1" w:styleId="129">
    <w:name w:val="标书1 Char"/>
    <w:qFormat/>
    <w:uiPriority w:val="0"/>
    <w:rPr>
      <w:rFonts w:eastAsia="宋体"/>
      <w:b/>
      <w:bCs/>
      <w:kern w:val="44"/>
      <w:sz w:val="44"/>
      <w:szCs w:val="44"/>
      <w:lang w:val="en-US" w:eastAsia="zh-CN" w:bidi="ar-SA"/>
    </w:rPr>
  </w:style>
  <w:style w:type="character" w:customStyle="1" w:styleId="130">
    <w:name w:val="样式5 Char"/>
    <w:qFormat/>
    <w:uiPriority w:val="0"/>
    <w:rPr>
      <w:rFonts w:ascii="仿宋_GB2312" w:hAnsi="仿宋" w:eastAsia="仿宋_GB2312"/>
      <w:kern w:val="2"/>
      <w:sz w:val="24"/>
      <w:szCs w:val="24"/>
    </w:rPr>
  </w:style>
  <w:style w:type="character" w:customStyle="1" w:styleId="131">
    <w:name w:val="样式4 Char"/>
    <w:qFormat/>
    <w:uiPriority w:val="0"/>
    <w:rPr>
      <w:rFonts w:ascii="仿宋_GB2312" w:hAnsi="仿宋" w:eastAsia="仿宋_GB2312"/>
      <w:b/>
      <w:kern w:val="2"/>
      <w:sz w:val="32"/>
      <w:szCs w:val="32"/>
      <w:lang w:bidi="ar-SA"/>
    </w:rPr>
  </w:style>
  <w:style w:type="character" w:customStyle="1" w:styleId="132">
    <w:name w:val="插图说明 Char"/>
    <w:qFormat/>
    <w:uiPriority w:val="0"/>
    <w:rPr>
      <w:rFonts w:eastAsia="黑体"/>
      <w:sz w:val="24"/>
      <w:lang w:val="en-US" w:eastAsia="zh-CN"/>
    </w:rPr>
  </w:style>
  <w:style w:type="character" w:customStyle="1" w:styleId="133">
    <w:name w:val="正文2 Char Char"/>
    <w:link w:val="134"/>
    <w:qFormat/>
    <w:uiPriority w:val="0"/>
    <w:rPr>
      <w:rFonts w:eastAsia="宋体"/>
      <w:kern w:val="2"/>
      <w:sz w:val="24"/>
      <w:lang w:val="en-US" w:eastAsia="zh-CN" w:bidi="ar-SA"/>
    </w:rPr>
  </w:style>
  <w:style w:type="paragraph" w:customStyle="1" w:styleId="134">
    <w:name w:val="正文2"/>
    <w:basedOn w:val="1"/>
    <w:link w:val="133"/>
    <w:qFormat/>
    <w:uiPriority w:val="0"/>
    <w:pPr>
      <w:spacing w:before="156" w:line="360" w:lineRule="auto"/>
      <w:ind w:firstLine="510" w:firstLineChars="200"/>
    </w:pPr>
    <w:rPr>
      <w:sz w:val="24"/>
      <w:szCs w:val="20"/>
    </w:rPr>
  </w:style>
  <w:style w:type="character" w:customStyle="1" w:styleId="135">
    <w:name w:val="Char Char24"/>
    <w:qFormat/>
    <w:uiPriority w:val="6"/>
    <w:rPr>
      <w:kern w:val="1"/>
      <w:sz w:val="21"/>
    </w:rPr>
  </w:style>
  <w:style w:type="character" w:customStyle="1" w:styleId="136">
    <w:name w:val="副标题 Char"/>
    <w:link w:val="49"/>
    <w:qFormat/>
    <w:uiPriority w:val="0"/>
    <w:rPr>
      <w:rFonts w:ascii="Arial" w:hAnsi="Arial" w:eastAsia="隶书"/>
      <w:b/>
      <w:bCs/>
      <w:kern w:val="28"/>
      <w:sz w:val="44"/>
      <w:szCs w:val="32"/>
      <w:lang w:val="en-US" w:eastAsia="zh-CN" w:bidi="ar-SA"/>
    </w:rPr>
  </w:style>
  <w:style w:type="character" w:customStyle="1" w:styleId="137">
    <w:name w:val="普通文字 Char1 Char"/>
    <w:qFormat/>
    <w:uiPriority w:val="0"/>
    <w:rPr>
      <w:rFonts w:ascii="宋体" w:hAnsi="Courier New" w:eastAsia="宋体"/>
      <w:kern w:val="2"/>
      <w:sz w:val="21"/>
      <w:szCs w:val="24"/>
      <w:lang w:val="en-US" w:eastAsia="zh-CN" w:bidi="ar-SA"/>
    </w:rPr>
  </w:style>
  <w:style w:type="character" w:customStyle="1" w:styleId="138">
    <w:name w:val="h3 Char1"/>
    <w:qFormat/>
    <w:uiPriority w:val="0"/>
    <w:rPr>
      <w:rFonts w:eastAsia="宋体"/>
      <w:b/>
      <w:bCs/>
      <w:kern w:val="2"/>
      <w:sz w:val="32"/>
      <w:szCs w:val="32"/>
      <w:lang w:bidi="ar-SA"/>
    </w:rPr>
  </w:style>
  <w:style w:type="character" w:customStyle="1" w:styleId="139">
    <w:name w:val="标题 Char1"/>
    <w:qFormat/>
    <w:uiPriority w:val="0"/>
    <w:rPr>
      <w:rFonts w:ascii="Cambria" w:hAnsi="Cambria" w:eastAsia="宋体" w:cs="Times New Roman"/>
      <w:b/>
      <w:bCs/>
      <w:sz w:val="32"/>
      <w:szCs w:val="32"/>
      <w:lang w:bidi="ar-SA"/>
    </w:rPr>
  </w:style>
  <w:style w:type="character" w:customStyle="1" w:styleId="140">
    <w:name w:val="gf正文1 Char"/>
    <w:qFormat/>
    <w:uiPriority w:val="0"/>
    <w:rPr>
      <w:rFonts w:ascii="宋体" w:hAnsi="宋体" w:eastAsia="宋体" w:cs="宋体"/>
      <w:kern w:val="2"/>
      <w:sz w:val="24"/>
      <w:szCs w:val="24"/>
      <w:lang w:val="en-US" w:eastAsia="zh-CN" w:bidi="ar-SA"/>
    </w:rPr>
  </w:style>
  <w:style w:type="character" w:customStyle="1" w:styleId="141">
    <w:name w:val="正文文本缩进 Char1"/>
    <w:qFormat/>
    <w:uiPriority w:val="0"/>
    <w:rPr>
      <w:rFonts w:ascii="Calibri" w:hAnsi="Calibri"/>
      <w:sz w:val="28"/>
    </w:rPr>
  </w:style>
  <w:style w:type="character" w:customStyle="1" w:styleId="142">
    <w:name w:val="No Spacing Char"/>
    <w:link w:val="143"/>
    <w:qFormat/>
    <w:uiPriority w:val="1"/>
    <w:rPr>
      <w:sz w:val="22"/>
      <w:szCs w:val="22"/>
      <w:lang w:val="en-US" w:eastAsia="zh-CN" w:bidi="ar-SA"/>
    </w:rPr>
  </w:style>
  <w:style w:type="paragraph" w:customStyle="1" w:styleId="143">
    <w:name w:val="无间隔1"/>
    <w:link w:val="142"/>
    <w:qFormat/>
    <w:uiPriority w:val="1"/>
    <w:rPr>
      <w:rFonts w:ascii="Times New Roman" w:hAnsi="Times New Roman" w:eastAsia="宋体" w:cs="Times New Roman"/>
      <w:sz w:val="22"/>
      <w:szCs w:val="22"/>
      <w:lang w:val="en-US" w:eastAsia="zh-CN" w:bidi="ar-SA"/>
    </w:rPr>
  </w:style>
  <w:style w:type="character" w:customStyle="1" w:styleId="144">
    <w:name w:val="样式7 Char"/>
    <w:qFormat/>
    <w:uiPriority w:val="0"/>
    <w:rPr>
      <w:rFonts w:ascii="仿宋_GB2312" w:hAnsi="仿宋" w:eastAsia="仿宋_GB2312"/>
      <w:b/>
      <w:kern w:val="2"/>
      <w:sz w:val="24"/>
      <w:szCs w:val="24"/>
    </w:rPr>
  </w:style>
  <w:style w:type="character" w:customStyle="1" w:styleId="145">
    <w:name w:val="font12gray1"/>
    <w:qFormat/>
    <w:uiPriority w:val="0"/>
    <w:rPr>
      <w:rFonts w:ascii="仿宋_GB2312" w:eastAsia="微软雅黑"/>
      <w:b/>
      <w:spacing w:val="300"/>
      <w:kern w:val="2"/>
      <w:sz w:val="18"/>
      <w:szCs w:val="18"/>
      <w:lang w:val="en-US" w:eastAsia="zh-CN" w:bidi="ar-SA"/>
    </w:rPr>
  </w:style>
  <w:style w:type="character" w:customStyle="1" w:styleId="146">
    <w:name w:val="Char Char7"/>
    <w:qFormat/>
    <w:uiPriority w:val="0"/>
    <w:rPr>
      <w:rFonts w:eastAsia="宋体"/>
      <w:kern w:val="2"/>
      <w:sz w:val="21"/>
      <w:szCs w:val="24"/>
      <w:lang w:val="en-US" w:eastAsia="zh-CN" w:bidi="ar-SA"/>
    </w:rPr>
  </w:style>
  <w:style w:type="character" w:customStyle="1" w:styleId="147">
    <w:name w:val="表名 Char"/>
    <w:qFormat/>
    <w:uiPriority w:val="0"/>
    <w:rPr>
      <w:rFonts w:eastAsia="宋体"/>
      <w:b/>
      <w:bCs/>
      <w:kern w:val="2"/>
      <w:sz w:val="24"/>
      <w:szCs w:val="24"/>
      <w:lang w:val="en-US" w:eastAsia="zh-CN" w:bidi="ar-SA"/>
    </w:rPr>
  </w:style>
  <w:style w:type="character" w:customStyle="1" w:styleId="148">
    <w:name w:val="Document Map Char"/>
    <w:qFormat/>
    <w:uiPriority w:val="0"/>
    <w:rPr>
      <w:rFonts w:eastAsia="宋体"/>
      <w:kern w:val="2"/>
      <w:sz w:val="21"/>
      <w:szCs w:val="24"/>
      <w:lang w:val="en-US" w:eastAsia="zh-CN" w:bidi="ar-SA"/>
    </w:rPr>
  </w:style>
  <w:style w:type="character" w:customStyle="1" w:styleId="149">
    <w:name w:val="font41"/>
    <w:basedOn w:val="72"/>
    <w:qFormat/>
    <w:uiPriority w:val="0"/>
    <w:rPr>
      <w:rFonts w:hint="eastAsia" w:ascii="仿宋_GB2312" w:eastAsia="仿宋_GB2312" w:cs="仿宋_GB2312"/>
      <w:color w:val="000000"/>
      <w:sz w:val="22"/>
      <w:szCs w:val="22"/>
      <w:u w:val="none"/>
    </w:rPr>
  </w:style>
  <w:style w:type="character" w:customStyle="1" w:styleId="150">
    <w:name w:val="标题 6 Char"/>
    <w:link w:val="11"/>
    <w:qFormat/>
    <w:uiPriority w:val="0"/>
    <w:rPr>
      <w:rFonts w:ascii="Arial" w:hAnsi="Arial" w:eastAsia="黑体"/>
      <w:b/>
      <w:bCs/>
      <w:kern w:val="2"/>
      <w:sz w:val="24"/>
      <w:szCs w:val="24"/>
    </w:rPr>
  </w:style>
  <w:style w:type="character" w:customStyle="1" w:styleId="151">
    <w:name w:val="纯文本 Char_0"/>
    <w:link w:val="152"/>
    <w:qFormat/>
    <w:uiPriority w:val="0"/>
    <w:rPr>
      <w:rFonts w:ascii="宋体" w:hAnsi="Courier New"/>
      <w:kern w:val="2"/>
      <w:sz w:val="21"/>
      <w:szCs w:val="21"/>
      <w:lang w:val="en-US" w:eastAsia="zh-CN"/>
    </w:rPr>
  </w:style>
  <w:style w:type="paragraph" w:customStyle="1" w:styleId="152">
    <w:name w:val="纯文本_0_0"/>
    <w:basedOn w:val="153"/>
    <w:link w:val="151"/>
    <w:qFormat/>
    <w:uiPriority w:val="0"/>
    <w:rPr>
      <w:rFonts w:ascii="宋体" w:hAnsi="Courier New"/>
      <w:szCs w:val="21"/>
    </w:rPr>
  </w:style>
  <w:style w:type="paragraph" w:customStyle="1" w:styleId="153">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4">
    <w:name w:val="Balloon Text Char"/>
    <w:qFormat/>
    <w:uiPriority w:val="0"/>
    <w:rPr>
      <w:rFonts w:eastAsia="宋体"/>
      <w:kern w:val="2"/>
      <w:sz w:val="18"/>
      <w:szCs w:val="18"/>
      <w:lang w:val="en-US" w:eastAsia="zh-CN" w:bidi="ar-SA"/>
    </w:rPr>
  </w:style>
  <w:style w:type="character" w:customStyle="1" w:styleId="155">
    <w:name w:val="正文 项目2 Char"/>
    <w:basedOn w:val="156"/>
    <w:qFormat/>
    <w:uiPriority w:val="0"/>
    <w:rPr>
      <w:rFonts w:ascii="仿宋_GB2312" w:hAnsi="仿宋_GB2312" w:eastAsia="仿宋_GB2312"/>
      <w:kern w:val="2"/>
      <w:sz w:val="24"/>
      <w:lang w:bidi="ar-SA"/>
    </w:rPr>
  </w:style>
  <w:style w:type="character" w:customStyle="1" w:styleId="156">
    <w:name w:val="正文 项目 Char"/>
    <w:qFormat/>
    <w:uiPriority w:val="0"/>
    <w:rPr>
      <w:rFonts w:ascii="仿宋_GB2312" w:hAnsi="仿宋_GB2312" w:eastAsia="仿宋_GB2312"/>
      <w:kern w:val="2"/>
      <w:sz w:val="24"/>
      <w:lang w:bidi="ar-SA"/>
    </w:rPr>
  </w:style>
  <w:style w:type="character" w:customStyle="1" w:styleId="157">
    <w:name w:val="h Char Char1"/>
    <w:qFormat/>
    <w:uiPriority w:val="0"/>
    <w:rPr>
      <w:rFonts w:eastAsia="宋体"/>
      <w:kern w:val="2"/>
      <w:sz w:val="18"/>
      <w:szCs w:val="18"/>
      <w:lang w:val="en-US" w:eastAsia="zh-CN" w:bidi="ar-SA"/>
    </w:rPr>
  </w:style>
  <w:style w:type="character" w:customStyle="1" w:styleId="158">
    <w:name w:val="Char Char27"/>
    <w:qFormat/>
    <w:uiPriority w:val="6"/>
    <w:rPr>
      <w:rFonts w:ascii="宋体" w:hAnsi="宋体" w:eastAsia="宋体"/>
      <w:color w:val="000000"/>
      <w:kern w:val="1"/>
      <w:sz w:val="28"/>
      <w:lang w:val="en-US" w:eastAsia="zh-CN" w:bidi="ar-SA"/>
    </w:rPr>
  </w:style>
  <w:style w:type="character" w:customStyle="1" w:styleId="159">
    <w:name w:val="px14"/>
    <w:qFormat/>
    <w:uiPriority w:val="0"/>
    <w:rPr>
      <w:rFonts w:ascii="仿宋_GB2312" w:eastAsia="微软雅黑" w:cs="Times New Roman"/>
      <w:b/>
      <w:kern w:val="2"/>
      <w:sz w:val="32"/>
      <w:szCs w:val="32"/>
      <w:lang w:val="en-US" w:eastAsia="zh-CN" w:bidi="ar-SA"/>
    </w:rPr>
  </w:style>
  <w:style w:type="character" w:customStyle="1" w:styleId="160">
    <w:name w:val="HTML 预设格式 Char1"/>
    <w:qFormat/>
    <w:uiPriority w:val="0"/>
    <w:rPr>
      <w:rFonts w:ascii="Courier New" w:hAnsi="Courier New" w:eastAsia="宋体" w:cs="Courier New"/>
      <w:sz w:val="20"/>
      <w:szCs w:val="20"/>
    </w:rPr>
  </w:style>
  <w:style w:type="character" w:customStyle="1" w:styleId="161">
    <w:name w:val="普通文字 Char1"/>
    <w:qFormat/>
    <w:uiPriority w:val="0"/>
    <w:rPr>
      <w:rFonts w:ascii="宋体" w:hAnsi="Courier New" w:eastAsia="宋体"/>
      <w:kern w:val="2"/>
      <w:sz w:val="21"/>
      <w:lang w:val="en-US" w:eastAsia="zh-CN"/>
    </w:rPr>
  </w:style>
  <w:style w:type="character" w:customStyle="1" w:styleId="162">
    <w:name w:val="hei16b1"/>
    <w:qFormat/>
    <w:uiPriority w:val="0"/>
    <w:rPr>
      <w:rFonts w:hint="default" w:ascii="Arial" w:hAnsi="Arial" w:cs="Arial"/>
      <w:b/>
      <w:bCs/>
      <w:color w:val="000000"/>
      <w:sz w:val="24"/>
      <w:szCs w:val="24"/>
    </w:rPr>
  </w:style>
  <w:style w:type="character" w:customStyle="1" w:styleId="163">
    <w:name w:val="正文（绿盟科技） Char"/>
    <w:link w:val="164"/>
    <w:qFormat/>
    <w:uiPriority w:val="0"/>
    <w:rPr>
      <w:rFonts w:ascii="Arial" w:hAnsi="Arial"/>
      <w:sz w:val="21"/>
      <w:szCs w:val="21"/>
    </w:rPr>
  </w:style>
  <w:style w:type="paragraph" w:customStyle="1" w:styleId="164">
    <w:name w:val="正文（绿盟科技）"/>
    <w:link w:val="163"/>
    <w:qFormat/>
    <w:uiPriority w:val="0"/>
    <w:pPr>
      <w:spacing w:line="300" w:lineRule="auto"/>
    </w:pPr>
    <w:rPr>
      <w:rFonts w:ascii="Arial" w:hAnsi="Arial" w:eastAsia="宋体" w:cs="Times New Roman"/>
      <w:sz w:val="21"/>
      <w:szCs w:val="21"/>
      <w:lang w:val="en-US" w:eastAsia="zh-CN" w:bidi="ar-SA"/>
    </w:rPr>
  </w:style>
  <w:style w:type="character" w:customStyle="1" w:styleId="165">
    <w:name w:val="Char Char19"/>
    <w:qFormat/>
    <w:uiPriority w:val="6"/>
    <w:rPr>
      <w:rFonts w:ascii="宋体" w:hAnsi="宋体"/>
      <w:i/>
      <w:sz w:val="24"/>
      <w:szCs w:val="24"/>
    </w:rPr>
  </w:style>
  <w:style w:type="character" w:customStyle="1" w:styleId="166">
    <w:name w:val="页脚 Char"/>
    <w:qFormat/>
    <w:uiPriority w:val="99"/>
    <w:rPr>
      <w:rFonts w:eastAsia="仿宋_GB2312"/>
      <w:kern w:val="2"/>
      <w:sz w:val="18"/>
      <w:lang w:val="en-US" w:eastAsia="zh-CN"/>
    </w:rPr>
  </w:style>
  <w:style w:type="character" w:customStyle="1" w:styleId="167">
    <w:name w:val="批注主题 Char"/>
    <w:qFormat/>
    <w:uiPriority w:val="0"/>
    <w:rPr>
      <w:rFonts w:eastAsia="宋体"/>
      <w:b/>
      <w:bCs/>
      <w:kern w:val="2"/>
      <w:sz w:val="21"/>
      <w:szCs w:val="24"/>
      <w:lang w:val="en-US" w:eastAsia="zh-CN" w:bidi="ar-SA"/>
    </w:rPr>
  </w:style>
  <w:style w:type="character" w:customStyle="1" w:styleId="168">
    <w:name w:val="Comment Text Char"/>
    <w:qFormat/>
    <w:uiPriority w:val="0"/>
    <w:rPr>
      <w:rFonts w:ascii="宋体" w:hAnsi="宋体" w:eastAsia="宋体"/>
      <w:kern w:val="2"/>
      <w:sz w:val="24"/>
      <w:lang w:val="en-US" w:eastAsia="zh-CN" w:bidi="ar-SA"/>
    </w:rPr>
  </w:style>
  <w:style w:type="character" w:customStyle="1" w:styleId="169">
    <w:name w:val="标题 2 字符"/>
    <w:qFormat/>
    <w:uiPriority w:val="1"/>
    <w:rPr>
      <w:rFonts w:ascii="仿宋_GB2312" w:hAnsi="Times New Roman" w:eastAsia="仿宋_GB2312" w:cs="Times New Roman"/>
      <w:b/>
      <w:kern w:val="2"/>
      <w:sz w:val="24"/>
      <w:lang w:val="zh-CN"/>
    </w:rPr>
  </w:style>
  <w:style w:type="character" w:customStyle="1" w:styleId="170">
    <w:name w:val="Char Char72"/>
    <w:qFormat/>
    <w:uiPriority w:val="0"/>
    <w:rPr>
      <w:rFonts w:eastAsia="宋体"/>
      <w:kern w:val="2"/>
      <w:sz w:val="21"/>
      <w:szCs w:val="24"/>
      <w:lang w:val="en-US" w:eastAsia="zh-CN" w:bidi="ar-SA"/>
    </w:rPr>
  </w:style>
  <w:style w:type="character" w:customStyle="1" w:styleId="171">
    <w:name w:val="正文文本缩进 Char2"/>
    <w:qFormat/>
    <w:uiPriority w:val="0"/>
    <w:rPr>
      <w:rFonts w:ascii="Times New Roman" w:hAnsi="Times New Roman" w:eastAsia="宋体" w:cs="Times New Roman"/>
      <w:snapToGrid w:val="0"/>
      <w:kern w:val="0"/>
      <w:szCs w:val="24"/>
    </w:rPr>
  </w:style>
  <w:style w:type="character" w:customStyle="1" w:styleId="172">
    <w:name w:val="样式2 Char"/>
    <w:qFormat/>
    <w:uiPriority w:val="0"/>
    <w:rPr>
      <w:rFonts w:ascii="仿宋_GB2312" w:hAnsi="仿宋" w:eastAsia="仿宋_GB2312" w:cs="仿宋_GB2312"/>
      <w:b/>
      <w:bCs/>
      <w:sz w:val="32"/>
      <w:szCs w:val="30"/>
      <w:lang w:val="zh-CN"/>
    </w:rPr>
  </w:style>
  <w:style w:type="character" w:customStyle="1" w:styleId="173">
    <w:name w:val="表格名称[858D7CFB-ED40-4347-BF05-701D383B685F]"/>
    <w:link w:val="174"/>
    <w:qFormat/>
    <w:uiPriority w:val="0"/>
    <w:rPr>
      <w:sz w:val="32"/>
    </w:rPr>
  </w:style>
  <w:style w:type="paragraph" w:customStyle="1" w:styleId="174">
    <w:name w:val="表格名称"/>
    <w:basedOn w:val="5"/>
    <w:link w:val="173"/>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5">
    <w:name w:val="Char Char4"/>
    <w:qFormat/>
    <w:uiPriority w:val="0"/>
    <w:rPr>
      <w:rFonts w:eastAsia="宋体"/>
      <w:b/>
      <w:sz w:val="24"/>
      <w:lang w:val="en-GB" w:eastAsia="zh-CN" w:bidi="ar-SA"/>
    </w:rPr>
  </w:style>
  <w:style w:type="character" w:customStyle="1" w:styleId="176">
    <w:name w:val="c7 style3"/>
    <w:qFormat/>
    <w:uiPriority w:val="0"/>
  </w:style>
  <w:style w:type="character" w:customStyle="1" w:styleId="177">
    <w:name w:val="正文文本 3 Char1"/>
    <w:qFormat/>
    <w:uiPriority w:val="99"/>
    <w:rPr>
      <w:rFonts w:ascii="Times New Roman" w:hAnsi="Times New Roman" w:eastAsia="宋体" w:cs="Times New Roman"/>
      <w:sz w:val="16"/>
      <w:szCs w:val="16"/>
    </w:rPr>
  </w:style>
  <w:style w:type="character" w:customStyle="1" w:styleId="178">
    <w:name w:val="tw4winInternal"/>
    <w:qFormat/>
    <w:uiPriority w:val="0"/>
    <w:rPr>
      <w:rFonts w:ascii="Courier New" w:hAnsi="Courier New" w:cs="Courier New"/>
      <w:color w:val="FF0000"/>
      <w:lang w:val="en-US" w:eastAsia="zh-CN"/>
    </w:rPr>
  </w:style>
  <w:style w:type="character" w:customStyle="1" w:styleId="179">
    <w:name w:val="Char Char10"/>
    <w:qFormat/>
    <w:uiPriority w:val="0"/>
    <w:rPr>
      <w:rFonts w:ascii="宋体" w:hAnsi="宋体"/>
      <w:kern w:val="2"/>
      <w:sz w:val="21"/>
      <w:szCs w:val="24"/>
      <w:lang w:val="en-US" w:eastAsia="zh-CN"/>
    </w:rPr>
  </w:style>
  <w:style w:type="character" w:customStyle="1" w:styleId="180">
    <w:name w:val="shadow11"/>
    <w:qFormat/>
    <w:uiPriority w:val="0"/>
    <w:rPr>
      <w:color w:val="000000"/>
      <w:sz w:val="21"/>
    </w:rPr>
  </w:style>
  <w:style w:type="character" w:customStyle="1" w:styleId="181">
    <w:name w:val="正文非缩进 Char3"/>
    <w:qFormat/>
    <w:uiPriority w:val="0"/>
    <w:rPr>
      <w:rFonts w:ascii="宋体" w:eastAsia="宋体"/>
      <w:snapToGrid w:val="0"/>
      <w:color w:val="000000"/>
      <w:kern w:val="28"/>
      <w:sz w:val="28"/>
      <w:lang w:val="en-US" w:eastAsia="zh-CN" w:bidi="ar-SA"/>
    </w:rPr>
  </w:style>
  <w:style w:type="character" w:customStyle="1" w:styleId="182">
    <w:name w:val="Char Char"/>
    <w:qFormat/>
    <w:uiPriority w:val="0"/>
    <w:rPr>
      <w:rFonts w:ascii="宋体" w:hAnsi="Courier New" w:eastAsia="宋体"/>
      <w:kern w:val="2"/>
      <w:sz w:val="21"/>
      <w:lang w:val="en-US" w:eastAsia="zh-CN" w:bidi="ar-SA"/>
    </w:rPr>
  </w:style>
  <w:style w:type="character" w:customStyle="1" w:styleId="183">
    <w:name w:val="签名 Char1"/>
    <w:qFormat/>
    <w:uiPriority w:val="0"/>
    <w:rPr>
      <w:rFonts w:ascii="Times New Roman" w:hAnsi="Times New Roman" w:eastAsia="宋体" w:cs="Times New Roman"/>
      <w:szCs w:val="24"/>
    </w:rPr>
  </w:style>
  <w:style w:type="character" w:customStyle="1" w:styleId="184">
    <w:name w:val="日期 Char"/>
    <w:link w:val="37"/>
    <w:qFormat/>
    <w:uiPriority w:val="0"/>
    <w:rPr>
      <w:rFonts w:ascii="宋体"/>
      <w:kern w:val="2"/>
      <w:sz w:val="24"/>
      <w:szCs w:val="21"/>
      <w:lang w:val="zh-CN"/>
    </w:rPr>
  </w:style>
  <w:style w:type="character" w:customStyle="1" w:styleId="185">
    <w:name w:val="标题 9 Char"/>
    <w:link w:val="14"/>
    <w:qFormat/>
    <w:uiPriority w:val="0"/>
    <w:rPr>
      <w:rFonts w:ascii="Arial" w:hAnsi="Arial" w:eastAsia="黑体"/>
      <w:kern w:val="2"/>
      <w:sz w:val="21"/>
      <w:szCs w:val="21"/>
    </w:rPr>
  </w:style>
  <w:style w:type="character" w:customStyle="1" w:styleId="186">
    <w:name w:val="Char Char18"/>
    <w:qFormat/>
    <w:uiPriority w:val="6"/>
    <w:rPr>
      <w:rFonts w:ascii="宋体" w:hAnsi="宋体"/>
      <w:sz w:val="28"/>
    </w:rPr>
  </w:style>
  <w:style w:type="character" w:customStyle="1" w:styleId="187">
    <w:name w:val="批注文字 Char"/>
    <w:qFormat/>
    <w:uiPriority w:val="0"/>
    <w:rPr>
      <w:kern w:val="2"/>
      <w:sz w:val="21"/>
      <w:szCs w:val="24"/>
    </w:rPr>
  </w:style>
  <w:style w:type="character" w:customStyle="1" w:styleId="188">
    <w:name w:val="Char Char22"/>
    <w:qFormat/>
    <w:uiPriority w:val="6"/>
    <w:rPr>
      <w:rFonts w:ascii="宋体" w:hAnsi="宋体"/>
      <w:kern w:val="1"/>
      <w:sz w:val="24"/>
      <w:szCs w:val="24"/>
    </w:rPr>
  </w:style>
  <w:style w:type="character" w:customStyle="1" w:styleId="189">
    <w:name w:val="pt141"/>
    <w:qFormat/>
    <w:uiPriority w:val="0"/>
    <w:rPr>
      <w:color w:val="330066"/>
      <w:sz w:val="22"/>
      <w:szCs w:val="22"/>
    </w:rPr>
  </w:style>
  <w:style w:type="character" w:customStyle="1" w:styleId="190">
    <w:name w:val="正文文本缩进 2 Char1"/>
    <w:qFormat/>
    <w:uiPriority w:val="99"/>
    <w:rPr>
      <w:rFonts w:ascii="Times New Roman" w:hAnsi="Times New Roman" w:eastAsia="宋体" w:cs="Times New Roman"/>
      <w:szCs w:val="24"/>
    </w:rPr>
  </w:style>
  <w:style w:type="character" w:customStyle="1" w:styleId="191">
    <w:name w:val="批注框文本 Char"/>
    <w:link w:val="40"/>
    <w:qFormat/>
    <w:uiPriority w:val="0"/>
    <w:rPr>
      <w:kern w:val="2"/>
      <w:sz w:val="18"/>
      <w:szCs w:val="18"/>
    </w:rPr>
  </w:style>
  <w:style w:type="character" w:customStyle="1" w:styleId="192">
    <w:name w:val="Char Char611"/>
    <w:qFormat/>
    <w:uiPriority w:val="0"/>
    <w:rPr>
      <w:rFonts w:eastAsia="宋体"/>
      <w:kern w:val="2"/>
      <w:sz w:val="21"/>
      <w:szCs w:val="24"/>
      <w:lang w:val="en-US" w:eastAsia="zh-CN" w:bidi="ar-SA"/>
    </w:rPr>
  </w:style>
  <w:style w:type="character" w:customStyle="1" w:styleId="193">
    <w:name w:val="highlight1"/>
    <w:qFormat/>
    <w:uiPriority w:val="0"/>
    <w:rPr>
      <w:rFonts w:ascii="仿宋_GB2312" w:eastAsia="微软雅黑"/>
      <w:b/>
      <w:kern w:val="2"/>
      <w:sz w:val="23"/>
      <w:szCs w:val="23"/>
      <w:lang w:val="en-US" w:eastAsia="zh-CN" w:bidi="ar-SA"/>
    </w:rPr>
  </w:style>
  <w:style w:type="character" w:customStyle="1" w:styleId="194">
    <w:name w:val="my正文 Char"/>
    <w:link w:val="195"/>
    <w:qFormat/>
    <w:uiPriority w:val="0"/>
    <w:rPr>
      <w:rFonts w:ascii="Tahoma" w:hAnsi="Tahoma"/>
      <w:sz w:val="24"/>
      <w:szCs w:val="24"/>
    </w:rPr>
  </w:style>
  <w:style w:type="paragraph" w:customStyle="1" w:styleId="195">
    <w:name w:val="my正文"/>
    <w:basedOn w:val="1"/>
    <w:link w:val="194"/>
    <w:qFormat/>
    <w:uiPriority w:val="0"/>
    <w:pPr>
      <w:adjustRightInd/>
      <w:spacing w:line="360" w:lineRule="auto"/>
      <w:ind w:firstLine="480" w:firstLineChars="200"/>
    </w:pPr>
    <w:rPr>
      <w:rFonts w:ascii="Tahoma" w:hAnsi="Tahoma"/>
      <w:kern w:val="0"/>
      <w:sz w:val="24"/>
    </w:rPr>
  </w:style>
  <w:style w:type="character" w:customStyle="1" w:styleId="196">
    <w:name w:val="正文缩进 Char2"/>
    <w:link w:val="7"/>
    <w:qFormat/>
    <w:uiPriority w:val="0"/>
    <w:rPr>
      <w:rFonts w:ascii="宋体" w:eastAsia="宋体"/>
      <w:snapToGrid w:val="0"/>
      <w:color w:val="000000"/>
      <w:kern w:val="28"/>
      <w:sz w:val="28"/>
      <w:lang w:val="en-US" w:eastAsia="zh-CN" w:bidi="ar-SA"/>
    </w:rPr>
  </w:style>
  <w:style w:type="character" w:customStyle="1" w:styleId="197">
    <w:name w:val="Used by Word for text of Help footnotes Char Char1"/>
    <w:qFormat/>
    <w:uiPriority w:val="0"/>
    <w:rPr>
      <w:color w:val="0000FF"/>
      <w:sz w:val="21"/>
    </w:rPr>
  </w:style>
  <w:style w:type="character" w:customStyle="1" w:styleId="198">
    <w:name w:val="页眉 Char"/>
    <w:qFormat/>
    <w:uiPriority w:val="99"/>
    <w:rPr>
      <w:rFonts w:eastAsia="仿宋_GB2312"/>
      <w:kern w:val="2"/>
      <w:sz w:val="18"/>
      <w:lang w:val="en-US" w:eastAsia="zh-CN"/>
    </w:rPr>
  </w:style>
  <w:style w:type="character" w:customStyle="1" w:styleId="199">
    <w:name w:val="FA正文 Char Char"/>
    <w:qFormat/>
    <w:uiPriority w:val="0"/>
    <w:rPr>
      <w:rFonts w:hAnsi="宋体"/>
      <w:kern w:val="2"/>
      <w:sz w:val="24"/>
      <w:lang w:bidi="ar-SA"/>
    </w:rPr>
  </w:style>
  <w:style w:type="character" w:customStyle="1" w:styleId="200">
    <w:name w:val="纯文本 字符"/>
    <w:qFormat/>
    <w:uiPriority w:val="0"/>
    <w:rPr>
      <w:rFonts w:ascii="宋体" w:hAnsi="Courier New" w:eastAsia="宋体" w:cs="Arial"/>
      <w:snapToGrid w:val="0"/>
      <w:kern w:val="2"/>
      <w:sz w:val="21"/>
      <w:szCs w:val="21"/>
      <w:lang w:val="en-US" w:eastAsia="zh-CN" w:bidi="ar-SA"/>
    </w:rPr>
  </w:style>
  <w:style w:type="character" w:customStyle="1" w:styleId="201">
    <w:name w:val="3级 Char"/>
    <w:link w:val="202"/>
    <w:qFormat/>
    <w:uiPriority w:val="0"/>
    <w:rPr>
      <w:rFonts w:ascii="宋体" w:hAnsi="宋体"/>
      <w:b/>
      <w:bCs/>
      <w:snapToGrid/>
      <w:sz w:val="28"/>
    </w:rPr>
  </w:style>
  <w:style w:type="paragraph" w:customStyle="1" w:styleId="202">
    <w:name w:val="3级"/>
    <w:basedOn w:val="203"/>
    <w:link w:val="201"/>
    <w:qFormat/>
    <w:uiPriority w:val="0"/>
    <w:pPr>
      <w:ind w:left="0" w:right="466" w:firstLine="288"/>
    </w:pPr>
    <w:rPr>
      <w:rFonts w:hAnsi="宋体"/>
      <w:snapToGrid/>
    </w:rPr>
  </w:style>
  <w:style w:type="paragraph" w:customStyle="1" w:styleId="203">
    <w:name w:val="样式 标题 3h33rd level3BOD 0H3l3CTHeading 3 - oldLevel 3 He..."/>
    <w:basedOn w:val="6"/>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4">
    <w:name w:val="myp11"/>
    <w:qFormat/>
    <w:uiPriority w:val="0"/>
    <w:rPr>
      <w:rFonts w:ascii="仿宋_GB2312" w:eastAsia="微软雅黑"/>
      <w:b/>
      <w:kern w:val="2"/>
      <w:sz w:val="32"/>
      <w:szCs w:val="32"/>
      <w:lang w:val="en-US" w:eastAsia="zh-CN" w:bidi="ar-SA"/>
    </w:rPr>
  </w:style>
  <w:style w:type="character" w:customStyle="1" w:styleId="205">
    <w:name w:val="文档结构图 Char1"/>
    <w:link w:val="22"/>
    <w:qFormat/>
    <w:uiPriority w:val="0"/>
    <w:rPr>
      <w:kern w:val="2"/>
      <w:sz w:val="21"/>
      <w:szCs w:val="24"/>
      <w:shd w:val="clear" w:color="auto" w:fill="000080"/>
    </w:rPr>
  </w:style>
  <w:style w:type="character" w:customStyle="1" w:styleId="206">
    <w:name w:val="H6 Char"/>
    <w:qFormat/>
    <w:uiPriority w:val="0"/>
    <w:rPr>
      <w:rFonts w:ascii="Arial" w:hAnsi="Arial" w:eastAsia="黑体"/>
      <w:b/>
      <w:bCs/>
      <w:kern w:val="2"/>
      <w:sz w:val="24"/>
      <w:szCs w:val="24"/>
    </w:rPr>
  </w:style>
  <w:style w:type="character" w:customStyle="1" w:styleId="207">
    <w:name w:val="Char Char91"/>
    <w:qFormat/>
    <w:uiPriority w:val="0"/>
    <w:rPr>
      <w:rFonts w:eastAsia="宋体"/>
      <w:kern w:val="2"/>
      <w:sz w:val="18"/>
      <w:szCs w:val="18"/>
      <w:lang w:val="en-US" w:eastAsia="zh-CN" w:bidi="ar-SA"/>
    </w:rPr>
  </w:style>
  <w:style w:type="character" w:customStyle="1" w:styleId="208">
    <w:name w:val="副标题 Char1"/>
    <w:qFormat/>
    <w:uiPriority w:val="0"/>
    <w:rPr>
      <w:rFonts w:ascii="Cambria" w:hAnsi="Cambria" w:eastAsia="宋体" w:cs="Times New Roman"/>
      <w:b/>
      <w:bCs/>
      <w:snapToGrid w:val="0"/>
      <w:kern w:val="28"/>
      <w:sz w:val="32"/>
      <w:szCs w:val="32"/>
    </w:rPr>
  </w:style>
  <w:style w:type="character" w:customStyle="1" w:styleId="209">
    <w:name w:val="font61"/>
    <w:qFormat/>
    <w:uiPriority w:val="0"/>
    <w:rPr>
      <w:rFonts w:hint="eastAsia" w:ascii="仿宋" w:hAnsi="仿宋" w:eastAsia="仿宋" w:cs="仿宋"/>
      <w:color w:val="000000"/>
      <w:sz w:val="20"/>
      <w:szCs w:val="20"/>
      <w:u w:val="none"/>
    </w:rPr>
  </w:style>
  <w:style w:type="character" w:customStyle="1" w:styleId="210">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11">
    <w:name w:val="Char Char211"/>
    <w:qFormat/>
    <w:uiPriority w:val="0"/>
    <w:rPr>
      <w:rFonts w:eastAsia="宋体"/>
      <w:b/>
      <w:bCs/>
      <w:kern w:val="2"/>
      <w:sz w:val="21"/>
      <w:szCs w:val="24"/>
      <w:lang w:val="en-US" w:eastAsia="zh-CN" w:bidi="ar-SA"/>
    </w:rPr>
  </w:style>
  <w:style w:type="character" w:customStyle="1" w:styleId="212">
    <w:name w:val="标题 2 Char"/>
    <w:qFormat/>
    <w:uiPriority w:val="0"/>
    <w:rPr>
      <w:rFonts w:ascii="Arial" w:hAnsi="Arial" w:eastAsia="黑体"/>
      <w:b/>
      <w:kern w:val="2"/>
      <w:sz w:val="32"/>
      <w:lang w:val="en-US" w:eastAsia="zh-CN"/>
    </w:rPr>
  </w:style>
  <w:style w:type="character" w:customStyle="1" w:styleId="213">
    <w:name w:val="maywed421"/>
    <w:qFormat/>
    <w:uiPriority w:val="0"/>
    <w:rPr>
      <w:color w:val="366FB6"/>
      <w:u w:val="none"/>
    </w:rPr>
  </w:style>
  <w:style w:type="character" w:customStyle="1" w:styleId="214">
    <w:name w:val="正文文本缩进 Char"/>
    <w:qFormat/>
    <w:uiPriority w:val="0"/>
    <w:rPr>
      <w:rFonts w:ascii="宋体" w:hAnsi="宋体"/>
      <w:kern w:val="2"/>
      <w:sz w:val="24"/>
      <w:szCs w:val="24"/>
    </w:rPr>
  </w:style>
  <w:style w:type="character" w:customStyle="1" w:styleId="215">
    <w:name w:val="Char Char102"/>
    <w:qFormat/>
    <w:uiPriority w:val="0"/>
    <w:rPr>
      <w:rFonts w:ascii="宋体" w:hAnsi="宋体"/>
      <w:kern w:val="2"/>
      <w:sz w:val="21"/>
      <w:szCs w:val="24"/>
      <w:lang w:val="en-US" w:eastAsia="zh-CN"/>
    </w:rPr>
  </w:style>
  <w:style w:type="character" w:customStyle="1" w:styleId="216">
    <w:name w:val="页眉 Char1"/>
    <w:qFormat/>
    <w:uiPriority w:val="0"/>
    <w:rPr>
      <w:rFonts w:eastAsia="宋体"/>
      <w:kern w:val="2"/>
      <w:sz w:val="18"/>
      <w:szCs w:val="18"/>
      <w:lang w:val="en-US" w:eastAsia="zh-CN" w:bidi="ar-SA"/>
    </w:rPr>
  </w:style>
  <w:style w:type="character" w:customStyle="1" w:styleId="217">
    <w:name w:val="md"/>
    <w:basedOn w:val="72"/>
    <w:qFormat/>
    <w:uiPriority w:val="0"/>
    <w:rPr>
      <w:rFonts w:ascii="Arial" w:hAnsi="Arial" w:eastAsia="黑体" w:cs="Arial"/>
      <w:snapToGrid w:val="0"/>
      <w:kern w:val="0"/>
      <w:szCs w:val="21"/>
    </w:rPr>
  </w:style>
  <w:style w:type="character" w:customStyle="1" w:styleId="218">
    <w:name w:val="big1"/>
    <w:qFormat/>
    <w:uiPriority w:val="0"/>
    <w:rPr>
      <w:rFonts w:hint="eastAsia" w:ascii="宋体" w:hAnsi="宋体" w:eastAsia="宋体"/>
      <w:color w:val="333333"/>
      <w:sz w:val="22"/>
      <w:szCs w:val="22"/>
    </w:rPr>
  </w:style>
  <w:style w:type="character" w:customStyle="1" w:styleId="219">
    <w:name w:val="Char Char311"/>
    <w:qFormat/>
    <w:uiPriority w:val="0"/>
    <w:rPr>
      <w:rFonts w:eastAsia="宋体"/>
      <w:kern w:val="2"/>
      <w:sz w:val="21"/>
      <w:szCs w:val="24"/>
      <w:lang w:val="en-US" w:eastAsia="zh-CN" w:bidi="ar-SA"/>
    </w:rPr>
  </w:style>
  <w:style w:type="character" w:customStyle="1" w:styleId="220">
    <w:name w:val="Char Char81"/>
    <w:qFormat/>
    <w:uiPriority w:val="6"/>
    <w:rPr>
      <w:rFonts w:eastAsia="宋体"/>
      <w:b/>
      <w:sz w:val="24"/>
      <w:lang w:val="en-GB" w:eastAsia="zh-CN"/>
    </w:rPr>
  </w:style>
  <w:style w:type="character" w:customStyle="1" w:styleId="221">
    <w:name w:val="样式3 Char"/>
    <w:basedOn w:val="172"/>
    <w:qFormat/>
    <w:uiPriority w:val="0"/>
    <w:rPr>
      <w:rFonts w:ascii="仿宋_GB2312" w:hAnsi="仿宋" w:eastAsia="仿宋_GB2312" w:cs="仿宋_GB2312"/>
      <w:sz w:val="32"/>
      <w:szCs w:val="30"/>
      <w:lang w:val="zh-CN"/>
    </w:rPr>
  </w:style>
  <w:style w:type="character" w:customStyle="1" w:styleId="222">
    <w:name w:val="HTML 地址 Char"/>
    <w:link w:val="31"/>
    <w:qFormat/>
    <w:uiPriority w:val="0"/>
    <w:rPr>
      <w:rFonts w:ascii="宋体" w:hAnsi="宋体"/>
      <w:i/>
      <w:iCs/>
      <w:sz w:val="24"/>
      <w:szCs w:val="24"/>
    </w:rPr>
  </w:style>
  <w:style w:type="character" w:customStyle="1" w:styleId="223">
    <w:name w:val="正文首行缩进 2 Char1"/>
    <w:qFormat/>
    <w:uiPriority w:val="0"/>
    <w:rPr>
      <w:rFonts w:ascii="Times New Roman" w:hAnsi="Times New Roman" w:eastAsia="宋体" w:cs="Times New Roman"/>
      <w:kern w:val="2"/>
      <w:sz w:val="24"/>
      <w:szCs w:val="24"/>
    </w:rPr>
  </w:style>
  <w:style w:type="character" w:customStyle="1" w:styleId="224">
    <w:name w:val="副标题 Char2"/>
    <w:qFormat/>
    <w:uiPriority w:val="0"/>
    <w:rPr>
      <w:rFonts w:ascii="Cambria" w:hAnsi="Cambria" w:eastAsia="宋体" w:cs="Times New Roman"/>
      <w:b/>
      <w:bCs/>
      <w:snapToGrid w:val="0"/>
      <w:kern w:val="28"/>
      <w:sz w:val="32"/>
      <w:szCs w:val="32"/>
    </w:rPr>
  </w:style>
  <w:style w:type="character" w:customStyle="1" w:styleId="225">
    <w:name w:val="标题4-dyf Char"/>
    <w:link w:val="226"/>
    <w:qFormat/>
    <w:uiPriority w:val="0"/>
    <w:rPr>
      <w:rFonts w:ascii="Cambria" w:hAnsi="Cambria"/>
      <w:b/>
      <w:bCs/>
      <w:color w:val="000000"/>
      <w:kern w:val="2"/>
      <w:sz w:val="21"/>
      <w:szCs w:val="21"/>
    </w:rPr>
  </w:style>
  <w:style w:type="paragraph" w:customStyle="1" w:styleId="226">
    <w:name w:val="标题4-dyf"/>
    <w:basedOn w:val="9"/>
    <w:link w:val="225"/>
    <w:qFormat/>
    <w:uiPriority w:val="0"/>
    <w:pPr>
      <w:tabs>
        <w:tab w:val="clear" w:pos="864"/>
      </w:tabs>
      <w:adjustRightInd/>
      <w:spacing w:line="376" w:lineRule="atLeast"/>
      <w:ind w:left="851" w:hanging="851"/>
    </w:pPr>
    <w:rPr>
      <w:rFonts w:ascii="Cambria" w:hAnsi="Cambria" w:eastAsia="宋体"/>
      <w:color w:val="000000"/>
      <w:sz w:val="21"/>
      <w:szCs w:val="21"/>
    </w:rPr>
  </w:style>
  <w:style w:type="character" w:customStyle="1" w:styleId="227">
    <w:name w:val="dectext1"/>
    <w:qFormat/>
    <w:uiPriority w:val="0"/>
    <w:rPr>
      <w:rFonts w:ascii="宋体" w:hAnsi="宋体" w:eastAsia="宋体"/>
      <w:color w:val="333333"/>
      <w:sz w:val="21"/>
      <w:szCs w:val="21"/>
      <w:u w:val="none"/>
    </w:rPr>
  </w:style>
  <w:style w:type="character" w:customStyle="1" w:styleId="228">
    <w:name w:val="冯 Char"/>
    <w:link w:val="229"/>
    <w:qFormat/>
    <w:uiPriority w:val="0"/>
    <w:rPr>
      <w:rFonts w:ascii="宋体" w:hAnsi="宋体"/>
      <w:color w:val="000000"/>
      <w:sz w:val="24"/>
      <w:szCs w:val="24"/>
    </w:rPr>
  </w:style>
  <w:style w:type="paragraph" w:customStyle="1" w:styleId="229">
    <w:name w:val="冯"/>
    <w:basedOn w:val="1"/>
    <w:link w:val="228"/>
    <w:qFormat/>
    <w:uiPriority w:val="0"/>
    <w:pPr>
      <w:widowControl/>
      <w:adjustRightInd/>
      <w:spacing w:line="360" w:lineRule="auto"/>
      <w:ind w:firstLine="480" w:firstLineChars="200"/>
    </w:pPr>
    <w:rPr>
      <w:rFonts w:ascii="宋体" w:hAnsi="宋体"/>
      <w:color w:val="000000"/>
      <w:kern w:val="0"/>
      <w:sz w:val="24"/>
    </w:rPr>
  </w:style>
  <w:style w:type="character" w:customStyle="1" w:styleId="230">
    <w:name w:val="Header Char_72f22585-e026-41c0-b855-8ac788c27b1e"/>
    <w:qFormat/>
    <w:uiPriority w:val="0"/>
    <w:rPr>
      <w:rFonts w:eastAsia="宋体"/>
      <w:kern w:val="2"/>
      <w:sz w:val="18"/>
      <w:szCs w:val="18"/>
      <w:lang w:val="en-US" w:eastAsia="zh-CN" w:bidi="ar-SA"/>
    </w:rPr>
  </w:style>
  <w:style w:type="character" w:customStyle="1" w:styleId="231">
    <w:name w:val="Char Char12"/>
    <w:qFormat/>
    <w:uiPriority w:val="0"/>
    <w:rPr>
      <w:rFonts w:ascii="仿宋_GB2312" w:eastAsia="仿宋_GB2312"/>
      <w:b/>
      <w:bCs/>
      <w:kern w:val="2"/>
      <w:sz w:val="24"/>
      <w:szCs w:val="24"/>
      <w:lang w:val="zh-CN" w:eastAsia="zh-CN" w:bidi="ar-SA"/>
    </w:rPr>
  </w:style>
  <w:style w:type="character" w:customStyle="1" w:styleId="232">
    <w:name w:val="题注 Char"/>
    <w:link w:val="20"/>
    <w:qFormat/>
    <w:uiPriority w:val="0"/>
    <w:rPr>
      <w:b/>
      <w:kern w:val="2"/>
      <w:sz w:val="28"/>
    </w:rPr>
  </w:style>
  <w:style w:type="character" w:customStyle="1" w:styleId="233">
    <w:name w:val="普通文字 Char3"/>
    <w:qFormat/>
    <w:uiPriority w:val="0"/>
    <w:rPr>
      <w:rFonts w:ascii="宋体" w:hAnsi="Courier New" w:eastAsia="宋体"/>
      <w:kern w:val="2"/>
      <w:sz w:val="21"/>
      <w:lang w:val="en-US" w:eastAsia="zh-CN" w:bidi="ar-SA"/>
    </w:rPr>
  </w:style>
  <w:style w:type="character" w:customStyle="1" w:styleId="234">
    <w:name w:val="公文正文 Char"/>
    <w:qFormat/>
    <w:uiPriority w:val="0"/>
    <w:rPr>
      <w:rFonts w:ascii="仿宋_GB2312" w:eastAsia="仿宋_GB2312"/>
      <w:kern w:val="2"/>
      <w:sz w:val="24"/>
      <w:szCs w:val="24"/>
      <w:lang w:val="en-US" w:eastAsia="zh-CN" w:bidi="ar-SA"/>
    </w:rPr>
  </w:style>
  <w:style w:type="character" w:customStyle="1" w:styleId="235">
    <w:name w:val="正文首行缩进 Char Char Char Char Char"/>
    <w:qFormat/>
    <w:uiPriority w:val="0"/>
    <w:rPr>
      <w:rFonts w:ascii="宋体"/>
      <w:kern w:val="2"/>
      <w:sz w:val="24"/>
      <w:lang w:val="zh-CN"/>
    </w:rPr>
  </w:style>
  <w:style w:type="character" w:customStyle="1" w:styleId="236">
    <w:name w:val="PI Char"/>
    <w:qFormat/>
    <w:uiPriority w:val="0"/>
    <w:rPr>
      <w:rFonts w:ascii="宋体" w:hAnsi="宋体" w:eastAsia="宋体"/>
      <w:kern w:val="2"/>
      <w:sz w:val="24"/>
      <w:szCs w:val="24"/>
      <w:lang w:val="en-US" w:eastAsia="zh-CN" w:bidi="ar-SA"/>
    </w:rPr>
  </w:style>
  <w:style w:type="character" w:customStyle="1" w:styleId="237">
    <w:name w:val="Default Char"/>
    <w:link w:val="83"/>
    <w:qFormat/>
    <w:uiPriority w:val="0"/>
    <w:rPr>
      <w:rFonts w:ascii="仿宋_GB2312" w:eastAsia="仿宋_GB2312" w:cs="仿宋_GB2312"/>
      <w:color w:val="000000"/>
      <w:sz w:val="24"/>
      <w:szCs w:val="24"/>
      <w:lang w:val="en-US" w:eastAsia="zh-CN" w:bidi="ar-SA"/>
    </w:rPr>
  </w:style>
  <w:style w:type="character" w:customStyle="1" w:styleId="238">
    <w:name w:val="style91"/>
    <w:qFormat/>
    <w:uiPriority w:val="0"/>
    <w:rPr>
      <w:color w:val="333333"/>
    </w:rPr>
  </w:style>
  <w:style w:type="character" w:customStyle="1" w:styleId="239">
    <w:name w:val="列出段落 Char2"/>
    <w:qFormat/>
    <w:uiPriority w:val="34"/>
    <w:rPr>
      <w:rFonts w:ascii="Calibri" w:hAnsi="Calibri"/>
      <w:kern w:val="2"/>
      <w:sz w:val="28"/>
    </w:rPr>
  </w:style>
  <w:style w:type="character" w:customStyle="1" w:styleId="240">
    <w:name w:val="mdeck"/>
    <w:qFormat/>
    <w:uiPriority w:val="0"/>
    <w:rPr>
      <w:rFonts w:ascii="仿宋_GB2312" w:eastAsia="微软雅黑"/>
      <w:b/>
      <w:kern w:val="2"/>
      <w:sz w:val="32"/>
      <w:szCs w:val="32"/>
      <w:lang w:val="en-US" w:eastAsia="zh-CN" w:bidi="ar-SA"/>
    </w:rPr>
  </w:style>
  <w:style w:type="character" w:customStyle="1" w:styleId="241">
    <w:name w:val="unnamed11"/>
    <w:qFormat/>
    <w:uiPriority w:val="0"/>
    <w:rPr>
      <w:sz w:val="20"/>
      <w:szCs w:val="20"/>
    </w:rPr>
  </w:style>
  <w:style w:type="character" w:customStyle="1" w:styleId="242">
    <w:name w:val="正文文本 Char2"/>
    <w:qFormat/>
    <w:uiPriority w:val="99"/>
    <w:rPr>
      <w:rFonts w:ascii="Times New Roman" w:hAnsi="Times New Roman" w:eastAsia="宋体" w:cs="Times New Roman"/>
      <w:snapToGrid w:val="0"/>
      <w:kern w:val="0"/>
      <w:szCs w:val="24"/>
    </w:rPr>
  </w:style>
  <w:style w:type="character" w:customStyle="1" w:styleId="243">
    <w:name w:val="标书正文格式 Char"/>
    <w:qFormat/>
    <w:uiPriority w:val="0"/>
    <w:rPr>
      <w:rFonts w:eastAsia="楷体_GB2312"/>
      <w:kern w:val="2"/>
      <w:sz w:val="24"/>
      <w:szCs w:val="24"/>
      <w:lang w:bidi="ar-SA"/>
    </w:rPr>
  </w:style>
  <w:style w:type="character" w:customStyle="1" w:styleId="244">
    <w:name w:val="Char Char11"/>
    <w:qFormat/>
    <w:uiPriority w:val="0"/>
    <w:rPr>
      <w:rFonts w:ascii="宋体" w:hAnsi="宋体" w:eastAsia="宋体"/>
      <w:b/>
      <w:kern w:val="2"/>
      <w:sz w:val="24"/>
      <w:szCs w:val="24"/>
      <w:lang w:val="en-US" w:eastAsia="zh-CN" w:bidi="ar-SA"/>
    </w:rPr>
  </w:style>
  <w:style w:type="character" w:customStyle="1" w:styleId="245">
    <w:name w:val="ca-131"/>
    <w:qFormat/>
    <w:uiPriority w:val="0"/>
    <w:rPr>
      <w:rFonts w:hint="eastAsia" w:ascii="仿宋_GB2312" w:eastAsia="仿宋_GB2312"/>
      <w:b/>
      <w:bCs/>
      <w:color w:val="000000"/>
      <w:spacing w:val="-20"/>
      <w:sz w:val="24"/>
      <w:szCs w:val="24"/>
    </w:rPr>
  </w:style>
  <w:style w:type="character" w:customStyle="1" w:styleId="246">
    <w:name w:val="tw4winMark"/>
    <w:qFormat/>
    <w:uiPriority w:val="0"/>
    <w:rPr>
      <w:rFonts w:ascii="Courier New" w:hAnsi="Courier New" w:cs="Courier New"/>
      <w:vanish/>
      <w:color w:val="800080"/>
      <w:sz w:val="24"/>
      <w:szCs w:val="24"/>
      <w:vertAlign w:val="subscript"/>
    </w:rPr>
  </w:style>
  <w:style w:type="character" w:customStyle="1" w:styleId="247">
    <w:name w:val="正文样式 Char"/>
    <w:link w:val="248"/>
    <w:qFormat/>
    <w:uiPriority w:val="0"/>
    <w:rPr>
      <w:rFonts w:ascii="Calibri" w:hAnsi="Calibri"/>
      <w:sz w:val="24"/>
      <w:szCs w:val="24"/>
    </w:rPr>
  </w:style>
  <w:style w:type="paragraph" w:customStyle="1" w:styleId="248">
    <w:name w:val="正文样式"/>
    <w:basedOn w:val="1"/>
    <w:link w:val="247"/>
    <w:qFormat/>
    <w:uiPriority w:val="0"/>
    <w:pPr>
      <w:adjustRightInd/>
      <w:spacing w:line="360" w:lineRule="auto"/>
      <w:ind w:firstLine="480" w:firstLineChars="200"/>
    </w:pPr>
    <w:rPr>
      <w:kern w:val="0"/>
      <w:sz w:val="24"/>
    </w:rPr>
  </w:style>
  <w:style w:type="character" w:customStyle="1" w:styleId="249">
    <w:name w:val="表正文 Char3"/>
    <w:qFormat/>
    <w:uiPriority w:val="0"/>
    <w:rPr>
      <w:rFonts w:eastAsia="宋体"/>
    </w:rPr>
  </w:style>
  <w:style w:type="character" w:customStyle="1" w:styleId="250">
    <w:name w:val="H5 Char"/>
    <w:qFormat/>
    <w:uiPriority w:val="0"/>
    <w:rPr>
      <w:b/>
      <w:bCs/>
      <w:kern w:val="2"/>
      <w:sz w:val="28"/>
      <w:szCs w:val="28"/>
    </w:rPr>
  </w:style>
  <w:style w:type="character" w:customStyle="1" w:styleId="251">
    <w:name w:val="Char Char3"/>
    <w:qFormat/>
    <w:uiPriority w:val="0"/>
    <w:rPr>
      <w:rFonts w:eastAsia="宋体"/>
      <w:kern w:val="2"/>
      <w:sz w:val="21"/>
      <w:szCs w:val="24"/>
      <w:lang w:val="en-US" w:eastAsia="zh-CN" w:bidi="ar-SA"/>
    </w:rPr>
  </w:style>
  <w:style w:type="character" w:customStyle="1" w:styleId="252">
    <w:name w:val="正文 编号 Char"/>
    <w:qFormat/>
    <w:uiPriority w:val="0"/>
    <w:rPr>
      <w:rFonts w:ascii="仿宋_GB2312" w:hAnsi="仿宋_GB2312" w:eastAsia="仿宋_GB2312"/>
      <w:kern w:val="2"/>
      <w:sz w:val="24"/>
      <w:lang w:bidi="ar-SA"/>
    </w:rPr>
  </w:style>
  <w:style w:type="character" w:customStyle="1" w:styleId="253">
    <w:name w:val="question-title2"/>
    <w:qFormat/>
    <w:uiPriority w:val="6"/>
    <w:rPr>
      <w:rFonts w:ascii="Arial" w:hAnsi="Arial" w:eastAsia="黑体" w:cs="Arial"/>
      <w:snapToGrid w:val="0"/>
      <w:kern w:val="0"/>
      <w:szCs w:val="21"/>
    </w:rPr>
  </w:style>
  <w:style w:type="character" w:customStyle="1" w:styleId="254">
    <w:name w:val="gf正文1 Char Char"/>
    <w:link w:val="255"/>
    <w:qFormat/>
    <w:uiPriority w:val="0"/>
    <w:rPr>
      <w:rFonts w:ascii="宋体" w:hAnsi="宋体" w:cs="宋体"/>
      <w:kern w:val="2"/>
      <w:sz w:val="24"/>
      <w:szCs w:val="24"/>
    </w:rPr>
  </w:style>
  <w:style w:type="paragraph" w:customStyle="1" w:styleId="255">
    <w:name w:val="gf正文1"/>
    <w:basedOn w:val="1"/>
    <w:link w:val="254"/>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6">
    <w:name w:val="Char Char15"/>
    <w:qFormat/>
    <w:uiPriority w:val="6"/>
    <w:rPr>
      <w:rFonts w:ascii="宋体" w:hAnsi="宋体"/>
      <w:kern w:val="1"/>
      <w:sz w:val="21"/>
    </w:rPr>
  </w:style>
  <w:style w:type="character" w:customStyle="1" w:styleId="257">
    <w:name w:val="正文缩进 Char3"/>
    <w:qFormat/>
    <w:uiPriority w:val="0"/>
    <w:rPr>
      <w:rFonts w:ascii="宋体" w:eastAsia="宋体"/>
      <w:snapToGrid w:val="0"/>
      <w:color w:val="000000"/>
      <w:kern w:val="28"/>
      <w:sz w:val="28"/>
      <w:lang w:val="en-US" w:eastAsia="zh-CN" w:bidi="ar-SA"/>
    </w:rPr>
  </w:style>
  <w:style w:type="character" w:customStyle="1" w:styleId="258">
    <w:name w:val="列出段落 Char1"/>
    <w:link w:val="259"/>
    <w:qFormat/>
    <w:uiPriority w:val="0"/>
    <w:rPr>
      <w:rFonts w:ascii="Calibri" w:hAnsi="Calibri"/>
      <w:sz w:val="24"/>
      <w:lang w:eastAsia="en-US"/>
    </w:rPr>
  </w:style>
  <w:style w:type="paragraph" w:customStyle="1" w:styleId="259">
    <w:name w:val="列表1"/>
    <w:basedOn w:val="1"/>
    <w:next w:val="260"/>
    <w:link w:val="258"/>
    <w:qFormat/>
    <w:uiPriority w:val="0"/>
    <w:pPr>
      <w:widowControl/>
      <w:adjustRightInd/>
      <w:spacing w:after="200" w:line="360" w:lineRule="auto"/>
      <w:ind w:left="720" w:firstLine="200" w:firstLineChars="200"/>
      <w:jc w:val="left"/>
    </w:pPr>
    <w:rPr>
      <w:kern w:val="0"/>
      <w:sz w:val="24"/>
      <w:szCs w:val="20"/>
      <w:lang w:eastAsia="en-US"/>
    </w:rPr>
  </w:style>
  <w:style w:type="paragraph" w:customStyle="1" w:styleId="260">
    <w:name w:val="列出段落1"/>
    <w:basedOn w:val="1"/>
    <w:qFormat/>
    <w:uiPriority w:val="34"/>
    <w:pPr>
      <w:spacing w:line="360" w:lineRule="auto"/>
      <w:ind w:firstLine="200" w:firstLineChars="200"/>
    </w:pPr>
    <w:rPr>
      <w:rFonts w:eastAsia="楷体_GB2312" w:cs="Lucida Sans"/>
      <w:sz w:val="24"/>
    </w:rPr>
  </w:style>
  <w:style w:type="character" w:customStyle="1" w:styleId="261">
    <w:name w:val="Char Char8"/>
    <w:qFormat/>
    <w:uiPriority w:val="0"/>
    <w:rPr>
      <w:rFonts w:eastAsia="宋体"/>
      <w:b/>
      <w:sz w:val="24"/>
      <w:lang w:val="en-GB" w:eastAsia="zh-CN"/>
    </w:rPr>
  </w:style>
  <w:style w:type="character" w:customStyle="1" w:styleId="262">
    <w:name w:val="Normal Indent Char Char"/>
    <w:qFormat/>
    <w:uiPriority w:val="0"/>
    <w:rPr>
      <w:rFonts w:eastAsia="宋体"/>
      <w:kern w:val="2"/>
      <w:sz w:val="21"/>
      <w:lang w:val="en-US" w:eastAsia="zh-CN" w:bidi="ar-SA"/>
    </w:rPr>
  </w:style>
  <w:style w:type="character" w:customStyle="1" w:styleId="263">
    <w:name w:val="列表段落 字符"/>
    <w:qFormat/>
    <w:uiPriority w:val="99"/>
  </w:style>
  <w:style w:type="character" w:customStyle="1" w:styleId="264">
    <w:name w:val="Ò³Ã¼ Char Char1"/>
    <w:qFormat/>
    <w:uiPriority w:val="0"/>
    <w:rPr>
      <w:rFonts w:eastAsia="宋体"/>
      <w:kern w:val="2"/>
      <w:sz w:val="18"/>
      <w:szCs w:val="18"/>
      <w:lang w:val="en-US" w:eastAsia="zh-CN" w:bidi="ar-SA"/>
    </w:rPr>
  </w:style>
  <w:style w:type="character" w:customStyle="1" w:styleId="265">
    <w:name w:val="方案正文 Char"/>
    <w:qFormat/>
    <w:uiPriority w:val="0"/>
    <w:rPr>
      <w:rFonts w:ascii="仿宋_GB2312" w:eastAsia="仿宋_GB2312"/>
      <w:b/>
      <w:color w:val="000000"/>
      <w:kern w:val="2"/>
      <w:sz w:val="24"/>
      <w:lang w:val="en-US" w:eastAsia="zh-CN" w:bidi="ar-SA"/>
    </w:rPr>
  </w:style>
  <w:style w:type="character" w:customStyle="1" w:styleId="266">
    <w:name w:val="Char Char30"/>
    <w:qFormat/>
    <w:uiPriority w:val="6"/>
    <w:rPr>
      <w:rFonts w:ascii="Arial" w:hAnsi="Arial" w:eastAsia="黑体"/>
      <w:kern w:val="1"/>
      <w:sz w:val="21"/>
      <w:szCs w:val="21"/>
    </w:rPr>
  </w:style>
  <w:style w:type="character" w:customStyle="1" w:styleId="267">
    <w:name w:val="正文文本缩进 Char3"/>
    <w:link w:val="8"/>
    <w:qFormat/>
    <w:uiPriority w:val="0"/>
    <w:rPr>
      <w:rFonts w:ascii="宋体" w:hAnsi="宋体"/>
      <w:kern w:val="2"/>
      <w:sz w:val="24"/>
      <w:szCs w:val="24"/>
    </w:rPr>
  </w:style>
  <w:style w:type="character" w:customStyle="1" w:styleId="268">
    <w:name w:val="font01"/>
    <w:qFormat/>
    <w:uiPriority w:val="0"/>
    <w:rPr>
      <w:rFonts w:hint="eastAsia" w:ascii="微软雅黑" w:hAnsi="微软雅黑" w:eastAsia="微软雅黑" w:cs="微软雅黑"/>
      <w:color w:val="000000"/>
      <w:sz w:val="20"/>
      <w:szCs w:val="20"/>
      <w:u w:val="none"/>
    </w:rPr>
  </w:style>
  <w:style w:type="character" w:customStyle="1" w:styleId="269">
    <w:name w:val="Char Char20"/>
    <w:qFormat/>
    <w:uiPriority w:val="6"/>
    <w:rPr>
      <w:kern w:val="1"/>
      <w:sz w:val="24"/>
    </w:rPr>
  </w:style>
  <w:style w:type="character" w:customStyle="1" w:styleId="270">
    <w:name w:val="tw4winExternal"/>
    <w:qFormat/>
    <w:uiPriority w:val="0"/>
    <w:rPr>
      <w:rFonts w:ascii="Courier New" w:hAnsi="Courier New" w:cs="Courier New"/>
      <w:color w:val="808080"/>
      <w:lang w:val="en-US" w:eastAsia="zh-CN"/>
    </w:rPr>
  </w:style>
  <w:style w:type="character" w:customStyle="1" w:styleId="271">
    <w:name w:val="标题 4 Char1"/>
    <w:qFormat/>
    <w:uiPriority w:val="9"/>
    <w:rPr>
      <w:rFonts w:ascii="Cambria" w:hAnsi="Cambria" w:eastAsia="宋体" w:cs="Times New Roman"/>
      <w:b/>
      <w:bCs/>
      <w:kern w:val="2"/>
      <w:sz w:val="28"/>
      <w:szCs w:val="28"/>
    </w:rPr>
  </w:style>
  <w:style w:type="character" w:customStyle="1" w:styleId="272">
    <w:name w:val="批注文字 Char2"/>
    <w:qFormat/>
    <w:uiPriority w:val="99"/>
    <w:rPr>
      <w:rFonts w:ascii="Times New Roman" w:hAnsi="Times New Roman" w:eastAsia="宋体" w:cs="Times New Roman"/>
      <w:snapToGrid w:val="0"/>
      <w:kern w:val="0"/>
      <w:szCs w:val="24"/>
    </w:rPr>
  </w:style>
  <w:style w:type="character" w:customStyle="1" w:styleId="273">
    <w:name w:val="正文文本 2 Char"/>
    <w:qFormat/>
    <w:uiPriority w:val="0"/>
    <w:rPr>
      <w:rFonts w:eastAsia="宋体"/>
      <w:kern w:val="2"/>
      <w:sz w:val="21"/>
      <w:szCs w:val="24"/>
      <w:lang w:val="en-US" w:eastAsia="zh-CN" w:bidi="ar-SA"/>
    </w:rPr>
  </w:style>
  <w:style w:type="character" w:customStyle="1" w:styleId="274">
    <w:name w:val="Ò³Ã¼ Char Char"/>
    <w:qFormat/>
    <w:uiPriority w:val="0"/>
    <w:rPr>
      <w:rFonts w:eastAsia="宋体"/>
      <w:kern w:val="2"/>
      <w:sz w:val="18"/>
      <w:lang w:val="en-US" w:eastAsia="zh-CN" w:bidi="ar-SA"/>
    </w:rPr>
  </w:style>
  <w:style w:type="character" w:customStyle="1" w:styleId="275">
    <w:name w:val="message1"/>
    <w:qFormat/>
    <w:uiPriority w:val="0"/>
    <w:rPr>
      <w:rFonts w:hint="default" w:ascii="Tahoma" w:hAnsi="Tahoma" w:cs="Tahoma"/>
      <w:sz w:val="18"/>
      <w:szCs w:val="18"/>
    </w:rPr>
  </w:style>
  <w:style w:type="character" w:customStyle="1" w:styleId="276">
    <w:name w:val="Char Char23"/>
    <w:qFormat/>
    <w:uiPriority w:val="6"/>
    <w:rPr>
      <w:color w:val="0000FF"/>
      <w:sz w:val="21"/>
    </w:rPr>
  </w:style>
  <w:style w:type="character" w:customStyle="1" w:styleId="277">
    <w:name w:val="批注框文本 字符"/>
    <w:qFormat/>
    <w:uiPriority w:val="0"/>
    <w:rPr>
      <w:rFonts w:ascii="Arial" w:hAnsi="Arial" w:eastAsia="黑体" w:cs="Arial"/>
      <w:snapToGrid w:val="0"/>
      <w:kern w:val="0"/>
      <w:sz w:val="18"/>
      <w:szCs w:val="18"/>
    </w:rPr>
  </w:style>
  <w:style w:type="character" w:customStyle="1" w:styleId="278">
    <w:name w:val="纯文本 Char2"/>
    <w:qFormat/>
    <w:uiPriority w:val="99"/>
    <w:rPr>
      <w:rFonts w:ascii="宋体" w:hAnsi="Courier New" w:eastAsia="宋体" w:cs="Courier New"/>
    </w:rPr>
  </w:style>
  <w:style w:type="character" w:customStyle="1" w:styleId="279">
    <w:name w:val="Char Char25"/>
    <w:qFormat/>
    <w:uiPriority w:val="6"/>
    <w:rPr>
      <w:rFonts w:ascii="宋体" w:hAnsi="宋体"/>
      <w:kern w:val="1"/>
      <w:sz w:val="24"/>
      <w:lang w:val="zh-CN"/>
    </w:rPr>
  </w:style>
  <w:style w:type="character" w:customStyle="1" w:styleId="280">
    <w:name w:val="Char Char411"/>
    <w:qFormat/>
    <w:uiPriority w:val="0"/>
    <w:rPr>
      <w:rFonts w:eastAsia="宋体"/>
      <w:b/>
      <w:sz w:val="24"/>
      <w:lang w:val="en-GB" w:eastAsia="zh-CN" w:bidi="ar-SA"/>
    </w:rPr>
  </w:style>
  <w:style w:type="character" w:customStyle="1" w:styleId="281">
    <w:name w:val="Heading 7 Char_a37d0e69-3e77-4622-a2c5-ebb0c9c27ddf"/>
    <w:qFormat/>
    <w:uiPriority w:val="0"/>
    <w:rPr>
      <w:rFonts w:ascii="宋体" w:hAnsi="宋体" w:eastAsia="宋体"/>
      <w:b/>
      <w:bCs/>
      <w:kern w:val="2"/>
      <w:sz w:val="24"/>
      <w:szCs w:val="24"/>
      <w:lang w:val="en-US" w:eastAsia="zh-CN" w:bidi="ar-SA"/>
    </w:rPr>
  </w:style>
  <w:style w:type="character" w:customStyle="1" w:styleId="282">
    <w:name w:val="此正文 Char"/>
    <w:link w:val="283"/>
    <w:qFormat/>
    <w:uiPriority w:val="0"/>
    <w:rPr>
      <w:kern w:val="2"/>
      <w:sz w:val="24"/>
      <w:szCs w:val="24"/>
    </w:rPr>
  </w:style>
  <w:style w:type="paragraph" w:customStyle="1" w:styleId="283">
    <w:name w:val="此正文"/>
    <w:basedOn w:val="1"/>
    <w:link w:val="282"/>
    <w:qFormat/>
    <w:uiPriority w:val="0"/>
    <w:pPr>
      <w:adjustRightInd/>
      <w:spacing w:line="360" w:lineRule="auto"/>
      <w:ind w:firstLine="200" w:firstLineChars="200"/>
    </w:pPr>
    <w:rPr>
      <w:sz w:val="24"/>
    </w:rPr>
  </w:style>
  <w:style w:type="character" w:customStyle="1" w:styleId="284">
    <w:name w:val="Char Char2"/>
    <w:qFormat/>
    <w:uiPriority w:val="0"/>
    <w:rPr>
      <w:rFonts w:eastAsia="宋体"/>
      <w:b/>
      <w:bCs/>
      <w:kern w:val="2"/>
      <w:sz w:val="21"/>
      <w:szCs w:val="24"/>
      <w:lang w:val="en-US" w:eastAsia="zh-CN" w:bidi="ar-SA"/>
    </w:rPr>
  </w:style>
  <w:style w:type="character" w:customStyle="1" w:styleId="285">
    <w:name w:val="标题 1 Char"/>
    <w:link w:val="4"/>
    <w:qFormat/>
    <w:uiPriority w:val="9"/>
    <w:rPr>
      <w:b/>
      <w:bCs/>
      <w:kern w:val="44"/>
      <w:sz w:val="44"/>
      <w:szCs w:val="44"/>
    </w:rPr>
  </w:style>
  <w:style w:type="character" w:customStyle="1" w:styleId="286">
    <w:name w:val="Footer-Even Char1"/>
    <w:qFormat/>
    <w:uiPriority w:val="0"/>
    <w:rPr>
      <w:rFonts w:eastAsia="宋体"/>
      <w:kern w:val="2"/>
      <w:sz w:val="18"/>
      <w:szCs w:val="18"/>
      <w:lang w:val="en-US" w:eastAsia="zh-CN" w:bidi="ar-SA"/>
    </w:rPr>
  </w:style>
  <w:style w:type="character" w:customStyle="1" w:styleId="287">
    <w:name w:val="Char Char29"/>
    <w:qFormat/>
    <w:uiPriority w:val="6"/>
    <w:rPr>
      <w:rFonts w:ascii="Arial" w:hAnsi="Arial" w:eastAsia="微软雅黑"/>
      <w:b/>
      <w:kern w:val="1"/>
      <w:sz w:val="44"/>
      <w:szCs w:val="32"/>
      <w:lang w:val="en-US" w:eastAsia="zh-CN" w:bidi="ar-SA"/>
    </w:rPr>
  </w:style>
  <w:style w:type="character" w:customStyle="1" w:styleId="288">
    <w:name w:val="标题 Char2"/>
    <w:link w:val="61"/>
    <w:qFormat/>
    <w:uiPriority w:val="10"/>
    <w:rPr>
      <w:b/>
      <w:sz w:val="24"/>
      <w:lang w:val="en-GB"/>
    </w:rPr>
  </w:style>
  <w:style w:type="character" w:customStyle="1" w:styleId="289">
    <w:name w:val="font81"/>
    <w:basedOn w:val="72"/>
    <w:qFormat/>
    <w:uiPriority w:val="0"/>
    <w:rPr>
      <w:rFonts w:ascii="微软雅黑" w:hAnsi="微软雅黑" w:eastAsia="微软雅黑" w:cs="微软雅黑"/>
      <w:color w:val="000000"/>
      <w:sz w:val="20"/>
      <w:szCs w:val="20"/>
      <w:u w:val="none"/>
    </w:rPr>
  </w:style>
  <w:style w:type="character" w:customStyle="1" w:styleId="290">
    <w:name w:val="Char Char312"/>
    <w:qFormat/>
    <w:uiPriority w:val="0"/>
    <w:rPr>
      <w:rFonts w:ascii="Times New Roman" w:hAnsi="Times New Roman" w:eastAsia="宋体" w:cs="Times New Roman"/>
      <w:b/>
      <w:kern w:val="2"/>
      <w:sz w:val="32"/>
      <w:szCs w:val="24"/>
      <w:lang w:val="en-US" w:eastAsia="zh-CN" w:bidi="ar-SA"/>
    </w:rPr>
  </w:style>
  <w:style w:type="character" w:customStyle="1" w:styleId="291">
    <w:name w:val="t21"/>
    <w:qFormat/>
    <w:uiPriority w:val="0"/>
    <w:rPr>
      <w:rFonts w:ascii="仿宋_GB2312" w:eastAsia="微软雅黑"/>
      <w:b/>
      <w:kern w:val="2"/>
      <w:sz w:val="23"/>
      <w:szCs w:val="23"/>
      <w:lang w:val="en-US" w:eastAsia="zh-CN" w:bidi="ar-SA"/>
    </w:rPr>
  </w:style>
  <w:style w:type="character" w:customStyle="1" w:styleId="292">
    <w:name w:val="样式8 Char"/>
    <w:qFormat/>
    <w:uiPriority w:val="0"/>
    <w:rPr>
      <w:rFonts w:ascii="仿宋_GB2312" w:hAnsi="宋体" w:eastAsia="仿宋_GB2312"/>
      <w:b/>
      <w:bCs/>
      <w:kern w:val="2"/>
      <w:sz w:val="24"/>
      <w:szCs w:val="24"/>
    </w:rPr>
  </w:style>
  <w:style w:type="character" w:customStyle="1" w:styleId="293">
    <w:name w:val="表格 Char Char"/>
    <w:qFormat/>
    <w:uiPriority w:val="0"/>
    <w:rPr>
      <w:rFonts w:ascii="宋体" w:hAnsi="宋体" w:eastAsia="宋体"/>
      <w:lang w:bidi="ar-SA"/>
    </w:rPr>
  </w:style>
  <w:style w:type="character" w:customStyle="1" w:styleId="294">
    <w:name w:val="正文文本 字符1"/>
    <w:qFormat/>
    <w:uiPriority w:val="0"/>
    <w:rPr>
      <w:rFonts w:ascii="Calibri" w:hAnsi="Calibri" w:eastAsia="黑体" w:cs="Arial"/>
      <w:snapToGrid w:val="0"/>
      <w:kern w:val="2"/>
      <w:sz w:val="28"/>
      <w:szCs w:val="21"/>
    </w:rPr>
  </w:style>
  <w:style w:type="character" w:customStyle="1" w:styleId="295">
    <w:name w:val="标题 5 Char"/>
    <w:link w:val="10"/>
    <w:qFormat/>
    <w:uiPriority w:val="9"/>
    <w:rPr>
      <w:b/>
      <w:bCs/>
      <w:kern w:val="2"/>
      <w:sz w:val="28"/>
      <w:szCs w:val="28"/>
    </w:rPr>
  </w:style>
  <w:style w:type="character" w:customStyle="1" w:styleId="296">
    <w:name w:val="标题 6 Char1"/>
    <w:qFormat/>
    <w:uiPriority w:val="0"/>
    <w:rPr>
      <w:rFonts w:ascii="Arial" w:hAnsi="Arial" w:eastAsia="黑体" w:cs="Times New Roman"/>
      <w:b/>
      <w:sz w:val="24"/>
      <w:szCs w:val="20"/>
      <w:lang w:bidi="ar-SA"/>
    </w:rPr>
  </w:style>
  <w:style w:type="character" w:customStyle="1" w:styleId="297">
    <w:name w:val="带编号样式 Char"/>
    <w:qFormat/>
    <w:uiPriority w:val="0"/>
    <w:rPr>
      <w:rFonts w:ascii="仿宋_GB2312" w:eastAsia="仿宋_GB2312"/>
      <w:color w:val="000000"/>
      <w:sz w:val="24"/>
      <w:lang w:bidi="ar-SA"/>
    </w:rPr>
  </w:style>
  <w:style w:type="character" w:customStyle="1" w:styleId="298">
    <w:name w:val="unnamed31"/>
    <w:qFormat/>
    <w:uiPriority w:val="0"/>
    <w:rPr>
      <w:rFonts w:ascii="Tahoma" w:hAnsi="Tahoma" w:eastAsia="宋体"/>
      <w:b/>
      <w:kern w:val="2"/>
      <w:sz w:val="24"/>
      <w:szCs w:val="32"/>
      <w:u w:val="none"/>
      <w:lang w:val="en-US" w:eastAsia="zh-CN" w:bidi="ar-SA"/>
    </w:rPr>
  </w:style>
  <w:style w:type="character" w:customStyle="1" w:styleId="299">
    <w:name w:val="正文首行缩进 Char Char Char Char Char Char1"/>
    <w:qFormat/>
    <w:uiPriority w:val="0"/>
    <w:rPr>
      <w:rFonts w:ascii="宋体" w:eastAsia="宋体"/>
      <w:kern w:val="2"/>
      <w:sz w:val="24"/>
      <w:szCs w:val="24"/>
      <w:lang w:val="zh-CN" w:bidi="ar-SA"/>
    </w:rPr>
  </w:style>
  <w:style w:type="character" w:customStyle="1" w:styleId="300">
    <w:name w:val="称呼 Char"/>
    <w:link w:val="24"/>
    <w:qFormat/>
    <w:uiPriority w:val="0"/>
    <w:rPr>
      <w:rFonts w:ascii="仿宋_GB2312" w:eastAsia="仿宋_GB2312"/>
      <w:kern w:val="2"/>
      <w:sz w:val="28"/>
    </w:rPr>
  </w:style>
  <w:style w:type="character" w:customStyle="1" w:styleId="301">
    <w:name w:val="文本正文 Char Char"/>
    <w:qFormat/>
    <w:uiPriority w:val="0"/>
    <w:rPr>
      <w:sz w:val="24"/>
      <w:lang w:bidi="ar-SA"/>
    </w:rPr>
  </w:style>
  <w:style w:type="character" w:customStyle="1" w:styleId="302">
    <w:name w:val="正文缩进 字符"/>
    <w:qFormat/>
    <w:uiPriority w:val="0"/>
    <w:rPr>
      <w:rFonts w:ascii="宋体" w:eastAsia="宋体"/>
      <w:snapToGrid w:val="0"/>
      <w:color w:val="000000"/>
      <w:kern w:val="28"/>
      <w:sz w:val="28"/>
      <w:lang w:val="en-US" w:eastAsia="zh-CN" w:bidi="ar-SA"/>
    </w:rPr>
  </w:style>
  <w:style w:type="character" w:customStyle="1" w:styleId="303">
    <w:name w:val="HTML 预设格式 Char"/>
    <w:link w:val="59"/>
    <w:qFormat/>
    <w:uiPriority w:val="0"/>
    <w:rPr>
      <w:rFonts w:ascii="黑体" w:hAnsi="Courier New" w:eastAsia="黑体"/>
    </w:rPr>
  </w:style>
  <w:style w:type="character" w:customStyle="1" w:styleId="304">
    <w:name w:val="正文文本 2 Char1"/>
    <w:link w:val="58"/>
    <w:qFormat/>
    <w:uiPriority w:val="0"/>
    <w:rPr>
      <w:kern w:val="2"/>
      <w:sz w:val="21"/>
      <w:szCs w:val="24"/>
    </w:rPr>
  </w:style>
  <w:style w:type="character" w:customStyle="1" w:styleId="305">
    <w:name w:val="样式 样式 标题 4h4H4Fab-4T5Ref Heading 1rh1Heading sqlsect 1.2.3.... +... Char"/>
    <w:link w:val="306"/>
    <w:qFormat/>
    <w:uiPriority w:val="0"/>
    <w:rPr>
      <w:rFonts w:ascii="微软雅黑" w:hAnsi="微软雅黑" w:eastAsia="微软雅黑"/>
      <w:b/>
      <w:bCs/>
      <w:kern w:val="2"/>
      <w:sz w:val="24"/>
      <w:szCs w:val="28"/>
    </w:rPr>
  </w:style>
  <w:style w:type="paragraph" w:customStyle="1" w:styleId="306">
    <w:name w:val="样式 样式 标题 4h4H4Fab-4T5Ref Heading 1rh1Heading sqlsect 1.2.3.... +..."/>
    <w:basedOn w:val="307"/>
    <w:link w:val="305"/>
    <w:qFormat/>
    <w:uiPriority w:val="0"/>
    <w:pPr>
      <w:tabs>
        <w:tab w:val="left" w:pos="2356"/>
      </w:tabs>
    </w:pPr>
  </w:style>
  <w:style w:type="paragraph" w:customStyle="1" w:styleId="307">
    <w:name w:val="样式 标题 4h4H4Fab-4T5Ref Heading 1rh1Heading sqlsect 1.2.3...."/>
    <w:basedOn w:val="9"/>
    <w:link w:val="415"/>
    <w:qFormat/>
    <w:uiPriority w:val="0"/>
    <w:pPr>
      <w:tabs>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8">
    <w:name w:val="正文非缩进 Char"/>
    <w:qFormat/>
    <w:uiPriority w:val="0"/>
    <w:rPr>
      <w:rFonts w:ascii="宋体" w:eastAsia="宋体"/>
      <w:snapToGrid w:val="0"/>
      <w:color w:val="000000"/>
      <w:kern w:val="28"/>
      <w:sz w:val="28"/>
      <w:lang w:val="en-US" w:eastAsia="zh-CN" w:bidi="ar-SA"/>
    </w:rPr>
  </w:style>
  <w:style w:type="character" w:customStyle="1" w:styleId="309">
    <w:name w:val="标题 7 Char"/>
    <w:link w:val="12"/>
    <w:qFormat/>
    <w:uiPriority w:val="0"/>
    <w:rPr>
      <w:b/>
      <w:bCs/>
      <w:kern w:val="2"/>
      <w:sz w:val="24"/>
      <w:szCs w:val="24"/>
    </w:rPr>
  </w:style>
  <w:style w:type="character" w:customStyle="1" w:styleId="310">
    <w:name w:val="正文文本缩进 2 Char"/>
    <w:link w:val="38"/>
    <w:qFormat/>
    <w:uiPriority w:val="0"/>
    <w:rPr>
      <w:rFonts w:ascii="宋体"/>
      <w:sz w:val="28"/>
    </w:rPr>
  </w:style>
  <w:style w:type="character" w:customStyle="1" w:styleId="311">
    <w:name w:val="Char Char5"/>
    <w:qFormat/>
    <w:uiPriority w:val="0"/>
    <w:rPr>
      <w:rFonts w:ascii="宋体" w:hAnsi="Courier New" w:eastAsia="宋体"/>
      <w:kern w:val="2"/>
      <w:sz w:val="21"/>
      <w:lang w:val="en-US" w:eastAsia="zh-CN"/>
    </w:rPr>
  </w:style>
  <w:style w:type="character" w:customStyle="1" w:styleId="312">
    <w:name w:val="脚注文本 Char"/>
    <w:link w:val="52"/>
    <w:qFormat/>
    <w:uiPriority w:val="0"/>
    <w:rPr>
      <w:color w:val="0000FF"/>
      <w:sz w:val="21"/>
    </w:rPr>
  </w:style>
  <w:style w:type="character" w:customStyle="1" w:styleId="313">
    <w:name w:val="称呼 Char1"/>
    <w:qFormat/>
    <w:uiPriority w:val="0"/>
    <w:rPr>
      <w:rFonts w:ascii="Times New Roman" w:hAnsi="Times New Roman" w:eastAsia="宋体" w:cs="Times New Roman"/>
      <w:szCs w:val="24"/>
    </w:rPr>
  </w:style>
  <w:style w:type="character" w:customStyle="1" w:styleId="314">
    <w:name w:val="正文1 Char"/>
    <w:qFormat/>
    <w:uiPriority w:val="0"/>
    <w:rPr>
      <w:rFonts w:ascii="宋体" w:eastAsia="宋体"/>
      <w:snapToGrid w:val="0"/>
      <w:color w:val="000000"/>
      <w:kern w:val="28"/>
      <w:sz w:val="28"/>
      <w:lang w:val="en-US" w:eastAsia="zh-CN" w:bidi="ar-SA"/>
    </w:rPr>
  </w:style>
  <w:style w:type="character" w:customStyle="1" w:styleId="315">
    <w:name w:val="正文缩进 Char1"/>
    <w:qFormat/>
    <w:uiPriority w:val="0"/>
    <w:rPr>
      <w:rFonts w:ascii="宋体" w:eastAsia="宋体"/>
      <w:snapToGrid w:val="0"/>
      <w:color w:val="000000"/>
      <w:kern w:val="28"/>
      <w:sz w:val="28"/>
      <w:lang w:val="en-US" w:eastAsia="zh-CN" w:bidi="ar-SA"/>
    </w:rPr>
  </w:style>
  <w:style w:type="character" w:customStyle="1" w:styleId="316">
    <w:name w:val="font21"/>
    <w:basedOn w:val="72"/>
    <w:qFormat/>
    <w:uiPriority w:val="0"/>
    <w:rPr>
      <w:rFonts w:hint="eastAsia" w:ascii="宋体" w:hAnsi="宋体" w:eastAsia="宋体"/>
      <w:kern w:val="2"/>
      <w:sz w:val="28"/>
      <w:szCs w:val="28"/>
      <w:lang w:val="en-US" w:eastAsia="zh-CN" w:bidi="ar-SA"/>
    </w:rPr>
  </w:style>
  <w:style w:type="character" w:customStyle="1" w:styleId="317">
    <w:name w:val="Char Char26"/>
    <w:qFormat/>
    <w:uiPriority w:val="6"/>
    <w:rPr>
      <w:kern w:val="1"/>
      <w:sz w:val="21"/>
      <w:szCs w:val="24"/>
    </w:rPr>
  </w:style>
  <w:style w:type="character" w:customStyle="1" w:styleId="318">
    <w:name w:val="Item List Char"/>
    <w:link w:val="319"/>
    <w:qFormat/>
    <w:uiPriority w:val="0"/>
    <w:rPr>
      <w:rFonts w:ascii="Arial"/>
      <w:bCs/>
      <w:sz w:val="21"/>
      <w:szCs w:val="21"/>
      <w:lang w:val="en-US" w:eastAsia="zh-CN" w:bidi="ar-SA"/>
    </w:rPr>
  </w:style>
  <w:style w:type="paragraph" w:customStyle="1" w:styleId="319">
    <w:name w:val="Item List"/>
    <w:link w:val="318"/>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20">
    <w:name w:val="批注框文本 Char1"/>
    <w:qFormat/>
    <w:uiPriority w:val="0"/>
    <w:rPr>
      <w:rFonts w:ascii="Times New Roman" w:hAnsi="Times New Roman" w:eastAsia="宋体" w:cs="Times New Roman"/>
      <w:sz w:val="18"/>
      <w:szCs w:val="18"/>
    </w:rPr>
  </w:style>
  <w:style w:type="character" w:customStyle="1" w:styleId="321">
    <w:name w:val="纯文本 Char1"/>
    <w:link w:val="322"/>
    <w:qFormat/>
    <w:uiPriority w:val="0"/>
    <w:rPr>
      <w:rFonts w:ascii="宋体" w:hAnsi="Courier New"/>
    </w:rPr>
  </w:style>
  <w:style w:type="paragraph" w:customStyle="1" w:styleId="322">
    <w:name w:val="纯文本1"/>
    <w:basedOn w:val="1"/>
    <w:link w:val="321"/>
    <w:qFormat/>
    <w:uiPriority w:val="0"/>
    <w:pPr>
      <w:adjustRightInd/>
    </w:pPr>
    <w:rPr>
      <w:rFonts w:ascii="宋体" w:hAnsi="Courier New"/>
      <w:kern w:val="0"/>
      <w:sz w:val="20"/>
      <w:szCs w:val="20"/>
    </w:rPr>
  </w:style>
  <w:style w:type="character" w:customStyle="1" w:styleId="323">
    <w:name w:val="正文首行缩进 Char"/>
    <w:link w:val="2"/>
    <w:qFormat/>
    <w:uiPriority w:val="0"/>
    <w:rPr>
      <w:rFonts w:ascii="宋体"/>
      <w:kern w:val="2"/>
      <w:sz w:val="24"/>
      <w:lang w:val="zh-CN"/>
    </w:rPr>
  </w:style>
  <w:style w:type="character" w:customStyle="1" w:styleId="324">
    <w:name w:val="h3 Char"/>
    <w:qFormat/>
    <w:uiPriority w:val="0"/>
    <w:rPr>
      <w:rFonts w:eastAsia="宋体"/>
      <w:b/>
      <w:kern w:val="2"/>
      <w:sz w:val="32"/>
      <w:lang w:val="en-US" w:eastAsia="zh-CN" w:bidi="ar-SA"/>
    </w:rPr>
  </w:style>
  <w:style w:type="character" w:customStyle="1" w:styleId="325">
    <w:name w:val="dandyren_title1"/>
    <w:qFormat/>
    <w:uiPriority w:val="0"/>
    <w:rPr>
      <w:b/>
      <w:bCs/>
      <w:color w:val="FF6633"/>
      <w:sz w:val="18"/>
      <w:szCs w:val="18"/>
    </w:rPr>
  </w:style>
  <w:style w:type="character" w:customStyle="1" w:styleId="326">
    <w:name w:val="Char Char31"/>
    <w:qFormat/>
    <w:uiPriority w:val="6"/>
    <w:rPr>
      <w:rFonts w:ascii="Arial" w:hAnsi="Arial" w:eastAsia="黑体"/>
      <w:kern w:val="1"/>
      <w:sz w:val="24"/>
      <w:szCs w:val="24"/>
    </w:rPr>
  </w:style>
  <w:style w:type="character" w:customStyle="1" w:styleId="327">
    <w:name w:val="h Char1"/>
    <w:qFormat/>
    <w:uiPriority w:val="0"/>
    <w:rPr>
      <w:sz w:val="18"/>
      <w:szCs w:val="18"/>
    </w:rPr>
  </w:style>
  <w:style w:type="character" w:customStyle="1" w:styleId="328">
    <w:name w:val="solutionfonts"/>
    <w:qFormat/>
    <w:uiPriority w:val="0"/>
  </w:style>
  <w:style w:type="character" w:customStyle="1" w:styleId="329">
    <w:name w:val="标题 4 Char2"/>
    <w:link w:val="9"/>
    <w:qFormat/>
    <w:uiPriority w:val="9"/>
    <w:rPr>
      <w:rFonts w:ascii="Arial" w:hAnsi="Arial" w:eastAsia="黑体"/>
      <w:b/>
      <w:bCs/>
      <w:kern w:val="2"/>
      <w:sz w:val="28"/>
      <w:szCs w:val="28"/>
      <w:lang w:val="zh-CN"/>
    </w:rPr>
  </w:style>
  <w:style w:type="character" w:customStyle="1" w:styleId="330">
    <w:name w:val="首行缩进 Char"/>
    <w:qFormat/>
    <w:uiPriority w:val="0"/>
    <w:rPr>
      <w:rFonts w:ascii="宋体" w:eastAsia="宋体"/>
      <w:kern w:val="2"/>
      <w:sz w:val="24"/>
      <w:lang w:val="en-US" w:eastAsia="zh-CN" w:bidi="ar-SA"/>
    </w:rPr>
  </w:style>
  <w:style w:type="character" w:customStyle="1" w:styleId="331">
    <w:name w:val="Char Char52"/>
    <w:qFormat/>
    <w:uiPriority w:val="0"/>
    <w:rPr>
      <w:rFonts w:ascii="宋体" w:hAnsi="Courier New" w:eastAsia="宋体"/>
      <w:kern w:val="2"/>
      <w:sz w:val="21"/>
      <w:lang w:val="en-US" w:eastAsia="zh-CN"/>
    </w:rPr>
  </w:style>
  <w:style w:type="character" w:customStyle="1" w:styleId="332">
    <w:name w:val="正文文本 3 Char"/>
    <w:link w:val="25"/>
    <w:qFormat/>
    <w:uiPriority w:val="0"/>
    <w:rPr>
      <w:kern w:val="2"/>
      <w:sz w:val="21"/>
    </w:rPr>
  </w:style>
  <w:style w:type="character" w:customStyle="1" w:styleId="333">
    <w:name w:val="font31"/>
    <w:qFormat/>
    <w:uiPriority w:val="0"/>
    <w:rPr>
      <w:rFonts w:hint="eastAsia" w:ascii="仿宋" w:hAnsi="仿宋" w:eastAsia="仿宋" w:cs="仿宋"/>
      <w:color w:val="000000"/>
      <w:sz w:val="20"/>
      <w:szCs w:val="20"/>
      <w:u w:val="none"/>
    </w:rPr>
  </w:style>
  <w:style w:type="character" w:customStyle="1" w:styleId="334">
    <w:name w:val="正文说明 Char"/>
    <w:link w:val="335"/>
    <w:qFormat/>
    <w:uiPriority w:val="0"/>
    <w:rPr>
      <w:sz w:val="24"/>
      <w:szCs w:val="24"/>
    </w:rPr>
  </w:style>
  <w:style w:type="paragraph" w:customStyle="1" w:styleId="335">
    <w:name w:val="正文说明"/>
    <w:basedOn w:val="1"/>
    <w:link w:val="334"/>
    <w:qFormat/>
    <w:uiPriority w:val="0"/>
    <w:pPr>
      <w:adjustRightInd/>
      <w:spacing w:line="360" w:lineRule="auto"/>
    </w:pPr>
    <w:rPr>
      <w:kern w:val="0"/>
      <w:sz w:val="24"/>
    </w:rPr>
  </w:style>
  <w:style w:type="character" w:customStyle="1" w:styleId="336">
    <w:name w:val="脚注文本 Char1"/>
    <w:qFormat/>
    <w:uiPriority w:val="0"/>
    <w:rPr>
      <w:rFonts w:ascii="Times New Roman" w:hAnsi="Times New Roman" w:eastAsia="宋体" w:cs="Times New Roman"/>
      <w:sz w:val="18"/>
      <w:szCs w:val="18"/>
    </w:rPr>
  </w:style>
  <w:style w:type="character" w:customStyle="1" w:styleId="337">
    <w:name w:val="Char Char1211"/>
    <w:qFormat/>
    <w:uiPriority w:val="0"/>
    <w:rPr>
      <w:rFonts w:ascii="仿宋_GB2312" w:eastAsia="仿宋_GB2312"/>
      <w:b/>
      <w:bCs/>
      <w:kern w:val="2"/>
      <w:sz w:val="24"/>
      <w:szCs w:val="24"/>
      <w:lang w:val="zh-CN" w:eastAsia="zh-CN" w:bidi="ar-SA"/>
    </w:rPr>
  </w:style>
  <w:style w:type="character" w:customStyle="1" w:styleId="338">
    <w:name w:val="标题 Char"/>
    <w:qFormat/>
    <w:uiPriority w:val="0"/>
    <w:rPr>
      <w:rFonts w:eastAsia="宋体"/>
      <w:b/>
      <w:sz w:val="24"/>
      <w:lang w:val="en-GB" w:eastAsia="zh-CN" w:bidi="ar-SA"/>
    </w:rPr>
  </w:style>
  <w:style w:type="character" w:customStyle="1" w:styleId="339">
    <w:name w:val="Char Char35"/>
    <w:qFormat/>
    <w:uiPriority w:val="6"/>
    <w:rPr>
      <w:rFonts w:ascii="Arial" w:hAnsi="Arial" w:eastAsia="黑体"/>
      <w:b/>
      <w:kern w:val="1"/>
      <w:sz w:val="28"/>
      <w:szCs w:val="28"/>
      <w:lang w:val="zh-CN"/>
    </w:rPr>
  </w:style>
  <w:style w:type="character" w:customStyle="1" w:styleId="340">
    <w:name w:val="纯文本 Char Char Char"/>
    <w:qFormat/>
    <w:uiPriority w:val="0"/>
    <w:rPr>
      <w:rFonts w:ascii="宋体" w:hAnsi="Courier New" w:eastAsia="宋体"/>
      <w:kern w:val="2"/>
      <w:sz w:val="21"/>
      <w:lang w:val="en-US" w:eastAsia="zh-CN" w:bidi="ar-SA"/>
    </w:rPr>
  </w:style>
  <w:style w:type="character" w:customStyle="1" w:styleId="341">
    <w:name w:val="Table Text Char"/>
    <w:link w:val="342"/>
    <w:qFormat/>
    <w:uiPriority w:val="0"/>
    <w:rPr>
      <w:sz w:val="24"/>
      <w:szCs w:val="24"/>
    </w:rPr>
  </w:style>
  <w:style w:type="paragraph" w:customStyle="1" w:styleId="342">
    <w:name w:val="Table Text"/>
    <w:basedOn w:val="1"/>
    <w:link w:val="341"/>
    <w:qFormat/>
    <w:uiPriority w:val="0"/>
    <w:pPr>
      <w:widowControl/>
      <w:spacing w:before="60" w:after="60"/>
      <w:jc w:val="left"/>
    </w:pPr>
    <w:rPr>
      <w:kern w:val="0"/>
      <w:sz w:val="24"/>
    </w:rPr>
  </w:style>
  <w:style w:type="character" w:customStyle="1" w:styleId="343">
    <w:name w:val="正文1 Char1"/>
    <w:qFormat/>
    <w:uiPriority w:val="0"/>
    <w:rPr>
      <w:rFonts w:ascii="仿宋_GB2312" w:hAnsi="Courier New" w:eastAsia="仿宋_GB2312"/>
      <w:kern w:val="28"/>
      <w:sz w:val="24"/>
      <w:szCs w:val="24"/>
      <w:lang w:val="en-US" w:eastAsia="zh-CN"/>
    </w:rPr>
  </w:style>
  <w:style w:type="character" w:customStyle="1" w:styleId="344">
    <w:name w:val="页脚 Char1"/>
    <w:qFormat/>
    <w:uiPriority w:val="0"/>
    <w:rPr>
      <w:rFonts w:eastAsia="宋体"/>
      <w:kern w:val="2"/>
      <w:sz w:val="18"/>
      <w:szCs w:val="18"/>
      <w:lang w:val="en-US" w:eastAsia="zh-CN" w:bidi="ar-SA"/>
    </w:rPr>
  </w:style>
  <w:style w:type="character" w:customStyle="1" w:styleId="345">
    <w:name w:val="Bold"/>
    <w:qFormat/>
    <w:uiPriority w:val="0"/>
    <w:rPr>
      <w:rFonts w:ascii="Arial" w:hAnsi="Arial" w:eastAsia="黑体" w:cs="Times New Roman"/>
      <w:b/>
      <w:kern w:val="2"/>
      <w:sz w:val="32"/>
      <w:szCs w:val="32"/>
      <w:lang w:val="en-US" w:eastAsia="zh-CN" w:bidi="ar-SA"/>
    </w:rPr>
  </w:style>
  <w:style w:type="character" w:customStyle="1" w:styleId="346">
    <w:name w:val="批注文字 Char1"/>
    <w:link w:val="23"/>
    <w:qFormat/>
    <w:uiPriority w:val="0"/>
    <w:rPr>
      <w:kern w:val="2"/>
      <w:sz w:val="21"/>
      <w:szCs w:val="24"/>
    </w:rPr>
  </w:style>
  <w:style w:type="character" w:customStyle="1" w:styleId="347">
    <w:name w:val="签名 Char"/>
    <w:link w:val="44"/>
    <w:qFormat/>
    <w:uiPriority w:val="0"/>
    <w:rPr>
      <w:rFonts w:eastAsia="仿宋_GB2312"/>
      <w:sz w:val="24"/>
    </w:rPr>
  </w:style>
  <w:style w:type="character" w:customStyle="1" w:styleId="348">
    <w:name w:val="hui3"/>
    <w:qFormat/>
    <w:uiPriority w:val="0"/>
    <w:rPr>
      <w:color w:val="333333"/>
    </w:rPr>
  </w:style>
  <w:style w:type="character" w:customStyle="1" w:styleId="349">
    <w:name w:val="Char Char17"/>
    <w:qFormat/>
    <w:uiPriority w:val="6"/>
    <w:rPr>
      <w:rFonts w:eastAsia="仿宋_GB2312"/>
      <w:sz w:val="24"/>
    </w:rPr>
  </w:style>
  <w:style w:type="character" w:customStyle="1" w:styleId="350">
    <w:name w:val="标题 4 字符"/>
    <w:qFormat/>
    <w:uiPriority w:val="9"/>
    <w:rPr>
      <w:rFonts w:ascii="等线 Light" w:hAnsi="等线 Light" w:eastAsia="等线 Light" w:cs="Times New Roman"/>
      <w:b/>
      <w:bCs/>
      <w:snapToGrid w:val="0"/>
      <w:kern w:val="0"/>
      <w:sz w:val="28"/>
      <w:szCs w:val="28"/>
    </w:rPr>
  </w:style>
  <w:style w:type="character" w:customStyle="1" w:styleId="351">
    <w:name w:val="Char Char37"/>
    <w:qFormat/>
    <w:uiPriority w:val="6"/>
    <w:rPr>
      <w:b/>
      <w:kern w:val="1"/>
      <w:sz w:val="44"/>
      <w:szCs w:val="44"/>
    </w:rPr>
  </w:style>
  <w:style w:type="character" w:customStyle="1" w:styleId="352">
    <w:name w:val="列出段落 Char"/>
    <w:qFormat/>
    <w:uiPriority w:val="0"/>
    <w:rPr>
      <w:rFonts w:eastAsia="楷体_GB2312" w:cs="Lucida Sans"/>
      <w:kern w:val="2"/>
      <w:sz w:val="24"/>
      <w:szCs w:val="24"/>
      <w:lang w:val="en-US" w:eastAsia="zh-CN" w:bidi="ar-SA"/>
    </w:rPr>
  </w:style>
  <w:style w:type="character" w:customStyle="1" w:styleId="353">
    <w:name w:val="正文文本缩进 3 Char1"/>
    <w:qFormat/>
    <w:uiPriority w:val="99"/>
    <w:rPr>
      <w:rFonts w:ascii="Times New Roman" w:hAnsi="Times New Roman" w:eastAsia="宋体" w:cs="Times New Roman"/>
      <w:sz w:val="16"/>
      <w:szCs w:val="16"/>
    </w:rPr>
  </w:style>
  <w:style w:type="character" w:customStyle="1" w:styleId="354">
    <w:name w:val="公文正文 Char Char"/>
    <w:link w:val="355"/>
    <w:qFormat/>
    <w:uiPriority w:val="0"/>
    <w:rPr>
      <w:rFonts w:ascii="仿宋_GB2312" w:eastAsia="仿宋_GB2312"/>
      <w:kern w:val="2"/>
      <w:sz w:val="24"/>
      <w:szCs w:val="24"/>
    </w:rPr>
  </w:style>
  <w:style w:type="paragraph" w:customStyle="1" w:styleId="355">
    <w:name w:val="公文正文"/>
    <w:basedOn w:val="1"/>
    <w:link w:val="354"/>
    <w:qFormat/>
    <w:uiPriority w:val="0"/>
    <w:pPr>
      <w:adjustRightInd/>
      <w:spacing w:before="156" w:line="360" w:lineRule="auto"/>
      <w:ind w:firstLine="360" w:firstLineChars="200"/>
    </w:pPr>
    <w:rPr>
      <w:rFonts w:ascii="仿宋_GB2312" w:eastAsia="仿宋_GB2312"/>
      <w:sz w:val="24"/>
    </w:rPr>
  </w:style>
  <w:style w:type="character" w:customStyle="1" w:styleId="356">
    <w:name w:val="Table Text Char1"/>
    <w:qFormat/>
    <w:uiPriority w:val="0"/>
    <w:rPr>
      <w:rFonts w:eastAsia="宋体"/>
      <w:sz w:val="24"/>
      <w:szCs w:val="24"/>
      <w:lang w:val="en-US" w:eastAsia="zh-CN" w:bidi="ar-SA"/>
    </w:rPr>
  </w:style>
  <w:style w:type="character" w:customStyle="1" w:styleId="357">
    <w:name w:val="标题 1 Char Char"/>
    <w:qFormat/>
    <w:uiPriority w:val="0"/>
    <w:rPr>
      <w:rFonts w:hint="eastAsia" w:ascii="宋体" w:hAnsi="宋体" w:eastAsia="宋体"/>
      <w:b/>
      <w:spacing w:val="-2"/>
      <w:sz w:val="24"/>
      <w:lang w:val="en-US" w:eastAsia="zh-CN" w:bidi="ar-SA"/>
    </w:rPr>
  </w:style>
  <w:style w:type="character" w:customStyle="1" w:styleId="358">
    <w:name w:val="正文（缩进2汉字） Char"/>
    <w:link w:val="359"/>
    <w:qFormat/>
    <w:uiPriority w:val="0"/>
    <w:rPr>
      <w:rFonts w:ascii="宋体"/>
    </w:rPr>
  </w:style>
  <w:style w:type="paragraph" w:customStyle="1" w:styleId="359">
    <w:name w:val="正文（缩进2汉字）"/>
    <w:basedOn w:val="1"/>
    <w:link w:val="358"/>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60">
    <w:name w:val="标题 8 Char"/>
    <w:link w:val="13"/>
    <w:qFormat/>
    <w:uiPriority w:val="0"/>
    <w:rPr>
      <w:rFonts w:ascii="Arial" w:hAnsi="Arial" w:eastAsia="黑体"/>
      <w:kern w:val="2"/>
      <w:sz w:val="24"/>
      <w:szCs w:val="24"/>
    </w:rPr>
  </w:style>
  <w:style w:type="character" w:customStyle="1" w:styleId="361">
    <w:name w:val="标书表格字体格式 Char"/>
    <w:qFormat/>
    <w:uiPriority w:val="0"/>
    <w:rPr>
      <w:kern w:val="2"/>
      <w:sz w:val="21"/>
      <w:szCs w:val="24"/>
      <w:lang w:bidi="ar-SA"/>
    </w:rPr>
  </w:style>
  <w:style w:type="character" w:customStyle="1" w:styleId="362">
    <w:name w:val="tw4winError"/>
    <w:qFormat/>
    <w:uiPriority w:val="0"/>
    <w:rPr>
      <w:rFonts w:ascii="Courier New" w:hAnsi="Courier New" w:cs="Courier New"/>
      <w:color w:val="00FF00"/>
      <w:sz w:val="40"/>
      <w:szCs w:val="40"/>
    </w:rPr>
  </w:style>
  <w:style w:type="character" w:customStyle="1" w:styleId="363">
    <w:name w:val="Body Text(ch) Char Char"/>
    <w:qFormat/>
    <w:uiPriority w:val="0"/>
    <w:rPr>
      <w:rFonts w:ascii="宋体"/>
      <w:kern w:val="2"/>
      <w:sz w:val="24"/>
      <w:szCs w:val="21"/>
      <w:lang w:val="zh-CN"/>
    </w:rPr>
  </w:style>
  <w:style w:type="character" w:customStyle="1" w:styleId="364">
    <w:name w:val="正文首行缩进两字 Char"/>
    <w:qFormat/>
    <w:uiPriority w:val="0"/>
    <w:rPr>
      <w:sz w:val="24"/>
      <w:szCs w:val="24"/>
      <w:lang w:val="en-US" w:eastAsia="zh-CN" w:bidi="ar-SA"/>
    </w:rPr>
  </w:style>
  <w:style w:type="character" w:customStyle="1" w:styleId="365">
    <w:name w:val="正文文本 Char"/>
    <w:qFormat/>
    <w:uiPriority w:val="0"/>
    <w:rPr>
      <w:rFonts w:eastAsia="宋体"/>
      <w:kern w:val="2"/>
      <w:sz w:val="24"/>
      <w:szCs w:val="24"/>
      <w:lang w:val="en-US" w:eastAsia="zh-CN" w:bidi="ar-SA"/>
    </w:rPr>
  </w:style>
  <w:style w:type="character" w:customStyle="1" w:styleId="366">
    <w:name w:val="文档结构图 字符1"/>
    <w:qFormat/>
    <w:uiPriority w:val="0"/>
    <w:rPr>
      <w:rFonts w:ascii="宋体" w:hAnsi="Calibri" w:eastAsia="黑体" w:cs="Arial"/>
      <w:snapToGrid w:val="0"/>
      <w:kern w:val="2"/>
      <w:sz w:val="18"/>
      <w:szCs w:val="18"/>
    </w:rPr>
  </w:style>
  <w:style w:type="character" w:customStyle="1" w:styleId="367">
    <w:name w:val="content"/>
    <w:qFormat/>
    <w:uiPriority w:val="0"/>
  </w:style>
  <w:style w:type="character" w:customStyle="1" w:styleId="368">
    <w:name w:val="tw4winPopup"/>
    <w:qFormat/>
    <w:uiPriority w:val="0"/>
    <w:rPr>
      <w:rFonts w:ascii="Courier New" w:hAnsi="Courier New" w:cs="Courier New"/>
      <w:color w:val="008000"/>
      <w:lang w:val="en-US" w:eastAsia="zh-CN"/>
    </w:rPr>
  </w:style>
  <w:style w:type="character" w:customStyle="1" w:styleId="369">
    <w:name w:val="param-name"/>
    <w:qFormat/>
    <w:uiPriority w:val="99"/>
    <w:rPr>
      <w:rFonts w:ascii="Arial" w:hAnsi="Arial" w:eastAsia="黑体" w:cs="Arial"/>
      <w:snapToGrid w:val="0"/>
      <w:kern w:val="0"/>
      <w:szCs w:val="21"/>
    </w:rPr>
  </w:style>
  <w:style w:type="character" w:customStyle="1" w:styleId="370">
    <w:name w:val="标准正文格式 Char"/>
    <w:qFormat/>
    <w:uiPriority w:val="0"/>
    <w:rPr>
      <w:rFonts w:ascii="宋体" w:eastAsia="仿宋_GB2312" w:cs="宋体"/>
      <w:color w:val="000000"/>
      <w:sz w:val="24"/>
      <w:lang w:val="en-US" w:eastAsia="zh-CN" w:bidi="ar-SA"/>
    </w:rPr>
  </w:style>
  <w:style w:type="character" w:customStyle="1" w:styleId="371">
    <w:name w:val="Char Char212"/>
    <w:qFormat/>
    <w:uiPriority w:val="0"/>
    <w:rPr>
      <w:rFonts w:eastAsia="宋体"/>
      <w:b/>
      <w:bCs/>
      <w:kern w:val="2"/>
      <w:sz w:val="21"/>
      <w:szCs w:val="24"/>
      <w:lang w:val="en-US" w:eastAsia="zh-CN" w:bidi="ar-SA"/>
    </w:rPr>
  </w:style>
  <w:style w:type="character" w:customStyle="1" w:styleId="372">
    <w:name w:val="文档结构图 Char"/>
    <w:qFormat/>
    <w:uiPriority w:val="0"/>
    <w:rPr>
      <w:rFonts w:eastAsia="宋体"/>
      <w:kern w:val="2"/>
      <w:sz w:val="21"/>
      <w:szCs w:val="24"/>
      <w:lang w:val="en-US" w:eastAsia="zh-CN" w:bidi="ar-SA"/>
    </w:rPr>
  </w:style>
  <w:style w:type="character" w:customStyle="1" w:styleId="373">
    <w:name w:val="zbggmain style9"/>
    <w:qFormat/>
    <w:uiPriority w:val="0"/>
  </w:style>
  <w:style w:type="character" w:customStyle="1" w:styleId="374">
    <w:name w:val="Char Char16"/>
    <w:qFormat/>
    <w:uiPriority w:val="6"/>
    <w:rPr>
      <w:kern w:val="1"/>
      <w:sz w:val="18"/>
      <w:szCs w:val="18"/>
    </w:rPr>
  </w:style>
  <w:style w:type="character" w:customStyle="1" w:styleId="375">
    <w:name w:val="font51"/>
    <w:qFormat/>
    <w:uiPriority w:val="0"/>
    <w:rPr>
      <w:rFonts w:hint="eastAsia" w:ascii="仿宋" w:hAnsi="仿宋" w:eastAsia="仿宋" w:cs="仿宋"/>
      <w:color w:val="000000"/>
      <w:sz w:val="20"/>
      <w:szCs w:val="20"/>
      <w:u w:val="none"/>
    </w:rPr>
  </w:style>
  <w:style w:type="character" w:customStyle="1" w:styleId="376">
    <w:name w:val="Char Char82"/>
    <w:qFormat/>
    <w:uiPriority w:val="0"/>
    <w:rPr>
      <w:rFonts w:eastAsia="宋体"/>
      <w:b/>
      <w:sz w:val="24"/>
      <w:lang w:val="en-GB" w:eastAsia="zh-CN"/>
    </w:rPr>
  </w:style>
  <w:style w:type="character" w:customStyle="1" w:styleId="377">
    <w:name w:val="正文文本缩进 3 Char"/>
    <w:link w:val="55"/>
    <w:qFormat/>
    <w:uiPriority w:val="0"/>
    <w:rPr>
      <w:kern w:val="2"/>
      <w:sz w:val="24"/>
    </w:rPr>
  </w:style>
  <w:style w:type="character" w:customStyle="1" w:styleId="378">
    <w:name w:val="日期 Char1"/>
    <w:qFormat/>
    <w:uiPriority w:val="99"/>
    <w:rPr>
      <w:rFonts w:ascii="Times New Roman" w:hAnsi="Times New Roman" w:eastAsia="宋体" w:cs="Times New Roman"/>
      <w:szCs w:val="24"/>
    </w:rPr>
  </w:style>
  <w:style w:type="character" w:customStyle="1" w:styleId="379">
    <w:name w:val="页眉 字符"/>
    <w:qFormat/>
    <w:uiPriority w:val="99"/>
    <w:rPr>
      <w:kern w:val="2"/>
      <w:sz w:val="18"/>
      <w:szCs w:val="18"/>
    </w:rPr>
  </w:style>
  <w:style w:type="character" w:customStyle="1" w:styleId="380">
    <w:name w:val="Char Char33"/>
    <w:qFormat/>
    <w:uiPriority w:val="6"/>
    <w:rPr>
      <w:rFonts w:ascii="Arial" w:hAnsi="Arial" w:eastAsia="黑体"/>
      <w:b/>
      <w:kern w:val="1"/>
      <w:sz w:val="24"/>
      <w:szCs w:val="24"/>
    </w:rPr>
  </w:style>
  <w:style w:type="character" w:customStyle="1" w:styleId="381">
    <w:name w:val="b11_01b Char"/>
    <w:link w:val="382"/>
    <w:qFormat/>
    <w:uiPriority w:val="0"/>
    <w:rPr>
      <w:rFonts w:ascii="Verdana" w:hAnsi="Verdana"/>
      <w:b/>
      <w:bCs/>
      <w:color w:val="4A82CA"/>
      <w:sz w:val="17"/>
      <w:szCs w:val="17"/>
    </w:rPr>
  </w:style>
  <w:style w:type="paragraph" w:customStyle="1" w:styleId="382">
    <w:name w:val="b11_01b"/>
    <w:basedOn w:val="1"/>
    <w:next w:val="1"/>
    <w:link w:val="381"/>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3">
    <w:name w:val="Char Char121"/>
    <w:qFormat/>
    <w:uiPriority w:val="6"/>
    <w:rPr>
      <w:rFonts w:ascii="仿宋_GB2312" w:eastAsia="仿宋_GB2312"/>
      <w:b/>
      <w:bCs/>
      <w:kern w:val="2"/>
      <w:sz w:val="24"/>
      <w:szCs w:val="24"/>
      <w:lang w:val="zh-CN" w:eastAsia="zh-CN" w:bidi="ar-SA"/>
    </w:rPr>
  </w:style>
  <w:style w:type="character" w:customStyle="1" w:styleId="384">
    <w:name w:val="Footer-Even Char"/>
    <w:qFormat/>
    <w:uiPriority w:val="0"/>
    <w:rPr>
      <w:rFonts w:eastAsia="宋体"/>
      <w:kern w:val="2"/>
      <w:sz w:val="18"/>
      <w:lang w:val="en-US" w:eastAsia="zh-CN" w:bidi="ar-SA"/>
    </w:rPr>
  </w:style>
  <w:style w:type="character" w:customStyle="1" w:styleId="385">
    <w:name w:val="页脚 Char2"/>
    <w:link w:val="41"/>
    <w:qFormat/>
    <w:uiPriority w:val="99"/>
    <w:rPr>
      <w:kern w:val="2"/>
      <w:sz w:val="18"/>
      <w:szCs w:val="18"/>
    </w:rPr>
  </w:style>
  <w:style w:type="character" w:customStyle="1" w:styleId="386">
    <w:name w:val="Char Char36"/>
    <w:qFormat/>
    <w:uiPriority w:val="6"/>
    <w:rPr>
      <w:rFonts w:ascii="仿宋_GB2312" w:hAnsi="仿宋_GB2312" w:eastAsia="仿宋_GB2312" w:cs="Arial"/>
      <w:b/>
      <w:kern w:val="1"/>
      <w:sz w:val="32"/>
      <w:szCs w:val="32"/>
      <w:lang w:val="zh-CN" w:eastAsia="zh-CN" w:bidi="ar-SA"/>
    </w:rPr>
  </w:style>
  <w:style w:type="character" w:customStyle="1" w:styleId="387">
    <w:name w:val="Char Char61"/>
    <w:qFormat/>
    <w:uiPriority w:val="6"/>
    <w:rPr>
      <w:rFonts w:eastAsia="宋体"/>
      <w:kern w:val="2"/>
      <w:sz w:val="21"/>
      <w:szCs w:val="24"/>
      <w:lang w:val="en-US" w:eastAsia="zh-CN" w:bidi="ar-SA"/>
    </w:rPr>
  </w:style>
  <w:style w:type="character" w:customStyle="1" w:styleId="388">
    <w:name w:val="正文文字缩进 2 Char Char"/>
    <w:qFormat/>
    <w:uiPriority w:val="0"/>
    <w:rPr>
      <w:rFonts w:ascii="宋体"/>
      <w:sz w:val="28"/>
    </w:rPr>
  </w:style>
  <w:style w:type="character" w:customStyle="1" w:styleId="389">
    <w:name w:val="f141"/>
    <w:qFormat/>
    <w:uiPriority w:val="0"/>
    <w:rPr>
      <w:rFonts w:ascii="Tahoma" w:hAnsi="Tahoma" w:eastAsia="宋体"/>
      <w:b/>
      <w:kern w:val="2"/>
      <w:sz w:val="21"/>
      <w:szCs w:val="21"/>
      <w:lang w:val="en-US" w:eastAsia="zh-CN" w:bidi="ar-SA"/>
    </w:rPr>
  </w:style>
  <w:style w:type="character" w:customStyle="1" w:styleId="390">
    <w:name w:val="段落 Char Char"/>
    <w:link w:val="391"/>
    <w:qFormat/>
    <w:uiPriority w:val="0"/>
    <w:rPr>
      <w:rFonts w:ascii="宋体" w:hAnsi="宋体"/>
      <w:sz w:val="24"/>
    </w:rPr>
  </w:style>
  <w:style w:type="paragraph" w:customStyle="1" w:styleId="391">
    <w:name w:val="段落"/>
    <w:basedOn w:val="1"/>
    <w:link w:val="390"/>
    <w:qFormat/>
    <w:uiPriority w:val="0"/>
    <w:pPr>
      <w:adjustRightInd/>
      <w:spacing w:line="360" w:lineRule="auto"/>
      <w:ind w:firstLine="480" w:firstLineChars="200"/>
    </w:pPr>
    <w:rPr>
      <w:rFonts w:ascii="宋体" w:hAnsi="宋体"/>
      <w:kern w:val="0"/>
      <w:sz w:val="24"/>
      <w:szCs w:val="20"/>
    </w:rPr>
  </w:style>
  <w:style w:type="character" w:customStyle="1" w:styleId="392">
    <w:name w:val="标题 3 Char2"/>
    <w:qFormat/>
    <w:uiPriority w:val="0"/>
    <w:rPr>
      <w:rFonts w:eastAsia="宋体"/>
      <w:b/>
      <w:bCs/>
      <w:kern w:val="2"/>
      <w:sz w:val="32"/>
      <w:szCs w:val="32"/>
      <w:lang w:val="en-US" w:eastAsia="zh-CN" w:bidi="ar-SA"/>
    </w:rPr>
  </w:style>
  <w:style w:type="character" w:customStyle="1" w:styleId="393">
    <w:name w:val="apple-converted-space"/>
    <w:qFormat/>
    <w:uiPriority w:val="0"/>
  </w:style>
  <w:style w:type="character" w:customStyle="1" w:styleId="394">
    <w:name w:val="页眉 Char2"/>
    <w:link w:val="43"/>
    <w:qFormat/>
    <w:uiPriority w:val="99"/>
    <w:rPr>
      <w:kern w:val="2"/>
      <w:sz w:val="18"/>
      <w:szCs w:val="18"/>
    </w:rPr>
  </w:style>
  <w:style w:type="character" w:customStyle="1" w:styleId="395">
    <w:name w:val="Char Char9"/>
    <w:qFormat/>
    <w:uiPriority w:val="0"/>
    <w:rPr>
      <w:rFonts w:eastAsia="宋体"/>
      <w:kern w:val="2"/>
      <w:sz w:val="18"/>
      <w:szCs w:val="18"/>
      <w:lang w:val="en-US" w:eastAsia="zh-CN" w:bidi="ar-SA"/>
    </w:rPr>
  </w:style>
  <w:style w:type="character" w:customStyle="1" w:styleId="396">
    <w:name w:val="Char Char41"/>
    <w:qFormat/>
    <w:uiPriority w:val="0"/>
    <w:rPr>
      <w:rFonts w:eastAsia="宋体"/>
      <w:b/>
      <w:sz w:val="24"/>
      <w:lang w:val="en-GB" w:eastAsia="zh-CN" w:bidi="ar-SA"/>
    </w:rPr>
  </w:style>
  <w:style w:type="character" w:customStyle="1" w:styleId="397">
    <w:name w:val="large1"/>
    <w:qFormat/>
    <w:uiPriority w:val="0"/>
    <w:rPr>
      <w:rFonts w:hint="eastAsia" w:ascii="宋体" w:hAnsi="宋体" w:eastAsia="宋体"/>
      <w:sz w:val="21"/>
      <w:szCs w:val="21"/>
    </w:rPr>
  </w:style>
  <w:style w:type="character" w:customStyle="1" w:styleId="398">
    <w:name w:val="正文段 Char"/>
    <w:link w:val="399"/>
    <w:qFormat/>
    <w:uiPriority w:val="0"/>
    <w:rPr>
      <w:sz w:val="24"/>
    </w:rPr>
  </w:style>
  <w:style w:type="paragraph" w:customStyle="1" w:styleId="399">
    <w:name w:val="正文段"/>
    <w:basedOn w:val="1"/>
    <w:link w:val="398"/>
    <w:qFormat/>
    <w:uiPriority w:val="0"/>
    <w:pPr>
      <w:widowControl/>
      <w:snapToGrid w:val="0"/>
      <w:spacing w:afterLines="50"/>
      <w:ind w:firstLine="200" w:firstLineChars="200"/>
    </w:pPr>
    <w:rPr>
      <w:kern w:val="0"/>
      <w:sz w:val="24"/>
      <w:szCs w:val="20"/>
    </w:rPr>
  </w:style>
  <w:style w:type="character" w:customStyle="1" w:styleId="400">
    <w:name w:val="Char Char13"/>
    <w:qFormat/>
    <w:uiPriority w:val="6"/>
    <w:rPr>
      <w:rFonts w:ascii="宋体" w:hAnsi="宋体"/>
      <w:kern w:val="1"/>
      <w:sz w:val="21"/>
      <w:szCs w:val="24"/>
    </w:rPr>
  </w:style>
  <w:style w:type="character" w:customStyle="1" w:styleId="401">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402">
    <w:name w:val="冯广丽 Char"/>
    <w:link w:val="403"/>
    <w:qFormat/>
    <w:uiPriority w:val="0"/>
    <w:rPr>
      <w:rFonts w:ascii="宋体" w:hAnsi="宋体"/>
      <w:kern w:val="2"/>
      <w:sz w:val="24"/>
      <w:szCs w:val="22"/>
    </w:rPr>
  </w:style>
  <w:style w:type="paragraph" w:customStyle="1" w:styleId="403">
    <w:name w:val="冯广丽"/>
    <w:basedOn w:val="1"/>
    <w:link w:val="402"/>
    <w:qFormat/>
    <w:uiPriority w:val="0"/>
    <w:pPr>
      <w:adjustRightInd/>
      <w:spacing w:line="360" w:lineRule="auto"/>
      <w:ind w:firstLine="480" w:firstLineChars="200"/>
    </w:pPr>
    <w:rPr>
      <w:rFonts w:ascii="宋体" w:hAnsi="宋体"/>
      <w:sz w:val="24"/>
      <w:szCs w:val="22"/>
    </w:rPr>
  </w:style>
  <w:style w:type="character" w:customStyle="1" w:styleId="404">
    <w:name w:val="批注文字 字符"/>
    <w:qFormat/>
    <w:uiPriority w:val="0"/>
    <w:rPr>
      <w:rFonts w:ascii="Arial" w:hAnsi="Arial" w:eastAsia="黑体" w:cs="Arial"/>
      <w:snapToGrid w:val="0"/>
      <w:kern w:val="0"/>
      <w:szCs w:val="21"/>
    </w:rPr>
  </w:style>
  <w:style w:type="character" w:customStyle="1" w:styleId="405">
    <w:name w:val="Char Char161"/>
    <w:qFormat/>
    <w:uiPriority w:val="0"/>
    <w:rPr>
      <w:rFonts w:eastAsia="宋体"/>
      <w:b/>
      <w:kern w:val="2"/>
      <w:sz w:val="32"/>
      <w:lang w:val="en-US" w:eastAsia="zh-CN"/>
    </w:rPr>
  </w:style>
  <w:style w:type="character" w:customStyle="1" w:styleId="406">
    <w:name w:val="javascript"/>
    <w:qFormat/>
    <w:uiPriority w:val="0"/>
  </w:style>
  <w:style w:type="character" w:customStyle="1" w:styleId="407">
    <w:name w:val="图名 Char"/>
    <w:qFormat/>
    <w:uiPriority w:val="0"/>
    <w:rPr>
      <w:rFonts w:ascii="Arial" w:hAnsi="Arial" w:eastAsia="黑体"/>
      <w:kern w:val="2"/>
      <w:sz w:val="24"/>
      <w:szCs w:val="24"/>
      <w:lang w:val="en-US" w:eastAsia="zh-CN" w:bidi="ar-SA"/>
    </w:rPr>
  </w:style>
  <w:style w:type="character" w:customStyle="1" w:styleId="408">
    <w:name w:val="Used by Word for text of Help footnotes Char Char"/>
    <w:qFormat/>
    <w:uiPriority w:val="0"/>
    <w:rPr>
      <w:rFonts w:ascii="Times New Roman" w:hAnsi="Times New Roman" w:eastAsia="宋体" w:cs="Times New Roman"/>
      <w:sz w:val="20"/>
      <w:szCs w:val="20"/>
    </w:rPr>
  </w:style>
  <w:style w:type="character" w:customStyle="1" w:styleId="409">
    <w:name w:val="编号，小四 Char"/>
    <w:link w:val="410"/>
    <w:qFormat/>
    <w:uiPriority w:val="0"/>
    <w:rPr>
      <w:rFonts w:ascii="Arial" w:hAnsi="Arial"/>
      <w:sz w:val="24"/>
    </w:rPr>
  </w:style>
  <w:style w:type="paragraph" w:customStyle="1" w:styleId="410">
    <w:name w:val="编号，小四"/>
    <w:basedOn w:val="1"/>
    <w:link w:val="409"/>
    <w:qFormat/>
    <w:uiPriority w:val="0"/>
    <w:pPr>
      <w:tabs>
        <w:tab w:val="left" w:pos="432"/>
      </w:tabs>
      <w:adjustRightInd/>
      <w:spacing w:line="360" w:lineRule="auto"/>
      <w:ind w:left="432" w:hanging="432"/>
    </w:pPr>
    <w:rPr>
      <w:rFonts w:ascii="Arial" w:hAnsi="Arial"/>
      <w:kern w:val="0"/>
      <w:sz w:val="24"/>
      <w:szCs w:val="20"/>
    </w:rPr>
  </w:style>
  <w:style w:type="character" w:customStyle="1" w:styleId="411">
    <w:name w:val="Font Style82"/>
    <w:qFormat/>
    <w:uiPriority w:val="99"/>
    <w:rPr>
      <w:rFonts w:ascii="宋体" w:eastAsia="宋体" w:cs="宋体"/>
      <w:color w:val="000000"/>
      <w:sz w:val="14"/>
      <w:szCs w:val="14"/>
    </w:rPr>
  </w:style>
  <w:style w:type="character" w:customStyle="1" w:styleId="412">
    <w:name w:val="标题 2 Char Char"/>
    <w:qFormat/>
    <w:uiPriority w:val="0"/>
    <w:rPr>
      <w:rFonts w:ascii="楷体_GB2312" w:hAnsi="Arial" w:eastAsia="楷体_GB2312"/>
      <w:b/>
      <w:bCs/>
      <w:kern w:val="2"/>
      <w:sz w:val="24"/>
      <w:szCs w:val="32"/>
      <w:lang w:val="en-US" w:eastAsia="zh-CN" w:bidi="ar-SA"/>
    </w:rPr>
  </w:style>
  <w:style w:type="character" w:customStyle="1" w:styleId="413">
    <w:name w:val="未用 Char"/>
    <w:qFormat/>
    <w:uiPriority w:val="0"/>
    <w:rPr>
      <w:rFonts w:ascii="Arial" w:hAnsi="Arial" w:eastAsia="黑体"/>
      <w:kern w:val="2"/>
      <w:sz w:val="21"/>
      <w:szCs w:val="21"/>
      <w:lang w:val="en-US" w:eastAsia="zh-CN" w:bidi="ar-SA"/>
    </w:rPr>
  </w:style>
  <w:style w:type="character" w:customStyle="1" w:styleId="414">
    <w:name w:val="myp1111"/>
    <w:qFormat/>
    <w:uiPriority w:val="0"/>
    <w:rPr>
      <w:rFonts w:hint="default" w:ascii="ˎ̥" w:hAnsi="ˎ̥"/>
      <w:color w:val="000000"/>
      <w:sz w:val="20"/>
      <w:szCs w:val="20"/>
      <w:u w:val="none"/>
    </w:rPr>
  </w:style>
  <w:style w:type="character" w:customStyle="1" w:styleId="415">
    <w:name w:val="样式 标题 4h4H4Fab-4T5Ref Heading 1rh1Heading sqlsect 1.2.3.... Char"/>
    <w:link w:val="307"/>
    <w:qFormat/>
    <w:uiPriority w:val="0"/>
    <w:rPr>
      <w:rFonts w:ascii="微软雅黑" w:hAnsi="微软雅黑" w:eastAsia="微软雅黑"/>
      <w:b/>
      <w:bCs/>
      <w:kern w:val="2"/>
      <w:sz w:val="24"/>
      <w:szCs w:val="28"/>
    </w:rPr>
  </w:style>
  <w:style w:type="character" w:customStyle="1" w:styleId="416">
    <w:name w:val="h Char Char"/>
    <w:qFormat/>
    <w:uiPriority w:val="0"/>
    <w:rPr>
      <w:rFonts w:eastAsia="宋体"/>
      <w:kern w:val="2"/>
      <w:sz w:val="18"/>
      <w:lang w:val="en-US" w:eastAsia="zh-CN" w:bidi="ar-SA"/>
    </w:rPr>
  </w:style>
  <w:style w:type="character" w:customStyle="1" w:styleId="417">
    <w:name w:val="仿宋正文 Char"/>
    <w:link w:val="418"/>
    <w:qFormat/>
    <w:uiPriority w:val="0"/>
    <w:rPr>
      <w:rFonts w:ascii="仿宋_GB2312" w:eastAsia="仿宋_GB2312"/>
      <w:kern w:val="2"/>
      <w:sz w:val="24"/>
      <w:lang w:val="en-US" w:eastAsia="zh-CN" w:bidi="ar-SA"/>
    </w:rPr>
  </w:style>
  <w:style w:type="paragraph" w:customStyle="1" w:styleId="418">
    <w:name w:val="仿宋正文"/>
    <w:basedOn w:val="1"/>
    <w:link w:val="417"/>
    <w:qFormat/>
    <w:uiPriority w:val="0"/>
    <w:pPr>
      <w:adjustRightInd/>
      <w:spacing w:line="360" w:lineRule="auto"/>
      <w:ind w:firstLine="480" w:firstLineChars="200"/>
    </w:pPr>
    <w:rPr>
      <w:rFonts w:ascii="仿宋_GB2312" w:eastAsia="仿宋_GB2312"/>
      <w:sz w:val="24"/>
      <w:szCs w:val="20"/>
    </w:rPr>
  </w:style>
  <w:style w:type="character" w:customStyle="1" w:styleId="419">
    <w:name w:val="正文首行缩进 Char Char Char Char Char Char"/>
    <w:qFormat/>
    <w:uiPriority w:val="0"/>
    <w:rPr>
      <w:rFonts w:ascii="宋体" w:eastAsia="宋体"/>
      <w:kern w:val="2"/>
      <w:sz w:val="24"/>
      <w:lang w:val="zh-CN" w:bidi="ar-SA"/>
    </w:rPr>
  </w:style>
  <w:style w:type="character" w:customStyle="1" w:styleId="420">
    <w:name w:val="样式 宋体"/>
    <w:qFormat/>
    <w:uiPriority w:val="0"/>
    <w:rPr>
      <w:rFonts w:ascii="宋体" w:hAnsi="宋体"/>
      <w:sz w:val="24"/>
    </w:rPr>
  </w:style>
  <w:style w:type="character" w:customStyle="1" w:styleId="421">
    <w:name w:val="tw4winJump"/>
    <w:qFormat/>
    <w:uiPriority w:val="0"/>
    <w:rPr>
      <w:rFonts w:ascii="Courier New" w:hAnsi="Courier New" w:cs="Courier New"/>
      <w:color w:val="008080"/>
      <w:lang w:val="en-US" w:eastAsia="zh-CN"/>
    </w:rPr>
  </w:style>
  <w:style w:type="character" w:customStyle="1" w:styleId="422">
    <w:name w:val="标题 1 字符"/>
    <w:qFormat/>
    <w:uiPriority w:val="9"/>
    <w:rPr>
      <w:rFonts w:ascii="Arial" w:hAnsi="Arial" w:eastAsia="黑体" w:cs="Arial"/>
      <w:b/>
      <w:bCs/>
      <w:snapToGrid w:val="0"/>
      <w:kern w:val="44"/>
      <w:sz w:val="44"/>
      <w:szCs w:val="44"/>
    </w:rPr>
  </w:style>
  <w:style w:type="character" w:customStyle="1" w:styleId="423">
    <w:name w:val="style36"/>
    <w:basedOn w:val="72"/>
    <w:qFormat/>
    <w:uiPriority w:val="0"/>
    <w:rPr>
      <w:rFonts w:ascii="Arial" w:hAnsi="Arial" w:eastAsia="黑体" w:cs="Arial"/>
      <w:snapToGrid w:val="0"/>
      <w:kern w:val="0"/>
      <w:szCs w:val="21"/>
    </w:rPr>
  </w:style>
  <w:style w:type="character" w:customStyle="1" w:styleId="424">
    <w:name w:val="pt9"/>
    <w:qFormat/>
    <w:uiPriority w:val="0"/>
    <w:rPr>
      <w:rFonts w:ascii="仿宋_GB2312" w:eastAsia="微软雅黑"/>
      <w:b/>
      <w:kern w:val="2"/>
      <w:sz w:val="32"/>
      <w:szCs w:val="32"/>
      <w:lang w:val="en-US" w:eastAsia="zh-CN" w:bidi="ar-SA"/>
    </w:rPr>
  </w:style>
  <w:style w:type="character" w:customStyle="1" w:styleId="425">
    <w:name w:val="DO_NOT_TRANSLATE"/>
    <w:qFormat/>
    <w:uiPriority w:val="0"/>
    <w:rPr>
      <w:rFonts w:ascii="Courier New" w:hAnsi="Courier New" w:cs="Courier New"/>
      <w:color w:val="800000"/>
      <w:lang w:val="en-US" w:eastAsia="zh-CN"/>
    </w:rPr>
  </w:style>
  <w:style w:type="character" w:customStyle="1" w:styleId="426">
    <w:name w:val="标书1 Char1"/>
    <w:qFormat/>
    <w:uiPriority w:val="0"/>
    <w:rPr>
      <w:rFonts w:eastAsia="宋体"/>
      <w:b/>
      <w:bCs/>
      <w:kern w:val="44"/>
      <w:sz w:val="44"/>
      <w:szCs w:val="44"/>
      <w:lang w:val="en-US" w:eastAsia="zh-CN" w:bidi="ar-SA"/>
    </w:rPr>
  </w:style>
  <w:style w:type="character" w:customStyle="1" w:styleId="427">
    <w:name w:val="页脚 字符"/>
    <w:qFormat/>
    <w:uiPriority w:val="99"/>
    <w:rPr>
      <w:kern w:val="2"/>
      <w:sz w:val="18"/>
      <w:szCs w:val="18"/>
    </w:rPr>
  </w:style>
  <w:style w:type="character" w:customStyle="1" w:styleId="428">
    <w:name w:val="正文2 Char"/>
    <w:qFormat/>
    <w:uiPriority w:val="0"/>
    <w:rPr>
      <w:rFonts w:eastAsia="宋体"/>
      <w:kern w:val="2"/>
      <w:sz w:val="24"/>
      <w:lang w:val="en-US" w:eastAsia="zh-CN" w:bidi="ar-SA"/>
    </w:rPr>
  </w:style>
  <w:style w:type="character" w:customStyle="1" w:styleId="429">
    <w:name w:val="Char Char21"/>
    <w:qFormat/>
    <w:uiPriority w:val="6"/>
    <w:rPr>
      <w:rFonts w:ascii="宋体" w:hAnsi="宋体"/>
      <w:kern w:val="1"/>
      <w:sz w:val="24"/>
      <w:szCs w:val="21"/>
      <w:lang w:val="zh-CN"/>
    </w:rPr>
  </w:style>
  <w:style w:type="character" w:customStyle="1" w:styleId="430">
    <w:name w:val="样式 正文缩进 + 首行缩进:  2 字符 Char Char"/>
    <w:link w:val="431"/>
    <w:qFormat/>
    <w:uiPriority w:val="0"/>
    <w:rPr>
      <w:rFonts w:cs="宋体"/>
      <w:kern w:val="2"/>
      <w:sz w:val="24"/>
    </w:rPr>
  </w:style>
  <w:style w:type="paragraph" w:customStyle="1" w:styleId="431">
    <w:name w:val="样式 正文缩进 + 首行缩进:  2 字符"/>
    <w:basedOn w:val="7"/>
    <w:link w:val="430"/>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32">
    <w:name w:val="正文文本 Char1"/>
    <w:link w:val="3"/>
    <w:qFormat/>
    <w:uiPriority w:val="0"/>
    <w:rPr>
      <w:rFonts w:ascii="宋体" w:hAnsi="Arial" w:eastAsia="宋体" w:cs="Arial"/>
      <w:snapToGrid w:val="0"/>
      <w:kern w:val="2"/>
      <w:sz w:val="24"/>
      <w:szCs w:val="21"/>
      <w:lang w:val="zh-CN" w:eastAsia="zh-CN" w:bidi="ar-SA"/>
    </w:rPr>
  </w:style>
  <w:style w:type="character" w:customStyle="1" w:styleId="433">
    <w:name w:val="gray6"/>
    <w:basedOn w:val="72"/>
    <w:qFormat/>
    <w:uiPriority w:val="0"/>
    <w:rPr>
      <w:rFonts w:ascii="Arial" w:hAnsi="Arial" w:eastAsia="黑体" w:cs="Arial"/>
      <w:snapToGrid w:val="0"/>
      <w:kern w:val="0"/>
      <w:szCs w:val="21"/>
    </w:rPr>
  </w:style>
  <w:style w:type="character" w:customStyle="1" w:styleId="434">
    <w:name w:val="hui"/>
    <w:basedOn w:val="72"/>
    <w:qFormat/>
    <w:uiPriority w:val="0"/>
    <w:rPr>
      <w:rFonts w:ascii="Arial" w:hAnsi="Arial" w:eastAsia="黑体" w:cs="Arial"/>
      <w:snapToGrid w:val="0"/>
      <w:kern w:val="0"/>
      <w:szCs w:val="21"/>
    </w:rPr>
  </w:style>
  <w:style w:type="character" w:customStyle="1" w:styleId="435">
    <w:name w:val="哈哈正文 Char Char"/>
    <w:qFormat/>
    <w:uiPriority w:val="0"/>
    <w:rPr>
      <w:rFonts w:ascii="宋体" w:hAnsi="宋体" w:eastAsia="宋体" w:cs="宋体"/>
      <w:kern w:val="2"/>
      <w:sz w:val="24"/>
      <w:lang w:val="en-US" w:eastAsia="zh-CN" w:bidi="ar-SA"/>
    </w:rPr>
  </w:style>
  <w:style w:type="paragraph" w:customStyle="1" w:styleId="436">
    <w:name w:val="样式 正文文本缩进 + 左侧:  2 字符 首行缩进:  2 字符"/>
    <w:basedOn w:val="8"/>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7">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8">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9">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40">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41">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42">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3">
    <w:name w:val="标题4_自定义"/>
    <w:basedOn w:val="9"/>
    <w:qFormat/>
    <w:uiPriority w:val="0"/>
    <w:pPr>
      <w:adjustRightInd/>
      <w:spacing w:before="0" w:after="0" w:line="360" w:lineRule="auto"/>
    </w:pPr>
    <w:rPr>
      <w:rFonts w:ascii="Verdana" w:eastAsia="Verdana"/>
      <w:sz w:val="21"/>
      <w:lang w:val="en-US"/>
    </w:rPr>
  </w:style>
  <w:style w:type="paragraph" w:customStyle="1" w:styleId="444">
    <w:name w:val="正文 内标 序号标"/>
    <w:basedOn w:val="445"/>
    <w:qFormat/>
    <w:uiPriority w:val="0"/>
    <w:pPr>
      <w:tabs>
        <w:tab w:val="left" w:pos="0"/>
      </w:tabs>
      <w:adjustRightInd/>
      <w:spacing w:before="0"/>
      <w:ind w:firstLine="482"/>
    </w:pPr>
    <w:rPr>
      <w:rFonts w:ascii="微软雅黑" w:hAnsi="微软雅黑"/>
      <w:sz w:val="24"/>
      <w:szCs w:val="24"/>
    </w:rPr>
  </w:style>
  <w:style w:type="paragraph" w:customStyle="1" w:styleId="445">
    <w:name w:val="My正文"/>
    <w:basedOn w:val="1"/>
    <w:qFormat/>
    <w:uiPriority w:val="0"/>
    <w:pPr>
      <w:spacing w:before="120" w:line="360" w:lineRule="auto"/>
      <w:ind w:firstLine="567"/>
    </w:pPr>
    <w:rPr>
      <w:rFonts w:ascii="Arial" w:hAnsi="Arial"/>
      <w:sz w:val="20"/>
      <w:szCs w:val="20"/>
    </w:rPr>
  </w:style>
  <w:style w:type="paragraph" w:customStyle="1" w:styleId="446">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7">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8">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9">
    <w:name w:val="修订2"/>
    <w:qFormat/>
    <w:uiPriority w:val="0"/>
    <w:rPr>
      <w:rFonts w:ascii="Times New Roman" w:hAnsi="Times New Roman" w:eastAsia="宋体" w:cs="Times New Roman"/>
      <w:kern w:val="2"/>
      <w:sz w:val="21"/>
      <w:lang w:val="en-US" w:eastAsia="zh-CN" w:bidi="ar-SA"/>
    </w:rPr>
  </w:style>
  <w:style w:type="paragraph" w:customStyle="1" w:styleId="450">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51">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2">
    <w:name w:val="文章标题"/>
    <w:next w:val="453"/>
    <w:qFormat/>
    <w:uiPriority w:val="0"/>
    <w:pPr>
      <w:spacing w:beforeLines="800" w:afterLines="100"/>
      <w:jc w:val="center"/>
    </w:pPr>
    <w:rPr>
      <w:rFonts w:ascii="Arial" w:hAnsi="Arial" w:eastAsia="黑体" w:cs="宋体"/>
      <w:bCs/>
      <w:kern w:val="2"/>
      <w:sz w:val="52"/>
      <w:lang w:val="en-US" w:eastAsia="zh-CN" w:bidi="ar-SA"/>
    </w:rPr>
  </w:style>
  <w:style w:type="paragraph" w:customStyle="1" w:styleId="453">
    <w:name w:val="封面公司名"/>
    <w:qFormat/>
    <w:uiPriority w:val="0"/>
    <w:pPr>
      <w:jc w:val="center"/>
    </w:pPr>
    <w:rPr>
      <w:rFonts w:ascii="Arial" w:hAnsi="Arial" w:eastAsia="楷体_GB2312" w:cs="宋体"/>
      <w:bCs/>
      <w:kern w:val="2"/>
      <w:sz w:val="28"/>
      <w:lang w:val="en-US" w:eastAsia="zh-CN" w:bidi="ar-SA"/>
    </w:rPr>
  </w:style>
  <w:style w:type="paragraph" w:customStyle="1" w:styleId="454">
    <w:name w:val="Char1 Char Char Char5"/>
    <w:basedOn w:val="1"/>
    <w:qFormat/>
    <w:uiPriority w:val="0"/>
    <w:pPr>
      <w:adjustRightInd/>
      <w:ind w:firstLine="200" w:firstLineChars="200"/>
    </w:pPr>
    <w:rPr>
      <w:rFonts w:ascii="Tahoma" w:hAnsi="Tahoma"/>
      <w:sz w:val="24"/>
      <w:szCs w:val="20"/>
    </w:rPr>
  </w:style>
  <w:style w:type="paragraph" w:customStyle="1" w:styleId="455">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6">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7">
    <w:name w:val="Char Char Char Char Char Char Char Char"/>
    <w:basedOn w:val="1"/>
    <w:qFormat/>
    <w:uiPriority w:val="0"/>
    <w:pPr>
      <w:tabs>
        <w:tab w:val="left" w:pos="360"/>
      </w:tabs>
    </w:pPr>
    <w:rPr>
      <w:sz w:val="24"/>
      <w:szCs w:val="20"/>
    </w:rPr>
  </w:style>
  <w:style w:type="paragraph" w:customStyle="1" w:styleId="458">
    <w:name w:val="Char Char11 Char Char Char"/>
    <w:basedOn w:val="1"/>
    <w:qFormat/>
    <w:uiPriority w:val="0"/>
    <w:pPr>
      <w:spacing w:line="360" w:lineRule="auto"/>
    </w:pPr>
    <w:rPr>
      <w:szCs w:val="20"/>
    </w:rPr>
  </w:style>
  <w:style w:type="paragraph" w:customStyle="1" w:styleId="459">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60">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61">
    <w:name w:val="样式3"/>
    <w:basedOn w:val="462"/>
    <w:qFormat/>
    <w:uiPriority w:val="0"/>
    <w:pPr>
      <w:tabs>
        <w:tab w:val="left" w:pos="2790"/>
        <w:tab w:val="left" w:pos="4230"/>
      </w:tabs>
      <w:spacing w:beforeLines="100"/>
      <w:jc w:val="left"/>
    </w:pPr>
  </w:style>
  <w:style w:type="paragraph" w:customStyle="1" w:styleId="462">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3">
    <w:name w:val="Char Char1 Char Char1 Char Char1"/>
    <w:basedOn w:val="1"/>
    <w:qFormat/>
    <w:uiPriority w:val="0"/>
    <w:pPr>
      <w:tabs>
        <w:tab w:val="left" w:pos="840"/>
      </w:tabs>
      <w:ind w:left="840" w:hanging="420"/>
    </w:pPr>
    <w:rPr>
      <w:rFonts w:ascii="Tahoma" w:hAnsi="Tahoma"/>
      <w:sz w:val="24"/>
    </w:rPr>
  </w:style>
  <w:style w:type="paragraph" w:customStyle="1" w:styleId="464">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5">
    <w:name w:val="标书标题2"/>
    <w:basedOn w:val="5"/>
    <w:qFormat/>
    <w:uiPriority w:val="0"/>
    <w:pPr>
      <w:keepLines w:val="0"/>
      <w:widowControl/>
      <w:tabs>
        <w:tab w:val="clear" w:pos="432"/>
      </w:tabs>
      <w:adjustRightInd w:val="0"/>
      <w:snapToGrid w:val="0"/>
      <w:spacing w:beforeLines="50" w:after="60" w:line="300" w:lineRule="auto"/>
      <w:ind w:left="840" w:hanging="420"/>
    </w:pPr>
    <w:rPr>
      <w:rFonts w:ascii="Arial Narrow" w:hAnsi="Arial Narrow"/>
      <w:snapToGrid w:val="0"/>
      <w:kern w:val="0"/>
      <w:szCs w:val="20"/>
      <w:lang w:val="en-US"/>
    </w:rPr>
  </w:style>
  <w:style w:type="paragraph" w:customStyle="1" w:styleId="466">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7">
    <w:name w:val="正文21"/>
    <w:basedOn w:val="1"/>
    <w:qFormat/>
    <w:uiPriority w:val="0"/>
    <w:pPr>
      <w:adjustRightInd/>
      <w:spacing w:before="156" w:line="360" w:lineRule="auto"/>
      <w:ind w:firstLine="510" w:firstLineChars="200"/>
    </w:pPr>
    <w:rPr>
      <w:sz w:val="24"/>
      <w:szCs w:val="20"/>
    </w:rPr>
  </w:style>
  <w:style w:type="paragraph" w:customStyle="1" w:styleId="468">
    <w:name w:val="Test2"/>
    <w:basedOn w:val="5"/>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9">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70">
    <w:name w:val="Char1"/>
    <w:basedOn w:val="1"/>
    <w:qFormat/>
    <w:uiPriority w:val="0"/>
    <w:rPr>
      <w:rFonts w:ascii="仿宋_GB2312" w:eastAsia="仿宋_GB2312"/>
      <w:b/>
      <w:sz w:val="32"/>
      <w:szCs w:val="32"/>
    </w:rPr>
  </w:style>
  <w:style w:type="paragraph" w:customStyle="1" w:styleId="471">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2">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3">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4">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5">
    <w:name w:val="6级标题"/>
    <w:basedOn w:val="476"/>
    <w:qFormat/>
    <w:uiPriority w:val="0"/>
    <w:pPr>
      <w:keepNext/>
      <w:tabs>
        <w:tab w:val="left" w:pos="360"/>
      </w:tabs>
      <w:outlineLvl w:val="5"/>
    </w:pPr>
  </w:style>
  <w:style w:type="paragraph" w:customStyle="1" w:styleId="476">
    <w:name w:val="5级标题"/>
    <w:basedOn w:val="477"/>
    <w:qFormat/>
    <w:uiPriority w:val="0"/>
    <w:pPr>
      <w:keepLines w:val="0"/>
      <w:tabs>
        <w:tab w:val="left" w:pos="360"/>
      </w:tabs>
      <w:spacing w:beforeLines="10" w:afterLines="10"/>
      <w:outlineLvl w:val="4"/>
    </w:pPr>
    <w:rPr>
      <w:rFonts w:ascii="Times New Roman" w:hAnsi="Times New Roman" w:eastAsia="仿宋"/>
      <w:b/>
      <w:kern w:val="2"/>
      <w:szCs w:val="20"/>
      <w:lang w:eastAsia="zh-CN" w:bidi="ar-SA"/>
    </w:rPr>
  </w:style>
  <w:style w:type="paragraph" w:customStyle="1" w:styleId="477">
    <w:name w:val="4级标题"/>
    <w:basedOn w:val="260"/>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8">
    <w:name w:val="样式 正文文本缩进 + 段前: 2 字符"/>
    <w:basedOn w:val="1"/>
    <w:qFormat/>
    <w:uiPriority w:val="0"/>
    <w:pPr>
      <w:adjustRightInd/>
      <w:ind w:left="420" w:leftChars="200"/>
      <w:jc w:val="left"/>
    </w:pPr>
    <w:rPr>
      <w:sz w:val="28"/>
      <w:szCs w:val="20"/>
      <w:lang w:eastAsia="zh-TW"/>
    </w:rPr>
  </w:style>
  <w:style w:type="paragraph" w:customStyle="1" w:styleId="479">
    <w:name w:val="Char2 Char Char"/>
    <w:basedOn w:val="1"/>
    <w:qFormat/>
    <w:uiPriority w:val="0"/>
    <w:pPr>
      <w:adjustRightInd/>
    </w:pPr>
    <w:rPr>
      <w:rFonts w:ascii="Tahoma" w:hAnsi="Tahoma"/>
      <w:sz w:val="24"/>
      <w:szCs w:val="20"/>
    </w:rPr>
  </w:style>
  <w:style w:type="paragraph" w:customStyle="1" w:styleId="480">
    <w:name w:val="_Style 11"/>
    <w:basedOn w:val="1"/>
    <w:qFormat/>
    <w:uiPriority w:val="34"/>
    <w:pPr>
      <w:adjustRightInd/>
      <w:ind w:firstLine="420" w:firstLineChars="200"/>
    </w:pPr>
    <w:rPr>
      <w:rFonts w:eastAsia="仿宋_GB2312"/>
      <w:sz w:val="28"/>
    </w:rPr>
  </w:style>
  <w:style w:type="paragraph" w:customStyle="1" w:styleId="481">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2">
    <w:name w:val="Char Char Char"/>
    <w:basedOn w:val="1"/>
    <w:qFormat/>
    <w:uiPriority w:val="0"/>
    <w:rPr>
      <w:rFonts w:ascii="Tahoma" w:hAnsi="Tahoma"/>
      <w:sz w:val="24"/>
      <w:szCs w:val="20"/>
    </w:rPr>
  </w:style>
  <w:style w:type="paragraph" w:customStyle="1" w:styleId="483">
    <w:name w:val="数字标题6"/>
    <w:basedOn w:val="11"/>
    <w:next w:val="1"/>
    <w:qFormat/>
    <w:uiPriority w:val="0"/>
    <w:pPr>
      <w:tabs>
        <w:tab w:val="left" w:pos="1080"/>
      </w:tabs>
      <w:ind w:left="1080" w:hanging="1080"/>
    </w:pPr>
    <w:rPr>
      <w:rFonts w:ascii="Times New Roman" w:hAnsi="Times New Roman" w:eastAsia="宋体"/>
      <w:i/>
    </w:rPr>
  </w:style>
  <w:style w:type="paragraph" w:customStyle="1" w:styleId="484">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485">
    <w:name w:val="无间隔2"/>
    <w:basedOn w:val="1"/>
    <w:link w:val="935"/>
    <w:qFormat/>
    <w:uiPriority w:val="99"/>
    <w:rPr>
      <w:szCs w:val="22"/>
    </w:rPr>
  </w:style>
  <w:style w:type="paragraph" w:customStyle="1" w:styleId="486">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7">
    <w:name w:val="Char Char Char Char Char Char Char Char Char Char Char Char1 Char1"/>
    <w:basedOn w:val="1"/>
    <w:qFormat/>
    <w:uiPriority w:val="6"/>
    <w:rPr>
      <w:rFonts w:ascii="Tahoma" w:hAnsi="Tahoma" w:cs="仿宋_GB2312"/>
      <w:sz w:val="24"/>
      <w:szCs w:val="20"/>
    </w:rPr>
  </w:style>
  <w:style w:type="paragraph" w:customStyle="1" w:styleId="488">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9">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90">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91">
    <w:name w:val="MM Topic 2"/>
    <w:basedOn w:val="5"/>
    <w:qFormat/>
    <w:uiPriority w:val="0"/>
    <w:pPr>
      <w:tabs>
        <w:tab w:val="left" w:pos="1260"/>
      </w:tabs>
      <w:ind w:left="1260" w:hanging="420"/>
    </w:pPr>
    <w:rPr>
      <w:rFonts w:ascii="Arial" w:hAnsi="Arial" w:eastAsia="黑体"/>
      <w:lang w:val="en-US"/>
    </w:rPr>
  </w:style>
  <w:style w:type="paragraph" w:customStyle="1" w:styleId="492">
    <w:name w:val="五级无标题条"/>
    <w:basedOn w:val="1"/>
    <w:qFormat/>
    <w:uiPriority w:val="0"/>
    <w:pPr>
      <w:adjustRightInd/>
    </w:pPr>
  </w:style>
  <w:style w:type="paragraph" w:customStyle="1" w:styleId="493">
    <w:name w:val="Char5"/>
    <w:basedOn w:val="1"/>
    <w:qFormat/>
    <w:uiPriority w:val="0"/>
    <w:rPr>
      <w:rFonts w:ascii="仿宋_GB2312" w:eastAsia="仿宋_GB2312"/>
      <w:b/>
      <w:sz w:val="32"/>
      <w:szCs w:val="32"/>
    </w:rPr>
  </w:style>
  <w:style w:type="paragraph" w:customStyle="1" w:styleId="494">
    <w:name w:val="TOC 标题1"/>
    <w:basedOn w:val="4"/>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5">
    <w:name w:val="彩色列表 - 强调文字颜色 12"/>
    <w:basedOn w:val="1"/>
    <w:qFormat/>
    <w:uiPriority w:val="0"/>
    <w:pPr>
      <w:adjustRightInd/>
      <w:ind w:firstLine="420" w:firstLineChars="200"/>
    </w:pPr>
    <w:rPr>
      <w:rFonts w:ascii="Calibri" w:hAnsi="Calibri"/>
      <w:szCs w:val="22"/>
    </w:rPr>
  </w:style>
  <w:style w:type="paragraph" w:customStyle="1" w:styleId="496">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7">
    <w:name w:val="Char2"/>
    <w:basedOn w:val="1"/>
    <w:qFormat/>
    <w:uiPriority w:val="0"/>
    <w:rPr>
      <w:rFonts w:ascii="仿宋_GB2312" w:eastAsia="仿宋_GB2312"/>
      <w:b/>
      <w:sz w:val="32"/>
      <w:szCs w:val="32"/>
    </w:rPr>
  </w:style>
  <w:style w:type="paragraph" w:customStyle="1" w:styleId="498">
    <w:name w:val="数字标题3"/>
    <w:basedOn w:val="6"/>
    <w:next w:val="1"/>
    <w:qFormat/>
    <w:uiPriority w:val="0"/>
    <w:pPr>
      <w:spacing w:line="240" w:lineRule="auto"/>
    </w:pPr>
    <w:rPr>
      <w:sz w:val="28"/>
      <w:szCs w:val="28"/>
    </w:rPr>
  </w:style>
  <w:style w:type="paragraph" w:customStyle="1" w:styleId="499">
    <w:name w:val="FA正文"/>
    <w:basedOn w:val="1"/>
    <w:qFormat/>
    <w:uiPriority w:val="0"/>
    <w:pPr>
      <w:spacing w:line="360" w:lineRule="auto"/>
      <w:ind w:firstLine="480" w:firstLineChars="200"/>
    </w:pPr>
    <w:rPr>
      <w:rFonts w:hAnsi="宋体"/>
      <w:sz w:val="24"/>
      <w:szCs w:val="20"/>
    </w:rPr>
  </w:style>
  <w:style w:type="paragraph" w:customStyle="1" w:styleId="500">
    <w:name w:val="MM Topic 5"/>
    <w:basedOn w:val="10"/>
    <w:qFormat/>
    <w:uiPriority w:val="0"/>
    <w:pPr>
      <w:tabs>
        <w:tab w:val="left" w:pos="2520"/>
      </w:tabs>
      <w:adjustRightInd/>
      <w:ind w:left="2520" w:hanging="420"/>
    </w:pPr>
  </w:style>
  <w:style w:type="paragraph" w:customStyle="1" w:styleId="501">
    <w:name w:val="Char Char Char Char Char Char Char Char Char Char1"/>
    <w:basedOn w:val="1"/>
    <w:qFormat/>
    <w:uiPriority w:val="0"/>
    <w:rPr>
      <w:rFonts w:ascii="仿宋_GB2312" w:eastAsia="仿宋_GB2312"/>
      <w:b/>
      <w:sz w:val="32"/>
      <w:szCs w:val="32"/>
    </w:rPr>
  </w:style>
  <w:style w:type="paragraph" w:customStyle="1" w:styleId="502">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3">
    <w:name w:val="修订1"/>
    <w:qFormat/>
    <w:uiPriority w:val="3"/>
    <w:rPr>
      <w:rFonts w:ascii="Times New Roman" w:hAnsi="Times New Roman" w:eastAsia="宋体" w:cs="Times New Roman"/>
      <w:color w:val="000000"/>
      <w:kern w:val="1"/>
      <w:sz w:val="21"/>
      <w:lang w:val="en-US" w:eastAsia="zh-CN" w:bidi="ar-SA"/>
    </w:rPr>
  </w:style>
  <w:style w:type="paragraph" w:customStyle="1" w:styleId="504">
    <w:name w:val="Char2 Char Char Char"/>
    <w:basedOn w:val="1"/>
    <w:qFormat/>
    <w:uiPriority w:val="0"/>
    <w:rPr>
      <w:rFonts w:ascii="仿宋_GB2312" w:eastAsia="仿宋_GB2312"/>
      <w:b/>
      <w:sz w:val="32"/>
      <w:szCs w:val="32"/>
    </w:rPr>
  </w:style>
  <w:style w:type="paragraph" w:customStyle="1" w:styleId="505">
    <w:name w:val="Char2 Char Char Char1"/>
    <w:basedOn w:val="1"/>
    <w:qFormat/>
    <w:uiPriority w:val="6"/>
    <w:rPr>
      <w:rFonts w:ascii="仿宋_GB2312" w:eastAsia="仿宋_GB2312"/>
      <w:b/>
      <w:sz w:val="32"/>
      <w:szCs w:val="32"/>
    </w:rPr>
  </w:style>
  <w:style w:type="paragraph" w:customStyle="1" w:styleId="506">
    <w:name w:val="默认段落样式"/>
    <w:basedOn w:val="134"/>
    <w:qFormat/>
    <w:uiPriority w:val="0"/>
    <w:pPr>
      <w:spacing w:before="0"/>
      <w:ind w:firstLine="480"/>
      <w:outlineLvl w:val="2"/>
    </w:pPr>
    <w:rPr>
      <w:rFonts w:ascii="仿宋_GB2312" w:hAnsi="宋体" w:eastAsia="仿宋_GB2312"/>
      <w:color w:val="000000"/>
      <w:szCs w:val="24"/>
    </w:rPr>
  </w:style>
  <w:style w:type="paragraph" w:customStyle="1" w:styleId="507">
    <w:name w:val="图中文字"/>
    <w:basedOn w:val="1"/>
    <w:qFormat/>
    <w:uiPriority w:val="0"/>
    <w:pPr>
      <w:snapToGrid w:val="0"/>
      <w:spacing w:line="0" w:lineRule="atLeast"/>
      <w:ind w:firstLine="200" w:firstLineChars="200"/>
      <w:jc w:val="center"/>
    </w:pPr>
    <w:rPr>
      <w:sz w:val="24"/>
      <w:szCs w:val="20"/>
    </w:rPr>
  </w:style>
  <w:style w:type="paragraph" w:customStyle="1" w:styleId="508">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9">
    <w:name w:val="MM Topic 3"/>
    <w:basedOn w:val="6"/>
    <w:qFormat/>
    <w:uiPriority w:val="0"/>
    <w:pPr>
      <w:tabs>
        <w:tab w:val="left" w:pos="1680"/>
      </w:tabs>
      <w:adjustRightInd/>
      <w:ind w:left="1680" w:hanging="420"/>
    </w:pPr>
  </w:style>
  <w:style w:type="paragraph" w:customStyle="1" w:styleId="510">
    <w:name w:val="标准小四"/>
    <w:basedOn w:val="1"/>
    <w:qFormat/>
    <w:uiPriority w:val="0"/>
    <w:pPr>
      <w:spacing w:line="360" w:lineRule="auto"/>
      <w:ind w:firstLine="480" w:firstLineChars="200"/>
    </w:pPr>
    <w:rPr>
      <w:rFonts w:ascii="Arial" w:hAnsi="Arial"/>
      <w:sz w:val="24"/>
      <w:szCs w:val="21"/>
    </w:rPr>
  </w:style>
  <w:style w:type="paragraph" w:customStyle="1" w:styleId="511">
    <w:name w:val="样式 标题 2H2h2Underrubrik1prop2l2Chapter Titlesect 1.2DO NO..."/>
    <w:basedOn w:val="5"/>
    <w:qFormat/>
    <w:uiPriority w:val="0"/>
    <w:pPr>
      <w:spacing w:before="120" w:after="120"/>
      <w:ind w:left="425" w:hanging="425"/>
    </w:pPr>
    <w:rPr>
      <w:rFonts w:ascii="微软雅黑" w:hAnsi="微软雅黑" w:eastAsia="微软雅黑" w:cs="宋体"/>
      <w:szCs w:val="20"/>
      <w:lang w:val="en-US"/>
    </w:rPr>
  </w:style>
  <w:style w:type="paragraph" w:customStyle="1" w:styleId="512">
    <w:name w:val="表格（小）"/>
    <w:basedOn w:val="1"/>
    <w:qFormat/>
    <w:uiPriority w:val="0"/>
    <w:pPr>
      <w:adjustRightInd/>
      <w:snapToGrid w:val="0"/>
      <w:spacing w:line="300" w:lineRule="auto"/>
    </w:pPr>
    <w:rPr>
      <w:rFonts w:eastAsia="仿宋"/>
      <w:szCs w:val="21"/>
    </w:rPr>
  </w:style>
  <w:style w:type="paragraph" w:customStyle="1" w:styleId="513">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4">
    <w:name w:val="Char2 Char Char1"/>
    <w:basedOn w:val="1"/>
    <w:qFormat/>
    <w:uiPriority w:val="6"/>
    <w:pPr>
      <w:adjustRightInd/>
    </w:pPr>
    <w:rPr>
      <w:rFonts w:ascii="Tahoma" w:hAnsi="Tahoma"/>
      <w:sz w:val="24"/>
      <w:szCs w:val="20"/>
    </w:rPr>
  </w:style>
  <w:style w:type="paragraph" w:customStyle="1" w:styleId="515">
    <w:name w:val="列出段落5"/>
    <w:basedOn w:val="1"/>
    <w:qFormat/>
    <w:uiPriority w:val="0"/>
    <w:pPr>
      <w:spacing w:line="360" w:lineRule="auto"/>
      <w:ind w:firstLine="200" w:firstLineChars="200"/>
    </w:pPr>
    <w:rPr>
      <w:rFonts w:eastAsia="楷体_GB2312" w:cs="Lucida Sans"/>
      <w:sz w:val="24"/>
    </w:rPr>
  </w:style>
  <w:style w:type="paragraph" w:customStyle="1" w:styleId="516">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7">
    <w:name w:val="表格文字"/>
    <w:basedOn w:val="1"/>
    <w:next w:val="7"/>
    <w:qFormat/>
    <w:uiPriority w:val="0"/>
    <w:pPr>
      <w:adjustRightInd/>
      <w:ind w:firstLine="200" w:firstLineChars="200"/>
    </w:pPr>
    <w:rPr>
      <w:rFonts w:ascii="Arial" w:hAnsi="Arial"/>
      <w:spacing w:val="-5"/>
      <w:kern w:val="0"/>
      <w:sz w:val="24"/>
      <w:szCs w:val="20"/>
    </w:rPr>
  </w:style>
  <w:style w:type="paragraph" w:customStyle="1" w:styleId="518">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9">
    <w:name w:val="TOC 标题111"/>
    <w:basedOn w:val="4"/>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20">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21">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22">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3">
    <w:name w:val="_Style 3"/>
    <w:basedOn w:val="1"/>
    <w:qFormat/>
    <w:uiPriority w:val="0"/>
    <w:pPr>
      <w:adjustRightInd/>
      <w:ind w:firstLine="420" w:firstLineChars="200"/>
    </w:pPr>
    <w:rPr>
      <w:rFonts w:eastAsia="仿宋_GB2312"/>
      <w:sz w:val="28"/>
    </w:rPr>
  </w:style>
  <w:style w:type="paragraph" w:customStyle="1" w:styleId="524">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5">
    <w:name w:val="Bulleting First Indent 1"/>
    <w:basedOn w:val="2"/>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6">
    <w:name w:val="左对齐表格文字"/>
    <w:basedOn w:val="1"/>
    <w:qFormat/>
    <w:uiPriority w:val="0"/>
    <w:pPr>
      <w:adjustRightInd/>
      <w:ind w:firstLine="200" w:firstLineChars="200"/>
      <w:jc w:val="right"/>
    </w:pPr>
  </w:style>
  <w:style w:type="paragraph" w:customStyle="1" w:styleId="527">
    <w:name w:val="Char Char11 Char Char Char Char Char Char Char Char Char"/>
    <w:basedOn w:val="1"/>
    <w:qFormat/>
    <w:uiPriority w:val="0"/>
    <w:pPr>
      <w:spacing w:line="360" w:lineRule="auto"/>
    </w:pPr>
    <w:rPr>
      <w:szCs w:val="20"/>
    </w:rPr>
  </w:style>
  <w:style w:type="paragraph" w:customStyle="1" w:styleId="528">
    <w:name w:val="正文1.25"/>
    <w:basedOn w:val="1"/>
    <w:qFormat/>
    <w:uiPriority w:val="0"/>
    <w:pPr>
      <w:adjustRightInd/>
      <w:spacing w:line="300" w:lineRule="auto"/>
      <w:ind w:firstLine="480" w:firstLineChars="200"/>
    </w:pPr>
    <w:rPr>
      <w:sz w:val="24"/>
      <w:szCs w:val="20"/>
    </w:rPr>
  </w:style>
  <w:style w:type="paragraph" w:customStyle="1" w:styleId="529">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30">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31">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2">
    <w:name w:val="Char Char1 Char Char Char1"/>
    <w:basedOn w:val="1"/>
    <w:qFormat/>
    <w:uiPriority w:val="6"/>
    <w:rPr>
      <w:rFonts w:ascii="仿宋_GB2312" w:eastAsia="仿宋_GB2312"/>
      <w:b/>
      <w:sz w:val="32"/>
      <w:szCs w:val="20"/>
    </w:rPr>
  </w:style>
  <w:style w:type="paragraph" w:customStyle="1" w:styleId="533">
    <w:name w:val="列出段落2"/>
    <w:basedOn w:val="1"/>
    <w:qFormat/>
    <w:uiPriority w:val="0"/>
    <w:pPr>
      <w:adjustRightInd/>
      <w:ind w:firstLine="420" w:firstLineChars="200"/>
    </w:pPr>
    <w:rPr>
      <w:rFonts w:ascii="宋体" w:hAnsi="宋体"/>
      <w:sz w:val="24"/>
    </w:rPr>
  </w:style>
  <w:style w:type="paragraph" w:customStyle="1" w:styleId="534">
    <w:name w:val="默认段落字体 Para Char Char Char Char Char Char Char"/>
    <w:basedOn w:val="1"/>
    <w:qFormat/>
    <w:uiPriority w:val="0"/>
    <w:rPr>
      <w:rFonts w:eastAsia="仿宋_GB2312"/>
      <w:sz w:val="28"/>
      <w:szCs w:val="20"/>
    </w:rPr>
  </w:style>
  <w:style w:type="paragraph" w:customStyle="1" w:styleId="535">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6">
    <w:name w:val="样式 标题 4PIM 4H4h4bulletblbbH41H42H43H44H45H46H47H48...1"/>
    <w:basedOn w:val="9"/>
    <w:qFormat/>
    <w:uiPriority w:val="0"/>
    <w:pPr>
      <w:widowControl/>
      <w:jc w:val="left"/>
    </w:pPr>
    <w:rPr>
      <w:rFonts w:cs="宋体"/>
      <w:sz w:val="24"/>
      <w:szCs w:val="20"/>
    </w:rPr>
  </w:style>
  <w:style w:type="paragraph" w:customStyle="1" w:styleId="537">
    <w:name w:val="彩色列表 - 强调文字颜色 11"/>
    <w:basedOn w:val="1"/>
    <w:qFormat/>
    <w:uiPriority w:val="0"/>
    <w:pPr>
      <w:adjustRightInd/>
      <w:ind w:firstLine="420" w:firstLineChars="200"/>
    </w:pPr>
    <w:rPr>
      <w:rFonts w:ascii="Calibri" w:hAnsi="Calibri"/>
      <w:szCs w:val="22"/>
    </w:rPr>
  </w:style>
  <w:style w:type="paragraph" w:customStyle="1" w:styleId="538">
    <w:name w:val="加粗正文"/>
    <w:basedOn w:val="1"/>
    <w:qFormat/>
    <w:uiPriority w:val="0"/>
    <w:pPr>
      <w:adjustRightInd/>
      <w:spacing w:beforeLines="50" w:afterLines="50" w:line="360" w:lineRule="auto"/>
      <w:ind w:firstLine="422" w:firstLineChars="200"/>
    </w:pPr>
    <w:rPr>
      <w:b/>
      <w:bCs/>
      <w:szCs w:val="21"/>
    </w:rPr>
  </w:style>
  <w:style w:type="paragraph" w:customStyle="1" w:styleId="539">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40">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41">
    <w:name w:val="Char Char Char1 Char1"/>
    <w:basedOn w:val="1"/>
    <w:qFormat/>
    <w:uiPriority w:val="6"/>
    <w:rPr>
      <w:szCs w:val="20"/>
    </w:rPr>
  </w:style>
  <w:style w:type="paragraph" w:customStyle="1" w:styleId="542">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3">
    <w:name w:val="样式 标题 2 + 宋体 左侧:  1.76 厘米 首行缩进:  0 厘米"/>
    <w:basedOn w:val="5"/>
    <w:qFormat/>
    <w:uiPriority w:val="0"/>
    <w:pPr>
      <w:tabs>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4">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5">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6">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7">
    <w:name w:val="CM14"/>
    <w:basedOn w:val="83"/>
    <w:next w:val="83"/>
    <w:qFormat/>
    <w:uiPriority w:val="0"/>
    <w:pPr>
      <w:spacing w:after="68"/>
    </w:pPr>
    <w:rPr>
      <w:rFonts w:ascii="FHLHE E+ Futura Bk" w:eastAsia="FHLHE E+ Futura Bk" w:cs="Times New Roman"/>
      <w:color w:val="auto"/>
    </w:rPr>
  </w:style>
  <w:style w:type="paragraph" w:customStyle="1" w:styleId="548">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9">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50">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51">
    <w:name w:val="正文文字 2"/>
    <w:basedOn w:val="83"/>
    <w:next w:val="83"/>
    <w:qFormat/>
    <w:uiPriority w:val="0"/>
    <w:rPr>
      <w:rFonts w:ascii="宋体" w:eastAsia="宋体" w:cs="Times New Roman"/>
      <w:color w:val="auto"/>
    </w:rPr>
  </w:style>
  <w:style w:type="paragraph" w:customStyle="1" w:styleId="552">
    <w:name w:val="正文首行缩进两字"/>
    <w:qFormat/>
    <w:uiPriority w:val="0"/>
    <w:pPr>
      <w:spacing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3">
    <w:name w:val="Char Char1 Char"/>
    <w:basedOn w:val="1"/>
    <w:qFormat/>
    <w:uiPriority w:val="0"/>
    <w:rPr>
      <w:rFonts w:ascii="仿宋_GB2312" w:eastAsia="仿宋_GB2312"/>
      <w:b/>
      <w:sz w:val="32"/>
      <w:szCs w:val="32"/>
    </w:rPr>
  </w:style>
  <w:style w:type="paragraph" w:customStyle="1" w:styleId="554">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5">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6">
    <w:name w:val="Char Char111"/>
    <w:basedOn w:val="1"/>
    <w:qFormat/>
    <w:uiPriority w:val="0"/>
    <w:pPr>
      <w:spacing w:line="360" w:lineRule="auto"/>
    </w:pPr>
    <w:rPr>
      <w:szCs w:val="20"/>
    </w:rPr>
  </w:style>
  <w:style w:type="paragraph" w:customStyle="1" w:styleId="557">
    <w:name w:val="Char"/>
    <w:basedOn w:val="1"/>
    <w:qFormat/>
    <w:uiPriority w:val="0"/>
    <w:rPr>
      <w:rFonts w:ascii="仿宋_GB2312" w:eastAsia="仿宋_GB2312"/>
      <w:b/>
      <w:sz w:val="32"/>
      <w:szCs w:val="32"/>
    </w:rPr>
  </w:style>
  <w:style w:type="paragraph" w:customStyle="1" w:styleId="558">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9">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60">
    <w:name w:val="Char Char Char1 Char"/>
    <w:basedOn w:val="1"/>
    <w:qFormat/>
    <w:uiPriority w:val="0"/>
    <w:rPr>
      <w:szCs w:val="20"/>
    </w:rPr>
  </w:style>
  <w:style w:type="paragraph" w:customStyle="1" w:styleId="561">
    <w:name w:val="正文标准"/>
    <w:basedOn w:val="1"/>
    <w:qFormat/>
    <w:uiPriority w:val="0"/>
    <w:pPr>
      <w:adjustRightInd/>
      <w:spacing w:line="360" w:lineRule="auto"/>
      <w:ind w:firstLine="200" w:firstLineChars="200"/>
    </w:pPr>
    <w:rPr>
      <w:rFonts w:ascii="宋体" w:hAnsi="Calibri"/>
      <w:sz w:val="24"/>
    </w:rPr>
  </w:style>
  <w:style w:type="paragraph" w:customStyle="1" w:styleId="562">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3">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4">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5">
    <w:name w:val="规范正文"/>
    <w:basedOn w:val="1"/>
    <w:qFormat/>
    <w:uiPriority w:val="0"/>
    <w:pPr>
      <w:tabs>
        <w:tab w:val="left" w:pos="840"/>
      </w:tabs>
      <w:spacing w:beforeLines="50" w:line="360" w:lineRule="auto"/>
      <w:ind w:left="840" w:hanging="420"/>
      <w:textAlignment w:val="baseline"/>
    </w:pPr>
    <w:rPr>
      <w:szCs w:val="20"/>
    </w:rPr>
  </w:style>
  <w:style w:type="paragraph" w:customStyle="1" w:styleId="566">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7">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8">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9">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0">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71">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2">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3">
    <w:name w:val="标准有序列表（L1）"/>
    <w:basedOn w:val="7"/>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4">
    <w:name w:val="Char Char Char Char Char Char Char Char Char Char"/>
    <w:basedOn w:val="1"/>
    <w:qFormat/>
    <w:uiPriority w:val="0"/>
    <w:rPr>
      <w:rFonts w:ascii="仿宋_GB2312" w:eastAsia="仿宋_GB2312"/>
      <w:b/>
      <w:sz w:val="32"/>
      <w:szCs w:val="32"/>
    </w:rPr>
  </w:style>
  <w:style w:type="paragraph" w:customStyle="1" w:styleId="575">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6">
    <w:name w:val="_正文段落"/>
    <w:basedOn w:val="1"/>
    <w:qFormat/>
    <w:uiPriority w:val="0"/>
    <w:pPr>
      <w:adjustRightInd/>
      <w:ind w:firstLine="560"/>
    </w:pPr>
    <w:rPr>
      <w:rFonts w:ascii="仿宋_GB2312" w:hAnsi="仿宋" w:eastAsia="仿宋_GB2312"/>
      <w:kern w:val="0"/>
      <w:sz w:val="28"/>
      <w:szCs w:val="28"/>
    </w:rPr>
  </w:style>
  <w:style w:type="paragraph" w:customStyle="1" w:styleId="577">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8">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9">
    <w:name w:val="正文（首行缩进）"/>
    <w:basedOn w:val="8"/>
    <w:qFormat/>
    <w:uiPriority w:val="0"/>
    <w:pPr>
      <w:widowControl/>
      <w:tabs>
        <w:tab w:val="left" w:pos="840"/>
      </w:tabs>
      <w:overflowPunct w:val="0"/>
      <w:autoSpaceDE w:val="0"/>
      <w:autoSpaceDN w:val="0"/>
      <w:spacing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80">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81">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2">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3">
    <w:name w:val="Char Char Char1 Char2"/>
    <w:basedOn w:val="1"/>
    <w:qFormat/>
    <w:uiPriority w:val="0"/>
    <w:rPr>
      <w:szCs w:val="20"/>
    </w:rPr>
  </w:style>
  <w:style w:type="paragraph" w:customStyle="1" w:styleId="584">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5">
    <w:name w:val="默认段落字体 Para Char"/>
    <w:basedOn w:val="1"/>
    <w:qFormat/>
    <w:uiPriority w:val="0"/>
    <w:rPr>
      <w:rFonts w:ascii="Tahoma" w:hAnsi="Tahoma"/>
      <w:sz w:val="24"/>
      <w:szCs w:val="20"/>
    </w:rPr>
  </w:style>
  <w:style w:type="paragraph" w:customStyle="1" w:styleId="586">
    <w:name w:val="标题五"/>
    <w:basedOn w:val="1"/>
    <w:qFormat/>
    <w:uiPriority w:val="0"/>
    <w:pPr>
      <w:adjustRightInd/>
      <w:spacing w:beforeLines="50" w:line="360" w:lineRule="auto"/>
    </w:pPr>
    <w:rPr>
      <w:b/>
      <w:sz w:val="24"/>
    </w:rPr>
  </w:style>
  <w:style w:type="paragraph" w:customStyle="1" w:styleId="587">
    <w:name w:val="Char Char1101"/>
    <w:basedOn w:val="1"/>
    <w:qFormat/>
    <w:uiPriority w:val="0"/>
    <w:pPr>
      <w:spacing w:line="360" w:lineRule="auto"/>
    </w:pPr>
    <w:rPr>
      <w:rFonts w:ascii="Tahoma" w:hAnsi="Tahoma"/>
      <w:sz w:val="24"/>
      <w:szCs w:val="20"/>
    </w:rPr>
  </w:style>
  <w:style w:type="paragraph" w:customStyle="1" w:styleId="588">
    <w:name w:val="Char Char Char Char Char Char Char Char1"/>
    <w:basedOn w:val="1"/>
    <w:qFormat/>
    <w:uiPriority w:val="0"/>
    <w:pPr>
      <w:tabs>
        <w:tab w:val="left" w:pos="360"/>
      </w:tabs>
    </w:pPr>
    <w:rPr>
      <w:sz w:val="24"/>
      <w:szCs w:val="20"/>
    </w:rPr>
  </w:style>
  <w:style w:type="paragraph" w:customStyle="1" w:styleId="589">
    <w:name w:val="Char Char Char 字元 字元"/>
    <w:basedOn w:val="1"/>
    <w:qFormat/>
    <w:uiPriority w:val="0"/>
    <w:pPr>
      <w:adjustRightInd/>
      <w:spacing w:line="360" w:lineRule="auto"/>
      <w:ind w:firstLine="200" w:firstLineChars="200"/>
    </w:pPr>
    <w:rPr>
      <w:szCs w:val="20"/>
    </w:rPr>
  </w:style>
  <w:style w:type="paragraph" w:customStyle="1" w:styleId="590">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1">
    <w:name w:val="Char Char Char Char Char Char Char"/>
    <w:basedOn w:val="1"/>
    <w:qFormat/>
    <w:uiPriority w:val="0"/>
    <w:rPr>
      <w:rFonts w:ascii="仿宋_GB2312" w:eastAsia="仿宋_GB2312"/>
      <w:b/>
      <w:sz w:val="32"/>
      <w:szCs w:val="32"/>
    </w:rPr>
  </w:style>
  <w:style w:type="paragraph" w:customStyle="1" w:styleId="592">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3">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4">
    <w:name w:val="样式 标题 22h2L1 Heading 2H2sect 1.2H21sect 1.21H22sect 1.2..."/>
    <w:basedOn w:val="5"/>
    <w:next w:val="1"/>
    <w:qFormat/>
    <w:uiPriority w:val="0"/>
    <w:pPr>
      <w:tabs>
        <w:tab w:val="clear" w:pos="432"/>
      </w:tabs>
      <w:spacing w:before="260" w:after="260" w:line="415" w:lineRule="auto"/>
      <w:ind w:left="425" w:hanging="425"/>
    </w:pPr>
    <w:rPr>
      <w:rFonts w:ascii="微软雅黑" w:hAnsi="微软雅黑" w:eastAsia="微软雅黑"/>
      <w:lang w:val="en-US"/>
    </w:rPr>
  </w:style>
  <w:style w:type="paragraph" w:customStyle="1" w:styleId="595">
    <w:name w:val="样式6"/>
    <w:basedOn w:val="34"/>
    <w:qFormat/>
    <w:uiPriority w:val="0"/>
    <w:pPr>
      <w:spacing w:line="460" w:lineRule="exact"/>
      <w:outlineLvl w:val="2"/>
    </w:pPr>
    <w:rPr>
      <w:rFonts w:ascii="仿宋_GB2312" w:hAnsi="宋体" w:eastAsia="仿宋_GB2312"/>
      <w:b/>
      <w:bCs/>
      <w:sz w:val="24"/>
      <w:szCs w:val="24"/>
    </w:rPr>
  </w:style>
  <w:style w:type="paragraph" w:customStyle="1" w:styleId="596">
    <w:name w:val="批注框文本 Char Char"/>
    <w:basedOn w:val="1"/>
    <w:qFormat/>
    <w:uiPriority w:val="0"/>
    <w:pPr>
      <w:adjustRightInd/>
    </w:pPr>
    <w:rPr>
      <w:sz w:val="18"/>
      <w:szCs w:val="20"/>
    </w:rPr>
  </w:style>
  <w:style w:type="paragraph" w:customStyle="1" w:styleId="597">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8">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9">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600">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601">
    <w:name w:val="索引 11"/>
    <w:basedOn w:val="1"/>
    <w:next w:val="1"/>
    <w:qFormat/>
    <w:uiPriority w:val="99"/>
    <w:pPr>
      <w:adjustRightInd/>
      <w:spacing w:line="360" w:lineRule="auto"/>
    </w:pPr>
    <w:rPr>
      <w:rFonts w:ascii="仿宋_GB2312" w:eastAsia="仿宋_GB2312"/>
      <w:sz w:val="24"/>
      <w:szCs w:val="20"/>
    </w:rPr>
  </w:style>
  <w:style w:type="paragraph" w:customStyle="1" w:styleId="602">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3">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4">
    <w:name w:val="正文文字缩进项目"/>
    <w:basedOn w:val="8"/>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5">
    <w:name w:val="文档正文"/>
    <w:basedOn w:val="1"/>
    <w:qFormat/>
    <w:uiPriority w:val="0"/>
    <w:pPr>
      <w:spacing w:line="480" w:lineRule="atLeast"/>
      <w:ind w:firstLine="567"/>
      <w:textAlignment w:val="baseline"/>
    </w:pPr>
    <w:rPr>
      <w:kern w:val="0"/>
      <w:sz w:val="24"/>
      <w:szCs w:val="20"/>
    </w:rPr>
  </w:style>
  <w:style w:type="paragraph" w:customStyle="1" w:styleId="606">
    <w:name w:val="正文文字表格居中"/>
    <w:basedOn w:val="1"/>
    <w:next w:val="58"/>
    <w:qFormat/>
    <w:uiPriority w:val="0"/>
    <w:pPr>
      <w:snapToGrid w:val="0"/>
      <w:spacing w:line="360" w:lineRule="auto"/>
    </w:pPr>
    <w:rPr>
      <w:rFonts w:ascii="宋体"/>
      <w:b/>
      <w:sz w:val="24"/>
      <w:szCs w:val="20"/>
    </w:rPr>
  </w:style>
  <w:style w:type="paragraph" w:customStyle="1" w:styleId="607">
    <w:name w:val="规划正文"/>
    <w:basedOn w:val="1"/>
    <w:qFormat/>
    <w:uiPriority w:val="0"/>
    <w:pPr>
      <w:adjustRightInd/>
      <w:spacing w:beforeLines="100" w:line="360" w:lineRule="auto"/>
      <w:jc w:val="left"/>
    </w:pPr>
    <w:rPr>
      <w:rFonts w:ascii="Arial" w:hAnsi="Arial" w:eastAsia="仿宋_GB2312"/>
      <w:bCs/>
      <w:sz w:val="28"/>
    </w:rPr>
  </w:style>
  <w:style w:type="paragraph" w:customStyle="1" w:styleId="608">
    <w:name w:val="小节"/>
    <w:basedOn w:val="6"/>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9">
    <w:name w:val="Plain Text1"/>
    <w:basedOn w:val="1"/>
    <w:qFormat/>
    <w:uiPriority w:val="7"/>
    <w:pPr>
      <w:adjustRightInd/>
    </w:pPr>
    <w:rPr>
      <w:rFonts w:ascii="宋体" w:hAnsi="Courier New"/>
    </w:rPr>
  </w:style>
  <w:style w:type="paragraph" w:customStyle="1" w:styleId="610">
    <w:name w:val="Char3"/>
    <w:basedOn w:val="1"/>
    <w:qFormat/>
    <w:uiPriority w:val="0"/>
    <w:pPr>
      <w:adjustRightInd/>
    </w:pPr>
    <w:rPr>
      <w:rFonts w:ascii="仿宋_GB2312" w:eastAsia="仿宋_GB2312"/>
      <w:b/>
      <w:sz w:val="32"/>
      <w:szCs w:val="32"/>
    </w:rPr>
  </w:style>
  <w:style w:type="paragraph" w:customStyle="1" w:styleId="611">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2">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3">
    <w:name w:val="标题2"/>
    <w:basedOn w:val="5"/>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4">
    <w:name w:val="List Paragraph1"/>
    <w:basedOn w:val="1"/>
    <w:qFormat/>
    <w:uiPriority w:val="0"/>
    <w:pPr>
      <w:spacing w:line="360" w:lineRule="auto"/>
      <w:ind w:firstLine="200" w:firstLineChars="200"/>
    </w:pPr>
    <w:rPr>
      <w:rFonts w:eastAsia="楷体_GB2312" w:cs="Lucida Sans"/>
      <w:sz w:val="24"/>
    </w:rPr>
  </w:style>
  <w:style w:type="paragraph" w:customStyle="1" w:styleId="615">
    <w:name w:val="样式 标题 3标题 3 Char第二层条h33Bold Headbh章标题1小标题level_3PIM 3..."/>
    <w:basedOn w:val="6"/>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6">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7">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8">
    <w:name w:val="Char3 Char Char Char"/>
    <w:basedOn w:val="1"/>
    <w:qFormat/>
    <w:uiPriority w:val="0"/>
    <w:pPr>
      <w:widowControl/>
      <w:adjustRightInd/>
      <w:spacing w:after="160" w:line="240" w:lineRule="exact"/>
      <w:jc w:val="left"/>
    </w:pPr>
    <w:rPr>
      <w:szCs w:val="20"/>
    </w:rPr>
  </w:style>
  <w:style w:type="paragraph" w:customStyle="1" w:styleId="619">
    <w:name w:val="表格标题2"/>
    <w:basedOn w:val="620"/>
    <w:qFormat/>
    <w:uiPriority w:val="0"/>
    <w:rPr>
      <w:b/>
    </w:rPr>
  </w:style>
  <w:style w:type="paragraph" w:customStyle="1" w:styleId="620">
    <w:name w:val="表格内文"/>
    <w:basedOn w:val="1"/>
    <w:qFormat/>
    <w:uiPriority w:val="0"/>
    <w:pPr>
      <w:adjustRightInd/>
      <w:spacing w:line="360" w:lineRule="auto"/>
    </w:pPr>
    <w:rPr>
      <w:rFonts w:ascii="宋体" w:hAnsi="宋体" w:cs="宋体"/>
      <w:color w:val="000000"/>
      <w:szCs w:val="20"/>
    </w:rPr>
  </w:style>
  <w:style w:type="paragraph" w:customStyle="1" w:styleId="621">
    <w:name w:val="Char Char Char Char Char Char Char Char Char Char2"/>
    <w:basedOn w:val="1"/>
    <w:qFormat/>
    <w:uiPriority w:val="0"/>
    <w:rPr>
      <w:rFonts w:ascii="仿宋_GB2312" w:eastAsia="仿宋_GB2312"/>
      <w:b/>
      <w:sz w:val="32"/>
      <w:szCs w:val="32"/>
    </w:rPr>
  </w:style>
  <w:style w:type="paragraph" w:customStyle="1" w:styleId="622">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3">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4">
    <w:name w:val="Char Char11 Char Char Char Char Char Char Char Char Char11"/>
    <w:basedOn w:val="1"/>
    <w:qFormat/>
    <w:uiPriority w:val="0"/>
    <w:pPr>
      <w:spacing w:line="360" w:lineRule="auto"/>
    </w:pPr>
    <w:rPr>
      <w:szCs w:val="20"/>
    </w:rPr>
  </w:style>
  <w:style w:type="paragraph" w:customStyle="1" w:styleId="625">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6">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7">
    <w:name w:val="MM Topic 1"/>
    <w:basedOn w:val="4"/>
    <w:qFormat/>
    <w:uiPriority w:val="0"/>
    <w:pPr>
      <w:tabs>
        <w:tab w:val="left" w:pos="840"/>
      </w:tabs>
      <w:adjustRightInd/>
      <w:ind w:left="840" w:hanging="420"/>
    </w:pPr>
  </w:style>
  <w:style w:type="paragraph" w:customStyle="1" w:styleId="628">
    <w:name w:val="样式 标题 2标题2H2Heading 2 HiddenHeading 2 CCBSheading 22nd lev..."/>
    <w:basedOn w:val="5"/>
    <w:qFormat/>
    <w:uiPriority w:val="0"/>
    <w:pPr>
      <w:widowControl/>
      <w:spacing w:before="260" w:after="260" w:line="416" w:lineRule="auto"/>
      <w:ind w:left="0" w:firstLine="0"/>
    </w:pPr>
    <w:rPr>
      <w:rFonts w:ascii="Arial" w:hAnsi="Arial" w:eastAsia="黑体"/>
      <w:sz w:val="30"/>
      <w:szCs w:val="21"/>
    </w:rPr>
  </w:style>
  <w:style w:type="paragraph" w:customStyle="1" w:styleId="629">
    <w:name w:val="文本正文 Char"/>
    <w:basedOn w:val="1"/>
    <w:qFormat/>
    <w:uiPriority w:val="0"/>
    <w:pPr>
      <w:spacing w:line="360" w:lineRule="auto"/>
      <w:ind w:firstLine="200" w:firstLineChars="200"/>
    </w:pPr>
    <w:rPr>
      <w:kern w:val="0"/>
      <w:sz w:val="24"/>
      <w:szCs w:val="20"/>
    </w:rPr>
  </w:style>
  <w:style w:type="paragraph" w:customStyle="1" w:styleId="630">
    <w:name w:val="表格"/>
    <w:basedOn w:val="1"/>
    <w:qFormat/>
    <w:uiPriority w:val="0"/>
    <w:pPr>
      <w:snapToGrid w:val="0"/>
      <w:ind w:firstLine="42" w:firstLineChars="21"/>
    </w:pPr>
    <w:rPr>
      <w:rFonts w:ascii="宋体" w:hAnsi="宋体"/>
      <w:kern w:val="0"/>
      <w:sz w:val="20"/>
      <w:szCs w:val="20"/>
    </w:rPr>
  </w:style>
  <w:style w:type="paragraph" w:customStyle="1" w:styleId="631">
    <w:name w:val="标书标题4"/>
    <w:basedOn w:val="9"/>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2">
    <w:name w:val="插图题注"/>
    <w:next w:val="1"/>
    <w:qFormat/>
    <w:uiPriority w:val="0"/>
    <w:pPr>
      <w:tabs>
        <w:tab w:val="left" w:pos="3780"/>
      </w:tabs>
      <w:spacing w:afterLines="100"/>
      <w:ind w:left="1089" w:hanging="369"/>
      <w:jc w:val="center"/>
    </w:pPr>
    <w:rPr>
      <w:rFonts w:ascii="Arial" w:hAnsi="Arial" w:eastAsia="宋体" w:cs="Times New Roman"/>
      <w:sz w:val="18"/>
      <w:szCs w:val="18"/>
      <w:lang w:val="en-US" w:eastAsia="zh-CN" w:bidi="ar-SA"/>
    </w:rPr>
  </w:style>
  <w:style w:type="paragraph" w:customStyle="1" w:styleId="633">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4">
    <w:name w:val="表格项目符号 2"/>
    <w:basedOn w:val="30"/>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5">
    <w:name w:val="EB_表格"/>
    <w:basedOn w:val="1"/>
    <w:qFormat/>
    <w:uiPriority w:val="0"/>
    <w:pPr>
      <w:adjustRightInd/>
      <w:spacing w:line="300" w:lineRule="auto"/>
      <w:jc w:val="center"/>
    </w:pPr>
  </w:style>
  <w:style w:type="paragraph" w:customStyle="1" w:styleId="636">
    <w:name w:val="_Style 6"/>
    <w:basedOn w:val="1"/>
    <w:qFormat/>
    <w:uiPriority w:val="34"/>
    <w:pPr>
      <w:adjustRightInd/>
      <w:ind w:firstLine="420" w:firstLineChars="200"/>
    </w:pPr>
    <w:rPr>
      <w:rFonts w:eastAsia="仿宋_GB2312"/>
      <w:sz w:val="28"/>
    </w:rPr>
  </w:style>
  <w:style w:type="paragraph" w:customStyle="1" w:styleId="637">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8">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9">
    <w:name w:val="!大节"/>
    <w:basedOn w:val="5"/>
    <w:qFormat/>
    <w:uiPriority w:val="0"/>
    <w:pPr>
      <w:spacing w:before="260" w:after="260" w:line="415" w:lineRule="auto"/>
      <w:ind w:left="420" w:hanging="420"/>
    </w:pPr>
    <w:rPr>
      <w:rFonts w:ascii="Arial" w:hAnsi="Arial" w:eastAsia="微软雅黑"/>
      <w:lang w:val="en-US"/>
    </w:rPr>
  </w:style>
  <w:style w:type="paragraph" w:customStyle="1" w:styleId="640">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41">
    <w:name w:val="正文表标题"/>
    <w:next w:val="642"/>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3">
    <w:name w:val="Char Char Char Char Char Char"/>
    <w:basedOn w:val="1"/>
    <w:qFormat/>
    <w:uiPriority w:val="0"/>
    <w:pPr>
      <w:widowControl/>
      <w:spacing w:beforeLines="50" w:afterLines="50" w:line="240" w:lineRule="exact"/>
      <w:jc w:val="left"/>
    </w:pPr>
    <w:rPr>
      <w:rFonts w:ascii="Verdana" w:hAnsi="Verdana"/>
      <w:kern w:val="0"/>
      <w:sz w:val="20"/>
      <w:szCs w:val="20"/>
      <w:lang w:eastAsia="en-US"/>
    </w:rPr>
  </w:style>
  <w:style w:type="paragraph" w:customStyle="1" w:styleId="644">
    <w:name w:val="trademark"/>
    <w:qFormat/>
    <w:uiPriority w:val="0"/>
    <w:pPr>
      <w:spacing w:after="60"/>
    </w:pPr>
    <w:rPr>
      <w:rFonts w:ascii="Futura Bk" w:hAnsi="Futura Bk" w:eastAsia="宋体" w:cs="Times New Roman"/>
      <w:sz w:val="15"/>
      <w:lang w:val="en-US" w:eastAsia="en-US" w:bidi="ar-SA"/>
    </w:rPr>
  </w:style>
  <w:style w:type="paragraph" w:customStyle="1" w:styleId="645">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6">
    <w:name w:val="Char Char1 Char Char Char Char Char Char1"/>
    <w:basedOn w:val="1"/>
    <w:qFormat/>
    <w:uiPriority w:val="0"/>
    <w:rPr>
      <w:rFonts w:ascii="仿宋_GB2312" w:eastAsia="仿宋_GB2312"/>
      <w:b/>
      <w:sz w:val="32"/>
      <w:szCs w:val="20"/>
    </w:rPr>
  </w:style>
  <w:style w:type="paragraph" w:customStyle="1" w:styleId="647">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8">
    <w:name w:val="Char1 Char Char Char1"/>
    <w:basedOn w:val="1"/>
    <w:qFormat/>
    <w:uiPriority w:val="0"/>
    <w:pPr>
      <w:adjustRightInd/>
      <w:ind w:firstLine="200" w:firstLineChars="200"/>
    </w:pPr>
    <w:rPr>
      <w:rFonts w:ascii="Tahoma" w:hAnsi="Tahoma"/>
      <w:sz w:val="24"/>
      <w:szCs w:val="20"/>
    </w:rPr>
  </w:style>
  <w:style w:type="paragraph" w:customStyle="1" w:styleId="649">
    <w:name w:val="a1"/>
    <w:basedOn w:val="1"/>
    <w:qFormat/>
    <w:uiPriority w:val="0"/>
    <w:pPr>
      <w:widowControl/>
      <w:spacing w:line="300" w:lineRule="atLeast"/>
      <w:jc w:val="left"/>
    </w:pPr>
    <w:rPr>
      <w:rFonts w:ascii="宋体" w:hAnsi="宋体"/>
      <w:kern w:val="0"/>
      <w:sz w:val="18"/>
      <w:szCs w:val="20"/>
    </w:rPr>
  </w:style>
  <w:style w:type="paragraph" w:customStyle="1" w:styleId="650">
    <w:name w:val="样式7"/>
    <w:basedOn w:val="651"/>
    <w:next w:val="1"/>
    <w:qFormat/>
    <w:uiPriority w:val="0"/>
    <w:pPr>
      <w:spacing w:afterLines="50"/>
      <w:jc w:val="left"/>
      <w:outlineLvl w:val="3"/>
    </w:pPr>
    <w:rPr>
      <w:sz w:val="24"/>
      <w:szCs w:val="24"/>
    </w:rPr>
  </w:style>
  <w:style w:type="paragraph" w:customStyle="1" w:styleId="651">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52">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3">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4">
    <w:name w:val="样式 样式2 + 左侧:  1 字符 右侧:  1 字符"/>
    <w:basedOn w:val="462"/>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5">
    <w:name w:val="Char2 Char Char2"/>
    <w:basedOn w:val="1"/>
    <w:qFormat/>
    <w:uiPriority w:val="0"/>
    <w:pPr>
      <w:adjustRightInd/>
    </w:pPr>
    <w:rPr>
      <w:rFonts w:ascii="Tahoma" w:hAnsi="Tahoma"/>
      <w:sz w:val="24"/>
      <w:szCs w:val="20"/>
    </w:rPr>
  </w:style>
  <w:style w:type="paragraph" w:customStyle="1" w:styleId="656">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7">
    <w:name w:val="三级条标题"/>
    <w:basedOn w:val="658"/>
    <w:next w:val="642"/>
    <w:qFormat/>
    <w:uiPriority w:val="0"/>
    <w:pPr>
      <w:tabs>
        <w:tab w:val="left" w:pos="1260"/>
        <w:tab w:val="left" w:pos="1680"/>
        <w:tab w:val="left" w:pos="2100"/>
        <w:tab w:val="left" w:pos="2520"/>
      </w:tabs>
      <w:ind w:left="2520"/>
      <w:outlineLvl w:val="4"/>
    </w:pPr>
  </w:style>
  <w:style w:type="paragraph" w:customStyle="1" w:styleId="658">
    <w:name w:val="二级条标题"/>
    <w:basedOn w:val="659"/>
    <w:next w:val="642"/>
    <w:qFormat/>
    <w:uiPriority w:val="0"/>
    <w:pPr>
      <w:tabs>
        <w:tab w:val="left" w:pos="1260"/>
        <w:tab w:val="left" w:pos="1680"/>
        <w:tab w:val="left" w:pos="2100"/>
      </w:tabs>
      <w:ind w:left="0"/>
      <w:outlineLvl w:val="3"/>
    </w:pPr>
  </w:style>
  <w:style w:type="paragraph" w:customStyle="1" w:styleId="659">
    <w:name w:val="一级条标题"/>
    <w:basedOn w:val="660"/>
    <w:next w:val="642"/>
    <w:qFormat/>
    <w:uiPriority w:val="0"/>
    <w:pPr>
      <w:tabs>
        <w:tab w:val="left" w:pos="1260"/>
        <w:tab w:val="left" w:pos="1680"/>
      </w:tabs>
      <w:ind w:left="1680"/>
      <w:outlineLvl w:val="2"/>
    </w:pPr>
  </w:style>
  <w:style w:type="paragraph" w:customStyle="1" w:styleId="660">
    <w:name w:val="章标题"/>
    <w:next w:val="642"/>
    <w:qFormat/>
    <w:uiPriority w:val="0"/>
    <w:pPr>
      <w:tabs>
        <w:tab w:val="left" w:pos="1260"/>
      </w:tabs>
      <w:spacing w:beforeLines="50" w:afterLines="50"/>
      <w:ind w:left="1260" w:hanging="420"/>
      <w:jc w:val="both"/>
      <w:outlineLvl w:val="1"/>
    </w:pPr>
    <w:rPr>
      <w:rFonts w:ascii="黑体" w:hAnsi="Times New Roman" w:eastAsia="黑体" w:cs="Times New Roman"/>
      <w:sz w:val="21"/>
      <w:lang w:val="en-US" w:eastAsia="zh-CN" w:bidi="ar-SA"/>
    </w:rPr>
  </w:style>
  <w:style w:type="paragraph" w:customStyle="1" w:styleId="661">
    <w:name w:val="数字标题2"/>
    <w:basedOn w:val="5"/>
    <w:next w:val="1"/>
    <w:qFormat/>
    <w:uiPriority w:val="0"/>
    <w:pPr>
      <w:tabs>
        <w:tab w:val="left" w:pos="480"/>
      </w:tabs>
      <w:ind w:left="480" w:hanging="480"/>
    </w:pPr>
    <w:rPr>
      <w:rFonts w:ascii="Times New Roman" w:eastAsia="宋体"/>
      <w:i/>
      <w:sz w:val="36"/>
      <w:szCs w:val="36"/>
      <w:lang w:val="en-US"/>
    </w:rPr>
  </w:style>
  <w:style w:type="paragraph" w:customStyle="1" w:styleId="662">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3">
    <w:name w:val="样式 标题 1Level 1 HeadPIM 1Section Headh1l11Heading 0Datash..."/>
    <w:basedOn w:val="4"/>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4">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5">
    <w:name w:val="样式 标题 1章节第一层h1H"/>
    <w:basedOn w:val="4"/>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6">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7">
    <w:name w:val="正文 项目2"/>
    <w:basedOn w:val="668"/>
    <w:qFormat/>
    <w:uiPriority w:val="0"/>
    <w:pPr>
      <w:tabs>
        <w:tab w:val="left" w:pos="840"/>
      </w:tabs>
      <w:spacing w:after="0"/>
      <w:ind w:left="900"/>
    </w:pPr>
  </w:style>
  <w:style w:type="paragraph" w:customStyle="1" w:styleId="668">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9">
    <w:name w:val="Body Text 2*"/>
    <w:basedOn w:val="1"/>
    <w:qFormat/>
    <w:uiPriority w:val="6"/>
    <w:pPr>
      <w:widowControl/>
      <w:adjustRightInd/>
      <w:ind w:left="720" w:hanging="720"/>
    </w:pPr>
    <w:rPr>
      <w:color w:val="000000"/>
      <w:kern w:val="0"/>
      <w:sz w:val="24"/>
      <w:szCs w:val="20"/>
      <w:lang w:val="en-GB"/>
    </w:rPr>
  </w:style>
  <w:style w:type="paragraph" w:customStyle="1" w:styleId="670">
    <w:name w:val="表1"/>
    <w:basedOn w:val="1"/>
    <w:qFormat/>
    <w:uiPriority w:val="0"/>
    <w:pPr>
      <w:tabs>
        <w:tab w:val="left" w:pos="703"/>
      </w:tabs>
      <w:adjustRightInd/>
      <w:spacing w:line="360" w:lineRule="auto"/>
      <w:ind w:left="703"/>
      <w:jc w:val="center"/>
    </w:pPr>
  </w:style>
  <w:style w:type="paragraph" w:customStyle="1" w:styleId="671">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2">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3">
    <w:name w:val="章正文"/>
    <w:basedOn w:val="1"/>
    <w:qFormat/>
    <w:uiPriority w:val="0"/>
    <w:pPr>
      <w:adjustRightInd/>
      <w:spacing w:beforeLines="50" w:after="120" w:line="300" w:lineRule="auto"/>
      <w:ind w:firstLine="480" w:firstLineChars="200"/>
    </w:pPr>
    <w:rPr>
      <w:rFonts w:ascii="Helvetica" w:hAnsi="Helvetica"/>
      <w:kern w:val="0"/>
      <w:sz w:val="24"/>
    </w:rPr>
  </w:style>
  <w:style w:type="paragraph" w:customStyle="1" w:styleId="674">
    <w:name w:val="2级标题"/>
    <w:basedOn w:val="675"/>
    <w:qFormat/>
    <w:uiPriority w:val="0"/>
    <w:pPr>
      <w:jc w:val="left"/>
      <w:outlineLvl w:val="1"/>
    </w:pPr>
    <w:rPr>
      <w:rFonts w:ascii="Times New Roman" w:hAnsi="Times New Roman" w:eastAsia="仿宋"/>
      <w:sz w:val="30"/>
    </w:rPr>
  </w:style>
  <w:style w:type="paragraph" w:customStyle="1" w:styleId="675">
    <w:name w:val="1级标题"/>
    <w:basedOn w:val="1"/>
    <w:qFormat/>
    <w:uiPriority w:val="0"/>
    <w:pPr>
      <w:adjustRightInd/>
      <w:spacing w:beforeLines="10" w:afterLines="10" w:line="360" w:lineRule="auto"/>
      <w:jc w:val="center"/>
      <w:outlineLvl w:val="0"/>
    </w:pPr>
    <w:rPr>
      <w:rFonts w:ascii="Calibri" w:hAnsi="Calibri"/>
      <w:b/>
      <w:sz w:val="44"/>
      <w:szCs w:val="22"/>
    </w:rPr>
  </w:style>
  <w:style w:type="paragraph" w:customStyle="1" w:styleId="676">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7">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8">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9">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80">
    <w:name w:val="bullet"/>
    <w:basedOn w:val="1"/>
    <w:qFormat/>
    <w:uiPriority w:val="0"/>
    <w:pPr>
      <w:tabs>
        <w:tab w:val="left" w:pos="840"/>
      </w:tabs>
      <w:adjustRightInd/>
      <w:ind w:left="840" w:hanging="420"/>
    </w:pPr>
  </w:style>
  <w:style w:type="paragraph" w:customStyle="1" w:styleId="681">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2">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3">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4">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5">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6">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7">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8">
    <w:name w:val="MM Topic 4"/>
    <w:basedOn w:val="9"/>
    <w:qFormat/>
    <w:uiPriority w:val="0"/>
    <w:pPr>
      <w:tabs>
        <w:tab w:val="left" w:pos="2100"/>
      </w:tabs>
      <w:adjustRightInd/>
      <w:ind w:left="2100" w:hanging="420"/>
    </w:pPr>
    <w:rPr>
      <w:lang w:val="en-US"/>
    </w:rPr>
  </w:style>
  <w:style w:type="paragraph" w:customStyle="1" w:styleId="689">
    <w:name w:val="Char11"/>
    <w:basedOn w:val="1"/>
    <w:qFormat/>
    <w:uiPriority w:val="0"/>
    <w:pPr>
      <w:tabs>
        <w:tab w:val="left" w:pos="432"/>
      </w:tabs>
      <w:adjustRightInd/>
      <w:spacing w:beforeLines="50" w:afterLines="50"/>
      <w:ind w:left="432" w:hanging="432" w:firstLineChars="200"/>
    </w:pPr>
    <w:rPr>
      <w:sz w:val="24"/>
    </w:rPr>
  </w:style>
  <w:style w:type="paragraph" w:customStyle="1" w:styleId="690">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91">
    <w:name w:val="Char Char11 Char Char Char Char Char Char Char Char Char1"/>
    <w:basedOn w:val="1"/>
    <w:qFormat/>
    <w:uiPriority w:val="6"/>
    <w:pPr>
      <w:spacing w:line="360" w:lineRule="auto"/>
    </w:pPr>
    <w:rPr>
      <w:szCs w:val="20"/>
    </w:rPr>
  </w:style>
  <w:style w:type="paragraph" w:customStyle="1" w:styleId="692">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3">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4">
    <w:name w:val="body text bold"/>
    <w:basedOn w:val="3"/>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5">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6">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7">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8">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9">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00">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701">
    <w:name w:val="单元格居中"/>
    <w:basedOn w:val="1"/>
    <w:qFormat/>
    <w:uiPriority w:val="0"/>
    <w:pPr>
      <w:adjustRightInd/>
      <w:spacing w:line="360" w:lineRule="auto"/>
      <w:jc w:val="center"/>
    </w:pPr>
    <w:rPr>
      <w:sz w:val="24"/>
    </w:rPr>
  </w:style>
  <w:style w:type="paragraph" w:customStyle="1" w:styleId="702">
    <w:name w:val="正文3"/>
    <w:basedOn w:val="1"/>
    <w:qFormat/>
    <w:uiPriority w:val="0"/>
    <w:pPr>
      <w:adjustRightInd/>
      <w:spacing w:beforeLines="50" w:afterLines="50" w:line="360" w:lineRule="auto"/>
      <w:outlineLvl w:val="8"/>
    </w:pPr>
    <w:rPr>
      <w:rFonts w:ascii="Segoe UI" w:hAnsi="宋体" w:eastAsia="楷体_GB2312" w:cs="Latha"/>
      <w:sz w:val="24"/>
      <w:szCs w:val="21"/>
    </w:rPr>
  </w:style>
  <w:style w:type="paragraph" w:customStyle="1" w:styleId="703">
    <w:name w:val="Char Char Char Char Char Char Char1"/>
    <w:basedOn w:val="1"/>
    <w:qFormat/>
    <w:uiPriority w:val="6"/>
    <w:rPr>
      <w:rFonts w:ascii="仿宋_GB2312" w:eastAsia="仿宋_GB2312"/>
      <w:b/>
      <w:sz w:val="32"/>
      <w:szCs w:val="32"/>
    </w:rPr>
  </w:style>
  <w:style w:type="paragraph" w:customStyle="1" w:styleId="704">
    <w:name w:val="正文缩进1"/>
    <w:basedOn w:val="1"/>
    <w:next w:val="8"/>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5">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6">
    <w:name w:val="Char3 Char Char Char11"/>
    <w:basedOn w:val="1"/>
    <w:qFormat/>
    <w:uiPriority w:val="0"/>
    <w:pPr>
      <w:widowControl/>
      <w:adjustRightInd/>
      <w:spacing w:after="160" w:line="240" w:lineRule="exact"/>
      <w:jc w:val="left"/>
    </w:pPr>
    <w:rPr>
      <w:szCs w:val="20"/>
    </w:rPr>
  </w:style>
  <w:style w:type="paragraph" w:customStyle="1" w:styleId="707">
    <w:name w:val="Char Char1121"/>
    <w:basedOn w:val="1"/>
    <w:qFormat/>
    <w:uiPriority w:val="0"/>
    <w:pPr>
      <w:spacing w:line="360" w:lineRule="auto"/>
    </w:pPr>
    <w:rPr>
      <w:szCs w:val="20"/>
    </w:rPr>
  </w:style>
  <w:style w:type="paragraph" w:customStyle="1" w:styleId="708">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9">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10">
    <w:name w:val="Normal0"/>
    <w:qFormat/>
    <w:uiPriority w:val="0"/>
    <w:rPr>
      <w:rFonts w:ascii="Times New Roman" w:hAnsi="Times New Roman" w:eastAsia="宋体" w:cs="Times New Roman"/>
      <w:lang w:val="en-US" w:eastAsia="en-US" w:bidi="ar-SA"/>
    </w:rPr>
  </w:style>
  <w:style w:type="paragraph" w:customStyle="1" w:styleId="711">
    <w:name w:val="带编号样式"/>
    <w:basedOn w:val="629"/>
    <w:qFormat/>
    <w:uiPriority w:val="0"/>
    <w:pPr>
      <w:tabs>
        <w:tab w:val="left" w:pos="840"/>
      </w:tabs>
      <w:snapToGrid w:val="0"/>
      <w:ind w:left="840" w:hanging="420" w:firstLineChars="0"/>
    </w:pPr>
    <w:rPr>
      <w:rFonts w:ascii="仿宋_GB2312" w:eastAsia="仿宋_GB2312"/>
      <w:color w:val="000000"/>
    </w:rPr>
  </w:style>
  <w:style w:type="paragraph" w:customStyle="1" w:styleId="712">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3">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4">
    <w:name w:val="封面"/>
    <w:basedOn w:val="1"/>
    <w:qFormat/>
    <w:uiPriority w:val="0"/>
    <w:pPr>
      <w:spacing w:line="360" w:lineRule="atLeast"/>
      <w:jc w:val="right"/>
      <w:textAlignment w:val="baseline"/>
    </w:pPr>
    <w:rPr>
      <w:rFonts w:ascii="Symbol" w:hAnsi="Symbol"/>
      <w:kern w:val="0"/>
      <w:szCs w:val="20"/>
    </w:rPr>
  </w:style>
  <w:style w:type="paragraph" w:customStyle="1" w:styleId="715">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6">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7">
    <w:name w:val="默认段落字体 Para Char Char Char1 Char"/>
    <w:basedOn w:val="1"/>
    <w:qFormat/>
    <w:uiPriority w:val="0"/>
    <w:pPr>
      <w:spacing w:line="240" w:lineRule="atLeast"/>
      <w:ind w:left="420" w:firstLine="420"/>
    </w:pPr>
    <w:rPr>
      <w:sz w:val="24"/>
    </w:rPr>
  </w:style>
  <w:style w:type="paragraph" w:customStyle="1" w:styleId="718">
    <w:name w:val="WW-正文文字缩进 2"/>
    <w:basedOn w:val="1"/>
    <w:qFormat/>
    <w:uiPriority w:val="0"/>
    <w:pPr>
      <w:suppressAutoHyphens/>
      <w:adjustRightInd/>
      <w:ind w:firstLine="420"/>
    </w:pPr>
    <w:rPr>
      <w:kern w:val="1"/>
      <w:szCs w:val="20"/>
    </w:rPr>
  </w:style>
  <w:style w:type="paragraph" w:customStyle="1" w:styleId="719">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20">
    <w:name w:val="样式 标题 2 + 四号"/>
    <w:basedOn w:val="5"/>
    <w:qFormat/>
    <w:uiPriority w:val="0"/>
    <w:pPr>
      <w:spacing w:before="120" w:after="120"/>
      <w:ind w:left="0" w:firstLine="0"/>
      <w:jc w:val="both"/>
    </w:pPr>
    <w:rPr>
      <w:rFonts w:ascii="宋体" w:hAnsi="Arial" w:eastAsia="宋体"/>
      <w:sz w:val="28"/>
      <w:lang w:val="en-US"/>
    </w:rPr>
  </w:style>
  <w:style w:type="paragraph" w:customStyle="1" w:styleId="721">
    <w:name w:val="有符号正文"/>
    <w:basedOn w:val="1"/>
    <w:qFormat/>
    <w:uiPriority w:val="0"/>
    <w:pPr>
      <w:adjustRightInd/>
      <w:spacing w:line="400" w:lineRule="exact"/>
      <w:ind w:firstLine="200" w:firstLineChars="200"/>
    </w:pPr>
    <w:rPr>
      <w:rFonts w:ascii="Arial" w:hAnsi="Arial"/>
    </w:rPr>
  </w:style>
  <w:style w:type="paragraph" w:customStyle="1" w:styleId="722">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3">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4">
    <w:name w:val="4"/>
    <w:basedOn w:val="1"/>
    <w:next w:val="38"/>
    <w:qFormat/>
    <w:uiPriority w:val="0"/>
    <w:pPr>
      <w:spacing w:after="120" w:line="480" w:lineRule="auto"/>
      <w:ind w:left="420" w:leftChars="200"/>
    </w:pPr>
    <w:rPr>
      <w:sz w:val="24"/>
      <w:szCs w:val="20"/>
    </w:rPr>
  </w:style>
  <w:style w:type="paragraph" w:customStyle="1" w:styleId="725">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6">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7">
    <w:name w:val="样式 标题 3H3 + 两端对齐"/>
    <w:basedOn w:val="6"/>
    <w:qFormat/>
    <w:uiPriority w:val="0"/>
    <w:pPr>
      <w:keepLines w:val="0"/>
      <w:spacing w:before="0" w:after="0" w:line="240" w:lineRule="auto"/>
      <w:jc w:val="left"/>
    </w:pPr>
    <w:rPr>
      <w:rFonts w:cs="宋体"/>
      <w:sz w:val="21"/>
      <w:szCs w:val="20"/>
    </w:rPr>
  </w:style>
  <w:style w:type="paragraph" w:customStyle="1" w:styleId="728">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9">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30">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31">
    <w:name w:val="表格 表头"/>
    <w:basedOn w:val="1"/>
    <w:qFormat/>
    <w:uiPriority w:val="0"/>
    <w:pPr>
      <w:adjustRightInd/>
      <w:spacing w:beforeLines="50" w:afterLines="50" w:line="360" w:lineRule="auto"/>
      <w:jc w:val="center"/>
    </w:pPr>
    <w:rPr>
      <w:rFonts w:ascii="微软雅黑" w:hAnsi="Calibri" w:eastAsia="微软雅黑"/>
      <w:b/>
      <w:sz w:val="28"/>
      <w:szCs w:val="20"/>
    </w:rPr>
  </w:style>
  <w:style w:type="paragraph" w:customStyle="1" w:styleId="732">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3">
    <w:name w:val="Char Char1 Char Char Char"/>
    <w:basedOn w:val="1"/>
    <w:qFormat/>
    <w:uiPriority w:val="0"/>
    <w:rPr>
      <w:rFonts w:ascii="仿宋_GB2312" w:eastAsia="仿宋_GB2312"/>
      <w:b/>
      <w:sz w:val="32"/>
      <w:szCs w:val="20"/>
    </w:rPr>
  </w:style>
  <w:style w:type="paragraph" w:customStyle="1" w:styleId="734">
    <w:name w:val="表格题注"/>
    <w:next w:val="1"/>
    <w:qFormat/>
    <w:uiPriority w:val="0"/>
    <w:pPr>
      <w:keepLines/>
      <w:tabs>
        <w:tab w:val="left" w:pos="4200"/>
      </w:tabs>
      <w:spacing w:beforeLines="100"/>
      <w:ind w:left="1089" w:hanging="369"/>
      <w:jc w:val="center"/>
    </w:pPr>
    <w:rPr>
      <w:rFonts w:ascii="Arial" w:hAnsi="Arial" w:eastAsia="宋体" w:cs="Times New Roman"/>
      <w:sz w:val="18"/>
      <w:szCs w:val="18"/>
      <w:lang w:val="en-US" w:eastAsia="zh-CN" w:bidi="ar-SA"/>
    </w:rPr>
  </w:style>
  <w:style w:type="paragraph" w:customStyle="1" w:styleId="735">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6">
    <w:name w:val="Picture"/>
    <w:basedOn w:val="1"/>
    <w:next w:val="20"/>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7">
    <w:name w:val="Char Char1 Char Char Char2"/>
    <w:basedOn w:val="1"/>
    <w:qFormat/>
    <w:uiPriority w:val="0"/>
    <w:rPr>
      <w:rFonts w:ascii="仿宋_GB2312" w:eastAsia="仿宋_GB2312"/>
      <w:b/>
      <w:sz w:val="32"/>
      <w:szCs w:val="32"/>
    </w:rPr>
  </w:style>
  <w:style w:type="paragraph" w:customStyle="1" w:styleId="738">
    <w:name w:val="Char3 Char Char Char1"/>
    <w:basedOn w:val="1"/>
    <w:qFormat/>
    <w:uiPriority w:val="6"/>
    <w:pPr>
      <w:widowControl/>
      <w:adjustRightInd/>
      <w:spacing w:after="160" w:line="240" w:lineRule="exact"/>
      <w:jc w:val="left"/>
    </w:pPr>
    <w:rPr>
      <w:szCs w:val="20"/>
    </w:rPr>
  </w:style>
  <w:style w:type="paragraph" w:customStyle="1" w:styleId="739">
    <w:name w:val="Char1 Char Char Char21"/>
    <w:basedOn w:val="1"/>
    <w:qFormat/>
    <w:uiPriority w:val="0"/>
    <w:rPr>
      <w:rFonts w:ascii="Tahoma" w:hAnsi="Tahoma"/>
      <w:sz w:val="24"/>
      <w:szCs w:val="20"/>
    </w:rPr>
  </w:style>
  <w:style w:type="paragraph" w:customStyle="1" w:styleId="740">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41">
    <w:name w:val="正文（标题三）"/>
    <w:basedOn w:val="1"/>
    <w:qFormat/>
    <w:uiPriority w:val="0"/>
    <w:pPr>
      <w:spacing w:line="360" w:lineRule="auto"/>
      <w:ind w:firstLine="200" w:firstLineChars="200"/>
    </w:pPr>
    <w:rPr>
      <w:sz w:val="24"/>
    </w:rPr>
  </w:style>
  <w:style w:type="paragraph" w:customStyle="1" w:styleId="742">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3">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4">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5">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6">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7">
    <w:name w:val="Char1 Char Char Char4"/>
    <w:basedOn w:val="1"/>
    <w:qFormat/>
    <w:uiPriority w:val="0"/>
    <w:pPr>
      <w:adjustRightInd/>
      <w:ind w:firstLine="200" w:firstLineChars="200"/>
    </w:pPr>
    <w:rPr>
      <w:rFonts w:ascii="Tahoma" w:hAnsi="Tahoma"/>
      <w:sz w:val="24"/>
      <w:szCs w:val="20"/>
    </w:rPr>
  </w:style>
  <w:style w:type="paragraph" w:customStyle="1" w:styleId="748">
    <w:name w:val="_标题2"/>
    <w:basedOn w:val="715"/>
    <w:next w:val="715"/>
    <w:qFormat/>
    <w:uiPriority w:val="0"/>
    <w:pPr>
      <w:widowControl w:val="0"/>
      <w:tabs>
        <w:tab w:val="left" w:pos="480"/>
      </w:tabs>
      <w:spacing w:beforeLines="50" w:afterLines="50"/>
      <w:ind w:left="50" w:leftChars="50" w:hanging="420" w:firstLineChars="0"/>
      <w:outlineLvl w:val="1"/>
    </w:pPr>
    <w:rPr>
      <w:b/>
      <w:sz w:val="36"/>
    </w:rPr>
  </w:style>
  <w:style w:type="paragraph" w:customStyle="1" w:styleId="749">
    <w:name w:val="样式1 + (中宋体"/>
    <w:basedOn w:val="726"/>
    <w:qFormat/>
    <w:uiPriority w:val="0"/>
    <w:pPr>
      <w:widowControl w:val="0"/>
      <w:tabs>
        <w:tab w:val="clear" w:pos="1212"/>
        <w:tab w:val="clear" w:pos="3888"/>
      </w:tabs>
      <w:adjustRightInd/>
      <w:snapToGrid/>
      <w:spacing w:line="360" w:lineRule="auto"/>
      <w:ind w:left="1200" w:hanging="360" w:firstLineChars="200"/>
      <w:jc w:val="both"/>
    </w:pPr>
    <w:rPr>
      <w:kern w:val="2"/>
      <w:szCs w:val="24"/>
    </w:rPr>
  </w:style>
  <w:style w:type="paragraph" w:customStyle="1" w:styleId="750">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51">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2">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3">
    <w:name w:val="四号　首行缩进"/>
    <w:basedOn w:val="1"/>
    <w:qFormat/>
    <w:uiPriority w:val="0"/>
    <w:pPr>
      <w:adjustRightInd/>
      <w:spacing w:line="360" w:lineRule="auto"/>
    </w:pPr>
    <w:rPr>
      <w:rFonts w:ascii="宋体" w:hAnsi="宋体"/>
      <w:szCs w:val="20"/>
    </w:rPr>
  </w:style>
  <w:style w:type="paragraph" w:customStyle="1" w:styleId="754">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5">
    <w:name w:val="Char Char Char Char Char Char Char Char Char Char Char1 Char"/>
    <w:basedOn w:val="1"/>
    <w:qFormat/>
    <w:uiPriority w:val="0"/>
    <w:pPr>
      <w:adjustRightInd/>
    </w:pPr>
    <w:rPr>
      <w:rFonts w:ascii="Tahoma" w:hAnsi="Tahoma"/>
      <w:sz w:val="24"/>
    </w:rPr>
  </w:style>
  <w:style w:type="paragraph" w:customStyle="1" w:styleId="756">
    <w:name w:val="Char Char Char Char11"/>
    <w:basedOn w:val="1"/>
    <w:qFormat/>
    <w:uiPriority w:val="0"/>
    <w:rPr>
      <w:rFonts w:ascii="Tahoma" w:hAnsi="Tahoma"/>
      <w:sz w:val="24"/>
      <w:szCs w:val="20"/>
    </w:rPr>
  </w:style>
  <w:style w:type="paragraph" w:customStyle="1" w:styleId="757">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8">
    <w:name w:val="Char Char Char Char"/>
    <w:basedOn w:val="1"/>
    <w:qFormat/>
    <w:uiPriority w:val="0"/>
    <w:rPr>
      <w:rFonts w:ascii="Tahoma" w:hAnsi="Tahoma"/>
      <w:sz w:val="24"/>
      <w:szCs w:val="20"/>
    </w:rPr>
  </w:style>
  <w:style w:type="paragraph" w:customStyle="1" w:styleId="759">
    <w:name w:val="标1"/>
    <w:basedOn w:val="1"/>
    <w:qFormat/>
    <w:uiPriority w:val="0"/>
    <w:pPr>
      <w:widowControl/>
      <w:tabs>
        <w:tab w:val="left" w:pos="1020"/>
      </w:tabs>
      <w:snapToGrid w:val="0"/>
      <w:spacing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60">
    <w:name w:val="Char19"/>
    <w:basedOn w:val="1"/>
    <w:qFormat/>
    <w:uiPriority w:val="0"/>
    <w:pPr>
      <w:adjustRightInd/>
    </w:pPr>
    <w:rPr>
      <w:szCs w:val="20"/>
    </w:rPr>
  </w:style>
  <w:style w:type="paragraph" w:customStyle="1" w:styleId="761">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2">
    <w:name w:val="样式8"/>
    <w:basedOn w:val="1"/>
    <w:qFormat/>
    <w:uiPriority w:val="0"/>
    <w:pPr>
      <w:spacing w:beforeLines="50" w:afterLines="50"/>
      <w:ind w:firstLine="200" w:firstLineChars="200"/>
      <w:outlineLvl w:val="4"/>
    </w:pPr>
    <w:rPr>
      <w:rFonts w:ascii="仿宋_GB2312" w:hAnsi="宋体" w:eastAsia="仿宋_GB2312"/>
      <w:b/>
      <w:bCs/>
      <w:sz w:val="24"/>
    </w:rPr>
  </w:style>
  <w:style w:type="paragraph" w:customStyle="1" w:styleId="763">
    <w:name w:val="_Style 5"/>
    <w:basedOn w:val="1"/>
    <w:qFormat/>
    <w:uiPriority w:val="34"/>
    <w:pPr>
      <w:adjustRightInd/>
      <w:ind w:firstLine="420" w:firstLineChars="200"/>
    </w:pPr>
    <w:rPr>
      <w:rFonts w:eastAsia="仿宋_GB2312"/>
      <w:sz w:val="28"/>
    </w:rPr>
  </w:style>
  <w:style w:type="paragraph" w:customStyle="1" w:styleId="764">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5">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6">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7">
    <w:name w:val="标书表格字体格式"/>
    <w:next w:val="761"/>
    <w:qFormat/>
    <w:uiPriority w:val="0"/>
    <w:rPr>
      <w:rFonts w:ascii="Times New Roman" w:hAnsi="Times New Roman" w:eastAsia="宋体" w:cs="Times New Roman"/>
      <w:kern w:val="2"/>
      <w:sz w:val="21"/>
      <w:szCs w:val="24"/>
      <w:lang w:val="en-US" w:eastAsia="zh-CN" w:bidi="ar-SA"/>
    </w:rPr>
  </w:style>
  <w:style w:type="paragraph" w:customStyle="1" w:styleId="768">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9">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70">
    <w:name w:val="修订3"/>
    <w:qFormat/>
    <w:uiPriority w:val="0"/>
    <w:rPr>
      <w:rFonts w:ascii="Times New Roman" w:hAnsi="Times New Roman" w:eastAsia="宋体" w:cs="Times New Roman"/>
      <w:kern w:val="2"/>
      <w:sz w:val="21"/>
      <w:lang w:val="en-US" w:eastAsia="zh-CN" w:bidi="ar-SA"/>
    </w:rPr>
  </w:style>
  <w:style w:type="paragraph" w:customStyle="1" w:styleId="771">
    <w:name w:val="CSS1级正文 Char"/>
    <w:basedOn w:val="3"/>
    <w:qFormat/>
    <w:uiPriority w:val="0"/>
    <w:pPr>
      <w:autoSpaceDE/>
      <w:autoSpaceDN/>
      <w:snapToGrid w:val="0"/>
      <w:ind w:firstLine="480" w:firstLineChars="200"/>
    </w:pPr>
    <w:rPr>
      <w:rFonts w:ascii="Times New Roman"/>
      <w:szCs w:val="24"/>
      <w:lang w:val="en-US"/>
    </w:rPr>
  </w:style>
  <w:style w:type="paragraph" w:customStyle="1" w:styleId="772">
    <w:name w:val="无间隔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3">
    <w:name w:val="表文字"/>
    <w:qFormat/>
    <w:uiPriority w:val="0"/>
    <w:rPr>
      <w:rFonts w:ascii="宋体" w:hAnsi="Times New Roman" w:eastAsia="宋体" w:cs="Times New Roman"/>
      <w:kern w:val="2"/>
      <w:lang w:val="en-US" w:eastAsia="zh-CN" w:bidi="ar-SA"/>
    </w:rPr>
  </w:style>
  <w:style w:type="paragraph" w:customStyle="1" w:styleId="774">
    <w:name w:val="MM Title"/>
    <w:basedOn w:val="61"/>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5">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6">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7">
    <w:name w:val="Char Char Char Char Char Char Char Char2"/>
    <w:basedOn w:val="1"/>
    <w:qFormat/>
    <w:uiPriority w:val="0"/>
    <w:pPr>
      <w:tabs>
        <w:tab w:val="left" w:pos="360"/>
      </w:tabs>
    </w:pPr>
    <w:rPr>
      <w:sz w:val="24"/>
      <w:szCs w:val="20"/>
    </w:rPr>
  </w:style>
  <w:style w:type="paragraph" w:customStyle="1" w:styleId="778">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9">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80">
    <w:name w:val="中文标题 3"/>
    <w:basedOn w:val="8"/>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81">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2">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3">
    <w:name w:val="正文－恩普"/>
    <w:basedOn w:val="7"/>
    <w:qFormat/>
    <w:uiPriority w:val="0"/>
    <w:pPr>
      <w:adjustRightInd/>
      <w:snapToGrid/>
      <w:spacing w:before="100" w:beforeAutospacing="1" w:afterLines="50" w:afterAutospacing="1" w:line="360" w:lineRule="auto"/>
      <w:ind w:firstLine="480" w:firstLineChars="200"/>
      <w:jc w:val="left"/>
    </w:pPr>
    <w:rPr>
      <w:rFonts w:ascii="Times New Roman"/>
      <w:snapToGrid/>
      <w:color w:val="auto"/>
      <w:kern w:val="0"/>
      <w:sz w:val="24"/>
    </w:rPr>
  </w:style>
  <w:style w:type="paragraph" w:customStyle="1" w:styleId="784">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5">
    <w:name w:val="Char4"/>
    <w:basedOn w:val="1"/>
    <w:qFormat/>
    <w:uiPriority w:val="0"/>
    <w:pPr>
      <w:tabs>
        <w:tab w:val="left" w:pos="432"/>
      </w:tabs>
      <w:adjustRightInd/>
      <w:spacing w:beforeLines="50" w:afterLines="50" w:line="360" w:lineRule="auto"/>
      <w:ind w:left="432" w:hanging="432" w:firstLineChars="200"/>
    </w:pPr>
    <w:rPr>
      <w:rFonts w:ascii="宋体" w:hAnsi="宋体" w:eastAsia="微软雅黑"/>
      <w:b/>
      <w:kern w:val="44"/>
      <w:sz w:val="32"/>
      <w:szCs w:val="32"/>
    </w:rPr>
  </w:style>
  <w:style w:type="paragraph" w:customStyle="1" w:styleId="786">
    <w:name w:val="p0"/>
    <w:basedOn w:val="1"/>
    <w:qFormat/>
    <w:uiPriority w:val="0"/>
    <w:pPr>
      <w:widowControl/>
      <w:adjustRightInd/>
    </w:pPr>
    <w:rPr>
      <w:kern w:val="0"/>
      <w:szCs w:val="21"/>
    </w:rPr>
  </w:style>
  <w:style w:type="paragraph" w:customStyle="1" w:styleId="787">
    <w:name w:val="Char6"/>
    <w:basedOn w:val="1"/>
    <w:qFormat/>
    <w:uiPriority w:val="0"/>
    <w:rPr>
      <w:rFonts w:ascii="仿宋_GB2312" w:eastAsia="仿宋_GB2312"/>
      <w:b/>
      <w:sz w:val="32"/>
      <w:szCs w:val="32"/>
    </w:rPr>
  </w:style>
  <w:style w:type="paragraph" w:customStyle="1" w:styleId="788">
    <w:name w:val="Char111"/>
    <w:basedOn w:val="1"/>
    <w:qFormat/>
    <w:uiPriority w:val="0"/>
    <w:rPr>
      <w:rFonts w:ascii="仿宋_GB2312" w:eastAsia="仿宋_GB2312"/>
      <w:b/>
      <w:sz w:val="32"/>
      <w:szCs w:val="32"/>
    </w:rPr>
  </w:style>
  <w:style w:type="paragraph" w:customStyle="1" w:styleId="789">
    <w:name w:val="标题3"/>
    <w:basedOn w:val="6"/>
    <w:next w:val="55"/>
    <w:qFormat/>
    <w:uiPriority w:val="0"/>
    <w:pPr>
      <w:tabs>
        <w:tab w:val="clear" w:pos="900"/>
      </w:tabs>
      <w:spacing w:after="0" w:line="360" w:lineRule="auto"/>
    </w:pPr>
    <w:rPr>
      <w:rFonts w:ascii="仿宋" w:hAnsi="仿宋" w:eastAsia="仿宋" w:cs="仿宋"/>
    </w:rPr>
  </w:style>
  <w:style w:type="paragraph" w:customStyle="1" w:styleId="790">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91">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92">
    <w:name w:val="Char1 Char Char Char2"/>
    <w:basedOn w:val="1"/>
    <w:qFormat/>
    <w:uiPriority w:val="0"/>
    <w:pPr>
      <w:adjustRightInd/>
      <w:ind w:firstLine="200" w:firstLineChars="200"/>
    </w:pPr>
    <w:rPr>
      <w:rFonts w:ascii="Tahoma" w:hAnsi="Tahoma"/>
      <w:sz w:val="24"/>
      <w:szCs w:val="20"/>
    </w:rPr>
  </w:style>
  <w:style w:type="paragraph" w:customStyle="1" w:styleId="793">
    <w:name w:val="列出段落11"/>
    <w:basedOn w:val="1"/>
    <w:qFormat/>
    <w:uiPriority w:val="0"/>
    <w:pPr>
      <w:adjustRightInd/>
      <w:spacing w:line="360" w:lineRule="auto"/>
      <w:ind w:firstLine="420" w:firstLineChars="200"/>
    </w:pPr>
    <w:rPr>
      <w:rFonts w:ascii="Calibri" w:hAnsi="Calibri"/>
      <w:sz w:val="24"/>
      <w:szCs w:val="22"/>
    </w:rPr>
  </w:style>
  <w:style w:type="paragraph" w:customStyle="1" w:styleId="794">
    <w:name w:val="样式 标题 1 + 黑色 段前: 0.5 行 段后: 0.5 行1"/>
    <w:basedOn w:val="4"/>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5">
    <w:name w:val="Char Char Char Char Char Char Char2"/>
    <w:basedOn w:val="1"/>
    <w:qFormat/>
    <w:uiPriority w:val="0"/>
    <w:rPr>
      <w:rFonts w:ascii="仿宋_GB2312" w:eastAsia="仿宋_GB2312"/>
      <w:b/>
      <w:sz w:val="32"/>
      <w:szCs w:val="32"/>
    </w:rPr>
  </w:style>
  <w:style w:type="paragraph" w:customStyle="1" w:styleId="796">
    <w:name w:val="五级条标题"/>
    <w:basedOn w:val="797"/>
    <w:next w:val="642"/>
    <w:qFormat/>
    <w:uiPriority w:val="0"/>
    <w:pPr>
      <w:tabs>
        <w:tab w:val="left" w:pos="1260"/>
        <w:tab w:val="left" w:pos="1680"/>
        <w:tab w:val="left" w:pos="2100"/>
        <w:tab w:val="left" w:pos="2940"/>
        <w:tab w:val="left" w:pos="3360"/>
      </w:tabs>
      <w:ind w:left="3360"/>
      <w:outlineLvl w:val="6"/>
    </w:pPr>
  </w:style>
  <w:style w:type="paragraph" w:customStyle="1" w:styleId="797">
    <w:name w:val="四级条标题"/>
    <w:basedOn w:val="657"/>
    <w:next w:val="642"/>
    <w:qFormat/>
    <w:uiPriority w:val="0"/>
    <w:pPr>
      <w:tabs>
        <w:tab w:val="clear" w:pos="2520"/>
      </w:tabs>
      <w:ind w:left="2940"/>
      <w:outlineLvl w:val="5"/>
    </w:pPr>
  </w:style>
  <w:style w:type="paragraph" w:customStyle="1" w:styleId="798">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9">
    <w:name w:val="Char23"/>
    <w:basedOn w:val="1"/>
    <w:qFormat/>
    <w:uiPriority w:val="0"/>
    <w:rPr>
      <w:rFonts w:ascii="仿宋_GB2312" w:eastAsia="仿宋_GB2312"/>
      <w:b/>
      <w:sz w:val="32"/>
      <w:szCs w:val="32"/>
    </w:rPr>
  </w:style>
  <w:style w:type="paragraph" w:customStyle="1" w:styleId="800">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801">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802">
    <w:name w:val="首行缩进"/>
    <w:basedOn w:val="1"/>
    <w:qFormat/>
    <w:uiPriority w:val="0"/>
    <w:pPr>
      <w:spacing w:line="360" w:lineRule="auto"/>
      <w:ind w:firstLine="480" w:firstLineChars="200"/>
    </w:pPr>
    <w:rPr>
      <w:rFonts w:ascii="宋体"/>
      <w:sz w:val="24"/>
      <w:szCs w:val="20"/>
    </w:rPr>
  </w:style>
  <w:style w:type="paragraph" w:customStyle="1" w:styleId="803">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4">
    <w:name w:val="单元格左对齐"/>
    <w:basedOn w:val="1"/>
    <w:qFormat/>
    <w:uiPriority w:val="0"/>
    <w:pPr>
      <w:adjustRightInd/>
      <w:spacing w:line="360" w:lineRule="auto"/>
    </w:pPr>
    <w:rPr>
      <w:sz w:val="24"/>
    </w:rPr>
  </w:style>
  <w:style w:type="paragraph" w:customStyle="1" w:styleId="805">
    <w:name w:val="正文主体"/>
    <w:basedOn w:val="626"/>
    <w:qFormat/>
    <w:uiPriority w:val="0"/>
  </w:style>
  <w:style w:type="paragraph" w:customStyle="1" w:styleId="806">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7">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8">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9">
    <w:name w:val="正文（首行缩进2字符）"/>
    <w:basedOn w:val="1"/>
    <w:qFormat/>
    <w:uiPriority w:val="0"/>
    <w:pPr>
      <w:adjustRightInd/>
      <w:spacing w:line="360" w:lineRule="auto"/>
      <w:ind w:firstLine="480" w:firstLineChars="200"/>
    </w:pPr>
    <w:rPr>
      <w:sz w:val="24"/>
      <w:szCs w:val="20"/>
    </w:rPr>
  </w:style>
  <w:style w:type="paragraph" w:customStyle="1" w:styleId="810">
    <w:name w:val="P1"/>
    <w:basedOn w:val="1"/>
    <w:qFormat/>
    <w:uiPriority w:val="0"/>
    <w:pPr>
      <w:adjustRightInd/>
      <w:spacing w:line="288" w:lineRule="auto"/>
      <w:ind w:firstLine="425" w:firstLineChars="200"/>
    </w:pPr>
  </w:style>
  <w:style w:type="paragraph" w:customStyle="1" w:styleId="811">
    <w:name w:val="列表内容"/>
    <w:basedOn w:val="1"/>
    <w:next w:val="1"/>
    <w:qFormat/>
    <w:uiPriority w:val="0"/>
    <w:pPr>
      <w:widowControl/>
      <w:tabs>
        <w:tab w:val="left" w:pos="840"/>
      </w:tabs>
      <w:ind w:left="840" w:hanging="420"/>
      <w:jc w:val="left"/>
    </w:pPr>
    <w:rPr>
      <w:kern w:val="0"/>
      <w:sz w:val="18"/>
    </w:rPr>
  </w:style>
  <w:style w:type="paragraph" w:customStyle="1" w:styleId="812">
    <w:name w:val="Char Char11 Char Char Char1"/>
    <w:basedOn w:val="1"/>
    <w:qFormat/>
    <w:uiPriority w:val="6"/>
    <w:pPr>
      <w:spacing w:line="360" w:lineRule="auto"/>
    </w:pPr>
    <w:rPr>
      <w:szCs w:val="20"/>
    </w:rPr>
  </w:style>
  <w:style w:type="paragraph" w:customStyle="1" w:styleId="813">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4">
    <w:name w:val="Char Char Char Char Char Char11"/>
    <w:basedOn w:val="1"/>
    <w:qFormat/>
    <w:uiPriority w:val="0"/>
    <w:pPr>
      <w:widowControl/>
      <w:spacing w:beforeLines="50" w:afterLines="50" w:line="240" w:lineRule="exact"/>
      <w:jc w:val="left"/>
    </w:pPr>
    <w:rPr>
      <w:rFonts w:ascii="Verdana" w:hAnsi="Verdana"/>
      <w:kern w:val="0"/>
      <w:sz w:val="20"/>
      <w:szCs w:val="20"/>
      <w:lang w:eastAsia="en-US"/>
    </w:rPr>
  </w:style>
  <w:style w:type="paragraph" w:customStyle="1" w:styleId="815">
    <w:name w:val="标题 41"/>
    <w:basedOn w:val="1"/>
    <w:next w:val="1"/>
    <w:qFormat/>
    <w:uiPriority w:val="9"/>
    <w:pPr>
      <w:keepNext/>
      <w:keepLines/>
      <w:adjustRightInd/>
      <w:spacing w:before="280" w:after="290" w:line="376" w:lineRule="auto"/>
      <w:outlineLvl w:val="3"/>
    </w:pPr>
    <w:rPr>
      <w:rFonts w:ascii="Cambria" w:hAnsi="Cambria"/>
      <w:b/>
      <w:bCs/>
      <w:sz w:val="28"/>
      <w:szCs w:val="28"/>
    </w:rPr>
  </w:style>
  <w:style w:type="paragraph" w:customStyle="1" w:styleId="816">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7">
    <w:name w:val="正文文字缩进2字"/>
    <w:basedOn w:val="3"/>
    <w:qFormat/>
    <w:uiPriority w:val="0"/>
    <w:pPr>
      <w:autoSpaceDE/>
      <w:autoSpaceDN/>
      <w:adjustRightInd/>
      <w:spacing w:before="60" w:after="60"/>
      <w:ind w:firstLine="200" w:firstLineChars="200"/>
    </w:pPr>
    <w:rPr>
      <w:rFonts w:ascii="Times New Roman"/>
      <w:szCs w:val="20"/>
      <w:lang w:val="en-US"/>
    </w:rPr>
  </w:style>
  <w:style w:type="paragraph" w:customStyle="1" w:styleId="818">
    <w:name w:val="默认段落字体 Para Char Char Char Char"/>
    <w:basedOn w:val="1"/>
    <w:qFormat/>
    <w:uiPriority w:val="0"/>
    <w:pPr>
      <w:spacing w:line="360" w:lineRule="auto"/>
    </w:pPr>
    <w:rPr>
      <w:szCs w:val="20"/>
    </w:rPr>
  </w:style>
  <w:style w:type="paragraph" w:customStyle="1" w:styleId="819">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20">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21">
    <w:name w:val="Char2 Char Char Char2"/>
    <w:basedOn w:val="1"/>
    <w:qFormat/>
    <w:uiPriority w:val="0"/>
    <w:rPr>
      <w:rFonts w:ascii="仿宋_GB2312" w:eastAsia="仿宋_GB2312"/>
      <w:b/>
      <w:sz w:val="32"/>
      <w:szCs w:val="32"/>
    </w:rPr>
  </w:style>
  <w:style w:type="paragraph" w:customStyle="1" w:styleId="822">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3">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4">
    <w:name w:val="正文 首行缩进:  2 字符 Char"/>
    <w:basedOn w:val="1"/>
    <w:qFormat/>
    <w:uiPriority w:val="0"/>
    <w:pPr>
      <w:adjustRightInd/>
      <w:spacing w:line="360" w:lineRule="auto"/>
      <w:ind w:firstLine="480"/>
    </w:pPr>
    <w:rPr>
      <w:rFonts w:cs="宋体"/>
      <w:sz w:val="24"/>
      <w:szCs w:val="20"/>
    </w:rPr>
  </w:style>
  <w:style w:type="paragraph" w:customStyle="1" w:styleId="825">
    <w:name w:val="Char Char4 Char Char"/>
    <w:basedOn w:val="1"/>
    <w:qFormat/>
    <w:uiPriority w:val="0"/>
    <w:pPr>
      <w:widowControl/>
      <w:adjustRightInd/>
      <w:spacing w:after="160" w:line="240" w:lineRule="exact"/>
      <w:jc w:val="left"/>
    </w:pPr>
  </w:style>
  <w:style w:type="paragraph" w:customStyle="1" w:styleId="826">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7">
    <w:name w:val="Char Char11 Char Char Char2"/>
    <w:basedOn w:val="1"/>
    <w:qFormat/>
    <w:uiPriority w:val="0"/>
    <w:pPr>
      <w:spacing w:line="360" w:lineRule="auto"/>
    </w:pPr>
    <w:rPr>
      <w:szCs w:val="20"/>
    </w:rPr>
  </w:style>
  <w:style w:type="paragraph" w:customStyle="1" w:styleId="828">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9">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30">
    <w:name w:val="数字标题4"/>
    <w:basedOn w:val="9"/>
    <w:qFormat/>
    <w:uiPriority w:val="0"/>
    <w:pPr>
      <w:tabs>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31">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32">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3">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4">
    <w:name w:val="Char311"/>
    <w:basedOn w:val="1"/>
    <w:qFormat/>
    <w:uiPriority w:val="0"/>
    <w:pPr>
      <w:adjustRightInd/>
      <w:ind w:firstLine="200" w:firstLineChars="200"/>
    </w:pPr>
    <w:rPr>
      <w:rFonts w:ascii="Tahoma" w:hAnsi="Tahoma"/>
      <w:sz w:val="24"/>
      <w:szCs w:val="20"/>
    </w:rPr>
  </w:style>
  <w:style w:type="paragraph" w:customStyle="1" w:styleId="835">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6">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7">
    <w:name w:val="正文 内标"/>
    <w:basedOn w:val="752"/>
    <w:qFormat/>
    <w:uiPriority w:val="0"/>
    <w:pPr>
      <w:tabs>
        <w:tab w:val="left" w:pos="0"/>
      </w:tabs>
      <w:ind w:left="900" w:firstLine="0" w:firstLineChars="0"/>
    </w:pPr>
  </w:style>
  <w:style w:type="paragraph" w:customStyle="1" w:styleId="838">
    <w:name w:val="Bulleted List"/>
    <w:basedOn w:val="1"/>
    <w:qFormat/>
    <w:uiPriority w:val="0"/>
    <w:pPr>
      <w:tabs>
        <w:tab w:val="left" w:pos="1260"/>
      </w:tabs>
      <w:adjustRightInd/>
      <w:ind w:left="1260" w:hanging="420"/>
    </w:pPr>
  </w:style>
  <w:style w:type="paragraph" w:customStyle="1" w:styleId="839">
    <w:name w:val="样式 正文文本缩进 2 + 仿宋_GB2312 黑色 行距: 1.5 倍行距"/>
    <w:basedOn w:val="38"/>
    <w:qFormat/>
    <w:uiPriority w:val="0"/>
    <w:pPr>
      <w:adjustRightInd/>
      <w:ind w:firstLine="560" w:firstLineChars="200"/>
      <w:textAlignment w:val="auto"/>
    </w:pPr>
    <w:rPr>
      <w:rFonts w:hAnsi="宋体" w:cs="宋体"/>
      <w:color w:val="000000"/>
      <w:kern w:val="2"/>
      <w:sz w:val="24"/>
    </w:rPr>
  </w:style>
  <w:style w:type="paragraph" w:customStyle="1" w:styleId="840">
    <w:name w:val="样式 左侧:  0.85 厘米"/>
    <w:basedOn w:val="1"/>
    <w:qFormat/>
    <w:uiPriority w:val="2"/>
    <w:pPr>
      <w:adjustRightInd/>
      <w:spacing w:line="360" w:lineRule="auto"/>
    </w:pPr>
    <w:rPr>
      <w:rFonts w:cs="宋体"/>
      <w:sz w:val="24"/>
      <w:szCs w:val="20"/>
    </w:rPr>
  </w:style>
  <w:style w:type="paragraph" w:customStyle="1" w:styleId="841">
    <w:name w:val="Char Char Char Char Char Char Char Char Char Char Char Char1 Char"/>
    <w:basedOn w:val="1"/>
    <w:qFormat/>
    <w:uiPriority w:val="0"/>
    <w:rPr>
      <w:rFonts w:ascii="Tahoma" w:hAnsi="Tahoma" w:cs="仿宋_GB2312"/>
      <w:sz w:val="24"/>
      <w:szCs w:val="20"/>
    </w:rPr>
  </w:style>
  <w:style w:type="paragraph" w:customStyle="1" w:styleId="842">
    <w:name w:val="正文1"/>
    <w:basedOn w:val="33"/>
    <w:qFormat/>
    <w:uiPriority w:val="0"/>
    <w:pPr>
      <w:ind w:left="0" w:leftChars="0" w:firstLine="480" w:firstLineChars="200"/>
    </w:pPr>
    <w:rPr>
      <w:rFonts w:ascii="仿宋_GB2312" w:hAnsi="Courier New" w:eastAsia="仿宋_GB2312"/>
      <w:kern w:val="28"/>
      <w:sz w:val="24"/>
    </w:rPr>
  </w:style>
  <w:style w:type="paragraph" w:customStyle="1" w:styleId="843">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4">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5">
    <w:name w:val="模板普通正文"/>
    <w:basedOn w:val="8"/>
    <w:qFormat/>
    <w:uiPriority w:val="0"/>
    <w:pPr>
      <w:adjustRightInd/>
      <w:spacing w:beforeLines="50" w:after="10" w:line="360" w:lineRule="auto"/>
      <w:ind w:firstLine="175" w:firstLineChars="175"/>
      <w:jc w:val="left"/>
    </w:pPr>
    <w:rPr>
      <w:rFonts w:ascii="Times New Roman" w:hAnsi="Times New Roman"/>
    </w:rPr>
  </w:style>
  <w:style w:type="paragraph" w:customStyle="1" w:styleId="846">
    <w:name w:val="Char Char1 Char Char Char Char Char Char"/>
    <w:basedOn w:val="1"/>
    <w:qFormat/>
    <w:uiPriority w:val="0"/>
    <w:rPr>
      <w:rFonts w:ascii="仿宋_GB2312" w:eastAsia="仿宋_GB2312"/>
      <w:b/>
      <w:sz w:val="32"/>
      <w:szCs w:val="20"/>
    </w:rPr>
  </w:style>
  <w:style w:type="paragraph" w:customStyle="1" w:styleId="847">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8">
    <w:name w:val="Char Char1 Char Char Char Char Char Char2"/>
    <w:basedOn w:val="1"/>
    <w:qFormat/>
    <w:uiPriority w:val="0"/>
    <w:rPr>
      <w:rFonts w:ascii="仿宋_GB2312" w:eastAsia="仿宋_GB2312"/>
      <w:b/>
      <w:sz w:val="32"/>
      <w:szCs w:val="20"/>
    </w:rPr>
  </w:style>
  <w:style w:type="paragraph" w:customStyle="1" w:styleId="849">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50">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51">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52">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3">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4">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5">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6">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7">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8">
    <w:name w:val="Char31"/>
    <w:basedOn w:val="1"/>
    <w:qFormat/>
    <w:uiPriority w:val="0"/>
    <w:pPr>
      <w:adjustRightInd/>
    </w:pPr>
    <w:rPr>
      <w:rFonts w:ascii="仿宋_GB2312" w:eastAsia="仿宋_GB2312"/>
      <w:b/>
      <w:sz w:val="32"/>
      <w:szCs w:val="32"/>
    </w:rPr>
  </w:style>
  <w:style w:type="paragraph" w:customStyle="1" w:styleId="859">
    <w:name w:val="样式 标题 3h33rd level3Heading 3 - oldH3l3CTheading 3Headin..."/>
    <w:basedOn w:val="6"/>
    <w:qFormat/>
    <w:uiPriority w:val="0"/>
    <w:pPr>
      <w:snapToGrid w:val="0"/>
      <w:ind w:left="0" w:firstLine="0"/>
      <w:jc w:val="left"/>
    </w:pPr>
    <w:rPr>
      <w:rFonts w:eastAsia="黑体" w:cs="宋体"/>
      <w:sz w:val="28"/>
      <w:szCs w:val="20"/>
    </w:rPr>
  </w:style>
  <w:style w:type="paragraph" w:customStyle="1" w:styleId="860">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61">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2">
    <w:name w:val="Char Char1"/>
    <w:basedOn w:val="1"/>
    <w:qFormat/>
    <w:uiPriority w:val="0"/>
    <w:pPr>
      <w:widowControl/>
      <w:spacing w:after="160" w:line="240" w:lineRule="exact"/>
      <w:jc w:val="left"/>
    </w:pPr>
    <w:rPr>
      <w:rFonts w:eastAsia="仿宋_GB2312"/>
      <w:sz w:val="28"/>
    </w:rPr>
  </w:style>
  <w:style w:type="paragraph" w:customStyle="1" w:styleId="863">
    <w:name w:val="Char21"/>
    <w:basedOn w:val="1"/>
    <w:qFormat/>
    <w:uiPriority w:val="0"/>
    <w:pPr>
      <w:adjustRightInd/>
      <w:ind w:firstLine="200" w:firstLineChars="200"/>
    </w:pPr>
    <w:rPr>
      <w:rFonts w:ascii="仿宋_GB2312" w:eastAsia="仿宋_GB2312"/>
      <w:b/>
      <w:sz w:val="32"/>
      <w:szCs w:val="32"/>
    </w:rPr>
  </w:style>
  <w:style w:type="paragraph" w:customStyle="1" w:styleId="864">
    <w:name w:val="列表段落1"/>
    <w:basedOn w:val="1"/>
    <w:qFormat/>
    <w:uiPriority w:val="34"/>
    <w:pPr>
      <w:adjustRightInd/>
      <w:ind w:right="238" w:firstLine="420"/>
    </w:pPr>
    <w:rPr>
      <w:rFonts w:ascii="Calibri" w:hAnsi="Calibri"/>
      <w:sz w:val="24"/>
    </w:rPr>
  </w:style>
  <w:style w:type="paragraph" w:customStyle="1" w:styleId="865">
    <w:name w:val="Char Char110"/>
    <w:basedOn w:val="1"/>
    <w:qFormat/>
    <w:uiPriority w:val="6"/>
    <w:pPr>
      <w:spacing w:line="360" w:lineRule="auto"/>
    </w:pPr>
    <w:rPr>
      <w:rFonts w:ascii="Tahoma" w:hAnsi="Tahoma"/>
      <w:sz w:val="24"/>
      <w:szCs w:val="20"/>
    </w:rPr>
  </w:style>
  <w:style w:type="paragraph" w:customStyle="1" w:styleId="866">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7">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8">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9">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70">
    <w:name w:val="Char Char Char Char Char Char Char Char Char Char Char Char1 Char2"/>
    <w:basedOn w:val="1"/>
    <w:qFormat/>
    <w:uiPriority w:val="0"/>
    <w:rPr>
      <w:rFonts w:ascii="Tahoma" w:hAnsi="Tahoma" w:cs="仿宋_GB2312"/>
      <w:sz w:val="24"/>
      <w:szCs w:val="20"/>
    </w:rPr>
  </w:style>
  <w:style w:type="paragraph" w:customStyle="1" w:styleId="871">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2">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3">
    <w:name w:val="样式 列表编号 + 段后: 0.5 行"/>
    <w:basedOn w:val="19"/>
    <w:qFormat/>
    <w:uiPriority w:val="2"/>
    <w:pPr>
      <w:tabs>
        <w:tab w:val="clear" w:pos="390"/>
        <w:tab w:val="clear" w:pos="454"/>
      </w:tabs>
      <w:ind w:left="840" w:hanging="420"/>
      <w:contextualSpacing/>
    </w:pPr>
    <w:rPr>
      <w:rFonts w:cs="宋体"/>
    </w:rPr>
  </w:style>
  <w:style w:type="paragraph" w:customStyle="1" w:styleId="874">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5">
    <w:name w:val="_Style 12"/>
    <w:basedOn w:val="22"/>
    <w:qFormat/>
    <w:uiPriority w:val="0"/>
    <w:pPr>
      <w:snapToGrid w:val="0"/>
      <w:spacing w:line="360" w:lineRule="auto"/>
    </w:pPr>
  </w:style>
  <w:style w:type="paragraph" w:customStyle="1" w:styleId="876">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7">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8">
    <w:name w:val="_Style 94"/>
    <w:basedOn w:val="1"/>
    <w:next w:val="260"/>
    <w:qFormat/>
    <w:uiPriority w:val="34"/>
    <w:pPr>
      <w:adjustRightInd/>
      <w:spacing w:line="360" w:lineRule="auto"/>
      <w:ind w:firstLine="200" w:firstLineChars="200"/>
    </w:pPr>
    <w:rPr>
      <w:rFonts w:ascii="Calibri" w:hAnsi="Calibri"/>
      <w:sz w:val="28"/>
      <w:szCs w:val="20"/>
    </w:rPr>
  </w:style>
  <w:style w:type="paragraph" w:customStyle="1" w:styleId="879">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80">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81">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82">
    <w:name w:val="3级标题"/>
    <w:basedOn w:val="674"/>
    <w:qFormat/>
    <w:uiPriority w:val="0"/>
    <w:pPr>
      <w:outlineLvl w:val="2"/>
    </w:pPr>
  </w:style>
  <w:style w:type="paragraph" w:customStyle="1" w:styleId="883">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4">
    <w:name w:val="Char1 Char Char Char3"/>
    <w:basedOn w:val="1"/>
    <w:qFormat/>
    <w:uiPriority w:val="0"/>
    <w:pPr>
      <w:adjustRightInd/>
      <w:ind w:firstLine="200" w:firstLineChars="200"/>
    </w:pPr>
    <w:rPr>
      <w:rFonts w:ascii="Tahoma" w:hAnsi="Tahoma"/>
      <w:sz w:val="24"/>
      <w:szCs w:val="20"/>
    </w:rPr>
  </w:style>
  <w:style w:type="paragraph" w:customStyle="1" w:styleId="885">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6">
    <w:name w:val="MM Empty"/>
    <w:basedOn w:val="1"/>
    <w:qFormat/>
    <w:uiPriority w:val="0"/>
    <w:pPr>
      <w:adjustRightInd/>
    </w:pPr>
  </w:style>
  <w:style w:type="paragraph" w:customStyle="1" w:styleId="887">
    <w:name w:val="Char24"/>
    <w:basedOn w:val="1"/>
    <w:qFormat/>
    <w:uiPriority w:val="0"/>
    <w:rPr>
      <w:rFonts w:ascii="仿宋_GB2312" w:eastAsia="仿宋_GB2312"/>
      <w:b/>
      <w:sz w:val="32"/>
      <w:szCs w:val="32"/>
    </w:rPr>
  </w:style>
  <w:style w:type="paragraph" w:customStyle="1" w:styleId="888">
    <w:name w:val="正文箭头"/>
    <w:basedOn w:val="540"/>
    <w:qFormat/>
    <w:uiPriority w:val="0"/>
  </w:style>
  <w:style w:type="paragraph" w:customStyle="1" w:styleId="889">
    <w:name w:val="U_编号2"/>
    <w:basedOn w:val="1"/>
    <w:qFormat/>
    <w:uiPriority w:val="0"/>
    <w:pPr>
      <w:tabs>
        <w:tab w:val="left" w:pos="785"/>
      </w:tabs>
      <w:adjustRightInd/>
      <w:spacing w:beforeLines="10" w:afterLines="10" w:line="300" w:lineRule="auto"/>
    </w:pPr>
    <w:rPr>
      <w:sz w:val="24"/>
    </w:rPr>
  </w:style>
  <w:style w:type="paragraph" w:customStyle="1" w:styleId="890">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91">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92">
    <w:name w:val="标书标题3"/>
    <w:basedOn w:val="6"/>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3">
    <w:name w:val="TOC 标题11"/>
    <w:basedOn w:val="4"/>
    <w:next w:val="1"/>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4">
    <w:name w:val="_Style 1"/>
    <w:basedOn w:val="1"/>
    <w:qFormat/>
    <w:uiPriority w:val="34"/>
    <w:pPr>
      <w:adjustRightInd/>
      <w:ind w:firstLine="420" w:firstLineChars="200"/>
    </w:pPr>
    <w:rPr>
      <w:rFonts w:eastAsia="仿宋_GB2312"/>
      <w:sz w:val="28"/>
    </w:rPr>
  </w:style>
  <w:style w:type="paragraph" w:customStyle="1" w:styleId="895">
    <w:name w:val="表格 内容"/>
    <w:basedOn w:val="731"/>
    <w:qFormat/>
    <w:uiPriority w:val="0"/>
    <w:rPr>
      <w:b w:val="0"/>
      <w:sz w:val="20"/>
    </w:rPr>
  </w:style>
  <w:style w:type="paragraph" w:customStyle="1" w:styleId="896">
    <w:name w:val="正文首行缩进1"/>
    <w:basedOn w:val="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7">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8">
    <w:name w:val="数字标题5"/>
    <w:basedOn w:val="10"/>
    <w:next w:val="1"/>
    <w:qFormat/>
    <w:uiPriority w:val="0"/>
    <w:pPr>
      <w:tabs>
        <w:tab w:val="left" w:pos="1080"/>
      </w:tabs>
      <w:ind w:left="1080" w:hanging="1080"/>
    </w:pPr>
  </w:style>
  <w:style w:type="paragraph" w:customStyle="1" w:styleId="899">
    <w:name w:val="数字标题1"/>
    <w:basedOn w:val="4"/>
    <w:next w:val="1"/>
    <w:qFormat/>
    <w:uiPriority w:val="0"/>
    <w:pPr>
      <w:tabs>
        <w:tab w:val="left" w:pos="480"/>
      </w:tabs>
      <w:ind w:left="480" w:hanging="480"/>
    </w:pPr>
  </w:style>
  <w:style w:type="paragraph" w:customStyle="1" w:styleId="900">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901">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902">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3">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4">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5">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6">
    <w:name w:val="0"/>
    <w:basedOn w:val="1"/>
    <w:qFormat/>
    <w:uiPriority w:val="0"/>
    <w:pPr>
      <w:widowControl/>
    </w:pPr>
    <w:rPr>
      <w:kern w:val="0"/>
      <w:sz w:val="24"/>
      <w:szCs w:val="20"/>
    </w:rPr>
  </w:style>
  <w:style w:type="paragraph" w:customStyle="1" w:styleId="907">
    <w:name w:val="Char Char113"/>
    <w:basedOn w:val="1"/>
    <w:qFormat/>
    <w:uiPriority w:val="0"/>
    <w:pPr>
      <w:widowControl/>
      <w:spacing w:after="160" w:line="240" w:lineRule="exact"/>
      <w:jc w:val="left"/>
    </w:pPr>
    <w:rPr>
      <w:rFonts w:eastAsia="仿宋_GB2312"/>
      <w:sz w:val="28"/>
    </w:rPr>
  </w:style>
  <w:style w:type="paragraph" w:customStyle="1" w:styleId="908">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9">
    <w:name w:val="_Style 8"/>
    <w:basedOn w:val="1"/>
    <w:qFormat/>
    <w:uiPriority w:val="34"/>
    <w:pPr>
      <w:adjustRightInd/>
      <w:ind w:firstLine="420" w:firstLineChars="200"/>
    </w:pPr>
    <w:rPr>
      <w:rFonts w:eastAsia="仿宋_GB2312"/>
      <w:sz w:val="28"/>
    </w:rPr>
  </w:style>
  <w:style w:type="paragraph" w:customStyle="1" w:styleId="910">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11">
    <w:name w:val="正文样式 首行缩进:  0.74 厘米"/>
    <w:basedOn w:val="1"/>
    <w:qFormat/>
    <w:uiPriority w:val="0"/>
    <w:pPr>
      <w:adjustRightInd/>
      <w:spacing w:beforeLines="50" w:line="360" w:lineRule="auto"/>
      <w:ind w:firstLine="420"/>
    </w:pPr>
    <w:rPr>
      <w:rFonts w:cs="宋体"/>
      <w:sz w:val="24"/>
      <w:szCs w:val="20"/>
    </w:rPr>
  </w:style>
  <w:style w:type="paragraph" w:customStyle="1" w:styleId="912">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3">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4">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5">
    <w:name w:val="Char Char112"/>
    <w:basedOn w:val="1"/>
    <w:qFormat/>
    <w:uiPriority w:val="6"/>
    <w:pPr>
      <w:widowControl/>
      <w:spacing w:after="160" w:line="240" w:lineRule="exact"/>
      <w:jc w:val="left"/>
    </w:pPr>
    <w:rPr>
      <w:rFonts w:eastAsia="仿宋_GB2312"/>
      <w:sz w:val="28"/>
    </w:rPr>
  </w:style>
  <w:style w:type="paragraph" w:customStyle="1" w:styleId="916">
    <w:name w:val="正文 图"/>
    <w:basedOn w:val="445"/>
    <w:qFormat/>
    <w:uiPriority w:val="0"/>
    <w:pPr>
      <w:adjustRightInd/>
      <w:spacing w:before="0"/>
      <w:ind w:firstLine="0"/>
      <w:jc w:val="center"/>
    </w:pPr>
    <w:rPr>
      <w:rFonts w:ascii="微软雅黑" w:hAnsi="微软雅黑"/>
    </w:rPr>
  </w:style>
  <w:style w:type="paragraph" w:customStyle="1" w:styleId="917">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8">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9">
    <w:name w:val="Thf"/>
    <w:basedOn w:val="564"/>
    <w:qFormat/>
    <w:uiPriority w:val="0"/>
    <w:pPr>
      <w:ind w:left="0"/>
    </w:pPr>
  </w:style>
  <w:style w:type="paragraph" w:customStyle="1" w:styleId="920">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21">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22">
    <w:name w:val="注释"/>
    <w:basedOn w:val="1"/>
    <w:qFormat/>
    <w:uiPriority w:val="0"/>
    <w:pPr>
      <w:adjustRightInd/>
      <w:spacing w:line="360" w:lineRule="auto"/>
      <w:ind w:firstLine="480"/>
    </w:pPr>
    <w:rPr>
      <w:sz w:val="24"/>
    </w:rPr>
  </w:style>
  <w:style w:type="table" w:customStyle="1" w:styleId="923">
    <w:name w:val="网格型2"/>
    <w:basedOn w:val="65"/>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4">
    <w:name w:val="网格型1"/>
    <w:basedOn w:val="65"/>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5">
    <w:name w:val="网格型6"/>
    <w:basedOn w:val="65"/>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6">
    <w:name w:val="网格型3"/>
    <w:basedOn w:val="65"/>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7">
    <w:name w:val="网格型4"/>
    <w:basedOn w:val="65"/>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8">
    <w:name w:val="网格型5"/>
    <w:basedOn w:val="65"/>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29">
    <w:name w:val="列出段落111"/>
    <w:basedOn w:val="1"/>
    <w:qFormat/>
    <w:uiPriority w:val="34"/>
    <w:pPr>
      <w:ind w:firstLine="420" w:firstLineChars="200"/>
    </w:pPr>
  </w:style>
  <w:style w:type="character" w:customStyle="1" w:styleId="930">
    <w:name w:val="交叉引用"/>
    <w:qFormat/>
    <w:uiPriority w:val="1"/>
    <w:rPr>
      <w:rFonts w:ascii="Arial" w:hAnsi="Arial" w:eastAsia="黑体"/>
      <w:snapToGrid w:val="0"/>
      <w:color w:val="0000FF"/>
      <w:kern w:val="0"/>
      <w:sz w:val="20"/>
      <w:szCs w:val="21"/>
      <w:u w:val="single"/>
      <w:lang w:val="en-US" w:eastAsia="zh-CN"/>
    </w:rPr>
  </w:style>
  <w:style w:type="character" w:customStyle="1" w:styleId="931">
    <w:name w:val="正文缩进 字符1"/>
    <w:qFormat/>
    <w:uiPriority w:val="0"/>
    <w:rPr>
      <w:rFonts w:ascii="宋体" w:eastAsia="宋体"/>
      <w:snapToGrid w:val="0"/>
      <w:color w:val="000000"/>
      <w:kern w:val="28"/>
      <w:sz w:val="28"/>
      <w:lang w:val="en-US" w:eastAsia="zh-CN" w:bidi="ar-SA"/>
    </w:rPr>
  </w:style>
  <w:style w:type="character" w:customStyle="1" w:styleId="932">
    <w:name w:val="页脚 字符1"/>
    <w:qFormat/>
    <w:uiPriority w:val="99"/>
    <w:rPr>
      <w:kern w:val="2"/>
      <w:sz w:val="18"/>
      <w:szCs w:val="18"/>
    </w:rPr>
  </w:style>
  <w:style w:type="character" w:customStyle="1" w:styleId="933">
    <w:name w:val="页眉 字符1"/>
    <w:qFormat/>
    <w:uiPriority w:val="99"/>
    <w:rPr>
      <w:kern w:val="2"/>
      <w:sz w:val="18"/>
      <w:szCs w:val="18"/>
    </w:rPr>
  </w:style>
  <w:style w:type="character" w:customStyle="1" w:styleId="934">
    <w:name w:val="尾注文本 Char"/>
    <w:link w:val="39"/>
    <w:qFormat/>
    <w:uiPriority w:val="0"/>
    <w:rPr>
      <w:kern w:val="2"/>
      <w:sz w:val="21"/>
      <w:szCs w:val="24"/>
      <w:lang w:val="zh-CN"/>
    </w:rPr>
  </w:style>
  <w:style w:type="character" w:customStyle="1" w:styleId="935">
    <w:name w:val="无间隔 Char"/>
    <w:link w:val="485"/>
    <w:qFormat/>
    <w:uiPriority w:val="99"/>
    <w:rPr>
      <w:kern w:val="2"/>
      <w:sz w:val="21"/>
      <w:szCs w:val="22"/>
    </w:rPr>
  </w:style>
  <w:style w:type="character" w:customStyle="1" w:styleId="936">
    <w:name w:val="标准文本 Char Char"/>
    <w:link w:val="937"/>
    <w:qFormat/>
    <w:uiPriority w:val="0"/>
    <w:rPr>
      <w:rFonts w:cs="宋体"/>
      <w:kern w:val="2"/>
      <w:sz w:val="24"/>
    </w:rPr>
  </w:style>
  <w:style w:type="paragraph" w:customStyle="1" w:styleId="937">
    <w:name w:val="标准文本"/>
    <w:basedOn w:val="1"/>
    <w:link w:val="936"/>
    <w:qFormat/>
    <w:uiPriority w:val="0"/>
    <w:pPr>
      <w:adjustRightInd/>
      <w:spacing w:line="360" w:lineRule="auto"/>
      <w:ind w:firstLine="480" w:firstLineChars="200"/>
    </w:pPr>
    <w:rPr>
      <w:rFonts w:cs="宋体"/>
      <w:sz w:val="24"/>
      <w:szCs w:val="20"/>
    </w:rPr>
  </w:style>
  <w:style w:type="character" w:customStyle="1" w:styleId="938">
    <w:name w:val="Char Char213"/>
    <w:qFormat/>
    <w:uiPriority w:val="0"/>
    <w:rPr>
      <w:rFonts w:eastAsia="Century Gothic"/>
      <w:b/>
      <w:bCs/>
      <w:kern w:val="44"/>
      <w:sz w:val="32"/>
      <w:szCs w:val="44"/>
      <w:lang w:val="en-US" w:eastAsia="zh-CN" w:bidi="ar-SA"/>
    </w:rPr>
  </w:style>
  <w:style w:type="character" w:customStyle="1" w:styleId="939">
    <w:name w:val="apple-style-span"/>
    <w:qFormat/>
    <w:uiPriority w:val="0"/>
    <w:rPr>
      <w:rFonts w:ascii="Arial" w:hAnsi="Arial" w:eastAsia="黑体" w:cs="Arial"/>
      <w:snapToGrid w:val="0"/>
      <w:kern w:val="0"/>
      <w:szCs w:val="21"/>
    </w:rPr>
  </w:style>
  <w:style w:type="character" w:customStyle="1" w:styleId="940">
    <w:name w:val="15"/>
    <w:qFormat/>
    <w:uiPriority w:val="0"/>
    <w:rPr>
      <w:rFonts w:hint="default" w:ascii="Calibri" w:hAnsi="Calibri"/>
      <w:color w:val="0000FF"/>
      <w:u w:val="single"/>
    </w:rPr>
  </w:style>
  <w:style w:type="character" w:customStyle="1" w:styleId="941">
    <w:name w:val="16"/>
    <w:qFormat/>
    <w:uiPriority w:val="0"/>
    <w:rPr>
      <w:rFonts w:hint="eastAsia" w:ascii="宋体" w:hAnsi="宋体" w:eastAsia="宋体"/>
      <w:color w:val="000000"/>
      <w:sz w:val="20"/>
      <w:szCs w:val="20"/>
    </w:rPr>
  </w:style>
  <w:style w:type="character" w:customStyle="1" w:styleId="942">
    <w:name w:val="edui-unclickable"/>
    <w:qFormat/>
    <w:uiPriority w:val="0"/>
    <w:rPr>
      <w:color w:val="808080"/>
    </w:rPr>
  </w:style>
  <w:style w:type="character" w:customStyle="1" w:styleId="943">
    <w:name w:val="tpc_content1"/>
    <w:qFormat/>
    <w:uiPriority w:val="0"/>
    <w:rPr>
      <w:sz w:val="20"/>
      <w:szCs w:val="20"/>
    </w:rPr>
  </w:style>
  <w:style w:type="character" w:customStyle="1" w:styleId="944">
    <w:name w:val="正文文本缩进 字符"/>
    <w:qFormat/>
    <w:uiPriority w:val="0"/>
    <w:rPr>
      <w:rFonts w:ascii="Century Gothic" w:hAnsi="Century Gothic" w:eastAsia="Century Gothic"/>
      <w:kern w:val="2"/>
      <w:sz w:val="24"/>
      <w:lang w:val="en-US" w:eastAsia="zh-CN" w:bidi="ar-SA"/>
    </w:rPr>
  </w:style>
  <w:style w:type="character" w:customStyle="1" w:styleId="945">
    <w:name w:val="正文文本 2 字符"/>
    <w:qFormat/>
    <w:uiPriority w:val="0"/>
    <w:rPr>
      <w:rFonts w:ascii="Arial" w:hAnsi="Arial" w:eastAsia="宋体"/>
      <w:kern w:val="2"/>
      <w:sz w:val="24"/>
      <w:szCs w:val="24"/>
      <w:lang w:val="en-US" w:eastAsia="zh-CN" w:bidi="ar-SA"/>
    </w:rPr>
  </w:style>
  <w:style w:type="character" w:customStyle="1" w:styleId="946">
    <w:name w:val="edui-clickable2"/>
    <w:qFormat/>
    <w:uiPriority w:val="0"/>
    <w:rPr>
      <w:color w:val="0000FF"/>
      <w:u w:val="single"/>
    </w:rPr>
  </w:style>
  <w:style w:type="character" w:customStyle="1" w:styleId="947">
    <w:name w:val="style1"/>
    <w:qFormat/>
    <w:uiPriority w:val="0"/>
    <w:rPr>
      <w:rFonts w:ascii="Arial" w:hAnsi="Arial" w:eastAsia="黑体" w:cs="Arial"/>
      <w:snapToGrid w:val="0"/>
      <w:kern w:val="0"/>
      <w:szCs w:val="21"/>
    </w:rPr>
  </w:style>
  <w:style w:type="character" w:customStyle="1" w:styleId="948">
    <w:name w:val="zbggtop11 style5"/>
    <w:qFormat/>
    <w:uiPriority w:val="0"/>
    <w:rPr>
      <w:rFonts w:ascii="Arial" w:hAnsi="Arial" w:eastAsia="黑体" w:cs="Arial"/>
      <w:snapToGrid w:val="0"/>
      <w:kern w:val="0"/>
      <w:szCs w:val="21"/>
    </w:rPr>
  </w:style>
  <w:style w:type="character" w:customStyle="1" w:styleId="949">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50">
    <w:name w:val="bulletintext1"/>
    <w:qFormat/>
    <w:uiPriority w:val="0"/>
    <w:rPr>
      <w:color w:val="000000"/>
      <w:sz w:val="18"/>
    </w:rPr>
  </w:style>
  <w:style w:type="paragraph" w:customStyle="1" w:styleId="951">
    <w:name w:val="_Style 947"/>
    <w:basedOn w:val="1"/>
    <w:next w:val="260"/>
    <w:qFormat/>
    <w:uiPriority w:val="34"/>
    <w:pPr>
      <w:adjustRightInd/>
      <w:ind w:firstLine="420" w:firstLineChars="200"/>
    </w:pPr>
  </w:style>
  <w:style w:type="paragraph" w:customStyle="1" w:styleId="952">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3">
    <w:name w:val="纯文本2"/>
    <w:basedOn w:val="1"/>
    <w:qFormat/>
    <w:uiPriority w:val="0"/>
    <w:pPr>
      <w:adjustRightInd/>
      <w:snapToGrid w:val="0"/>
      <w:jc w:val="left"/>
    </w:pPr>
    <w:rPr>
      <w:rFonts w:ascii="Century Gothic" w:hAnsi="楷体_GB2312" w:eastAsia="Century Gothic"/>
      <w:szCs w:val="20"/>
    </w:rPr>
  </w:style>
  <w:style w:type="paragraph" w:customStyle="1" w:styleId="954">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5">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6">
    <w:name w:val="节"/>
    <w:basedOn w:val="5"/>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7">
    <w:name w:val="Blockquote"/>
    <w:basedOn w:val="1"/>
    <w:qFormat/>
    <w:uiPriority w:val="0"/>
    <w:pPr>
      <w:autoSpaceDE w:val="0"/>
      <w:autoSpaceDN w:val="0"/>
      <w:spacing w:before="100" w:after="100"/>
      <w:ind w:left="360" w:right="360"/>
      <w:jc w:val="left"/>
    </w:pPr>
    <w:rPr>
      <w:kern w:val="0"/>
      <w:sz w:val="24"/>
      <w:szCs w:val="20"/>
    </w:rPr>
  </w:style>
  <w:style w:type="paragraph" w:customStyle="1" w:styleId="958">
    <w:name w:val="p1"/>
    <w:basedOn w:val="1"/>
    <w:qFormat/>
    <w:uiPriority w:val="0"/>
    <w:pPr>
      <w:widowControl/>
      <w:adjustRightInd/>
      <w:jc w:val="left"/>
    </w:pPr>
    <w:rPr>
      <w:rFonts w:ascii=".PingFang SC" w:eastAsia=".PingFang SC"/>
      <w:color w:val="454545"/>
      <w:kern w:val="0"/>
      <w:sz w:val="18"/>
      <w:szCs w:val="18"/>
    </w:rPr>
  </w:style>
  <w:style w:type="paragraph" w:customStyle="1" w:styleId="959">
    <w:name w:val="Table Paragraph"/>
    <w:basedOn w:val="1"/>
    <w:qFormat/>
    <w:uiPriority w:val="0"/>
    <w:pPr>
      <w:adjustRightInd/>
      <w:jc w:val="left"/>
    </w:pPr>
    <w:rPr>
      <w:rFonts w:ascii="Calibri" w:hAnsi="Calibri"/>
      <w:kern w:val="0"/>
      <w:sz w:val="22"/>
      <w:szCs w:val="22"/>
      <w:lang w:eastAsia="en-US"/>
    </w:rPr>
  </w:style>
  <w:style w:type="paragraph" w:customStyle="1" w:styleId="960">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61">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62">
    <w:name w:val="text-tag"/>
    <w:basedOn w:val="1"/>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3">
    <w:name w:val="ksfind_class_select1"/>
    <w:basedOn w:val="72"/>
    <w:qFormat/>
    <w:uiPriority w:val="0"/>
    <w:rPr>
      <w:color w:val="000000"/>
      <w:shd w:val="clear" w:color="auto" w:fill="EFD200"/>
    </w:rPr>
  </w:style>
  <w:style w:type="character" w:customStyle="1" w:styleId="964">
    <w:name w:val="font71"/>
    <w:qFormat/>
    <w:uiPriority w:val="0"/>
    <w:rPr>
      <w:rFonts w:hint="eastAsia" w:ascii="宋体" w:hAnsi="宋体" w:eastAsia="宋体" w:cs="宋体"/>
      <w:color w:val="000000"/>
      <w:sz w:val="22"/>
      <w:szCs w:val="22"/>
      <w:u w:val="none"/>
    </w:rPr>
  </w:style>
  <w:style w:type="character" w:customStyle="1" w:styleId="965">
    <w:name w:val="font91"/>
    <w:qFormat/>
    <w:uiPriority w:val="0"/>
    <w:rPr>
      <w:rFonts w:hint="eastAsia" w:ascii="仿宋" w:hAnsi="仿宋" w:eastAsia="仿宋" w:cs="仿宋"/>
      <w:color w:val="000000"/>
      <w:sz w:val="22"/>
      <w:szCs w:val="22"/>
      <w:u w:val="none"/>
    </w:rPr>
  </w:style>
  <w:style w:type="paragraph" w:customStyle="1" w:styleId="966">
    <w:name w:val="修订4"/>
    <w:qFormat/>
    <w:uiPriority w:val="99"/>
    <w:rPr>
      <w:rFonts w:ascii="Times New Roman" w:hAnsi="Times New Roman" w:eastAsia="宋体" w:cs="Times New Roman"/>
      <w:kern w:val="2"/>
      <w:sz w:val="21"/>
      <w:szCs w:val="24"/>
      <w:lang w:val="en-US" w:eastAsia="zh-CN" w:bidi="ar-SA"/>
    </w:rPr>
  </w:style>
  <w:style w:type="paragraph" w:customStyle="1" w:styleId="967">
    <w:name w:val="Plain Text"/>
    <w:basedOn w:val="968"/>
    <w:qFormat/>
    <w:uiPriority w:val="0"/>
    <w:pPr>
      <w:widowControl/>
      <w:jc w:val="left"/>
    </w:pPr>
    <w:rPr>
      <w:rFonts w:hAnsi="Courier New"/>
    </w:rPr>
  </w:style>
  <w:style w:type="paragraph" w:customStyle="1" w:styleId="968">
    <w:name w:val="Normal"/>
    <w:basedOn w:val="1"/>
    <w:qFormat/>
    <w:uiPriority w:val="0"/>
    <w:rPr>
      <w:rFonts w:ascii="宋体" w:hAnsi="宋体" w:eastAsia="宋体" w:cs="宋体"/>
      <w:szCs w:val="21"/>
    </w:rPr>
  </w:style>
  <w:style w:type="paragraph" w:customStyle="1" w:styleId="969">
    <w:name w:val="Heading2"/>
    <w:basedOn w:val="1"/>
    <w:next w:val="1"/>
    <w:qFormat/>
    <w:uiPriority w:val="0"/>
    <w:pPr>
      <w:keepNext/>
      <w:keepLines/>
      <w:spacing w:before="260" w:after="260" w:line="413" w:lineRule="auto"/>
    </w:pPr>
    <w:rPr>
      <w:sz w:val="18"/>
      <w:szCs w:val="18"/>
    </w:rPr>
  </w:style>
  <w:style w:type="character" w:customStyle="1" w:styleId="970">
    <w:name w:val="NormalCharacter"/>
    <w:link w:val="971"/>
    <w:qFormat/>
    <w:uiPriority w:val="0"/>
    <w:rPr>
      <w:rFonts w:ascii="Calibri"/>
      <w:szCs w:val="22"/>
    </w:rPr>
  </w:style>
  <w:style w:type="paragraph" w:customStyle="1" w:styleId="971">
    <w:name w:val="UserStyle_127"/>
    <w:basedOn w:val="1"/>
    <w:link w:val="970"/>
    <w:qFormat/>
    <w:uiPriority w:val="0"/>
    <w:pPr>
      <w:spacing w:after="160" w:line="240" w:lineRule="exact"/>
      <w:jc w:val="left"/>
    </w:pPr>
    <w:rPr>
      <w:rFonts w:ascii="Calibri"/>
      <w:szCs w:val="22"/>
    </w:rPr>
  </w:style>
  <w:style w:type="paragraph" w:customStyle="1" w:styleId="972">
    <w:name w:val="目录 31"/>
    <w:next w:val="1"/>
    <w:qFormat/>
    <w:uiPriority w:val="0"/>
    <w:pPr>
      <w:wordWrap w:val="0"/>
      <w:ind w:left="850"/>
      <w:jc w:val="both"/>
    </w:pPr>
    <w:rPr>
      <w:rFonts w:ascii="Times New Roman" w:hAnsi="Times New Roman" w:eastAsia="宋体" w:cs="Times New Roman"/>
      <w:sz w:val="21"/>
      <w:lang w:val="en-US" w:eastAsia="zh-CN" w:bidi="ar-SA"/>
    </w:rPr>
  </w:style>
  <w:style w:type="character" w:customStyle="1" w:styleId="973">
    <w:name w:val="font101"/>
    <w:basedOn w:val="72"/>
    <w:qFormat/>
    <w:uiPriority w:val="0"/>
    <w:rPr>
      <w:rFonts w:ascii="Calibri" w:hAnsi="Calibri" w:cs="Calibri"/>
      <w:color w:val="000000"/>
      <w:sz w:val="20"/>
      <w:szCs w:val="20"/>
      <w:u w:val="none"/>
    </w:rPr>
  </w:style>
  <w:style w:type="paragraph" w:customStyle="1" w:styleId="974">
    <w:name w:val="?? 1"/>
    <w:basedOn w:val="1"/>
    <w:next w:val="1"/>
    <w:qFormat/>
    <w:uiPriority w:val="0"/>
    <w:pPr>
      <w:keepNext/>
      <w:overflowPunct w:val="0"/>
      <w:autoSpaceDE w:val="0"/>
      <w:autoSpaceDN w:val="0"/>
      <w:adjustRightInd w:val="0"/>
      <w:jc w:val="center"/>
      <w:textAlignment w:val="baseline"/>
    </w:pPr>
    <w:rPr>
      <w:b/>
      <w:kern w:val="0"/>
      <w:sz w:val="32"/>
    </w:rPr>
  </w:style>
  <w:style w:type="paragraph" w:customStyle="1" w:styleId="975">
    <w:name w:val="Body text|1"/>
    <w:basedOn w:val="1"/>
    <w:qFormat/>
    <w:uiPriority w:val="0"/>
    <w:pPr>
      <w:keepNext w:val="0"/>
      <w:keepLines w:val="0"/>
      <w:widowControl w:val="0"/>
      <w:suppressLineNumbers w:val="0"/>
      <w:spacing w:before="0" w:beforeAutospacing="0" w:after="0" w:afterAutospacing="0" w:line="480" w:lineRule="auto"/>
      <w:ind w:left="0" w:right="0" w:firstLine="0"/>
      <w:jc w:val="left"/>
    </w:pPr>
    <w:rPr>
      <w:rFonts w:hint="eastAsia" w:ascii="宋体" w:hAnsi="宋体" w:eastAsia="宋体" w:cs="宋体"/>
      <w:color w:val="000000"/>
      <w:spacing w:val="0"/>
      <w:kern w:val="0"/>
      <w:sz w:val="20"/>
      <w:szCs w:val="20"/>
      <w:lang w:val="en-US" w:eastAsia="zh-CN" w:bidi="ar"/>
    </w:rPr>
  </w:style>
  <w:style w:type="paragraph" w:customStyle="1" w:styleId="976">
    <w:name w:val="DAS正文"/>
    <w:basedOn w:val="1"/>
    <w:qFormat/>
    <w:uiPriority w:val="0"/>
    <w:pPr>
      <w:ind w:right="181" w:firstLine="480"/>
    </w:pPr>
    <w:rPr>
      <w:rFonts w:ascii="Verdana" w:hAnsi="Verdana"/>
      <w:sz w:val="24"/>
    </w:rPr>
  </w:style>
  <w:style w:type="paragraph" w:customStyle="1" w:styleId="977">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78">
    <w:name w:val="列表段落11"/>
    <w:basedOn w:val="1"/>
    <w:qFormat/>
    <w:uiPriority w:val="34"/>
    <w:pPr>
      <w:adjustRightInd/>
      <w:ind w:right="238" w:firstLine="420"/>
    </w:pPr>
    <w:rPr>
      <w:rFonts w:ascii="Calibri" w:hAnsi="Calibri"/>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杭州市国内经济合作办公室</Company>
  <Pages>106</Pages>
  <Words>19309</Words>
  <Characters>20715</Characters>
  <Lines>338</Lines>
  <Paragraphs>95</Paragraphs>
  <TotalTime>16</TotalTime>
  <ScaleCrop>false</ScaleCrop>
  <LinksUpToDate>false</LinksUpToDate>
  <CharactersWithSpaces>22295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2023-12-28T02:08:00Z</dcterms:created>
  <dc:creator>玥</dc:creator>
  <cp:lastModifiedBy>Alexia</cp:lastModifiedBy>
  <cp:lastPrinted>2025-10-29T00:04:00Z</cp:lastPrinted>
  <dcterms:modified xsi:type="dcterms:W3CDTF">2025-11-06T01:48:25Z</dcterms:modified>
  <dc:title>杭州市市民卡扩大发卡工程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E4594FB2676C474C8DF1323A0AB202CE_13</vt:lpwstr>
  </property>
  <property fmtid="{D5CDD505-2E9C-101B-9397-08002B2CF9AE}" pid="5" name="KSOTemplateDocerSaveRecord">
    <vt:lpwstr>eyJoZGlkIjoiOTg3MzU0NTY3NTI5NjRjYzlhYWNkZWU4MjFhNzgzMzYiLCJ1c2VySWQiOiI0NTM4NzMzNDkifQ==</vt:lpwstr>
  </property>
</Properties>
</file>