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51FD3">
      <w:pPr>
        <w:spacing w:line="360" w:lineRule="auto"/>
        <w:ind w:left="-40" w:leftChars="-200" w:hanging="380" w:hangingChars="86"/>
        <w:jc w:val="center"/>
        <w:rPr>
          <w:rFonts w:hint="eastAsia" w:asciiTheme="minorEastAsia" w:hAnsiTheme="minorEastAsia" w:eastAsiaTheme="minorEastAsia" w:cstheme="minorEastAsia"/>
          <w:b/>
          <w:bCs/>
          <w:sz w:val="44"/>
          <w:szCs w:val="44"/>
        </w:rPr>
      </w:pPr>
    </w:p>
    <w:p w14:paraId="622AC322">
      <w:pPr>
        <w:jc w:val="center"/>
        <w:rPr>
          <w:rFonts w:hint="eastAsia" w:ascii="仿宋" w:hAnsi="仿宋" w:eastAsia="仿宋" w:cs="仿宋"/>
          <w:color w:val="auto"/>
          <w:sz w:val="52"/>
          <w:szCs w:val="48"/>
        </w:rPr>
      </w:pPr>
      <w:r>
        <w:rPr>
          <w:rFonts w:hint="eastAsia" w:ascii="仿宋" w:hAnsi="仿宋" w:eastAsia="仿宋" w:cs="仿宋"/>
          <w:b/>
          <w:bCs/>
          <w:color w:val="auto"/>
          <w:sz w:val="56"/>
          <w:szCs w:val="56"/>
          <w:lang w:eastAsia="zh-CN"/>
        </w:rPr>
        <w:t>库车国家历史文化名城公共服务设施建设项目可研编制</w:t>
      </w:r>
    </w:p>
    <w:p w14:paraId="2620357D">
      <w:pPr>
        <w:jc w:val="center"/>
        <w:rPr>
          <w:rFonts w:hint="eastAsia" w:ascii="仿宋" w:hAnsi="仿宋" w:eastAsia="仿宋" w:cs="仿宋"/>
          <w:color w:val="auto"/>
          <w:sz w:val="48"/>
          <w:szCs w:val="44"/>
        </w:rPr>
      </w:pPr>
    </w:p>
    <w:p w14:paraId="143F7D3D">
      <w:pPr>
        <w:jc w:val="center"/>
        <w:rPr>
          <w:rFonts w:hint="eastAsia" w:ascii="仿宋" w:hAnsi="仿宋" w:eastAsia="仿宋" w:cs="仿宋"/>
          <w:color w:val="auto"/>
          <w:sz w:val="96"/>
          <w:szCs w:val="72"/>
        </w:rPr>
      </w:pPr>
    </w:p>
    <w:p w14:paraId="2CD156B3">
      <w:pPr>
        <w:pStyle w:val="28"/>
        <w:bidi w:val="0"/>
        <w:rPr>
          <w:rFonts w:hint="eastAsia" w:ascii="仿宋" w:hAnsi="仿宋" w:eastAsia="仿宋" w:cs="仿宋"/>
          <w:color w:val="auto"/>
        </w:rPr>
      </w:pPr>
    </w:p>
    <w:p w14:paraId="0F3AC2EC">
      <w:pPr>
        <w:spacing w:line="300" w:lineRule="auto"/>
        <w:jc w:val="center"/>
        <w:rPr>
          <w:rFonts w:hint="eastAsia" w:ascii="仿宋" w:hAnsi="仿宋" w:eastAsia="仿宋" w:cs="仿宋"/>
          <w:b/>
          <w:bCs w:val="0"/>
          <w:color w:val="auto"/>
          <w:sz w:val="56"/>
          <w:szCs w:val="52"/>
        </w:rPr>
      </w:pPr>
    </w:p>
    <w:p w14:paraId="12FFF43A">
      <w:pPr>
        <w:spacing w:line="300" w:lineRule="auto"/>
        <w:jc w:val="center"/>
        <w:rPr>
          <w:rFonts w:hint="eastAsia" w:ascii="仿宋" w:hAnsi="仿宋" w:eastAsia="仿宋" w:cs="仿宋"/>
          <w:b/>
          <w:bCs w:val="0"/>
          <w:color w:val="auto"/>
          <w:sz w:val="56"/>
          <w:szCs w:val="52"/>
        </w:rPr>
      </w:pPr>
      <w:r>
        <w:rPr>
          <w:rFonts w:hint="eastAsia" w:ascii="仿宋" w:hAnsi="仿宋" w:eastAsia="仿宋" w:cs="仿宋"/>
          <w:b/>
          <w:bCs w:val="0"/>
          <w:color w:val="auto"/>
          <w:sz w:val="56"/>
          <w:szCs w:val="52"/>
        </w:rPr>
        <w:t>竞争性磋商文件</w:t>
      </w:r>
    </w:p>
    <w:p w14:paraId="6F715BEC">
      <w:pPr>
        <w:spacing w:line="560" w:lineRule="exact"/>
        <w:jc w:val="center"/>
        <w:rPr>
          <w:rFonts w:hint="eastAsia" w:ascii="仿宋" w:hAnsi="仿宋" w:eastAsia="仿宋" w:cs="仿宋"/>
          <w:color w:val="auto"/>
          <w:sz w:val="32"/>
          <w:szCs w:val="28"/>
        </w:rPr>
      </w:pPr>
    </w:p>
    <w:p w14:paraId="67E36454">
      <w:pPr>
        <w:spacing w:line="560" w:lineRule="exact"/>
        <w:jc w:val="both"/>
        <w:rPr>
          <w:rFonts w:hint="eastAsia" w:ascii="仿宋" w:hAnsi="仿宋" w:eastAsia="仿宋" w:cs="仿宋"/>
          <w:color w:val="auto"/>
          <w:sz w:val="32"/>
          <w:szCs w:val="28"/>
        </w:rPr>
      </w:pPr>
    </w:p>
    <w:p w14:paraId="713FAAF8">
      <w:pPr>
        <w:spacing w:line="560" w:lineRule="exact"/>
        <w:jc w:val="both"/>
        <w:rPr>
          <w:rFonts w:hint="eastAsia" w:ascii="仿宋" w:hAnsi="仿宋" w:eastAsia="仿宋" w:cs="仿宋"/>
          <w:color w:val="auto"/>
          <w:sz w:val="32"/>
          <w:szCs w:val="28"/>
        </w:rPr>
      </w:pPr>
    </w:p>
    <w:p w14:paraId="58329D1C">
      <w:pPr>
        <w:pStyle w:val="28"/>
        <w:bidi w:val="0"/>
        <w:rPr>
          <w:rFonts w:hint="eastAsia" w:ascii="仿宋" w:hAnsi="仿宋" w:eastAsia="仿宋" w:cs="仿宋"/>
          <w:color w:val="auto"/>
        </w:rPr>
      </w:pPr>
    </w:p>
    <w:p w14:paraId="32382165">
      <w:pPr>
        <w:pStyle w:val="28"/>
        <w:bidi w:val="0"/>
        <w:rPr>
          <w:rFonts w:hint="eastAsia" w:ascii="仿宋" w:hAnsi="仿宋" w:eastAsia="仿宋" w:cs="仿宋"/>
          <w:color w:val="auto"/>
        </w:rPr>
      </w:pPr>
    </w:p>
    <w:p w14:paraId="771003E5">
      <w:pPr>
        <w:spacing w:line="560" w:lineRule="exact"/>
        <w:jc w:val="both"/>
        <w:rPr>
          <w:rFonts w:hint="eastAsia" w:ascii="仿宋" w:hAnsi="仿宋" w:eastAsia="仿宋" w:cs="仿宋"/>
          <w:color w:val="auto"/>
          <w:sz w:val="32"/>
          <w:szCs w:val="28"/>
        </w:rPr>
      </w:pPr>
    </w:p>
    <w:p w14:paraId="31150C01">
      <w:pPr>
        <w:spacing w:line="560" w:lineRule="exact"/>
        <w:jc w:val="both"/>
        <w:rPr>
          <w:rFonts w:hint="eastAsia" w:ascii="仿宋" w:hAnsi="仿宋" w:eastAsia="仿宋" w:cs="仿宋"/>
          <w:color w:val="auto"/>
          <w:sz w:val="32"/>
          <w:szCs w:val="28"/>
        </w:rPr>
      </w:pPr>
    </w:p>
    <w:p w14:paraId="4983DB20">
      <w:pPr>
        <w:spacing w:line="560" w:lineRule="exact"/>
        <w:jc w:val="both"/>
        <w:rPr>
          <w:rFonts w:hint="eastAsia" w:ascii="仿宋" w:hAnsi="仿宋" w:eastAsia="仿宋" w:cs="仿宋"/>
          <w:color w:val="auto"/>
          <w:sz w:val="32"/>
          <w:szCs w:val="28"/>
          <w:lang w:eastAsia="zh-CN"/>
        </w:rPr>
      </w:pPr>
      <w:r>
        <w:rPr>
          <w:rFonts w:hint="eastAsia" w:ascii="仿宋" w:hAnsi="仿宋" w:eastAsia="仿宋" w:cs="仿宋"/>
          <w:color w:val="auto"/>
          <w:sz w:val="32"/>
          <w:szCs w:val="28"/>
        </w:rPr>
        <w:t xml:space="preserve">招 标 人： </w:t>
      </w:r>
      <w:r>
        <w:rPr>
          <w:rFonts w:hint="eastAsia" w:ascii="仿宋" w:hAnsi="仿宋" w:eastAsia="仿宋" w:cs="仿宋"/>
          <w:color w:val="auto"/>
          <w:sz w:val="32"/>
          <w:szCs w:val="28"/>
          <w:lang w:eastAsia="zh-CN"/>
        </w:rPr>
        <w:t>库车市住房和城乡建设局</w:t>
      </w:r>
    </w:p>
    <w:p w14:paraId="676CA138">
      <w:pPr>
        <w:spacing w:line="560" w:lineRule="exact"/>
        <w:jc w:val="both"/>
        <w:rPr>
          <w:rFonts w:hint="eastAsia" w:ascii="仿宋" w:hAnsi="仿宋" w:eastAsia="仿宋" w:cs="仿宋"/>
          <w:color w:val="auto"/>
          <w:sz w:val="32"/>
          <w:szCs w:val="28"/>
          <w:lang w:val="en-US" w:eastAsia="zh-CN"/>
        </w:rPr>
      </w:pPr>
      <w:r>
        <w:rPr>
          <w:rFonts w:hint="eastAsia" w:ascii="仿宋" w:hAnsi="仿宋" w:eastAsia="仿宋" w:cs="仿宋"/>
          <w:color w:val="auto"/>
          <w:sz w:val="32"/>
          <w:szCs w:val="28"/>
          <w:lang w:eastAsia="zh-CN"/>
        </w:rPr>
        <w:t>联</w:t>
      </w:r>
      <w:r>
        <w:rPr>
          <w:rFonts w:hint="eastAsia" w:ascii="仿宋" w:hAnsi="仿宋" w:eastAsia="仿宋" w:cs="仿宋"/>
          <w:color w:val="auto"/>
          <w:sz w:val="32"/>
          <w:szCs w:val="28"/>
          <w:lang w:val="en-US" w:eastAsia="zh-CN"/>
        </w:rPr>
        <w:t xml:space="preserve"> </w:t>
      </w:r>
      <w:r>
        <w:rPr>
          <w:rFonts w:hint="eastAsia" w:ascii="仿宋" w:hAnsi="仿宋" w:eastAsia="仿宋" w:cs="仿宋"/>
          <w:color w:val="auto"/>
          <w:sz w:val="32"/>
          <w:szCs w:val="28"/>
          <w:lang w:eastAsia="zh-CN"/>
        </w:rPr>
        <w:t>系</w:t>
      </w:r>
      <w:r>
        <w:rPr>
          <w:rFonts w:hint="eastAsia" w:ascii="仿宋" w:hAnsi="仿宋" w:eastAsia="仿宋" w:cs="仿宋"/>
          <w:color w:val="auto"/>
          <w:sz w:val="32"/>
          <w:szCs w:val="28"/>
          <w:lang w:val="en-US" w:eastAsia="zh-CN"/>
        </w:rPr>
        <w:t xml:space="preserve"> </w:t>
      </w:r>
      <w:r>
        <w:rPr>
          <w:rFonts w:hint="eastAsia" w:ascii="仿宋" w:hAnsi="仿宋" w:eastAsia="仿宋" w:cs="仿宋"/>
          <w:color w:val="auto"/>
          <w:sz w:val="32"/>
          <w:szCs w:val="28"/>
          <w:lang w:eastAsia="zh-CN"/>
        </w:rPr>
        <w:t>人：</w:t>
      </w:r>
      <w:r>
        <w:rPr>
          <w:rFonts w:hint="eastAsia" w:ascii="仿宋" w:hAnsi="仿宋" w:eastAsia="仿宋" w:cs="仿宋"/>
          <w:color w:val="auto"/>
          <w:sz w:val="32"/>
          <w:szCs w:val="32"/>
          <w:lang w:val="en-US" w:eastAsia="zh-CN"/>
        </w:rPr>
        <w:t>郭宏</w:t>
      </w:r>
    </w:p>
    <w:p w14:paraId="435D29BC">
      <w:pPr>
        <w:spacing w:line="560" w:lineRule="exact"/>
        <w:jc w:val="both"/>
        <w:rPr>
          <w:rFonts w:hint="eastAsia" w:ascii="仿宋" w:hAnsi="仿宋" w:eastAsia="仿宋" w:cs="仿宋"/>
          <w:color w:val="auto"/>
          <w:sz w:val="32"/>
          <w:szCs w:val="28"/>
          <w:lang w:eastAsia="zh-CN"/>
        </w:rPr>
      </w:pPr>
      <w:r>
        <w:rPr>
          <w:rFonts w:hint="eastAsia" w:ascii="仿宋" w:hAnsi="仿宋" w:eastAsia="仿宋" w:cs="仿宋"/>
          <w:color w:val="auto"/>
          <w:sz w:val="32"/>
          <w:szCs w:val="28"/>
        </w:rPr>
        <w:t>代理机构：</w:t>
      </w:r>
      <w:r>
        <w:rPr>
          <w:rFonts w:hint="eastAsia" w:ascii="仿宋" w:hAnsi="仿宋" w:eastAsia="仿宋" w:cs="仿宋"/>
          <w:color w:val="auto"/>
          <w:sz w:val="32"/>
          <w:szCs w:val="28"/>
          <w:lang w:eastAsia="zh-CN"/>
        </w:rPr>
        <w:t>新疆星建华汇工程项目管理有限公司</w:t>
      </w:r>
    </w:p>
    <w:p w14:paraId="28686AD7">
      <w:pPr>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28"/>
          <w:lang w:eastAsia="zh-CN"/>
        </w:rPr>
        <w:t>联</w:t>
      </w:r>
      <w:r>
        <w:rPr>
          <w:rFonts w:hint="eastAsia" w:ascii="仿宋" w:hAnsi="仿宋" w:eastAsia="仿宋" w:cs="仿宋"/>
          <w:color w:val="auto"/>
          <w:sz w:val="32"/>
          <w:szCs w:val="28"/>
          <w:lang w:val="en-US" w:eastAsia="zh-CN"/>
        </w:rPr>
        <w:t xml:space="preserve"> </w:t>
      </w:r>
      <w:r>
        <w:rPr>
          <w:rFonts w:hint="eastAsia" w:ascii="仿宋" w:hAnsi="仿宋" w:eastAsia="仿宋" w:cs="仿宋"/>
          <w:color w:val="auto"/>
          <w:sz w:val="32"/>
          <w:szCs w:val="28"/>
          <w:lang w:eastAsia="zh-CN"/>
        </w:rPr>
        <w:t>系</w:t>
      </w:r>
      <w:r>
        <w:rPr>
          <w:rFonts w:hint="eastAsia" w:ascii="仿宋" w:hAnsi="仿宋" w:eastAsia="仿宋" w:cs="仿宋"/>
          <w:color w:val="auto"/>
          <w:sz w:val="32"/>
          <w:szCs w:val="28"/>
          <w:lang w:val="en-US" w:eastAsia="zh-CN"/>
        </w:rPr>
        <w:t xml:space="preserve"> </w:t>
      </w:r>
      <w:r>
        <w:rPr>
          <w:rFonts w:hint="eastAsia" w:ascii="仿宋" w:hAnsi="仿宋" w:eastAsia="仿宋" w:cs="仿宋"/>
          <w:color w:val="auto"/>
          <w:sz w:val="32"/>
          <w:szCs w:val="28"/>
          <w:lang w:eastAsia="zh-CN"/>
        </w:rPr>
        <w:t>人：</w:t>
      </w:r>
      <w:r>
        <w:rPr>
          <w:rFonts w:hint="eastAsia" w:ascii="仿宋" w:hAnsi="仿宋" w:eastAsia="仿宋" w:cs="仿宋"/>
          <w:color w:val="auto"/>
          <w:sz w:val="32"/>
          <w:szCs w:val="32"/>
          <w:lang w:val="en-US" w:eastAsia="zh-CN"/>
        </w:rPr>
        <w:t>王俊杰</w:t>
      </w:r>
    </w:p>
    <w:p w14:paraId="391469AB">
      <w:pPr>
        <w:pStyle w:val="28"/>
        <w:bidi w:val="0"/>
        <w:rPr>
          <w:rFonts w:hint="eastAsia" w:ascii="仿宋" w:hAnsi="仿宋" w:eastAsia="仿宋" w:cs="仿宋"/>
          <w:color w:val="auto"/>
          <w:kern w:val="2"/>
          <w:sz w:val="32"/>
          <w:szCs w:val="28"/>
          <w:lang w:val="en-US" w:eastAsia="zh-CN" w:bidi="ar-SA"/>
        </w:rPr>
      </w:pPr>
      <w:r>
        <w:rPr>
          <w:rFonts w:hint="eastAsia" w:ascii="仿宋" w:hAnsi="仿宋" w:eastAsia="仿宋" w:cs="仿宋"/>
          <w:color w:val="auto"/>
          <w:kern w:val="2"/>
          <w:sz w:val="32"/>
          <w:szCs w:val="28"/>
          <w:lang w:val="en-US" w:eastAsia="zh-CN" w:bidi="ar-SA"/>
        </w:rPr>
        <w:t>联系电话：13657523116</w:t>
      </w:r>
    </w:p>
    <w:p w14:paraId="640ABC9C">
      <w:pPr>
        <w:jc w:val="both"/>
        <w:rPr>
          <w:rFonts w:hint="eastAsia" w:ascii="仿宋" w:hAnsi="仿宋" w:eastAsia="仿宋" w:cs="仿宋"/>
          <w:color w:val="auto"/>
          <w:sz w:val="32"/>
          <w:szCs w:val="28"/>
        </w:rPr>
      </w:pPr>
    </w:p>
    <w:p w14:paraId="6FAD5D86">
      <w:pPr>
        <w:jc w:val="both"/>
        <w:rPr>
          <w:rFonts w:hint="eastAsia" w:ascii="仿宋" w:hAnsi="仿宋" w:eastAsia="仿宋" w:cs="仿宋"/>
          <w:color w:val="auto"/>
          <w:sz w:val="32"/>
          <w:szCs w:val="28"/>
        </w:rPr>
      </w:pPr>
    </w:p>
    <w:p w14:paraId="37602FEE">
      <w:pPr>
        <w:jc w:val="both"/>
        <w:rPr>
          <w:rFonts w:hint="eastAsia" w:ascii="仿宋" w:hAnsi="仿宋" w:eastAsia="仿宋" w:cs="仿宋"/>
          <w:color w:val="auto"/>
          <w:sz w:val="32"/>
          <w:szCs w:val="28"/>
        </w:rPr>
      </w:pPr>
    </w:p>
    <w:p w14:paraId="386DCC4B">
      <w:pPr>
        <w:jc w:val="center"/>
        <w:outlineLvl w:val="9"/>
        <w:rPr>
          <w:rFonts w:hint="eastAsia" w:ascii="仿宋" w:hAnsi="仿宋" w:eastAsia="仿宋" w:cs="仿宋"/>
          <w:b/>
          <w:bCs/>
          <w:color w:val="auto"/>
          <w:sz w:val="48"/>
          <w:szCs w:val="48"/>
        </w:rPr>
      </w:pPr>
      <w:r>
        <w:rPr>
          <w:rFonts w:hint="eastAsia" w:ascii="仿宋" w:hAnsi="仿宋" w:eastAsia="仿宋" w:cs="仿宋"/>
          <w:b/>
          <w:bCs/>
          <w:color w:val="auto"/>
          <w:sz w:val="48"/>
          <w:szCs w:val="48"/>
          <w:lang w:val="en-US" w:eastAsia="zh-CN"/>
        </w:rPr>
        <w:t>竞争性磋商文件</w:t>
      </w:r>
    </w:p>
    <w:p w14:paraId="6140F079">
      <w:pPr>
        <w:pStyle w:val="12"/>
        <w:bidi w:val="0"/>
        <w:rPr>
          <w:rFonts w:hint="eastAsia" w:ascii="仿宋" w:hAnsi="仿宋" w:eastAsia="仿宋" w:cs="仿宋"/>
          <w:color w:val="auto"/>
        </w:rPr>
      </w:pPr>
    </w:p>
    <w:p w14:paraId="5CF20618">
      <w:pPr>
        <w:rPr>
          <w:rFonts w:hint="eastAsia" w:ascii="仿宋" w:hAnsi="仿宋" w:eastAsia="仿宋" w:cs="仿宋"/>
          <w:color w:val="auto"/>
        </w:rPr>
      </w:pPr>
    </w:p>
    <w:p w14:paraId="36F8FD51">
      <w:pPr>
        <w:spacing w:line="360" w:lineRule="auto"/>
        <w:ind w:left="1526" w:leftChars="0" w:hanging="1526" w:hangingChars="477"/>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库车国家历史文化名城公共服务设施建设项目可研编制</w:t>
      </w:r>
    </w:p>
    <w:p w14:paraId="6F77F90D">
      <w:pPr>
        <w:spacing w:line="360" w:lineRule="auto"/>
        <w:ind w:left="259" w:leftChars="0" w:hanging="259" w:hangingChars="81"/>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招   标  人：</w:t>
      </w:r>
      <w:r>
        <w:rPr>
          <w:rFonts w:hint="eastAsia" w:ascii="仿宋" w:hAnsi="仿宋" w:eastAsia="仿宋" w:cs="仿宋"/>
          <w:color w:val="auto"/>
          <w:sz w:val="32"/>
          <w:szCs w:val="32"/>
          <w:lang w:val="en-US" w:eastAsia="zh-CN"/>
        </w:rPr>
        <w:t xml:space="preserve">库车市住房和城乡建设局 </w:t>
      </w:r>
    </w:p>
    <w:p w14:paraId="2B7E3383">
      <w:pPr>
        <w:spacing w:line="360" w:lineRule="auto"/>
        <w:ind w:left="259" w:leftChars="0" w:hanging="259" w:hangingChars="81"/>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法定代表人（签章）： </w:t>
      </w:r>
    </w:p>
    <w:p w14:paraId="338A4C10">
      <w:pPr>
        <w:spacing w:line="360" w:lineRule="auto"/>
        <w:ind w:left="259" w:leftChars="0" w:hanging="259" w:hangingChars="81"/>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val="en-US" w:eastAsia="zh-CN"/>
        </w:rPr>
        <w:t>郭宏</w:t>
      </w:r>
    </w:p>
    <w:p w14:paraId="30CFC304">
      <w:pPr>
        <w:adjustRightInd w:val="0"/>
        <w:snapToGrid w:val="0"/>
        <w:spacing w:line="360" w:lineRule="auto"/>
        <w:ind w:left="259" w:leftChars="0" w:hanging="259" w:hangingChars="81"/>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  话：</w:t>
      </w:r>
      <w:r>
        <w:rPr>
          <w:rFonts w:hint="eastAsia" w:ascii="仿宋" w:hAnsi="仿宋" w:eastAsia="仿宋" w:cs="仿宋"/>
          <w:color w:val="auto"/>
          <w:sz w:val="32"/>
          <w:szCs w:val="32"/>
          <w:lang w:val="en-US" w:eastAsia="zh-CN"/>
        </w:rPr>
        <w:t>15109979333</w:t>
      </w:r>
    </w:p>
    <w:p w14:paraId="72D0881E">
      <w:pPr>
        <w:spacing w:line="360" w:lineRule="auto"/>
        <w:ind w:firstLine="480" w:firstLineChars="150"/>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6ACF0ED5">
      <w:pPr>
        <w:spacing w:line="480" w:lineRule="auto"/>
        <w:ind w:firstLine="480" w:firstLineChars="150"/>
        <w:jc w:val="left"/>
        <w:outlineLvl w:val="9"/>
        <w:rPr>
          <w:rFonts w:hint="eastAsia" w:ascii="仿宋" w:hAnsi="仿宋" w:eastAsia="仿宋" w:cs="仿宋"/>
          <w:color w:val="auto"/>
          <w:sz w:val="32"/>
          <w:szCs w:val="32"/>
        </w:rPr>
      </w:pPr>
    </w:p>
    <w:p w14:paraId="7DE19FAE">
      <w:pPr>
        <w:spacing w:line="480" w:lineRule="auto"/>
        <w:jc w:val="left"/>
        <w:outlineLvl w:val="9"/>
        <w:rPr>
          <w:rFonts w:hint="eastAsia" w:ascii="仿宋" w:hAnsi="仿宋" w:eastAsia="仿宋" w:cs="仿宋"/>
          <w:color w:val="auto"/>
          <w:sz w:val="32"/>
          <w:szCs w:val="32"/>
        </w:rPr>
      </w:pPr>
    </w:p>
    <w:p w14:paraId="64AB2DD8">
      <w:pPr>
        <w:spacing w:line="360" w:lineRule="auto"/>
        <w:jc w:val="left"/>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招标代理机构：</w:t>
      </w:r>
      <w:r>
        <w:rPr>
          <w:rFonts w:hint="eastAsia" w:ascii="仿宋" w:hAnsi="仿宋" w:eastAsia="仿宋" w:cs="仿宋"/>
          <w:color w:val="auto"/>
          <w:sz w:val="32"/>
          <w:szCs w:val="32"/>
          <w:lang w:eastAsia="zh-CN"/>
        </w:rPr>
        <w:t>新疆星建华汇工程项目管理有限公司</w:t>
      </w:r>
    </w:p>
    <w:p w14:paraId="49FCB544">
      <w:pPr>
        <w:spacing w:line="360" w:lineRule="auto"/>
        <w:jc w:val="left"/>
        <w:outlineLvl w:val="9"/>
        <w:rPr>
          <w:rFonts w:hint="eastAsia" w:ascii="仿宋" w:hAnsi="仿宋" w:eastAsia="仿宋" w:cs="仿宋"/>
          <w:color w:val="auto"/>
          <w:sz w:val="32"/>
          <w:szCs w:val="32"/>
        </w:rPr>
      </w:pPr>
      <w:r>
        <w:rPr>
          <w:rFonts w:hint="eastAsia" w:ascii="仿宋" w:hAnsi="仿宋" w:eastAsia="仿宋" w:cs="仿宋"/>
          <w:color w:val="auto"/>
          <w:spacing w:val="25"/>
          <w:sz w:val="32"/>
          <w:szCs w:val="32"/>
        </w:rPr>
        <w:t>法定代表人</w:t>
      </w:r>
      <w:r>
        <w:rPr>
          <w:rFonts w:hint="eastAsia" w:ascii="仿宋" w:hAnsi="仿宋" w:eastAsia="仿宋" w:cs="仿宋"/>
          <w:color w:val="auto"/>
          <w:sz w:val="32"/>
          <w:szCs w:val="32"/>
        </w:rPr>
        <w:t>（签章）</w:t>
      </w:r>
      <w:r>
        <w:rPr>
          <w:rFonts w:hint="eastAsia" w:ascii="仿宋" w:hAnsi="仿宋" w:eastAsia="仿宋" w:cs="仿宋"/>
          <w:color w:val="auto"/>
          <w:spacing w:val="25"/>
          <w:sz w:val="32"/>
          <w:szCs w:val="32"/>
        </w:rPr>
        <w:t>：</w:t>
      </w:r>
      <w:r>
        <w:rPr>
          <w:rFonts w:hint="eastAsia" w:ascii="仿宋" w:hAnsi="仿宋" w:eastAsia="仿宋" w:cs="仿宋"/>
          <w:color w:val="auto"/>
          <w:sz w:val="32"/>
          <w:szCs w:val="32"/>
        </w:rPr>
        <w:t xml:space="preserve"> </w:t>
      </w:r>
    </w:p>
    <w:p w14:paraId="3DF56716">
      <w:pPr>
        <w:spacing w:line="360" w:lineRule="auto"/>
        <w:ind w:left="0" w:leftChars="0" w:firstLine="0" w:firstLineChars="0"/>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val="en-US" w:eastAsia="zh-CN"/>
        </w:rPr>
        <w:t>王俊杰</w:t>
      </w:r>
    </w:p>
    <w:p w14:paraId="74409C7F">
      <w:pPr>
        <w:spacing w:line="360" w:lineRule="auto"/>
        <w:ind w:left="0" w:leftChars="0" w:firstLine="0" w:firstLineChars="0"/>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rPr>
        <w:t>电  话：</w:t>
      </w:r>
      <w:r>
        <w:rPr>
          <w:rFonts w:hint="eastAsia" w:ascii="仿宋" w:hAnsi="仿宋" w:eastAsia="仿宋" w:cs="仿宋"/>
          <w:color w:val="auto"/>
          <w:sz w:val="32"/>
          <w:szCs w:val="32"/>
          <w:lang w:val="en-US" w:eastAsia="zh-CN"/>
        </w:rPr>
        <w:t>13657523116</w:t>
      </w:r>
    </w:p>
    <w:p w14:paraId="73F38C63">
      <w:pPr>
        <w:spacing w:line="360" w:lineRule="auto"/>
        <w:ind w:left="0" w:leftChars="0" w:firstLine="0" w:firstLineChars="0"/>
        <w:jc w:val="left"/>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联系地址：</w:t>
      </w:r>
      <w:r>
        <w:rPr>
          <w:rFonts w:hint="eastAsia" w:ascii="仿宋" w:hAnsi="仿宋" w:eastAsia="仿宋" w:cs="仿宋"/>
          <w:color w:val="auto"/>
          <w:sz w:val="32"/>
          <w:szCs w:val="32"/>
          <w:lang w:eastAsia="zh-CN"/>
        </w:rPr>
        <w:t>库车</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lang w:eastAsia="zh-CN"/>
        </w:rPr>
        <w:t>金兹花园物业二楼</w:t>
      </w:r>
    </w:p>
    <w:p w14:paraId="16350459">
      <w:pPr>
        <w:pStyle w:val="24"/>
        <w:bidi w:val="0"/>
        <w:rPr>
          <w:rFonts w:hint="eastAsia" w:ascii="仿宋" w:hAnsi="仿宋" w:eastAsia="仿宋" w:cs="仿宋"/>
          <w:color w:val="auto"/>
        </w:rPr>
      </w:pPr>
    </w:p>
    <w:p w14:paraId="69B8AF9D">
      <w:pPr>
        <w:pStyle w:val="24"/>
        <w:bidi w:val="0"/>
        <w:rPr>
          <w:rFonts w:hint="eastAsia" w:ascii="仿宋" w:hAnsi="仿宋" w:eastAsia="仿宋" w:cs="仿宋"/>
          <w:color w:val="auto"/>
        </w:rPr>
      </w:pPr>
    </w:p>
    <w:p w14:paraId="7E2F8963">
      <w:pPr>
        <w:pStyle w:val="24"/>
        <w:bidi w:val="0"/>
        <w:rPr>
          <w:rFonts w:hint="eastAsia" w:ascii="仿宋" w:hAnsi="仿宋" w:eastAsia="仿宋" w:cs="仿宋"/>
          <w:color w:val="auto"/>
        </w:rPr>
      </w:pPr>
    </w:p>
    <w:p w14:paraId="075585CB">
      <w:pPr>
        <w:pStyle w:val="24"/>
        <w:bidi w:val="0"/>
        <w:rPr>
          <w:rFonts w:hint="eastAsia" w:ascii="仿宋" w:hAnsi="仿宋" w:eastAsia="仿宋" w:cs="仿宋"/>
          <w:color w:val="auto"/>
        </w:rPr>
      </w:pPr>
    </w:p>
    <w:p w14:paraId="04175B20">
      <w:pPr>
        <w:pStyle w:val="24"/>
        <w:bidi w:val="0"/>
        <w:jc w:val="center"/>
        <w:rPr>
          <w:rFonts w:hint="eastAsia" w:ascii="仿宋" w:hAnsi="仿宋" w:eastAsia="仿宋" w:cs="仿宋"/>
          <w:color w:val="auto"/>
          <w:sz w:val="28"/>
          <w:szCs w:val="48"/>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仿宋" w:hAnsi="仿宋" w:eastAsia="仿宋" w:cs="仿宋"/>
          <w:color w:val="auto"/>
          <w:sz w:val="28"/>
          <w:szCs w:val="48"/>
          <w:lang w:eastAsia="zh-CN"/>
        </w:rPr>
        <w:t>二零二</w:t>
      </w:r>
      <w:r>
        <w:rPr>
          <w:rFonts w:hint="eastAsia" w:ascii="仿宋" w:hAnsi="仿宋" w:eastAsia="仿宋" w:cs="仿宋"/>
          <w:color w:val="auto"/>
          <w:sz w:val="28"/>
          <w:szCs w:val="48"/>
          <w:lang w:val="en-US" w:eastAsia="zh-CN"/>
        </w:rPr>
        <w:t>五</w:t>
      </w:r>
      <w:r>
        <w:rPr>
          <w:rFonts w:hint="eastAsia" w:ascii="仿宋" w:hAnsi="仿宋" w:eastAsia="仿宋" w:cs="仿宋"/>
          <w:color w:val="auto"/>
          <w:sz w:val="28"/>
          <w:szCs w:val="48"/>
          <w:lang w:eastAsia="zh-CN"/>
        </w:rPr>
        <w:t>年</w:t>
      </w:r>
    </w:p>
    <w:p w14:paraId="0590C343">
      <w:pPr>
        <w:spacing w:line="500" w:lineRule="exact"/>
        <w:jc w:val="center"/>
        <w:rPr>
          <w:rFonts w:hint="eastAsia" w:ascii="仿宋" w:hAnsi="仿宋" w:eastAsia="仿宋" w:cs="仿宋"/>
          <w:b/>
          <w:bCs/>
          <w:color w:val="auto"/>
          <w:sz w:val="48"/>
          <w:szCs w:val="48"/>
        </w:rPr>
      </w:pPr>
      <w:r>
        <w:rPr>
          <w:rFonts w:hint="eastAsia" w:ascii="仿宋" w:hAnsi="仿宋" w:eastAsia="仿宋" w:cs="仿宋"/>
          <w:b/>
          <w:bCs/>
          <w:color w:val="auto"/>
          <w:sz w:val="48"/>
          <w:szCs w:val="48"/>
        </w:rPr>
        <w:t>目</w:t>
      </w:r>
      <w:r>
        <w:rPr>
          <w:rFonts w:hint="eastAsia" w:ascii="仿宋" w:hAnsi="仿宋" w:eastAsia="仿宋" w:cs="仿宋"/>
          <w:b/>
          <w:bCs/>
          <w:color w:val="auto"/>
          <w:sz w:val="48"/>
          <w:szCs w:val="48"/>
          <w:lang w:val="en-US" w:eastAsia="zh-CN"/>
        </w:rPr>
        <w:t xml:space="preserve">  </w:t>
      </w:r>
      <w:r>
        <w:rPr>
          <w:rFonts w:hint="eastAsia" w:ascii="仿宋" w:hAnsi="仿宋" w:eastAsia="仿宋" w:cs="仿宋"/>
          <w:b/>
          <w:bCs/>
          <w:color w:val="auto"/>
          <w:sz w:val="48"/>
          <w:szCs w:val="48"/>
        </w:rPr>
        <w:t>录</w:t>
      </w:r>
    </w:p>
    <w:p w14:paraId="6FDD73C9">
      <w:pPr>
        <w:spacing w:line="500" w:lineRule="exact"/>
        <w:jc w:val="center"/>
        <w:outlineLvl w:val="9"/>
        <w:rPr>
          <w:rFonts w:hint="eastAsia" w:ascii="仿宋" w:hAnsi="仿宋" w:eastAsia="仿宋" w:cs="仿宋"/>
          <w:b/>
          <w:bCs/>
          <w:color w:val="auto"/>
          <w:sz w:val="44"/>
          <w:szCs w:val="44"/>
        </w:rPr>
      </w:pPr>
    </w:p>
    <w:sdt>
      <w:sdtPr>
        <w:rPr>
          <w:rFonts w:hint="eastAsia" w:ascii="仿宋" w:hAnsi="仿宋" w:eastAsia="仿宋" w:cs="仿宋"/>
          <w:color w:val="auto"/>
          <w:kern w:val="2"/>
          <w:sz w:val="30"/>
          <w:szCs w:val="30"/>
          <w:lang w:val="en-US" w:eastAsia="zh-CN" w:bidi="ar-SA"/>
        </w:rPr>
        <w:id w:val="147464411"/>
        <w15:color w:val="DBDBDB"/>
        <w:docPartObj>
          <w:docPartGallery w:val="Table of Contents"/>
          <w:docPartUnique/>
        </w:docPartObj>
      </w:sdtPr>
      <w:sdtEndPr>
        <w:rPr>
          <w:rFonts w:hint="eastAsia" w:ascii="仿宋" w:hAnsi="仿宋" w:eastAsia="仿宋" w:cs="仿宋"/>
          <w:bCs/>
          <w:color w:val="auto"/>
          <w:kern w:val="2"/>
          <w:sz w:val="21"/>
          <w:szCs w:val="30"/>
          <w:lang w:val="en-US" w:eastAsia="zh-CN" w:bidi="ar-SA"/>
        </w:rPr>
      </w:sdtEndPr>
      <w:sdtContent>
        <w:p w14:paraId="4EE1F36F">
          <w:pPr>
            <w:spacing w:before="0" w:beforeLines="0" w:after="0" w:afterLines="0" w:line="240" w:lineRule="auto"/>
            <w:ind w:left="0" w:leftChars="0" w:right="0" w:rightChars="0" w:firstLine="0" w:firstLineChars="0"/>
            <w:jc w:val="center"/>
            <w:rPr>
              <w:rFonts w:hint="eastAsia" w:ascii="仿宋" w:hAnsi="仿宋" w:eastAsia="仿宋" w:cs="仿宋"/>
              <w:color w:val="auto"/>
              <w:sz w:val="30"/>
              <w:szCs w:val="30"/>
            </w:rPr>
          </w:pPr>
          <w:bookmarkStart w:id="0" w:name="_Hlk39648029"/>
          <w:bookmarkStart w:id="1" w:name="_Hlk39663443"/>
          <w:bookmarkStart w:id="2" w:name="_Hlk13586256"/>
        </w:p>
        <w:p w14:paraId="65C6E3EF">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32"/>
              <w:szCs w:val="32"/>
              <w:lang w:eastAsia="zh-CN"/>
            </w:rPr>
            <w:fldChar w:fldCharType="begin"/>
          </w:r>
          <w:r>
            <w:rPr>
              <w:rFonts w:hint="eastAsia" w:ascii="仿宋" w:hAnsi="仿宋" w:eastAsia="仿宋" w:cs="仿宋"/>
              <w:b/>
              <w:bCs w:val="0"/>
              <w:color w:val="auto"/>
              <w:sz w:val="32"/>
              <w:szCs w:val="32"/>
              <w:lang w:eastAsia="zh-CN"/>
            </w:rPr>
            <w:instrText xml:space="preserve">TOC \o "1-1" \h \u </w:instrText>
          </w:r>
          <w:r>
            <w:rPr>
              <w:rFonts w:hint="eastAsia" w:ascii="仿宋" w:hAnsi="仿宋" w:eastAsia="仿宋" w:cs="仿宋"/>
              <w:b/>
              <w:bCs w:val="0"/>
              <w:color w:val="auto"/>
              <w:sz w:val="32"/>
              <w:szCs w:val="32"/>
              <w:lang w:eastAsia="zh-CN"/>
            </w:rPr>
            <w:fldChar w:fldCharType="separate"/>
          </w: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_Toc15669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sz w:val="28"/>
              <w:szCs w:val="40"/>
              <w:lang w:eastAsia="zh-CN"/>
            </w:rPr>
            <w:t xml:space="preserve">第一章 </w:t>
          </w:r>
          <w:r>
            <w:rPr>
              <w:rFonts w:hint="eastAsia" w:ascii="仿宋" w:hAnsi="仿宋" w:eastAsia="仿宋" w:cs="仿宋"/>
              <w:b/>
              <w:bCs w:val="0"/>
              <w:color w:val="auto"/>
              <w:sz w:val="28"/>
              <w:szCs w:val="40"/>
            </w:rPr>
            <w:t>竞争性磋商公</w:t>
          </w:r>
          <w:r>
            <w:rPr>
              <w:rFonts w:hint="eastAsia" w:ascii="仿宋" w:hAnsi="仿宋" w:eastAsia="仿宋" w:cs="仿宋"/>
              <w:b/>
              <w:bCs w:val="0"/>
              <w:color w:val="auto"/>
              <w:sz w:val="28"/>
              <w:szCs w:val="40"/>
              <w:lang w:eastAsia="zh-CN"/>
            </w:rPr>
            <w:t>告</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_Toc15669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033FC8E8">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_Toc11416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sz w:val="28"/>
              <w:szCs w:val="40"/>
              <w:lang w:val="en-US" w:eastAsia="zh-CN"/>
            </w:rPr>
            <w:t>第二章 供应商须知前附表</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_Toc11416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6</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5B681A53">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_Toc3450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sz w:val="28"/>
              <w:szCs w:val="40"/>
            </w:rPr>
            <w:t>第三章  政府采购合同</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_Toc3450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15</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000BC1D7">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_Toc7901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sz w:val="28"/>
              <w:szCs w:val="40"/>
            </w:rPr>
            <w:t>第四章  采购</w:t>
          </w:r>
          <w:r>
            <w:rPr>
              <w:rFonts w:hint="eastAsia" w:ascii="仿宋" w:hAnsi="仿宋" w:eastAsia="仿宋" w:cs="仿宋"/>
              <w:b/>
              <w:bCs w:val="0"/>
              <w:color w:val="auto"/>
              <w:sz w:val="28"/>
              <w:szCs w:val="40"/>
              <w:lang w:val="en-US" w:eastAsia="zh-CN"/>
            </w:rPr>
            <w:t>需</w:t>
          </w:r>
          <w:r>
            <w:rPr>
              <w:rFonts w:hint="eastAsia" w:ascii="仿宋" w:hAnsi="仿宋" w:eastAsia="仿宋" w:cs="仿宋"/>
              <w:b/>
              <w:bCs w:val="0"/>
              <w:color w:val="auto"/>
              <w:sz w:val="28"/>
              <w:szCs w:val="40"/>
            </w:rPr>
            <w:t>求</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_Toc7901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19</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042DD8DC">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_Toc11769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sz w:val="28"/>
              <w:szCs w:val="40"/>
              <w:lang w:eastAsia="zh-CN"/>
            </w:rPr>
            <w:t>第五章</w:t>
          </w:r>
          <w:r>
            <w:rPr>
              <w:rFonts w:hint="eastAsia" w:ascii="仿宋" w:hAnsi="仿宋" w:eastAsia="仿宋" w:cs="仿宋"/>
              <w:b/>
              <w:bCs w:val="0"/>
              <w:color w:val="auto"/>
              <w:sz w:val="28"/>
              <w:szCs w:val="40"/>
            </w:rPr>
            <w:t xml:space="preserve"> 评审程序、方法和标准</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_Toc11769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21</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25522BD9">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_Toc4234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sz w:val="28"/>
              <w:szCs w:val="40"/>
              <w:highlight w:val="white"/>
              <w:lang w:eastAsia="zh-CN"/>
            </w:rPr>
            <w:t>第六章</w:t>
          </w:r>
          <w:r>
            <w:rPr>
              <w:rFonts w:hint="eastAsia" w:ascii="仿宋" w:hAnsi="仿宋" w:eastAsia="仿宋" w:cs="仿宋"/>
              <w:b/>
              <w:bCs w:val="0"/>
              <w:color w:val="auto"/>
              <w:sz w:val="28"/>
              <w:szCs w:val="40"/>
              <w:highlight w:val="white"/>
              <w:lang w:val="en-US" w:eastAsia="zh-CN"/>
            </w:rPr>
            <w:t xml:space="preserve"> </w:t>
          </w:r>
          <w:r>
            <w:rPr>
              <w:rFonts w:hint="eastAsia" w:ascii="仿宋" w:hAnsi="仿宋" w:eastAsia="仿宋" w:cs="仿宋"/>
              <w:b/>
              <w:bCs w:val="0"/>
              <w:color w:val="auto"/>
              <w:kern w:val="44"/>
              <w:sz w:val="28"/>
              <w:szCs w:val="40"/>
            </w:rPr>
            <w:t>竞争性磋商须知</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_Toc4234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29</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57B635B9">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_Toc14043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sz w:val="28"/>
              <w:szCs w:val="40"/>
            </w:rPr>
            <w:t>第七章  响应文件格式</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_Toc14043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41</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5C5D2B8B">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_Toc19258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sz w:val="28"/>
              <w:szCs w:val="32"/>
              <w:highlight w:val="none"/>
              <w:lang w:eastAsia="zh-CN"/>
            </w:rPr>
            <w:t>附件</w:t>
          </w:r>
          <w:r>
            <w:rPr>
              <w:rFonts w:hint="eastAsia" w:ascii="仿宋" w:hAnsi="仿宋" w:eastAsia="仿宋" w:cs="仿宋"/>
              <w:b/>
              <w:bCs w:val="0"/>
              <w:color w:val="auto"/>
              <w:sz w:val="28"/>
              <w:szCs w:val="32"/>
              <w:highlight w:val="none"/>
              <w:lang w:val="en-US" w:eastAsia="zh-CN"/>
            </w:rPr>
            <w:t>1</w:t>
          </w:r>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_Toc19258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62</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39052483">
          <w:pPr>
            <w:pStyle w:val="23"/>
            <w:keepNext w:val="0"/>
            <w:keepLines w:val="0"/>
            <w:pageBreakBefore w:val="0"/>
            <w:tabs>
              <w:tab w:val="right" w:leader="dot" w:pos="8306"/>
            </w:tabs>
            <w:kinsoku/>
            <w:wordWrap/>
            <w:overflowPunct/>
            <w:topLinePunct w:val="0"/>
            <w:autoSpaceDE/>
            <w:autoSpaceDN/>
            <w:bidi w:val="0"/>
            <w:adjustRightInd/>
            <w:spacing w:line="72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32"/>
              <w:lang w:eastAsia="zh-CN"/>
            </w:rPr>
            <w:fldChar w:fldCharType="begin"/>
          </w:r>
          <w:r>
            <w:rPr>
              <w:rFonts w:hint="eastAsia" w:ascii="仿宋" w:hAnsi="仿宋" w:eastAsia="仿宋" w:cs="仿宋"/>
              <w:b/>
              <w:bCs w:val="0"/>
              <w:color w:val="auto"/>
              <w:sz w:val="28"/>
              <w:szCs w:val="32"/>
              <w:lang w:eastAsia="zh-CN"/>
            </w:rPr>
            <w:instrText xml:space="preserve"> HYPERLINK \l _Toc30806 </w:instrText>
          </w:r>
          <w:r>
            <w:rPr>
              <w:rFonts w:hint="eastAsia" w:ascii="仿宋" w:hAnsi="仿宋" w:eastAsia="仿宋" w:cs="仿宋"/>
              <w:b/>
              <w:bCs w:val="0"/>
              <w:color w:val="auto"/>
              <w:sz w:val="28"/>
              <w:szCs w:val="32"/>
              <w:lang w:eastAsia="zh-CN"/>
            </w:rPr>
            <w:fldChar w:fldCharType="separate"/>
          </w:r>
          <w:r>
            <w:rPr>
              <w:rFonts w:hint="eastAsia" w:ascii="仿宋" w:hAnsi="仿宋" w:eastAsia="仿宋" w:cs="仿宋"/>
              <w:b/>
              <w:bCs w:val="0"/>
              <w:color w:val="auto"/>
              <w:kern w:val="0"/>
              <w:sz w:val="28"/>
              <w:szCs w:val="32"/>
              <w:lang w:val="en-US" w:eastAsia="zh-CN" w:bidi="ar"/>
            </w:rPr>
            <w:t>附件2</w:t>
          </w:r>
          <w:r>
            <w:rPr>
              <w:rFonts w:hint="eastAsia" w:ascii="仿宋" w:hAnsi="仿宋" w:eastAsia="仿宋" w:cs="仿宋"/>
              <w:b/>
              <w:bCs w:val="0"/>
              <w:color w:val="auto"/>
              <w:kern w:val="0"/>
              <w:sz w:val="28"/>
              <w:szCs w:val="22"/>
              <w:lang w:val="en-US" w:eastAsia="zh-CN" w:bidi="ar"/>
            </w:rPr>
            <w:t>：</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PAGEREF _Toc30806 \h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63</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32"/>
              <w:lang w:eastAsia="zh-CN"/>
            </w:rPr>
            <w:fldChar w:fldCharType="end"/>
          </w:r>
        </w:p>
        <w:p w14:paraId="33F9E183">
          <w:pPr>
            <w:keepNext w:val="0"/>
            <w:keepLines w:val="0"/>
            <w:pageBreakBefore w:val="0"/>
            <w:widowControl/>
            <w:kinsoku/>
            <w:wordWrap/>
            <w:overflowPunct/>
            <w:topLinePunct w:val="0"/>
            <w:autoSpaceDE/>
            <w:autoSpaceDN/>
            <w:bidi w:val="0"/>
            <w:adjustRightInd/>
            <w:snapToGrid w:val="0"/>
            <w:spacing w:line="720" w:lineRule="auto"/>
            <w:jc w:val="both"/>
            <w:textAlignment w:val="auto"/>
            <w:rPr>
              <w:rFonts w:hint="eastAsia" w:ascii="仿宋" w:hAnsi="仿宋" w:eastAsia="仿宋" w:cs="仿宋"/>
              <w:b/>
              <w:bCs/>
              <w:color w:val="auto"/>
              <w:sz w:val="30"/>
              <w:szCs w:val="30"/>
              <w:lang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仿宋" w:hAnsi="仿宋" w:eastAsia="仿宋" w:cs="仿宋"/>
              <w:b/>
              <w:bCs w:val="0"/>
              <w:color w:val="auto"/>
              <w:sz w:val="22"/>
              <w:szCs w:val="32"/>
              <w:lang w:eastAsia="zh-CN"/>
            </w:rPr>
            <w:fldChar w:fldCharType="end"/>
          </w:r>
        </w:p>
      </w:sdtContent>
    </w:sdt>
    <w:p w14:paraId="3751B182">
      <w:pPr>
        <w:numPr>
          <w:ilvl w:val="0"/>
          <w:numId w:val="2"/>
        </w:numPr>
        <w:jc w:val="center"/>
        <w:outlineLvl w:val="0"/>
        <w:rPr>
          <w:rFonts w:hint="eastAsia" w:ascii="仿宋" w:hAnsi="仿宋" w:eastAsia="仿宋" w:cs="仿宋"/>
          <w:b/>
          <w:bCs/>
          <w:color w:val="auto"/>
          <w:sz w:val="36"/>
          <w:szCs w:val="36"/>
          <w:lang w:eastAsia="zh-CN"/>
        </w:rPr>
      </w:pPr>
      <w:bookmarkStart w:id="3" w:name="_Toc15669"/>
      <w:r>
        <w:rPr>
          <w:rFonts w:hint="eastAsia" w:ascii="仿宋" w:hAnsi="仿宋" w:eastAsia="仿宋" w:cs="仿宋"/>
          <w:b/>
          <w:bCs/>
          <w:color w:val="auto"/>
          <w:sz w:val="36"/>
          <w:szCs w:val="36"/>
        </w:rPr>
        <w:t>竞争性磋商公</w:t>
      </w:r>
      <w:bookmarkEnd w:id="0"/>
      <w:bookmarkEnd w:id="1"/>
      <w:bookmarkEnd w:id="2"/>
      <w:bookmarkStart w:id="4" w:name="_Toc9128"/>
      <w:bookmarkStart w:id="5" w:name="_Hlk38271456"/>
      <w:r>
        <w:rPr>
          <w:rFonts w:hint="eastAsia" w:ascii="仿宋" w:hAnsi="仿宋" w:eastAsia="仿宋" w:cs="仿宋"/>
          <w:b/>
          <w:bCs/>
          <w:color w:val="auto"/>
          <w:sz w:val="36"/>
          <w:szCs w:val="36"/>
          <w:lang w:eastAsia="zh-CN"/>
        </w:rPr>
        <w:t>告</w:t>
      </w:r>
      <w:bookmarkEnd w:id="3"/>
    </w:p>
    <w:p w14:paraId="0442D9B4">
      <w:pPr>
        <w:pStyle w:val="6"/>
        <w:widowControl w:val="0"/>
        <w:numPr>
          <w:ilvl w:val="0"/>
          <w:numId w:val="0"/>
        </w:numPr>
        <w:jc w:val="both"/>
        <w:rPr>
          <w:rFonts w:hint="eastAsia" w:ascii="仿宋" w:hAnsi="仿宋" w:eastAsia="仿宋" w:cs="仿宋"/>
          <w:color w:val="auto"/>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10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22" w:type="dxa"/>
          </w:tcPr>
          <w:p w14:paraId="7CFF63F0">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150" w:afterAutospacing="0" w:line="360" w:lineRule="auto"/>
              <w:ind w:left="0" w:right="0" w:firstLine="0"/>
              <w:textAlignment w:val="auto"/>
              <w:rPr>
                <w:rFonts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项目概况                                                    </w:t>
            </w:r>
          </w:p>
          <w:p w14:paraId="6464AE41">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0"/>
              <w:textAlignment w:val="auto"/>
              <w:rPr>
                <w:rFonts w:hint="eastAsia" w:ascii="仿宋" w:hAnsi="仿宋" w:eastAsia="仿宋" w:cs="仿宋"/>
                <w:color w:val="auto"/>
                <w:vertAlign w:val="baseline"/>
              </w:rPr>
            </w:pPr>
            <w:r>
              <w:rPr>
                <w:rFonts w:hint="eastAsia" w:ascii="仿宋" w:hAnsi="仿宋" w:eastAsia="仿宋" w:cs="仿宋"/>
                <w:i w:val="0"/>
                <w:iCs w:val="0"/>
                <w:caps w:val="0"/>
                <w:color w:val="auto"/>
                <w:spacing w:val="0"/>
                <w:sz w:val="24"/>
                <w:szCs w:val="24"/>
              </w:rPr>
              <w:t>    </w:t>
            </w:r>
            <w:r>
              <w:rPr>
                <w:rFonts w:hint="eastAsia" w:ascii="仿宋" w:hAnsi="仿宋" w:eastAsia="仿宋" w:cs="仿宋"/>
                <w:i w:val="0"/>
                <w:iCs w:val="0"/>
                <w:caps w:val="0"/>
                <w:color w:val="auto"/>
                <w:spacing w:val="0"/>
                <w:sz w:val="24"/>
                <w:szCs w:val="24"/>
                <w:lang w:eastAsia="zh-CN"/>
              </w:rPr>
              <w:t>库车国家历史文化名城公共服务设施建设项目可研编制</w:t>
            </w:r>
            <w:r>
              <w:rPr>
                <w:rFonts w:hint="eastAsia" w:ascii="仿宋" w:hAnsi="仿宋" w:eastAsia="仿宋" w:cs="仿宋"/>
                <w:i w:val="0"/>
                <w:iCs w:val="0"/>
                <w:caps w:val="0"/>
                <w:color w:val="auto"/>
                <w:spacing w:val="0"/>
                <w:sz w:val="24"/>
                <w:szCs w:val="24"/>
              </w:rPr>
              <w:t>采购项目的潜在供应商应在新疆政府采购网政采云平台线上获取采购文件，并于</w:t>
            </w:r>
            <w:r>
              <w:rPr>
                <w:rFonts w:hint="eastAsia" w:ascii="仿宋" w:hAnsi="仿宋" w:eastAsia="仿宋" w:cs="仿宋"/>
                <w:i w:val="0"/>
                <w:iCs w:val="0"/>
                <w:caps w:val="0"/>
                <w:color w:val="auto"/>
                <w:spacing w:val="0"/>
                <w:sz w:val="24"/>
                <w:szCs w:val="24"/>
                <w:lang w:eastAsia="zh-CN"/>
              </w:rPr>
              <w:t>2025年12月4日 10:30（北京时间）</w:t>
            </w:r>
            <w:r>
              <w:rPr>
                <w:rFonts w:hint="eastAsia" w:ascii="仿宋" w:hAnsi="仿宋" w:eastAsia="仿宋" w:cs="仿宋"/>
                <w:i w:val="0"/>
                <w:iCs w:val="0"/>
                <w:caps w:val="0"/>
                <w:color w:val="auto"/>
                <w:spacing w:val="0"/>
                <w:sz w:val="24"/>
                <w:szCs w:val="24"/>
              </w:rPr>
              <w:t>前提交响应文件。</w:t>
            </w:r>
          </w:p>
        </w:tc>
      </w:tr>
    </w:tbl>
    <w:p w14:paraId="46A52298">
      <w:pPr>
        <w:pStyle w:val="2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auto"/>
          <w:spacing w:val="0"/>
          <w:sz w:val="24"/>
          <w:szCs w:val="24"/>
        </w:rPr>
      </w:pPr>
      <w:r>
        <w:rPr>
          <w:rStyle w:val="37"/>
          <w:rFonts w:hint="eastAsia" w:ascii="仿宋" w:hAnsi="仿宋" w:eastAsia="仿宋" w:cs="仿宋"/>
          <w:i w:val="0"/>
          <w:iCs w:val="0"/>
          <w:caps w:val="0"/>
          <w:color w:val="auto"/>
          <w:spacing w:val="0"/>
          <w:sz w:val="24"/>
          <w:szCs w:val="24"/>
        </w:rPr>
        <w:t>一、项目基本情况</w:t>
      </w:r>
    </w:p>
    <w:p w14:paraId="0DD3B2E7">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rPr>
        <w:t>    项目编号：</w:t>
      </w:r>
      <w:r>
        <w:rPr>
          <w:rFonts w:hint="eastAsia" w:ascii="仿宋" w:hAnsi="仿宋" w:eastAsia="仿宋" w:cs="仿宋"/>
          <w:i w:val="0"/>
          <w:iCs w:val="0"/>
          <w:caps w:val="0"/>
          <w:color w:val="auto"/>
          <w:spacing w:val="0"/>
          <w:sz w:val="24"/>
          <w:szCs w:val="24"/>
          <w:lang w:val="en-US" w:eastAsia="zh-CN"/>
        </w:rPr>
        <w:t>KCS2025-WT290</w:t>
      </w:r>
    </w:p>
    <w:p w14:paraId="432D7ADB">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项目名称：</w:t>
      </w:r>
      <w:r>
        <w:rPr>
          <w:rFonts w:hint="eastAsia" w:ascii="仿宋" w:hAnsi="仿宋" w:eastAsia="仿宋" w:cs="仿宋"/>
          <w:i w:val="0"/>
          <w:iCs w:val="0"/>
          <w:caps w:val="0"/>
          <w:color w:val="auto"/>
          <w:spacing w:val="0"/>
          <w:sz w:val="24"/>
          <w:szCs w:val="24"/>
          <w:lang w:val="en-US" w:eastAsia="zh-CN"/>
        </w:rPr>
        <w:t>库车国家历史文化名城公共服务设施建设项目可研编制</w:t>
      </w:r>
      <w:r>
        <w:rPr>
          <w:rFonts w:hint="eastAsia" w:ascii="仿宋" w:hAnsi="仿宋" w:eastAsia="仿宋" w:cs="仿宋"/>
          <w:i w:val="0"/>
          <w:iCs w:val="0"/>
          <w:caps w:val="0"/>
          <w:color w:val="auto"/>
          <w:spacing w:val="0"/>
          <w:sz w:val="24"/>
          <w:szCs w:val="24"/>
        </w:rPr>
        <w:t> </w:t>
      </w:r>
    </w:p>
    <w:p w14:paraId="08D2EB40">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采购方式：竞争性</w:t>
      </w:r>
      <w:r>
        <w:rPr>
          <w:rFonts w:hint="eastAsia" w:ascii="仿宋" w:hAnsi="仿宋" w:eastAsia="仿宋" w:cs="仿宋"/>
          <w:i w:val="0"/>
          <w:iCs w:val="0"/>
          <w:caps w:val="0"/>
          <w:color w:val="auto"/>
          <w:spacing w:val="0"/>
          <w:sz w:val="24"/>
          <w:szCs w:val="24"/>
          <w:lang w:eastAsia="zh-CN"/>
        </w:rPr>
        <w:t>磋商</w:t>
      </w:r>
      <w:r>
        <w:rPr>
          <w:rFonts w:hint="eastAsia" w:ascii="仿宋" w:hAnsi="仿宋" w:eastAsia="仿宋" w:cs="仿宋"/>
          <w:i w:val="0"/>
          <w:iCs w:val="0"/>
          <w:caps w:val="0"/>
          <w:color w:val="auto"/>
          <w:spacing w:val="0"/>
          <w:sz w:val="24"/>
          <w:szCs w:val="24"/>
        </w:rPr>
        <w:t> </w:t>
      </w:r>
    </w:p>
    <w:p w14:paraId="4326596F">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预算金额（元）：</w:t>
      </w:r>
      <w:r>
        <w:rPr>
          <w:rFonts w:hint="eastAsia" w:ascii="仿宋" w:hAnsi="仿宋" w:eastAsia="仿宋" w:cs="仿宋"/>
          <w:i w:val="0"/>
          <w:iCs w:val="0"/>
          <w:caps w:val="0"/>
          <w:color w:val="auto"/>
          <w:spacing w:val="0"/>
          <w:sz w:val="24"/>
          <w:szCs w:val="24"/>
          <w:lang w:val="en-US" w:eastAsia="zh-CN"/>
        </w:rPr>
        <w:t>40000</w:t>
      </w:r>
      <w:r>
        <w:rPr>
          <w:rFonts w:hint="eastAsia" w:ascii="仿宋" w:hAnsi="仿宋" w:eastAsia="仿宋" w:cs="仿宋"/>
          <w:i w:val="0"/>
          <w:iCs w:val="0"/>
          <w:caps w:val="0"/>
          <w:color w:val="auto"/>
          <w:spacing w:val="0"/>
          <w:sz w:val="24"/>
          <w:szCs w:val="24"/>
        </w:rPr>
        <w:t>  </w:t>
      </w:r>
    </w:p>
    <w:p w14:paraId="39FB264B">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最高限价（元）：</w:t>
      </w:r>
      <w:r>
        <w:rPr>
          <w:rFonts w:hint="eastAsia" w:ascii="仿宋" w:hAnsi="仿宋" w:eastAsia="仿宋" w:cs="仿宋"/>
          <w:i w:val="0"/>
          <w:iCs w:val="0"/>
          <w:caps w:val="0"/>
          <w:color w:val="auto"/>
          <w:spacing w:val="0"/>
          <w:sz w:val="24"/>
          <w:szCs w:val="24"/>
          <w:lang w:val="en-US" w:eastAsia="zh-CN"/>
        </w:rPr>
        <w:t>40000</w:t>
      </w:r>
      <w:r>
        <w:rPr>
          <w:rFonts w:hint="eastAsia" w:ascii="仿宋" w:hAnsi="仿宋" w:eastAsia="仿宋" w:cs="仿宋"/>
          <w:i w:val="0"/>
          <w:iCs w:val="0"/>
          <w:caps w:val="0"/>
          <w:color w:val="auto"/>
          <w:spacing w:val="0"/>
          <w:sz w:val="24"/>
          <w:szCs w:val="24"/>
        </w:rPr>
        <w:t>  </w:t>
      </w:r>
    </w:p>
    <w:p w14:paraId="68EC3372">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采购需求：</w:t>
      </w:r>
    </w:p>
    <w:p w14:paraId="7A026FF2">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val="en-US" w:eastAsia="zh-CN"/>
        </w:rPr>
        <w:t>          </w:t>
      </w:r>
    </w:p>
    <w:p w14:paraId="5E786AA1">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标项名称： </w:t>
      </w:r>
      <w:r>
        <w:rPr>
          <w:rFonts w:hint="eastAsia" w:ascii="仿宋" w:hAnsi="仿宋" w:eastAsia="仿宋" w:cs="仿宋"/>
          <w:i w:val="0"/>
          <w:iCs w:val="0"/>
          <w:caps w:val="0"/>
          <w:color w:val="auto"/>
          <w:spacing w:val="0"/>
          <w:sz w:val="24"/>
          <w:szCs w:val="24"/>
          <w:lang w:val="en-US" w:eastAsia="zh-CN"/>
        </w:rPr>
        <w:t>库车国家历史文化名城公共服务设施建设项目可研编制</w:t>
      </w:r>
      <w:r>
        <w:rPr>
          <w:rFonts w:hint="eastAsia" w:ascii="仿宋" w:hAnsi="仿宋" w:eastAsia="仿宋" w:cs="仿宋"/>
          <w:i w:val="0"/>
          <w:iCs w:val="0"/>
          <w:caps w:val="0"/>
          <w:color w:val="auto"/>
          <w:spacing w:val="0"/>
          <w:sz w:val="24"/>
          <w:szCs w:val="24"/>
        </w:rPr>
        <w:t> </w:t>
      </w:r>
    </w:p>
    <w:p w14:paraId="496DBD94">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val="en-US" w:eastAsia="zh-CN"/>
        </w:rPr>
        <w:t>   数量：1     </w:t>
      </w:r>
    </w:p>
    <w:p w14:paraId="26D81E13">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rPr>
      </w:pPr>
      <w:r>
        <w:rPr>
          <w:rFonts w:hint="eastAsia" w:ascii="仿宋" w:hAnsi="仿宋" w:eastAsia="仿宋" w:cs="仿宋"/>
          <w:i w:val="0"/>
          <w:iCs w:val="0"/>
          <w:caps w:val="0"/>
          <w:color w:val="auto"/>
          <w:spacing w:val="0"/>
          <w:sz w:val="24"/>
          <w:szCs w:val="24"/>
        </w:rPr>
        <w:t>   预算金额（元）：</w:t>
      </w:r>
      <w:r>
        <w:rPr>
          <w:rFonts w:hint="eastAsia" w:ascii="仿宋" w:hAnsi="仿宋" w:eastAsia="仿宋" w:cs="仿宋"/>
          <w:i w:val="0"/>
          <w:iCs w:val="0"/>
          <w:caps w:val="0"/>
          <w:color w:val="auto"/>
          <w:spacing w:val="0"/>
          <w:sz w:val="24"/>
          <w:szCs w:val="24"/>
          <w:lang w:val="en-US" w:eastAsia="zh-CN"/>
        </w:rPr>
        <w:t>40000</w:t>
      </w:r>
    </w:p>
    <w:p w14:paraId="349A4CEB">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单位：</w:t>
      </w:r>
      <w:r>
        <w:rPr>
          <w:rFonts w:hint="eastAsia" w:ascii="仿宋" w:hAnsi="仿宋" w:eastAsia="仿宋" w:cs="仿宋"/>
          <w:i w:val="0"/>
          <w:iCs w:val="0"/>
          <w:caps w:val="0"/>
          <w:color w:val="auto"/>
          <w:spacing w:val="0"/>
          <w:sz w:val="24"/>
          <w:szCs w:val="24"/>
          <w:lang w:val="en-US" w:eastAsia="zh-CN"/>
        </w:rPr>
        <w:t>项</w:t>
      </w:r>
      <w:r>
        <w:rPr>
          <w:rFonts w:hint="eastAsia" w:ascii="仿宋" w:hAnsi="仿宋" w:eastAsia="仿宋" w:cs="仿宋"/>
          <w:i w:val="0"/>
          <w:iCs w:val="0"/>
          <w:caps w:val="0"/>
          <w:color w:val="auto"/>
          <w:spacing w:val="0"/>
          <w:sz w:val="24"/>
          <w:szCs w:val="24"/>
        </w:rPr>
        <w:t> </w:t>
      </w:r>
    </w:p>
    <w:p w14:paraId="22F9D0B1">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简要规格描述：详见</w:t>
      </w:r>
      <w:r>
        <w:rPr>
          <w:rFonts w:hint="eastAsia" w:ascii="仿宋" w:hAnsi="仿宋" w:eastAsia="仿宋" w:cs="仿宋"/>
          <w:i w:val="0"/>
          <w:iCs w:val="0"/>
          <w:caps w:val="0"/>
          <w:color w:val="auto"/>
          <w:spacing w:val="0"/>
          <w:sz w:val="24"/>
          <w:szCs w:val="24"/>
          <w:lang w:eastAsia="zh-CN"/>
        </w:rPr>
        <w:t>竞争性磋商</w:t>
      </w:r>
      <w:r>
        <w:rPr>
          <w:rFonts w:hint="eastAsia" w:ascii="仿宋" w:hAnsi="仿宋" w:eastAsia="仿宋" w:cs="仿宋"/>
          <w:i w:val="0"/>
          <w:iCs w:val="0"/>
          <w:caps w:val="0"/>
          <w:color w:val="auto"/>
          <w:spacing w:val="0"/>
          <w:sz w:val="24"/>
          <w:szCs w:val="24"/>
        </w:rPr>
        <w:t>文件 </w:t>
      </w:r>
    </w:p>
    <w:p w14:paraId="158DE744">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备注： </w:t>
      </w:r>
    </w:p>
    <w:p w14:paraId="0EBD52A2">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合同履约期限：标项1，</w:t>
      </w:r>
      <w:r>
        <w:rPr>
          <w:rFonts w:hint="eastAsia" w:ascii="仿宋" w:hAnsi="仿宋" w:eastAsia="仿宋" w:cs="仿宋"/>
          <w:i w:val="0"/>
          <w:iCs w:val="0"/>
          <w:caps w:val="0"/>
          <w:color w:val="auto"/>
          <w:spacing w:val="0"/>
          <w:sz w:val="24"/>
          <w:szCs w:val="24"/>
          <w:lang w:val="en-US" w:eastAsia="zh-CN"/>
        </w:rPr>
        <w:t>详见竞争性磋商文件。</w:t>
      </w:r>
      <w:r>
        <w:rPr>
          <w:rFonts w:hint="eastAsia" w:ascii="仿宋" w:hAnsi="仿宋" w:eastAsia="仿宋" w:cs="仿宋"/>
          <w:i w:val="0"/>
          <w:iCs w:val="0"/>
          <w:caps w:val="0"/>
          <w:color w:val="auto"/>
          <w:spacing w:val="0"/>
          <w:sz w:val="24"/>
          <w:szCs w:val="24"/>
        </w:rPr>
        <w:t>  </w:t>
      </w:r>
    </w:p>
    <w:p w14:paraId="1B902A59">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本项目（否）接受联合体投标。  </w:t>
      </w:r>
    </w:p>
    <w:p w14:paraId="3753CA72">
      <w:pPr>
        <w:pStyle w:val="2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auto"/>
          <w:spacing w:val="0"/>
          <w:sz w:val="24"/>
          <w:szCs w:val="24"/>
        </w:rPr>
      </w:pPr>
      <w:r>
        <w:rPr>
          <w:rStyle w:val="37"/>
          <w:rFonts w:hint="eastAsia" w:ascii="仿宋" w:hAnsi="仿宋" w:eastAsia="仿宋" w:cs="仿宋"/>
          <w:i w:val="0"/>
          <w:iCs w:val="0"/>
          <w:caps w:val="0"/>
          <w:color w:val="auto"/>
          <w:spacing w:val="0"/>
          <w:sz w:val="24"/>
          <w:szCs w:val="24"/>
        </w:rPr>
        <w:t>二、申请人的资格要求：</w:t>
      </w:r>
    </w:p>
    <w:p w14:paraId="3943905D">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1.满足《中华人民共和国政府采购法》第二十二条规定；</w:t>
      </w:r>
    </w:p>
    <w:p w14:paraId="61AC3216">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 xml:space="preserve">      </w:t>
      </w:r>
      <w:r>
        <w:rPr>
          <w:rFonts w:hint="eastAsia" w:ascii="仿宋" w:hAnsi="仿宋" w:eastAsia="仿宋" w:cs="仿宋"/>
          <w:i w:val="0"/>
          <w:iCs w:val="0"/>
          <w:caps w:val="0"/>
          <w:color w:val="auto"/>
          <w:spacing w:val="0"/>
          <w:sz w:val="24"/>
          <w:szCs w:val="24"/>
          <w:lang w:val="en-US" w:eastAsia="zh-CN"/>
        </w:rPr>
        <w:t>2</w:t>
      </w:r>
      <w:r>
        <w:rPr>
          <w:rFonts w:hint="eastAsia" w:ascii="仿宋" w:hAnsi="仿宋" w:eastAsia="仿宋" w:cs="仿宋"/>
          <w:i w:val="0"/>
          <w:iCs w:val="0"/>
          <w:caps w:val="0"/>
          <w:color w:val="auto"/>
          <w:spacing w:val="0"/>
          <w:sz w:val="24"/>
          <w:szCs w:val="24"/>
        </w:rPr>
        <w:t>.本项目的特定资格要求：本项目为专门面向中小企业预留采购份额项目；专门面向中小企业的预留份额的项目，只接受全部货物、工程、服务由中型、小型、微型企业制造、承建、承接</w:t>
      </w:r>
      <w:r>
        <w:rPr>
          <w:rFonts w:hint="eastAsia" w:ascii="仿宋" w:hAnsi="仿宋" w:eastAsia="仿宋" w:cs="仿宋"/>
          <w:i w:val="0"/>
          <w:iCs w:val="0"/>
          <w:caps w:val="0"/>
          <w:color w:val="auto"/>
          <w:spacing w:val="0"/>
          <w:sz w:val="24"/>
          <w:szCs w:val="24"/>
          <w:lang w:val="en-US" w:eastAsia="zh-CN"/>
        </w:rPr>
        <w:t>。</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rPr>
        <w:t>【标项1】</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（1）响应供应商应为具备法人资格的企业；具备有效的营业执照。</w:t>
      </w:r>
    </w:p>
    <w:p w14:paraId="6792F658">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凡拟参加本次采购项目的响应供应商，参加政府采购活动前三年，在经营活动中没有重大违法记录，如在“信用中国”、“中国政府采购网”被列入失信被执行人、重大税收违法案件当事人名单、政府采购严重违法失信行为记录名单的（尚在处罚期内的），将拒绝其参本次政府采购活动。</w:t>
      </w:r>
    </w:p>
    <w:p w14:paraId="71A259D6">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（3）具有履行合同所必需的设备和专业技术能力；</w:t>
      </w:r>
    </w:p>
    <w:p w14:paraId="1A6920E9">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（4）响应供应商具有良好的商业信誉和健全的财务会计管理制度。</w:t>
      </w:r>
    </w:p>
    <w:p w14:paraId="723E0937">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（5）有依法缴纳税收和依法缴纳社会保障资金的记录。</w:t>
      </w:r>
    </w:p>
    <w:p w14:paraId="647E5A52">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p>
    <w:p w14:paraId="4B6E839A">
      <w:pPr>
        <w:pStyle w:val="2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auto"/>
          <w:spacing w:val="0"/>
          <w:sz w:val="24"/>
          <w:szCs w:val="24"/>
        </w:rPr>
      </w:pPr>
      <w:r>
        <w:rPr>
          <w:rStyle w:val="37"/>
          <w:rFonts w:hint="eastAsia" w:ascii="仿宋" w:hAnsi="仿宋" w:eastAsia="仿宋" w:cs="仿宋"/>
          <w:i w:val="0"/>
          <w:iCs w:val="0"/>
          <w:caps w:val="0"/>
          <w:color w:val="auto"/>
          <w:spacing w:val="0"/>
          <w:sz w:val="24"/>
          <w:szCs w:val="24"/>
        </w:rPr>
        <w:t>三、获取采购文件</w:t>
      </w:r>
    </w:p>
    <w:p w14:paraId="1152E77E">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w:t>
      </w:r>
      <w:r>
        <w:rPr>
          <w:rFonts w:hint="eastAsia" w:ascii="仿宋" w:hAnsi="仿宋" w:eastAsia="仿宋" w:cs="仿宋"/>
          <w:i w:val="0"/>
          <w:iCs w:val="0"/>
          <w:caps w:val="0"/>
          <w:color w:val="auto"/>
          <w:spacing w:val="0"/>
          <w:sz w:val="24"/>
          <w:szCs w:val="24"/>
          <w:u w:val="none"/>
        </w:rPr>
        <w:t>时间：202</w:t>
      </w:r>
      <w:r>
        <w:rPr>
          <w:rFonts w:hint="eastAsia" w:ascii="仿宋" w:hAnsi="仿宋" w:eastAsia="仿宋" w:cs="仿宋"/>
          <w:i w:val="0"/>
          <w:iCs w:val="0"/>
          <w:caps w:val="0"/>
          <w:color w:val="auto"/>
          <w:spacing w:val="0"/>
          <w:sz w:val="24"/>
          <w:szCs w:val="24"/>
          <w:u w:val="none"/>
          <w:lang w:val="en-US" w:eastAsia="zh-CN"/>
        </w:rPr>
        <w:t>5</w:t>
      </w:r>
      <w:r>
        <w:rPr>
          <w:rFonts w:hint="eastAsia" w:ascii="仿宋" w:hAnsi="仿宋" w:eastAsia="仿宋" w:cs="仿宋"/>
          <w:i w:val="0"/>
          <w:iCs w:val="0"/>
          <w:caps w:val="0"/>
          <w:color w:val="auto"/>
          <w:spacing w:val="0"/>
          <w:sz w:val="24"/>
          <w:szCs w:val="24"/>
          <w:u w:val="none"/>
        </w:rPr>
        <w:t>年</w:t>
      </w:r>
      <w:r>
        <w:rPr>
          <w:rFonts w:hint="eastAsia" w:ascii="仿宋" w:hAnsi="仿宋" w:eastAsia="仿宋" w:cs="仿宋"/>
          <w:i w:val="0"/>
          <w:iCs w:val="0"/>
          <w:caps w:val="0"/>
          <w:color w:val="auto"/>
          <w:spacing w:val="0"/>
          <w:sz w:val="24"/>
          <w:szCs w:val="24"/>
          <w:u w:val="none"/>
          <w:lang w:val="en-US" w:eastAsia="zh-CN"/>
        </w:rPr>
        <w:t xml:space="preserve"> 11 </w:t>
      </w:r>
      <w:r>
        <w:rPr>
          <w:rFonts w:hint="eastAsia" w:ascii="仿宋" w:hAnsi="仿宋" w:eastAsia="仿宋" w:cs="仿宋"/>
          <w:i w:val="0"/>
          <w:iCs w:val="0"/>
          <w:caps w:val="0"/>
          <w:color w:val="auto"/>
          <w:spacing w:val="0"/>
          <w:sz w:val="24"/>
          <w:szCs w:val="24"/>
          <w:u w:val="none"/>
        </w:rPr>
        <w:t>月</w:t>
      </w:r>
      <w:r>
        <w:rPr>
          <w:rFonts w:hint="eastAsia" w:ascii="仿宋" w:hAnsi="仿宋" w:eastAsia="仿宋" w:cs="仿宋"/>
          <w:i w:val="0"/>
          <w:iCs w:val="0"/>
          <w:caps w:val="0"/>
          <w:color w:val="auto"/>
          <w:spacing w:val="0"/>
          <w:sz w:val="24"/>
          <w:szCs w:val="24"/>
          <w:u w:val="none"/>
          <w:lang w:val="en-US" w:eastAsia="zh-CN"/>
        </w:rPr>
        <w:t xml:space="preserve"> 24 </w:t>
      </w:r>
      <w:r>
        <w:rPr>
          <w:rFonts w:hint="eastAsia" w:ascii="仿宋" w:hAnsi="仿宋" w:eastAsia="仿宋" w:cs="仿宋"/>
          <w:i w:val="0"/>
          <w:iCs w:val="0"/>
          <w:caps w:val="0"/>
          <w:color w:val="auto"/>
          <w:spacing w:val="0"/>
          <w:sz w:val="24"/>
          <w:szCs w:val="24"/>
          <w:u w:val="none"/>
        </w:rPr>
        <w:t>日至202</w:t>
      </w:r>
      <w:r>
        <w:rPr>
          <w:rFonts w:hint="eastAsia" w:ascii="仿宋" w:hAnsi="仿宋" w:eastAsia="仿宋" w:cs="仿宋"/>
          <w:i w:val="0"/>
          <w:iCs w:val="0"/>
          <w:caps w:val="0"/>
          <w:color w:val="auto"/>
          <w:spacing w:val="0"/>
          <w:sz w:val="24"/>
          <w:szCs w:val="24"/>
          <w:u w:val="none"/>
          <w:lang w:val="en-US" w:eastAsia="zh-CN"/>
        </w:rPr>
        <w:t>5</w:t>
      </w:r>
      <w:r>
        <w:rPr>
          <w:rFonts w:hint="eastAsia" w:ascii="仿宋" w:hAnsi="仿宋" w:eastAsia="仿宋" w:cs="仿宋"/>
          <w:i w:val="0"/>
          <w:iCs w:val="0"/>
          <w:caps w:val="0"/>
          <w:color w:val="auto"/>
          <w:spacing w:val="0"/>
          <w:sz w:val="24"/>
          <w:szCs w:val="24"/>
          <w:u w:val="none"/>
        </w:rPr>
        <w:t>年</w:t>
      </w:r>
      <w:r>
        <w:rPr>
          <w:rFonts w:hint="eastAsia" w:ascii="仿宋" w:hAnsi="仿宋" w:eastAsia="仿宋" w:cs="仿宋"/>
          <w:i w:val="0"/>
          <w:iCs w:val="0"/>
          <w:caps w:val="0"/>
          <w:color w:val="auto"/>
          <w:spacing w:val="0"/>
          <w:sz w:val="24"/>
          <w:szCs w:val="24"/>
          <w:u w:val="none"/>
          <w:lang w:val="en-US" w:eastAsia="zh-CN"/>
        </w:rPr>
        <w:t xml:space="preserve"> 12 </w:t>
      </w:r>
      <w:r>
        <w:rPr>
          <w:rFonts w:hint="eastAsia" w:ascii="仿宋" w:hAnsi="仿宋" w:eastAsia="仿宋" w:cs="仿宋"/>
          <w:i w:val="0"/>
          <w:iCs w:val="0"/>
          <w:caps w:val="0"/>
          <w:color w:val="auto"/>
          <w:spacing w:val="0"/>
          <w:sz w:val="24"/>
          <w:szCs w:val="24"/>
          <w:u w:val="none"/>
        </w:rPr>
        <w:t>月</w:t>
      </w:r>
      <w:r>
        <w:rPr>
          <w:rFonts w:hint="eastAsia" w:ascii="仿宋" w:hAnsi="仿宋" w:eastAsia="仿宋" w:cs="仿宋"/>
          <w:i w:val="0"/>
          <w:iCs w:val="0"/>
          <w:caps w:val="0"/>
          <w:color w:val="auto"/>
          <w:spacing w:val="0"/>
          <w:sz w:val="24"/>
          <w:szCs w:val="24"/>
          <w:u w:val="none"/>
          <w:lang w:val="en-US" w:eastAsia="zh-CN"/>
        </w:rPr>
        <w:t xml:space="preserve"> 1</w:t>
      </w:r>
      <w:r>
        <w:rPr>
          <w:rFonts w:hint="eastAsia" w:ascii="仿宋" w:hAnsi="仿宋" w:eastAsia="仿宋" w:cs="仿宋"/>
          <w:i w:val="0"/>
          <w:iCs w:val="0"/>
          <w:caps w:val="0"/>
          <w:color w:val="auto"/>
          <w:spacing w:val="0"/>
          <w:sz w:val="24"/>
          <w:szCs w:val="24"/>
          <w:u w:val="none"/>
        </w:rPr>
        <w:t>日，每天上午</w:t>
      </w:r>
      <w:r>
        <w:rPr>
          <w:rFonts w:hint="eastAsia" w:ascii="仿宋" w:hAnsi="仿宋" w:eastAsia="仿宋" w:cs="仿宋"/>
          <w:i w:val="0"/>
          <w:iCs w:val="0"/>
          <w:caps w:val="0"/>
          <w:color w:val="auto"/>
          <w:spacing w:val="0"/>
          <w:sz w:val="24"/>
          <w:szCs w:val="24"/>
          <w:u w:val="none"/>
          <w:lang w:val="en-US" w:eastAsia="zh-CN"/>
        </w:rPr>
        <w:t>1</w:t>
      </w:r>
      <w:r>
        <w:rPr>
          <w:rFonts w:hint="eastAsia" w:ascii="仿宋" w:hAnsi="仿宋" w:eastAsia="仿宋" w:cs="仿宋"/>
          <w:i w:val="0"/>
          <w:iCs w:val="0"/>
          <w:caps w:val="0"/>
          <w:color w:val="auto"/>
          <w:spacing w:val="0"/>
          <w:sz w:val="24"/>
          <w:szCs w:val="24"/>
          <w:u w:val="none"/>
        </w:rPr>
        <w:t>0:00至1</w:t>
      </w:r>
      <w:r>
        <w:rPr>
          <w:rFonts w:hint="eastAsia" w:ascii="仿宋" w:hAnsi="仿宋" w:eastAsia="仿宋" w:cs="仿宋"/>
          <w:i w:val="0"/>
          <w:iCs w:val="0"/>
          <w:caps w:val="0"/>
          <w:color w:val="auto"/>
          <w:spacing w:val="0"/>
          <w:sz w:val="24"/>
          <w:szCs w:val="24"/>
          <w:u w:val="none"/>
          <w:lang w:val="en-US" w:eastAsia="zh-CN"/>
        </w:rPr>
        <w:t>4</w:t>
      </w:r>
      <w:r>
        <w:rPr>
          <w:rFonts w:hint="eastAsia" w:ascii="仿宋" w:hAnsi="仿宋" w:eastAsia="仿宋" w:cs="仿宋"/>
          <w:i w:val="0"/>
          <w:iCs w:val="0"/>
          <w:caps w:val="0"/>
          <w:color w:val="auto"/>
          <w:spacing w:val="0"/>
          <w:sz w:val="24"/>
          <w:szCs w:val="24"/>
          <w:u w:val="none"/>
        </w:rPr>
        <w:t>:00，下午1</w:t>
      </w:r>
      <w:r>
        <w:rPr>
          <w:rFonts w:hint="eastAsia" w:ascii="仿宋" w:hAnsi="仿宋" w:eastAsia="仿宋" w:cs="仿宋"/>
          <w:i w:val="0"/>
          <w:iCs w:val="0"/>
          <w:caps w:val="0"/>
          <w:color w:val="auto"/>
          <w:spacing w:val="0"/>
          <w:sz w:val="24"/>
          <w:szCs w:val="24"/>
          <w:u w:val="none"/>
          <w:lang w:val="en-US" w:eastAsia="zh-CN"/>
        </w:rPr>
        <w:t>4</w:t>
      </w:r>
      <w:r>
        <w:rPr>
          <w:rFonts w:hint="eastAsia" w:ascii="仿宋" w:hAnsi="仿宋" w:eastAsia="仿宋" w:cs="仿宋"/>
          <w:i w:val="0"/>
          <w:iCs w:val="0"/>
          <w:caps w:val="0"/>
          <w:color w:val="auto"/>
          <w:spacing w:val="0"/>
          <w:sz w:val="24"/>
          <w:szCs w:val="24"/>
          <w:u w:val="none"/>
        </w:rPr>
        <w:t>:00至2</w:t>
      </w:r>
      <w:r>
        <w:rPr>
          <w:rFonts w:hint="eastAsia" w:ascii="仿宋" w:hAnsi="仿宋" w:eastAsia="仿宋" w:cs="仿宋"/>
          <w:i w:val="0"/>
          <w:iCs w:val="0"/>
          <w:caps w:val="0"/>
          <w:color w:val="auto"/>
          <w:spacing w:val="0"/>
          <w:sz w:val="24"/>
          <w:szCs w:val="24"/>
          <w:u w:val="none"/>
          <w:lang w:val="en-US" w:eastAsia="zh-CN"/>
        </w:rPr>
        <w:t>0</w:t>
      </w:r>
      <w:r>
        <w:rPr>
          <w:rFonts w:hint="eastAsia" w:ascii="仿宋" w:hAnsi="仿宋" w:eastAsia="仿宋" w:cs="仿宋"/>
          <w:i w:val="0"/>
          <w:iCs w:val="0"/>
          <w:caps w:val="0"/>
          <w:color w:val="auto"/>
          <w:spacing w:val="0"/>
          <w:sz w:val="24"/>
          <w:szCs w:val="24"/>
          <w:u w:val="none"/>
        </w:rPr>
        <w:t>:</w:t>
      </w:r>
      <w:r>
        <w:rPr>
          <w:rFonts w:hint="eastAsia" w:ascii="仿宋" w:hAnsi="仿宋" w:eastAsia="仿宋" w:cs="仿宋"/>
          <w:i w:val="0"/>
          <w:iCs w:val="0"/>
          <w:caps w:val="0"/>
          <w:color w:val="auto"/>
          <w:spacing w:val="0"/>
          <w:sz w:val="24"/>
          <w:szCs w:val="24"/>
          <w:u w:val="none"/>
          <w:lang w:val="en-US" w:eastAsia="zh-CN"/>
        </w:rPr>
        <w:t>00</w:t>
      </w:r>
      <w:r>
        <w:rPr>
          <w:rFonts w:hint="eastAsia" w:ascii="仿宋" w:hAnsi="仿宋" w:eastAsia="仿宋" w:cs="仿宋"/>
          <w:i w:val="0"/>
          <w:iCs w:val="0"/>
          <w:caps w:val="0"/>
          <w:color w:val="auto"/>
          <w:spacing w:val="0"/>
          <w:sz w:val="24"/>
          <w:szCs w:val="24"/>
          <w:u w:val="none"/>
        </w:rPr>
        <w:t>（北京时间，法定节假日除外）</w:t>
      </w:r>
    </w:p>
    <w:p w14:paraId="5599EEE1">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地点：新疆政府采购网政采云平台线上 </w:t>
      </w:r>
    </w:p>
    <w:p w14:paraId="330DD759">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方式：供应商登录政采云平台https://www.zcygov.cn/在线申请获取采购文件（进入“项目采购”应用，在获取采购文件菜单中选择项目，申请获取采购文件） </w:t>
      </w:r>
    </w:p>
    <w:p w14:paraId="0FADF9C8">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售价（元）： </w:t>
      </w:r>
      <w:r>
        <w:rPr>
          <w:rStyle w:val="50"/>
          <w:rFonts w:hint="eastAsia" w:ascii="仿宋" w:hAnsi="仿宋" w:eastAsia="仿宋" w:cs="仿宋"/>
          <w:i w:val="0"/>
          <w:iCs w:val="0"/>
          <w:caps w:val="0"/>
          <w:color w:val="auto"/>
          <w:spacing w:val="0"/>
          <w:sz w:val="24"/>
          <w:szCs w:val="24"/>
        </w:rPr>
        <w:t>0</w:t>
      </w:r>
      <w:r>
        <w:rPr>
          <w:rFonts w:hint="eastAsia" w:ascii="仿宋" w:hAnsi="仿宋" w:eastAsia="仿宋" w:cs="仿宋"/>
          <w:i w:val="0"/>
          <w:iCs w:val="0"/>
          <w:caps w:val="0"/>
          <w:color w:val="auto"/>
          <w:spacing w:val="0"/>
          <w:sz w:val="24"/>
          <w:szCs w:val="24"/>
        </w:rPr>
        <w:t> </w:t>
      </w:r>
    </w:p>
    <w:p w14:paraId="3C7FB7AE">
      <w:pPr>
        <w:pStyle w:val="2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auto"/>
          <w:spacing w:val="0"/>
          <w:sz w:val="24"/>
          <w:szCs w:val="24"/>
        </w:rPr>
      </w:pPr>
      <w:r>
        <w:rPr>
          <w:rStyle w:val="37"/>
          <w:rFonts w:hint="eastAsia" w:ascii="仿宋" w:hAnsi="仿宋" w:eastAsia="仿宋" w:cs="仿宋"/>
          <w:i w:val="0"/>
          <w:iCs w:val="0"/>
          <w:caps w:val="0"/>
          <w:color w:val="auto"/>
          <w:spacing w:val="0"/>
          <w:sz w:val="24"/>
          <w:szCs w:val="24"/>
        </w:rPr>
        <w:t>四、响应文件提交</w:t>
      </w:r>
      <w:r>
        <w:rPr>
          <w:rFonts w:hint="eastAsia" w:ascii="仿宋" w:hAnsi="仿宋" w:eastAsia="仿宋" w:cs="仿宋"/>
          <w:i w:val="0"/>
          <w:iCs w:val="0"/>
          <w:caps w:val="0"/>
          <w:color w:val="auto"/>
          <w:spacing w:val="0"/>
          <w:sz w:val="24"/>
          <w:szCs w:val="24"/>
        </w:rPr>
        <w:t> </w:t>
      </w:r>
    </w:p>
    <w:p w14:paraId="690B7282">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rPr>
        <w:t>    截止时间：</w:t>
      </w:r>
      <w:r>
        <w:rPr>
          <w:rFonts w:hint="eastAsia" w:ascii="仿宋" w:hAnsi="仿宋" w:eastAsia="仿宋" w:cs="仿宋"/>
          <w:i w:val="0"/>
          <w:iCs w:val="0"/>
          <w:caps w:val="0"/>
          <w:color w:val="auto"/>
          <w:spacing w:val="0"/>
          <w:sz w:val="24"/>
          <w:szCs w:val="24"/>
          <w:lang w:eastAsia="zh-CN"/>
        </w:rPr>
        <w:t>2025年12月4日 10:30（北京时间）</w:t>
      </w:r>
    </w:p>
    <w:p w14:paraId="0EED9945">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地点：请登录新疆政府采购网政采云开评标系统或政采云投标客户端投标 </w:t>
      </w:r>
    </w:p>
    <w:p w14:paraId="7E60EE6F">
      <w:pPr>
        <w:pStyle w:val="2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auto"/>
          <w:spacing w:val="0"/>
          <w:sz w:val="24"/>
          <w:szCs w:val="24"/>
        </w:rPr>
      </w:pPr>
      <w:r>
        <w:rPr>
          <w:rStyle w:val="37"/>
          <w:rFonts w:hint="eastAsia" w:ascii="仿宋" w:hAnsi="仿宋" w:eastAsia="仿宋" w:cs="仿宋"/>
          <w:i w:val="0"/>
          <w:iCs w:val="0"/>
          <w:caps w:val="0"/>
          <w:color w:val="auto"/>
          <w:spacing w:val="0"/>
          <w:sz w:val="24"/>
          <w:szCs w:val="24"/>
        </w:rPr>
        <w:t>五、响应文件开启</w:t>
      </w:r>
      <w:r>
        <w:rPr>
          <w:rFonts w:hint="eastAsia" w:ascii="仿宋" w:hAnsi="仿宋" w:eastAsia="仿宋" w:cs="仿宋"/>
          <w:i w:val="0"/>
          <w:iCs w:val="0"/>
          <w:caps w:val="0"/>
          <w:color w:val="auto"/>
          <w:spacing w:val="0"/>
          <w:sz w:val="24"/>
          <w:szCs w:val="24"/>
        </w:rPr>
        <w:t> </w:t>
      </w:r>
    </w:p>
    <w:p w14:paraId="367C87DE">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rPr>
        <w:t>    开启时间：</w:t>
      </w:r>
      <w:r>
        <w:rPr>
          <w:rFonts w:hint="eastAsia" w:ascii="仿宋" w:hAnsi="仿宋" w:eastAsia="仿宋" w:cs="仿宋"/>
          <w:i w:val="0"/>
          <w:iCs w:val="0"/>
          <w:caps w:val="0"/>
          <w:color w:val="auto"/>
          <w:spacing w:val="0"/>
          <w:sz w:val="24"/>
          <w:szCs w:val="24"/>
          <w:lang w:eastAsia="zh-CN"/>
        </w:rPr>
        <w:t>2025年12月4日 10:30（北京时间）</w:t>
      </w:r>
    </w:p>
    <w:p w14:paraId="511FBFFA">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地点：</w:t>
      </w:r>
      <w:r>
        <w:rPr>
          <w:rFonts w:hint="eastAsia" w:ascii="仿宋" w:hAnsi="仿宋" w:eastAsia="仿宋" w:cs="仿宋"/>
          <w:i w:val="0"/>
          <w:iCs w:val="0"/>
          <w:caps w:val="0"/>
          <w:color w:val="auto"/>
          <w:spacing w:val="0"/>
          <w:sz w:val="24"/>
          <w:szCs w:val="24"/>
          <w:lang w:eastAsia="zh-CN"/>
        </w:rPr>
        <w:t>响应供应商</w:t>
      </w:r>
      <w:r>
        <w:rPr>
          <w:rFonts w:hint="eastAsia" w:ascii="仿宋" w:hAnsi="仿宋" w:eastAsia="仿宋" w:cs="仿宋"/>
          <w:i w:val="0"/>
          <w:iCs w:val="0"/>
          <w:caps w:val="0"/>
          <w:color w:val="auto"/>
          <w:spacing w:val="0"/>
          <w:sz w:val="24"/>
          <w:szCs w:val="24"/>
        </w:rPr>
        <w:t>登录政采云平台https://www.zcygov.cn/，进入“项目采购-开标评标-右边选择对应项目点击“进入项目”进入开标大厅。</w:t>
      </w:r>
    </w:p>
    <w:p w14:paraId="35F7206B">
      <w:pPr>
        <w:pStyle w:val="2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auto"/>
          <w:spacing w:val="0"/>
          <w:sz w:val="24"/>
          <w:szCs w:val="24"/>
        </w:rPr>
      </w:pPr>
      <w:r>
        <w:rPr>
          <w:rStyle w:val="37"/>
          <w:rFonts w:hint="eastAsia" w:ascii="仿宋" w:hAnsi="仿宋" w:eastAsia="仿宋" w:cs="仿宋"/>
          <w:i w:val="0"/>
          <w:iCs w:val="0"/>
          <w:caps w:val="0"/>
          <w:color w:val="auto"/>
          <w:spacing w:val="0"/>
          <w:sz w:val="24"/>
          <w:szCs w:val="24"/>
        </w:rPr>
        <w:t>六、公告期限</w:t>
      </w:r>
    </w:p>
    <w:p w14:paraId="67DE72FF">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自本公告发布之日起</w:t>
      </w:r>
      <w:r>
        <w:rPr>
          <w:rFonts w:hint="eastAsia" w:ascii="仿宋" w:hAnsi="仿宋" w:eastAsia="仿宋" w:cs="仿宋"/>
          <w:i w:val="0"/>
          <w:iCs w:val="0"/>
          <w:caps w:val="0"/>
          <w:color w:val="auto"/>
          <w:spacing w:val="0"/>
          <w:sz w:val="24"/>
          <w:szCs w:val="24"/>
          <w:lang w:val="en-US" w:eastAsia="zh-CN"/>
        </w:rPr>
        <w:t>5</w:t>
      </w:r>
      <w:r>
        <w:rPr>
          <w:rFonts w:hint="eastAsia" w:ascii="仿宋" w:hAnsi="仿宋" w:eastAsia="仿宋" w:cs="仿宋"/>
          <w:i w:val="0"/>
          <w:iCs w:val="0"/>
          <w:caps w:val="0"/>
          <w:color w:val="auto"/>
          <w:spacing w:val="0"/>
          <w:sz w:val="24"/>
          <w:szCs w:val="24"/>
        </w:rPr>
        <w:t>个工作日。</w:t>
      </w:r>
    </w:p>
    <w:p w14:paraId="08124B45">
      <w:pPr>
        <w:pStyle w:val="2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auto"/>
          <w:spacing w:val="0"/>
          <w:sz w:val="24"/>
          <w:szCs w:val="24"/>
        </w:rPr>
      </w:pPr>
      <w:r>
        <w:rPr>
          <w:rStyle w:val="37"/>
          <w:rFonts w:hint="eastAsia" w:ascii="仿宋" w:hAnsi="仿宋" w:eastAsia="仿宋" w:cs="仿宋"/>
          <w:i w:val="0"/>
          <w:iCs w:val="0"/>
          <w:caps w:val="0"/>
          <w:color w:val="auto"/>
          <w:spacing w:val="0"/>
          <w:sz w:val="24"/>
          <w:szCs w:val="24"/>
        </w:rPr>
        <w:t>七、其他补充事宜</w:t>
      </w:r>
      <w:r>
        <w:rPr>
          <w:rFonts w:hint="eastAsia" w:ascii="仿宋" w:hAnsi="仿宋" w:eastAsia="仿宋" w:cs="仿宋"/>
          <w:i w:val="0"/>
          <w:iCs w:val="0"/>
          <w:caps w:val="0"/>
          <w:color w:val="auto"/>
          <w:spacing w:val="0"/>
          <w:sz w:val="24"/>
          <w:szCs w:val="24"/>
        </w:rPr>
        <w:t> </w:t>
      </w:r>
    </w:p>
    <w:p w14:paraId="763FBCA7">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rPr>
        <w:t>2.本项目实行网上投标，采用加密电子</w:t>
      </w:r>
      <w:r>
        <w:rPr>
          <w:rFonts w:hint="eastAsia" w:ascii="仿宋" w:hAnsi="仿宋" w:eastAsia="仿宋" w:cs="仿宋"/>
          <w:i w:val="0"/>
          <w:iCs w:val="0"/>
          <w:caps w:val="0"/>
          <w:color w:val="auto"/>
          <w:spacing w:val="0"/>
          <w:sz w:val="24"/>
          <w:szCs w:val="24"/>
          <w:lang w:eastAsia="zh-CN"/>
        </w:rPr>
        <w:t>竞争性磋商响应文件</w:t>
      </w:r>
      <w:r>
        <w:rPr>
          <w:rFonts w:hint="eastAsia" w:ascii="仿宋" w:hAnsi="仿宋" w:eastAsia="仿宋" w:cs="仿宋"/>
          <w:i w:val="0"/>
          <w:iCs w:val="0"/>
          <w:caps w:val="0"/>
          <w:color w:val="auto"/>
          <w:spacing w:val="0"/>
          <w:sz w:val="24"/>
          <w:szCs w:val="24"/>
        </w:rPr>
        <w:t>(供应商须使用CA加密设备通过政采云电子投标客户端制作</w:t>
      </w:r>
      <w:r>
        <w:rPr>
          <w:rFonts w:hint="eastAsia" w:ascii="仿宋" w:hAnsi="仿宋" w:eastAsia="仿宋" w:cs="仿宋"/>
          <w:i w:val="0"/>
          <w:iCs w:val="0"/>
          <w:caps w:val="0"/>
          <w:color w:val="auto"/>
          <w:spacing w:val="0"/>
          <w:sz w:val="24"/>
          <w:szCs w:val="24"/>
          <w:lang w:eastAsia="zh-CN"/>
        </w:rPr>
        <w:t>竞争性磋商响应文件</w:t>
      </w:r>
      <w:r>
        <w:rPr>
          <w:rFonts w:hint="eastAsia" w:ascii="仿宋" w:hAnsi="仿宋" w:eastAsia="仿宋" w:cs="仿宋"/>
          <w:i w:val="0"/>
          <w:iCs w:val="0"/>
          <w:caps w:val="0"/>
          <w:color w:val="auto"/>
          <w:spacing w:val="0"/>
          <w:sz w:val="24"/>
          <w:szCs w:val="24"/>
        </w:rPr>
        <w:t>)。若供应商参与投标，自行承担投标一切费用。</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rPr>
        <w:t>4.供应商将政采云电子交易客户端下载、安装完成后，可通过账号密码或CA登录客户端进行</w:t>
      </w:r>
      <w:r>
        <w:rPr>
          <w:rFonts w:hint="eastAsia" w:ascii="仿宋" w:hAnsi="仿宋" w:eastAsia="仿宋" w:cs="仿宋"/>
          <w:i w:val="0"/>
          <w:iCs w:val="0"/>
          <w:caps w:val="0"/>
          <w:color w:val="auto"/>
          <w:spacing w:val="0"/>
          <w:sz w:val="24"/>
          <w:szCs w:val="24"/>
          <w:lang w:eastAsia="zh-CN"/>
        </w:rPr>
        <w:t>竞争性磋商响应文件</w:t>
      </w:r>
      <w:r>
        <w:rPr>
          <w:rFonts w:hint="eastAsia" w:ascii="仿宋" w:hAnsi="仿宋" w:eastAsia="仿宋" w:cs="仿宋"/>
          <w:i w:val="0"/>
          <w:iCs w:val="0"/>
          <w:caps w:val="0"/>
          <w:color w:val="auto"/>
          <w:spacing w:val="0"/>
          <w:sz w:val="24"/>
          <w:szCs w:val="24"/>
        </w:rPr>
        <w:t>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rPr>
        <w:t>5.供应商在开标时须使用制作加密电子</w:t>
      </w:r>
      <w:r>
        <w:rPr>
          <w:rFonts w:hint="eastAsia" w:ascii="仿宋" w:hAnsi="仿宋" w:eastAsia="仿宋" w:cs="仿宋"/>
          <w:i w:val="0"/>
          <w:iCs w:val="0"/>
          <w:caps w:val="0"/>
          <w:color w:val="auto"/>
          <w:spacing w:val="0"/>
          <w:sz w:val="24"/>
          <w:szCs w:val="24"/>
          <w:lang w:eastAsia="zh-CN"/>
        </w:rPr>
        <w:t>竞争性磋商响应文件</w:t>
      </w:r>
      <w:r>
        <w:rPr>
          <w:rFonts w:hint="eastAsia" w:ascii="仿宋" w:hAnsi="仿宋" w:eastAsia="仿宋" w:cs="仿宋"/>
          <w:i w:val="0"/>
          <w:iCs w:val="0"/>
          <w:caps w:val="0"/>
          <w:color w:val="auto"/>
          <w:spacing w:val="0"/>
          <w:sz w:val="24"/>
          <w:szCs w:val="24"/>
        </w:rPr>
        <w:t>所使用的CA锁及电脑，电脑须提前配置好浏览器（建议使用谷歌浏览器），以便开标时解锁。</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  </w:t>
      </w:r>
    </w:p>
    <w:p w14:paraId="1F1E7169">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特别提示：</w:t>
      </w:r>
    </w:p>
    <w:p w14:paraId="06AFD177">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1、采购限额标准以上，200万元以下的货物和服务采购项目、400万元以下的工程采购项目，适宜由中小企业提供的，采购人应当专门面向中小企业采购。</w:t>
      </w:r>
    </w:p>
    <w:p w14:paraId="1FF25006">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2、超过200万元的货物和服务采购项目，预留该部分采购项目预算总额的30%以上专门面向中小企业采购，其中预留给小微企业的比例不低于60%。</w:t>
      </w:r>
    </w:p>
    <w:p w14:paraId="61AE8B36">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3、超过400万元的工程采购项目中适宜由中小企业提供的，预留该部分采购项目预算总额的40%以上专门面向中小企业采购，其中预留给小微企业的比例不低于60%。</w:t>
      </w:r>
    </w:p>
    <w:p w14:paraId="19FBE5A2">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B43816">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4E8B5F1">
      <w:pPr>
        <w:pStyle w:val="2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auto"/>
          <w:spacing w:val="0"/>
          <w:sz w:val="24"/>
          <w:szCs w:val="24"/>
        </w:rPr>
      </w:pPr>
      <w:r>
        <w:rPr>
          <w:rStyle w:val="37"/>
          <w:rFonts w:hint="eastAsia" w:ascii="仿宋" w:hAnsi="仿宋" w:eastAsia="仿宋" w:cs="仿宋"/>
          <w:i w:val="0"/>
          <w:iCs w:val="0"/>
          <w:caps w:val="0"/>
          <w:color w:val="auto"/>
          <w:spacing w:val="0"/>
          <w:sz w:val="24"/>
          <w:szCs w:val="24"/>
        </w:rPr>
        <w:t>八、凡对本次招标提出询问，请按以下方式联系</w:t>
      </w:r>
    </w:p>
    <w:p w14:paraId="1FAA3098">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1.采购人信息</w:t>
      </w:r>
    </w:p>
    <w:p w14:paraId="2EB56434">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名 称：</w:t>
      </w:r>
      <w:r>
        <w:rPr>
          <w:rFonts w:hint="eastAsia" w:ascii="仿宋" w:hAnsi="仿宋" w:eastAsia="仿宋" w:cs="仿宋"/>
          <w:i w:val="0"/>
          <w:iCs w:val="0"/>
          <w:caps w:val="0"/>
          <w:color w:val="auto"/>
          <w:spacing w:val="0"/>
          <w:sz w:val="24"/>
          <w:szCs w:val="24"/>
          <w:lang w:val="en-US" w:eastAsia="zh-CN"/>
        </w:rPr>
        <w:t>库车市住房和城乡建设局</w:t>
      </w:r>
    </w:p>
    <w:p w14:paraId="0AF0B5F8">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地 址：</w:t>
      </w:r>
      <w:r>
        <w:rPr>
          <w:rFonts w:hint="eastAsia" w:ascii="仿宋" w:hAnsi="仿宋" w:eastAsia="仿宋" w:cs="仿宋"/>
          <w:i w:val="0"/>
          <w:iCs w:val="0"/>
          <w:caps w:val="0"/>
          <w:color w:val="auto"/>
          <w:spacing w:val="0"/>
          <w:sz w:val="24"/>
          <w:szCs w:val="24"/>
          <w:lang w:val="en-US" w:eastAsia="zh-CN"/>
        </w:rPr>
        <w:t>库车市库车经济技术开发区B座505室</w:t>
      </w:r>
    </w:p>
    <w:p w14:paraId="238504B1">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联系方式：</w:t>
      </w:r>
      <w:r>
        <w:rPr>
          <w:rFonts w:hint="eastAsia" w:ascii="仿宋" w:hAnsi="仿宋" w:eastAsia="仿宋" w:cs="仿宋"/>
          <w:i w:val="0"/>
          <w:iCs w:val="0"/>
          <w:caps w:val="0"/>
          <w:color w:val="auto"/>
          <w:spacing w:val="0"/>
          <w:sz w:val="24"/>
          <w:szCs w:val="24"/>
          <w:lang w:val="en-US" w:eastAsia="zh-CN"/>
        </w:rPr>
        <w:t>15109979333</w:t>
      </w:r>
    </w:p>
    <w:p w14:paraId="041A69FB">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2.采购代理机构信息</w:t>
      </w:r>
    </w:p>
    <w:p w14:paraId="248D0C40">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名 称：新疆星建华汇工程项目管理有限公司</w:t>
      </w:r>
    </w:p>
    <w:p w14:paraId="2498A191">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地 址：库车市金兹花园物业二楼</w:t>
      </w:r>
    </w:p>
    <w:p w14:paraId="57A7F644">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联系方式：</w:t>
      </w:r>
      <w:r>
        <w:rPr>
          <w:rFonts w:hint="eastAsia" w:ascii="仿宋" w:hAnsi="仿宋" w:eastAsia="仿宋" w:cs="仿宋"/>
          <w:i w:val="0"/>
          <w:iCs w:val="0"/>
          <w:caps w:val="0"/>
          <w:color w:val="auto"/>
          <w:spacing w:val="0"/>
          <w:sz w:val="24"/>
          <w:szCs w:val="24"/>
          <w:lang w:eastAsia="zh-CN"/>
        </w:rPr>
        <w:t>13657523116</w:t>
      </w:r>
    </w:p>
    <w:p w14:paraId="096A9D2A">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3.项目联系方式</w:t>
      </w:r>
    </w:p>
    <w:p w14:paraId="60598AE6">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项目联系人：</w:t>
      </w:r>
      <w:r>
        <w:rPr>
          <w:rFonts w:hint="eastAsia" w:ascii="仿宋" w:hAnsi="仿宋" w:eastAsia="仿宋" w:cs="仿宋"/>
          <w:i w:val="0"/>
          <w:iCs w:val="0"/>
          <w:caps w:val="0"/>
          <w:color w:val="auto"/>
          <w:spacing w:val="0"/>
          <w:sz w:val="24"/>
          <w:szCs w:val="24"/>
          <w:lang w:eastAsia="zh-CN"/>
        </w:rPr>
        <w:t>王俊杰</w:t>
      </w:r>
    </w:p>
    <w:p w14:paraId="53E8BD1C">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电 话：</w:t>
      </w:r>
      <w:r>
        <w:rPr>
          <w:rFonts w:hint="eastAsia" w:ascii="仿宋" w:hAnsi="仿宋" w:eastAsia="仿宋" w:cs="仿宋"/>
          <w:i w:val="0"/>
          <w:iCs w:val="0"/>
          <w:caps w:val="0"/>
          <w:color w:val="auto"/>
          <w:spacing w:val="0"/>
          <w:sz w:val="24"/>
          <w:szCs w:val="24"/>
          <w:lang w:eastAsia="zh-CN"/>
        </w:rPr>
        <w:t>13657523116</w:t>
      </w:r>
    </w:p>
    <w:p w14:paraId="775DE8F7">
      <w:pPr>
        <w:jc w:val="center"/>
        <w:outlineLvl w:val="0"/>
        <w:rPr>
          <w:rFonts w:hint="eastAsia" w:ascii="仿宋" w:hAnsi="仿宋" w:eastAsia="仿宋" w:cs="仿宋"/>
          <w:b/>
          <w:bCs/>
          <w:color w:val="auto"/>
          <w:sz w:val="36"/>
          <w:szCs w:val="36"/>
          <w:lang w:val="en-US" w:eastAsia="zh-CN"/>
        </w:rPr>
        <w:sectPr>
          <w:footerReference r:id="rId5" w:type="default"/>
          <w:pgSz w:w="11906" w:h="16838"/>
          <w:pgMar w:top="1440" w:right="1706" w:bottom="1440" w:left="1800" w:header="851" w:footer="992" w:gutter="0"/>
          <w:pgNumType w:fmt="decimal" w:start="1"/>
          <w:cols w:space="720" w:num="1"/>
          <w:docGrid w:type="lines" w:linePitch="312" w:charSpace="0"/>
        </w:sectPr>
      </w:pPr>
    </w:p>
    <w:p w14:paraId="2D7AB615">
      <w:pPr>
        <w:jc w:val="center"/>
        <w:outlineLvl w:val="0"/>
        <w:rPr>
          <w:rFonts w:hint="eastAsia" w:ascii="仿宋" w:hAnsi="仿宋" w:eastAsia="仿宋" w:cs="仿宋"/>
          <w:color w:val="auto"/>
          <w:sz w:val="28"/>
          <w:szCs w:val="28"/>
          <w:lang w:val="en-US"/>
        </w:rPr>
      </w:pPr>
      <w:bookmarkStart w:id="6" w:name="_Toc11416"/>
      <w:r>
        <w:rPr>
          <w:rFonts w:hint="eastAsia" w:ascii="仿宋" w:hAnsi="仿宋" w:eastAsia="仿宋" w:cs="仿宋"/>
          <w:b/>
          <w:bCs/>
          <w:color w:val="auto"/>
          <w:sz w:val="36"/>
          <w:szCs w:val="36"/>
          <w:lang w:val="en-US" w:eastAsia="zh-CN"/>
        </w:rPr>
        <w:t>第二章 供应商须知</w:t>
      </w:r>
      <w:bookmarkEnd w:id="4"/>
      <w:r>
        <w:rPr>
          <w:rFonts w:hint="eastAsia" w:ascii="仿宋" w:hAnsi="仿宋" w:eastAsia="仿宋" w:cs="仿宋"/>
          <w:b/>
          <w:bCs/>
          <w:color w:val="auto"/>
          <w:sz w:val="36"/>
          <w:szCs w:val="36"/>
          <w:lang w:val="en-US" w:eastAsia="zh-CN"/>
        </w:rPr>
        <w:t>前附表</w:t>
      </w:r>
      <w:bookmarkEnd w:id="6"/>
    </w:p>
    <w:tbl>
      <w:tblPr>
        <w:tblStyle w:val="35"/>
        <w:tblW w:w="10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894"/>
      </w:tblGrid>
      <w:tr w14:paraId="6FCD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14:paraId="2C0EAA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lang w:val="en-US" w:eastAsia="zh-CN"/>
              </w:rPr>
              <w:t>条款号</w:t>
            </w:r>
          </w:p>
        </w:tc>
        <w:tc>
          <w:tcPr>
            <w:tcW w:w="2548" w:type="dxa"/>
            <w:noWrap w:val="0"/>
            <w:vAlign w:val="center"/>
          </w:tcPr>
          <w:p w14:paraId="52399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条 款 名 称</w:t>
            </w:r>
          </w:p>
        </w:tc>
        <w:tc>
          <w:tcPr>
            <w:tcW w:w="6894" w:type="dxa"/>
            <w:noWrap w:val="0"/>
            <w:vAlign w:val="center"/>
          </w:tcPr>
          <w:p w14:paraId="56E12E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编 列 内 容</w:t>
            </w:r>
          </w:p>
        </w:tc>
      </w:tr>
      <w:tr w14:paraId="30AC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noWrap w:val="0"/>
            <w:vAlign w:val="center"/>
          </w:tcPr>
          <w:p w14:paraId="6EE5A6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w:t>
            </w:r>
          </w:p>
        </w:tc>
        <w:tc>
          <w:tcPr>
            <w:tcW w:w="2548" w:type="dxa"/>
            <w:noWrap w:val="0"/>
            <w:vAlign w:val="center"/>
          </w:tcPr>
          <w:p w14:paraId="1EE5E9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采购人</w:t>
            </w:r>
          </w:p>
        </w:tc>
        <w:tc>
          <w:tcPr>
            <w:tcW w:w="6894" w:type="dxa"/>
            <w:noWrap w:val="0"/>
            <w:vAlign w:val="center"/>
          </w:tcPr>
          <w:p w14:paraId="36268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名称：库车市住房和城乡建设局</w:t>
            </w:r>
          </w:p>
          <w:p w14:paraId="19087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地址：库车市库车经济技术开发区B座505室 </w:t>
            </w:r>
          </w:p>
          <w:p w14:paraId="46AB80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联系人：郭宏</w:t>
            </w:r>
          </w:p>
          <w:p w14:paraId="3FF3CF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电话：15109979333</w:t>
            </w:r>
          </w:p>
        </w:tc>
      </w:tr>
      <w:tr w14:paraId="3414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noWrap w:val="0"/>
            <w:vAlign w:val="center"/>
          </w:tcPr>
          <w:p w14:paraId="79E265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w:t>
            </w:r>
          </w:p>
        </w:tc>
        <w:tc>
          <w:tcPr>
            <w:tcW w:w="2548" w:type="dxa"/>
            <w:noWrap w:val="0"/>
            <w:vAlign w:val="center"/>
          </w:tcPr>
          <w:p w14:paraId="28B46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采购代理机构</w:t>
            </w:r>
          </w:p>
        </w:tc>
        <w:tc>
          <w:tcPr>
            <w:tcW w:w="6894" w:type="dxa"/>
            <w:noWrap w:val="0"/>
            <w:vAlign w:val="center"/>
          </w:tcPr>
          <w:p w14:paraId="1D2EA6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名称：新疆星建华汇工程项目管理有限公司</w:t>
            </w:r>
          </w:p>
          <w:p w14:paraId="5D43A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地址：库车市金兹花园物业二楼</w:t>
            </w:r>
          </w:p>
          <w:p w14:paraId="586F76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联系人：王俊杰</w:t>
            </w:r>
          </w:p>
          <w:p w14:paraId="1B7E1B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电话：13657523116</w:t>
            </w:r>
          </w:p>
        </w:tc>
      </w:tr>
      <w:tr w14:paraId="0020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14:paraId="08067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w:t>
            </w:r>
          </w:p>
        </w:tc>
        <w:tc>
          <w:tcPr>
            <w:tcW w:w="2548" w:type="dxa"/>
            <w:noWrap w:val="0"/>
            <w:vAlign w:val="center"/>
          </w:tcPr>
          <w:p w14:paraId="478C29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采购项目名称及项目编号</w:t>
            </w:r>
          </w:p>
        </w:tc>
        <w:tc>
          <w:tcPr>
            <w:tcW w:w="6894" w:type="dxa"/>
            <w:noWrap w:val="0"/>
            <w:vAlign w:val="center"/>
          </w:tcPr>
          <w:p w14:paraId="38280E1C">
            <w:pPr>
              <w:pStyle w:val="28"/>
              <w:bidi w:val="0"/>
              <w:spacing w:line="360" w:lineRule="auto"/>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 xml:space="preserve">库车国家历史文化名城公共服务设施建设项目可研编制           </w:t>
            </w:r>
          </w:p>
          <w:p w14:paraId="49DB2B8C">
            <w:pPr>
              <w:pStyle w:val="28"/>
              <w:bidi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pacing w:val="0"/>
                <w:sz w:val="24"/>
                <w:szCs w:val="24"/>
                <w:vertAlign w:val="baseline"/>
                <w:lang w:val="en-US" w:eastAsia="zh-CN"/>
              </w:rPr>
              <w:t>项目编号：KCS2025-WT290</w:t>
            </w:r>
          </w:p>
        </w:tc>
      </w:tr>
      <w:tr w14:paraId="6690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14:paraId="599E6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w:t>
            </w:r>
          </w:p>
        </w:tc>
        <w:tc>
          <w:tcPr>
            <w:tcW w:w="2548" w:type="dxa"/>
            <w:noWrap w:val="0"/>
            <w:vAlign w:val="center"/>
          </w:tcPr>
          <w:p w14:paraId="471EB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资金来源及比例</w:t>
            </w:r>
          </w:p>
        </w:tc>
        <w:tc>
          <w:tcPr>
            <w:tcW w:w="6894" w:type="dxa"/>
            <w:noWrap w:val="0"/>
            <w:vAlign w:val="center"/>
          </w:tcPr>
          <w:p w14:paraId="3DC0E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市财政资金</w:t>
            </w:r>
          </w:p>
        </w:tc>
      </w:tr>
      <w:tr w14:paraId="7573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noWrap w:val="0"/>
            <w:vAlign w:val="center"/>
          </w:tcPr>
          <w:p w14:paraId="4C1336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5</w:t>
            </w:r>
          </w:p>
        </w:tc>
        <w:tc>
          <w:tcPr>
            <w:tcW w:w="2548" w:type="dxa"/>
            <w:noWrap w:val="0"/>
            <w:vAlign w:val="center"/>
          </w:tcPr>
          <w:p w14:paraId="39810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资金落实情况</w:t>
            </w:r>
          </w:p>
        </w:tc>
        <w:tc>
          <w:tcPr>
            <w:tcW w:w="6894" w:type="dxa"/>
            <w:noWrap w:val="0"/>
            <w:vAlign w:val="center"/>
          </w:tcPr>
          <w:p w14:paraId="06550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已落实</w:t>
            </w:r>
          </w:p>
        </w:tc>
      </w:tr>
      <w:tr w14:paraId="33CC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14:paraId="537F8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6</w:t>
            </w:r>
          </w:p>
        </w:tc>
        <w:tc>
          <w:tcPr>
            <w:tcW w:w="2548" w:type="dxa"/>
            <w:noWrap w:val="0"/>
            <w:vAlign w:val="center"/>
          </w:tcPr>
          <w:p w14:paraId="3FA703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采购服务范围</w:t>
            </w:r>
          </w:p>
        </w:tc>
        <w:tc>
          <w:tcPr>
            <w:tcW w:w="6894" w:type="dxa"/>
            <w:noWrap w:val="0"/>
            <w:vAlign w:val="center"/>
          </w:tcPr>
          <w:p w14:paraId="3595E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为库车国家历史文化名城公共服务设施建设项目进行可研编制，能按时完成编制工作，并通过相关部门审核，编制内容合格达标，按行业要求提供服务。（竞争性磋商文件包含的全部内容）</w:t>
            </w:r>
          </w:p>
        </w:tc>
      </w:tr>
      <w:tr w14:paraId="7DE7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14:paraId="634BD4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7</w:t>
            </w:r>
          </w:p>
        </w:tc>
        <w:tc>
          <w:tcPr>
            <w:tcW w:w="2548" w:type="dxa"/>
            <w:noWrap w:val="0"/>
            <w:vAlign w:val="center"/>
          </w:tcPr>
          <w:p w14:paraId="2F022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采购预算</w:t>
            </w:r>
          </w:p>
        </w:tc>
        <w:tc>
          <w:tcPr>
            <w:tcW w:w="6894" w:type="dxa"/>
            <w:noWrap w:val="0"/>
            <w:vAlign w:val="center"/>
          </w:tcPr>
          <w:p w14:paraId="0D303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240" w:firstLineChars="1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40000</w:t>
            </w:r>
            <w:r>
              <w:rPr>
                <w:rFonts w:hint="eastAsia" w:ascii="仿宋" w:hAnsi="仿宋" w:eastAsia="仿宋" w:cs="仿宋"/>
                <w:b/>
                <w:bCs/>
                <w:color w:val="auto"/>
                <w:spacing w:val="0"/>
                <w:sz w:val="24"/>
                <w:szCs w:val="24"/>
                <w:u w:val="none"/>
                <w:vertAlign w:val="baseline"/>
                <w:lang w:val="en-US" w:eastAsia="zh-CN"/>
              </w:rPr>
              <w:t>元</w:t>
            </w:r>
          </w:p>
        </w:tc>
      </w:tr>
      <w:tr w14:paraId="1B20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noWrap w:val="0"/>
            <w:vAlign w:val="center"/>
          </w:tcPr>
          <w:p w14:paraId="0524AC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8</w:t>
            </w:r>
          </w:p>
        </w:tc>
        <w:tc>
          <w:tcPr>
            <w:tcW w:w="2548" w:type="dxa"/>
            <w:noWrap w:val="0"/>
            <w:vAlign w:val="center"/>
          </w:tcPr>
          <w:p w14:paraId="07664E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编制周期</w:t>
            </w:r>
          </w:p>
        </w:tc>
        <w:tc>
          <w:tcPr>
            <w:tcW w:w="6894" w:type="dxa"/>
            <w:noWrap w:val="0"/>
            <w:vAlign w:val="center"/>
          </w:tcPr>
          <w:p w14:paraId="111056F8">
            <w:pPr>
              <w:pStyle w:val="85"/>
              <w:spacing w:before="36" w:line="360" w:lineRule="auto"/>
              <w:ind w:right="106"/>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合同签订之日起7日内完成。</w:t>
            </w:r>
          </w:p>
          <w:p w14:paraId="2F21BCE8">
            <w:pPr>
              <w:pStyle w:val="85"/>
              <w:spacing w:before="27" w:line="360" w:lineRule="auto"/>
              <w:ind w:right="10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需保质保量的7天内提供电子版及纸质版可研报告。</w:t>
            </w:r>
          </w:p>
        </w:tc>
      </w:tr>
      <w:tr w14:paraId="2F55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noWrap w:val="0"/>
            <w:vAlign w:val="center"/>
          </w:tcPr>
          <w:p w14:paraId="30561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9</w:t>
            </w:r>
          </w:p>
        </w:tc>
        <w:tc>
          <w:tcPr>
            <w:tcW w:w="2548" w:type="dxa"/>
            <w:shd w:val="clear" w:color="auto" w:fill="auto"/>
            <w:noWrap w:val="0"/>
            <w:vAlign w:val="center"/>
          </w:tcPr>
          <w:p w14:paraId="259EB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费用支付方式</w:t>
            </w:r>
          </w:p>
        </w:tc>
        <w:tc>
          <w:tcPr>
            <w:tcW w:w="6894" w:type="dxa"/>
            <w:shd w:val="clear" w:color="auto" w:fill="auto"/>
            <w:noWrap w:val="0"/>
            <w:vAlign w:val="center"/>
          </w:tcPr>
          <w:p w14:paraId="785F4D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费用采用固定总价方式分期支付。</w:t>
            </w:r>
          </w:p>
          <w:p w14:paraId="0DDE87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第一次支付：合同签订后支付合同总额的30%；</w:t>
            </w:r>
          </w:p>
          <w:p w14:paraId="76C20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第二次支付：最终成果提交且取得批复后支付合同总额的70%；</w:t>
            </w:r>
          </w:p>
        </w:tc>
      </w:tr>
      <w:tr w14:paraId="6F20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14:paraId="11600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10</w:t>
            </w:r>
          </w:p>
        </w:tc>
        <w:tc>
          <w:tcPr>
            <w:tcW w:w="2548" w:type="dxa"/>
            <w:noWrap w:val="0"/>
            <w:vAlign w:val="center"/>
          </w:tcPr>
          <w:p w14:paraId="16C16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服务地点</w:t>
            </w:r>
          </w:p>
        </w:tc>
        <w:tc>
          <w:tcPr>
            <w:tcW w:w="6894" w:type="dxa"/>
            <w:noWrap w:val="0"/>
            <w:vAlign w:val="center"/>
          </w:tcPr>
          <w:p w14:paraId="72635E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库车市</w:t>
            </w:r>
          </w:p>
        </w:tc>
      </w:tr>
      <w:tr w14:paraId="003F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14:paraId="24D3F4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kern w:val="2"/>
                <w:sz w:val="24"/>
                <w:szCs w:val="24"/>
                <w:vertAlign w:val="baseline"/>
                <w:lang w:val="en-US" w:eastAsia="zh-CN" w:bidi="ar-SA"/>
              </w:rPr>
            </w:pPr>
            <w:r>
              <w:rPr>
                <w:rFonts w:hint="eastAsia" w:ascii="仿宋" w:hAnsi="仿宋" w:eastAsia="仿宋" w:cs="仿宋"/>
                <w:b w:val="0"/>
                <w:bCs w:val="0"/>
                <w:color w:val="auto"/>
                <w:spacing w:val="0"/>
                <w:sz w:val="24"/>
                <w:szCs w:val="24"/>
                <w:vertAlign w:val="baseline"/>
                <w:lang w:val="en-US" w:eastAsia="zh-CN"/>
              </w:rPr>
              <w:t>11</w:t>
            </w:r>
          </w:p>
        </w:tc>
        <w:tc>
          <w:tcPr>
            <w:tcW w:w="2548" w:type="dxa"/>
            <w:noWrap w:val="0"/>
            <w:vAlign w:val="center"/>
          </w:tcPr>
          <w:p w14:paraId="4E536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质量标准</w:t>
            </w:r>
          </w:p>
        </w:tc>
        <w:tc>
          <w:tcPr>
            <w:tcW w:w="6894" w:type="dxa"/>
            <w:noWrap w:val="0"/>
            <w:vAlign w:val="center"/>
          </w:tcPr>
          <w:p w14:paraId="328896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满足国家和地方相关技术规范和标准要求</w:t>
            </w:r>
          </w:p>
        </w:tc>
      </w:tr>
      <w:tr w14:paraId="4714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14:paraId="568334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12</w:t>
            </w:r>
          </w:p>
        </w:tc>
        <w:tc>
          <w:tcPr>
            <w:tcW w:w="2548" w:type="dxa"/>
            <w:noWrap w:val="0"/>
            <w:vAlign w:val="center"/>
          </w:tcPr>
          <w:p w14:paraId="174836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0AC65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205EE3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142FC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7F3AE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275B6A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21D28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5B55F4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76106E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1301CF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50514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响应供应商资格要求</w:t>
            </w:r>
          </w:p>
        </w:tc>
        <w:tc>
          <w:tcPr>
            <w:tcW w:w="6894" w:type="dxa"/>
            <w:noWrap w:val="0"/>
            <w:vAlign w:val="center"/>
          </w:tcPr>
          <w:p w14:paraId="6BC35812">
            <w:pPr>
              <w:numPr>
                <w:ilvl w:val="0"/>
                <w:numId w:val="0"/>
              </w:numPr>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2"/>
                <w:sz w:val="24"/>
                <w:szCs w:val="24"/>
                <w:lang w:val="en-US" w:eastAsia="zh-CN" w:bidi="ar-SA"/>
              </w:rPr>
              <w:t>1.</w:t>
            </w:r>
            <w:r>
              <w:rPr>
                <w:rFonts w:hint="eastAsia" w:ascii="仿宋" w:hAnsi="仿宋" w:eastAsia="仿宋" w:cs="仿宋"/>
                <w:i w:val="0"/>
                <w:iCs w:val="0"/>
                <w:caps w:val="0"/>
                <w:color w:val="auto"/>
                <w:spacing w:val="0"/>
                <w:sz w:val="24"/>
                <w:szCs w:val="24"/>
              </w:rPr>
              <w:t>满足《中华人民共和国政府采购法》第二十二条规定；</w:t>
            </w:r>
          </w:p>
          <w:p w14:paraId="7522EA93">
            <w:pPr>
              <w:numPr>
                <w:ilvl w:val="0"/>
                <w:numId w:val="0"/>
              </w:numPr>
              <w:rPr>
                <w:rFonts w:hint="eastAsia" w:ascii="仿宋" w:hAnsi="仿宋" w:eastAsia="仿宋" w:cs="仿宋"/>
                <w:b/>
                <w:bCs/>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w:t>
            </w:r>
            <w:r>
              <w:rPr>
                <w:rFonts w:hint="eastAsia" w:ascii="仿宋" w:hAnsi="仿宋" w:eastAsia="仿宋" w:cs="仿宋"/>
                <w:i w:val="0"/>
                <w:iCs w:val="0"/>
                <w:caps w:val="0"/>
                <w:color w:val="auto"/>
                <w:spacing w:val="0"/>
                <w:sz w:val="24"/>
                <w:szCs w:val="24"/>
              </w:rPr>
              <w:t>本项目的特定资格要求：</w:t>
            </w:r>
            <w:r>
              <w:rPr>
                <w:rFonts w:hint="eastAsia" w:ascii="仿宋" w:hAnsi="仿宋" w:eastAsia="仿宋" w:cs="仿宋"/>
                <w:b/>
                <w:bCs/>
                <w:i w:val="0"/>
                <w:iCs w:val="0"/>
                <w:caps w:val="0"/>
                <w:color w:val="auto"/>
                <w:spacing w:val="0"/>
                <w:sz w:val="24"/>
                <w:szCs w:val="24"/>
              </w:rPr>
              <w:t>本项目为专门面向中小企业预留采购份额项目；专门面向中小企业的预留份额的项目，只接受全部货物、工程、服务由中型、小型、微型企业制造、承建、承接</w:t>
            </w:r>
            <w:r>
              <w:rPr>
                <w:rFonts w:hint="eastAsia" w:ascii="仿宋" w:hAnsi="仿宋" w:eastAsia="仿宋" w:cs="仿宋"/>
                <w:b/>
                <w:bCs/>
                <w:i w:val="0"/>
                <w:iCs w:val="0"/>
                <w:caps w:val="0"/>
                <w:color w:val="auto"/>
                <w:spacing w:val="0"/>
                <w:sz w:val="24"/>
                <w:szCs w:val="24"/>
                <w:lang w:val="en-US" w:eastAsia="zh-CN"/>
              </w:rPr>
              <w:t>。</w:t>
            </w:r>
          </w:p>
          <w:p w14:paraId="61A47FE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2"/>
                <w:sz w:val="24"/>
                <w:szCs w:val="24"/>
                <w:lang w:val="en-US" w:eastAsia="zh-CN" w:bidi="ar-SA"/>
              </w:rPr>
              <w:t>（1）响应供应商应为具备法人资格的企业；具备有效的营业执照。</w:t>
            </w:r>
          </w:p>
          <w:p w14:paraId="4EF7B51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2"/>
                <w:sz w:val="24"/>
                <w:szCs w:val="24"/>
                <w:lang w:val="en-US" w:eastAsia="zh-CN" w:bidi="ar-SA"/>
              </w:rPr>
              <w:t>（2）凡拟参加本次采购项目的响应供应商，参加政府采购活动前三年，在经营活动中没有重大违法记录，如在“信用中国”、“中国政府采购网”被列入失信被执行人、重大税收违法案件当事人名单、政府采购严重违法失信行为记录名单的（尚在处罚期内的），将拒绝其参本次政府采购活动。</w:t>
            </w:r>
          </w:p>
          <w:p w14:paraId="1A5E87F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2"/>
                <w:sz w:val="24"/>
                <w:szCs w:val="24"/>
                <w:lang w:val="en-US" w:eastAsia="zh-CN" w:bidi="ar-SA"/>
              </w:rPr>
              <w:t>（3）具有履行合同所必需的设备和专业技术能力；</w:t>
            </w:r>
          </w:p>
          <w:p w14:paraId="73F1589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2"/>
                <w:sz w:val="24"/>
                <w:szCs w:val="24"/>
                <w:lang w:val="en-US" w:eastAsia="zh-CN" w:bidi="ar-SA"/>
              </w:rPr>
              <w:t>（4）响应供应商具有良好的商业信誉和健全的财务会计管理制度。</w:t>
            </w:r>
          </w:p>
          <w:p w14:paraId="6390A17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2"/>
                <w:sz w:val="24"/>
                <w:szCs w:val="24"/>
                <w:lang w:val="en-US" w:eastAsia="zh-CN" w:bidi="ar-SA"/>
              </w:rPr>
              <w:t>（5）有依法缴纳税收和依法缴纳社会保障资金的记录。</w:t>
            </w:r>
          </w:p>
          <w:p w14:paraId="12C7B2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kern w:val="2"/>
                <w:sz w:val="24"/>
                <w:szCs w:val="24"/>
                <w:lang w:val="en-US" w:eastAsia="zh-CN" w:bidi="ar-SA"/>
              </w:rPr>
              <w:t>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p>
          <w:p w14:paraId="10DD20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财务要求：须提供本单位2024年度由会计师事务所出具的财务审计报告或财务报表，审计报告须包括资产负债表、利润表、现金流量表、所有者权益变动(如有)及其附注(原件扫描件)；财务报表须包括资产负债表、利润表、现金流量表。如响应供应商注册成立不满一年的则提供成立至今的财务报表（须包括资产负债表、利润表、现金流量表）；</w:t>
            </w:r>
          </w:p>
          <w:p w14:paraId="49F09C8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4、信誉要求：</w:t>
            </w:r>
            <w:r>
              <w:rPr>
                <w:rFonts w:hint="eastAsia" w:ascii="仿宋" w:hAnsi="仿宋" w:eastAsia="仿宋" w:cs="仿宋"/>
                <w:i w:val="0"/>
                <w:iCs w:val="0"/>
                <w:caps w:val="0"/>
                <w:color w:val="auto"/>
                <w:spacing w:val="0"/>
                <w:kern w:val="2"/>
                <w:sz w:val="24"/>
                <w:szCs w:val="24"/>
                <w:lang w:val="en-US" w:eastAsia="zh-CN" w:bidi="ar-SA"/>
              </w:rPr>
              <w:t>在“信用中国”、“中国政府采购网”被列入失信被执行人、重大税收违法案件当事人名单、政府采购严重违法失信行为记录名单的（尚在处罚期内的），将拒绝其参本次政府采购活动；</w:t>
            </w:r>
            <w:r>
              <w:rPr>
                <w:rFonts w:hint="eastAsia" w:ascii="仿宋" w:hAnsi="仿宋" w:eastAsia="仿宋" w:cs="仿宋"/>
                <w:color w:val="auto"/>
                <w:kern w:val="2"/>
                <w:sz w:val="24"/>
                <w:szCs w:val="24"/>
                <w:lang w:val="en-US" w:eastAsia="zh-CN" w:bidi="ar-SA"/>
              </w:rPr>
              <w:t>无不良行为记录；</w:t>
            </w:r>
          </w:p>
          <w:p w14:paraId="42F34C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5、其他：符合竞争性磋商采购文件及相关法律法规相关要求；</w:t>
            </w:r>
          </w:p>
        </w:tc>
      </w:tr>
      <w:tr w14:paraId="721C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067" w:type="dxa"/>
            <w:noWrap w:val="0"/>
            <w:vAlign w:val="center"/>
          </w:tcPr>
          <w:p w14:paraId="49987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13</w:t>
            </w:r>
          </w:p>
        </w:tc>
        <w:tc>
          <w:tcPr>
            <w:tcW w:w="2548" w:type="dxa"/>
            <w:noWrap w:val="0"/>
            <w:vAlign w:val="center"/>
          </w:tcPr>
          <w:p w14:paraId="29EE6A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是否接受联合体</w:t>
            </w:r>
          </w:p>
        </w:tc>
        <w:tc>
          <w:tcPr>
            <w:tcW w:w="6894" w:type="dxa"/>
            <w:noWrap w:val="0"/>
            <w:vAlign w:val="center"/>
          </w:tcPr>
          <w:p w14:paraId="1ABC0B30">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eq \o\ac(□,√)</w:instrText>
            </w:r>
            <w:r>
              <w:rPr>
                <w:rFonts w:hint="eastAsia" w:ascii="仿宋" w:hAnsi="仿宋" w:eastAsia="仿宋" w:cs="仿宋"/>
                <w:color w:val="auto"/>
                <w:kern w:val="2"/>
                <w:sz w:val="24"/>
                <w:szCs w:val="24"/>
                <w:lang w:val="en-US" w:eastAsia="zh-CN" w:bidi="ar-SA"/>
              </w:rPr>
              <w:fldChar w:fldCharType="end"/>
            </w:r>
            <w:r>
              <w:rPr>
                <w:rFonts w:hint="eastAsia" w:ascii="仿宋" w:hAnsi="仿宋" w:eastAsia="仿宋" w:cs="仿宋"/>
                <w:color w:val="auto"/>
                <w:kern w:val="2"/>
                <w:sz w:val="24"/>
                <w:szCs w:val="24"/>
                <w:lang w:val="en-US" w:eastAsia="zh-CN" w:bidi="ar-SA"/>
              </w:rPr>
              <w:t>不接受</w:t>
            </w:r>
          </w:p>
          <w:p w14:paraId="1DE07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□接受，应满足下列要求：</w:t>
            </w:r>
          </w:p>
        </w:tc>
      </w:tr>
      <w:tr w14:paraId="19F4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1067" w:type="dxa"/>
            <w:noWrap w:val="0"/>
            <w:vAlign w:val="center"/>
          </w:tcPr>
          <w:p w14:paraId="00EE1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14</w:t>
            </w:r>
          </w:p>
        </w:tc>
        <w:tc>
          <w:tcPr>
            <w:tcW w:w="2548" w:type="dxa"/>
            <w:shd w:val="clear" w:color="auto" w:fill="auto"/>
            <w:noWrap w:val="0"/>
            <w:vAlign w:val="center"/>
          </w:tcPr>
          <w:p w14:paraId="0BDBB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近年财务状况的年份要求</w:t>
            </w:r>
          </w:p>
        </w:tc>
        <w:tc>
          <w:tcPr>
            <w:tcW w:w="6894" w:type="dxa"/>
            <w:shd w:val="clear" w:color="auto" w:fill="auto"/>
            <w:noWrap w:val="0"/>
            <w:vAlign w:val="center"/>
          </w:tcPr>
          <w:p w14:paraId="21787D5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b w:val="0"/>
                <w:bCs w:val="0"/>
                <w:i w:val="0"/>
                <w:iCs w:val="0"/>
                <w:color w:val="auto"/>
                <w:spacing w:val="0"/>
                <w:kern w:val="2"/>
                <w:sz w:val="21"/>
                <w:szCs w:val="21"/>
                <w:vertAlign w:val="baseline"/>
                <w:lang w:val="en-US" w:eastAsia="zh-CN" w:bidi="ar-SA"/>
              </w:rPr>
            </w:pPr>
            <w:r>
              <w:rPr>
                <w:rFonts w:hint="eastAsia" w:ascii="仿宋" w:hAnsi="仿宋" w:eastAsia="仿宋" w:cs="仿宋"/>
                <w:color w:val="auto"/>
                <w:kern w:val="2"/>
                <w:sz w:val="24"/>
                <w:szCs w:val="24"/>
                <w:lang w:val="en-US" w:eastAsia="zh-CN" w:bidi="ar-SA"/>
              </w:rPr>
              <w:t>须提供本单位2024年度由会计师事务所出具的财务审计报告或财务报表，审计报告须包括资产负债表、利润表、现金流量表、所有者权益变动(如有)及其附注(原件扫描件)；财务报表须包括资产负债表、利润表、现金流量表。如响应供应商注册成立不满一年的则提供成立至今的财务报表（须包括资产负债表、利润表、现金流量表）。</w:t>
            </w:r>
          </w:p>
        </w:tc>
      </w:tr>
      <w:tr w14:paraId="42C8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067" w:type="dxa"/>
            <w:noWrap w:val="0"/>
            <w:vAlign w:val="center"/>
          </w:tcPr>
          <w:p w14:paraId="3CBA97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15</w:t>
            </w:r>
          </w:p>
        </w:tc>
        <w:tc>
          <w:tcPr>
            <w:tcW w:w="2548" w:type="dxa"/>
            <w:shd w:val="clear" w:color="auto" w:fill="auto"/>
            <w:noWrap w:val="0"/>
            <w:vAlign w:val="center"/>
          </w:tcPr>
          <w:p w14:paraId="1D492B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近年完成的类似项目情况的时间要求</w:t>
            </w:r>
          </w:p>
        </w:tc>
        <w:tc>
          <w:tcPr>
            <w:tcW w:w="6894" w:type="dxa"/>
            <w:shd w:val="clear" w:color="auto" w:fill="auto"/>
            <w:noWrap w:val="0"/>
            <w:vAlign w:val="center"/>
          </w:tcPr>
          <w:p w14:paraId="3B94C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2022年</w:t>
            </w:r>
            <w:r>
              <w:rPr>
                <w:rFonts w:hint="eastAsia" w:ascii="仿宋" w:hAnsi="仿宋" w:eastAsia="仿宋" w:cs="仿宋"/>
                <w:color w:val="auto"/>
                <w:kern w:val="2"/>
                <w:sz w:val="24"/>
                <w:szCs w:val="24"/>
                <w:lang w:val="en-US" w:eastAsia="zh-CN" w:bidi="ar-SA"/>
              </w:rPr>
              <w:t>11月</w:t>
            </w:r>
            <w:r>
              <w:rPr>
                <w:rFonts w:hint="default" w:ascii="仿宋" w:hAnsi="仿宋" w:eastAsia="仿宋" w:cs="仿宋"/>
                <w:color w:val="auto"/>
                <w:kern w:val="2"/>
                <w:sz w:val="24"/>
                <w:szCs w:val="24"/>
                <w:lang w:val="en-US" w:eastAsia="zh-CN" w:bidi="ar-SA"/>
              </w:rPr>
              <w:t>至今承担过类似业绩</w:t>
            </w:r>
            <w:r>
              <w:rPr>
                <w:rFonts w:hint="eastAsia" w:ascii="仿宋" w:hAnsi="仿宋" w:eastAsia="仿宋" w:cs="仿宋"/>
                <w:color w:val="auto"/>
                <w:kern w:val="2"/>
                <w:sz w:val="24"/>
                <w:szCs w:val="24"/>
                <w:lang w:val="en-US" w:eastAsia="zh-CN" w:bidi="ar-SA"/>
              </w:rPr>
              <w:t>（类似业绩：“国家或省、县级工程建设项目” 规划编制/方案编制/可行性研究报告）</w:t>
            </w:r>
          </w:p>
        </w:tc>
      </w:tr>
      <w:tr w14:paraId="60EB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067" w:type="dxa"/>
            <w:noWrap w:val="0"/>
            <w:vAlign w:val="center"/>
          </w:tcPr>
          <w:p w14:paraId="68C30E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16</w:t>
            </w:r>
          </w:p>
        </w:tc>
        <w:tc>
          <w:tcPr>
            <w:tcW w:w="2548" w:type="dxa"/>
            <w:shd w:val="clear" w:color="auto" w:fill="auto"/>
            <w:noWrap w:val="0"/>
            <w:vAlign w:val="center"/>
          </w:tcPr>
          <w:p w14:paraId="460B2BF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有依法缴纳税收和依法缴纳社会保障资金的记录</w:t>
            </w:r>
          </w:p>
        </w:tc>
        <w:tc>
          <w:tcPr>
            <w:tcW w:w="6894" w:type="dxa"/>
            <w:shd w:val="clear" w:color="auto" w:fill="auto"/>
            <w:noWrap w:val="0"/>
            <w:vAlign w:val="center"/>
          </w:tcPr>
          <w:p w14:paraId="384EF0A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响应供应商承诺依法缴纳税收和依法缴纳社会保障资金的记录（格式详见附件2）</w:t>
            </w:r>
          </w:p>
        </w:tc>
      </w:tr>
      <w:tr w14:paraId="1B25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14:paraId="13DF9D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17</w:t>
            </w:r>
          </w:p>
        </w:tc>
        <w:tc>
          <w:tcPr>
            <w:tcW w:w="2548" w:type="dxa"/>
            <w:noWrap w:val="0"/>
            <w:vAlign w:val="center"/>
          </w:tcPr>
          <w:p w14:paraId="27AFF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响应供应商不得存在的</w:t>
            </w:r>
          </w:p>
          <w:p w14:paraId="1ABAC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其他情形</w:t>
            </w:r>
          </w:p>
        </w:tc>
        <w:tc>
          <w:tcPr>
            <w:tcW w:w="6894" w:type="dxa"/>
            <w:noWrap w:val="0"/>
            <w:vAlign w:val="center"/>
          </w:tcPr>
          <w:p w14:paraId="0120AC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14:paraId="045F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14:paraId="1C4E1D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18</w:t>
            </w:r>
          </w:p>
        </w:tc>
        <w:tc>
          <w:tcPr>
            <w:tcW w:w="2548" w:type="dxa"/>
            <w:noWrap w:val="0"/>
            <w:vAlign w:val="center"/>
          </w:tcPr>
          <w:p w14:paraId="64BE88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磋商文件澄清发出的形式</w:t>
            </w:r>
          </w:p>
        </w:tc>
        <w:tc>
          <w:tcPr>
            <w:tcW w:w="6894" w:type="dxa"/>
            <w:noWrap w:val="0"/>
            <w:vAlign w:val="center"/>
          </w:tcPr>
          <w:p w14:paraId="09A2AF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电子文件或书面文件</w:t>
            </w:r>
          </w:p>
        </w:tc>
      </w:tr>
      <w:tr w14:paraId="0F9A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noWrap w:val="0"/>
            <w:vAlign w:val="center"/>
          </w:tcPr>
          <w:p w14:paraId="14A62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19</w:t>
            </w:r>
          </w:p>
        </w:tc>
        <w:tc>
          <w:tcPr>
            <w:tcW w:w="2548" w:type="dxa"/>
            <w:noWrap w:val="0"/>
            <w:vAlign w:val="center"/>
          </w:tcPr>
          <w:p w14:paraId="5E64D0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实质性要求和条件</w:t>
            </w:r>
          </w:p>
        </w:tc>
        <w:tc>
          <w:tcPr>
            <w:tcW w:w="6894" w:type="dxa"/>
            <w:noWrap w:val="0"/>
            <w:vAlign w:val="center"/>
          </w:tcPr>
          <w:p w14:paraId="5DB242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0"/>
                <w:sz w:val="24"/>
                <w:szCs w:val="24"/>
                <w:lang w:val="en-US" w:eastAsia="zh-CN"/>
              </w:rPr>
              <w:t>满足采购人采购需求</w:t>
            </w:r>
          </w:p>
        </w:tc>
      </w:tr>
      <w:tr w14:paraId="53D3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67" w:type="dxa"/>
            <w:noWrap w:val="0"/>
            <w:vAlign w:val="center"/>
          </w:tcPr>
          <w:p w14:paraId="3A956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20</w:t>
            </w:r>
          </w:p>
        </w:tc>
        <w:tc>
          <w:tcPr>
            <w:tcW w:w="2548" w:type="dxa"/>
            <w:noWrap w:val="0"/>
            <w:vAlign w:val="center"/>
          </w:tcPr>
          <w:p w14:paraId="7A251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构成磋商文件的其他资料</w:t>
            </w:r>
          </w:p>
        </w:tc>
        <w:tc>
          <w:tcPr>
            <w:tcW w:w="6894" w:type="dxa"/>
            <w:noWrap w:val="0"/>
            <w:vAlign w:val="center"/>
          </w:tcPr>
          <w:p w14:paraId="503A6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磋商文件的补充文件、澄清文件</w:t>
            </w:r>
          </w:p>
        </w:tc>
      </w:tr>
      <w:tr w14:paraId="7A50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067" w:type="dxa"/>
            <w:noWrap w:val="0"/>
            <w:vAlign w:val="center"/>
          </w:tcPr>
          <w:p w14:paraId="3BDBEA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21</w:t>
            </w:r>
          </w:p>
        </w:tc>
        <w:tc>
          <w:tcPr>
            <w:tcW w:w="2548" w:type="dxa"/>
            <w:noWrap w:val="0"/>
            <w:vAlign w:val="center"/>
          </w:tcPr>
          <w:p w14:paraId="6A537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供应商提出问题的截至时间</w:t>
            </w:r>
          </w:p>
        </w:tc>
        <w:tc>
          <w:tcPr>
            <w:tcW w:w="6894" w:type="dxa"/>
            <w:noWrap w:val="0"/>
            <w:vAlign w:val="center"/>
          </w:tcPr>
          <w:p w14:paraId="2CDF3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若有疑问，请于磋商文件规定的截至时间3日前将问题以书面形式提交采购人或采购代理机构。</w:t>
            </w:r>
          </w:p>
        </w:tc>
      </w:tr>
      <w:tr w14:paraId="7223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67" w:type="dxa"/>
            <w:noWrap w:val="0"/>
            <w:vAlign w:val="center"/>
          </w:tcPr>
          <w:p w14:paraId="1A7F16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22</w:t>
            </w:r>
          </w:p>
        </w:tc>
        <w:tc>
          <w:tcPr>
            <w:tcW w:w="2548" w:type="dxa"/>
            <w:noWrap w:val="0"/>
            <w:vAlign w:val="center"/>
          </w:tcPr>
          <w:p w14:paraId="3BB93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磋商文件修改发出的形式</w:t>
            </w:r>
          </w:p>
        </w:tc>
        <w:tc>
          <w:tcPr>
            <w:tcW w:w="6894" w:type="dxa"/>
            <w:noWrap w:val="0"/>
            <w:vAlign w:val="center"/>
          </w:tcPr>
          <w:p w14:paraId="1DE68E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电子文件或书面文件</w:t>
            </w:r>
          </w:p>
        </w:tc>
      </w:tr>
      <w:tr w14:paraId="52B9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67" w:type="dxa"/>
            <w:noWrap w:val="0"/>
            <w:vAlign w:val="center"/>
          </w:tcPr>
          <w:p w14:paraId="05B27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23</w:t>
            </w:r>
          </w:p>
        </w:tc>
        <w:tc>
          <w:tcPr>
            <w:tcW w:w="2548" w:type="dxa"/>
            <w:noWrap w:val="0"/>
            <w:vAlign w:val="center"/>
          </w:tcPr>
          <w:p w14:paraId="0FE40C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构成竞争性磋商响应文件的其他资料</w:t>
            </w:r>
          </w:p>
        </w:tc>
        <w:tc>
          <w:tcPr>
            <w:tcW w:w="6894" w:type="dxa"/>
            <w:noWrap w:val="0"/>
            <w:vAlign w:val="center"/>
          </w:tcPr>
          <w:p w14:paraId="0667F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竞争性磋商响应文件的补充材料（不得更改竞争性磋商响应文件的实质性内容）</w:t>
            </w:r>
          </w:p>
        </w:tc>
      </w:tr>
      <w:tr w14:paraId="6FAE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67" w:type="dxa"/>
            <w:noWrap w:val="0"/>
            <w:vAlign w:val="center"/>
          </w:tcPr>
          <w:p w14:paraId="0BCD6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24</w:t>
            </w:r>
          </w:p>
        </w:tc>
        <w:tc>
          <w:tcPr>
            <w:tcW w:w="2548" w:type="dxa"/>
            <w:noWrap w:val="0"/>
            <w:vAlign w:val="center"/>
          </w:tcPr>
          <w:p w14:paraId="757DD1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增值税税金的计算方法</w:t>
            </w:r>
          </w:p>
        </w:tc>
        <w:tc>
          <w:tcPr>
            <w:tcW w:w="6894" w:type="dxa"/>
            <w:noWrap w:val="0"/>
            <w:vAlign w:val="center"/>
          </w:tcPr>
          <w:p w14:paraId="0F7FE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增值税税金按一般计税方法计算，包含在响应报价中</w:t>
            </w:r>
          </w:p>
        </w:tc>
      </w:tr>
      <w:tr w14:paraId="5895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67" w:type="dxa"/>
            <w:noWrap w:val="0"/>
            <w:vAlign w:val="center"/>
          </w:tcPr>
          <w:p w14:paraId="7E5CE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25</w:t>
            </w:r>
          </w:p>
        </w:tc>
        <w:tc>
          <w:tcPr>
            <w:tcW w:w="2548" w:type="dxa"/>
            <w:noWrap w:val="0"/>
            <w:vAlign w:val="center"/>
          </w:tcPr>
          <w:p w14:paraId="64AE7A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最高投标限价</w:t>
            </w:r>
          </w:p>
        </w:tc>
        <w:tc>
          <w:tcPr>
            <w:tcW w:w="6894" w:type="dxa"/>
            <w:noWrap w:val="0"/>
            <w:vAlign w:val="center"/>
          </w:tcPr>
          <w:p w14:paraId="4F34CB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最高投标限价：40000元</w:t>
            </w:r>
          </w:p>
          <w:p w14:paraId="781FD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pacing w:val="0"/>
                <w:sz w:val="21"/>
                <w:szCs w:val="21"/>
                <w:vertAlign w:val="baseline"/>
                <w:lang w:val="en-US" w:eastAsia="zh-CN"/>
              </w:rPr>
              <w:t>本次竞争性磋商采购将有两次报价，供应商通过政采云系统编制响应文件时填报的报价为第一次报价；评标过程中供应商通过政采云系统进行的报价为第二次报价(即最终报价)；第一次报价(即开标报价)及第二次报价(即最终报价)均不能超过所投标项的最高限价，否则作无效投标处理。</w:t>
            </w:r>
            <w:r>
              <w:rPr>
                <w:rFonts w:hint="eastAsia" w:ascii="仿宋" w:hAnsi="仿宋" w:eastAsia="仿宋" w:cs="仿宋"/>
                <w:b/>
                <w:bCs/>
                <w:color w:val="auto"/>
                <w:sz w:val="24"/>
                <w:szCs w:val="24"/>
                <w:lang w:eastAsia="zh-CN"/>
              </w:rPr>
              <w:t>原则上只进行两轮</w:t>
            </w:r>
            <w:r>
              <w:rPr>
                <w:rFonts w:hint="eastAsia" w:ascii="仿宋" w:hAnsi="仿宋" w:eastAsia="仿宋" w:cs="仿宋"/>
                <w:b/>
                <w:bCs/>
                <w:color w:val="auto"/>
                <w:sz w:val="24"/>
                <w:szCs w:val="24"/>
                <w:lang w:val="en-US" w:eastAsia="zh-CN"/>
              </w:rPr>
              <w:t>报价</w:t>
            </w:r>
            <w:r>
              <w:rPr>
                <w:rFonts w:hint="eastAsia" w:ascii="仿宋" w:hAnsi="仿宋" w:eastAsia="仿宋" w:cs="仿宋"/>
                <w:b/>
                <w:bCs/>
                <w:color w:val="auto"/>
                <w:sz w:val="24"/>
                <w:szCs w:val="24"/>
                <w:lang w:eastAsia="zh-CN"/>
              </w:rPr>
              <w:t>磋商，但竞争性磋商小组认为必要时可继续进行磋商。</w:t>
            </w:r>
          </w:p>
        </w:tc>
      </w:tr>
      <w:tr w14:paraId="5282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7" w:type="dxa"/>
            <w:noWrap w:val="0"/>
            <w:vAlign w:val="center"/>
          </w:tcPr>
          <w:p w14:paraId="3DE847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26</w:t>
            </w:r>
          </w:p>
        </w:tc>
        <w:tc>
          <w:tcPr>
            <w:tcW w:w="2548" w:type="dxa"/>
            <w:noWrap w:val="0"/>
            <w:vAlign w:val="center"/>
          </w:tcPr>
          <w:p w14:paraId="3FFC2F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响应有效期</w:t>
            </w:r>
          </w:p>
        </w:tc>
        <w:tc>
          <w:tcPr>
            <w:tcW w:w="6894" w:type="dxa"/>
            <w:noWrap w:val="0"/>
            <w:vAlign w:val="center"/>
          </w:tcPr>
          <w:p w14:paraId="1769A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60天</w:t>
            </w:r>
          </w:p>
        </w:tc>
      </w:tr>
      <w:tr w14:paraId="0DEE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067" w:type="dxa"/>
            <w:noWrap w:val="0"/>
            <w:vAlign w:val="center"/>
          </w:tcPr>
          <w:p w14:paraId="7D9F5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27</w:t>
            </w:r>
          </w:p>
        </w:tc>
        <w:tc>
          <w:tcPr>
            <w:tcW w:w="2548" w:type="dxa"/>
            <w:noWrap w:val="0"/>
            <w:vAlign w:val="center"/>
          </w:tcPr>
          <w:p w14:paraId="066BB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投标保证金</w:t>
            </w:r>
          </w:p>
        </w:tc>
        <w:tc>
          <w:tcPr>
            <w:tcW w:w="6894" w:type="dxa"/>
            <w:noWrap w:val="0"/>
            <w:vAlign w:val="center"/>
          </w:tcPr>
          <w:p w14:paraId="5B97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本项目不收取投标保证金</w:t>
            </w:r>
          </w:p>
        </w:tc>
      </w:tr>
      <w:tr w14:paraId="00D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1067" w:type="dxa"/>
            <w:noWrap w:val="0"/>
            <w:vAlign w:val="center"/>
          </w:tcPr>
          <w:p w14:paraId="549DDD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28</w:t>
            </w:r>
          </w:p>
        </w:tc>
        <w:tc>
          <w:tcPr>
            <w:tcW w:w="2548" w:type="dxa"/>
            <w:noWrap w:val="0"/>
            <w:vAlign w:val="center"/>
          </w:tcPr>
          <w:p w14:paraId="73256A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资格审查资料的特殊要求</w:t>
            </w:r>
          </w:p>
        </w:tc>
        <w:tc>
          <w:tcPr>
            <w:tcW w:w="6894" w:type="dxa"/>
            <w:noWrap w:val="0"/>
            <w:vAlign w:val="center"/>
          </w:tcPr>
          <w:p w14:paraId="2ED782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响应供应商制作电子版竞争性磋商响应文件时须保证竞争性磋商响应文件中的资料、图片为原件扫描件，须严谨、清晰、完整，如因此原因出现废标、扣分等情况，各响应供应商自行负责。</w:t>
            </w:r>
          </w:p>
        </w:tc>
      </w:tr>
      <w:tr w14:paraId="4BA2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1067" w:type="dxa"/>
            <w:noWrap w:val="0"/>
            <w:vAlign w:val="center"/>
          </w:tcPr>
          <w:p w14:paraId="6C0C2B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29</w:t>
            </w:r>
          </w:p>
        </w:tc>
        <w:tc>
          <w:tcPr>
            <w:tcW w:w="2548" w:type="dxa"/>
            <w:noWrap w:val="0"/>
            <w:vAlign w:val="center"/>
          </w:tcPr>
          <w:p w14:paraId="2DCD6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信誉要求</w:t>
            </w:r>
          </w:p>
          <w:p w14:paraId="5349DC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无不良行为记录</w:t>
            </w:r>
            <w:r>
              <w:rPr>
                <w:rFonts w:hint="eastAsia" w:ascii="仿宋" w:hAnsi="仿宋" w:eastAsia="仿宋" w:cs="仿宋"/>
                <w:color w:val="auto"/>
                <w:sz w:val="24"/>
                <w:szCs w:val="24"/>
              </w:rPr>
              <w:t>★</w:t>
            </w:r>
          </w:p>
        </w:tc>
        <w:tc>
          <w:tcPr>
            <w:tcW w:w="6894" w:type="dxa"/>
            <w:noWrap w:val="0"/>
            <w:vAlign w:val="center"/>
          </w:tcPr>
          <w:p w14:paraId="3AF7F559">
            <w:pPr>
              <w:pStyle w:val="26"/>
              <w:keepNext w:val="0"/>
              <w:keepLines w:val="0"/>
              <w:pageBreakBefore w:val="0"/>
              <w:widowControl w:val="0"/>
              <w:numPr>
                <w:ilvl w:val="0"/>
                <w:numId w:val="0"/>
              </w:numPr>
              <w:kinsoku/>
              <w:wordWrap/>
              <w:overflowPunct/>
              <w:topLinePunct w:val="0"/>
              <w:bidi w:val="0"/>
              <w:adjustRightInd/>
              <w:snapToGrid/>
              <w:spacing w:line="360" w:lineRule="auto"/>
              <w:jc w:val="left"/>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color w:val="auto"/>
                <w:sz w:val="24"/>
                <w:szCs w:val="24"/>
                <w:lang w:val="en-US" w:eastAsia="zh-CN"/>
              </w:rPr>
              <w:t>1、企业信誉：</w:t>
            </w:r>
            <w:r>
              <w:rPr>
                <w:rFonts w:hint="eastAsia" w:ascii="仿宋" w:hAnsi="仿宋" w:eastAsia="仿宋" w:cs="仿宋"/>
                <w:b w:val="0"/>
                <w:bCs w:val="0"/>
                <w:color w:val="auto"/>
                <w:spacing w:val="0"/>
                <w:sz w:val="24"/>
                <w:szCs w:val="24"/>
                <w:vertAlign w:val="baseline"/>
                <w:lang w:val="en-US" w:eastAsia="zh-CN"/>
              </w:rPr>
              <w:t>近三年在“信用中国”网站（www.creditchina.gov.cn）、中国政府采购网（www.ccgp.gov.cn）、 被列入失信被执行人、重大税收违法案件当事人名单、政府采购严重违法失信行为记录名单的（尚在处罚期内的），将拒绝其参本次政府采购活动</w:t>
            </w:r>
            <w:r>
              <w:rPr>
                <w:rFonts w:hint="eastAsia" w:ascii="仿宋" w:hAnsi="仿宋" w:eastAsia="仿宋" w:cs="仿宋"/>
                <w:b/>
                <w:bCs/>
                <w:color w:val="auto"/>
                <w:spacing w:val="0"/>
                <w:sz w:val="24"/>
                <w:szCs w:val="24"/>
                <w:vertAlign w:val="baseline"/>
                <w:lang w:val="en-US" w:eastAsia="zh-CN"/>
              </w:rPr>
              <w:t>（由磋商小组成员现场查询）</w:t>
            </w:r>
            <w:r>
              <w:rPr>
                <w:rFonts w:hint="eastAsia" w:ascii="仿宋" w:hAnsi="仿宋" w:eastAsia="仿宋" w:cs="仿宋"/>
                <w:b w:val="0"/>
                <w:bCs w:val="0"/>
                <w:color w:val="auto"/>
                <w:spacing w:val="0"/>
                <w:sz w:val="24"/>
                <w:szCs w:val="24"/>
                <w:vertAlign w:val="baseline"/>
                <w:lang w:val="en-US" w:eastAsia="zh-CN"/>
              </w:rPr>
              <w:t>；</w:t>
            </w:r>
          </w:p>
          <w:p w14:paraId="3E356253">
            <w:pPr>
              <w:pStyle w:val="26"/>
              <w:keepNext w:val="0"/>
              <w:keepLines w:val="0"/>
              <w:pageBreakBefore w:val="0"/>
              <w:widowControl w:val="0"/>
              <w:numPr>
                <w:ilvl w:val="0"/>
                <w:numId w:val="0"/>
              </w:numPr>
              <w:kinsoku/>
              <w:wordWrap/>
              <w:overflowPunct/>
              <w:topLinePunct w:val="0"/>
              <w:bidi w:val="0"/>
              <w:adjustRightInd/>
              <w:snapToGrid/>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pacing w:val="0"/>
                <w:sz w:val="24"/>
                <w:szCs w:val="24"/>
                <w:vertAlign w:val="baseline"/>
                <w:lang w:val="en-US" w:eastAsia="zh-CN"/>
              </w:rPr>
              <w:t>2、</w:t>
            </w:r>
            <w:r>
              <w:rPr>
                <w:rFonts w:hint="eastAsia" w:ascii="仿宋" w:hAnsi="仿宋" w:eastAsia="仿宋" w:cs="仿宋"/>
                <w:b/>
                <w:bCs/>
                <w:color w:val="auto"/>
                <w:spacing w:val="0"/>
                <w:sz w:val="24"/>
                <w:szCs w:val="24"/>
                <w:vertAlign w:val="baseline"/>
                <w:lang w:val="en-US" w:eastAsia="zh-CN"/>
              </w:rPr>
              <w:t>无不良行为记录：在参加政府采购活动前三年内，在经营活动中没有无重大违法记录书面声明（格式自拟）。</w:t>
            </w:r>
          </w:p>
        </w:tc>
      </w:tr>
      <w:tr w14:paraId="42B1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14:paraId="4D18D2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30</w:t>
            </w:r>
          </w:p>
        </w:tc>
        <w:tc>
          <w:tcPr>
            <w:tcW w:w="2548" w:type="dxa"/>
            <w:noWrap w:val="0"/>
            <w:vAlign w:val="center"/>
          </w:tcPr>
          <w:p w14:paraId="07C8DB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是否允许递交备选投标方案</w:t>
            </w:r>
          </w:p>
        </w:tc>
        <w:tc>
          <w:tcPr>
            <w:tcW w:w="6894" w:type="dxa"/>
            <w:noWrap w:val="0"/>
            <w:vAlign w:val="center"/>
          </w:tcPr>
          <w:p w14:paraId="4729D8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□允许</w:t>
            </w:r>
          </w:p>
          <w:p w14:paraId="564616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eq \o\ac(□,√)</w:instrText>
            </w:r>
            <w:r>
              <w:rPr>
                <w:rFonts w:hint="eastAsia" w:ascii="仿宋" w:hAnsi="仿宋" w:eastAsia="仿宋" w:cs="仿宋"/>
                <w:color w:val="auto"/>
                <w:kern w:val="2"/>
                <w:sz w:val="24"/>
                <w:szCs w:val="24"/>
                <w:lang w:val="en-US" w:eastAsia="zh-CN" w:bidi="ar-SA"/>
              </w:rPr>
              <w:fldChar w:fldCharType="end"/>
            </w:r>
            <w:r>
              <w:rPr>
                <w:rFonts w:hint="eastAsia" w:ascii="仿宋" w:hAnsi="仿宋" w:eastAsia="仿宋" w:cs="仿宋"/>
                <w:color w:val="auto"/>
                <w:kern w:val="2"/>
                <w:sz w:val="24"/>
                <w:szCs w:val="24"/>
                <w:lang w:val="en-US" w:eastAsia="zh-CN" w:bidi="ar-SA"/>
              </w:rPr>
              <w:t>不允许</w:t>
            </w:r>
          </w:p>
        </w:tc>
      </w:tr>
      <w:tr w14:paraId="3C96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67" w:type="dxa"/>
            <w:noWrap w:val="0"/>
            <w:vAlign w:val="center"/>
          </w:tcPr>
          <w:p w14:paraId="514D02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31</w:t>
            </w:r>
          </w:p>
        </w:tc>
        <w:tc>
          <w:tcPr>
            <w:tcW w:w="2548" w:type="dxa"/>
            <w:noWrap w:val="0"/>
            <w:vAlign w:val="center"/>
          </w:tcPr>
          <w:p w14:paraId="63837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竞争性磋商响应文件副本份数及其他要求</w:t>
            </w:r>
          </w:p>
        </w:tc>
        <w:tc>
          <w:tcPr>
            <w:tcW w:w="6894" w:type="dxa"/>
            <w:noWrap w:val="0"/>
            <w:vAlign w:val="center"/>
          </w:tcPr>
          <w:p w14:paraId="0F17D7BB">
            <w:pPr>
              <w:pStyle w:val="26"/>
              <w:bidi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本项目拟采用政采云不见面开标系统进行开评标，不对纸质版文件进行要求；开评标结束后响应供应商须提供纸质版响应文件四份，纸质版响应文件应与政采云电子版文件一致。</w:t>
            </w:r>
          </w:p>
        </w:tc>
      </w:tr>
      <w:tr w14:paraId="773E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14:paraId="5436C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highlight w:val="none"/>
                <w:vertAlign w:val="baseline"/>
                <w:lang w:val="en-US" w:eastAsia="zh-CN"/>
              </w:rPr>
            </w:pPr>
            <w:r>
              <w:rPr>
                <w:rFonts w:hint="eastAsia" w:ascii="仿宋" w:hAnsi="仿宋" w:eastAsia="仿宋" w:cs="仿宋"/>
                <w:b w:val="0"/>
                <w:bCs w:val="0"/>
                <w:color w:val="auto"/>
                <w:spacing w:val="0"/>
                <w:sz w:val="24"/>
                <w:szCs w:val="24"/>
                <w:highlight w:val="none"/>
                <w:vertAlign w:val="baseline"/>
                <w:lang w:val="en-US" w:eastAsia="zh-CN"/>
              </w:rPr>
              <w:t>32</w:t>
            </w:r>
          </w:p>
        </w:tc>
        <w:tc>
          <w:tcPr>
            <w:tcW w:w="2548" w:type="dxa"/>
            <w:noWrap w:val="0"/>
            <w:vAlign w:val="center"/>
          </w:tcPr>
          <w:p w14:paraId="7BE65D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竞争性磋商响应文件是否需分册装订</w:t>
            </w:r>
          </w:p>
        </w:tc>
        <w:tc>
          <w:tcPr>
            <w:tcW w:w="6894" w:type="dxa"/>
            <w:noWrap w:val="0"/>
            <w:vAlign w:val="center"/>
          </w:tcPr>
          <w:p w14:paraId="4CEA7E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开评标结束后响应供应商须提供纸质版响应文件四份，纸质版响应文件应与政采云电子版文件一致。</w:t>
            </w:r>
          </w:p>
        </w:tc>
      </w:tr>
      <w:tr w14:paraId="4882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14:paraId="3A01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highlight w:val="none"/>
                <w:vertAlign w:val="baseline"/>
                <w:lang w:val="en-US" w:eastAsia="zh-CN"/>
              </w:rPr>
            </w:pPr>
            <w:r>
              <w:rPr>
                <w:rFonts w:hint="eastAsia" w:ascii="仿宋" w:hAnsi="仿宋" w:eastAsia="仿宋" w:cs="仿宋"/>
                <w:b w:val="0"/>
                <w:bCs w:val="0"/>
                <w:color w:val="auto"/>
                <w:spacing w:val="0"/>
                <w:sz w:val="24"/>
                <w:szCs w:val="24"/>
                <w:highlight w:val="none"/>
                <w:vertAlign w:val="baseline"/>
                <w:lang w:val="en-US" w:eastAsia="zh-CN"/>
              </w:rPr>
              <w:t>33</w:t>
            </w:r>
          </w:p>
        </w:tc>
        <w:tc>
          <w:tcPr>
            <w:tcW w:w="2548" w:type="dxa"/>
            <w:noWrap w:val="0"/>
            <w:vAlign w:val="center"/>
          </w:tcPr>
          <w:p w14:paraId="25407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响应文件签字或盖章要求</w:t>
            </w:r>
          </w:p>
        </w:tc>
        <w:tc>
          <w:tcPr>
            <w:tcW w:w="6894" w:type="dxa"/>
            <w:noWrap w:val="0"/>
            <w:vAlign w:val="center"/>
          </w:tcPr>
          <w:p w14:paraId="36AF2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1、企业公章、企业法定代表人或授权委托人签字或签章。</w:t>
            </w:r>
          </w:p>
          <w:p w14:paraId="69234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2、响应文件正副本须逐页加盖企业公章</w:t>
            </w:r>
          </w:p>
        </w:tc>
      </w:tr>
      <w:tr w14:paraId="0730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067" w:type="dxa"/>
            <w:noWrap w:val="0"/>
            <w:vAlign w:val="center"/>
          </w:tcPr>
          <w:p w14:paraId="3C055F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34</w:t>
            </w:r>
          </w:p>
        </w:tc>
        <w:tc>
          <w:tcPr>
            <w:tcW w:w="2548" w:type="dxa"/>
            <w:noWrap w:val="0"/>
            <w:vAlign w:val="center"/>
          </w:tcPr>
          <w:p w14:paraId="73D8D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响应文件密封要求</w:t>
            </w:r>
          </w:p>
        </w:tc>
        <w:tc>
          <w:tcPr>
            <w:tcW w:w="6894" w:type="dxa"/>
            <w:noWrap w:val="0"/>
            <w:vAlign w:val="center"/>
          </w:tcPr>
          <w:p w14:paraId="50FFD7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本项目拟采用政采云不见面开标系统进行开评标，响应供应商制作电子竞争性磋商响应文件时须进行加密。</w:t>
            </w:r>
          </w:p>
        </w:tc>
      </w:tr>
      <w:tr w14:paraId="1DAF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14:paraId="59B14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35</w:t>
            </w:r>
          </w:p>
        </w:tc>
        <w:tc>
          <w:tcPr>
            <w:tcW w:w="2548" w:type="dxa"/>
            <w:noWrap w:val="0"/>
            <w:vAlign w:val="center"/>
          </w:tcPr>
          <w:p w14:paraId="375452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封套上应载明的信息</w:t>
            </w:r>
          </w:p>
        </w:tc>
        <w:tc>
          <w:tcPr>
            <w:tcW w:w="6894" w:type="dxa"/>
            <w:noWrap w:val="0"/>
            <w:vAlign w:val="center"/>
          </w:tcPr>
          <w:p w14:paraId="79EB3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tc>
      </w:tr>
      <w:tr w14:paraId="229D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067" w:type="dxa"/>
            <w:noWrap w:val="0"/>
            <w:vAlign w:val="center"/>
          </w:tcPr>
          <w:p w14:paraId="11B09D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36</w:t>
            </w:r>
          </w:p>
        </w:tc>
        <w:tc>
          <w:tcPr>
            <w:tcW w:w="2548" w:type="dxa"/>
            <w:noWrap w:val="0"/>
            <w:vAlign w:val="center"/>
          </w:tcPr>
          <w:p w14:paraId="13FD7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响应截止时间</w:t>
            </w:r>
          </w:p>
        </w:tc>
        <w:tc>
          <w:tcPr>
            <w:tcW w:w="6894" w:type="dxa"/>
            <w:noWrap w:val="0"/>
            <w:vAlign w:val="center"/>
          </w:tcPr>
          <w:p w14:paraId="5B843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aps w:val="0"/>
                <w:color w:val="auto"/>
                <w:spacing w:val="0"/>
                <w:sz w:val="24"/>
                <w:szCs w:val="24"/>
                <w:lang w:eastAsia="zh-CN"/>
              </w:rPr>
              <w:t>2025年12月4日 10:30（北京时间）</w:t>
            </w:r>
          </w:p>
        </w:tc>
      </w:tr>
      <w:tr w14:paraId="6D23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67" w:type="dxa"/>
            <w:noWrap w:val="0"/>
            <w:vAlign w:val="center"/>
          </w:tcPr>
          <w:p w14:paraId="454B8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37</w:t>
            </w:r>
          </w:p>
        </w:tc>
        <w:tc>
          <w:tcPr>
            <w:tcW w:w="2548" w:type="dxa"/>
            <w:noWrap w:val="0"/>
            <w:vAlign w:val="center"/>
          </w:tcPr>
          <w:p w14:paraId="31E1E1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递交响应文件地点</w:t>
            </w:r>
          </w:p>
        </w:tc>
        <w:tc>
          <w:tcPr>
            <w:tcW w:w="6894" w:type="dxa"/>
            <w:noWrap w:val="0"/>
            <w:vAlign w:val="center"/>
          </w:tcPr>
          <w:p w14:paraId="32B50B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新疆政府采购网政采云不见面开标系统</w:t>
            </w:r>
          </w:p>
        </w:tc>
      </w:tr>
      <w:tr w14:paraId="5858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67" w:type="dxa"/>
            <w:noWrap w:val="0"/>
            <w:vAlign w:val="center"/>
          </w:tcPr>
          <w:p w14:paraId="009D5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38</w:t>
            </w:r>
          </w:p>
        </w:tc>
        <w:tc>
          <w:tcPr>
            <w:tcW w:w="2548" w:type="dxa"/>
            <w:noWrap w:val="0"/>
            <w:vAlign w:val="center"/>
          </w:tcPr>
          <w:p w14:paraId="2135E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竞争性磋商响应文件是否退还</w:t>
            </w:r>
          </w:p>
        </w:tc>
        <w:tc>
          <w:tcPr>
            <w:tcW w:w="6894" w:type="dxa"/>
            <w:noWrap w:val="0"/>
            <w:vAlign w:val="center"/>
          </w:tcPr>
          <w:p w14:paraId="6627E54E">
            <w:pPr>
              <w:keepNext w:val="0"/>
              <w:keepLines w:val="0"/>
              <w:pageBreakBefore w:val="0"/>
              <w:widowControl w:val="0"/>
              <w:numPr>
                <w:ilvl w:val="0"/>
                <w:numId w:val="0"/>
              </w:numPr>
              <w:tabs>
                <w:tab w:val="center" w:pos="2931"/>
              </w:tabs>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eq \o\ac(□,√)</w:instrText>
            </w:r>
            <w:r>
              <w:rPr>
                <w:rFonts w:hint="eastAsia" w:ascii="仿宋" w:hAnsi="仿宋" w:eastAsia="仿宋" w:cs="仿宋"/>
                <w:color w:val="auto"/>
                <w:kern w:val="2"/>
                <w:sz w:val="24"/>
                <w:szCs w:val="24"/>
                <w:lang w:val="en-US" w:eastAsia="zh-CN" w:bidi="ar-SA"/>
              </w:rPr>
              <w:fldChar w:fldCharType="end"/>
            </w:r>
            <w:r>
              <w:rPr>
                <w:rFonts w:hint="eastAsia" w:ascii="仿宋" w:hAnsi="仿宋" w:eastAsia="仿宋" w:cs="仿宋"/>
                <w:color w:val="auto"/>
                <w:kern w:val="2"/>
                <w:sz w:val="24"/>
                <w:szCs w:val="24"/>
                <w:lang w:val="en-US" w:eastAsia="zh-CN" w:bidi="ar-SA"/>
              </w:rPr>
              <w:t>否</w:t>
            </w:r>
            <w:r>
              <w:rPr>
                <w:rFonts w:hint="eastAsia" w:ascii="仿宋" w:hAnsi="仿宋" w:eastAsia="仿宋" w:cs="仿宋"/>
                <w:color w:val="auto"/>
                <w:kern w:val="2"/>
                <w:sz w:val="24"/>
                <w:szCs w:val="24"/>
                <w:lang w:val="en-US" w:eastAsia="zh-CN" w:bidi="ar-SA"/>
              </w:rPr>
              <w:tab/>
            </w:r>
          </w:p>
          <w:p w14:paraId="3B330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□是，退还时间：</w:t>
            </w:r>
          </w:p>
        </w:tc>
      </w:tr>
      <w:tr w14:paraId="0FF8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067" w:type="dxa"/>
            <w:noWrap w:val="0"/>
            <w:vAlign w:val="center"/>
          </w:tcPr>
          <w:p w14:paraId="34914D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39</w:t>
            </w:r>
          </w:p>
        </w:tc>
        <w:tc>
          <w:tcPr>
            <w:tcW w:w="2548" w:type="dxa"/>
            <w:noWrap w:val="0"/>
            <w:vAlign w:val="center"/>
          </w:tcPr>
          <w:p w14:paraId="21C595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磋商时间和地点</w:t>
            </w:r>
          </w:p>
        </w:tc>
        <w:tc>
          <w:tcPr>
            <w:tcW w:w="6894" w:type="dxa"/>
            <w:noWrap w:val="0"/>
            <w:vAlign w:val="center"/>
          </w:tcPr>
          <w:p w14:paraId="16A249E9">
            <w:pPr>
              <w:pStyle w:val="29"/>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60" w:lineRule="auto"/>
              <w:ind w:left="0"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磋商时间：</w:t>
            </w:r>
            <w:r>
              <w:rPr>
                <w:rFonts w:hint="eastAsia" w:ascii="仿宋" w:hAnsi="仿宋" w:eastAsia="仿宋" w:cs="仿宋"/>
                <w:i w:val="0"/>
                <w:iCs w:val="0"/>
                <w:caps w:val="0"/>
                <w:color w:val="auto"/>
                <w:spacing w:val="0"/>
                <w:sz w:val="24"/>
                <w:szCs w:val="24"/>
                <w:lang w:eastAsia="zh-CN"/>
              </w:rPr>
              <w:t>2025年12月4日 10:30（北京时间）</w:t>
            </w:r>
            <w:r>
              <w:rPr>
                <w:rFonts w:hint="eastAsia" w:ascii="仿宋" w:hAnsi="仿宋" w:eastAsia="仿宋" w:cs="仿宋"/>
                <w:color w:val="auto"/>
                <w:kern w:val="2"/>
                <w:sz w:val="24"/>
                <w:szCs w:val="24"/>
                <w:lang w:val="en-US" w:eastAsia="zh-CN" w:bidi="ar-SA"/>
              </w:rPr>
              <w:t>（同投标截止时间）</w:t>
            </w:r>
          </w:p>
          <w:p w14:paraId="758B2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磋商地点：新疆政府采购网政采云不见面开标系统</w:t>
            </w:r>
          </w:p>
        </w:tc>
      </w:tr>
      <w:tr w14:paraId="02B2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noWrap w:val="0"/>
            <w:vAlign w:val="center"/>
          </w:tcPr>
          <w:p w14:paraId="596A56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40</w:t>
            </w:r>
          </w:p>
        </w:tc>
        <w:tc>
          <w:tcPr>
            <w:tcW w:w="2548" w:type="dxa"/>
            <w:noWrap w:val="0"/>
            <w:vAlign w:val="center"/>
          </w:tcPr>
          <w:p w14:paraId="353216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竞争性磋商小组的组建</w:t>
            </w:r>
          </w:p>
        </w:tc>
        <w:tc>
          <w:tcPr>
            <w:tcW w:w="6894" w:type="dxa"/>
            <w:noWrap w:val="0"/>
            <w:vAlign w:val="center"/>
          </w:tcPr>
          <w:p w14:paraId="3BC88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竞争性磋商小组的构成：</w:t>
            </w:r>
            <w:r>
              <w:rPr>
                <w:rFonts w:hint="eastAsia" w:ascii="仿宋" w:hAnsi="仿宋" w:eastAsia="仿宋" w:cs="仿宋"/>
                <w:color w:val="auto"/>
                <w:kern w:val="2"/>
                <w:sz w:val="24"/>
                <w:szCs w:val="24"/>
                <w:u w:val="single"/>
                <w:lang w:val="en-US" w:eastAsia="zh-CN" w:bidi="ar-SA"/>
              </w:rPr>
              <w:t xml:space="preserve">  3 </w:t>
            </w:r>
            <w:r>
              <w:rPr>
                <w:rFonts w:hint="eastAsia" w:ascii="仿宋" w:hAnsi="仿宋" w:eastAsia="仿宋" w:cs="仿宋"/>
                <w:color w:val="auto"/>
                <w:kern w:val="2"/>
                <w:sz w:val="24"/>
                <w:szCs w:val="24"/>
                <w:lang w:val="en-US" w:eastAsia="zh-CN" w:bidi="ar-SA"/>
              </w:rPr>
              <w:t>人</w:t>
            </w:r>
          </w:p>
          <w:p w14:paraId="25E3D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其中采购人代表 </w:t>
            </w:r>
            <w:r>
              <w:rPr>
                <w:rFonts w:hint="eastAsia" w:ascii="仿宋" w:hAnsi="仿宋" w:eastAsia="仿宋" w:cs="仿宋"/>
                <w:color w:val="auto"/>
                <w:kern w:val="2"/>
                <w:sz w:val="24"/>
                <w:szCs w:val="24"/>
                <w:u w:val="single"/>
                <w:lang w:val="en-US" w:eastAsia="zh-CN" w:bidi="ar-SA"/>
              </w:rPr>
              <w:t xml:space="preserve">  1  </w:t>
            </w:r>
            <w:r>
              <w:rPr>
                <w:rFonts w:hint="eastAsia" w:ascii="仿宋" w:hAnsi="仿宋" w:eastAsia="仿宋" w:cs="仿宋"/>
                <w:color w:val="auto"/>
                <w:kern w:val="2"/>
                <w:sz w:val="24"/>
                <w:szCs w:val="24"/>
                <w:lang w:val="en-US" w:eastAsia="zh-CN" w:bidi="ar-SA"/>
              </w:rPr>
              <w:t>人，专家</w:t>
            </w:r>
            <w:r>
              <w:rPr>
                <w:rFonts w:hint="eastAsia" w:ascii="仿宋" w:hAnsi="仿宋" w:eastAsia="仿宋" w:cs="仿宋"/>
                <w:color w:val="auto"/>
                <w:kern w:val="2"/>
                <w:sz w:val="24"/>
                <w:szCs w:val="24"/>
                <w:u w:val="single"/>
                <w:lang w:val="en-US" w:eastAsia="zh-CN" w:bidi="ar-SA"/>
              </w:rPr>
              <w:t xml:space="preserve">  2  </w:t>
            </w:r>
            <w:r>
              <w:rPr>
                <w:rFonts w:hint="eastAsia" w:ascii="仿宋" w:hAnsi="仿宋" w:eastAsia="仿宋" w:cs="仿宋"/>
                <w:color w:val="auto"/>
                <w:kern w:val="2"/>
                <w:sz w:val="24"/>
                <w:szCs w:val="24"/>
                <w:lang w:val="en-US" w:eastAsia="zh-CN" w:bidi="ar-SA"/>
              </w:rPr>
              <w:t>人；</w:t>
            </w:r>
          </w:p>
          <w:p w14:paraId="2937A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竞争性磋商小组成员确定方式：政采云平台随机抽取</w:t>
            </w:r>
          </w:p>
        </w:tc>
      </w:tr>
      <w:tr w14:paraId="5F85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14:paraId="3A80D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41</w:t>
            </w:r>
          </w:p>
        </w:tc>
        <w:tc>
          <w:tcPr>
            <w:tcW w:w="2548" w:type="dxa"/>
            <w:noWrap w:val="0"/>
            <w:vAlign w:val="center"/>
          </w:tcPr>
          <w:p w14:paraId="2AA87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竞争性磋商小组推荐成交候选人的人数</w:t>
            </w:r>
          </w:p>
        </w:tc>
        <w:tc>
          <w:tcPr>
            <w:tcW w:w="6894" w:type="dxa"/>
            <w:noWrap w:val="0"/>
            <w:vAlign w:val="center"/>
          </w:tcPr>
          <w:p w14:paraId="6E0C7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u w:val="single"/>
                <w:lang w:val="en-US" w:eastAsia="zh-CN" w:bidi="ar-SA"/>
              </w:rPr>
              <w:t xml:space="preserve">  3  </w:t>
            </w:r>
            <w:r>
              <w:rPr>
                <w:rFonts w:hint="eastAsia" w:ascii="仿宋" w:hAnsi="仿宋" w:eastAsia="仿宋" w:cs="仿宋"/>
                <w:color w:val="auto"/>
                <w:kern w:val="2"/>
                <w:sz w:val="24"/>
                <w:szCs w:val="24"/>
                <w:lang w:val="en-US" w:eastAsia="zh-CN" w:bidi="ar-SA"/>
              </w:rPr>
              <w:t>人</w:t>
            </w:r>
          </w:p>
        </w:tc>
      </w:tr>
      <w:tr w14:paraId="08F3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14:paraId="14C26E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42</w:t>
            </w:r>
          </w:p>
        </w:tc>
        <w:tc>
          <w:tcPr>
            <w:tcW w:w="2548" w:type="dxa"/>
            <w:noWrap w:val="0"/>
            <w:vAlign w:val="center"/>
          </w:tcPr>
          <w:p w14:paraId="4E36F5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中标候选人公示媒介及期限</w:t>
            </w:r>
          </w:p>
        </w:tc>
        <w:tc>
          <w:tcPr>
            <w:tcW w:w="6894" w:type="dxa"/>
            <w:noWrap w:val="0"/>
            <w:vAlign w:val="center"/>
          </w:tcPr>
          <w:p w14:paraId="27E43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公示媒介：新疆政府采购网</w:t>
            </w:r>
          </w:p>
          <w:p w14:paraId="4D9A9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公示期限：</w:t>
            </w:r>
            <w:r>
              <w:rPr>
                <w:rFonts w:hint="eastAsia" w:ascii="仿宋" w:hAnsi="仿宋" w:eastAsia="仿宋" w:cs="仿宋"/>
                <w:color w:val="auto"/>
                <w:kern w:val="2"/>
                <w:sz w:val="24"/>
                <w:szCs w:val="24"/>
                <w:u w:val="single"/>
                <w:lang w:val="en-US" w:eastAsia="zh-CN" w:bidi="ar-SA"/>
              </w:rPr>
              <w:t xml:space="preserve">  1  </w:t>
            </w:r>
            <w:r>
              <w:rPr>
                <w:rFonts w:hint="eastAsia" w:ascii="仿宋" w:hAnsi="仿宋" w:eastAsia="仿宋" w:cs="仿宋"/>
                <w:color w:val="auto"/>
                <w:kern w:val="2"/>
                <w:sz w:val="24"/>
                <w:szCs w:val="24"/>
                <w:lang w:val="en-US" w:eastAsia="zh-CN" w:bidi="ar-SA"/>
              </w:rPr>
              <w:t>工作日</w:t>
            </w:r>
          </w:p>
        </w:tc>
      </w:tr>
      <w:tr w14:paraId="5164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14:paraId="77C01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43</w:t>
            </w:r>
          </w:p>
        </w:tc>
        <w:tc>
          <w:tcPr>
            <w:tcW w:w="2548" w:type="dxa"/>
            <w:noWrap w:val="0"/>
            <w:vAlign w:val="center"/>
          </w:tcPr>
          <w:p w14:paraId="24AF0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是否授权竞争性磋商小组确定成交供应商</w:t>
            </w:r>
          </w:p>
        </w:tc>
        <w:tc>
          <w:tcPr>
            <w:tcW w:w="6894" w:type="dxa"/>
            <w:noWrap w:val="0"/>
            <w:vAlign w:val="center"/>
          </w:tcPr>
          <w:p w14:paraId="7561B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eq \o\ac(□)</w:instrText>
            </w:r>
            <w:r>
              <w:rPr>
                <w:rFonts w:hint="eastAsia" w:ascii="仿宋" w:hAnsi="仿宋" w:eastAsia="仿宋" w:cs="仿宋"/>
                <w:color w:val="auto"/>
                <w:kern w:val="2"/>
                <w:sz w:val="24"/>
                <w:szCs w:val="24"/>
                <w:lang w:val="en-US" w:eastAsia="zh-CN" w:bidi="ar-SA"/>
              </w:rPr>
              <w:fldChar w:fldCharType="end"/>
            </w:r>
            <w:r>
              <w:rPr>
                <w:rFonts w:hint="eastAsia" w:ascii="仿宋" w:hAnsi="仿宋" w:eastAsia="仿宋" w:cs="仿宋"/>
                <w:color w:val="auto"/>
                <w:kern w:val="2"/>
                <w:sz w:val="24"/>
                <w:szCs w:val="24"/>
                <w:lang w:val="en-US" w:eastAsia="zh-CN" w:bidi="ar-SA"/>
              </w:rPr>
              <w:t>是</w:t>
            </w:r>
          </w:p>
          <w:p w14:paraId="7A430F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eq \o\ac(□,√)</w:instrText>
            </w:r>
            <w:r>
              <w:rPr>
                <w:rFonts w:hint="eastAsia" w:ascii="仿宋" w:hAnsi="仿宋" w:eastAsia="仿宋" w:cs="仿宋"/>
                <w:color w:val="auto"/>
                <w:kern w:val="2"/>
                <w:sz w:val="24"/>
                <w:szCs w:val="24"/>
                <w:lang w:val="en-US" w:eastAsia="zh-CN" w:bidi="ar-SA"/>
              </w:rPr>
              <w:fldChar w:fldCharType="end"/>
            </w:r>
            <w:r>
              <w:rPr>
                <w:rFonts w:hint="eastAsia" w:ascii="仿宋" w:hAnsi="仿宋" w:eastAsia="仿宋" w:cs="仿宋"/>
                <w:color w:val="auto"/>
                <w:kern w:val="2"/>
                <w:sz w:val="24"/>
                <w:szCs w:val="24"/>
                <w:lang w:val="en-US" w:eastAsia="zh-CN" w:bidi="ar-SA"/>
              </w:rPr>
              <w:t>否</w:t>
            </w:r>
          </w:p>
        </w:tc>
      </w:tr>
      <w:tr w14:paraId="6E55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67" w:type="dxa"/>
            <w:noWrap w:val="0"/>
            <w:vAlign w:val="center"/>
          </w:tcPr>
          <w:p w14:paraId="4BF20F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44</w:t>
            </w:r>
          </w:p>
        </w:tc>
        <w:tc>
          <w:tcPr>
            <w:tcW w:w="2548" w:type="dxa"/>
            <w:noWrap w:val="0"/>
            <w:vAlign w:val="center"/>
          </w:tcPr>
          <w:p w14:paraId="3345AF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履约保证金</w:t>
            </w:r>
          </w:p>
        </w:tc>
        <w:tc>
          <w:tcPr>
            <w:tcW w:w="6894" w:type="dxa"/>
            <w:noWrap w:val="0"/>
            <w:vAlign w:val="center"/>
          </w:tcPr>
          <w:p w14:paraId="7AF38F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履约担保的形式：支票、汇票或银行保函</w:t>
            </w:r>
          </w:p>
          <w:p w14:paraId="10B828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履约担保的金额：中标价的 </w:t>
            </w:r>
            <w:r>
              <w:rPr>
                <w:rFonts w:hint="eastAsia" w:ascii="仿宋" w:hAnsi="仿宋" w:eastAsia="仿宋" w:cs="仿宋"/>
                <w:color w:val="auto"/>
                <w:kern w:val="2"/>
                <w:sz w:val="24"/>
                <w:szCs w:val="24"/>
                <w:u w:val="single"/>
                <w:lang w:val="en-US" w:eastAsia="zh-CN" w:bidi="ar-SA"/>
              </w:rPr>
              <w:t xml:space="preserve">  /  </w:t>
            </w:r>
            <w:r>
              <w:rPr>
                <w:rFonts w:hint="eastAsia" w:ascii="仿宋" w:hAnsi="仿宋" w:eastAsia="仿宋" w:cs="仿宋"/>
                <w:color w:val="auto"/>
                <w:kern w:val="2"/>
                <w:sz w:val="24"/>
                <w:szCs w:val="24"/>
                <w:lang w:val="en-US" w:eastAsia="zh-CN" w:bidi="ar-SA"/>
              </w:rPr>
              <w:t xml:space="preserve"> ，由中标人在中标后十日内缴纳至采购人指定账户。</w:t>
            </w:r>
          </w:p>
        </w:tc>
      </w:tr>
      <w:tr w14:paraId="17C6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restart"/>
            <w:noWrap w:val="0"/>
            <w:vAlign w:val="center"/>
          </w:tcPr>
          <w:p w14:paraId="3D6588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45</w:t>
            </w:r>
          </w:p>
        </w:tc>
        <w:tc>
          <w:tcPr>
            <w:tcW w:w="2548" w:type="dxa"/>
            <w:vMerge w:val="restart"/>
            <w:noWrap w:val="0"/>
            <w:vAlign w:val="center"/>
          </w:tcPr>
          <w:p w14:paraId="4F1FE6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需要补充的其他内容</w:t>
            </w:r>
          </w:p>
        </w:tc>
        <w:tc>
          <w:tcPr>
            <w:tcW w:w="6894" w:type="dxa"/>
            <w:noWrap w:val="0"/>
            <w:vAlign w:val="center"/>
          </w:tcPr>
          <w:p w14:paraId="2CEDBC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1、竞争性磋商文件及补充文件要求的证明材料，响应供应商均需在原件扫描清晰上传，如因响应供应商未提供清晰的原件扫描件导致的相关后果，响应供应商自行承担。</w:t>
            </w:r>
          </w:p>
          <w:p w14:paraId="2E30AA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项目采用新疆政府采购网政采云不见面开标系统进行开评标，各合格响应供应商须及时办理CA锁，不见面开标系统中上传的竞争性磋商响应文件须进行CA加密并按要求上传。各响应供应商须在开标时及时对所上传竞争性磋商响应文件进行解密，未按时解密签字可能导致投标无效，其后果由响应供应商自行承担；响应供应商在制作竞争性磋商响应文件时须关联相关评审点，如因此原因出现废标、扣分等情况，各响应供应商自行负责。</w:t>
            </w:r>
          </w:p>
          <w:p w14:paraId="48F04B53">
            <w:pPr>
              <w:pStyle w:val="13"/>
              <w:ind w:left="0" w:leftChars="0" w:firstLine="0" w:firstLineChars="0"/>
              <w:rPr>
                <w:rFonts w:hint="eastAsia" w:ascii="仿宋" w:hAnsi="仿宋" w:eastAsia="仿宋" w:cs="仿宋"/>
                <w:color w:val="auto"/>
                <w:lang w:val="en-US" w:eastAsia="zh-CN"/>
              </w:rPr>
            </w:pPr>
            <w:r>
              <w:rPr>
                <w:rFonts w:hint="eastAsia" w:ascii="仿宋" w:hAnsi="仿宋" w:eastAsia="仿宋" w:cs="仿宋"/>
                <w:color w:val="auto"/>
                <w:kern w:val="2"/>
                <w:sz w:val="24"/>
                <w:szCs w:val="24"/>
                <w:lang w:val="en-US" w:eastAsia="zh-CN" w:bidi="ar-SA"/>
              </w:rPr>
              <w:t>3、本项目不组织现场踏勘，响应供应商可自行进行现场踏勘。</w:t>
            </w:r>
          </w:p>
        </w:tc>
      </w:tr>
      <w:tr w14:paraId="0C96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67" w:type="dxa"/>
            <w:vMerge w:val="continue"/>
            <w:noWrap w:val="0"/>
            <w:vAlign w:val="center"/>
          </w:tcPr>
          <w:p w14:paraId="04D9C2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2548" w:type="dxa"/>
            <w:vMerge w:val="continue"/>
            <w:noWrap w:val="0"/>
            <w:vAlign w:val="center"/>
          </w:tcPr>
          <w:p w14:paraId="34F100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tc>
        <w:tc>
          <w:tcPr>
            <w:tcW w:w="6894" w:type="dxa"/>
            <w:noWrap w:val="0"/>
            <w:vAlign w:val="center"/>
          </w:tcPr>
          <w:p w14:paraId="574421CE">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本项目竞争性磋商采购文件所有开、评标时间均以新疆政府采购网本项目招标相关公告时间为准，如有异议请及时联系招标代理公司。</w:t>
            </w:r>
          </w:p>
        </w:tc>
      </w:tr>
      <w:tr w14:paraId="1628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continue"/>
            <w:noWrap w:val="0"/>
            <w:vAlign w:val="center"/>
          </w:tcPr>
          <w:p w14:paraId="79C8AF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2548" w:type="dxa"/>
            <w:vMerge w:val="continue"/>
            <w:noWrap w:val="0"/>
            <w:vAlign w:val="center"/>
          </w:tcPr>
          <w:p w14:paraId="12871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tc>
        <w:tc>
          <w:tcPr>
            <w:tcW w:w="6894" w:type="dxa"/>
            <w:noWrap w:val="0"/>
            <w:vAlign w:val="center"/>
          </w:tcPr>
          <w:p w14:paraId="7FEF7AA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仿宋" w:hAnsi="仿宋" w:eastAsia="仿宋" w:cs="仿宋"/>
                <w:b/>
                <w:bCs/>
                <w:color w:val="auto"/>
                <w:kern w:val="2"/>
                <w:sz w:val="24"/>
                <w:szCs w:val="24"/>
                <w:u w:val="single"/>
                <w:lang w:val="en-US" w:eastAsia="zh-CN" w:bidi="ar-SA"/>
              </w:rPr>
            </w:pPr>
            <w:r>
              <w:rPr>
                <w:rFonts w:hint="eastAsia" w:ascii="仿宋" w:hAnsi="仿宋" w:eastAsia="仿宋" w:cs="仿宋"/>
                <w:b/>
                <w:bCs/>
                <w:color w:val="auto"/>
                <w:kern w:val="2"/>
                <w:sz w:val="24"/>
                <w:szCs w:val="24"/>
                <w:lang w:val="en-US" w:eastAsia="zh-CN" w:bidi="ar-SA"/>
              </w:rPr>
              <w:t>本项目采购标的为：</w:t>
            </w:r>
            <w:r>
              <w:rPr>
                <w:rFonts w:hint="eastAsia" w:ascii="仿宋" w:hAnsi="仿宋" w:eastAsia="仿宋" w:cs="仿宋"/>
                <w:b/>
                <w:bCs/>
                <w:color w:val="auto"/>
                <w:kern w:val="2"/>
                <w:sz w:val="24"/>
                <w:szCs w:val="24"/>
                <w:u w:val="single"/>
                <w:lang w:val="en-US" w:eastAsia="zh-CN" w:bidi="ar-SA"/>
              </w:rPr>
              <w:t>库车国家历史文化名城公共服务设施建设项目可研编制。</w:t>
            </w:r>
          </w:p>
          <w:p w14:paraId="75AE9EBB">
            <w:pPr>
              <w:pStyle w:val="13"/>
              <w:ind w:left="0" w:leftChars="0" w:firstLine="0" w:firstLineChars="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根据《关于印发中小企业划型标准规定的通知》（工信部联企业〔2011〕300号）所属行业划分为</w:t>
            </w:r>
            <w:r>
              <w:rPr>
                <w:rFonts w:hint="eastAsia" w:ascii="仿宋" w:hAnsi="仿宋" w:eastAsia="仿宋" w:cs="仿宋"/>
                <w:b/>
                <w:bCs/>
                <w:color w:val="auto"/>
                <w:kern w:val="2"/>
                <w:sz w:val="24"/>
                <w:szCs w:val="24"/>
                <w:u w:val="single"/>
                <w:lang w:val="en-US" w:eastAsia="zh-CN" w:bidi="ar-SA"/>
              </w:rPr>
              <w:t xml:space="preserve">  其他未列明行业  </w:t>
            </w:r>
            <w:r>
              <w:rPr>
                <w:rFonts w:hint="eastAsia" w:ascii="仿宋" w:hAnsi="仿宋" w:eastAsia="仿宋" w:cs="仿宋"/>
                <w:b/>
                <w:bCs/>
                <w:color w:val="auto"/>
                <w:kern w:val="2"/>
                <w:sz w:val="24"/>
                <w:szCs w:val="24"/>
                <w:lang w:val="en-US" w:eastAsia="zh-CN" w:bidi="ar-SA"/>
              </w:rPr>
              <w:t>。</w:t>
            </w:r>
          </w:p>
          <w:p w14:paraId="7C6AD6DE">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其他未列明行业划分标准：</w:t>
            </w:r>
          </w:p>
          <w:p w14:paraId="3D31FAC5">
            <w:pPr>
              <w:pStyle w:val="13"/>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从业人员300人以下的为中小微型企业。其中，从业人员100人及以上的为中型企业；从业人员10人及以上的为小型企业；从业人员10人以下的为微型企业。</w:t>
            </w:r>
          </w:p>
        </w:tc>
      </w:tr>
      <w:tr w14:paraId="5EA9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14:paraId="3F7E47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46</w:t>
            </w:r>
          </w:p>
        </w:tc>
        <w:tc>
          <w:tcPr>
            <w:tcW w:w="2548" w:type="dxa"/>
            <w:noWrap w:val="0"/>
            <w:vAlign w:val="center"/>
          </w:tcPr>
          <w:p w14:paraId="47954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政策优惠</w:t>
            </w:r>
          </w:p>
        </w:tc>
        <w:tc>
          <w:tcPr>
            <w:tcW w:w="6894" w:type="dxa"/>
            <w:noWrap w:val="0"/>
            <w:vAlign w:val="center"/>
          </w:tcPr>
          <w:p w14:paraId="5CAB16F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bCs/>
                <w:i w:val="0"/>
                <w:iCs w:val="0"/>
                <w:color w:val="auto"/>
                <w:spacing w:val="0"/>
                <w:sz w:val="24"/>
                <w:szCs w:val="24"/>
                <w:vertAlign w:val="baseline"/>
                <w:lang w:val="en-US" w:eastAsia="zh-CN"/>
              </w:rPr>
              <w:t>中型、小型、微型企业：</w:t>
            </w:r>
            <w:r>
              <w:rPr>
                <w:rFonts w:hint="eastAsia" w:ascii="仿宋" w:hAnsi="仿宋" w:eastAsia="仿宋" w:cs="仿宋"/>
                <w:b w:val="0"/>
                <w:bCs w:val="0"/>
                <w:i w:val="0"/>
                <w:iCs w:val="0"/>
                <w:color w:val="auto"/>
                <w:spacing w:val="0"/>
                <w:sz w:val="24"/>
                <w:szCs w:val="24"/>
                <w:vertAlign w:val="baseline"/>
                <w:lang w:val="en-US" w:eastAsia="zh-CN"/>
              </w:rPr>
              <w:t>根据《政府采购促进中小企业发展管理办法》（财库﹝2020﹞46 号）、《关于进一步加大政府采购支持中小企业力度的通知》（财库〔2022〕19号）相关规定</w:t>
            </w:r>
          </w:p>
          <w:p w14:paraId="42B4BB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（1）中小企业（含中型、小型、微型企业，下同）单独参加本项目的投标：</w:t>
            </w:r>
          </w:p>
          <w:p w14:paraId="0D52623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①非专门面向中小企业预留项目，提供小、微型企业生产的产品或服务的，给予10%的价格扣除，用扣除后的价格参与评审。②非专门面向中小企业预留项目，提供大、中型企业生产的产品或服务的，不进行价格扣除。</w:t>
            </w:r>
          </w:p>
          <w:p w14:paraId="4D3F8B5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（2）</w:t>
            </w:r>
            <w:r>
              <w:rPr>
                <w:rFonts w:hint="eastAsia" w:ascii="仿宋" w:hAnsi="仿宋" w:eastAsia="仿宋" w:cs="仿宋"/>
                <w:b/>
                <w:bCs/>
                <w:i w:val="0"/>
                <w:iCs w:val="0"/>
                <w:color w:val="auto"/>
                <w:spacing w:val="0"/>
                <w:sz w:val="24"/>
                <w:szCs w:val="24"/>
                <w:vertAlign w:val="baseline"/>
                <w:lang w:val="en-US" w:eastAsia="zh-CN"/>
              </w:rPr>
              <w:t>参加本次采购活动的中小企业，应当在响应文件中提供有效的《中小企业声明函》，并对其真实性负责。</w:t>
            </w:r>
          </w:p>
          <w:p w14:paraId="1AF6758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3）大中型企业和其他自然人、法人或者其他组织与小型、微型企业组成联合体共同参加本项目投标，凡联合协议中约定，小型、微型企业的协议合同金额占到联合体协议合同总金额30%以上的，给予联合体6%的价格扣除；联合体各方均为小型企业的，联合体视同为小型企业；联合体各方均为微型企业的，联合体视同为微型企业。</w:t>
            </w:r>
          </w:p>
          <w:p w14:paraId="2B936AB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bCs/>
                <w:i w:val="0"/>
                <w:iCs w:val="0"/>
                <w:color w:val="auto"/>
                <w:spacing w:val="0"/>
                <w:sz w:val="24"/>
                <w:szCs w:val="24"/>
                <w:vertAlign w:val="baseline"/>
                <w:lang w:val="en-US" w:eastAsia="zh-CN"/>
              </w:rPr>
              <w:t>监狱企业：</w:t>
            </w:r>
            <w:r>
              <w:rPr>
                <w:rFonts w:hint="eastAsia" w:ascii="仿宋" w:hAnsi="仿宋" w:eastAsia="仿宋" w:cs="仿宋"/>
                <w:b w:val="0"/>
                <w:bCs w:val="0"/>
                <w:i w:val="0"/>
                <w:iCs w:val="0"/>
                <w:color w:val="auto"/>
                <w:spacing w:val="0"/>
                <w:sz w:val="24"/>
                <w:szCs w:val="24"/>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14:paraId="377A1F7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监狱企业视同微型企业。</w:t>
            </w:r>
          </w:p>
          <w:p w14:paraId="616E0FF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（1）监狱企业参加非专门面向中小企业预留项目的投标，视同微型企业投标，提供本单位生产的产品享受10%价格扣除。</w:t>
            </w:r>
          </w:p>
          <w:p w14:paraId="21D4118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14:paraId="2A7CD0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bCs/>
                <w:i w:val="0"/>
                <w:iCs w:val="0"/>
                <w:color w:val="auto"/>
                <w:spacing w:val="0"/>
                <w:sz w:val="24"/>
                <w:szCs w:val="24"/>
                <w:vertAlign w:val="baseline"/>
                <w:lang w:val="en-US" w:eastAsia="zh-CN"/>
              </w:rPr>
              <w:t>残疾人福利性单位：</w:t>
            </w:r>
            <w:r>
              <w:rPr>
                <w:rFonts w:hint="eastAsia" w:ascii="仿宋" w:hAnsi="仿宋" w:eastAsia="仿宋" w:cs="仿宋"/>
                <w:b w:val="0"/>
                <w:bCs w:val="0"/>
                <w:i w:val="0"/>
                <w:iCs w:val="0"/>
                <w:color w:val="auto"/>
                <w:spacing w:val="0"/>
                <w:sz w:val="24"/>
                <w:szCs w:val="24"/>
                <w:vertAlign w:val="baseline"/>
                <w:lang w:val="en-US" w:eastAsia="zh-CN"/>
              </w:rPr>
              <w:t>根据财政部  民政部《中国残疾人联合会关于促进残疾人就业政府采购政策的通知》（财库【2017】141号）的规定。</w:t>
            </w:r>
          </w:p>
          <w:p w14:paraId="4923430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（1）残疾人福利性单位参加非专门面向中小企业预留项目的投标，视同小型、微型企业投标，提供本单位生产的产品享受10%的价格扣除。</w:t>
            </w:r>
          </w:p>
          <w:p w14:paraId="28E47F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val="0"/>
                <w:bCs w:val="0"/>
                <w:i w:val="0"/>
                <w:iCs w:val="0"/>
                <w:color w:val="auto"/>
                <w:spacing w:val="0"/>
                <w:sz w:val="24"/>
                <w:szCs w:val="24"/>
                <w:vertAlign w:val="baseline"/>
                <w:lang w:val="en-US" w:eastAsia="zh-CN"/>
              </w:rPr>
              <w:t>（2）参加本次采购活动的残疾人福利性单位，应当在磋商响应文件中提供由141号文规定的《残疾人福利性单位声明函》，不再提供《中小企业声明函》，不重复享受政策。</w:t>
            </w:r>
          </w:p>
          <w:p w14:paraId="1286C1DC">
            <w:pPr>
              <w:widowControl/>
              <w:shd w:val="clear" w:color="auto" w:fill="FFFFFF"/>
              <w:jc w:val="left"/>
              <w:rPr>
                <w:rFonts w:hint="eastAsia" w:ascii="仿宋" w:hAnsi="仿宋" w:eastAsia="仿宋" w:cs="仿宋"/>
                <w:b w:val="0"/>
                <w:bCs w:val="0"/>
                <w:i w:val="0"/>
                <w:iCs w:val="0"/>
                <w:color w:val="auto"/>
                <w:spacing w:val="0"/>
                <w:sz w:val="24"/>
                <w:szCs w:val="24"/>
                <w:vertAlign w:val="baseline"/>
                <w:lang w:val="en-US" w:eastAsia="zh-CN"/>
              </w:rPr>
            </w:pPr>
            <w:r>
              <w:rPr>
                <w:rFonts w:hint="eastAsia" w:ascii="仿宋" w:hAnsi="仿宋" w:eastAsia="仿宋" w:cs="仿宋"/>
                <w:b/>
                <w:bCs/>
                <w:i w:val="0"/>
                <w:iCs w:val="0"/>
                <w:color w:val="auto"/>
                <w:spacing w:val="0"/>
                <w:sz w:val="24"/>
                <w:szCs w:val="24"/>
                <w:vertAlign w:val="baseline"/>
                <w:lang w:val="en-US" w:eastAsia="zh-CN"/>
              </w:rPr>
              <w:t>节能及环境标志产品：</w:t>
            </w:r>
            <w:r>
              <w:rPr>
                <w:rFonts w:hint="eastAsia" w:ascii="仿宋" w:hAnsi="仿宋" w:eastAsia="仿宋" w:cs="仿宋"/>
                <w:b w:val="0"/>
                <w:bCs w:val="0"/>
                <w:i w:val="0"/>
                <w:iCs w:val="0"/>
                <w:color w:val="auto"/>
                <w:spacing w:val="0"/>
                <w:sz w:val="24"/>
                <w:szCs w:val="24"/>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响应供应商所投产品必须是《节能产品政府采购清单》内产品，并提供清单内证明材料，否则投标无效。其他产品若属于“节能产品政府采购清单”内产品，在同等条件下，优先采购清单中的产品。</w:t>
            </w:r>
          </w:p>
          <w:p w14:paraId="53215D5F">
            <w:pPr>
              <w:pStyle w:val="13"/>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i w:val="0"/>
                <w:iCs w:val="0"/>
                <w:color w:val="auto"/>
                <w:spacing w:val="0"/>
                <w:sz w:val="24"/>
                <w:szCs w:val="24"/>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tc>
      </w:tr>
      <w:tr w14:paraId="1DFF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67" w:type="dxa"/>
            <w:noWrap w:val="0"/>
            <w:vAlign w:val="center"/>
          </w:tcPr>
          <w:p w14:paraId="3E3DD9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47</w:t>
            </w:r>
          </w:p>
        </w:tc>
        <w:tc>
          <w:tcPr>
            <w:tcW w:w="2548" w:type="dxa"/>
            <w:noWrap w:val="0"/>
            <w:vAlign w:val="center"/>
          </w:tcPr>
          <w:p w14:paraId="63F67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招标代理服务收费标准</w:t>
            </w:r>
          </w:p>
        </w:tc>
        <w:tc>
          <w:tcPr>
            <w:tcW w:w="6894" w:type="dxa"/>
            <w:noWrap w:val="0"/>
            <w:vAlign w:val="center"/>
          </w:tcPr>
          <w:p w14:paraId="660523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根据国家发展和改革委员会办公室“发改办价格[2015]299号”文规定，</w:t>
            </w:r>
            <w:r>
              <w:rPr>
                <w:rFonts w:hint="eastAsia" w:ascii="仿宋" w:hAnsi="仿宋" w:eastAsia="仿宋" w:cs="仿宋"/>
                <w:b/>
                <w:bCs/>
                <w:color w:val="auto"/>
                <w:kern w:val="2"/>
                <w:sz w:val="24"/>
                <w:szCs w:val="24"/>
                <w:lang w:val="en-US" w:eastAsia="zh-CN" w:bidi="ar-SA"/>
              </w:rPr>
              <w:t>本项目向中标人一次性收取采购代理服务费3000元</w:t>
            </w:r>
            <w:r>
              <w:rPr>
                <w:rFonts w:hint="eastAsia" w:ascii="仿宋" w:hAnsi="仿宋" w:eastAsia="仿宋" w:cs="仿宋"/>
                <w:color w:val="auto"/>
                <w:kern w:val="2"/>
                <w:sz w:val="24"/>
                <w:szCs w:val="24"/>
                <w:lang w:val="en-US" w:eastAsia="zh-CN" w:bidi="ar-SA"/>
              </w:rPr>
              <w:t>。以上费用请各响应供应商考虑到成本费用中，由中标单位在领取中标通知书时一次性支付给代理公司。（若通过银行汇款交纳的，须由响应供应商的帐户汇入）。</w:t>
            </w:r>
          </w:p>
        </w:tc>
      </w:tr>
      <w:tr w14:paraId="40A6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1067" w:type="dxa"/>
            <w:noWrap w:val="0"/>
            <w:vAlign w:val="center"/>
          </w:tcPr>
          <w:p w14:paraId="155987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48</w:t>
            </w:r>
          </w:p>
        </w:tc>
        <w:tc>
          <w:tcPr>
            <w:tcW w:w="2548" w:type="dxa"/>
            <w:noWrap w:val="0"/>
            <w:vAlign w:val="center"/>
          </w:tcPr>
          <w:p w14:paraId="609A3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b/>
                <w:bCs/>
                <w:color w:val="auto"/>
                <w:spacing w:val="0"/>
                <w:sz w:val="24"/>
                <w:szCs w:val="24"/>
                <w:vertAlign w:val="baseline"/>
                <w:lang w:val="en-US" w:eastAsia="zh-CN"/>
              </w:rPr>
              <w:t>其他说明</w:t>
            </w:r>
          </w:p>
        </w:tc>
        <w:tc>
          <w:tcPr>
            <w:tcW w:w="6894" w:type="dxa"/>
            <w:noWrap w:val="0"/>
            <w:vAlign w:val="center"/>
          </w:tcPr>
          <w:p w14:paraId="1E3E428E">
            <w:pPr>
              <w:keepNext w:val="0"/>
              <w:keepLines w:val="0"/>
              <w:widowControl/>
              <w:numPr>
                <w:ilvl w:val="0"/>
                <w:numId w:val="0"/>
              </w:numPr>
              <w:suppressLineNumbers w:val="0"/>
              <w:spacing w:line="360" w:lineRule="auto"/>
              <w:jc w:val="left"/>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1、响应供应商应按政采云资格文件、商务技术文件、报价文件相关要求上传相关响应文件，未按要求上传文件导致的废标、扣分情况由响应供应商自行承担责任；</w:t>
            </w:r>
          </w:p>
          <w:p w14:paraId="6D7C68E6">
            <w:pPr>
              <w:keepNext w:val="0"/>
              <w:keepLines w:val="0"/>
              <w:widowControl/>
              <w:suppressLineNumbers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pacing w:val="0"/>
                <w:sz w:val="24"/>
                <w:szCs w:val="24"/>
                <w:vertAlign w:val="baseline"/>
                <w:lang w:val="en-US" w:eastAsia="zh-CN"/>
              </w:rPr>
              <w:t>2、响应供应商解密、开标一览表签字确认时间为30分钟；未在规定时间内进行解密、签字的响应供应商视为无效投标；</w:t>
            </w:r>
          </w:p>
        </w:tc>
      </w:tr>
    </w:tbl>
    <w:p w14:paraId="5A3E5003">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一、总则</w:t>
      </w:r>
    </w:p>
    <w:p w14:paraId="071B43B3">
      <w:pPr>
        <w:spacing w:line="360" w:lineRule="auto"/>
        <w:jc w:val="left"/>
        <w:rPr>
          <w:rFonts w:hint="eastAsia" w:ascii="仿宋" w:hAnsi="仿宋" w:eastAsia="仿宋" w:cs="仿宋"/>
          <w:color w:val="auto"/>
          <w:sz w:val="24"/>
          <w:szCs w:val="24"/>
        </w:rPr>
      </w:pPr>
      <w:bookmarkStart w:id="7" w:name="_Toc177870537"/>
      <w:bookmarkStart w:id="8" w:name="_Toc177825120"/>
      <w:bookmarkStart w:id="9" w:name="_Toc177824872"/>
      <w:bookmarkStart w:id="10" w:name="_Toc177824939"/>
      <w:r>
        <w:rPr>
          <w:rFonts w:hint="eastAsia" w:ascii="仿宋" w:hAnsi="仿宋" w:eastAsia="仿宋" w:cs="仿宋"/>
          <w:color w:val="auto"/>
          <w:sz w:val="24"/>
          <w:szCs w:val="24"/>
        </w:rPr>
        <w:t>（一）适用范围</w:t>
      </w:r>
      <w:bookmarkEnd w:id="7"/>
      <w:bookmarkEnd w:id="8"/>
      <w:bookmarkEnd w:id="9"/>
      <w:bookmarkEnd w:id="10"/>
    </w:p>
    <w:p w14:paraId="06C5B492">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本次竞争性磋商文件适用于：</w:t>
      </w:r>
      <w:r>
        <w:rPr>
          <w:rFonts w:hint="eastAsia" w:ascii="仿宋" w:hAnsi="仿宋" w:eastAsia="仿宋" w:cs="仿宋"/>
          <w:color w:val="auto"/>
          <w:sz w:val="24"/>
          <w:szCs w:val="24"/>
          <w:lang w:eastAsia="zh-CN"/>
        </w:rPr>
        <w:t>库车国家历史文化名城公共服务设施建设项目可研编制</w:t>
      </w:r>
      <w:r>
        <w:rPr>
          <w:rFonts w:hint="eastAsia" w:ascii="仿宋" w:hAnsi="仿宋" w:eastAsia="仿宋" w:cs="仿宋"/>
          <w:color w:val="auto"/>
          <w:sz w:val="24"/>
          <w:szCs w:val="24"/>
        </w:rPr>
        <w:t>的招标、评标、定标、验收、合同履约、付款等（法律、法规另有规定的，从其规定）。</w:t>
      </w:r>
    </w:p>
    <w:p w14:paraId="7EB0A87B">
      <w:pPr>
        <w:spacing w:line="360" w:lineRule="auto"/>
        <w:jc w:val="left"/>
        <w:rPr>
          <w:rFonts w:hint="eastAsia" w:ascii="仿宋" w:hAnsi="仿宋" w:eastAsia="仿宋" w:cs="仿宋"/>
          <w:color w:val="auto"/>
          <w:sz w:val="24"/>
          <w:szCs w:val="24"/>
        </w:rPr>
      </w:pPr>
      <w:bookmarkStart w:id="11" w:name="_Toc177824873"/>
      <w:bookmarkStart w:id="12" w:name="_Toc177825121"/>
      <w:bookmarkStart w:id="13" w:name="_Toc177824940"/>
      <w:bookmarkStart w:id="14" w:name="_Toc177870538"/>
      <w:r>
        <w:rPr>
          <w:rFonts w:hint="eastAsia" w:ascii="仿宋" w:hAnsi="仿宋" w:eastAsia="仿宋" w:cs="仿宋"/>
          <w:color w:val="auto"/>
          <w:sz w:val="24"/>
          <w:szCs w:val="24"/>
        </w:rPr>
        <w:t>（二）定义</w:t>
      </w:r>
      <w:bookmarkEnd w:id="11"/>
      <w:bookmarkEnd w:id="12"/>
      <w:bookmarkEnd w:id="13"/>
      <w:bookmarkEnd w:id="14"/>
    </w:p>
    <w:p w14:paraId="60ACD9CB">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”系指向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提交响应文件的单位。</w:t>
      </w:r>
    </w:p>
    <w:p w14:paraId="7D538BC5">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2.“服务” 系指除货物和工程以外的其他政府采购对象，包括咨询、调研、 评估、规划、设计、监理、审计、保险、租赁、印刷、维修、物业管理等。</w:t>
      </w:r>
    </w:p>
    <w:p w14:paraId="6610AC04">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.“★”系指实质性要求条款。</w:t>
      </w:r>
    </w:p>
    <w:p w14:paraId="3330963D">
      <w:pPr>
        <w:spacing w:line="360" w:lineRule="auto"/>
        <w:jc w:val="left"/>
        <w:rPr>
          <w:rFonts w:hint="eastAsia" w:ascii="仿宋" w:hAnsi="仿宋" w:eastAsia="仿宋" w:cs="仿宋"/>
          <w:color w:val="auto"/>
          <w:sz w:val="24"/>
          <w:szCs w:val="24"/>
        </w:rPr>
      </w:pPr>
      <w:bookmarkStart w:id="15" w:name="_Toc177870539"/>
      <w:r>
        <w:rPr>
          <w:rFonts w:hint="eastAsia" w:ascii="仿宋" w:hAnsi="仿宋" w:eastAsia="仿宋" w:cs="仿宋"/>
          <w:color w:val="auto"/>
          <w:sz w:val="24"/>
          <w:szCs w:val="24"/>
        </w:rPr>
        <w:t>（三）采购方式</w:t>
      </w:r>
      <w:bookmarkEnd w:id="15"/>
    </w:p>
    <w:p w14:paraId="28BBAC9C">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本项目采用竞争性磋商的方式进行。</w:t>
      </w:r>
    </w:p>
    <w:p w14:paraId="6ADE25B5">
      <w:pPr>
        <w:spacing w:line="360" w:lineRule="auto"/>
        <w:jc w:val="left"/>
        <w:rPr>
          <w:rFonts w:hint="eastAsia" w:ascii="仿宋" w:hAnsi="仿宋" w:eastAsia="仿宋" w:cs="仿宋"/>
          <w:color w:val="auto"/>
          <w:sz w:val="24"/>
          <w:szCs w:val="24"/>
        </w:rPr>
      </w:pPr>
      <w:bookmarkStart w:id="16" w:name="_Toc177870540"/>
      <w:bookmarkStart w:id="17" w:name="_Toc177824874"/>
      <w:bookmarkStart w:id="18" w:name="_Toc177825122"/>
      <w:bookmarkStart w:id="19" w:name="_Toc177824941"/>
      <w:r>
        <w:rPr>
          <w:rFonts w:hint="eastAsia" w:ascii="仿宋" w:hAnsi="仿宋" w:eastAsia="仿宋" w:cs="仿宋"/>
          <w:color w:val="auto"/>
          <w:sz w:val="24"/>
          <w:szCs w:val="24"/>
        </w:rPr>
        <w:t>（四）投标委托</w:t>
      </w:r>
      <w:bookmarkEnd w:id="16"/>
      <w:bookmarkEnd w:id="17"/>
      <w:bookmarkEnd w:id="18"/>
      <w:bookmarkEnd w:id="19"/>
    </w:p>
    <w:p w14:paraId="6F3F5ACB">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代表须携带居民身份证、法人代表证明书（或法定代表人出具的授权委托书）参加投标。</w:t>
      </w:r>
    </w:p>
    <w:p w14:paraId="748FD7AE">
      <w:pPr>
        <w:spacing w:line="360" w:lineRule="auto"/>
        <w:jc w:val="left"/>
        <w:rPr>
          <w:rFonts w:hint="eastAsia" w:ascii="仿宋" w:hAnsi="仿宋" w:eastAsia="仿宋" w:cs="仿宋"/>
          <w:color w:val="auto"/>
          <w:sz w:val="24"/>
          <w:szCs w:val="24"/>
        </w:rPr>
      </w:pPr>
      <w:bookmarkStart w:id="20" w:name="_Toc177870541"/>
      <w:bookmarkStart w:id="21" w:name="_Toc177824942"/>
      <w:bookmarkStart w:id="22" w:name="_Toc177824875"/>
      <w:bookmarkStart w:id="23" w:name="_Toc177825123"/>
      <w:r>
        <w:rPr>
          <w:rFonts w:hint="eastAsia" w:ascii="仿宋" w:hAnsi="仿宋" w:eastAsia="仿宋" w:cs="仿宋"/>
          <w:color w:val="auto"/>
          <w:sz w:val="24"/>
          <w:szCs w:val="24"/>
        </w:rPr>
        <w:t>（五）投标费用</w:t>
      </w:r>
      <w:bookmarkEnd w:id="20"/>
      <w:bookmarkEnd w:id="21"/>
      <w:bookmarkEnd w:id="22"/>
      <w:bookmarkEnd w:id="23"/>
    </w:p>
    <w:p w14:paraId="48FCB4EC">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不论投标结果如何，</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均应自行承担所有与投标有关的全部费用。</w:t>
      </w:r>
    </w:p>
    <w:p w14:paraId="4D13F4AB">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（六）联合体投标、转包及分包</w:t>
      </w:r>
    </w:p>
    <w:p w14:paraId="791EC5DE">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本项目不接受联合体投标。本项目不允许转包或分包。</w:t>
      </w:r>
    </w:p>
    <w:p w14:paraId="1F49BDC4">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（七）特别说明：</w:t>
      </w:r>
    </w:p>
    <w:p w14:paraId="6C85AC9A">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投标所使用的资格、信誉、荣誉、业绩与企业认证必须为本企业所拥有。</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投标所使用的采购项目实施人员可以为其控股公司的工作人员。</w:t>
      </w:r>
    </w:p>
    <w:p w14:paraId="748EB8BE">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在投标活动中提供任何虚假材料或从事其他违法活动的,其投标无效，并报监管部门查处、中标后发现的,中标人须依照《中华人民共和国消费者权益保护法》第49条之规定执行，且民事赔偿并不免除违法</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的行政与刑事责任。</w:t>
      </w:r>
    </w:p>
    <w:p w14:paraId="2E9971A0">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应仔细阅读竞争性磋商文件的所有内容，按照竞争性磋商文件的要求提交响应文件，响应文件应对竞争性磋商文件的要求作出实质性响应，并对所提供的全部资料的真实性承担法律责任。</w:t>
      </w:r>
    </w:p>
    <w:p w14:paraId="3FB14F07">
      <w:pPr>
        <w:rPr>
          <w:rFonts w:hint="eastAsia" w:ascii="仿宋" w:hAnsi="仿宋" w:eastAsia="仿宋" w:cs="仿宋"/>
          <w:color w:val="auto"/>
        </w:rPr>
        <w:sectPr>
          <w:pgSz w:w="11906" w:h="16838"/>
          <w:pgMar w:top="1440" w:right="1706" w:bottom="1440" w:left="1800" w:header="851" w:footer="992" w:gutter="0"/>
          <w:pgNumType w:fmt="decimal"/>
          <w:cols w:space="720" w:num="1"/>
          <w:docGrid w:type="lines" w:linePitch="312" w:charSpace="0"/>
        </w:sectPr>
      </w:pPr>
    </w:p>
    <w:bookmarkEnd w:id="5"/>
    <w:p w14:paraId="08B9BF64">
      <w:pPr>
        <w:pStyle w:val="17"/>
        <w:spacing w:line="360" w:lineRule="auto"/>
        <w:jc w:val="center"/>
        <w:outlineLvl w:val="0"/>
        <w:rPr>
          <w:rFonts w:hint="eastAsia" w:ascii="仿宋" w:hAnsi="仿宋" w:eastAsia="仿宋" w:cs="仿宋"/>
          <w:b/>
          <w:bCs/>
          <w:color w:val="auto"/>
          <w:sz w:val="36"/>
          <w:szCs w:val="36"/>
        </w:rPr>
      </w:pPr>
      <w:bookmarkStart w:id="24" w:name="_Toc3450"/>
      <w:r>
        <w:rPr>
          <w:rFonts w:hint="eastAsia" w:ascii="仿宋" w:hAnsi="仿宋" w:eastAsia="仿宋" w:cs="仿宋"/>
          <w:b/>
          <w:bCs/>
          <w:color w:val="auto"/>
          <w:sz w:val="36"/>
          <w:szCs w:val="36"/>
        </w:rPr>
        <w:t>第三章  政府采购合同</w:t>
      </w:r>
      <w:bookmarkEnd w:id="24"/>
    </w:p>
    <w:p w14:paraId="311346C2">
      <w:pPr>
        <w:spacing w:line="360" w:lineRule="auto"/>
        <w:ind w:firstLine="482" w:firstLineChars="200"/>
        <w:jc w:val="left"/>
        <w:outlineLvl w:val="9"/>
        <w:rPr>
          <w:rFonts w:hint="eastAsia" w:ascii="仿宋" w:hAnsi="仿宋" w:eastAsia="仿宋" w:cs="仿宋"/>
          <w:color w:val="auto"/>
          <w:sz w:val="24"/>
          <w:szCs w:val="24"/>
        </w:rPr>
      </w:pPr>
      <w:r>
        <w:rPr>
          <w:rFonts w:hint="eastAsia" w:ascii="仿宋" w:hAnsi="仿宋" w:eastAsia="仿宋" w:cs="仿宋"/>
          <w:b/>
          <w:color w:val="auto"/>
          <w:sz w:val="24"/>
          <w:szCs w:val="24"/>
        </w:rPr>
        <w:t>（一）签发中标通知书。</w:t>
      </w:r>
      <w:r>
        <w:rPr>
          <w:rFonts w:hint="eastAsia" w:ascii="仿宋" w:hAnsi="仿宋" w:eastAsia="仿宋" w:cs="仿宋"/>
          <w:color w:val="auto"/>
          <w:sz w:val="24"/>
          <w:szCs w:val="24"/>
        </w:rPr>
        <w:t>确定成交供应商后，采购业务代理机构在三日内向成交供应商发出成交通知书，经</w:t>
      </w:r>
      <w:r>
        <w:rPr>
          <w:rFonts w:hint="eastAsia" w:ascii="仿宋" w:hAnsi="仿宋" w:eastAsia="仿宋" w:cs="仿宋"/>
          <w:color w:val="auto"/>
          <w:sz w:val="24"/>
          <w:szCs w:val="24"/>
          <w:lang w:val="en-US" w:eastAsia="zh-CN"/>
        </w:rPr>
        <w:t>采购单位</w:t>
      </w:r>
      <w:r>
        <w:rPr>
          <w:rFonts w:hint="eastAsia" w:ascii="仿宋" w:hAnsi="仿宋" w:eastAsia="仿宋" w:cs="仿宋"/>
          <w:color w:val="auto"/>
          <w:sz w:val="24"/>
          <w:szCs w:val="24"/>
        </w:rPr>
        <w:t>盖章,对成交结果予以确认。</w:t>
      </w:r>
    </w:p>
    <w:p w14:paraId="0341D32E">
      <w:pPr>
        <w:wordWrap w:val="0"/>
        <w:spacing w:before="100" w:beforeAutospacing="1" w:after="100" w:afterAutospacing="1" w:line="360" w:lineRule="auto"/>
        <w:ind w:left="180" w:firstLine="241" w:firstLineChars="100"/>
        <w:outlineLvl w:val="9"/>
        <w:rPr>
          <w:rFonts w:hint="eastAsia" w:ascii="仿宋" w:hAnsi="仿宋" w:eastAsia="仿宋" w:cs="仿宋"/>
          <w:color w:val="auto"/>
          <w:sz w:val="24"/>
          <w:szCs w:val="24"/>
        </w:rPr>
      </w:pPr>
      <w:r>
        <w:rPr>
          <w:rFonts w:hint="eastAsia" w:ascii="仿宋" w:hAnsi="仿宋" w:eastAsia="仿宋" w:cs="仿宋"/>
          <w:b/>
          <w:color w:val="auto"/>
          <w:sz w:val="24"/>
          <w:szCs w:val="24"/>
        </w:rPr>
        <w:t>（二）签订合同</w:t>
      </w:r>
      <w:r>
        <w:rPr>
          <w:rFonts w:hint="eastAsia" w:ascii="仿宋" w:hAnsi="仿宋" w:eastAsia="仿宋" w:cs="仿宋"/>
          <w:color w:val="auto"/>
          <w:sz w:val="24"/>
          <w:szCs w:val="24"/>
        </w:rPr>
        <w:t>。确定成交供应商后，采购人和成交供应商应当在中标通知书发出之后，及时书面签订政府采购合同。合同由采购人（甲方）、成交供应商（乙方）双方</w:t>
      </w:r>
      <w:r>
        <w:rPr>
          <w:rFonts w:hint="eastAsia" w:ascii="仿宋" w:hAnsi="仿宋" w:eastAsia="仿宋" w:cs="仿宋"/>
          <w:color w:val="auto"/>
          <w:sz w:val="24"/>
          <w:szCs w:val="24"/>
          <w:lang w:val="en-US" w:eastAsia="zh-CN"/>
        </w:rPr>
        <w:t>共同</w:t>
      </w:r>
      <w:r>
        <w:rPr>
          <w:rFonts w:hint="eastAsia" w:ascii="仿宋" w:hAnsi="仿宋" w:eastAsia="仿宋" w:cs="仿宋"/>
          <w:color w:val="auto"/>
          <w:sz w:val="24"/>
          <w:szCs w:val="24"/>
        </w:rPr>
        <w:t>签订。</w:t>
      </w:r>
    </w:p>
    <w:p w14:paraId="0134C3C6">
      <w:pPr>
        <w:pStyle w:val="139"/>
        <w:widowControl/>
        <w:wordWrap w:val="0"/>
        <w:spacing w:before="100" w:beforeAutospacing="1" w:after="100" w:afterAutospacing="1" w:line="360" w:lineRule="auto"/>
        <w:ind w:left="420" w:firstLine="0" w:firstLineChars="0"/>
        <w:jc w:val="left"/>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（三）合同主要条款</w:t>
      </w:r>
    </w:p>
    <w:p w14:paraId="44B85C1E">
      <w:pPr>
        <w:spacing w:line="360" w:lineRule="auto"/>
        <w:ind w:firstLine="482" w:firstLineChars="200"/>
        <w:jc w:val="center"/>
        <w:rPr>
          <w:rFonts w:hint="eastAsia" w:ascii="仿宋" w:hAnsi="仿宋" w:eastAsia="仿宋" w:cs="仿宋"/>
          <w:b/>
          <w:bCs/>
          <w:color w:val="auto"/>
          <w:sz w:val="24"/>
          <w:szCs w:val="24"/>
          <w:highlight w:val="none"/>
        </w:rPr>
      </w:pPr>
    </w:p>
    <w:p w14:paraId="10931664">
      <w:pPr>
        <w:spacing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技术服务合同</w:t>
      </w:r>
    </w:p>
    <w:p w14:paraId="4B5C4D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（简称甲方） </w:t>
      </w:r>
    </w:p>
    <w:p w14:paraId="36C651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受托人（全称）：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（简称乙方）</w:t>
      </w:r>
    </w:p>
    <w:p w14:paraId="4D2AC7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本合同甲方委托乙方进行</w:t>
      </w:r>
      <w:r>
        <w:rPr>
          <w:rFonts w:hint="eastAsia" w:ascii="仿宋" w:hAnsi="仿宋" w:eastAsia="仿宋" w:cs="仿宋"/>
          <w:color w:val="auto"/>
          <w:sz w:val="24"/>
          <w:szCs w:val="24"/>
          <w:highlight w:val="none"/>
          <w:u w:val="single"/>
          <w:lang w:val="en-US" w:eastAsia="zh-CN"/>
        </w:rPr>
        <w:t xml:space="preserve">                               （项目名称）</w:t>
      </w:r>
      <w:r>
        <w:rPr>
          <w:rFonts w:hint="eastAsia" w:ascii="仿宋" w:hAnsi="仿宋" w:eastAsia="仿宋" w:cs="仿宋"/>
          <w:color w:val="auto"/>
          <w:sz w:val="24"/>
          <w:szCs w:val="24"/>
          <w:highlight w:val="none"/>
        </w:rPr>
        <w:t xml:space="preserve">招标的技术服务工作。依照《中华人民共和国合同法》及其他有关法律、行政法规，遵循平等、自愿、公平和诚实信用的原则，现达成如下协议： </w:t>
      </w:r>
    </w:p>
    <w:p w14:paraId="3D9625A0">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第一条、甲方委托乙方进行技术服务的内容如下：</w:t>
      </w:r>
    </w:p>
    <w:p w14:paraId="3DAA3350">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1. 技术服务的目标：</w:t>
      </w:r>
      <w:r>
        <w:rPr>
          <w:rFonts w:hint="eastAsia" w:ascii="仿宋" w:hAnsi="仿宋" w:eastAsia="仿宋" w:cs="仿宋"/>
          <w:color w:val="auto"/>
          <w:sz w:val="24"/>
          <w:szCs w:val="24"/>
          <w:highlight w:val="none"/>
          <w:u w:val="single"/>
          <w:lang w:val="en-US" w:eastAsia="zh-CN"/>
        </w:rPr>
        <w:t xml:space="preserve">                          。</w:t>
      </w:r>
    </w:p>
    <w:p w14:paraId="05D6CF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技术服务的内容：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C19B2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技术服务的方式：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AF6196F">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第二条、乙方应按下列要求完成技术服务工作：</w:t>
      </w:r>
    </w:p>
    <w:p w14:paraId="410FC7D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技术服务地点：</w:t>
      </w:r>
      <w:r>
        <w:rPr>
          <w:rFonts w:hint="eastAsia" w:ascii="仿宋" w:hAnsi="仿宋" w:eastAsia="仿宋" w:cs="仿宋"/>
          <w:color w:val="auto"/>
          <w:sz w:val="24"/>
          <w:szCs w:val="24"/>
          <w:highlight w:val="none"/>
          <w:u w:val="single"/>
        </w:rPr>
        <w:t xml:space="preserve">                       。</w:t>
      </w:r>
    </w:p>
    <w:p w14:paraId="6583B3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技术服务期限：</w:t>
      </w:r>
      <w:r>
        <w:rPr>
          <w:rFonts w:hint="eastAsia" w:ascii="仿宋" w:hAnsi="仿宋" w:eastAsia="仿宋" w:cs="仿宋"/>
          <w:color w:val="auto"/>
          <w:sz w:val="24"/>
          <w:szCs w:val="24"/>
          <w:highlight w:val="none"/>
          <w:u w:val="single"/>
        </w:rPr>
        <w:t xml:space="preserve">                       。</w:t>
      </w:r>
    </w:p>
    <w:p w14:paraId="018856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技术服务进度：</w:t>
      </w:r>
      <w:r>
        <w:rPr>
          <w:rFonts w:hint="eastAsia" w:ascii="仿宋" w:hAnsi="仿宋" w:eastAsia="仿宋" w:cs="仿宋"/>
          <w:color w:val="auto"/>
          <w:sz w:val="24"/>
          <w:szCs w:val="24"/>
          <w:highlight w:val="none"/>
          <w:u w:val="single"/>
        </w:rPr>
        <w:t xml:space="preserve">                       。</w:t>
      </w:r>
    </w:p>
    <w:p w14:paraId="0E2E92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技术服务质量要求：</w:t>
      </w:r>
      <w:r>
        <w:rPr>
          <w:rFonts w:hint="eastAsia" w:ascii="仿宋" w:hAnsi="仿宋" w:eastAsia="仿宋" w:cs="仿宋"/>
          <w:color w:val="auto"/>
          <w:sz w:val="24"/>
          <w:szCs w:val="24"/>
          <w:highlight w:val="none"/>
          <w:u w:val="single"/>
        </w:rPr>
        <w:t xml:space="preserve">                       。</w:t>
      </w:r>
    </w:p>
    <w:p w14:paraId="09AB9A4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技术服务质量期限求：</w:t>
      </w:r>
      <w:r>
        <w:rPr>
          <w:rFonts w:hint="eastAsia" w:ascii="仿宋" w:hAnsi="仿宋" w:eastAsia="仿宋" w:cs="仿宋"/>
          <w:color w:val="auto"/>
          <w:sz w:val="24"/>
          <w:szCs w:val="24"/>
          <w:highlight w:val="none"/>
          <w:u w:val="single"/>
        </w:rPr>
        <w:t xml:space="preserve">                       。</w:t>
      </w:r>
    </w:p>
    <w:p w14:paraId="5EB2FD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技术服务成果的提交要求：</w:t>
      </w:r>
      <w:r>
        <w:rPr>
          <w:rFonts w:hint="eastAsia" w:ascii="仿宋" w:hAnsi="仿宋" w:eastAsia="仿宋" w:cs="仿宋"/>
          <w:b/>
          <w:bCs/>
          <w:color w:val="auto"/>
          <w:sz w:val="24"/>
          <w:szCs w:val="24"/>
          <w:highlight w:val="none"/>
          <w:u w:val="single"/>
        </w:rPr>
        <w:t>见服务要求。</w:t>
      </w:r>
    </w:p>
    <w:p w14:paraId="442F6F5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第三条、为保证乙方有效进行技术服务工作，甲方应当向乙方提供下列工作条件和协作事项：</w:t>
      </w:r>
    </w:p>
    <w:p w14:paraId="25A444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1.提供技术资料：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A6BC8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2.提供工作条件：</w:t>
      </w:r>
      <w:r>
        <w:rPr>
          <w:rFonts w:hint="eastAsia" w:ascii="仿宋" w:hAnsi="仿宋" w:eastAsia="仿宋" w:cs="仿宋"/>
          <w:color w:val="auto"/>
          <w:sz w:val="24"/>
          <w:szCs w:val="24"/>
          <w:highlight w:val="none"/>
          <w:u w:val="single"/>
        </w:rPr>
        <w:t>由乙方自行解决。</w:t>
      </w:r>
    </w:p>
    <w:p w14:paraId="44A72F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3.甲方提供上述工作条件和协作事项的时间及方式：</w:t>
      </w:r>
      <w:r>
        <w:rPr>
          <w:rFonts w:hint="eastAsia" w:ascii="仿宋" w:hAnsi="仿宋" w:eastAsia="仿宋" w:cs="仿宋"/>
          <w:color w:val="auto"/>
          <w:sz w:val="24"/>
          <w:szCs w:val="24"/>
          <w:highlight w:val="none"/>
          <w:u w:val="single"/>
        </w:rPr>
        <w:t>合同签订后即开始电话、传真联系。</w:t>
      </w:r>
    </w:p>
    <w:p w14:paraId="020D8B42">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第四条、甲方向乙方支付技术服务报酬及支付方式为</w:t>
      </w:r>
      <w:r>
        <w:rPr>
          <w:rFonts w:hint="eastAsia" w:ascii="仿宋" w:hAnsi="仿宋" w:eastAsia="仿宋" w:cs="仿宋"/>
          <w:color w:val="auto"/>
          <w:sz w:val="24"/>
          <w:szCs w:val="24"/>
          <w:highlight w:val="none"/>
        </w:rPr>
        <w:t>：</w:t>
      </w:r>
    </w:p>
    <w:p w14:paraId="344485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1．技术服务费总额为：</w:t>
      </w:r>
      <w:r>
        <w:rPr>
          <w:rFonts w:hint="eastAsia" w:ascii="仿宋" w:hAnsi="仿宋" w:eastAsia="仿宋" w:cs="仿宋"/>
          <w:color w:val="auto"/>
          <w:sz w:val="24"/>
          <w:szCs w:val="24"/>
          <w:highlight w:val="none"/>
          <w:u w:val="single"/>
        </w:rPr>
        <w:t>元人民币</w:t>
      </w:r>
      <w:r>
        <w:rPr>
          <w:rFonts w:hint="eastAsia" w:ascii="仿宋" w:hAnsi="仿宋" w:eastAsia="仿宋" w:cs="仿宋"/>
          <w:color w:val="auto"/>
          <w:sz w:val="24"/>
          <w:szCs w:val="24"/>
          <w:highlight w:val="none"/>
        </w:rPr>
        <w:t>。</w:t>
      </w:r>
    </w:p>
    <w:p w14:paraId="7982D290">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2．技术服务费的支付方式：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费用采用固定总价方式分期支付。</w:t>
      </w:r>
    </w:p>
    <w:p w14:paraId="5BFF8F53">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第一次支付：合同签订后支付合同总额的30%；</w:t>
      </w:r>
    </w:p>
    <w:p w14:paraId="46FD7E82">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第二次支付：最终成果提交且取得批复后支付合同总额的70%；</w:t>
      </w:r>
    </w:p>
    <w:p w14:paraId="081A26B9">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第五条、双方确定因履行本合同应遵守的保密义务如下：</w:t>
      </w:r>
    </w:p>
    <w:p w14:paraId="0265D8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45FAB34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1.保密内容：与本项目有关的所有技术资料及研究成果；</w:t>
      </w:r>
    </w:p>
    <w:p w14:paraId="5F24D8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2.涉密人员范围：</w:t>
      </w:r>
      <w:r>
        <w:rPr>
          <w:rFonts w:hint="eastAsia" w:ascii="仿宋" w:hAnsi="仿宋" w:eastAsia="仿宋" w:cs="仿宋"/>
          <w:color w:val="auto"/>
          <w:sz w:val="24"/>
          <w:szCs w:val="24"/>
          <w:highlight w:val="none"/>
          <w:u w:val="single"/>
        </w:rPr>
        <w:t>与本项目相关人员；</w:t>
      </w:r>
    </w:p>
    <w:p w14:paraId="2519A6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3.保密期限：</w:t>
      </w:r>
    </w:p>
    <w:p w14:paraId="0F03A9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4.泄密责任：</w:t>
      </w:r>
      <w:r>
        <w:rPr>
          <w:rFonts w:hint="eastAsia" w:ascii="仿宋" w:hAnsi="仿宋" w:eastAsia="仿宋" w:cs="仿宋"/>
          <w:color w:val="auto"/>
          <w:sz w:val="24"/>
          <w:szCs w:val="24"/>
          <w:highlight w:val="none"/>
          <w:u w:val="single"/>
        </w:rPr>
        <w:t>按照有关规定追究相关责任。</w:t>
      </w:r>
    </w:p>
    <w:p w14:paraId="5364BDD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62A16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1.保密内容：</w:t>
      </w:r>
      <w:r>
        <w:rPr>
          <w:rFonts w:hint="eastAsia" w:ascii="仿宋" w:hAnsi="仿宋" w:eastAsia="仿宋" w:cs="仿宋"/>
          <w:color w:val="auto"/>
          <w:sz w:val="24"/>
          <w:szCs w:val="24"/>
          <w:highlight w:val="none"/>
          <w:u w:val="single"/>
        </w:rPr>
        <w:t>甲方提供的全部资料以及乙方提交的所有研究成果均属保密内容；</w:t>
      </w:r>
    </w:p>
    <w:p w14:paraId="6EC283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2.涉密人员范围：</w:t>
      </w:r>
      <w:r>
        <w:rPr>
          <w:rFonts w:hint="eastAsia" w:ascii="仿宋" w:hAnsi="仿宋" w:eastAsia="仿宋" w:cs="仿宋"/>
          <w:color w:val="auto"/>
          <w:sz w:val="24"/>
          <w:szCs w:val="24"/>
          <w:highlight w:val="none"/>
          <w:u w:val="single"/>
        </w:rPr>
        <w:t>项目负责人、主要参加人员以及报告书的审核、批准人；</w:t>
      </w:r>
    </w:p>
    <w:p w14:paraId="2314884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3.保密期限：</w:t>
      </w:r>
      <w:r>
        <w:rPr>
          <w:rFonts w:hint="eastAsia" w:ascii="仿宋" w:hAnsi="仿宋" w:eastAsia="仿宋" w:cs="仿宋"/>
          <w:color w:val="auto"/>
          <w:sz w:val="24"/>
          <w:szCs w:val="24"/>
          <w:highlight w:val="none"/>
          <w:u w:val="single"/>
        </w:rPr>
        <w:t xml:space="preserve">               </w:t>
      </w:r>
    </w:p>
    <w:p w14:paraId="676CF6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4.泄密责任：</w:t>
      </w:r>
      <w:r>
        <w:rPr>
          <w:rFonts w:hint="eastAsia" w:ascii="仿宋" w:hAnsi="仿宋" w:eastAsia="仿宋" w:cs="仿宋"/>
          <w:color w:val="auto"/>
          <w:sz w:val="24"/>
          <w:szCs w:val="24"/>
          <w:highlight w:val="none"/>
          <w:u w:val="single"/>
        </w:rPr>
        <w:t>承担行政与法律责任。</w:t>
      </w:r>
    </w:p>
    <w:p w14:paraId="5711C653">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第六条、本合同的变更必须由双方协商一致，并以书面形式确定。</w:t>
      </w:r>
    </w:p>
    <w:p w14:paraId="419F05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但有下列情形之一的，一方可以向另一方提出变更合同权利与义务的请求，另一方应当在3日内予以答复，逾期未予答复的，视为同意：</w:t>
      </w:r>
    </w:p>
    <w:p w14:paraId="7922881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项目条件有重大变更</w:t>
      </w:r>
      <w:r>
        <w:rPr>
          <w:rFonts w:hint="eastAsia" w:ascii="仿宋" w:hAnsi="仿宋" w:eastAsia="仿宋" w:cs="仿宋"/>
          <w:color w:val="auto"/>
          <w:sz w:val="24"/>
          <w:szCs w:val="24"/>
          <w:highlight w:val="none"/>
        </w:rPr>
        <w:t>；</w:t>
      </w:r>
    </w:p>
    <w:p w14:paraId="3E7FE5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第七条、双方确定以下列标准和方式对乙方的技术服务工作成果进行验收：</w:t>
      </w:r>
    </w:p>
    <w:p w14:paraId="1FDD65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1．乙方完成技术服务工作的形式：以书面形式向甲方提交项目报告；</w:t>
      </w:r>
    </w:p>
    <w:p w14:paraId="6A68920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2.技术服务工作成果的验收标准：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3E330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3.技术服务工作成果的验收方法：</w:t>
      </w:r>
      <w:r>
        <w:rPr>
          <w:rFonts w:hint="eastAsia" w:ascii="仿宋" w:hAnsi="仿宋" w:eastAsia="仿宋" w:cs="仿宋"/>
          <w:color w:val="auto"/>
          <w:sz w:val="24"/>
          <w:szCs w:val="24"/>
          <w:highlight w:val="none"/>
          <w:u w:val="single"/>
        </w:rPr>
        <w:t xml:space="preserve">                       。</w:t>
      </w:r>
    </w:p>
    <w:p w14:paraId="64D95A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4.验收的时间和地点：</w:t>
      </w:r>
      <w:r>
        <w:rPr>
          <w:rFonts w:hint="eastAsia" w:ascii="仿宋" w:hAnsi="仿宋" w:eastAsia="仿宋" w:cs="仿宋"/>
          <w:color w:val="auto"/>
          <w:sz w:val="24"/>
          <w:szCs w:val="24"/>
          <w:highlight w:val="none"/>
          <w:u w:val="single"/>
        </w:rPr>
        <w:t xml:space="preserve">                       。</w:t>
      </w:r>
    </w:p>
    <w:p w14:paraId="7E26CF10">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5.技术服务工作成果的提交</w:t>
      </w:r>
      <w:r>
        <w:rPr>
          <w:rFonts w:hint="eastAsia" w:ascii="仿宋" w:hAnsi="仿宋" w:eastAsia="仿宋" w:cs="仿宋"/>
          <w:color w:val="auto"/>
          <w:sz w:val="24"/>
          <w:szCs w:val="24"/>
          <w:highlight w:val="none"/>
          <w:u w:val="single"/>
        </w:rPr>
        <w:t xml:space="preserve">                       。</w:t>
      </w:r>
    </w:p>
    <w:p w14:paraId="4F70184F">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第八条、甲、乙双方的权利和义务：</w:t>
      </w:r>
    </w:p>
    <w:p w14:paraId="18A53A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p>
    <w:p w14:paraId="765F71E9">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p>
    <w:p w14:paraId="6F05C7E1">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第九条、双方确定，按以下约定承担各自的违约责任</w:t>
      </w:r>
      <w:r>
        <w:rPr>
          <w:rFonts w:hint="eastAsia" w:ascii="仿宋" w:hAnsi="仿宋" w:eastAsia="仿宋" w:cs="仿宋"/>
          <w:color w:val="auto"/>
          <w:sz w:val="24"/>
          <w:szCs w:val="24"/>
          <w:highlight w:val="none"/>
        </w:rPr>
        <w:t>：</w:t>
      </w:r>
    </w:p>
    <w:p w14:paraId="00EEE2B6">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1.由于甲方违反本合同第三条第1款约定，甲方如果延期提供资料，乙方提交成果的时间也应相应延后。</w:t>
      </w:r>
    </w:p>
    <w:p w14:paraId="0B3A4278">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2.由于乙方原因，乙方违反本合同第二条约定，乙方应当承担违约责任并支付2‰的违约金。</w:t>
      </w:r>
    </w:p>
    <w:p w14:paraId="6E8D01F7">
      <w:pPr>
        <w:spacing w:line="360" w:lineRule="auto"/>
        <w:ind w:firstLine="482" w:firstLineChars="200"/>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u w:val="single"/>
        </w:rPr>
        <w:t>第十条、双方确定，在本合同有效期内，</w:t>
      </w:r>
    </w:p>
    <w:p w14:paraId="3BB24699">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甲方指定    为甲方项目联系人，乙方指定     为</w:t>
      </w:r>
      <w:r>
        <w:rPr>
          <w:rFonts w:hint="eastAsia" w:ascii="仿宋" w:hAnsi="仿宋" w:eastAsia="仿宋" w:cs="仿宋"/>
          <w:color w:val="auto"/>
          <w:sz w:val="24"/>
          <w:szCs w:val="24"/>
          <w:highlight w:val="none"/>
          <w:u w:val="single"/>
          <w:lang w:val="en-US" w:eastAsia="zh-CN"/>
        </w:rPr>
        <w:t xml:space="preserve">            （项目名称）</w:t>
      </w:r>
      <w:r>
        <w:rPr>
          <w:rFonts w:hint="eastAsia" w:ascii="仿宋" w:hAnsi="仿宋" w:eastAsia="仿宋" w:cs="仿宋"/>
          <w:color w:val="auto"/>
          <w:sz w:val="24"/>
          <w:szCs w:val="24"/>
          <w:highlight w:val="none"/>
          <w:u w:val="single"/>
        </w:rPr>
        <w:t>的总负责人和项目联系人。项目联系人承担以下责任：</w:t>
      </w:r>
    </w:p>
    <w:p w14:paraId="49B2F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1.及时沟通工作进展情况；</w:t>
      </w:r>
    </w:p>
    <w:p w14:paraId="5D783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2.及时沟通双方需求变化；</w:t>
      </w:r>
    </w:p>
    <w:p w14:paraId="1B516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3.负责项目的接口及联络</w:t>
      </w:r>
    </w:p>
    <w:p w14:paraId="1A091A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甲方变更项目联系人的，应当及时以书面形式通知另一方。未及时通知并影响本合同履行或造成损失的，应承担相应的责任。乙方不得变更项目总负责人。</w:t>
      </w:r>
    </w:p>
    <w:p w14:paraId="389231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第十一条、双方确定，出现下列情形，致使本合同的履行成为不必要或不可能的，可以解除本合同：</w:t>
      </w:r>
    </w:p>
    <w:p w14:paraId="7F26C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发生不可抗力</w:t>
      </w:r>
      <w:r>
        <w:rPr>
          <w:rFonts w:hint="eastAsia" w:ascii="仿宋" w:hAnsi="仿宋" w:eastAsia="仿宋" w:cs="仿宋"/>
          <w:b/>
          <w:bCs/>
          <w:color w:val="auto"/>
          <w:sz w:val="24"/>
          <w:szCs w:val="24"/>
          <w:highlight w:val="none"/>
        </w:rPr>
        <w:t>；</w:t>
      </w:r>
    </w:p>
    <w:p w14:paraId="2B523C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第十二条、双方因履行本合同而发生的争议，应协商、调解解决。协商、调解不成的， 确定按以下第1种方式处理：</w:t>
      </w:r>
    </w:p>
    <w:p w14:paraId="79E73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1.提交</w:t>
      </w:r>
      <w:r>
        <w:rPr>
          <w:rFonts w:hint="eastAsia" w:ascii="仿宋" w:hAnsi="仿宋" w:eastAsia="仿宋" w:cs="仿宋"/>
          <w:color w:val="auto"/>
          <w:sz w:val="24"/>
          <w:szCs w:val="24"/>
          <w:highlight w:val="none"/>
          <w:u w:val="single"/>
          <w:lang w:val="en-US" w:eastAsia="zh-CN"/>
        </w:rPr>
        <w:t>库车市</w:t>
      </w:r>
      <w:r>
        <w:rPr>
          <w:rFonts w:hint="eastAsia" w:ascii="仿宋" w:hAnsi="仿宋" w:eastAsia="仿宋" w:cs="仿宋"/>
          <w:color w:val="auto"/>
          <w:sz w:val="24"/>
          <w:szCs w:val="24"/>
          <w:highlight w:val="none"/>
          <w:u w:val="single"/>
        </w:rPr>
        <w:t>仲裁委员会仲裁；</w:t>
      </w:r>
    </w:p>
    <w:p w14:paraId="064D2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2.依法向</w:t>
      </w:r>
      <w:r>
        <w:rPr>
          <w:rFonts w:hint="eastAsia" w:ascii="仿宋" w:hAnsi="仿宋" w:eastAsia="仿宋" w:cs="仿宋"/>
          <w:color w:val="auto"/>
          <w:sz w:val="24"/>
          <w:szCs w:val="24"/>
          <w:highlight w:val="none"/>
          <w:u w:val="single"/>
          <w:lang w:val="en-US" w:eastAsia="zh-CN"/>
        </w:rPr>
        <w:t>库车市</w:t>
      </w:r>
      <w:r>
        <w:rPr>
          <w:rFonts w:hint="eastAsia" w:ascii="仿宋" w:hAnsi="仿宋" w:eastAsia="仿宋" w:cs="仿宋"/>
          <w:color w:val="auto"/>
          <w:sz w:val="24"/>
          <w:szCs w:val="24"/>
          <w:highlight w:val="none"/>
          <w:u w:val="single"/>
        </w:rPr>
        <w:t>人民法院起诉。</w:t>
      </w:r>
    </w:p>
    <w:p w14:paraId="30C4A2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第十三条、双方确定：本合同及相关附件中所涉及的有关名词和技术术语，其定义和解释如下：</w:t>
      </w:r>
      <w:r>
        <w:rPr>
          <w:rFonts w:hint="eastAsia" w:ascii="仿宋" w:hAnsi="仿宋" w:eastAsia="仿宋" w:cs="仿宋"/>
          <w:color w:val="auto"/>
          <w:sz w:val="24"/>
          <w:szCs w:val="24"/>
          <w:highlight w:val="none"/>
        </w:rPr>
        <w:t>无</w:t>
      </w:r>
    </w:p>
    <w:p w14:paraId="1332C7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第十四条、与履行本合同有关的下列技术文件，经双方以协商方式确认后，为本合同的组成部分：</w:t>
      </w:r>
      <w:r>
        <w:rPr>
          <w:rFonts w:hint="eastAsia" w:ascii="仿宋" w:hAnsi="仿宋" w:eastAsia="仿宋" w:cs="仿宋"/>
          <w:b/>
          <w:bCs/>
          <w:color w:val="auto"/>
          <w:sz w:val="24"/>
          <w:szCs w:val="24"/>
          <w:highlight w:val="none"/>
          <w:u w:val="single"/>
        </w:rPr>
        <w:t>乙方的</w:t>
      </w:r>
      <w:r>
        <w:rPr>
          <w:rFonts w:hint="eastAsia" w:ascii="仿宋" w:hAnsi="仿宋" w:eastAsia="仿宋" w:cs="仿宋"/>
          <w:b/>
          <w:bCs/>
          <w:color w:val="auto"/>
          <w:sz w:val="24"/>
          <w:szCs w:val="24"/>
          <w:highlight w:val="none"/>
          <w:u w:val="single"/>
          <w:lang w:eastAsia="zh-CN"/>
        </w:rPr>
        <w:t>竞争性磋商响应文件</w:t>
      </w:r>
      <w:r>
        <w:rPr>
          <w:rFonts w:hint="eastAsia" w:ascii="仿宋" w:hAnsi="仿宋" w:eastAsia="仿宋" w:cs="仿宋"/>
          <w:b/>
          <w:bCs/>
          <w:color w:val="auto"/>
          <w:sz w:val="24"/>
          <w:szCs w:val="24"/>
          <w:highlight w:val="none"/>
          <w:u w:val="single"/>
        </w:rPr>
        <w:t>。</w:t>
      </w:r>
    </w:p>
    <w:p w14:paraId="7EFFDE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第十五条、双方约定本合同其他相关事项为：合同执行过程中双方协商解决。</w:t>
      </w:r>
    </w:p>
    <w:p w14:paraId="34D285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第十六条、</w:t>
      </w:r>
      <w:r>
        <w:rPr>
          <w:rFonts w:hint="eastAsia" w:ascii="仿宋" w:hAnsi="仿宋" w:eastAsia="仿宋" w:cs="仿宋"/>
          <w:color w:val="auto"/>
          <w:sz w:val="24"/>
          <w:szCs w:val="24"/>
          <w:highlight w:val="none"/>
        </w:rPr>
        <w:t>本合同一式</w:t>
      </w:r>
      <w:r>
        <w:rPr>
          <w:rFonts w:hint="eastAsia" w:ascii="仿宋" w:hAnsi="仿宋" w:eastAsia="仿宋" w:cs="仿宋"/>
          <w:b/>
          <w:bCs/>
          <w:color w:val="auto"/>
          <w:sz w:val="24"/>
          <w:szCs w:val="24"/>
          <w:highlight w:val="none"/>
          <w:u w:val="single"/>
        </w:rPr>
        <w:t>肆</w:t>
      </w:r>
      <w:r>
        <w:rPr>
          <w:rFonts w:hint="eastAsia" w:ascii="仿宋" w:hAnsi="仿宋" w:eastAsia="仿宋" w:cs="仿宋"/>
          <w:color w:val="auto"/>
          <w:sz w:val="24"/>
          <w:szCs w:val="24"/>
          <w:highlight w:val="none"/>
        </w:rPr>
        <w:t>份，其中</w:t>
      </w:r>
      <w:r>
        <w:rPr>
          <w:rFonts w:hint="eastAsia" w:ascii="仿宋" w:hAnsi="仿宋" w:eastAsia="仿宋" w:cs="仿宋"/>
          <w:color w:val="auto"/>
          <w:sz w:val="24"/>
          <w:szCs w:val="24"/>
          <w:highlight w:val="none"/>
          <w:lang w:eastAsia="zh-CN"/>
        </w:rPr>
        <w:t>采购人</w:t>
      </w:r>
      <w:r>
        <w:rPr>
          <w:rFonts w:hint="eastAsia" w:ascii="仿宋" w:hAnsi="仿宋" w:eastAsia="仿宋" w:cs="仿宋"/>
          <w:b/>
          <w:bCs/>
          <w:color w:val="auto"/>
          <w:sz w:val="24"/>
          <w:szCs w:val="24"/>
          <w:highlight w:val="none"/>
        </w:rPr>
        <w:t>贰</w:t>
      </w:r>
      <w:r>
        <w:rPr>
          <w:rFonts w:hint="eastAsia" w:ascii="仿宋" w:hAnsi="仿宋" w:eastAsia="仿宋" w:cs="仿宋"/>
          <w:color w:val="auto"/>
          <w:sz w:val="24"/>
          <w:szCs w:val="24"/>
          <w:highlight w:val="none"/>
        </w:rPr>
        <w:t>份、中标单位</w:t>
      </w:r>
      <w:r>
        <w:rPr>
          <w:rFonts w:hint="eastAsia" w:ascii="仿宋" w:hAnsi="仿宋" w:eastAsia="仿宋" w:cs="仿宋"/>
          <w:b/>
          <w:bCs/>
          <w:color w:val="auto"/>
          <w:sz w:val="24"/>
          <w:szCs w:val="24"/>
          <w:highlight w:val="none"/>
        </w:rPr>
        <w:t>贰</w:t>
      </w:r>
      <w:r>
        <w:rPr>
          <w:rFonts w:hint="eastAsia" w:ascii="仿宋" w:hAnsi="仿宋" w:eastAsia="仿宋" w:cs="仿宋"/>
          <w:color w:val="auto"/>
          <w:sz w:val="24"/>
          <w:szCs w:val="24"/>
          <w:highlight w:val="none"/>
        </w:rPr>
        <w:t>份，具有同等法律效力</w:t>
      </w:r>
    </w:p>
    <w:p w14:paraId="08EAFA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第十七条、合同生效</w:t>
      </w:r>
    </w:p>
    <w:p w14:paraId="07B33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  年 月 日</w:t>
      </w:r>
    </w:p>
    <w:p w14:paraId="007409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077D4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3FF4DD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本合同双方约定：   年    月   日   生   效 。</w:t>
      </w:r>
    </w:p>
    <w:p w14:paraId="55D41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0227F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委托人：（甲方公章）                      受托人：（乙方公章）</w:t>
      </w:r>
    </w:p>
    <w:p w14:paraId="57143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                法定代表人（签字或盖章）：</w:t>
      </w:r>
    </w:p>
    <w:p w14:paraId="524F32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授权代理人（签字或盖章）：                授权代理人（签字或盖章）：</w:t>
      </w:r>
    </w:p>
    <w:p w14:paraId="7E175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                                单位地址：</w:t>
      </w:r>
    </w:p>
    <w:p w14:paraId="4C6D5F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                                邮政编码：</w:t>
      </w:r>
    </w:p>
    <w:p w14:paraId="14DEBF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                                联系电话：</w:t>
      </w:r>
    </w:p>
    <w:p w14:paraId="3CB024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w:t>
      </w:r>
    </w:p>
    <w:p w14:paraId="59650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                                帐    号：</w:t>
      </w:r>
    </w:p>
    <w:p w14:paraId="182C7C8E">
      <w:pPr>
        <w:pStyle w:val="17"/>
        <w:spacing w:line="276" w:lineRule="auto"/>
        <w:jc w:val="center"/>
        <w:outlineLvl w:val="0"/>
        <w:rPr>
          <w:rFonts w:hint="eastAsia" w:ascii="仿宋" w:hAnsi="仿宋" w:eastAsia="仿宋" w:cs="仿宋"/>
          <w:b/>
          <w:bCs/>
          <w:color w:val="auto"/>
          <w:sz w:val="24"/>
          <w:szCs w:val="24"/>
        </w:rPr>
      </w:pPr>
    </w:p>
    <w:p w14:paraId="1FAC38C9">
      <w:pPr>
        <w:pStyle w:val="17"/>
        <w:spacing w:line="276" w:lineRule="auto"/>
        <w:jc w:val="center"/>
        <w:outlineLvl w:val="0"/>
        <w:rPr>
          <w:rFonts w:hint="eastAsia" w:ascii="仿宋" w:hAnsi="仿宋" w:eastAsia="仿宋" w:cs="仿宋"/>
          <w:b/>
          <w:bCs/>
          <w:color w:val="auto"/>
          <w:sz w:val="24"/>
          <w:szCs w:val="24"/>
        </w:rPr>
      </w:pPr>
    </w:p>
    <w:p w14:paraId="69B39A8F">
      <w:pPr>
        <w:pStyle w:val="17"/>
        <w:spacing w:line="276" w:lineRule="auto"/>
        <w:jc w:val="center"/>
        <w:outlineLvl w:val="0"/>
        <w:rPr>
          <w:rFonts w:hint="eastAsia" w:ascii="仿宋" w:hAnsi="仿宋" w:eastAsia="仿宋" w:cs="仿宋"/>
          <w:b/>
          <w:bCs/>
          <w:color w:val="auto"/>
          <w:sz w:val="24"/>
          <w:szCs w:val="24"/>
        </w:rPr>
      </w:pPr>
    </w:p>
    <w:p w14:paraId="341F54B0">
      <w:pPr>
        <w:pStyle w:val="17"/>
        <w:spacing w:line="276" w:lineRule="auto"/>
        <w:jc w:val="left"/>
        <w:outlineLvl w:val="0"/>
        <w:rPr>
          <w:rFonts w:hint="default" w:ascii="仿宋" w:hAnsi="仿宋" w:eastAsia="仿宋" w:cs="仿宋"/>
          <w:b/>
          <w:bCs/>
          <w:color w:val="auto"/>
          <w:sz w:val="24"/>
          <w:szCs w:val="24"/>
          <w:lang w:val="en-US" w:eastAsia="zh-CN"/>
        </w:rPr>
      </w:pPr>
      <w:bookmarkStart w:id="25" w:name="_Toc17509"/>
      <w:r>
        <w:rPr>
          <w:rFonts w:hint="eastAsia" w:ascii="仿宋" w:hAnsi="仿宋" w:eastAsia="仿宋" w:cs="仿宋"/>
          <w:b/>
          <w:bCs/>
          <w:color w:val="auto"/>
          <w:sz w:val="24"/>
          <w:szCs w:val="24"/>
          <w:lang w:val="en-US" w:eastAsia="zh-CN"/>
        </w:rPr>
        <w:t>注：本合同仅供参考，具体合同签订事宜由采购人根据磋商文件及成交供应商的磋商响应文件与成交供应商订立及签订。</w:t>
      </w:r>
      <w:bookmarkEnd w:id="25"/>
    </w:p>
    <w:p w14:paraId="733E6F86">
      <w:pPr>
        <w:pStyle w:val="17"/>
        <w:spacing w:line="276" w:lineRule="auto"/>
        <w:jc w:val="center"/>
        <w:outlineLvl w:val="0"/>
        <w:rPr>
          <w:rFonts w:hint="eastAsia" w:ascii="仿宋" w:hAnsi="仿宋" w:eastAsia="仿宋" w:cs="仿宋"/>
          <w:b/>
          <w:bCs/>
          <w:color w:val="auto"/>
          <w:sz w:val="24"/>
          <w:szCs w:val="24"/>
        </w:rPr>
      </w:pPr>
    </w:p>
    <w:p w14:paraId="1462E4BD">
      <w:pPr>
        <w:pStyle w:val="17"/>
        <w:spacing w:line="276" w:lineRule="auto"/>
        <w:jc w:val="center"/>
        <w:outlineLvl w:val="0"/>
        <w:rPr>
          <w:rFonts w:hint="eastAsia" w:ascii="仿宋" w:hAnsi="仿宋" w:eastAsia="仿宋" w:cs="仿宋"/>
          <w:b/>
          <w:bCs/>
          <w:color w:val="auto"/>
          <w:sz w:val="24"/>
          <w:szCs w:val="24"/>
        </w:rPr>
      </w:pPr>
    </w:p>
    <w:p w14:paraId="67D2921B">
      <w:pPr>
        <w:pStyle w:val="17"/>
        <w:spacing w:line="276" w:lineRule="auto"/>
        <w:jc w:val="center"/>
        <w:outlineLvl w:val="0"/>
        <w:rPr>
          <w:rFonts w:hint="eastAsia" w:ascii="仿宋" w:hAnsi="仿宋" w:eastAsia="仿宋" w:cs="仿宋"/>
          <w:b/>
          <w:bCs/>
          <w:color w:val="auto"/>
          <w:sz w:val="24"/>
          <w:szCs w:val="24"/>
        </w:rPr>
      </w:pPr>
    </w:p>
    <w:p w14:paraId="7FEF0934">
      <w:pPr>
        <w:pStyle w:val="17"/>
        <w:spacing w:line="276" w:lineRule="auto"/>
        <w:jc w:val="center"/>
        <w:outlineLvl w:val="0"/>
        <w:rPr>
          <w:rFonts w:hint="eastAsia" w:ascii="仿宋" w:hAnsi="仿宋" w:eastAsia="仿宋" w:cs="仿宋"/>
          <w:b/>
          <w:bCs/>
          <w:color w:val="auto"/>
          <w:sz w:val="24"/>
          <w:szCs w:val="24"/>
        </w:rPr>
      </w:pPr>
    </w:p>
    <w:p w14:paraId="4FF2213F">
      <w:pPr>
        <w:pStyle w:val="17"/>
        <w:spacing w:line="276" w:lineRule="auto"/>
        <w:jc w:val="center"/>
        <w:outlineLvl w:val="0"/>
        <w:rPr>
          <w:rFonts w:hint="eastAsia" w:ascii="仿宋" w:hAnsi="仿宋" w:eastAsia="仿宋" w:cs="仿宋"/>
          <w:b/>
          <w:bCs/>
          <w:color w:val="auto"/>
          <w:sz w:val="24"/>
          <w:szCs w:val="24"/>
        </w:rPr>
      </w:pPr>
    </w:p>
    <w:p w14:paraId="690AAD83">
      <w:pPr>
        <w:pStyle w:val="17"/>
        <w:spacing w:line="276" w:lineRule="auto"/>
        <w:jc w:val="center"/>
        <w:outlineLvl w:val="0"/>
        <w:rPr>
          <w:rFonts w:hint="eastAsia" w:ascii="仿宋" w:hAnsi="仿宋" w:eastAsia="仿宋" w:cs="仿宋"/>
          <w:b/>
          <w:bCs/>
          <w:color w:val="auto"/>
          <w:sz w:val="24"/>
          <w:szCs w:val="24"/>
        </w:rPr>
      </w:pPr>
    </w:p>
    <w:p w14:paraId="5317F125">
      <w:pPr>
        <w:pStyle w:val="17"/>
        <w:spacing w:line="276" w:lineRule="auto"/>
        <w:jc w:val="center"/>
        <w:outlineLvl w:val="0"/>
        <w:rPr>
          <w:rFonts w:hint="eastAsia" w:ascii="仿宋" w:hAnsi="仿宋" w:eastAsia="仿宋" w:cs="仿宋"/>
          <w:b/>
          <w:bCs/>
          <w:color w:val="auto"/>
          <w:sz w:val="24"/>
          <w:szCs w:val="24"/>
        </w:rPr>
      </w:pPr>
    </w:p>
    <w:p w14:paraId="4884A069">
      <w:pPr>
        <w:pStyle w:val="17"/>
        <w:spacing w:line="276" w:lineRule="auto"/>
        <w:jc w:val="center"/>
        <w:outlineLvl w:val="0"/>
        <w:rPr>
          <w:rFonts w:hint="eastAsia" w:ascii="仿宋" w:hAnsi="仿宋" w:eastAsia="仿宋" w:cs="仿宋"/>
          <w:b/>
          <w:bCs/>
          <w:color w:val="auto"/>
          <w:sz w:val="24"/>
          <w:szCs w:val="24"/>
        </w:rPr>
      </w:pPr>
    </w:p>
    <w:p w14:paraId="61C92C86">
      <w:pPr>
        <w:pStyle w:val="17"/>
        <w:spacing w:line="276" w:lineRule="auto"/>
        <w:jc w:val="center"/>
        <w:outlineLvl w:val="0"/>
        <w:rPr>
          <w:rFonts w:hint="eastAsia" w:ascii="仿宋" w:hAnsi="仿宋" w:eastAsia="仿宋" w:cs="仿宋"/>
          <w:b/>
          <w:bCs/>
          <w:color w:val="auto"/>
          <w:sz w:val="24"/>
          <w:szCs w:val="24"/>
        </w:rPr>
      </w:pPr>
    </w:p>
    <w:p w14:paraId="0C30C59C">
      <w:pPr>
        <w:pStyle w:val="17"/>
        <w:spacing w:line="276" w:lineRule="auto"/>
        <w:jc w:val="center"/>
        <w:outlineLvl w:val="0"/>
        <w:rPr>
          <w:rFonts w:hint="eastAsia" w:ascii="仿宋" w:hAnsi="仿宋" w:eastAsia="仿宋" w:cs="仿宋"/>
          <w:b/>
          <w:bCs/>
          <w:color w:val="auto"/>
          <w:sz w:val="24"/>
          <w:szCs w:val="24"/>
        </w:rPr>
      </w:pPr>
    </w:p>
    <w:p w14:paraId="3E985E31">
      <w:pPr>
        <w:pStyle w:val="17"/>
        <w:spacing w:line="276" w:lineRule="auto"/>
        <w:jc w:val="center"/>
        <w:outlineLvl w:val="0"/>
        <w:rPr>
          <w:rFonts w:hint="eastAsia" w:ascii="仿宋" w:hAnsi="仿宋" w:eastAsia="仿宋" w:cs="仿宋"/>
          <w:b/>
          <w:bCs/>
          <w:color w:val="auto"/>
          <w:sz w:val="24"/>
          <w:szCs w:val="24"/>
        </w:rPr>
      </w:pPr>
    </w:p>
    <w:p w14:paraId="714E7A53">
      <w:pPr>
        <w:pStyle w:val="17"/>
        <w:spacing w:line="276" w:lineRule="auto"/>
        <w:jc w:val="center"/>
        <w:outlineLvl w:val="0"/>
        <w:rPr>
          <w:rFonts w:hint="eastAsia" w:ascii="仿宋" w:hAnsi="仿宋" w:eastAsia="仿宋" w:cs="仿宋"/>
          <w:b/>
          <w:bCs/>
          <w:color w:val="auto"/>
          <w:sz w:val="24"/>
          <w:szCs w:val="24"/>
        </w:rPr>
      </w:pPr>
    </w:p>
    <w:p w14:paraId="5AF7479E">
      <w:pPr>
        <w:pStyle w:val="17"/>
        <w:spacing w:line="276" w:lineRule="auto"/>
        <w:jc w:val="center"/>
        <w:outlineLvl w:val="0"/>
        <w:rPr>
          <w:rFonts w:hint="eastAsia" w:ascii="仿宋" w:hAnsi="仿宋" w:eastAsia="仿宋" w:cs="仿宋"/>
          <w:b/>
          <w:bCs/>
          <w:color w:val="auto"/>
          <w:sz w:val="24"/>
          <w:szCs w:val="24"/>
        </w:rPr>
      </w:pPr>
    </w:p>
    <w:p w14:paraId="45959620">
      <w:pPr>
        <w:pStyle w:val="17"/>
        <w:bidi w:val="0"/>
        <w:rPr>
          <w:rFonts w:hint="eastAsia"/>
          <w:color w:val="auto"/>
        </w:rPr>
      </w:pPr>
    </w:p>
    <w:p w14:paraId="0D9D39A2">
      <w:pPr>
        <w:pStyle w:val="17"/>
        <w:spacing w:line="276" w:lineRule="auto"/>
        <w:jc w:val="center"/>
        <w:outlineLvl w:val="0"/>
        <w:rPr>
          <w:rFonts w:hint="eastAsia" w:ascii="仿宋" w:hAnsi="仿宋" w:eastAsia="仿宋" w:cs="仿宋"/>
          <w:color w:val="auto"/>
          <w:sz w:val="24"/>
          <w:szCs w:val="24"/>
        </w:rPr>
      </w:pPr>
      <w:bookmarkStart w:id="26" w:name="_Toc7901"/>
      <w:r>
        <w:rPr>
          <w:rFonts w:hint="eastAsia" w:ascii="仿宋" w:hAnsi="仿宋" w:eastAsia="仿宋" w:cs="仿宋"/>
          <w:b/>
          <w:bCs/>
          <w:color w:val="auto"/>
          <w:sz w:val="36"/>
          <w:szCs w:val="36"/>
        </w:rPr>
        <w:t>第四章  采购</w:t>
      </w:r>
      <w:r>
        <w:rPr>
          <w:rFonts w:hint="eastAsia" w:ascii="仿宋" w:hAnsi="仿宋" w:eastAsia="仿宋" w:cs="仿宋"/>
          <w:b/>
          <w:bCs/>
          <w:color w:val="auto"/>
          <w:sz w:val="36"/>
          <w:szCs w:val="36"/>
          <w:lang w:val="en-US" w:eastAsia="zh-CN"/>
        </w:rPr>
        <w:t>需</w:t>
      </w:r>
      <w:r>
        <w:rPr>
          <w:rFonts w:hint="eastAsia" w:ascii="仿宋" w:hAnsi="仿宋" w:eastAsia="仿宋" w:cs="仿宋"/>
          <w:b/>
          <w:bCs/>
          <w:color w:val="auto"/>
          <w:sz w:val="36"/>
          <w:szCs w:val="36"/>
        </w:rPr>
        <w:t>求</w:t>
      </w:r>
      <w:bookmarkEnd w:id="26"/>
    </w:p>
    <w:p w14:paraId="68786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一、项目概述</w:t>
      </w:r>
    </w:p>
    <w:p w14:paraId="772E5A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（一）项目背景</w:t>
      </w:r>
    </w:p>
    <w:p w14:paraId="5B2ED7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库车市作为国务院命名的“国家历史文化名城”，是古丝绸之路重镇和龟兹文化发源地，拥有克孜尔石窟、苏巴什佛寺遗址等世界文化遗产和众多珍贵历史遗存，文化底蕴深厚、旅游资源富集。近年来，随着“文化润疆”战略深入实施及全域旅游快速发展，库车市文旅产业持续升温，但城市公共服务设施短板日益凸显：一是历史文化街区及核心景区停车资源紧缺，高峰期“一位难求”，制约游客体验与文化遗产保护利用；二是老旧社区基础设施滞后，自行车停放无序、综合服务空间不足，难以满足群众对便捷生活、基层治理现代化的需求；三是城市更新进程与新型城镇化要求存在差距，现有设施功能单一、智能化水平低，亟需通过系统化改造提升城市综合承载力。</w:t>
      </w:r>
    </w:p>
    <w:p w14:paraId="01176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（二）项目范围</w:t>
      </w:r>
    </w:p>
    <w:p w14:paraId="351A8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（1）改造区域</w:t>
      </w:r>
    </w:p>
    <w:p w14:paraId="29B9AD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1.新建停车场3座5000平方米及遮阳棚等附属设施；2.新建自行车棚5座500平方米及遮阳棚附属设施；3.改造社区综合服务站6座改造面积9535平方米。</w:t>
      </w:r>
    </w:p>
    <w:p w14:paraId="0962F4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（2）可研服务范围</w:t>
      </w:r>
    </w:p>
    <w:p w14:paraId="0484DF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次可研编制服务贯穿项目前期决策全流程，包括前期调研与基础分析阶段、方案设计与可行性论证阶段、报告编制与优化阶段及评审与审批支持阶段。在前期调研与基础分析阶段，可研编制单位需收集政策法规、行业市场、区域环境等基础资料，论证项目建设必要性，明确项目目标与边界；方案设计与可行性论证阶段，需完成建设规模与技术方案设计、投资估算与融资方案制定，开展经济财务评价、环境影响分析及社会风险评估，识别并制定风险应对策略；报告编制与优化阶段，需撰写完整可行性研究报告，整理附图、附表及附件资料，根据初步意见完善报告内容；评审与审批支持阶段，需协助准备评审材料，参与专家评审会并回应咨询，按照评审意见和审批要求修改报告，协助建设单位完成项目审批备案相关工作。</w:t>
      </w:r>
    </w:p>
    <w:p w14:paraId="652C0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二、服务范围及要求：</w:t>
      </w:r>
    </w:p>
    <w:p w14:paraId="697552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服务范围：为库车国家历史文化名城公共服务设施建设项目进行可研编制，能按时完成编制工作，并通过相关部门审核，编制内容合格达标，按行业要求提供服务。（竞争性磋商文件包含的全部内容）。</w:t>
      </w:r>
    </w:p>
    <w:p w14:paraId="4688E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服务要求：为了确保库车国家历史文化名城公共服务设施建设项目顺利实施，按照程序计划对项目进行可行性研究，按项目要求、行业要求提供可行性研究服务。 能按时完成编制工作，并通过相关部门审核，编制内容合格达标。   </w:t>
      </w:r>
    </w:p>
    <w:p w14:paraId="2EED8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成交人在执行本项目期限内，必须按响应文件所报的人员进行作业，业务人员要按甲方要求提供业务服务等相关工作；如有特殊情况需要更换业务人员（业务人员需具备相应的资质），必须经采购人及监管部门同意后方可更换。</w:t>
      </w:r>
    </w:p>
    <w:p w14:paraId="5F3AE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确定成交供应商后须由成交供应商拟派本项目负责人持有效注册证书或职称证（复印件盖公章或原件）、委托书与采购人对接签订政府采购合同，主持库车国家历史文化名城公共服务设施建设项目可研工作。</w:t>
      </w:r>
    </w:p>
    <w:p w14:paraId="313EC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三、服务时间及安全责任：</w:t>
      </w:r>
    </w:p>
    <w:p w14:paraId="1C87F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1、服务期限：合同签订之日起七</w:t>
      </w:r>
      <w:bookmarkStart w:id="133" w:name="_GoBack"/>
      <w:bookmarkEnd w:id="133"/>
      <w:r>
        <w:rPr>
          <w:rFonts w:hint="eastAsia" w:ascii="仿宋" w:hAnsi="仿宋" w:eastAsia="仿宋" w:cs="仿宋"/>
          <w:color w:val="auto"/>
          <w:kern w:val="2"/>
          <w:sz w:val="24"/>
          <w:szCs w:val="24"/>
          <w:lang w:val="en-US" w:eastAsia="zh-CN" w:bidi="ar-SA"/>
        </w:rPr>
        <w:t>日内完成。</w:t>
      </w:r>
    </w:p>
    <w:p w14:paraId="5A2C8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安全责任：供应商所提供的服务质量须达到采购单位要求，在保证服务期和服务质量的前提下做好各项服务，服务中的一切风险（包括人员安全事故责任、与第三方的劳务纠纷、项目实施过程中的劳务纠纷及人员伤害等）均由供应商一方承担责任。</w:t>
      </w:r>
    </w:p>
    <w:p w14:paraId="0E22B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四、服务（质量）标准：</w:t>
      </w:r>
      <w:r>
        <w:rPr>
          <w:rFonts w:hint="eastAsia" w:ascii="仿宋" w:hAnsi="仿宋" w:eastAsia="仿宋" w:cs="仿宋"/>
          <w:color w:val="auto"/>
          <w:kern w:val="2"/>
          <w:sz w:val="24"/>
          <w:szCs w:val="24"/>
          <w:lang w:val="en-US" w:eastAsia="zh-CN" w:bidi="ar-SA"/>
        </w:rPr>
        <w:t>满足国家和地方相关技术规范和标准要求。</w:t>
      </w:r>
    </w:p>
    <w:p w14:paraId="054A3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五、项目管理班组：</w:t>
      </w:r>
      <w:r>
        <w:rPr>
          <w:rFonts w:hint="eastAsia" w:ascii="仿宋" w:hAnsi="仿宋" w:eastAsia="仿宋" w:cs="仿宋"/>
          <w:color w:val="auto"/>
          <w:kern w:val="2"/>
          <w:sz w:val="24"/>
          <w:szCs w:val="24"/>
          <w:lang w:val="en-US" w:eastAsia="zh-CN" w:bidi="ar-SA"/>
        </w:rPr>
        <w:t>项目管理班组成员除项目负责人外不少于四人并提供相应证明材料且在有效期内，及响应文件递交截止日期之前六个月内任意一个月的班组成员由社保局出具的社保证明。</w:t>
      </w:r>
    </w:p>
    <w:p w14:paraId="553607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sectPr>
          <w:pgSz w:w="11906" w:h="16838"/>
          <w:pgMar w:top="1440" w:right="1706" w:bottom="1440" w:left="1800" w:header="851" w:footer="992" w:gutter="0"/>
          <w:pgNumType w:fmt="decimal"/>
          <w:cols w:space="720" w:num="1"/>
          <w:docGrid w:type="lines" w:linePitch="312" w:charSpace="0"/>
        </w:sectPr>
      </w:pPr>
    </w:p>
    <w:p w14:paraId="3F452147">
      <w:pPr>
        <w:pStyle w:val="3"/>
        <w:numPr>
          <w:ilvl w:val="0"/>
          <w:numId w:val="0"/>
        </w:numPr>
        <w:spacing w:line="276" w:lineRule="auto"/>
        <w:jc w:val="center"/>
        <w:outlineLvl w:val="0"/>
        <w:rPr>
          <w:rFonts w:hint="eastAsia" w:ascii="仿宋" w:hAnsi="仿宋" w:eastAsia="仿宋" w:cs="仿宋"/>
          <w:color w:val="auto"/>
          <w:sz w:val="36"/>
          <w:szCs w:val="36"/>
        </w:rPr>
      </w:pPr>
      <w:r>
        <w:rPr>
          <w:rFonts w:hint="eastAsia" w:ascii="仿宋" w:hAnsi="仿宋" w:eastAsia="仿宋" w:cs="仿宋"/>
          <w:color w:val="auto"/>
          <w:spacing w:val="10"/>
          <w:sz w:val="36"/>
          <w:szCs w:val="36"/>
          <w:lang w:val="en-US" w:eastAsia="zh-CN"/>
        </w:rPr>
        <w:t xml:space="preserve"> </w:t>
      </w:r>
      <w:bookmarkStart w:id="27" w:name="_Toc11769"/>
      <w:r>
        <w:rPr>
          <w:rFonts w:hint="eastAsia" w:ascii="仿宋" w:hAnsi="仿宋" w:eastAsia="仿宋" w:cs="仿宋"/>
          <w:color w:val="auto"/>
          <w:sz w:val="36"/>
          <w:szCs w:val="36"/>
          <w:lang w:eastAsia="zh-CN"/>
        </w:rPr>
        <w:t>第五章</w:t>
      </w:r>
      <w:r>
        <w:rPr>
          <w:rFonts w:hint="eastAsia" w:ascii="仿宋" w:hAnsi="仿宋" w:eastAsia="仿宋" w:cs="仿宋"/>
          <w:color w:val="auto"/>
          <w:sz w:val="36"/>
          <w:szCs w:val="36"/>
        </w:rPr>
        <w:t xml:space="preserve"> 评审程序、方法和标准</w:t>
      </w:r>
      <w:bookmarkEnd w:id="27"/>
    </w:p>
    <w:p w14:paraId="733B81C3">
      <w:pPr>
        <w:spacing w:line="360" w:lineRule="auto"/>
        <w:rPr>
          <w:rFonts w:hint="eastAsia" w:ascii="仿宋" w:hAnsi="仿宋" w:eastAsia="仿宋" w:cs="仿宋"/>
          <w:b/>
          <w:color w:val="auto"/>
          <w:sz w:val="24"/>
          <w:szCs w:val="24"/>
        </w:rPr>
      </w:pPr>
      <w:bookmarkStart w:id="28" w:name="EB066763282e454600abc10582fb4919e1"/>
      <w:r>
        <w:rPr>
          <w:rFonts w:hint="eastAsia" w:ascii="仿宋" w:hAnsi="仿宋" w:eastAsia="仿宋" w:cs="仿宋"/>
          <w:b/>
          <w:color w:val="auto"/>
          <w:sz w:val="24"/>
          <w:szCs w:val="24"/>
        </w:rPr>
        <w:t>一、评审程序</w:t>
      </w:r>
    </w:p>
    <w:p w14:paraId="147BE02A">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（一）评审原则 </w:t>
      </w:r>
    </w:p>
    <w:p w14:paraId="5700E96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1、合法、合规原则。</w:t>
      </w:r>
    </w:p>
    <w:p w14:paraId="64BCDFE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、公平、公正、科学、审慎、择优原则。</w:t>
      </w:r>
    </w:p>
    <w:p w14:paraId="07179A26">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、高分优先原则。衡量响应文件满足竞争性磋商文件规定的各项评审标准的程度，折算为综合得分分值，依据每个磋商供应商的综合得分由高到低，依次确定排名顺序。</w:t>
      </w:r>
      <w:bookmarkStart w:id="29" w:name="_Hlk35936807"/>
      <w:bookmarkStart w:id="30" w:name="_Hlk39906399"/>
    </w:p>
    <w:p w14:paraId="32EFA574">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二</w:t>
      </w:r>
      <w:r>
        <w:rPr>
          <w:rFonts w:hint="eastAsia" w:ascii="仿宋" w:hAnsi="仿宋" w:eastAsia="仿宋" w:cs="仿宋"/>
          <w:b/>
          <w:color w:val="auto"/>
          <w:sz w:val="24"/>
          <w:szCs w:val="24"/>
        </w:rPr>
        <w:t>）评审内容</w:t>
      </w:r>
    </w:p>
    <w:p w14:paraId="464CBBF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1、磋商响应文件评审内容及标准</w:t>
      </w:r>
    </w:p>
    <w:p w14:paraId="07DFBAF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采购人或采购代理机构</w:t>
      </w:r>
      <w:r>
        <w:rPr>
          <w:rFonts w:hint="eastAsia" w:ascii="仿宋" w:hAnsi="仿宋" w:eastAsia="仿宋" w:cs="仿宋"/>
          <w:color w:val="auto"/>
          <w:sz w:val="24"/>
          <w:szCs w:val="24"/>
          <w:lang w:val="en-US" w:eastAsia="zh-CN"/>
        </w:rPr>
        <w:t>或采购人授权的竞争性磋商专家小组</w:t>
      </w:r>
      <w:r>
        <w:rPr>
          <w:rFonts w:hint="eastAsia" w:ascii="仿宋" w:hAnsi="仿宋" w:eastAsia="仿宋" w:cs="仿宋"/>
          <w:color w:val="auto"/>
          <w:sz w:val="24"/>
          <w:szCs w:val="24"/>
        </w:rPr>
        <w:t>对</w:t>
      </w:r>
      <w:r>
        <w:rPr>
          <w:rFonts w:hint="eastAsia" w:ascii="仿宋" w:hAnsi="仿宋" w:eastAsia="仿宋" w:cs="仿宋"/>
          <w:color w:val="auto"/>
          <w:sz w:val="24"/>
          <w:szCs w:val="24"/>
          <w:lang w:val="en-US" w:eastAsia="zh-CN"/>
        </w:rPr>
        <w:t>资格</w:t>
      </w:r>
      <w:r>
        <w:rPr>
          <w:rFonts w:hint="eastAsia" w:ascii="仿宋" w:hAnsi="仿宋" w:eastAsia="仿宋" w:cs="仿宋"/>
          <w:color w:val="auto"/>
          <w:sz w:val="24"/>
          <w:szCs w:val="24"/>
        </w:rPr>
        <w:t>响应文件的资格性审查作合格性评审, 评审结论分为“合格”与“不合格”。</w:t>
      </w:r>
      <w:r>
        <w:rPr>
          <w:rFonts w:hint="eastAsia" w:ascii="仿宋" w:hAnsi="仿宋" w:eastAsia="仿宋" w:cs="仿宋"/>
          <w:color w:val="auto"/>
          <w:sz w:val="24"/>
          <w:szCs w:val="24"/>
          <w:lang w:val="en-US" w:eastAsia="zh-CN"/>
        </w:rPr>
        <w:t>未按政采云及采购文件评审内容、评审标准要求提供资格证明文件视为不合格，</w:t>
      </w:r>
      <w:r>
        <w:rPr>
          <w:rFonts w:hint="eastAsia" w:ascii="仿宋" w:hAnsi="仿宋" w:eastAsia="仿宋" w:cs="仿宋"/>
          <w:color w:val="auto"/>
          <w:sz w:val="24"/>
          <w:szCs w:val="24"/>
        </w:rPr>
        <w:t>评审不合格的</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文件不再进行后续评审。</w:t>
      </w:r>
    </w:p>
    <w:tbl>
      <w:tblPr>
        <w:tblStyle w:val="34"/>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116"/>
        <w:gridCol w:w="6235"/>
      </w:tblGrid>
      <w:tr w14:paraId="78C4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44" w:type="dxa"/>
            <w:gridSpan w:val="2"/>
            <w:vAlign w:val="center"/>
          </w:tcPr>
          <w:p w14:paraId="7DCA6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评审内容</w:t>
            </w:r>
          </w:p>
        </w:tc>
        <w:tc>
          <w:tcPr>
            <w:tcW w:w="6235" w:type="dxa"/>
            <w:vAlign w:val="center"/>
          </w:tcPr>
          <w:p w14:paraId="0CE788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w:t>
            </w:r>
          </w:p>
        </w:tc>
      </w:tr>
      <w:tr w14:paraId="3733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28" w:type="dxa"/>
            <w:vMerge w:val="restart"/>
            <w:vAlign w:val="center"/>
          </w:tcPr>
          <w:p w14:paraId="63D01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12402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p w14:paraId="7B945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资格评审</w:t>
            </w:r>
          </w:p>
        </w:tc>
        <w:tc>
          <w:tcPr>
            <w:tcW w:w="2116" w:type="dxa"/>
            <w:vAlign w:val="center"/>
          </w:tcPr>
          <w:p w14:paraId="0B03D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营业执照</w:t>
            </w:r>
          </w:p>
        </w:tc>
        <w:tc>
          <w:tcPr>
            <w:tcW w:w="6235" w:type="dxa"/>
            <w:vAlign w:val="center"/>
          </w:tcPr>
          <w:p w14:paraId="0863FE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响应供应商为企业(包括合伙企业)的，应提供有效的“营业执照”；(上述资料须提供清晰的原件扫描件)；</w:t>
            </w:r>
          </w:p>
          <w:p w14:paraId="5A37F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分支机构参加投标的，应提供该分支机构或其所属法人/其他组织的相应证明文件；同时还应提供其所属法人/其他组织出具的授权其参与本项目并承担相应民事责任的授权书(格式自拟，须加盖其所属法人/其他组织的公章)；</w:t>
            </w:r>
          </w:p>
        </w:tc>
      </w:tr>
      <w:tr w14:paraId="0925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28" w:type="dxa"/>
            <w:vMerge w:val="continue"/>
            <w:vAlign w:val="center"/>
          </w:tcPr>
          <w:p w14:paraId="14DC9D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p>
        </w:tc>
        <w:tc>
          <w:tcPr>
            <w:tcW w:w="2116" w:type="dxa"/>
            <w:shd w:val="clear" w:color="auto" w:fill="auto"/>
            <w:vAlign w:val="center"/>
          </w:tcPr>
          <w:p w14:paraId="726A38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法人身份证明或授权委托书</w:t>
            </w:r>
          </w:p>
        </w:tc>
        <w:tc>
          <w:tcPr>
            <w:tcW w:w="6235" w:type="dxa"/>
            <w:shd w:val="clear" w:color="auto" w:fill="auto"/>
            <w:vAlign w:val="center"/>
          </w:tcPr>
          <w:p w14:paraId="6661A7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响应文件中由法定代表人签字或盖签名章的，须提供有效的法定代表人身份证明书；响应文件中由授权委托人签字的，须提供有效的法定代表人授权委托书及法定代表人身份证明书。</w:t>
            </w:r>
          </w:p>
        </w:tc>
      </w:tr>
      <w:tr w14:paraId="7E19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28" w:type="dxa"/>
            <w:vMerge w:val="continue"/>
            <w:vAlign w:val="center"/>
          </w:tcPr>
          <w:p w14:paraId="7317CF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p>
        </w:tc>
        <w:tc>
          <w:tcPr>
            <w:tcW w:w="2116" w:type="dxa"/>
            <w:vAlign w:val="center"/>
          </w:tcPr>
          <w:p w14:paraId="331F30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财务报告</w:t>
            </w:r>
          </w:p>
        </w:tc>
        <w:tc>
          <w:tcPr>
            <w:tcW w:w="6235" w:type="dxa"/>
            <w:vAlign w:val="center"/>
          </w:tcPr>
          <w:p w14:paraId="570BC0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须提供本单位2024年度由会计师事务所出具的财务审计报告或财务报表，审计报告须包括资产负债表、利润表、现金流量表、所有者权益变动(如有)及其附注(原件扫描件)；财务报表须包括资产负债表、利润表、现金流量表。如响应供应商注册成立不满一年的则提供成立至今的财务报表（须包括资产负债表、利润表、现金流量表）。</w:t>
            </w:r>
          </w:p>
        </w:tc>
      </w:tr>
      <w:tr w14:paraId="27D5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28" w:type="dxa"/>
            <w:vMerge w:val="continue"/>
            <w:vAlign w:val="center"/>
          </w:tcPr>
          <w:p w14:paraId="7A9642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p>
        </w:tc>
        <w:tc>
          <w:tcPr>
            <w:tcW w:w="2116" w:type="dxa"/>
            <w:vAlign w:val="center"/>
          </w:tcPr>
          <w:p w14:paraId="073CE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有依法缴纳税收和依法缴纳社会保障资金的记录</w:t>
            </w:r>
          </w:p>
        </w:tc>
        <w:tc>
          <w:tcPr>
            <w:tcW w:w="6235" w:type="dxa"/>
            <w:vAlign w:val="center"/>
          </w:tcPr>
          <w:p w14:paraId="6E6A1A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响应供应商承诺依法缴纳税收和依法缴纳社会保障资金的记录</w:t>
            </w:r>
            <w:r>
              <w:rPr>
                <w:rFonts w:hint="eastAsia" w:ascii="仿宋" w:hAnsi="仿宋" w:eastAsia="仿宋" w:cs="仿宋"/>
                <w:b/>
                <w:bCs/>
                <w:color w:val="auto"/>
                <w:kern w:val="2"/>
                <w:sz w:val="24"/>
                <w:szCs w:val="24"/>
                <w:lang w:val="en-US" w:eastAsia="zh-CN" w:bidi="ar-SA"/>
              </w:rPr>
              <w:t>（格式详见附件2）</w:t>
            </w:r>
          </w:p>
        </w:tc>
      </w:tr>
      <w:tr w14:paraId="297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28" w:type="dxa"/>
            <w:vMerge w:val="continue"/>
            <w:vAlign w:val="center"/>
          </w:tcPr>
          <w:p w14:paraId="5B65B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p>
        </w:tc>
        <w:tc>
          <w:tcPr>
            <w:tcW w:w="2116" w:type="dxa"/>
            <w:vAlign w:val="center"/>
          </w:tcPr>
          <w:p w14:paraId="4CB62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具有履行合同所必需的设备和专业技术能力</w:t>
            </w:r>
          </w:p>
        </w:tc>
        <w:tc>
          <w:tcPr>
            <w:tcW w:w="6235" w:type="dxa"/>
            <w:vAlign w:val="center"/>
          </w:tcPr>
          <w:p w14:paraId="57A41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须提供具备履行合同所必需的设备和专业技术能力的书面声明原件扫描件</w:t>
            </w:r>
            <w:r>
              <w:rPr>
                <w:rFonts w:hint="eastAsia" w:ascii="仿宋" w:hAnsi="仿宋" w:eastAsia="仿宋" w:cs="仿宋"/>
                <w:b/>
                <w:bCs/>
                <w:color w:val="auto"/>
                <w:kern w:val="2"/>
                <w:sz w:val="24"/>
                <w:szCs w:val="24"/>
                <w:lang w:val="en-US" w:eastAsia="zh-CN" w:bidi="ar-SA"/>
              </w:rPr>
              <w:t>（格式自拟）</w:t>
            </w:r>
          </w:p>
        </w:tc>
      </w:tr>
      <w:tr w14:paraId="2767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28" w:type="dxa"/>
            <w:vMerge w:val="continue"/>
            <w:vAlign w:val="center"/>
          </w:tcPr>
          <w:p w14:paraId="2CFB06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p>
        </w:tc>
        <w:tc>
          <w:tcPr>
            <w:tcW w:w="2116" w:type="dxa"/>
            <w:shd w:val="clear" w:color="auto" w:fill="auto"/>
            <w:vAlign w:val="center"/>
          </w:tcPr>
          <w:p w14:paraId="20D83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企业信誉要求</w:t>
            </w:r>
          </w:p>
        </w:tc>
        <w:tc>
          <w:tcPr>
            <w:tcW w:w="6235" w:type="dxa"/>
            <w:shd w:val="clear" w:color="auto" w:fill="auto"/>
            <w:vAlign w:val="center"/>
          </w:tcPr>
          <w:p w14:paraId="2C161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信用中国”网站（www.creditchina.gov.cn）、中国政府采购网（www.ccgp.gov.cn）被列入失信被执行人、重大税收违法案件当事人名单、政府采购严重违法失信行为记录名单的（尚在处罚期内的），将拒绝其参本次政府采购活动；</w:t>
            </w:r>
            <w:r>
              <w:rPr>
                <w:rFonts w:hint="eastAsia" w:ascii="仿宋" w:hAnsi="仿宋" w:eastAsia="仿宋" w:cs="仿宋"/>
                <w:b/>
                <w:bCs/>
                <w:color w:val="auto"/>
                <w:kern w:val="2"/>
                <w:sz w:val="24"/>
                <w:szCs w:val="24"/>
                <w:lang w:val="en-US" w:eastAsia="zh-CN" w:bidi="ar-SA"/>
              </w:rPr>
              <w:t>（竞争性磋商小组现场查询）</w:t>
            </w:r>
            <w:r>
              <w:rPr>
                <w:rFonts w:hint="eastAsia" w:ascii="仿宋" w:hAnsi="仿宋" w:eastAsia="仿宋" w:cs="仿宋"/>
                <w:color w:val="auto"/>
                <w:kern w:val="2"/>
                <w:sz w:val="24"/>
                <w:szCs w:val="24"/>
                <w:lang w:val="en-US" w:eastAsia="zh-CN" w:bidi="ar-SA"/>
              </w:rPr>
              <w:t>；</w:t>
            </w:r>
          </w:p>
        </w:tc>
      </w:tr>
      <w:tr w14:paraId="701F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28" w:type="dxa"/>
            <w:vMerge w:val="continue"/>
            <w:vAlign w:val="center"/>
          </w:tcPr>
          <w:p w14:paraId="322023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p>
        </w:tc>
        <w:tc>
          <w:tcPr>
            <w:tcW w:w="2116" w:type="dxa"/>
            <w:shd w:val="clear" w:color="auto" w:fill="auto"/>
            <w:vAlign w:val="center"/>
          </w:tcPr>
          <w:p w14:paraId="67FBB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无不良行为记录</w:t>
            </w:r>
          </w:p>
        </w:tc>
        <w:tc>
          <w:tcPr>
            <w:tcW w:w="6235" w:type="dxa"/>
            <w:shd w:val="clear" w:color="auto" w:fill="auto"/>
            <w:vAlign w:val="center"/>
          </w:tcPr>
          <w:p w14:paraId="76ED1F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pacing w:val="0"/>
                <w:sz w:val="24"/>
                <w:szCs w:val="24"/>
                <w:vertAlign w:val="baseline"/>
                <w:lang w:val="en-US" w:eastAsia="zh-CN"/>
              </w:rPr>
              <w:t>在参加政府采购活动前三年内，在经营活动中没有无重大违法记录的书面声明（附声明书，格式自拟）</w:t>
            </w:r>
          </w:p>
        </w:tc>
      </w:tr>
      <w:tr w14:paraId="78C5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14:paraId="7A8C2B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p>
        </w:tc>
        <w:tc>
          <w:tcPr>
            <w:tcW w:w="2116" w:type="dxa"/>
            <w:vAlign w:val="center"/>
          </w:tcPr>
          <w:p w14:paraId="5C4FF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中小企业声明函</w:t>
            </w:r>
          </w:p>
        </w:tc>
        <w:tc>
          <w:tcPr>
            <w:tcW w:w="6235" w:type="dxa"/>
            <w:vAlign w:val="center"/>
          </w:tcPr>
          <w:p w14:paraId="6BE51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符合中小企业响应要求；按竞争性磋商文件格式、要求填写。</w:t>
            </w:r>
            <w:r>
              <w:rPr>
                <w:rFonts w:hint="eastAsia" w:ascii="仿宋" w:hAnsi="仿宋" w:eastAsia="仿宋" w:cs="仿宋"/>
                <w:b/>
                <w:bCs/>
                <w:color w:val="auto"/>
                <w:kern w:val="2"/>
                <w:sz w:val="24"/>
                <w:szCs w:val="24"/>
                <w:lang w:val="en-US" w:eastAsia="zh-CN" w:bidi="ar-SA"/>
              </w:rPr>
              <w:t>（格式详见附件1）</w:t>
            </w:r>
          </w:p>
        </w:tc>
      </w:tr>
    </w:tbl>
    <w:p w14:paraId="4E63AC24">
      <w:pPr>
        <w:spacing w:line="360" w:lineRule="auto"/>
        <w:ind w:firstLine="480" w:firstLineChars="200"/>
        <w:rPr>
          <w:rFonts w:hint="eastAsia" w:ascii="仿宋" w:hAnsi="仿宋" w:eastAsia="仿宋" w:cs="仿宋"/>
          <w:color w:val="auto"/>
          <w:sz w:val="24"/>
          <w:szCs w:val="24"/>
        </w:rPr>
      </w:pPr>
    </w:p>
    <w:p w14:paraId="20AF709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对</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响应文件中</w:t>
      </w:r>
      <w:r>
        <w:rPr>
          <w:rFonts w:hint="eastAsia" w:ascii="仿宋" w:hAnsi="仿宋" w:eastAsia="仿宋" w:cs="仿宋"/>
          <w:color w:val="auto"/>
          <w:sz w:val="24"/>
          <w:szCs w:val="24"/>
          <w:lang w:val="en-US" w:eastAsia="zh-CN"/>
        </w:rPr>
        <w:t>商务、技术、报价内容等作符合性评审</w:t>
      </w:r>
      <w:r>
        <w:rPr>
          <w:rFonts w:hint="eastAsia" w:ascii="仿宋" w:hAnsi="仿宋" w:eastAsia="仿宋" w:cs="仿宋"/>
          <w:color w:val="auto"/>
          <w:sz w:val="24"/>
          <w:szCs w:val="24"/>
        </w:rPr>
        <w:t>。 评审结论分为“</w:t>
      </w:r>
      <w:r>
        <w:rPr>
          <w:rFonts w:hint="eastAsia" w:ascii="仿宋" w:hAnsi="仿宋" w:eastAsia="仿宋" w:cs="仿宋"/>
          <w:color w:val="auto"/>
          <w:sz w:val="24"/>
          <w:szCs w:val="24"/>
          <w:lang w:val="en-US" w:eastAsia="zh-CN"/>
        </w:rPr>
        <w:t>符合</w:t>
      </w:r>
      <w:r>
        <w:rPr>
          <w:rFonts w:hint="eastAsia" w:ascii="仿宋" w:hAnsi="仿宋" w:eastAsia="仿宋" w:cs="仿宋"/>
          <w:color w:val="auto"/>
          <w:sz w:val="24"/>
          <w:szCs w:val="24"/>
        </w:rPr>
        <w:t>”与“不</w:t>
      </w:r>
      <w:r>
        <w:rPr>
          <w:rFonts w:hint="eastAsia" w:ascii="仿宋" w:hAnsi="仿宋" w:eastAsia="仿宋" w:cs="仿宋"/>
          <w:color w:val="auto"/>
          <w:sz w:val="24"/>
          <w:szCs w:val="24"/>
          <w:lang w:val="en-US" w:eastAsia="zh-CN"/>
        </w:rPr>
        <w:t>符合</w:t>
      </w:r>
      <w:r>
        <w:rPr>
          <w:rFonts w:hint="eastAsia" w:ascii="仿宋" w:hAnsi="仿宋" w:eastAsia="仿宋" w:cs="仿宋"/>
          <w:color w:val="auto"/>
          <w:sz w:val="24"/>
          <w:szCs w:val="24"/>
        </w:rPr>
        <w:t>”。评审不</w:t>
      </w:r>
      <w:r>
        <w:rPr>
          <w:rFonts w:hint="eastAsia" w:ascii="仿宋" w:hAnsi="仿宋" w:eastAsia="仿宋" w:cs="仿宋"/>
          <w:color w:val="auto"/>
          <w:sz w:val="24"/>
          <w:szCs w:val="24"/>
          <w:lang w:val="en-US" w:eastAsia="zh-CN"/>
        </w:rPr>
        <w:t>符合</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响应文件不再进行后续一对一</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w:t>
      </w:r>
    </w:p>
    <w:tbl>
      <w:tblPr>
        <w:tblStyle w:val="3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076"/>
        <w:gridCol w:w="6219"/>
      </w:tblGrid>
      <w:tr w14:paraId="0BBF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700" w:type="dxa"/>
            <w:gridSpan w:val="2"/>
            <w:vAlign w:val="center"/>
          </w:tcPr>
          <w:p w14:paraId="23F273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评审内容</w:t>
            </w:r>
          </w:p>
        </w:tc>
        <w:tc>
          <w:tcPr>
            <w:tcW w:w="6219" w:type="dxa"/>
            <w:vAlign w:val="center"/>
          </w:tcPr>
          <w:p w14:paraId="358D7A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w:t>
            </w:r>
          </w:p>
        </w:tc>
      </w:tr>
      <w:tr w14:paraId="750F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24" w:type="dxa"/>
            <w:vMerge w:val="restart"/>
            <w:vAlign w:val="center"/>
          </w:tcPr>
          <w:p w14:paraId="5948D7D6">
            <w:pPr>
              <w:spacing w:line="360" w:lineRule="auto"/>
              <w:ind w:firstLine="0" w:firstLineChars="0"/>
              <w:jc w:val="center"/>
              <w:rPr>
                <w:rFonts w:hint="eastAsia" w:ascii="仿宋" w:hAnsi="仿宋" w:eastAsia="仿宋" w:cs="仿宋"/>
                <w:color w:val="auto"/>
                <w:sz w:val="24"/>
                <w:szCs w:val="24"/>
                <w:lang w:val="en-US" w:eastAsia="zh-CN"/>
              </w:rPr>
            </w:pPr>
          </w:p>
          <w:p w14:paraId="197F2249">
            <w:pPr>
              <w:spacing w:line="360" w:lineRule="auto"/>
              <w:ind w:firstLine="0" w:firstLineChars="0"/>
              <w:jc w:val="center"/>
              <w:rPr>
                <w:rFonts w:hint="eastAsia" w:ascii="仿宋" w:hAnsi="仿宋" w:eastAsia="仿宋" w:cs="仿宋"/>
                <w:color w:val="auto"/>
                <w:sz w:val="24"/>
                <w:szCs w:val="24"/>
                <w:lang w:val="en-US" w:eastAsia="zh-CN"/>
              </w:rPr>
            </w:pPr>
          </w:p>
          <w:p w14:paraId="4EC88132">
            <w:pPr>
              <w:spacing w:line="360" w:lineRule="auto"/>
              <w:ind w:firstLine="0" w:firstLineChars="0"/>
              <w:jc w:val="center"/>
              <w:rPr>
                <w:rFonts w:hint="eastAsia" w:ascii="仿宋" w:hAnsi="仿宋" w:eastAsia="仿宋" w:cs="仿宋"/>
                <w:color w:val="auto"/>
                <w:sz w:val="24"/>
                <w:szCs w:val="24"/>
                <w:lang w:val="en-US" w:eastAsia="zh-CN"/>
              </w:rPr>
            </w:pPr>
          </w:p>
          <w:p w14:paraId="344FDA66">
            <w:pPr>
              <w:spacing w:line="360" w:lineRule="auto"/>
              <w:ind w:firstLine="0" w:firstLineChars="0"/>
              <w:jc w:val="center"/>
              <w:rPr>
                <w:rFonts w:hint="eastAsia" w:ascii="仿宋" w:hAnsi="仿宋" w:eastAsia="仿宋" w:cs="仿宋"/>
                <w:color w:val="auto"/>
                <w:sz w:val="24"/>
                <w:szCs w:val="24"/>
                <w:lang w:val="en-US" w:eastAsia="zh-CN"/>
              </w:rPr>
            </w:pPr>
          </w:p>
          <w:p w14:paraId="767C3D96">
            <w:pPr>
              <w:spacing w:line="360" w:lineRule="auto"/>
              <w:ind w:firstLine="0" w:firstLineChars="0"/>
              <w:jc w:val="center"/>
              <w:rPr>
                <w:rFonts w:hint="eastAsia" w:ascii="仿宋" w:hAnsi="仿宋" w:eastAsia="仿宋" w:cs="仿宋"/>
                <w:color w:val="auto"/>
                <w:sz w:val="24"/>
                <w:szCs w:val="24"/>
                <w:lang w:val="en-US" w:eastAsia="zh-CN"/>
              </w:rPr>
            </w:pPr>
          </w:p>
          <w:p w14:paraId="46C80E1F">
            <w:pPr>
              <w:spacing w:line="360" w:lineRule="auto"/>
              <w:ind w:firstLine="0" w:firstLineChars="0"/>
              <w:jc w:val="center"/>
              <w:rPr>
                <w:rFonts w:hint="eastAsia" w:ascii="仿宋" w:hAnsi="仿宋" w:eastAsia="仿宋" w:cs="仿宋"/>
                <w:color w:val="auto"/>
                <w:sz w:val="24"/>
                <w:szCs w:val="24"/>
                <w:lang w:val="en-US" w:eastAsia="zh-CN"/>
              </w:rPr>
            </w:pPr>
          </w:p>
          <w:p w14:paraId="0A9034A5">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符合性评审</w:t>
            </w:r>
          </w:p>
        </w:tc>
        <w:tc>
          <w:tcPr>
            <w:tcW w:w="2076" w:type="dxa"/>
            <w:vAlign w:val="center"/>
          </w:tcPr>
          <w:p w14:paraId="44ABAC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响应供应商名称</w:t>
            </w:r>
          </w:p>
        </w:tc>
        <w:tc>
          <w:tcPr>
            <w:tcW w:w="6219" w:type="dxa"/>
            <w:vAlign w:val="center"/>
          </w:tcPr>
          <w:p w14:paraId="594EA9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与营业执照等材料一致；</w:t>
            </w:r>
          </w:p>
        </w:tc>
      </w:tr>
      <w:tr w14:paraId="01E8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24" w:type="dxa"/>
            <w:vMerge w:val="continue"/>
            <w:vAlign w:val="center"/>
          </w:tcPr>
          <w:p w14:paraId="3C509812">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w:t>
            </w:r>
          </w:p>
        </w:tc>
        <w:tc>
          <w:tcPr>
            <w:tcW w:w="2076" w:type="dxa"/>
            <w:shd w:val="clear" w:color="auto" w:fill="auto"/>
            <w:vAlign w:val="center"/>
          </w:tcPr>
          <w:p w14:paraId="70D12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响应报价</w:t>
            </w:r>
          </w:p>
        </w:tc>
        <w:tc>
          <w:tcPr>
            <w:tcW w:w="6219" w:type="dxa"/>
            <w:shd w:val="clear" w:color="auto" w:fill="auto"/>
            <w:vAlign w:val="center"/>
          </w:tcPr>
          <w:p w14:paraId="4FEB45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响应报价未超过竞争性磋商文件中的最高投标限价；</w:t>
            </w:r>
          </w:p>
        </w:tc>
      </w:tr>
      <w:tr w14:paraId="3803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24" w:type="dxa"/>
            <w:vMerge w:val="continue"/>
            <w:vAlign w:val="center"/>
          </w:tcPr>
          <w:p w14:paraId="422FD25B">
            <w:pPr>
              <w:spacing w:line="360" w:lineRule="auto"/>
              <w:ind w:firstLine="0" w:firstLineChars="0"/>
              <w:rPr>
                <w:rFonts w:hint="eastAsia" w:ascii="仿宋" w:hAnsi="仿宋" w:eastAsia="仿宋" w:cs="仿宋"/>
                <w:color w:val="auto"/>
                <w:sz w:val="24"/>
                <w:szCs w:val="24"/>
                <w:lang w:val="en-US" w:eastAsia="zh-CN"/>
              </w:rPr>
            </w:pPr>
          </w:p>
        </w:tc>
        <w:tc>
          <w:tcPr>
            <w:tcW w:w="2076" w:type="dxa"/>
            <w:shd w:val="clear" w:color="auto" w:fill="auto"/>
            <w:vAlign w:val="center"/>
          </w:tcPr>
          <w:p w14:paraId="23A4E1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报价唯一性</w:t>
            </w:r>
          </w:p>
        </w:tc>
        <w:tc>
          <w:tcPr>
            <w:tcW w:w="6219" w:type="dxa"/>
            <w:shd w:val="clear" w:color="auto" w:fill="auto"/>
            <w:vAlign w:val="center"/>
          </w:tcPr>
          <w:p w14:paraId="416732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响应文件未出现可选择性或可调整的报价；</w:t>
            </w:r>
          </w:p>
        </w:tc>
      </w:tr>
      <w:tr w14:paraId="4850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24" w:type="dxa"/>
            <w:vMerge w:val="continue"/>
            <w:vAlign w:val="center"/>
          </w:tcPr>
          <w:p w14:paraId="1CE701B7">
            <w:pPr>
              <w:spacing w:line="360" w:lineRule="auto"/>
              <w:ind w:firstLine="0" w:firstLineChars="0"/>
              <w:rPr>
                <w:rFonts w:hint="eastAsia" w:ascii="仿宋" w:hAnsi="仿宋" w:eastAsia="仿宋" w:cs="仿宋"/>
                <w:color w:val="auto"/>
                <w:sz w:val="24"/>
                <w:szCs w:val="24"/>
                <w:lang w:val="en-US" w:eastAsia="zh-CN"/>
              </w:rPr>
            </w:pPr>
          </w:p>
        </w:tc>
        <w:tc>
          <w:tcPr>
            <w:tcW w:w="2076" w:type="dxa"/>
            <w:shd w:val="clear" w:color="auto" w:fill="auto"/>
            <w:vAlign w:val="center"/>
          </w:tcPr>
          <w:p w14:paraId="537ED0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报价合理性</w:t>
            </w:r>
          </w:p>
        </w:tc>
        <w:tc>
          <w:tcPr>
            <w:tcW w:w="6219" w:type="dxa"/>
            <w:shd w:val="clear" w:color="auto" w:fill="auto"/>
            <w:vAlign w:val="center"/>
          </w:tcPr>
          <w:p w14:paraId="36C99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报价合理；响应供应商的报价明显低于其他通过符合性审查响应供应商的报价，有可能影响产品质量或者不能诚信履约的，能够应竞争性磋商小组要求在规定时间内证明其报价合理性的；</w:t>
            </w:r>
          </w:p>
        </w:tc>
      </w:tr>
      <w:tr w14:paraId="4063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24" w:type="dxa"/>
            <w:vMerge w:val="continue"/>
            <w:vAlign w:val="center"/>
          </w:tcPr>
          <w:p w14:paraId="401598F0">
            <w:pPr>
              <w:spacing w:line="360" w:lineRule="auto"/>
              <w:ind w:firstLine="0" w:firstLineChars="0"/>
              <w:rPr>
                <w:rFonts w:hint="eastAsia" w:ascii="仿宋" w:hAnsi="仿宋" w:eastAsia="仿宋" w:cs="仿宋"/>
                <w:color w:val="auto"/>
                <w:sz w:val="24"/>
                <w:szCs w:val="24"/>
                <w:lang w:val="en-US" w:eastAsia="zh-CN"/>
              </w:rPr>
            </w:pPr>
          </w:p>
        </w:tc>
        <w:tc>
          <w:tcPr>
            <w:tcW w:w="2076" w:type="dxa"/>
            <w:shd w:val="clear" w:color="auto" w:fill="auto"/>
            <w:vAlign w:val="center"/>
          </w:tcPr>
          <w:p w14:paraId="60DBC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服务范围</w:t>
            </w:r>
          </w:p>
        </w:tc>
        <w:tc>
          <w:tcPr>
            <w:tcW w:w="6219" w:type="dxa"/>
            <w:shd w:val="clear" w:color="auto" w:fill="auto"/>
            <w:vAlign w:val="center"/>
          </w:tcPr>
          <w:p w14:paraId="4F0B6C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符合竞争性磋商文件要求；</w:t>
            </w:r>
          </w:p>
        </w:tc>
      </w:tr>
      <w:tr w14:paraId="3BD1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24" w:type="dxa"/>
            <w:vMerge w:val="continue"/>
            <w:vAlign w:val="center"/>
          </w:tcPr>
          <w:p w14:paraId="7A5FDA65">
            <w:pPr>
              <w:spacing w:line="360" w:lineRule="auto"/>
              <w:ind w:firstLine="0" w:firstLineChars="0"/>
              <w:rPr>
                <w:rFonts w:hint="eastAsia" w:ascii="仿宋" w:hAnsi="仿宋" w:eastAsia="仿宋" w:cs="仿宋"/>
                <w:color w:val="auto"/>
                <w:sz w:val="24"/>
                <w:szCs w:val="24"/>
                <w:lang w:val="en-US" w:eastAsia="zh-CN"/>
              </w:rPr>
            </w:pPr>
          </w:p>
        </w:tc>
        <w:tc>
          <w:tcPr>
            <w:tcW w:w="2076" w:type="dxa"/>
            <w:vAlign w:val="center"/>
          </w:tcPr>
          <w:p w14:paraId="071C8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编制周期</w:t>
            </w:r>
          </w:p>
        </w:tc>
        <w:tc>
          <w:tcPr>
            <w:tcW w:w="6219" w:type="dxa"/>
            <w:vAlign w:val="center"/>
          </w:tcPr>
          <w:p w14:paraId="4C4D2E0D">
            <w:pPr>
              <w:pStyle w:val="85"/>
              <w:spacing w:before="36" w:line="360" w:lineRule="auto"/>
              <w:ind w:right="106"/>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符合竞争性磋商文件要求；合同签订之日起7日内完成。</w:t>
            </w:r>
          </w:p>
        </w:tc>
      </w:tr>
      <w:tr w14:paraId="3C86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24" w:type="dxa"/>
            <w:vMerge w:val="continue"/>
            <w:vAlign w:val="center"/>
          </w:tcPr>
          <w:p w14:paraId="09CAA475">
            <w:pPr>
              <w:spacing w:line="360" w:lineRule="auto"/>
              <w:ind w:firstLine="0" w:firstLineChars="0"/>
              <w:rPr>
                <w:rFonts w:hint="eastAsia" w:ascii="仿宋" w:hAnsi="仿宋" w:eastAsia="仿宋" w:cs="仿宋"/>
                <w:color w:val="auto"/>
                <w:sz w:val="24"/>
                <w:szCs w:val="24"/>
                <w:lang w:val="en-US" w:eastAsia="zh-CN"/>
              </w:rPr>
            </w:pPr>
          </w:p>
        </w:tc>
        <w:tc>
          <w:tcPr>
            <w:tcW w:w="2076" w:type="dxa"/>
            <w:vAlign w:val="center"/>
          </w:tcPr>
          <w:p w14:paraId="121478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质量标准</w:t>
            </w:r>
          </w:p>
        </w:tc>
        <w:tc>
          <w:tcPr>
            <w:tcW w:w="6219" w:type="dxa"/>
            <w:vAlign w:val="center"/>
          </w:tcPr>
          <w:p w14:paraId="5A5D60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满足国家和地方相关技术规范和标准要求；</w:t>
            </w:r>
          </w:p>
        </w:tc>
      </w:tr>
      <w:tr w14:paraId="0DDC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24" w:type="dxa"/>
            <w:vMerge w:val="continue"/>
            <w:vAlign w:val="center"/>
          </w:tcPr>
          <w:p w14:paraId="3B9C5827">
            <w:pPr>
              <w:spacing w:line="360" w:lineRule="auto"/>
              <w:ind w:firstLine="0" w:firstLineChars="0"/>
              <w:rPr>
                <w:rFonts w:hint="eastAsia" w:ascii="仿宋" w:hAnsi="仿宋" w:eastAsia="仿宋" w:cs="仿宋"/>
                <w:color w:val="auto"/>
                <w:sz w:val="24"/>
                <w:szCs w:val="24"/>
                <w:lang w:val="en-US" w:eastAsia="zh-CN"/>
              </w:rPr>
            </w:pPr>
          </w:p>
        </w:tc>
        <w:tc>
          <w:tcPr>
            <w:tcW w:w="2076" w:type="dxa"/>
            <w:vAlign w:val="center"/>
          </w:tcPr>
          <w:p w14:paraId="1F7AB3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项目管理班组</w:t>
            </w:r>
          </w:p>
        </w:tc>
        <w:tc>
          <w:tcPr>
            <w:tcW w:w="6219" w:type="dxa"/>
            <w:vAlign w:val="center"/>
          </w:tcPr>
          <w:p w14:paraId="2B41AD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项目管理班组成员除项目负责人外不少于四人并提供相应证明材料且在有效期内，及响应文件递交截止日期之前六个月内任意一个月的班组成员由社保局出具的社保证明。</w:t>
            </w:r>
          </w:p>
        </w:tc>
      </w:tr>
      <w:tr w14:paraId="3037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14:paraId="72AB260B">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w:t>
            </w:r>
          </w:p>
        </w:tc>
        <w:tc>
          <w:tcPr>
            <w:tcW w:w="2076" w:type="dxa"/>
            <w:vAlign w:val="center"/>
          </w:tcPr>
          <w:p w14:paraId="22E21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响应有效期</w:t>
            </w:r>
          </w:p>
        </w:tc>
        <w:tc>
          <w:tcPr>
            <w:tcW w:w="6219" w:type="dxa"/>
            <w:vAlign w:val="center"/>
          </w:tcPr>
          <w:p w14:paraId="743C83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响应文件中承诺的响应有效期满足竞争性磋商文件中载明的响应有效期（60天）；</w:t>
            </w:r>
          </w:p>
        </w:tc>
      </w:tr>
      <w:tr w14:paraId="4530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24" w:type="dxa"/>
            <w:vMerge w:val="continue"/>
            <w:vAlign w:val="center"/>
          </w:tcPr>
          <w:p w14:paraId="7468B829">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w:t>
            </w:r>
          </w:p>
        </w:tc>
        <w:tc>
          <w:tcPr>
            <w:tcW w:w="2076" w:type="dxa"/>
            <w:vAlign w:val="center"/>
          </w:tcPr>
          <w:p w14:paraId="7D211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签署、盖章</w:t>
            </w:r>
          </w:p>
        </w:tc>
        <w:tc>
          <w:tcPr>
            <w:tcW w:w="6219" w:type="dxa"/>
            <w:vAlign w:val="center"/>
          </w:tcPr>
          <w:p w14:paraId="26449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按照竞争性磋商文件要求签署、盖章的；</w:t>
            </w:r>
          </w:p>
        </w:tc>
      </w:tr>
      <w:tr w14:paraId="3957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24" w:type="dxa"/>
            <w:vMerge w:val="continue"/>
            <w:vAlign w:val="center"/>
          </w:tcPr>
          <w:p w14:paraId="05734F7E">
            <w:pPr>
              <w:spacing w:line="360" w:lineRule="auto"/>
              <w:ind w:firstLine="0" w:firstLineChars="0"/>
              <w:rPr>
                <w:rFonts w:hint="eastAsia" w:ascii="仿宋" w:hAnsi="仿宋" w:eastAsia="仿宋" w:cs="仿宋"/>
                <w:color w:val="auto"/>
                <w:sz w:val="24"/>
                <w:szCs w:val="24"/>
                <w:lang w:val="en-US" w:eastAsia="zh-CN"/>
              </w:rPr>
            </w:pPr>
          </w:p>
        </w:tc>
        <w:tc>
          <w:tcPr>
            <w:tcW w:w="2076" w:type="dxa"/>
            <w:vAlign w:val="center"/>
          </w:tcPr>
          <w:p w14:paraId="342A9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实质性要求</w:t>
            </w:r>
          </w:p>
        </w:tc>
        <w:tc>
          <w:tcPr>
            <w:tcW w:w="6219" w:type="dxa"/>
            <w:vAlign w:val="center"/>
          </w:tcPr>
          <w:p w14:paraId="227E8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符合竞争性磋商文件中规定的其他实质性要求；</w:t>
            </w:r>
          </w:p>
        </w:tc>
      </w:tr>
      <w:tr w14:paraId="1543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24" w:type="dxa"/>
            <w:vMerge w:val="continue"/>
            <w:vAlign w:val="center"/>
          </w:tcPr>
          <w:p w14:paraId="7A6FCF34">
            <w:pPr>
              <w:spacing w:line="360" w:lineRule="auto"/>
              <w:ind w:firstLine="0" w:firstLineChars="0"/>
              <w:rPr>
                <w:rFonts w:hint="eastAsia" w:ascii="仿宋" w:hAnsi="仿宋" w:eastAsia="仿宋" w:cs="仿宋"/>
                <w:color w:val="auto"/>
                <w:sz w:val="24"/>
                <w:szCs w:val="24"/>
                <w:lang w:val="en-US" w:eastAsia="zh-CN"/>
              </w:rPr>
            </w:pPr>
          </w:p>
        </w:tc>
        <w:tc>
          <w:tcPr>
            <w:tcW w:w="2076" w:type="dxa"/>
            <w:vAlign w:val="center"/>
          </w:tcPr>
          <w:p w14:paraId="216213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禁止投标的情形</w:t>
            </w:r>
          </w:p>
        </w:tc>
        <w:tc>
          <w:tcPr>
            <w:tcW w:w="6219" w:type="dxa"/>
            <w:vAlign w:val="center"/>
          </w:tcPr>
          <w:p w14:paraId="6B014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不存在竞争性磋商文件和法律法规禁止投标的情形</w:t>
            </w:r>
          </w:p>
        </w:tc>
      </w:tr>
      <w:tr w14:paraId="021B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4" w:type="dxa"/>
            <w:vMerge w:val="continue"/>
            <w:vAlign w:val="center"/>
          </w:tcPr>
          <w:p w14:paraId="3868B22C">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w:t>
            </w:r>
          </w:p>
        </w:tc>
        <w:tc>
          <w:tcPr>
            <w:tcW w:w="2076" w:type="dxa"/>
            <w:vAlign w:val="center"/>
          </w:tcPr>
          <w:p w14:paraId="4FD8F3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附加条件</w:t>
            </w:r>
          </w:p>
        </w:tc>
        <w:tc>
          <w:tcPr>
            <w:tcW w:w="6219" w:type="dxa"/>
            <w:vAlign w:val="center"/>
          </w:tcPr>
          <w:p w14:paraId="62E4D0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响应文件未含有采购人不能接受的附加条件的；</w:t>
            </w:r>
          </w:p>
        </w:tc>
      </w:tr>
      <w:bookmarkEnd w:id="29"/>
    </w:tbl>
    <w:p w14:paraId="50F6F7A3">
      <w:pPr>
        <w:spacing w:line="360" w:lineRule="auto"/>
        <w:ind w:firstLine="470" w:firstLineChars="196"/>
        <w:rPr>
          <w:rFonts w:hint="eastAsia" w:ascii="仿宋" w:hAnsi="仿宋" w:eastAsia="仿宋" w:cs="仿宋"/>
          <w:color w:val="auto"/>
          <w:sz w:val="24"/>
          <w:szCs w:val="24"/>
        </w:rPr>
      </w:pPr>
    </w:p>
    <w:p w14:paraId="00D6AD8A">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对通过以上审查的响应文件进行评估，确定与各供应商磋商的具体内容</w:t>
      </w:r>
      <w:r>
        <w:rPr>
          <w:rFonts w:hint="eastAsia" w:ascii="仿宋" w:hAnsi="仿宋" w:eastAsia="仿宋" w:cs="仿宋"/>
          <w:color w:val="auto"/>
          <w:sz w:val="24"/>
          <w:szCs w:val="24"/>
          <w:lang w:eastAsia="zh-CN"/>
        </w:rPr>
        <w:t>。</w:t>
      </w:r>
    </w:p>
    <w:p w14:paraId="099A7DA7">
      <w:pPr>
        <w:keepNext w:val="0"/>
        <w:keepLines w:val="0"/>
        <w:widowControl/>
        <w:suppressLineNumbers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3、围绕磋商要点，</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全体成员按照各供应商签到顺序集中与单一供应商分别进行磋商</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eastAsia="zh-CN"/>
        </w:rPr>
        <w:t>原则上只进行两轮磋商，但竞争性磋商小组认为必要时可继续进行磋商</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lang w:val="en-US" w:eastAsia="zh-CN" w:bidi="ar"/>
        </w:rPr>
        <w:t>磋商时，供应商代表在政采云开评标系统中及时参加磋商。供应商人员必须及时解释和澄清响应文件内容及重新做出承诺，并以书面的形式签署确定等，后一轮磋商的价格、服务承诺及优惠条件等必须优于或等于前一轮磋商的价格、服务承诺及优惠条件等。</w:t>
      </w:r>
    </w:p>
    <w:p w14:paraId="588BBF0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4、实质性变动</w:t>
      </w:r>
    </w:p>
    <w:p w14:paraId="293B4EC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磋商过程中，</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可以根据竞争性磋商文件和磋商情况实质性变动采购需求中的技术、服务要求以及合同草案条款，但不得变动竞争性磋商文件中的其他内容。实质性变动的内容，须经采购人代表确认，并以书面形式同时通知所有参加磋商的供应商。该变动是竞争性磋商文件的有效组成部分。</w:t>
      </w:r>
    </w:p>
    <w:p w14:paraId="487F5B4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磋商供应商按照竞争性磋商文件的变动情况和</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的要求，在规定的时间内以书面形式作出响应，并由其法定代表人或授权代表签字或者加盖公章。</w:t>
      </w:r>
    </w:p>
    <w:p w14:paraId="20EE6BF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未按要求作出响应的响应文件，将视为无效投标。</w:t>
      </w:r>
    </w:p>
    <w:p w14:paraId="61728A6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5、最后报价</w:t>
      </w:r>
    </w:p>
    <w:p w14:paraId="7B36A3C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磋商结束后，</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将要求实质性响应竞争性磋商文件的磋商供应商在规定时间内提交最后报价。在规定的时间内，没有提交最后报价的磋商供应商，视为退出磋商。未通过实质性响应的磋商供应商将不再进行最后报价。</w:t>
      </w:r>
    </w:p>
    <w:p w14:paraId="4F420865">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已提交响应文件的供应商，在提交最后报价之前，可以根据磋商情况退出磋商。其磋商保证金与未列为成交供应商的磋商保证金一同退还。</w:t>
      </w:r>
    </w:p>
    <w:p w14:paraId="29794D9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经磋商确定最终采购需求和提交最后报价的供应商后，由</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结合本竞争性磋商文件规定的政府采购政策进行的价格扣除及综合评分法对提交最后报价的供应商的响应文件和最后报价进行综合评分。</w:t>
      </w:r>
    </w:p>
    <w:bookmarkEnd w:id="30"/>
    <w:p w14:paraId="63605949">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二、评审方法和标准</w:t>
      </w:r>
    </w:p>
    <w:p w14:paraId="1AD61E48">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（一）、评审方法</w:t>
      </w:r>
    </w:p>
    <w:p w14:paraId="5361D6A9">
      <w:pPr>
        <w:spacing w:line="360" w:lineRule="auto"/>
        <w:ind w:firstLine="480" w:firstLineChars="200"/>
        <w:rPr>
          <w:rFonts w:hint="eastAsia" w:ascii="仿宋" w:hAnsi="仿宋" w:eastAsia="仿宋" w:cs="仿宋"/>
          <w:color w:val="auto"/>
          <w:sz w:val="24"/>
          <w:szCs w:val="24"/>
        </w:rPr>
      </w:pPr>
      <w:bookmarkStart w:id="31" w:name="_Hlk39664001"/>
      <w:r>
        <w:rPr>
          <w:rFonts w:hint="eastAsia" w:ascii="仿宋" w:hAnsi="仿宋" w:eastAsia="仿宋" w:cs="仿宋"/>
          <w:color w:val="auto"/>
          <w:sz w:val="24"/>
          <w:szCs w:val="24"/>
        </w:rPr>
        <w:t>1、本项目采用综合评分法，总分100分。综合评分法是指响应文件满足竞争性磋商文件全部实质性要求且按评审因素的量化指标评审得分由高到底的顺序推荐</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名供应商为成交候选供应商。</w:t>
      </w:r>
    </w:p>
    <w:p w14:paraId="1F76353D">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按照竞争性磋商文件的要求和条件，根据各磋商供应商的技术、商务、价格、对竞争性磋商文件的响应程度等进行综合评价、评分，将评审总得分按照从高到低的顺序排列，并依此顺序推荐</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名成交候选供应商。</w:t>
      </w:r>
    </w:p>
    <w:bookmarkEnd w:id="31"/>
    <w:p w14:paraId="2402664C">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3、例外情况</w:t>
      </w:r>
    </w:p>
    <w:p w14:paraId="47E407F6">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评审总得分相同的，按最后报价由低到高的顺序排序；评审总得分及最后报价均相同的，按技术部分得分由高到低排序；依然相同的，由</w:t>
      </w:r>
      <w:r>
        <w:rPr>
          <w:rFonts w:hint="eastAsia" w:ascii="仿宋" w:hAnsi="仿宋" w:eastAsia="仿宋" w:cs="仿宋"/>
          <w:b/>
          <w:bCs/>
          <w:color w:val="auto"/>
          <w:sz w:val="24"/>
          <w:szCs w:val="24"/>
          <w:lang w:eastAsia="zh-CN"/>
        </w:rPr>
        <w:t>采购人根据项目实际情况</w:t>
      </w:r>
      <w:r>
        <w:rPr>
          <w:rFonts w:hint="eastAsia" w:ascii="仿宋" w:hAnsi="仿宋" w:eastAsia="仿宋" w:cs="仿宋"/>
          <w:b/>
          <w:bCs/>
          <w:color w:val="auto"/>
          <w:sz w:val="24"/>
          <w:szCs w:val="24"/>
        </w:rPr>
        <w:t>确定顺序</w:t>
      </w:r>
      <w:r>
        <w:rPr>
          <w:rFonts w:hint="eastAsia" w:ascii="仿宋" w:hAnsi="仿宋" w:eastAsia="仿宋" w:cs="仿宋"/>
          <w:b/>
          <w:bCs/>
          <w:color w:val="auto"/>
          <w:sz w:val="24"/>
          <w:szCs w:val="24"/>
          <w:lang w:val="en-US" w:eastAsia="zh-CN"/>
        </w:rPr>
        <w:t>或竞争性磋商小组现场通过随机抽取的方式确定顺序</w:t>
      </w:r>
      <w:r>
        <w:rPr>
          <w:rFonts w:hint="eastAsia" w:ascii="仿宋" w:hAnsi="仿宋" w:eastAsia="仿宋" w:cs="仿宋"/>
          <w:b/>
          <w:bCs/>
          <w:color w:val="auto"/>
          <w:sz w:val="24"/>
          <w:szCs w:val="24"/>
        </w:rPr>
        <w:t>。</w:t>
      </w:r>
    </w:p>
    <w:p w14:paraId="2C9EF96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竞争性磋商小组按本章（二）评审标准规定的量化因素和分值进行打分，并计算出综合评审得分。</w:t>
      </w:r>
    </w:p>
    <w:p w14:paraId="0C732C24">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（二）评审标准</w:t>
      </w:r>
      <w:r>
        <w:rPr>
          <w:rFonts w:hint="eastAsia" w:ascii="仿宋" w:hAnsi="仿宋" w:eastAsia="仿宋" w:cs="仿宋"/>
          <w:color w:val="auto"/>
          <w:sz w:val="24"/>
          <w:szCs w:val="24"/>
        </w:rPr>
        <w:t>（数值计算结果均保留两位小数，第三位四舍五入）</w:t>
      </w:r>
    </w:p>
    <w:p w14:paraId="638A7FA0">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1、评审分值分布(满分100分)</w:t>
      </w:r>
    </w:p>
    <w:p w14:paraId="3244F74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部分（</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14:paraId="7B4152F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商务</w:t>
      </w:r>
      <w:r>
        <w:rPr>
          <w:rFonts w:hint="eastAsia" w:ascii="仿宋" w:hAnsi="仿宋" w:eastAsia="仿宋" w:cs="仿宋"/>
          <w:color w:val="auto"/>
          <w:sz w:val="24"/>
          <w:szCs w:val="24"/>
        </w:rPr>
        <w:t>技术部分（</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分）</w:t>
      </w:r>
    </w:p>
    <w:p w14:paraId="4CF8931D">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2、评审标准</w:t>
      </w:r>
    </w:p>
    <w:p w14:paraId="06DB0293">
      <w:pPr>
        <w:spacing w:line="360" w:lineRule="auto"/>
        <w:ind w:firstLine="480" w:firstLineChars="200"/>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rPr>
        <w:t>2.1</w:t>
      </w:r>
      <w:r>
        <w:rPr>
          <w:rFonts w:hint="eastAsia" w:ascii="仿宋" w:hAnsi="仿宋" w:eastAsia="仿宋" w:cs="仿宋"/>
          <w:color w:val="auto"/>
          <w:sz w:val="24"/>
          <w:szCs w:val="24"/>
          <w:highlight w:val="white"/>
          <w:lang w:eastAsia="zh-CN"/>
        </w:rPr>
        <w:t>报价</w:t>
      </w:r>
      <w:r>
        <w:rPr>
          <w:rFonts w:hint="eastAsia" w:ascii="仿宋" w:hAnsi="仿宋" w:eastAsia="仿宋" w:cs="仿宋"/>
          <w:color w:val="auto"/>
          <w:sz w:val="24"/>
          <w:szCs w:val="24"/>
          <w:highlight w:val="white"/>
        </w:rPr>
        <w:t>内容及标准（</w:t>
      </w:r>
      <w:r>
        <w:rPr>
          <w:rFonts w:hint="eastAsia" w:ascii="仿宋" w:hAnsi="仿宋" w:eastAsia="仿宋" w:cs="仿宋"/>
          <w:color w:val="auto"/>
          <w:sz w:val="24"/>
          <w:szCs w:val="24"/>
          <w:highlight w:val="white"/>
          <w:lang w:val="en-US" w:eastAsia="zh-CN"/>
        </w:rPr>
        <w:t>10</w:t>
      </w:r>
      <w:r>
        <w:rPr>
          <w:rFonts w:hint="eastAsia" w:ascii="仿宋" w:hAnsi="仿宋" w:eastAsia="仿宋" w:cs="仿宋"/>
          <w:color w:val="auto"/>
          <w:sz w:val="24"/>
          <w:szCs w:val="24"/>
          <w:highlight w:val="white"/>
        </w:rPr>
        <w:t>分）</w:t>
      </w:r>
    </w:p>
    <w:tbl>
      <w:tblPr>
        <w:tblStyle w:val="34"/>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735"/>
        <w:gridCol w:w="944"/>
        <w:gridCol w:w="6862"/>
      </w:tblGrid>
      <w:tr w14:paraId="01A78D3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1735" w:type="dxa"/>
            <w:tcBorders>
              <w:top w:val="outset" w:color="auto" w:sz="6" w:space="0"/>
              <w:left w:val="outset" w:color="auto" w:sz="6" w:space="0"/>
              <w:bottom w:val="outset" w:color="auto" w:sz="6" w:space="0"/>
              <w:right w:val="outset" w:color="auto" w:sz="6" w:space="0"/>
            </w:tcBorders>
            <w:vAlign w:val="center"/>
          </w:tcPr>
          <w:p w14:paraId="4CF415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评审项目</w:t>
            </w:r>
          </w:p>
        </w:tc>
        <w:tc>
          <w:tcPr>
            <w:tcW w:w="944" w:type="dxa"/>
            <w:tcBorders>
              <w:top w:val="outset" w:color="auto" w:sz="6" w:space="0"/>
              <w:left w:val="outset" w:color="auto" w:sz="6" w:space="0"/>
              <w:bottom w:val="outset" w:color="auto" w:sz="6" w:space="0"/>
              <w:right w:val="outset" w:color="auto" w:sz="6" w:space="0"/>
            </w:tcBorders>
            <w:vAlign w:val="center"/>
          </w:tcPr>
          <w:p w14:paraId="1A4F6F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分值</w:t>
            </w:r>
          </w:p>
        </w:tc>
        <w:tc>
          <w:tcPr>
            <w:tcW w:w="6862" w:type="dxa"/>
            <w:tcBorders>
              <w:top w:val="outset" w:color="auto" w:sz="6" w:space="0"/>
              <w:left w:val="outset" w:color="auto" w:sz="6" w:space="0"/>
              <w:bottom w:val="outset" w:color="auto" w:sz="6" w:space="0"/>
              <w:right w:val="outset" w:color="auto" w:sz="6" w:space="0"/>
            </w:tcBorders>
            <w:vAlign w:val="center"/>
          </w:tcPr>
          <w:p w14:paraId="0BA98A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依据</w:t>
            </w:r>
          </w:p>
        </w:tc>
      </w:tr>
      <w:tr w14:paraId="68B24F0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35" w:type="dxa"/>
            <w:tcBorders>
              <w:top w:val="outset" w:color="auto" w:sz="6" w:space="0"/>
              <w:left w:val="outset" w:color="auto" w:sz="6" w:space="0"/>
              <w:bottom w:val="outset" w:color="auto" w:sz="6" w:space="0"/>
              <w:right w:val="outset" w:color="auto" w:sz="6" w:space="0"/>
            </w:tcBorders>
            <w:vAlign w:val="center"/>
          </w:tcPr>
          <w:p w14:paraId="48BED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w:t>
            </w:r>
          </w:p>
          <w:p w14:paraId="47C1FD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highlight w:val="none"/>
                <w:lang w:val="en-US" w:eastAsia="zh-CN" w:bidi="ar-SA"/>
              </w:rPr>
            </w:pPr>
          </w:p>
        </w:tc>
        <w:tc>
          <w:tcPr>
            <w:tcW w:w="944" w:type="dxa"/>
            <w:tcBorders>
              <w:top w:val="outset" w:color="auto" w:sz="6" w:space="0"/>
              <w:left w:val="outset" w:color="auto" w:sz="6" w:space="0"/>
              <w:bottom w:val="outset" w:color="auto" w:sz="6" w:space="0"/>
              <w:right w:val="outset" w:color="auto" w:sz="6" w:space="0"/>
            </w:tcBorders>
            <w:vAlign w:val="center"/>
          </w:tcPr>
          <w:p w14:paraId="46D09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6862" w:type="dxa"/>
            <w:tcBorders>
              <w:top w:val="outset" w:color="auto" w:sz="6" w:space="0"/>
              <w:left w:val="outset" w:color="auto" w:sz="6" w:space="0"/>
              <w:bottom w:val="outset" w:color="auto" w:sz="6" w:space="0"/>
              <w:right w:val="outset" w:color="auto" w:sz="6" w:space="0"/>
            </w:tcBorders>
            <w:vAlign w:val="center"/>
          </w:tcPr>
          <w:p w14:paraId="7BEC0E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（1）价格分应当采用低价优先法计算，即满足竞争性磋商采购文件要求且投标价格最低的响应报价为评标基准价，其价格分为满分。其他响应供应商的价格分统一按照下列公式计算：</w:t>
            </w:r>
          </w:p>
          <w:p w14:paraId="3DFD23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（2）响应报价得分＝(评标基准价／响应报价）*100*10% </w:t>
            </w:r>
          </w:p>
          <w:p w14:paraId="2A674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（3）评标过程中，不得去掉报价中的最高报价和最低报价。</w:t>
            </w:r>
          </w:p>
          <w:p w14:paraId="6BF187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竞争性磋商小组认为响应供应商的报价明显低于其他通过符合性审查响应供应商的报价，有可能影响服务质量或者不能诚信履约的，应当要求其在评标现场合理的时间内提供书面说明，必要时提交相关证明材料；响应供应商不能证明其报价合理性的，竞争性磋商小组应当将其作为无效投标处理。</w:t>
            </w:r>
          </w:p>
          <w:p w14:paraId="515EC6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（5）①非专门面向中小企业预留项目，</w:t>
            </w:r>
            <w:r>
              <w:rPr>
                <w:rFonts w:hint="eastAsia" w:ascii="仿宋" w:hAnsi="仿宋" w:eastAsia="仿宋" w:cs="仿宋"/>
                <w:b w:val="0"/>
                <w:bCs w:val="0"/>
                <w:color w:val="auto"/>
                <w:kern w:val="2"/>
                <w:sz w:val="24"/>
                <w:szCs w:val="24"/>
                <w:highlight w:val="none"/>
                <w:lang w:val="en-US" w:eastAsia="zh-CN" w:bidi="ar-SA"/>
              </w:rPr>
              <w:t>提供小、微型企业生产的产品或服务的，给予10%的价格扣除，用扣除后的价格参与评审。</w:t>
            </w:r>
          </w:p>
          <w:p w14:paraId="311E9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②非专门面向中小企业预留项目，提供大中型企业生产的产品或服务的，不进行价格扣除。</w:t>
            </w:r>
          </w:p>
        </w:tc>
      </w:tr>
    </w:tbl>
    <w:p w14:paraId="3F400A00">
      <w:pPr>
        <w:spacing w:line="360" w:lineRule="auto"/>
        <w:ind w:firstLine="480" w:firstLineChars="200"/>
        <w:rPr>
          <w:rFonts w:hint="eastAsia" w:ascii="仿宋" w:hAnsi="仿宋" w:eastAsia="仿宋" w:cs="仿宋"/>
          <w:color w:val="auto"/>
          <w:sz w:val="24"/>
          <w:szCs w:val="24"/>
          <w:highlight w:val="none"/>
        </w:rPr>
      </w:pPr>
    </w:p>
    <w:p w14:paraId="4D2EF1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技术评审内容及标准（</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分）</w:t>
      </w:r>
    </w:p>
    <w:bookmarkEnd w:id="28"/>
    <w:tbl>
      <w:tblPr>
        <w:tblStyle w:val="35"/>
        <w:tblpPr w:leftFromText="180" w:rightFromText="180" w:vertAnchor="text" w:horzAnchor="page" w:tblpX="1090" w:tblpY="459"/>
        <w:tblOverlap w:val="never"/>
        <w:tblW w:w="57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767"/>
        <w:gridCol w:w="7230"/>
      </w:tblGrid>
      <w:tr w14:paraId="1393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498" w:type="pct"/>
            <w:vMerge w:val="restart"/>
            <w:noWrap w:val="0"/>
            <w:vAlign w:val="center"/>
          </w:tcPr>
          <w:p w14:paraId="0A3C4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商务技术评审</w:t>
            </w:r>
          </w:p>
          <w:p w14:paraId="25F7CF6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(90分)</w:t>
            </w:r>
          </w:p>
        </w:tc>
        <w:tc>
          <w:tcPr>
            <w:tcW w:w="884" w:type="pct"/>
            <w:noWrap w:val="0"/>
            <w:vAlign w:val="center"/>
          </w:tcPr>
          <w:p w14:paraId="0467759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类似业绩</w:t>
            </w:r>
          </w:p>
          <w:p w14:paraId="3EB8C54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3617" w:type="pct"/>
            <w:noWrap w:val="0"/>
            <w:vAlign w:val="center"/>
          </w:tcPr>
          <w:p w14:paraId="34CB7DCF">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供近三年(2022年11月-至今)的类似服务业绩，须提供中标通知书或合同扫描件(包含首页、金额及签字盖章页)加盖公章,以中标通知书发出时间/合同签订时间为准。每提供一项业绩得3分，最高得6分，不提供不得分。</w:t>
            </w:r>
            <w:r>
              <w:rPr>
                <w:rFonts w:hint="eastAsia" w:ascii="仿宋" w:hAnsi="仿宋" w:eastAsia="仿宋" w:cs="仿宋"/>
                <w:color w:val="auto"/>
                <w:kern w:val="2"/>
                <w:sz w:val="24"/>
                <w:szCs w:val="24"/>
                <w:lang w:val="en-US" w:eastAsia="zh-CN" w:bidi="ar-SA"/>
              </w:rPr>
              <w:t>（类似业绩：“国家或省、县级工程建设项目” 规划编制/方案编制/可行性研究报告）</w:t>
            </w:r>
            <w:r>
              <w:rPr>
                <w:rFonts w:hint="eastAsia" w:ascii="仿宋" w:hAnsi="仿宋" w:eastAsia="仿宋" w:cs="仿宋"/>
                <w:color w:val="auto"/>
                <w:sz w:val="24"/>
                <w:szCs w:val="24"/>
                <w:highlight w:val="none"/>
                <w:lang w:val="en-US" w:eastAsia="zh-CN"/>
              </w:rPr>
              <w:t>注:业绩证明材料需清晰可辨认。</w:t>
            </w:r>
          </w:p>
        </w:tc>
      </w:tr>
      <w:tr w14:paraId="5044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98" w:type="pct"/>
            <w:vMerge w:val="continue"/>
            <w:noWrap w:val="0"/>
            <w:vAlign w:val="center"/>
          </w:tcPr>
          <w:p w14:paraId="3619C49D">
            <w:pPr>
              <w:spacing w:line="360" w:lineRule="auto"/>
              <w:ind w:firstLine="480" w:firstLineChars="200"/>
              <w:rPr>
                <w:rFonts w:hint="eastAsia" w:ascii="仿宋" w:hAnsi="仿宋" w:eastAsia="仿宋" w:cs="仿宋"/>
                <w:color w:val="auto"/>
                <w:sz w:val="24"/>
                <w:szCs w:val="24"/>
                <w:highlight w:val="none"/>
                <w:lang w:val="en-US" w:eastAsia="zh-CN"/>
              </w:rPr>
            </w:pPr>
          </w:p>
        </w:tc>
        <w:tc>
          <w:tcPr>
            <w:tcW w:w="884" w:type="pct"/>
            <w:noWrap w:val="0"/>
            <w:vAlign w:val="center"/>
          </w:tcPr>
          <w:p w14:paraId="21E4062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w:t>
            </w:r>
          </w:p>
          <w:p w14:paraId="2AB381B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3617" w:type="pct"/>
            <w:noWrap w:val="0"/>
            <w:vAlign w:val="center"/>
          </w:tcPr>
          <w:p w14:paraId="1F1271CB">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本项目负责人具有注册咨询工程师证书得3分，不提供不得分。(须提供证明材料:提供人员相关证书、身份证及近六个月内任意一个月的社保缴纳凭证，未提供不得分。)</w:t>
            </w:r>
          </w:p>
        </w:tc>
      </w:tr>
      <w:tr w14:paraId="329B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498" w:type="pct"/>
            <w:vMerge w:val="continue"/>
            <w:noWrap w:val="0"/>
            <w:vAlign w:val="center"/>
          </w:tcPr>
          <w:p w14:paraId="1E807CFE">
            <w:pPr>
              <w:spacing w:line="360" w:lineRule="auto"/>
              <w:ind w:firstLine="480" w:firstLineChars="200"/>
              <w:rPr>
                <w:rFonts w:hint="eastAsia" w:ascii="仿宋" w:hAnsi="仿宋" w:eastAsia="仿宋" w:cs="仿宋"/>
                <w:color w:val="auto"/>
                <w:sz w:val="24"/>
                <w:szCs w:val="24"/>
                <w:highlight w:val="none"/>
                <w:lang w:val="en-US" w:eastAsia="zh-CN"/>
              </w:rPr>
            </w:pPr>
          </w:p>
        </w:tc>
        <w:tc>
          <w:tcPr>
            <w:tcW w:w="884" w:type="pct"/>
            <w:noWrap w:val="0"/>
            <w:vAlign w:val="center"/>
          </w:tcPr>
          <w:p w14:paraId="70297BF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项目实施方案</w:t>
            </w:r>
          </w:p>
          <w:p w14:paraId="449A86B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(25分)</w:t>
            </w:r>
          </w:p>
        </w:tc>
        <w:tc>
          <w:tcPr>
            <w:tcW w:w="3617" w:type="pct"/>
            <w:noWrap w:val="0"/>
            <w:vAlign w:val="center"/>
          </w:tcPr>
          <w:p w14:paraId="56F28A06">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实施方案包括但不限于:①对本项目的理解、②实施范围、③实施内容、④实施依据、⑤实施工作目标描述清晰;完整提供以上内容得25分，每缺少一项内容扣5分，每项内容中每有一处内容存在缺陷的扣2.5分，扣完为止，未提供不得分。</w:t>
            </w:r>
          </w:p>
          <w:p w14:paraId="13C1066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AB3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98" w:type="pct"/>
            <w:vMerge w:val="continue"/>
            <w:noWrap w:val="0"/>
            <w:vAlign w:val="center"/>
          </w:tcPr>
          <w:p w14:paraId="6FAAC62E">
            <w:pPr>
              <w:spacing w:line="360" w:lineRule="auto"/>
              <w:ind w:firstLine="480" w:firstLineChars="200"/>
              <w:rPr>
                <w:rFonts w:hint="eastAsia" w:ascii="仿宋" w:hAnsi="仿宋" w:eastAsia="仿宋" w:cs="仿宋"/>
                <w:color w:val="auto"/>
                <w:sz w:val="24"/>
                <w:szCs w:val="24"/>
                <w:highlight w:val="none"/>
                <w:lang w:val="en-US" w:eastAsia="zh-CN"/>
              </w:rPr>
            </w:pPr>
          </w:p>
        </w:tc>
        <w:tc>
          <w:tcPr>
            <w:tcW w:w="884" w:type="pct"/>
            <w:shd w:val="clear" w:color="auto" w:fill="auto"/>
            <w:noWrap w:val="0"/>
            <w:vAlign w:val="center"/>
          </w:tcPr>
          <w:p w14:paraId="0F18F45D">
            <w:p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工作进度计划</w:t>
            </w:r>
          </w:p>
          <w:p w14:paraId="1959036A">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(20分)</w:t>
            </w:r>
          </w:p>
        </w:tc>
        <w:tc>
          <w:tcPr>
            <w:tcW w:w="3617" w:type="pct"/>
            <w:shd w:val="clear" w:color="auto" w:fill="auto"/>
            <w:noWrap w:val="0"/>
            <w:vAlign w:val="center"/>
          </w:tcPr>
          <w:p w14:paraId="75217AD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的工作计划包括但不限于:①工作进度计划项目整体工作进度计划及任务划分、②明确项目阶段目标与关键节点、③健全的服务保障体系措施、④进度控制措施;完整提供以上内容得20分，每缺少一项内容扣5分，每项内容中每有一处内容存在缺陷的扣2.5分，扣完为止，未提供不得分。</w:t>
            </w:r>
          </w:p>
          <w:p w14:paraId="78063E60">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DBD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98" w:type="pct"/>
            <w:vMerge w:val="continue"/>
            <w:noWrap w:val="0"/>
            <w:vAlign w:val="center"/>
          </w:tcPr>
          <w:p w14:paraId="746499D4">
            <w:pPr>
              <w:spacing w:line="360" w:lineRule="auto"/>
              <w:ind w:firstLine="480" w:firstLineChars="200"/>
              <w:rPr>
                <w:rFonts w:hint="eastAsia" w:ascii="仿宋" w:hAnsi="仿宋" w:eastAsia="仿宋" w:cs="仿宋"/>
                <w:color w:val="auto"/>
                <w:sz w:val="24"/>
                <w:szCs w:val="24"/>
                <w:highlight w:val="none"/>
                <w:lang w:val="en-US" w:eastAsia="zh-CN"/>
              </w:rPr>
            </w:pPr>
          </w:p>
        </w:tc>
        <w:tc>
          <w:tcPr>
            <w:tcW w:w="884" w:type="pct"/>
            <w:shd w:val="clear" w:color="auto" w:fill="auto"/>
            <w:noWrap w:val="0"/>
            <w:vAlign w:val="center"/>
          </w:tcPr>
          <w:p w14:paraId="00248B6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质量保证措施</w:t>
            </w:r>
          </w:p>
          <w:p w14:paraId="41D6789A">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（20分）</w:t>
            </w:r>
          </w:p>
        </w:tc>
        <w:tc>
          <w:tcPr>
            <w:tcW w:w="3617" w:type="pct"/>
            <w:shd w:val="clear" w:color="auto" w:fill="auto"/>
            <w:noWrap w:val="0"/>
            <w:vAlign w:val="center"/>
          </w:tcPr>
          <w:p w14:paraId="4431A5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本项目供应商提供“事前-事中-事后”全流程质量保证措施，措施全面细致且合理，可操作性强;不限于①完整项目预期成果、②严密的保（bao）密（mi）措施、③成果质量审核机制、④重大问题沟通协调机制等。完整提供以上内容得20分，每缺少一项内容扣5分，每项内容中每有一处内容存在缺陷的扣2.5分，扣完为止，未提供不得分。</w:t>
            </w:r>
          </w:p>
          <w:p w14:paraId="5C15AE7A">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997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98" w:type="pct"/>
            <w:vMerge w:val="continue"/>
            <w:noWrap w:val="0"/>
            <w:vAlign w:val="center"/>
          </w:tcPr>
          <w:p w14:paraId="0CF53A37">
            <w:pPr>
              <w:spacing w:line="360" w:lineRule="auto"/>
              <w:ind w:firstLine="480" w:firstLineChars="200"/>
              <w:rPr>
                <w:rFonts w:hint="eastAsia" w:ascii="仿宋" w:hAnsi="仿宋" w:eastAsia="仿宋" w:cs="仿宋"/>
                <w:color w:val="auto"/>
                <w:sz w:val="24"/>
                <w:szCs w:val="24"/>
                <w:highlight w:val="none"/>
                <w:lang w:val="en-US" w:eastAsia="zh-CN"/>
              </w:rPr>
            </w:pPr>
          </w:p>
        </w:tc>
        <w:tc>
          <w:tcPr>
            <w:tcW w:w="884" w:type="pct"/>
            <w:shd w:val="clear" w:color="auto" w:fill="auto"/>
            <w:noWrap w:val="0"/>
            <w:vAlign w:val="center"/>
          </w:tcPr>
          <w:p w14:paraId="0E728921">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项目管理制度（16分）</w:t>
            </w:r>
          </w:p>
        </w:tc>
        <w:tc>
          <w:tcPr>
            <w:tcW w:w="3617" w:type="pct"/>
            <w:shd w:val="clear" w:color="auto" w:fill="auto"/>
            <w:noWrap w:val="0"/>
            <w:vAlign w:val="center"/>
          </w:tcPr>
          <w:p w14:paraId="4620BFCF">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根据本项目响应供应商建立项目管理制度，内容包括：①档案管理制度；② 质量控制制度；③安全责任制度；④数据资料保（bao）密（mi）管理制度等内容。 </w:t>
            </w:r>
          </w:p>
          <w:p w14:paraId="29B93F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完整提供以上内容得16分，每缺少一项内容扣4分，每项内容中每有一处内容存在缺陷的扣2分，扣完为止，未提供不得分。</w:t>
            </w:r>
          </w:p>
          <w:p w14:paraId="49FD0F9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bl>
    <w:p w14:paraId="3E3123F2">
      <w:pPr>
        <w:spacing w:line="360" w:lineRule="auto"/>
        <w:ind w:firstLine="480" w:firstLineChars="200"/>
        <w:rPr>
          <w:rFonts w:hint="eastAsia" w:ascii="仿宋" w:hAnsi="仿宋" w:eastAsia="仿宋" w:cs="仿宋"/>
          <w:color w:val="auto"/>
          <w:sz w:val="24"/>
          <w:szCs w:val="24"/>
          <w:lang w:val="en-US" w:eastAsia="zh-CN"/>
        </w:rPr>
      </w:pPr>
    </w:p>
    <w:p w14:paraId="1B397D6E">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2.3评审得分计算标准</w:t>
      </w:r>
    </w:p>
    <w:p w14:paraId="05440916">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竞争性磋商小组按本章（二）评审标准规定的量化因素和分值进行打分，并计算出综合评估得分。</w:t>
      </w:r>
    </w:p>
    <w:p w14:paraId="55A0B467">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按本章规定的评审因素和分值对报价部分计算出得分A；</w:t>
      </w:r>
    </w:p>
    <w:p w14:paraId="0AF70C55">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按本章规定的评审因素和分值各评审专家独立对商务技术部分进行评分，根据评审专家评分的平均值计算出各响应供应商商务技术部分得分B；</w:t>
      </w:r>
    </w:p>
    <w:p w14:paraId="4D727B61">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按本章规定的评审因素和分值对其他部分计算出得分C（如有）。</w:t>
      </w:r>
    </w:p>
    <w:p w14:paraId="5A2F50E7">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3.2.2评分分值计算保留小数点后两位，小数点后第三位“四舍五入”。</w:t>
      </w:r>
    </w:p>
    <w:p w14:paraId="19125DD3">
      <w:pPr>
        <w:spacing w:line="360" w:lineRule="auto"/>
        <w:ind w:firstLine="480" w:firstLineChars="200"/>
        <w:rPr>
          <w:rFonts w:hint="eastAsia" w:ascii="仿宋" w:hAnsi="仿宋" w:eastAsia="仿宋" w:cs="仿宋"/>
          <w:color w:val="auto"/>
          <w:sz w:val="24"/>
          <w:szCs w:val="24"/>
          <w:highlight w:val="white"/>
        </w:rPr>
      </w:pPr>
      <w:r>
        <w:rPr>
          <w:rFonts w:hint="eastAsia" w:ascii="仿宋" w:hAnsi="仿宋" w:eastAsia="仿宋" w:cs="仿宋"/>
          <w:color w:val="auto"/>
          <w:sz w:val="24"/>
          <w:szCs w:val="24"/>
          <w:lang w:val="en-US" w:eastAsia="zh-CN"/>
        </w:rPr>
        <w:t>3.2.3响应供应商得分=A+B+C。</w:t>
      </w:r>
    </w:p>
    <w:p w14:paraId="42F5FEAA">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（三）其他</w:t>
      </w:r>
    </w:p>
    <w:p w14:paraId="197C994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1、参与</w:t>
      </w:r>
      <w:r>
        <w:rPr>
          <w:rFonts w:hint="eastAsia" w:ascii="仿宋" w:hAnsi="仿宋" w:eastAsia="仿宋" w:cs="仿宋"/>
          <w:color w:val="auto"/>
          <w:sz w:val="24"/>
          <w:szCs w:val="24"/>
          <w:lang w:eastAsia="zh-CN"/>
        </w:rPr>
        <w:t>本项目</w:t>
      </w:r>
      <w:r>
        <w:rPr>
          <w:rFonts w:hint="eastAsia" w:ascii="仿宋" w:hAnsi="仿宋" w:eastAsia="仿宋" w:cs="仿宋"/>
          <w:color w:val="auto"/>
          <w:sz w:val="24"/>
          <w:szCs w:val="24"/>
        </w:rPr>
        <w:t>采购活动的供应商被列入以下失信名单的，不得被推荐为政府采购项目中标候选人。</w:t>
      </w:r>
    </w:p>
    <w:p w14:paraId="6CCCA8D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（1）供应商被列入失信被执行人的；</w:t>
      </w:r>
    </w:p>
    <w:p w14:paraId="7DDCDFF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）供应商被列入重大税收违法案件当事人名单的；</w:t>
      </w:r>
    </w:p>
    <w:p w14:paraId="5EA67B0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）供应商被列入政府采购严重违法失信行为记录名单的；</w:t>
      </w:r>
    </w:p>
    <w:p w14:paraId="2B398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、不良信用记录查询渠道如下：</w:t>
      </w:r>
    </w:p>
    <w:p w14:paraId="3EDDE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（1）失信被执行人：信用中国官网（www.creditchina.gov.cn）</w:t>
      </w:r>
    </w:p>
    <w:p w14:paraId="0F54B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）重大税收违法案件当事人名单：信用中国官网（www.creditchina.gov.cn）</w:t>
      </w:r>
    </w:p>
    <w:p w14:paraId="2FB79D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）政府采购严重违法失信行为记录名单：中国政府采购官网（www.ccgp.gov.cn）</w:t>
      </w:r>
    </w:p>
    <w:p w14:paraId="6A740348">
      <w:pPr>
        <w:widowControl/>
        <w:spacing w:line="360" w:lineRule="auto"/>
        <w:jc w:val="center"/>
        <w:outlineLvl w:val="0"/>
        <w:rPr>
          <w:rFonts w:hint="eastAsia" w:ascii="仿宋" w:hAnsi="仿宋" w:eastAsia="仿宋" w:cs="仿宋"/>
          <w:b/>
          <w:bCs/>
          <w:color w:val="auto"/>
          <w:sz w:val="36"/>
          <w:szCs w:val="36"/>
          <w:highlight w:val="white"/>
          <w:lang w:eastAsia="zh-CN"/>
        </w:rPr>
        <w:sectPr>
          <w:pgSz w:w="11906" w:h="16838"/>
          <w:pgMar w:top="1440" w:right="1706" w:bottom="1440" w:left="1800" w:header="851" w:footer="992" w:gutter="0"/>
          <w:pgNumType w:fmt="decimal"/>
          <w:cols w:space="720" w:num="1"/>
          <w:docGrid w:type="lines" w:linePitch="312" w:charSpace="0"/>
        </w:sectPr>
      </w:pPr>
      <w:bookmarkStart w:id="32" w:name="_Hlk38275412"/>
      <w:bookmarkStart w:id="33" w:name="_Hlk38271626"/>
    </w:p>
    <w:p w14:paraId="4EFE9F1C">
      <w:pPr>
        <w:widowControl/>
        <w:spacing w:line="360" w:lineRule="auto"/>
        <w:jc w:val="center"/>
        <w:outlineLvl w:val="0"/>
        <w:rPr>
          <w:rFonts w:hint="eastAsia" w:ascii="仿宋" w:hAnsi="仿宋" w:eastAsia="仿宋" w:cs="仿宋"/>
          <w:b/>
          <w:bCs/>
          <w:color w:val="auto"/>
          <w:kern w:val="44"/>
          <w:sz w:val="24"/>
          <w:szCs w:val="24"/>
        </w:rPr>
      </w:pPr>
      <w:bookmarkStart w:id="34" w:name="_Toc4234"/>
      <w:r>
        <w:rPr>
          <w:rFonts w:hint="eastAsia" w:ascii="仿宋" w:hAnsi="仿宋" w:eastAsia="仿宋" w:cs="仿宋"/>
          <w:b/>
          <w:bCs/>
          <w:color w:val="auto"/>
          <w:sz w:val="36"/>
          <w:szCs w:val="36"/>
          <w:highlight w:val="white"/>
          <w:lang w:eastAsia="zh-CN"/>
        </w:rPr>
        <w:t>第六章</w:t>
      </w:r>
      <w:r>
        <w:rPr>
          <w:rFonts w:hint="eastAsia" w:ascii="仿宋" w:hAnsi="仿宋" w:eastAsia="仿宋" w:cs="仿宋"/>
          <w:color w:val="auto"/>
          <w:sz w:val="36"/>
          <w:szCs w:val="36"/>
          <w:highlight w:val="white"/>
          <w:lang w:val="en-US" w:eastAsia="zh-CN"/>
        </w:rPr>
        <w:t xml:space="preserve"> </w:t>
      </w:r>
      <w:r>
        <w:rPr>
          <w:rFonts w:hint="eastAsia" w:ascii="仿宋" w:hAnsi="仿宋" w:eastAsia="仿宋" w:cs="仿宋"/>
          <w:b/>
          <w:bCs/>
          <w:color w:val="auto"/>
          <w:kern w:val="44"/>
          <w:sz w:val="36"/>
          <w:szCs w:val="36"/>
        </w:rPr>
        <w:t>竞争性磋商须知</w:t>
      </w:r>
      <w:bookmarkEnd w:id="32"/>
      <w:bookmarkEnd w:id="34"/>
    </w:p>
    <w:p w14:paraId="470C96FE">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一、说明</w:t>
      </w:r>
    </w:p>
    <w:p w14:paraId="265672A8">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1.定义</w:t>
      </w:r>
    </w:p>
    <w:p w14:paraId="07159B62">
      <w:pPr>
        <w:adjustRightInd w:val="0"/>
        <w:snapToGrid w:val="0"/>
        <w:spacing w:beforeLines="50"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1.1 “采购人”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系指依法进行政府采购的国家机关、事业单位、团体组织。本次采购的采购人名称、地址、电话、联系人见</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w:t>
      </w:r>
    </w:p>
    <w:p w14:paraId="7E0811DA">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系指响应竞争性磋商文件要求、参加</w:t>
      </w:r>
      <w:r>
        <w:rPr>
          <w:rFonts w:hint="eastAsia" w:ascii="仿宋" w:hAnsi="仿宋" w:eastAsia="仿宋" w:cs="仿宋"/>
          <w:color w:val="auto"/>
          <w:kern w:val="0"/>
          <w:sz w:val="24"/>
          <w:szCs w:val="24"/>
        </w:rPr>
        <w:t>竞争性磋商</w:t>
      </w:r>
      <w:r>
        <w:rPr>
          <w:rFonts w:hint="eastAsia" w:ascii="仿宋" w:hAnsi="仿宋" w:eastAsia="仿宋" w:cs="仿宋"/>
          <w:color w:val="auto"/>
          <w:kern w:val="0"/>
          <w:sz w:val="24"/>
          <w:szCs w:val="24"/>
          <w:lang w:val="zh-CN"/>
        </w:rPr>
        <w:t>采购活动</w:t>
      </w:r>
      <w:r>
        <w:rPr>
          <w:rFonts w:hint="eastAsia" w:ascii="仿宋" w:hAnsi="仿宋" w:eastAsia="仿宋" w:cs="仿宋"/>
          <w:color w:val="auto"/>
          <w:sz w:val="24"/>
          <w:szCs w:val="24"/>
        </w:rPr>
        <w:t>的法人、其他组织或自然人。</w:t>
      </w:r>
    </w:p>
    <w:p w14:paraId="2C573829">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1.3“货物” 系指供应商按竞争性磋商文件规定,向采购人提供的各种形态和种类的物品，包括原材料、设备、产品(包括软件)及相关的其备品备件、工具、手册及其它技术资料和材料。</w:t>
      </w:r>
    </w:p>
    <w:p w14:paraId="2137D7AC">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1.4“服务” 系指系指除货物和工程以外的其他政府采购对象，包括咨询、调研、 评估、规划、设计、监理、审计、保险、租赁、印刷、维修、物业管理等。</w:t>
      </w:r>
    </w:p>
    <w:p w14:paraId="42F47EEB">
      <w:pPr>
        <w:adjustRightInd w:val="0"/>
        <w:snapToGrid w:val="0"/>
        <w:spacing w:beforeLines="50" w:line="360" w:lineRule="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 xml:space="preserve">2.参与竞争性磋商的费用 </w:t>
      </w:r>
    </w:p>
    <w:p w14:paraId="4E412435">
      <w:pPr>
        <w:adjustRightInd w:val="0"/>
        <w:snapToGrid w:val="0"/>
        <w:spacing w:beforeLines="5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2.1无论竞争性磋商的结果如何，供应商应自行承担所有与</w:t>
      </w:r>
      <w:r>
        <w:rPr>
          <w:rFonts w:hint="eastAsia" w:ascii="仿宋" w:hAnsi="仿宋" w:eastAsia="仿宋" w:cs="仿宋"/>
          <w:color w:val="auto"/>
          <w:kern w:val="0"/>
          <w:sz w:val="24"/>
          <w:szCs w:val="24"/>
          <w:u w:val="single"/>
        </w:rPr>
        <w:t>竞争性磋商</w:t>
      </w:r>
      <w:r>
        <w:rPr>
          <w:rFonts w:hint="eastAsia" w:ascii="仿宋" w:hAnsi="仿宋" w:eastAsia="仿宋" w:cs="仿宋"/>
          <w:color w:val="auto"/>
          <w:kern w:val="0"/>
          <w:sz w:val="24"/>
          <w:szCs w:val="24"/>
          <w:u w:val="single"/>
          <w:lang w:val="zh-CN"/>
        </w:rPr>
        <w:t>采购活动</w:t>
      </w:r>
      <w:r>
        <w:rPr>
          <w:rFonts w:hint="eastAsia" w:ascii="仿宋" w:hAnsi="仿宋" w:eastAsia="仿宋" w:cs="仿宋"/>
          <w:color w:val="auto"/>
          <w:sz w:val="24"/>
          <w:szCs w:val="24"/>
          <w:u w:val="single"/>
        </w:rPr>
        <w:t>有关的全部费用。</w:t>
      </w:r>
    </w:p>
    <w:p w14:paraId="0380AA01">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color w:val="auto"/>
          <w:sz w:val="24"/>
          <w:szCs w:val="24"/>
        </w:rPr>
        <w:t>3．</w:t>
      </w:r>
      <w:r>
        <w:rPr>
          <w:rFonts w:hint="eastAsia" w:ascii="仿宋" w:hAnsi="仿宋" w:eastAsia="仿宋" w:cs="仿宋"/>
          <w:b/>
          <w:bCs/>
          <w:color w:val="auto"/>
          <w:sz w:val="24"/>
          <w:szCs w:val="24"/>
        </w:rPr>
        <w:t>竞争性磋商委托</w:t>
      </w:r>
    </w:p>
    <w:p w14:paraId="01FD3B10">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 如供应商代表不是供应商的法定代表人，须持有《授权委托书》。</w:t>
      </w:r>
    </w:p>
    <w:p w14:paraId="69FB9E80">
      <w:pPr>
        <w:adjustRightInd w:val="0"/>
        <w:snapToGrid w:val="0"/>
        <w:spacing w:beforeLines="50" w:line="360" w:lineRule="auto"/>
        <w:ind w:left="793" w:hanging="906" w:hangingChars="376"/>
        <w:rPr>
          <w:rFonts w:hint="eastAsia" w:ascii="仿宋" w:hAnsi="仿宋" w:eastAsia="仿宋" w:cs="仿宋"/>
          <w:b/>
          <w:color w:val="auto"/>
          <w:sz w:val="24"/>
          <w:szCs w:val="24"/>
        </w:rPr>
      </w:pPr>
      <w:r>
        <w:rPr>
          <w:rFonts w:hint="eastAsia" w:ascii="仿宋" w:hAnsi="仿宋" w:eastAsia="仿宋" w:cs="仿宋"/>
          <w:b/>
          <w:color w:val="auto"/>
          <w:sz w:val="24"/>
          <w:szCs w:val="24"/>
        </w:rPr>
        <w:t>二、竞争性磋商文件</w:t>
      </w:r>
    </w:p>
    <w:p w14:paraId="1155CEA6">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4．竞争性磋商文件的组成</w:t>
      </w:r>
    </w:p>
    <w:p w14:paraId="244F8302">
      <w:pPr>
        <w:adjustRightInd w:val="0"/>
        <w:snapToGrid w:val="0"/>
        <w:spacing w:beforeLines="50"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 竞争性磋商文件由竞争性磋商文件及在竞争性磋商过程中发出的</w:t>
      </w:r>
      <w:r>
        <w:rPr>
          <w:rFonts w:hint="eastAsia" w:ascii="仿宋" w:hAnsi="仿宋" w:eastAsia="仿宋" w:cs="仿宋"/>
          <w:color w:val="auto"/>
          <w:kern w:val="0"/>
          <w:sz w:val="24"/>
          <w:szCs w:val="24"/>
          <w:lang w:val="zh-CN"/>
        </w:rPr>
        <w:t>澄清或者</w:t>
      </w:r>
      <w:r>
        <w:rPr>
          <w:rFonts w:hint="eastAsia" w:ascii="仿宋" w:hAnsi="仿宋" w:eastAsia="仿宋" w:cs="仿宋"/>
          <w:color w:val="auto"/>
          <w:sz w:val="24"/>
          <w:szCs w:val="24"/>
        </w:rPr>
        <w:t>修改文件组成。</w:t>
      </w:r>
    </w:p>
    <w:p w14:paraId="1559A054">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.2供应商应仔细阅读</w:t>
      </w:r>
      <w:r>
        <w:rPr>
          <w:rFonts w:hint="eastAsia" w:ascii="仿宋" w:hAnsi="仿宋" w:eastAsia="仿宋" w:cs="仿宋"/>
          <w:bCs/>
          <w:color w:val="auto"/>
          <w:sz w:val="24"/>
          <w:szCs w:val="24"/>
        </w:rPr>
        <w:t>竞争性磋商文件</w:t>
      </w:r>
      <w:r>
        <w:rPr>
          <w:rFonts w:hint="eastAsia" w:ascii="仿宋" w:hAnsi="仿宋" w:eastAsia="仿宋" w:cs="仿宋"/>
          <w:color w:val="auto"/>
          <w:sz w:val="24"/>
          <w:szCs w:val="24"/>
        </w:rPr>
        <w:t>的全部内容，按照</w:t>
      </w:r>
      <w:r>
        <w:rPr>
          <w:rFonts w:hint="eastAsia" w:ascii="仿宋" w:hAnsi="仿宋" w:eastAsia="仿宋" w:cs="仿宋"/>
          <w:bCs/>
          <w:color w:val="auto"/>
          <w:sz w:val="24"/>
          <w:szCs w:val="24"/>
        </w:rPr>
        <w:t>竞争性磋商文件</w:t>
      </w:r>
      <w:r>
        <w:rPr>
          <w:rFonts w:hint="eastAsia" w:ascii="仿宋" w:hAnsi="仿宋" w:eastAsia="仿宋" w:cs="仿宋"/>
          <w:color w:val="auto"/>
          <w:sz w:val="24"/>
          <w:szCs w:val="24"/>
        </w:rPr>
        <w:t>要求编制竞争性磋商响应文件。任何对</w:t>
      </w:r>
      <w:r>
        <w:rPr>
          <w:rFonts w:hint="eastAsia" w:ascii="仿宋" w:hAnsi="仿宋" w:eastAsia="仿宋" w:cs="仿宋"/>
          <w:bCs/>
          <w:color w:val="auto"/>
          <w:sz w:val="24"/>
          <w:szCs w:val="24"/>
        </w:rPr>
        <w:t>竞争性磋商文件</w:t>
      </w:r>
      <w:r>
        <w:rPr>
          <w:rFonts w:hint="eastAsia" w:ascii="仿宋" w:hAnsi="仿宋" w:eastAsia="仿宋" w:cs="仿宋"/>
          <w:color w:val="auto"/>
          <w:sz w:val="24"/>
          <w:szCs w:val="24"/>
        </w:rPr>
        <w:t>的忽略或误解不能作为竞争性磋商响应文件存在缺陷或瑕疵的理由，其风险由供应商承担。</w:t>
      </w:r>
    </w:p>
    <w:p w14:paraId="5F18EA52">
      <w:pPr>
        <w:adjustRightInd w:val="0"/>
        <w:snapToGrid w:val="0"/>
        <w:spacing w:beforeLines="50" w:line="360" w:lineRule="auto"/>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5. 偏离</w:t>
      </w:r>
    </w:p>
    <w:p w14:paraId="021965C1">
      <w:pPr>
        <w:widowControl/>
        <w:adjustRightInd w:val="0"/>
        <w:snapToGrid w:val="0"/>
        <w:spacing w:before="50" w:line="360" w:lineRule="auto"/>
        <w:ind w:right="97" w:rightChars="46" w:firstLine="480" w:firstLineChars="200"/>
        <w:rPr>
          <w:rFonts w:hint="eastAsia" w:ascii="仿宋" w:hAnsi="仿宋" w:eastAsia="仿宋" w:cs="仿宋"/>
          <w:color w:val="auto"/>
          <w:kern w:val="0"/>
          <w:sz w:val="24"/>
          <w:szCs w:val="24"/>
          <w:u w:val="single"/>
        </w:rPr>
      </w:pPr>
      <w:r>
        <w:rPr>
          <w:rFonts w:hint="eastAsia" w:ascii="仿宋" w:hAnsi="仿宋" w:eastAsia="仿宋" w:cs="仿宋"/>
          <w:bCs/>
          <w:color w:val="auto"/>
          <w:kern w:val="0"/>
          <w:sz w:val="24"/>
          <w:szCs w:val="24"/>
          <w:u w:val="single"/>
        </w:rPr>
        <w:t>5.1本条所称</w:t>
      </w:r>
      <w:r>
        <w:rPr>
          <w:rFonts w:hint="eastAsia" w:ascii="仿宋" w:hAnsi="仿宋" w:eastAsia="仿宋" w:cs="仿宋"/>
          <w:color w:val="auto"/>
          <w:kern w:val="0"/>
          <w:sz w:val="24"/>
          <w:szCs w:val="24"/>
          <w:u w:val="single"/>
        </w:rPr>
        <w:t>偏离为竞争性磋商响应</w:t>
      </w:r>
      <w:r>
        <w:rPr>
          <w:rFonts w:hint="eastAsia" w:ascii="仿宋" w:hAnsi="仿宋" w:eastAsia="仿宋" w:cs="仿宋"/>
          <w:bCs/>
          <w:color w:val="auto"/>
          <w:kern w:val="0"/>
          <w:sz w:val="24"/>
          <w:szCs w:val="24"/>
          <w:u w:val="single"/>
        </w:rPr>
        <w:t>文件</w:t>
      </w:r>
      <w:r>
        <w:rPr>
          <w:rFonts w:hint="eastAsia" w:ascii="仿宋" w:hAnsi="仿宋" w:eastAsia="仿宋" w:cs="仿宋"/>
          <w:color w:val="auto"/>
          <w:kern w:val="0"/>
          <w:sz w:val="24"/>
          <w:szCs w:val="24"/>
          <w:u w:val="single"/>
        </w:rPr>
        <w:t>对</w:t>
      </w:r>
      <w:r>
        <w:rPr>
          <w:rFonts w:hint="eastAsia" w:ascii="仿宋" w:hAnsi="仿宋" w:eastAsia="仿宋" w:cs="仿宋"/>
          <w:bCs/>
          <w:color w:val="auto"/>
          <w:kern w:val="0"/>
          <w:sz w:val="24"/>
          <w:szCs w:val="24"/>
          <w:u w:val="single"/>
        </w:rPr>
        <w:t>竞争性磋商文件</w:t>
      </w:r>
      <w:r>
        <w:rPr>
          <w:rFonts w:hint="eastAsia" w:ascii="仿宋" w:hAnsi="仿宋" w:eastAsia="仿宋" w:cs="仿宋"/>
          <w:color w:val="auto"/>
          <w:kern w:val="0"/>
          <w:sz w:val="24"/>
          <w:szCs w:val="24"/>
          <w:u w:val="single"/>
        </w:rPr>
        <w:t>的偏离，即不满足、或不响应</w:t>
      </w:r>
      <w:r>
        <w:rPr>
          <w:rFonts w:hint="eastAsia" w:ascii="仿宋" w:hAnsi="仿宋" w:eastAsia="仿宋" w:cs="仿宋"/>
          <w:bCs/>
          <w:color w:val="auto"/>
          <w:kern w:val="0"/>
          <w:sz w:val="24"/>
          <w:szCs w:val="24"/>
          <w:u w:val="single"/>
        </w:rPr>
        <w:t>竞争性磋商文件</w:t>
      </w:r>
      <w:r>
        <w:rPr>
          <w:rFonts w:hint="eastAsia" w:ascii="仿宋" w:hAnsi="仿宋" w:eastAsia="仿宋" w:cs="仿宋"/>
          <w:color w:val="auto"/>
          <w:kern w:val="0"/>
          <w:sz w:val="24"/>
          <w:szCs w:val="24"/>
          <w:u w:val="single"/>
        </w:rPr>
        <w:t>的要求。偏离分为对</w:t>
      </w:r>
      <w:r>
        <w:rPr>
          <w:rFonts w:hint="eastAsia" w:ascii="仿宋" w:hAnsi="仿宋" w:eastAsia="仿宋" w:cs="仿宋"/>
          <w:bCs/>
          <w:color w:val="auto"/>
          <w:kern w:val="0"/>
          <w:sz w:val="24"/>
          <w:szCs w:val="24"/>
          <w:u w:val="single"/>
        </w:rPr>
        <w:t>竞争性磋商文件</w:t>
      </w:r>
      <w:r>
        <w:rPr>
          <w:rFonts w:hint="eastAsia" w:ascii="仿宋" w:hAnsi="仿宋" w:eastAsia="仿宋" w:cs="仿宋"/>
          <w:color w:val="auto"/>
          <w:kern w:val="0"/>
          <w:sz w:val="24"/>
          <w:szCs w:val="24"/>
          <w:u w:val="single"/>
        </w:rPr>
        <w:t>的实质性要求条款偏离和对</w:t>
      </w:r>
      <w:r>
        <w:rPr>
          <w:rFonts w:hint="eastAsia" w:ascii="仿宋" w:hAnsi="仿宋" w:eastAsia="仿宋" w:cs="仿宋"/>
          <w:bCs/>
          <w:color w:val="auto"/>
          <w:kern w:val="0"/>
          <w:sz w:val="24"/>
          <w:szCs w:val="24"/>
          <w:u w:val="single"/>
        </w:rPr>
        <w:t>竞争性磋商文件</w:t>
      </w:r>
      <w:r>
        <w:rPr>
          <w:rFonts w:hint="eastAsia" w:ascii="仿宋" w:hAnsi="仿宋" w:eastAsia="仿宋" w:cs="仿宋"/>
          <w:color w:val="auto"/>
          <w:kern w:val="0"/>
          <w:sz w:val="24"/>
          <w:szCs w:val="24"/>
          <w:u w:val="single"/>
        </w:rPr>
        <w:t>的一般商务和技术条款（参数）偏离。</w:t>
      </w:r>
    </w:p>
    <w:p w14:paraId="5981E591">
      <w:pPr>
        <w:tabs>
          <w:tab w:val="left" w:pos="0"/>
        </w:tabs>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bCs/>
          <w:color w:val="auto"/>
          <w:sz w:val="24"/>
          <w:szCs w:val="24"/>
        </w:rPr>
        <w:t>竞争性磋商文件</w:t>
      </w:r>
      <w:r>
        <w:rPr>
          <w:rFonts w:hint="eastAsia" w:ascii="仿宋" w:hAnsi="仿宋" w:eastAsia="仿宋" w:cs="仿宋"/>
          <w:color w:val="auto"/>
          <w:sz w:val="24"/>
          <w:szCs w:val="24"/>
        </w:rPr>
        <w:t>中标注“*”符号的条款为实质性要求条款（即重要条款），对其中任何一条的偏离(即不满足、或不响应)，在评审时将其视为无效响应。</w:t>
      </w:r>
    </w:p>
    <w:p w14:paraId="02A591AE">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6. 竞争性磋商文件的澄清、修改</w:t>
      </w:r>
    </w:p>
    <w:p w14:paraId="0B7BAEC4">
      <w:pPr>
        <w:adjustRightInd w:val="0"/>
        <w:snapToGrid w:val="0"/>
        <w:spacing w:before="50" w:line="360" w:lineRule="auto"/>
        <w:ind w:right="-105" w:rightChars="-5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6.1采购代理机构或采购人</w:t>
      </w:r>
      <w:r>
        <w:rPr>
          <w:rFonts w:hint="eastAsia" w:ascii="仿宋" w:hAnsi="仿宋" w:eastAsia="仿宋" w:cs="仿宋"/>
          <w:color w:val="auto"/>
          <w:kern w:val="0"/>
          <w:sz w:val="24"/>
          <w:szCs w:val="24"/>
          <w:lang w:val="zh-CN"/>
        </w:rPr>
        <w:t>对已发出的</w:t>
      </w:r>
      <w:r>
        <w:rPr>
          <w:rFonts w:hint="eastAsia" w:ascii="仿宋" w:hAnsi="仿宋" w:eastAsia="仿宋" w:cs="仿宋"/>
          <w:color w:val="auto"/>
          <w:sz w:val="24"/>
          <w:szCs w:val="24"/>
        </w:rPr>
        <w:t>竞争性磋商文件进行必要澄清或者修改的，应在规定</w:t>
      </w:r>
      <w:r>
        <w:rPr>
          <w:rFonts w:hint="eastAsia" w:ascii="仿宋" w:hAnsi="仿宋" w:eastAsia="仿宋" w:cs="仿宋"/>
          <w:color w:val="auto"/>
          <w:kern w:val="0"/>
          <w:sz w:val="24"/>
          <w:szCs w:val="24"/>
          <w:lang w:val="zh-CN"/>
        </w:rPr>
        <w:t>递交竞争性磋商</w:t>
      </w:r>
      <w:r>
        <w:rPr>
          <w:rFonts w:hint="eastAsia" w:ascii="仿宋" w:hAnsi="仿宋" w:eastAsia="仿宋" w:cs="仿宋"/>
          <w:color w:val="auto"/>
          <w:sz w:val="24"/>
          <w:szCs w:val="24"/>
        </w:rPr>
        <w:t>响应</w:t>
      </w:r>
      <w:r>
        <w:rPr>
          <w:rFonts w:hint="eastAsia" w:ascii="仿宋" w:hAnsi="仿宋" w:eastAsia="仿宋" w:cs="仿宋"/>
          <w:color w:val="auto"/>
          <w:kern w:val="0"/>
          <w:sz w:val="24"/>
          <w:szCs w:val="24"/>
          <w:lang w:val="zh-CN"/>
        </w:rPr>
        <w:t>文件截止时间</w:t>
      </w:r>
      <w:r>
        <w:rPr>
          <w:rFonts w:hint="eastAsia" w:ascii="仿宋" w:hAnsi="仿宋" w:eastAsia="仿宋" w:cs="仿宋"/>
          <w:color w:val="auto"/>
          <w:sz w:val="24"/>
          <w:szCs w:val="24"/>
        </w:rPr>
        <w:t>前通知被邀请参加竞争性磋商的供应商，采购人或代理机构不承担未及时关注的责任情形。澄清或修改的内容为竞争性磋商文件的组成部分。</w:t>
      </w:r>
    </w:p>
    <w:p w14:paraId="6B344980">
      <w:pPr>
        <w:autoSpaceDE w:val="0"/>
        <w:autoSpaceDN w:val="0"/>
        <w:adjustRightInd w:val="0"/>
        <w:snapToGrid w:val="0"/>
        <w:spacing w:beforeLines="50" w:line="360" w:lineRule="auto"/>
        <w:ind w:firstLine="480" w:firstLineChars="200"/>
        <w:jc w:val="left"/>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6.2 发出澄清或修改文件的日期距规定的</w:t>
      </w:r>
      <w:r>
        <w:rPr>
          <w:rFonts w:hint="eastAsia" w:ascii="仿宋" w:hAnsi="仿宋" w:eastAsia="仿宋" w:cs="仿宋"/>
          <w:color w:val="auto"/>
          <w:kern w:val="0"/>
          <w:sz w:val="24"/>
          <w:szCs w:val="24"/>
          <w:lang w:val="zh-CN"/>
        </w:rPr>
        <w:t>递交竞争性磋商</w:t>
      </w:r>
      <w:r>
        <w:rPr>
          <w:rFonts w:hint="eastAsia" w:ascii="仿宋" w:hAnsi="仿宋" w:eastAsia="仿宋" w:cs="仿宋"/>
          <w:color w:val="auto"/>
          <w:sz w:val="24"/>
          <w:szCs w:val="24"/>
        </w:rPr>
        <w:t>响应</w:t>
      </w:r>
      <w:r>
        <w:rPr>
          <w:rFonts w:hint="eastAsia" w:ascii="仿宋" w:hAnsi="仿宋" w:eastAsia="仿宋" w:cs="仿宋"/>
          <w:color w:val="auto"/>
          <w:kern w:val="0"/>
          <w:sz w:val="24"/>
          <w:szCs w:val="24"/>
          <w:lang w:val="zh-CN"/>
        </w:rPr>
        <w:t>文件截止时间</w:t>
      </w:r>
      <w:r>
        <w:rPr>
          <w:rFonts w:hint="eastAsia" w:ascii="仿宋" w:hAnsi="仿宋" w:eastAsia="仿宋" w:cs="仿宋"/>
          <w:color w:val="auto"/>
          <w:sz w:val="24"/>
          <w:szCs w:val="24"/>
        </w:rPr>
        <w:t>不足</w:t>
      </w:r>
      <w:r>
        <w:rPr>
          <w:rFonts w:hint="eastAsia" w:ascii="仿宋" w:hAnsi="仿宋" w:eastAsia="仿宋" w:cs="仿宋"/>
          <w:bCs/>
          <w:color w:val="auto"/>
          <w:sz w:val="24"/>
          <w:szCs w:val="24"/>
        </w:rPr>
        <w:t>三个工作</w:t>
      </w:r>
      <w:r>
        <w:rPr>
          <w:rFonts w:hint="eastAsia" w:ascii="仿宋" w:hAnsi="仿宋" w:eastAsia="仿宋" w:cs="仿宋"/>
          <w:color w:val="auto"/>
          <w:sz w:val="24"/>
          <w:szCs w:val="24"/>
        </w:rPr>
        <w:t>日的，应当顺延</w:t>
      </w:r>
      <w:r>
        <w:rPr>
          <w:rFonts w:hint="eastAsia" w:ascii="仿宋" w:hAnsi="仿宋" w:eastAsia="仿宋" w:cs="仿宋"/>
          <w:color w:val="auto"/>
          <w:kern w:val="0"/>
          <w:sz w:val="24"/>
          <w:szCs w:val="24"/>
          <w:lang w:val="zh-CN"/>
        </w:rPr>
        <w:t>递交竞争性磋商</w:t>
      </w:r>
      <w:r>
        <w:rPr>
          <w:rFonts w:hint="eastAsia" w:ascii="仿宋" w:hAnsi="仿宋" w:eastAsia="仿宋" w:cs="仿宋"/>
          <w:color w:val="auto"/>
          <w:sz w:val="24"/>
          <w:szCs w:val="24"/>
        </w:rPr>
        <w:t>响应</w:t>
      </w:r>
      <w:r>
        <w:rPr>
          <w:rFonts w:hint="eastAsia" w:ascii="仿宋" w:hAnsi="仿宋" w:eastAsia="仿宋" w:cs="仿宋"/>
          <w:color w:val="auto"/>
          <w:kern w:val="0"/>
          <w:sz w:val="24"/>
          <w:szCs w:val="24"/>
          <w:lang w:val="zh-CN"/>
        </w:rPr>
        <w:t>文件截止时间</w:t>
      </w:r>
      <w:r>
        <w:rPr>
          <w:rFonts w:hint="eastAsia" w:ascii="仿宋" w:hAnsi="仿宋" w:eastAsia="仿宋" w:cs="仿宋"/>
          <w:color w:val="auto"/>
          <w:sz w:val="24"/>
          <w:szCs w:val="24"/>
        </w:rPr>
        <w:t>。</w:t>
      </w:r>
    </w:p>
    <w:p w14:paraId="6C474EFB">
      <w:pPr>
        <w:adjustRightInd w:val="0"/>
        <w:snapToGrid w:val="0"/>
        <w:spacing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三、竞争性磋商响应文件</w:t>
      </w:r>
    </w:p>
    <w:p w14:paraId="30C05184">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7.一般要求</w:t>
      </w:r>
    </w:p>
    <w:p w14:paraId="2C9B0C92">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bCs/>
          <w:color w:val="auto"/>
          <w:sz w:val="24"/>
          <w:szCs w:val="24"/>
        </w:rPr>
        <w:t>7.1 供应商应仔细阅读竞争性磋商文件的所有内容，按竞争性磋商文件的要求</w:t>
      </w:r>
      <w:r>
        <w:rPr>
          <w:rFonts w:hint="eastAsia" w:ascii="仿宋" w:hAnsi="仿宋" w:eastAsia="仿宋" w:cs="仿宋"/>
          <w:color w:val="auto"/>
          <w:kern w:val="0"/>
          <w:sz w:val="24"/>
          <w:szCs w:val="24"/>
          <w:lang w:val="zh-CN"/>
        </w:rPr>
        <w:t>依法真实</w:t>
      </w:r>
      <w:r>
        <w:rPr>
          <w:rFonts w:hint="eastAsia" w:ascii="仿宋" w:hAnsi="仿宋" w:eastAsia="仿宋" w:cs="仿宋"/>
          <w:bCs/>
          <w:color w:val="auto"/>
          <w:sz w:val="24"/>
          <w:szCs w:val="24"/>
        </w:rPr>
        <w:t>编制竞争性磋商</w:t>
      </w:r>
      <w:r>
        <w:rPr>
          <w:rFonts w:hint="eastAsia" w:ascii="仿宋" w:hAnsi="仿宋" w:eastAsia="仿宋" w:cs="仿宋"/>
          <w:color w:val="auto"/>
          <w:sz w:val="24"/>
          <w:szCs w:val="24"/>
        </w:rPr>
        <w:t>响应</w:t>
      </w:r>
      <w:r>
        <w:rPr>
          <w:rFonts w:hint="eastAsia" w:ascii="仿宋" w:hAnsi="仿宋" w:eastAsia="仿宋" w:cs="仿宋"/>
          <w:bCs/>
          <w:color w:val="auto"/>
          <w:sz w:val="24"/>
          <w:szCs w:val="24"/>
        </w:rPr>
        <w:t>文件，</w:t>
      </w:r>
      <w:r>
        <w:rPr>
          <w:rFonts w:hint="eastAsia" w:ascii="仿宋" w:hAnsi="仿宋" w:eastAsia="仿宋" w:cs="仿宋"/>
          <w:color w:val="auto"/>
          <w:kern w:val="0"/>
          <w:sz w:val="24"/>
          <w:szCs w:val="24"/>
          <w:lang w:val="zh-CN"/>
        </w:rPr>
        <w:t>并对其递交的竞争性磋商</w:t>
      </w:r>
      <w:r>
        <w:rPr>
          <w:rFonts w:hint="eastAsia" w:ascii="仿宋" w:hAnsi="仿宋" w:eastAsia="仿宋" w:cs="仿宋"/>
          <w:color w:val="auto"/>
          <w:sz w:val="24"/>
          <w:szCs w:val="24"/>
        </w:rPr>
        <w:t>响应</w:t>
      </w:r>
      <w:r>
        <w:rPr>
          <w:rFonts w:hint="eastAsia" w:ascii="仿宋" w:hAnsi="仿宋" w:eastAsia="仿宋" w:cs="仿宋"/>
          <w:color w:val="auto"/>
          <w:kern w:val="0"/>
          <w:sz w:val="24"/>
          <w:szCs w:val="24"/>
          <w:lang w:val="zh-CN"/>
        </w:rPr>
        <w:t>文件承担法律责任。</w:t>
      </w:r>
    </w:p>
    <w:p w14:paraId="15F12F02">
      <w:pPr>
        <w:autoSpaceDE w:val="0"/>
        <w:autoSpaceDN w:val="0"/>
        <w:adjustRightInd w:val="0"/>
        <w:snapToGrid w:val="0"/>
        <w:spacing w:beforeLines="5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7.2 </w:t>
      </w:r>
      <w:r>
        <w:rPr>
          <w:rFonts w:hint="eastAsia" w:ascii="仿宋" w:hAnsi="仿宋" w:eastAsia="仿宋" w:cs="仿宋"/>
          <w:color w:val="auto"/>
          <w:sz w:val="24"/>
          <w:szCs w:val="24"/>
        </w:rPr>
        <w:t>供应商提交的竞争性磋商响应文件及供应商与采购代理机构、</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就有关竞争性磋商的所有来往函电均使用中文。供应商可以提交其它语言的资料，但有关响应内容应附中文注释，在有差异时以中文为准。</w:t>
      </w:r>
    </w:p>
    <w:p w14:paraId="3E3D8058">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7.3 </w:t>
      </w:r>
      <w:r>
        <w:rPr>
          <w:rFonts w:hint="eastAsia" w:ascii="仿宋" w:hAnsi="仿宋" w:eastAsia="仿宋" w:cs="仿宋"/>
          <w:color w:val="auto"/>
          <w:sz w:val="24"/>
          <w:szCs w:val="24"/>
        </w:rPr>
        <w:t>计量单位应使用我国法定计量单位。</w:t>
      </w:r>
    </w:p>
    <w:p w14:paraId="745FD90C">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7.4 竞争性磋商响应文件应采用书面形式，电报、传真形式的竞争性磋商响应文件概不接受。</w:t>
      </w:r>
    </w:p>
    <w:p w14:paraId="400C6229">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7.5 供应商应按竞争性磋商文件中提供的竞争性磋商响应文件格式填写。</w:t>
      </w:r>
    </w:p>
    <w:p w14:paraId="505645EC">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8.</w:t>
      </w:r>
      <w:r>
        <w:rPr>
          <w:rFonts w:hint="eastAsia" w:ascii="仿宋" w:hAnsi="仿宋" w:eastAsia="仿宋" w:cs="仿宋"/>
          <w:b/>
          <w:color w:val="auto"/>
          <w:sz w:val="24"/>
          <w:szCs w:val="24"/>
        </w:rPr>
        <w:t>竞争性磋商响应文件</w:t>
      </w:r>
      <w:r>
        <w:rPr>
          <w:rFonts w:hint="eastAsia" w:ascii="仿宋" w:hAnsi="仿宋" w:eastAsia="仿宋" w:cs="仿宋"/>
          <w:b/>
          <w:bCs/>
          <w:color w:val="auto"/>
          <w:sz w:val="24"/>
          <w:szCs w:val="24"/>
        </w:rPr>
        <w:t>的组成</w:t>
      </w:r>
    </w:p>
    <w:p w14:paraId="783B5CAD">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8.1 竞争性磋商响应文件包括下列内容：</w:t>
      </w:r>
    </w:p>
    <w:p w14:paraId="2DD8E97D">
      <w:pPr>
        <w:adjustRightInd w:val="0"/>
        <w:snapToGrid w:val="0"/>
        <w:spacing w:beforeLines="5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8.1.1资格文件</w:t>
      </w:r>
    </w:p>
    <w:p w14:paraId="0DD9E566">
      <w:pPr>
        <w:numPr>
          <w:ilvl w:val="0"/>
          <w:numId w:val="3"/>
        </w:numPr>
        <w:adjustRightInd w:val="0"/>
        <w:snapToGrid w:val="0"/>
        <w:spacing w:beforeLines="50"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营业执照</w:t>
      </w:r>
    </w:p>
    <w:p w14:paraId="3CB94952">
      <w:pPr>
        <w:numPr>
          <w:ilvl w:val="0"/>
          <w:numId w:val="3"/>
        </w:numPr>
        <w:adjustRightInd w:val="0"/>
        <w:snapToGrid w:val="0"/>
        <w:spacing w:beforeLines="50" w:line="360" w:lineRule="auto"/>
        <w:ind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法人身份证明或授权委托书</w:t>
      </w:r>
    </w:p>
    <w:p w14:paraId="6D59EBD2">
      <w:pPr>
        <w:numPr>
          <w:ilvl w:val="0"/>
          <w:numId w:val="3"/>
        </w:numPr>
        <w:adjustRightInd w:val="0"/>
        <w:snapToGrid w:val="0"/>
        <w:spacing w:beforeLines="50" w:line="360" w:lineRule="auto"/>
        <w:ind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财务报告</w:t>
      </w:r>
    </w:p>
    <w:p w14:paraId="1E612C5D">
      <w:pPr>
        <w:numPr>
          <w:ilvl w:val="0"/>
          <w:numId w:val="3"/>
        </w:numPr>
        <w:adjustRightInd w:val="0"/>
        <w:snapToGrid w:val="0"/>
        <w:spacing w:beforeLines="50" w:line="360" w:lineRule="auto"/>
        <w:ind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有依法缴纳税收和依法缴纳社会保障资金的记录</w:t>
      </w:r>
    </w:p>
    <w:p w14:paraId="2303FDAA">
      <w:pPr>
        <w:numPr>
          <w:ilvl w:val="0"/>
          <w:numId w:val="3"/>
        </w:numPr>
        <w:adjustRightInd w:val="0"/>
        <w:snapToGrid w:val="0"/>
        <w:spacing w:beforeLines="50" w:line="360" w:lineRule="auto"/>
        <w:ind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具有履行合同所必需的设备和专业技术能力</w:t>
      </w:r>
    </w:p>
    <w:p w14:paraId="7E089A81">
      <w:pPr>
        <w:numPr>
          <w:ilvl w:val="0"/>
          <w:numId w:val="3"/>
        </w:numPr>
        <w:adjustRightInd w:val="0"/>
        <w:snapToGrid w:val="0"/>
        <w:spacing w:beforeLines="50" w:line="360" w:lineRule="auto"/>
        <w:ind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企业信誉要求</w:t>
      </w:r>
    </w:p>
    <w:p w14:paraId="795CF8BD">
      <w:pPr>
        <w:numPr>
          <w:ilvl w:val="0"/>
          <w:numId w:val="3"/>
        </w:numPr>
        <w:adjustRightInd w:val="0"/>
        <w:snapToGrid w:val="0"/>
        <w:spacing w:beforeLines="50" w:line="360" w:lineRule="auto"/>
        <w:ind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无不良行为记录</w:t>
      </w:r>
    </w:p>
    <w:p w14:paraId="6E89159B">
      <w:pPr>
        <w:numPr>
          <w:ilvl w:val="0"/>
          <w:numId w:val="3"/>
        </w:numPr>
        <w:adjustRightInd w:val="0"/>
        <w:snapToGrid w:val="0"/>
        <w:spacing w:beforeLines="50" w:line="360" w:lineRule="auto"/>
        <w:ind w:firstLine="480" w:firstLineChars="200"/>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中小企业声明函</w:t>
      </w:r>
    </w:p>
    <w:p w14:paraId="19C7DC7E">
      <w:pPr>
        <w:numPr>
          <w:ilvl w:val="0"/>
          <w:numId w:val="0"/>
        </w:numPr>
        <w:adjustRightInd w:val="0"/>
        <w:snapToGrid w:val="0"/>
        <w:spacing w:beforeLines="50" w:line="360" w:lineRule="auto"/>
        <w:ind w:firstLine="482" w:firstLineChars="200"/>
        <w:rPr>
          <w:rFonts w:hint="default"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政采云响应文件制作时应按磋商文件第五章资格评审标准要求及政采云要求上传清晰的相关证明材料。资格文件未按要求上传导致的废标、无效响应由供应商自行承担责任。</w:t>
      </w:r>
    </w:p>
    <w:p w14:paraId="2F641055">
      <w:pPr>
        <w:pStyle w:val="6"/>
        <w:rPr>
          <w:rFonts w:hint="eastAsia" w:ascii="仿宋" w:hAnsi="仿宋" w:eastAsia="仿宋" w:cs="仿宋"/>
          <w:color w:val="auto"/>
        </w:rPr>
      </w:pPr>
      <w:r>
        <w:rPr>
          <w:rFonts w:hint="eastAsia" w:ascii="仿宋" w:hAnsi="仿宋" w:eastAsia="仿宋" w:cs="仿宋"/>
          <w:color w:val="auto"/>
          <w:sz w:val="24"/>
          <w:szCs w:val="24"/>
          <w:lang w:val="en-US" w:eastAsia="zh-CN"/>
        </w:rPr>
        <w:t>8.1.2商务技术文件</w:t>
      </w:r>
    </w:p>
    <w:p w14:paraId="0BB5EAC8">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（1）竞争性磋商响应函</w:t>
      </w:r>
    </w:p>
    <w:p w14:paraId="1F908DF1">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（2）开标一览表</w:t>
      </w:r>
    </w:p>
    <w:p w14:paraId="3CC469AC">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（3）法定代表人身份证明或授权委托书</w:t>
      </w:r>
    </w:p>
    <w:p w14:paraId="3B83A1A3">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（4）磋商保证金交纳凭证</w:t>
      </w:r>
    </w:p>
    <w:p w14:paraId="78BA8DED">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（5）承诺书</w:t>
      </w:r>
    </w:p>
    <w:p w14:paraId="13A82D72">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（6）商务和技术偏差表</w:t>
      </w:r>
    </w:p>
    <w:p w14:paraId="6DA3EDE4">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（7）响应供应商概况</w:t>
      </w:r>
    </w:p>
    <w:p w14:paraId="5AD1C18A">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（8）拟投入本项目的负责人简历表</w:t>
      </w:r>
    </w:p>
    <w:p w14:paraId="73D1C044">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（9）拟投入本项目其他人员表</w:t>
      </w:r>
    </w:p>
    <w:p w14:paraId="7C9DCA02">
      <w:p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（10）2022年11月至今类似项目业绩表</w:t>
      </w:r>
    </w:p>
    <w:p w14:paraId="19BDA7E9">
      <w:pPr>
        <w:numPr>
          <w:ilvl w:val="0"/>
          <w:numId w:val="0"/>
        </w:numPr>
        <w:adjustRightInd w:val="0"/>
        <w:snapToGrid w:val="0"/>
        <w:spacing w:before="50" w:line="360" w:lineRule="auto"/>
        <w:ind w:right="-105" w:rightChars="-5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（11）</w:t>
      </w:r>
      <w:r>
        <w:rPr>
          <w:rFonts w:hint="eastAsia" w:ascii="仿宋" w:hAnsi="仿宋" w:eastAsia="仿宋" w:cs="仿宋"/>
          <w:color w:val="auto"/>
          <w:sz w:val="24"/>
          <w:szCs w:val="24"/>
          <w:lang w:val="en-US" w:eastAsia="zh-CN"/>
        </w:rPr>
        <w:t>技术文件</w:t>
      </w:r>
    </w:p>
    <w:p w14:paraId="31F1BF17">
      <w:pPr>
        <w:numPr>
          <w:ilvl w:val="0"/>
          <w:numId w:val="0"/>
        </w:numPr>
        <w:adjustRightInd w:val="0"/>
        <w:snapToGrid w:val="0"/>
        <w:spacing w:before="50" w:line="360" w:lineRule="auto"/>
        <w:ind w:right="-105" w:rightChars="-50" w:firstLine="480" w:firstLineChars="200"/>
        <w:rPr>
          <w:rFonts w:hint="default" w:ascii="仿宋" w:hAnsi="仿宋" w:eastAsia="仿宋" w:cs="仿宋"/>
          <w:color w:val="auto"/>
          <w:sz w:val="24"/>
          <w:szCs w:val="24"/>
          <w:lang w:val="en-US" w:eastAsia="zh-CN"/>
        </w:rPr>
      </w:pPr>
      <w:r>
        <w:rPr>
          <w:rFonts w:hint="default" w:ascii="仿宋" w:hAnsi="仿宋" w:eastAsia="仿宋" w:cs="仿宋"/>
          <w:color w:val="auto"/>
          <w:kern w:val="2"/>
          <w:sz w:val="24"/>
          <w:szCs w:val="24"/>
          <w:lang w:val="en-US" w:eastAsia="zh-CN" w:bidi="ar-SA"/>
        </w:rPr>
        <w:t>（12）</w:t>
      </w:r>
      <w:r>
        <w:rPr>
          <w:rFonts w:hint="eastAsia" w:ascii="仿宋" w:hAnsi="仿宋" w:eastAsia="仿宋" w:cs="仿宋"/>
          <w:color w:val="auto"/>
          <w:sz w:val="24"/>
          <w:szCs w:val="24"/>
          <w:lang w:val="en-US" w:eastAsia="zh-CN"/>
        </w:rPr>
        <w:t>其他资料</w:t>
      </w:r>
    </w:p>
    <w:p w14:paraId="4FD893B6">
      <w:pPr>
        <w:numPr>
          <w:ilvl w:val="0"/>
          <w:numId w:val="0"/>
        </w:numPr>
        <w:adjustRightInd w:val="0"/>
        <w:snapToGrid w:val="0"/>
        <w:spacing w:beforeLines="50" w:line="360" w:lineRule="auto"/>
        <w:ind w:firstLine="482" w:firstLineChars="200"/>
        <w:rPr>
          <w:rFonts w:hint="default" w:ascii="仿宋" w:hAnsi="仿宋" w:eastAsia="仿宋" w:cs="仿宋"/>
          <w:color w:val="auto"/>
          <w:sz w:val="24"/>
          <w:szCs w:val="24"/>
          <w:lang w:val="en-US" w:eastAsia="zh-CN"/>
        </w:rPr>
      </w:pPr>
      <w:r>
        <w:rPr>
          <w:rFonts w:hint="eastAsia" w:ascii="仿宋" w:hAnsi="仿宋" w:eastAsia="仿宋" w:cs="仿宋"/>
          <w:b/>
          <w:bCs/>
          <w:color w:val="auto"/>
          <w:kern w:val="2"/>
          <w:sz w:val="24"/>
          <w:szCs w:val="24"/>
          <w:lang w:val="en-US" w:eastAsia="zh-CN" w:bidi="ar-SA"/>
        </w:rPr>
        <w:t>政采云响应文件制作时应按磋商文件要求及政采云要求上传清晰的相关证明材料。未按要求上传导致的废标、无效响应由供应商自行承担责任。</w:t>
      </w:r>
    </w:p>
    <w:p w14:paraId="6BB7D9D7">
      <w:pPr>
        <w:keepNext w:val="0"/>
        <w:keepLines w:val="0"/>
        <w:pageBreakBefore w:val="0"/>
        <w:widowControl w:val="0"/>
        <w:kinsoku/>
        <w:wordWrap/>
        <w:overflowPunct/>
        <w:topLinePunct w:val="0"/>
        <w:autoSpaceDE/>
        <w:autoSpaceDN/>
        <w:bidi w:val="0"/>
        <w:adjustRightInd w:val="0"/>
        <w:snapToGrid w:val="0"/>
        <w:spacing w:beforeLines="5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8.1.3 报价文件</w:t>
      </w:r>
    </w:p>
    <w:p w14:paraId="648D2CCA">
      <w:pPr>
        <w:keepNext w:val="0"/>
        <w:keepLines w:val="0"/>
        <w:pageBreakBefore w:val="0"/>
        <w:widowControl w:val="0"/>
        <w:kinsoku/>
        <w:wordWrap/>
        <w:overflowPunct/>
        <w:topLinePunct w:val="0"/>
        <w:autoSpaceDE/>
        <w:autoSpaceDN/>
        <w:bidi w:val="0"/>
        <w:adjustRightInd w:val="0"/>
        <w:snapToGrid w:val="0"/>
        <w:spacing w:beforeLines="5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竞争性磋商响应函、</w:t>
      </w:r>
      <w:r>
        <w:rPr>
          <w:rFonts w:hint="eastAsia" w:ascii="仿宋" w:hAnsi="仿宋" w:eastAsia="仿宋" w:cs="仿宋"/>
          <w:b w:val="0"/>
          <w:bCs w:val="0"/>
          <w:color w:val="auto"/>
          <w:sz w:val="24"/>
          <w:szCs w:val="24"/>
          <w:lang w:val="en-US" w:eastAsia="zh-CN"/>
        </w:rPr>
        <w:t>开标一览表、</w:t>
      </w:r>
      <w:r>
        <w:rPr>
          <w:rFonts w:hint="eastAsia" w:ascii="仿宋" w:hAnsi="仿宋" w:eastAsia="仿宋" w:cs="仿宋"/>
          <w:color w:val="auto"/>
          <w:sz w:val="24"/>
          <w:szCs w:val="24"/>
          <w:lang w:val="en-US" w:eastAsia="zh-CN"/>
        </w:rPr>
        <w:t>报价明细表</w:t>
      </w:r>
    </w:p>
    <w:p w14:paraId="03D07D9A">
      <w:pPr>
        <w:keepNext w:val="0"/>
        <w:keepLines w:val="0"/>
        <w:pageBreakBefore w:val="0"/>
        <w:widowControl w:val="0"/>
        <w:kinsoku/>
        <w:wordWrap/>
        <w:overflowPunct/>
        <w:topLinePunct w:val="0"/>
        <w:autoSpaceDE/>
        <w:autoSpaceDN/>
        <w:bidi w:val="0"/>
        <w:adjustRightInd w:val="0"/>
        <w:snapToGrid w:val="0"/>
        <w:spacing w:beforeLines="5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8.1.4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新疆政府采购网政采云开评标系统（政采云电子投标客户端）中开标一览表、报价明细表等填写内容应与响应文件一致；新疆政府采购网政采云系统（政采云电子投标客户端）编制资格文件时应按系统要求及磋商文件要求上传相关资格证明材料及说明，未按要求上传相关资格证明材料及说明视为无效响应文件。</w:t>
      </w:r>
    </w:p>
    <w:p w14:paraId="2AFB3458">
      <w:pPr>
        <w:adjustRightInd w:val="0"/>
        <w:snapToGrid w:val="0"/>
        <w:spacing w:beforeLines="50"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8.1.5</w:t>
      </w:r>
      <w:r>
        <w:rPr>
          <w:rFonts w:hint="eastAsia" w:ascii="仿宋" w:hAnsi="仿宋" w:eastAsia="仿宋" w:cs="仿宋"/>
          <w:color w:val="auto"/>
          <w:sz w:val="24"/>
          <w:szCs w:val="24"/>
        </w:rPr>
        <w:t>★</w:t>
      </w:r>
      <w:r>
        <w:rPr>
          <w:rFonts w:hint="eastAsia" w:ascii="仿宋" w:hAnsi="仿宋" w:eastAsia="仿宋" w:cs="仿宋"/>
          <w:b/>
          <w:bCs/>
          <w:color w:val="auto"/>
          <w:kern w:val="2"/>
          <w:sz w:val="24"/>
          <w:szCs w:val="24"/>
          <w:lang w:val="en-US" w:eastAsia="zh-CN" w:bidi="ar-SA"/>
        </w:rPr>
        <w:t>响应供应商制作电子版竞争性磋商响应文件时须保证竞争性磋商响应文件中的资料、图片、证明材料等为原件扫描件，资料、证明材料等须严谨、清晰、完整。证明材料、资料等不清晰、不完整、不严谨等原因导致出现废标、扣分等情况，各响应供应商自行负责。</w:t>
      </w:r>
    </w:p>
    <w:p w14:paraId="44D90D3F">
      <w:pPr>
        <w:adjustRightInd w:val="0"/>
        <w:snapToGrid w:val="0"/>
        <w:spacing w:beforeLines="5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 响应供应商应按8.1条及“第七章响应文件格式”目录及表格编制投标响应文件。</w:t>
      </w:r>
    </w:p>
    <w:p w14:paraId="5C7676B5">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根据《中华人民共和国政府采购法》第四十二条的规定，供应商无论成交与否，其竞争性磋商响应文件不予退还。</w:t>
      </w:r>
    </w:p>
    <w:p w14:paraId="06E1284F">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9.报价</w:t>
      </w:r>
    </w:p>
    <w:p w14:paraId="5E125115">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9.1供应商应当根据竞争性磋商文件要求和范围，以</w:t>
      </w:r>
      <w:r>
        <w:rPr>
          <w:rFonts w:hint="eastAsia" w:ascii="仿宋" w:hAnsi="仿宋" w:eastAsia="仿宋" w:cs="仿宋"/>
          <w:bCs/>
          <w:color w:val="auto"/>
          <w:sz w:val="24"/>
          <w:szCs w:val="24"/>
        </w:rPr>
        <w:t>人民币</w:t>
      </w:r>
      <w:r>
        <w:rPr>
          <w:rFonts w:hint="eastAsia" w:ascii="仿宋" w:hAnsi="仿宋" w:eastAsia="仿宋" w:cs="仿宋"/>
          <w:color w:val="auto"/>
          <w:sz w:val="24"/>
          <w:szCs w:val="24"/>
        </w:rPr>
        <w:t>报价。</w:t>
      </w:r>
    </w:p>
    <w:p w14:paraId="1278A1C3">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9.2竞争性磋商响应文件中标明的价格在合同执行过程中是固定不变的，不得以任何理由予以变更。以可变动价格提交的报价将被认为是非实质响应采购要求而被拒绝。</w:t>
      </w:r>
    </w:p>
    <w:p w14:paraId="48C058A4">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9.3除</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中另有规定外，本次采购不接受备选方案报价。</w:t>
      </w:r>
    </w:p>
    <w:p w14:paraId="13FCF9CE">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9.4采购项目预算见</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的报价不得超过</w:t>
      </w:r>
      <w:r>
        <w:rPr>
          <w:rFonts w:hint="eastAsia" w:ascii="仿宋" w:hAnsi="仿宋" w:eastAsia="仿宋" w:cs="仿宋"/>
          <w:color w:val="auto"/>
          <w:sz w:val="24"/>
          <w:szCs w:val="24"/>
          <w:lang w:eastAsia="zh-CN"/>
        </w:rPr>
        <w:t>或等于</w:t>
      </w:r>
      <w:r>
        <w:rPr>
          <w:rFonts w:hint="eastAsia" w:ascii="仿宋" w:hAnsi="仿宋" w:eastAsia="仿宋" w:cs="仿宋"/>
          <w:color w:val="auto"/>
          <w:sz w:val="24"/>
          <w:szCs w:val="24"/>
        </w:rPr>
        <w:t>采购项目预算。</w:t>
      </w:r>
    </w:p>
    <w:p w14:paraId="13D623DC">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10.供应商符合竞争性磋商文件规定的证明文件</w:t>
      </w:r>
    </w:p>
    <w:p w14:paraId="0A1E4F2C">
      <w:pPr>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10.1供应商应</w:t>
      </w:r>
      <w:r>
        <w:rPr>
          <w:rFonts w:hint="eastAsia" w:ascii="仿宋" w:hAnsi="仿宋" w:eastAsia="仿宋" w:cs="仿宋"/>
          <w:color w:val="auto"/>
          <w:sz w:val="24"/>
          <w:szCs w:val="24"/>
        </w:rPr>
        <w:t>提供</w:t>
      </w:r>
      <w:r>
        <w:rPr>
          <w:rFonts w:hint="eastAsia" w:ascii="仿宋" w:hAnsi="仿宋" w:eastAsia="仿宋" w:cs="仿宋"/>
          <w:color w:val="auto"/>
          <w:kern w:val="0"/>
          <w:sz w:val="24"/>
          <w:szCs w:val="24"/>
          <w:lang w:val="zh-CN"/>
        </w:rPr>
        <w:t>符合竞争性磋商文件</w:t>
      </w:r>
      <w:r>
        <w:rPr>
          <w:rFonts w:hint="eastAsia" w:ascii="仿宋" w:hAnsi="仿宋" w:eastAsia="仿宋" w:cs="仿宋"/>
          <w:color w:val="auto"/>
          <w:sz w:val="24"/>
          <w:szCs w:val="24"/>
        </w:rPr>
        <w:t>规定的资格条件要求</w:t>
      </w:r>
      <w:r>
        <w:rPr>
          <w:rFonts w:hint="eastAsia" w:ascii="仿宋" w:hAnsi="仿宋" w:eastAsia="仿宋" w:cs="仿宋"/>
          <w:color w:val="auto"/>
          <w:kern w:val="0"/>
          <w:sz w:val="24"/>
          <w:szCs w:val="24"/>
          <w:lang w:val="zh-CN"/>
        </w:rPr>
        <w:t>的证明材料</w:t>
      </w:r>
      <w:r>
        <w:rPr>
          <w:rFonts w:hint="eastAsia" w:ascii="仿宋" w:hAnsi="仿宋" w:eastAsia="仿宋" w:cs="仿宋"/>
          <w:color w:val="auto"/>
          <w:kern w:val="0"/>
          <w:sz w:val="24"/>
          <w:szCs w:val="24"/>
          <w:lang w:val="en-US" w:eastAsia="zh-CN"/>
        </w:rPr>
        <w:t>且在新疆政府采购网政采云系统中上传，未按要求上传或漏传视为无效投标</w:t>
      </w:r>
      <w:r>
        <w:rPr>
          <w:rFonts w:hint="eastAsia" w:ascii="仿宋" w:hAnsi="仿宋" w:eastAsia="仿宋" w:cs="仿宋"/>
          <w:color w:val="auto"/>
          <w:kern w:val="0"/>
          <w:sz w:val="24"/>
          <w:szCs w:val="24"/>
          <w:lang w:val="zh-CN"/>
        </w:rPr>
        <w:t>。</w:t>
      </w:r>
    </w:p>
    <w:p w14:paraId="06A03CF2">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10.2除</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另有规定外，</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提供的货物及服务不是</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制造或拥有的,则应当提供经销、或代理采购货物、或为采购货物提供售后服务的证明文件。否则将视为非实质响应而被拒绝。</w:t>
      </w:r>
    </w:p>
    <w:p w14:paraId="724D9CA2">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11.货物符合竞争性磋商文件规定的证明文件</w:t>
      </w:r>
    </w:p>
    <w:p w14:paraId="3968C9BE">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 供应商须提交证明其拟供货物及其服务符合竞争性磋商文件规定的响应性文件，作为竞争性磋商竞争性磋商的一部分。</w:t>
      </w:r>
    </w:p>
    <w:p w14:paraId="5E55C49B">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 证明货物及其服务与竞争性磋商文件要求一致的文件，可以是文字资料、图纸和数据，并须提供：</w:t>
      </w:r>
    </w:p>
    <w:p w14:paraId="0A4901D5">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（1）货物主要性能和参数的详细说明；</w:t>
      </w:r>
    </w:p>
    <w:p w14:paraId="2717A91B">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（2）对照竞争性磋商文件技术规格，逐条说明所提供货物和服务对技术规格响应与偏离表，并申明技术规格条文的响应或偏离。对有具体参数要求的指标，</w:t>
      </w:r>
      <w:r>
        <w:rPr>
          <w:rFonts w:hint="eastAsia" w:ascii="仿宋" w:hAnsi="仿宋" w:eastAsia="仿宋" w:cs="仿宋"/>
          <w:bCs/>
          <w:color w:val="auto"/>
          <w:sz w:val="24"/>
          <w:szCs w:val="24"/>
        </w:rPr>
        <w:t>供应商</w:t>
      </w:r>
      <w:r>
        <w:rPr>
          <w:rFonts w:hint="eastAsia" w:ascii="仿宋" w:hAnsi="仿宋" w:eastAsia="仿宋" w:cs="仿宋"/>
          <w:color w:val="auto"/>
          <w:sz w:val="24"/>
          <w:szCs w:val="24"/>
        </w:rPr>
        <w:t>应提供具体参数值。</w:t>
      </w:r>
    </w:p>
    <w:p w14:paraId="1ACB4C0D">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12.保证金</w:t>
      </w:r>
    </w:p>
    <w:p w14:paraId="48992720">
      <w:pPr>
        <w:adjustRightInd w:val="0"/>
        <w:snapToGrid w:val="0"/>
        <w:spacing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12.1</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规定交纳</w:t>
      </w:r>
      <w:r>
        <w:rPr>
          <w:rFonts w:hint="eastAsia" w:ascii="仿宋" w:hAnsi="仿宋" w:eastAsia="仿宋" w:cs="仿宋"/>
          <w:bCs/>
          <w:color w:val="auto"/>
          <w:sz w:val="24"/>
          <w:szCs w:val="24"/>
        </w:rPr>
        <w:t>保证金的</w:t>
      </w:r>
      <w:r>
        <w:rPr>
          <w:rFonts w:hint="eastAsia" w:ascii="仿宋" w:hAnsi="仿宋" w:eastAsia="仿宋" w:cs="仿宋"/>
          <w:color w:val="auto"/>
          <w:sz w:val="24"/>
          <w:szCs w:val="24"/>
        </w:rPr>
        <w:t>，</w:t>
      </w:r>
      <w:r>
        <w:rPr>
          <w:rFonts w:hint="eastAsia" w:ascii="仿宋" w:hAnsi="仿宋" w:eastAsia="仿宋" w:cs="仿宋"/>
          <w:bCs/>
          <w:color w:val="auto"/>
          <w:sz w:val="24"/>
          <w:szCs w:val="24"/>
        </w:rPr>
        <w:t>供应商应</w:t>
      </w:r>
      <w:r>
        <w:rPr>
          <w:rFonts w:hint="eastAsia" w:ascii="仿宋" w:hAnsi="仿宋" w:eastAsia="仿宋" w:cs="仿宋"/>
          <w:color w:val="auto"/>
          <w:sz w:val="24"/>
          <w:szCs w:val="24"/>
        </w:rPr>
        <w:t>按</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规定的要求提交保证金，</w:t>
      </w:r>
      <w:r>
        <w:rPr>
          <w:rFonts w:hint="eastAsia" w:ascii="仿宋" w:hAnsi="仿宋" w:eastAsia="仿宋" w:cs="仿宋"/>
          <w:bCs/>
          <w:color w:val="auto"/>
          <w:sz w:val="24"/>
          <w:szCs w:val="24"/>
        </w:rPr>
        <w:t>保证金有效期应当与</w:t>
      </w:r>
      <w:r>
        <w:rPr>
          <w:rFonts w:hint="eastAsia" w:ascii="仿宋" w:hAnsi="仿宋" w:eastAsia="仿宋" w:cs="仿宋"/>
          <w:color w:val="auto"/>
          <w:sz w:val="24"/>
          <w:szCs w:val="24"/>
        </w:rPr>
        <w:t>规定</w:t>
      </w:r>
      <w:r>
        <w:rPr>
          <w:rFonts w:hint="eastAsia" w:ascii="仿宋" w:hAnsi="仿宋" w:eastAsia="仿宋" w:cs="仿宋"/>
          <w:color w:val="auto"/>
          <w:kern w:val="0"/>
          <w:sz w:val="24"/>
          <w:szCs w:val="24"/>
          <w:lang w:val="zh-CN"/>
        </w:rPr>
        <w:t>的竞争性磋商</w:t>
      </w:r>
      <w:r>
        <w:rPr>
          <w:rFonts w:hint="eastAsia" w:ascii="仿宋" w:hAnsi="仿宋" w:eastAsia="仿宋" w:cs="仿宋"/>
          <w:color w:val="auto"/>
          <w:sz w:val="24"/>
          <w:szCs w:val="24"/>
        </w:rPr>
        <w:t>响应</w:t>
      </w:r>
      <w:r>
        <w:rPr>
          <w:rFonts w:hint="eastAsia" w:ascii="仿宋" w:hAnsi="仿宋" w:eastAsia="仿宋" w:cs="仿宋"/>
          <w:bCs/>
          <w:color w:val="auto"/>
          <w:sz w:val="24"/>
          <w:szCs w:val="24"/>
        </w:rPr>
        <w:t>文件有效期一致。</w:t>
      </w:r>
    </w:p>
    <w:p w14:paraId="5BC3C7F9">
      <w:pPr>
        <w:adjustRightInd w:val="0"/>
        <w:snapToGrid w:val="0"/>
        <w:spacing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12.2 未按规定提交保证金的竞争性磋商响应文件，将被视为非实质响应而被拒绝。</w:t>
      </w:r>
    </w:p>
    <w:p w14:paraId="4A399D51">
      <w:pPr>
        <w:adjustRightInd w:val="0"/>
        <w:snapToGrid w:val="0"/>
        <w:spacing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12.3 采购代理机构在成交通知书发出后1个工作日内退还未成交供应商的保证金。</w:t>
      </w:r>
    </w:p>
    <w:p w14:paraId="10E21BF6">
      <w:pPr>
        <w:keepNext w:val="0"/>
        <w:keepLines w:val="0"/>
        <w:pageBreakBefore w:val="0"/>
        <w:widowControl w:val="0"/>
        <w:kinsoku/>
        <w:wordWrap/>
        <w:overflowPunct/>
        <w:topLinePunct w:val="0"/>
        <w:autoSpaceDE/>
        <w:autoSpaceDN/>
        <w:bidi w:val="0"/>
        <w:adjustRightInd w:val="0"/>
        <w:snapToGrid w:val="0"/>
        <w:spacing w:beforeLines="5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12.4发生以下情况保证金将不予退还：</w:t>
      </w:r>
    </w:p>
    <w:p w14:paraId="4B2EA485">
      <w:pPr>
        <w:keepNext w:val="0"/>
        <w:keepLines w:val="0"/>
        <w:pageBreakBefore w:val="0"/>
        <w:widowControl w:val="0"/>
        <w:kinsoku/>
        <w:wordWrap/>
        <w:overflowPunct/>
        <w:topLinePunct w:val="0"/>
        <w:autoSpaceDE/>
        <w:autoSpaceDN/>
        <w:bidi w:val="0"/>
        <w:adjustRightInd w:val="0"/>
        <w:snapToGrid w:val="0"/>
        <w:spacing w:beforeLines="5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（1）供应商在本章规定的递交竞争性磋商响应文件截止时间后撤回竞争性磋商响应文件的；</w:t>
      </w:r>
    </w:p>
    <w:p w14:paraId="199EE12D">
      <w:pPr>
        <w:keepNext w:val="0"/>
        <w:keepLines w:val="0"/>
        <w:pageBreakBefore w:val="0"/>
        <w:widowControl w:val="0"/>
        <w:kinsoku/>
        <w:wordWrap/>
        <w:overflowPunct/>
        <w:topLinePunct w:val="0"/>
        <w:autoSpaceDE/>
        <w:autoSpaceDN/>
        <w:bidi w:val="0"/>
        <w:adjustRightInd w:val="0"/>
        <w:snapToGrid w:val="0"/>
        <w:spacing w:beforeLines="5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（2）供应商在竞争性磋商响应文件中提供虚假材料或虚假承诺的；</w:t>
      </w:r>
    </w:p>
    <w:p w14:paraId="1648E104">
      <w:pPr>
        <w:keepNext w:val="0"/>
        <w:keepLines w:val="0"/>
        <w:pageBreakBefore w:val="0"/>
        <w:widowControl w:val="0"/>
        <w:kinsoku/>
        <w:wordWrap/>
        <w:overflowPunct/>
        <w:topLinePunct w:val="0"/>
        <w:autoSpaceDE/>
        <w:autoSpaceDN/>
        <w:bidi w:val="0"/>
        <w:adjustRightInd w:val="0"/>
        <w:snapToGrid w:val="0"/>
        <w:spacing w:beforeLines="5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（3）成交供应商无正当理由不与采购人签定合同或转让、分包项目以及拒绝履行合同义务的；</w:t>
      </w:r>
    </w:p>
    <w:p w14:paraId="44FAA100">
      <w:pPr>
        <w:keepNext w:val="0"/>
        <w:keepLines w:val="0"/>
        <w:pageBreakBefore w:val="0"/>
        <w:widowControl w:val="0"/>
        <w:kinsoku/>
        <w:wordWrap/>
        <w:overflowPunct/>
        <w:topLinePunct w:val="0"/>
        <w:autoSpaceDE/>
        <w:autoSpaceDN/>
        <w:bidi w:val="0"/>
        <w:adjustRightInd w:val="0"/>
        <w:snapToGrid w:val="0"/>
        <w:spacing w:beforeLines="5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（4）中标公告前和中标公示期间，成交候选人无正当理由放弃中标资格的；</w:t>
      </w:r>
    </w:p>
    <w:p w14:paraId="1B24C30F">
      <w:pPr>
        <w:keepNext w:val="0"/>
        <w:keepLines w:val="0"/>
        <w:pageBreakBefore w:val="0"/>
        <w:widowControl w:val="0"/>
        <w:kinsoku/>
        <w:wordWrap/>
        <w:overflowPunct/>
        <w:topLinePunct w:val="0"/>
        <w:autoSpaceDE/>
        <w:autoSpaceDN/>
        <w:bidi w:val="0"/>
        <w:adjustRightInd w:val="0"/>
        <w:snapToGrid w:val="0"/>
        <w:spacing w:beforeLines="5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（5）竞争性磋商文件规定的其他情形。</w:t>
      </w:r>
    </w:p>
    <w:p w14:paraId="00928A98">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13.竞争性磋商</w:t>
      </w:r>
      <w:r>
        <w:rPr>
          <w:rFonts w:hint="eastAsia" w:ascii="仿宋" w:hAnsi="仿宋" w:eastAsia="仿宋" w:cs="仿宋"/>
          <w:b/>
          <w:color w:val="auto"/>
          <w:sz w:val="24"/>
          <w:szCs w:val="24"/>
        </w:rPr>
        <w:t>响应文件有效期</w:t>
      </w:r>
    </w:p>
    <w:p w14:paraId="3EC956EB">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13.1竞争性磋商响应文件有效期见</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，在此期间竞争性磋商响应文件对供应商具有法律约束力，竞争性磋商响应文件有效期从规定的递交竞争性磋商响应文件截止时间之日起计算。竞争性磋商响应文件有效期不足的将被视为无效响应，并予以拒绝。</w:t>
      </w:r>
    </w:p>
    <w:p w14:paraId="11D5CA21">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13.2特殊情况下，采购代理机构可于竞争性磋商响应文件有效期满之前要求供应商同意延长有效期，要求与答复均应为书面形式。供应商可以拒绝上述要求而其保证金不被没收。对于同意该要求的供应商，既不要求也不允许其修改竞争性磋商响应文件，但将要求其相应延长保证金的有效期。有关退还和没收保证金的规定在竞争性磋商响应文件有效期的延长期内继续有效。</w:t>
      </w:r>
    </w:p>
    <w:p w14:paraId="65DA33E2">
      <w:pPr>
        <w:widowControl/>
        <w:adjustRightInd w:val="0"/>
        <w:snapToGrid w:val="0"/>
        <w:spacing w:beforeLines="50" w:line="360" w:lineRule="auto"/>
        <w:jc w:val="left"/>
        <w:rPr>
          <w:rFonts w:hint="eastAsia" w:ascii="仿宋" w:hAnsi="仿宋" w:eastAsia="仿宋" w:cs="仿宋"/>
          <w:b/>
          <w:color w:val="auto"/>
          <w:sz w:val="24"/>
          <w:szCs w:val="24"/>
        </w:rPr>
      </w:pPr>
      <w:bookmarkStart w:id="35" w:name="_Hlk39664050"/>
      <w:bookmarkStart w:id="36" w:name="_Hlk38276022"/>
      <w:r>
        <w:rPr>
          <w:rFonts w:hint="eastAsia" w:ascii="仿宋" w:hAnsi="仿宋" w:eastAsia="仿宋" w:cs="仿宋"/>
          <w:b/>
          <w:bCs/>
          <w:color w:val="auto"/>
          <w:kern w:val="0"/>
          <w:sz w:val="24"/>
          <w:szCs w:val="24"/>
        </w:rPr>
        <w:t>14.</w:t>
      </w:r>
      <w:r>
        <w:rPr>
          <w:rFonts w:hint="eastAsia" w:ascii="仿宋" w:hAnsi="仿宋" w:eastAsia="仿宋" w:cs="仿宋"/>
          <w:b/>
          <w:color w:val="auto"/>
          <w:sz w:val="24"/>
          <w:szCs w:val="24"/>
        </w:rPr>
        <w:t>有下列情形之一的，视为</w:t>
      </w:r>
      <w:r>
        <w:rPr>
          <w:rFonts w:hint="eastAsia" w:ascii="仿宋" w:hAnsi="仿宋" w:eastAsia="仿宋" w:cs="仿宋"/>
          <w:b/>
          <w:color w:val="auto"/>
          <w:sz w:val="24"/>
          <w:szCs w:val="24"/>
          <w:lang w:eastAsia="zh-CN"/>
        </w:rPr>
        <w:t>响应供应商</w:t>
      </w:r>
      <w:r>
        <w:rPr>
          <w:rFonts w:hint="eastAsia" w:ascii="仿宋" w:hAnsi="仿宋" w:eastAsia="仿宋" w:cs="仿宋"/>
          <w:b/>
          <w:color w:val="auto"/>
          <w:sz w:val="24"/>
          <w:szCs w:val="24"/>
        </w:rPr>
        <w:t>串通投标，其投标无效：</w:t>
      </w:r>
    </w:p>
    <w:p w14:paraId="7086DAA3">
      <w:pPr>
        <w:widowControl/>
        <w:adjustRightInd w:val="0"/>
        <w:snapToGrid w:val="0"/>
        <w:spacing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14.1不同</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由同一单位或者个人编制；</w:t>
      </w:r>
    </w:p>
    <w:p w14:paraId="489E391A">
      <w:pPr>
        <w:widowControl/>
        <w:adjustRightInd w:val="0"/>
        <w:snapToGrid w:val="0"/>
        <w:spacing w:beforeLines="50" w:line="360" w:lineRule="auto"/>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14.2不同</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委托同一单位或者个人办理投标事宜；</w:t>
      </w:r>
    </w:p>
    <w:p w14:paraId="663F26E5">
      <w:pPr>
        <w:widowControl/>
        <w:adjustRightInd w:val="0"/>
        <w:snapToGrid w:val="0"/>
        <w:spacing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14.3不同</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载明的项目管理成员或者联系人员为同一人；</w:t>
      </w:r>
    </w:p>
    <w:p w14:paraId="6A19E361">
      <w:pPr>
        <w:widowControl/>
        <w:adjustRightInd w:val="0"/>
        <w:snapToGrid w:val="0"/>
        <w:spacing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14.4不同</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异常一致或者</w:t>
      </w:r>
      <w:r>
        <w:rPr>
          <w:rFonts w:hint="eastAsia" w:ascii="仿宋" w:hAnsi="仿宋" w:eastAsia="仿宋" w:cs="仿宋"/>
          <w:color w:val="auto"/>
          <w:sz w:val="24"/>
          <w:szCs w:val="24"/>
          <w:lang w:eastAsia="zh-CN"/>
        </w:rPr>
        <w:t>响应报价</w:t>
      </w:r>
      <w:r>
        <w:rPr>
          <w:rFonts w:hint="eastAsia" w:ascii="仿宋" w:hAnsi="仿宋" w:eastAsia="仿宋" w:cs="仿宋"/>
          <w:color w:val="auto"/>
          <w:sz w:val="24"/>
          <w:szCs w:val="24"/>
        </w:rPr>
        <w:t>呈规律性差异；</w:t>
      </w:r>
    </w:p>
    <w:p w14:paraId="033F6726">
      <w:pPr>
        <w:widowControl/>
        <w:adjustRightInd w:val="0"/>
        <w:snapToGrid w:val="0"/>
        <w:spacing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14.5不同</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相互混装；</w:t>
      </w:r>
    </w:p>
    <w:p w14:paraId="59CF63FA">
      <w:pPr>
        <w:widowControl/>
        <w:adjustRightInd w:val="0"/>
        <w:snapToGrid w:val="0"/>
        <w:spacing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14.6不同</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的投标保证金从同一单位或者个人的账户转出。</w:t>
      </w:r>
    </w:p>
    <w:bookmarkEnd w:id="35"/>
    <w:p w14:paraId="50F57FE9">
      <w:pPr>
        <w:adjustRightInd w:val="0"/>
        <w:snapToGrid w:val="0"/>
        <w:spacing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四、竞争性磋商响应文件的递交</w:t>
      </w:r>
    </w:p>
    <w:p w14:paraId="1767CCDA">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15.</w:t>
      </w:r>
      <w:r>
        <w:rPr>
          <w:rFonts w:hint="eastAsia" w:ascii="仿宋" w:hAnsi="仿宋" w:eastAsia="仿宋" w:cs="仿宋"/>
          <w:b/>
          <w:color w:val="auto"/>
          <w:sz w:val="24"/>
          <w:szCs w:val="24"/>
        </w:rPr>
        <w:t>竞争性磋商响应文件</w:t>
      </w:r>
      <w:r>
        <w:rPr>
          <w:rFonts w:hint="eastAsia" w:ascii="仿宋" w:hAnsi="仿宋" w:eastAsia="仿宋" w:cs="仿宋"/>
          <w:b/>
          <w:bCs/>
          <w:color w:val="auto"/>
          <w:sz w:val="24"/>
          <w:szCs w:val="24"/>
        </w:rPr>
        <w:t>的修改和撤回</w:t>
      </w:r>
    </w:p>
    <w:p w14:paraId="21402FF9">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15.1在开标时间前，潜在</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对竞争性磋商文件有疑问且要求</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澄清的，应于本投标须知前附表规定的时间前以书面形式告知</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对竞争性磋商文件的修改或答疑回复将于本投标须知前附表规定的时间以书面形式发出,</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自行上网查阅，并须填写本竞争性磋商文件规定格式之回执，附在供应商竞争性磋商响应文件内。如无答疑回复，则不需填写回执。</w:t>
      </w:r>
    </w:p>
    <w:p w14:paraId="582A7409">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15.2为使供应商有合理的时间按补充文件准备竞争性磋商响应文件，</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可能根据具体情况酌情延长投标截止日期。</w:t>
      </w:r>
    </w:p>
    <w:p w14:paraId="5AEB31FB">
      <w:pPr>
        <w:numPr>
          <w:ilvl w:val="0"/>
          <w:numId w:val="4"/>
        </w:num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color w:val="auto"/>
          <w:sz w:val="24"/>
          <w:szCs w:val="24"/>
        </w:rPr>
        <w:t>竞争性磋商响应文件</w:t>
      </w:r>
      <w:r>
        <w:rPr>
          <w:rFonts w:hint="eastAsia" w:ascii="仿宋" w:hAnsi="仿宋" w:eastAsia="仿宋" w:cs="仿宋"/>
          <w:b/>
          <w:bCs/>
          <w:color w:val="auto"/>
          <w:sz w:val="24"/>
          <w:szCs w:val="24"/>
        </w:rPr>
        <w:t>的递交与接收</w:t>
      </w:r>
    </w:p>
    <w:p w14:paraId="586A9474">
      <w:pPr>
        <w:adjustRightInd w:val="0"/>
        <w:snapToGrid w:val="0"/>
        <w:spacing w:beforeLines="5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16.1竞争性磋商响应文件应按供应商须知前附表要求的响应截止时间内在新疆政府采购网政采云系统上传。</w:t>
      </w:r>
    </w:p>
    <w:p w14:paraId="0374EF21">
      <w:pPr>
        <w:adjustRightInd w:val="0"/>
        <w:snapToGrid w:val="0"/>
        <w:spacing w:beforeLines="5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16.2竞争性磋商响应文件在响应截止时间内可撤回、修改；响应截止时间后不得撤回、修改。</w:t>
      </w:r>
    </w:p>
    <w:p w14:paraId="3A15106E">
      <w:pPr>
        <w:widowControl w:val="0"/>
        <w:numPr>
          <w:ilvl w:val="0"/>
          <w:numId w:val="0"/>
        </w:numPr>
        <w:adjustRightInd w:val="0"/>
        <w:snapToGrid w:val="0"/>
        <w:spacing w:beforeLines="50" w:line="360" w:lineRule="auto"/>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17.</w:t>
      </w:r>
      <w:r>
        <w:rPr>
          <w:rFonts w:hint="eastAsia" w:ascii="仿宋" w:hAnsi="仿宋" w:eastAsia="仿宋" w:cs="仿宋"/>
          <w:color w:val="auto"/>
          <w:sz w:val="24"/>
          <w:szCs w:val="24"/>
        </w:rPr>
        <w:t>▲</w:t>
      </w:r>
      <w:r>
        <w:rPr>
          <w:rFonts w:hint="eastAsia" w:ascii="仿宋" w:hAnsi="仿宋" w:eastAsia="仿宋" w:cs="仿宋"/>
          <w:b/>
          <w:bCs/>
          <w:color w:val="auto"/>
          <w:sz w:val="24"/>
          <w:szCs w:val="24"/>
          <w:lang w:val="en-US" w:eastAsia="zh-CN"/>
        </w:rPr>
        <w:t>竞争性磋商响应文件的编制和签署</w:t>
      </w:r>
    </w:p>
    <w:p w14:paraId="45E4E8F0">
      <w:pPr>
        <w:adjustRightInd w:val="0"/>
        <w:snapToGrid w:val="0"/>
        <w:spacing w:beforeLines="50"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7.1 供应商应仔细阅读</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的所有内容，按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的要求</w:t>
      </w:r>
      <w:r>
        <w:rPr>
          <w:rFonts w:hint="eastAsia" w:ascii="仿宋" w:hAnsi="仿宋" w:eastAsia="仿宋" w:cs="仿宋"/>
          <w:color w:val="auto"/>
          <w:sz w:val="24"/>
          <w:szCs w:val="24"/>
          <w:lang w:val="zh-CN"/>
        </w:rPr>
        <w:t>依法真实</w:t>
      </w:r>
      <w:r>
        <w:rPr>
          <w:rFonts w:hint="eastAsia" w:ascii="仿宋" w:hAnsi="仿宋" w:eastAsia="仿宋" w:cs="仿宋"/>
          <w:color w:val="auto"/>
          <w:sz w:val="24"/>
          <w:szCs w:val="24"/>
        </w:rPr>
        <w:t>编制</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响应文件，</w:t>
      </w:r>
      <w:r>
        <w:rPr>
          <w:rFonts w:hint="eastAsia" w:ascii="仿宋" w:hAnsi="仿宋" w:eastAsia="仿宋" w:cs="仿宋"/>
          <w:color w:val="auto"/>
          <w:sz w:val="24"/>
          <w:szCs w:val="24"/>
          <w:lang w:val="zh-CN"/>
        </w:rPr>
        <w:t>并对其递交的磋商</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文件承担法律责任。</w:t>
      </w:r>
    </w:p>
    <w:p w14:paraId="4D152148">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7.2 供应商提交的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响应文件及供应商与采购代理机构、</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就有关</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的所有来往函电均使用中文。供应商可以提交其它语言的资料，但有关响应内容应附中文注释，在有差异时以中文为准。</w:t>
      </w:r>
    </w:p>
    <w:p w14:paraId="56157167">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7.3 计量单位应使用我国法定计量单位。</w:t>
      </w:r>
    </w:p>
    <w:p w14:paraId="538ED240">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7.4 </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响应文件应采用书面形式，电报、传真形式的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响应文件概不接受。</w:t>
      </w:r>
    </w:p>
    <w:p w14:paraId="2C7EBCE8">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17.5 </w:t>
      </w:r>
      <w:r>
        <w:rPr>
          <w:rFonts w:hint="eastAsia" w:ascii="仿宋" w:hAnsi="仿宋" w:eastAsia="仿宋" w:cs="仿宋"/>
          <w:color w:val="auto"/>
          <w:sz w:val="24"/>
          <w:szCs w:val="24"/>
          <w:lang w:val="zh-CN"/>
        </w:rPr>
        <w:t>各供应商在编制响应文件时请按照</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rPr>
        <w:t>文件第</w:t>
      </w:r>
      <w:r>
        <w:rPr>
          <w:rFonts w:hint="eastAsia" w:ascii="仿宋" w:hAnsi="仿宋" w:eastAsia="仿宋" w:cs="仿宋"/>
          <w:color w:val="auto"/>
          <w:sz w:val="24"/>
          <w:szCs w:val="24"/>
          <w:lang w:val="en-US" w:eastAsia="zh-CN"/>
        </w:rPr>
        <w:t>七章</w:t>
      </w:r>
      <w:r>
        <w:rPr>
          <w:rFonts w:hint="eastAsia" w:ascii="仿宋" w:hAnsi="仿宋" w:eastAsia="仿宋" w:cs="仿宋"/>
          <w:color w:val="auto"/>
          <w:sz w:val="24"/>
          <w:szCs w:val="24"/>
          <w:lang w:val="zh-CN"/>
        </w:rPr>
        <w:t>规定的格式进行，混乱的编排导致响应文件被误读或磋商小组查找不到有效文件是供应商的风险。</w:t>
      </w:r>
    </w:p>
    <w:p w14:paraId="5037EDEF">
      <w:pPr>
        <w:adjustRightInd w:val="0"/>
        <w:snapToGrid w:val="0"/>
        <w:spacing w:beforeLines="50"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17.6 </w:t>
      </w:r>
      <w:r>
        <w:rPr>
          <w:rFonts w:hint="eastAsia" w:ascii="仿宋" w:hAnsi="仿宋" w:eastAsia="仿宋" w:cs="仿宋"/>
          <w:color w:val="auto"/>
          <w:sz w:val="24"/>
          <w:szCs w:val="24"/>
          <w:lang w:val="zh-CN"/>
        </w:rPr>
        <w:t>供应商进行电子交易应安装“政采云电子招投标供应商投标客户端”，并按照磋商文件和电子交易平台的要求编制并加密响应文件。供应商未按规定加密的响应文件，电子交易平台将拒收并提示。</w:t>
      </w:r>
    </w:p>
    <w:p w14:paraId="2EA4683E">
      <w:pPr>
        <w:adjustRightInd w:val="0"/>
        <w:snapToGrid w:val="0"/>
        <w:spacing w:beforeLines="50"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17.7 </w:t>
      </w:r>
      <w:r>
        <w:rPr>
          <w:rFonts w:hint="eastAsia" w:ascii="仿宋" w:hAnsi="仿宋" w:eastAsia="仿宋" w:cs="仿宋"/>
          <w:color w:val="auto"/>
          <w:sz w:val="24"/>
          <w:szCs w:val="24"/>
          <w:lang w:val="zh-CN"/>
        </w:rPr>
        <w:t>使用“政采云电子招投标供应商投标客户端”需要提前申领CA数字证书，申领流程请自行前往“</w:t>
      </w:r>
      <w:r>
        <w:rPr>
          <w:rFonts w:hint="eastAsia" w:ascii="仿宋" w:hAnsi="仿宋" w:eastAsia="仿宋" w:cs="仿宋"/>
          <w:color w:val="auto"/>
          <w:sz w:val="24"/>
          <w:szCs w:val="24"/>
          <w:lang w:val="en-US" w:eastAsia="zh-CN"/>
        </w:rPr>
        <w:t>新疆</w:t>
      </w:r>
      <w:r>
        <w:rPr>
          <w:rFonts w:hint="eastAsia" w:ascii="仿宋" w:hAnsi="仿宋" w:eastAsia="仿宋" w:cs="仿宋"/>
          <w:color w:val="auto"/>
          <w:sz w:val="24"/>
          <w:szCs w:val="24"/>
          <w:lang w:val="zh-CN"/>
        </w:rPr>
        <w:t>政府采购网-下载专区-</w:t>
      </w:r>
      <w:r>
        <w:rPr>
          <w:rFonts w:hint="eastAsia" w:ascii="仿宋" w:hAnsi="仿宋" w:eastAsia="仿宋" w:cs="仿宋"/>
          <w:color w:val="auto"/>
          <w:sz w:val="24"/>
          <w:szCs w:val="24"/>
        </w:rPr>
        <w:t>电子招投标供应商客户端下载</w:t>
      </w:r>
      <w:r>
        <w:rPr>
          <w:rFonts w:hint="eastAsia" w:ascii="仿宋" w:hAnsi="仿宋" w:eastAsia="仿宋" w:cs="仿宋"/>
          <w:color w:val="auto"/>
          <w:sz w:val="24"/>
          <w:szCs w:val="24"/>
          <w:lang w:val="zh-CN"/>
        </w:rPr>
        <w:t>--新疆维吾尔自治区全流程电子招投标项目管理系统--供应商客户端-政采云电子招投标供应商操作指南”进行查阅。</w:t>
      </w:r>
    </w:p>
    <w:p w14:paraId="031FD5F9">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17.8 </w:t>
      </w:r>
      <w:r>
        <w:rPr>
          <w:rFonts w:hint="eastAsia" w:ascii="仿宋" w:hAnsi="仿宋" w:eastAsia="仿宋" w:cs="仿宋"/>
          <w:color w:val="auto"/>
          <w:sz w:val="24"/>
          <w:szCs w:val="24"/>
        </w:rPr>
        <w:t>响应文件按照</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文件第</w:t>
      </w:r>
      <w:r>
        <w:rPr>
          <w:rFonts w:hint="eastAsia" w:ascii="仿宋" w:hAnsi="仿宋" w:eastAsia="仿宋" w:cs="仿宋"/>
          <w:color w:val="auto"/>
          <w:sz w:val="24"/>
          <w:szCs w:val="24"/>
          <w:lang w:val="en-US" w:eastAsia="zh-CN"/>
        </w:rPr>
        <w:t>七章</w:t>
      </w:r>
      <w:r>
        <w:rPr>
          <w:rFonts w:hint="eastAsia" w:ascii="仿宋" w:hAnsi="仿宋" w:eastAsia="仿宋" w:cs="仿宋"/>
          <w:color w:val="auto"/>
          <w:sz w:val="24"/>
          <w:szCs w:val="24"/>
        </w:rPr>
        <w:t>格式要求进行签署、盖章。供应商的响应文件未按照</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文件要求签署、盖章的，其响应无效。</w:t>
      </w:r>
    </w:p>
    <w:p w14:paraId="6CD4C8DF">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17.9 </w:t>
      </w:r>
      <w:r>
        <w:rPr>
          <w:rFonts w:hint="eastAsia" w:ascii="仿宋" w:hAnsi="仿宋" w:eastAsia="仿宋" w:cs="仿宋"/>
          <w:color w:val="auto"/>
          <w:sz w:val="24"/>
          <w:szCs w:val="24"/>
        </w:rPr>
        <w:t>为确保网上操作合法、有效和安全，供应商应当在响应截止时间前完成在“政府采购云平台”的身份认证，确保在电子交易过程中能够对相关数据电文进行加密和使用电子签名。</w:t>
      </w:r>
    </w:p>
    <w:p w14:paraId="32E19CD3">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17.10 </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文件对响应文件签署、盖章的要求适用于电子签名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签名应为全名不得简写。</w:t>
      </w:r>
    </w:p>
    <w:p w14:paraId="0D4385BD">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1竞争性磋商响应文件应按竞争性磋商文件的要求与格式编写。</w:t>
      </w:r>
    </w:p>
    <w:p w14:paraId="145A5C63">
      <w:pPr>
        <w:adjustRightInd w:val="0"/>
        <w:snapToGrid w:val="0"/>
        <w:spacing w:beforeLines="50" w:line="360" w:lineRule="auto"/>
        <w:ind w:left="660" w:leftChars="20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2竞争性磋商响应文件因表达不清所引起的后果由供应商负责。</w:t>
      </w:r>
    </w:p>
    <w:p w14:paraId="0FCA7AB0">
      <w:pPr>
        <w:adjustRightInd w:val="0"/>
        <w:snapToGrid w:val="0"/>
        <w:spacing w:beforeLines="50" w:line="360" w:lineRule="auto"/>
        <w:ind w:left="660" w:leftChars="20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3供应商编制和提交竞争性磋商响应文件所需费用自理。</w:t>
      </w:r>
    </w:p>
    <w:p w14:paraId="39CB7DC3">
      <w:pPr>
        <w:adjustRightInd w:val="0"/>
        <w:snapToGrid w:val="0"/>
        <w:spacing w:beforeLines="50" w:line="360" w:lineRule="auto"/>
        <w:ind w:left="632" w:hanging="723" w:hangingChars="300"/>
        <w:rPr>
          <w:rFonts w:hint="eastAsia" w:ascii="仿宋" w:hAnsi="仿宋" w:eastAsia="仿宋" w:cs="仿宋"/>
          <w:b/>
          <w:bCs/>
          <w:color w:val="auto"/>
          <w:sz w:val="24"/>
          <w:szCs w:val="24"/>
        </w:rPr>
      </w:pPr>
      <w:r>
        <w:rPr>
          <w:rFonts w:hint="eastAsia" w:ascii="仿宋" w:hAnsi="仿宋" w:eastAsia="仿宋" w:cs="仿宋"/>
          <w:b/>
          <w:bCs/>
          <w:color w:val="auto"/>
          <w:sz w:val="24"/>
          <w:szCs w:val="24"/>
        </w:rPr>
        <w:t>五、</w:t>
      </w:r>
      <w:r>
        <w:rPr>
          <w:rFonts w:hint="eastAsia" w:ascii="仿宋" w:hAnsi="仿宋" w:eastAsia="仿宋" w:cs="仿宋"/>
          <w:b/>
          <w:color w:val="auto"/>
          <w:sz w:val="24"/>
          <w:szCs w:val="24"/>
          <w:lang w:eastAsia="zh-CN"/>
        </w:rPr>
        <w:t>竞争性磋商小组</w:t>
      </w:r>
      <w:r>
        <w:rPr>
          <w:rFonts w:hint="eastAsia" w:ascii="仿宋" w:hAnsi="仿宋" w:eastAsia="仿宋" w:cs="仿宋"/>
          <w:b/>
          <w:color w:val="auto"/>
          <w:sz w:val="24"/>
          <w:szCs w:val="24"/>
        </w:rPr>
        <w:t>和评审</w:t>
      </w:r>
    </w:p>
    <w:p w14:paraId="6E9D56F5">
      <w:pPr>
        <w:adjustRightInd w:val="0"/>
        <w:snapToGrid w:val="0"/>
        <w:spacing w:beforeLines="50"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17.</w:t>
      </w:r>
      <w:r>
        <w:rPr>
          <w:rFonts w:hint="eastAsia" w:ascii="仿宋" w:hAnsi="仿宋" w:eastAsia="仿宋" w:cs="仿宋"/>
          <w:b/>
          <w:color w:val="auto"/>
          <w:sz w:val="24"/>
          <w:szCs w:val="24"/>
          <w:lang w:eastAsia="zh-CN"/>
        </w:rPr>
        <w:t>竞争性磋商小组</w:t>
      </w:r>
    </w:p>
    <w:p w14:paraId="5CDC3A69">
      <w:pPr>
        <w:adjustRightInd w:val="0"/>
        <w:snapToGrid w:val="0"/>
        <w:spacing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17.1 </w:t>
      </w:r>
      <w:r>
        <w:rPr>
          <w:rFonts w:hint="eastAsia" w:ascii="仿宋" w:hAnsi="仿宋" w:eastAsia="仿宋" w:cs="仿宋"/>
          <w:bCs/>
          <w:color w:val="auto"/>
          <w:sz w:val="24"/>
          <w:szCs w:val="24"/>
          <w:lang w:eastAsia="zh-CN"/>
        </w:rPr>
        <w:t>采购人</w:t>
      </w:r>
      <w:r>
        <w:rPr>
          <w:rFonts w:hint="eastAsia" w:ascii="仿宋" w:hAnsi="仿宋" w:eastAsia="仿宋" w:cs="仿宋"/>
          <w:bCs/>
          <w:color w:val="auto"/>
          <w:sz w:val="24"/>
          <w:szCs w:val="24"/>
        </w:rPr>
        <w:t>与采购代理机构将根据采购项目的特点依法组建</w:t>
      </w:r>
      <w:r>
        <w:rPr>
          <w:rFonts w:hint="eastAsia" w:ascii="仿宋" w:hAnsi="仿宋" w:eastAsia="仿宋" w:cs="仿宋"/>
          <w:b/>
          <w:color w:val="auto"/>
          <w:sz w:val="24"/>
          <w:szCs w:val="24"/>
          <w:lang w:eastAsia="zh-CN"/>
        </w:rPr>
        <w:t>竞争性磋商小组</w:t>
      </w:r>
      <w:r>
        <w:rPr>
          <w:rFonts w:hint="eastAsia" w:ascii="仿宋" w:hAnsi="仿宋" w:eastAsia="仿宋" w:cs="仿宋"/>
          <w:bCs/>
          <w:color w:val="auto"/>
          <w:sz w:val="24"/>
          <w:szCs w:val="24"/>
        </w:rPr>
        <w:t>，其成员由</w:t>
      </w:r>
      <w:r>
        <w:rPr>
          <w:rFonts w:hint="eastAsia" w:ascii="仿宋" w:hAnsi="仿宋" w:eastAsia="仿宋" w:cs="仿宋"/>
          <w:color w:val="auto"/>
          <w:sz w:val="24"/>
          <w:szCs w:val="24"/>
        </w:rPr>
        <w:t>评审专家和</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的代表组成。</w:t>
      </w:r>
      <w:r>
        <w:rPr>
          <w:rFonts w:hint="eastAsia" w:ascii="仿宋" w:hAnsi="仿宋" w:eastAsia="仿宋" w:cs="仿宋"/>
          <w:b/>
          <w:color w:val="auto"/>
          <w:sz w:val="24"/>
          <w:szCs w:val="24"/>
          <w:lang w:eastAsia="zh-CN"/>
        </w:rPr>
        <w:t>竞争性磋商小组</w:t>
      </w:r>
      <w:r>
        <w:rPr>
          <w:rFonts w:hint="eastAsia" w:ascii="仿宋" w:hAnsi="仿宋" w:eastAsia="仿宋" w:cs="仿宋"/>
          <w:color w:val="auto"/>
          <w:sz w:val="24"/>
          <w:szCs w:val="24"/>
        </w:rPr>
        <w:t>负责对竞争性磋商响应文件进行审查、竞争性磋商、评价以及推荐成交</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w:t>
      </w:r>
    </w:p>
    <w:p w14:paraId="09A8522A">
      <w:pPr>
        <w:adjustRightInd w:val="0"/>
        <w:snapToGrid w:val="0"/>
        <w:spacing w:beforeLines="50" w:line="360" w:lineRule="auto"/>
        <w:ind w:left="718" w:leftChars="1" w:hanging="716" w:hangingChars="297"/>
        <w:rPr>
          <w:rFonts w:hint="eastAsia" w:ascii="仿宋" w:hAnsi="仿宋" w:eastAsia="仿宋" w:cs="仿宋"/>
          <w:b/>
          <w:bCs/>
          <w:color w:val="auto"/>
          <w:sz w:val="24"/>
          <w:szCs w:val="24"/>
        </w:rPr>
      </w:pPr>
      <w:r>
        <w:rPr>
          <w:rFonts w:hint="eastAsia" w:ascii="仿宋" w:hAnsi="仿宋" w:eastAsia="仿宋" w:cs="仿宋"/>
          <w:b/>
          <w:bCs/>
          <w:color w:val="auto"/>
          <w:sz w:val="24"/>
          <w:szCs w:val="24"/>
        </w:rPr>
        <w:t>18. 资格</w:t>
      </w:r>
      <w:r>
        <w:rPr>
          <w:rFonts w:hint="eastAsia" w:ascii="仿宋" w:hAnsi="仿宋" w:eastAsia="仿宋" w:cs="仿宋"/>
          <w:b/>
          <w:color w:val="auto"/>
          <w:sz w:val="24"/>
          <w:szCs w:val="24"/>
        </w:rPr>
        <w:t>核</w:t>
      </w:r>
      <w:r>
        <w:rPr>
          <w:rFonts w:hint="eastAsia" w:ascii="仿宋" w:hAnsi="仿宋" w:eastAsia="仿宋" w:cs="仿宋"/>
          <w:b/>
          <w:bCs/>
          <w:color w:val="auto"/>
          <w:sz w:val="24"/>
          <w:szCs w:val="24"/>
        </w:rPr>
        <w:t>查</w:t>
      </w:r>
    </w:p>
    <w:p w14:paraId="46FC0167">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18.1 </w:t>
      </w:r>
      <w:r>
        <w:rPr>
          <w:rFonts w:hint="eastAsia" w:ascii="仿宋" w:hAnsi="仿宋" w:eastAsia="仿宋" w:cs="仿宋"/>
          <w:b/>
          <w:color w:val="auto"/>
          <w:sz w:val="24"/>
          <w:szCs w:val="24"/>
          <w:lang w:eastAsia="zh-CN"/>
        </w:rPr>
        <w:t>竞争性磋商小组</w:t>
      </w:r>
      <w:r>
        <w:rPr>
          <w:rFonts w:hint="eastAsia" w:ascii="仿宋" w:hAnsi="仿宋" w:eastAsia="仿宋" w:cs="仿宋"/>
          <w:color w:val="auto"/>
          <w:sz w:val="24"/>
          <w:szCs w:val="24"/>
        </w:rPr>
        <w:t>根据规定的</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资格条件要求，对竞争性磋商响应文件进行资格核</w:t>
      </w:r>
      <w:r>
        <w:rPr>
          <w:rFonts w:hint="eastAsia" w:ascii="仿宋" w:hAnsi="仿宋" w:eastAsia="仿宋" w:cs="仿宋"/>
          <w:bCs/>
          <w:color w:val="auto"/>
          <w:sz w:val="24"/>
          <w:szCs w:val="24"/>
        </w:rPr>
        <w:t>查</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不满足资格条件的，在评审时将其视为无效响应。</w:t>
      </w:r>
    </w:p>
    <w:p w14:paraId="1C947AF8">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18.2</w:t>
      </w:r>
      <w:r>
        <w:rPr>
          <w:rFonts w:hint="eastAsia" w:ascii="仿宋" w:hAnsi="仿宋" w:eastAsia="仿宋" w:cs="仿宋"/>
          <w:b/>
          <w:color w:val="auto"/>
          <w:sz w:val="24"/>
          <w:szCs w:val="24"/>
          <w:lang w:eastAsia="zh-CN"/>
        </w:rPr>
        <w:t>竞争性磋商小组</w:t>
      </w:r>
      <w:r>
        <w:rPr>
          <w:rFonts w:hint="eastAsia" w:ascii="仿宋" w:hAnsi="仿宋" w:eastAsia="仿宋" w:cs="仿宋"/>
          <w:color w:val="auto"/>
          <w:sz w:val="24"/>
          <w:szCs w:val="24"/>
        </w:rPr>
        <w:t>可以要求</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提交有关证明和证件的原件以便核验。</w:t>
      </w:r>
    </w:p>
    <w:p w14:paraId="17D02DA4">
      <w:pPr>
        <w:tabs>
          <w:tab w:val="left" w:pos="0"/>
        </w:tabs>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color w:val="auto"/>
          <w:sz w:val="24"/>
          <w:szCs w:val="24"/>
        </w:rPr>
        <w:t>19.竞争性磋商响应文件</w:t>
      </w:r>
      <w:r>
        <w:rPr>
          <w:rFonts w:hint="eastAsia" w:ascii="仿宋" w:hAnsi="仿宋" w:eastAsia="仿宋" w:cs="仿宋"/>
          <w:b/>
          <w:bCs/>
          <w:color w:val="auto"/>
          <w:sz w:val="24"/>
          <w:szCs w:val="24"/>
        </w:rPr>
        <w:t>的符合性审查</w:t>
      </w:r>
    </w:p>
    <w:p w14:paraId="3C41B77C">
      <w:pPr>
        <w:adjustRightInd w:val="0"/>
        <w:snapToGrid w:val="0"/>
        <w:spacing w:beforeLines="5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19.1</w:t>
      </w:r>
      <w:r>
        <w:rPr>
          <w:rFonts w:hint="eastAsia" w:ascii="仿宋" w:hAnsi="仿宋" w:eastAsia="仿宋" w:cs="仿宋"/>
          <w:b/>
          <w:color w:val="auto"/>
          <w:sz w:val="24"/>
          <w:szCs w:val="24"/>
          <w:lang w:eastAsia="zh-CN"/>
        </w:rPr>
        <w:t>竞争性磋商小组</w:t>
      </w:r>
      <w:r>
        <w:rPr>
          <w:rFonts w:hint="eastAsia" w:ascii="仿宋" w:hAnsi="仿宋" w:eastAsia="仿宋" w:cs="仿宋"/>
          <w:bCs/>
          <w:color w:val="auto"/>
          <w:sz w:val="24"/>
          <w:szCs w:val="24"/>
        </w:rPr>
        <w:t>对</w:t>
      </w:r>
      <w:r>
        <w:rPr>
          <w:rFonts w:hint="eastAsia" w:ascii="仿宋" w:hAnsi="仿宋" w:eastAsia="仿宋" w:cs="仿宋"/>
          <w:color w:val="auto"/>
          <w:sz w:val="24"/>
          <w:szCs w:val="24"/>
        </w:rPr>
        <w:t>竞争性磋商响应文件</w:t>
      </w:r>
      <w:r>
        <w:rPr>
          <w:rFonts w:hint="eastAsia" w:ascii="仿宋" w:hAnsi="仿宋" w:eastAsia="仿宋" w:cs="仿宋"/>
          <w:bCs/>
          <w:color w:val="auto"/>
          <w:sz w:val="24"/>
          <w:szCs w:val="24"/>
        </w:rPr>
        <w:t>进行符合性审查，</w:t>
      </w:r>
      <w:r>
        <w:rPr>
          <w:rFonts w:hint="eastAsia" w:ascii="仿宋" w:hAnsi="仿宋" w:eastAsia="仿宋" w:cs="仿宋"/>
          <w:color w:val="auto"/>
          <w:sz w:val="24"/>
          <w:szCs w:val="24"/>
        </w:rPr>
        <w:t>竞争性磋商响应文件</w:t>
      </w:r>
      <w:r>
        <w:rPr>
          <w:rFonts w:hint="eastAsia" w:ascii="仿宋" w:hAnsi="仿宋" w:eastAsia="仿宋" w:cs="仿宋"/>
          <w:bCs/>
          <w:color w:val="auto"/>
          <w:sz w:val="24"/>
          <w:szCs w:val="24"/>
        </w:rPr>
        <w:t>有下列情况之一的视为无效响应：</w:t>
      </w:r>
    </w:p>
    <w:p w14:paraId="3E092A69">
      <w:pPr>
        <w:adjustRightInd w:val="0"/>
        <w:snapToGrid w:val="0"/>
        <w:spacing w:beforeLines="5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color w:val="auto"/>
          <w:sz w:val="24"/>
          <w:szCs w:val="24"/>
        </w:rPr>
        <w:t>应交未交保证金或金额不足、保证金缴纳形式不符合</w:t>
      </w:r>
      <w:r>
        <w:rPr>
          <w:rFonts w:hint="eastAsia" w:ascii="仿宋" w:hAnsi="仿宋" w:eastAsia="仿宋" w:cs="仿宋"/>
          <w:bCs/>
          <w:color w:val="auto"/>
          <w:sz w:val="24"/>
          <w:szCs w:val="24"/>
        </w:rPr>
        <w:t>竞争性磋商文件</w:t>
      </w:r>
      <w:r>
        <w:rPr>
          <w:rFonts w:hint="eastAsia" w:ascii="仿宋" w:hAnsi="仿宋" w:eastAsia="仿宋" w:cs="仿宋"/>
          <w:color w:val="auto"/>
          <w:sz w:val="24"/>
          <w:szCs w:val="24"/>
        </w:rPr>
        <w:t>要求的；</w:t>
      </w:r>
    </w:p>
    <w:p w14:paraId="07940049">
      <w:pPr>
        <w:tabs>
          <w:tab w:val="left" w:pos="735"/>
          <w:tab w:val="left" w:pos="7560"/>
          <w:tab w:val="left" w:pos="7740"/>
          <w:tab w:val="left" w:pos="7920"/>
        </w:tabs>
        <w:adjustRightInd w:val="0"/>
        <w:snapToGrid w:val="0"/>
        <w:spacing w:beforeLines="50" w:line="360" w:lineRule="auto"/>
        <w:ind w:right="300" w:rightChars="143"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（2）未按照</w:t>
      </w:r>
      <w:r>
        <w:rPr>
          <w:rFonts w:hint="eastAsia" w:ascii="仿宋" w:hAnsi="仿宋" w:eastAsia="仿宋" w:cs="仿宋"/>
          <w:bCs/>
          <w:color w:val="auto"/>
          <w:sz w:val="24"/>
          <w:szCs w:val="24"/>
        </w:rPr>
        <w:t>竞争性磋商文件</w:t>
      </w:r>
      <w:r>
        <w:rPr>
          <w:rFonts w:hint="eastAsia" w:ascii="仿宋" w:hAnsi="仿宋" w:eastAsia="仿宋" w:cs="仿宋"/>
          <w:color w:val="auto"/>
          <w:sz w:val="24"/>
          <w:szCs w:val="24"/>
        </w:rPr>
        <w:t>规定要求签署、盖章的；</w:t>
      </w:r>
    </w:p>
    <w:p w14:paraId="7DAA2ED7">
      <w:pPr>
        <w:adjustRightInd w:val="0"/>
        <w:snapToGrid w:val="0"/>
        <w:spacing w:beforeLines="50" w:line="360" w:lineRule="auto"/>
        <w:ind w:right="-109" w:rightChars="-52"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（3）不满足</w:t>
      </w:r>
      <w:r>
        <w:rPr>
          <w:rFonts w:hint="eastAsia" w:ascii="仿宋" w:hAnsi="仿宋" w:eastAsia="仿宋" w:cs="仿宋"/>
          <w:bCs/>
          <w:color w:val="auto"/>
          <w:sz w:val="24"/>
          <w:szCs w:val="24"/>
        </w:rPr>
        <w:t>磋商</w:t>
      </w:r>
      <w:r>
        <w:rPr>
          <w:rFonts w:hint="eastAsia" w:ascii="仿宋" w:hAnsi="仿宋" w:eastAsia="仿宋" w:cs="仿宋"/>
          <w:color w:val="auto"/>
          <w:sz w:val="24"/>
          <w:szCs w:val="24"/>
        </w:rPr>
        <w:t>须知</w:t>
      </w:r>
      <w:r>
        <w:rPr>
          <w:rFonts w:hint="eastAsia" w:ascii="仿宋" w:hAnsi="仿宋" w:eastAsia="仿宋" w:cs="仿宋"/>
          <w:bCs/>
          <w:color w:val="auto"/>
          <w:sz w:val="24"/>
          <w:szCs w:val="24"/>
        </w:rPr>
        <w:t>规定的</w:t>
      </w:r>
      <w:r>
        <w:rPr>
          <w:rFonts w:hint="eastAsia" w:ascii="仿宋" w:hAnsi="仿宋" w:eastAsia="仿宋" w:cs="仿宋"/>
          <w:color w:val="auto"/>
          <w:sz w:val="24"/>
          <w:szCs w:val="24"/>
        </w:rPr>
        <w:t>实质性要求的；</w:t>
      </w:r>
    </w:p>
    <w:p w14:paraId="449D1168">
      <w:pPr>
        <w:adjustRightInd w:val="0"/>
        <w:snapToGrid w:val="0"/>
        <w:spacing w:beforeLines="50" w:line="360" w:lineRule="auto"/>
        <w:ind w:right="-109" w:rightChars="-52"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（4）报价超过采购项目预算的；</w:t>
      </w:r>
    </w:p>
    <w:p w14:paraId="65DD9048">
      <w:pPr>
        <w:adjustRightInd w:val="0"/>
        <w:snapToGrid w:val="0"/>
        <w:spacing w:beforeLines="50" w:line="360" w:lineRule="auto"/>
        <w:ind w:right="-109" w:rightChars="-52"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（5）同一</w:t>
      </w:r>
      <w:r>
        <w:rPr>
          <w:rFonts w:hint="eastAsia" w:ascii="仿宋" w:hAnsi="仿宋" w:eastAsia="仿宋" w:cs="仿宋"/>
          <w:color w:val="auto"/>
          <w:kern w:val="0"/>
          <w:sz w:val="24"/>
          <w:szCs w:val="24"/>
          <w:lang w:val="zh-CN"/>
        </w:rPr>
        <w:t>供应商</w:t>
      </w:r>
      <w:r>
        <w:rPr>
          <w:rFonts w:hint="eastAsia" w:ascii="仿宋" w:hAnsi="仿宋" w:eastAsia="仿宋" w:cs="仿宋"/>
          <w:color w:val="auto"/>
          <w:sz w:val="24"/>
          <w:szCs w:val="24"/>
        </w:rPr>
        <w:t>提交两个以上不同的竞争性磋商响应文件或者报价的，但</w:t>
      </w:r>
      <w:r>
        <w:rPr>
          <w:rFonts w:hint="eastAsia" w:ascii="仿宋" w:hAnsi="仿宋" w:eastAsia="仿宋" w:cs="仿宋"/>
          <w:bCs/>
          <w:color w:val="auto"/>
          <w:sz w:val="24"/>
          <w:szCs w:val="24"/>
        </w:rPr>
        <w:t>竞争性磋商</w:t>
      </w:r>
      <w:r>
        <w:rPr>
          <w:rFonts w:hint="eastAsia" w:ascii="仿宋" w:hAnsi="仿宋" w:eastAsia="仿宋" w:cs="仿宋"/>
          <w:color w:val="auto"/>
          <w:sz w:val="24"/>
          <w:szCs w:val="24"/>
        </w:rPr>
        <w:t>须知允许提交备选方案的除外；</w:t>
      </w:r>
    </w:p>
    <w:p w14:paraId="432AA63D">
      <w:pPr>
        <w:adjustRightInd w:val="0"/>
        <w:snapToGrid w:val="0"/>
        <w:spacing w:beforeLines="50" w:line="360" w:lineRule="auto"/>
        <w:ind w:right="-109" w:rightChars="-52"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（6）竞争性磋商响应文件有效期不足的；</w:t>
      </w:r>
      <w:r>
        <w:rPr>
          <w:rFonts w:hint="eastAsia" w:ascii="仿宋" w:hAnsi="仿宋" w:eastAsia="仿宋" w:cs="仿宋"/>
          <w:color w:val="auto"/>
          <w:sz w:val="24"/>
          <w:szCs w:val="24"/>
        </w:rPr>
        <w:tab/>
      </w:r>
    </w:p>
    <w:p w14:paraId="423BAADB">
      <w:pPr>
        <w:adjustRightInd w:val="0"/>
        <w:snapToGrid w:val="0"/>
        <w:spacing w:beforeLines="50" w:line="360" w:lineRule="auto"/>
        <w:ind w:right="-109" w:rightChars="-52"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（7）不符合法律、法规和</w:t>
      </w:r>
      <w:r>
        <w:rPr>
          <w:rFonts w:hint="eastAsia" w:ascii="仿宋" w:hAnsi="仿宋" w:eastAsia="仿宋" w:cs="仿宋"/>
          <w:bCs/>
          <w:color w:val="auto"/>
          <w:sz w:val="24"/>
          <w:szCs w:val="24"/>
        </w:rPr>
        <w:t>竞争性磋商文件</w:t>
      </w:r>
      <w:r>
        <w:rPr>
          <w:rFonts w:hint="eastAsia" w:ascii="仿宋" w:hAnsi="仿宋" w:eastAsia="仿宋" w:cs="仿宋"/>
          <w:color w:val="auto"/>
          <w:sz w:val="24"/>
          <w:szCs w:val="24"/>
        </w:rPr>
        <w:t>规定的。</w:t>
      </w:r>
    </w:p>
    <w:p w14:paraId="1CD9264F">
      <w:pPr>
        <w:adjustRightInd w:val="0"/>
        <w:snapToGrid w:val="0"/>
        <w:spacing w:beforeLines="50" w:line="360" w:lineRule="auto"/>
        <w:ind w:firstLine="470" w:firstLineChars="196"/>
        <w:rPr>
          <w:rFonts w:hint="eastAsia" w:ascii="仿宋" w:hAnsi="仿宋" w:eastAsia="仿宋" w:cs="仿宋"/>
          <w:bCs/>
          <w:color w:val="auto"/>
          <w:sz w:val="24"/>
          <w:szCs w:val="24"/>
        </w:rPr>
      </w:pPr>
      <w:r>
        <w:rPr>
          <w:rFonts w:hint="eastAsia" w:ascii="仿宋" w:hAnsi="仿宋" w:eastAsia="仿宋" w:cs="仿宋"/>
          <w:color w:val="auto"/>
          <w:sz w:val="24"/>
          <w:szCs w:val="24"/>
        </w:rPr>
        <w:t>（8）</w:t>
      </w:r>
      <w:r>
        <w:rPr>
          <w:rFonts w:hint="eastAsia" w:ascii="仿宋" w:hAnsi="仿宋" w:eastAsia="仿宋" w:cs="仿宋"/>
          <w:bCs/>
          <w:color w:val="auto"/>
          <w:sz w:val="24"/>
          <w:szCs w:val="24"/>
        </w:rPr>
        <w:t>未按竞争性磋商文件要求提交资格证明文件；</w:t>
      </w:r>
    </w:p>
    <w:p w14:paraId="1CABEDD4">
      <w:pPr>
        <w:adjustRightInd w:val="0"/>
        <w:snapToGrid w:val="0"/>
        <w:spacing w:beforeLines="50" w:line="360" w:lineRule="auto"/>
        <w:ind w:firstLine="590" w:firstLineChars="246"/>
        <w:rPr>
          <w:rFonts w:hint="eastAsia" w:ascii="仿宋" w:hAnsi="仿宋" w:eastAsia="仿宋" w:cs="仿宋"/>
          <w:bCs/>
          <w:color w:val="auto"/>
          <w:sz w:val="24"/>
          <w:szCs w:val="24"/>
        </w:rPr>
      </w:pPr>
      <w:r>
        <w:rPr>
          <w:rFonts w:hint="eastAsia" w:ascii="仿宋" w:hAnsi="仿宋" w:eastAsia="仿宋" w:cs="仿宋"/>
          <w:color w:val="auto"/>
          <w:sz w:val="24"/>
          <w:szCs w:val="24"/>
        </w:rPr>
        <w:t>(9)</w:t>
      </w:r>
      <w:r>
        <w:rPr>
          <w:rFonts w:hint="eastAsia" w:ascii="仿宋" w:hAnsi="仿宋" w:eastAsia="仿宋" w:cs="仿宋"/>
          <w:bCs/>
          <w:color w:val="auto"/>
          <w:sz w:val="24"/>
          <w:szCs w:val="24"/>
        </w:rPr>
        <w:t>提供的资格证明文件不符合竞争性磋商文件要求或提供虚假资格证明文件的；</w:t>
      </w:r>
    </w:p>
    <w:p w14:paraId="17D91626">
      <w:pPr>
        <w:adjustRightInd w:val="0"/>
        <w:snapToGrid w:val="0"/>
        <w:spacing w:beforeLines="50" w:line="360" w:lineRule="auto"/>
        <w:ind w:firstLine="470" w:firstLineChars="196"/>
        <w:rPr>
          <w:rFonts w:hint="eastAsia" w:ascii="仿宋" w:hAnsi="仿宋" w:eastAsia="仿宋" w:cs="仿宋"/>
          <w:bCs/>
          <w:color w:val="auto"/>
          <w:sz w:val="24"/>
          <w:szCs w:val="24"/>
        </w:rPr>
      </w:pPr>
      <w:r>
        <w:rPr>
          <w:rFonts w:hint="eastAsia" w:ascii="仿宋" w:hAnsi="仿宋" w:eastAsia="仿宋" w:cs="仿宋"/>
          <w:color w:val="auto"/>
          <w:sz w:val="24"/>
          <w:szCs w:val="24"/>
        </w:rPr>
        <w:t>(10)</w:t>
      </w:r>
      <w:r>
        <w:rPr>
          <w:rFonts w:hint="eastAsia" w:ascii="仿宋" w:hAnsi="仿宋" w:eastAsia="仿宋" w:cs="仿宋"/>
          <w:bCs/>
          <w:color w:val="auto"/>
          <w:sz w:val="24"/>
          <w:szCs w:val="24"/>
        </w:rPr>
        <w:t>资格证明文件未按竞争性磋商文件要求加盖供应商单位章、</w:t>
      </w:r>
      <w:r>
        <w:rPr>
          <w:rFonts w:hint="eastAsia" w:ascii="仿宋" w:hAnsi="仿宋" w:eastAsia="仿宋" w:cs="仿宋"/>
          <w:color w:val="auto"/>
          <w:sz w:val="24"/>
          <w:szCs w:val="24"/>
        </w:rPr>
        <w:t>签字</w:t>
      </w:r>
      <w:r>
        <w:rPr>
          <w:rFonts w:hint="eastAsia" w:ascii="仿宋" w:hAnsi="仿宋" w:eastAsia="仿宋" w:cs="仿宋"/>
          <w:bCs/>
          <w:color w:val="auto"/>
          <w:sz w:val="24"/>
          <w:szCs w:val="24"/>
        </w:rPr>
        <w:t>的；</w:t>
      </w:r>
    </w:p>
    <w:p w14:paraId="4DB076CC">
      <w:pPr>
        <w:adjustRightInd w:val="0"/>
        <w:snapToGrid w:val="0"/>
        <w:spacing w:beforeLines="50" w:line="360" w:lineRule="auto"/>
        <w:ind w:firstLine="470" w:firstLineChars="196"/>
        <w:rPr>
          <w:rFonts w:hint="eastAsia" w:ascii="仿宋" w:hAnsi="仿宋" w:eastAsia="仿宋" w:cs="仿宋"/>
          <w:bCs/>
          <w:color w:val="auto"/>
          <w:sz w:val="24"/>
          <w:szCs w:val="24"/>
        </w:rPr>
      </w:pPr>
      <w:r>
        <w:rPr>
          <w:rFonts w:hint="eastAsia" w:ascii="仿宋" w:hAnsi="仿宋" w:eastAsia="仿宋" w:cs="仿宋"/>
          <w:color w:val="auto"/>
          <w:sz w:val="24"/>
          <w:szCs w:val="24"/>
        </w:rPr>
        <w:t>(11)</w:t>
      </w:r>
      <w:r>
        <w:rPr>
          <w:rFonts w:hint="eastAsia" w:ascii="仿宋" w:hAnsi="仿宋" w:eastAsia="仿宋" w:cs="仿宋"/>
          <w:bCs/>
          <w:color w:val="auto"/>
          <w:sz w:val="24"/>
          <w:szCs w:val="24"/>
        </w:rPr>
        <w:t>资格证明文件过了有效期的或未按有关规定年审合格的。</w:t>
      </w:r>
    </w:p>
    <w:p w14:paraId="72456AEF">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20.</w:t>
      </w:r>
      <w:r>
        <w:rPr>
          <w:rFonts w:hint="eastAsia" w:ascii="仿宋" w:hAnsi="仿宋" w:eastAsia="仿宋" w:cs="仿宋"/>
          <w:b/>
          <w:color w:val="auto"/>
          <w:sz w:val="24"/>
          <w:szCs w:val="24"/>
        </w:rPr>
        <w:t>竞争性磋商响应文件</w:t>
      </w:r>
      <w:r>
        <w:rPr>
          <w:rFonts w:hint="eastAsia" w:ascii="仿宋" w:hAnsi="仿宋" w:eastAsia="仿宋" w:cs="仿宋"/>
          <w:b/>
          <w:bCs/>
          <w:color w:val="auto"/>
          <w:sz w:val="24"/>
          <w:szCs w:val="24"/>
        </w:rPr>
        <w:t>的澄清</w:t>
      </w:r>
    </w:p>
    <w:p w14:paraId="76A63EF2">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bCs/>
          <w:color w:val="auto"/>
          <w:sz w:val="24"/>
          <w:szCs w:val="24"/>
        </w:rPr>
        <w:t>20.1</w:t>
      </w:r>
      <w:r>
        <w:rPr>
          <w:rFonts w:hint="eastAsia" w:ascii="仿宋" w:hAnsi="仿宋" w:eastAsia="仿宋" w:cs="仿宋"/>
          <w:b/>
          <w:color w:val="auto"/>
          <w:sz w:val="24"/>
          <w:szCs w:val="24"/>
          <w:lang w:eastAsia="zh-CN"/>
        </w:rPr>
        <w:t>竞争性磋商小组</w:t>
      </w:r>
      <w:r>
        <w:rPr>
          <w:rFonts w:hint="eastAsia" w:ascii="仿宋" w:hAnsi="仿宋" w:eastAsia="仿宋" w:cs="仿宋"/>
          <w:color w:val="auto"/>
          <w:kern w:val="0"/>
          <w:sz w:val="24"/>
          <w:szCs w:val="24"/>
          <w:lang w:val="zh-CN"/>
        </w:rPr>
        <w:t>在对竞争性磋商响应文件的有效性、完整性和对</w:t>
      </w:r>
      <w:r>
        <w:rPr>
          <w:rFonts w:hint="eastAsia" w:ascii="仿宋" w:hAnsi="仿宋" w:eastAsia="仿宋" w:cs="仿宋"/>
          <w:bCs/>
          <w:color w:val="auto"/>
          <w:sz w:val="24"/>
          <w:szCs w:val="24"/>
        </w:rPr>
        <w:t>竞争性磋商文件</w:t>
      </w:r>
      <w:r>
        <w:rPr>
          <w:rFonts w:hint="eastAsia" w:ascii="仿宋" w:hAnsi="仿宋" w:eastAsia="仿宋" w:cs="仿宋"/>
          <w:color w:val="auto"/>
          <w:kern w:val="0"/>
          <w:sz w:val="24"/>
          <w:szCs w:val="24"/>
          <w:lang w:val="zh-CN"/>
        </w:rPr>
        <w:t>的响应程度进行审查时，可以要求供应商对竞争性磋商响应文件中含义不明</w:t>
      </w:r>
      <w:r>
        <w:rPr>
          <w:rFonts w:hint="eastAsia" w:ascii="仿宋" w:hAnsi="仿宋" w:eastAsia="仿宋" w:cs="仿宋"/>
          <w:bCs/>
          <w:color w:val="auto"/>
          <w:sz w:val="24"/>
          <w:szCs w:val="24"/>
        </w:rPr>
        <w:t>确</w:t>
      </w:r>
      <w:r>
        <w:rPr>
          <w:rFonts w:hint="eastAsia" w:ascii="仿宋" w:hAnsi="仿宋" w:eastAsia="仿宋" w:cs="仿宋"/>
          <w:color w:val="auto"/>
          <w:kern w:val="0"/>
          <w:sz w:val="24"/>
          <w:szCs w:val="24"/>
          <w:lang w:val="zh-CN"/>
        </w:rPr>
        <w:t>、同类问题表述不一致或者有明显文字和计算错误的内容等作出必要的澄清、说明或者纠正。该要求</w:t>
      </w:r>
      <w:r>
        <w:rPr>
          <w:rFonts w:hint="eastAsia" w:ascii="仿宋" w:hAnsi="仿宋" w:eastAsia="仿宋" w:cs="仿宋"/>
          <w:color w:val="auto"/>
          <w:sz w:val="24"/>
          <w:szCs w:val="24"/>
        </w:rPr>
        <w:t>应当以</w:t>
      </w:r>
      <w:r>
        <w:rPr>
          <w:rFonts w:hint="eastAsia" w:ascii="仿宋" w:hAnsi="仿宋" w:eastAsia="仿宋" w:cs="仿宋"/>
          <w:color w:val="auto"/>
          <w:kern w:val="0"/>
          <w:sz w:val="24"/>
          <w:szCs w:val="24"/>
          <w:lang w:val="zh-CN"/>
        </w:rPr>
        <w:t>书面形式作出。供应商的澄清、说明或者补正应当采用书面形式，由其</w:t>
      </w:r>
      <w:r>
        <w:rPr>
          <w:rFonts w:hint="eastAsia" w:ascii="仿宋" w:hAnsi="仿宋" w:eastAsia="仿宋" w:cs="仿宋"/>
          <w:color w:val="auto"/>
          <w:sz w:val="24"/>
          <w:szCs w:val="24"/>
        </w:rPr>
        <w:t>法定代表人或其委托代理人</w:t>
      </w:r>
      <w:r>
        <w:rPr>
          <w:rFonts w:hint="eastAsia" w:ascii="仿宋" w:hAnsi="仿宋" w:eastAsia="仿宋" w:cs="仿宋"/>
          <w:bCs/>
          <w:color w:val="auto"/>
          <w:sz w:val="24"/>
          <w:szCs w:val="24"/>
        </w:rPr>
        <w:t>签字</w:t>
      </w:r>
      <w:r>
        <w:rPr>
          <w:rFonts w:hint="eastAsia" w:ascii="仿宋" w:hAnsi="仿宋" w:eastAsia="仿宋" w:cs="仿宋"/>
          <w:color w:val="auto"/>
          <w:kern w:val="0"/>
          <w:sz w:val="24"/>
          <w:szCs w:val="24"/>
          <w:lang w:val="zh-CN"/>
        </w:rPr>
        <w:t>。供应商的澄清、说明或者更正不得超出</w:t>
      </w:r>
      <w:r>
        <w:rPr>
          <w:rFonts w:hint="eastAsia" w:ascii="仿宋" w:hAnsi="仿宋" w:eastAsia="仿宋" w:cs="仿宋"/>
          <w:bCs/>
          <w:color w:val="auto"/>
          <w:sz w:val="24"/>
          <w:szCs w:val="24"/>
        </w:rPr>
        <w:t>竞争性磋商文件</w:t>
      </w:r>
      <w:r>
        <w:rPr>
          <w:rFonts w:hint="eastAsia" w:ascii="仿宋" w:hAnsi="仿宋" w:eastAsia="仿宋" w:cs="仿宋"/>
          <w:color w:val="auto"/>
          <w:kern w:val="0"/>
          <w:sz w:val="24"/>
          <w:szCs w:val="24"/>
          <w:lang w:val="zh-CN"/>
        </w:rPr>
        <w:t>的范围或者改变竞争性磋商响应文件的实质性内容。</w:t>
      </w:r>
    </w:p>
    <w:p w14:paraId="2D936737">
      <w:pPr>
        <w:autoSpaceDE w:val="0"/>
        <w:autoSpaceDN w:val="0"/>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20.2</w:t>
      </w:r>
      <w:r>
        <w:rPr>
          <w:rFonts w:hint="eastAsia" w:ascii="仿宋" w:hAnsi="仿宋" w:eastAsia="仿宋" w:cs="仿宋"/>
          <w:color w:val="auto"/>
          <w:kern w:val="0"/>
          <w:sz w:val="24"/>
          <w:szCs w:val="24"/>
          <w:lang w:val="zh-CN"/>
        </w:rPr>
        <w:t>计算</w:t>
      </w:r>
      <w:r>
        <w:rPr>
          <w:rFonts w:hint="eastAsia" w:ascii="仿宋" w:hAnsi="仿宋" w:eastAsia="仿宋" w:cs="仿宋"/>
          <w:color w:val="auto"/>
          <w:sz w:val="24"/>
          <w:szCs w:val="24"/>
        </w:rPr>
        <w:t>错误修正的原则：单价与总价有出入,以单价为准；大、小写有出入，以大写为准；竞争性磋商响应文件正本与副本有出入，以正本为准。按上述原则修正的竞争性磋商响应文件，对供应商起约束作用，供应商不接受修正的，其竞争性磋商响应文件将被拒绝。</w:t>
      </w:r>
    </w:p>
    <w:p w14:paraId="11C09349">
      <w:pPr>
        <w:autoSpaceDE w:val="0"/>
        <w:autoSpaceDN w:val="0"/>
        <w:adjustRightInd w:val="0"/>
        <w:snapToGrid w:val="0"/>
        <w:spacing w:beforeLines="50" w:line="360" w:lineRule="auto"/>
        <w:ind w:firstLine="482" w:firstLineChars="200"/>
        <w:rPr>
          <w:rFonts w:hint="default"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20.2.1报价不一致时的修正：</w:t>
      </w:r>
    </w:p>
    <w:p w14:paraId="7B7E6185">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en-US" w:eastAsia="zh-CN"/>
        </w:rPr>
        <w:t>（一）投标文件中开标一览表（报价表）内容与投标文件中相应内容不一致的，以开标一览表（报价表）为准；</w:t>
      </w:r>
    </w:p>
    <w:p w14:paraId="7C4D0624">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en-US" w:eastAsia="zh-CN"/>
        </w:rPr>
        <w:t>（二）大写金额和小写金额不一致的，以大写金额为准；</w:t>
      </w:r>
    </w:p>
    <w:p w14:paraId="371BF5C6">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en-US" w:eastAsia="zh-CN"/>
        </w:rPr>
        <w:t>（三）单价金额小数点或者百分比有明显错位的，以开标一览表的总价为准，并修改单价；</w:t>
      </w:r>
    </w:p>
    <w:p w14:paraId="407727F7">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en-US" w:eastAsia="zh-CN"/>
        </w:rPr>
        <w:t>（四）总价金额与按单价汇总金额不一致的，以单价金额计算结果为准。</w:t>
      </w:r>
    </w:p>
    <w:p w14:paraId="67029504">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en-US" w:eastAsia="zh-CN"/>
        </w:rPr>
        <w:t>同时出现两种以上不一致的，按照前款规定的顺序修正。修正后的报价经投标人确认后产生约束力，投标人不确认的，其投标无效。</w:t>
      </w:r>
    </w:p>
    <w:p w14:paraId="2D7D5068">
      <w:pPr>
        <w:tabs>
          <w:tab w:val="left" w:pos="0"/>
        </w:tabs>
        <w:adjustRightInd w:val="0"/>
        <w:snapToGrid w:val="0"/>
        <w:spacing w:beforeLines="5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20.3供应商应按</w:t>
      </w:r>
      <w:r>
        <w:rPr>
          <w:rFonts w:hint="eastAsia" w:ascii="仿宋" w:hAnsi="仿宋" w:eastAsia="仿宋" w:cs="仿宋"/>
          <w:bCs/>
          <w:color w:val="auto"/>
          <w:sz w:val="24"/>
          <w:szCs w:val="24"/>
          <w:lang w:eastAsia="zh-CN"/>
        </w:rPr>
        <w:t>竞争性磋商小组</w:t>
      </w:r>
      <w:r>
        <w:rPr>
          <w:rFonts w:hint="eastAsia" w:ascii="仿宋" w:hAnsi="仿宋" w:eastAsia="仿宋" w:cs="仿宋"/>
          <w:color w:val="auto"/>
          <w:sz w:val="24"/>
          <w:szCs w:val="24"/>
        </w:rPr>
        <w:t>通知的时间、地点，指派专人进行</w:t>
      </w:r>
      <w:r>
        <w:rPr>
          <w:rFonts w:hint="eastAsia" w:ascii="仿宋" w:hAnsi="仿宋" w:eastAsia="仿宋" w:cs="仿宋"/>
          <w:color w:val="auto"/>
          <w:kern w:val="0"/>
          <w:sz w:val="24"/>
          <w:szCs w:val="24"/>
          <w:lang w:val="zh-CN"/>
        </w:rPr>
        <w:t>澄清、说明或者补正</w:t>
      </w:r>
      <w:r>
        <w:rPr>
          <w:rFonts w:hint="eastAsia" w:ascii="仿宋" w:hAnsi="仿宋" w:eastAsia="仿宋" w:cs="仿宋"/>
          <w:color w:val="auto"/>
          <w:sz w:val="24"/>
          <w:szCs w:val="24"/>
        </w:rPr>
        <w:t>。</w:t>
      </w:r>
    </w:p>
    <w:p w14:paraId="63D29E00">
      <w:pPr>
        <w:tabs>
          <w:tab w:val="left" w:pos="0"/>
        </w:tabs>
        <w:adjustRightInd w:val="0"/>
        <w:snapToGrid w:val="0"/>
        <w:spacing w:beforeLines="50" w:line="360" w:lineRule="auto"/>
        <w:rPr>
          <w:rFonts w:hint="eastAsia" w:ascii="仿宋" w:hAnsi="仿宋" w:eastAsia="仿宋" w:cs="仿宋"/>
          <w:b/>
          <w:bCs/>
          <w:color w:val="auto"/>
          <w:kern w:val="0"/>
          <w:sz w:val="24"/>
          <w:szCs w:val="24"/>
        </w:rPr>
      </w:pPr>
      <w:r>
        <w:rPr>
          <w:rFonts w:hint="eastAsia" w:ascii="仿宋" w:hAnsi="仿宋" w:eastAsia="仿宋" w:cs="仿宋"/>
          <w:b/>
          <w:bCs/>
          <w:color w:val="auto"/>
          <w:sz w:val="24"/>
          <w:szCs w:val="24"/>
        </w:rPr>
        <w:t>21、</w:t>
      </w:r>
      <w:r>
        <w:rPr>
          <w:rFonts w:hint="eastAsia" w:ascii="仿宋" w:hAnsi="仿宋" w:eastAsia="仿宋" w:cs="仿宋"/>
          <w:b/>
          <w:bCs/>
          <w:color w:val="auto"/>
          <w:kern w:val="0"/>
          <w:sz w:val="24"/>
          <w:szCs w:val="24"/>
        </w:rPr>
        <w:t>供应商有下列情形之一的,不得成为成交供应商:</w:t>
      </w:r>
    </w:p>
    <w:p w14:paraId="41C5C62F">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（1）竞争性磋商响应文件中提供虚假材料或虚假承诺的；</w:t>
      </w:r>
    </w:p>
    <w:p w14:paraId="26095D05">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CN"/>
        </w:rPr>
        <w:t>（2）法律法规和竞争性磋商文件规定的其他情形的。</w:t>
      </w:r>
    </w:p>
    <w:p w14:paraId="058AF1D9">
      <w:pPr>
        <w:adjustRightInd w:val="0"/>
        <w:snapToGrid w:val="0"/>
        <w:spacing w:beforeLines="50" w:line="360" w:lineRule="auto"/>
        <w:ind w:left="632" w:hanging="723" w:hangingChars="300"/>
        <w:rPr>
          <w:rFonts w:hint="eastAsia" w:ascii="仿宋" w:hAnsi="仿宋" w:eastAsia="仿宋" w:cs="仿宋"/>
          <w:b/>
          <w:color w:val="auto"/>
          <w:sz w:val="24"/>
          <w:szCs w:val="24"/>
        </w:rPr>
      </w:pPr>
      <w:r>
        <w:rPr>
          <w:rFonts w:hint="eastAsia" w:ascii="仿宋" w:hAnsi="仿宋" w:eastAsia="仿宋" w:cs="仿宋"/>
          <w:b/>
          <w:color w:val="auto"/>
          <w:sz w:val="24"/>
          <w:szCs w:val="24"/>
        </w:rPr>
        <w:t>22.竞争性磋商终止</w:t>
      </w:r>
    </w:p>
    <w:p w14:paraId="1B4E9420">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22.1 竞争性磋商</w:t>
      </w:r>
      <w:r>
        <w:rPr>
          <w:rFonts w:hint="eastAsia" w:ascii="仿宋" w:hAnsi="仿宋" w:eastAsia="仿宋" w:cs="仿宋"/>
          <w:color w:val="auto"/>
          <w:kern w:val="0"/>
          <w:sz w:val="24"/>
          <w:szCs w:val="24"/>
          <w:lang w:val="zh-CN" w:eastAsia="zh-CN"/>
        </w:rPr>
        <w:t>磋商</w:t>
      </w:r>
      <w:r>
        <w:rPr>
          <w:rFonts w:hint="eastAsia" w:ascii="仿宋" w:hAnsi="仿宋" w:eastAsia="仿宋" w:cs="仿宋"/>
          <w:color w:val="auto"/>
          <w:kern w:val="0"/>
          <w:sz w:val="24"/>
          <w:szCs w:val="24"/>
          <w:lang w:val="zh-CN"/>
        </w:rPr>
        <w:t>时，出现下列情况之一，本次竞争性磋商终止：</w:t>
      </w:r>
    </w:p>
    <w:p w14:paraId="7705B221">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（1）出现影响采购公正的违法、违规行为的；</w:t>
      </w:r>
    </w:p>
    <w:p w14:paraId="59CE6715">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（2）投标供应商的报价均超过了招标控制价，采购人不能支付的；</w:t>
      </w:r>
    </w:p>
    <w:p w14:paraId="76A717A1">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（3）因重大变故，采购任务取消的。</w:t>
      </w:r>
    </w:p>
    <w:p w14:paraId="0965D275">
      <w:pPr>
        <w:tabs>
          <w:tab w:val="left" w:pos="0"/>
        </w:tabs>
        <w:adjustRightInd w:val="0"/>
        <w:snapToGrid w:val="0"/>
        <w:spacing w:beforeLines="5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22.2 </w:t>
      </w:r>
      <w:r>
        <w:rPr>
          <w:rFonts w:hint="eastAsia" w:ascii="仿宋" w:hAnsi="仿宋" w:eastAsia="仿宋" w:cs="仿宋"/>
          <w:b/>
          <w:color w:val="auto"/>
          <w:sz w:val="24"/>
          <w:szCs w:val="24"/>
          <w:lang w:eastAsia="zh-CN"/>
        </w:rPr>
        <w:t>竞争性磋商小组</w:t>
      </w:r>
      <w:r>
        <w:rPr>
          <w:rFonts w:hint="eastAsia" w:ascii="仿宋" w:hAnsi="仿宋" w:eastAsia="仿宋" w:cs="仿宋"/>
          <w:bCs/>
          <w:color w:val="auto"/>
          <w:sz w:val="24"/>
          <w:szCs w:val="24"/>
        </w:rPr>
        <w:t>应将竞争性磋商终止理由通知所有参与竞争性磋商的供应商。</w:t>
      </w:r>
    </w:p>
    <w:p w14:paraId="439839E2">
      <w:pPr>
        <w:spacing w:line="360" w:lineRule="auto"/>
        <w:rPr>
          <w:rFonts w:hint="eastAsia" w:ascii="仿宋" w:hAnsi="仿宋" w:eastAsia="仿宋" w:cs="仿宋"/>
          <w:color w:val="auto"/>
          <w:kern w:val="0"/>
          <w:sz w:val="24"/>
          <w:szCs w:val="24"/>
          <w:lang w:val="zh-CN"/>
        </w:rPr>
      </w:pPr>
      <w:r>
        <w:rPr>
          <w:rFonts w:hint="eastAsia" w:ascii="仿宋" w:hAnsi="仿宋" w:eastAsia="仿宋" w:cs="仿宋"/>
          <w:b/>
          <w:bCs/>
          <w:color w:val="auto"/>
          <w:sz w:val="24"/>
          <w:szCs w:val="24"/>
        </w:rPr>
        <w:t>23. 保密要求</w:t>
      </w:r>
    </w:p>
    <w:p w14:paraId="0AF313B6">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23.1</w:t>
      </w:r>
      <w:r>
        <w:rPr>
          <w:rFonts w:hint="eastAsia" w:ascii="仿宋" w:hAnsi="仿宋" w:eastAsia="仿宋" w:cs="仿宋"/>
          <w:color w:val="auto"/>
          <w:sz w:val="24"/>
          <w:szCs w:val="24"/>
          <w:lang w:eastAsia="zh-CN"/>
        </w:rPr>
        <w:t>竞争性磋商小组</w:t>
      </w:r>
      <w:r>
        <w:rPr>
          <w:rFonts w:hint="eastAsia" w:ascii="仿宋" w:hAnsi="仿宋" w:eastAsia="仿宋" w:cs="仿宋"/>
          <w:color w:val="auto"/>
          <w:sz w:val="24"/>
          <w:szCs w:val="24"/>
        </w:rPr>
        <w:t>以及与评审工作有关的人员对评审情况以及评审过程中获悉的国家秘密、商业秘密应当保密。</w:t>
      </w:r>
    </w:p>
    <w:p w14:paraId="11504298">
      <w:pPr>
        <w:adjustRightInd w:val="0"/>
        <w:snapToGrid w:val="0"/>
        <w:spacing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六、成交结果信息公布与供应商质疑</w:t>
      </w:r>
    </w:p>
    <w:p w14:paraId="0356B2C7">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24.成交信息的公布</w:t>
      </w:r>
    </w:p>
    <w:p w14:paraId="32276BCB">
      <w:pPr>
        <w:adjustRightInd w:val="0"/>
        <w:snapToGrid w:val="0"/>
        <w:spacing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24.1 竞争性磋商结束后，成交结果信息将在</w:t>
      </w:r>
      <w:r>
        <w:rPr>
          <w:rFonts w:hint="eastAsia" w:ascii="仿宋" w:hAnsi="仿宋" w:eastAsia="仿宋" w:cs="仿宋"/>
          <w:b/>
          <w:bCs/>
          <w:color w:val="auto"/>
          <w:sz w:val="24"/>
          <w:szCs w:val="24"/>
          <w:lang w:eastAsia="zh-CN"/>
        </w:rPr>
        <w:t>新疆政府采购网</w:t>
      </w:r>
      <w:r>
        <w:rPr>
          <w:rFonts w:hint="eastAsia" w:ascii="仿宋" w:hAnsi="仿宋" w:eastAsia="仿宋" w:cs="仿宋"/>
          <w:color w:val="auto"/>
          <w:sz w:val="24"/>
          <w:szCs w:val="24"/>
        </w:rPr>
        <w:t>上公布。</w:t>
      </w:r>
    </w:p>
    <w:p w14:paraId="58693C73">
      <w:pPr>
        <w:adjustRightInd w:val="0"/>
        <w:snapToGrid w:val="0"/>
        <w:spacing w:beforeLines="5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25.询问及质疑</w:t>
      </w:r>
    </w:p>
    <w:p w14:paraId="2534A020">
      <w:pPr>
        <w:adjustRightInd w:val="0"/>
        <w:snapToGrid w:val="0"/>
        <w:spacing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25.1供应商对政府采购活动事项有疑问的，可以向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或采购代理机构提出询问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地址详见第二章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或采购代理机构将在</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个工作日内作出答复。</w:t>
      </w:r>
    </w:p>
    <w:p w14:paraId="06BB0D90">
      <w:pPr>
        <w:adjustRightInd w:val="0"/>
        <w:snapToGrid w:val="0"/>
        <w:spacing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25.2供应商若认为竞争性磋商文件、采购过程和成交结果使自己的权益受到损害，应当在下列时间内以书面形式向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或采购代理机构提出：</w:t>
      </w:r>
    </w:p>
    <w:p w14:paraId="42213F35">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（1）关于竞争性磋商文件的质疑，应在递交竞争性磋商响应文件截止时间前提出。</w:t>
      </w:r>
    </w:p>
    <w:p w14:paraId="1FA17659">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（2）关于采购过程的质疑，应在采购程序环节结束之日起七个工作日内提出。</w:t>
      </w:r>
    </w:p>
    <w:p w14:paraId="28B71B79">
      <w:pPr>
        <w:autoSpaceDE w:val="0"/>
        <w:autoSpaceDN w:val="0"/>
        <w:adjustRightInd w:val="0"/>
        <w:snapToGrid w:val="0"/>
        <w:spacing w:beforeLines="5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（3）关于成交结果的质疑，应在成交结果信息发布后七个工作日内提出。</w:t>
      </w:r>
    </w:p>
    <w:p w14:paraId="54A43017">
      <w:pPr>
        <w:autoSpaceDE w:val="0"/>
        <w:autoSpaceDN w:val="0"/>
        <w:adjustRightInd w:val="0"/>
        <w:snapToGrid w:val="0"/>
        <w:spacing w:beforeLines="50" w:line="36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25.3 供应商提出质疑的，应当提供质疑书原件。采购人向质疑供应商签收回执。</w:t>
      </w:r>
    </w:p>
    <w:p w14:paraId="73167E53">
      <w:pPr>
        <w:adjustRightInd w:val="0"/>
        <w:snapToGrid w:val="0"/>
        <w:spacing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25.4 质疑书应当包括下列内容：</w:t>
      </w:r>
    </w:p>
    <w:p w14:paraId="0FB8147B">
      <w:pPr>
        <w:adjustRightInd w:val="0"/>
        <w:snapToGrid w:val="0"/>
        <w:spacing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（1）质疑供应商的名称、地址及有效联系方式；</w:t>
      </w:r>
    </w:p>
    <w:p w14:paraId="33A626B9">
      <w:pPr>
        <w:adjustRightInd w:val="0"/>
        <w:snapToGrid w:val="0"/>
        <w:spacing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（2）质疑事项；</w:t>
      </w:r>
    </w:p>
    <w:p w14:paraId="65BA3127">
      <w:pPr>
        <w:adjustRightInd w:val="0"/>
        <w:snapToGrid w:val="0"/>
        <w:spacing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（3）事实依据及相关证明材料；</w:t>
      </w:r>
    </w:p>
    <w:p w14:paraId="438DA522">
      <w:pPr>
        <w:adjustRightInd w:val="0"/>
        <w:snapToGrid w:val="0"/>
        <w:spacing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（4）相关请求及主张。</w:t>
      </w:r>
    </w:p>
    <w:p w14:paraId="2AAF0167">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25.5 质疑书应当由质疑供应商法定代表人或授权代表人签字并加盖公章，质疑书由授权代表人签字的应附法定代表人授权书。</w:t>
      </w:r>
    </w:p>
    <w:p w14:paraId="0FA5A942">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25.6 </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或采购代理机构将在签收回执之日起七个工作日内作出书面答复，并以书面形式通知与质疑处理结果有关的供应商。</w:t>
      </w:r>
    </w:p>
    <w:p w14:paraId="2C86BB42">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25.7供应商对</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或采购代理机构无正当理由拒绝受理质疑的，可书面向政府采购监管部门反映情况；供应商对</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或采购代理机构的答复不满意，或</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或采购代理机构未在规定的期限作出答复的，可在答复期满后十五个工作日内，按政府采购相关法律法规规章的规定及程序提出投诉。</w:t>
      </w:r>
    </w:p>
    <w:p w14:paraId="665E3A22">
      <w:pPr>
        <w:keepNext w:val="0"/>
        <w:keepLines w:val="0"/>
        <w:pageBreakBefore w:val="0"/>
        <w:widowControl w:val="0"/>
        <w:kinsoku/>
        <w:wordWrap/>
        <w:overflowPunct/>
        <w:topLinePunct w:val="0"/>
        <w:autoSpaceDE/>
        <w:autoSpaceDN/>
        <w:bidi w:val="0"/>
        <w:adjustRightInd w:val="0"/>
        <w:snapToGrid w:val="0"/>
        <w:spacing w:beforeLines="5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26.成交通知</w:t>
      </w:r>
    </w:p>
    <w:p w14:paraId="16DCC05C">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26.1 成交供应商确定后，采购代理机构将以书面形式向成交供应商发出成交通知书。成交通知书对</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和成交供应商具有同等法律效力。</w:t>
      </w:r>
    </w:p>
    <w:p w14:paraId="0B0DDD98">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26.2 成交通知书是合同文件的组成部分。</w:t>
      </w:r>
    </w:p>
    <w:p w14:paraId="66329F3C">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26.3</w:t>
      </w:r>
      <w:r>
        <w:rPr>
          <w:rFonts w:hint="eastAsia" w:ascii="仿宋" w:hAnsi="仿宋" w:eastAsia="仿宋" w:cs="仿宋"/>
          <w:color w:val="auto"/>
          <w:sz w:val="24"/>
          <w:szCs w:val="24"/>
        </w:rPr>
        <w:t>成交供应商在收到采购代理机构的成交通知书后十日内，应按照</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的规定，向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提交履约保证金，没有提交履约保证金的，</w:t>
      </w:r>
      <w:r>
        <w:rPr>
          <w:rFonts w:hint="eastAsia" w:ascii="仿宋" w:hAnsi="仿宋" w:eastAsia="仿宋" w:cs="仿宋"/>
          <w:color w:val="auto"/>
          <w:spacing w:val="4"/>
          <w:sz w:val="24"/>
          <w:szCs w:val="24"/>
        </w:rPr>
        <w:t>视为放弃</w:t>
      </w:r>
      <w:r>
        <w:rPr>
          <w:rFonts w:hint="eastAsia" w:ascii="仿宋" w:hAnsi="仿宋" w:eastAsia="仿宋" w:cs="仿宋"/>
          <w:color w:val="auto"/>
          <w:sz w:val="24"/>
          <w:szCs w:val="24"/>
        </w:rPr>
        <w:t>成交</w:t>
      </w:r>
      <w:r>
        <w:rPr>
          <w:rFonts w:hint="eastAsia" w:ascii="仿宋" w:hAnsi="仿宋" w:eastAsia="仿宋" w:cs="仿宋"/>
          <w:color w:val="auto"/>
          <w:spacing w:val="4"/>
          <w:sz w:val="24"/>
          <w:szCs w:val="24"/>
        </w:rPr>
        <w:t>，</w:t>
      </w:r>
      <w:r>
        <w:rPr>
          <w:rFonts w:hint="eastAsia" w:ascii="仿宋" w:hAnsi="仿宋" w:eastAsia="仿宋" w:cs="仿宋"/>
          <w:color w:val="auto"/>
          <w:spacing w:val="2"/>
          <w:sz w:val="24"/>
          <w:szCs w:val="24"/>
        </w:rPr>
        <w:t>其保证金不予退还。</w:t>
      </w:r>
    </w:p>
    <w:p w14:paraId="389FA4C0">
      <w:pPr>
        <w:keepNext w:val="0"/>
        <w:keepLines w:val="0"/>
        <w:pageBreakBefore w:val="0"/>
        <w:widowControl w:val="0"/>
        <w:kinsoku/>
        <w:wordWrap/>
        <w:overflowPunct/>
        <w:topLinePunct w:val="0"/>
        <w:autoSpaceDE/>
        <w:autoSpaceDN/>
        <w:bidi w:val="0"/>
        <w:adjustRightInd w:val="0"/>
        <w:snapToGrid w:val="0"/>
        <w:spacing w:beforeLines="5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27.签订</w:t>
      </w:r>
      <w:r>
        <w:rPr>
          <w:rFonts w:hint="eastAsia" w:ascii="仿宋" w:hAnsi="仿宋" w:eastAsia="仿宋" w:cs="仿宋"/>
          <w:b/>
          <w:color w:val="auto"/>
          <w:sz w:val="24"/>
          <w:szCs w:val="24"/>
        </w:rPr>
        <w:t>政府采购</w:t>
      </w:r>
      <w:r>
        <w:rPr>
          <w:rFonts w:hint="eastAsia" w:ascii="仿宋" w:hAnsi="仿宋" w:eastAsia="仿宋" w:cs="仿宋"/>
          <w:b/>
          <w:bCs/>
          <w:color w:val="auto"/>
          <w:sz w:val="24"/>
          <w:szCs w:val="24"/>
        </w:rPr>
        <w:t>合同</w:t>
      </w:r>
    </w:p>
    <w:p w14:paraId="5AF4CE5D">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27.1 竞争性磋商文件、成交供应商的竞争性磋商响应文件等均为签订政府采购合同的依据。</w:t>
      </w:r>
    </w:p>
    <w:p w14:paraId="302838E4">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auto"/>
        <w:rPr>
          <w:rFonts w:hint="eastAsia" w:ascii="仿宋" w:hAnsi="仿宋" w:eastAsia="仿宋" w:cs="仿宋"/>
          <w:b/>
          <w:color w:val="auto"/>
          <w:kern w:val="0"/>
          <w:sz w:val="24"/>
          <w:szCs w:val="24"/>
        </w:rPr>
      </w:pPr>
      <w:r>
        <w:rPr>
          <w:rFonts w:hint="eastAsia" w:ascii="仿宋" w:hAnsi="仿宋" w:eastAsia="仿宋" w:cs="仿宋"/>
          <w:color w:val="auto"/>
          <w:sz w:val="24"/>
          <w:szCs w:val="24"/>
        </w:rPr>
        <w:t>27.2 成交供应商应当在成交通知书发出之日起三十日内与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签定政府采购合同。</w:t>
      </w:r>
    </w:p>
    <w:p w14:paraId="2C8E0507">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27.3 成交供应商应当按照政府采购合同约定履行义务。成交供应商不得向他人转让成交项目，也不得将成交项目分包后分别向他人转让。</w:t>
      </w:r>
    </w:p>
    <w:p w14:paraId="520F1036">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27.4政府采购合同履行中，</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需追加与合同标的相同的货物服务的，在不改变合同其他条款的前提下，可以与成交供应商协商签订补充合同，但所有补充合同的采购金额不得超过原合同采购金额的百分之十。</w:t>
      </w:r>
    </w:p>
    <w:p w14:paraId="1BAB7E7C">
      <w:pPr>
        <w:keepNext w:val="0"/>
        <w:keepLines w:val="0"/>
        <w:pageBreakBefore w:val="0"/>
        <w:widowControl w:val="0"/>
        <w:kinsoku/>
        <w:wordWrap/>
        <w:overflowPunct/>
        <w:topLinePunct w:val="0"/>
        <w:autoSpaceDE/>
        <w:autoSpaceDN/>
        <w:bidi w:val="0"/>
        <w:adjustRightInd w:val="0"/>
        <w:snapToGrid w:val="0"/>
        <w:spacing w:beforeLines="50" w:line="360" w:lineRule="auto"/>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七、责任承担</w:t>
      </w:r>
    </w:p>
    <w:p w14:paraId="42C0F142">
      <w:pPr>
        <w:keepNext w:val="0"/>
        <w:keepLines w:val="0"/>
        <w:pageBreakBefore w:val="0"/>
        <w:widowControl w:val="0"/>
        <w:kinsoku/>
        <w:wordWrap/>
        <w:overflowPunct/>
        <w:topLinePunct w:val="0"/>
        <w:autoSpaceDE/>
        <w:autoSpaceDN/>
        <w:bidi w:val="0"/>
        <w:adjustRightInd w:val="0"/>
        <w:snapToGrid w:val="0"/>
        <w:spacing w:beforeLines="50" w:line="360" w:lineRule="auto"/>
        <w:ind w:firstLine="470" w:firstLineChars="19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28.1在政府采购活动中，供应商需承担的相应责任及违规处理，按照《政府采购法》、《采购法实施条例》、《政府采购</w:t>
      </w:r>
      <w:r>
        <w:rPr>
          <w:rFonts w:hint="eastAsia" w:ascii="仿宋" w:hAnsi="仿宋" w:eastAsia="仿宋" w:cs="仿宋"/>
          <w:color w:val="auto"/>
          <w:sz w:val="24"/>
          <w:szCs w:val="24"/>
          <w:lang w:val="en-US" w:eastAsia="zh-CN"/>
        </w:rPr>
        <w:t>竞争性磋商采购方式</w:t>
      </w:r>
      <w:r>
        <w:rPr>
          <w:rFonts w:hint="eastAsia" w:ascii="仿宋" w:hAnsi="仿宋" w:eastAsia="仿宋" w:cs="仿宋"/>
          <w:color w:val="auto"/>
          <w:sz w:val="24"/>
          <w:szCs w:val="24"/>
        </w:rPr>
        <w:t>管理</w:t>
      </w:r>
      <w:r>
        <w:rPr>
          <w:rFonts w:hint="eastAsia" w:ascii="仿宋" w:hAnsi="仿宋" w:eastAsia="仿宋" w:cs="仿宋"/>
          <w:color w:val="auto"/>
          <w:sz w:val="24"/>
          <w:szCs w:val="24"/>
          <w:lang w:val="en-US" w:eastAsia="zh-CN"/>
        </w:rPr>
        <w:t>暂行</w:t>
      </w:r>
      <w:r>
        <w:rPr>
          <w:rFonts w:hint="eastAsia" w:ascii="仿宋" w:hAnsi="仿宋" w:eastAsia="仿宋" w:cs="仿宋"/>
          <w:color w:val="auto"/>
          <w:sz w:val="24"/>
          <w:szCs w:val="24"/>
        </w:rPr>
        <w:t>办法》的规定执行。</w:t>
      </w:r>
    </w:p>
    <w:p w14:paraId="411FE698">
      <w:pPr>
        <w:keepNext w:val="0"/>
        <w:keepLines w:val="0"/>
        <w:pageBreakBefore w:val="0"/>
        <w:widowControl w:val="0"/>
        <w:kinsoku/>
        <w:wordWrap/>
        <w:overflowPunct/>
        <w:topLinePunct w:val="0"/>
        <w:autoSpaceDE/>
        <w:autoSpaceDN/>
        <w:bidi w:val="0"/>
        <w:adjustRightInd w:val="0"/>
        <w:snapToGrid w:val="0"/>
        <w:spacing w:beforeLines="50" w:line="360" w:lineRule="auto"/>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八、其他规定</w:t>
      </w:r>
    </w:p>
    <w:p w14:paraId="51D04119">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beforeLines="50" w:line="360" w:lineRule="auto"/>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29.1竞争性磋商文件的其他规定见</w:t>
      </w:r>
      <w:r>
        <w:rPr>
          <w:rFonts w:hint="eastAsia" w:ascii="仿宋" w:hAnsi="仿宋" w:eastAsia="仿宋" w:cs="仿宋"/>
          <w:b/>
          <w:color w:val="auto"/>
          <w:sz w:val="24"/>
          <w:szCs w:val="24"/>
        </w:rPr>
        <w:t>供应商须知前附表</w:t>
      </w:r>
      <w:r>
        <w:rPr>
          <w:rFonts w:hint="eastAsia" w:ascii="仿宋" w:hAnsi="仿宋" w:eastAsia="仿宋" w:cs="仿宋"/>
          <w:color w:val="auto"/>
          <w:sz w:val="24"/>
          <w:szCs w:val="24"/>
        </w:rPr>
        <w:t>。</w:t>
      </w:r>
      <w:bookmarkEnd w:id="33"/>
      <w:bookmarkEnd w:id="36"/>
    </w:p>
    <w:p w14:paraId="1DB57A98">
      <w:pPr>
        <w:spacing w:line="276" w:lineRule="auto"/>
        <w:jc w:val="center"/>
        <w:outlineLvl w:val="0"/>
        <w:rPr>
          <w:rFonts w:hint="eastAsia" w:ascii="仿宋" w:hAnsi="仿宋" w:eastAsia="仿宋" w:cs="仿宋"/>
          <w:b/>
          <w:color w:val="auto"/>
          <w:sz w:val="24"/>
          <w:szCs w:val="24"/>
        </w:rPr>
        <w:sectPr>
          <w:pgSz w:w="11906" w:h="16838"/>
          <w:pgMar w:top="1440" w:right="1706" w:bottom="1440" w:left="1800" w:header="851" w:footer="992" w:gutter="0"/>
          <w:pgNumType w:fmt="decimal"/>
          <w:cols w:space="720" w:num="1"/>
          <w:docGrid w:type="lines" w:linePitch="312" w:charSpace="0"/>
        </w:sectPr>
      </w:pPr>
    </w:p>
    <w:p w14:paraId="55556D5C">
      <w:pPr>
        <w:spacing w:line="276" w:lineRule="auto"/>
        <w:jc w:val="center"/>
        <w:outlineLvl w:val="0"/>
        <w:rPr>
          <w:rFonts w:hint="eastAsia" w:ascii="仿宋" w:hAnsi="仿宋" w:eastAsia="仿宋" w:cs="仿宋"/>
          <w:b/>
          <w:color w:val="auto"/>
          <w:sz w:val="36"/>
          <w:szCs w:val="36"/>
        </w:rPr>
      </w:pPr>
      <w:bookmarkStart w:id="37" w:name="_Toc14043"/>
      <w:r>
        <w:rPr>
          <w:rFonts w:hint="eastAsia" w:ascii="仿宋" w:hAnsi="仿宋" w:eastAsia="仿宋" w:cs="仿宋"/>
          <w:b/>
          <w:color w:val="auto"/>
          <w:sz w:val="36"/>
          <w:szCs w:val="36"/>
        </w:rPr>
        <w:t>第七章  响应文件格式</w:t>
      </w:r>
      <w:bookmarkEnd w:id="37"/>
    </w:p>
    <w:p w14:paraId="72688886">
      <w:pPr>
        <w:jc w:val="left"/>
        <w:outlineLvl w:val="0"/>
        <w:rPr>
          <w:rFonts w:hint="eastAsia" w:ascii="仿宋" w:hAnsi="仿宋" w:eastAsia="仿宋" w:cs="仿宋"/>
          <w:b/>
          <w:bCs/>
          <w:color w:val="auto"/>
          <w:sz w:val="24"/>
          <w:szCs w:val="24"/>
          <w:lang w:val="en-US" w:eastAsia="zh-CN"/>
        </w:rPr>
      </w:pPr>
      <w:bookmarkStart w:id="38" w:name="_Toc11240"/>
      <w:bookmarkStart w:id="39" w:name="_Toc3598"/>
    </w:p>
    <w:p w14:paraId="59994309">
      <w:pPr>
        <w:jc w:val="left"/>
        <w:outlineLvl w:val="0"/>
        <w:rPr>
          <w:rFonts w:hint="eastAsia" w:ascii="仿宋" w:hAnsi="仿宋" w:eastAsia="仿宋" w:cs="仿宋"/>
          <w:b/>
          <w:bCs/>
          <w:color w:val="auto"/>
          <w:sz w:val="24"/>
          <w:szCs w:val="24"/>
          <w:lang w:val="en-US" w:eastAsia="zh-CN"/>
        </w:rPr>
      </w:pPr>
    </w:p>
    <w:p w14:paraId="3D546017">
      <w:pPr>
        <w:jc w:val="left"/>
        <w:outlineLvl w:val="0"/>
        <w:rPr>
          <w:rFonts w:hint="eastAsia" w:ascii="仿宋" w:hAnsi="仿宋" w:eastAsia="仿宋" w:cs="仿宋"/>
          <w:b/>
          <w:bCs/>
          <w:color w:val="auto"/>
          <w:sz w:val="24"/>
          <w:szCs w:val="24"/>
          <w:lang w:val="en-US" w:eastAsia="zh-CN"/>
        </w:rPr>
      </w:pPr>
      <w:bookmarkStart w:id="40" w:name="_Toc15083"/>
      <w:bookmarkStart w:id="41" w:name="_Toc8394"/>
      <w:bookmarkStart w:id="42" w:name="_Toc2191"/>
      <w:r>
        <w:rPr>
          <w:rFonts w:hint="eastAsia" w:ascii="仿宋" w:hAnsi="仿宋" w:eastAsia="仿宋" w:cs="仿宋"/>
          <w:b/>
          <w:bCs/>
          <w:color w:val="auto"/>
          <w:sz w:val="24"/>
          <w:szCs w:val="24"/>
          <w:lang w:val="en-US" w:eastAsia="zh-CN"/>
        </w:rPr>
        <w:t>正本/副本</w:t>
      </w:r>
      <w:bookmarkEnd w:id="38"/>
      <w:bookmarkEnd w:id="39"/>
      <w:bookmarkEnd w:id="40"/>
      <w:bookmarkEnd w:id="41"/>
      <w:bookmarkEnd w:id="42"/>
    </w:p>
    <w:p w14:paraId="6A0882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4"/>
          <w:szCs w:val="24"/>
          <w:u w:val="single"/>
          <w:lang w:val="en-US" w:eastAsia="zh-CN"/>
        </w:rPr>
      </w:pPr>
    </w:p>
    <w:p w14:paraId="48A0BAB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single"/>
          <w:lang w:val="en-US" w:eastAsia="zh-CN"/>
        </w:rPr>
      </w:pPr>
    </w:p>
    <w:p w14:paraId="4FD54D7C">
      <w:pPr>
        <w:pStyle w:val="26"/>
        <w:bidi w:val="0"/>
        <w:rPr>
          <w:rFonts w:hint="eastAsia" w:ascii="仿宋" w:hAnsi="仿宋" w:eastAsia="仿宋" w:cs="仿宋"/>
          <w:color w:val="auto"/>
          <w:lang w:val="en-US" w:eastAsia="zh-CN"/>
        </w:rPr>
      </w:pPr>
    </w:p>
    <w:p w14:paraId="423783A8">
      <w:pPr>
        <w:pStyle w:val="26"/>
        <w:bidi w:val="0"/>
        <w:rPr>
          <w:rFonts w:hint="eastAsia" w:ascii="仿宋" w:hAnsi="仿宋" w:eastAsia="仿宋" w:cs="仿宋"/>
          <w:color w:val="auto"/>
          <w:lang w:val="en-US" w:eastAsia="zh-CN"/>
        </w:rPr>
      </w:pPr>
    </w:p>
    <w:p w14:paraId="1B609C5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lang w:val="en-US" w:eastAsia="zh-CN"/>
        </w:rPr>
        <w:t xml:space="preserve">           </w:t>
      </w:r>
      <w:bookmarkStart w:id="43" w:name="_Toc14219"/>
      <w:bookmarkStart w:id="44" w:name="_Toc3932"/>
      <w:bookmarkStart w:id="45" w:name="_Toc14044"/>
      <w:bookmarkStart w:id="46" w:name="_Toc11882"/>
      <w:bookmarkStart w:id="47" w:name="_Toc18133"/>
      <w:r>
        <w:rPr>
          <w:rFonts w:hint="eastAsia" w:ascii="仿宋" w:hAnsi="仿宋" w:eastAsia="仿宋" w:cs="仿宋"/>
          <w:b w:val="0"/>
          <w:bCs w:val="0"/>
          <w:color w:val="auto"/>
          <w:spacing w:val="0"/>
          <w:sz w:val="24"/>
          <w:szCs w:val="24"/>
          <w:u w:val="single"/>
          <w:lang w:val="en-US" w:eastAsia="zh-CN"/>
        </w:rPr>
        <w:t>（</w:t>
      </w:r>
      <w:r>
        <w:rPr>
          <w:rFonts w:hint="eastAsia" w:ascii="仿宋" w:hAnsi="仿宋" w:eastAsia="仿宋" w:cs="仿宋"/>
          <w:b w:val="0"/>
          <w:bCs w:val="0"/>
          <w:color w:val="auto"/>
          <w:spacing w:val="0"/>
          <w:sz w:val="24"/>
          <w:szCs w:val="24"/>
          <w:u w:val="none"/>
          <w:lang w:val="en-US" w:eastAsia="zh-CN"/>
        </w:rPr>
        <w:t>项目名称）</w:t>
      </w:r>
      <w:bookmarkEnd w:id="43"/>
      <w:bookmarkEnd w:id="44"/>
      <w:bookmarkEnd w:id="45"/>
      <w:bookmarkEnd w:id="46"/>
      <w:bookmarkEnd w:id="47"/>
    </w:p>
    <w:p w14:paraId="164B3AD8">
      <w:pPr>
        <w:jc w:val="center"/>
        <w:outlineLvl w:val="0"/>
        <w:rPr>
          <w:rFonts w:hint="eastAsia" w:ascii="仿宋" w:hAnsi="仿宋" w:eastAsia="仿宋" w:cs="仿宋"/>
          <w:b w:val="0"/>
          <w:bCs w:val="0"/>
          <w:color w:val="auto"/>
          <w:spacing w:val="0"/>
          <w:sz w:val="24"/>
          <w:szCs w:val="24"/>
          <w:u w:val="none"/>
          <w:lang w:val="en-US" w:eastAsia="zh-CN"/>
        </w:rPr>
      </w:pPr>
      <w:bookmarkStart w:id="48" w:name="_Toc29713"/>
      <w:bookmarkStart w:id="49" w:name="_Toc24416"/>
      <w:bookmarkStart w:id="50" w:name="_Toc11004"/>
      <w:bookmarkStart w:id="51" w:name="_Toc13135"/>
      <w:bookmarkStart w:id="52" w:name="_Toc17914"/>
      <w:r>
        <w:rPr>
          <w:rFonts w:hint="eastAsia" w:ascii="仿宋" w:hAnsi="仿宋" w:eastAsia="仿宋" w:cs="仿宋"/>
          <w:b/>
          <w:bCs/>
          <w:color w:val="auto"/>
          <w:sz w:val="24"/>
          <w:szCs w:val="24"/>
        </w:rPr>
        <w:t>封面格式</w:t>
      </w:r>
      <w:bookmarkEnd w:id="48"/>
      <w:bookmarkEnd w:id="49"/>
      <w:bookmarkEnd w:id="50"/>
      <w:bookmarkEnd w:id="51"/>
      <w:bookmarkEnd w:id="52"/>
    </w:p>
    <w:p w14:paraId="2E8E09C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p>
    <w:p w14:paraId="24E57B4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p>
    <w:p w14:paraId="1ED2E2E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仿宋" w:hAnsi="仿宋" w:eastAsia="仿宋" w:cs="仿宋"/>
          <w:b/>
          <w:bCs/>
          <w:color w:val="auto"/>
          <w:spacing w:val="0"/>
          <w:sz w:val="24"/>
          <w:szCs w:val="24"/>
          <w:lang w:val="en-US" w:eastAsia="zh-CN"/>
        </w:rPr>
      </w:pPr>
      <w:bookmarkStart w:id="53" w:name="_Toc209"/>
      <w:bookmarkStart w:id="54" w:name="_Toc18236"/>
      <w:bookmarkStart w:id="55" w:name="_Toc12383"/>
      <w:bookmarkStart w:id="56" w:name="_Toc30960"/>
      <w:bookmarkStart w:id="57" w:name="_Toc1927"/>
      <w:r>
        <w:rPr>
          <w:rFonts w:hint="eastAsia" w:ascii="仿宋" w:hAnsi="仿宋" w:eastAsia="仿宋" w:cs="仿宋"/>
          <w:b/>
          <w:bCs/>
          <w:color w:val="auto"/>
          <w:spacing w:val="0"/>
          <w:sz w:val="24"/>
          <w:szCs w:val="24"/>
          <w:lang w:val="en-US" w:eastAsia="zh-CN"/>
        </w:rPr>
        <w:t>竞争性磋商响应文件</w:t>
      </w:r>
      <w:bookmarkEnd w:id="53"/>
      <w:bookmarkEnd w:id="54"/>
      <w:bookmarkEnd w:id="55"/>
      <w:bookmarkEnd w:id="56"/>
      <w:bookmarkEnd w:id="57"/>
    </w:p>
    <w:p w14:paraId="2ACFA6C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lang w:val="en-US" w:eastAsia="zh-CN"/>
        </w:rPr>
      </w:pPr>
    </w:p>
    <w:p w14:paraId="5C001AA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仿宋" w:hAnsi="仿宋" w:eastAsia="仿宋" w:cs="仿宋"/>
          <w:b w:val="0"/>
          <w:bCs w:val="0"/>
          <w:color w:val="auto"/>
          <w:spacing w:val="0"/>
          <w:sz w:val="24"/>
          <w:szCs w:val="24"/>
          <w:u w:val="none"/>
          <w:lang w:val="en-US" w:eastAsia="zh-CN"/>
        </w:rPr>
      </w:pPr>
    </w:p>
    <w:p w14:paraId="6D14ED1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p>
    <w:p w14:paraId="31F970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p>
    <w:p w14:paraId="60692E4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p>
    <w:p w14:paraId="4969787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p>
    <w:p w14:paraId="0EE385C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p>
    <w:p w14:paraId="74ABF77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none"/>
          <w:lang w:val="en-US" w:eastAsia="zh-CN"/>
        </w:rPr>
        <w:t>响应供应商：</w:t>
      </w: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（盖单位章）</w:t>
      </w:r>
    </w:p>
    <w:p w14:paraId="3839168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none"/>
          <w:lang w:val="en-US" w:eastAsia="zh-CN"/>
        </w:rPr>
        <w:t>法定代表人（单位负责人）或其委托代理人：</w:t>
      </w: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签字）</w:t>
      </w:r>
    </w:p>
    <w:p w14:paraId="1B4DDB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年</w:t>
      </w: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月</w:t>
      </w: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日</w:t>
      </w:r>
    </w:p>
    <w:p w14:paraId="347895B5">
      <w:pPr>
        <w:ind w:left="0" w:leftChars="0" w:firstLine="0" w:firstLineChars="0"/>
        <w:jc w:val="center"/>
        <w:outlineLvl w:val="9"/>
        <w:rPr>
          <w:rFonts w:hint="eastAsia" w:ascii="仿宋" w:hAnsi="仿宋" w:eastAsia="仿宋" w:cs="仿宋"/>
          <w:b/>
          <w:bCs/>
          <w:color w:val="auto"/>
          <w:sz w:val="24"/>
          <w:szCs w:val="24"/>
          <w:lang w:val="en-US" w:eastAsia="zh-CN"/>
        </w:rPr>
      </w:pPr>
    </w:p>
    <w:p w14:paraId="288D03F8">
      <w:pPr>
        <w:ind w:left="0" w:leftChars="0" w:firstLine="0" w:firstLineChars="0"/>
        <w:jc w:val="both"/>
        <w:outlineLvl w:val="9"/>
        <w:rPr>
          <w:rFonts w:hint="eastAsia" w:ascii="仿宋" w:hAnsi="仿宋" w:eastAsia="仿宋" w:cs="仿宋"/>
          <w:b/>
          <w:bCs/>
          <w:color w:val="auto"/>
          <w:sz w:val="24"/>
          <w:szCs w:val="24"/>
          <w:lang w:val="en-US" w:eastAsia="zh-CN"/>
        </w:rPr>
      </w:pPr>
    </w:p>
    <w:p w14:paraId="3CBEAF0F">
      <w:pPr>
        <w:pStyle w:val="12"/>
        <w:rPr>
          <w:rFonts w:hint="eastAsia" w:ascii="仿宋" w:hAnsi="仿宋" w:eastAsia="仿宋" w:cs="仿宋"/>
          <w:b/>
          <w:bCs/>
          <w:color w:val="auto"/>
          <w:sz w:val="24"/>
          <w:szCs w:val="24"/>
          <w:lang w:val="en-US" w:eastAsia="zh-CN"/>
        </w:rPr>
      </w:pPr>
    </w:p>
    <w:p w14:paraId="3B98003D">
      <w:pPr>
        <w:pStyle w:val="13"/>
        <w:rPr>
          <w:rFonts w:hint="eastAsia" w:ascii="仿宋" w:hAnsi="仿宋" w:eastAsia="仿宋" w:cs="仿宋"/>
          <w:b/>
          <w:bCs/>
          <w:color w:val="auto"/>
          <w:sz w:val="24"/>
          <w:szCs w:val="24"/>
          <w:lang w:val="en-US" w:eastAsia="zh-CN"/>
        </w:rPr>
      </w:pPr>
    </w:p>
    <w:p w14:paraId="122EED9F">
      <w:pPr>
        <w:rPr>
          <w:rFonts w:hint="eastAsia" w:ascii="仿宋" w:hAnsi="仿宋" w:eastAsia="仿宋" w:cs="仿宋"/>
          <w:b/>
          <w:bCs/>
          <w:color w:val="auto"/>
          <w:sz w:val="24"/>
          <w:szCs w:val="24"/>
          <w:lang w:val="en-US" w:eastAsia="zh-CN"/>
        </w:rPr>
      </w:pPr>
    </w:p>
    <w:p w14:paraId="57D3989F">
      <w:pPr>
        <w:pStyle w:val="12"/>
        <w:rPr>
          <w:rFonts w:hint="eastAsia" w:ascii="仿宋" w:hAnsi="仿宋" w:eastAsia="仿宋" w:cs="仿宋"/>
          <w:b/>
          <w:bCs/>
          <w:color w:val="auto"/>
          <w:sz w:val="24"/>
          <w:szCs w:val="24"/>
          <w:lang w:val="en-US" w:eastAsia="zh-CN"/>
        </w:rPr>
      </w:pPr>
    </w:p>
    <w:p w14:paraId="3371F551">
      <w:pPr>
        <w:pStyle w:val="13"/>
        <w:rPr>
          <w:rFonts w:hint="eastAsia" w:ascii="仿宋" w:hAnsi="仿宋" w:eastAsia="仿宋" w:cs="仿宋"/>
          <w:b/>
          <w:bCs/>
          <w:color w:val="auto"/>
          <w:sz w:val="24"/>
          <w:szCs w:val="24"/>
          <w:lang w:val="en-US" w:eastAsia="zh-CN"/>
        </w:rPr>
      </w:pPr>
    </w:p>
    <w:p w14:paraId="5054FA27">
      <w:pPr>
        <w:rPr>
          <w:rFonts w:hint="eastAsia" w:ascii="仿宋" w:hAnsi="仿宋" w:eastAsia="仿宋" w:cs="仿宋"/>
          <w:b/>
          <w:bCs/>
          <w:color w:val="auto"/>
          <w:sz w:val="24"/>
          <w:szCs w:val="24"/>
          <w:lang w:val="en-US" w:eastAsia="zh-CN"/>
        </w:rPr>
      </w:pPr>
    </w:p>
    <w:p w14:paraId="7FD7EFE1">
      <w:pPr>
        <w:pStyle w:val="26"/>
        <w:bidi w:val="0"/>
        <w:rPr>
          <w:rFonts w:hint="eastAsia" w:ascii="仿宋" w:hAnsi="仿宋" w:eastAsia="仿宋" w:cs="仿宋"/>
          <w:color w:val="auto"/>
          <w:lang w:val="en-US" w:eastAsia="zh-CN"/>
        </w:rPr>
      </w:pPr>
    </w:p>
    <w:p w14:paraId="1999F2B7">
      <w:pPr>
        <w:pStyle w:val="26"/>
        <w:bidi w:val="0"/>
        <w:rPr>
          <w:rFonts w:hint="eastAsia" w:ascii="仿宋" w:hAnsi="仿宋" w:eastAsia="仿宋" w:cs="仿宋"/>
          <w:color w:val="auto"/>
          <w:lang w:val="en-US" w:eastAsia="zh-CN"/>
        </w:rPr>
      </w:pPr>
    </w:p>
    <w:p w14:paraId="2CF6B324">
      <w:pPr>
        <w:pStyle w:val="13"/>
        <w:rPr>
          <w:rFonts w:hint="eastAsia" w:ascii="仿宋" w:hAnsi="仿宋" w:eastAsia="仿宋" w:cs="仿宋"/>
          <w:b/>
          <w:bCs/>
          <w:color w:val="auto"/>
          <w:sz w:val="24"/>
          <w:szCs w:val="24"/>
          <w:lang w:val="en-US" w:eastAsia="zh-CN"/>
        </w:rPr>
      </w:pPr>
    </w:p>
    <w:p w14:paraId="6204570F">
      <w:pPr>
        <w:rPr>
          <w:rFonts w:hint="eastAsia" w:ascii="仿宋" w:hAnsi="仿宋" w:eastAsia="仿宋" w:cs="仿宋"/>
          <w:color w:val="auto"/>
          <w:sz w:val="24"/>
          <w:szCs w:val="24"/>
          <w:lang w:val="en-US" w:eastAsia="zh-CN"/>
        </w:rPr>
      </w:pPr>
    </w:p>
    <w:p w14:paraId="7DBD3A08">
      <w:pPr>
        <w:pStyle w:val="53"/>
        <w:rPr>
          <w:rFonts w:hint="eastAsia" w:ascii="仿宋" w:hAnsi="仿宋" w:eastAsia="仿宋" w:cs="仿宋"/>
          <w:color w:val="auto"/>
          <w:sz w:val="24"/>
          <w:szCs w:val="24"/>
          <w:lang w:val="en-US" w:eastAsia="zh-CN"/>
        </w:rPr>
      </w:pPr>
    </w:p>
    <w:p w14:paraId="7D25BEBB">
      <w:pPr>
        <w:ind w:left="0" w:leftChars="0" w:firstLine="0" w:firstLineChars="0"/>
        <w:jc w:val="center"/>
        <w:outlineLvl w:val="0"/>
        <w:rPr>
          <w:rFonts w:hint="eastAsia" w:ascii="仿宋" w:hAnsi="仿宋" w:eastAsia="仿宋" w:cs="仿宋"/>
          <w:b/>
          <w:bCs/>
          <w:color w:val="auto"/>
          <w:sz w:val="32"/>
          <w:szCs w:val="32"/>
          <w:lang w:val="en-US" w:eastAsia="zh-CN"/>
        </w:rPr>
      </w:pPr>
      <w:bookmarkStart w:id="58" w:name="_Toc19677"/>
      <w:bookmarkStart w:id="59" w:name="_Toc17428"/>
      <w:bookmarkStart w:id="60" w:name="_Toc13518"/>
      <w:bookmarkStart w:id="61" w:name="_Toc1415"/>
      <w:r>
        <w:rPr>
          <w:rFonts w:hint="eastAsia" w:ascii="仿宋" w:hAnsi="仿宋" w:eastAsia="仿宋" w:cs="仿宋"/>
          <w:b/>
          <w:bCs/>
          <w:color w:val="auto"/>
          <w:sz w:val="32"/>
          <w:szCs w:val="32"/>
          <w:lang w:val="en-US" w:eastAsia="zh-CN"/>
        </w:rPr>
        <w:t>目  录</w:t>
      </w:r>
      <w:bookmarkEnd w:id="58"/>
      <w:bookmarkEnd w:id="59"/>
      <w:bookmarkEnd w:id="60"/>
      <w:bookmarkEnd w:id="61"/>
    </w:p>
    <w:p w14:paraId="5E5E010E">
      <w:pPr>
        <w:pStyle w:val="24"/>
        <w:bidi w:val="0"/>
        <w:rPr>
          <w:rFonts w:hint="eastAsia" w:ascii="仿宋" w:hAnsi="仿宋" w:eastAsia="仿宋" w:cs="仿宋"/>
          <w:color w:val="auto"/>
          <w:sz w:val="24"/>
          <w:szCs w:val="24"/>
          <w:lang w:val="en-US" w:eastAsia="zh-CN"/>
        </w:rPr>
      </w:pPr>
    </w:p>
    <w:p w14:paraId="4E0297F0">
      <w:pPr>
        <w:adjustRightInd w:val="0"/>
        <w:snapToGrid w:val="0"/>
        <w:spacing w:beforeLines="50" w:line="360" w:lineRule="auto"/>
        <w:ind w:firstLine="482" w:firstLineChars="20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（1）竞争性磋商</w:t>
      </w:r>
      <w:r>
        <w:rPr>
          <w:rFonts w:hint="eastAsia" w:ascii="仿宋" w:hAnsi="仿宋" w:eastAsia="仿宋" w:cs="仿宋"/>
          <w:b/>
          <w:bCs/>
          <w:color w:val="auto"/>
          <w:sz w:val="24"/>
          <w:szCs w:val="24"/>
        </w:rPr>
        <w:t>响应函</w:t>
      </w:r>
      <w:r>
        <w:rPr>
          <w:rFonts w:hint="eastAsia" w:ascii="仿宋" w:hAnsi="仿宋" w:eastAsia="仿宋" w:cs="仿宋"/>
          <w:b/>
          <w:bCs/>
          <w:color w:val="auto"/>
          <w:sz w:val="24"/>
          <w:szCs w:val="24"/>
          <w:lang w:val="en-US" w:eastAsia="zh-CN"/>
        </w:rPr>
        <w:t>.......................................（页码）</w:t>
      </w:r>
    </w:p>
    <w:p w14:paraId="051F0CE2">
      <w:pPr>
        <w:adjustRightInd w:val="0"/>
        <w:snapToGrid w:val="0"/>
        <w:spacing w:beforeLines="50" w:line="360" w:lineRule="auto"/>
        <w:ind w:firstLine="482" w:firstLineChars="20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开标一览表.............................................（页码）</w:t>
      </w:r>
    </w:p>
    <w:p w14:paraId="0BEF21B5">
      <w:pPr>
        <w:adjustRightInd w:val="0"/>
        <w:snapToGrid w:val="0"/>
        <w:spacing w:beforeLines="50" w:line="360" w:lineRule="auto"/>
        <w:ind w:firstLine="482" w:firstLineChars="20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eastAsia="zh-CN"/>
        </w:rPr>
        <w:t>）法定代表人身份证明</w:t>
      </w:r>
      <w:r>
        <w:rPr>
          <w:rFonts w:hint="eastAsia" w:ascii="仿宋" w:hAnsi="仿宋" w:eastAsia="仿宋" w:cs="仿宋"/>
          <w:b/>
          <w:bCs/>
          <w:color w:val="auto"/>
          <w:sz w:val="24"/>
          <w:szCs w:val="24"/>
          <w:lang w:val="en-US" w:eastAsia="zh-CN"/>
        </w:rPr>
        <w:t>或</w:t>
      </w:r>
      <w:r>
        <w:rPr>
          <w:rFonts w:hint="eastAsia" w:ascii="仿宋" w:hAnsi="仿宋" w:eastAsia="仿宋" w:cs="仿宋"/>
          <w:b/>
          <w:bCs/>
          <w:color w:val="auto"/>
          <w:sz w:val="24"/>
          <w:szCs w:val="24"/>
          <w:lang w:eastAsia="zh-CN"/>
        </w:rPr>
        <w:t>授权</w:t>
      </w:r>
      <w:r>
        <w:rPr>
          <w:rFonts w:hint="eastAsia" w:ascii="仿宋" w:hAnsi="仿宋" w:eastAsia="仿宋" w:cs="仿宋"/>
          <w:b/>
          <w:bCs/>
          <w:color w:val="auto"/>
          <w:sz w:val="24"/>
          <w:szCs w:val="24"/>
          <w:lang w:val="en-US" w:eastAsia="zh-CN"/>
        </w:rPr>
        <w:t>委托</w:t>
      </w:r>
      <w:r>
        <w:rPr>
          <w:rFonts w:hint="eastAsia" w:ascii="仿宋" w:hAnsi="仿宋" w:eastAsia="仿宋" w:cs="仿宋"/>
          <w:b/>
          <w:bCs/>
          <w:color w:val="auto"/>
          <w:sz w:val="24"/>
          <w:szCs w:val="24"/>
          <w:lang w:eastAsia="zh-CN"/>
        </w:rPr>
        <w:t>书</w:t>
      </w:r>
      <w:r>
        <w:rPr>
          <w:rFonts w:hint="eastAsia" w:ascii="仿宋" w:hAnsi="仿宋" w:eastAsia="仿宋" w:cs="仿宋"/>
          <w:b/>
          <w:bCs/>
          <w:color w:val="auto"/>
          <w:sz w:val="24"/>
          <w:szCs w:val="24"/>
          <w:lang w:val="en-US" w:eastAsia="zh-CN"/>
        </w:rPr>
        <w:t>.........................（页码）</w:t>
      </w:r>
    </w:p>
    <w:p w14:paraId="4DD3C39B">
      <w:pPr>
        <w:adjustRightInd w:val="0"/>
        <w:snapToGrid w:val="0"/>
        <w:spacing w:beforeLines="50" w:line="360" w:lineRule="auto"/>
        <w:ind w:firstLine="482" w:firstLineChars="20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lang w:eastAsia="zh-CN"/>
        </w:rPr>
        <w:t>）磋商保证金交纳凭证</w:t>
      </w:r>
      <w:r>
        <w:rPr>
          <w:rFonts w:hint="eastAsia" w:ascii="仿宋" w:hAnsi="仿宋" w:eastAsia="仿宋" w:cs="仿宋"/>
          <w:b/>
          <w:bCs/>
          <w:color w:val="auto"/>
          <w:sz w:val="24"/>
          <w:szCs w:val="24"/>
          <w:lang w:val="en-US" w:eastAsia="zh-CN"/>
        </w:rPr>
        <w:t>.....................................（页码）</w:t>
      </w:r>
    </w:p>
    <w:p w14:paraId="6801AC50">
      <w:pPr>
        <w:adjustRightInd w:val="0"/>
        <w:snapToGrid w:val="0"/>
        <w:spacing w:beforeLines="50" w:line="360" w:lineRule="auto"/>
        <w:ind w:firstLine="482" w:firstLineChars="20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lang w:eastAsia="zh-CN"/>
        </w:rPr>
        <w:t>）承诺书</w:t>
      </w:r>
      <w:r>
        <w:rPr>
          <w:rFonts w:hint="eastAsia" w:ascii="仿宋" w:hAnsi="仿宋" w:eastAsia="仿宋" w:cs="仿宋"/>
          <w:b/>
          <w:bCs/>
          <w:color w:val="auto"/>
          <w:sz w:val="24"/>
          <w:szCs w:val="24"/>
          <w:lang w:val="en-US" w:eastAsia="zh-CN"/>
        </w:rPr>
        <w:t>.................................................（页码）</w:t>
      </w:r>
    </w:p>
    <w:p w14:paraId="02CA33B3">
      <w:pPr>
        <w:adjustRightInd w:val="0"/>
        <w:snapToGrid w:val="0"/>
        <w:spacing w:beforeLines="50" w:line="360" w:lineRule="auto"/>
        <w:ind w:firstLine="482"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（6）商务和技术偏差表.......................................（页码）</w:t>
      </w:r>
    </w:p>
    <w:p w14:paraId="6D7D8FDE">
      <w:pPr>
        <w:adjustRightInd w:val="0"/>
        <w:snapToGrid w:val="0"/>
        <w:spacing w:beforeLines="50" w:line="360" w:lineRule="auto"/>
        <w:ind w:firstLine="482" w:firstLineChars="20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（7）响应供应商</w:t>
      </w:r>
      <w:r>
        <w:rPr>
          <w:rFonts w:hint="eastAsia" w:ascii="仿宋" w:hAnsi="仿宋" w:eastAsia="仿宋" w:cs="仿宋"/>
          <w:b/>
          <w:bCs/>
          <w:color w:val="auto"/>
          <w:sz w:val="24"/>
          <w:szCs w:val="24"/>
          <w:lang w:eastAsia="zh-CN"/>
        </w:rPr>
        <w:t>概况</w:t>
      </w:r>
      <w:r>
        <w:rPr>
          <w:rFonts w:hint="eastAsia" w:ascii="仿宋" w:hAnsi="仿宋" w:eastAsia="仿宋" w:cs="仿宋"/>
          <w:b/>
          <w:bCs/>
          <w:color w:val="auto"/>
          <w:sz w:val="24"/>
          <w:szCs w:val="24"/>
          <w:lang w:val="en-US" w:eastAsia="zh-CN"/>
        </w:rPr>
        <w:t>.........................................（页码）</w:t>
      </w:r>
    </w:p>
    <w:p w14:paraId="72AE3BDB">
      <w:pPr>
        <w:adjustRightInd w:val="0"/>
        <w:snapToGrid w:val="0"/>
        <w:spacing w:beforeLines="50" w:line="360" w:lineRule="auto"/>
        <w:ind w:firstLine="482"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（8）拟投入本项目的负责人简历表.............................（页码）</w:t>
      </w:r>
    </w:p>
    <w:p w14:paraId="194B115F">
      <w:pPr>
        <w:adjustRightInd w:val="0"/>
        <w:snapToGrid w:val="0"/>
        <w:spacing w:beforeLines="50" w:line="360" w:lineRule="auto"/>
        <w:ind w:firstLine="482"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（9）拟投入本项目其他人员表.................................（页码）</w:t>
      </w:r>
    </w:p>
    <w:p w14:paraId="0106D4C9">
      <w:pPr>
        <w:adjustRightInd w:val="0"/>
        <w:snapToGrid w:val="0"/>
        <w:spacing w:beforeLines="50" w:line="360" w:lineRule="auto"/>
        <w:ind w:firstLine="482"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（10）2022年11月至今类似项目业绩表.........................（页码）</w:t>
      </w:r>
    </w:p>
    <w:p w14:paraId="664B7BB7">
      <w:pPr>
        <w:adjustRightInd w:val="0"/>
        <w:snapToGrid w:val="0"/>
        <w:spacing w:beforeLines="50" w:line="360" w:lineRule="auto"/>
        <w:ind w:firstLine="482"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（11）技术文件..............................................（页码）</w:t>
      </w:r>
    </w:p>
    <w:p w14:paraId="4DE228D3">
      <w:pPr>
        <w:adjustRightInd w:val="0"/>
        <w:snapToGrid w:val="0"/>
        <w:spacing w:beforeLines="50" w:line="360" w:lineRule="auto"/>
        <w:ind w:firstLine="482"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（12）其他资料..............................................（页码）</w:t>
      </w:r>
    </w:p>
    <w:p w14:paraId="48F55662">
      <w:pPr>
        <w:ind w:left="0" w:leftChars="0" w:firstLine="0" w:firstLineChars="0"/>
        <w:jc w:val="center"/>
        <w:outlineLvl w:val="9"/>
        <w:rPr>
          <w:rFonts w:hint="eastAsia" w:ascii="仿宋" w:hAnsi="仿宋" w:eastAsia="仿宋" w:cs="仿宋"/>
          <w:b w:val="0"/>
          <w:bCs/>
          <w:color w:val="auto"/>
          <w:sz w:val="24"/>
          <w:szCs w:val="24"/>
          <w:lang w:eastAsia="zh-CN"/>
        </w:rPr>
      </w:pPr>
    </w:p>
    <w:p w14:paraId="5819AC90">
      <w:pPr>
        <w:ind w:left="0" w:leftChars="0" w:firstLine="0" w:firstLineChars="0"/>
        <w:jc w:val="center"/>
        <w:outlineLvl w:val="9"/>
        <w:rPr>
          <w:rFonts w:hint="eastAsia" w:ascii="仿宋" w:hAnsi="仿宋" w:eastAsia="仿宋" w:cs="仿宋"/>
          <w:b w:val="0"/>
          <w:bCs/>
          <w:color w:val="auto"/>
          <w:sz w:val="24"/>
          <w:szCs w:val="24"/>
          <w:lang w:eastAsia="zh-CN"/>
        </w:rPr>
      </w:pPr>
    </w:p>
    <w:p w14:paraId="7411EB93">
      <w:pPr>
        <w:ind w:left="0" w:leftChars="0" w:firstLine="0" w:firstLineChars="0"/>
        <w:jc w:val="center"/>
        <w:outlineLvl w:val="9"/>
        <w:rPr>
          <w:rFonts w:hint="eastAsia" w:ascii="仿宋" w:hAnsi="仿宋" w:eastAsia="仿宋" w:cs="仿宋"/>
          <w:b/>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注：响应供应商编制响应文件目录时应编制页码，可做详细目录；但目录顺序应与本表一致。</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br w:type="page"/>
      </w:r>
      <w:r>
        <w:rPr>
          <w:rFonts w:hint="eastAsia" w:ascii="仿宋" w:hAnsi="仿宋" w:eastAsia="仿宋" w:cs="仿宋"/>
          <w:b/>
          <w:bCs/>
          <w:color w:val="auto"/>
          <w:spacing w:val="0"/>
          <w:sz w:val="32"/>
          <w:szCs w:val="32"/>
          <w:lang w:val="en-US" w:eastAsia="zh-CN"/>
        </w:rPr>
        <w:t>一、竞争性磋商响应函</w:t>
      </w:r>
    </w:p>
    <w:p w14:paraId="7CF653B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库车市住房和城乡建设局</w:t>
      </w:r>
      <w:r>
        <w:rPr>
          <w:rFonts w:hint="eastAsia" w:ascii="仿宋" w:hAnsi="仿宋" w:eastAsia="仿宋" w:cs="仿宋"/>
          <w:color w:val="auto"/>
          <w:sz w:val="24"/>
          <w:szCs w:val="24"/>
        </w:rPr>
        <w:t>：</w:t>
      </w:r>
    </w:p>
    <w:p w14:paraId="6B8CFE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根据贵单位对</w:t>
      </w:r>
      <w:r>
        <w:rPr>
          <w:rFonts w:hint="eastAsia" w:ascii="仿宋" w:hAnsi="仿宋" w:eastAsia="仿宋" w:cs="仿宋"/>
          <w:color w:val="auto"/>
          <w:sz w:val="24"/>
          <w:szCs w:val="24"/>
          <w:u w:val="single"/>
          <w:lang w:val="en-US" w:eastAsia="zh-CN"/>
        </w:rPr>
        <w:t xml:space="preserve"> 库车国家历史文化名城公共服务设施建设项目可研编制 </w:t>
      </w:r>
      <w:r>
        <w:rPr>
          <w:rFonts w:hint="eastAsia" w:ascii="仿宋" w:hAnsi="仿宋" w:eastAsia="仿宋" w:cs="仿宋"/>
          <w:color w:val="auto"/>
          <w:sz w:val="24"/>
          <w:szCs w:val="24"/>
          <w:u w:val="none"/>
          <w:lang w:val="en-US" w:eastAsia="zh-CN"/>
        </w:rPr>
        <w:t>的</w:t>
      </w:r>
      <w:r>
        <w:rPr>
          <w:rFonts w:hint="eastAsia" w:ascii="仿宋" w:hAnsi="仿宋" w:eastAsia="仿宋" w:cs="仿宋"/>
          <w:color w:val="auto"/>
          <w:sz w:val="24"/>
          <w:szCs w:val="24"/>
        </w:rPr>
        <w:t>邀请，我公司经研究，决定参与本次</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，并提交本项目响应文件正本壹份和副本</w:t>
      </w:r>
      <w:r>
        <w:rPr>
          <w:rFonts w:hint="eastAsia" w:ascii="仿宋" w:hAnsi="仿宋" w:eastAsia="仿宋" w:cs="仿宋"/>
          <w:color w:val="auto"/>
          <w:sz w:val="24"/>
          <w:szCs w:val="24"/>
          <w:lang w:val="en-US" w:eastAsia="zh-CN"/>
        </w:rPr>
        <w:t>叁</w:t>
      </w:r>
      <w:r>
        <w:rPr>
          <w:rFonts w:hint="eastAsia" w:ascii="仿宋" w:hAnsi="仿宋" w:eastAsia="仿宋" w:cs="仿宋"/>
          <w:color w:val="auto"/>
          <w:sz w:val="24"/>
          <w:szCs w:val="24"/>
        </w:rPr>
        <w:t>份。</w:t>
      </w:r>
    </w:p>
    <w:p w14:paraId="2B89F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据此函，我公司承诺如下：</w:t>
      </w:r>
    </w:p>
    <w:p w14:paraId="7B3A9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 我公司将按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文件的规定履行合同责任和义务。</w:t>
      </w:r>
    </w:p>
    <w:p w14:paraId="63852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 我公司已详细审查全部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 xml:space="preserve">文件，包括修改文件（如有的话）以及全部参考资料和有关附件。我公司完全理解并同意放弃对这方面有不明及误解的权利。 </w:t>
      </w:r>
    </w:p>
    <w:p w14:paraId="1BF31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 我公司同意提供按照贵单位可能 要求的与其</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有关的一切数据或资料。</w:t>
      </w:r>
    </w:p>
    <w:p w14:paraId="180E7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4. 我公司愿意遵守</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文件中对供应商的所有规定。</w:t>
      </w:r>
      <w:r>
        <w:rPr>
          <w:rFonts w:hint="eastAsia" w:ascii="仿宋" w:hAnsi="仿宋" w:eastAsia="仿宋" w:cs="仿宋"/>
          <w:color w:val="auto"/>
          <w:sz w:val="24"/>
          <w:szCs w:val="24"/>
          <w:lang w:val="en-US" w:eastAsia="zh-CN"/>
        </w:rPr>
        <w:t>响应有效期</w:t>
      </w:r>
      <w:r>
        <w:rPr>
          <w:rFonts w:hint="eastAsia" w:ascii="仿宋" w:hAnsi="仿宋" w:eastAsia="仿宋" w:cs="仿宋"/>
          <w:color w:val="auto"/>
          <w:sz w:val="24"/>
          <w:szCs w:val="24"/>
          <w:u w:val="none"/>
          <w:lang w:val="en-US" w:eastAsia="zh-CN"/>
        </w:rPr>
        <w:t>为</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天</w:t>
      </w:r>
      <w:r>
        <w:rPr>
          <w:rFonts w:hint="eastAsia" w:ascii="仿宋" w:hAnsi="仿宋" w:eastAsia="仿宋" w:cs="仿宋"/>
          <w:color w:val="auto"/>
          <w:sz w:val="24"/>
          <w:szCs w:val="24"/>
          <w:u w:val="none"/>
          <w:lang w:val="en-US" w:eastAsia="zh-CN"/>
        </w:rPr>
        <w:t>。</w:t>
      </w:r>
    </w:p>
    <w:p w14:paraId="52883B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 一旦我公司成交，我公司愿意履行自己在响应文件中的全部承诺和责任。</w:t>
      </w:r>
    </w:p>
    <w:p w14:paraId="3BBA1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 我公司知道如用虚假材料或恶意方式向贵单位提出质疑，将承担相应的法律责任。同时承诺：我公司如果有上述行为，将无条件承担贵单位相关的调查论证费用。我公司同意提供按贵单位可能要求的与其</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有关的一切数据或资料。</w:t>
      </w:r>
    </w:p>
    <w:p w14:paraId="789C10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 不一定要接受最低报价的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或收到的任何</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w:t>
      </w:r>
    </w:p>
    <w:p w14:paraId="0A5B3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8. 本次</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有关的一切正式往来通讯请寄：</w:t>
      </w:r>
    </w:p>
    <w:p w14:paraId="4385DC07">
      <w:pPr>
        <w:spacing w:line="360" w:lineRule="auto"/>
        <w:outlineLvl w:val="9"/>
        <w:rPr>
          <w:rFonts w:hint="eastAsia" w:ascii="仿宋" w:hAnsi="仿宋" w:eastAsia="仿宋" w:cs="仿宋"/>
          <w:color w:val="auto"/>
          <w:sz w:val="24"/>
          <w:szCs w:val="24"/>
        </w:rPr>
      </w:pPr>
    </w:p>
    <w:p w14:paraId="14CA6EC8">
      <w:pPr>
        <w:spacing w:line="360" w:lineRule="auto"/>
        <w:ind w:firstLine="480" w:firstLineChars="200"/>
        <w:outlineLvl w:val="9"/>
        <w:rPr>
          <w:rFonts w:hint="eastAsia" w:ascii="仿宋" w:hAnsi="仿宋" w:eastAsia="仿宋" w:cs="仿宋"/>
          <w:color w:val="auto"/>
          <w:sz w:val="24"/>
          <w:szCs w:val="24"/>
        </w:rPr>
      </w:pPr>
    </w:p>
    <w:p w14:paraId="71D872A4">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地址：                           邮编：</w:t>
      </w:r>
    </w:p>
    <w:p w14:paraId="15026E93">
      <w:pPr>
        <w:spacing w:line="360" w:lineRule="auto"/>
        <w:outlineLvl w:val="9"/>
        <w:rPr>
          <w:rFonts w:hint="eastAsia" w:ascii="仿宋" w:hAnsi="仿宋" w:eastAsia="仿宋" w:cs="仿宋"/>
          <w:color w:val="auto"/>
          <w:sz w:val="24"/>
          <w:szCs w:val="24"/>
        </w:rPr>
      </w:pPr>
    </w:p>
    <w:p w14:paraId="1D4DA74A">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电话：                           传真：</w:t>
      </w:r>
    </w:p>
    <w:p w14:paraId="29AAE2BD">
      <w:pPr>
        <w:spacing w:line="360" w:lineRule="auto"/>
        <w:outlineLvl w:val="9"/>
        <w:rPr>
          <w:rFonts w:hint="eastAsia" w:ascii="仿宋" w:hAnsi="仿宋" w:eastAsia="仿宋" w:cs="仿宋"/>
          <w:color w:val="auto"/>
          <w:sz w:val="24"/>
          <w:szCs w:val="24"/>
        </w:rPr>
      </w:pPr>
    </w:p>
    <w:p w14:paraId="2B063FFF">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供应商名称（加盖公章）：</w:t>
      </w:r>
    </w:p>
    <w:p w14:paraId="40BB9C79">
      <w:pPr>
        <w:spacing w:line="360" w:lineRule="auto"/>
        <w:outlineLvl w:val="9"/>
        <w:rPr>
          <w:rFonts w:hint="eastAsia" w:ascii="仿宋" w:hAnsi="仿宋" w:eastAsia="仿宋" w:cs="仿宋"/>
          <w:color w:val="auto"/>
          <w:sz w:val="24"/>
          <w:szCs w:val="24"/>
        </w:rPr>
      </w:pPr>
    </w:p>
    <w:p w14:paraId="37C4A552">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法定代表人或授权代表（签字）：</w:t>
      </w:r>
    </w:p>
    <w:p w14:paraId="42B64264">
      <w:pPr>
        <w:spacing w:line="360" w:lineRule="auto"/>
        <w:outlineLvl w:val="9"/>
        <w:rPr>
          <w:rFonts w:hint="eastAsia" w:ascii="仿宋" w:hAnsi="仿宋" w:eastAsia="仿宋" w:cs="仿宋"/>
          <w:color w:val="auto"/>
          <w:sz w:val="24"/>
          <w:szCs w:val="24"/>
        </w:rPr>
      </w:pPr>
    </w:p>
    <w:p w14:paraId="4CE6CFD3">
      <w:pPr>
        <w:spacing w:line="360" w:lineRule="auto"/>
        <w:outlineLvl w:val="9"/>
        <w:rPr>
          <w:rFonts w:hint="eastAsia" w:ascii="仿宋" w:hAnsi="仿宋" w:eastAsia="仿宋" w:cs="仿宋"/>
          <w:b/>
          <w:color w:val="auto"/>
          <w:spacing w:val="20"/>
          <w:sz w:val="24"/>
          <w:szCs w:val="24"/>
        </w:rPr>
      </w:pPr>
      <w:r>
        <w:rPr>
          <w:rFonts w:hint="eastAsia" w:ascii="仿宋" w:hAnsi="仿宋" w:eastAsia="仿宋" w:cs="仿宋"/>
          <w:color w:val="auto"/>
          <w:sz w:val="24"/>
          <w:szCs w:val="24"/>
        </w:rPr>
        <w:t>日    期：   年  月  日</w:t>
      </w:r>
      <w:bookmarkStart w:id="62" w:name="_Toc460703986"/>
      <w:bookmarkStart w:id="63" w:name="_Toc424212008"/>
    </w:p>
    <w:p w14:paraId="3433FF50">
      <w:pPr>
        <w:jc w:val="center"/>
        <w:outlineLvl w:val="0"/>
        <w:rPr>
          <w:rFonts w:hint="eastAsia" w:ascii="仿宋" w:hAnsi="仿宋" w:eastAsia="仿宋" w:cs="仿宋"/>
          <w:b/>
          <w:bCs/>
          <w:color w:val="auto"/>
          <w:spacing w:val="0"/>
          <w:sz w:val="24"/>
          <w:szCs w:val="24"/>
          <w:lang w:val="en-US" w:eastAsia="zh-CN"/>
        </w:rPr>
      </w:pPr>
      <w:bookmarkStart w:id="64" w:name="_Toc4006_WPSOffice_Level1"/>
      <w:bookmarkStart w:id="65" w:name="_Toc8623"/>
      <w:bookmarkStart w:id="66" w:name="_Toc24737_WPSOffice_Level1"/>
      <w:bookmarkStart w:id="67" w:name="_Toc2545_WPSOffice_Level1"/>
      <w:bookmarkStart w:id="68" w:name="_Toc18009_WPSOffice_Level1"/>
      <w:bookmarkStart w:id="69" w:name="_Toc7382_WPSOffice_Level1"/>
      <w:bookmarkStart w:id="70" w:name="_Toc6834_WPSOffice_Level1"/>
      <w:bookmarkStart w:id="71" w:name="_Toc20503_WPSOffice_Level1"/>
      <w:bookmarkStart w:id="72" w:name="_Toc13204_WPSOffice_Level1"/>
    </w:p>
    <w:p w14:paraId="17667A49">
      <w:pPr>
        <w:pStyle w:val="28"/>
        <w:bidi w:val="0"/>
        <w:rPr>
          <w:rFonts w:hint="eastAsia" w:ascii="仿宋" w:hAnsi="仿宋" w:eastAsia="仿宋" w:cs="仿宋"/>
          <w:color w:val="auto"/>
          <w:sz w:val="24"/>
          <w:szCs w:val="24"/>
          <w:lang w:val="en-US" w:eastAsia="zh-CN"/>
        </w:rPr>
        <w:sectPr>
          <w:pgSz w:w="11907" w:h="16840"/>
          <w:pgMar w:top="1440" w:right="1474" w:bottom="1440" w:left="1474" w:header="851" w:footer="992" w:gutter="0"/>
          <w:pgNumType w:fmt="decimal"/>
          <w:cols w:space="720" w:num="1"/>
          <w:docGrid w:linePitch="312" w:charSpace="0"/>
        </w:sectPr>
      </w:pPr>
    </w:p>
    <w:p w14:paraId="3DE78398">
      <w:pPr>
        <w:pStyle w:val="28"/>
        <w:bidi w:val="0"/>
        <w:rPr>
          <w:rFonts w:hint="eastAsia" w:ascii="仿宋" w:hAnsi="仿宋" w:eastAsia="仿宋" w:cs="仿宋"/>
          <w:color w:val="auto"/>
          <w:sz w:val="24"/>
          <w:szCs w:val="24"/>
          <w:lang w:val="en-US" w:eastAsia="zh-CN"/>
        </w:rPr>
      </w:pPr>
    </w:p>
    <w:p w14:paraId="4AC36EF3">
      <w:pPr>
        <w:jc w:val="center"/>
        <w:outlineLvl w:val="0"/>
        <w:rPr>
          <w:rFonts w:hint="default" w:ascii="仿宋" w:hAnsi="仿宋" w:eastAsia="仿宋" w:cs="仿宋"/>
          <w:b/>
          <w:color w:val="auto"/>
          <w:spacing w:val="20"/>
          <w:sz w:val="24"/>
          <w:szCs w:val="24"/>
          <w:lang w:val="en-US"/>
        </w:rPr>
      </w:pPr>
      <w:bookmarkStart w:id="73" w:name="_Toc30515"/>
      <w:bookmarkStart w:id="74" w:name="_Toc5891"/>
      <w:bookmarkStart w:id="75" w:name="_Toc24759"/>
      <w:r>
        <w:rPr>
          <w:rFonts w:hint="eastAsia" w:ascii="仿宋" w:hAnsi="仿宋" w:eastAsia="仿宋" w:cs="仿宋"/>
          <w:b/>
          <w:bCs/>
          <w:color w:val="auto"/>
          <w:spacing w:val="0"/>
          <w:sz w:val="32"/>
          <w:szCs w:val="32"/>
          <w:lang w:val="en-US" w:eastAsia="zh-CN"/>
        </w:rPr>
        <w:t>二、</w:t>
      </w:r>
      <w:bookmarkEnd w:id="64"/>
      <w:bookmarkEnd w:id="65"/>
      <w:bookmarkEnd w:id="66"/>
      <w:bookmarkEnd w:id="67"/>
      <w:bookmarkEnd w:id="68"/>
      <w:bookmarkEnd w:id="69"/>
      <w:bookmarkEnd w:id="70"/>
      <w:bookmarkEnd w:id="71"/>
      <w:bookmarkEnd w:id="72"/>
      <w:bookmarkEnd w:id="73"/>
      <w:bookmarkEnd w:id="74"/>
      <w:r>
        <w:rPr>
          <w:rFonts w:hint="eastAsia" w:ascii="仿宋" w:hAnsi="仿宋" w:eastAsia="仿宋" w:cs="仿宋"/>
          <w:b/>
          <w:bCs/>
          <w:color w:val="auto"/>
          <w:spacing w:val="0"/>
          <w:sz w:val="32"/>
          <w:szCs w:val="32"/>
          <w:lang w:val="en-US" w:eastAsia="zh-CN"/>
        </w:rPr>
        <w:t>开标一览表</w:t>
      </w:r>
      <w:bookmarkEnd w:id="75"/>
    </w:p>
    <w:p w14:paraId="3B8AF101">
      <w:pPr>
        <w:spacing w:line="450" w:lineRule="atLeast"/>
        <w:outlineLvl w:val="9"/>
        <w:rPr>
          <w:rFonts w:hint="eastAsia" w:ascii="仿宋" w:hAnsi="仿宋" w:eastAsia="仿宋" w:cs="仿宋"/>
          <w:color w:val="auto"/>
          <w:sz w:val="24"/>
          <w:szCs w:val="24"/>
        </w:rPr>
      </w:pPr>
    </w:p>
    <w:tbl>
      <w:tblPr>
        <w:tblStyle w:val="34"/>
        <w:tblW w:w="14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8"/>
        <w:gridCol w:w="2358"/>
        <w:gridCol w:w="2050"/>
        <w:gridCol w:w="1350"/>
        <w:gridCol w:w="752"/>
        <w:gridCol w:w="798"/>
        <w:gridCol w:w="1746"/>
        <w:gridCol w:w="1801"/>
        <w:gridCol w:w="1425"/>
        <w:gridCol w:w="1327"/>
      </w:tblGrid>
      <w:tr w14:paraId="664F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84A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项目编号</w:t>
            </w:r>
          </w:p>
        </w:tc>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00428">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KCS2025-WT290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6A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项目名称</w:t>
            </w:r>
          </w:p>
        </w:tc>
        <w:tc>
          <w:tcPr>
            <w:tcW w:w="4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924BC">
            <w:pPr>
              <w:jc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eastAsia="zh-CN"/>
              </w:rPr>
              <w:t>库车国家历史文化名城公共服务设施建设项目可研编制</w:t>
            </w:r>
          </w:p>
        </w:tc>
      </w:tr>
      <w:tr w14:paraId="485C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F3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采购方式</w:t>
            </w:r>
          </w:p>
        </w:tc>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1DFCC">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竞争性磋商</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6EC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开标时间</w:t>
            </w:r>
          </w:p>
        </w:tc>
        <w:tc>
          <w:tcPr>
            <w:tcW w:w="4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3BD55">
            <w:pPr>
              <w:jc w:val="center"/>
              <w:rPr>
                <w:rFonts w:hint="default" w:ascii="仿宋" w:hAnsi="仿宋" w:eastAsia="仿宋" w:cs="仿宋"/>
                <w:i w:val="0"/>
                <w:iCs w:val="0"/>
                <w:color w:val="auto"/>
                <w:sz w:val="24"/>
                <w:szCs w:val="24"/>
                <w:u w:val="none"/>
                <w:lang w:val="en-US" w:eastAsia="zh-CN"/>
              </w:rPr>
            </w:pPr>
          </w:p>
        </w:tc>
      </w:tr>
      <w:tr w14:paraId="483A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9C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开标地点</w:t>
            </w:r>
          </w:p>
        </w:tc>
        <w:tc>
          <w:tcPr>
            <w:tcW w:w="11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FE3AF3">
            <w:pPr>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响应供应商登录政采云平台https://www.zcygov.cn/，进入“项目采购-开标评标-右边选择对应项目点击“进入项目”进入开标大厅</w:t>
            </w:r>
          </w:p>
        </w:tc>
      </w:tr>
      <w:tr w14:paraId="0B7D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14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D8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供应商名称</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5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报价(元)</w:t>
            </w:r>
          </w:p>
        </w:tc>
        <w:tc>
          <w:tcPr>
            <w:tcW w:w="1350" w:type="dxa"/>
            <w:tcBorders>
              <w:top w:val="single" w:color="000000" w:sz="4" w:space="0"/>
              <w:left w:val="single" w:color="000000" w:sz="4" w:space="0"/>
              <w:bottom w:val="single" w:color="000000" w:sz="4" w:space="0"/>
              <w:right w:val="single" w:color="auto" w:sz="4" w:space="0"/>
            </w:tcBorders>
            <w:shd w:val="clear" w:color="auto" w:fill="auto"/>
            <w:vAlign w:val="center"/>
          </w:tcPr>
          <w:p w14:paraId="401C16D1">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服务范围</w:t>
            </w:r>
          </w:p>
        </w:tc>
        <w:tc>
          <w:tcPr>
            <w:tcW w:w="15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6C5B7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项目负责人</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0399">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编制周期</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0E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质量标准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54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响应有效期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A7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w:t>
            </w:r>
          </w:p>
        </w:tc>
      </w:tr>
      <w:tr w14:paraId="32FB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F7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516">
            <w:pPr>
              <w:jc w:val="left"/>
              <w:rPr>
                <w:rFonts w:hint="eastAsia" w:ascii="仿宋" w:hAnsi="仿宋" w:eastAsia="仿宋" w:cs="仿宋"/>
                <w:i w:val="0"/>
                <w:iCs w:val="0"/>
                <w:color w:val="auto"/>
                <w:sz w:val="24"/>
                <w:szCs w:val="24"/>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E7CC">
            <w:pPr>
              <w:jc w:val="center"/>
              <w:rPr>
                <w:rFonts w:hint="eastAsia" w:ascii="仿宋" w:hAnsi="仿宋" w:eastAsia="仿宋" w:cs="仿宋"/>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vAlign w:val="center"/>
          </w:tcPr>
          <w:p w14:paraId="4BF533FF">
            <w:pPr>
              <w:jc w:val="center"/>
              <w:rPr>
                <w:rFonts w:hint="eastAsia" w:ascii="仿宋" w:hAnsi="仿宋" w:eastAsia="仿宋" w:cs="仿宋"/>
                <w:i w:val="0"/>
                <w:iCs w:val="0"/>
                <w:color w:val="auto"/>
                <w:sz w:val="24"/>
                <w:szCs w:val="24"/>
                <w:u w:val="none"/>
              </w:rPr>
            </w:pPr>
          </w:p>
        </w:tc>
        <w:tc>
          <w:tcPr>
            <w:tcW w:w="15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C22003B">
            <w:pPr>
              <w:jc w:val="center"/>
              <w:rPr>
                <w:rFonts w:hint="eastAsia" w:ascii="仿宋" w:hAnsi="仿宋" w:eastAsia="仿宋" w:cs="仿宋"/>
                <w:i w:val="0"/>
                <w:iCs w:val="0"/>
                <w:color w:val="auto"/>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22C1">
            <w:pPr>
              <w:jc w:val="center"/>
              <w:rPr>
                <w:rFonts w:hint="eastAsia" w:ascii="仿宋" w:hAnsi="仿宋" w:eastAsia="仿宋" w:cs="仿宋"/>
                <w:i w:val="0"/>
                <w:iCs w:val="0"/>
                <w:color w:val="auto"/>
                <w:sz w:val="24"/>
                <w:szCs w:val="24"/>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9E0A">
            <w:pPr>
              <w:jc w:val="center"/>
              <w:rPr>
                <w:rFonts w:hint="eastAsia" w:ascii="仿宋" w:hAnsi="仿宋" w:eastAsia="仿宋" w:cs="仿宋"/>
                <w:i w:val="0"/>
                <w:iCs w:val="0"/>
                <w:color w:val="auto"/>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697E">
            <w:pPr>
              <w:jc w:val="center"/>
              <w:rPr>
                <w:rFonts w:hint="eastAsia" w:ascii="仿宋" w:hAnsi="仿宋" w:eastAsia="仿宋" w:cs="仿宋"/>
                <w:i w:val="0"/>
                <w:iCs w:val="0"/>
                <w:color w:val="auto"/>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6C6D">
            <w:pPr>
              <w:jc w:val="center"/>
              <w:rPr>
                <w:rFonts w:hint="eastAsia" w:ascii="仿宋" w:hAnsi="仿宋" w:eastAsia="仿宋" w:cs="仿宋"/>
                <w:i w:val="0"/>
                <w:iCs w:val="0"/>
                <w:color w:val="auto"/>
                <w:sz w:val="24"/>
                <w:szCs w:val="24"/>
                <w:u w:val="none"/>
              </w:rPr>
            </w:pPr>
          </w:p>
        </w:tc>
      </w:tr>
      <w:tr w14:paraId="3307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46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2CADED">
            <w:pPr>
              <w:jc w:val="left"/>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sz w:val="24"/>
                <w:szCs w:val="24"/>
                <w:u w:val="none"/>
                <w:lang w:val="en-US" w:eastAsia="zh-CN"/>
              </w:rPr>
              <w:t>★开标声明 :本表格填写内容应与政采云平台开标一览表填写内容一致；在政采云开标过程中报价确认签字时段为30分钟，未在规定时间内签字确认的视为不响应磋商文件要求。</w:t>
            </w:r>
          </w:p>
        </w:tc>
      </w:tr>
    </w:tbl>
    <w:p w14:paraId="53036F1E">
      <w:pPr>
        <w:adjustRightInd w:val="0"/>
        <w:snapToGrid w:val="0"/>
        <w:spacing w:line="372" w:lineRule="auto"/>
        <w:outlineLvl w:val="9"/>
        <w:rPr>
          <w:rFonts w:hint="eastAsia" w:ascii="仿宋" w:hAnsi="仿宋" w:eastAsia="仿宋" w:cs="仿宋"/>
          <w:color w:val="auto"/>
          <w:sz w:val="24"/>
          <w:szCs w:val="24"/>
        </w:rPr>
      </w:pPr>
    </w:p>
    <w:p w14:paraId="2F899B93">
      <w:pPr>
        <w:adjustRightInd w:val="0"/>
        <w:snapToGrid w:val="0"/>
        <w:spacing w:line="372"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响应方授权代表签字：</w:t>
      </w:r>
      <w:r>
        <w:rPr>
          <w:rFonts w:hint="eastAsia" w:ascii="仿宋" w:hAnsi="仿宋" w:eastAsia="仿宋" w:cs="仿宋"/>
          <w:color w:val="auto"/>
          <w:sz w:val="24"/>
          <w:szCs w:val="24"/>
          <w:u w:val="single"/>
        </w:rPr>
        <w:t xml:space="preserve">                   </w:t>
      </w:r>
    </w:p>
    <w:p w14:paraId="34E38B54">
      <w:pPr>
        <w:spacing w:line="450" w:lineRule="atLeast"/>
        <w:outlineLvl w:val="9"/>
        <w:rPr>
          <w:rFonts w:hint="eastAsia" w:ascii="仿宋" w:hAnsi="仿宋" w:eastAsia="仿宋" w:cs="仿宋"/>
          <w:color w:val="auto"/>
          <w:sz w:val="24"/>
          <w:szCs w:val="24"/>
        </w:rPr>
      </w:pPr>
      <w:r>
        <w:rPr>
          <w:rFonts w:hint="eastAsia" w:ascii="仿宋" w:hAnsi="仿宋" w:eastAsia="仿宋" w:cs="仿宋"/>
          <w:color w:val="auto"/>
          <w:sz w:val="24"/>
          <w:szCs w:val="24"/>
        </w:rPr>
        <w:t>（加盖企业公章）</w:t>
      </w:r>
    </w:p>
    <w:p w14:paraId="69E91A03">
      <w:pPr>
        <w:spacing w:line="450" w:lineRule="atLeast"/>
        <w:outlineLvl w:val="9"/>
        <w:rPr>
          <w:rFonts w:hint="eastAsia" w:ascii="仿宋" w:hAnsi="仿宋" w:eastAsia="仿宋" w:cs="仿宋"/>
          <w:b/>
          <w:bCs/>
          <w:color w:val="auto"/>
          <w:spacing w:val="0"/>
          <w:sz w:val="24"/>
          <w:szCs w:val="24"/>
          <w:lang w:val="en-US"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3DEE20C9">
      <w:pPr>
        <w:pStyle w:val="139"/>
        <w:widowControl/>
        <w:wordWrap w:val="0"/>
        <w:spacing w:before="100" w:beforeAutospacing="1" w:after="100" w:afterAutospacing="1" w:line="315" w:lineRule="atLeast"/>
        <w:ind w:firstLine="0" w:firstLineChars="0"/>
        <w:jc w:val="left"/>
        <w:outlineLvl w:val="9"/>
        <w:rPr>
          <w:rFonts w:hint="eastAsia" w:ascii="仿宋" w:hAnsi="仿宋" w:eastAsia="仿宋" w:cs="仿宋"/>
          <w:b/>
          <w:bCs/>
          <w:color w:val="auto"/>
          <w:kern w:val="0"/>
          <w:sz w:val="24"/>
          <w:szCs w:val="24"/>
        </w:rPr>
        <w:sectPr>
          <w:pgSz w:w="16840" w:h="11907" w:orient="landscape"/>
          <w:pgMar w:top="1474" w:right="1440" w:bottom="1474" w:left="1440" w:header="851" w:footer="992" w:gutter="0"/>
          <w:pgNumType w:fmt="decimal"/>
          <w:cols w:space="720" w:num="1"/>
          <w:docGrid w:linePitch="312" w:charSpace="0"/>
        </w:sectPr>
      </w:pPr>
    </w:p>
    <w:p w14:paraId="19843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报价明细表</w:t>
      </w:r>
    </w:p>
    <w:tbl>
      <w:tblPr>
        <w:tblStyle w:val="34"/>
        <w:tblpPr w:leftFromText="180" w:rightFromText="180" w:vertAnchor="text" w:horzAnchor="page" w:tblpXSpec="center" w:tblpY="324"/>
        <w:tblOverlap w:val="never"/>
        <w:tblW w:w="13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9"/>
        <w:gridCol w:w="4065"/>
        <w:gridCol w:w="3825"/>
        <w:gridCol w:w="4689"/>
      </w:tblGrid>
      <w:tr w14:paraId="4A99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3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2CD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项目编号</w:t>
            </w:r>
          </w:p>
        </w:tc>
        <w:tc>
          <w:tcPr>
            <w:tcW w:w="4065" w:type="dxa"/>
            <w:tcBorders>
              <w:top w:val="single" w:color="000000" w:sz="8" w:space="0"/>
              <w:left w:val="nil"/>
              <w:bottom w:val="single" w:color="000000" w:sz="8" w:space="0"/>
              <w:right w:val="single" w:color="000000" w:sz="8" w:space="0"/>
            </w:tcBorders>
            <w:shd w:val="clear" w:color="auto" w:fill="auto"/>
            <w:vAlign w:val="center"/>
          </w:tcPr>
          <w:p w14:paraId="37778406">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KCS2025-WT290</w:t>
            </w:r>
          </w:p>
        </w:tc>
        <w:tc>
          <w:tcPr>
            <w:tcW w:w="3825" w:type="dxa"/>
            <w:tcBorders>
              <w:top w:val="single" w:color="000000" w:sz="8" w:space="0"/>
              <w:left w:val="nil"/>
              <w:bottom w:val="single" w:color="000000" w:sz="8" w:space="0"/>
              <w:right w:val="single" w:color="000000" w:sz="8" w:space="0"/>
            </w:tcBorders>
            <w:shd w:val="clear" w:color="auto" w:fill="auto"/>
            <w:vAlign w:val="center"/>
          </w:tcPr>
          <w:p w14:paraId="720914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项目名称</w:t>
            </w:r>
          </w:p>
        </w:tc>
        <w:tc>
          <w:tcPr>
            <w:tcW w:w="4689" w:type="dxa"/>
            <w:tcBorders>
              <w:top w:val="single" w:color="000000" w:sz="8" w:space="0"/>
              <w:left w:val="nil"/>
              <w:bottom w:val="single" w:color="000000" w:sz="8" w:space="0"/>
              <w:right w:val="single" w:color="000000" w:sz="8" w:space="0"/>
            </w:tcBorders>
            <w:shd w:val="clear" w:color="auto" w:fill="auto"/>
            <w:vAlign w:val="center"/>
          </w:tcPr>
          <w:p w14:paraId="1E1C26F4">
            <w:pPr>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eastAsia="zh-CN"/>
              </w:rPr>
              <w:t>库车国家历史文化名城公共服务设施建设项目可研编制</w:t>
            </w:r>
          </w:p>
        </w:tc>
      </w:tr>
      <w:tr w14:paraId="184A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59" w:type="dxa"/>
            <w:tcBorders>
              <w:top w:val="nil"/>
              <w:left w:val="single" w:color="000000" w:sz="8" w:space="0"/>
              <w:bottom w:val="single" w:color="000000" w:sz="8" w:space="0"/>
              <w:right w:val="single" w:color="000000" w:sz="8" w:space="0"/>
            </w:tcBorders>
            <w:shd w:val="clear" w:color="auto" w:fill="auto"/>
            <w:vAlign w:val="center"/>
          </w:tcPr>
          <w:p w14:paraId="48BAF6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采购方式</w:t>
            </w:r>
          </w:p>
        </w:tc>
        <w:tc>
          <w:tcPr>
            <w:tcW w:w="4065" w:type="dxa"/>
            <w:tcBorders>
              <w:top w:val="nil"/>
              <w:left w:val="nil"/>
              <w:bottom w:val="single" w:color="000000" w:sz="8" w:space="0"/>
              <w:right w:val="single" w:color="000000" w:sz="8" w:space="0"/>
            </w:tcBorders>
            <w:shd w:val="clear" w:color="auto" w:fill="auto"/>
            <w:vAlign w:val="center"/>
          </w:tcPr>
          <w:p w14:paraId="5FD34090">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竞争性磋商</w:t>
            </w:r>
          </w:p>
        </w:tc>
        <w:tc>
          <w:tcPr>
            <w:tcW w:w="3825" w:type="dxa"/>
            <w:tcBorders>
              <w:top w:val="nil"/>
              <w:left w:val="nil"/>
              <w:bottom w:val="single" w:color="000000" w:sz="8" w:space="0"/>
              <w:right w:val="single" w:color="000000" w:sz="8" w:space="0"/>
            </w:tcBorders>
            <w:shd w:val="clear" w:color="auto" w:fill="auto"/>
            <w:vAlign w:val="center"/>
          </w:tcPr>
          <w:p w14:paraId="0B87D6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开标时间</w:t>
            </w:r>
          </w:p>
        </w:tc>
        <w:tc>
          <w:tcPr>
            <w:tcW w:w="4689" w:type="dxa"/>
            <w:tcBorders>
              <w:top w:val="nil"/>
              <w:left w:val="nil"/>
              <w:bottom w:val="single" w:color="000000" w:sz="8" w:space="0"/>
              <w:right w:val="single" w:color="000000" w:sz="8" w:space="0"/>
            </w:tcBorders>
            <w:shd w:val="clear" w:color="auto" w:fill="auto"/>
            <w:vAlign w:val="center"/>
          </w:tcPr>
          <w:p w14:paraId="62623CCE">
            <w:pPr>
              <w:jc w:val="center"/>
              <w:rPr>
                <w:rFonts w:hint="eastAsia" w:ascii="仿宋" w:hAnsi="仿宋" w:eastAsia="仿宋" w:cs="仿宋"/>
                <w:i w:val="0"/>
                <w:iCs w:val="0"/>
                <w:color w:val="auto"/>
                <w:sz w:val="24"/>
                <w:szCs w:val="24"/>
                <w:u w:val="none"/>
              </w:rPr>
            </w:pPr>
          </w:p>
        </w:tc>
      </w:tr>
      <w:tr w14:paraId="01DE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1359" w:type="dxa"/>
            <w:vMerge w:val="restart"/>
            <w:tcBorders>
              <w:top w:val="nil"/>
              <w:left w:val="single" w:color="000000" w:sz="8" w:space="0"/>
              <w:bottom w:val="single" w:color="000000" w:sz="8" w:space="0"/>
              <w:right w:val="single" w:color="000000" w:sz="8" w:space="0"/>
            </w:tcBorders>
            <w:shd w:val="clear" w:color="auto" w:fill="auto"/>
            <w:vAlign w:val="center"/>
          </w:tcPr>
          <w:p w14:paraId="1EAEBF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开标地点</w:t>
            </w:r>
          </w:p>
        </w:tc>
        <w:tc>
          <w:tcPr>
            <w:tcW w:w="12579" w:type="dxa"/>
            <w:gridSpan w:val="3"/>
            <w:vMerge w:val="restart"/>
            <w:tcBorders>
              <w:top w:val="nil"/>
              <w:left w:val="nil"/>
              <w:bottom w:val="single" w:color="000000" w:sz="8" w:space="0"/>
              <w:right w:val="single" w:color="000000" w:sz="8" w:space="0"/>
            </w:tcBorders>
            <w:shd w:val="clear" w:color="auto" w:fill="auto"/>
            <w:vAlign w:val="center"/>
          </w:tcPr>
          <w:p w14:paraId="0AB24A5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响应供应商登录政采云平台https://www.zcygov.cn/，进入“项目采购-开标评标-右边选择对应项目点击“进入项目”进入开标大厅</w:t>
            </w:r>
          </w:p>
        </w:tc>
      </w:tr>
      <w:tr w14:paraId="30D5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359" w:type="dxa"/>
            <w:vMerge w:val="continue"/>
            <w:tcBorders>
              <w:top w:val="nil"/>
              <w:left w:val="single" w:color="000000" w:sz="8" w:space="0"/>
              <w:bottom w:val="single" w:color="000000" w:sz="8" w:space="0"/>
              <w:right w:val="single" w:color="000000" w:sz="8" w:space="0"/>
            </w:tcBorders>
            <w:shd w:val="clear" w:color="auto" w:fill="auto"/>
            <w:vAlign w:val="center"/>
          </w:tcPr>
          <w:p w14:paraId="15649B1F">
            <w:pPr>
              <w:jc w:val="center"/>
              <w:rPr>
                <w:rFonts w:hint="eastAsia" w:ascii="仿宋" w:hAnsi="仿宋" w:eastAsia="仿宋" w:cs="仿宋"/>
                <w:i w:val="0"/>
                <w:iCs w:val="0"/>
                <w:color w:val="auto"/>
                <w:sz w:val="24"/>
                <w:szCs w:val="24"/>
                <w:u w:val="none"/>
              </w:rPr>
            </w:pPr>
          </w:p>
        </w:tc>
        <w:tc>
          <w:tcPr>
            <w:tcW w:w="12579" w:type="dxa"/>
            <w:gridSpan w:val="3"/>
            <w:vMerge w:val="continue"/>
            <w:tcBorders>
              <w:top w:val="nil"/>
              <w:left w:val="nil"/>
              <w:bottom w:val="single" w:color="000000" w:sz="8" w:space="0"/>
              <w:right w:val="single" w:color="000000" w:sz="8" w:space="0"/>
            </w:tcBorders>
            <w:shd w:val="clear" w:color="auto" w:fill="auto"/>
            <w:vAlign w:val="center"/>
          </w:tcPr>
          <w:p w14:paraId="775B6F69">
            <w:pPr>
              <w:jc w:val="center"/>
              <w:rPr>
                <w:rFonts w:hint="eastAsia" w:ascii="仿宋" w:hAnsi="仿宋" w:eastAsia="仿宋" w:cs="仿宋"/>
                <w:i w:val="0"/>
                <w:iCs w:val="0"/>
                <w:color w:val="auto"/>
                <w:sz w:val="24"/>
                <w:szCs w:val="24"/>
                <w:u w:val="none"/>
              </w:rPr>
            </w:pPr>
          </w:p>
        </w:tc>
      </w:tr>
      <w:tr w14:paraId="0591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359" w:type="dxa"/>
            <w:tcBorders>
              <w:top w:val="nil"/>
              <w:left w:val="single" w:color="000000" w:sz="8" w:space="0"/>
              <w:bottom w:val="single" w:color="000000" w:sz="8" w:space="0"/>
              <w:right w:val="single" w:color="000000" w:sz="8" w:space="0"/>
            </w:tcBorders>
            <w:shd w:val="clear" w:color="auto" w:fill="auto"/>
            <w:vAlign w:val="center"/>
          </w:tcPr>
          <w:p w14:paraId="727272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4065" w:type="dxa"/>
            <w:tcBorders>
              <w:top w:val="nil"/>
              <w:left w:val="nil"/>
              <w:bottom w:val="single" w:color="000000" w:sz="8" w:space="0"/>
              <w:right w:val="single" w:color="000000" w:sz="8" w:space="0"/>
            </w:tcBorders>
            <w:shd w:val="clear" w:color="auto" w:fill="auto"/>
            <w:vAlign w:val="center"/>
          </w:tcPr>
          <w:p w14:paraId="368A19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标的名称</w:t>
            </w:r>
          </w:p>
        </w:tc>
        <w:tc>
          <w:tcPr>
            <w:tcW w:w="3825" w:type="dxa"/>
            <w:tcBorders>
              <w:top w:val="single" w:color="000000" w:sz="8" w:space="0"/>
              <w:left w:val="nil"/>
              <w:bottom w:val="single" w:color="000000" w:sz="8" w:space="0"/>
              <w:right w:val="single" w:color="000000" w:sz="8" w:space="0"/>
            </w:tcBorders>
            <w:shd w:val="clear" w:color="auto" w:fill="auto"/>
            <w:vAlign w:val="center"/>
          </w:tcPr>
          <w:p w14:paraId="67FD3C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所属行业</w:t>
            </w:r>
          </w:p>
        </w:tc>
        <w:tc>
          <w:tcPr>
            <w:tcW w:w="4689" w:type="dxa"/>
            <w:tcBorders>
              <w:top w:val="single" w:color="000000" w:sz="8" w:space="0"/>
              <w:left w:val="nil"/>
              <w:bottom w:val="single" w:color="000000" w:sz="8" w:space="0"/>
              <w:right w:val="single" w:color="000000" w:sz="8" w:space="0"/>
            </w:tcBorders>
            <w:shd w:val="clear" w:color="auto" w:fill="auto"/>
            <w:vAlign w:val="center"/>
          </w:tcPr>
          <w:p w14:paraId="70D915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总价(元)</w:t>
            </w:r>
          </w:p>
        </w:tc>
      </w:tr>
      <w:tr w14:paraId="10E7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359" w:type="dxa"/>
            <w:tcBorders>
              <w:top w:val="nil"/>
              <w:left w:val="single" w:color="000000" w:sz="8" w:space="0"/>
              <w:bottom w:val="single" w:color="000000" w:sz="8" w:space="0"/>
              <w:right w:val="single" w:color="000000" w:sz="8" w:space="0"/>
            </w:tcBorders>
            <w:shd w:val="clear" w:color="auto" w:fill="auto"/>
            <w:vAlign w:val="center"/>
          </w:tcPr>
          <w:p w14:paraId="4EA833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065" w:type="dxa"/>
            <w:tcBorders>
              <w:top w:val="nil"/>
              <w:left w:val="nil"/>
              <w:bottom w:val="single" w:color="000000" w:sz="8" w:space="0"/>
              <w:right w:val="single" w:color="000000" w:sz="8" w:space="0"/>
            </w:tcBorders>
            <w:shd w:val="clear" w:color="auto" w:fill="auto"/>
            <w:vAlign w:val="center"/>
          </w:tcPr>
          <w:p w14:paraId="44DEE6AF">
            <w:pPr>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eastAsia="zh-CN"/>
              </w:rPr>
              <w:t>库车国家历史文化名城公共服务设施建设项目可研编制</w:t>
            </w:r>
          </w:p>
        </w:tc>
        <w:tc>
          <w:tcPr>
            <w:tcW w:w="3825" w:type="dxa"/>
            <w:tcBorders>
              <w:top w:val="nil"/>
              <w:left w:val="nil"/>
              <w:bottom w:val="single" w:color="000000" w:sz="8" w:space="0"/>
              <w:right w:val="single" w:color="000000" w:sz="8" w:space="0"/>
            </w:tcBorders>
            <w:shd w:val="clear" w:color="auto" w:fill="auto"/>
            <w:vAlign w:val="center"/>
          </w:tcPr>
          <w:p w14:paraId="3AF337F2">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其他未列明行业</w:t>
            </w:r>
          </w:p>
        </w:tc>
        <w:tc>
          <w:tcPr>
            <w:tcW w:w="4689" w:type="dxa"/>
            <w:tcBorders>
              <w:top w:val="nil"/>
              <w:left w:val="nil"/>
              <w:bottom w:val="single" w:color="000000" w:sz="8" w:space="0"/>
              <w:right w:val="single" w:color="000000" w:sz="8" w:space="0"/>
            </w:tcBorders>
            <w:shd w:val="clear" w:color="auto" w:fill="auto"/>
            <w:vAlign w:val="center"/>
          </w:tcPr>
          <w:p w14:paraId="2BCDC36C">
            <w:pPr>
              <w:jc w:val="center"/>
              <w:rPr>
                <w:rFonts w:hint="eastAsia" w:ascii="仿宋" w:hAnsi="仿宋" w:eastAsia="仿宋" w:cs="仿宋"/>
                <w:i w:val="0"/>
                <w:iCs w:val="0"/>
                <w:color w:val="auto"/>
                <w:sz w:val="24"/>
                <w:szCs w:val="24"/>
                <w:u w:val="none"/>
              </w:rPr>
            </w:pPr>
          </w:p>
        </w:tc>
      </w:tr>
    </w:tbl>
    <w:p w14:paraId="6EA1C776">
      <w:pPr>
        <w:pStyle w:val="139"/>
        <w:widowControl/>
        <w:wordWrap w:val="0"/>
        <w:spacing w:before="100" w:beforeAutospacing="1" w:after="100" w:afterAutospacing="1" w:line="315" w:lineRule="atLeast"/>
        <w:ind w:firstLine="0" w:firstLineChars="0"/>
        <w:jc w:val="left"/>
        <w:outlineLvl w:val="9"/>
        <w:rPr>
          <w:rFonts w:hint="eastAsia" w:ascii="仿宋" w:hAnsi="仿宋" w:eastAsia="仿宋" w:cs="仿宋"/>
          <w:b/>
          <w:bCs/>
          <w:color w:val="auto"/>
          <w:kern w:val="0"/>
          <w:sz w:val="24"/>
          <w:szCs w:val="24"/>
        </w:rPr>
      </w:pPr>
    </w:p>
    <w:p w14:paraId="0C56B2B9">
      <w:pPr>
        <w:adjustRightInd w:val="0"/>
        <w:snapToGrid w:val="0"/>
        <w:spacing w:line="372"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响应方授权代表签字：</w:t>
      </w:r>
      <w:r>
        <w:rPr>
          <w:rFonts w:hint="eastAsia" w:ascii="仿宋" w:hAnsi="仿宋" w:eastAsia="仿宋" w:cs="仿宋"/>
          <w:color w:val="auto"/>
          <w:sz w:val="24"/>
          <w:szCs w:val="24"/>
          <w:u w:val="single"/>
        </w:rPr>
        <w:t xml:space="preserve">                   </w:t>
      </w:r>
    </w:p>
    <w:p w14:paraId="38363BDE">
      <w:pPr>
        <w:spacing w:line="450" w:lineRule="atLeast"/>
        <w:outlineLvl w:val="9"/>
        <w:rPr>
          <w:rFonts w:hint="eastAsia" w:ascii="仿宋" w:hAnsi="仿宋" w:eastAsia="仿宋" w:cs="仿宋"/>
          <w:color w:val="auto"/>
          <w:sz w:val="24"/>
          <w:szCs w:val="24"/>
        </w:rPr>
      </w:pPr>
      <w:r>
        <w:rPr>
          <w:rFonts w:hint="eastAsia" w:ascii="仿宋" w:hAnsi="仿宋" w:eastAsia="仿宋" w:cs="仿宋"/>
          <w:color w:val="auto"/>
          <w:sz w:val="24"/>
          <w:szCs w:val="24"/>
        </w:rPr>
        <w:t>（加盖企业公章）</w:t>
      </w:r>
    </w:p>
    <w:p w14:paraId="654AF811">
      <w:pPr>
        <w:spacing w:line="450" w:lineRule="atLeast"/>
        <w:outlineLvl w:val="9"/>
        <w:rPr>
          <w:rFonts w:hint="eastAsia" w:ascii="仿宋" w:hAnsi="仿宋" w:eastAsia="仿宋" w:cs="仿宋"/>
          <w:b/>
          <w:bCs/>
          <w:color w:val="auto"/>
          <w:spacing w:val="0"/>
          <w:sz w:val="24"/>
          <w:szCs w:val="24"/>
          <w:lang w:val="en-US"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7093A317">
      <w:pPr>
        <w:pStyle w:val="139"/>
        <w:widowControl/>
        <w:wordWrap w:val="0"/>
        <w:spacing w:before="100" w:beforeAutospacing="1" w:after="100" w:afterAutospacing="1" w:line="315" w:lineRule="atLeast"/>
        <w:ind w:firstLine="0" w:firstLineChars="0"/>
        <w:jc w:val="left"/>
        <w:outlineLvl w:val="9"/>
        <w:rPr>
          <w:rFonts w:hint="eastAsia" w:ascii="仿宋" w:hAnsi="仿宋" w:eastAsia="仿宋" w:cs="仿宋"/>
          <w:b/>
          <w:bCs/>
          <w:color w:val="auto"/>
          <w:kern w:val="0"/>
          <w:sz w:val="24"/>
          <w:szCs w:val="24"/>
        </w:rPr>
        <w:sectPr>
          <w:pgSz w:w="16840" w:h="11907" w:orient="landscape"/>
          <w:pgMar w:top="1474" w:right="1440" w:bottom="1474" w:left="1440" w:header="851" w:footer="992" w:gutter="0"/>
          <w:pgNumType w:fmt="decimal"/>
          <w:cols w:space="720" w:num="1"/>
          <w:docGrid w:linePitch="312" w:charSpace="0"/>
        </w:sectPr>
      </w:pPr>
    </w:p>
    <w:p w14:paraId="263F5DB4">
      <w:pPr>
        <w:pStyle w:val="139"/>
        <w:widowControl/>
        <w:wordWrap w:val="0"/>
        <w:spacing w:before="100" w:beforeAutospacing="1" w:after="100" w:afterAutospacing="1" w:line="315" w:lineRule="atLeast"/>
        <w:ind w:firstLine="0" w:firstLineChars="0"/>
        <w:jc w:val="left"/>
        <w:outlineLvl w:val="9"/>
        <w:rPr>
          <w:rFonts w:hint="eastAsia" w:ascii="仿宋" w:hAnsi="仿宋" w:eastAsia="仿宋" w:cs="仿宋"/>
          <w:b/>
          <w:bCs/>
          <w:color w:val="auto"/>
          <w:kern w:val="0"/>
          <w:sz w:val="24"/>
          <w:szCs w:val="24"/>
        </w:rPr>
      </w:pPr>
    </w:p>
    <w:p w14:paraId="218D5F4E">
      <w:pPr>
        <w:spacing w:line="360" w:lineRule="auto"/>
        <w:jc w:val="center"/>
        <w:outlineLvl w:val="0"/>
        <w:rPr>
          <w:rFonts w:hint="eastAsia" w:ascii="仿宋" w:hAnsi="仿宋" w:eastAsia="仿宋" w:cs="仿宋"/>
          <w:b/>
          <w:bCs/>
          <w:color w:val="auto"/>
          <w:sz w:val="24"/>
          <w:szCs w:val="24"/>
        </w:rPr>
      </w:pPr>
      <w:bookmarkStart w:id="76" w:name="_Toc24535"/>
      <w:bookmarkStart w:id="77" w:name="_Toc10199"/>
      <w:bookmarkStart w:id="78" w:name="_Toc22667"/>
      <w:bookmarkStart w:id="79" w:name="_Toc5280"/>
      <w:bookmarkStart w:id="80" w:name="_Toc24080_WPSOffice_Level2"/>
      <w:bookmarkStart w:id="81" w:name="_Toc25232_WPSOffice_Level2"/>
      <w:bookmarkStart w:id="82" w:name="_Toc9631_WPSOffice_Level2"/>
      <w:bookmarkStart w:id="83" w:name="_Toc2668_WPSOffice_Level2"/>
      <w:r>
        <w:rPr>
          <w:rFonts w:hint="eastAsia" w:ascii="仿宋" w:hAnsi="仿宋" w:eastAsia="仿宋" w:cs="仿宋"/>
          <w:b/>
          <w:bCs/>
          <w:color w:val="auto"/>
          <w:spacing w:val="0"/>
          <w:sz w:val="32"/>
          <w:szCs w:val="32"/>
          <w:lang w:val="en-US" w:eastAsia="zh-CN"/>
        </w:rPr>
        <w:t>三、法定代表人身份证明书</w:t>
      </w:r>
      <w:bookmarkEnd w:id="76"/>
      <w:bookmarkEnd w:id="77"/>
      <w:bookmarkEnd w:id="78"/>
      <w:bookmarkEnd w:id="79"/>
      <w:bookmarkEnd w:id="80"/>
      <w:bookmarkEnd w:id="81"/>
      <w:bookmarkEnd w:id="82"/>
      <w:bookmarkEnd w:id="83"/>
      <w:r>
        <w:rPr>
          <w:rFonts w:hint="eastAsia" w:ascii="仿宋" w:hAnsi="仿宋" w:eastAsia="仿宋" w:cs="仿宋"/>
          <w:b/>
          <w:bCs/>
          <w:color w:val="auto"/>
          <w:sz w:val="24"/>
          <w:szCs w:val="24"/>
        </w:rPr>
        <w:t xml:space="preserve"> </w:t>
      </w:r>
    </w:p>
    <w:p w14:paraId="50747B57">
      <w:pPr>
        <w:spacing w:line="360" w:lineRule="auto"/>
        <w:jc w:val="center"/>
        <w:outlineLvl w:val="9"/>
        <w:rPr>
          <w:rFonts w:hint="eastAsia" w:ascii="仿宋" w:hAnsi="仿宋" w:eastAsia="仿宋" w:cs="仿宋"/>
          <w:bCs/>
          <w:color w:val="auto"/>
          <w:sz w:val="24"/>
          <w:szCs w:val="24"/>
        </w:rPr>
      </w:pPr>
    </w:p>
    <w:p w14:paraId="7377900E">
      <w:pPr>
        <w:spacing w:line="360" w:lineRule="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是</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响应供应商</w:t>
      </w:r>
      <w:r>
        <w:rPr>
          <w:rFonts w:hint="eastAsia" w:ascii="仿宋" w:hAnsi="仿宋" w:eastAsia="仿宋" w:cs="仿宋"/>
          <w:bCs/>
          <w:color w:val="auto"/>
          <w:sz w:val="24"/>
          <w:szCs w:val="24"/>
        </w:rPr>
        <w:t>名称）的法定代表人。</w:t>
      </w:r>
    </w:p>
    <w:p w14:paraId="04BCBF88">
      <w:pPr>
        <w:spacing w:line="360" w:lineRule="auto"/>
        <w:ind w:firstLine="72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其身份证号码为：</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w:t>
      </w:r>
    </w:p>
    <w:p w14:paraId="7FA1F33E">
      <w:pPr>
        <w:spacing w:line="360" w:lineRule="auto"/>
        <w:ind w:firstLine="72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特此证明。</w:t>
      </w:r>
    </w:p>
    <w:p w14:paraId="4269F0D4">
      <w:pPr>
        <w:spacing w:line="360" w:lineRule="auto"/>
        <w:ind w:firstLine="720"/>
        <w:outlineLvl w:val="9"/>
        <w:rPr>
          <w:rFonts w:hint="eastAsia" w:ascii="仿宋" w:hAnsi="仿宋" w:eastAsia="仿宋" w:cs="仿宋"/>
          <w:bCs/>
          <w:color w:val="auto"/>
          <w:sz w:val="24"/>
          <w:szCs w:val="24"/>
        </w:rPr>
      </w:pPr>
    </w:p>
    <w:p w14:paraId="3794A207">
      <w:pPr>
        <w:spacing w:line="360" w:lineRule="auto"/>
        <w:ind w:firstLine="720"/>
        <w:outlineLvl w:val="9"/>
        <w:rPr>
          <w:rFonts w:hint="eastAsia" w:ascii="仿宋" w:hAnsi="仿宋" w:eastAsia="仿宋" w:cs="仿宋"/>
          <w:bCs/>
          <w:color w:val="auto"/>
          <w:sz w:val="24"/>
          <w:szCs w:val="24"/>
        </w:rPr>
      </w:pPr>
    </w:p>
    <w:p w14:paraId="78280767">
      <w:pPr>
        <w:spacing w:line="360" w:lineRule="auto"/>
        <w:ind w:firstLine="720"/>
        <w:outlineLvl w:val="9"/>
        <w:rPr>
          <w:rFonts w:hint="eastAsia" w:ascii="仿宋" w:hAnsi="仿宋" w:eastAsia="仿宋" w:cs="仿宋"/>
          <w:bCs/>
          <w:color w:val="auto"/>
          <w:sz w:val="24"/>
          <w:szCs w:val="24"/>
        </w:rPr>
      </w:pPr>
    </w:p>
    <w:p w14:paraId="792BEA84">
      <w:pPr>
        <w:spacing w:line="360" w:lineRule="auto"/>
        <w:ind w:firstLine="720"/>
        <w:outlineLvl w:val="9"/>
        <w:rPr>
          <w:rFonts w:hint="eastAsia" w:ascii="仿宋" w:hAnsi="仿宋" w:eastAsia="仿宋" w:cs="仿宋"/>
          <w:bCs/>
          <w:color w:val="auto"/>
          <w:sz w:val="24"/>
          <w:szCs w:val="24"/>
        </w:rPr>
      </w:pPr>
    </w:p>
    <w:p w14:paraId="68FE8134">
      <w:pPr>
        <w:spacing w:line="360" w:lineRule="auto"/>
        <w:ind w:firstLine="72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供 应 商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（公章）</w:t>
      </w:r>
    </w:p>
    <w:p w14:paraId="2BB71F13">
      <w:pPr>
        <w:spacing w:line="360" w:lineRule="auto"/>
        <w:ind w:firstLine="72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法定代表人：</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签字或盖章</w:t>
      </w:r>
      <w:r>
        <w:rPr>
          <w:rFonts w:hint="eastAsia" w:ascii="仿宋" w:hAnsi="仿宋" w:eastAsia="仿宋" w:cs="仿宋"/>
          <w:bCs/>
          <w:color w:val="auto"/>
          <w:sz w:val="24"/>
          <w:szCs w:val="24"/>
        </w:rPr>
        <w:t>）</w:t>
      </w:r>
    </w:p>
    <w:p w14:paraId="7265CB31">
      <w:pPr>
        <w:spacing w:line="360" w:lineRule="auto"/>
        <w:jc w:val="center"/>
        <w:outlineLvl w:val="9"/>
        <w:rPr>
          <w:rFonts w:hint="eastAsia" w:ascii="仿宋" w:hAnsi="仿宋" w:eastAsia="仿宋" w:cs="仿宋"/>
          <w:b/>
          <w:bCs/>
          <w:color w:val="auto"/>
          <w:sz w:val="24"/>
          <w:szCs w:val="24"/>
        </w:rPr>
      </w:pPr>
    </w:p>
    <w:p w14:paraId="6D950123">
      <w:pPr>
        <w:spacing w:line="360" w:lineRule="auto"/>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w:t>
      </w:r>
    </w:p>
    <w:p w14:paraId="43F591C0">
      <w:pPr>
        <w:spacing w:line="360" w:lineRule="auto"/>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年    月    日</w:t>
      </w:r>
    </w:p>
    <w:p w14:paraId="1A74F0C5">
      <w:pPr>
        <w:spacing w:line="360" w:lineRule="auto"/>
        <w:jc w:val="center"/>
        <w:outlineLvl w:val="9"/>
        <w:rPr>
          <w:rFonts w:hint="eastAsia" w:ascii="仿宋" w:hAnsi="仿宋" w:eastAsia="仿宋" w:cs="仿宋"/>
          <w:b/>
          <w:bCs/>
          <w:color w:val="auto"/>
          <w:sz w:val="24"/>
          <w:szCs w:val="24"/>
        </w:rPr>
      </w:pPr>
    </w:p>
    <w:p w14:paraId="331E5F3D">
      <w:pPr>
        <w:spacing w:line="360" w:lineRule="auto"/>
        <w:outlineLvl w:val="9"/>
        <w:rPr>
          <w:rFonts w:hint="eastAsia" w:ascii="仿宋" w:hAnsi="仿宋" w:eastAsia="仿宋" w:cs="仿宋"/>
          <w:b/>
          <w:bCs/>
          <w:color w:val="auto"/>
          <w:sz w:val="24"/>
          <w:szCs w:val="24"/>
        </w:rPr>
      </w:pPr>
    </w:p>
    <w:p w14:paraId="00C9679B">
      <w:pPr>
        <w:spacing w:line="360" w:lineRule="auto"/>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（附法人身份证正反面加盖公章）</w:t>
      </w:r>
    </w:p>
    <w:p w14:paraId="057CAB63">
      <w:pPr>
        <w:spacing w:line="360" w:lineRule="auto"/>
        <w:textAlignment w:val="baseline"/>
        <w:outlineLvl w:val="9"/>
        <w:rPr>
          <w:rFonts w:hint="eastAsia" w:ascii="仿宋" w:hAnsi="仿宋" w:eastAsia="仿宋" w:cs="仿宋"/>
          <w:color w:val="auto"/>
          <w:sz w:val="24"/>
          <w:szCs w:val="24"/>
        </w:rPr>
      </w:pPr>
    </w:p>
    <w:p w14:paraId="4EC0851B">
      <w:pPr>
        <w:spacing w:line="360" w:lineRule="auto"/>
        <w:textAlignment w:val="baseline"/>
        <w:outlineLvl w:val="9"/>
        <w:rPr>
          <w:rFonts w:hint="eastAsia" w:ascii="仿宋" w:hAnsi="仿宋" w:eastAsia="仿宋" w:cs="仿宋"/>
          <w:color w:val="auto"/>
          <w:sz w:val="24"/>
          <w:szCs w:val="24"/>
        </w:rPr>
      </w:pPr>
    </w:p>
    <w:p w14:paraId="45AD2A90">
      <w:pPr>
        <w:spacing w:line="360" w:lineRule="auto"/>
        <w:textAlignment w:val="baseline"/>
        <w:outlineLvl w:val="9"/>
        <w:rPr>
          <w:rFonts w:hint="eastAsia" w:ascii="仿宋" w:hAnsi="仿宋" w:eastAsia="仿宋" w:cs="仿宋"/>
          <w:color w:val="auto"/>
          <w:sz w:val="24"/>
          <w:szCs w:val="24"/>
        </w:rPr>
      </w:pPr>
    </w:p>
    <w:p w14:paraId="7FC4C56C">
      <w:pPr>
        <w:spacing w:line="360" w:lineRule="auto"/>
        <w:textAlignment w:val="baseline"/>
        <w:outlineLvl w:val="9"/>
        <w:rPr>
          <w:rFonts w:hint="eastAsia" w:ascii="仿宋" w:hAnsi="仿宋" w:eastAsia="仿宋" w:cs="仿宋"/>
          <w:color w:val="auto"/>
          <w:sz w:val="24"/>
          <w:szCs w:val="24"/>
        </w:rPr>
      </w:pPr>
    </w:p>
    <w:p w14:paraId="2641CBF8">
      <w:pPr>
        <w:pStyle w:val="17"/>
        <w:spacing w:line="450" w:lineRule="atLeast"/>
        <w:jc w:val="both"/>
        <w:outlineLvl w:val="9"/>
        <w:rPr>
          <w:rFonts w:hint="eastAsia" w:ascii="仿宋" w:hAnsi="仿宋" w:eastAsia="仿宋" w:cs="仿宋"/>
          <w:b/>
          <w:color w:val="auto"/>
          <w:spacing w:val="20"/>
          <w:sz w:val="24"/>
          <w:szCs w:val="24"/>
        </w:rPr>
      </w:pPr>
    </w:p>
    <w:p w14:paraId="03693A98">
      <w:pPr>
        <w:pStyle w:val="17"/>
        <w:spacing w:line="450" w:lineRule="atLeast"/>
        <w:jc w:val="both"/>
        <w:outlineLvl w:val="9"/>
        <w:rPr>
          <w:rFonts w:hint="eastAsia" w:ascii="仿宋" w:hAnsi="仿宋" w:eastAsia="仿宋" w:cs="仿宋"/>
          <w:b/>
          <w:color w:val="auto"/>
          <w:spacing w:val="20"/>
          <w:sz w:val="24"/>
          <w:szCs w:val="24"/>
        </w:rPr>
      </w:pPr>
    </w:p>
    <w:p w14:paraId="35157E25">
      <w:pPr>
        <w:pStyle w:val="17"/>
        <w:spacing w:line="450" w:lineRule="atLeast"/>
        <w:jc w:val="both"/>
        <w:outlineLvl w:val="9"/>
        <w:rPr>
          <w:rFonts w:hint="eastAsia" w:ascii="仿宋" w:hAnsi="仿宋" w:eastAsia="仿宋" w:cs="仿宋"/>
          <w:b/>
          <w:color w:val="auto"/>
          <w:spacing w:val="20"/>
          <w:sz w:val="24"/>
          <w:szCs w:val="24"/>
        </w:rPr>
      </w:pPr>
    </w:p>
    <w:p w14:paraId="2AB14649">
      <w:pPr>
        <w:pStyle w:val="17"/>
        <w:spacing w:line="450" w:lineRule="atLeast"/>
        <w:jc w:val="both"/>
        <w:outlineLvl w:val="9"/>
        <w:rPr>
          <w:rFonts w:hint="eastAsia" w:ascii="仿宋" w:hAnsi="仿宋" w:eastAsia="仿宋" w:cs="仿宋"/>
          <w:b/>
          <w:color w:val="auto"/>
          <w:spacing w:val="20"/>
          <w:sz w:val="24"/>
          <w:szCs w:val="24"/>
        </w:rPr>
      </w:pPr>
    </w:p>
    <w:p w14:paraId="7AE1BAF5">
      <w:pPr>
        <w:pStyle w:val="17"/>
        <w:spacing w:line="450" w:lineRule="atLeast"/>
        <w:jc w:val="both"/>
        <w:outlineLvl w:val="9"/>
        <w:rPr>
          <w:rFonts w:hint="eastAsia" w:ascii="仿宋" w:hAnsi="仿宋" w:eastAsia="仿宋" w:cs="仿宋"/>
          <w:b/>
          <w:color w:val="auto"/>
          <w:spacing w:val="20"/>
          <w:sz w:val="24"/>
          <w:szCs w:val="24"/>
        </w:rPr>
      </w:pPr>
    </w:p>
    <w:p w14:paraId="5FD5C502">
      <w:pPr>
        <w:pStyle w:val="17"/>
        <w:spacing w:line="450" w:lineRule="atLeast"/>
        <w:jc w:val="both"/>
        <w:outlineLvl w:val="9"/>
        <w:rPr>
          <w:rFonts w:hint="eastAsia" w:ascii="仿宋" w:hAnsi="仿宋" w:eastAsia="仿宋" w:cs="仿宋"/>
          <w:b/>
          <w:color w:val="auto"/>
          <w:spacing w:val="20"/>
          <w:sz w:val="24"/>
          <w:szCs w:val="24"/>
        </w:rPr>
      </w:pPr>
    </w:p>
    <w:p w14:paraId="02CB0752">
      <w:pPr>
        <w:pStyle w:val="17"/>
        <w:spacing w:line="450" w:lineRule="atLeast"/>
        <w:jc w:val="both"/>
        <w:outlineLvl w:val="9"/>
        <w:rPr>
          <w:rFonts w:hint="eastAsia" w:ascii="仿宋" w:hAnsi="仿宋" w:eastAsia="仿宋" w:cs="仿宋"/>
          <w:b/>
          <w:color w:val="auto"/>
          <w:spacing w:val="20"/>
          <w:sz w:val="24"/>
          <w:szCs w:val="24"/>
        </w:rPr>
      </w:pPr>
    </w:p>
    <w:p w14:paraId="6A8C746B">
      <w:pPr>
        <w:pStyle w:val="17"/>
        <w:spacing w:line="450" w:lineRule="atLeast"/>
        <w:jc w:val="center"/>
        <w:outlineLvl w:val="9"/>
        <w:rPr>
          <w:rFonts w:hint="eastAsia" w:ascii="仿宋" w:hAnsi="仿宋" w:eastAsia="仿宋" w:cs="仿宋"/>
          <w:b/>
          <w:color w:val="auto"/>
          <w:spacing w:val="20"/>
          <w:sz w:val="24"/>
          <w:szCs w:val="24"/>
        </w:rPr>
      </w:pPr>
      <w:bookmarkStart w:id="84" w:name="_Toc18903_WPSOffice_Level1"/>
      <w:bookmarkStart w:id="85" w:name="_Toc20394_WPSOffice_Level1"/>
      <w:bookmarkStart w:id="86" w:name="_Toc19487_WPSOffice_Level1"/>
      <w:bookmarkStart w:id="87" w:name="_Toc3476_WPSOffice_Level1"/>
      <w:bookmarkStart w:id="88" w:name="_Toc2827_WPSOffice_Level1"/>
      <w:bookmarkStart w:id="89" w:name="_Toc22428_WPSOffice_Level1"/>
      <w:bookmarkStart w:id="90" w:name="_Toc10350_WPSOffice_Level1"/>
      <w:bookmarkStart w:id="91" w:name="_Toc30163_WPSOffice_Level1"/>
      <w:r>
        <w:rPr>
          <w:rFonts w:hint="eastAsia" w:ascii="仿宋" w:hAnsi="仿宋" w:eastAsia="仿宋" w:cs="仿宋"/>
          <w:b/>
          <w:bCs/>
          <w:color w:val="auto"/>
          <w:spacing w:val="0"/>
          <w:kern w:val="2"/>
          <w:sz w:val="32"/>
          <w:szCs w:val="32"/>
          <w:lang w:val="en-US" w:eastAsia="zh-CN" w:bidi="ar-SA"/>
        </w:rPr>
        <w:t>法定代表人授权书</w:t>
      </w:r>
      <w:bookmarkEnd w:id="84"/>
      <w:bookmarkEnd w:id="85"/>
      <w:bookmarkEnd w:id="86"/>
      <w:bookmarkEnd w:id="87"/>
      <w:bookmarkEnd w:id="88"/>
      <w:bookmarkEnd w:id="89"/>
      <w:bookmarkEnd w:id="90"/>
      <w:bookmarkEnd w:id="91"/>
    </w:p>
    <w:p w14:paraId="2CC5A389">
      <w:pPr>
        <w:pStyle w:val="17"/>
        <w:spacing w:line="360" w:lineRule="auto"/>
        <w:jc w:val="left"/>
        <w:outlineLvl w:val="9"/>
        <w:rPr>
          <w:rFonts w:hint="eastAsia" w:ascii="仿宋" w:hAnsi="仿宋" w:eastAsia="仿宋" w:cs="仿宋"/>
          <w:color w:val="auto"/>
          <w:sz w:val="24"/>
          <w:szCs w:val="24"/>
        </w:rPr>
      </w:pPr>
    </w:p>
    <w:p w14:paraId="1CE44F7D">
      <w:pPr>
        <w:spacing w:line="360" w:lineRule="auto"/>
        <w:ind w:firstLine="63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本授权委托书声明：我  </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sz w:val="24"/>
          <w:szCs w:val="24"/>
          <w:u w:val="single"/>
          <w:lang w:val="zh-CN"/>
        </w:rPr>
        <w:t xml:space="preserve">      </w:t>
      </w:r>
      <w:r>
        <w:rPr>
          <w:rFonts w:hint="eastAsia" w:ascii="仿宋" w:hAnsi="仿宋" w:eastAsia="仿宋" w:cs="仿宋"/>
          <w:bCs/>
          <w:color w:val="auto"/>
          <w:kern w:val="0"/>
          <w:sz w:val="24"/>
          <w:szCs w:val="24"/>
          <w:u w:val="single"/>
        </w:rPr>
        <w:t xml:space="preserve"> </w:t>
      </w:r>
      <w:r>
        <w:rPr>
          <w:rFonts w:hint="eastAsia" w:ascii="仿宋" w:hAnsi="仿宋" w:eastAsia="仿宋" w:cs="仿宋"/>
          <w:color w:val="auto"/>
          <w:sz w:val="24"/>
          <w:szCs w:val="24"/>
        </w:rPr>
        <w:t>系</w:t>
      </w:r>
      <w:r>
        <w:rPr>
          <w:rFonts w:hint="eastAsia" w:ascii="仿宋" w:hAnsi="仿宋" w:eastAsia="仿宋" w:cs="仿宋"/>
          <w:bCs/>
          <w:color w:val="auto"/>
          <w:sz w:val="24"/>
          <w:szCs w:val="24"/>
          <w:u w:val="single"/>
        </w:rPr>
        <w:t xml:space="preserve">         </w:t>
      </w:r>
      <w:r>
        <w:rPr>
          <w:rFonts w:hint="eastAsia" w:ascii="仿宋" w:hAnsi="仿宋" w:eastAsia="仿宋" w:cs="仿宋"/>
          <w:color w:val="auto"/>
          <w:sz w:val="24"/>
          <w:szCs w:val="24"/>
        </w:rPr>
        <w:t>的法定代表人，现授权委托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为我单位的代理人，以本单位的名义参加</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kern w:val="0"/>
          <w:sz w:val="24"/>
          <w:szCs w:val="24"/>
          <w:lang w:val="en-US" w:eastAsia="zh-CN"/>
        </w:rPr>
        <w:t>项目政府采购响应</w:t>
      </w:r>
      <w:r>
        <w:rPr>
          <w:rFonts w:hint="eastAsia" w:ascii="仿宋" w:hAnsi="仿宋" w:eastAsia="仿宋" w:cs="仿宋"/>
          <w:bCs/>
          <w:color w:val="auto"/>
          <w:kern w:val="0"/>
          <w:sz w:val="24"/>
          <w:szCs w:val="24"/>
        </w:rPr>
        <w:t>工</w:t>
      </w:r>
      <w:r>
        <w:rPr>
          <w:rFonts w:hint="eastAsia" w:ascii="仿宋" w:hAnsi="仿宋" w:eastAsia="仿宋" w:cs="仿宋"/>
          <w:color w:val="auto"/>
          <w:sz w:val="24"/>
          <w:szCs w:val="24"/>
        </w:rPr>
        <w:t>作。代理人签署的文件和参加整个</w:t>
      </w:r>
      <w:r>
        <w:rPr>
          <w:rFonts w:hint="eastAsia" w:ascii="仿宋" w:hAnsi="仿宋" w:eastAsia="仿宋" w:cs="仿宋"/>
          <w:color w:val="auto"/>
          <w:sz w:val="24"/>
          <w:szCs w:val="24"/>
          <w:lang w:val="en-US" w:eastAsia="zh-CN"/>
        </w:rPr>
        <w:t>项目采购过程</w:t>
      </w:r>
      <w:r>
        <w:rPr>
          <w:rFonts w:hint="eastAsia" w:ascii="仿宋" w:hAnsi="仿宋" w:eastAsia="仿宋" w:cs="仿宋"/>
          <w:color w:val="auto"/>
          <w:sz w:val="24"/>
          <w:szCs w:val="24"/>
        </w:rPr>
        <w:t>中所签署的一切文件和处理与之有关的一切事务，我均予以承认。</w:t>
      </w:r>
    </w:p>
    <w:p w14:paraId="29D240C5">
      <w:pPr>
        <w:pStyle w:val="17"/>
        <w:spacing w:line="360" w:lineRule="auto"/>
        <w:outlineLvl w:val="9"/>
        <w:rPr>
          <w:rFonts w:hint="eastAsia" w:ascii="仿宋" w:hAnsi="仿宋" w:eastAsia="仿宋" w:cs="仿宋"/>
          <w:color w:val="auto"/>
          <w:spacing w:val="20"/>
          <w:sz w:val="24"/>
          <w:szCs w:val="24"/>
        </w:rPr>
      </w:pPr>
    </w:p>
    <w:p w14:paraId="0B465C27">
      <w:pPr>
        <w:pStyle w:val="17"/>
        <w:spacing w:line="360" w:lineRule="auto"/>
        <w:outlineLvl w:val="9"/>
        <w:rPr>
          <w:rFonts w:hint="eastAsia" w:ascii="仿宋" w:hAnsi="仿宋" w:eastAsia="仿宋" w:cs="仿宋"/>
          <w:color w:val="auto"/>
          <w:spacing w:val="20"/>
          <w:sz w:val="24"/>
          <w:szCs w:val="24"/>
        </w:rPr>
      </w:pPr>
    </w:p>
    <w:p w14:paraId="41696E22">
      <w:pPr>
        <w:pStyle w:val="17"/>
        <w:spacing w:line="360" w:lineRule="auto"/>
        <w:outlineLvl w:val="9"/>
        <w:rPr>
          <w:rFonts w:hint="eastAsia" w:ascii="仿宋" w:hAnsi="仿宋" w:eastAsia="仿宋" w:cs="仿宋"/>
          <w:color w:val="auto"/>
          <w:spacing w:val="20"/>
          <w:sz w:val="24"/>
          <w:szCs w:val="24"/>
          <w:u w:val="single"/>
        </w:rPr>
      </w:pPr>
      <w:r>
        <w:rPr>
          <w:rFonts w:hint="eastAsia" w:ascii="仿宋" w:hAnsi="仿宋" w:eastAsia="仿宋" w:cs="仿宋"/>
          <w:color w:val="auto"/>
          <w:spacing w:val="20"/>
          <w:sz w:val="24"/>
          <w:szCs w:val="24"/>
          <w:lang w:eastAsia="zh-CN"/>
        </w:rPr>
        <w:t>供应商（公章）</w:t>
      </w:r>
      <w:r>
        <w:rPr>
          <w:rFonts w:hint="eastAsia" w:ascii="仿宋" w:hAnsi="仿宋" w:eastAsia="仿宋" w:cs="仿宋"/>
          <w:color w:val="auto"/>
          <w:spacing w:val="20"/>
          <w:sz w:val="24"/>
          <w:szCs w:val="24"/>
        </w:rPr>
        <w:t>：</w:t>
      </w:r>
      <w:r>
        <w:rPr>
          <w:rFonts w:hint="eastAsia" w:ascii="仿宋" w:hAnsi="仿宋" w:eastAsia="仿宋" w:cs="仿宋"/>
          <w:color w:val="auto"/>
          <w:spacing w:val="20"/>
          <w:sz w:val="24"/>
          <w:szCs w:val="24"/>
          <w:u w:val="single"/>
        </w:rPr>
        <w:t xml:space="preserve">                           </w:t>
      </w:r>
    </w:p>
    <w:p w14:paraId="43B57874">
      <w:pPr>
        <w:pStyle w:val="17"/>
        <w:spacing w:line="360" w:lineRule="auto"/>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lang w:eastAsia="zh-CN"/>
        </w:rPr>
        <w:t>法</w:t>
      </w:r>
      <w:r>
        <w:rPr>
          <w:rFonts w:hint="eastAsia" w:ascii="仿宋" w:hAnsi="仿宋" w:eastAsia="仿宋" w:cs="仿宋"/>
          <w:color w:val="auto"/>
          <w:spacing w:val="20"/>
          <w:sz w:val="24"/>
          <w:szCs w:val="24"/>
        </w:rPr>
        <w:t>定代表人（公章</w:t>
      </w:r>
      <w:r>
        <w:rPr>
          <w:rFonts w:hint="eastAsia" w:ascii="仿宋" w:hAnsi="仿宋" w:eastAsia="仿宋" w:cs="仿宋"/>
          <w:color w:val="auto"/>
          <w:spacing w:val="20"/>
          <w:sz w:val="24"/>
          <w:szCs w:val="24"/>
          <w:lang w:eastAsia="zh-CN"/>
        </w:rPr>
        <w:t>）</w:t>
      </w:r>
      <w:r>
        <w:rPr>
          <w:rFonts w:hint="eastAsia" w:ascii="仿宋" w:hAnsi="仿宋" w:eastAsia="仿宋" w:cs="仿宋"/>
          <w:color w:val="auto"/>
          <w:spacing w:val="20"/>
          <w:sz w:val="24"/>
          <w:szCs w:val="24"/>
        </w:rPr>
        <w:t>：　</w:t>
      </w:r>
      <w:r>
        <w:rPr>
          <w:rFonts w:hint="eastAsia" w:ascii="仿宋" w:hAnsi="仿宋" w:eastAsia="仿宋" w:cs="仿宋"/>
          <w:color w:val="auto"/>
          <w:spacing w:val="20"/>
          <w:sz w:val="24"/>
          <w:szCs w:val="24"/>
          <w:u w:val="single"/>
        </w:rPr>
        <w:t xml:space="preserve">                        </w:t>
      </w:r>
      <w:r>
        <w:rPr>
          <w:rFonts w:hint="eastAsia" w:ascii="仿宋" w:hAnsi="仿宋" w:eastAsia="仿宋" w:cs="仿宋"/>
          <w:color w:val="auto"/>
          <w:spacing w:val="20"/>
          <w:sz w:val="24"/>
          <w:szCs w:val="24"/>
        </w:rPr>
        <w:t xml:space="preserve"> </w:t>
      </w:r>
    </w:p>
    <w:p w14:paraId="18D761BD">
      <w:pPr>
        <w:pStyle w:val="17"/>
        <w:spacing w:line="360" w:lineRule="auto"/>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t>地     点：  　</w:t>
      </w:r>
      <w:r>
        <w:rPr>
          <w:rFonts w:hint="eastAsia" w:ascii="仿宋" w:hAnsi="仿宋" w:eastAsia="仿宋" w:cs="仿宋"/>
          <w:color w:val="auto"/>
          <w:spacing w:val="20"/>
          <w:sz w:val="24"/>
          <w:szCs w:val="24"/>
          <w:u w:val="single"/>
        </w:rPr>
        <w:t xml:space="preserve">　　　　　　　　　           </w:t>
      </w:r>
      <w:r>
        <w:rPr>
          <w:rFonts w:hint="eastAsia" w:ascii="仿宋" w:hAnsi="仿宋" w:eastAsia="仿宋" w:cs="仿宋"/>
          <w:color w:val="auto"/>
          <w:spacing w:val="20"/>
          <w:sz w:val="24"/>
          <w:szCs w:val="24"/>
        </w:rPr>
        <w:t xml:space="preserve"> </w:t>
      </w:r>
    </w:p>
    <w:p w14:paraId="5E43291E">
      <w:pPr>
        <w:spacing w:line="360" w:lineRule="auto"/>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t>时     间：  　</w:t>
      </w:r>
      <w:r>
        <w:rPr>
          <w:rFonts w:hint="eastAsia" w:ascii="仿宋" w:hAnsi="仿宋" w:eastAsia="仿宋" w:cs="仿宋"/>
          <w:color w:val="auto"/>
          <w:spacing w:val="20"/>
          <w:sz w:val="24"/>
          <w:szCs w:val="24"/>
          <w:u w:val="single"/>
        </w:rPr>
        <w:t xml:space="preserve">            　　　　　　　　 </w:t>
      </w:r>
      <w:r>
        <w:rPr>
          <w:rFonts w:hint="eastAsia" w:ascii="仿宋" w:hAnsi="仿宋" w:eastAsia="仿宋" w:cs="仿宋"/>
          <w:color w:val="auto"/>
          <w:spacing w:val="20"/>
          <w:sz w:val="24"/>
          <w:szCs w:val="24"/>
        </w:rPr>
        <w:t xml:space="preserve">   </w:t>
      </w:r>
    </w:p>
    <w:p w14:paraId="023DCBBB">
      <w:pPr>
        <w:spacing w:line="360" w:lineRule="auto"/>
        <w:outlineLvl w:val="9"/>
        <w:rPr>
          <w:rFonts w:hint="eastAsia" w:ascii="仿宋" w:hAnsi="仿宋" w:eastAsia="仿宋" w:cs="仿宋"/>
          <w:color w:val="auto"/>
          <w:spacing w:val="20"/>
          <w:sz w:val="24"/>
          <w:szCs w:val="24"/>
        </w:rPr>
      </w:pPr>
    </w:p>
    <w:p w14:paraId="0EBE178A">
      <w:pPr>
        <w:tabs>
          <w:tab w:val="left" w:pos="5805"/>
        </w:tabs>
        <w:spacing w:line="360" w:lineRule="auto"/>
        <w:ind w:left="640" w:hanging="560" w:hangingChars="200"/>
        <w:outlineLvl w:val="9"/>
        <w:rPr>
          <w:rFonts w:hint="eastAsia" w:ascii="仿宋" w:hAnsi="仿宋" w:eastAsia="仿宋" w:cs="仿宋"/>
          <w:color w:val="auto"/>
          <w:sz w:val="24"/>
          <w:szCs w:val="24"/>
        </w:rPr>
      </w:pPr>
      <w:r>
        <w:rPr>
          <w:rFonts w:hint="eastAsia" w:ascii="仿宋" w:hAnsi="仿宋" w:eastAsia="仿宋" w:cs="仿宋"/>
          <w:color w:val="auto"/>
          <w:spacing w:val="20"/>
          <w:sz w:val="24"/>
          <w:szCs w:val="24"/>
        </w:rPr>
        <w:t>注：</w:t>
      </w:r>
      <w:r>
        <w:rPr>
          <w:rFonts w:hint="eastAsia" w:ascii="仿宋" w:hAnsi="仿宋" w:eastAsia="仿宋" w:cs="仿宋"/>
          <w:color w:val="auto"/>
          <w:spacing w:val="20"/>
          <w:sz w:val="24"/>
          <w:szCs w:val="24"/>
          <w:u w:val="single"/>
        </w:rPr>
        <w:t>请在</w:t>
      </w:r>
      <w:r>
        <w:rPr>
          <w:rFonts w:hint="eastAsia" w:ascii="仿宋" w:hAnsi="仿宋" w:eastAsia="仿宋" w:cs="仿宋"/>
          <w:color w:val="auto"/>
          <w:spacing w:val="20"/>
          <w:sz w:val="24"/>
          <w:szCs w:val="24"/>
          <w:u w:val="single"/>
          <w:lang w:eastAsia="zh-CN"/>
        </w:rPr>
        <w:t>竞争性磋商响应文件</w:t>
      </w:r>
      <w:r>
        <w:rPr>
          <w:rFonts w:hint="eastAsia" w:ascii="仿宋" w:hAnsi="仿宋" w:eastAsia="仿宋" w:cs="仿宋"/>
          <w:color w:val="auto"/>
          <w:spacing w:val="20"/>
          <w:sz w:val="24"/>
          <w:szCs w:val="24"/>
          <w:u w:val="single"/>
        </w:rPr>
        <w:t>中附上法人以及委托人身份证复印件正反两面（加盖公章和法人印章）</w:t>
      </w:r>
      <w:r>
        <w:rPr>
          <w:rFonts w:hint="eastAsia" w:ascii="仿宋" w:hAnsi="仿宋" w:eastAsia="仿宋" w:cs="仿宋"/>
          <w:color w:val="auto"/>
          <w:spacing w:val="20"/>
          <w:sz w:val="24"/>
          <w:szCs w:val="24"/>
        </w:rPr>
        <w:t>。</w:t>
      </w:r>
    </w:p>
    <w:p w14:paraId="7282BF88">
      <w:pPr>
        <w:pStyle w:val="17"/>
        <w:adjustRightInd w:val="0"/>
        <w:snapToGrid w:val="0"/>
        <w:outlineLvl w:val="9"/>
        <w:rPr>
          <w:rFonts w:hint="eastAsia" w:ascii="仿宋" w:hAnsi="仿宋" w:eastAsia="仿宋" w:cs="仿宋"/>
          <w:color w:val="auto"/>
          <w:sz w:val="24"/>
          <w:szCs w:val="24"/>
          <w:lang w:val="en-US"/>
        </w:rPr>
      </w:pPr>
    </w:p>
    <w:p w14:paraId="5CFBCEA0">
      <w:pPr>
        <w:pStyle w:val="17"/>
        <w:adjustRightInd w:val="0"/>
        <w:snapToGrid w:val="0"/>
        <w:outlineLvl w:val="9"/>
        <w:rPr>
          <w:rFonts w:hint="eastAsia" w:ascii="仿宋" w:hAnsi="仿宋" w:eastAsia="仿宋" w:cs="仿宋"/>
          <w:color w:val="auto"/>
          <w:sz w:val="24"/>
          <w:szCs w:val="24"/>
        </w:rPr>
      </w:pPr>
    </w:p>
    <w:p w14:paraId="61135607">
      <w:pPr>
        <w:ind w:firstLine="2640" w:firstLineChars="1100"/>
        <w:outlineLvl w:val="9"/>
        <w:rPr>
          <w:rFonts w:hint="eastAsia" w:ascii="仿宋" w:hAnsi="仿宋" w:eastAsia="仿宋" w:cs="仿宋"/>
          <w:color w:val="auto"/>
          <w:sz w:val="24"/>
          <w:szCs w:val="24"/>
        </w:rPr>
      </w:pPr>
    </w:p>
    <w:p w14:paraId="2FCFBAD7">
      <w:pPr>
        <w:ind w:firstLine="2640" w:firstLineChars="1100"/>
        <w:outlineLvl w:val="9"/>
        <w:rPr>
          <w:rFonts w:hint="eastAsia" w:ascii="仿宋" w:hAnsi="仿宋" w:eastAsia="仿宋" w:cs="仿宋"/>
          <w:color w:val="auto"/>
          <w:sz w:val="24"/>
          <w:szCs w:val="24"/>
        </w:rPr>
      </w:pPr>
    </w:p>
    <w:p w14:paraId="60DE1847">
      <w:pPr>
        <w:outlineLvl w:val="9"/>
        <w:rPr>
          <w:rFonts w:hint="eastAsia" w:ascii="仿宋" w:hAnsi="仿宋" w:eastAsia="仿宋" w:cs="仿宋"/>
          <w:color w:val="auto"/>
          <w:sz w:val="24"/>
          <w:szCs w:val="24"/>
        </w:rPr>
      </w:pPr>
    </w:p>
    <w:p w14:paraId="36F2F1B2">
      <w:pPr>
        <w:outlineLvl w:val="9"/>
        <w:rPr>
          <w:rFonts w:hint="eastAsia" w:ascii="仿宋" w:hAnsi="仿宋" w:eastAsia="仿宋" w:cs="仿宋"/>
          <w:color w:val="auto"/>
          <w:sz w:val="24"/>
          <w:szCs w:val="24"/>
        </w:rPr>
      </w:pPr>
    </w:p>
    <w:p w14:paraId="6179F02C">
      <w:pPr>
        <w:outlineLvl w:val="9"/>
        <w:rPr>
          <w:rFonts w:hint="eastAsia" w:ascii="仿宋" w:hAnsi="仿宋" w:eastAsia="仿宋" w:cs="仿宋"/>
          <w:color w:val="auto"/>
          <w:sz w:val="24"/>
          <w:szCs w:val="24"/>
        </w:rPr>
      </w:pPr>
    </w:p>
    <w:p w14:paraId="28E13F2F">
      <w:pPr>
        <w:outlineLvl w:val="9"/>
        <w:rPr>
          <w:rFonts w:hint="eastAsia" w:ascii="仿宋" w:hAnsi="仿宋" w:eastAsia="仿宋" w:cs="仿宋"/>
          <w:color w:val="auto"/>
          <w:sz w:val="24"/>
          <w:szCs w:val="24"/>
        </w:rPr>
      </w:pPr>
    </w:p>
    <w:p w14:paraId="6E73E1D3">
      <w:pPr>
        <w:outlineLvl w:val="9"/>
        <w:rPr>
          <w:rFonts w:hint="eastAsia" w:ascii="仿宋" w:hAnsi="仿宋" w:eastAsia="仿宋" w:cs="仿宋"/>
          <w:color w:val="auto"/>
          <w:sz w:val="24"/>
          <w:szCs w:val="24"/>
        </w:rPr>
      </w:pPr>
    </w:p>
    <w:p w14:paraId="789D0F96">
      <w:pPr>
        <w:outlineLvl w:val="9"/>
        <w:rPr>
          <w:rFonts w:hint="eastAsia" w:ascii="仿宋" w:hAnsi="仿宋" w:eastAsia="仿宋" w:cs="仿宋"/>
          <w:color w:val="auto"/>
          <w:sz w:val="24"/>
          <w:szCs w:val="24"/>
        </w:rPr>
      </w:pPr>
    </w:p>
    <w:p w14:paraId="317D325A">
      <w:pPr>
        <w:outlineLvl w:val="9"/>
        <w:rPr>
          <w:rFonts w:hint="eastAsia" w:ascii="仿宋" w:hAnsi="仿宋" w:eastAsia="仿宋" w:cs="仿宋"/>
          <w:color w:val="auto"/>
          <w:sz w:val="24"/>
          <w:szCs w:val="24"/>
        </w:rPr>
      </w:pPr>
    </w:p>
    <w:p w14:paraId="44B388C1">
      <w:pPr>
        <w:outlineLvl w:val="9"/>
        <w:rPr>
          <w:rFonts w:hint="eastAsia" w:ascii="仿宋" w:hAnsi="仿宋" w:eastAsia="仿宋" w:cs="仿宋"/>
          <w:color w:val="auto"/>
          <w:sz w:val="24"/>
          <w:szCs w:val="24"/>
        </w:rPr>
      </w:pPr>
    </w:p>
    <w:p w14:paraId="6EB9189E">
      <w:pPr>
        <w:outlineLvl w:val="9"/>
        <w:rPr>
          <w:rFonts w:hint="eastAsia" w:ascii="仿宋" w:hAnsi="仿宋" w:eastAsia="仿宋" w:cs="仿宋"/>
          <w:color w:val="auto"/>
          <w:sz w:val="24"/>
          <w:szCs w:val="24"/>
        </w:rPr>
      </w:pPr>
    </w:p>
    <w:p w14:paraId="4344A040">
      <w:pPr>
        <w:pStyle w:val="26"/>
        <w:bidi w:val="0"/>
        <w:rPr>
          <w:rFonts w:hint="eastAsia" w:ascii="仿宋" w:hAnsi="仿宋" w:eastAsia="仿宋" w:cs="仿宋"/>
          <w:color w:val="auto"/>
        </w:rPr>
      </w:pPr>
    </w:p>
    <w:p w14:paraId="6B42AD5F">
      <w:pPr>
        <w:pStyle w:val="26"/>
        <w:bidi w:val="0"/>
        <w:rPr>
          <w:rFonts w:hint="eastAsia" w:ascii="仿宋" w:hAnsi="仿宋" w:eastAsia="仿宋" w:cs="仿宋"/>
          <w:color w:val="auto"/>
        </w:rPr>
      </w:pPr>
    </w:p>
    <w:p w14:paraId="346013C1">
      <w:pPr>
        <w:pStyle w:val="26"/>
        <w:bidi w:val="0"/>
        <w:rPr>
          <w:rFonts w:hint="eastAsia" w:ascii="仿宋" w:hAnsi="仿宋" w:eastAsia="仿宋" w:cs="仿宋"/>
          <w:color w:val="auto"/>
        </w:rPr>
      </w:pPr>
    </w:p>
    <w:p w14:paraId="0B234FFA">
      <w:pPr>
        <w:pStyle w:val="26"/>
        <w:bidi w:val="0"/>
        <w:rPr>
          <w:rFonts w:hint="eastAsia" w:ascii="仿宋" w:hAnsi="仿宋" w:eastAsia="仿宋" w:cs="仿宋"/>
          <w:color w:val="auto"/>
        </w:rPr>
      </w:pPr>
    </w:p>
    <w:p w14:paraId="556A1C19">
      <w:pPr>
        <w:pStyle w:val="26"/>
        <w:bidi w:val="0"/>
        <w:rPr>
          <w:rFonts w:hint="eastAsia" w:ascii="仿宋" w:hAnsi="仿宋" w:eastAsia="仿宋" w:cs="仿宋"/>
          <w:color w:val="auto"/>
        </w:rPr>
      </w:pPr>
    </w:p>
    <w:p w14:paraId="13AF96DB">
      <w:pPr>
        <w:numPr>
          <w:ilvl w:val="0"/>
          <w:numId w:val="0"/>
        </w:numPr>
        <w:tabs>
          <w:tab w:val="left" w:pos="576"/>
        </w:tabs>
        <w:outlineLvl w:val="9"/>
        <w:rPr>
          <w:rFonts w:hint="eastAsia" w:ascii="仿宋" w:hAnsi="仿宋" w:eastAsia="仿宋" w:cs="仿宋"/>
          <w:color w:val="auto"/>
          <w:sz w:val="24"/>
          <w:szCs w:val="24"/>
        </w:rPr>
      </w:pPr>
      <w:bookmarkStart w:id="92" w:name="_Toc424212009"/>
      <w:bookmarkStart w:id="93" w:name="_Toc460703987"/>
    </w:p>
    <w:p w14:paraId="2255E489">
      <w:pPr>
        <w:spacing w:line="450" w:lineRule="atLeast"/>
        <w:jc w:val="center"/>
        <w:outlineLvl w:val="0"/>
        <w:rPr>
          <w:rFonts w:hint="eastAsia" w:ascii="仿宋" w:hAnsi="仿宋" w:eastAsia="仿宋" w:cs="仿宋"/>
          <w:b/>
          <w:color w:val="auto"/>
          <w:spacing w:val="20"/>
          <w:sz w:val="32"/>
          <w:szCs w:val="32"/>
        </w:rPr>
      </w:pPr>
      <w:bookmarkStart w:id="94" w:name="_Toc467"/>
      <w:bookmarkStart w:id="95" w:name="_Toc9315"/>
      <w:bookmarkStart w:id="96" w:name="_Toc25948"/>
      <w:bookmarkStart w:id="97" w:name="_Toc25637"/>
      <w:r>
        <w:rPr>
          <w:rFonts w:hint="eastAsia" w:ascii="仿宋" w:hAnsi="仿宋" w:eastAsia="仿宋" w:cs="仿宋"/>
          <w:b/>
          <w:bCs/>
          <w:color w:val="auto"/>
          <w:spacing w:val="0"/>
          <w:sz w:val="32"/>
          <w:szCs w:val="32"/>
          <w:lang w:val="en-US" w:eastAsia="zh-CN"/>
        </w:rPr>
        <w:t>四、磋商保证金交纳凭证</w:t>
      </w:r>
      <w:bookmarkEnd w:id="92"/>
      <w:bookmarkEnd w:id="93"/>
      <w:bookmarkEnd w:id="94"/>
      <w:bookmarkEnd w:id="95"/>
      <w:bookmarkEnd w:id="96"/>
      <w:bookmarkEnd w:id="97"/>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2B69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2" w:hRule="atLeast"/>
        </w:trPr>
        <w:tc>
          <w:tcPr>
            <w:tcW w:w="8840" w:type="dxa"/>
            <w:noWrap w:val="0"/>
            <w:vAlign w:val="center"/>
          </w:tcPr>
          <w:p w14:paraId="45216E68">
            <w:pPr>
              <w:spacing w:after="124" w:afterLines="40"/>
              <w:jc w:val="center"/>
              <w:outlineLvl w:val="9"/>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本项目不收取磋商保证金</w:t>
            </w:r>
          </w:p>
        </w:tc>
      </w:tr>
    </w:tbl>
    <w:p w14:paraId="6217789F">
      <w:pPr>
        <w:numPr>
          <w:ilvl w:val="0"/>
          <w:numId w:val="0"/>
        </w:numPr>
        <w:tabs>
          <w:tab w:val="left" w:pos="576"/>
        </w:tabs>
        <w:outlineLvl w:val="9"/>
        <w:rPr>
          <w:rFonts w:hint="eastAsia" w:ascii="仿宋" w:hAnsi="仿宋" w:eastAsia="仿宋" w:cs="仿宋"/>
          <w:i w:val="0"/>
          <w:iCs/>
          <w:color w:val="auto"/>
          <w:sz w:val="24"/>
          <w:szCs w:val="24"/>
        </w:rPr>
      </w:pPr>
      <w:r>
        <w:rPr>
          <w:rFonts w:hint="eastAsia" w:ascii="仿宋" w:hAnsi="仿宋" w:eastAsia="仿宋" w:cs="仿宋"/>
          <w:color w:val="auto"/>
          <w:sz w:val="24"/>
          <w:szCs w:val="24"/>
        </w:rPr>
        <w:br w:type="page"/>
      </w:r>
    </w:p>
    <w:p w14:paraId="1F793E27">
      <w:pPr>
        <w:numPr>
          <w:ilvl w:val="0"/>
          <w:numId w:val="5"/>
        </w:numPr>
        <w:spacing w:line="450" w:lineRule="atLeast"/>
        <w:jc w:val="center"/>
        <w:outlineLvl w:val="0"/>
        <w:rPr>
          <w:rFonts w:hint="eastAsia" w:ascii="仿宋" w:hAnsi="仿宋" w:eastAsia="仿宋" w:cs="仿宋"/>
          <w:b/>
          <w:bCs/>
          <w:color w:val="auto"/>
          <w:spacing w:val="0"/>
          <w:sz w:val="36"/>
          <w:szCs w:val="36"/>
          <w:lang w:val="en-US" w:eastAsia="zh-CN"/>
        </w:rPr>
      </w:pPr>
      <w:bookmarkStart w:id="98" w:name="_Toc32213"/>
      <w:bookmarkStart w:id="99" w:name="_Toc27918"/>
      <w:bookmarkStart w:id="100" w:name="_Toc16586"/>
      <w:bookmarkStart w:id="101" w:name="_Toc11445"/>
      <w:r>
        <w:rPr>
          <w:rFonts w:hint="eastAsia" w:ascii="仿宋" w:hAnsi="仿宋" w:eastAsia="仿宋" w:cs="仿宋"/>
          <w:b/>
          <w:bCs/>
          <w:color w:val="auto"/>
          <w:spacing w:val="0"/>
          <w:sz w:val="36"/>
          <w:szCs w:val="36"/>
          <w:lang w:val="en-US" w:eastAsia="zh-CN"/>
        </w:rPr>
        <w:t>承诺书</w:t>
      </w:r>
      <w:bookmarkEnd w:id="98"/>
      <w:bookmarkEnd w:id="99"/>
      <w:bookmarkEnd w:id="100"/>
      <w:bookmarkEnd w:id="101"/>
    </w:p>
    <w:p w14:paraId="763DFC33">
      <w:pPr>
        <w:pStyle w:val="6"/>
        <w:widowControl w:val="0"/>
        <w:numPr>
          <w:ilvl w:val="0"/>
          <w:numId w:val="0"/>
        </w:numPr>
        <w:jc w:val="center"/>
        <w:rPr>
          <w:rFonts w:hint="eastAsia" w:ascii="仿宋" w:hAnsi="仿宋" w:eastAsia="仿宋" w:cs="仿宋"/>
          <w:b/>
          <w:bCs/>
          <w:color w:val="auto"/>
          <w:spacing w:val="0"/>
          <w:sz w:val="32"/>
          <w:szCs w:val="32"/>
          <w:lang w:val="en-US" w:eastAsia="zh-CN"/>
        </w:rPr>
      </w:pPr>
    </w:p>
    <w:p w14:paraId="4512A270">
      <w:pPr>
        <w:pStyle w:val="6"/>
        <w:widowControl w:val="0"/>
        <w:numPr>
          <w:ilvl w:val="0"/>
          <w:numId w:val="0"/>
        </w:numPr>
        <w:jc w:val="center"/>
        <w:rPr>
          <w:rFonts w:hint="eastAsia" w:ascii="仿宋" w:hAnsi="仿宋" w:eastAsia="仿宋" w:cs="仿宋"/>
          <w:color w:val="auto"/>
          <w:sz w:val="20"/>
          <w:szCs w:val="20"/>
        </w:rPr>
      </w:pPr>
      <w:r>
        <w:rPr>
          <w:rFonts w:hint="eastAsia" w:ascii="仿宋" w:hAnsi="仿宋" w:eastAsia="仿宋" w:cs="仿宋"/>
          <w:b/>
          <w:bCs/>
          <w:color w:val="auto"/>
          <w:spacing w:val="0"/>
          <w:sz w:val="28"/>
          <w:szCs w:val="28"/>
          <w:lang w:val="en-US" w:eastAsia="zh-CN"/>
        </w:rPr>
        <w:t>反商业贿赂承诺书</w:t>
      </w:r>
    </w:p>
    <w:p w14:paraId="1FE44FC1">
      <w:pPr>
        <w:spacing w:line="360" w:lineRule="auto"/>
        <w:outlineLvl w:val="9"/>
        <w:rPr>
          <w:rFonts w:hint="eastAsia" w:ascii="仿宋" w:hAnsi="仿宋" w:eastAsia="仿宋" w:cs="仿宋"/>
          <w:color w:val="auto"/>
          <w:sz w:val="24"/>
          <w:szCs w:val="24"/>
        </w:rPr>
      </w:pPr>
    </w:p>
    <w:p w14:paraId="2F51E25D">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我公司承诺：</w:t>
      </w:r>
    </w:p>
    <w:p w14:paraId="24572FD8">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在本次</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活动中，我公司保证做到：</w:t>
      </w:r>
    </w:p>
    <w:p w14:paraId="0E31CAB2">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一、公平竞争参加本次采购活动。</w:t>
      </w:r>
    </w:p>
    <w:p w14:paraId="331F2577">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14:paraId="0E3455B5">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三、若出现上述行为，我公司及参与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的工作人员愿意接受按照国家法律法规等有关规定给予的处罚。</w:t>
      </w:r>
    </w:p>
    <w:p w14:paraId="2BA354AB">
      <w:pPr>
        <w:spacing w:line="360" w:lineRule="auto"/>
        <w:outlineLvl w:val="9"/>
        <w:rPr>
          <w:rFonts w:hint="eastAsia" w:ascii="仿宋" w:hAnsi="仿宋" w:eastAsia="仿宋" w:cs="仿宋"/>
          <w:color w:val="auto"/>
          <w:sz w:val="24"/>
          <w:szCs w:val="24"/>
        </w:rPr>
      </w:pPr>
    </w:p>
    <w:p w14:paraId="2EF24C42">
      <w:pPr>
        <w:spacing w:line="360" w:lineRule="auto"/>
        <w:outlineLvl w:val="9"/>
        <w:rPr>
          <w:rFonts w:hint="eastAsia" w:ascii="仿宋" w:hAnsi="仿宋" w:eastAsia="仿宋" w:cs="仿宋"/>
          <w:color w:val="auto"/>
          <w:sz w:val="24"/>
          <w:szCs w:val="24"/>
        </w:rPr>
      </w:pPr>
    </w:p>
    <w:p w14:paraId="6C8BC49C">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供应商名称（加盖公章）：</w:t>
      </w:r>
    </w:p>
    <w:p w14:paraId="5BDB5906">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法定代表人（盖章）：</w:t>
      </w:r>
    </w:p>
    <w:p w14:paraId="4A904555">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授权代表（签字）：</w:t>
      </w:r>
    </w:p>
    <w:p w14:paraId="379ECFEE">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日    期：   年  月  日</w:t>
      </w:r>
    </w:p>
    <w:p w14:paraId="0A56946C">
      <w:pPr>
        <w:spacing w:line="360" w:lineRule="auto"/>
        <w:outlineLvl w:val="9"/>
        <w:rPr>
          <w:rFonts w:hint="eastAsia" w:ascii="仿宋" w:hAnsi="仿宋" w:eastAsia="仿宋" w:cs="仿宋"/>
          <w:color w:val="auto"/>
          <w:sz w:val="24"/>
          <w:szCs w:val="24"/>
        </w:rPr>
        <w:sectPr>
          <w:pgSz w:w="11907" w:h="16840"/>
          <w:pgMar w:top="1440" w:right="1474" w:bottom="1440" w:left="1474" w:header="851" w:footer="992" w:gutter="0"/>
          <w:pgNumType w:fmt="decimal"/>
          <w:cols w:space="720" w:num="1"/>
          <w:docGrid w:linePitch="312" w:charSpace="0"/>
        </w:sectPr>
      </w:pPr>
    </w:p>
    <w:p w14:paraId="550B01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pacing w:val="0"/>
          <w:kern w:val="2"/>
          <w:sz w:val="40"/>
          <w:szCs w:val="40"/>
          <w:lang w:val="en-US" w:eastAsia="zh-CN" w:bidi="ar-SA"/>
        </w:rPr>
      </w:pPr>
      <w:r>
        <w:rPr>
          <w:rFonts w:hint="eastAsia" w:ascii="仿宋" w:hAnsi="仿宋" w:eastAsia="仿宋" w:cs="仿宋"/>
          <w:b/>
          <w:bCs/>
          <w:color w:val="auto"/>
          <w:spacing w:val="0"/>
          <w:kern w:val="2"/>
          <w:sz w:val="40"/>
          <w:szCs w:val="40"/>
          <w:lang w:val="en-US" w:eastAsia="zh-CN" w:bidi="ar-SA"/>
        </w:rPr>
        <w:t>中标承诺书</w:t>
      </w:r>
    </w:p>
    <w:p w14:paraId="7733235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pacing w:val="0"/>
          <w:kern w:val="2"/>
          <w:sz w:val="32"/>
          <w:szCs w:val="32"/>
          <w:lang w:val="en-US" w:eastAsia="zh-CN" w:bidi="ar-SA"/>
        </w:rPr>
      </w:pPr>
    </w:p>
    <w:p w14:paraId="2F2468D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pacing w:val="0"/>
          <w:kern w:val="2"/>
          <w:sz w:val="30"/>
          <w:szCs w:val="30"/>
          <w:lang w:val="en-US" w:eastAsia="zh-CN" w:bidi="ar-SA"/>
        </w:rPr>
      </w:pPr>
      <w:r>
        <w:rPr>
          <w:rFonts w:hint="eastAsia" w:ascii="仿宋" w:hAnsi="仿宋" w:eastAsia="仿宋" w:cs="仿宋"/>
          <w:color w:val="auto"/>
          <w:spacing w:val="0"/>
          <w:kern w:val="2"/>
          <w:sz w:val="30"/>
          <w:szCs w:val="30"/>
          <w:lang w:val="en-US" w:eastAsia="zh-CN" w:bidi="ar-SA"/>
        </w:rPr>
        <w:t>XXX（采购单位）：</w:t>
      </w:r>
    </w:p>
    <w:p w14:paraId="54E4182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auto"/>
          <w:spacing w:val="0"/>
          <w:kern w:val="2"/>
          <w:sz w:val="30"/>
          <w:szCs w:val="30"/>
          <w:lang w:val="en-US" w:eastAsia="zh-CN" w:bidi="ar-SA"/>
        </w:rPr>
      </w:pPr>
      <w:r>
        <w:rPr>
          <w:rFonts w:hint="eastAsia" w:ascii="仿宋" w:hAnsi="仿宋" w:eastAsia="仿宋" w:cs="仿宋"/>
          <w:color w:val="auto"/>
          <w:spacing w:val="0"/>
          <w:kern w:val="2"/>
          <w:sz w:val="30"/>
          <w:szCs w:val="30"/>
          <w:lang w:val="en-US" w:eastAsia="zh-CN" w:bidi="ar-SA"/>
        </w:rPr>
        <w:t>我公司积极参加_______________________项目投标，现将有关事项向贵单位郑重承诺如下:</w:t>
      </w:r>
    </w:p>
    <w:p w14:paraId="514B3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auto"/>
          <w:spacing w:val="0"/>
          <w:kern w:val="2"/>
          <w:sz w:val="30"/>
          <w:szCs w:val="30"/>
          <w:lang w:val="en-US" w:eastAsia="zh-CN" w:bidi="ar-SA"/>
        </w:rPr>
      </w:pPr>
      <w:r>
        <w:rPr>
          <w:rFonts w:hint="eastAsia" w:ascii="仿宋" w:hAnsi="仿宋" w:eastAsia="仿宋" w:cs="仿宋"/>
          <w:color w:val="auto"/>
          <w:spacing w:val="0"/>
          <w:kern w:val="2"/>
          <w:sz w:val="30"/>
          <w:szCs w:val="30"/>
          <w:lang w:val="en-US" w:eastAsia="zh-CN" w:bidi="ar-SA"/>
        </w:rPr>
        <w:t>1.</w:t>
      </w:r>
      <w:r>
        <w:rPr>
          <w:rFonts w:hint="eastAsia" w:ascii="仿宋" w:hAnsi="仿宋" w:eastAsia="仿宋" w:cs="仿宋"/>
          <w:b/>
          <w:bCs/>
          <w:color w:val="auto"/>
          <w:spacing w:val="0"/>
          <w:kern w:val="2"/>
          <w:sz w:val="30"/>
          <w:szCs w:val="30"/>
          <w:lang w:val="en-US" w:eastAsia="zh-CN" w:bidi="ar-SA"/>
        </w:rPr>
        <w:t>不行贿： </w:t>
      </w:r>
      <w:r>
        <w:rPr>
          <w:rFonts w:hint="eastAsia" w:ascii="仿宋" w:hAnsi="仿宋" w:eastAsia="仿宋" w:cs="仿宋"/>
          <w:color w:val="auto"/>
          <w:spacing w:val="0"/>
          <w:kern w:val="2"/>
          <w:sz w:val="30"/>
          <w:szCs w:val="30"/>
          <w:lang w:val="en-US" w:eastAsia="zh-CN" w:bidi="ar-SA"/>
        </w:rPr>
        <w:t>在项目建设过程中，我们将严格遵守国家法律法规，坚决杜绝任何形式的行贿行为。我们将秉持公正、公平、公开的原则，与各方合作伙伴保持良好的合作关系。</w:t>
      </w:r>
      <w:r>
        <w:rPr>
          <w:rFonts w:hint="eastAsia" w:ascii="仿宋" w:hAnsi="仿宋" w:eastAsia="仿宋" w:cs="仿宋"/>
          <w:color w:val="auto"/>
          <w:spacing w:val="0"/>
          <w:kern w:val="2"/>
          <w:sz w:val="30"/>
          <w:szCs w:val="30"/>
          <w:lang w:val="en-US" w:eastAsia="zh-CN" w:bidi="ar-SA"/>
        </w:rPr>
        <w:br w:type="textWrapping"/>
      </w:r>
      <w:r>
        <w:rPr>
          <w:rFonts w:hint="eastAsia" w:ascii="仿宋" w:hAnsi="仿宋" w:eastAsia="仿宋" w:cs="仿宋"/>
          <w:color w:val="auto"/>
          <w:spacing w:val="0"/>
          <w:kern w:val="2"/>
          <w:sz w:val="30"/>
          <w:szCs w:val="30"/>
          <w:lang w:val="en-US" w:eastAsia="zh-CN" w:bidi="ar-SA"/>
        </w:rPr>
        <w:t xml:space="preserve">   2. </w:t>
      </w:r>
      <w:r>
        <w:rPr>
          <w:rFonts w:hint="eastAsia" w:ascii="仿宋" w:hAnsi="仿宋" w:eastAsia="仿宋" w:cs="仿宋"/>
          <w:b/>
          <w:bCs/>
          <w:color w:val="auto"/>
          <w:spacing w:val="0"/>
          <w:kern w:val="2"/>
          <w:sz w:val="30"/>
          <w:szCs w:val="30"/>
          <w:lang w:val="en-US" w:eastAsia="zh-CN" w:bidi="ar-SA"/>
        </w:rPr>
        <w:t>不出现“双拖欠”：</w:t>
      </w:r>
      <w:r>
        <w:rPr>
          <w:rFonts w:hint="eastAsia" w:ascii="仿宋" w:hAnsi="仿宋" w:eastAsia="仿宋" w:cs="仿宋"/>
          <w:color w:val="auto"/>
          <w:spacing w:val="0"/>
          <w:kern w:val="2"/>
          <w:sz w:val="30"/>
          <w:szCs w:val="30"/>
          <w:lang w:val="en-US" w:eastAsia="zh-CN" w:bidi="ar-SA"/>
        </w:rPr>
        <w:t>我公司将建立健全的财务管理制度，确保资金的合理使用和及时支付，保证按照合同约定，按时足额支付工人工资和供应商款项，绝不出现拖欠工资和工程款的现象。</w:t>
      </w:r>
      <w:r>
        <w:rPr>
          <w:rFonts w:hint="eastAsia" w:ascii="仿宋" w:hAnsi="仿宋" w:eastAsia="仿宋" w:cs="仿宋"/>
          <w:color w:val="auto"/>
          <w:spacing w:val="0"/>
          <w:kern w:val="2"/>
          <w:sz w:val="30"/>
          <w:szCs w:val="30"/>
          <w:lang w:val="en-US" w:eastAsia="zh-CN" w:bidi="ar-SA"/>
        </w:rPr>
        <w:br w:type="textWrapping"/>
      </w:r>
      <w:r>
        <w:rPr>
          <w:rFonts w:hint="eastAsia" w:ascii="仿宋" w:hAnsi="仿宋" w:eastAsia="仿宋" w:cs="仿宋"/>
          <w:color w:val="auto"/>
          <w:spacing w:val="0"/>
          <w:kern w:val="2"/>
          <w:sz w:val="30"/>
          <w:szCs w:val="30"/>
          <w:lang w:val="en-US" w:eastAsia="zh-CN" w:bidi="ar-SA"/>
        </w:rPr>
        <w:t xml:space="preserve">   3. </w:t>
      </w:r>
      <w:r>
        <w:rPr>
          <w:rFonts w:hint="eastAsia" w:ascii="仿宋" w:hAnsi="仿宋" w:eastAsia="仿宋" w:cs="仿宋"/>
          <w:b/>
          <w:bCs/>
          <w:color w:val="auto"/>
          <w:spacing w:val="0"/>
          <w:kern w:val="2"/>
          <w:sz w:val="30"/>
          <w:szCs w:val="30"/>
          <w:lang w:val="en-US" w:eastAsia="zh-CN" w:bidi="ar-SA"/>
        </w:rPr>
        <w:t>不违法转包、非法分包： </w:t>
      </w:r>
      <w:r>
        <w:rPr>
          <w:rFonts w:hint="eastAsia" w:ascii="仿宋" w:hAnsi="仿宋" w:eastAsia="仿宋" w:cs="仿宋"/>
          <w:color w:val="auto"/>
          <w:spacing w:val="0"/>
          <w:kern w:val="2"/>
          <w:sz w:val="30"/>
          <w:szCs w:val="30"/>
          <w:lang w:val="en-US" w:eastAsia="zh-CN" w:bidi="ar-SA"/>
        </w:rPr>
        <w:t>我们将严格遵守合同约定，保证按照竞争性磋商响应文件约定的班组成员进驻施工现场，绝不违法转包、非法分包，确保工程质量和进度。</w:t>
      </w:r>
      <w:r>
        <w:rPr>
          <w:rFonts w:hint="eastAsia" w:ascii="仿宋" w:hAnsi="仿宋" w:eastAsia="仿宋" w:cs="仿宋"/>
          <w:color w:val="auto"/>
          <w:spacing w:val="0"/>
          <w:kern w:val="2"/>
          <w:sz w:val="30"/>
          <w:szCs w:val="30"/>
          <w:lang w:val="en-US" w:eastAsia="zh-CN" w:bidi="ar-SA"/>
        </w:rPr>
        <w:br w:type="textWrapping"/>
      </w:r>
      <w:r>
        <w:rPr>
          <w:rFonts w:hint="eastAsia" w:ascii="仿宋" w:hAnsi="仿宋" w:eastAsia="仿宋" w:cs="仿宋"/>
          <w:color w:val="auto"/>
          <w:spacing w:val="0"/>
          <w:kern w:val="2"/>
          <w:sz w:val="30"/>
          <w:szCs w:val="30"/>
          <w:lang w:val="en-US" w:eastAsia="zh-CN" w:bidi="ar-SA"/>
        </w:rPr>
        <w:t xml:space="preserve">   4. </w:t>
      </w:r>
      <w:r>
        <w:rPr>
          <w:rFonts w:hint="eastAsia" w:ascii="仿宋" w:hAnsi="仿宋" w:eastAsia="仿宋" w:cs="仿宋"/>
          <w:b/>
          <w:bCs/>
          <w:color w:val="auto"/>
          <w:spacing w:val="0"/>
          <w:kern w:val="2"/>
          <w:sz w:val="30"/>
          <w:szCs w:val="30"/>
          <w:lang w:val="en-US" w:eastAsia="zh-CN" w:bidi="ar-SA"/>
        </w:rPr>
        <w:t>良好工程建设信誉：</w:t>
      </w:r>
      <w:r>
        <w:rPr>
          <w:rFonts w:hint="eastAsia" w:ascii="仿宋" w:hAnsi="仿宋" w:eastAsia="仿宋" w:cs="仿宋"/>
          <w:b w:val="0"/>
          <w:bCs w:val="0"/>
          <w:color w:val="auto"/>
          <w:spacing w:val="0"/>
          <w:kern w:val="2"/>
          <w:sz w:val="30"/>
          <w:szCs w:val="30"/>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r>
        <w:rPr>
          <w:rFonts w:hint="eastAsia" w:ascii="仿宋" w:hAnsi="仿宋" w:eastAsia="仿宋" w:cs="仿宋"/>
          <w:b w:val="0"/>
          <w:bCs w:val="0"/>
          <w:color w:val="auto"/>
          <w:spacing w:val="0"/>
          <w:kern w:val="2"/>
          <w:sz w:val="30"/>
          <w:szCs w:val="30"/>
          <w:lang w:val="en-US" w:eastAsia="zh-CN" w:bidi="ar-SA"/>
        </w:rPr>
        <w:br w:type="textWrapping"/>
      </w:r>
      <w:r>
        <w:rPr>
          <w:rFonts w:hint="eastAsia" w:ascii="仿宋" w:hAnsi="仿宋" w:eastAsia="仿宋" w:cs="仿宋"/>
          <w:color w:val="auto"/>
          <w:spacing w:val="0"/>
          <w:kern w:val="2"/>
          <w:sz w:val="30"/>
          <w:szCs w:val="30"/>
          <w:lang w:val="en-US" w:eastAsia="zh-CN" w:bidi="ar-SA"/>
        </w:rPr>
        <w:t xml:space="preserve">   如有违反上述承诺，我们愿意承担相应的法律责任和经济赔偿责任，同时，积极配合有关部门的调查和处理，接受社会监督。</w:t>
      </w:r>
      <w:r>
        <w:rPr>
          <w:rFonts w:hint="eastAsia" w:ascii="仿宋" w:hAnsi="仿宋" w:eastAsia="仿宋" w:cs="仿宋"/>
          <w:color w:val="auto"/>
          <w:spacing w:val="0"/>
          <w:kern w:val="2"/>
          <w:sz w:val="30"/>
          <w:szCs w:val="30"/>
          <w:lang w:val="en-US" w:eastAsia="zh-CN" w:bidi="ar-SA"/>
        </w:rPr>
        <w:br w:type="textWrapping"/>
      </w:r>
      <w:r>
        <w:rPr>
          <w:rFonts w:hint="eastAsia" w:ascii="仿宋" w:hAnsi="仿宋" w:eastAsia="仿宋" w:cs="仿宋"/>
          <w:color w:val="auto"/>
          <w:spacing w:val="0"/>
          <w:kern w:val="2"/>
          <w:sz w:val="30"/>
          <w:szCs w:val="30"/>
          <w:lang w:val="en-US" w:eastAsia="zh-CN" w:bidi="ar-SA"/>
        </w:rPr>
        <w:t xml:space="preserve">    承诺单位： </w:t>
      </w:r>
    </w:p>
    <w:p w14:paraId="28AD4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auto"/>
          <w:spacing w:val="0"/>
          <w:kern w:val="2"/>
          <w:sz w:val="30"/>
          <w:szCs w:val="30"/>
          <w:lang w:val="en-US" w:eastAsia="zh-CN" w:bidi="ar-SA"/>
        </w:rPr>
      </w:pPr>
      <w:r>
        <w:rPr>
          <w:rFonts w:hint="eastAsia" w:ascii="仿宋" w:hAnsi="仿宋" w:eastAsia="仿宋" w:cs="仿宋"/>
          <w:color w:val="auto"/>
          <w:spacing w:val="0"/>
          <w:kern w:val="2"/>
          <w:sz w:val="30"/>
          <w:szCs w:val="30"/>
          <w:lang w:val="en-US" w:eastAsia="zh-CN" w:bidi="ar-SA"/>
        </w:rPr>
        <w:t>法定代表人：</w:t>
      </w:r>
    </w:p>
    <w:p w14:paraId="64477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auto"/>
          <w:spacing w:val="0"/>
          <w:kern w:val="2"/>
          <w:sz w:val="30"/>
          <w:szCs w:val="30"/>
          <w:lang w:val="en-US" w:eastAsia="zh-CN" w:bidi="ar-SA"/>
        </w:rPr>
      </w:pPr>
      <w:r>
        <w:rPr>
          <w:rFonts w:hint="eastAsia" w:ascii="仿宋" w:hAnsi="仿宋" w:eastAsia="仿宋" w:cs="仿宋"/>
          <w:color w:val="auto"/>
          <w:spacing w:val="0"/>
          <w:kern w:val="2"/>
          <w:sz w:val="30"/>
          <w:szCs w:val="30"/>
          <w:lang w:val="en-US" w:eastAsia="zh-CN" w:bidi="ar-SA"/>
        </w:rPr>
        <w:t>日期：</w:t>
      </w:r>
    </w:p>
    <w:p w14:paraId="1171988D">
      <w:pPr>
        <w:spacing w:line="360" w:lineRule="auto"/>
        <w:outlineLvl w:val="9"/>
        <w:rPr>
          <w:rFonts w:hint="eastAsia" w:ascii="仿宋" w:hAnsi="仿宋" w:eastAsia="仿宋" w:cs="仿宋"/>
          <w:color w:val="auto"/>
          <w:sz w:val="24"/>
          <w:szCs w:val="24"/>
        </w:rPr>
        <w:sectPr>
          <w:pgSz w:w="11907" w:h="16840"/>
          <w:pgMar w:top="1440" w:right="1474" w:bottom="1440" w:left="1474" w:header="851" w:footer="992" w:gutter="0"/>
          <w:pgNumType w:fmt="decimal"/>
          <w:cols w:space="720" w:num="1"/>
          <w:docGrid w:linePitch="312" w:charSpace="0"/>
        </w:sectPr>
      </w:pPr>
    </w:p>
    <w:p w14:paraId="44107960">
      <w:pPr>
        <w:pStyle w:val="140"/>
        <w:jc w:val="center"/>
        <w:rPr>
          <w:rFonts w:hint="eastAsia" w:ascii="仿宋" w:hAnsi="仿宋" w:eastAsia="仿宋" w:cs="仿宋"/>
          <w:i w:val="0"/>
          <w:iCs w:val="0"/>
          <w:color w:val="auto"/>
          <w:sz w:val="28"/>
          <w:szCs w:val="28"/>
        </w:rPr>
      </w:pPr>
      <w:bookmarkStart w:id="102" w:name="_Toc7599"/>
      <w:r>
        <w:rPr>
          <w:rFonts w:hint="eastAsia" w:ascii="仿宋" w:hAnsi="仿宋" w:eastAsia="仿宋" w:cs="仿宋"/>
          <w:i w:val="0"/>
          <w:iCs w:val="0"/>
          <w:color w:val="auto"/>
          <w:sz w:val="28"/>
          <w:szCs w:val="28"/>
        </w:rPr>
        <w:t>承诺书</w:t>
      </w:r>
      <w:bookmarkEnd w:id="102"/>
    </w:p>
    <w:p w14:paraId="0BDF9504">
      <w:pPr>
        <w:spacing w:line="360" w:lineRule="auto"/>
        <w:ind w:right="-153" w:rightChars="-73"/>
        <w:rPr>
          <w:rFonts w:hint="eastAsia" w:ascii="仿宋" w:hAnsi="仿宋" w:eastAsia="仿宋" w:cs="仿宋"/>
          <w:i w:val="0"/>
          <w:iCs w:val="0"/>
          <w:color w:val="auto"/>
          <w:sz w:val="28"/>
          <w:szCs w:val="28"/>
        </w:rPr>
      </w:pPr>
    </w:p>
    <w:p w14:paraId="7C4BC39F">
      <w:pPr>
        <w:spacing w:line="360" w:lineRule="auto"/>
        <w:ind w:right="-153" w:rightChars="-73"/>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 xml:space="preserve"> </w:t>
      </w:r>
      <w:r>
        <w:rPr>
          <w:rFonts w:hint="eastAsia" w:ascii="仿宋" w:hAnsi="仿宋" w:eastAsia="仿宋" w:cs="仿宋"/>
          <w:i w:val="0"/>
          <w:iCs w:val="0"/>
          <w:color w:val="auto"/>
          <w:sz w:val="28"/>
          <w:szCs w:val="28"/>
          <w:u w:val="single"/>
          <w:lang w:val="en-US" w:eastAsia="zh-CN"/>
        </w:rPr>
        <w:t xml:space="preserve">          </w:t>
      </w:r>
      <w:r>
        <w:rPr>
          <w:rFonts w:hint="eastAsia" w:ascii="仿宋" w:hAnsi="仿宋" w:eastAsia="仿宋" w:cs="仿宋"/>
          <w:i w:val="0"/>
          <w:iCs w:val="0"/>
          <w:color w:val="auto"/>
          <w:sz w:val="28"/>
          <w:szCs w:val="28"/>
          <w:lang w:val="en-US" w:eastAsia="zh-CN"/>
        </w:rPr>
        <w:t>（采购人）</w:t>
      </w:r>
      <w:r>
        <w:rPr>
          <w:rFonts w:hint="eastAsia" w:ascii="仿宋" w:hAnsi="仿宋" w:eastAsia="仿宋" w:cs="仿宋"/>
          <w:i w:val="0"/>
          <w:iCs w:val="0"/>
          <w:color w:val="auto"/>
          <w:sz w:val="28"/>
          <w:szCs w:val="28"/>
        </w:rPr>
        <w:t>：</w:t>
      </w:r>
    </w:p>
    <w:p w14:paraId="74E99DF8">
      <w:pPr>
        <w:spacing w:line="360" w:lineRule="auto"/>
        <w:ind w:right="-153" w:rightChars="-73" w:firstLine="56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我公司参与</w:t>
      </w:r>
      <w:r>
        <w:rPr>
          <w:rFonts w:hint="eastAsia" w:ascii="仿宋" w:hAnsi="仿宋" w:eastAsia="仿宋" w:cs="仿宋"/>
          <w:i w:val="0"/>
          <w:iCs w:val="0"/>
          <w:color w:val="auto"/>
          <w:sz w:val="28"/>
          <w:szCs w:val="28"/>
          <w:u w:val="single"/>
        </w:rPr>
        <w:t xml:space="preserve">                          </w:t>
      </w:r>
      <w:r>
        <w:rPr>
          <w:rFonts w:hint="eastAsia" w:ascii="仿宋" w:hAnsi="仿宋" w:eastAsia="仿宋" w:cs="仿宋"/>
          <w:i w:val="0"/>
          <w:iCs w:val="0"/>
          <w:color w:val="auto"/>
          <w:sz w:val="28"/>
          <w:szCs w:val="28"/>
        </w:rPr>
        <w:t>（项目名称、编号）投标，本公司郑重承诺：</w:t>
      </w:r>
    </w:p>
    <w:p w14:paraId="64D7B024">
      <w:pPr>
        <w:spacing w:line="360" w:lineRule="auto"/>
        <w:ind w:firstLine="56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1、</w:t>
      </w:r>
      <w:r>
        <w:rPr>
          <w:rFonts w:hint="eastAsia" w:ascii="仿宋" w:hAnsi="仿宋" w:eastAsia="仿宋" w:cs="仿宋"/>
          <w:i w:val="0"/>
          <w:iCs w:val="0"/>
          <w:color w:val="auto"/>
          <w:sz w:val="28"/>
          <w:szCs w:val="28"/>
          <w:lang w:val="en-US" w:eastAsia="zh-CN"/>
        </w:rPr>
        <w:t>我公司对竞争性磋商文件规定的采购内容全部作出实质性响应</w:t>
      </w:r>
      <w:r>
        <w:rPr>
          <w:rFonts w:hint="eastAsia" w:ascii="仿宋" w:hAnsi="仿宋" w:eastAsia="仿宋" w:cs="仿宋"/>
          <w:i w:val="0"/>
          <w:iCs w:val="0"/>
          <w:color w:val="auto"/>
          <w:sz w:val="28"/>
          <w:szCs w:val="28"/>
        </w:rPr>
        <w:t>；</w:t>
      </w:r>
    </w:p>
    <w:p w14:paraId="5DE631F7">
      <w:pPr>
        <w:snapToGrid w:val="0"/>
        <w:spacing w:line="360" w:lineRule="auto"/>
        <w:ind w:firstLine="56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2、</w:t>
      </w:r>
      <w:r>
        <w:rPr>
          <w:rFonts w:hint="eastAsia" w:ascii="仿宋" w:hAnsi="仿宋" w:eastAsia="仿宋" w:cs="仿宋"/>
          <w:i w:val="0"/>
          <w:iCs w:val="0"/>
          <w:color w:val="auto"/>
          <w:sz w:val="28"/>
          <w:szCs w:val="28"/>
          <w:lang w:val="en-US" w:eastAsia="zh-CN"/>
        </w:rPr>
        <w:t>响应文件未附有采购人不能接受的附加条件的</w:t>
      </w:r>
      <w:r>
        <w:rPr>
          <w:rFonts w:hint="eastAsia" w:ascii="仿宋" w:hAnsi="仿宋" w:eastAsia="仿宋" w:cs="仿宋"/>
          <w:i w:val="0"/>
          <w:iCs w:val="0"/>
          <w:color w:val="auto"/>
          <w:sz w:val="28"/>
          <w:szCs w:val="28"/>
        </w:rPr>
        <w:t>；</w:t>
      </w:r>
    </w:p>
    <w:p w14:paraId="06FF542B">
      <w:pPr>
        <w:snapToGrid w:val="0"/>
        <w:spacing w:line="360" w:lineRule="auto"/>
        <w:ind w:firstLine="56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3、</w:t>
      </w:r>
      <w:r>
        <w:rPr>
          <w:rFonts w:hint="eastAsia" w:ascii="仿宋" w:hAnsi="仿宋" w:eastAsia="仿宋" w:cs="仿宋"/>
          <w:i w:val="0"/>
          <w:iCs w:val="0"/>
          <w:color w:val="auto"/>
          <w:sz w:val="28"/>
          <w:szCs w:val="28"/>
          <w:lang w:val="en-US" w:eastAsia="zh-CN"/>
        </w:rPr>
        <w:t>满足竞争性磋商文件其他符合性要求</w:t>
      </w:r>
      <w:r>
        <w:rPr>
          <w:rFonts w:hint="eastAsia" w:ascii="仿宋" w:hAnsi="仿宋" w:eastAsia="仿宋" w:cs="仿宋"/>
          <w:i w:val="0"/>
          <w:iCs w:val="0"/>
          <w:color w:val="auto"/>
          <w:sz w:val="28"/>
          <w:szCs w:val="28"/>
        </w:rPr>
        <w:t>。</w:t>
      </w:r>
    </w:p>
    <w:p w14:paraId="2558FD1F">
      <w:pPr>
        <w:snapToGrid w:val="0"/>
        <w:spacing w:line="360" w:lineRule="auto"/>
        <w:ind w:firstLine="560" w:firstLineChars="200"/>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4、不存在竞争性磋商文件和法律法规规定的禁止投标的情形</w:t>
      </w:r>
    </w:p>
    <w:p w14:paraId="4D8F0C93">
      <w:pPr>
        <w:snapToGrid w:val="0"/>
        <w:spacing w:line="360" w:lineRule="auto"/>
        <w:rPr>
          <w:rFonts w:hint="eastAsia" w:ascii="仿宋" w:hAnsi="仿宋" w:eastAsia="仿宋" w:cs="仿宋"/>
          <w:i w:val="0"/>
          <w:iCs w:val="0"/>
          <w:color w:val="auto"/>
          <w:sz w:val="28"/>
          <w:szCs w:val="28"/>
        </w:rPr>
      </w:pPr>
    </w:p>
    <w:p w14:paraId="315BC076">
      <w:pPr>
        <w:spacing w:line="360" w:lineRule="auto"/>
        <w:jc w:val="left"/>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响应供应商</w:t>
      </w:r>
      <w:r>
        <w:rPr>
          <w:rFonts w:hint="eastAsia" w:ascii="仿宋" w:hAnsi="仿宋" w:eastAsia="仿宋" w:cs="仿宋"/>
          <w:i w:val="0"/>
          <w:iCs w:val="0"/>
          <w:color w:val="auto"/>
          <w:sz w:val="28"/>
          <w:szCs w:val="28"/>
        </w:rPr>
        <w:t>全称（公章）：</w:t>
      </w:r>
    </w:p>
    <w:p w14:paraId="03AE8183">
      <w:pPr>
        <w:spacing w:line="360" w:lineRule="auto"/>
        <w:jc w:val="left"/>
        <w:rPr>
          <w:rFonts w:hint="eastAsia" w:ascii="仿宋" w:hAnsi="仿宋" w:eastAsia="仿宋" w:cs="仿宋"/>
          <w:i w:val="0"/>
          <w:iCs w:val="0"/>
          <w:color w:val="auto"/>
          <w:sz w:val="28"/>
          <w:szCs w:val="28"/>
        </w:rPr>
      </w:pPr>
    </w:p>
    <w:p w14:paraId="28001537">
      <w:pPr>
        <w:spacing w:line="360" w:lineRule="auto"/>
        <w:jc w:val="left"/>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法定代表人或授权代表（签名</w:t>
      </w:r>
      <w:r>
        <w:rPr>
          <w:rFonts w:hint="eastAsia" w:ascii="仿宋" w:hAnsi="仿宋" w:eastAsia="仿宋" w:cs="仿宋"/>
          <w:i w:val="0"/>
          <w:iCs w:val="0"/>
          <w:color w:val="auto"/>
          <w:sz w:val="28"/>
          <w:szCs w:val="28"/>
          <w:lang w:val="en-US" w:eastAsia="zh-CN"/>
        </w:rPr>
        <w:t>或签章</w:t>
      </w:r>
      <w:r>
        <w:rPr>
          <w:rFonts w:hint="eastAsia" w:ascii="仿宋" w:hAnsi="仿宋" w:eastAsia="仿宋" w:cs="仿宋"/>
          <w:i w:val="0"/>
          <w:iCs w:val="0"/>
          <w:color w:val="auto"/>
          <w:sz w:val="28"/>
          <w:szCs w:val="28"/>
        </w:rPr>
        <w:t>）：</w:t>
      </w:r>
    </w:p>
    <w:p w14:paraId="6750118D">
      <w:pPr>
        <w:spacing w:line="360" w:lineRule="auto"/>
        <w:jc w:val="left"/>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日 期：  年  月  日</w:t>
      </w:r>
    </w:p>
    <w:p w14:paraId="5AA90E42">
      <w:pPr>
        <w:spacing w:line="360" w:lineRule="auto"/>
        <w:rPr>
          <w:rFonts w:ascii="楷体_GB2312" w:hAnsi="宋体" w:eastAsia="楷体_GB2312"/>
          <w:b/>
          <w:bCs/>
          <w:i w:val="0"/>
          <w:iCs w:val="0"/>
          <w:color w:val="auto"/>
          <w:sz w:val="28"/>
          <w:szCs w:val="28"/>
        </w:rPr>
      </w:pPr>
    </w:p>
    <w:p w14:paraId="638D5F87">
      <w:pPr>
        <w:spacing w:line="360" w:lineRule="auto"/>
        <w:outlineLvl w:val="9"/>
        <w:rPr>
          <w:rFonts w:hint="eastAsia" w:ascii="仿宋" w:hAnsi="仿宋" w:eastAsia="仿宋" w:cs="仿宋"/>
          <w:color w:val="auto"/>
          <w:sz w:val="24"/>
          <w:szCs w:val="24"/>
        </w:rPr>
        <w:sectPr>
          <w:pgSz w:w="11907" w:h="16840"/>
          <w:pgMar w:top="1440" w:right="1474" w:bottom="1440" w:left="1474" w:header="851" w:footer="992" w:gutter="0"/>
          <w:pgNumType w:fmt="decimal"/>
          <w:cols w:space="720" w:num="1"/>
          <w:docGrid w:linePitch="312" w:charSpace="0"/>
        </w:sectPr>
      </w:pPr>
    </w:p>
    <w:bookmarkEnd w:id="62"/>
    <w:bookmarkEnd w:id="63"/>
    <w:p w14:paraId="12BAA8D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color w:val="auto"/>
          <w:spacing w:val="0"/>
          <w:sz w:val="24"/>
          <w:szCs w:val="24"/>
          <w:lang w:val="en-US" w:eastAsia="zh-CN"/>
        </w:rPr>
      </w:pPr>
      <w:bookmarkStart w:id="103" w:name="_Toc18177"/>
      <w:bookmarkStart w:id="104" w:name="_Toc15770"/>
      <w:r>
        <w:rPr>
          <w:rFonts w:hint="eastAsia" w:ascii="仿宋" w:hAnsi="仿宋" w:eastAsia="仿宋" w:cs="仿宋"/>
          <w:b/>
          <w:bCs/>
          <w:color w:val="auto"/>
          <w:spacing w:val="0"/>
          <w:sz w:val="32"/>
          <w:szCs w:val="32"/>
          <w:lang w:val="en-US" w:eastAsia="zh-CN"/>
        </w:rPr>
        <w:t>六、商务和技术偏差表</w:t>
      </w:r>
      <w:bookmarkEnd w:id="103"/>
      <w:bookmarkEnd w:id="104"/>
    </w:p>
    <w:tbl>
      <w:tblPr>
        <w:tblStyle w:val="35"/>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938"/>
        <w:gridCol w:w="3120"/>
        <w:gridCol w:w="1591"/>
      </w:tblGrid>
      <w:tr w14:paraId="286A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14:paraId="4CC5989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序号</w:t>
            </w:r>
          </w:p>
        </w:tc>
        <w:tc>
          <w:tcPr>
            <w:tcW w:w="2938" w:type="dxa"/>
            <w:noWrap w:val="0"/>
            <w:vAlign w:val="center"/>
          </w:tcPr>
          <w:p w14:paraId="127ACF3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磋商文件章节及条款号</w:t>
            </w:r>
          </w:p>
        </w:tc>
        <w:tc>
          <w:tcPr>
            <w:tcW w:w="3120" w:type="dxa"/>
            <w:noWrap w:val="0"/>
            <w:vAlign w:val="center"/>
          </w:tcPr>
          <w:p w14:paraId="30DDD95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响应文件章节及条款号</w:t>
            </w:r>
          </w:p>
        </w:tc>
        <w:tc>
          <w:tcPr>
            <w:tcW w:w="1591" w:type="dxa"/>
            <w:noWrap w:val="0"/>
            <w:vAlign w:val="center"/>
          </w:tcPr>
          <w:p w14:paraId="35CFAC4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偏差说明</w:t>
            </w:r>
          </w:p>
        </w:tc>
      </w:tr>
      <w:tr w14:paraId="5AE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14:paraId="19A693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1</w:t>
            </w:r>
          </w:p>
        </w:tc>
        <w:tc>
          <w:tcPr>
            <w:tcW w:w="2938" w:type="dxa"/>
            <w:noWrap w:val="0"/>
            <w:vAlign w:val="center"/>
          </w:tcPr>
          <w:p w14:paraId="5816368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3120" w:type="dxa"/>
            <w:noWrap w:val="0"/>
            <w:vAlign w:val="center"/>
          </w:tcPr>
          <w:p w14:paraId="6F9809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1591" w:type="dxa"/>
            <w:noWrap w:val="0"/>
            <w:vAlign w:val="center"/>
          </w:tcPr>
          <w:p w14:paraId="3E0A9EE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r>
      <w:tr w14:paraId="77B6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14:paraId="2486849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2</w:t>
            </w:r>
          </w:p>
        </w:tc>
        <w:tc>
          <w:tcPr>
            <w:tcW w:w="2938" w:type="dxa"/>
            <w:noWrap w:val="0"/>
            <w:vAlign w:val="center"/>
          </w:tcPr>
          <w:p w14:paraId="2C9927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3120" w:type="dxa"/>
            <w:noWrap w:val="0"/>
            <w:vAlign w:val="center"/>
          </w:tcPr>
          <w:p w14:paraId="5FE189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1591" w:type="dxa"/>
            <w:noWrap w:val="0"/>
            <w:vAlign w:val="center"/>
          </w:tcPr>
          <w:p w14:paraId="7000013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r>
      <w:tr w14:paraId="15D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14:paraId="4A79EB6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3</w:t>
            </w:r>
          </w:p>
        </w:tc>
        <w:tc>
          <w:tcPr>
            <w:tcW w:w="2938" w:type="dxa"/>
            <w:noWrap w:val="0"/>
            <w:vAlign w:val="center"/>
          </w:tcPr>
          <w:p w14:paraId="566002F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3120" w:type="dxa"/>
            <w:noWrap w:val="0"/>
            <w:vAlign w:val="center"/>
          </w:tcPr>
          <w:p w14:paraId="4169178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1591" w:type="dxa"/>
            <w:noWrap w:val="0"/>
            <w:vAlign w:val="center"/>
          </w:tcPr>
          <w:p w14:paraId="225A94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r>
      <w:tr w14:paraId="276F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14:paraId="46A56A5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4</w:t>
            </w:r>
          </w:p>
        </w:tc>
        <w:tc>
          <w:tcPr>
            <w:tcW w:w="2938" w:type="dxa"/>
            <w:noWrap w:val="0"/>
            <w:vAlign w:val="center"/>
          </w:tcPr>
          <w:p w14:paraId="404D5E1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3120" w:type="dxa"/>
            <w:noWrap w:val="0"/>
            <w:vAlign w:val="center"/>
          </w:tcPr>
          <w:p w14:paraId="4506D4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1591" w:type="dxa"/>
            <w:noWrap w:val="0"/>
            <w:vAlign w:val="center"/>
          </w:tcPr>
          <w:p w14:paraId="3FBA2B2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r>
      <w:tr w14:paraId="1399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14:paraId="6DA014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5</w:t>
            </w:r>
          </w:p>
        </w:tc>
        <w:tc>
          <w:tcPr>
            <w:tcW w:w="2938" w:type="dxa"/>
            <w:noWrap w:val="0"/>
            <w:vAlign w:val="center"/>
          </w:tcPr>
          <w:p w14:paraId="4F86BE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3120" w:type="dxa"/>
            <w:noWrap w:val="0"/>
            <w:vAlign w:val="center"/>
          </w:tcPr>
          <w:p w14:paraId="68AC34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1591" w:type="dxa"/>
            <w:noWrap w:val="0"/>
            <w:vAlign w:val="center"/>
          </w:tcPr>
          <w:p w14:paraId="0453029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r>
      <w:tr w14:paraId="0580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1" w:type="dxa"/>
            <w:noWrap w:val="0"/>
            <w:vAlign w:val="center"/>
          </w:tcPr>
          <w:p w14:paraId="44CE65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w:t>
            </w:r>
          </w:p>
        </w:tc>
        <w:tc>
          <w:tcPr>
            <w:tcW w:w="2938" w:type="dxa"/>
            <w:noWrap w:val="0"/>
            <w:vAlign w:val="center"/>
          </w:tcPr>
          <w:p w14:paraId="782B267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3120" w:type="dxa"/>
            <w:noWrap w:val="0"/>
            <w:vAlign w:val="center"/>
          </w:tcPr>
          <w:p w14:paraId="1C4C8BD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c>
          <w:tcPr>
            <w:tcW w:w="1591" w:type="dxa"/>
            <w:noWrap w:val="0"/>
            <w:vAlign w:val="center"/>
          </w:tcPr>
          <w:p w14:paraId="4559AC3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4"/>
                <w:szCs w:val="24"/>
                <w:vertAlign w:val="baseline"/>
                <w:lang w:val="en-US" w:eastAsia="zh-CN"/>
              </w:rPr>
            </w:pPr>
          </w:p>
        </w:tc>
      </w:tr>
    </w:tbl>
    <w:p w14:paraId="17B2BA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default"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注：凡响应文件中所投货物数量、技术参数及服务（质量）标准必须在此表中列出，响应供应商应对照采购文件要求逐条列出并在偏差内容“偏离情况”栏注明“正偏离”、“负偏离”或“无偏离”。未填写本表视为无偏离。</w:t>
      </w:r>
    </w:p>
    <w:p w14:paraId="110D353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4"/>
          <w:szCs w:val="24"/>
          <w:vertAlign w:val="baseline"/>
          <w:lang w:val="en-US" w:eastAsia="zh-CN"/>
        </w:rPr>
      </w:pPr>
    </w:p>
    <w:p w14:paraId="5929108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响应供应商保证：除商务和技术偏差表列出的偏差外，响应供应商响应磋商文件的全部要求。</w:t>
      </w:r>
    </w:p>
    <w:p w14:paraId="21B09CFC">
      <w:pPr>
        <w:pStyle w:val="25"/>
        <w:bidi w:val="0"/>
        <w:outlineLvl w:val="9"/>
        <w:rPr>
          <w:rFonts w:hint="eastAsia" w:ascii="仿宋" w:hAnsi="仿宋" w:eastAsia="仿宋" w:cs="仿宋"/>
          <w:color w:val="auto"/>
          <w:sz w:val="24"/>
          <w:szCs w:val="24"/>
          <w:lang w:val="en-US" w:eastAsia="zh-CN"/>
        </w:rPr>
      </w:pPr>
    </w:p>
    <w:p w14:paraId="1734CB00">
      <w:pPr>
        <w:spacing w:line="450" w:lineRule="atLeast"/>
        <w:jc w:val="left"/>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lang w:eastAsia="zh-CN"/>
        </w:rPr>
        <w:t>响应供应商</w:t>
      </w:r>
      <w:r>
        <w:rPr>
          <w:rFonts w:hint="eastAsia" w:ascii="仿宋" w:hAnsi="仿宋" w:eastAsia="仿宋" w:cs="仿宋"/>
          <w:color w:val="auto"/>
          <w:spacing w:val="20"/>
          <w:sz w:val="24"/>
          <w:szCs w:val="24"/>
        </w:rPr>
        <w:t xml:space="preserve">（公章）： </w:t>
      </w:r>
    </w:p>
    <w:p w14:paraId="6AD187A7">
      <w:pPr>
        <w:spacing w:line="450" w:lineRule="atLeast"/>
        <w:jc w:val="left"/>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lang w:eastAsia="zh-CN"/>
        </w:rPr>
        <w:t>响应供应商</w:t>
      </w:r>
      <w:r>
        <w:rPr>
          <w:rFonts w:hint="eastAsia" w:ascii="仿宋" w:hAnsi="仿宋" w:eastAsia="仿宋" w:cs="仿宋"/>
          <w:color w:val="auto"/>
          <w:spacing w:val="20"/>
          <w:sz w:val="24"/>
          <w:szCs w:val="24"/>
        </w:rPr>
        <w:t>代表(盖章)：</w:t>
      </w:r>
    </w:p>
    <w:p w14:paraId="215ABD19">
      <w:pPr>
        <w:spacing w:line="450" w:lineRule="atLeast"/>
        <w:jc w:val="left"/>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t>填写日期：     年   月   日</w:t>
      </w:r>
    </w:p>
    <w:p w14:paraId="7E213D5F">
      <w:pPr>
        <w:spacing w:line="450" w:lineRule="atLeast"/>
        <w:jc w:val="center"/>
        <w:outlineLvl w:val="9"/>
        <w:rPr>
          <w:rFonts w:hint="eastAsia" w:ascii="仿宋" w:hAnsi="仿宋" w:eastAsia="仿宋" w:cs="仿宋"/>
          <w:b/>
          <w:color w:val="auto"/>
          <w:spacing w:val="20"/>
          <w:sz w:val="24"/>
          <w:szCs w:val="24"/>
        </w:rPr>
      </w:pPr>
    </w:p>
    <w:p w14:paraId="491586C8">
      <w:pPr>
        <w:spacing w:line="450" w:lineRule="atLeast"/>
        <w:outlineLvl w:val="9"/>
        <w:rPr>
          <w:rFonts w:hint="eastAsia" w:ascii="仿宋" w:hAnsi="仿宋" w:eastAsia="仿宋" w:cs="仿宋"/>
          <w:b/>
          <w:color w:val="auto"/>
          <w:sz w:val="24"/>
          <w:szCs w:val="24"/>
        </w:rPr>
        <w:sectPr>
          <w:headerReference r:id="rId6" w:type="default"/>
          <w:footerReference r:id="rId7" w:type="default"/>
          <w:type w:val="continuous"/>
          <w:pgSz w:w="11906" w:h="16838"/>
          <w:pgMar w:top="1440" w:right="1800" w:bottom="1440" w:left="1800" w:header="851" w:footer="992" w:gutter="0"/>
          <w:pgNumType w:fmt="decimal"/>
          <w:cols w:space="720" w:num="1"/>
          <w:docGrid w:linePitch="315" w:charSpace="0"/>
        </w:sectPr>
      </w:pPr>
    </w:p>
    <w:p w14:paraId="3EE826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color w:val="auto"/>
          <w:spacing w:val="0"/>
          <w:sz w:val="32"/>
          <w:szCs w:val="32"/>
          <w:lang w:val="en-US" w:eastAsia="zh-CN"/>
        </w:rPr>
      </w:pPr>
      <w:bookmarkStart w:id="105" w:name="_Toc3812_WPSOffice_Level1"/>
      <w:bookmarkStart w:id="106" w:name="_Toc7948_WPSOffice_Level1"/>
      <w:bookmarkStart w:id="107" w:name="_Toc32531_WPSOffice_Level1"/>
      <w:bookmarkStart w:id="108" w:name="_Toc763_WPSOffice_Level1"/>
      <w:bookmarkStart w:id="109" w:name="_Toc21836_WPSOffice_Level1"/>
      <w:bookmarkStart w:id="110" w:name="_Toc10416_WPSOffice_Level1"/>
      <w:bookmarkStart w:id="111" w:name="_Toc32501"/>
      <w:bookmarkStart w:id="112" w:name="_Toc5095_WPSOffice_Level1"/>
      <w:bookmarkStart w:id="113" w:name="_Toc13993_WPSOffice_Level1"/>
      <w:r>
        <w:rPr>
          <w:rFonts w:hint="eastAsia" w:ascii="仿宋" w:hAnsi="仿宋" w:eastAsia="仿宋" w:cs="仿宋"/>
          <w:b/>
          <w:bCs/>
          <w:color w:val="auto"/>
          <w:spacing w:val="0"/>
          <w:sz w:val="32"/>
          <w:szCs w:val="32"/>
          <w:lang w:val="en-US" w:eastAsia="zh-CN"/>
        </w:rPr>
        <w:t>七、响应供应商概况</w:t>
      </w:r>
      <w:bookmarkEnd w:id="105"/>
      <w:bookmarkEnd w:id="106"/>
      <w:bookmarkEnd w:id="107"/>
      <w:bookmarkEnd w:id="108"/>
      <w:bookmarkEnd w:id="109"/>
      <w:bookmarkEnd w:id="110"/>
      <w:bookmarkEnd w:id="111"/>
      <w:bookmarkEnd w:id="112"/>
      <w:bookmarkEnd w:id="113"/>
    </w:p>
    <w:p w14:paraId="0D827A0A">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2"/>
        <w:rPr>
          <w:rFonts w:hint="eastAsia" w:ascii="仿宋" w:hAnsi="仿宋" w:eastAsia="仿宋" w:cs="仿宋"/>
          <w:b/>
          <w:color w:val="auto"/>
          <w:spacing w:val="20"/>
          <w:sz w:val="24"/>
          <w:szCs w:val="24"/>
          <w:lang w:eastAsia="zh-CN"/>
        </w:rPr>
      </w:pPr>
      <w:bookmarkStart w:id="114" w:name="_Toc11095"/>
      <w:r>
        <w:rPr>
          <w:rFonts w:hint="eastAsia" w:ascii="仿宋" w:hAnsi="仿宋" w:eastAsia="仿宋" w:cs="仿宋"/>
          <w:b/>
          <w:bCs/>
          <w:color w:val="auto"/>
          <w:spacing w:val="0"/>
          <w:sz w:val="24"/>
          <w:szCs w:val="24"/>
          <w:lang w:val="en-US" w:eastAsia="zh-CN"/>
        </w:rPr>
        <w:t>基本情况表</w:t>
      </w:r>
      <w:bookmarkEnd w:id="114"/>
    </w:p>
    <w:tbl>
      <w:tblPr>
        <w:tblStyle w:val="35"/>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893"/>
        <w:gridCol w:w="2128"/>
        <w:gridCol w:w="1156"/>
        <w:gridCol w:w="2046"/>
      </w:tblGrid>
      <w:tr w14:paraId="250C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14:paraId="422E430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供应商名称</w:t>
            </w:r>
          </w:p>
        </w:tc>
        <w:tc>
          <w:tcPr>
            <w:tcW w:w="6223" w:type="dxa"/>
            <w:gridSpan w:val="4"/>
            <w:noWrap w:val="0"/>
            <w:vAlign w:val="center"/>
          </w:tcPr>
          <w:p w14:paraId="3DA7251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2E0A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14:paraId="5F78A3E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注册资金</w:t>
            </w:r>
          </w:p>
        </w:tc>
        <w:tc>
          <w:tcPr>
            <w:tcW w:w="3021" w:type="dxa"/>
            <w:gridSpan w:val="2"/>
            <w:noWrap w:val="0"/>
            <w:vAlign w:val="center"/>
          </w:tcPr>
          <w:p w14:paraId="02F9CE2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1156" w:type="dxa"/>
            <w:noWrap w:val="0"/>
            <w:vAlign w:val="center"/>
          </w:tcPr>
          <w:p w14:paraId="41BA7EB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成立时间</w:t>
            </w:r>
          </w:p>
        </w:tc>
        <w:tc>
          <w:tcPr>
            <w:tcW w:w="2046" w:type="dxa"/>
            <w:noWrap w:val="0"/>
            <w:vAlign w:val="center"/>
          </w:tcPr>
          <w:p w14:paraId="41931068">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6B67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14:paraId="67BAF985">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注册地址</w:t>
            </w:r>
          </w:p>
        </w:tc>
        <w:tc>
          <w:tcPr>
            <w:tcW w:w="6223" w:type="dxa"/>
            <w:gridSpan w:val="4"/>
            <w:noWrap w:val="0"/>
            <w:vAlign w:val="center"/>
          </w:tcPr>
          <w:p w14:paraId="1819B6A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4A5D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97" w:type="dxa"/>
            <w:noWrap w:val="0"/>
            <w:vAlign w:val="center"/>
          </w:tcPr>
          <w:p w14:paraId="21C13AB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邮政编码</w:t>
            </w:r>
          </w:p>
        </w:tc>
        <w:tc>
          <w:tcPr>
            <w:tcW w:w="3021" w:type="dxa"/>
            <w:gridSpan w:val="2"/>
            <w:noWrap w:val="0"/>
            <w:vAlign w:val="center"/>
          </w:tcPr>
          <w:p w14:paraId="4C7EC48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1156" w:type="dxa"/>
            <w:noWrap w:val="0"/>
            <w:vAlign w:val="center"/>
          </w:tcPr>
          <w:p w14:paraId="2ABA530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员工总数</w:t>
            </w:r>
          </w:p>
        </w:tc>
        <w:tc>
          <w:tcPr>
            <w:tcW w:w="2046" w:type="dxa"/>
            <w:noWrap w:val="0"/>
            <w:vAlign w:val="center"/>
          </w:tcPr>
          <w:p w14:paraId="05D38B5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2196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Merge w:val="restart"/>
            <w:noWrap w:val="0"/>
            <w:vAlign w:val="center"/>
          </w:tcPr>
          <w:p w14:paraId="4FAF2898">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联系方式</w:t>
            </w:r>
          </w:p>
        </w:tc>
        <w:tc>
          <w:tcPr>
            <w:tcW w:w="893" w:type="dxa"/>
            <w:vMerge w:val="restart"/>
            <w:noWrap w:val="0"/>
            <w:vAlign w:val="center"/>
          </w:tcPr>
          <w:p w14:paraId="1749ADF2">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联系人</w:t>
            </w:r>
          </w:p>
        </w:tc>
        <w:tc>
          <w:tcPr>
            <w:tcW w:w="2128" w:type="dxa"/>
            <w:vMerge w:val="restart"/>
            <w:noWrap w:val="0"/>
            <w:vAlign w:val="center"/>
          </w:tcPr>
          <w:p w14:paraId="55775792">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1156" w:type="dxa"/>
            <w:noWrap w:val="0"/>
            <w:vAlign w:val="center"/>
          </w:tcPr>
          <w:p w14:paraId="2194C698">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电话</w:t>
            </w:r>
          </w:p>
        </w:tc>
        <w:tc>
          <w:tcPr>
            <w:tcW w:w="2046" w:type="dxa"/>
            <w:noWrap w:val="0"/>
            <w:vAlign w:val="center"/>
          </w:tcPr>
          <w:p w14:paraId="4BEB8169">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0DA1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7" w:type="dxa"/>
            <w:vMerge w:val="continue"/>
            <w:noWrap w:val="0"/>
            <w:vAlign w:val="center"/>
          </w:tcPr>
          <w:p w14:paraId="60C99F8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893" w:type="dxa"/>
            <w:vMerge w:val="continue"/>
            <w:noWrap w:val="0"/>
            <w:vAlign w:val="center"/>
          </w:tcPr>
          <w:p w14:paraId="0CB3F50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2128" w:type="dxa"/>
            <w:vMerge w:val="continue"/>
            <w:noWrap w:val="0"/>
            <w:vAlign w:val="center"/>
          </w:tcPr>
          <w:p w14:paraId="49674EF0">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1156" w:type="dxa"/>
            <w:noWrap w:val="0"/>
            <w:vAlign w:val="center"/>
          </w:tcPr>
          <w:p w14:paraId="03DF3F5E">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传真</w:t>
            </w:r>
          </w:p>
        </w:tc>
        <w:tc>
          <w:tcPr>
            <w:tcW w:w="2046" w:type="dxa"/>
            <w:noWrap w:val="0"/>
            <w:vAlign w:val="center"/>
          </w:tcPr>
          <w:p w14:paraId="69BC471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1FAA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197" w:type="dxa"/>
            <w:noWrap w:val="0"/>
            <w:vAlign w:val="center"/>
          </w:tcPr>
          <w:p w14:paraId="122F3B76">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法定代表人</w:t>
            </w:r>
          </w:p>
          <w:p w14:paraId="277D1E5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（单位负责人）</w:t>
            </w:r>
          </w:p>
        </w:tc>
        <w:tc>
          <w:tcPr>
            <w:tcW w:w="893" w:type="dxa"/>
            <w:noWrap w:val="0"/>
            <w:vAlign w:val="center"/>
          </w:tcPr>
          <w:p w14:paraId="72CE134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姓名</w:t>
            </w:r>
          </w:p>
        </w:tc>
        <w:tc>
          <w:tcPr>
            <w:tcW w:w="2128" w:type="dxa"/>
            <w:noWrap w:val="0"/>
            <w:vAlign w:val="center"/>
          </w:tcPr>
          <w:p w14:paraId="7F8E8C02">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c>
          <w:tcPr>
            <w:tcW w:w="1156" w:type="dxa"/>
            <w:noWrap w:val="0"/>
            <w:vAlign w:val="center"/>
          </w:tcPr>
          <w:p w14:paraId="38A7017E">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电话</w:t>
            </w:r>
          </w:p>
        </w:tc>
        <w:tc>
          <w:tcPr>
            <w:tcW w:w="2046" w:type="dxa"/>
            <w:noWrap w:val="0"/>
            <w:vAlign w:val="center"/>
          </w:tcPr>
          <w:p w14:paraId="7C45B766">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78DD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14:paraId="2A46942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基本账户开户银行</w:t>
            </w:r>
          </w:p>
        </w:tc>
        <w:tc>
          <w:tcPr>
            <w:tcW w:w="6223" w:type="dxa"/>
            <w:gridSpan w:val="4"/>
            <w:noWrap w:val="0"/>
            <w:vAlign w:val="center"/>
          </w:tcPr>
          <w:p w14:paraId="5064942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5C49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14:paraId="7FFA118E">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基本账户银行帐号</w:t>
            </w:r>
          </w:p>
        </w:tc>
        <w:tc>
          <w:tcPr>
            <w:tcW w:w="6223" w:type="dxa"/>
            <w:gridSpan w:val="4"/>
            <w:noWrap w:val="0"/>
            <w:vAlign w:val="center"/>
          </w:tcPr>
          <w:p w14:paraId="675F555E">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22D3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197" w:type="dxa"/>
            <w:noWrap w:val="0"/>
            <w:vAlign w:val="center"/>
          </w:tcPr>
          <w:p w14:paraId="46FEEDB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响应供应商关联企业情况（包括但不限于与响应供应商法定代表人（单位负责人）为同一人或者存在控股、管理关系的不同单位）</w:t>
            </w:r>
          </w:p>
        </w:tc>
        <w:tc>
          <w:tcPr>
            <w:tcW w:w="6223" w:type="dxa"/>
            <w:gridSpan w:val="4"/>
            <w:noWrap w:val="0"/>
            <w:vAlign w:val="center"/>
          </w:tcPr>
          <w:p w14:paraId="342908BA">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r w14:paraId="4409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97" w:type="dxa"/>
            <w:noWrap w:val="0"/>
            <w:vAlign w:val="center"/>
          </w:tcPr>
          <w:p w14:paraId="44F517FD">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r>
              <w:rPr>
                <w:rFonts w:hint="eastAsia" w:ascii="仿宋" w:hAnsi="仿宋" w:eastAsia="仿宋" w:cs="仿宋"/>
                <w:b w:val="0"/>
                <w:bCs w:val="0"/>
                <w:color w:val="auto"/>
                <w:spacing w:val="0"/>
                <w:sz w:val="24"/>
                <w:szCs w:val="24"/>
                <w:vertAlign w:val="baseline"/>
                <w:lang w:val="en-US" w:eastAsia="zh-CN"/>
              </w:rPr>
              <w:t>备注</w:t>
            </w:r>
          </w:p>
        </w:tc>
        <w:tc>
          <w:tcPr>
            <w:tcW w:w="6223" w:type="dxa"/>
            <w:gridSpan w:val="4"/>
            <w:noWrap w:val="0"/>
            <w:vAlign w:val="center"/>
          </w:tcPr>
          <w:p w14:paraId="00D8A31B">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4"/>
                <w:szCs w:val="24"/>
                <w:vertAlign w:val="baseline"/>
                <w:lang w:val="en-US" w:eastAsia="zh-CN"/>
              </w:rPr>
            </w:pPr>
          </w:p>
        </w:tc>
      </w:tr>
    </w:tbl>
    <w:p w14:paraId="28D77C6D">
      <w:pPr>
        <w:spacing w:line="450" w:lineRule="atLeast"/>
        <w:jc w:val="left"/>
        <w:outlineLvl w:val="9"/>
        <w:rPr>
          <w:rFonts w:hint="eastAsia" w:ascii="仿宋" w:hAnsi="仿宋" w:eastAsia="仿宋" w:cs="仿宋"/>
          <w:b w:val="0"/>
          <w:bCs/>
          <w:color w:val="auto"/>
          <w:spacing w:val="20"/>
          <w:sz w:val="24"/>
          <w:szCs w:val="24"/>
          <w:lang w:val="en-US" w:eastAsia="zh-CN"/>
        </w:rPr>
      </w:pPr>
      <w:r>
        <w:rPr>
          <w:rFonts w:hint="eastAsia" w:ascii="仿宋" w:hAnsi="仿宋" w:eastAsia="仿宋" w:cs="仿宋"/>
          <w:b w:val="0"/>
          <w:bCs/>
          <w:color w:val="auto"/>
          <w:spacing w:val="20"/>
          <w:sz w:val="24"/>
          <w:szCs w:val="24"/>
          <w:lang w:val="en-US" w:eastAsia="zh-CN"/>
        </w:rPr>
        <w:t>注：1、响应供应商应根据第二章供应商须知11项要求在本表后附相关证明材料。</w:t>
      </w:r>
    </w:p>
    <w:p w14:paraId="385528BE">
      <w:pPr>
        <w:spacing w:line="450" w:lineRule="atLeast"/>
        <w:jc w:val="left"/>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lang w:eastAsia="zh-CN"/>
        </w:rPr>
        <w:t>响应供应商</w:t>
      </w:r>
      <w:r>
        <w:rPr>
          <w:rFonts w:hint="eastAsia" w:ascii="仿宋" w:hAnsi="仿宋" w:eastAsia="仿宋" w:cs="仿宋"/>
          <w:color w:val="auto"/>
          <w:spacing w:val="20"/>
          <w:sz w:val="24"/>
          <w:szCs w:val="24"/>
        </w:rPr>
        <w:t xml:space="preserve">（公章）： </w:t>
      </w:r>
    </w:p>
    <w:p w14:paraId="094FC22C">
      <w:pPr>
        <w:spacing w:line="450" w:lineRule="atLeast"/>
        <w:jc w:val="left"/>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lang w:eastAsia="zh-CN"/>
        </w:rPr>
        <w:t>响应供应商</w:t>
      </w:r>
      <w:r>
        <w:rPr>
          <w:rFonts w:hint="eastAsia" w:ascii="仿宋" w:hAnsi="仿宋" w:eastAsia="仿宋" w:cs="仿宋"/>
          <w:color w:val="auto"/>
          <w:spacing w:val="20"/>
          <w:sz w:val="24"/>
          <w:szCs w:val="24"/>
        </w:rPr>
        <w:t>代表(盖章)：</w:t>
      </w:r>
    </w:p>
    <w:p w14:paraId="1CF5F0B5">
      <w:pPr>
        <w:spacing w:line="450" w:lineRule="atLeast"/>
        <w:jc w:val="left"/>
        <w:outlineLvl w:val="9"/>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t>填写日期：     年   月   日</w:t>
      </w:r>
    </w:p>
    <w:p w14:paraId="03714CAA">
      <w:pPr>
        <w:spacing w:line="450" w:lineRule="atLeast"/>
        <w:jc w:val="center"/>
        <w:outlineLvl w:val="9"/>
        <w:rPr>
          <w:rFonts w:hint="eastAsia" w:ascii="仿宋" w:hAnsi="仿宋" w:eastAsia="仿宋" w:cs="仿宋"/>
          <w:b/>
          <w:color w:val="auto"/>
          <w:spacing w:val="20"/>
          <w:sz w:val="24"/>
          <w:szCs w:val="24"/>
        </w:rPr>
      </w:pPr>
    </w:p>
    <w:p w14:paraId="25C13B37">
      <w:pPr>
        <w:spacing w:line="450" w:lineRule="atLeast"/>
        <w:outlineLvl w:val="9"/>
        <w:rPr>
          <w:rFonts w:hint="eastAsia" w:ascii="仿宋" w:hAnsi="仿宋" w:eastAsia="仿宋" w:cs="仿宋"/>
          <w:b/>
          <w:color w:val="auto"/>
          <w:sz w:val="24"/>
          <w:szCs w:val="24"/>
          <w:lang w:val="en-US" w:eastAsia="zh-CN"/>
        </w:rPr>
      </w:pPr>
    </w:p>
    <w:p w14:paraId="74B05E8F">
      <w:pPr>
        <w:pStyle w:val="26"/>
        <w:bidi w:val="0"/>
        <w:outlineLvl w:val="9"/>
        <w:rPr>
          <w:rFonts w:hint="eastAsia" w:ascii="仿宋" w:hAnsi="仿宋" w:eastAsia="仿宋" w:cs="仿宋"/>
          <w:color w:val="auto"/>
          <w:sz w:val="24"/>
          <w:szCs w:val="24"/>
          <w:lang w:val="en-US" w:eastAsia="zh-CN"/>
        </w:rPr>
        <w:sectPr>
          <w:pgSz w:w="11906" w:h="16838"/>
          <w:pgMar w:top="1440" w:right="1800" w:bottom="1440" w:left="1800" w:header="851" w:footer="992" w:gutter="0"/>
          <w:pgNumType w:fmt="decimal"/>
          <w:cols w:space="720" w:num="1"/>
          <w:docGrid w:linePitch="315" w:charSpace="0"/>
        </w:sectPr>
      </w:pPr>
    </w:p>
    <w:p w14:paraId="718E6B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10"/>
        </w:rPr>
      </w:pPr>
      <w:r>
        <w:rPr>
          <w:rFonts w:hint="eastAsia" w:ascii="仿宋" w:hAnsi="仿宋" w:eastAsia="仿宋" w:cs="仿宋"/>
          <w:color w:val="auto"/>
          <w:kern w:val="10"/>
          <w:sz w:val="44"/>
          <w:szCs w:val="44"/>
          <w:lang w:eastAsia="zh-CN"/>
        </w:rPr>
        <w:t>（</w:t>
      </w:r>
      <w:r>
        <w:rPr>
          <w:rFonts w:hint="eastAsia" w:ascii="仿宋" w:hAnsi="仿宋" w:eastAsia="仿宋" w:cs="仿宋"/>
          <w:color w:val="auto"/>
          <w:kern w:val="10"/>
          <w:sz w:val="44"/>
          <w:szCs w:val="44"/>
          <w:lang w:val="en-US" w:eastAsia="zh-CN"/>
        </w:rPr>
        <w:t>一</w:t>
      </w:r>
      <w:r>
        <w:rPr>
          <w:rFonts w:hint="eastAsia" w:ascii="仿宋" w:hAnsi="仿宋" w:eastAsia="仿宋" w:cs="仿宋"/>
          <w:color w:val="auto"/>
          <w:kern w:val="10"/>
          <w:sz w:val="44"/>
          <w:szCs w:val="44"/>
          <w:lang w:eastAsia="zh-CN"/>
        </w:rPr>
        <w:t>）响应供应商</w:t>
      </w:r>
      <w:r>
        <w:rPr>
          <w:rFonts w:hint="eastAsia" w:ascii="仿宋" w:hAnsi="仿宋" w:eastAsia="仿宋" w:cs="仿宋"/>
          <w:color w:val="auto"/>
          <w:kern w:val="10"/>
          <w:sz w:val="44"/>
          <w:szCs w:val="44"/>
        </w:rPr>
        <w:t>资格声明书</w:t>
      </w:r>
    </w:p>
    <w:p w14:paraId="7EAEBD7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val="en-US" w:eastAsia="zh-CN"/>
        </w:rPr>
      </w:pPr>
      <w:r>
        <w:rPr>
          <w:rFonts w:hint="eastAsia" w:ascii="仿宋" w:hAnsi="仿宋" w:eastAsia="仿宋" w:cs="仿宋"/>
          <w:color w:val="auto"/>
          <w:kern w:val="10"/>
          <w:sz w:val="24"/>
          <w:szCs w:val="24"/>
        </w:rPr>
        <w:t>致:</w:t>
      </w:r>
      <w:r>
        <w:rPr>
          <w:rFonts w:hint="eastAsia" w:ascii="仿宋" w:hAnsi="仿宋" w:eastAsia="仿宋" w:cs="仿宋"/>
          <w:color w:val="auto"/>
          <w:kern w:val="10"/>
          <w:sz w:val="24"/>
          <w:szCs w:val="24"/>
          <w:u w:val="single"/>
        </w:rPr>
        <w:t>采购人</w:t>
      </w:r>
      <w:r>
        <w:rPr>
          <w:rFonts w:hint="eastAsia" w:ascii="仿宋" w:hAnsi="仿宋" w:eastAsia="仿宋" w:cs="仿宋"/>
          <w:color w:val="auto"/>
          <w:kern w:val="10"/>
          <w:sz w:val="24"/>
          <w:szCs w:val="24"/>
          <w:u w:val="single"/>
          <w:lang w:val="en-US" w:eastAsia="zh-CN"/>
        </w:rPr>
        <w:t xml:space="preserve"> </w:t>
      </w:r>
    </w:p>
    <w:p w14:paraId="26E7467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在参与本次项目投标中，我单位承诺:</w:t>
      </w:r>
    </w:p>
    <w:p w14:paraId="3E2A3D8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val="en-US" w:eastAsia="zh-CN"/>
        </w:rPr>
      </w:pPr>
      <w:r>
        <w:rPr>
          <w:rFonts w:hint="eastAsia" w:ascii="仿宋" w:hAnsi="仿宋" w:eastAsia="仿宋" w:cs="仿宋"/>
          <w:color w:val="auto"/>
          <w:kern w:val="10"/>
          <w:sz w:val="24"/>
          <w:szCs w:val="24"/>
        </w:rPr>
        <w:t>(一)具有良好的商业信誉和健全的财务会计制度</w:t>
      </w:r>
      <w:r>
        <w:rPr>
          <w:rFonts w:hint="eastAsia" w:ascii="仿宋" w:hAnsi="仿宋" w:eastAsia="仿宋" w:cs="仿宋"/>
          <w:color w:val="auto"/>
          <w:kern w:val="10"/>
          <w:sz w:val="24"/>
          <w:szCs w:val="24"/>
          <w:lang w:eastAsia="zh-CN"/>
        </w:rPr>
        <w:t>；</w:t>
      </w:r>
    </w:p>
    <w:p w14:paraId="2CEA260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eastAsia="zh-CN"/>
        </w:rPr>
      </w:pPr>
      <w:r>
        <w:rPr>
          <w:rFonts w:hint="eastAsia" w:ascii="仿宋" w:hAnsi="仿宋" w:eastAsia="仿宋" w:cs="仿宋"/>
          <w:color w:val="auto"/>
          <w:kern w:val="10"/>
          <w:sz w:val="24"/>
          <w:szCs w:val="24"/>
        </w:rPr>
        <w:t>(二)具有履行合同所必需的设备和专业技术能力</w:t>
      </w:r>
      <w:r>
        <w:rPr>
          <w:rFonts w:hint="eastAsia" w:ascii="仿宋" w:hAnsi="仿宋" w:eastAsia="仿宋" w:cs="仿宋"/>
          <w:color w:val="auto"/>
          <w:kern w:val="10"/>
          <w:sz w:val="24"/>
          <w:szCs w:val="24"/>
          <w:lang w:eastAsia="zh-CN"/>
        </w:rPr>
        <w:t>；</w:t>
      </w:r>
    </w:p>
    <w:p w14:paraId="5E4D4B5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eastAsia="zh-CN"/>
        </w:rPr>
      </w:pPr>
      <w:r>
        <w:rPr>
          <w:rFonts w:hint="eastAsia" w:ascii="仿宋" w:hAnsi="仿宋" w:eastAsia="仿宋" w:cs="仿宋"/>
          <w:color w:val="auto"/>
          <w:kern w:val="10"/>
          <w:sz w:val="24"/>
          <w:szCs w:val="24"/>
        </w:rPr>
        <w:t>(三)有依法缴纳税收和社会保障资金的良好记录</w:t>
      </w:r>
      <w:r>
        <w:rPr>
          <w:rFonts w:hint="eastAsia" w:ascii="仿宋" w:hAnsi="仿宋" w:eastAsia="仿宋" w:cs="仿宋"/>
          <w:color w:val="auto"/>
          <w:kern w:val="10"/>
          <w:sz w:val="24"/>
          <w:szCs w:val="24"/>
          <w:lang w:eastAsia="zh-CN"/>
        </w:rPr>
        <w:t>；</w:t>
      </w:r>
    </w:p>
    <w:p w14:paraId="5C1F5A1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eastAsia="zh-CN"/>
        </w:rPr>
      </w:pPr>
      <w:r>
        <w:rPr>
          <w:rFonts w:hint="eastAsia" w:ascii="仿宋" w:hAnsi="仿宋" w:eastAsia="仿宋" w:cs="仿宋"/>
          <w:color w:val="auto"/>
          <w:kern w:val="10"/>
          <w:sz w:val="24"/>
          <w:szCs w:val="24"/>
        </w:rPr>
        <w:t>(四)参加政府采购活动前三年内</w:t>
      </w:r>
      <w:r>
        <w:rPr>
          <w:rFonts w:hint="eastAsia" w:ascii="仿宋" w:hAnsi="仿宋" w:eastAsia="仿宋" w:cs="仿宋"/>
          <w:color w:val="auto"/>
          <w:kern w:val="10"/>
          <w:sz w:val="24"/>
          <w:szCs w:val="24"/>
          <w:lang w:eastAsia="zh-CN"/>
        </w:rPr>
        <w:t>，</w:t>
      </w:r>
      <w:r>
        <w:rPr>
          <w:rFonts w:hint="eastAsia" w:ascii="仿宋" w:hAnsi="仿宋" w:eastAsia="仿宋" w:cs="仿宋"/>
          <w:color w:val="auto"/>
          <w:kern w:val="10"/>
          <w:sz w:val="24"/>
          <w:szCs w:val="24"/>
        </w:rPr>
        <w:t>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ascii="仿宋" w:hAnsi="仿宋" w:eastAsia="仿宋" w:cs="仿宋"/>
          <w:color w:val="auto"/>
          <w:kern w:val="10"/>
          <w:sz w:val="24"/>
          <w:szCs w:val="24"/>
          <w:lang w:eastAsia="zh-CN"/>
        </w:rPr>
        <w:t>；</w:t>
      </w:r>
    </w:p>
    <w:p w14:paraId="5401614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eastAsia="zh-CN"/>
        </w:rPr>
      </w:pPr>
      <w:r>
        <w:rPr>
          <w:rFonts w:hint="eastAsia" w:ascii="仿宋" w:hAnsi="仿宋" w:eastAsia="仿宋" w:cs="仿宋"/>
          <w:color w:val="auto"/>
          <w:kern w:val="10"/>
          <w:sz w:val="24"/>
          <w:szCs w:val="24"/>
        </w:rPr>
        <w:t>(五)我单位不属于政府采购法律、行政法规规定的公益一类事业单位、或使用事业编制且由财政拨款保障的群团组织(仅适用于政府购买服务项目)</w:t>
      </w:r>
      <w:r>
        <w:rPr>
          <w:rFonts w:hint="eastAsia" w:ascii="仿宋" w:hAnsi="仿宋" w:eastAsia="仿宋" w:cs="仿宋"/>
          <w:color w:val="auto"/>
          <w:kern w:val="10"/>
          <w:sz w:val="24"/>
          <w:szCs w:val="24"/>
          <w:lang w:eastAsia="zh-CN"/>
        </w:rPr>
        <w:t>；</w:t>
      </w:r>
    </w:p>
    <w:p w14:paraId="7AC10A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eastAsia="zh-CN"/>
        </w:rPr>
      </w:pPr>
      <w:r>
        <w:rPr>
          <w:rFonts w:hint="eastAsia" w:ascii="仿宋" w:hAnsi="仿宋" w:eastAsia="仿宋" w:cs="仿宋"/>
          <w:color w:val="auto"/>
          <w:kern w:val="10"/>
          <w:sz w:val="24"/>
          <w:szCs w:val="24"/>
        </w:rPr>
        <w:t>(六)我单位不存在为采购项目提供整体设计、规范编制或者项目管理、监理检测等服务后，再参加该采购项目的其他采购活动的情形(单一来源采购项目除外)</w:t>
      </w:r>
      <w:r>
        <w:rPr>
          <w:rFonts w:hint="eastAsia" w:ascii="仿宋" w:hAnsi="仿宋" w:eastAsia="仿宋" w:cs="仿宋"/>
          <w:color w:val="auto"/>
          <w:kern w:val="10"/>
          <w:sz w:val="24"/>
          <w:szCs w:val="24"/>
          <w:lang w:eastAsia="zh-CN"/>
        </w:rPr>
        <w:t>；</w:t>
      </w:r>
    </w:p>
    <w:p w14:paraId="46D9BAD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(七)与我单位存在“单位负责人为同一人或者存在直接控股、管理关系”的其他法人单位信息如下(如有，不论其是否参加同一合同项下的政府采购活动均须填写):</w:t>
      </w:r>
    </w:p>
    <w:tbl>
      <w:tblPr>
        <w:tblStyle w:val="34"/>
        <w:tblW w:w="7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50"/>
        <w:gridCol w:w="2970"/>
      </w:tblGrid>
      <w:tr w14:paraId="4D25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F42A">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205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单位名称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CE2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相互关系</w:t>
            </w:r>
          </w:p>
        </w:tc>
      </w:tr>
      <w:tr w14:paraId="0F96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3D23">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BC78">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D157">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4"/>
                <w:szCs w:val="24"/>
                <w:u w:val="none"/>
              </w:rPr>
            </w:pPr>
          </w:p>
        </w:tc>
      </w:tr>
      <w:tr w14:paraId="0C30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62E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0A60">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A170">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4"/>
                <w:szCs w:val="24"/>
                <w:u w:val="none"/>
              </w:rPr>
            </w:pPr>
          </w:p>
        </w:tc>
      </w:tr>
      <w:tr w14:paraId="2F33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BD8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33DE">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8E0D">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4"/>
                <w:szCs w:val="24"/>
                <w:u w:val="none"/>
              </w:rPr>
            </w:pPr>
          </w:p>
        </w:tc>
      </w:tr>
    </w:tbl>
    <w:p w14:paraId="5FBDDB9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上述声明真实有效，否则我方负全部责任。</w:t>
      </w:r>
    </w:p>
    <w:p w14:paraId="18275AF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u w:val="single"/>
        </w:rPr>
      </w:pPr>
      <w:r>
        <w:rPr>
          <w:rFonts w:hint="eastAsia" w:ascii="仿宋" w:hAnsi="仿宋" w:eastAsia="仿宋" w:cs="仿宋"/>
          <w:color w:val="auto"/>
          <w:kern w:val="10"/>
          <w:sz w:val="24"/>
          <w:szCs w:val="24"/>
          <w:lang w:eastAsia="zh-CN"/>
        </w:rPr>
        <w:t>响应供应商</w:t>
      </w:r>
      <w:r>
        <w:rPr>
          <w:rFonts w:hint="eastAsia" w:ascii="仿宋" w:hAnsi="仿宋" w:eastAsia="仿宋" w:cs="仿宋"/>
          <w:color w:val="auto"/>
          <w:kern w:val="10"/>
          <w:sz w:val="24"/>
          <w:szCs w:val="24"/>
        </w:rPr>
        <w:t>名称</w:t>
      </w:r>
      <w:r>
        <w:rPr>
          <w:rFonts w:hint="eastAsia" w:ascii="仿宋" w:hAnsi="仿宋" w:eastAsia="仿宋" w:cs="仿宋"/>
          <w:color w:val="auto"/>
          <w:kern w:val="10"/>
          <w:sz w:val="24"/>
          <w:szCs w:val="24"/>
          <w:lang w:eastAsia="zh-CN"/>
        </w:rPr>
        <w:t>：</w:t>
      </w:r>
      <w:r>
        <w:rPr>
          <w:rFonts w:hint="eastAsia" w:ascii="仿宋" w:hAnsi="仿宋" w:eastAsia="仿宋" w:cs="仿宋"/>
          <w:color w:val="auto"/>
          <w:kern w:val="10"/>
          <w:sz w:val="24"/>
          <w:szCs w:val="24"/>
          <w:u w:val="single"/>
          <w:lang w:val="en-US" w:eastAsia="zh-CN"/>
        </w:rPr>
        <w:t xml:space="preserve">                               </w:t>
      </w:r>
      <w:r>
        <w:rPr>
          <w:rFonts w:hint="eastAsia" w:ascii="仿宋" w:hAnsi="仿宋" w:eastAsia="仿宋" w:cs="仿宋"/>
          <w:color w:val="auto"/>
          <w:kern w:val="10"/>
          <w:sz w:val="24"/>
          <w:szCs w:val="24"/>
          <w:u w:val="single"/>
        </w:rPr>
        <w:t>(加盖公章)</w:t>
      </w:r>
    </w:p>
    <w:p w14:paraId="36154A2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u w:val="single"/>
        </w:rPr>
      </w:pPr>
      <w:r>
        <w:rPr>
          <w:rFonts w:hint="eastAsia" w:ascii="仿宋" w:hAnsi="仿宋" w:eastAsia="仿宋" w:cs="仿宋"/>
          <w:color w:val="auto"/>
          <w:kern w:val="10"/>
          <w:sz w:val="24"/>
          <w:szCs w:val="24"/>
        </w:rPr>
        <w:t>法定代表人或其授权代理人</w:t>
      </w:r>
      <w:r>
        <w:rPr>
          <w:rFonts w:hint="eastAsia" w:ascii="仿宋" w:hAnsi="仿宋" w:eastAsia="仿宋" w:cs="仿宋"/>
          <w:color w:val="auto"/>
          <w:kern w:val="10"/>
          <w:sz w:val="24"/>
          <w:szCs w:val="24"/>
          <w:lang w:eastAsia="zh-CN"/>
        </w:rPr>
        <w:t>：</w:t>
      </w:r>
      <w:r>
        <w:rPr>
          <w:rFonts w:hint="eastAsia" w:ascii="仿宋" w:hAnsi="仿宋" w:eastAsia="仿宋" w:cs="仿宋"/>
          <w:color w:val="auto"/>
          <w:kern w:val="10"/>
          <w:sz w:val="24"/>
          <w:szCs w:val="24"/>
          <w:u w:val="single"/>
          <w:lang w:val="en-US" w:eastAsia="zh-CN"/>
        </w:rPr>
        <w:t xml:space="preserve">                </w:t>
      </w:r>
      <w:r>
        <w:rPr>
          <w:rFonts w:hint="eastAsia" w:ascii="仿宋" w:hAnsi="仿宋" w:eastAsia="仿宋" w:cs="仿宋"/>
          <w:color w:val="auto"/>
          <w:kern w:val="10"/>
          <w:sz w:val="24"/>
          <w:szCs w:val="24"/>
          <w:u w:val="single"/>
        </w:rPr>
        <w:t>(签字或印鉴)</w:t>
      </w:r>
    </w:p>
    <w:p w14:paraId="2D48F49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u w:val="single"/>
        </w:rPr>
      </w:pPr>
      <w:r>
        <w:rPr>
          <w:rFonts w:hint="eastAsia" w:ascii="仿宋" w:hAnsi="仿宋" w:eastAsia="仿宋" w:cs="仿宋"/>
          <w:color w:val="auto"/>
          <w:kern w:val="10"/>
          <w:sz w:val="24"/>
          <w:szCs w:val="24"/>
        </w:rPr>
        <w:t>日期:</w:t>
      </w:r>
      <w:r>
        <w:rPr>
          <w:rFonts w:hint="eastAsia" w:ascii="仿宋" w:hAnsi="仿宋" w:eastAsia="仿宋" w:cs="仿宋"/>
          <w:color w:val="auto"/>
          <w:kern w:val="10"/>
          <w:sz w:val="24"/>
          <w:szCs w:val="24"/>
          <w:lang w:val="en-US" w:eastAsia="zh-CN"/>
        </w:rPr>
        <w:t xml:space="preserve"> </w:t>
      </w:r>
      <w:r>
        <w:rPr>
          <w:rFonts w:hint="eastAsia" w:ascii="仿宋" w:hAnsi="仿宋" w:eastAsia="仿宋" w:cs="仿宋"/>
          <w:color w:val="auto"/>
          <w:kern w:val="10"/>
          <w:sz w:val="24"/>
          <w:szCs w:val="24"/>
          <w:u w:val="single"/>
          <w:lang w:val="en-US" w:eastAsia="zh-CN"/>
        </w:rPr>
        <w:t xml:space="preserve">    </w:t>
      </w:r>
      <w:r>
        <w:rPr>
          <w:rFonts w:hint="eastAsia" w:ascii="仿宋" w:hAnsi="仿宋" w:eastAsia="仿宋" w:cs="仿宋"/>
          <w:color w:val="auto"/>
          <w:kern w:val="10"/>
          <w:sz w:val="24"/>
          <w:szCs w:val="24"/>
          <w:u w:val="single"/>
        </w:rPr>
        <w:t>年</w:t>
      </w:r>
      <w:r>
        <w:rPr>
          <w:rFonts w:hint="eastAsia" w:ascii="仿宋" w:hAnsi="仿宋" w:eastAsia="仿宋" w:cs="仿宋"/>
          <w:color w:val="auto"/>
          <w:kern w:val="10"/>
          <w:sz w:val="24"/>
          <w:szCs w:val="24"/>
          <w:u w:val="single"/>
          <w:lang w:val="en-US" w:eastAsia="zh-CN"/>
        </w:rPr>
        <w:t xml:space="preserve">   </w:t>
      </w:r>
      <w:r>
        <w:rPr>
          <w:rFonts w:hint="eastAsia" w:ascii="仿宋" w:hAnsi="仿宋" w:eastAsia="仿宋" w:cs="仿宋"/>
          <w:color w:val="auto"/>
          <w:kern w:val="10"/>
          <w:sz w:val="24"/>
          <w:szCs w:val="24"/>
          <w:u w:val="single"/>
        </w:rPr>
        <w:t>月</w:t>
      </w:r>
      <w:r>
        <w:rPr>
          <w:rFonts w:hint="eastAsia" w:ascii="仿宋" w:hAnsi="仿宋" w:eastAsia="仿宋" w:cs="仿宋"/>
          <w:color w:val="auto"/>
          <w:kern w:val="10"/>
          <w:sz w:val="24"/>
          <w:szCs w:val="24"/>
          <w:u w:val="single"/>
          <w:lang w:val="en-US" w:eastAsia="zh-CN"/>
        </w:rPr>
        <w:t xml:space="preserve">   </w:t>
      </w:r>
      <w:r>
        <w:rPr>
          <w:rFonts w:hint="eastAsia" w:ascii="仿宋" w:hAnsi="仿宋" w:eastAsia="仿宋" w:cs="仿宋"/>
          <w:color w:val="auto"/>
          <w:kern w:val="10"/>
          <w:sz w:val="24"/>
          <w:szCs w:val="24"/>
          <w:u w:val="single"/>
        </w:rPr>
        <w:t>日</w:t>
      </w:r>
    </w:p>
    <w:p w14:paraId="61DB222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说明:(1)单位负责人为同一人或者存在直接控股、管理关系的不同供应商不得参加同一合同项下的政府采购活动。</w:t>
      </w:r>
    </w:p>
    <w:p w14:paraId="5309556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(2)本条所指单位负责人为同一人指单位法定代表人或者法律、行政法规规定代表单位行使职权的主要负责人。</w:t>
      </w:r>
    </w:p>
    <w:p w14:paraId="54732A7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(3)本条所指控股关系指单位或股东的控股关系。控股股东指:</w:t>
      </w:r>
    </w:p>
    <w:p w14:paraId="2C18839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eastAsia="zh-CN"/>
        </w:rPr>
      </w:pPr>
      <w:r>
        <w:rPr>
          <w:rFonts w:hint="eastAsia" w:ascii="仿宋" w:hAnsi="仿宋" w:eastAsia="仿宋" w:cs="仿宋"/>
          <w:color w:val="auto"/>
          <w:kern w:val="10"/>
          <w:sz w:val="24"/>
          <w:szCs w:val="24"/>
        </w:rPr>
        <w:t>a. 出资额占有限责任公司资本总额百分之五十以上或者其持有的股份占股份有限公司股本总额百分之五十以上的股东</w:t>
      </w:r>
      <w:r>
        <w:rPr>
          <w:rFonts w:hint="eastAsia" w:ascii="仿宋" w:hAnsi="仿宋" w:eastAsia="仿宋" w:cs="仿宋"/>
          <w:color w:val="auto"/>
          <w:kern w:val="10"/>
          <w:sz w:val="24"/>
          <w:szCs w:val="24"/>
          <w:lang w:eastAsia="zh-CN"/>
        </w:rPr>
        <w:t>；</w:t>
      </w:r>
    </w:p>
    <w:p w14:paraId="6B33EB2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b.出资额或者持有股份的比例不足百分之五十</w:t>
      </w:r>
      <w:r>
        <w:rPr>
          <w:rFonts w:hint="eastAsia" w:ascii="仿宋" w:hAnsi="仿宋" w:eastAsia="仿宋" w:cs="仿宋"/>
          <w:color w:val="auto"/>
          <w:kern w:val="10"/>
          <w:sz w:val="24"/>
          <w:szCs w:val="24"/>
          <w:lang w:eastAsia="zh-CN"/>
        </w:rPr>
        <w:t>，</w:t>
      </w:r>
      <w:r>
        <w:rPr>
          <w:rFonts w:hint="eastAsia" w:ascii="仿宋" w:hAnsi="仿宋" w:eastAsia="仿宋" w:cs="仿宋"/>
          <w:color w:val="auto"/>
          <w:kern w:val="10"/>
          <w:sz w:val="24"/>
          <w:szCs w:val="24"/>
        </w:rPr>
        <w:t>但其出资额或者持有的股份所享有的表决权已足以对股东会、股东大会的决议产生重大影响的股东。</w:t>
      </w:r>
    </w:p>
    <w:p w14:paraId="4A1E544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(4)本条所指管理关系指不具有出资持股关系的其他单位之间存在的管理与被管理关系。</w:t>
      </w:r>
    </w:p>
    <w:p w14:paraId="139604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rPr>
      </w:pPr>
      <w:r>
        <w:rPr>
          <w:rFonts w:hint="eastAsia" w:ascii="仿宋" w:hAnsi="仿宋" w:eastAsia="仿宋" w:cs="仿宋"/>
          <w:color w:val="auto"/>
          <w:kern w:val="10"/>
          <w:sz w:val="24"/>
          <w:szCs w:val="24"/>
        </w:rPr>
        <w:t>(5)本条所指的控股</w:t>
      </w:r>
      <w:r>
        <w:rPr>
          <w:rFonts w:hint="eastAsia" w:ascii="仿宋" w:hAnsi="仿宋" w:eastAsia="仿宋" w:cs="仿宋"/>
          <w:color w:val="auto"/>
          <w:kern w:val="10"/>
          <w:sz w:val="24"/>
          <w:szCs w:val="24"/>
          <w:lang w:eastAsia="zh-CN"/>
        </w:rPr>
        <w:t>、</w:t>
      </w:r>
      <w:r>
        <w:rPr>
          <w:rFonts w:hint="eastAsia" w:ascii="仿宋" w:hAnsi="仿宋" w:eastAsia="仿宋" w:cs="仿宋"/>
          <w:color w:val="auto"/>
          <w:kern w:val="10"/>
          <w:sz w:val="24"/>
          <w:szCs w:val="24"/>
        </w:rPr>
        <w:t>管理关系仅限于直接控股、直接管理关系</w:t>
      </w:r>
      <w:r>
        <w:rPr>
          <w:rFonts w:hint="eastAsia" w:ascii="仿宋" w:hAnsi="仿宋" w:eastAsia="仿宋" w:cs="仿宋"/>
          <w:color w:val="auto"/>
          <w:kern w:val="10"/>
          <w:sz w:val="24"/>
          <w:szCs w:val="24"/>
          <w:lang w:eastAsia="zh-CN"/>
        </w:rPr>
        <w:t>，</w:t>
      </w:r>
      <w:r>
        <w:rPr>
          <w:rFonts w:hint="eastAsia" w:ascii="仿宋" w:hAnsi="仿宋" w:eastAsia="仿宋" w:cs="仿宋"/>
          <w:color w:val="auto"/>
          <w:kern w:val="10"/>
          <w:sz w:val="24"/>
          <w:szCs w:val="24"/>
        </w:rPr>
        <w:t>不包括间接控股或管理关系。</w:t>
      </w:r>
    </w:p>
    <w:p w14:paraId="7790769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kern w:val="10"/>
          <w:sz w:val="24"/>
          <w:szCs w:val="24"/>
          <w:lang w:eastAsia="zh-CN"/>
        </w:rPr>
      </w:pPr>
      <w:r>
        <w:rPr>
          <w:rFonts w:hint="eastAsia" w:ascii="仿宋" w:hAnsi="仿宋" w:eastAsia="仿宋" w:cs="仿宋"/>
          <w:color w:val="auto"/>
          <w:kern w:val="10"/>
          <w:sz w:val="24"/>
          <w:szCs w:val="24"/>
        </w:rPr>
        <w:t>(6)如无相关情况</w:t>
      </w:r>
      <w:r>
        <w:rPr>
          <w:rFonts w:hint="eastAsia" w:ascii="仿宋" w:hAnsi="仿宋" w:eastAsia="仿宋" w:cs="仿宋"/>
          <w:color w:val="auto"/>
          <w:kern w:val="10"/>
          <w:sz w:val="24"/>
          <w:szCs w:val="24"/>
          <w:lang w:eastAsia="zh-CN"/>
        </w:rPr>
        <w:t>，</w:t>
      </w:r>
      <w:r>
        <w:rPr>
          <w:rFonts w:hint="eastAsia" w:ascii="仿宋" w:hAnsi="仿宋" w:eastAsia="仿宋" w:cs="仿宋"/>
          <w:color w:val="auto"/>
          <w:kern w:val="10"/>
          <w:sz w:val="24"/>
          <w:szCs w:val="24"/>
        </w:rPr>
        <w:t>请在相应栏填写“无”</w:t>
      </w:r>
      <w:r>
        <w:rPr>
          <w:rFonts w:hint="eastAsia" w:ascii="仿宋" w:hAnsi="仿宋" w:eastAsia="仿宋" w:cs="仿宋"/>
          <w:color w:val="auto"/>
          <w:kern w:val="10"/>
          <w:sz w:val="24"/>
          <w:szCs w:val="24"/>
          <w:lang w:eastAsia="zh-CN"/>
        </w:rPr>
        <w:t>。</w:t>
      </w:r>
    </w:p>
    <w:p w14:paraId="30A48309">
      <w:pPr>
        <w:pStyle w:val="26"/>
        <w:bidi w:val="0"/>
        <w:outlineLvl w:val="9"/>
        <w:rPr>
          <w:rFonts w:hint="eastAsia" w:ascii="仿宋" w:hAnsi="仿宋" w:eastAsia="仿宋" w:cs="仿宋"/>
          <w:color w:val="auto"/>
          <w:sz w:val="24"/>
          <w:szCs w:val="24"/>
          <w:lang w:val="en-US" w:eastAsia="zh-CN"/>
        </w:rPr>
        <w:sectPr>
          <w:pgSz w:w="11906" w:h="16838"/>
          <w:pgMar w:top="1440" w:right="1800" w:bottom="1440" w:left="1800" w:header="851" w:footer="992" w:gutter="0"/>
          <w:pgNumType w:fmt="decimal"/>
          <w:cols w:space="720" w:num="1"/>
          <w:docGrid w:linePitch="315" w:charSpace="0"/>
        </w:sectPr>
      </w:pPr>
    </w:p>
    <w:p w14:paraId="750EEE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10"/>
          <w:sz w:val="44"/>
          <w:szCs w:val="44"/>
          <w:lang w:val="en-US" w:eastAsia="zh-CN"/>
        </w:rPr>
      </w:pPr>
      <w:r>
        <w:rPr>
          <w:rFonts w:hint="eastAsia" w:ascii="仿宋" w:hAnsi="仿宋" w:eastAsia="仿宋" w:cs="仿宋"/>
          <w:color w:val="auto"/>
          <w:kern w:val="10"/>
          <w:sz w:val="44"/>
          <w:szCs w:val="44"/>
          <w:lang w:val="en-US" w:eastAsia="zh-CN"/>
        </w:rPr>
        <w:t>（二）财务报告</w:t>
      </w:r>
    </w:p>
    <w:p w14:paraId="708E406B">
      <w:pPr>
        <w:pStyle w:val="26"/>
        <w:bidi w:val="0"/>
        <w:jc w:val="both"/>
        <w:outlineLvl w:val="9"/>
        <w:rPr>
          <w:rFonts w:hint="eastAsia" w:ascii="仿宋" w:hAnsi="仿宋" w:eastAsia="仿宋" w:cs="仿宋"/>
          <w:color w:val="auto"/>
          <w:sz w:val="24"/>
          <w:szCs w:val="24"/>
          <w:lang w:val="en-US" w:eastAsia="zh-CN"/>
        </w:rPr>
      </w:pPr>
    </w:p>
    <w:p w14:paraId="7412970C">
      <w:pPr>
        <w:pStyle w:val="26"/>
        <w:keepNext w:val="0"/>
        <w:keepLines w:val="0"/>
        <w:pageBreakBefore w:val="0"/>
        <w:widowControl w:val="0"/>
        <w:kinsoku/>
        <w:wordWrap/>
        <w:overflowPunct/>
        <w:topLinePunct w:val="0"/>
        <w:autoSpaceDE w:val="0"/>
        <w:autoSpaceDN w:val="0"/>
        <w:bidi w:val="0"/>
        <w:adjustRightInd/>
        <w:snapToGrid/>
        <w:spacing w:line="240" w:lineRule="auto"/>
        <w:jc w:val="left"/>
        <w:textAlignment w:val="baseline"/>
        <w:outlineLvl w:val="9"/>
        <w:rPr>
          <w:rFonts w:hint="eastAsia" w:ascii="仿宋" w:hAnsi="仿宋" w:eastAsia="仿宋" w:cs="仿宋"/>
          <w:color w:val="auto"/>
          <w:kern w:val="2"/>
          <w:sz w:val="24"/>
          <w:szCs w:val="24"/>
          <w:lang w:val="en-US" w:eastAsia="zh-CN" w:bidi="ar-SA"/>
        </w:rPr>
        <w:sectPr>
          <w:pgSz w:w="11906" w:h="16838"/>
          <w:pgMar w:top="1440" w:right="1800" w:bottom="1440" w:left="1800" w:header="851" w:footer="992" w:gutter="0"/>
          <w:pgNumType w:fmt="decimal"/>
          <w:cols w:space="720" w:num="1"/>
          <w:docGrid w:linePitch="315" w:charSpace="0"/>
        </w:sectPr>
      </w:pPr>
      <w:r>
        <w:rPr>
          <w:rFonts w:hint="eastAsia" w:ascii="仿宋" w:hAnsi="仿宋" w:eastAsia="仿宋" w:cs="仿宋"/>
          <w:color w:val="auto"/>
          <w:kern w:val="2"/>
          <w:sz w:val="22"/>
          <w:szCs w:val="22"/>
          <w:lang w:val="en-US" w:eastAsia="zh-CN" w:bidi="ar-SA"/>
        </w:rPr>
        <w:t>注：须提供本单位2024年度由会计师事务所出具的财务审计报告或财务报表，审计报告须包括资产负债表、利润表、现金流量表、所有者权益变动(如有)及其附注(原件扫描件)；财务报表须包括资产负债表、利润表、现金流量表。如响应供应商注册成立不满一年的则提供成立至今的财务报表（须包括资产负债表、利润表、现金流量表）</w:t>
      </w:r>
    </w:p>
    <w:p w14:paraId="4C703FE4">
      <w:pPr>
        <w:keepNext w:val="0"/>
        <w:keepLines w:val="0"/>
        <w:widowControl/>
        <w:numPr>
          <w:ilvl w:val="0"/>
          <w:numId w:val="6"/>
        </w:numPr>
        <w:suppressLineNumbers w:val="0"/>
        <w:jc w:val="center"/>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拟投入本项目的负责人简历表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242"/>
        <w:gridCol w:w="1416"/>
        <w:gridCol w:w="1761"/>
        <w:gridCol w:w="1199"/>
        <w:gridCol w:w="1290"/>
      </w:tblGrid>
      <w:tr w14:paraId="1FB2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90" w:type="dxa"/>
            <w:vAlign w:val="center"/>
          </w:tcPr>
          <w:p w14:paraId="4CD4F494">
            <w:pPr>
              <w:pStyle w:val="12"/>
              <w:numPr>
                <w:ilvl w:val="0"/>
                <w:numId w:val="0"/>
              </w:numPr>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姓名</w:t>
            </w:r>
          </w:p>
        </w:tc>
        <w:tc>
          <w:tcPr>
            <w:tcW w:w="1242" w:type="dxa"/>
            <w:vAlign w:val="center"/>
          </w:tcPr>
          <w:p w14:paraId="44FC2395">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38475EEA">
            <w:pPr>
              <w:pStyle w:val="12"/>
              <w:numPr>
                <w:ilvl w:val="0"/>
                <w:numId w:val="0"/>
              </w:numPr>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性别</w:t>
            </w:r>
          </w:p>
        </w:tc>
        <w:tc>
          <w:tcPr>
            <w:tcW w:w="1761" w:type="dxa"/>
            <w:vAlign w:val="center"/>
          </w:tcPr>
          <w:p w14:paraId="255B0375">
            <w:pPr>
              <w:pStyle w:val="12"/>
              <w:numPr>
                <w:ilvl w:val="0"/>
                <w:numId w:val="0"/>
              </w:numPr>
              <w:jc w:val="center"/>
              <w:rPr>
                <w:rFonts w:hint="eastAsia" w:ascii="仿宋" w:hAnsi="仿宋" w:eastAsia="仿宋" w:cs="仿宋"/>
                <w:color w:val="auto"/>
                <w:sz w:val="24"/>
                <w:szCs w:val="24"/>
                <w:vertAlign w:val="baseline"/>
              </w:rPr>
            </w:pPr>
          </w:p>
        </w:tc>
        <w:tc>
          <w:tcPr>
            <w:tcW w:w="1199" w:type="dxa"/>
            <w:vAlign w:val="center"/>
          </w:tcPr>
          <w:p w14:paraId="554DEE5B">
            <w:pPr>
              <w:pStyle w:val="12"/>
              <w:numPr>
                <w:ilvl w:val="0"/>
                <w:numId w:val="0"/>
              </w:numPr>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年龄</w:t>
            </w:r>
          </w:p>
        </w:tc>
        <w:tc>
          <w:tcPr>
            <w:tcW w:w="1290" w:type="dxa"/>
            <w:vAlign w:val="center"/>
          </w:tcPr>
          <w:p w14:paraId="69B2E37A">
            <w:pPr>
              <w:pStyle w:val="12"/>
              <w:numPr>
                <w:ilvl w:val="0"/>
                <w:numId w:val="0"/>
              </w:numPr>
              <w:jc w:val="center"/>
              <w:rPr>
                <w:rFonts w:hint="eastAsia" w:ascii="仿宋" w:hAnsi="仿宋" w:eastAsia="仿宋" w:cs="仿宋"/>
                <w:color w:val="auto"/>
                <w:sz w:val="24"/>
                <w:szCs w:val="24"/>
                <w:vertAlign w:val="baseline"/>
              </w:rPr>
            </w:pPr>
          </w:p>
        </w:tc>
      </w:tr>
      <w:tr w14:paraId="2753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90" w:type="dxa"/>
            <w:vAlign w:val="center"/>
          </w:tcPr>
          <w:p w14:paraId="2AB6447F">
            <w:pPr>
              <w:keepNext w:val="0"/>
              <w:keepLines w:val="0"/>
              <w:widowControl/>
              <w:suppressLineNumbers w:val="0"/>
              <w:jc w:val="center"/>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职务</w:t>
            </w:r>
          </w:p>
        </w:tc>
        <w:tc>
          <w:tcPr>
            <w:tcW w:w="1242" w:type="dxa"/>
            <w:vAlign w:val="center"/>
          </w:tcPr>
          <w:p w14:paraId="7BE46689">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1D69F81A">
            <w:pPr>
              <w:keepNext w:val="0"/>
              <w:keepLines w:val="0"/>
              <w:widowControl/>
              <w:suppressLineNumbers w:val="0"/>
              <w:jc w:val="center"/>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职称</w:t>
            </w:r>
          </w:p>
        </w:tc>
        <w:tc>
          <w:tcPr>
            <w:tcW w:w="1761" w:type="dxa"/>
            <w:vAlign w:val="center"/>
          </w:tcPr>
          <w:p w14:paraId="7DB424C2">
            <w:pPr>
              <w:pStyle w:val="12"/>
              <w:numPr>
                <w:ilvl w:val="0"/>
                <w:numId w:val="0"/>
              </w:numPr>
              <w:jc w:val="center"/>
              <w:rPr>
                <w:rFonts w:hint="eastAsia" w:ascii="仿宋" w:hAnsi="仿宋" w:eastAsia="仿宋" w:cs="仿宋"/>
                <w:color w:val="auto"/>
                <w:sz w:val="24"/>
                <w:szCs w:val="24"/>
                <w:vertAlign w:val="baseline"/>
              </w:rPr>
            </w:pPr>
          </w:p>
        </w:tc>
        <w:tc>
          <w:tcPr>
            <w:tcW w:w="1199" w:type="dxa"/>
            <w:vAlign w:val="center"/>
          </w:tcPr>
          <w:p w14:paraId="104FB703">
            <w:pPr>
              <w:keepNext w:val="0"/>
              <w:keepLines w:val="0"/>
              <w:widowControl/>
              <w:suppressLineNumbers w:val="0"/>
              <w:jc w:val="center"/>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学历</w:t>
            </w:r>
          </w:p>
        </w:tc>
        <w:tc>
          <w:tcPr>
            <w:tcW w:w="1290" w:type="dxa"/>
            <w:vAlign w:val="center"/>
          </w:tcPr>
          <w:p w14:paraId="029F1B49">
            <w:pPr>
              <w:pStyle w:val="12"/>
              <w:numPr>
                <w:ilvl w:val="0"/>
                <w:numId w:val="0"/>
              </w:numPr>
              <w:jc w:val="center"/>
              <w:rPr>
                <w:rFonts w:hint="eastAsia" w:ascii="仿宋" w:hAnsi="仿宋" w:eastAsia="仿宋" w:cs="仿宋"/>
                <w:color w:val="auto"/>
                <w:sz w:val="24"/>
                <w:szCs w:val="24"/>
                <w:vertAlign w:val="baseline"/>
              </w:rPr>
            </w:pPr>
          </w:p>
        </w:tc>
      </w:tr>
      <w:tr w14:paraId="5F16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90" w:type="dxa"/>
            <w:vAlign w:val="center"/>
          </w:tcPr>
          <w:p w14:paraId="43779521">
            <w:pPr>
              <w:pStyle w:val="12"/>
              <w:numPr>
                <w:ilvl w:val="0"/>
                <w:numId w:val="0"/>
              </w:num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执业资格</w:t>
            </w:r>
          </w:p>
        </w:tc>
        <w:tc>
          <w:tcPr>
            <w:tcW w:w="1242" w:type="dxa"/>
            <w:vAlign w:val="center"/>
          </w:tcPr>
          <w:p w14:paraId="2B06289D">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089D6D4E">
            <w:pPr>
              <w:pStyle w:val="12"/>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级别</w:t>
            </w:r>
          </w:p>
        </w:tc>
        <w:tc>
          <w:tcPr>
            <w:tcW w:w="1761" w:type="dxa"/>
            <w:vAlign w:val="center"/>
          </w:tcPr>
          <w:p w14:paraId="3B0FE765">
            <w:pPr>
              <w:pStyle w:val="12"/>
              <w:numPr>
                <w:ilvl w:val="0"/>
                <w:numId w:val="0"/>
              </w:numPr>
              <w:jc w:val="center"/>
              <w:rPr>
                <w:rFonts w:hint="eastAsia" w:ascii="仿宋" w:hAnsi="仿宋" w:eastAsia="仿宋" w:cs="仿宋"/>
                <w:color w:val="auto"/>
                <w:sz w:val="24"/>
                <w:szCs w:val="24"/>
                <w:vertAlign w:val="baseline"/>
              </w:rPr>
            </w:pPr>
          </w:p>
        </w:tc>
        <w:tc>
          <w:tcPr>
            <w:tcW w:w="1199" w:type="dxa"/>
            <w:vAlign w:val="center"/>
          </w:tcPr>
          <w:p w14:paraId="7FA713C3">
            <w:pPr>
              <w:pStyle w:val="12"/>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执业证号</w:t>
            </w:r>
          </w:p>
        </w:tc>
        <w:tc>
          <w:tcPr>
            <w:tcW w:w="1290" w:type="dxa"/>
            <w:vAlign w:val="center"/>
          </w:tcPr>
          <w:p w14:paraId="590CFB59">
            <w:pPr>
              <w:pStyle w:val="12"/>
              <w:numPr>
                <w:ilvl w:val="0"/>
                <w:numId w:val="0"/>
              </w:numPr>
              <w:jc w:val="center"/>
              <w:rPr>
                <w:rFonts w:hint="eastAsia" w:ascii="仿宋" w:hAnsi="仿宋" w:eastAsia="仿宋" w:cs="仿宋"/>
                <w:color w:val="auto"/>
                <w:sz w:val="24"/>
                <w:szCs w:val="24"/>
                <w:vertAlign w:val="baseline"/>
              </w:rPr>
            </w:pPr>
          </w:p>
        </w:tc>
      </w:tr>
      <w:tr w14:paraId="7392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590" w:type="dxa"/>
            <w:vAlign w:val="center"/>
          </w:tcPr>
          <w:p w14:paraId="23AA1BBD">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参加工作时间</w:t>
            </w:r>
          </w:p>
          <w:p w14:paraId="0F5A2B37">
            <w:pPr>
              <w:pStyle w:val="12"/>
              <w:numPr>
                <w:ilvl w:val="0"/>
                <w:numId w:val="0"/>
              </w:numPr>
              <w:jc w:val="center"/>
              <w:rPr>
                <w:rFonts w:hint="eastAsia" w:ascii="仿宋" w:hAnsi="仿宋" w:eastAsia="仿宋" w:cs="仿宋"/>
                <w:color w:val="auto"/>
                <w:sz w:val="24"/>
                <w:szCs w:val="24"/>
                <w:vertAlign w:val="baseline"/>
              </w:rPr>
            </w:pPr>
          </w:p>
        </w:tc>
        <w:tc>
          <w:tcPr>
            <w:tcW w:w="2658" w:type="dxa"/>
            <w:gridSpan w:val="2"/>
            <w:vAlign w:val="center"/>
          </w:tcPr>
          <w:p w14:paraId="5C30D937">
            <w:pPr>
              <w:pStyle w:val="12"/>
              <w:numPr>
                <w:ilvl w:val="0"/>
                <w:numId w:val="0"/>
              </w:numPr>
              <w:jc w:val="center"/>
              <w:rPr>
                <w:rFonts w:hint="eastAsia" w:ascii="仿宋" w:hAnsi="仿宋" w:eastAsia="仿宋" w:cs="仿宋"/>
                <w:color w:val="auto"/>
                <w:sz w:val="24"/>
                <w:szCs w:val="24"/>
                <w:vertAlign w:val="baseline"/>
              </w:rPr>
            </w:pPr>
          </w:p>
        </w:tc>
        <w:tc>
          <w:tcPr>
            <w:tcW w:w="1761" w:type="dxa"/>
            <w:vAlign w:val="center"/>
          </w:tcPr>
          <w:p w14:paraId="3622A782">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从事项目</w:t>
            </w:r>
          </w:p>
          <w:p w14:paraId="0A9631A2">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负责年限</w:t>
            </w:r>
          </w:p>
          <w:p w14:paraId="7DA30280">
            <w:pPr>
              <w:keepNext w:val="0"/>
              <w:keepLines w:val="0"/>
              <w:widowControl/>
              <w:suppressLineNumbers w:val="0"/>
              <w:jc w:val="center"/>
              <w:rPr>
                <w:rFonts w:hint="eastAsia" w:ascii="仿宋" w:hAnsi="仿宋" w:eastAsia="仿宋" w:cs="仿宋"/>
                <w:color w:val="auto"/>
                <w:sz w:val="24"/>
                <w:szCs w:val="24"/>
              </w:rPr>
            </w:pPr>
          </w:p>
          <w:p w14:paraId="7AFC64DF">
            <w:pPr>
              <w:pStyle w:val="12"/>
              <w:numPr>
                <w:ilvl w:val="0"/>
                <w:numId w:val="0"/>
              </w:numPr>
              <w:jc w:val="center"/>
              <w:rPr>
                <w:rFonts w:hint="eastAsia" w:ascii="仿宋" w:hAnsi="仿宋" w:eastAsia="仿宋" w:cs="仿宋"/>
                <w:color w:val="auto"/>
                <w:sz w:val="24"/>
                <w:szCs w:val="24"/>
                <w:vertAlign w:val="baseline"/>
              </w:rPr>
            </w:pPr>
          </w:p>
        </w:tc>
        <w:tc>
          <w:tcPr>
            <w:tcW w:w="2489" w:type="dxa"/>
            <w:gridSpan w:val="2"/>
            <w:vAlign w:val="center"/>
          </w:tcPr>
          <w:p w14:paraId="7A718CBC">
            <w:pPr>
              <w:pStyle w:val="12"/>
              <w:numPr>
                <w:ilvl w:val="0"/>
                <w:numId w:val="0"/>
              </w:numPr>
              <w:jc w:val="center"/>
              <w:rPr>
                <w:rFonts w:hint="eastAsia" w:ascii="仿宋" w:hAnsi="仿宋" w:eastAsia="仿宋" w:cs="仿宋"/>
                <w:color w:val="auto"/>
                <w:sz w:val="24"/>
                <w:szCs w:val="24"/>
                <w:vertAlign w:val="baseline"/>
              </w:rPr>
            </w:pPr>
          </w:p>
        </w:tc>
      </w:tr>
      <w:tr w14:paraId="77FF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98" w:type="dxa"/>
            <w:gridSpan w:val="6"/>
            <w:vAlign w:val="center"/>
          </w:tcPr>
          <w:p w14:paraId="383E4B57">
            <w:pPr>
              <w:keepNext w:val="0"/>
              <w:keepLines w:val="0"/>
              <w:widowControl/>
              <w:suppressLineNumbers w:val="0"/>
              <w:jc w:val="center"/>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已完项目情况</w:t>
            </w:r>
          </w:p>
        </w:tc>
      </w:tr>
      <w:tr w14:paraId="1CF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590" w:type="dxa"/>
            <w:vAlign w:val="center"/>
          </w:tcPr>
          <w:p w14:paraId="65ABAEB7">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项目名称</w:t>
            </w:r>
          </w:p>
          <w:p w14:paraId="230A6A95">
            <w:pPr>
              <w:pStyle w:val="12"/>
              <w:numPr>
                <w:ilvl w:val="0"/>
                <w:numId w:val="0"/>
              </w:numPr>
              <w:jc w:val="center"/>
              <w:rPr>
                <w:rFonts w:hint="eastAsia" w:ascii="仿宋" w:hAnsi="仿宋" w:eastAsia="仿宋" w:cs="仿宋"/>
                <w:color w:val="auto"/>
                <w:sz w:val="24"/>
                <w:szCs w:val="24"/>
                <w:vertAlign w:val="baseline"/>
              </w:rPr>
            </w:pPr>
          </w:p>
        </w:tc>
        <w:tc>
          <w:tcPr>
            <w:tcW w:w="1242" w:type="dxa"/>
            <w:vAlign w:val="center"/>
          </w:tcPr>
          <w:p w14:paraId="32BF8001">
            <w:pPr>
              <w:keepNext w:val="0"/>
              <w:keepLines w:val="0"/>
              <w:widowControl/>
              <w:suppressLineNumbers w:val="0"/>
              <w:jc w:val="center"/>
              <w:rPr>
                <w:rFonts w:hint="default"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项目内容</w:t>
            </w:r>
          </w:p>
          <w:p w14:paraId="0DFD0A29">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00202715">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服务期限</w:t>
            </w:r>
          </w:p>
          <w:p w14:paraId="14A31257">
            <w:pPr>
              <w:pStyle w:val="12"/>
              <w:numPr>
                <w:ilvl w:val="0"/>
                <w:numId w:val="0"/>
              </w:numPr>
              <w:jc w:val="center"/>
              <w:rPr>
                <w:rFonts w:hint="eastAsia" w:ascii="仿宋" w:hAnsi="仿宋" w:eastAsia="仿宋" w:cs="仿宋"/>
                <w:color w:val="auto"/>
                <w:sz w:val="24"/>
                <w:szCs w:val="24"/>
                <w:vertAlign w:val="baseline"/>
              </w:rPr>
            </w:pPr>
          </w:p>
        </w:tc>
        <w:tc>
          <w:tcPr>
            <w:tcW w:w="1761" w:type="dxa"/>
            <w:vAlign w:val="center"/>
          </w:tcPr>
          <w:p w14:paraId="452A3DEE">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签约合同金额</w:t>
            </w:r>
          </w:p>
          <w:p w14:paraId="1DA6B62D">
            <w:pPr>
              <w:pStyle w:val="12"/>
              <w:numPr>
                <w:ilvl w:val="0"/>
                <w:numId w:val="0"/>
              </w:numPr>
              <w:jc w:val="center"/>
              <w:rPr>
                <w:rFonts w:hint="eastAsia" w:ascii="仿宋" w:hAnsi="仿宋" w:eastAsia="仿宋" w:cs="仿宋"/>
                <w:color w:val="auto"/>
                <w:sz w:val="24"/>
                <w:szCs w:val="24"/>
                <w:vertAlign w:val="baseline"/>
              </w:rPr>
            </w:pPr>
          </w:p>
        </w:tc>
        <w:tc>
          <w:tcPr>
            <w:tcW w:w="2489" w:type="dxa"/>
            <w:gridSpan w:val="2"/>
            <w:vAlign w:val="center"/>
          </w:tcPr>
          <w:p w14:paraId="43835EAE">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备注</w:t>
            </w:r>
          </w:p>
          <w:p w14:paraId="1843B9B6">
            <w:pPr>
              <w:pStyle w:val="12"/>
              <w:numPr>
                <w:ilvl w:val="0"/>
                <w:numId w:val="0"/>
              </w:numPr>
              <w:jc w:val="center"/>
              <w:rPr>
                <w:rFonts w:hint="eastAsia" w:ascii="仿宋" w:hAnsi="仿宋" w:eastAsia="仿宋" w:cs="仿宋"/>
                <w:color w:val="auto"/>
                <w:sz w:val="24"/>
                <w:szCs w:val="24"/>
                <w:vertAlign w:val="baseline"/>
              </w:rPr>
            </w:pPr>
          </w:p>
        </w:tc>
      </w:tr>
      <w:tr w14:paraId="5738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90" w:type="dxa"/>
            <w:vAlign w:val="center"/>
          </w:tcPr>
          <w:p w14:paraId="0CE842E2">
            <w:pPr>
              <w:pStyle w:val="12"/>
              <w:numPr>
                <w:ilvl w:val="0"/>
                <w:numId w:val="0"/>
              </w:numPr>
              <w:jc w:val="center"/>
              <w:rPr>
                <w:rFonts w:hint="eastAsia" w:ascii="仿宋" w:hAnsi="仿宋" w:eastAsia="仿宋" w:cs="仿宋"/>
                <w:color w:val="auto"/>
                <w:sz w:val="24"/>
                <w:szCs w:val="24"/>
                <w:vertAlign w:val="baseline"/>
              </w:rPr>
            </w:pPr>
          </w:p>
        </w:tc>
        <w:tc>
          <w:tcPr>
            <w:tcW w:w="1242" w:type="dxa"/>
            <w:vAlign w:val="center"/>
          </w:tcPr>
          <w:p w14:paraId="05068E9D">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5FBCB568">
            <w:pPr>
              <w:pStyle w:val="12"/>
              <w:numPr>
                <w:ilvl w:val="0"/>
                <w:numId w:val="0"/>
              </w:numPr>
              <w:jc w:val="center"/>
              <w:rPr>
                <w:rFonts w:hint="eastAsia" w:ascii="仿宋" w:hAnsi="仿宋" w:eastAsia="仿宋" w:cs="仿宋"/>
                <w:color w:val="auto"/>
                <w:sz w:val="24"/>
                <w:szCs w:val="24"/>
                <w:vertAlign w:val="baseline"/>
              </w:rPr>
            </w:pPr>
          </w:p>
        </w:tc>
        <w:tc>
          <w:tcPr>
            <w:tcW w:w="1761" w:type="dxa"/>
            <w:vAlign w:val="center"/>
          </w:tcPr>
          <w:p w14:paraId="6E0042E4">
            <w:pPr>
              <w:pStyle w:val="12"/>
              <w:numPr>
                <w:ilvl w:val="0"/>
                <w:numId w:val="0"/>
              </w:numPr>
              <w:jc w:val="center"/>
              <w:rPr>
                <w:rFonts w:hint="eastAsia" w:ascii="仿宋" w:hAnsi="仿宋" w:eastAsia="仿宋" w:cs="仿宋"/>
                <w:color w:val="auto"/>
                <w:sz w:val="24"/>
                <w:szCs w:val="24"/>
                <w:vertAlign w:val="baseline"/>
              </w:rPr>
            </w:pPr>
          </w:p>
        </w:tc>
        <w:tc>
          <w:tcPr>
            <w:tcW w:w="2489" w:type="dxa"/>
            <w:gridSpan w:val="2"/>
            <w:vAlign w:val="center"/>
          </w:tcPr>
          <w:p w14:paraId="21A0C5E9">
            <w:pPr>
              <w:pStyle w:val="12"/>
              <w:numPr>
                <w:ilvl w:val="0"/>
                <w:numId w:val="0"/>
              </w:numPr>
              <w:jc w:val="center"/>
              <w:rPr>
                <w:rFonts w:hint="eastAsia" w:ascii="仿宋" w:hAnsi="仿宋" w:eastAsia="仿宋" w:cs="仿宋"/>
                <w:color w:val="auto"/>
                <w:sz w:val="24"/>
                <w:szCs w:val="24"/>
                <w:vertAlign w:val="baseline"/>
              </w:rPr>
            </w:pPr>
          </w:p>
        </w:tc>
      </w:tr>
      <w:tr w14:paraId="447F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90" w:type="dxa"/>
            <w:vAlign w:val="center"/>
          </w:tcPr>
          <w:p w14:paraId="545C7A80">
            <w:pPr>
              <w:pStyle w:val="12"/>
              <w:numPr>
                <w:ilvl w:val="0"/>
                <w:numId w:val="0"/>
              </w:numPr>
              <w:jc w:val="center"/>
              <w:rPr>
                <w:rFonts w:hint="eastAsia" w:ascii="仿宋" w:hAnsi="仿宋" w:eastAsia="仿宋" w:cs="仿宋"/>
                <w:color w:val="auto"/>
                <w:sz w:val="24"/>
                <w:szCs w:val="24"/>
                <w:vertAlign w:val="baseline"/>
              </w:rPr>
            </w:pPr>
          </w:p>
        </w:tc>
        <w:tc>
          <w:tcPr>
            <w:tcW w:w="1242" w:type="dxa"/>
            <w:vAlign w:val="center"/>
          </w:tcPr>
          <w:p w14:paraId="2428CB47">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375A2EEE">
            <w:pPr>
              <w:pStyle w:val="12"/>
              <w:numPr>
                <w:ilvl w:val="0"/>
                <w:numId w:val="0"/>
              </w:numPr>
              <w:jc w:val="center"/>
              <w:rPr>
                <w:rFonts w:hint="eastAsia" w:ascii="仿宋" w:hAnsi="仿宋" w:eastAsia="仿宋" w:cs="仿宋"/>
                <w:color w:val="auto"/>
                <w:sz w:val="24"/>
                <w:szCs w:val="24"/>
                <w:vertAlign w:val="baseline"/>
              </w:rPr>
            </w:pPr>
          </w:p>
        </w:tc>
        <w:tc>
          <w:tcPr>
            <w:tcW w:w="1761" w:type="dxa"/>
            <w:vAlign w:val="center"/>
          </w:tcPr>
          <w:p w14:paraId="4A6F4ACF">
            <w:pPr>
              <w:pStyle w:val="12"/>
              <w:numPr>
                <w:ilvl w:val="0"/>
                <w:numId w:val="0"/>
              </w:numPr>
              <w:jc w:val="center"/>
              <w:rPr>
                <w:rFonts w:hint="eastAsia" w:ascii="仿宋" w:hAnsi="仿宋" w:eastAsia="仿宋" w:cs="仿宋"/>
                <w:color w:val="auto"/>
                <w:sz w:val="24"/>
                <w:szCs w:val="24"/>
                <w:vertAlign w:val="baseline"/>
              </w:rPr>
            </w:pPr>
          </w:p>
        </w:tc>
        <w:tc>
          <w:tcPr>
            <w:tcW w:w="2489" w:type="dxa"/>
            <w:gridSpan w:val="2"/>
            <w:vAlign w:val="center"/>
          </w:tcPr>
          <w:p w14:paraId="0D82A629">
            <w:pPr>
              <w:pStyle w:val="12"/>
              <w:numPr>
                <w:ilvl w:val="0"/>
                <w:numId w:val="0"/>
              </w:numPr>
              <w:jc w:val="center"/>
              <w:rPr>
                <w:rFonts w:hint="eastAsia" w:ascii="仿宋" w:hAnsi="仿宋" w:eastAsia="仿宋" w:cs="仿宋"/>
                <w:color w:val="auto"/>
                <w:sz w:val="24"/>
                <w:szCs w:val="24"/>
                <w:vertAlign w:val="baseline"/>
              </w:rPr>
            </w:pPr>
          </w:p>
        </w:tc>
      </w:tr>
      <w:tr w14:paraId="6891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90" w:type="dxa"/>
            <w:vAlign w:val="center"/>
          </w:tcPr>
          <w:p w14:paraId="21BD051C">
            <w:pPr>
              <w:pStyle w:val="12"/>
              <w:numPr>
                <w:ilvl w:val="0"/>
                <w:numId w:val="0"/>
              </w:numPr>
              <w:jc w:val="center"/>
              <w:rPr>
                <w:rFonts w:hint="eastAsia" w:ascii="仿宋" w:hAnsi="仿宋" w:eastAsia="仿宋" w:cs="仿宋"/>
                <w:color w:val="auto"/>
                <w:sz w:val="24"/>
                <w:szCs w:val="24"/>
                <w:vertAlign w:val="baseline"/>
              </w:rPr>
            </w:pPr>
          </w:p>
        </w:tc>
        <w:tc>
          <w:tcPr>
            <w:tcW w:w="1242" w:type="dxa"/>
            <w:vAlign w:val="center"/>
          </w:tcPr>
          <w:p w14:paraId="0699300E">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38666AA3">
            <w:pPr>
              <w:pStyle w:val="12"/>
              <w:numPr>
                <w:ilvl w:val="0"/>
                <w:numId w:val="0"/>
              </w:numPr>
              <w:jc w:val="center"/>
              <w:rPr>
                <w:rFonts w:hint="eastAsia" w:ascii="仿宋" w:hAnsi="仿宋" w:eastAsia="仿宋" w:cs="仿宋"/>
                <w:color w:val="auto"/>
                <w:sz w:val="24"/>
                <w:szCs w:val="24"/>
                <w:vertAlign w:val="baseline"/>
              </w:rPr>
            </w:pPr>
          </w:p>
        </w:tc>
        <w:tc>
          <w:tcPr>
            <w:tcW w:w="1761" w:type="dxa"/>
            <w:vAlign w:val="center"/>
          </w:tcPr>
          <w:p w14:paraId="4E691913">
            <w:pPr>
              <w:pStyle w:val="12"/>
              <w:numPr>
                <w:ilvl w:val="0"/>
                <w:numId w:val="0"/>
              </w:numPr>
              <w:jc w:val="center"/>
              <w:rPr>
                <w:rFonts w:hint="eastAsia" w:ascii="仿宋" w:hAnsi="仿宋" w:eastAsia="仿宋" w:cs="仿宋"/>
                <w:color w:val="auto"/>
                <w:sz w:val="24"/>
                <w:szCs w:val="24"/>
                <w:vertAlign w:val="baseline"/>
              </w:rPr>
            </w:pPr>
          </w:p>
        </w:tc>
        <w:tc>
          <w:tcPr>
            <w:tcW w:w="2489" w:type="dxa"/>
            <w:gridSpan w:val="2"/>
            <w:vAlign w:val="center"/>
          </w:tcPr>
          <w:p w14:paraId="6CE67592">
            <w:pPr>
              <w:pStyle w:val="12"/>
              <w:numPr>
                <w:ilvl w:val="0"/>
                <w:numId w:val="0"/>
              </w:numPr>
              <w:jc w:val="center"/>
              <w:rPr>
                <w:rFonts w:hint="eastAsia" w:ascii="仿宋" w:hAnsi="仿宋" w:eastAsia="仿宋" w:cs="仿宋"/>
                <w:color w:val="auto"/>
                <w:sz w:val="24"/>
                <w:szCs w:val="24"/>
                <w:vertAlign w:val="baseline"/>
              </w:rPr>
            </w:pPr>
          </w:p>
        </w:tc>
      </w:tr>
      <w:tr w14:paraId="6768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98" w:type="dxa"/>
            <w:gridSpan w:val="6"/>
            <w:vAlign w:val="center"/>
          </w:tcPr>
          <w:p w14:paraId="28CB94A3">
            <w:pPr>
              <w:pStyle w:val="12"/>
              <w:numPr>
                <w:ilvl w:val="0"/>
                <w:numId w:val="0"/>
              </w:numPr>
              <w:jc w:val="center"/>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目前正在服务项目情况</w:t>
            </w:r>
          </w:p>
        </w:tc>
      </w:tr>
      <w:tr w14:paraId="606D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90" w:type="dxa"/>
            <w:vAlign w:val="center"/>
          </w:tcPr>
          <w:p w14:paraId="0D6058F2">
            <w:pPr>
              <w:pStyle w:val="13"/>
              <w:ind w:left="0" w:leftChars="0" w:firstLine="0" w:firstLineChars="0"/>
              <w:jc w:val="center"/>
              <w:rPr>
                <w:rFonts w:hint="eastAsia" w:ascii="仿宋" w:hAnsi="仿宋" w:eastAsia="仿宋" w:cs="仿宋"/>
                <w:color w:val="auto"/>
                <w:sz w:val="24"/>
                <w:szCs w:val="24"/>
              </w:rPr>
            </w:pPr>
          </w:p>
        </w:tc>
        <w:tc>
          <w:tcPr>
            <w:tcW w:w="1242" w:type="dxa"/>
            <w:vAlign w:val="center"/>
          </w:tcPr>
          <w:p w14:paraId="6A354A7A">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5ACE59D0">
            <w:pPr>
              <w:pStyle w:val="12"/>
              <w:numPr>
                <w:ilvl w:val="0"/>
                <w:numId w:val="0"/>
              </w:numPr>
              <w:jc w:val="center"/>
              <w:rPr>
                <w:rFonts w:hint="eastAsia" w:ascii="仿宋" w:hAnsi="仿宋" w:eastAsia="仿宋" w:cs="仿宋"/>
                <w:color w:val="auto"/>
                <w:sz w:val="24"/>
                <w:szCs w:val="24"/>
                <w:vertAlign w:val="baseline"/>
              </w:rPr>
            </w:pPr>
          </w:p>
        </w:tc>
        <w:tc>
          <w:tcPr>
            <w:tcW w:w="1761" w:type="dxa"/>
            <w:vAlign w:val="center"/>
          </w:tcPr>
          <w:p w14:paraId="29B1CF2F">
            <w:pPr>
              <w:pStyle w:val="12"/>
              <w:numPr>
                <w:ilvl w:val="0"/>
                <w:numId w:val="0"/>
              </w:numPr>
              <w:jc w:val="center"/>
              <w:rPr>
                <w:rFonts w:hint="eastAsia" w:ascii="仿宋" w:hAnsi="仿宋" w:eastAsia="仿宋" w:cs="仿宋"/>
                <w:color w:val="auto"/>
                <w:sz w:val="24"/>
                <w:szCs w:val="24"/>
                <w:vertAlign w:val="baseline"/>
              </w:rPr>
            </w:pPr>
          </w:p>
        </w:tc>
        <w:tc>
          <w:tcPr>
            <w:tcW w:w="2489" w:type="dxa"/>
            <w:gridSpan w:val="2"/>
            <w:vAlign w:val="center"/>
          </w:tcPr>
          <w:p w14:paraId="667378D0">
            <w:pPr>
              <w:pStyle w:val="12"/>
              <w:numPr>
                <w:ilvl w:val="0"/>
                <w:numId w:val="0"/>
              </w:numPr>
              <w:jc w:val="center"/>
              <w:rPr>
                <w:rFonts w:hint="eastAsia" w:ascii="仿宋" w:hAnsi="仿宋" w:eastAsia="仿宋" w:cs="仿宋"/>
                <w:color w:val="auto"/>
                <w:sz w:val="24"/>
                <w:szCs w:val="24"/>
                <w:vertAlign w:val="baseline"/>
              </w:rPr>
            </w:pPr>
          </w:p>
        </w:tc>
      </w:tr>
      <w:tr w14:paraId="6554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90" w:type="dxa"/>
            <w:vAlign w:val="center"/>
          </w:tcPr>
          <w:p w14:paraId="4C639858">
            <w:pPr>
              <w:pStyle w:val="13"/>
              <w:ind w:left="0" w:leftChars="0" w:firstLine="0" w:firstLineChars="0"/>
              <w:jc w:val="center"/>
              <w:rPr>
                <w:rFonts w:hint="eastAsia" w:ascii="仿宋" w:hAnsi="仿宋" w:eastAsia="仿宋" w:cs="仿宋"/>
                <w:color w:val="auto"/>
                <w:sz w:val="24"/>
                <w:szCs w:val="24"/>
              </w:rPr>
            </w:pPr>
          </w:p>
        </w:tc>
        <w:tc>
          <w:tcPr>
            <w:tcW w:w="1242" w:type="dxa"/>
            <w:vAlign w:val="center"/>
          </w:tcPr>
          <w:p w14:paraId="2519B4FE">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4D803713">
            <w:pPr>
              <w:pStyle w:val="12"/>
              <w:numPr>
                <w:ilvl w:val="0"/>
                <w:numId w:val="0"/>
              </w:numPr>
              <w:jc w:val="center"/>
              <w:rPr>
                <w:rFonts w:hint="eastAsia" w:ascii="仿宋" w:hAnsi="仿宋" w:eastAsia="仿宋" w:cs="仿宋"/>
                <w:color w:val="auto"/>
                <w:sz w:val="24"/>
                <w:szCs w:val="24"/>
                <w:vertAlign w:val="baseline"/>
              </w:rPr>
            </w:pPr>
          </w:p>
        </w:tc>
        <w:tc>
          <w:tcPr>
            <w:tcW w:w="1761" w:type="dxa"/>
            <w:vAlign w:val="center"/>
          </w:tcPr>
          <w:p w14:paraId="45CAEBBE">
            <w:pPr>
              <w:pStyle w:val="12"/>
              <w:numPr>
                <w:ilvl w:val="0"/>
                <w:numId w:val="0"/>
              </w:numPr>
              <w:jc w:val="center"/>
              <w:rPr>
                <w:rFonts w:hint="eastAsia" w:ascii="仿宋" w:hAnsi="仿宋" w:eastAsia="仿宋" w:cs="仿宋"/>
                <w:color w:val="auto"/>
                <w:sz w:val="24"/>
                <w:szCs w:val="24"/>
                <w:vertAlign w:val="baseline"/>
              </w:rPr>
            </w:pPr>
          </w:p>
        </w:tc>
        <w:tc>
          <w:tcPr>
            <w:tcW w:w="2489" w:type="dxa"/>
            <w:gridSpan w:val="2"/>
            <w:vAlign w:val="center"/>
          </w:tcPr>
          <w:p w14:paraId="7D136BC3">
            <w:pPr>
              <w:pStyle w:val="12"/>
              <w:numPr>
                <w:ilvl w:val="0"/>
                <w:numId w:val="0"/>
              </w:numPr>
              <w:jc w:val="center"/>
              <w:rPr>
                <w:rFonts w:hint="eastAsia" w:ascii="仿宋" w:hAnsi="仿宋" w:eastAsia="仿宋" w:cs="仿宋"/>
                <w:color w:val="auto"/>
                <w:sz w:val="24"/>
                <w:szCs w:val="24"/>
                <w:vertAlign w:val="baseline"/>
              </w:rPr>
            </w:pPr>
          </w:p>
        </w:tc>
      </w:tr>
      <w:tr w14:paraId="0EA2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90" w:type="dxa"/>
            <w:vAlign w:val="center"/>
          </w:tcPr>
          <w:p w14:paraId="37F5337F">
            <w:pPr>
              <w:pStyle w:val="13"/>
              <w:ind w:left="0" w:leftChars="0" w:firstLine="0" w:firstLineChars="0"/>
              <w:jc w:val="center"/>
              <w:rPr>
                <w:rFonts w:hint="eastAsia" w:ascii="仿宋" w:hAnsi="仿宋" w:eastAsia="仿宋" w:cs="仿宋"/>
                <w:color w:val="auto"/>
                <w:sz w:val="24"/>
                <w:szCs w:val="24"/>
              </w:rPr>
            </w:pPr>
          </w:p>
        </w:tc>
        <w:tc>
          <w:tcPr>
            <w:tcW w:w="1242" w:type="dxa"/>
            <w:vAlign w:val="center"/>
          </w:tcPr>
          <w:p w14:paraId="0797B29D">
            <w:pPr>
              <w:pStyle w:val="12"/>
              <w:numPr>
                <w:ilvl w:val="0"/>
                <w:numId w:val="0"/>
              </w:numPr>
              <w:jc w:val="center"/>
              <w:rPr>
                <w:rFonts w:hint="eastAsia" w:ascii="仿宋" w:hAnsi="仿宋" w:eastAsia="仿宋" w:cs="仿宋"/>
                <w:color w:val="auto"/>
                <w:sz w:val="24"/>
                <w:szCs w:val="24"/>
                <w:vertAlign w:val="baseline"/>
              </w:rPr>
            </w:pPr>
          </w:p>
        </w:tc>
        <w:tc>
          <w:tcPr>
            <w:tcW w:w="1416" w:type="dxa"/>
            <w:vAlign w:val="center"/>
          </w:tcPr>
          <w:p w14:paraId="06DA9801">
            <w:pPr>
              <w:pStyle w:val="12"/>
              <w:numPr>
                <w:ilvl w:val="0"/>
                <w:numId w:val="0"/>
              </w:numPr>
              <w:jc w:val="center"/>
              <w:rPr>
                <w:rFonts w:hint="eastAsia" w:ascii="仿宋" w:hAnsi="仿宋" w:eastAsia="仿宋" w:cs="仿宋"/>
                <w:color w:val="auto"/>
                <w:sz w:val="24"/>
                <w:szCs w:val="24"/>
                <w:vertAlign w:val="baseline"/>
              </w:rPr>
            </w:pPr>
          </w:p>
        </w:tc>
        <w:tc>
          <w:tcPr>
            <w:tcW w:w="1761" w:type="dxa"/>
            <w:vAlign w:val="center"/>
          </w:tcPr>
          <w:p w14:paraId="730C6519">
            <w:pPr>
              <w:pStyle w:val="12"/>
              <w:numPr>
                <w:ilvl w:val="0"/>
                <w:numId w:val="0"/>
              </w:numPr>
              <w:jc w:val="center"/>
              <w:rPr>
                <w:rFonts w:hint="eastAsia" w:ascii="仿宋" w:hAnsi="仿宋" w:eastAsia="仿宋" w:cs="仿宋"/>
                <w:color w:val="auto"/>
                <w:sz w:val="24"/>
                <w:szCs w:val="24"/>
                <w:vertAlign w:val="baseline"/>
              </w:rPr>
            </w:pPr>
          </w:p>
        </w:tc>
        <w:tc>
          <w:tcPr>
            <w:tcW w:w="2489" w:type="dxa"/>
            <w:gridSpan w:val="2"/>
            <w:vAlign w:val="center"/>
          </w:tcPr>
          <w:p w14:paraId="7E879C47">
            <w:pPr>
              <w:pStyle w:val="12"/>
              <w:numPr>
                <w:ilvl w:val="0"/>
                <w:numId w:val="0"/>
              </w:numPr>
              <w:jc w:val="center"/>
              <w:rPr>
                <w:rFonts w:hint="eastAsia" w:ascii="仿宋" w:hAnsi="仿宋" w:eastAsia="仿宋" w:cs="仿宋"/>
                <w:color w:val="auto"/>
                <w:sz w:val="24"/>
                <w:szCs w:val="24"/>
                <w:vertAlign w:val="baseline"/>
              </w:rPr>
            </w:pPr>
          </w:p>
        </w:tc>
      </w:tr>
    </w:tbl>
    <w:p w14:paraId="04E8D2C7">
      <w:pPr>
        <w:pStyle w:val="12"/>
        <w:numPr>
          <w:ilvl w:val="0"/>
          <w:numId w:val="0"/>
        </w:num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注：后附项目负责人相关证件、证明材料 </w:t>
      </w:r>
    </w:p>
    <w:p w14:paraId="11B152CB">
      <w:pPr>
        <w:pStyle w:val="12"/>
        <w:numPr>
          <w:ilvl w:val="0"/>
          <w:numId w:val="0"/>
        </w:numPr>
        <w:ind w:firstLine="5040" w:firstLineChars="2100"/>
        <w:rPr>
          <w:rFonts w:hint="eastAsia" w:ascii="仿宋" w:hAnsi="仿宋" w:eastAsia="仿宋" w:cs="仿宋"/>
          <w:color w:val="auto"/>
          <w:sz w:val="24"/>
          <w:szCs w:val="24"/>
          <w:lang w:val="en-US" w:eastAsia="zh-CN"/>
        </w:rPr>
      </w:pPr>
    </w:p>
    <w:p w14:paraId="59DAC852">
      <w:pPr>
        <w:pStyle w:val="12"/>
        <w:numPr>
          <w:ilvl w:val="0"/>
          <w:numId w:val="0"/>
        </w:numPr>
        <w:ind w:firstLine="5040" w:firstLineChars="2100"/>
        <w:rPr>
          <w:rFonts w:hint="eastAsia" w:ascii="仿宋" w:hAnsi="仿宋" w:eastAsia="仿宋" w:cs="仿宋"/>
          <w:color w:val="auto"/>
          <w:sz w:val="24"/>
          <w:szCs w:val="24"/>
          <w:lang w:val="en-US" w:eastAsia="zh-CN"/>
        </w:rPr>
      </w:pPr>
    </w:p>
    <w:p w14:paraId="0C62D21D">
      <w:pPr>
        <w:pStyle w:val="12"/>
        <w:numPr>
          <w:ilvl w:val="0"/>
          <w:numId w:val="0"/>
        </w:numPr>
        <w:ind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响应供应商（盖章）： </w:t>
      </w:r>
    </w:p>
    <w:p w14:paraId="29D0728F">
      <w:pPr>
        <w:pStyle w:val="12"/>
        <w:numPr>
          <w:ilvl w:val="0"/>
          <w:numId w:val="0"/>
        </w:numPr>
        <w:ind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法人或被授权人签字或盖章： </w:t>
      </w:r>
    </w:p>
    <w:p w14:paraId="5374FEC0">
      <w:pPr>
        <w:pStyle w:val="12"/>
        <w:numPr>
          <w:ilvl w:val="0"/>
          <w:numId w:val="0"/>
        </w:numPr>
        <w:ind w:firstLine="5280" w:firstLineChars="2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日 期：</w:t>
      </w:r>
    </w:p>
    <w:p w14:paraId="6CF2AC46">
      <w:pPr>
        <w:pStyle w:val="12"/>
        <w:numPr>
          <w:ilvl w:val="0"/>
          <w:numId w:val="0"/>
        </w:numPr>
        <w:rPr>
          <w:rFonts w:hint="eastAsia" w:ascii="仿宋" w:hAnsi="仿宋" w:eastAsia="仿宋" w:cs="仿宋"/>
          <w:color w:val="auto"/>
          <w:sz w:val="24"/>
          <w:szCs w:val="24"/>
        </w:rPr>
      </w:pPr>
    </w:p>
    <w:p w14:paraId="5149012E">
      <w:pPr>
        <w:pStyle w:val="26"/>
        <w:bidi w:val="0"/>
        <w:outlineLvl w:val="9"/>
        <w:rPr>
          <w:rFonts w:hint="eastAsia" w:ascii="仿宋" w:hAnsi="仿宋" w:eastAsia="仿宋" w:cs="仿宋"/>
          <w:color w:val="auto"/>
          <w:sz w:val="24"/>
          <w:szCs w:val="24"/>
          <w:lang w:val="en-US" w:eastAsia="zh-CN"/>
        </w:rPr>
      </w:pPr>
    </w:p>
    <w:p w14:paraId="35F8A78A">
      <w:pPr>
        <w:spacing w:line="450" w:lineRule="atLeast"/>
        <w:outlineLvl w:val="9"/>
        <w:rPr>
          <w:rFonts w:hint="eastAsia" w:ascii="仿宋" w:hAnsi="仿宋" w:eastAsia="仿宋" w:cs="仿宋"/>
          <w:b/>
          <w:color w:val="auto"/>
          <w:sz w:val="24"/>
          <w:szCs w:val="24"/>
          <w:lang w:val="en-US" w:eastAsia="zh-CN"/>
        </w:rPr>
      </w:pPr>
    </w:p>
    <w:p w14:paraId="62E8C3F0">
      <w:pPr>
        <w:pStyle w:val="26"/>
        <w:bidi w:val="0"/>
        <w:rPr>
          <w:rFonts w:hint="eastAsia" w:ascii="仿宋" w:hAnsi="仿宋" w:eastAsia="仿宋" w:cs="仿宋"/>
          <w:color w:val="auto"/>
          <w:lang w:val="en-US" w:eastAsia="zh-CN"/>
        </w:rPr>
      </w:pPr>
    </w:p>
    <w:p w14:paraId="47722F33">
      <w:pPr>
        <w:spacing w:line="450" w:lineRule="atLeast"/>
        <w:outlineLvl w:val="9"/>
        <w:rPr>
          <w:rFonts w:hint="eastAsia" w:ascii="仿宋" w:hAnsi="仿宋" w:eastAsia="仿宋" w:cs="仿宋"/>
          <w:b/>
          <w:color w:val="auto"/>
          <w:sz w:val="24"/>
          <w:szCs w:val="24"/>
          <w:lang w:val="en-US" w:eastAsia="zh-CN"/>
        </w:rPr>
      </w:pPr>
    </w:p>
    <w:p w14:paraId="07E6DD61">
      <w:pPr>
        <w:keepNext w:val="0"/>
        <w:keepLines w:val="0"/>
        <w:widowControl/>
        <w:suppressLineNumbers w:val="0"/>
        <w:jc w:val="center"/>
        <w:rPr>
          <w:rFonts w:hint="eastAsia" w:ascii="仿宋" w:hAnsi="仿宋" w:eastAsia="仿宋" w:cs="仿宋"/>
          <w:b/>
          <w:bCs/>
          <w:color w:val="auto"/>
          <w:kern w:val="0"/>
          <w:sz w:val="32"/>
          <w:szCs w:val="32"/>
          <w:lang w:val="en-US" w:eastAsia="zh-CN" w:bidi="ar"/>
        </w:rPr>
      </w:pPr>
      <w:bookmarkStart w:id="115" w:name="_Toc17925_WPSOffice_Level1"/>
      <w:bookmarkStart w:id="116" w:name="_Toc324_WPSOffice_Level1"/>
      <w:bookmarkStart w:id="117" w:name="_Toc16014_WPSOffice_Level1"/>
      <w:bookmarkStart w:id="118" w:name="_Toc15909_WPSOffice_Level1"/>
      <w:bookmarkStart w:id="119" w:name="_Toc26386_WPSOffice_Level1"/>
      <w:bookmarkStart w:id="120" w:name="_Toc22272_WPSOffice_Level1"/>
      <w:bookmarkStart w:id="121" w:name="_Toc17147_WPSOffice_Level1"/>
      <w:bookmarkStart w:id="122" w:name="_Toc20159_WPSOffice_Level1"/>
      <w:r>
        <w:rPr>
          <w:rFonts w:hint="eastAsia" w:ascii="仿宋" w:hAnsi="仿宋" w:eastAsia="仿宋" w:cs="仿宋"/>
          <w:b/>
          <w:bCs/>
          <w:color w:val="auto"/>
          <w:kern w:val="0"/>
          <w:sz w:val="32"/>
          <w:szCs w:val="32"/>
          <w:lang w:val="en-US" w:eastAsia="zh-CN" w:bidi="ar"/>
        </w:rPr>
        <w:t>九、拟投入本项目其他人员表</w:t>
      </w:r>
    </w:p>
    <w:tbl>
      <w:tblPr>
        <w:tblStyle w:val="34"/>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157"/>
        <w:gridCol w:w="933"/>
        <w:gridCol w:w="1283"/>
        <w:gridCol w:w="1083"/>
        <w:gridCol w:w="923"/>
        <w:gridCol w:w="804"/>
        <w:gridCol w:w="1176"/>
        <w:gridCol w:w="744"/>
      </w:tblGrid>
      <w:tr w14:paraId="318A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vMerge w:val="restart"/>
            <w:noWrap w:val="0"/>
            <w:vAlign w:val="center"/>
          </w:tcPr>
          <w:p w14:paraId="12843888">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职务</w:t>
            </w:r>
          </w:p>
        </w:tc>
        <w:tc>
          <w:tcPr>
            <w:tcW w:w="1157" w:type="dxa"/>
            <w:vMerge w:val="restart"/>
            <w:noWrap w:val="0"/>
            <w:vAlign w:val="center"/>
          </w:tcPr>
          <w:p w14:paraId="11F51199">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姓名</w:t>
            </w:r>
          </w:p>
        </w:tc>
        <w:tc>
          <w:tcPr>
            <w:tcW w:w="933" w:type="dxa"/>
            <w:vMerge w:val="restart"/>
            <w:noWrap w:val="0"/>
            <w:vAlign w:val="center"/>
          </w:tcPr>
          <w:p w14:paraId="27ED6E7A">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职称</w:t>
            </w:r>
          </w:p>
        </w:tc>
        <w:tc>
          <w:tcPr>
            <w:tcW w:w="5269" w:type="dxa"/>
            <w:gridSpan w:val="5"/>
            <w:noWrap w:val="0"/>
            <w:vAlign w:val="center"/>
          </w:tcPr>
          <w:p w14:paraId="745DCD15">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执业或职业资格证明</w:t>
            </w:r>
          </w:p>
        </w:tc>
        <w:tc>
          <w:tcPr>
            <w:tcW w:w="744" w:type="dxa"/>
            <w:noWrap w:val="0"/>
            <w:vAlign w:val="center"/>
          </w:tcPr>
          <w:p w14:paraId="756D1C81">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备注</w:t>
            </w:r>
          </w:p>
        </w:tc>
      </w:tr>
      <w:tr w14:paraId="6F91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474" w:type="dxa"/>
            <w:vMerge w:val="continue"/>
            <w:noWrap w:val="0"/>
            <w:vAlign w:val="center"/>
          </w:tcPr>
          <w:p w14:paraId="1CFC8182">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vMerge w:val="continue"/>
            <w:noWrap w:val="0"/>
            <w:vAlign w:val="center"/>
          </w:tcPr>
          <w:p w14:paraId="4BF872D4">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vMerge w:val="continue"/>
            <w:noWrap w:val="0"/>
            <w:vAlign w:val="center"/>
          </w:tcPr>
          <w:p w14:paraId="6887FF03">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535BB9B1">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证书名称</w:t>
            </w:r>
          </w:p>
        </w:tc>
        <w:tc>
          <w:tcPr>
            <w:tcW w:w="1083" w:type="dxa"/>
            <w:noWrap w:val="0"/>
            <w:vAlign w:val="center"/>
          </w:tcPr>
          <w:p w14:paraId="1CFC7B03">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级别</w:t>
            </w:r>
          </w:p>
        </w:tc>
        <w:tc>
          <w:tcPr>
            <w:tcW w:w="923" w:type="dxa"/>
            <w:noWrap w:val="0"/>
            <w:vAlign w:val="center"/>
          </w:tcPr>
          <w:p w14:paraId="12ED4110">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证号</w:t>
            </w:r>
          </w:p>
        </w:tc>
        <w:tc>
          <w:tcPr>
            <w:tcW w:w="804" w:type="dxa"/>
            <w:noWrap w:val="0"/>
            <w:vAlign w:val="center"/>
          </w:tcPr>
          <w:p w14:paraId="1E03BDDC">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专业</w:t>
            </w:r>
          </w:p>
        </w:tc>
        <w:tc>
          <w:tcPr>
            <w:tcW w:w="1176" w:type="dxa"/>
            <w:noWrap w:val="0"/>
            <w:vAlign w:val="center"/>
          </w:tcPr>
          <w:p w14:paraId="7308E812">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养老保险</w:t>
            </w:r>
          </w:p>
        </w:tc>
        <w:tc>
          <w:tcPr>
            <w:tcW w:w="744" w:type="dxa"/>
            <w:noWrap w:val="0"/>
            <w:vAlign w:val="center"/>
          </w:tcPr>
          <w:p w14:paraId="221396E7">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6355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noWrap w:val="0"/>
            <w:vAlign w:val="center"/>
          </w:tcPr>
          <w:p w14:paraId="2B890523">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0B984A26">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21C8788E">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41D8F0A4">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47161031">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1925A4F2">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804" w:type="dxa"/>
            <w:noWrap w:val="0"/>
            <w:vAlign w:val="center"/>
          </w:tcPr>
          <w:p w14:paraId="472EEC60">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76" w:type="dxa"/>
            <w:noWrap w:val="0"/>
            <w:vAlign w:val="center"/>
          </w:tcPr>
          <w:p w14:paraId="132619A3">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271883FC">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69BE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noWrap w:val="0"/>
            <w:vAlign w:val="center"/>
          </w:tcPr>
          <w:p w14:paraId="43CF9EB0">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3F4F3F0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3D27793E">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2D94FF6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5FD33A9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28ACE8FF">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804" w:type="dxa"/>
            <w:noWrap w:val="0"/>
            <w:vAlign w:val="center"/>
          </w:tcPr>
          <w:p w14:paraId="6DE8308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76" w:type="dxa"/>
            <w:noWrap w:val="0"/>
            <w:vAlign w:val="center"/>
          </w:tcPr>
          <w:p w14:paraId="675C75CD">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70A36B34">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4D5D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noWrap w:val="0"/>
            <w:vAlign w:val="center"/>
          </w:tcPr>
          <w:p w14:paraId="6A4AB7EF">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453073D9">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77216E1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63500B3A">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10AF51A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3B09CC1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804" w:type="dxa"/>
            <w:noWrap w:val="0"/>
            <w:vAlign w:val="center"/>
          </w:tcPr>
          <w:p w14:paraId="55377EF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76" w:type="dxa"/>
            <w:noWrap w:val="0"/>
            <w:vAlign w:val="center"/>
          </w:tcPr>
          <w:p w14:paraId="50BA411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344B7BCC">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6FF5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noWrap w:val="0"/>
            <w:vAlign w:val="center"/>
          </w:tcPr>
          <w:p w14:paraId="714FE436">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3C10EA89">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5B6D8C06">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4250B660">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6F4BAF36">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274FFC72">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804" w:type="dxa"/>
            <w:noWrap w:val="0"/>
            <w:vAlign w:val="center"/>
          </w:tcPr>
          <w:p w14:paraId="37635E9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76" w:type="dxa"/>
            <w:noWrap w:val="0"/>
            <w:vAlign w:val="center"/>
          </w:tcPr>
          <w:p w14:paraId="627130A9">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177FBD1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764E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4" w:type="dxa"/>
            <w:noWrap w:val="0"/>
            <w:vAlign w:val="center"/>
          </w:tcPr>
          <w:p w14:paraId="0073A224">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331EDD0B">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698A57B1">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09553411">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20860AEB">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0D63246F">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804" w:type="dxa"/>
            <w:noWrap w:val="0"/>
            <w:vAlign w:val="center"/>
          </w:tcPr>
          <w:p w14:paraId="40110111">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76" w:type="dxa"/>
            <w:noWrap w:val="0"/>
            <w:vAlign w:val="center"/>
          </w:tcPr>
          <w:p w14:paraId="2BB2BE0D">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5F936EEB">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bl>
    <w:p w14:paraId="2F466F09">
      <w:pPr>
        <w:keepNext w:val="0"/>
        <w:keepLines w:val="0"/>
        <w:widowControl/>
        <w:suppressLineNumbers w:val="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注：后附相关证件、证明材料。</w:t>
      </w:r>
    </w:p>
    <w:p w14:paraId="6485EB50">
      <w:pPr>
        <w:pStyle w:val="12"/>
        <w:rPr>
          <w:rFonts w:hint="eastAsia" w:ascii="仿宋" w:hAnsi="仿宋" w:eastAsia="仿宋" w:cs="仿宋"/>
          <w:color w:val="auto"/>
          <w:sz w:val="24"/>
          <w:szCs w:val="24"/>
        </w:rPr>
      </w:pPr>
    </w:p>
    <w:p w14:paraId="7ED41173">
      <w:pPr>
        <w:pStyle w:val="13"/>
        <w:rPr>
          <w:rFonts w:hint="eastAsia" w:ascii="仿宋" w:hAnsi="仿宋" w:eastAsia="仿宋" w:cs="仿宋"/>
          <w:color w:val="auto"/>
          <w:sz w:val="24"/>
          <w:szCs w:val="24"/>
        </w:rPr>
      </w:pPr>
    </w:p>
    <w:p w14:paraId="3C3FFB63">
      <w:pPr>
        <w:rPr>
          <w:rFonts w:hint="eastAsia" w:ascii="仿宋" w:hAnsi="仿宋" w:eastAsia="仿宋" w:cs="仿宋"/>
          <w:color w:val="auto"/>
          <w:sz w:val="24"/>
          <w:szCs w:val="24"/>
        </w:rPr>
      </w:pPr>
    </w:p>
    <w:p w14:paraId="576972A6">
      <w:pPr>
        <w:keepNext w:val="0"/>
        <w:keepLines w:val="0"/>
        <w:widowControl/>
        <w:suppressLineNumbers w:val="0"/>
        <w:ind w:firstLine="4560" w:firstLineChars="19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响应供应商（盖章）：</w:t>
      </w:r>
    </w:p>
    <w:p w14:paraId="6163546F">
      <w:pPr>
        <w:keepNext w:val="0"/>
        <w:keepLines w:val="0"/>
        <w:widowControl/>
        <w:suppressLineNumbers w:val="0"/>
        <w:ind w:firstLine="4560" w:firstLineChars="19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 </w:t>
      </w:r>
    </w:p>
    <w:p w14:paraId="69047B55">
      <w:pPr>
        <w:keepNext w:val="0"/>
        <w:keepLines w:val="0"/>
        <w:widowControl/>
        <w:suppressLineNumbers w:val="0"/>
        <w:ind w:firstLine="4080" w:firstLineChars="17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法人或被授权人签字或盖章：</w:t>
      </w:r>
    </w:p>
    <w:p w14:paraId="4894E7D7">
      <w:pPr>
        <w:keepNext w:val="0"/>
        <w:keepLines w:val="0"/>
        <w:widowControl/>
        <w:suppressLineNumbers w:val="0"/>
        <w:ind w:firstLine="4080" w:firstLineChars="17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 </w:t>
      </w:r>
    </w:p>
    <w:p w14:paraId="11821255">
      <w:pPr>
        <w:keepNext w:val="0"/>
        <w:keepLines w:val="0"/>
        <w:widowControl/>
        <w:suppressLineNumbers w:val="0"/>
        <w:ind w:firstLine="4800" w:firstLineChars="20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日 期：</w:t>
      </w:r>
    </w:p>
    <w:p w14:paraId="53695C00">
      <w:pPr>
        <w:pStyle w:val="12"/>
        <w:rPr>
          <w:rFonts w:hint="eastAsia" w:ascii="仿宋" w:hAnsi="仿宋" w:eastAsia="仿宋" w:cs="仿宋"/>
          <w:color w:val="auto"/>
          <w:sz w:val="24"/>
          <w:szCs w:val="24"/>
        </w:rPr>
      </w:pPr>
    </w:p>
    <w:p w14:paraId="052A75D8">
      <w:pPr>
        <w:numPr>
          <w:ilvl w:val="0"/>
          <w:numId w:val="0"/>
        </w:numPr>
        <w:jc w:val="center"/>
        <w:outlineLvl w:val="9"/>
        <w:rPr>
          <w:rFonts w:hint="eastAsia" w:ascii="仿宋" w:hAnsi="仿宋" w:eastAsia="仿宋" w:cs="仿宋"/>
          <w:b/>
          <w:color w:val="auto"/>
          <w:spacing w:val="20"/>
          <w:sz w:val="24"/>
          <w:szCs w:val="24"/>
          <w:lang w:val="en-US" w:eastAsia="zh-CN"/>
        </w:rPr>
      </w:pPr>
    </w:p>
    <w:p w14:paraId="0E274254">
      <w:pPr>
        <w:pStyle w:val="26"/>
        <w:bidi w:val="0"/>
        <w:outlineLvl w:val="9"/>
        <w:rPr>
          <w:rFonts w:hint="eastAsia" w:ascii="仿宋" w:hAnsi="仿宋" w:eastAsia="仿宋" w:cs="仿宋"/>
          <w:color w:val="auto"/>
          <w:sz w:val="24"/>
          <w:szCs w:val="24"/>
          <w:lang w:val="en-US" w:eastAsia="zh-CN"/>
        </w:rPr>
      </w:pPr>
    </w:p>
    <w:p w14:paraId="544680EA">
      <w:pPr>
        <w:pStyle w:val="26"/>
        <w:bidi w:val="0"/>
        <w:outlineLvl w:val="9"/>
        <w:rPr>
          <w:rFonts w:hint="eastAsia" w:ascii="仿宋" w:hAnsi="仿宋" w:eastAsia="仿宋" w:cs="仿宋"/>
          <w:color w:val="auto"/>
          <w:sz w:val="24"/>
          <w:szCs w:val="24"/>
          <w:lang w:val="en-US" w:eastAsia="zh-CN"/>
        </w:rPr>
      </w:pPr>
    </w:p>
    <w:p w14:paraId="61929FDE">
      <w:pPr>
        <w:pStyle w:val="26"/>
        <w:bidi w:val="0"/>
        <w:outlineLvl w:val="9"/>
        <w:rPr>
          <w:rFonts w:hint="eastAsia" w:ascii="仿宋" w:hAnsi="仿宋" w:eastAsia="仿宋" w:cs="仿宋"/>
          <w:color w:val="auto"/>
          <w:sz w:val="24"/>
          <w:szCs w:val="24"/>
          <w:lang w:val="en-US" w:eastAsia="zh-CN"/>
        </w:rPr>
      </w:pPr>
    </w:p>
    <w:p w14:paraId="30D5ED65">
      <w:pPr>
        <w:pStyle w:val="26"/>
        <w:bidi w:val="0"/>
        <w:outlineLvl w:val="9"/>
        <w:rPr>
          <w:rFonts w:hint="eastAsia" w:ascii="仿宋" w:hAnsi="仿宋" w:eastAsia="仿宋" w:cs="仿宋"/>
          <w:color w:val="auto"/>
          <w:sz w:val="24"/>
          <w:szCs w:val="24"/>
          <w:lang w:val="en-US" w:eastAsia="zh-CN"/>
        </w:rPr>
      </w:pPr>
    </w:p>
    <w:p w14:paraId="069B0DD7">
      <w:pPr>
        <w:keepNext w:val="0"/>
        <w:keepLines w:val="0"/>
        <w:widowControl/>
        <w:suppressLineNumbers w:val="0"/>
        <w:jc w:val="center"/>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十、2022年11月至今类似项目业绩表</w:t>
      </w:r>
    </w:p>
    <w:p w14:paraId="000A7122">
      <w:pPr>
        <w:pStyle w:val="12"/>
        <w:rPr>
          <w:rFonts w:hint="eastAsia" w:ascii="仿宋" w:hAnsi="仿宋" w:eastAsia="仿宋" w:cs="仿宋"/>
          <w:color w:val="auto"/>
          <w:sz w:val="24"/>
          <w:szCs w:val="24"/>
        </w:rPr>
      </w:pPr>
    </w:p>
    <w:tbl>
      <w:tblPr>
        <w:tblStyle w:val="35"/>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795"/>
        <w:gridCol w:w="1795"/>
        <w:gridCol w:w="1796"/>
        <w:gridCol w:w="1796"/>
      </w:tblGrid>
      <w:tr w14:paraId="5042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95" w:type="dxa"/>
            <w:vAlign w:val="center"/>
          </w:tcPr>
          <w:p w14:paraId="690DFD82">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序号</w:t>
            </w:r>
          </w:p>
        </w:tc>
        <w:tc>
          <w:tcPr>
            <w:tcW w:w="1795" w:type="dxa"/>
            <w:vAlign w:val="center"/>
          </w:tcPr>
          <w:p w14:paraId="17988CE1">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项目名称</w:t>
            </w:r>
          </w:p>
        </w:tc>
        <w:tc>
          <w:tcPr>
            <w:tcW w:w="1795" w:type="dxa"/>
            <w:vAlign w:val="center"/>
          </w:tcPr>
          <w:p w14:paraId="7A4C9B10">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服务内容</w:t>
            </w:r>
          </w:p>
        </w:tc>
        <w:tc>
          <w:tcPr>
            <w:tcW w:w="1796" w:type="dxa"/>
            <w:vAlign w:val="center"/>
          </w:tcPr>
          <w:p w14:paraId="1453167D">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项目实施单位</w:t>
            </w:r>
          </w:p>
        </w:tc>
        <w:tc>
          <w:tcPr>
            <w:tcW w:w="1796" w:type="dxa"/>
            <w:vAlign w:val="center"/>
          </w:tcPr>
          <w:p w14:paraId="75A37987">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备注</w:t>
            </w:r>
          </w:p>
        </w:tc>
      </w:tr>
      <w:tr w14:paraId="0807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08540BD3">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6CCA90BE">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77DE4BBF">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6CDC0B24">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6956D094">
            <w:pPr>
              <w:pStyle w:val="26"/>
              <w:bidi w:val="0"/>
              <w:jc w:val="center"/>
              <w:outlineLvl w:val="9"/>
              <w:rPr>
                <w:rFonts w:hint="eastAsia" w:ascii="仿宋" w:hAnsi="仿宋" w:eastAsia="仿宋" w:cs="仿宋"/>
                <w:color w:val="auto"/>
                <w:sz w:val="24"/>
                <w:szCs w:val="24"/>
                <w:vertAlign w:val="baseline"/>
                <w:lang w:val="en-US" w:eastAsia="zh-CN"/>
              </w:rPr>
            </w:pPr>
          </w:p>
        </w:tc>
      </w:tr>
      <w:tr w14:paraId="0967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7D9807F9">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5537976C">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6B66B635">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71C32DED">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4FB37D9D">
            <w:pPr>
              <w:pStyle w:val="26"/>
              <w:bidi w:val="0"/>
              <w:jc w:val="center"/>
              <w:outlineLvl w:val="9"/>
              <w:rPr>
                <w:rFonts w:hint="eastAsia" w:ascii="仿宋" w:hAnsi="仿宋" w:eastAsia="仿宋" w:cs="仿宋"/>
                <w:color w:val="auto"/>
                <w:sz w:val="24"/>
                <w:szCs w:val="24"/>
                <w:vertAlign w:val="baseline"/>
                <w:lang w:val="en-US" w:eastAsia="zh-CN"/>
              </w:rPr>
            </w:pPr>
          </w:p>
        </w:tc>
      </w:tr>
      <w:tr w14:paraId="764A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1C7F2B82">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0BA5C678">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58B73D4F">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1CA86EC0">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13579A3F">
            <w:pPr>
              <w:pStyle w:val="26"/>
              <w:bidi w:val="0"/>
              <w:jc w:val="center"/>
              <w:outlineLvl w:val="9"/>
              <w:rPr>
                <w:rFonts w:hint="eastAsia" w:ascii="仿宋" w:hAnsi="仿宋" w:eastAsia="仿宋" w:cs="仿宋"/>
                <w:color w:val="auto"/>
                <w:sz w:val="24"/>
                <w:szCs w:val="24"/>
                <w:vertAlign w:val="baseline"/>
                <w:lang w:val="en-US" w:eastAsia="zh-CN"/>
              </w:rPr>
            </w:pPr>
          </w:p>
        </w:tc>
      </w:tr>
      <w:tr w14:paraId="09CF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5717CED1">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342AD949">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731651E4">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0DD676DF">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677F6165">
            <w:pPr>
              <w:pStyle w:val="26"/>
              <w:bidi w:val="0"/>
              <w:jc w:val="center"/>
              <w:outlineLvl w:val="9"/>
              <w:rPr>
                <w:rFonts w:hint="eastAsia" w:ascii="仿宋" w:hAnsi="仿宋" w:eastAsia="仿宋" w:cs="仿宋"/>
                <w:color w:val="auto"/>
                <w:sz w:val="24"/>
                <w:szCs w:val="24"/>
                <w:vertAlign w:val="baseline"/>
                <w:lang w:val="en-US" w:eastAsia="zh-CN"/>
              </w:rPr>
            </w:pPr>
          </w:p>
        </w:tc>
      </w:tr>
      <w:tr w14:paraId="11F1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95" w:type="dxa"/>
            <w:vAlign w:val="center"/>
          </w:tcPr>
          <w:p w14:paraId="6EFF0534">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2039CBA8">
            <w:pPr>
              <w:pStyle w:val="26"/>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102D6BBA">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0A435766">
            <w:pPr>
              <w:pStyle w:val="26"/>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203D3D73">
            <w:pPr>
              <w:pStyle w:val="26"/>
              <w:bidi w:val="0"/>
              <w:jc w:val="center"/>
              <w:outlineLvl w:val="9"/>
              <w:rPr>
                <w:rFonts w:hint="eastAsia" w:ascii="仿宋" w:hAnsi="仿宋" w:eastAsia="仿宋" w:cs="仿宋"/>
                <w:color w:val="auto"/>
                <w:sz w:val="24"/>
                <w:szCs w:val="24"/>
                <w:vertAlign w:val="baseline"/>
                <w:lang w:val="en-US" w:eastAsia="zh-CN"/>
              </w:rPr>
            </w:pPr>
          </w:p>
        </w:tc>
      </w:tr>
    </w:tbl>
    <w:p w14:paraId="2BBBD9AF">
      <w:pPr>
        <w:keepNext w:val="0"/>
        <w:keepLines w:val="0"/>
        <w:widowControl/>
        <w:suppressLineNumbers w:val="0"/>
        <w:jc w:val="left"/>
        <w:rPr>
          <w:rFonts w:hint="eastAsia" w:ascii="仿宋" w:hAnsi="仿宋" w:eastAsia="仿宋" w:cs="仿宋"/>
          <w:color w:val="auto"/>
          <w:kern w:val="0"/>
          <w:sz w:val="24"/>
          <w:szCs w:val="24"/>
          <w:lang w:val="en-US" w:eastAsia="zh-CN" w:bidi="ar"/>
        </w:rPr>
      </w:pPr>
    </w:p>
    <w:p w14:paraId="01EC1222">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注：项目</w:t>
      </w:r>
      <w:r>
        <w:rPr>
          <w:rFonts w:hint="eastAsia" w:ascii="仿宋" w:hAnsi="仿宋" w:eastAsia="仿宋" w:cs="仿宋"/>
          <w:color w:val="auto"/>
          <w:sz w:val="24"/>
          <w:szCs w:val="24"/>
          <w:highlight w:val="none"/>
          <w:shd w:val="clear" w:color="auto" w:fill="auto"/>
          <w:lang w:val="en-US" w:eastAsia="zh-CN"/>
        </w:rPr>
        <w:t>业绩证明材料以类似项目中标通知书或合同扫描件为准</w:t>
      </w:r>
      <w:r>
        <w:rPr>
          <w:rFonts w:hint="eastAsia" w:ascii="仿宋" w:hAnsi="仿宋" w:eastAsia="仿宋" w:cs="仿宋"/>
          <w:color w:val="auto"/>
          <w:kern w:val="0"/>
          <w:sz w:val="24"/>
          <w:szCs w:val="24"/>
          <w:lang w:val="en-US" w:eastAsia="zh-CN" w:bidi="ar"/>
        </w:rPr>
        <w:t xml:space="preserve">，不附证明文件不算业绩。 </w:t>
      </w:r>
    </w:p>
    <w:p w14:paraId="552E5693">
      <w:pPr>
        <w:pStyle w:val="12"/>
        <w:rPr>
          <w:rFonts w:hint="eastAsia" w:ascii="仿宋" w:hAnsi="仿宋" w:eastAsia="仿宋" w:cs="仿宋"/>
          <w:color w:val="auto"/>
          <w:sz w:val="24"/>
          <w:szCs w:val="24"/>
        </w:rPr>
      </w:pPr>
    </w:p>
    <w:p w14:paraId="1AFDD225">
      <w:pPr>
        <w:keepNext w:val="0"/>
        <w:keepLines w:val="0"/>
        <w:widowControl/>
        <w:suppressLineNumbers w:val="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如无业绩可填无。 </w:t>
      </w:r>
    </w:p>
    <w:p w14:paraId="3BCC0969">
      <w:pPr>
        <w:keepNext w:val="0"/>
        <w:keepLines w:val="0"/>
        <w:widowControl/>
        <w:suppressLineNumbers w:val="0"/>
        <w:jc w:val="left"/>
        <w:rPr>
          <w:rFonts w:hint="eastAsia" w:ascii="仿宋" w:hAnsi="仿宋" w:eastAsia="仿宋" w:cs="仿宋"/>
          <w:color w:val="auto"/>
          <w:kern w:val="0"/>
          <w:sz w:val="24"/>
          <w:szCs w:val="24"/>
          <w:lang w:val="en-US" w:eastAsia="zh-CN" w:bidi="ar"/>
        </w:rPr>
      </w:pPr>
    </w:p>
    <w:p w14:paraId="501B1B48">
      <w:pPr>
        <w:keepNext w:val="0"/>
        <w:keepLines w:val="0"/>
        <w:widowControl/>
        <w:suppressLineNumbers w:val="0"/>
        <w:jc w:val="left"/>
        <w:rPr>
          <w:rFonts w:hint="eastAsia" w:ascii="仿宋" w:hAnsi="仿宋" w:eastAsia="仿宋" w:cs="仿宋"/>
          <w:color w:val="auto"/>
          <w:kern w:val="0"/>
          <w:sz w:val="24"/>
          <w:szCs w:val="24"/>
          <w:lang w:val="en-US" w:eastAsia="zh-CN" w:bidi="ar"/>
        </w:rPr>
      </w:pPr>
    </w:p>
    <w:p w14:paraId="70A482F9">
      <w:pPr>
        <w:keepNext w:val="0"/>
        <w:keepLines w:val="0"/>
        <w:widowControl/>
        <w:suppressLineNumbers w:val="0"/>
        <w:ind w:firstLine="3360" w:firstLineChars="14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供应商盖章： </w:t>
      </w:r>
    </w:p>
    <w:p w14:paraId="2492FF32">
      <w:pPr>
        <w:pStyle w:val="13"/>
        <w:ind w:left="0" w:leftChars="0" w:firstLine="0" w:firstLineChars="0"/>
        <w:rPr>
          <w:rFonts w:hint="eastAsia" w:ascii="仿宋" w:hAnsi="仿宋" w:eastAsia="仿宋" w:cs="仿宋"/>
          <w:color w:val="auto"/>
          <w:sz w:val="24"/>
          <w:szCs w:val="24"/>
        </w:rPr>
      </w:pPr>
    </w:p>
    <w:p w14:paraId="268C100F">
      <w:pPr>
        <w:keepNext w:val="0"/>
        <w:keepLines w:val="0"/>
        <w:widowControl/>
        <w:suppressLineNumbers w:val="0"/>
        <w:ind w:firstLine="3360" w:firstLineChars="14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供应商法人或代理人（盖章或签字）： </w:t>
      </w:r>
    </w:p>
    <w:p w14:paraId="6E1A334F">
      <w:pPr>
        <w:pStyle w:val="12"/>
        <w:rPr>
          <w:rFonts w:hint="eastAsia" w:ascii="仿宋" w:hAnsi="仿宋" w:eastAsia="仿宋" w:cs="仿宋"/>
          <w:color w:val="auto"/>
          <w:sz w:val="24"/>
          <w:szCs w:val="24"/>
        </w:rPr>
      </w:pPr>
    </w:p>
    <w:p w14:paraId="7B26A374">
      <w:pPr>
        <w:keepNext w:val="0"/>
        <w:keepLines w:val="0"/>
        <w:widowControl/>
        <w:suppressLineNumbers w:val="0"/>
        <w:ind w:firstLine="3360" w:firstLineChars="14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p w14:paraId="4E363A2C">
      <w:pPr>
        <w:pStyle w:val="26"/>
        <w:bidi w:val="0"/>
        <w:outlineLvl w:val="9"/>
        <w:rPr>
          <w:rFonts w:hint="eastAsia" w:ascii="仿宋" w:hAnsi="仿宋" w:eastAsia="仿宋" w:cs="仿宋"/>
          <w:color w:val="auto"/>
          <w:sz w:val="24"/>
          <w:szCs w:val="24"/>
          <w:lang w:val="en-US" w:eastAsia="zh-CN"/>
        </w:rPr>
      </w:pPr>
    </w:p>
    <w:p w14:paraId="648507FA">
      <w:pPr>
        <w:pStyle w:val="26"/>
        <w:bidi w:val="0"/>
        <w:outlineLvl w:val="9"/>
        <w:rPr>
          <w:rFonts w:hint="eastAsia" w:ascii="仿宋" w:hAnsi="仿宋" w:eastAsia="仿宋" w:cs="仿宋"/>
          <w:color w:val="auto"/>
          <w:sz w:val="24"/>
          <w:szCs w:val="24"/>
          <w:lang w:val="en-US" w:eastAsia="zh-CN"/>
        </w:rPr>
      </w:pPr>
    </w:p>
    <w:p w14:paraId="0D35B083">
      <w:pPr>
        <w:pStyle w:val="26"/>
        <w:bidi w:val="0"/>
        <w:outlineLvl w:val="9"/>
        <w:rPr>
          <w:rFonts w:hint="eastAsia" w:ascii="仿宋" w:hAnsi="仿宋" w:eastAsia="仿宋" w:cs="仿宋"/>
          <w:color w:val="auto"/>
          <w:sz w:val="24"/>
          <w:szCs w:val="24"/>
          <w:lang w:val="en-US" w:eastAsia="zh-CN"/>
        </w:rPr>
      </w:pPr>
    </w:p>
    <w:p w14:paraId="2ADAD25D">
      <w:pPr>
        <w:pStyle w:val="26"/>
        <w:bidi w:val="0"/>
        <w:outlineLvl w:val="9"/>
        <w:rPr>
          <w:rFonts w:hint="eastAsia" w:ascii="仿宋" w:hAnsi="仿宋" w:eastAsia="仿宋" w:cs="仿宋"/>
          <w:color w:val="auto"/>
          <w:sz w:val="24"/>
          <w:szCs w:val="24"/>
          <w:lang w:val="en-US" w:eastAsia="zh-CN"/>
        </w:rPr>
      </w:pPr>
    </w:p>
    <w:p w14:paraId="053DD9C2">
      <w:pPr>
        <w:pStyle w:val="26"/>
        <w:numPr>
          <w:ilvl w:val="0"/>
          <w:numId w:val="0"/>
        </w:numPr>
        <w:bidi w:val="0"/>
        <w:jc w:val="both"/>
        <w:outlineLvl w:val="9"/>
        <w:rPr>
          <w:rFonts w:hint="eastAsia" w:ascii="仿宋" w:hAnsi="仿宋" w:eastAsia="仿宋" w:cs="仿宋"/>
          <w:b/>
          <w:bCs/>
          <w:color w:val="auto"/>
          <w:kern w:val="0"/>
          <w:sz w:val="24"/>
          <w:szCs w:val="24"/>
          <w:lang w:val="en-US" w:eastAsia="zh-CN" w:bidi="ar"/>
        </w:rPr>
      </w:pPr>
    </w:p>
    <w:p w14:paraId="24B0417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color w:val="auto"/>
          <w:sz w:val="32"/>
          <w:szCs w:val="32"/>
        </w:rPr>
      </w:pPr>
      <w:bookmarkStart w:id="123" w:name="_Toc20246"/>
      <w:bookmarkStart w:id="124" w:name="_Toc29000"/>
      <w:r>
        <w:rPr>
          <w:rFonts w:hint="eastAsia" w:ascii="仿宋" w:hAnsi="仿宋" w:eastAsia="仿宋" w:cs="仿宋"/>
          <w:b/>
          <w:bCs/>
          <w:color w:val="auto"/>
          <w:spacing w:val="0"/>
          <w:sz w:val="32"/>
          <w:szCs w:val="32"/>
          <w:lang w:val="en-US" w:eastAsia="zh-CN"/>
        </w:rPr>
        <w:t>十一、技术文件</w:t>
      </w:r>
    </w:p>
    <w:p w14:paraId="0DE9A85F">
      <w:pPr>
        <w:pStyle w:val="26"/>
        <w:bidi w:val="0"/>
        <w:spacing w:line="360" w:lineRule="auto"/>
        <w:jc w:val="both"/>
        <w:outlineLvl w:val="9"/>
        <w:rPr>
          <w:rFonts w:hint="eastAsia" w:ascii="仿宋" w:hAnsi="仿宋" w:eastAsia="仿宋" w:cs="仿宋"/>
          <w:color w:val="auto"/>
          <w:sz w:val="24"/>
          <w:szCs w:val="24"/>
          <w:lang w:val="en-US" w:eastAsia="zh-CN"/>
        </w:rPr>
      </w:pPr>
    </w:p>
    <w:p w14:paraId="2BDE4028">
      <w:pPr>
        <w:snapToGrid w:val="0"/>
        <w:spacing w:line="360" w:lineRule="auto"/>
        <w:ind w:firstLine="480" w:firstLineChars="200"/>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技术文件应包括（但不限于）下列内容： </w:t>
      </w:r>
    </w:p>
    <w:p w14:paraId="0242AD72">
      <w:pPr>
        <w:snapToGrid w:val="0"/>
        <w:spacing w:line="360" w:lineRule="auto"/>
        <w:ind w:firstLine="480" w:firstLineChars="2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lang w:val="en-US" w:eastAsia="zh-CN"/>
        </w:rPr>
        <w:t>项目实施方案</w:t>
      </w:r>
    </w:p>
    <w:p w14:paraId="72786026">
      <w:pPr>
        <w:snapToGrid w:val="0"/>
        <w:spacing w:line="360" w:lineRule="auto"/>
        <w:ind w:firstLine="480" w:firstLineChars="2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lang w:val="en-US" w:eastAsia="zh-CN"/>
        </w:rPr>
        <w:t>工作进度计划</w:t>
      </w:r>
    </w:p>
    <w:p w14:paraId="7DAEFD38">
      <w:pPr>
        <w:snapToGrid w:val="0"/>
        <w:spacing w:line="360" w:lineRule="auto"/>
        <w:ind w:firstLine="480" w:firstLineChars="200"/>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质量保证措施</w:t>
      </w:r>
    </w:p>
    <w:p w14:paraId="45ADC565">
      <w:pPr>
        <w:snapToGrid w:val="0"/>
        <w:spacing w:line="360" w:lineRule="auto"/>
        <w:ind w:firstLine="480" w:firstLineChars="200"/>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四、安全、保密措施</w:t>
      </w:r>
    </w:p>
    <w:p w14:paraId="0CEC8B56">
      <w:pPr>
        <w:snapToGrid w:val="0"/>
        <w:spacing w:line="360" w:lineRule="auto"/>
        <w:ind w:firstLine="480" w:firstLineChars="200"/>
        <w:outlineLvl w:val="9"/>
        <w:rPr>
          <w:rFonts w:hint="default" w:ascii="仿宋" w:hAnsi="仿宋" w:eastAsia="仿宋" w:cs="仿宋"/>
          <w:color w:val="auto"/>
          <w:sz w:val="24"/>
          <w:szCs w:val="24"/>
          <w:lang w:val="en-US" w:eastAsia="zh-CN"/>
        </w:rPr>
      </w:pPr>
    </w:p>
    <w:p w14:paraId="07F6FFF0">
      <w:pPr>
        <w:snapToGrid w:val="0"/>
        <w:spacing w:line="360" w:lineRule="auto"/>
        <w:ind w:firstLine="480" w:firstLineChars="200"/>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  。。。</w:t>
      </w:r>
    </w:p>
    <w:p w14:paraId="2E381FDD">
      <w:pPr>
        <w:pStyle w:val="13"/>
        <w:ind w:left="0" w:leftChars="0" w:firstLine="0" w:firstLineChars="0"/>
        <w:rPr>
          <w:rFonts w:hint="eastAsia" w:ascii="仿宋" w:hAnsi="仿宋" w:eastAsia="仿宋" w:cs="仿宋"/>
          <w:color w:val="auto"/>
          <w:sz w:val="24"/>
          <w:szCs w:val="24"/>
          <w:lang w:val="en-US" w:eastAsia="zh-CN"/>
        </w:rPr>
      </w:pPr>
    </w:p>
    <w:p w14:paraId="77E29C64">
      <w:pPr>
        <w:pStyle w:val="26"/>
        <w:keepNext w:val="0"/>
        <w:keepLines w:val="0"/>
        <w:pageBreakBefore w:val="0"/>
        <w:widowControl w:val="0"/>
        <w:kinsoku/>
        <w:wordWrap/>
        <w:overflowPunct/>
        <w:topLinePunct w:val="0"/>
        <w:autoSpaceDE w:val="0"/>
        <w:autoSpaceDN w:val="0"/>
        <w:bidi w:val="0"/>
        <w:adjustRightInd/>
        <w:snapToGrid/>
        <w:spacing w:line="240" w:lineRule="auto"/>
        <w:jc w:val="both"/>
        <w:textAlignment w:val="baseline"/>
        <w:outlineLvl w:val="9"/>
        <w:rPr>
          <w:rFonts w:hint="eastAsia" w:ascii="仿宋" w:hAnsi="仿宋" w:eastAsia="仿宋" w:cs="仿宋"/>
          <w:color w:val="auto"/>
          <w:sz w:val="24"/>
          <w:szCs w:val="24"/>
          <w:shd w:val="clear" w:color="auto" w:fill="auto"/>
          <w:lang w:eastAsia="zh-CN"/>
        </w:rPr>
      </w:pPr>
    </w:p>
    <w:p w14:paraId="45D6551D">
      <w:pPr>
        <w:pStyle w:val="26"/>
        <w:keepNext w:val="0"/>
        <w:keepLines w:val="0"/>
        <w:pageBreakBefore w:val="0"/>
        <w:widowControl w:val="0"/>
        <w:kinsoku/>
        <w:wordWrap/>
        <w:overflowPunct/>
        <w:topLinePunct w:val="0"/>
        <w:autoSpaceDE w:val="0"/>
        <w:autoSpaceDN w:val="0"/>
        <w:bidi w:val="0"/>
        <w:adjustRightInd/>
        <w:snapToGrid/>
        <w:spacing w:line="240" w:lineRule="auto"/>
        <w:jc w:val="both"/>
        <w:textAlignment w:val="baseline"/>
        <w:outlineLvl w:val="9"/>
        <w:rPr>
          <w:rFonts w:hint="eastAsia" w:ascii="仿宋" w:hAnsi="仿宋" w:eastAsia="仿宋" w:cs="仿宋"/>
          <w:color w:val="auto"/>
          <w:sz w:val="24"/>
          <w:szCs w:val="24"/>
          <w:shd w:val="clear" w:color="auto" w:fill="auto"/>
          <w:lang w:val="en-US" w:eastAsia="zh-CN"/>
        </w:rPr>
      </w:pPr>
    </w:p>
    <w:p w14:paraId="736CEE5F">
      <w:pPr>
        <w:pStyle w:val="26"/>
        <w:bidi w:val="0"/>
        <w:jc w:val="both"/>
        <w:outlineLvl w:val="9"/>
        <w:rPr>
          <w:rFonts w:hint="eastAsia" w:ascii="仿宋" w:hAnsi="仿宋" w:eastAsia="仿宋" w:cs="仿宋"/>
          <w:color w:val="auto"/>
          <w:sz w:val="24"/>
          <w:szCs w:val="24"/>
          <w:lang w:val="en-US" w:eastAsia="zh-CN"/>
        </w:rPr>
        <w:sectPr>
          <w:headerReference r:id="rId8" w:type="default"/>
          <w:footerReference r:id="rId9" w:type="default"/>
          <w:pgSz w:w="11907" w:h="16840"/>
          <w:pgMar w:top="1418" w:right="1134" w:bottom="1418" w:left="1134" w:header="720" w:footer="720" w:gutter="0"/>
          <w:pgNumType w:fmt="decimal"/>
          <w:cols w:space="720" w:num="1"/>
          <w:docGrid w:type="lines" w:linePitch="312" w:charSpace="0"/>
        </w:sectPr>
      </w:pPr>
    </w:p>
    <w:p w14:paraId="35B476B3">
      <w:pPr>
        <w:pStyle w:val="26"/>
        <w:bidi w:val="0"/>
        <w:jc w:val="both"/>
        <w:outlineLvl w:val="9"/>
        <w:rPr>
          <w:rFonts w:hint="eastAsia" w:ascii="仿宋" w:hAnsi="仿宋" w:eastAsia="仿宋" w:cs="仿宋"/>
          <w:color w:val="auto"/>
          <w:sz w:val="24"/>
          <w:szCs w:val="24"/>
          <w:lang w:val="en-US" w:eastAsia="zh-CN"/>
        </w:rPr>
      </w:pPr>
    </w:p>
    <w:p w14:paraId="22FE1EDD">
      <w:pPr>
        <w:pStyle w:val="140"/>
        <w:jc w:val="center"/>
        <w:outlineLvl w:val="0"/>
        <w:rPr>
          <w:rFonts w:hint="eastAsia" w:ascii="仿宋" w:hAnsi="仿宋" w:eastAsia="仿宋" w:cs="仿宋"/>
          <w:color w:val="auto"/>
          <w:sz w:val="24"/>
          <w:szCs w:val="24"/>
          <w:lang w:val="en-US" w:eastAsia="zh-CN"/>
        </w:rPr>
      </w:pPr>
      <w:bookmarkStart w:id="125" w:name="_Toc25198"/>
      <w:bookmarkStart w:id="126" w:name="_Toc12209"/>
      <w:bookmarkStart w:id="127" w:name="_Toc18804"/>
      <w:r>
        <w:rPr>
          <w:rFonts w:hint="eastAsia" w:ascii="仿宋" w:hAnsi="仿宋" w:eastAsia="仿宋" w:cs="仿宋"/>
          <w:b/>
          <w:bCs/>
          <w:color w:val="auto"/>
          <w:spacing w:val="0"/>
          <w:kern w:val="2"/>
          <w:sz w:val="32"/>
          <w:szCs w:val="32"/>
          <w:lang w:val="en-US" w:eastAsia="zh-CN" w:bidi="ar-SA"/>
        </w:rPr>
        <w:t>十二、其他资料</w:t>
      </w:r>
      <w:bookmarkEnd w:id="123"/>
      <w:bookmarkEnd w:id="124"/>
      <w:bookmarkEnd w:id="125"/>
      <w:bookmarkEnd w:id="126"/>
      <w:bookmarkEnd w:id="127"/>
    </w:p>
    <w:p w14:paraId="4BB13667">
      <w:pPr>
        <w:pStyle w:val="26"/>
        <w:bidi w:val="0"/>
        <w:jc w:val="left"/>
        <w:outlineLvl w:val="9"/>
        <w:rPr>
          <w:rFonts w:hint="eastAsia" w:ascii="仿宋" w:hAnsi="仿宋" w:eastAsia="仿宋" w:cs="仿宋"/>
          <w:color w:val="auto"/>
          <w:sz w:val="24"/>
          <w:szCs w:val="24"/>
          <w:lang w:val="en-US" w:eastAsia="zh-CN"/>
        </w:rPr>
        <w:sectPr>
          <w:pgSz w:w="11907" w:h="16840"/>
          <w:pgMar w:top="1418" w:right="1134" w:bottom="1418" w:left="1134" w:header="720" w:footer="720" w:gutter="0"/>
          <w:pgNumType w:fmt="decimal"/>
          <w:cols w:space="720" w:num="1"/>
          <w:docGrid w:type="lines" w:linePitch="312" w:charSpace="0"/>
        </w:sectPr>
      </w:pPr>
      <w:r>
        <w:rPr>
          <w:rFonts w:hint="eastAsia" w:ascii="仿宋" w:hAnsi="仿宋" w:eastAsia="仿宋" w:cs="仿宋"/>
          <w:color w:val="auto"/>
          <w:sz w:val="24"/>
          <w:szCs w:val="24"/>
          <w:lang w:val="en-US" w:eastAsia="zh-CN"/>
        </w:rPr>
        <w:t>注：供应商认为需要提供的其他证明资料</w:t>
      </w:r>
      <w:bookmarkEnd w:id="115"/>
      <w:bookmarkEnd w:id="116"/>
      <w:bookmarkEnd w:id="117"/>
      <w:bookmarkEnd w:id="118"/>
      <w:bookmarkEnd w:id="119"/>
      <w:bookmarkEnd w:id="120"/>
      <w:bookmarkEnd w:id="121"/>
      <w:bookmarkEnd w:id="122"/>
      <w:r>
        <w:rPr>
          <w:rFonts w:hint="eastAsia" w:ascii="仿宋" w:hAnsi="仿宋" w:eastAsia="仿宋" w:cs="仿宋"/>
          <w:color w:val="auto"/>
          <w:sz w:val="24"/>
          <w:szCs w:val="24"/>
          <w:lang w:val="en-US" w:eastAsia="zh-CN"/>
        </w:rPr>
        <w:t>或磋商文件要求未提供格式的证明材料、说明、承诺等。</w:t>
      </w:r>
    </w:p>
    <w:p w14:paraId="4D3ACCAC">
      <w:pPr>
        <w:pStyle w:val="6"/>
        <w:outlineLvl w:val="0"/>
        <w:rPr>
          <w:rFonts w:hint="eastAsia" w:ascii="仿宋" w:hAnsi="仿宋" w:eastAsia="仿宋" w:cs="仿宋"/>
          <w:b/>
          <w:bCs/>
          <w:i w:val="0"/>
          <w:iCs w:val="0"/>
          <w:color w:val="auto"/>
          <w:sz w:val="24"/>
          <w:szCs w:val="24"/>
          <w:highlight w:val="white"/>
        </w:rPr>
      </w:pPr>
      <w:bookmarkStart w:id="128" w:name="_Toc19258"/>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4"/>
          <w:szCs w:val="24"/>
          <w:highlight w:val="none"/>
          <w:lang w:eastAsia="zh-CN"/>
        </w:rPr>
        <w:t>：</w:t>
      </w:r>
      <w:bookmarkEnd w:id="128"/>
    </w:p>
    <w:p w14:paraId="498E1878">
      <w:pPr>
        <w:pStyle w:val="2"/>
        <w:bidi w:val="0"/>
        <w:jc w:val="center"/>
        <w:rPr>
          <w:rFonts w:hint="eastAsia" w:ascii="仿宋" w:hAnsi="仿宋" w:eastAsia="仿宋" w:cs="仿宋"/>
          <w:color w:val="auto"/>
          <w:sz w:val="24"/>
          <w:szCs w:val="24"/>
          <w:lang w:val="en-US" w:eastAsia="zh-CN"/>
        </w:rPr>
      </w:pPr>
      <w:bookmarkStart w:id="129" w:name="_Toc657"/>
      <w:bookmarkStart w:id="130" w:name="_Toc2652"/>
      <w:bookmarkStart w:id="131" w:name="_Toc8193"/>
      <w:r>
        <w:rPr>
          <w:rFonts w:hint="eastAsia" w:ascii="仿宋" w:hAnsi="仿宋" w:eastAsia="仿宋" w:cs="仿宋"/>
          <w:color w:val="auto"/>
          <w:lang w:eastAsia="zh-CN"/>
        </w:rPr>
        <w:t>中小企业声明函（工程、服务）</w:t>
      </w:r>
      <w:bookmarkEnd w:id="129"/>
      <w:bookmarkEnd w:id="130"/>
      <w:bookmarkEnd w:id="131"/>
    </w:p>
    <w:p w14:paraId="7B10FF48">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lang w:val="en-US" w:eastAsia="zh-CN"/>
        </w:rPr>
        <w:t>本公司（联合体）郑重声明，根据《政府采购促进中小企业发展管理办法》（财库（2020）46号）的规定，本公司（联合体）参加</w:t>
      </w:r>
      <w:r>
        <w:rPr>
          <w:rFonts w:hint="eastAsia" w:ascii="仿宋" w:hAnsi="仿宋" w:eastAsia="仿宋" w:cs="仿宋"/>
          <w:color w:val="auto"/>
          <w:sz w:val="24"/>
          <w:szCs w:val="24"/>
          <w:u w:val="single"/>
          <w:lang w:val="en-US" w:eastAsia="zh-CN"/>
        </w:rPr>
        <w:t xml:space="preserve">           （采购单位名称）</w:t>
      </w:r>
      <w:r>
        <w:rPr>
          <w:rFonts w:hint="eastAsia" w:ascii="仿宋" w:hAnsi="仿宋" w:eastAsia="仿宋" w:cs="仿宋"/>
          <w:color w:val="auto"/>
          <w:sz w:val="24"/>
          <w:szCs w:val="24"/>
          <w:u w:val="none"/>
          <w:lang w:val="en-US" w:eastAsia="zh-CN"/>
        </w:rPr>
        <w:t>的</w:t>
      </w:r>
      <w:r>
        <w:rPr>
          <w:rFonts w:hint="eastAsia" w:ascii="仿宋" w:hAnsi="仿宋" w:eastAsia="仿宋" w:cs="仿宋"/>
          <w:color w:val="auto"/>
          <w:sz w:val="24"/>
          <w:szCs w:val="24"/>
          <w:u w:val="single"/>
          <w:lang w:val="en-US" w:eastAsia="zh-CN"/>
        </w:rPr>
        <w:t xml:space="preserve">        （项目名称）</w:t>
      </w:r>
      <w:r>
        <w:rPr>
          <w:rFonts w:hint="eastAsia" w:ascii="仿宋" w:hAnsi="仿宋" w:eastAsia="仿宋" w:cs="仿宋"/>
          <w:color w:val="auto"/>
          <w:sz w:val="24"/>
          <w:szCs w:val="24"/>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C251B0B">
      <w:pPr>
        <w:numPr>
          <w:ilvl w:val="0"/>
          <w:numId w:val="7"/>
        </w:num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single"/>
          <w:lang w:val="en-US" w:eastAsia="zh-CN"/>
        </w:rPr>
        <w:t xml:space="preserve">                 （标的名称）</w:t>
      </w:r>
      <w:r>
        <w:rPr>
          <w:rFonts w:hint="eastAsia" w:ascii="仿宋" w:hAnsi="仿宋" w:eastAsia="仿宋" w:cs="仿宋"/>
          <w:color w:val="auto"/>
          <w:sz w:val="24"/>
          <w:szCs w:val="24"/>
          <w:u w:val="none"/>
          <w:lang w:val="en-US" w:eastAsia="zh-CN"/>
        </w:rPr>
        <w:t>，属于</w:t>
      </w:r>
      <w:r>
        <w:rPr>
          <w:rFonts w:hint="eastAsia" w:ascii="仿宋" w:hAnsi="仿宋" w:eastAsia="仿宋" w:cs="仿宋"/>
          <w:color w:val="auto"/>
          <w:sz w:val="24"/>
          <w:szCs w:val="24"/>
          <w:u w:val="single"/>
          <w:lang w:val="en-US" w:eastAsia="zh-CN"/>
        </w:rPr>
        <w:t xml:space="preserve">                 （采购文件中明确的所属行业）</w:t>
      </w:r>
      <w:r>
        <w:rPr>
          <w:rFonts w:hint="eastAsia" w:ascii="仿宋" w:hAnsi="仿宋" w:eastAsia="仿宋" w:cs="仿宋"/>
          <w:color w:val="auto"/>
          <w:sz w:val="24"/>
          <w:szCs w:val="24"/>
          <w:u w:val="none"/>
          <w:lang w:val="en-US" w:eastAsia="zh-CN"/>
        </w:rPr>
        <w:t>承建（承接）企业为</w:t>
      </w:r>
      <w:r>
        <w:rPr>
          <w:rFonts w:hint="eastAsia" w:ascii="仿宋" w:hAnsi="仿宋" w:eastAsia="仿宋" w:cs="仿宋"/>
          <w:color w:val="auto"/>
          <w:sz w:val="24"/>
          <w:szCs w:val="24"/>
          <w:u w:val="single"/>
          <w:lang w:val="en-US" w:eastAsia="zh-CN"/>
        </w:rPr>
        <w:t xml:space="preserve">                    （企业名称）</w:t>
      </w:r>
      <w:r>
        <w:rPr>
          <w:rFonts w:hint="eastAsia" w:ascii="仿宋" w:hAnsi="仿宋" w:eastAsia="仿宋" w:cs="仿宋"/>
          <w:color w:val="auto"/>
          <w:sz w:val="24"/>
          <w:szCs w:val="24"/>
          <w:u w:val="none"/>
          <w:lang w:val="en-US" w:eastAsia="zh-CN"/>
        </w:rPr>
        <w:t>，从业人员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人，营业收入为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万元，属于</w:t>
      </w:r>
      <w:r>
        <w:rPr>
          <w:rFonts w:hint="eastAsia" w:ascii="仿宋" w:hAnsi="仿宋" w:eastAsia="仿宋" w:cs="仿宋"/>
          <w:color w:val="auto"/>
          <w:sz w:val="24"/>
          <w:szCs w:val="24"/>
          <w:u w:val="single"/>
          <w:lang w:val="en-US" w:eastAsia="zh-CN"/>
        </w:rPr>
        <w:t>（中型企业、小型企业、微型企业）</w:t>
      </w:r>
      <w:r>
        <w:rPr>
          <w:rFonts w:hint="eastAsia" w:ascii="仿宋" w:hAnsi="仿宋" w:eastAsia="仿宋" w:cs="仿宋"/>
          <w:color w:val="auto"/>
          <w:sz w:val="24"/>
          <w:szCs w:val="24"/>
          <w:u w:val="none"/>
          <w:lang w:val="en-US" w:eastAsia="zh-CN"/>
        </w:rPr>
        <w:t>；</w:t>
      </w:r>
    </w:p>
    <w:p w14:paraId="2D0546B2">
      <w:pPr>
        <w:numPr>
          <w:ilvl w:val="0"/>
          <w:numId w:val="0"/>
        </w:numPr>
        <w:spacing w:line="360" w:lineRule="auto"/>
        <w:ind w:firstLine="480" w:firstLineChars="20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single"/>
          <w:lang w:val="en-US" w:eastAsia="zh-CN"/>
        </w:rPr>
        <w:t xml:space="preserve">                 （标的名称）</w:t>
      </w:r>
      <w:r>
        <w:rPr>
          <w:rFonts w:hint="eastAsia" w:ascii="仿宋" w:hAnsi="仿宋" w:eastAsia="仿宋" w:cs="仿宋"/>
          <w:color w:val="auto"/>
          <w:sz w:val="24"/>
          <w:szCs w:val="24"/>
          <w:u w:val="none"/>
          <w:lang w:val="en-US" w:eastAsia="zh-CN"/>
        </w:rPr>
        <w:t>，属于</w:t>
      </w:r>
      <w:r>
        <w:rPr>
          <w:rFonts w:hint="eastAsia" w:ascii="仿宋" w:hAnsi="仿宋" w:eastAsia="仿宋" w:cs="仿宋"/>
          <w:color w:val="auto"/>
          <w:sz w:val="24"/>
          <w:szCs w:val="24"/>
          <w:u w:val="single"/>
          <w:lang w:val="en-US" w:eastAsia="zh-CN"/>
        </w:rPr>
        <w:t xml:space="preserve">                 （采购文件中明确的所属行业）</w:t>
      </w:r>
      <w:r>
        <w:rPr>
          <w:rFonts w:hint="eastAsia" w:ascii="仿宋" w:hAnsi="仿宋" w:eastAsia="仿宋" w:cs="仿宋"/>
          <w:color w:val="auto"/>
          <w:sz w:val="24"/>
          <w:szCs w:val="24"/>
          <w:u w:val="none"/>
          <w:lang w:val="en-US" w:eastAsia="zh-CN"/>
        </w:rPr>
        <w:t>承建（承接）企业为</w:t>
      </w:r>
      <w:r>
        <w:rPr>
          <w:rFonts w:hint="eastAsia" w:ascii="仿宋" w:hAnsi="仿宋" w:eastAsia="仿宋" w:cs="仿宋"/>
          <w:color w:val="auto"/>
          <w:sz w:val="24"/>
          <w:szCs w:val="24"/>
          <w:u w:val="single"/>
          <w:lang w:val="en-US" w:eastAsia="zh-CN"/>
        </w:rPr>
        <w:t xml:space="preserve">                    （企业名称）</w:t>
      </w:r>
      <w:r>
        <w:rPr>
          <w:rFonts w:hint="eastAsia" w:ascii="仿宋" w:hAnsi="仿宋" w:eastAsia="仿宋" w:cs="仿宋"/>
          <w:color w:val="auto"/>
          <w:sz w:val="24"/>
          <w:szCs w:val="24"/>
          <w:u w:val="none"/>
          <w:lang w:val="en-US" w:eastAsia="zh-CN"/>
        </w:rPr>
        <w:t>，从业人员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人，营业收入为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万元，属于</w:t>
      </w:r>
      <w:r>
        <w:rPr>
          <w:rFonts w:hint="eastAsia" w:ascii="仿宋" w:hAnsi="仿宋" w:eastAsia="仿宋" w:cs="仿宋"/>
          <w:color w:val="auto"/>
          <w:sz w:val="24"/>
          <w:szCs w:val="24"/>
          <w:u w:val="single"/>
          <w:lang w:val="en-US" w:eastAsia="zh-CN"/>
        </w:rPr>
        <w:t>（中型企业、小型企业、微型企业）</w:t>
      </w:r>
    </w:p>
    <w:p w14:paraId="0EDC4E8A">
      <w:pPr>
        <w:numPr>
          <w:ilvl w:val="0"/>
          <w:numId w:val="0"/>
        </w:num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w:t>
      </w:r>
    </w:p>
    <w:p w14:paraId="4750066F">
      <w:pPr>
        <w:numPr>
          <w:ilvl w:val="0"/>
          <w:numId w:val="0"/>
        </w:num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以上企业，不属于大企业的分支机构，不存在控股股东为大企业的情形，也不存在于大企业的负责人为同一人的情况。</w:t>
      </w:r>
    </w:p>
    <w:p w14:paraId="0A0AA720">
      <w:pPr>
        <w:numPr>
          <w:ilvl w:val="0"/>
          <w:numId w:val="0"/>
        </w:num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本企业对上述声明内容的真实性负责。如有虚假，将依法承担相应责任。</w:t>
      </w:r>
    </w:p>
    <w:p w14:paraId="57188204">
      <w:pPr>
        <w:numPr>
          <w:ilvl w:val="0"/>
          <w:numId w:val="0"/>
        </w:numPr>
        <w:spacing w:line="360" w:lineRule="auto"/>
        <w:ind w:firstLine="480" w:firstLineChars="200"/>
        <w:rPr>
          <w:rFonts w:hint="eastAsia" w:ascii="仿宋" w:hAnsi="仿宋" w:eastAsia="仿宋" w:cs="仿宋"/>
          <w:color w:val="auto"/>
          <w:sz w:val="24"/>
          <w:szCs w:val="24"/>
          <w:u w:val="none"/>
          <w:lang w:val="en-US" w:eastAsia="zh-CN"/>
        </w:rPr>
      </w:pPr>
    </w:p>
    <w:p w14:paraId="1AB31B10">
      <w:pPr>
        <w:numPr>
          <w:ilvl w:val="0"/>
          <w:numId w:val="0"/>
        </w:numPr>
        <w:spacing w:line="360" w:lineRule="auto"/>
        <w:ind w:firstLine="480" w:firstLineChars="200"/>
        <w:rPr>
          <w:rFonts w:hint="eastAsia" w:ascii="仿宋" w:hAnsi="仿宋" w:eastAsia="仿宋" w:cs="仿宋"/>
          <w:color w:val="auto"/>
          <w:sz w:val="24"/>
          <w:szCs w:val="24"/>
          <w:u w:val="none"/>
          <w:lang w:val="en-US" w:eastAsia="zh-CN"/>
        </w:rPr>
      </w:pPr>
    </w:p>
    <w:p w14:paraId="2361E625">
      <w:pPr>
        <w:numPr>
          <w:ilvl w:val="0"/>
          <w:numId w:val="0"/>
        </w:numPr>
        <w:spacing w:line="360" w:lineRule="auto"/>
        <w:ind w:firstLine="480" w:firstLineChars="200"/>
        <w:jc w:val="center"/>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 xml:space="preserve">                企业名称（盖章）：</w:t>
      </w:r>
    </w:p>
    <w:p w14:paraId="6CAAE38D">
      <w:pPr>
        <w:numPr>
          <w:ilvl w:val="0"/>
          <w:numId w:val="0"/>
        </w:numPr>
        <w:spacing w:line="360" w:lineRule="auto"/>
        <w:ind w:firstLine="4800" w:firstLineChars="2000"/>
        <w:jc w:val="both"/>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日期：</w:t>
      </w:r>
    </w:p>
    <w:p w14:paraId="73AAC716">
      <w:pPr>
        <w:numPr>
          <w:ilvl w:val="0"/>
          <w:numId w:val="0"/>
        </w:numPr>
        <w:spacing w:line="360" w:lineRule="auto"/>
        <w:jc w:val="both"/>
        <w:rPr>
          <w:rFonts w:hint="eastAsia" w:ascii="仿宋" w:hAnsi="仿宋" w:eastAsia="仿宋" w:cs="仿宋"/>
          <w:color w:val="auto"/>
          <w:sz w:val="24"/>
          <w:szCs w:val="24"/>
          <w:u w:val="none"/>
          <w:lang w:val="en-US" w:eastAsia="zh-CN"/>
        </w:rPr>
      </w:pPr>
    </w:p>
    <w:p w14:paraId="14902B31">
      <w:pPr>
        <w:keepNext w:val="0"/>
        <w:keepLines w:val="0"/>
        <w:widowControl/>
        <w:suppressLineNumbers w:val="0"/>
        <w:jc w:val="left"/>
        <w:rPr>
          <w:rFonts w:hint="default" w:ascii="仿宋" w:hAnsi="仿宋" w:eastAsia="仿宋" w:cs="仿宋"/>
          <w:b/>
          <w:bCs/>
          <w:color w:val="auto"/>
          <w:kern w:val="0"/>
          <w:sz w:val="21"/>
          <w:szCs w:val="21"/>
          <w:lang w:val="en-US" w:eastAsia="zh-CN" w:bidi="ar"/>
        </w:rPr>
        <w:sectPr>
          <w:pgSz w:w="11907" w:h="16840"/>
          <w:pgMar w:top="1418" w:right="1134" w:bottom="1418" w:left="1134" w:header="720" w:footer="720" w:gutter="0"/>
          <w:pgNumType w:fmt="decimal"/>
          <w:cols w:space="720" w:num="1"/>
          <w:docGrid w:type="lines" w:linePitch="312" w:charSpace="0"/>
        </w:sectPr>
      </w:pPr>
      <w:r>
        <w:rPr>
          <w:rFonts w:hint="eastAsia" w:ascii="仿宋" w:hAnsi="仿宋" w:eastAsia="仿宋" w:cs="仿宋"/>
          <w:b/>
          <w:bCs/>
          <w:color w:val="auto"/>
          <w:kern w:val="0"/>
          <w:sz w:val="21"/>
          <w:szCs w:val="21"/>
          <w:lang w:val="en-US" w:eastAsia="zh-CN" w:bidi="ar"/>
        </w:rPr>
        <w:t>注：1从业人员、营业收入、资产总额填报上一年度数据，无上一年度数据的新成立企业可不填报。营业收入、资产总额可根据四舍五入的原则保留小数点后两位，整数可不保留，小数点后数字也可完整填写。</w:t>
      </w:r>
      <w:r>
        <w:rPr>
          <w:rFonts w:hint="default" w:ascii="仿宋" w:hAnsi="仿宋" w:eastAsia="仿宋" w:cs="仿宋"/>
          <w:b/>
          <w:bCs/>
          <w:color w:val="auto"/>
          <w:kern w:val="0"/>
          <w:sz w:val="21"/>
          <w:szCs w:val="21"/>
          <w:lang w:val="en-US" w:eastAsia="zh-CN" w:bidi="ar"/>
        </w:rPr>
        <w:t>2投标企业按照新疆维吾尔自治区财政厅《关于落实好政府采购支持中小企业发展的通知》（新财购 〔2023〕22号），明确说明企业类型为中型企业或小型企业或微型企业，不得用中小微企业简单概括，否则，后果自负。</w:t>
      </w:r>
      <w:r>
        <w:rPr>
          <w:rFonts w:hint="eastAsia" w:ascii="仿宋" w:hAnsi="仿宋" w:eastAsia="仿宋" w:cs="仿宋"/>
          <w:b/>
          <w:bCs/>
          <w:color w:val="auto"/>
          <w:kern w:val="0"/>
          <w:sz w:val="21"/>
          <w:szCs w:val="21"/>
          <w:lang w:val="en-US" w:eastAsia="zh-CN" w:bidi="ar"/>
        </w:rPr>
        <w:t>3中小企业声明函应根据相关规定如实填写，并对其真实性负责。4无需填写内容应用“/”标注。</w:t>
      </w:r>
    </w:p>
    <w:p w14:paraId="720D5052">
      <w:pPr>
        <w:keepNext w:val="0"/>
        <w:keepLines w:val="0"/>
        <w:widowControl/>
        <w:suppressLineNumbers w:val="0"/>
        <w:jc w:val="left"/>
        <w:outlineLvl w:val="0"/>
        <w:rPr>
          <w:rFonts w:hint="eastAsia" w:ascii="仿宋" w:hAnsi="仿宋" w:eastAsia="仿宋" w:cs="仿宋"/>
          <w:b/>
          <w:bCs/>
          <w:color w:val="auto"/>
          <w:kern w:val="0"/>
          <w:sz w:val="21"/>
          <w:szCs w:val="21"/>
          <w:lang w:val="en-US" w:eastAsia="zh-CN" w:bidi="ar"/>
        </w:rPr>
      </w:pPr>
      <w:bookmarkStart w:id="132" w:name="_Toc30806"/>
      <w:r>
        <w:rPr>
          <w:rFonts w:hint="eastAsia" w:ascii="仿宋" w:hAnsi="仿宋" w:eastAsia="仿宋" w:cs="仿宋"/>
          <w:b/>
          <w:bCs/>
          <w:color w:val="auto"/>
          <w:kern w:val="0"/>
          <w:sz w:val="28"/>
          <w:szCs w:val="28"/>
          <w:lang w:val="en-US" w:eastAsia="zh-CN" w:bidi="ar"/>
        </w:rPr>
        <w:t>附件2</w:t>
      </w:r>
      <w:r>
        <w:rPr>
          <w:rFonts w:hint="eastAsia" w:ascii="仿宋" w:hAnsi="仿宋" w:eastAsia="仿宋" w:cs="仿宋"/>
          <w:b/>
          <w:bCs/>
          <w:color w:val="auto"/>
          <w:kern w:val="0"/>
          <w:sz w:val="21"/>
          <w:szCs w:val="21"/>
          <w:lang w:val="en-US" w:eastAsia="zh-CN" w:bidi="ar"/>
        </w:rPr>
        <w:t>：</w:t>
      </w:r>
      <w:bookmarkEnd w:id="132"/>
    </w:p>
    <w:p w14:paraId="554016F7">
      <w:pPr>
        <w:keepNext w:val="0"/>
        <w:keepLines w:val="0"/>
        <w:widowControl/>
        <w:suppressLineNumbers w:val="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有依法缴纳税收和社会保障资金的良好记录承诺书</w:t>
      </w:r>
    </w:p>
    <w:p w14:paraId="45D1526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kern w:val="10"/>
          <w:sz w:val="28"/>
          <w:szCs w:val="28"/>
          <w:lang w:val="en-US" w:eastAsia="zh-CN"/>
        </w:rPr>
      </w:pPr>
      <w:r>
        <w:rPr>
          <w:rFonts w:hint="eastAsia" w:ascii="仿宋" w:hAnsi="仿宋" w:eastAsia="仿宋" w:cs="仿宋"/>
          <w:b w:val="0"/>
          <w:bCs w:val="0"/>
          <w:color w:val="auto"/>
          <w:kern w:val="10"/>
          <w:sz w:val="28"/>
          <w:szCs w:val="28"/>
        </w:rPr>
        <w:t>致:</w:t>
      </w:r>
      <w:r>
        <w:rPr>
          <w:rFonts w:hint="eastAsia" w:ascii="仿宋" w:hAnsi="仿宋" w:eastAsia="仿宋" w:cs="仿宋"/>
          <w:b w:val="0"/>
          <w:bCs w:val="0"/>
          <w:color w:val="auto"/>
          <w:kern w:val="10"/>
          <w:sz w:val="28"/>
          <w:szCs w:val="28"/>
          <w:u w:val="single"/>
        </w:rPr>
        <w:t>采购人</w:t>
      </w:r>
      <w:r>
        <w:rPr>
          <w:rFonts w:hint="eastAsia" w:ascii="仿宋" w:hAnsi="仿宋" w:eastAsia="仿宋" w:cs="仿宋"/>
          <w:b w:val="0"/>
          <w:bCs w:val="0"/>
          <w:color w:val="auto"/>
          <w:kern w:val="10"/>
          <w:sz w:val="28"/>
          <w:szCs w:val="28"/>
          <w:u w:val="single"/>
          <w:lang w:val="en-US" w:eastAsia="zh-CN"/>
        </w:rPr>
        <w:t xml:space="preserve"> </w:t>
      </w:r>
    </w:p>
    <w:p w14:paraId="289770CB">
      <w:pPr>
        <w:keepNext w:val="0"/>
        <w:keepLines w:val="0"/>
        <w:widowControl/>
        <w:suppressLineNumbers w:val="0"/>
        <w:jc w:val="left"/>
        <w:rPr>
          <w:rFonts w:hint="eastAsia" w:ascii="仿宋" w:hAnsi="仿宋" w:eastAsia="仿宋" w:cs="仿宋"/>
          <w:b w:val="0"/>
          <w:bCs w:val="0"/>
          <w:color w:val="auto"/>
          <w:kern w:val="0"/>
          <w:sz w:val="28"/>
          <w:szCs w:val="28"/>
          <w:u w:val="none"/>
          <w:lang w:val="en-US" w:eastAsia="zh-CN" w:bidi="ar"/>
        </w:rPr>
      </w:pPr>
      <w:r>
        <w:rPr>
          <w:rFonts w:hint="eastAsia" w:ascii="仿宋" w:hAnsi="仿宋" w:eastAsia="仿宋" w:cs="仿宋"/>
          <w:b w:val="0"/>
          <w:bCs w:val="0"/>
          <w:color w:val="auto"/>
          <w:kern w:val="0"/>
          <w:sz w:val="28"/>
          <w:szCs w:val="28"/>
          <w:lang w:val="en-US" w:eastAsia="zh-CN" w:bidi="ar"/>
        </w:rPr>
        <w:t xml:space="preserve">    我单位现参与</w:t>
      </w:r>
      <w:r>
        <w:rPr>
          <w:rFonts w:hint="eastAsia" w:ascii="仿宋" w:hAnsi="仿宋" w:eastAsia="仿宋" w:cs="仿宋"/>
          <w:b w:val="0"/>
          <w:bCs w:val="0"/>
          <w:color w:val="auto"/>
          <w:kern w:val="0"/>
          <w:sz w:val="28"/>
          <w:szCs w:val="28"/>
          <w:u w:val="single"/>
          <w:lang w:val="en-US" w:eastAsia="zh-CN" w:bidi="ar"/>
        </w:rPr>
        <w:t xml:space="preserve">          （项目名称）      </w:t>
      </w:r>
      <w:r>
        <w:rPr>
          <w:rFonts w:hint="eastAsia" w:ascii="仿宋" w:hAnsi="仿宋" w:eastAsia="仿宋" w:cs="仿宋"/>
          <w:b w:val="0"/>
          <w:bCs w:val="0"/>
          <w:color w:val="auto"/>
          <w:kern w:val="0"/>
          <w:sz w:val="28"/>
          <w:szCs w:val="28"/>
          <w:u w:val="none"/>
          <w:lang w:val="en-US" w:eastAsia="zh-CN" w:bidi="ar"/>
        </w:rPr>
        <w:t>，项目编号：</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u w:val="none"/>
          <w:lang w:val="en-US" w:eastAsia="zh-CN" w:bidi="ar"/>
        </w:rPr>
        <w:t>，并作出如下承诺：</w:t>
      </w:r>
    </w:p>
    <w:p w14:paraId="4E341D62">
      <w:pPr>
        <w:keepNext w:val="0"/>
        <w:keepLines w:val="0"/>
        <w:widowControl/>
        <w:numPr>
          <w:ilvl w:val="0"/>
          <w:numId w:val="0"/>
        </w:numPr>
        <w:suppressLineNumbers w:val="0"/>
        <w:ind w:firstLine="560" w:firstLineChars="200"/>
        <w:jc w:val="left"/>
        <w:rPr>
          <w:rFonts w:hint="eastAsia" w:ascii="仿宋" w:hAnsi="仿宋" w:eastAsia="仿宋" w:cs="仿宋"/>
          <w:b w:val="0"/>
          <w:bCs w:val="0"/>
          <w:color w:val="auto"/>
          <w:kern w:val="0"/>
          <w:sz w:val="28"/>
          <w:szCs w:val="28"/>
          <w:u w:val="none"/>
          <w:lang w:val="en-US" w:eastAsia="zh-CN" w:bidi="ar"/>
        </w:rPr>
      </w:pPr>
      <w:r>
        <w:rPr>
          <w:rFonts w:hint="eastAsia" w:ascii="仿宋" w:hAnsi="仿宋" w:eastAsia="仿宋" w:cs="仿宋"/>
          <w:b w:val="0"/>
          <w:bCs w:val="0"/>
          <w:color w:val="auto"/>
          <w:kern w:val="0"/>
          <w:sz w:val="28"/>
          <w:szCs w:val="28"/>
          <w:u w:val="none"/>
          <w:lang w:val="en-US" w:eastAsia="zh-CN" w:bidi="ar"/>
        </w:rPr>
        <w:t>我单位成立以来依法缴纳税收，我单位子公司、分公司、分只机构均按相关法律法规规定积极纳税，无偷税、漏税、欠税被处罚、公告记录。我单位成立以来依法为员工缴纳社会保险。随时接受采购人的检验查证。</w:t>
      </w:r>
    </w:p>
    <w:p w14:paraId="36EF8227">
      <w:pPr>
        <w:keepNext w:val="0"/>
        <w:keepLines w:val="0"/>
        <w:widowControl/>
        <w:numPr>
          <w:ilvl w:val="0"/>
          <w:numId w:val="0"/>
        </w:numPr>
        <w:suppressLineNumbers w:val="0"/>
        <w:ind w:firstLine="421"/>
        <w:jc w:val="left"/>
        <w:rPr>
          <w:rFonts w:hint="eastAsia" w:ascii="仿宋" w:hAnsi="仿宋" w:eastAsia="仿宋" w:cs="仿宋"/>
          <w:b w:val="0"/>
          <w:bCs w:val="0"/>
          <w:color w:val="auto"/>
          <w:kern w:val="0"/>
          <w:sz w:val="28"/>
          <w:szCs w:val="28"/>
          <w:u w:val="none"/>
          <w:lang w:val="en-US" w:eastAsia="zh-CN" w:bidi="ar"/>
        </w:rPr>
      </w:pPr>
      <w:r>
        <w:rPr>
          <w:rFonts w:hint="eastAsia" w:ascii="仿宋" w:hAnsi="仿宋" w:eastAsia="仿宋" w:cs="仿宋"/>
          <w:b w:val="0"/>
          <w:bCs w:val="0"/>
          <w:color w:val="auto"/>
          <w:kern w:val="0"/>
          <w:sz w:val="28"/>
          <w:szCs w:val="28"/>
          <w:u w:val="none"/>
          <w:lang w:val="en-US" w:eastAsia="zh-CN" w:bidi="ar"/>
        </w:rPr>
        <w:t>如违反上述承诺，我单位将按照相关规定，接受处罚。</w:t>
      </w:r>
    </w:p>
    <w:p w14:paraId="5C9F291F">
      <w:pPr>
        <w:keepNext w:val="0"/>
        <w:keepLines w:val="0"/>
        <w:widowControl/>
        <w:numPr>
          <w:ilvl w:val="0"/>
          <w:numId w:val="0"/>
        </w:numPr>
        <w:suppressLineNumbers w:val="0"/>
        <w:ind w:firstLine="421"/>
        <w:jc w:val="left"/>
        <w:rPr>
          <w:rFonts w:hint="default" w:ascii="仿宋" w:hAnsi="仿宋" w:eastAsia="仿宋" w:cs="仿宋"/>
          <w:b w:val="0"/>
          <w:bCs w:val="0"/>
          <w:color w:val="auto"/>
          <w:kern w:val="0"/>
          <w:sz w:val="28"/>
          <w:szCs w:val="28"/>
          <w:u w:val="none"/>
          <w:lang w:val="en-US" w:eastAsia="zh-CN" w:bidi="ar"/>
        </w:rPr>
      </w:pPr>
    </w:p>
    <w:p w14:paraId="364FD852">
      <w:pPr>
        <w:keepNext w:val="0"/>
        <w:keepLines w:val="0"/>
        <w:widowControl/>
        <w:numPr>
          <w:ilvl w:val="0"/>
          <w:numId w:val="0"/>
        </w:numPr>
        <w:suppressLineNumbers w:val="0"/>
        <w:ind w:firstLine="421"/>
        <w:jc w:val="left"/>
        <w:rPr>
          <w:rFonts w:hint="default" w:ascii="仿宋" w:hAnsi="仿宋" w:eastAsia="仿宋" w:cs="仿宋"/>
          <w:b w:val="0"/>
          <w:bCs w:val="0"/>
          <w:color w:val="auto"/>
          <w:kern w:val="0"/>
          <w:sz w:val="28"/>
          <w:szCs w:val="28"/>
          <w:u w:val="none"/>
          <w:lang w:val="en-US" w:eastAsia="zh-CN" w:bidi="ar"/>
        </w:rPr>
      </w:pPr>
    </w:p>
    <w:p w14:paraId="1AC06A9A">
      <w:pPr>
        <w:keepNext w:val="0"/>
        <w:keepLines w:val="0"/>
        <w:widowControl/>
        <w:numPr>
          <w:ilvl w:val="0"/>
          <w:numId w:val="0"/>
        </w:numPr>
        <w:suppressLineNumbers w:val="0"/>
        <w:ind w:firstLine="840" w:firstLineChars="300"/>
        <w:jc w:val="left"/>
        <w:rPr>
          <w:rFonts w:hint="eastAsia" w:ascii="仿宋" w:hAnsi="仿宋" w:eastAsia="仿宋" w:cs="仿宋"/>
          <w:b w:val="0"/>
          <w:bCs w:val="0"/>
          <w:color w:val="auto"/>
          <w:kern w:val="0"/>
          <w:sz w:val="28"/>
          <w:szCs w:val="28"/>
          <w:u w:val="none"/>
          <w:lang w:val="en-US" w:eastAsia="zh-CN" w:bidi="ar"/>
        </w:rPr>
      </w:pPr>
      <w:r>
        <w:rPr>
          <w:rFonts w:hint="eastAsia" w:ascii="仿宋" w:hAnsi="仿宋" w:eastAsia="仿宋" w:cs="仿宋"/>
          <w:b w:val="0"/>
          <w:bCs w:val="0"/>
          <w:color w:val="auto"/>
          <w:kern w:val="0"/>
          <w:sz w:val="28"/>
          <w:szCs w:val="28"/>
          <w:u w:val="none"/>
          <w:lang w:val="en-US" w:eastAsia="zh-CN" w:bidi="ar"/>
        </w:rPr>
        <w:t>特此承诺。</w:t>
      </w:r>
    </w:p>
    <w:p w14:paraId="19707081">
      <w:pPr>
        <w:keepNext w:val="0"/>
        <w:keepLines w:val="0"/>
        <w:widowControl/>
        <w:numPr>
          <w:ilvl w:val="0"/>
          <w:numId w:val="0"/>
        </w:numPr>
        <w:suppressLineNumbers w:val="0"/>
        <w:ind w:firstLine="840" w:firstLineChars="300"/>
        <w:jc w:val="left"/>
        <w:rPr>
          <w:rFonts w:hint="eastAsia" w:ascii="仿宋" w:hAnsi="仿宋" w:eastAsia="仿宋" w:cs="仿宋"/>
          <w:b w:val="0"/>
          <w:bCs w:val="0"/>
          <w:color w:val="auto"/>
          <w:kern w:val="0"/>
          <w:sz w:val="28"/>
          <w:szCs w:val="28"/>
          <w:u w:val="none"/>
          <w:lang w:val="en-US" w:eastAsia="zh-CN" w:bidi="ar"/>
        </w:rPr>
      </w:pPr>
    </w:p>
    <w:p w14:paraId="662DFF00">
      <w:pPr>
        <w:keepNext w:val="0"/>
        <w:keepLines w:val="0"/>
        <w:widowControl/>
        <w:numPr>
          <w:ilvl w:val="0"/>
          <w:numId w:val="0"/>
        </w:numPr>
        <w:suppressLineNumbers w:val="0"/>
        <w:wordWrap w:val="0"/>
        <w:ind w:firstLine="840" w:firstLineChars="300"/>
        <w:jc w:val="right"/>
        <w:rPr>
          <w:rFonts w:hint="eastAsia" w:ascii="仿宋" w:hAnsi="仿宋" w:eastAsia="仿宋" w:cs="仿宋"/>
          <w:b w:val="0"/>
          <w:bCs w:val="0"/>
          <w:color w:val="auto"/>
          <w:kern w:val="0"/>
          <w:sz w:val="28"/>
          <w:szCs w:val="28"/>
          <w:u w:val="single"/>
          <w:lang w:val="en-US" w:eastAsia="zh-CN" w:bidi="ar"/>
        </w:rPr>
      </w:pPr>
      <w:r>
        <w:rPr>
          <w:rFonts w:hint="eastAsia" w:ascii="仿宋" w:hAnsi="仿宋" w:eastAsia="仿宋" w:cs="仿宋"/>
          <w:b w:val="0"/>
          <w:bCs w:val="0"/>
          <w:color w:val="auto"/>
          <w:kern w:val="0"/>
          <w:sz w:val="28"/>
          <w:szCs w:val="28"/>
          <w:u w:val="none"/>
          <w:lang w:val="en-US" w:eastAsia="zh-CN" w:bidi="ar"/>
        </w:rPr>
        <w:t>响应供应商名称：</w:t>
      </w:r>
      <w:r>
        <w:rPr>
          <w:rFonts w:hint="eastAsia" w:ascii="仿宋" w:hAnsi="仿宋" w:eastAsia="仿宋" w:cs="仿宋"/>
          <w:b w:val="0"/>
          <w:bCs w:val="0"/>
          <w:color w:val="auto"/>
          <w:kern w:val="0"/>
          <w:sz w:val="28"/>
          <w:szCs w:val="28"/>
          <w:u w:val="single"/>
          <w:lang w:val="en-US" w:eastAsia="zh-CN" w:bidi="ar"/>
        </w:rPr>
        <w:t xml:space="preserve">             （公章）</w:t>
      </w:r>
    </w:p>
    <w:p w14:paraId="606A5836">
      <w:pPr>
        <w:keepNext w:val="0"/>
        <w:keepLines w:val="0"/>
        <w:widowControl/>
        <w:numPr>
          <w:ilvl w:val="0"/>
          <w:numId w:val="0"/>
        </w:numPr>
        <w:suppressLineNumbers w:val="0"/>
        <w:wordWrap w:val="0"/>
        <w:ind w:firstLine="840" w:firstLineChars="300"/>
        <w:jc w:val="right"/>
        <w:rPr>
          <w:rFonts w:hint="default" w:ascii="仿宋" w:hAnsi="仿宋" w:eastAsia="仿宋" w:cs="仿宋"/>
          <w:b w:val="0"/>
          <w:bCs w:val="0"/>
          <w:color w:val="auto"/>
          <w:kern w:val="0"/>
          <w:sz w:val="28"/>
          <w:szCs w:val="28"/>
          <w:u w:val="single"/>
          <w:lang w:val="en-US" w:eastAsia="zh-CN" w:bidi="ar"/>
        </w:rPr>
      </w:pPr>
      <w:r>
        <w:rPr>
          <w:rFonts w:hint="eastAsia" w:ascii="仿宋" w:hAnsi="仿宋" w:eastAsia="仿宋" w:cs="仿宋"/>
          <w:b w:val="0"/>
          <w:bCs w:val="0"/>
          <w:color w:val="auto"/>
          <w:kern w:val="0"/>
          <w:sz w:val="28"/>
          <w:szCs w:val="28"/>
          <w:u w:val="none"/>
          <w:lang w:val="en-US" w:eastAsia="zh-CN" w:bidi="ar"/>
        </w:rPr>
        <w:t>法定代表人或授权代表（签字或盖章）：</w:t>
      </w:r>
      <w:r>
        <w:rPr>
          <w:rFonts w:hint="eastAsia" w:ascii="仿宋" w:hAnsi="仿宋" w:eastAsia="仿宋" w:cs="仿宋"/>
          <w:b w:val="0"/>
          <w:bCs w:val="0"/>
          <w:color w:val="auto"/>
          <w:kern w:val="0"/>
          <w:sz w:val="28"/>
          <w:szCs w:val="28"/>
          <w:u w:val="single"/>
          <w:lang w:val="en-US" w:eastAsia="zh-CN" w:bidi="ar"/>
        </w:rPr>
        <w:t xml:space="preserve">                         </w:t>
      </w:r>
    </w:p>
    <w:p w14:paraId="19B25DD2">
      <w:pPr>
        <w:keepNext w:val="0"/>
        <w:keepLines w:val="0"/>
        <w:widowControl/>
        <w:numPr>
          <w:ilvl w:val="0"/>
          <w:numId w:val="0"/>
        </w:numPr>
        <w:suppressLineNumbers w:val="0"/>
        <w:jc w:val="left"/>
        <w:rPr>
          <w:rFonts w:hint="eastAsia" w:ascii="仿宋" w:hAnsi="仿宋" w:eastAsia="仿宋" w:cs="仿宋"/>
          <w:b w:val="0"/>
          <w:bCs w:val="0"/>
          <w:color w:val="auto"/>
          <w:kern w:val="0"/>
          <w:sz w:val="28"/>
          <w:szCs w:val="28"/>
          <w:u w:val="none"/>
          <w:lang w:val="en-US" w:eastAsia="zh-CN" w:bidi="ar"/>
        </w:rPr>
      </w:pPr>
    </w:p>
    <w:p w14:paraId="58DF3C41">
      <w:pPr>
        <w:keepNext w:val="0"/>
        <w:keepLines w:val="0"/>
        <w:widowControl/>
        <w:numPr>
          <w:ilvl w:val="0"/>
          <w:numId w:val="0"/>
        </w:numPr>
        <w:suppressLineNumbers w:val="0"/>
        <w:jc w:val="left"/>
        <w:rPr>
          <w:rFonts w:hint="default" w:ascii="仿宋" w:hAnsi="仿宋" w:eastAsia="仿宋" w:cs="仿宋"/>
          <w:b/>
          <w:bCs/>
          <w:color w:val="auto"/>
          <w:kern w:val="0"/>
          <w:sz w:val="28"/>
          <w:szCs w:val="28"/>
          <w:u w:val="none"/>
          <w:lang w:val="en-US" w:eastAsia="zh-CN" w:bidi="ar"/>
        </w:rPr>
      </w:pPr>
      <w:r>
        <w:rPr>
          <w:rFonts w:hint="eastAsia" w:ascii="仿宋" w:hAnsi="仿宋" w:eastAsia="仿宋" w:cs="仿宋"/>
          <w:b/>
          <w:bCs/>
          <w:color w:val="auto"/>
          <w:kern w:val="0"/>
          <w:sz w:val="28"/>
          <w:szCs w:val="28"/>
          <w:u w:val="none"/>
          <w:lang w:val="en-US" w:eastAsia="zh-CN" w:bidi="ar"/>
        </w:rPr>
        <w:t>注：本表格式不得更改。</w:t>
      </w:r>
    </w:p>
    <w:p w14:paraId="303E28CD">
      <w:pPr>
        <w:keepNext w:val="0"/>
        <w:keepLines w:val="0"/>
        <w:widowControl/>
        <w:numPr>
          <w:ilvl w:val="0"/>
          <w:numId w:val="0"/>
        </w:numPr>
        <w:suppressLineNumbers w:val="0"/>
        <w:jc w:val="left"/>
        <w:rPr>
          <w:rFonts w:hint="default" w:ascii="仿宋" w:hAnsi="仿宋" w:eastAsia="仿宋" w:cs="仿宋"/>
          <w:b/>
          <w:bCs/>
          <w:color w:val="auto"/>
          <w:kern w:val="0"/>
          <w:sz w:val="21"/>
          <w:szCs w:val="21"/>
          <w:u w:val="none"/>
          <w:lang w:val="en-US" w:eastAsia="zh-CN" w:bidi="ar"/>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F5A6">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49225" cy="157480"/>
              <wp:effectExtent l="0" t="0" r="0" b="0"/>
              <wp:wrapNone/>
              <wp:docPr id="5" name="文本框 1041"/>
              <wp:cNvGraphicFramePr/>
              <a:graphic xmlns:a="http://schemas.openxmlformats.org/drawingml/2006/main">
                <a:graphicData uri="http://schemas.microsoft.com/office/word/2010/wordprocessingShape">
                  <wps:wsp>
                    <wps:cNvSpPr txBox="1"/>
                    <wps:spPr>
                      <a:xfrm>
                        <a:off x="0" y="0"/>
                        <a:ext cx="149225" cy="157480"/>
                      </a:xfrm>
                      <a:prstGeom prst="rect">
                        <a:avLst/>
                      </a:prstGeom>
                      <a:noFill/>
                      <a:ln>
                        <a:noFill/>
                      </a:ln>
                    </wps:spPr>
                    <wps:txbx>
                      <w:txbxContent>
                        <w:p w14:paraId="0DAEF9E0">
                          <w:pPr>
                            <w:pStyle w:val="21"/>
                            <w:rPr>
                              <w:rFonts w:hint="eastAsia" w:eastAsiaTheme="minorEastAsia"/>
                              <w:lang w:eastAsia="zh-CN"/>
                            </w:rPr>
                          </w:pPr>
                        </w:p>
                      </w:txbxContent>
                    </wps:txbx>
                    <wps:bodyPr lIns="0" tIns="0" rIns="0" bIns="0" upright="0"/>
                  </wps:wsp>
                </a:graphicData>
              </a:graphic>
            </wp:anchor>
          </w:drawing>
        </mc:Choice>
        <mc:Fallback>
          <w:pict>
            <v:shape id="文本框 1041" o:spid="_x0000_s1026" o:spt="202" type="#_x0000_t202" style="position:absolute;left:0pt;margin-top:0pt;height:12.4pt;width:11.75pt;mso-position-horizontal:center;mso-position-horizontal-relative:margin;z-index:251661312;mso-width-relative:page;mso-height-relative:page;" filled="f" stroked="f" coordsize="21600,21600" o:gfxdata="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B2GXtQAAAADAQAADwAAAAAAAAABACAAAAAiAAAAZHJzL2Rvd25yZXYueG1sUEsBAhQA&#10;FAAAAAgAh07iQIDpLZm9AQAAdAMAAA4AAAAAAAAAAQAgAAAAIwEAAGRycy9lMm9Eb2MueG1sUEsF&#10;BgAAAAAGAAYAWQEAAFIFAAAAAA==&#10;">
              <v:fill on="f" focussize="0,0"/>
              <v:stroke on="f"/>
              <v:imagedata o:title=""/>
              <o:lock v:ext="edit" aspectratio="f"/>
              <v:textbox inset="0mm,0mm,0mm,0mm">
                <w:txbxContent>
                  <w:p w14:paraId="0DAEF9E0">
                    <w:pPr>
                      <w:pStyle w:val="21"/>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04386">
    <w:pPr>
      <w:pStyle w:val="21"/>
    </w:pPr>
    <w:r>
      <w:rPr>
        <w:sz w:val="18"/>
      </w:rPr>
      <mc:AlternateContent>
        <mc:Choice Requires="wps">
          <w:drawing>
            <wp:anchor distT="0" distB="0" distL="114300" distR="114300" simplePos="0" relativeHeight="251660288" behindDoc="0" locked="0" layoutInCell="1" allowOverlap="1">
              <wp:simplePos x="0" y="0"/>
              <wp:positionH relativeFrom="margin">
                <wp:posOffset>2552700</wp:posOffset>
              </wp:positionH>
              <wp:positionV relativeFrom="paragraph">
                <wp:posOffset>-27305</wp:posOffset>
              </wp:positionV>
              <wp:extent cx="167005" cy="147955"/>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67005" cy="147955"/>
                      </a:xfrm>
                      <a:prstGeom prst="rect">
                        <a:avLst/>
                      </a:prstGeom>
                      <a:noFill/>
                      <a:ln>
                        <a:noFill/>
                      </a:ln>
                    </wps:spPr>
                    <wps:txbx>
                      <w:txbxContent>
                        <w:p w14:paraId="4CCD51DE">
                          <w:pPr>
                            <w:pStyle w:val="21"/>
                          </w:pPr>
                        </w:p>
                      </w:txbxContent>
                    </wps:txbx>
                    <wps:bodyPr lIns="0" tIns="0" rIns="0" bIns="0" upright="0"/>
                  </wps:wsp>
                </a:graphicData>
              </a:graphic>
            </wp:anchor>
          </w:drawing>
        </mc:Choice>
        <mc:Fallback>
          <w:pict>
            <v:shape id="文本框 1034" o:spid="_x0000_s1026" o:spt="202" type="#_x0000_t202" style="position:absolute;left:0pt;margin-left:201pt;margin-top:-2.15pt;height:11.65pt;width:13.15pt;mso-position-horizontal-relative:margin;z-index:251660288;mso-width-relative:page;mso-height-relative:page;" filled="f" stroked="f" coordsize="21600,21600" o:gfxdata="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N6NoLYAAAACQEAAA8AAAAAAAAAAQAgAAAAIgAAAGRycy9kb3ducmV2LnhtbFBL&#10;AQIUABQAAAAIAIdO4kAWmAjSvQEAAHQDAAAOAAAAAAAAAAEAIAAAACcBAABkcnMvZTJvRG9jLnht&#10;bFBLBQYAAAAABgAGAFkBAABWBQAAAAA=&#10;">
              <v:fill on="f" focussize="0,0"/>
              <v:stroke on="f"/>
              <v:imagedata o:title=""/>
              <o:lock v:ext="edit" aspectratio="f"/>
              <v:textbox inset="0mm,0mm,0mm,0mm">
                <w:txbxContent>
                  <w:p w14:paraId="4CCD51DE">
                    <w:pPr>
                      <w:pStyle w:val="2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C7B8">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C8A31">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7C8A31">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CA712">
                          <w:pPr>
                            <w:pStyle w:val="21"/>
                          </w:pPr>
                        </w:p>
                      </w:txbxContent>
                    </wps:txbx>
                    <wps:bodyPr wrap="none" lIns="0" tIns="0" rIns="0" bIns="0" upright="0">
                      <a:spAutoFit/>
                    </wps:bodyPr>
                  </wps:wsp>
                </a:graphicData>
              </a:graphic>
            </wp:anchor>
          </w:drawing>
        </mc:Choice>
        <mc:Fallback>
          <w:pict>
            <v:shape id="文本框 1043" o:spid="_x0000_s1026" o:spt="202" type="#_x0000_t202" style="position:absolute;left:0pt;margin-top:-781.3pt;height:144pt;width:144pt;mso-position-horizontal:center;mso-position-horizontal-relative:margin;mso-wrap-style:none;z-index:251662336;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YMwZ1wAAAAwBAAAPAAAAAAAAAAEAIAAAACIAAABkcnMv&#10;ZG93bnJldi54bWxQSwECFAAUAAAACACHTuJAFLFqtssBAACcAwAADgAAAAAAAAABACAAAAAmAQAA&#10;ZHJzL2Uyb0RvYy54bWxQSwUGAAAAAAYABgBZAQAAYwUAAAAA&#10;">
              <v:fill on="f" focussize="0,0"/>
              <v:stroke on="f"/>
              <v:imagedata o:title=""/>
              <o:lock v:ext="edit" aspectratio="f"/>
              <v:textbox inset="0mm,0mm,0mm,0mm" style="mso-fit-shape-to-text:t;">
                <w:txbxContent>
                  <w:p w14:paraId="6B5CA712">
                    <w:pPr>
                      <w:pStyle w:val="21"/>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3B96">
    <w:pPr>
      <w:pStyle w:val="21"/>
      <w:jc w:val="both"/>
      <w:rPr>
        <w:rStyle w:val="3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F295F">
                          <w:pPr>
                            <w:pStyle w:val="21"/>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7F295F">
                    <w:pPr>
                      <w:pStyle w:val="21"/>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9FF08D">
                          <w:pPr>
                            <w:pStyle w:val="21"/>
                            <w:rPr>
                              <w:rFonts w:hint="eastAsia" w:eastAsia="宋体"/>
                              <w:lang w:eastAsia="zh-CN"/>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Un0TTAQAApg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lqvbpFDvocbCJ4+lcXjvhlQ9xQGDifggg0lfpEQwj/qeLvqKIRKeLlWrqioxxTE3O4hTPF/3&#10;AeKDcIYko6EBHzDryo4fII6lc0nqZt290hrjrNaW9Ih6U72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JUn0TTAQAApgMAAA4AAAAAAAAAAQAgAAAA&#10;IgEAAGRycy9lMm9Eb2MueG1sUEsFBgAAAAAGAAYAWQEAAGcFAAAAAA==&#10;">
              <v:fill on="f" focussize="0,0"/>
              <v:stroke on="f" weight="1.25pt"/>
              <v:imagedata o:title=""/>
              <o:lock v:ext="edit" aspectratio="f"/>
              <v:textbox inset="0mm,0mm,0mm,0mm" style="mso-fit-shape-to-text:t;">
                <w:txbxContent>
                  <w:p w14:paraId="549FF08D">
                    <w:pPr>
                      <w:pStyle w:val="21"/>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A42D">
    <w:pPr>
      <w:pStyle w:val="2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B43D0">
                          <w:pPr>
                            <w:pStyle w:val="21"/>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5B43D0">
                    <w:pPr>
                      <w:pStyle w:val="21"/>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3B5D">
    <w:pPr>
      <w:pStyle w:val="22"/>
      <w:pBdr>
        <w:bottom w:val="none" w:color="auto" w:sz="0" w:space="0"/>
      </w:pBdr>
      <w:jc w:val="both"/>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B1F4">
    <w:pPr>
      <w:pStyle w:val="22"/>
      <w:jc w:val="both"/>
      <w:rPr>
        <w:rFonts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66385"/>
    <w:multiLevelType w:val="singleLevel"/>
    <w:tmpl w:val="D7266385"/>
    <w:lvl w:ilvl="0" w:tentative="0">
      <w:start w:val="8"/>
      <w:numFmt w:val="chineseCounting"/>
      <w:suff w:val="nothing"/>
      <w:lvlText w:val="%1、"/>
      <w:lvlJc w:val="left"/>
      <w:rPr>
        <w:rFonts w:hint="eastAsia"/>
      </w:rPr>
    </w:lvl>
  </w:abstractNum>
  <w:abstractNum w:abstractNumId="1">
    <w:nsid w:val="F9A9885F"/>
    <w:multiLevelType w:val="singleLevel"/>
    <w:tmpl w:val="F9A9885F"/>
    <w:lvl w:ilvl="0" w:tentative="0">
      <w:start w:val="16"/>
      <w:numFmt w:val="decimal"/>
      <w:lvlText w:val="%1."/>
      <w:lvlJc w:val="left"/>
      <w:pPr>
        <w:tabs>
          <w:tab w:val="left" w:pos="312"/>
        </w:tabs>
      </w:pPr>
    </w:lvl>
  </w:abstractNum>
  <w:abstractNum w:abstractNumId="2">
    <w:nsid w:val="FA8BB8D9"/>
    <w:multiLevelType w:val="singleLevel"/>
    <w:tmpl w:val="FA8BB8D9"/>
    <w:lvl w:ilvl="0" w:tentative="0">
      <w:start w:val="1"/>
      <w:numFmt w:val="decimal"/>
      <w:suff w:val="nothing"/>
      <w:lvlText w:val="（%1）"/>
      <w:lvlJc w:val="left"/>
    </w:lvl>
  </w:abstractNum>
  <w:abstractNum w:abstractNumId="3">
    <w:nsid w:val="0A290D73"/>
    <w:multiLevelType w:val="singleLevel"/>
    <w:tmpl w:val="0A290D73"/>
    <w:lvl w:ilvl="0" w:tentative="0">
      <w:start w:val="5"/>
      <w:numFmt w:val="chineseCounting"/>
      <w:suff w:val="nothing"/>
      <w:lvlText w:val="%1、"/>
      <w:lvlJc w:val="left"/>
      <w:rPr>
        <w:rFonts w:hint="eastAsia"/>
      </w:rPr>
    </w:lvl>
  </w:abstractNum>
  <w:abstractNum w:abstractNumId="4">
    <w:nsid w:val="55CFFBAC"/>
    <w:multiLevelType w:val="singleLevel"/>
    <w:tmpl w:val="55CFFBAC"/>
    <w:lvl w:ilvl="0" w:tentative="0">
      <w:start w:val="1"/>
      <w:numFmt w:val="chineseCounting"/>
      <w:pStyle w:val="94"/>
      <w:suff w:val="nothing"/>
      <w:lvlText w:val="%1、"/>
      <w:lvlJc w:val="left"/>
    </w:lvl>
  </w:abstractNum>
  <w:abstractNum w:abstractNumId="5">
    <w:nsid w:val="5AA41CC7"/>
    <w:multiLevelType w:val="singleLevel"/>
    <w:tmpl w:val="5AA41CC7"/>
    <w:lvl w:ilvl="0" w:tentative="0">
      <w:start w:val="1"/>
      <w:numFmt w:val="decimal"/>
      <w:suff w:val="space"/>
      <w:lvlText w:val="%1."/>
      <w:lvlJc w:val="left"/>
    </w:lvl>
  </w:abstractNum>
  <w:abstractNum w:abstractNumId="6">
    <w:nsid w:val="634A2DD7"/>
    <w:multiLevelType w:val="singleLevel"/>
    <w:tmpl w:val="634A2DD7"/>
    <w:lvl w:ilvl="0" w:tentative="0">
      <w:start w:val="1"/>
      <w:numFmt w:val="chineseCounting"/>
      <w:suff w:val="space"/>
      <w:lvlText w:val="第%1章"/>
      <w:lvlJc w:val="left"/>
      <w:rPr>
        <w:rFonts w:hint="eastAsia"/>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MGExODRmODQ5NDA0MWYwZTVkN2Y4MmNlMzM2MmUifQ=="/>
    <w:docVar w:name="KSO_WPS_MARK_KEY" w:val="8c2bc2c6-d0cc-462b-bba0-8f090476c535"/>
  </w:docVars>
  <w:rsids>
    <w:rsidRoot w:val="00921CD7"/>
    <w:rsid w:val="000945C3"/>
    <w:rsid w:val="000C1FF9"/>
    <w:rsid w:val="001206FA"/>
    <w:rsid w:val="00192225"/>
    <w:rsid w:val="001D078A"/>
    <w:rsid w:val="00216E9C"/>
    <w:rsid w:val="0036614A"/>
    <w:rsid w:val="0039459E"/>
    <w:rsid w:val="004C41AF"/>
    <w:rsid w:val="004E3E45"/>
    <w:rsid w:val="00610950"/>
    <w:rsid w:val="006140F3"/>
    <w:rsid w:val="006338BE"/>
    <w:rsid w:val="00673A5F"/>
    <w:rsid w:val="00747555"/>
    <w:rsid w:val="008751AB"/>
    <w:rsid w:val="00921CD7"/>
    <w:rsid w:val="00A122CC"/>
    <w:rsid w:val="00A3470B"/>
    <w:rsid w:val="00B06113"/>
    <w:rsid w:val="00B80EA0"/>
    <w:rsid w:val="00B97423"/>
    <w:rsid w:val="00C50854"/>
    <w:rsid w:val="00CC7A28"/>
    <w:rsid w:val="00CD3A88"/>
    <w:rsid w:val="00D85EE2"/>
    <w:rsid w:val="00DA7FF2"/>
    <w:rsid w:val="00DF7B52"/>
    <w:rsid w:val="00F27783"/>
    <w:rsid w:val="01042CD0"/>
    <w:rsid w:val="01AF161E"/>
    <w:rsid w:val="01B6046E"/>
    <w:rsid w:val="01E925F2"/>
    <w:rsid w:val="020E3E20"/>
    <w:rsid w:val="02153159"/>
    <w:rsid w:val="021D673F"/>
    <w:rsid w:val="02306473"/>
    <w:rsid w:val="02462D91"/>
    <w:rsid w:val="024A0BB7"/>
    <w:rsid w:val="02510197"/>
    <w:rsid w:val="0252249D"/>
    <w:rsid w:val="02587777"/>
    <w:rsid w:val="027C034F"/>
    <w:rsid w:val="02A12ECC"/>
    <w:rsid w:val="02A209F3"/>
    <w:rsid w:val="02A24C27"/>
    <w:rsid w:val="02B56978"/>
    <w:rsid w:val="02B96468"/>
    <w:rsid w:val="02D760FC"/>
    <w:rsid w:val="02DE436B"/>
    <w:rsid w:val="02DF7EE5"/>
    <w:rsid w:val="02E35293"/>
    <w:rsid w:val="02ED0052"/>
    <w:rsid w:val="02EE59E6"/>
    <w:rsid w:val="0329013B"/>
    <w:rsid w:val="0341645D"/>
    <w:rsid w:val="034A5312"/>
    <w:rsid w:val="034C108A"/>
    <w:rsid w:val="034D31EF"/>
    <w:rsid w:val="03505A0D"/>
    <w:rsid w:val="03745576"/>
    <w:rsid w:val="039E69C8"/>
    <w:rsid w:val="03AF137A"/>
    <w:rsid w:val="03BD0069"/>
    <w:rsid w:val="03F62DA4"/>
    <w:rsid w:val="04035C6E"/>
    <w:rsid w:val="0462668B"/>
    <w:rsid w:val="04695245"/>
    <w:rsid w:val="048E0971"/>
    <w:rsid w:val="04AF49D6"/>
    <w:rsid w:val="04B80B05"/>
    <w:rsid w:val="04C243BF"/>
    <w:rsid w:val="04C42EA2"/>
    <w:rsid w:val="04C86031"/>
    <w:rsid w:val="050B0AD1"/>
    <w:rsid w:val="052F3201"/>
    <w:rsid w:val="053B6130"/>
    <w:rsid w:val="054933A7"/>
    <w:rsid w:val="05505B42"/>
    <w:rsid w:val="0558315F"/>
    <w:rsid w:val="057C19CF"/>
    <w:rsid w:val="057C377D"/>
    <w:rsid w:val="05B178CA"/>
    <w:rsid w:val="05B71CAA"/>
    <w:rsid w:val="05C02DD8"/>
    <w:rsid w:val="05FD1180"/>
    <w:rsid w:val="05FE23E4"/>
    <w:rsid w:val="06031774"/>
    <w:rsid w:val="06112117"/>
    <w:rsid w:val="06293905"/>
    <w:rsid w:val="06367DD0"/>
    <w:rsid w:val="064353BC"/>
    <w:rsid w:val="06592C01"/>
    <w:rsid w:val="066B7D8E"/>
    <w:rsid w:val="066F0A97"/>
    <w:rsid w:val="066F314B"/>
    <w:rsid w:val="068E0F81"/>
    <w:rsid w:val="068E5516"/>
    <w:rsid w:val="069A210C"/>
    <w:rsid w:val="06B31420"/>
    <w:rsid w:val="06CF2EC8"/>
    <w:rsid w:val="07253423"/>
    <w:rsid w:val="073541E7"/>
    <w:rsid w:val="075C114A"/>
    <w:rsid w:val="079052BE"/>
    <w:rsid w:val="07AB1C0E"/>
    <w:rsid w:val="07CB0785"/>
    <w:rsid w:val="07E37D9A"/>
    <w:rsid w:val="07ED2710"/>
    <w:rsid w:val="081C404E"/>
    <w:rsid w:val="08395A9D"/>
    <w:rsid w:val="08493DEA"/>
    <w:rsid w:val="088B388B"/>
    <w:rsid w:val="089A45ED"/>
    <w:rsid w:val="08B03E69"/>
    <w:rsid w:val="08BC67A7"/>
    <w:rsid w:val="08D35DAA"/>
    <w:rsid w:val="08E3082D"/>
    <w:rsid w:val="08EE4992"/>
    <w:rsid w:val="08F11B50"/>
    <w:rsid w:val="09287EA3"/>
    <w:rsid w:val="09351D9B"/>
    <w:rsid w:val="093A3733"/>
    <w:rsid w:val="097768EA"/>
    <w:rsid w:val="09C53944"/>
    <w:rsid w:val="09E0003A"/>
    <w:rsid w:val="09E70F6F"/>
    <w:rsid w:val="0A11035C"/>
    <w:rsid w:val="0A12645E"/>
    <w:rsid w:val="0A193C90"/>
    <w:rsid w:val="0A407EA9"/>
    <w:rsid w:val="0A4340C7"/>
    <w:rsid w:val="0A4C0379"/>
    <w:rsid w:val="0A58241F"/>
    <w:rsid w:val="0A5F04D2"/>
    <w:rsid w:val="0A6278BE"/>
    <w:rsid w:val="0A736B1F"/>
    <w:rsid w:val="0A73702A"/>
    <w:rsid w:val="0A794548"/>
    <w:rsid w:val="0A83110A"/>
    <w:rsid w:val="0ABB4D47"/>
    <w:rsid w:val="0AC0235E"/>
    <w:rsid w:val="0AC51722"/>
    <w:rsid w:val="0B13248D"/>
    <w:rsid w:val="0B310B66"/>
    <w:rsid w:val="0B4C0A68"/>
    <w:rsid w:val="0B5703F8"/>
    <w:rsid w:val="0B61144B"/>
    <w:rsid w:val="0B6E6E17"/>
    <w:rsid w:val="0B8C18E5"/>
    <w:rsid w:val="0BCA47A3"/>
    <w:rsid w:val="0BF4406D"/>
    <w:rsid w:val="0BF73B5D"/>
    <w:rsid w:val="0C34090D"/>
    <w:rsid w:val="0C501C4D"/>
    <w:rsid w:val="0C5C1C12"/>
    <w:rsid w:val="0C5C329C"/>
    <w:rsid w:val="0C605BA6"/>
    <w:rsid w:val="0CAD246E"/>
    <w:rsid w:val="0CC73E81"/>
    <w:rsid w:val="0CD810CA"/>
    <w:rsid w:val="0CDB347F"/>
    <w:rsid w:val="0CE802C6"/>
    <w:rsid w:val="0CF0376C"/>
    <w:rsid w:val="0CF60887"/>
    <w:rsid w:val="0D093F6D"/>
    <w:rsid w:val="0D3C46EF"/>
    <w:rsid w:val="0D553231"/>
    <w:rsid w:val="0D7D0092"/>
    <w:rsid w:val="0D7F205C"/>
    <w:rsid w:val="0D95026F"/>
    <w:rsid w:val="0D9F502D"/>
    <w:rsid w:val="0DBA7538"/>
    <w:rsid w:val="0DCF1999"/>
    <w:rsid w:val="0E0F1632"/>
    <w:rsid w:val="0E2844A2"/>
    <w:rsid w:val="0E391CB9"/>
    <w:rsid w:val="0E4868F2"/>
    <w:rsid w:val="0E74171F"/>
    <w:rsid w:val="0E7F4418"/>
    <w:rsid w:val="0ECC307F"/>
    <w:rsid w:val="0ED809F5"/>
    <w:rsid w:val="0F427AB3"/>
    <w:rsid w:val="0F5117D6"/>
    <w:rsid w:val="0F673E04"/>
    <w:rsid w:val="0F7B31F6"/>
    <w:rsid w:val="0F980DCA"/>
    <w:rsid w:val="0F9F69E6"/>
    <w:rsid w:val="0FA23720"/>
    <w:rsid w:val="0FB76291"/>
    <w:rsid w:val="0FC93A62"/>
    <w:rsid w:val="0FF71CD5"/>
    <w:rsid w:val="10394744"/>
    <w:rsid w:val="105772C0"/>
    <w:rsid w:val="10632C1E"/>
    <w:rsid w:val="10667B54"/>
    <w:rsid w:val="107322DE"/>
    <w:rsid w:val="10DE2BA3"/>
    <w:rsid w:val="10E01064"/>
    <w:rsid w:val="10E61A7C"/>
    <w:rsid w:val="11480820"/>
    <w:rsid w:val="114F1D45"/>
    <w:rsid w:val="118E0AC0"/>
    <w:rsid w:val="1191235E"/>
    <w:rsid w:val="11BC6736"/>
    <w:rsid w:val="11E64458"/>
    <w:rsid w:val="12096D29"/>
    <w:rsid w:val="1230106A"/>
    <w:rsid w:val="126F0794"/>
    <w:rsid w:val="128F4AEF"/>
    <w:rsid w:val="1299771C"/>
    <w:rsid w:val="12AF5192"/>
    <w:rsid w:val="12B169D2"/>
    <w:rsid w:val="12BD2313"/>
    <w:rsid w:val="12C80001"/>
    <w:rsid w:val="12D149BF"/>
    <w:rsid w:val="12EB7145"/>
    <w:rsid w:val="12F61E98"/>
    <w:rsid w:val="13107532"/>
    <w:rsid w:val="134F3061"/>
    <w:rsid w:val="136A10B9"/>
    <w:rsid w:val="136E4E6B"/>
    <w:rsid w:val="13C93C38"/>
    <w:rsid w:val="14001CB6"/>
    <w:rsid w:val="14757D15"/>
    <w:rsid w:val="147E306D"/>
    <w:rsid w:val="14861F22"/>
    <w:rsid w:val="14905650"/>
    <w:rsid w:val="14952165"/>
    <w:rsid w:val="14994336"/>
    <w:rsid w:val="149F305C"/>
    <w:rsid w:val="14BC1DE8"/>
    <w:rsid w:val="14C32F3D"/>
    <w:rsid w:val="14C8078D"/>
    <w:rsid w:val="14E920D5"/>
    <w:rsid w:val="1501595F"/>
    <w:rsid w:val="1507602B"/>
    <w:rsid w:val="15164395"/>
    <w:rsid w:val="15455939"/>
    <w:rsid w:val="15562BB2"/>
    <w:rsid w:val="15785DD1"/>
    <w:rsid w:val="158B39FF"/>
    <w:rsid w:val="158F3058"/>
    <w:rsid w:val="159C6AEC"/>
    <w:rsid w:val="15A46C36"/>
    <w:rsid w:val="15BD211B"/>
    <w:rsid w:val="15F335E7"/>
    <w:rsid w:val="160144DE"/>
    <w:rsid w:val="16231C6D"/>
    <w:rsid w:val="16257519"/>
    <w:rsid w:val="16337E88"/>
    <w:rsid w:val="16674D4D"/>
    <w:rsid w:val="167F3757"/>
    <w:rsid w:val="16877E1D"/>
    <w:rsid w:val="1689096D"/>
    <w:rsid w:val="169F551D"/>
    <w:rsid w:val="16B02C0D"/>
    <w:rsid w:val="16BA4105"/>
    <w:rsid w:val="16BF796D"/>
    <w:rsid w:val="16CE7486"/>
    <w:rsid w:val="16DF0A37"/>
    <w:rsid w:val="16EA52F3"/>
    <w:rsid w:val="16F47617"/>
    <w:rsid w:val="16F5513D"/>
    <w:rsid w:val="170548AF"/>
    <w:rsid w:val="171952CF"/>
    <w:rsid w:val="17373345"/>
    <w:rsid w:val="177E7FDA"/>
    <w:rsid w:val="179B5CE4"/>
    <w:rsid w:val="17EC4792"/>
    <w:rsid w:val="17F2759D"/>
    <w:rsid w:val="18381785"/>
    <w:rsid w:val="18550589"/>
    <w:rsid w:val="185575B7"/>
    <w:rsid w:val="18694035"/>
    <w:rsid w:val="187A1D9E"/>
    <w:rsid w:val="1881312C"/>
    <w:rsid w:val="188B28F3"/>
    <w:rsid w:val="18BF5A03"/>
    <w:rsid w:val="18DA0A8E"/>
    <w:rsid w:val="18E67433"/>
    <w:rsid w:val="19017DC9"/>
    <w:rsid w:val="190B6E9A"/>
    <w:rsid w:val="190D1F22"/>
    <w:rsid w:val="19262C77"/>
    <w:rsid w:val="192C753C"/>
    <w:rsid w:val="19301650"/>
    <w:rsid w:val="194B0BB5"/>
    <w:rsid w:val="194B373A"/>
    <w:rsid w:val="195E478D"/>
    <w:rsid w:val="196547FC"/>
    <w:rsid w:val="19673136"/>
    <w:rsid w:val="19721122"/>
    <w:rsid w:val="198206C5"/>
    <w:rsid w:val="19AC41D9"/>
    <w:rsid w:val="1A056699"/>
    <w:rsid w:val="1A13438A"/>
    <w:rsid w:val="1A50725A"/>
    <w:rsid w:val="1A5D6FC6"/>
    <w:rsid w:val="1A826FA3"/>
    <w:rsid w:val="1A920A87"/>
    <w:rsid w:val="1A9A2283"/>
    <w:rsid w:val="1AA41559"/>
    <w:rsid w:val="1AB377E9"/>
    <w:rsid w:val="1AD75285"/>
    <w:rsid w:val="1B012302"/>
    <w:rsid w:val="1B1008B4"/>
    <w:rsid w:val="1B2D759B"/>
    <w:rsid w:val="1B505038"/>
    <w:rsid w:val="1B6F54BE"/>
    <w:rsid w:val="1B943177"/>
    <w:rsid w:val="1BA07D6D"/>
    <w:rsid w:val="1BA62EAA"/>
    <w:rsid w:val="1BAF14BC"/>
    <w:rsid w:val="1BD42832"/>
    <w:rsid w:val="1C042546"/>
    <w:rsid w:val="1C13053F"/>
    <w:rsid w:val="1C202C5C"/>
    <w:rsid w:val="1C415CB4"/>
    <w:rsid w:val="1C420E24"/>
    <w:rsid w:val="1C5D1630"/>
    <w:rsid w:val="1C9D24FF"/>
    <w:rsid w:val="1CAB4C1C"/>
    <w:rsid w:val="1CB41B29"/>
    <w:rsid w:val="1CD26377"/>
    <w:rsid w:val="1CD56CF1"/>
    <w:rsid w:val="1CE07154"/>
    <w:rsid w:val="1D181B85"/>
    <w:rsid w:val="1D1A58FD"/>
    <w:rsid w:val="1D7E5E8C"/>
    <w:rsid w:val="1D8316F5"/>
    <w:rsid w:val="1D9325CC"/>
    <w:rsid w:val="1D9E3217"/>
    <w:rsid w:val="1DAC109D"/>
    <w:rsid w:val="1DAD687C"/>
    <w:rsid w:val="1DC53ABB"/>
    <w:rsid w:val="1E116D00"/>
    <w:rsid w:val="1E4D5D0A"/>
    <w:rsid w:val="1EA971C9"/>
    <w:rsid w:val="1EBA1E7C"/>
    <w:rsid w:val="1EBF050A"/>
    <w:rsid w:val="1EC73863"/>
    <w:rsid w:val="1EDB662C"/>
    <w:rsid w:val="1EDC3A10"/>
    <w:rsid w:val="1EFE3BDC"/>
    <w:rsid w:val="1F093E7B"/>
    <w:rsid w:val="1F15123E"/>
    <w:rsid w:val="1F354C71"/>
    <w:rsid w:val="1F3D3B25"/>
    <w:rsid w:val="1F525822"/>
    <w:rsid w:val="1F690978"/>
    <w:rsid w:val="1F72557D"/>
    <w:rsid w:val="1F7E2174"/>
    <w:rsid w:val="1F8B4890"/>
    <w:rsid w:val="1F9A4AD4"/>
    <w:rsid w:val="1FBF5B37"/>
    <w:rsid w:val="1FC85AE5"/>
    <w:rsid w:val="1FD53D5E"/>
    <w:rsid w:val="1FEF3071"/>
    <w:rsid w:val="1FF269E9"/>
    <w:rsid w:val="20154307"/>
    <w:rsid w:val="201605FE"/>
    <w:rsid w:val="201E3957"/>
    <w:rsid w:val="201E5705"/>
    <w:rsid w:val="20250841"/>
    <w:rsid w:val="203F19EB"/>
    <w:rsid w:val="204D1B46"/>
    <w:rsid w:val="204F1D62"/>
    <w:rsid w:val="2071344C"/>
    <w:rsid w:val="20747B4D"/>
    <w:rsid w:val="207A52F7"/>
    <w:rsid w:val="207D39A8"/>
    <w:rsid w:val="209314E2"/>
    <w:rsid w:val="20B608E8"/>
    <w:rsid w:val="20B6593D"/>
    <w:rsid w:val="20BA224F"/>
    <w:rsid w:val="20BB498C"/>
    <w:rsid w:val="20E97AC1"/>
    <w:rsid w:val="21025026"/>
    <w:rsid w:val="21194E10"/>
    <w:rsid w:val="211D3C0E"/>
    <w:rsid w:val="2144679B"/>
    <w:rsid w:val="2146341B"/>
    <w:rsid w:val="216435EB"/>
    <w:rsid w:val="217A2E0F"/>
    <w:rsid w:val="21997739"/>
    <w:rsid w:val="21B225A8"/>
    <w:rsid w:val="21FF0FBD"/>
    <w:rsid w:val="22314442"/>
    <w:rsid w:val="22355713"/>
    <w:rsid w:val="22370D00"/>
    <w:rsid w:val="223E5BEA"/>
    <w:rsid w:val="22426757"/>
    <w:rsid w:val="224A0A33"/>
    <w:rsid w:val="22634F54"/>
    <w:rsid w:val="22765384"/>
    <w:rsid w:val="22B3482A"/>
    <w:rsid w:val="2302130E"/>
    <w:rsid w:val="2309444A"/>
    <w:rsid w:val="231B5F2B"/>
    <w:rsid w:val="23273EDB"/>
    <w:rsid w:val="234D4CC9"/>
    <w:rsid w:val="2351194D"/>
    <w:rsid w:val="237372D3"/>
    <w:rsid w:val="23A93537"/>
    <w:rsid w:val="23B02AC5"/>
    <w:rsid w:val="23E74D01"/>
    <w:rsid w:val="23F85131"/>
    <w:rsid w:val="23F97DC5"/>
    <w:rsid w:val="24034ABC"/>
    <w:rsid w:val="240B5FA0"/>
    <w:rsid w:val="24150BCD"/>
    <w:rsid w:val="24155B82"/>
    <w:rsid w:val="243A0633"/>
    <w:rsid w:val="24784188"/>
    <w:rsid w:val="249C1796"/>
    <w:rsid w:val="24B14D99"/>
    <w:rsid w:val="24D64800"/>
    <w:rsid w:val="24DB0068"/>
    <w:rsid w:val="250E38DE"/>
    <w:rsid w:val="25381975"/>
    <w:rsid w:val="253F604F"/>
    <w:rsid w:val="25453733"/>
    <w:rsid w:val="255317A3"/>
    <w:rsid w:val="255B381F"/>
    <w:rsid w:val="255B711D"/>
    <w:rsid w:val="25624044"/>
    <w:rsid w:val="25B568B7"/>
    <w:rsid w:val="26084E8D"/>
    <w:rsid w:val="26301CEE"/>
    <w:rsid w:val="26347F70"/>
    <w:rsid w:val="268645B8"/>
    <w:rsid w:val="268F4C66"/>
    <w:rsid w:val="269A12B4"/>
    <w:rsid w:val="269E6B35"/>
    <w:rsid w:val="26B10A57"/>
    <w:rsid w:val="26B24ECD"/>
    <w:rsid w:val="26CA10B6"/>
    <w:rsid w:val="26F14A70"/>
    <w:rsid w:val="27075144"/>
    <w:rsid w:val="270F1F26"/>
    <w:rsid w:val="271708CB"/>
    <w:rsid w:val="279B63E0"/>
    <w:rsid w:val="27BE0240"/>
    <w:rsid w:val="27CC6DA0"/>
    <w:rsid w:val="27D72D69"/>
    <w:rsid w:val="27DE34BA"/>
    <w:rsid w:val="27EB05C2"/>
    <w:rsid w:val="280D678A"/>
    <w:rsid w:val="28304227"/>
    <w:rsid w:val="28616AD6"/>
    <w:rsid w:val="287B7B98"/>
    <w:rsid w:val="288051AE"/>
    <w:rsid w:val="288D00A8"/>
    <w:rsid w:val="28955786"/>
    <w:rsid w:val="28A736DD"/>
    <w:rsid w:val="28D948BF"/>
    <w:rsid w:val="28E258CA"/>
    <w:rsid w:val="2905610A"/>
    <w:rsid w:val="293D4E4D"/>
    <w:rsid w:val="2940049A"/>
    <w:rsid w:val="29687335"/>
    <w:rsid w:val="296D5007"/>
    <w:rsid w:val="29BB5D72"/>
    <w:rsid w:val="29F80D74"/>
    <w:rsid w:val="29FF0355"/>
    <w:rsid w:val="2A3A313B"/>
    <w:rsid w:val="2A447544"/>
    <w:rsid w:val="2A473D75"/>
    <w:rsid w:val="2A68553E"/>
    <w:rsid w:val="2AAF268D"/>
    <w:rsid w:val="2ABB4B7B"/>
    <w:rsid w:val="2AE4263A"/>
    <w:rsid w:val="2B083239"/>
    <w:rsid w:val="2B261911"/>
    <w:rsid w:val="2B296F32"/>
    <w:rsid w:val="2B312790"/>
    <w:rsid w:val="2B3D7387"/>
    <w:rsid w:val="2B6F355D"/>
    <w:rsid w:val="2BAA2542"/>
    <w:rsid w:val="2BB86A0D"/>
    <w:rsid w:val="2BC14629"/>
    <w:rsid w:val="2BC9342B"/>
    <w:rsid w:val="2C0A4D8F"/>
    <w:rsid w:val="2C0F23A5"/>
    <w:rsid w:val="2C433803"/>
    <w:rsid w:val="2C5A2E8B"/>
    <w:rsid w:val="2C5D5807"/>
    <w:rsid w:val="2CF00D26"/>
    <w:rsid w:val="2D4D13D7"/>
    <w:rsid w:val="2D940467"/>
    <w:rsid w:val="2DA45090"/>
    <w:rsid w:val="2DD815E9"/>
    <w:rsid w:val="2DDD6BFF"/>
    <w:rsid w:val="2DE14B3C"/>
    <w:rsid w:val="2E0028ED"/>
    <w:rsid w:val="2E3A7BAD"/>
    <w:rsid w:val="2E3F51C4"/>
    <w:rsid w:val="2E6B37C5"/>
    <w:rsid w:val="2E9C2616"/>
    <w:rsid w:val="2EBA0A3F"/>
    <w:rsid w:val="2ECA0341"/>
    <w:rsid w:val="2ED73B31"/>
    <w:rsid w:val="2EDE37C1"/>
    <w:rsid w:val="2EF27E36"/>
    <w:rsid w:val="2EF50845"/>
    <w:rsid w:val="2F503401"/>
    <w:rsid w:val="2F6D5D61"/>
    <w:rsid w:val="2F77098D"/>
    <w:rsid w:val="2F942728"/>
    <w:rsid w:val="2F963509"/>
    <w:rsid w:val="2F990904"/>
    <w:rsid w:val="2FBB1CA6"/>
    <w:rsid w:val="2FE32757"/>
    <w:rsid w:val="30146FE3"/>
    <w:rsid w:val="30185E7D"/>
    <w:rsid w:val="303D3985"/>
    <w:rsid w:val="3082583C"/>
    <w:rsid w:val="308A2D54"/>
    <w:rsid w:val="309158F8"/>
    <w:rsid w:val="30D62BFB"/>
    <w:rsid w:val="30DF4A3C"/>
    <w:rsid w:val="30EB2DBA"/>
    <w:rsid w:val="313308E4"/>
    <w:rsid w:val="31440D43"/>
    <w:rsid w:val="317E6003"/>
    <w:rsid w:val="318651FB"/>
    <w:rsid w:val="31873192"/>
    <w:rsid w:val="31901955"/>
    <w:rsid w:val="319677F1"/>
    <w:rsid w:val="319C46DB"/>
    <w:rsid w:val="319D0BD2"/>
    <w:rsid w:val="31AB491E"/>
    <w:rsid w:val="31F15752"/>
    <w:rsid w:val="31F462C5"/>
    <w:rsid w:val="3216623C"/>
    <w:rsid w:val="3253123E"/>
    <w:rsid w:val="32537490"/>
    <w:rsid w:val="327A1FB1"/>
    <w:rsid w:val="329E3D0D"/>
    <w:rsid w:val="32B55A55"/>
    <w:rsid w:val="32BA750F"/>
    <w:rsid w:val="32D34D0A"/>
    <w:rsid w:val="32DB3E3E"/>
    <w:rsid w:val="32FA3DAF"/>
    <w:rsid w:val="3307027A"/>
    <w:rsid w:val="331C3EA0"/>
    <w:rsid w:val="33274478"/>
    <w:rsid w:val="333077D1"/>
    <w:rsid w:val="335E63FA"/>
    <w:rsid w:val="33686F6B"/>
    <w:rsid w:val="33766B6D"/>
    <w:rsid w:val="337C46A4"/>
    <w:rsid w:val="33F23A3C"/>
    <w:rsid w:val="340978C3"/>
    <w:rsid w:val="345474EF"/>
    <w:rsid w:val="345D45F6"/>
    <w:rsid w:val="347656B7"/>
    <w:rsid w:val="347E582B"/>
    <w:rsid w:val="34936269"/>
    <w:rsid w:val="34CE72A2"/>
    <w:rsid w:val="35121A53"/>
    <w:rsid w:val="353606D8"/>
    <w:rsid w:val="35431A3E"/>
    <w:rsid w:val="35537B13"/>
    <w:rsid w:val="3586192A"/>
    <w:rsid w:val="35961297"/>
    <w:rsid w:val="359F00D9"/>
    <w:rsid w:val="35AF7BFD"/>
    <w:rsid w:val="35B51BB9"/>
    <w:rsid w:val="35C67F79"/>
    <w:rsid w:val="35CA2D8A"/>
    <w:rsid w:val="362D624A"/>
    <w:rsid w:val="362D7FF8"/>
    <w:rsid w:val="36625EF3"/>
    <w:rsid w:val="368C2F70"/>
    <w:rsid w:val="36AE1139"/>
    <w:rsid w:val="36B654CD"/>
    <w:rsid w:val="36B946D4"/>
    <w:rsid w:val="36C25076"/>
    <w:rsid w:val="36D34C93"/>
    <w:rsid w:val="36EF0C24"/>
    <w:rsid w:val="37773C20"/>
    <w:rsid w:val="37D8447F"/>
    <w:rsid w:val="37E939E8"/>
    <w:rsid w:val="37F12DCE"/>
    <w:rsid w:val="37F314FF"/>
    <w:rsid w:val="37FB3CA2"/>
    <w:rsid w:val="38066D52"/>
    <w:rsid w:val="380F20AB"/>
    <w:rsid w:val="38160F77"/>
    <w:rsid w:val="38262F51"/>
    <w:rsid w:val="382B7AA1"/>
    <w:rsid w:val="38465505"/>
    <w:rsid w:val="38D637AC"/>
    <w:rsid w:val="38E56968"/>
    <w:rsid w:val="38EF3C8A"/>
    <w:rsid w:val="39225E0E"/>
    <w:rsid w:val="394C2E8B"/>
    <w:rsid w:val="394D1BF9"/>
    <w:rsid w:val="39590C0B"/>
    <w:rsid w:val="395A04DE"/>
    <w:rsid w:val="39641F82"/>
    <w:rsid w:val="39785A2E"/>
    <w:rsid w:val="397C3770"/>
    <w:rsid w:val="39861EF9"/>
    <w:rsid w:val="39981C2C"/>
    <w:rsid w:val="39AE76A2"/>
    <w:rsid w:val="39C62B5F"/>
    <w:rsid w:val="39D23390"/>
    <w:rsid w:val="3A0472C2"/>
    <w:rsid w:val="3A0D6304"/>
    <w:rsid w:val="3A2135E5"/>
    <w:rsid w:val="3A26548A"/>
    <w:rsid w:val="3A2E277F"/>
    <w:rsid w:val="3A570123"/>
    <w:rsid w:val="3AD2116E"/>
    <w:rsid w:val="3ADB0022"/>
    <w:rsid w:val="3AE0388B"/>
    <w:rsid w:val="3B0C28D2"/>
    <w:rsid w:val="3B3137EE"/>
    <w:rsid w:val="3B4A4D6D"/>
    <w:rsid w:val="3B630ADC"/>
    <w:rsid w:val="3B6C511E"/>
    <w:rsid w:val="3B783AC3"/>
    <w:rsid w:val="3B84690C"/>
    <w:rsid w:val="3B90705F"/>
    <w:rsid w:val="3BAE5737"/>
    <w:rsid w:val="3BDD35C8"/>
    <w:rsid w:val="3BFA097C"/>
    <w:rsid w:val="3C01194D"/>
    <w:rsid w:val="3C133BE8"/>
    <w:rsid w:val="3C2C658B"/>
    <w:rsid w:val="3C335700"/>
    <w:rsid w:val="3C6109FB"/>
    <w:rsid w:val="3CA52FDE"/>
    <w:rsid w:val="3CBA2358"/>
    <w:rsid w:val="3CE533DA"/>
    <w:rsid w:val="3CF47AC1"/>
    <w:rsid w:val="3D006B03"/>
    <w:rsid w:val="3D112421"/>
    <w:rsid w:val="3D1B1E00"/>
    <w:rsid w:val="3D31661F"/>
    <w:rsid w:val="3D5A3DC8"/>
    <w:rsid w:val="3D874491"/>
    <w:rsid w:val="3D9A2417"/>
    <w:rsid w:val="3DA1059A"/>
    <w:rsid w:val="3DBF3C2B"/>
    <w:rsid w:val="3DC456E6"/>
    <w:rsid w:val="3DE2791A"/>
    <w:rsid w:val="3E0E070F"/>
    <w:rsid w:val="3E4713A5"/>
    <w:rsid w:val="3E636CAD"/>
    <w:rsid w:val="3E6966F9"/>
    <w:rsid w:val="3E9A0D9A"/>
    <w:rsid w:val="3ED90D1D"/>
    <w:rsid w:val="3EEA4C89"/>
    <w:rsid w:val="3EFE7FF1"/>
    <w:rsid w:val="3F0006E1"/>
    <w:rsid w:val="3F010A95"/>
    <w:rsid w:val="3F165ACD"/>
    <w:rsid w:val="3F3217C5"/>
    <w:rsid w:val="3F343F8B"/>
    <w:rsid w:val="3F6C40C7"/>
    <w:rsid w:val="3F7B14E1"/>
    <w:rsid w:val="3FC90D91"/>
    <w:rsid w:val="3FDC68B5"/>
    <w:rsid w:val="3FE71217"/>
    <w:rsid w:val="3FEB76E8"/>
    <w:rsid w:val="400159D5"/>
    <w:rsid w:val="402B1CBF"/>
    <w:rsid w:val="402C2DD4"/>
    <w:rsid w:val="409C687C"/>
    <w:rsid w:val="409E3FA3"/>
    <w:rsid w:val="40AC66A7"/>
    <w:rsid w:val="40D2307A"/>
    <w:rsid w:val="40E7086E"/>
    <w:rsid w:val="410704FD"/>
    <w:rsid w:val="41087E76"/>
    <w:rsid w:val="41366543"/>
    <w:rsid w:val="41393CF5"/>
    <w:rsid w:val="413C1FD5"/>
    <w:rsid w:val="414D77A0"/>
    <w:rsid w:val="417C1E33"/>
    <w:rsid w:val="41C9151C"/>
    <w:rsid w:val="41CE1C03"/>
    <w:rsid w:val="41DD0B24"/>
    <w:rsid w:val="41DF2AEE"/>
    <w:rsid w:val="41FD11C6"/>
    <w:rsid w:val="42097B6B"/>
    <w:rsid w:val="42097E71"/>
    <w:rsid w:val="42187DAE"/>
    <w:rsid w:val="421F2EEA"/>
    <w:rsid w:val="42203414"/>
    <w:rsid w:val="42332E3A"/>
    <w:rsid w:val="42446DF5"/>
    <w:rsid w:val="42553F22"/>
    <w:rsid w:val="4279637A"/>
    <w:rsid w:val="42A43A7E"/>
    <w:rsid w:val="42AB6803"/>
    <w:rsid w:val="42BC4BDD"/>
    <w:rsid w:val="42BC78A3"/>
    <w:rsid w:val="42CF2B62"/>
    <w:rsid w:val="42DE6972"/>
    <w:rsid w:val="42E5412D"/>
    <w:rsid w:val="42F500EF"/>
    <w:rsid w:val="42FB3958"/>
    <w:rsid w:val="43016F3A"/>
    <w:rsid w:val="43056584"/>
    <w:rsid w:val="430F2F5F"/>
    <w:rsid w:val="435B2648"/>
    <w:rsid w:val="435D4309"/>
    <w:rsid w:val="436A4F74"/>
    <w:rsid w:val="43884ABF"/>
    <w:rsid w:val="43885CDB"/>
    <w:rsid w:val="43B0526E"/>
    <w:rsid w:val="43D61CCF"/>
    <w:rsid w:val="43DC6E42"/>
    <w:rsid w:val="43FB3B13"/>
    <w:rsid w:val="44184095"/>
    <w:rsid w:val="441D4560"/>
    <w:rsid w:val="443609BF"/>
    <w:rsid w:val="445A46AE"/>
    <w:rsid w:val="446217B4"/>
    <w:rsid w:val="449E163A"/>
    <w:rsid w:val="44B87626"/>
    <w:rsid w:val="44BC7116"/>
    <w:rsid w:val="44DF74A1"/>
    <w:rsid w:val="44F46F2A"/>
    <w:rsid w:val="44F85C75"/>
    <w:rsid w:val="44FE772F"/>
    <w:rsid w:val="450F2E81"/>
    <w:rsid w:val="45582B8D"/>
    <w:rsid w:val="456B28EB"/>
    <w:rsid w:val="456E3B1B"/>
    <w:rsid w:val="45813803"/>
    <w:rsid w:val="459B6D2C"/>
    <w:rsid w:val="45A2681A"/>
    <w:rsid w:val="45A31698"/>
    <w:rsid w:val="45C97783"/>
    <w:rsid w:val="45F65779"/>
    <w:rsid w:val="45F81B71"/>
    <w:rsid w:val="46184820"/>
    <w:rsid w:val="46192347"/>
    <w:rsid w:val="461F6030"/>
    <w:rsid w:val="463751C3"/>
    <w:rsid w:val="464A0752"/>
    <w:rsid w:val="46511AD3"/>
    <w:rsid w:val="468E6891"/>
    <w:rsid w:val="469519CD"/>
    <w:rsid w:val="46A2058E"/>
    <w:rsid w:val="46E75FA1"/>
    <w:rsid w:val="47052789"/>
    <w:rsid w:val="47097FE1"/>
    <w:rsid w:val="47225584"/>
    <w:rsid w:val="47356D0C"/>
    <w:rsid w:val="47484C91"/>
    <w:rsid w:val="47533C08"/>
    <w:rsid w:val="47977DAD"/>
    <w:rsid w:val="479B3F18"/>
    <w:rsid w:val="47A10846"/>
    <w:rsid w:val="47C06F1E"/>
    <w:rsid w:val="480908C5"/>
    <w:rsid w:val="48292C71"/>
    <w:rsid w:val="484B78FD"/>
    <w:rsid w:val="485215F2"/>
    <w:rsid w:val="48591CAE"/>
    <w:rsid w:val="487D6BBD"/>
    <w:rsid w:val="48966A43"/>
    <w:rsid w:val="489B1E77"/>
    <w:rsid w:val="48AB4F19"/>
    <w:rsid w:val="48DB38E3"/>
    <w:rsid w:val="48F826E7"/>
    <w:rsid w:val="48FD7CFE"/>
    <w:rsid w:val="4900334A"/>
    <w:rsid w:val="490177EE"/>
    <w:rsid w:val="49106DCD"/>
    <w:rsid w:val="491668C9"/>
    <w:rsid w:val="49276B29"/>
    <w:rsid w:val="49301E81"/>
    <w:rsid w:val="49612CAC"/>
    <w:rsid w:val="49914385"/>
    <w:rsid w:val="49973CAE"/>
    <w:rsid w:val="49A5315F"/>
    <w:rsid w:val="49A85EBB"/>
    <w:rsid w:val="49B56A23"/>
    <w:rsid w:val="49B91E77"/>
    <w:rsid w:val="4A2B43F6"/>
    <w:rsid w:val="4A67328F"/>
    <w:rsid w:val="4A745D9D"/>
    <w:rsid w:val="4A8C758B"/>
    <w:rsid w:val="4AC43EE5"/>
    <w:rsid w:val="4ADF495F"/>
    <w:rsid w:val="4AEF4757"/>
    <w:rsid w:val="4B266C8B"/>
    <w:rsid w:val="4B2F2F7F"/>
    <w:rsid w:val="4B7324F9"/>
    <w:rsid w:val="4B751DCD"/>
    <w:rsid w:val="4B7E5126"/>
    <w:rsid w:val="4B8135A2"/>
    <w:rsid w:val="4B9009B5"/>
    <w:rsid w:val="4B9C1A50"/>
    <w:rsid w:val="4BB1574C"/>
    <w:rsid w:val="4BF90C50"/>
    <w:rsid w:val="4C050DBC"/>
    <w:rsid w:val="4C092578"/>
    <w:rsid w:val="4C214413"/>
    <w:rsid w:val="4C2C4B82"/>
    <w:rsid w:val="4C4C4513"/>
    <w:rsid w:val="4C5172BA"/>
    <w:rsid w:val="4C567E51"/>
    <w:rsid w:val="4C593D6C"/>
    <w:rsid w:val="4C5B5523"/>
    <w:rsid w:val="4CA23096"/>
    <w:rsid w:val="4CC85D4A"/>
    <w:rsid w:val="4CD15729"/>
    <w:rsid w:val="4D8F0914"/>
    <w:rsid w:val="4D9329DF"/>
    <w:rsid w:val="4DB43081"/>
    <w:rsid w:val="4DD778F1"/>
    <w:rsid w:val="4DDB460E"/>
    <w:rsid w:val="4DE3713E"/>
    <w:rsid w:val="4E08517B"/>
    <w:rsid w:val="4E0D7609"/>
    <w:rsid w:val="4E1F797E"/>
    <w:rsid w:val="4E3221F7"/>
    <w:rsid w:val="4E9B1D9D"/>
    <w:rsid w:val="4EBE3A8B"/>
    <w:rsid w:val="4ED84B4D"/>
    <w:rsid w:val="4EFD3F05"/>
    <w:rsid w:val="4F251D5C"/>
    <w:rsid w:val="4F3E697A"/>
    <w:rsid w:val="4F4353E9"/>
    <w:rsid w:val="4F5C39D0"/>
    <w:rsid w:val="4F8A396B"/>
    <w:rsid w:val="4F8B0424"/>
    <w:rsid w:val="4F9842DC"/>
    <w:rsid w:val="4FA2515B"/>
    <w:rsid w:val="4FA709C3"/>
    <w:rsid w:val="4FC92043"/>
    <w:rsid w:val="4FF05EC6"/>
    <w:rsid w:val="4FF5172F"/>
    <w:rsid w:val="502560C3"/>
    <w:rsid w:val="503A47CC"/>
    <w:rsid w:val="5062024B"/>
    <w:rsid w:val="50730499"/>
    <w:rsid w:val="507A4C0D"/>
    <w:rsid w:val="50852AB2"/>
    <w:rsid w:val="50F40046"/>
    <w:rsid w:val="50F737BC"/>
    <w:rsid w:val="51142EED"/>
    <w:rsid w:val="51271DBC"/>
    <w:rsid w:val="512A0F76"/>
    <w:rsid w:val="513B13C3"/>
    <w:rsid w:val="51595CED"/>
    <w:rsid w:val="5180327A"/>
    <w:rsid w:val="518E3324"/>
    <w:rsid w:val="51962A9D"/>
    <w:rsid w:val="51A72EFC"/>
    <w:rsid w:val="51E618C3"/>
    <w:rsid w:val="520B4247"/>
    <w:rsid w:val="52382054"/>
    <w:rsid w:val="52707792"/>
    <w:rsid w:val="52950FA7"/>
    <w:rsid w:val="52B21B59"/>
    <w:rsid w:val="52C635C9"/>
    <w:rsid w:val="52CF6267"/>
    <w:rsid w:val="52D7336D"/>
    <w:rsid w:val="530879CB"/>
    <w:rsid w:val="53093FF7"/>
    <w:rsid w:val="530D4421"/>
    <w:rsid w:val="53195734"/>
    <w:rsid w:val="53346A12"/>
    <w:rsid w:val="536C1D08"/>
    <w:rsid w:val="537F294A"/>
    <w:rsid w:val="53856280"/>
    <w:rsid w:val="53863B29"/>
    <w:rsid w:val="539A4AC7"/>
    <w:rsid w:val="53C6386B"/>
    <w:rsid w:val="53CB1124"/>
    <w:rsid w:val="53EC2AE2"/>
    <w:rsid w:val="540F340F"/>
    <w:rsid w:val="541D1254"/>
    <w:rsid w:val="54284FDB"/>
    <w:rsid w:val="54395898"/>
    <w:rsid w:val="544129B0"/>
    <w:rsid w:val="54673721"/>
    <w:rsid w:val="548C2E68"/>
    <w:rsid w:val="54D64395"/>
    <w:rsid w:val="54E3543B"/>
    <w:rsid w:val="55067F3A"/>
    <w:rsid w:val="55191A1B"/>
    <w:rsid w:val="553917B7"/>
    <w:rsid w:val="55472291"/>
    <w:rsid w:val="55546EF7"/>
    <w:rsid w:val="55562C6F"/>
    <w:rsid w:val="555D5F21"/>
    <w:rsid w:val="556E40A6"/>
    <w:rsid w:val="559519EA"/>
    <w:rsid w:val="55BB0D24"/>
    <w:rsid w:val="55FF3307"/>
    <w:rsid w:val="5690511C"/>
    <w:rsid w:val="569357FD"/>
    <w:rsid w:val="56C95E36"/>
    <w:rsid w:val="56E36785"/>
    <w:rsid w:val="56E758A3"/>
    <w:rsid w:val="56F3629C"/>
    <w:rsid w:val="573D040A"/>
    <w:rsid w:val="575905C2"/>
    <w:rsid w:val="577B5727"/>
    <w:rsid w:val="578B1008"/>
    <w:rsid w:val="578B64E0"/>
    <w:rsid w:val="57A203EE"/>
    <w:rsid w:val="57A44166"/>
    <w:rsid w:val="57BA3BCC"/>
    <w:rsid w:val="57DB745C"/>
    <w:rsid w:val="57EC78BB"/>
    <w:rsid w:val="57F14EF0"/>
    <w:rsid w:val="587246E1"/>
    <w:rsid w:val="5898534D"/>
    <w:rsid w:val="589E6E07"/>
    <w:rsid w:val="58A01167"/>
    <w:rsid w:val="58B43026"/>
    <w:rsid w:val="58BC54DF"/>
    <w:rsid w:val="58D772F6"/>
    <w:rsid w:val="58E66ADA"/>
    <w:rsid w:val="59094E43"/>
    <w:rsid w:val="59273319"/>
    <w:rsid w:val="592D4348"/>
    <w:rsid w:val="5934151A"/>
    <w:rsid w:val="59345076"/>
    <w:rsid w:val="5941350A"/>
    <w:rsid w:val="59484FC5"/>
    <w:rsid w:val="59642085"/>
    <w:rsid w:val="59806AB9"/>
    <w:rsid w:val="599F37D2"/>
    <w:rsid w:val="59A04287"/>
    <w:rsid w:val="59C56114"/>
    <w:rsid w:val="59D22DC1"/>
    <w:rsid w:val="59D40607"/>
    <w:rsid w:val="5A6220B6"/>
    <w:rsid w:val="5A7F4A16"/>
    <w:rsid w:val="5A957D96"/>
    <w:rsid w:val="5AA01D3B"/>
    <w:rsid w:val="5AA20705"/>
    <w:rsid w:val="5AAA3B6F"/>
    <w:rsid w:val="5AFA22EF"/>
    <w:rsid w:val="5B101B12"/>
    <w:rsid w:val="5B2630E4"/>
    <w:rsid w:val="5B303F63"/>
    <w:rsid w:val="5B734128"/>
    <w:rsid w:val="5B9C35E3"/>
    <w:rsid w:val="5BA04C44"/>
    <w:rsid w:val="5BD071F3"/>
    <w:rsid w:val="5BD551CB"/>
    <w:rsid w:val="5BED775E"/>
    <w:rsid w:val="5C1B5528"/>
    <w:rsid w:val="5C2238AB"/>
    <w:rsid w:val="5C4606EF"/>
    <w:rsid w:val="5C4952DC"/>
    <w:rsid w:val="5C804349"/>
    <w:rsid w:val="5C8C6F77"/>
    <w:rsid w:val="5C9A1D40"/>
    <w:rsid w:val="5C9C18B0"/>
    <w:rsid w:val="5CA47CF7"/>
    <w:rsid w:val="5CA94A9D"/>
    <w:rsid w:val="5CD765E0"/>
    <w:rsid w:val="5D0B6EE2"/>
    <w:rsid w:val="5D0D00DE"/>
    <w:rsid w:val="5D174269"/>
    <w:rsid w:val="5D4635C9"/>
    <w:rsid w:val="5D497FBE"/>
    <w:rsid w:val="5D6F713C"/>
    <w:rsid w:val="5DE76824"/>
    <w:rsid w:val="5E27164D"/>
    <w:rsid w:val="5E3B6EA6"/>
    <w:rsid w:val="5E613174"/>
    <w:rsid w:val="5E706136"/>
    <w:rsid w:val="5E914D18"/>
    <w:rsid w:val="5EA52572"/>
    <w:rsid w:val="5EB32EE1"/>
    <w:rsid w:val="5EBD5B0D"/>
    <w:rsid w:val="5ED22865"/>
    <w:rsid w:val="5EFB232F"/>
    <w:rsid w:val="5F103E8F"/>
    <w:rsid w:val="5F112097"/>
    <w:rsid w:val="5F157DA4"/>
    <w:rsid w:val="5F2C67EF"/>
    <w:rsid w:val="5F313E05"/>
    <w:rsid w:val="5F4D37A8"/>
    <w:rsid w:val="5F57386C"/>
    <w:rsid w:val="5F621A53"/>
    <w:rsid w:val="5FBA7F39"/>
    <w:rsid w:val="5FE01AB3"/>
    <w:rsid w:val="5FE61094"/>
    <w:rsid w:val="5FF2271B"/>
    <w:rsid w:val="60395667"/>
    <w:rsid w:val="603A6BA7"/>
    <w:rsid w:val="605D6791"/>
    <w:rsid w:val="6089214B"/>
    <w:rsid w:val="608F34D9"/>
    <w:rsid w:val="609F16B0"/>
    <w:rsid w:val="609F6FFF"/>
    <w:rsid w:val="60C5514D"/>
    <w:rsid w:val="60CE5DB0"/>
    <w:rsid w:val="60D37F9B"/>
    <w:rsid w:val="60DB3D08"/>
    <w:rsid w:val="60E455D3"/>
    <w:rsid w:val="60EA6962"/>
    <w:rsid w:val="610F523A"/>
    <w:rsid w:val="612D6F23"/>
    <w:rsid w:val="61314591"/>
    <w:rsid w:val="61327E5D"/>
    <w:rsid w:val="61333D55"/>
    <w:rsid w:val="613A1697"/>
    <w:rsid w:val="6166248C"/>
    <w:rsid w:val="617F620D"/>
    <w:rsid w:val="61A46B11"/>
    <w:rsid w:val="61B2015A"/>
    <w:rsid w:val="61D05B58"/>
    <w:rsid w:val="61E70949"/>
    <w:rsid w:val="62127632"/>
    <w:rsid w:val="621974FF"/>
    <w:rsid w:val="621B3277"/>
    <w:rsid w:val="625E09B8"/>
    <w:rsid w:val="628E28A0"/>
    <w:rsid w:val="62A81E64"/>
    <w:rsid w:val="62C236F2"/>
    <w:rsid w:val="63164234"/>
    <w:rsid w:val="633942BC"/>
    <w:rsid w:val="633A597E"/>
    <w:rsid w:val="635D166D"/>
    <w:rsid w:val="63654A1A"/>
    <w:rsid w:val="637A221F"/>
    <w:rsid w:val="63822A47"/>
    <w:rsid w:val="639C3F43"/>
    <w:rsid w:val="63A23524"/>
    <w:rsid w:val="63C74770"/>
    <w:rsid w:val="63DE27AE"/>
    <w:rsid w:val="64195594"/>
    <w:rsid w:val="64265F03"/>
    <w:rsid w:val="64490AE7"/>
    <w:rsid w:val="647C5B23"/>
    <w:rsid w:val="64986E00"/>
    <w:rsid w:val="649C788B"/>
    <w:rsid w:val="649E1E6F"/>
    <w:rsid w:val="64B90B25"/>
    <w:rsid w:val="64EF09EB"/>
    <w:rsid w:val="64FC3D56"/>
    <w:rsid w:val="65136487"/>
    <w:rsid w:val="65654809"/>
    <w:rsid w:val="656C203B"/>
    <w:rsid w:val="657D1B52"/>
    <w:rsid w:val="65913850"/>
    <w:rsid w:val="65946345"/>
    <w:rsid w:val="659D0447"/>
    <w:rsid w:val="65A15BD1"/>
    <w:rsid w:val="65BD63F3"/>
    <w:rsid w:val="65D83AC0"/>
    <w:rsid w:val="65E82CA3"/>
    <w:rsid w:val="65FE2039"/>
    <w:rsid w:val="66094C27"/>
    <w:rsid w:val="660A5ADC"/>
    <w:rsid w:val="662317CB"/>
    <w:rsid w:val="664A237C"/>
    <w:rsid w:val="66522FDF"/>
    <w:rsid w:val="666E35A8"/>
    <w:rsid w:val="6672542F"/>
    <w:rsid w:val="669929BC"/>
    <w:rsid w:val="66CC0FE3"/>
    <w:rsid w:val="66D72233"/>
    <w:rsid w:val="66F916AD"/>
    <w:rsid w:val="67057E25"/>
    <w:rsid w:val="67075B84"/>
    <w:rsid w:val="672C5C40"/>
    <w:rsid w:val="673B7F17"/>
    <w:rsid w:val="674961B1"/>
    <w:rsid w:val="677F5301"/>
    <w:rsid w:val="67E521C5"/>
    <w:rsid w:val="67FB36BD"/>
    <w:rsid w:val="680967DB"/>
    <w:rsid w:val="682C06EF"/>
    <w:rsid w:val="68493348"/>
    <w:rsid w:val="684B418A"/>
    <w:rsid w:val="686D5EAE"/>
    <w:rsid w:val="68762B34"/>
    <w:rsid w:val="689E5CEA"/>
    <w:rsid w:val="68A17C9F"/>
    <w:rsid w:val="68F955F3"/>
    <w:rsid w:val="692F585A"/>
    <w:rsid w:val="694330B3"/>
    <w:rsid w:val="6948662A"/>
    <w:rsid w:val="695166D2"/>
    <w:rsid w:val="695F613F"/>
    <w:rsid w:val="69671717"/>
    <w:rsid w:val="69766FE4"/>
    <w:rsid w:val="697705A1"/>
    <w:rsid w:val="698A0AD0"/>
    <w:rsid w:val="69A353B1"/>
    <w:rsid w:val="69C064B2"/>
    <w:rsid w:val="69C21DDB"/>
    <w:rsid w:val="69DF102E"/>
    <w:rsid w:val="6A211646"/>
    <w:rsid w:val="6A4315BC"/>
    <w:rsid w:val="6A460C6D"/>
    <w:rsid w:val="6A4A0E43"/>
    <w:rsid w:val="6A667059"/>
    <w:rsid w:val="6A770E80"/>
    <w:rsid w:val="6A9242F2"/>
    <w:rsid w:val="6A9C4384"/>
    <w:rsid w:val="6AAE5220"/>
    <w:rsid w:val="6ABB262D"/>
    <w:rsid w:val="6AE76753"/>
    <w:rsid w:val="6AFD40FF"/>
    <w:rsid w:val="6B046710"/>
    <w:rsid w:val="6B3C10BD"/>
    <w:rsid w:val="6B6C68F1"/>
    <w:rsid w:val="6BB268FF"/>
    <w:rsid w:val="6BC404DB"/>
    <w:rsid w:val="6BE741CA"/>
    <w:rsid w:val="6C060AF4"/>
    <w:rsid w:val="6C2C6080"/>
    <w:rsid w:val="6C3B7F92"/>
    <w:rsid w:val="6C3D028D"/>
    <w:rsid w:val="6C5B75B2"/>
    <w:rsid w:val="6C646318"/>
    <w:rsid w:val="6C663340"/>
    <w:rsid w:val="6C6A1F85"/>
    <w:rsid w:val="6C9D2C7D"/>
    <w:rsid w:val="6CA1499B"/>
    <w:rsid w:val="6CE30EF7"/>
    <w:rsid w:val="6CFA0A9A"/>
    <w:rsid w:val="6D106AE8"/>
    <w:rsid w:val="6D124DDF"/>
    <w:rsid w:val="6D1F1741"/>
    <w:rsid w:val="6D2A6A64"/>
    <w:rsid w:val="6D6A3304"/>
    <w:rsid w:val="6DB427D1"/>
    <w:rsid w:val="6DDB5FB0"/>
    <w:rsid w:val="6DDD27A1"/>
    <w:rsid w:val="6E04150A"/>
    <w:rsid w:val="6E0F7A08"/>
    <w:rsid w:val="6E166CBA"/>
    <w:rsid w:val="6E1D76F1"/>
    <w:rsid w:val="6E1F40EF"/>
    <w:rsid w:val="6E201C15"/>
    <w:rsid w:val="6E337B9A"/>
    <w:rsid w:val="6E6671BC"/>
    <w:rsid w:val="6E7004A6"/>
    <w:rsid w:val="6E7855AD"/>
    <w:rsid w:val="6E931859"/>
    <w:rsid w:val="6E9543B1"/>
    <w:rsid w:val="6EA75E92"/>
    <w:rsid w:val="6EA80DE4"/>
    <w:rsid w:val="6EAA15EF"/>
    <w:rsid w:val="6EAF765A"/>
    <w:rsid w:val="6EDA2DF3"/>
    <w:rsid w:val="6EEB2223"/>
    <w:rsid w:val="6F1435BC"/>
    <w:rsid w:val="6F167776"/>
    <w:rsid w:val="6F2F65B3"/>
    <w:rsid w:val="6F313F8D"/>
    <w:rsid w:val="6F4D0247"/>
    <w:rsid w:val="6F56792C"/>
    <w:rsid w:val="6FC2141D"/>
    <w:rsid w:val="6FCA1E38"/>
    <w:rsid w:val="6FF93393"/>
    <w:rsid w:val="701E7B76"/>
    <w:rsid w:val="704F058F"/>
    <w:rsid w:val="70583D21"/>
    <w:rsid w:val="705B5186"/>
    <w:rsid w:val="7081336C"/>
    <w:rsid w:val="70835B61"/>
    <w:rsid w:val="70AA1E15"/>
    <w:rsid w:val="70BE5602"/>
    <w:rsid w:val="70C44AD9"/>
    <w:rsid w:val="70D755B5"/>
    <w:rsid w:val="710351C2"/>
    <w:rsid w:val="710934E0"/>
    <w:rsid w:val="713003C1"/>
    <w:rsid w:val="71306613"/>
    <w:rsid w:val="714D2D21"/>
    <w:rsid w:val="715E6CDC"/>
    <w:rsid w:val="716B64C8"/>
    <w:rsid w:val="718D136F"/>
    <w:rsid w:val="71951830"/>
    <w:rsid w:val="71A53C09"/>
    <w:rsid w:val="71A943FD"/>
    <w:rsid w:val="71BB5EDC"/>
    <w:rsid w:val="71E34826"/>
    <w:rsid w:val="72312642"/>
    <w:rsid w:val="72664149"/>
    <w:rsid w:val="72766203"/>
    <w:rsid w:val="729F0B55"/>
    <w:rsid w:val="72BA43E6"/>
    <w:rsid w:val="730F7EA5"/>
    <w:rsid w:val="731E2BC7"/>
    <w:rsid w:val="73215E95"/>
    <w:rsid w:val="733774B4"/>
    <w:rsid w:val="73633E0E"/>
    <w:rsid w:val="73700F48"/>
    <w:rsid w:val="738A200A"/>
    <w:rsid w:val="739C759D"/>
    <w:rsid w:val="73CB7173"/>
    <w:rsid w:val="73CF22B2"/>
    <w:rsid w:val="73E3143B"/>
    <w:rsid w:val="73E3748F"/>
    <w:rsid w:val="7419338E"/>
    <w:rsid w:val="741E6C68"/>
    <w:rsid w:val="74350B1C"/>
    <w:rsid w:val="74373814"/>
    <w:rsid w:val="745645E0"/>
    <w:rsid w:val="7462566D"/>
    <w:rsid w:val="74626AE3"/>
    <w:rsid w:val="7499726D"/>
    <w:rsid w:val="74B17A6A"/>
    <w:rsid w:val="74B86703"/>
    <w:rsid w:val="74CE5F27"/>
    <w:rsid w:val="74E25E76"/>
    <w:rsid w:val="75270788"/>
    <w:rsid w:val="753F5076"/>
    <w:rsid w:val="75412B9C"/>
    <w:rsid w:val="756E42C9"/>
    <w:rsid w:val="75893DD4"/>
    <w:rsid w:val="759929D8"/>
    <w:rsid w:val="759A405B"/>
    <w:rsid w:val="75BB7964"/>
    <w:rsid w:val="75C277EA"/>
    <w:rsid w:val="75EF43A6"/>
    <w:rsid w:val="75F95225"/>
    <w:rsid w:val="75FB05F4"/>
    <w:rsid w:val="761B163F"/>
    <w:rsid w:val="76326989"/>
    <w:rsid w:val="764F4449"/>
    <w:rsid w:val="765E32DA"/>
    <w:rsid w:val="76646CC1"/>
    <w:rsid w:val="766B55C0"/>
    <w:rsid w:val="76741665"/>
    <w:rsid w:val="767E397C"/>
    <w:rsid w:val="768335C6"/>
    <w:rsid w:val="768B7BBD"/>
    <w:rsid w:val="769116F6"/>
    <w:rsid w:val="76A00A57"/>
    <w:rsid w:val="76E059EA"/>
    <w:rsid w:val="77183DD1"/>
    <w:rsid w:val="77185301"/>
    <w:rsid w:val="774A385E"/>
    <w:rsid w:val="774E4E5E"/>
    <w:rsid w:val="775070C7"/>
    <w:rsid w:val="775B283E"/>
    <w:rsid w:val="777041AD"/>
    <w:rsid w:val="77917249"/>
    <w:rsid w:val="779C230C"/>
    <w:rsid w:val="77C27BE8"/>
    <w:rsid w:val="780A371A"/>
    <w:rsid w:val="781225CE"/>
    <w:rsid w:val="782065BB"/>
    <w:rsid w:val="78244466"/>
    <w:rsid w:val="78281BF2"/>
    <w:rsid w:val="78553EDA"/>
    <w:rsid w:val="785E564D"/>
    <w:rsid w:val="786D3CA8"/>
    <w:rsid w:val="786E5666"/>
    <w:rsid w:val="78767001"/>
    <w:rsid w:val="78895C1C"/>
    <w:rsid w:val="78A66B61"/>
    <w:rsid w:val="78EF4516"/>
    <w:rsid w:val="78F61480"/>
    <w:rsid w:val="791E50D2"/>
    <w:rsid w:val="795409C4"/>
    <w:rsid w:val="79570BE0"/>
    <w:rsid w:val="79584FED"/>
    <w:rsid w:val="79907C4E"/>
    <w:rsid w:val="79A96FDB"/>
    <w:rsid w:val="79AE1AA7"/>
    <w:rsid w:val="79E4293F"/>
    <w:rsid w:val="79EF4F3C"/>
    <w:rsid w:val="7A0F78DD"/>
    <w:rsid w:val="7A1A5E47"/>
    <w:rsid w:val="7A1C5986"/>
    <w:rsid w:val="7A731C3B"/>
    <w:rsid w:val="7A8552D9"/>
    <w:rsid w:val="7A8F43AA"/>
    <w:rsid w:val="7AA92817"/>
    <w:rsid w:val="7AD973D3"/>
    <w:rsid w:val="7B1D3764"/>
    <w:rsid w:val="7B466425"/>
    <w:rsid w:val="7B79495C"/>
    <w:rsid w:val="7B885580"/>
    <w:rsid w:val="7B89704B"/>
    <w:rsid w:val="7B963516"/>
    <w:rsid w:val="7BBA3A09"/>
    <w:rsid w:val="7BD1454E"/>
    <w:rsid w:val="7BFE70BB"/>
    <w:rsid w:val="7C046963"/>
    <w:rsid w:val="7C336FB7"/>
    <w:rsid w:val="7C3D0E5E"/>
    <w:rsid w:val="7C3F1622"/>
    <w:rsid w:val="7C5B09E8"/>
    <w:rsid w:val="7C653614"/>
    <w:rsid w:val="7C7B197C"/>
    <w:rsid w:val="7C7E46D6"/>
    <w:rsid w:val="7C817D22"/>
    <w:rsid w:val="7CE704CD"/>
    <w:rsid w:val="7CF55F23"/>
    <w:rsid w:val="7D0B58BB"/>
    <w:rsid w:val="7D1E37C3"/>
    <w:rsid w:val="7D1F7C67"/>
    <w:rsid w:val="7D276B1C"/>
    <w:rsid w:val="7D681975"/>
    <w:rsid w:val="7D851A94"/>
    <w:rsid w:val="7DA55C93"/>
    <w:rsid w:val="7DD722F0"/>
    <w:rsid w:val="7DD7650B"/>
    <w:rsid w:val="7E2F2B4B"/>
    <w:rsid w:val="7E4F6BCE"/>
    <w:rsid w:val="7E775881"/>
    <w:rsid w:val="7EA20784"/>
    <w:rsid w:val="7EBA751C"/>
    <w:rsid w:val="7EE53256"/>
    <w:rsid w:val="7EEE1B36"/>
    <w:rsid w:val="7EF50554"/>
    <w:rsid w:val="7F166E48"/>
    <w:rsid w:val="7F6059C2"/>
    <w:rsid w:val="7F942F46"/>
    <w:rsid w:val="7FB41530"/>
    <w:rsid w:val="7FB623D9"/>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rFonts w:ascii="Times New Roman" w:hAnsi="Times New Roman" w:eastAsia="宋体" w:cs="Times New Roman"/>
      <w:kern w:val="44"/>
      <w:sz w:val="44"/>
      <w:szCs w:val="44"/>
    </w:rPr>
  </w:style>
  <w:style w:type="paragraph" w:styleId="3">
    <w:name w:val="heading 2"/>
    <w:basedOn w:val="1"/>
    <w:next w:val="1"/>
    <w:link w:val="57"/>
    <w:autoRedefine/>
    <w:qFormat/>
    <w:uiPriority w:val="0"/>
    <w:pPr>
      <w:keepNext/>
      <w:keepLines/>
      <w:spacing w:before="260" w:after="260" w:line="416" w:lineRule="auto"/>
      <w:ind w:firstLine="628"/>
      <w:jc w:val="center"/>
      <w:outlineLvl w:val="1"/>
    </w:pPr>
    <w:rPr>
      <w:rFonts w:ascii="Arial" w:hAnsi="Arial" w:eastAsia="黑体" w:cs="Times New Roman"/>
      <w:b/>
      <w:bCs/>
      <w:kern w:val="0"/>
      <w:sz w:val="32"/>
      <w:szCs w:val="32"/>
    </w:rPr>
  </w:style>
  <w:style w:type="paragraph" w:styleId="4">
    <w:name w:val="heading 3"/>
    <w:basedOn w:val="1"/>
    <w:next w:val="1"/>
    <w:link w:val="58"/>
    <w:autoRedefine/>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99"/>
    <w:pPr>
      <w:ind w:firstLine="420"/>
    </w:pPr>
    <w:rPr>
      <w:rFonts w:ascii="Times New Roman" w:hAnsi="Times New Roman" w:eastAsia="宋体" w:cs="Times New Roman"/>
      <w:szCs w:val="21"/>
    </w:rPr>
  </w:style>
  <w:style w:type="paragraph" w:styleId="7">
    <w:name w:val="toa heading"/>
    <w:basedOn w:val="1"/>
    <w:next w:val="1"/>
    <w:autoRedefine/>
    <w:unhideWhenUsed/>
    <w:qFormat/>
    <w:uiPriority w:val="99"/>
    <w:pPr>
      <w:spacing w:before="120"/>
    </w:pPr>
    <w:rPr>
      <w:rFonts w:ascii="Arial" w:hAnsi="Arial"/>
      <w:sz w:val="24"/>
    </w:rPr>
  </w:style>
  <w:style w:type="paragraph" w:styleId="8">
    <w:name w:val="Document Map"/>
    <w:basedOn w:val="1"/>
    <w:link w:val="59"/>
    <w:autoRedefine/>
    <w:semiHidden/>
    <w:qFormat/>
    <w:uiPriority w:val="0"/>
    <w:rPr>
      <w:rFonts w:ascii="宋体" w:hAnsi="Times New Roman" w:eastAsia="宋体" w:cs="Times New Roman"/>
      <w:kern w:val="0"/>
      <w:sz w:val="18"/>
      <w:szCs w:val="18"/>
    </w:rPr>
  </w:style>
  <w:style w:type="paragraph" w:styleId="9">
    <w:name w:val="annotation text"/>
    <w:basedOn w:val="1"/>
    <w:link w:val="67"/>
    <w:autoRedefine/>
    <w:qFormat/>
    <w:uiPriority w:val="0"/>
    <w:pPr>
      <w:jc w:val="left"/>
    </w:pPr>
    <w:rPr>
      <w:rFonts w:ascii="Times New Roman" w:hAnsi="Times New Roman" w:eastAsia="宋体" w:cs="Times New Roman"/>
      <w:kern w:val="0"/>
      <w:szCs w:val="21"/>
    </w:rPr>
  </w:style>
  <w:style w:type="paragraph" w:styleId="10">
    <w:name w:val="Body Text 3"/>
    <w:basedOn w:val="1"/>
    <w:link w:val="61"/>
    <w:autoRedefine/>
    <w:qFormat/>
    <w:uiPriority w:val="99"/>
    <w:pPr>
      <w:spacing w:beforeLines="50" w:afterLines="50" w:line="460" w:lineRule="exact"/>
      <w:jc w:val="center"/>
    </w:pPr>
    <w:rPr>
      <w:rFonts w:ascii="仿宋_GB2312" w:hAnsi="Arial" w:eastAsia="仿宋_GB2312" w:cs="Times New Roman"/>
      <w:kern w:val="0"/>
      <w:sz w:val="28"/>
      <w:szCs w:val="28"/>
    </w:rPr>
  </w:style>
  <w:style w:type="paragraph" w:styleId="11">
    <w:name w:val="Closing"/>
    <w:basedOn w:val="1"/>
    <w:next w:val="1"/>
    <w:link w:val="86"/>
    <w:autoRedefine/>
    <w:qFormat/>
    <w:uiPriority w:val="0"/>
    <w:pPr>
      <w:widowControl/>
      <w:ind w:left="4320"/>
      <w:jc w:val="left"/>
    </w:pPr>
    <w:rPr>
      <w:rFonts w:ascii="Calibri" w:hAnsi="Calibri" w:eastAsia="等线" w:cs="Times New Roman"/>
    </w:rPr>
  </w:style>
  <w:style w:type="paragraph" w:styleId="12">
    <w:name w:val="Body Text"/>
    <w:basedOn w:val="1"/>
    <w:next w:val="13"/>
    <w:link w:val="88"/>
    <w:autoRedefine/>
    <w:unhideWhenUsed/>
    <w:qFormat/>
    <w:uiPriority w:val="0"/>
    <w:pPr>
      <w:spacing w:after="120"/>
    </w:pPr>
    <w:rPr>
      <w:rFonts w:ascii="等线" w:hAnsi="等线" w:eastAsia="等线" w:cs="Times New Roman"/>
      <w:szCs w:val="24"/>
    </w:rPr>
  </w:style>
  <w:style w:type="paragraph" w:customStyle="1" w:styleId="13">
    <w:name w:val="_Style 2"/>
    <w:basedOn w:val="1"/>
    <w:next w:val="1"/>
    <w:autoRedefine/>
    <w:qFormat/>
    <w:uiPriority w:val="0"/>
    <w:pPr>
      <w:ind w:firstLine="200" w:firstLineChars="200"/>
    </w:pPr>
    <w:rPr>
      <w:rFonts w:ascii="Calibri" w:hAnsi="Calibri"/>
      <w:sz w:val="28"/>
      <w:szCs w:val="22"/>
    </w:rPr>
  </w:style>
  <w:style w:type="paragraph" w:styleId="14">
    <w:name w:val="Body Text Indent"/>
    <w:basedOn w:val="1"/>
    <w:link w:val="62"/>
    <w:autoRedefine/>
    <w:qFormat/>
    <w:uiPriority w:val="0"/>
    <w:pPr>
      <w:ind w:firstLine="660"/>
    </w:pPr>
    <w:rPr>
      <w:rFonts w:ascii="宋体" w:hAnsi="宋体" w:eastAsia="宋体" w:cs="Times New Roman"/>
      <w:color w:val="000000"/>
      <w:kern w:val="0"/>
      <w:sz w:val="24"/>
      <w:szCs w:val="24"/>
    </w:rPr>
  </w:style>
  <w:style w:type="paragraph" w:styleId="15">
    <w:name w:val="List 2"/>
    <w:basedOn w:val="1"/>
    <w:autoRedefine/>
    <w:qFormat/>
    <w:uiPriority w:val="0"/>
    <w:pPr>
      <w:ind w:left="100" w:leftChars="200" w:hanging="200" w:hangingChars="200"/>
      <w:contextualSpacing/>
    </w:pPr>
  </w:style>
  <w:style w:type="paragraph" w:styleId="16">
    <w:name w:val="toc 3"/>
    <w:basedOn w:val="1"/>
    <w:next w:val="1"/>
    <w:autoRedefine/>
    <w:qFormat/>
    <w:uiPriority w:val="0"/>
    <w:pPr>
      <w:ind w:left="840" w:leftChars="400"/>
    </w:pPr>
    <w:rPr>
      <w:rFonts w:ascii="Times New Roman" w:hAnsi="Times New Roman" w:eastAsia="宋体" w:cs="Times New Roman"/>
      <w:szCs w:val="24"/>
    </w:rPr>
  </w:style>
  <w:style w:type="paragraph" w:styleId="17">
    <w:name w:val="Plain Text"/>
    <w:basedOn w:val="1"/>
    <w:link w:val="63"/>
    <w:autoRedefine/>
    <w:qFormat/>
    <w:uiPriority w:val="0"/>
    <w:rPr>
      <w:rFonts w:ascii="宋体" w:hAnsi="Courier New" w:eastAsia="宋体" w:cs="Times New Roman"/>
      <w:kern w:val="0"/>
      <w:szCs w:val="20"/>
    </w:rPr>
  </w:style>
  <w:style w:type="paragraph" w:styleId="18">
    <w:name w:val="Date"/>
    <w:basedOn w:val="1"/>
    <w:next w:val="1"/>
    <w:link w:val="64"/>
    <w:autoRedefine/>
    <w:qFormat/>
    <w:uiPriority w:val="0"/>
    <w:rPr>
      <w:rFonts w:ascii="Times New Roman" w:hAnsi="Times New Roman" w:eastAsia="宋体" w:cs="Times New Roman"/>
      <w:b/>
      <w:bCs/>
      <w:kern w:val="0"/>
      <w:sz w:val="28"/>
      <w:szCs w:val="28"/>
    </w:rPr>
  </w:style>
  <w:style w:type="paragraph" w:styleId="19">
    <w:name w:val="Body Text Indent 2"/>
    <w:basedOn w:val="1"/>
    <w:link w:val="90"/>
    <w:autoRedefine/>
    <w:qFormat/>
    <w:uiPriority w:val="0"/>
    <w:pPr>
      <w:spacing w:after="120" w:line="480" w:lineRule="auto"/>
      <w:ind w:left="420" w:leftChars="200"/>
    </w:pPr>
    <w:rPr>
      <w:rFonts w:ascii="等线" w:hAnsi="等线" w:eastAsia="等线" w:cs="Times New Roman"/>
      <w:szCs w:val="24"/>
    </w:rPr>
  </w:style>
  <w:style w:type="paragraph" w:styleId="20">
    <w:name w:val="Balloon Text"/>
    <w:basedOn w:val="1"/>
    <w:link w:val="65"/>
    <w:autoRedefine/>
    <w:semiHidden/>
    <w:qFormat/>
    <w:uiPriority w:val="0"/>
    <w:rPr>
      <w:rFonts w:ascii="Times New Roman" w:hAnsi="Times New Roman" w:eastAsia="宋体" w:cs="Times New Roman"/>
      <w:kern w:val="0"/>
      <w:sz w:val="18"/>
      <w:szCs w:val="18"/>
    </w:rPr>
  </w:style>
  <w:style w:type="paragraph" w:styleId="21">
    <w:name w:val="footer"/>
    <w:basedOn w:val="1"/>
    <w:link w:val="55"/>
    <w:autoRedefine/>
    <w:unhideWhenUsed/>
    <w:qFormat/>
    <w:uiPriority w:val="0"/>
    <w:pPr>
      <w:tabs>
        <w:tab w:val="center" w:pos="4153"/>
        <w:tab w:val="right" w:pos="8306"/>
      </w:tabs>
      <w:snapToGrid w:val="0"/>
      <w:jc w:val="left"/>
    </w:pPr>
    <w:rPr>
      <w:sz w:val="18"/>
      <w:szCs w:val="18"/>
    </w:rPr>
  </w:style>
  <w:style w:type="paragraph" w:styleId="22">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semiHidden/>
    <w:qFormat/>
    <w:uiPriority w:val="0"/>
    <w:rPr>
      <w:rFonts w:ascii="Times New Roman" w:hAnsi="Times New Roman" w:eastAsia="宋体" w:cs="Times New Roman"/>
      <w:sz w:val="24"/>
      <w:szCs w:val="24"/>
    </w:rPr>
  </w:style>
  <w:style w:type="paragraph" w:styleId="24">
    <w:name w:val="Body Text Indent 3"/>
    <w:basedOn w:val="1"/>
    <w:link w:val="92"/>
    <w:autoRedefine/>
    <w:qFormat/>
    <w:uiPriority w:val="0"/>
    <w:pPr>
      <w:spacing w:after="120"/>
      <w:ind w:left="420" w:leftChars="200"/>
    </w:pPr>
    <w:rPr>
      <w:rFonts w:ascii="Calibri" w:hAnsi="Calibri" w:eastAsia="宋体" w:cs="Times New Roman"/>
      <w:sz w:val="16"/>
      <w:szCs w:val="24"/>
    </w:rPr>
  </w:style>
  <w:style w:type="paragraph" w:styleId="25">
    <w:name w:val="toc 2"/>
    <w:basedOn w:val="1"/>
    <w:next w:val="1"/>
    <w:autoRedefine/>
    <w:semiHidden/>
    <w:qFormat/>
    <w:uiPriority w:val="0"/>
    <w:pPr>
      <w:spacing w:before="100" w:beforeAutospacing="1" w:after="100" w:afterAutospacing="1"/>
      <w:ind w:left="420" w:leftChars="200"/>
    </w:pPr>
    <w:rPr>
      <w:rFonts w:ascii="Times New Roman" w:hAnsi="Times New Roman" w:eastAsia="宋体" w:cs="Times New Roman"/>
      <w:sz w:val="24"/>
      <w:szCs w:val="24"/>
    </w:rPr>
  </w:style>
  <w:style w:type="paragraph" w:styleId="26">
    <w:name w:val="Body Text 2"/>
    <w:basedOn w:val="1"/>
    <w:autoRedefine/>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9">
    <w:name w:val="Normal (Web)"/>
    <w:basedOn w:val="1"/>
    <w:autoRedefine/>
    <w:qFormat/>
    <w:uiPriority w:val="0"/>
    <w:pPr>
      <w:widowControl/>
      <w:jc w:val="left"/>
    </w:pPr>
    <w:rPr>
      <w:rFonts w:ascii="宋体" w:hAnsi="宋体" w:eastAsia="宋体" w:cs="宋体"/>
      <w:kern w:val="0"/>
      <w:sz w:val="24"/>
      <w:szCs w:val="24"/>
    </w:rPr>
  </w:style>
  <w:style w:type="paragraph" w:styleId="30">
    <w:name w:val="Title"/>
    <w:basedOn w:val="15"/>
    <w:next w:val="1"/>
    <w:autoRedefine/>
    <w:qFormat/>
    <w:uiPriority w:val="0"/>
    <w:pPr>
      <w:spacing w:before="240" w:after="60" w:line="360" w:lineRule="auto"/>
      <w:jc w:val="center"/>
      <w:outlineLvl w:val="0"/>
    </w:pPr>
    <w:rPr>
      <w:rFonts w:ascii="Cambria" w:hAnsi="Cambria" w:eastAsia="宋体" w:cs="Times New Roman"/>
      <w:b/>
      <w:bCs/>
      <w:sz w:val="36"/>
      <w:szCs w:val="32"/>
    </w:rPr>
  </w:style>
  <w:style w:type="paragraph" w:styleId="31">
    <w:name w:val="annotation subject"/>
    <w:basedOn w:val="9"/>
    <w:next w:val="9"/>
    <w:link w:val="66"/>
    <w:autoRedefine/>
    <w:semiHidden/>
    <w:qFormat/>
    <w:uiPriority w:val="0"/>
    <w:rPr>
      <w:b/>
      <w:bCs/>
    </w:rPr>
  </w:style>
  <w:style w:type="paragraph" w:styleId="32">
    <w:name w:val="Body Text First Indent"/>
    <w:basedOn w:val="12"/>
    <w:next w:val="1"/>
    <w:link w:val="93"/>
    <w:autoRedefine/>
    <w:qFormat/>
    <w:uiPriority w:val="0"/>
    <w:pPr>
      <w:ind w:firstLine="420" w:firstLineChars="100"/>
    </w:pPr>
    <w:rPr>
      <w:szCs w:val="22"/>
    </w:rPr>
  </w:style>
  <w:style w:type="paragraph" w:styleId="33">
    <w:name w:val="Body Text First Indent 2"/>
    <w:basedOn w:val="14"/>
    <w:autoRedefine/>
    <w:qFormat/>
    <w:uiPriority w:val="0"/>
    <w:pPr>
      <w:ind w:left="0" w:leftChars="0" w:firstLine="210"/>
    </w:pPr>
    <w:rPr>
      <w:szCs w:val="20"/>
    </w:rPr>
  </w:style>
  <w:style w:type="table" w:styleId="35">
    <w:name w:val="Table Grid"/>
    <w:basedOn w:val="34"/>
    <w:autoRedefine/>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0"/>
    <w:rPr>
      <w:rFonts w:cs="Times New Roman"/>
    </w:rPr>
  </w:style>
  <w:style w:type="character" w:styleId="38">
    <w:name w:val="page number"/>
    <w:basedOn w:val="36"/>
    <w:autoRedefine/>
    <w:unhideWhenUsed/>
    <w:qFormat/>
    <w:uiPriority w:val="0"/>
  </w:style>
  <w:style w:type="character" w:styleId="39">
    <w:name w:val="FollowedHyperlink"/>
    <w:autoRedefine/>
    <w:qFormat/>
    <w:uiPriority w:val="99"/>
    <w:rPr>
      <w:rFonts w:cs="Times New Roman"/>
      <w:color w:val="800080"/>
      <w:u w:val="none"/>
    </w:rPr>
  </w:style>
  <w:style w:type="character" w:styleId="40">
    <w:name w:val="Emphasis"/>
    <w:autoRedefine/>
    <w:qFormat/>
    <w:uiPriority w:val="20"/>
    <w:rPr>
      <w:rFonts w:cs="Times New Roman"/>
    </w:rPr>
  </w:style>
  <w:style w:type="character" w:styleId="41">
    <w:name w:val="HTML Definition"/>
    <w:autoRedefine/>
    <w:qFormat/>
    <w:uiPriority w:val="99"/>
    <w:rPr>
      <w:rFonts w:cs="Times New Roman"/>
    </w:rPr>
  </w:style>
  <w:style w:type="character" w:styleId="42">
    <w:name w:val="HTML Typewriter"/>
    <w:autoRedefine/>
    <w:qFormat/>
    <w:uiPriority w:val="99"/>
    <w:rPr>
      <w:rFonts w:ascii="monospace" w:hAnsi="monospace" w:cs="Times New Roman"/>
      <w:sz w:val="20"/>
    </w:rPr>
  </w:style>
  <w:style w:type="character" w:styleId="43">
    <w:name w:val="HTML Acronym"/>
    <w:autoRedefine/>
    <w:qFormat/>
    <w:uiPriority w:val="99"/>
    <w:rPr>
      <w:rFonts w:cs="Times New Roman"/>
    </w:rPr>
  </w:style>
  <w:style w:type="character" w:styleId="44">
    <w:name w:val="HTML Variable"/>
    <w:autoRedefine/>
    <w:qFormat/>
    <w:uiPriority w:val="99"/>
    <w:rPr>
      <w:rFonts w:cs="Times New Roman"/>
    </w:rPr>
  </w:style>
  <w:style w:type="character" w:styleId="45">
    <w:name w:val="Hyperlink"/>
    <w:autoRedefine/>
    <w:qFormat/>
    <w:uiPriority w:val="0"/>
    <w:rPr>
      <w:rFonts w:cs="Times New Roman"/>
      <w:color w:val="0000FF"/>
      <w:u w:val="none"/>
    </w:rPr>
  </w:style>
  <w:style w:type="character" w:styleId="46">
    <w:name w:val="HTML Code"/>
    <w:autoRedefine/>
    <w:qFormat/>
    <w:uiPriority w:val="99"/>
    <w:rPr>
      <w:rFonts w:ascii="monospace" w:hAnsi="monospace" w:cs="Times New Roman"/>
      <w:sz w:val="20"/>
    </w:rPr>
  </w:style>
  <w:style w:type="character" w:styleId="47">
    <w:name w:val="annotation reference"/>
    <w:autoRedefine/>
    <w:semiHidden/>
    <w:qFormat/>
    <w:uiPriority w:val="0"/>
    <w:rPr>
      <w:rFonts w:cs="Times New Roman"/>
      <w:sz w:val="21"/>
    </w:rPr>
  </w:style>
  <w:style w:type="character" w:styleId="48">
    <w:name w:val="HTML Cite"/>
    <w:autoRedefine/>
    <w:qFormat/>
    <w:uiPriority w:val="99"/>
    <w:rPr>
      <w:rFonts w:cs="Times New Roman"/>
    </w:rPr>
  </w:style>
  <w:style w:type="character" w:styleId="49">
    <w:name w:val="HTML Keyboard"/>
    <w:autoRedefine/>
    <w:qFormat/>
    <w:uiPriority w:val="99"/>
    <w:rPr>
      <w:rFonts w:ascii="monospace" w:hAnsi="monospace" w:cs="Times New Roman"/>
      <w:sz w:val="20"/>
    </w:rPr>
  </w:style>
  <w:style w:type="character" w:styleId="50">
    <w:name w:val="HTML Sample"/>
    <w:basedOn w:val="36"/>
    <w:autoRedefine/>
    <w:qFormat/>
    <w:uiPriority w:val="99"/>
    <w:rPr>
      <w:rFonts w:ascii="monospace" w:hAnsi="monospace" w:cs="Times New Roman"/>
    </w:rPr>
  </w:style>
  <w:style w:type="paragraph" w:customStyle="1" w:styleId="51">
    <w:name w:val="文本块11"/>
    <w:basedOn w:val="1"/>
    <w:autoRedefine/>
    <w:unhideWhenUsed/>
    <w:qFormat/>
    <w:uiPriority w:val="0"/>
    <w:pPr>
      <w:spacing w:after="120"/>
      <w:ind w:left="1440" w:right="1440"/>
    </w:pPr>
    <w:rPr>
      <w:rFonts w:ascii="Calibri" w:hAnsi="Calibri"/>
    </w:rPr>
  </w:style>
  <w:style w:type="paragraph" w:customStyle="1" w:styleId="52">
    <w:name w:val="Quote"/>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53">
    <w:name w:val="No Spacing"/>
    <w:autoRedefine/>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54">
    <w:name w:val="页眉 Char"/>
    <w:basedOn w:val="36"/>
    <w:link w:val="22"/>
    <w:autoRedefine/>
    <w:semiHidden/>
    <w:qFormat/>
    <w:uiPriority w:val="99"/>
    <w:rPr>
      <w:sz w:val="18"/>
      <w:szCs w:val="18"/>
    </w:rPr>
  </w:style>
  <w:style w:type="character" w:customStyle="1" w:styleId="55">
    <w:name w:val="页脚 Char"/>
    <w:basedOn w:val="36"/>
    <w:link w:val="21"/>
    <w:autoRedefine/>
    <w:qFormat/>
    <w:uiPriority w:val="99"/>
    <w:rPr>
      <w:sz w:val="18"/>
      <w:szCs w:val="18"/>
    </w:rPr>
  </w:style>
  <w:style w:type="character" w:customStyle="1" w:styleId="56">
    <w:name w:val="标题 1 Char"/>
    <w:basedOn w:val="36"/>
    <w:link w:val="2"/>
    <w:autoRedefine/>
    <w:qFormat/>
    <w:uiPriority w:val="0"/>
    <w:rPr>
      <w:rFonts w:ascii="Times New Roman" w:hAnsi="Times New Roman" w:eastAsia="宋体" w:cs="Times New Roman"/>
      <w:b/>
      <w:bCs/>
      <w:kern w:val="44"/>
      <w:sz w:val="44"/>
      <w:szCs w:val="44"/>
    </w:rPr>
  </w:style>
  <w:style w:type="character" w:customStyle="1" w:styleId="57">
    <w:name w:val="标题 2 Char"/>
    <w:basedOn w:val="36"/>
    <w:link w:val="3"/>
    <w:autoRedefine/>
    <w:qFormat/>
    <w:uiPriority w:val="0"/>
    <w:rPr>
      <w:rFonts w:ascii="Arial" w:hAnsi="Arial" w:eastAsia="黑体" w:cs="Times New Roman"/>
      <w:b/>
      <w:bCs/>
      <w:kern w:val="0"/>
      <w:sz w:val="32"/>
      <w:szCs w:val="32"/>
    </w:rPr>
  </w:style>
  <w:style w:type="character" w:customStyle="1" w:styleId="58">
    <w:name w:val="标题 3 Char"/>
    <w:basedOn w:val="36"/>
    <w:link w:val="4"/>
    <w:autoRedefine/>
    <w:qFormat/>
    <w:uiPriority w:val="0"/>
    <w:rPr>
      <w:rFonts w:ascii="Times New Roman" w:hAnsi="Times New Roman" w:eastAsia="宋体" w:cs="Times New Roman"/>
      <w:b/>
      <w:bCs/>
      <w:kern w:val="0"/>
      <w:sz w:val="32"/>
      <w:szCs w:val="32"/>
    </w:rPr>
  </w:style>
  <w:style w:type="character" w:customStyle="1" w:styleId="59">
    <w:name w:val="文档结构图 Char"/>
    <w:basedOn w:val="36"/>
    <w:link w:val="8"/>
    <w:autoRedefine/>
    <w:semiHidden/>
    <w:qFormat/>
    <w:uiPriority w:val="0"/>
    <w:rPr>
      <w:rFonts w:ascii="宋体" w:hAnsi="Times New Roman" w:eastAsia="宋体" w:cs="Times New Roman"/>
      <w:kern w:val="0"/>
      <w:sz w:val="18"/>
      <w:szCs w:val="18"/>
    </w:rPr>
  </w:style>
  <w:style w:type="character" w:customStyle="1" w:styleId="60">
    <w:name w:val="批注文字 Char"/>
    <w:basedOn w:val="36"/>
    <w:link w:val="9"/>
    <w:autoRedefine/>
    <w:qFormat/>
    <w:uiPriority w:val="0"/>
  </w:style>
  <w:style w:type="character" w:customStyle="1" w:styleId="61">
    <w:name w:val="正文文本 3 Char"/>
    <w:basedOn w:val="36"/>
    <w:link w:val="10"/>
    <w:autoRedefine/>
    <w:qFormat/>
    <w:uiPriority w:val="99"/>
    <w:rPr>
      <w:rFonts w:ascii="仿宋_GB2312" w:hAnsi="Arial" w:eastAsia="仿宋_GB2312" w:cs="Times New Roman"/>
      <w:kern w:val="0"/>
      <w:sz w:val="28"/>
      <w:szCs w:val="28"/>
    </w:rPr>
  </w:style>
  <w:style w:type="character" w:customStyle="1" w:styleId="62">
    <w:name w:val="正文文本缩进 Char"/>
    <w:basedOn w:val="36"/>
    <w:link w:val="14"/>
    <w:autoRedefine/>
    <w:qFormat/>
    <w:uiPriority w:val="0"/>
    <w:rPr>
      <w:rFonts w:ascii="宋体" w:hAnsi="宋体" w:eastAsia="宋体" w:cs="Times New Roman"/>
      <w:color w:val="000000"/>
      <w:kern w:val="0"/>
      <w:sz w:val="24"/>
      <w:szCs w:val="24"/>
    </w:rPr>
  </w:style>
  <w:style w:type="character" w:customStyle="1" w:styleId="63">
    <w:name w:val="纯文本 Char"/>
    <w:basedOn w:val="36"/>
    <w:link w:val="17"/>
    <w:autoRedefine/>
    <w:qFormat/>
    <w:uiPriority w:val="0"/>
    <w:rPr>
      <w:rFonts w:ascii="宋体" w:hAnsi="Courier New" w:eastAsia="宋体" w:cs="Times New Roman"/>
      <w:kern w:val="0"/>
      <w:szCs w:val="20"/>
    </w:rPr>
  </w:style>
  <w:style w:type="character" w:customStyle="1" w:styleId="64">
    <w:name w:val="日期 Char"/>
    <w:basedOn w:val="36"/>
    <w:link w:val="18"/>
    <w:autoRedefine/>
    <w:qFormat/>
    <w:uiPriority w:val="0"/>
    <w:rPr>
      <w:rFonts w:ascii="Times New Roman" w:hAnsi="Times New Roman" w:eastAsia="宋体" w:cs="Times New Roman"/>
      <w:b/>
      <w:bCs/>
      <w:kern w:val="0"/>
      <w:sz w:val="28"/>
      <w:szCs w:val="28"/>
    </w:rPr>
  </w:style>
  <w:style w:type="character" w:customStyle="1" w:styleId="65">
    <w:name w:val="批注框文本 Char"/>
    <w:basedOn w:val="36"/>
    <w:link w:val="20"/>
    <w:autoRedefine/>
    <w:semiHidden/>
    <w:qFormat/>
    <w:uiPriority w:val="0"/>
    <w:rPr>
      <w:rFonts w:ascii="Times New Roman" w:hAnsi="Times New Roman" w:eastAsia="宋体" w:cs="Times New Roman"/>
      <w:kern w:val="0"/>
      <w:sz w:val="18"/>
      <w:szCs w:val="18"/>
    </w:rPr>
  </w:style>
  <w:style w:type="character" w:customStyle="1" w:styleId="66">
    <w:name w:val="批注主题 Char"/>
    <w:basedOn w:val="60"/>
    <w:link w:val="31"/>
    <w:autoRedefine/>
    <w:semiHidden/>
    <w:qFormat/>
    <w:uiPriority w:val="0"/>
    <w:rPr>
      <w:rFonts w:ascii="Times New Roman" w:hAnsi="Times New Roman" w:eastAsia="宋体" w:cs="Times New Roman"/>
      <w:b/>
      <w:bCs/>
      <w:kern w:val="0"/>
      <w:szCs w:val="21"/>
    </w:rPr>
  </w:style>
  <w:style w:type="character" w:customStyle="1" w:styleId="67">
    <w:name w:val="批注文字 Char1"/>
    <w:link w:val="9"/>
    <w:autoRedefine/>
    <w:qFormat/>
    <w:locked/>
    <w:uiPriority w:val="0"/>
    <w:rPr>
      <w:rFonts w:ascii="Times New Roman" w:hAnsi="Times New Roman" w:eastAsia="宋体" w:cs="Times New Roman"/>
      <w:kern w:val="0"/>
      <w:szCs w:val="21"/>
    </w:rPr>
  </w:style>
  <w:style w:type="character" w:customStyle="1" w:styleId="68">
    <w:name w:val="Plain Text Char"/>
    <w:autoRedefine/>
    <w:qFormat/>
    <w:locked/>
    <w:uiPriority w:val="99"/>
    <w:rPr>
      <w:rFonts w:ascii="宋体" w:hAnsi="Courier New" w:eastAsia="宋体" w:cs="Times New Roman"/>
      <w:kern w:val="2"/>
      <w:sz w:val="21"/>
    </w:rPr>
  </w:style>
  <w:style w:type="character" w:customStyle="1" w:styleId="69">
    <w:name w:val="Footer Char"/>
    <w:autoRedefine/>
    <w:qFormat/>
    <w:locked/>
    <w:uiPriority w:val="99"/>
    <w:rPr>
      <w:rFonts w:eastAsia="宋体" w:cs="Times New Roman"/>
      <w:sz w:val="18"/>
    </w:rPr>
  </w:style>
  <w:style w:type="character" w:customStyle="1" w:styleId="70">
    <w:name w:val="Header Char"/>
    <w:autoRedefine/>
    <w:qFormat/>
    <w:locked/>
    <w:uiPriority w:val="99"/>
    <w:rPr>
      <w:rFonts w:eastAsia="宋体" w:cs="Times New Roman"/>
      <w:sz w:val="18"/>
    </w:rPr>
  </w:style>
  <w:style w:type="paragraph" w:customStyle="1" w:styleId="71">
    <w:name w:val="样式1"/>
    <w:basedOn w:val="1"/>
    <w:autoRedefine/>
    <w:qFormat/>
    <w:uiPriority w:val="99"/>
    <w:pPr>
      <w:adjustRightInd w:val="0"/>
      <w:textAlignment w:val="baseline"/>
    </w:pPr>
    <w:rPr>
      <w:rFonts w:ascii="宋体" w:hAnsi="宋体" w:eastAsia="宋体" w:cs="宋体"/>
      <w:kern w:val="0"/>
      <w:szCs w:val="21"/>
    </w:rPr>
  </w:style>
  <w:style w:type="character" w:customStyle="1" w:styleId="72">
    <w:name w:val="apple-converted-space"/>
    <w:autoRedefine/>
    <w:qFormat/>
    <w:uiPriority w:val="99"/>
    <w:rPr>
      <w:rFonts w:cs="Times New Roman"/>
    </w:rPr>
  </w:style>
  <w:style w:type="paragraph" w:customStyle="1" w:styleId="73">
    <w:name w:val="Char1 Char Char Char Char Char Char"/>
    <w:basedOn w:val="1"/>
    <w:autoRedefine/>
    <w:qFormat/>
    <w:uiPriority w:val="99"/>
    <w:rPr>
      <w:rFonts w:ascii="Tahoma" w:hAnsi="Tahoma" w:eastAsia="宋体" w:cs="Tahoma"/>
      <w:sz w:val="24"/>
      <w:szCs w:val="24"/>
    </w:rPr>
  </w:style>
  <w:style w:type="paragraph" w:customStyle="1" w:styleId="74">
    <w:name w:val="默认段落字体 Para Char Char Char1 Char Char Char Char Char Char Char"/>
    <w:basedOn w:val="1"/>
    <w:autoRedefine/>
    <w:qFormat/>
    <w:uiPriority w:val="99"/>
    <w:pPr>
      <w:adjustRightInd w:val="0"/>
      <w:spacing w:line="360" w:lineRule="auto"/>
    </w:pPr>
    <w:rPr>
      <w:rFonts w:ascii="Times New Roman" w:hAnsi="Times New Roman" w:eastAsia="宋体" w:cs="Times New Roman"/>
      <w:szCs w:val="21"/>
    </w:rPr>
  </w:style>
  <w:style w:type="character" w:customStyle="1" w:styleId="75">
    <w:name w:val="15"/>
    <w:autoRedefine/>
    <w:qFormat/>
    <w:uiPriority w:val="99"/>
    <w:rPr>
      <w:rFonts w:ascii="Times New Roman" w:hAnsi="Times New Roman"/>
      <w:color w:val="0000FF"/>
      <w:u w:val="single"/>
    </w:rPr>
  </w:style>
  <w:style w:type="paragraph" w:customStyle="1" w:styleId="76">
    <w:name w:val="Char"/>
    <w:basedOn w:val="1"/>
    <w:autoRedefine/>
    <w:qFormat/>
    <w:uiPriority w:val="0"/>
    <w:rPr>
      <w:rFonts w:ascii="Tahoma" w:hAnsi="Tahoma" w:eastAsia="宋体" w:cs="Tahoma"/>
      <w:sz w:val="24"/>
      <w:szCs w:val="24"/>
    </w:rPr>
  </w:style>
  <w:style w:type="paragraph" w:customStyle="1" w:styleId="77">
    <w:name w:val="D&amp;L"/>
    <w:basedOn w:val="22"/>
    <w:autoRedefine/>
    <w:qFormat/>
    <w:uiPriority w:val="99"/>
    <w:pPr>
      <w:pBdr>
        <w:bottom w:val="thinThickSmallGap" w:color="auto" w:sz="12" w:space="1"/>
      </w:pBdr>
      <w:tabs>
        <w:tab w:val="clear" w:pos="4153"/>
        <w:tab w:val="clear" w:pos="8306"/>
      </w:tabs>
      <w:adjustRightInd w:val="0"/>
      <w:snapToGrid/>
      <w:spacing w:line="240" w:lineRule="atLeast"/>
      <w:textAlignment w:val="baseline"/>
    </w:pPr>
    <w:rPr>
      <w:rFonts w:ascii="Times New Roman" w:hAnsi="Times New Roman" w:eastAsia="宋体" w:cs="Times New Roman"/>
      <w:kern w:val="0"/>
      <w:sz w:val="24"/>
      <w:szCs w:val="24"/>
    </w:rPr>
  </w:style>
  <w:style w:type="paragraph" w:customStyle="1" w:styleId="78">
    <w:name w:val="Char Char Char Char Char Char Char1 Char"/>
    <w:basedOn w:val="1"/>
    <w:autoRedefine/>
    <w:qFormat/>
    <w:uiPriority w:val="99"/>
    <w:rPr>
      <w:rFonts w:ascii="Tahoma" w:hAnsi="Tahoma" w:eastAsia="宋体" w:cs="Tahoma"/>
      <w:sz w:val="24"/>
      <w:szCs w:val="24"/>
    </w:rPr>
  </w:style>
  <w:style w:type="paragraph" w:customStyle="1" w:styleId="79">
    <w:name w:val="xl31"/>
    <w:basedOn w:val="1"/>
    <w:autoRedefine/>
    <w:qFormat/>
    <w:uiPriority w:val="99"/>
    <w:pPr>
      <w:widowControl/>
      <w:spacing w:before="100" w:beforeAutospacing="1" w:after="100" w:afterAutospacing="1"/>
      <w:jc w:val="center"/>
    </w:pPr>
    <w:rPr>
      <w:rFonts w:ascii="宋体" w:hAnsi="宋体" w:eastAsia="宋体" w:cs="宋体"/>
      <w:b/>
      <w:bCs/>
      <w:kern w:val="0"/>
      <w:sz w:val="28"/>
      <w:szCs w:val="28"/>
    </w:rPr>
  </w:style>
  <w:style w:type="character" w:customStyle="1" w:styleId="80">
    <w:name w:val="10"/>
    <w:autoRedefine/>
    <w:qFormat/>
    <w:uiPriority w:val="99"/>
    <w:rPr>
      <w:rFonts w:ascii="Times New Roman" w:hAnsi="Times New Roman"/>
    </w:rPr>
  </w:style>
  <w:style w:type="character" w:customStyle="1" w:styleId="81">
    <w:name w:val="16"/>
    <w:autoRedefine/>
    <w:qFormat/>
    <w:uiPriority w:val="99"/>
    <w:rPr>
      <w:rFonts w:ascii="Times New Roman" w:hAnsi="Times New Roman"/>
    </w:rPr>
  </w:style>
  <w:style w:type="paragraph" w:customStyle="1" w:styleId="82">
    <w:name w:val="列出段落1"/>
    <w:basedOn w:val="1"/>
    <w:autoRedefine/>
    <w:qFormat/>
    <w:uiPriority w:val="99"/>
    <w:pPr>
      <w:ind w:firstLine="420" w:firstLineChars="200"/>
    </w:pPr>
    <w:rPr>
      <w:rFonts w:ascii="Times New Roman" w:hAnsi="Times New Roman" w:eastAsia="宋体" w:cs="Times New Roman"/>
      <w:szCs w:val="21"/>
    </w:rPr>
  </w:style>
  <w:style w:type="character" w:customStyle="1" w:styleId="83">
    <w:name w:val="tpc_content1"/>
    <w:autoRedefine/>
    <w:qFormat/>
    <w:uiPriority w:val="99"/>
    <w:rPr>
      <w:sz w:val="13"/>
    </w:rPr>
  </w:style>
  <w:style w:type="paragraph" w:styleId="84">
    <w:name w:val="List Paragraph"/>
    <w:basedOn w:val="1"/>
    <w:autoRedefine/>
    <w:qFormat/>
    <w:uiPriority w:val="99"/>
    <w:pPr>
      <w:ind w:firstLine="420" w:firstLineChars="200"/>
    </w:pPr>
    <w:rPr>
      <w:rFonts w:ascii="Times New Roman" w:hAnsi="Times New Roman" w:eastAsia="宋体" w:cs="Times New Roman"/>
      <w:szCs w:val="21"/>
    </w:rPr>
  </w:style>
  <w:style w:type="paragraph" w:customStyle="1" w:styleId="85">
    <w:name w:val="Table Paragraph"/>
    <w:basedOn w:val="1"/>
    <w:autoRedefine/>
    <w:qFormat/>
    <w:uiPriority w:val="0"/>
    <w:pPr>
      <w:jc w:val="left"/>
    </w:pPr>
    <w:rPr>
      <w:rFonts w:ascii="Calibri" w:hAnsi="Calibri" w:eastAsia="宋体" w:cs="Times New Roman"/>
      <w:kern w:val="0"/>
      <w:sz w:val="22"/>
    </w:rPr>
  </w:style>
  <w:style w:type="character" w:customStyle="1" w:styleId="86">
    <w:name w:val="结束语 Char"/>
    <w:basedOn w:val="36"/>
    <w:link w:val="11"/>
    <w:autoRedefine/>
    <w:qFormat/>
    <w:uiPriority w:val="0"/>
    <w:rPr>
      <w:rFonts w:ascii="Calibri" w:hAnsi="Calibri" w:eastAsia="等线" w:cs="Times New Roman"/>
    </w:rPr>
  </w:style>
  <w:style w:type="character" w:customStyle="1" w:styleId="87">
    <w:name w:val="结束语 字符"/>
    <w:autoRedefine/>
    <w:semiHidden/>
    <w:qFormat/>
    <w:uiPriority w:val="99"/>
    <w:rPr>
      <w:kern w:val="2"/>
      <w:sz w:val="21"/>
      <w:szCs w:val="21"/>
    </w:rPr>
  </w:style>
  <w:style w:type="character" w:customStyle="1" w:styleId="88">
    <w:name w:val="正文文本 Char"/>
    <w:basedOn w:val="36"/>
    <w:link w:val="12"/>
    <w:autoRedefine/>
    <w:qFormat/>
    <w:uiPriority w:val="0"/>
    <w:rPr>
      <w:rFonts w:ascii="等线" w:hAnsi="等线" w:eastAsia="等线" w:cs="Times New Roman"/>
      <w:szCs w:val="24"/>
    </w:rPr>
  </w:style>
  <w:style w:type="character" w:customStyle="1" w:styleId="89">
    <w:name w:val="正文文本 字符"/>
    <w:autoRedefine/>
    <w:semiHidden/>
    <w:qFormat/>
    <w:uiPriority w:val="99"/>
    <w:rPr>
      <w:kern w:val="2"/>
      <w:sz w:val="21"/>
      <w:szCs w:val="21"/>
    </w:rPr>
  </w:style>
  <w:style w:type="character" w:customStyle="1" w:styleId="90">
    <w:name w:val="正文文本缩进 2 Char"/>
    <w:basedOn w:val="36"/>
    <w:link w:val="19"/>
    <w:autoRedefine/>
    <w:qFormat/>
    <w:uiPriority w:val="0"/>
    <w:rPr>
      <w:rFonts w:ascii="等线" w:hAnsi="等线" w:eastAsia="等线" w:cs="Times New Roman"/>
      <w:szCs w:val="24"/>
    </w:rPr>
  </w:style>
  <w:style w:type="character" w:customStyle="1" w:styleId="91">
    <w:name w:val="正文文本缩进 2 字符"/>
    <w:autoRedefine/>
    <w:semiHidden/>
    <w:qFormat/>
    <w:uiPriority w:val="99"/>
    <w:rPr>
      <w:kern w:val="2"/>
      <w:sz w:val="21"/>
      <w:szCs w:val="21"/>
    </w:rPr>
  </w:style>
  <w:style w:type="character" w:customStyle="1" w:styleId="92">
    <w:name w:val="正文文本缩进 3 Char"/>
    <w:basedOn w:val="36"/>
    <w:link w:val="24"/>
    <w:autoRedefine/>
    <w:qFormat/>
    <w:uiPriority w:val="0"/>
    <w:rPr>
      <w:rFonts w:ascii="Calibri" w:hAnsi="Calibri" w:eastAsia="宋体" w:cs="Times New Roman"/>
      <w:sz w:val="16"/>
      <w:szCs w:val="24"/>
    </w:rPr>
  </w:style>
  <w:style w:type="character" w:customStyle="1" w:styleId="93">
    <w:name w:val="正文首行缩进 Char"/>
    <w:basedOn w:val="88"/>
    <w:link w:val="32"/>
    <w:autoRedefine/>
    <w:qFormat/>
    <w:uiPriority w:val="0"/>
  </w:style>
  <w:style w:type="paragraph" w:customStyle="1" w:styleId="94">
    <w:name w:val="正文 1.1.1"/>
    <w:basedOn w:val="1"/>
    <w:next w:val="1"/>
    <w:autoRedefine/>
    <w:qFormat/>
    <w:uiPriority w:val="0"/>
    <w:pPr>
      <w:numPr>
        <w:ilvl w:val="0"/>
        <w:numId w:val="1"/>
      </w:numPr>
      <w:tabs>
        <w:tab w:val="left" w:pos="851"/>
      </w:tabs>
      <w:outlineLvl w:val="2"/>
    </w:pPr>
    <w:rPr>
      <w:rFonts w:ascii="Times New Roman" w:hAnsi="宋体" w:eastAsia="宋体" w:cs="Times New Roman"/>
      <w:color w:val="FF0000"/>
      <w:szCs w:val="24"/>
    </w:rPr>
  </w:style>
  <w:style w:type="paragraph" w:customStyle="1" w:styleId="95">
    <w:name w:val="正文_0_0"/>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6">
    <w:name w:val="Char Char Char Char"/>
    <w:basedOn w:val="1"/>
    <w:autoRedefine/>
    <w:qFormat/>
    <w:uiPriority w:val="0"/>
    <w:pPr>
      <w:tabs>
        <w:tab w:val="left" w:pos="360"/>
      </w:tabs>
      <w:ind w:firstLine="420" w:firstLineChars="150"/>
    </w:pPr>
    <w:rPr>
      <w:rFonts w:ascii="Arial" w:hAnsi="Arial" w:eastAsia="宋体" w:cs="Arial"/>
      <w:sz w:val="20"/>
      <w:szCs w:val="20"/>
    </w:rPr>
  </w:style>
  <w:style w:type="paragraph" w:customStyle="1" w:styleId="97">
    <w:name w:val="_Style 4"/>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1 Char"/>
    <w:basedOn w:val="1"/>
    <w:autoRedefine/>
    <w:qFormat/>
    <w:uiPriority w:val="0"/>
    <w:pPr>
      <w:spacing w:line="360" w:lineRule="auto"/>
      <w:ind w:firstLine="200" w:firstLineChars="200"/>
    </w:pPr>
    <w:rPr>
      <w:rFonts w:ascii="Times New Roman" w:hAnsi="Times New Roman" w:eastAsia="宋体" w:cs="Times New Roman"/>
      <w:szCs w:val="24"/>
    </w:rPr>
  </w:style>
  <w:style w:type="paragraph" w:customStyle="1" w:styleId="99">
    <w:name w:val="正文1"/>
    <w:autoRedefine/>
    <w:qFormat/>
    <w:uiPriority w:val="0"/>
    <w:rPr>
      <w:rFonts w:ascii="Times New Roman" w:hAnsi="Times New Roman" w:eastAsia="Times New Roman" w:cs="Times New Roman"/>
      <w:kern w:val="0"/>
      <w:sz w:val="24"/>
      <w:szCs w:val="24"/>
      <w:lang w:val="en-US" w:eastAsia="zh-CN" w:bidi="ar-SA"/>
    </w:rPr>
  </w:style>
  <w:style w:type="paragraph" w:customStyle="1" w:styleId="100">
    <w:name w:val="默认段落字体 Para Char Char Char Char Char Char Char Char Char1 Char Char Char Char Char Char Char Char"/>
    <w:basedOn w:val="8"/>
    <w:autoRedefine/>
    <w:qFormat/>
    <w:uiPriority w:val="0"/>
    <w:pPr>
      <w:shd w:val="clear" w:color="auto" w:fill="000080"/>
    </w:pPr>
    <w:rPr>
      <w:rFonts w:ascii="等线" w:hAnsi="等线" w:eastAsia="等线"/>
      <w:kern w:val="2"/>
      <w:sz w:val="21"/>
      <w:szCs w:val="24"/>
    </w:rPr>
  </w:style>
  <w:style w:type="paragraph" w:customStyle="1" w:styleId="101">
    <w:name w:val="Normal_0"/>
    <w:autoRedefine/>
    <w:qFormat/>
    <w:uiPriority w:val="0"/>
    <w:rPr>
      <w:rFonts w:ascii="Times New Roman" w:hAnsi="Times New Roman" w:eastAsia="Times New Roman" w:cs="Times New Roman"/>
      <w:kern w:val="0"/>
      <w:sz w:val="24"/>
      <w:szCs w:val="24"/>
      <w:lang w:val="en-US" w:eastAsia="zh-CN" w:bidi="ar-SA"/>
    </w:rPr>
  </w:style>
  <w:style w:type="paragraph" w:customStyle="1" w:styleId="102">
    <w:name w:val="Char Char Char Char Char Char Char1 Char Char Char Char Char Char Char"/>
    <w:basedOn w:val="1"/>
    <w:autoRedefine/>
    <w:qFormat/>
    <w:uiPriority w:val="0"/>
    <w:rPr>
      <w:rFonts w:ascii="Tahoma" w:hAnsi="Tahoma" w:eastAsia="宋体" w:cs="Times New Roman"/>
      <w:sz w:val="24"/>
      <w:szCs w:val="20"/>
    </w:rPr>
  </w:style>
  <w:style w:type="paragraph" w:customStyle="1" w:styleId="103">
    <w:name w:val="Char Char Char"/>
    <w:basedOn w:val="1"/>
    <w:autoRedefine/>
    <w:qFormat/>
    <w:uiPriority w:val="0"/>
    <w:rPr>
      <w:rFonts w:ascii="Tahoma" w:hAnsi="Tahoma" w:eastAsia="宋体" w:cs="Times New Roman"/>
      <w:sz w:val="24"/>
      <w:szCs w:val="20"/>
    </w:rPr>
  </w:style>
  <w:style w:type="paragraph" w:customStyle="1" w:styleId="104">
    <w:name w:val="目录"/>
    <w:basedOn w:val="1"/>
    <w:autoRedefine/>
    <w:qFormat/>
    <w:uiPriority w:val="0"/>
    <w:pPr>
      <w:widowControl/>
      <w:jc w:val="center"/>
    </w:pPr>
    <w:rPr>
      <w:rFonts w:ascii="宋体" w:hAnsi="Times New Roman" w:eastAsia="宋体" w:cs="Times New Roman"/>
      <w:b/>
      <w:kern w:val="0"/>
      <w:sz w:val="36"/>
      <w:szCs w:val="24"/>
    </w:rPr>
  </w:style>
  <w:style w:type="paragraph" w:customStyle="1" w:styleId="105">
    <w:name w:val="正文_3_0"/>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6">
    <w:name w:val="正文空2格  1."/>
    <w:basedOn w:val="1"/>
    <w:autoRedefine/>
    <w:qFormat/>
    <w:uiPriority w:val="0"/>
    <w:pPr>
      <w:ind w:firstLine="480" w:firstLineChars="200"/>
    </w:pPr>
    <w:rPr>
      <w:rFonts w:ascii="Times New Roman" w:hAnsi="Times New Roman" w:eastAsia="宋体" w:cs="宋体"/>
      <w:sz w:val="28"/>
      <w:szCs w:val="20"/>
    </w:rPr>
  </w:style>
  <w:style w:type="paragraph" w:customStyle="1" w:styleId="107">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08">
    <w:name w:val="样式2"/>
    <w:basedOn w:val="1"/>
    <w:link w:val="114"/>
    <w:autoRedefine/>
    <w:qFormat/>
    <w:uiPriority w:val="0"/>
    <w:pPr>
      <w:spacing w:line="600" w:lineRule="exact"/>
    </w:pPr>
    <w:rPr>
      <w:rFonts w:ascii="仿宋_GB2312" w:hAnsi="宋体" w:eastAsia="仿宋_GB2312" w:cs="Times New Roman"/>
      <w:b/>
      <w:sz w:val="32"/>
      <w:szCs w:val="32"/>
    </w:rPr>
  </w:style>
  <w:style w:type="paragraph" w:customStyle="1" w:styleId="109">
    <w:name w:val="_Style 55"/>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10">
    <w:name w:val="日期 字符1"/>
    <w:autoRedefine/>
    <w:qFormat/>
    <w:uiPriority w:val="0"/>
    <w:rPr>
      <w:rFonts w:ascii="黑体" w:hAnsi="宋体" w:eastAsia="黑体"/>
      <w:b/>
      <w:bCs/>
      <w:color w:val="000000"/>
      <w:sz w:val="44"/>
      <w:szCs w:val="36"/>
    </w:rPr>
  </w:style>
  <w:style w:type="character" w:customStyle="1" w:styleId="111">
    <w:name w:val="正文文本缩进 字符1"/>
    <w:autoRedefine/>
    <w:qFormat/>
    <w:uiPriority w:val="0"/>
    <w:rPr>
      <w:rFonts w:ascii="仿宋_GB2312" w:eastAsia="仿宋_GB2312"/>
      <w:sz w:val="24"/>
      <w:szCs w:val="21"/>
    </w:rPr>
  </w:style>
  <w:style w:type="character" w:customStyle="1" w:styleId="112">
    <w:name w:val="纯文本字符"/>
    <w:autoRedefine/>
    <w:qFormat/>
    <w:uiPriority w:val="0"/>
    <w:rPr>
      <w:rFonts w:ascii="宋体" w:hAnsi="Courier New" w:eastAsia="仿宋_GB2312" w:cs="Courier New"/>
      <w:kern w:val="2"/>
      <w:sz w:val="32"/>
      <w:szCs w:val="21"/>
    </w:rPr>
  </w:style>
  <w:style w:type="character" w:customStyle="1" w:styleId="113">
    <w:name w:val="页脚 字符1"/>
    <w:autoRedefine/>
    <w:qFormat/>
    <w:uiPriority w:val="0"/>
    <w:rPr>
      <w:sz w:val="18"/>
      <w:szCs w:val="24"/>
    </w:rPr>
  </w:style>
  <w:style w:type="character" w:customStyle="1" w:styleId="114">
    <w:name w:val="样式2 Char Char"/>
    <w:link w:val="108"/>
    <w:autoRedefine/>
    <w:qFormat/>
    <w:uiPriority w:val="0"/>
    <w:rPr>
      <w:rFonts w:ascii="仿宋_GB2312" w:hAnsi="宋体" w:eastAsia="仿宋_GB2312" w:cs="Times New Roman"/>
      <w:b/>
      <w:sz w:val="32"/>
      <w:szCs w:val="32"/>
    </w:rPr>
  </w:style>
  <w:style w:type="character" w:customStyle="1" w:styleId="115">
    <w:name w:val="标题 1 字符1"/>
    <w:autoRedefine/>
    <w:qFormat/>
    <w:uiPriority w:val="0"/>
    <w:rPr>
      <w:rFonts w:ascii="Times New Roman" w:hAnsi="Times New Roman" w:eastAsia="宋体" w:cs="Times New Roman"/>
      <w:b/>
      <w:bCs/>
      <w:kern w:val="44"/>
      <w:sz w:val="44"/>
      <w:szCs w:val="44"/>
    </w:rPr>
  </w:style>
  <w:style w:type="character" w:customStyle="1" w:styleId="116">
    <w:name w:val="页眉 字符1"/>
    <w:autoRedefine/>
    <w:qFormat/>
    <w:uiPriority w:val="99"/>
    <w:rPr>
      <w:sz w:val="18"/>
      <w:szCs w:val="24"/>
    </w:rPr>
  </w:style>
  <w:style w:type="character" w:customStyle="1" w:styleId="117">
    <w:name w:val="页眉 Char1"/>
    <w:autoRedefine/>
    <w:semiHidden/>
    <w:qFormat/>
    <w:uiPriority w:val="99"/>
    <w:rPr>
      <w:kern w:val="2"/>
      <w:sz w:val="18"/>
      <w:szCs w:val="18"/>
    </w:rPr>
  </w:style>
  <w:style w:type="character" w:customStyle="1" w:styleId="118">
    <w:name w:val="标题 3 字符1"/>
    <w:autoRedefine/>
    <w:qFormat/>
    <w:uiPriority w:val="0"/>
    <w:rPr>
      <w:rFonts w:ascii="Times New Roman" w:hAnsi="Times New Roman" w:eastAsia="宋体" w:cs="Times New Roman"/>
      <w:b/>
      <w:bCs/>
      <w:sz w:val="32"/>
      <w:szCs w:val="32"/>
    </w:rPr>
  </w:style>
  <w:style w:type="character" w:customStyle="1" w:styleId="119">
    <w:name w:val="文档结构图 字符1"/>
    <w:autoRedefine/>
    <w:semiHidden/>
    <w:qFormat/>
    <w:uiPriority w:val="0"/>
    <w:rPr>
      <w:szCs w:val="24"/>
      <w:shd w:val="clear" w:color="auto" w:fill="000080"/>
    </w:rPr>
  </w:style>
  <w:style w:type="character" w:customStyle="1" w:styleId="120">
    <w:name w:val="标题 2 字符1"/>
    <w:autoRedefine/>
    <w:qFormat/>
    <w:uiPriority w:val="0"/>
    <w:rPr>
      <w:rFonts w:ascii="Arial" w:hAnsi="Arial" w:eastAsia="黑体" w:cs="Times New Roman"/>
      <w:b/>
      <w:bCs/>
      <w:sz w:val="32"/>
      <w:szCs w:val="32"/>
    </w:rPr>
  </w:style>
  <w:style w:type="character" w:customStyle="1" w:styleId="121">
    <w:name w:val="批注框文本 字符1"/>
    <w:autoRedefine/>
    <w:semiHidden/>
    <w:qFormat/>
    <w:uiPriority w:val="0"/>
    <w:rPr>
      <w:sz w:val="18"/>
      <w:szCs w:val="18"/>
    </w:rPr>
  </w:style>
  <w:style w:type="character" w:customStyle="1" w:styleId="122">
    <w:name w:val="纯文本 字符1"/>
    <w:autoRedefine/>
    <w:qFormat/>
    <w:uiPriority w:val="0"/>
    <w:rPr>
      <w:rFonts w:ascii="宋体" w:hAnsi="Courier New"/>
    </w:rPr>
  </w:style>
  <w:style w:type="character" w:customStyle="1" w:styleId="123">
    <w:name w:val="正文首行缩进 字符"/>
    <w:autoRedefine/>
    <w:semiHidden/>
    <w:qFormat/>
    <w:uiPriority w:val="99"/>
  </w:style>
  <w:style w:type="character" w:customStyle="1" w:styleId="124">
    <w:name w:val="正文文本缩进 字符2"/>
    <w:autoRedefine/>
    <w:semiHidden/>
    <w:qFormat/>
    <w:uiPriority w:val="99"/>
    <w:rPr>
      <w:rFonts w:ascii="Times New Roman" w:hAnsi="Times New Roman" w:eastAsia="宋体" w:cs="Times New Roman"/>
      <w:szCs w:val="24"/>
    </w:rPr>
  </w:style>
  <w:style w:type="character" w:customStyle="1" w:styleId="125">
    <w:name w:val="批注文字 字符1"/>
    <w:autoRedefine/>
    <w:semiHidden/>
    <w:qFormat/>
    <w:uiPriority w:val="99"/>
    <w:rPr>
      <w:rFonts w:ascii="Times New Roman" w:hAnsi="Times New Roman" w:eastAsia="宋体" w:cs="Times New Roman"/>
      <w:szCs w:val="24"/>
    </w:rPr>
  </w:style>
  <w:style w:type="character" w:customStyle="1" w:styleId="126">
    <w:name w:val="正文文本 字符2"/>
    <w:autoRedefine/>
    <w:semiHidden/>
    <w:qFormat/>
    <w:uiPriority w:val="99"/>
    <w:rPr>
      <w:rFonts w:ascii="Times New Roman" w:hAnsi="Times New Roman" w:eastAsia="宋体" w:cs="Times New Roman"/>
      <w:szCs w:val="24"/>
    </w:rPr>
  </w:style>
  <w:style w:type="character" w:customStyle="1" w:styleId="127">
    <w:name w:val="批注主题 字符1"/>
    <w:autoRedefine/>
    <w:semiHidden/>
    <w:qFormat/>
    <w:uiPriority w:val="99"/>
    <w:rPr>
      <w:rFonts w:ascii="Times New Roman" w:hAnsi="Times New Roman" w:eastAsia="宋体" w:cs="Times New Roman"/>
      <w:b/>
      <w:bCs/>
      <w:szCs w:val="24"/>
    </w:rPr>
  </w:style>
  <w:style w:type="character" w:customStyle="1" w:styleId="128">
    <w:name w:val="结束语 字符2"/>
    <w:autoRedefine/>
    <w:semiHidden/>
    <w:qFormat/>
    <w:uiPriority w:val="99"/>
    <w:rPr>
      <w:rFonts w:ascii="Times New Roman" w:hAnsi="Times New Roman" w:eastAsia="宋体" w:cs="Times New Roman"/>
      <w:szCs w:val="24"/>
    </w:rPr>
  </w:style>
  <w:style w:type="character" w:customStyle="1" w:styleId="129">
    <w:name w:val="页眉 字符2"/>
    <w:autoRedefine/>
    <w:semiHidden/>
    <w:qFormat/>
    <w:uiPriority w:val="99"/>
    <w:rPr>
      <w:rFonts w:ascii="Times New Roman" w:hAnsi="Times New Roman" w:eastAsia="宋体" w:cs="Times New Roman"/>
      <w:sz w:val="18"/>
      <w:szCs w:val="18"/>
    </w:rPr>
  </w:style>
  <w:style w:type="character" w:customStyle="1" w:styleId="130">
    <w:name w:val="批注框文本 字符2"/>
    <w:autoRedefine/>
    <w:semiHidden/>
    <w:qFormat/>
    <w:uiPriority w:val="99"/>
    <w:rPr>
      <w:rFonts w:ascii="Times New Roman" w:hAnsi="Times New Roman" w:eastAsia="宋体" w:cs="Times New Roman"/>
      <w:sz w:val="18"/>
      <w:szCs w:val="18"/>
    </w:rPr>
  </w:style>
  <w:style w:type="character" w:customStyle="1" w:styleId="131">
    <w:name w:val="日期 字符2"/>
    <w:autoRedefine/>
    <w:semiHidden/>
    <w:qFormat/>
    <w:uiPriority w:val="99"/>
    <w:rPr>
      <w:rFonts w:ascii="Times New Roman" w:hAnsi="Times New Roman" w:eastAsia="宋体" w:cs="Times New Roman"/>
      <w:szCs w:val="24"/>
    </w:rPr>
  </w:style>
  <w:style w:type="character" w:customStyle="1" w:styleId="132">
    <w:name w:val="纯文本 字符2"/>
    <w:autoRedefine/>
    <w:semiHidden/>
    <w:qFormat/>
    <w:uiPriority w:val="99"/>
    <w:rPr>
      <w:rFonts w:ascii="等线" w:hAnsi="Courier New" w:cs="Courier New"/>
      <w:szCs w:val="24"/>
    </w:rPr>
  </w:style>
  <w:style w:type="character" w:customStyle="1" w:styleId="133">
    <w:name w:val="文档结构图 字符2"/>
    <w:autoRedefine/>
    <w:semiHidden/>
    <w:qFormat/>
    <w:uiPriority w:val="99"/>
    <w:rPr>
      <w:rFonts w:ascii="Microsoft YaHei UI" w:hAnsi="Times New Roman" w:eastAsia="Microsoft YaHei UI" w:cs="Times New Roman"/>
      <w:sz w:val="18"/>
      <w:szCs w:val="18"/>
    </w:rPr>
  </w:style>
  <w:style w:type="character" w:customStyle="1" w:styleId="134">
    <w:name w:val="正文文本缩进 2 字符2"/>
    <w:autoRedefine/>
    <w:semiHidden/>
    <w:qFormat/>
    <w:uiPriority w:val="99"/>
    <w:rPr>
      <w:rFonts w:ascii="Times New Roman" w:hAnsi="Times New Roman" w:eastAsia="宋体" w:cs="Times New Roman"/>
      <w:szCs w:val="24"/>
    </w:rPr>
  </w:style>
  <w:style w:type="character" w:customStyle="1" w:styleId="135">
    <w:name w:val="正文首行缩进 字符2"/>
    <w:autoRedefine/>
    <w:semiHidden/>
    <w:qFormat/>
    <w:uiPriority w:val="99"/>
  </w:style>
  <w:style w:type="character" w:customStyle="1" w:styleId="136">
    <w:name w:val="页脚 字符2"/>
    <w:autoRedefine/>
    <w:semiHidden/>
    <w:qFormat/>
    <w:uiPriority w:val="99"/>
    <w:rPr>
      <w:rFonts w:ascii="Times New Roman" w:hAnsi="Times New Roman" w:eastAsia="宋体" w:cs="Times New Roman"/>
      <w:sz w:val="18"/>
      <w:szCs w:val="18"/>
    </w:rPr>
  </w:style>
  <w:style w:type="character" w:customStyle="1" w:styleId="137">
    <w:name w:val="正文文本缩进 3 字符1"/>
    <w:autoRedefine/>
    <w:semiHidden/>
    <w:qFormat/>
    <w:uiPriority w:val="99"/>
    <w:rPr>
      <w:rFonts w:ascii="Times New Roman" w:hAnsi="Times New Roman" w:eastAsia="宋体" w:cs="Times New Roman"/>
      <w:sz w:val="16"/>
      <w:szCs w:val="16"/>
    </w:rPr>
  </w:style>
  <w:style w:type="table" w:customStyle="1" w:styleId="138">
    <w:name w:val="网格型1"/>
    <w:basedOn w:val="3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9">
    <w:name w:val="List Paragraph1"/>
    <w:basedOn w:val="1"/>
    <w:autoRedefine/>
    <w:qFormat/>
    <w:uiPriority w:val="34"/>
    <w:pPr>
      <w:ind w:firstLine="420" w:firstLineChars="200"/>
    </w:pPr>
    <w:rPr>
      <w:rFonts w:ascii="Calibri" w:hAnsi="Calibri"/>
      <w:szCs w:val="22"/>
    </w:rPr>
  </w:style>
  <w:style w:type="paragraph" w:customStyle="1" w:styleId="140">
    <w:name w:val="标题3 附件1"/>
    <w:basedOn w:val="1"/>
    <w:autoRedefine/>
    <w:qFormat/>
    <w:uiPriority w:val="99"/>
    <w:pPr>
      <w:keepNext/>
      <w:keepLines/>
      <w:spacing w:before="340" w:after="330" w:line="360" w:lineRule="exact"/>
      <w:jc w:val="left"/>
      <w:outlineLvl w:val="2"/>
    </w:pPr>
    <w:rPr>
      <w:b/>
      <w:bCs/>
      <w:kern w:val="44"/>
      <w:szCs w:val="21"/>
    </w:rPr>
  </w:style>
  <w:style w:type="paragraph" w:customStyle="1" w:styleId="141">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b w:val="0"/>
      <w:bCs w:val="0"/>
      <w:sz w:val="24"/>
      <w:szCs w:val="20"/>
    </w:rPr>
  </w:style>
  <w:style w:type="paragraph" w:customStyle="1" w:styleId="142">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143">
    <w:name w:val="unit"/>
    <w:autoRedefine/>
    <w:qFormat/>
    <w:uiPriority w:val="0"/>
  </w:style>
  <w:style w:type="paragraph" w:customStyle="1" w:styleId="14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5">
    <w:name w:val="样式 样式 样式 左侧:  2 字符1 + 首行缩进:  2 字符1 + 首行缩进:  2 字符"/>
    <w:basedOn w:val="1"/>
    <w:autoRedefine/>
    <w:qFormat/>
    <w:uiPriority w:val="0"/>
    <w:pPr>
      <w:widowControl/>
      <w:spacing w:before="60" w:after="120" w:line="440" w:lineRule="atLeast"/>
      <w:ind w:firstLine="480"/>
    </w:pPr>
    <w:rPr>
      <w:sz w:val="24"/>
      <w:szCs w:val="20"/>
    </w:rPr>
  </w:style>
  <w:style w:type="paragraph" w:customStyle="1" w:styleId="146">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147">
    <w:name w:val="标题1"/>
    <w:basedOn w:val="2"/>
    <w:autoRedefine/>
    <w:qFormat/>
    <w:uiPriority w:val="99"/>
    <w:pPr>
      <w:spacing w:line="360" w:lineRule="exact"/>
    </w:pPr>
    <w:rPr>
      <w:spacing w:val="0"/>
      <w:szCs w:val="36"/>
    </w:rPr>
  </w:style>
  <w:style w:type="paragraph" w:customStyle="1" w:styleId="148">
    <w:name w:val="12、表格内左对齐正文"/>
    <w:basedOn w:val="1"/>
    <w:autoRedefine/>
    <w:qFormat/>
    <w:uiPriority w:val="0"/>
    <w:pPr>
      <w:tabs>
        <w:tab w:val="left" w:pos="0"/>
      </w:tabs>
      <w:wordWrap w:val="0"/>
      <w:topLinePunct/>
      <w:adjustRightInd w:val="0"/>
      <w:snapToGrid w:val="0"/>
      <w:spacing w:line="360" w:lineRule="exact"/>
      <w:ind w:left="48" w:leftChars="20"/>
      <w:jc w:val="left"/>
    </w:pPr>
    <w:rPr>
      <w:rFonts w:ascii="宋体" w:hAnsi="宋体" w:cs="Times New Roman"/>
    </w:rPr>
  </w:style>
  <w:style w:type="table" w:customStyle="1" w:styleId="149">
    <w:name w:val="Table Normal"/>
    <w:autoRedefine/>
    <w:unhideWhenUsed/>
    <w:qFormat/>
    <w:uiPriority w:val="0"/>
    <w:tblPr>
      <w:tblCellMar>
        <w:top w:w="0" w:type="dxa"/>
        <w:left w:w="0" w:type="dxa"/>
        <w:bottom w:w="0" w:type="dxa"/>
        <w:right w:w="0" w:type="dxa"/>
      </w:tblCellMar>
    </w:tblPr>
  </w:style>
  <w:style w:type="character" w:customStyle="1" w:styleId="150">
    <w:name w:val="font11"/>
    <w:basedOn w:val="36"/>
    <w:autoRedefine/>
    <w:qFormat/>
    <w:uiPriority w:val="0"/>
    <w:rPr>
      <w:rFonts w:hint="eastAsia" w:ascii="宋体" w:hAnsi="宋体" w:eastAsia="宋体" w:cs="宋体"/>
      <w:color w:val="000000"/>
      <w:sz w:val="24"/>
      <w:szCs w:val="24"/>
      <w:u w:val="none"/>
    </w:rPr>
  </w:style>
  <w:style w:type="paragraph" w:customStyle="1" w:styleId="151">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66</Pages>
  <Words>14924</Words>
  <Characters>15655</Characters>
  <Lines>201</Lines>
  <Paragraphs>56</Paragraphs>
  <TotalTime>8</TotalTime>
  <ScaleCrop>false</ScaleCrop>
  <LinksUpToDate>false</LinksUpToDate>
  <CharactersWithSpaces>16721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2020-05-27T06:52:00Z</dcterms:created>
  <dc:creator>刘峰</dc:creator>
  <cp:lastModifiedBy>Administrator</cp:lastModifiedBy>
  <cp:lastPrinted>2021-09-13T02:39:00Z</cp:lastPrinted>
  <dcterms:modified xsi:type="dcterms:W3CDTF">2025-11-28T07:51:16Z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8A898278A30444E1AD44E79B35A8E02C</vt:lpwstr>
  </property>
  <property fmtid="{D5CDD505-2E9C-101B-9397-08002B2CF9AE}" pid="4" name="KSOTemplateDocerSaveRecord">
    <vt:lpwstr>eyJoZGlkIjoiNjliZjFjMWNlNTkzYTczZmZkODI2ZThlMGEyOTkzNWEifQ==</vt:lpwstr>
  </property>
</Properties>
</file>