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r>
        <w:br/>
      </w:r>
      <w:r>
        <w:br/>
      </w:r>
      <w:r>
        <w:br/>
      </w:r>
      <w:r>
        <w:br/>
      </w:r>
      <w:r>
        <w:br/>
      </w:r>
    </w:p>
    <w:p>
      <w:pPr>
        <w:pStyle w:val="null3"/>
        <w:jc w:val="center"/>
      </w:pPr>
      <w:r>
        <w:rPr>
          <w:b/>
          <w:sz w:val="48"/>
        </w:rPr>
        <w:t>招 标 文 件</w:t>
      </w:r>
      <w:r>
        <w:br/>
      </w:r>
      <w:r>
        <w:br/>
      </w:r>
      <w:r>
        <w:br/>
      </w:r>
    </w:p>
    <w:p>
      <w:pPr>
        <w:pStyle w:val="null3"/>
        <w:jc w:val="center"/>
      </w:pPr>
      <w:r>
        <w:rPr>
          <w:b/>
          <w:sz w:val="36"/>
        </w:rPr>
        <w:t>（货物类）</w:t>
      </w:r>
      <w:r>
        <w:br/>
      </w:r>
      <w:r>
        <w:br/>
      </w:r>
      <w:r>
        <w:br/>
      </w:r>
      <w:r>
        <w:br/>
      </w:r>
      <w:r>
        <w:br/>
      </w:r>
      <w:r>
        <w:br/>
      </w:r>
      <w:r>
        <w:br/>
      </w:r>
      <w:r>
        <w:br/>
      </w:r>
      <w:r>
        <w:br/>
      </w:r>
      <w:r>
        <w:br/>
      </w:r>
      <w:r>
        <w:br/>
      </w:r>
    </w:p>
    <w:p>
      <w:pPr>
        <w:pStyle w:val="null3"/>
        <w:jc w:val="center"/>
      </w:pPr>
      <w:r>
        <w:rPr>
          <w:b/>
          <w:sz w:val="28"/>
        </w:rPr>
        <w:t>采购项目名称：</w:t>
      </w:r>
      <w:r>
        <w:rPr>
          <w:b/>
          <w:sz w:val="28"/>
        </w:rPr>
        <w:t>不间断电源</w:t>
      </w:r>
    </w:p>
    <w:p>
      <w:pPr>
        <w:pStyle w:val="null3"/>
        <w:jc w:val="center"/>
      </w:pPr>
      <w:r>
        <w:rPr>
          <w:b/>
          <w:sz w:val="28"/>
        </w:rPr>
        <w:t>采购项目编号：</w:t>
      </w:r>
      <w:r>
        <w:rPr>
          <w:b/>
          <w:sz w:val="28"/>
        </w:rPr>
        <w:t>N5100012022000206</w:t>
      </w:r>
      <w:r>
        <w:br/>
      </w:r>
      <w:r>
        <w:br/>
      </w:r>
      <w:r>
        <w:br/>
      </w:r>
    </w:p>
    <w:p>
      <w:pPr>
        <w:pStyle w:val="null3"/>
        <w:jc w:val="center"/>
      </w:pPr>
      <w:r>
        <w:rPr>
          <w:b/>
          <w:sz w:val="28"/>
        </w:rPr>
        <w:t>川北医学院附属医院</w:t>
      </w:r>
    </w:p>
    <w:p>
      <w:pPr>
        <w:pStyle w:val="null3"/>
        <w:jc w:val="center"/>
      </w:pPr>
      <w:r>
        <w:rPr>
          <w:b/>
          <w:sz w:val="28"/>
        </w:rPr>
        <w:t>南充市政府采购中心</w:t>
      </w:r>
      <w:r>
        <w:rPr>
          <w:b/>
          <w:sz w:val="28"/>
        </w:rPr>
        <w:t>共同编制</w:t>
      </w:r>
    </w:p>
    <w:p>
      <w:pPr>
        <w:pStyle w:val="null3"/>
        <w:jc w:val="center"/>
      </w:pPr>
      <w:r>
        <w:rPr>
          <w:b/>
          <w:sz w:val="28"/>
        </w:rPr>
        <w:t>2022年06月08日</w:t>
      </w:r>
    </w:p>
    <w:p>
      <w:pPr>
        <w:pStyle w:val="null3"/>
      </w:pPr>
      <w:r>
        <w:rPr/>
        <w:t xml:space="preserve"> </w:t>
      </w:r>
    </w:p>
    <w:p>
      <w:pPr>
        <w:pStyle w:val="null3"/>
        <w:jc w:val="center"/>
      </w:pPr>
      <w:r>
        <w:rPr>
          <w:b/>
          <w:sz w:val="36"/>
        </w:rPr>
        <w:t>第1章投标邀请</w:t>
      </w:r>
    </w:p>
    <w:p>
      <w:pPr>
        <w:pStyle w:val="null3"/>
        <w:ind w:firstLine="480"/>
      </w:pPr>
      <w:r>
        <w:rPr/>
        <w:t>南充市政府采购中心</w:t>
      </w:r>
      <w:r>
        <w:rPr/>
        <w:t>（以下简称“代理机构”）受</w:t>
      </w:r>
      <w:r>
        <w:rPr/>
        <w:t>川北医学院附属医院</w:t>
      </w:r>
      <w:r>
        <w:rPr/>
        <w:t>委托，拟对</w:t>
      </w:r>
      <w:r>
        <w:rPr/>
        <w:t>不间断电源</w:t>
      </w:r>
      <w:r>
        <w:rPr/>
        <w:t>进行国内公开招标，兹邀请符合本次招标要求的供应商参加投标。</w:t>
      </w:r>
    </w:p>
    <w:p>
      <w:pPr>
        <w:pStyle w:val="null3"/>
      </w:pPr>
      <w:r>
        <w:rPr>
          <w:b/>
          <w:sz w:val="28"/>
        </w:rPr>
        <w:t>一、采购项目编号：</w:t>
      </w:r>
      <w:r>
        <w:rPr>
          <w:b/>
          <w:sz w:val="28"/>
        </w:rPr>
        <w:t>N5100012022000206</w:t>
      </w:r>
    </w:p>
    <w:p>
      <w:pPr>
        <w:pStyle w:val="null3"/>
      </w:pPr>
      <w:r>
        <w:rPr>
          <w:b/>
          <w:sz w:val="28"/>
        </w:rPr>
        <w:t>二、采购项目名称：</w:t>
      </w:r>
      <w:r>
        <w:rPr>
          <w:b/>
          <w:sz w:val="28"/>
        </w:rPr>
        <w:t>不间断电源</w:t>
      </w:r>
    </w:p>
    <w:p>
      <w:pPr>
        <w:pStyle w:val="null3"/>
      </w:pPr>
      <w:r>
        <w:rPr>
          <w:b/>
          <w:sz w:val="28"/>
        </w:rPr>
        <w:t>三、招标项目简介</w:t>
      </w:r>
    </w:p>
    <w:p>
      <w:pPr>
        <w:pStyle w:val="null3"/>
        <w:ind w:firstLine="480"/>
      </w:pPr>
      <w:r>
        <w:rPr/>
        <w:t>因工作需要，本单位需对采不间断电源进行公开招标</w:t>
      </w:r>
    </w:p>
    <w:p>
      <w:pPr>
        <w:pStyle w:val="null3"/>
      </w:pPr>
      <w:r>
        <w:rPr>
          <w:b/>
          <w:sz w:val="28"/>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p>
    <w:p>
      <w:pPr>
        <w:pStyle w:val="null3"/>
      </w:pPr>
      <w:r>
        <w:rPr/>
        <w:t>采购包1：不属于专门面向中小企业采购。</w:t>
      </w:r>
    </w:p>
    <w:p>
      <w:pPr>
        <w:pStyle w:val="null3"/>
      </w:pPr>
      <w:r>
        <w:rPr/>
        <w:t>注：监狱企业和残疾人福利性单位视同小微企业，符合中小企业划分标准的个体工商户视同中小企业。</w:t>
      </w:r>
    </w:p>
    <w:p>
      <w:pPr>
        <w:pStyle w:val="null3"/>
        <w:ind w:firstLine="480"/>
      </w:pPr>
      <w:r>
        <w:rPr/>
        <w:t>（三）本项目的特定资格要求：</w:t>
      </w:r>
    </w:p>
    <w:p>
      <w:pPr>
        <w:pStyle w:val="null3"/>
      </w:pPr>
    </w:p>
    <w:p>
      <w:pPr>
        <w:pStyle w:val="null3"/>
      </w:pPr>
    </w:p>
    <w:p>
      <w:pPr>
        <w:pStyle w:val="null3"/>
      </w:pPr>
      <w:r>
        <w:rPr/>
        <w:t>采购包1：</w:t>
      </w:r>
    </w:p>
    <w:p>
      <w:pPr>
        <w:pStyle w:val="null3"/>
      </w:pPr>
      <w:r>
        <w:rPr/>
        <w:t>无</w:t>
      </w:r>
    </w:p>
    <w:p>
      <w:pPr>
        <w:pStyle w:val="null3"/>
      </w:pPr>
      <w:r>
        <w:rPr>
          <w:b/>
          <w:sz w:val="28"/>
        </w:rPr>
        <w:t>五、电子化采购相关事项</w:t>
      </w:r>
    </w:p>
    <w:p>
      <w:pPr>
        <w:pStyle w:val="null3"/>
        <w:ind w:firstLine="480"/>
      </w:pPr>
      <w:r>
        <w:rPr/>
        <w:t>本项目实行电子化采购，使用的电子化交易系统为：四川省政府采购一体化平台的项目电子化交易系统（以下简称“项目电子化交易系统”），登录方式及地址：通过“四川政府采购网”（www.ccgp-sichuan.gov.cn）首页供应商用户登录四川省政府采购一体化平台，进入项目电子化交易系统。供应商应当按照以下要求，参与本次电子化采购活动。</w:t>
      </w:r>
    </w:p>
    <w:p>
      <w:pPr>
        <w:pStyle w:val="null3"/>
        <w:ind w:firstLine="480"/>
      </w:pPr>
      <w:r>
        <w:rPr/>
        <w:t>（一）供应商应当自行在四川政府采购网-办事指南查看相应的系统操作指南，并严格按照操作指南要求进行系统操作。在登录、使用采购一体化平台前，应当按照要求完成供应商注册和信息完善，加入采购一体化平台供应商库。</w:t>
      </w:r>
    </w:p>
    <w:p>
      <w:pPr>
        <w:pStyle w:val="null3"/>
        <w:ind w:firstLine="480"/>
      </w:pPr>
      <w:r>
        <w:rPr/>
        <w:t>（二）供应商应当使用纳入全国公共资源交易平台（四川省）数字证书互认范围的数字证书及签章（以下简称“互认的证书及签章”）进行系统操作。供应商使用互认的证书及签章登录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CA及签章服务电话：通过四川政府采购网-办事指南进行查询</w:t>
      </w:r>
    </w:p>
    <w:p>
      <w:pPr>
        <w:pStyle w:val="null3"/>
      </w:pPr>
      <w:r>
        <w:rPr>
          <w:b/>
          <w:sz w:val="28"/>
        </w:rPr>
        <w:t>六、招标文件获取时间、方式及地址</w:t>
      </w:r>
    </w:p>
    <w:p>
      <w:pPr>
        <w:pStyle w:val="null3"/>
        <w:ind w:firstLine="480"/>
      </w:pPr>
      <w:r>
        <w:rPr/>
        <w:t>（一）招标文件获取时间：详见采购公告或邀请书</w:t>
      </w:r>
    </w:p>
    <w:p>
      <w:pPr>
        <w:pStyle w:val="null3"/>
        <w:ind w:firstLine="480"/>
      </w:pPr>
      <w:r>
        <w:rPr/>
        <w:t>（二）在招标文件获取开始时间前，采购人或代理机构将本项目招标文件上传至项目电子化交易系统，免费向供应商提供。供应商通过项目电子化交易系统获取招标文件。成功获取的，供应商将收到已获取招标文件的回执函。未成功获取招标文件的供应商，不得参与本次采购活动，不得对招标文件提起质疑。</w:t>
      </w:r>
    </w:p>
    <w:p>
      <w:pPr>
        <w:pStyle w:val="null3"/>
        <w:ind w:firstLine="480"/>
      </w:pPr>
      <w:r>
        <w:rPr/>
        <w:t>成功获取招标文件后，采购人或代理机构进行澄清或者修改的，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pPr>
      <w:r>
        <w:rPr>
          <w:b/>
          <w:sz w:val="28"/>
        </w:rPr>
        <w:t>七、投标文件提交截止时间及开标时间、地点、方式</w:t>
      </w:r>
    </w:p>
    <w:p>
      <w:pPr>
        <w:pStyle w:val="null3"/>
        <w:ind w:firstLine="480"/>
      </w:pPr>
      <w:r>
        <w:rPr/>
        <w:t>（一）投标文件提交截止时间及开标时间：详见采购公告或邀请书</w:t>
      </w:r>
    </w:p>
    <w:p>
      <w:pPr>
        <w:pStyle w:val="null3"/>
        <w:ind w:firstLine="480"/>
      </w:pPr>
      <w:r>
        <w:rPr/>
        <w:t>（二）投标文件提交方式、地点：供应商应当在投标文件提交截止时间前，通过项目电子化交易系统提交投标文件。成功提交的，供应商将收到已提交投标文件的回执函。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pPr>
      <w:r>
        <w:rPr>
          <w:b/>
          <w:sz w:val="28"/>
        </w:rPr>
        <w:t>八、本投标邀请在“四川政府采购网”以公告形式发布</w:t>
      </w:r>
    </w:p>
    <w:p>
      <w:pPr>
        <w:pStyle w:val="null3"/>
      </w:pPr>
      <w:r>
        <w:rPr>
          <w:b/>
          <w:sz w:val="28"/>
        </w:rPr>
        <w:t>九、供应商信用融资</w:t>
      </w:r>
    </w:p>
    <w:p>
      <w:pPr>
        <w:pStyle w:val="null3"/>
        <w:ind w:firstLine="480"/>
      </w:pPr>
      <w:r>
        <w:rPr/>
        <w:t>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pPr>
      <w:r>
        <w:rPr>
          <w:b/>
          <w:sz w:val="28"/>
        </w:rPr>
        <w:t>十、联系方式</w:t>
      </w:r>
    </w:p>
    <w:p>
      <w:pPr>
        <w:pStyle w:val="null3"/>
      </w:pPr>
      <w:r>
        <w:rPr>
          <w:b/>
          <w:sz w:val="28"/>
        </w:rPr>
        <w:t>采购人：</w:t>
      </w:r>
      <w:r>
        <w:rPr>
          <w:b/>
          <w:sz w:val="28"/>
        </w:rPr>
        <w:t>川北医学院附属医院</w:t>
      </w:r>
    </w:p>
    <w:p>
      <w:pPr>
        <w:pStyle w:val="null3"/>
      </w:pPr>
    </w:p>
    <w:p>
      <w:pPr>
        <w:pStyle w:val="null3"/>
      </w:pPr>
      <w:r>
        <w:rPr/>
        <w:t>地址：</w:t>
      </w:r>
      <w:r>
        <w:rPr/>
        <w:t>四川省南充市顺庆区茂源南路1号</w:t>
      </w:r>
    </w:p>
    <w:p>
      <w:pPr>
        <w:pStyle w:val="null3"/>
      </w:pPr>
      <w:r>
        <w:rPr/>
        <w:t>邮编：</w:t>
      </w:r>
      <w:r>
        <w:rPr/>
        <w:t>637000</w:t>
      </w:r>
    </w:p>
    <w:p>
      <w:pPr>
        <w:pStyle w:val="null3"/>
      </w:pPr>
      <w:r>
        <w:rPr/>
        <w:t>联系人：</w:t>
      </w:r>
      <w:r>
        <w:rPr/>
        <w:t>吕娜</w:t>
      </w:r>
    </w:p>
    <w:p>
      <w:pPr>
        <w:pStyle w:val="null3"/>
      </w:pPr>
      <w:r>
        <w:rPr/>
        <w:t>联系电话：</w:t>
      </w:r>
      <w:r>
        <w:rPr/>
        <w:t>0817-2262458</w:t>
      </w:r>
    </w:p>
    <w:p>
      <w:pPr>
        <w:pStyle w:val="null3"/>
      </w:pPr>
      <w:r>
        <w:rPr>
          <w:b/>
          <w:sz w:val="28"/>
        </w:rPr>
        <w:t>代理机构：</w:t>
      </w:r>
      <w:r>
        <w:rPr>
          <w:b/>
          <w:sz w:val="28"/>
        </w:rPr>
        <w:t>南充市政府采购中心</w:t>
      </w:r>
    </w:p>
    <w:p>
      <w:pPr>
        <w:pStyle w:val="null3"/>
      </w:pPr>
    </w:p>
    <w:p>
      <w:pPr>
        <w:pStyle w:val="null3"/>
      </w:pPr>
      <w:r>
        <w:rPr/>
        <w:t>地址：</w:t>
      </w:r>
      <w:r>
        <w:rPr/>
        <w:t>四川省南充市市辖区南充市顺庆区涪江路19号</w:t>
      </w:r>
    </w:p>
    <w:p>
      <w:pPr>
        <w:pStyle w:val="null3"/>
      </w:pPr>
      <w:r>
        <w:rPr/>
        <w:t>邮编：</w:t>
      </w:r>
      <w:r>
        <w:rPr/>
        <w:t>637000</w:t>
      </w:r>
    </w:p>
    <w:p>
      <w:pPr>
        <w:pStyle w:val="null3"/>
      </w:pPr>
      <w:r>
        <w:rPr/>
        <w:t>联系人：</w:t>
      </w:r>
      <w:r>
        <w:rPr/>
        <w:t>陈老师</w:t>
      </w:r>
    </w:p>
    <w:p>
      <w:pPr>
        <w:pStyle w:val="null3"/>
      </w:pPr>
      <w:r>
        <w:rPr/>
        <w:t>联系电话：</w:t>
      </w:r>
      <w:r>
        <w:rPr/>
        <w:t>0817-2221768</w:t>
      </w:r>
    </w:p>
    <w:p>
      <w:pPr>
        <w:pStyle w:val="null3"/>
      </w:pPr>
      <w:r>
        <w:rPr>
          <w:b/>
          <w:sz w:val="28"/>
        </w:rPr>
        <w:t>采购监督机构：</w:t>
      </w:r>
      <w:r>
        <w:rPr>
          <w:b/>
          <w:sz w:val="28"/>
        </w:rPr>
        <w:t>四川省财政厅政府采购处</w:t>
      </w:r>
    </w:p>
    <w:p>
      <w:pPr>
        <w:pStyle w:val="null3"/>
        <w:ind w:firstLine="480"/>
      </w:pPr>
      <w:r>
        <w:rPr/>
        <w:t>联系人：</w:t>
      </w:r>
      <w:r>
        <w:rPr/>
        <w:t>肖老师、孙老师</w:t>
      </w:r>
    </w:p>
    <w:p>
      <w:pPr>
        <w:pStyle w:val="null3"/>
        <w:ind w:firstLine="480"/>
      </w:pPr>
      <w:r>
        <w:rPr/>
        <w:t>联系电话：</w:t>
      </w:r>
      <w:r>
        <w:rPr/>
        <w:t>02886725927、02886662797</w:t>
      </w:r>
    </w:p>
    <w:p>
      <w:pPr>
        <w:pStyle w:val="null3"/>
      </w:pPr>
      <w:r>
        <w:rPr/>
        <w:t xml:space="preserve"> </w:t>
      </w:r>
    </w:p>
    <w:p>
      <w:pPr>
        <w:pStyle w:val="null3"/>
        <w:jc w:val="center"/>
      </w:pPr>
      <w:r>
        <w:rPr>
          <w:b/>
          <w:sz w:val="36"/>
        </w:rPr>
        <w:t>第2章投标人须知</w:t>
      </w:r>
    </w:p>
    <w:p>
      <w:pPr>
        <w:pStyle w:val="null3"/>
      </w:pPr>
      <w:r>
        <w:rPr>
          <w:b/>
          <w:sz w:val="28"/>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r>
              <w:rPr/>
              <w:t>序号</w:t>
            </w:r>
          </w:p>
        </w:tc>
        <w:tc>
          <w:tcPr>
            <w:tcW w:type="dxa" w:w="2252"/>
          </w:tcPr>
          <w:p>
            <w:r>
              <w:rPr/>
              <w:t>应知事项</w:t>
            </w:r>
          </w:p>
        </w:tc>
        <w:tc>
          <w:tcPr>
            <w:tcW w:type="dxa" w:w="5004"/>
          </w:tcPr>
          <w:p>
            <w:r>
              <w:rPr/>
              <w:t>说明和要求</w:t>
            </w:r>
          </w:p>
        </w:tc>
      </w:tr>
      <w:tr>
        <w:tc>
          <w:tcPr>
            <w:tcW w:type="dxa" w:w="1051"/>
          </w:tcPr>
          <w:p>
            <w:r>
              <w:rPr/>
              <w:t>1</w:t>
            </w:r>
          </w:p>
        </w:tc>
        <w:tc>
          <w:tcPr>
            <w:tcW w:type="dxa" w:w="2252"/>
          </w:tcPr>
          <w:p>
            <w:r>
              <w:rPr/>
              <w:t>采购预算（实质性要求）</w:t>
            </w:r>
          </w:p>
        </w:tc>
        <w:tc>
          <w:tcPr>
            <w:tcW w:type="dxa" w:w="5004"/>
          </w:tcPr>
          <w:p>
            <w:pPr>
              <w:pStyle w:val="null3"/>
            </w:pPr>
            <w:r>
              <w:rPr/>
              <w:t>本项目各包采购预算金额如下：</w:t>
            </w:r>
          </w:p>
          <w:p>
            <w:pPr>
              <w:pStyle w:val="null3"/>
            </w:pPr>
          </w:p>
          <w:p>
            <w:pPr>
              <w:pStyle w:val="null3"/>
            </w:pPr>
            <w:r>
              <w:rPr/>
              <w:t>采购包1：1,255,000.00元</w:t>
            </w:r>
          </w:p>
          <w:p>
            <w:pPr>
              <w:pStyle w:val="null3"/>
            </w:pPr>
            <w:r>
              <w:rPr/>
              <w:t>投标人的采购包投标报价高于采购包采购预算的，其投标文件将按无效处理。</w:t>
            </w:r>
          </w:p>
        </w:tc>
      </w:tr>
      <w:tr>
        <w:tc>
          <w:tcPr>
            <w:tcW w:type="dxa" w:w="1051"/>
          </w:tcPr>
          <w:p>
            <w:r>
              <w:rPr/>
              <w:t>2</w:t>
            </w:r>
          </w:p>
        </w:tc>
        <w:tc>
          <w:tcPr>
            <w:tcW w:type="dxa" w:w="2252"/>
          </w:tcPr>
          <w:p>
            <w:r>
              <w:rPr/>
              <w:t>最高限价（实质性要求）</w:t>
            </w:r>
          </w:p>
        </w:tc>
        <w:tc>
          <w:tcPr>
            <w:tcW w:type="dxa" w:w="5004"/>
          </w:tcPr>
          <w:p>
            <w:pPr>
              <w:pStyle w:val="null3"/>
            </w:pPr>
            <w:r>
              <w:rPr/>
              <w:t>本项目各包最高限价如下：</w:t>
            </w:r>
          </w:p>
          <w:p>
            <w:pPr>
              <w:pStyle w:val="null3"/>
            </w:pPr>
          </w:p>
          <w:p>
            <w:pPr>
              <w:pStyle w:val="null3"/>
            </w:pPr>
            <w:r>
              <w:rPr/>
              <w:t>采购包1：1,255,000.00元</w:t>
            </w:r>
          </w:p>
          <w:p>
            <w:pPr>
              <w:pStyle w:val="null3"/>
            </w:pPr>
            <w:r>
              <w:rPr/>
              <w:t>投标人的采购包投标报价高于最高限价的，其投标文件将按无效处理。</w:t>
            </w:r>
          </w:p>
        </w:tc>
      </w:tr>
      <w:tr>
        <w:tc>
          <w:tcPr>
            <w:tcW w:type="dxa" w:w="1051"/>
          </w:tcPr>
          <w:p>
            <w:r>
              <w:rPr/>
              <w:t>3</w:t>
            </w:r>
          </w:p>
        </w:tc>
        <w:tc>
          <w:tcPr>
            <w:tcW w:type="dxa" w:w="2252"/>
          </w:tcPr>
          <w:p>
            <w:r>
              <w:rPr/>
              <w:t>评标方法</w:t>
            </w:r>
          </w:p>
        </w:tc>
        <w:tc>
          <w:tcPr>
            <w:tcW w:type="dxa" w:w="5004"/>
          </w:tcPr>
          <w:p>
            <w:pPr>
              <w:pStyle w:val="null3"/>
            </w:pPr>
          </w:p>
          <w:p>
            <w:pPr>
              <w:pStyle w:val="null3"/>
            </w:pPr>
            <w:r>
              <w:rPr/>
              <w:t>采购包1：综合评分法</w:t>
            </w:r>
            <w:r>
              <w:rPr/>
              <w:t>（详见第5章）</w:t>
            </w:r>
          </w:p>
        </w:tc>
      </w:tr>
      <w:tr>
        <w:tc>
          <w:tcPr>
            <w:tcW w:type="dxa" w:w="1051"/>
          </w:tcPr>
          <w:p>
            <w:r>
              <w:rPr/>
              <w:t>4</w:t>
            </w:r>
          </w:p>
        </w:tc>
        <w:tc>
          <w:tcPr>
            <w:tcW w:type="dxa" w:w="2252"/>
          </w:tcPr>
          <w:p>
            <w:r>
              <w:rPr/>
              <w:t>是否接受联合体</w:t>
            </w:r>
          </w:p>
        </w:tc>
        <w:tc>
          <w:tcPr>
            <w:tcW w:type="dxa" w:w="5004"/>
          </w:tcPr>
          <w:p>
            <w:pPr>
              <w:pStyle w:val="null3"/>
            </w:pPr>
          </w:p>
          <w:p>
            <w:pPr>
              <w:pStyle w:val="null3"/>
            </w:pPr>
            <w:r>
              <w:rPr/>
              <w:t>采购包1：不接受</w:t>
            </w:r>
          </w:p>
          <w:p>
            <w:pPr>
              <w:pStyle w:val="null3"/>
            </w:pPr>
            <w:r>
              <w:rPr/>
              <w:t>如以联合体投标的，联合体各方均应当具备本招标文件要求的资格条件和能力。</w:t>
            </w:r>
          </w:p>
          <w:p>
            <w:pPr>
              <w:pStyle w:val="null3"/>
            </w:pPr>
            <w:r>
              <w:rPr/>
              <w:t>（1）联合体各方均应具有承担本项目必备的条件，如相应的人力、物力、资金等。</w:t>
            </w:r>
          </w:p>
          <w:p>
            <w:pPr>
              <w:pStyle w:val="null3"/>
            </w:pPr>
            <w:r>
              <w:rPr/>
              <w:t>（2）招标文件对投标人资格条件有特殊要求的，联合体各个成员都应当具备规定的相应资格条件。</w:t>
            </w:r>
          </w:p>
          <w:p>
            <w:pPr>
              <w:pStyle w:val="null3"/>
            </w:pPr>
            <w:r>
              <w:rPr/>
              <w:t>（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r>
              <w:rPr/>
              <w:t>5</w:t>
            </w:r>
          </w:p>
        </w:tc>
        <w:tc>
          <w:tcPr>
            <w:tcW w:type="dxa" w:w="2252"/>
          </w:tcPr>
          <w:p>
            <w:r>
              <w:rPr/>
              <w:t>落实节能、环保、无线局域网政策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第三章要求</w:t>
            </w:r>
            <w:r>
              <w:rPr/>
              <w:t>产品属于节能产品政府采购品目清单中应强制采购的产品范围，供应商应当提供国家确定的认证机构出具的、处于有效期之内的节能产品认证证书，否则以符合性不通过处理（实质性要求）。</w:t>
            </w:r>
          </w:p>
          <w:p>
            <w:pPr>
              <w:pStyle w:val="null3"/>
            </w:pPr>
            <w:r>
              <w:rPr/>
              <w:t>3.本项目采购的</w:t>
            </w:r>
            <w:r>
              <w:rPr/>
              <w:t>第三章要求</w:t>
            </w:r>
            <w:r>
              <w:rPr/>
              <w:t>产品属于节能产品政府采购品目清单中应优先采购的产品范围，本项目采购的</w:t>
            </w:r>
            <w:r>
              <w:rPr/>
              <w:t>第三章要求</w:t>
            </w:r>
            <w:r>
              <w:rPr/>
              <w:t>产品属于环境标志产品政府采购品目清单中应优先采购的产品范围，响应报价相同的，按供应商提供的优先采购产品认证证书数量由多到少顺序排列。</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r>
              <w:rPr/>
              <w:t>6</w:t>
            </w:r>
          </w:p>
        </w:tc>
        <w:tc>
          <w:tcPr>
            <w:tcW w:type="dxa" w:w="2252"/>
          </w:tcPr>
          <w:p>
            <w:r>
              <w:rPr/>
              <w:t>充分、公平竞争保障措施（实质性要求）</w:t>
            </w:r>
          </w:p>
        </w:tc>
        <w:tc>
          <w:tcPr>
            <w:tcW w:type="dxa" w:w="5004"/>
          </w:tcPr>
          <w:p>
            <w:pPr>
              <w:pStyle w:val="null3"/>
            </w:pPr>
            <w:r>
              <w:rPr/>
              <w:t>核心产品允许有多种，不同供应商提供了任意一种相同品牌的核心产品，即视为提供相同品牌的供应商。</w:t>
            </w:r>
          </w:p>
          <w:p>
            <w:pPr>
              <w:pStyle w:val="null3"/>
            </w:pPr>
            <w:r>
              <w:rPr/>
              <w:t>采用综合评分法的项目，提供相同品牌产品（非单一产品采购项目中计算核心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采用最低评标价法的采购项目，提供相同品牌产品（非单一产品采购项目中计算核心产品）的不同投标人参加同一合同项下投标的，以其中通过资格审查、符合性审查且报价最低的参加评标；由采购人或者采购人委托评标委员会按照招标文件规定的方式确定一个参加评标的投标人，招标文件未规定的采取随机抽取方式确定，其他投标无效。</w:t>
            </w:r>
          </w:p>
          <w:p>
            <w:pPr>
              <w:pStyle w:val="null3"/>
            </w:pPr>
            <w:r>
              <w:rPr/>
              <w:t>核心产品名单详见第3章。</w:t>
            </w:r>
          </w:p>
          <w:p>
            <w:pPr>
              <w:pStyle w:val="null3"/>
            </w:pPr>
            <w:r>
              <w:rPr/>
              <w:t>在符合性审查环节提供核心产品品牌不足3个的，视为有效投标人不足3家</w:t>
            </w:r>
          </w:p>
        </w:tc>
      </w:tr>
      <w:tr>
        <w:tc>
          <w:tcPr>
            <w:tcW w:type="dxa" w:w="1051"/>
          </w:tcPr>
          <w:p>
            <w:r>
              <w:rPr/>
              <w:t>7</w:t>
            </w:r>
          </w:p>
        </w:tc>
        <w:tc>
          <w:tcPr>
            <w:tcW w:type="dxa" w:w="2252"/>
          </w:tcPr>
          <w:p>
            <w:r>
              <w:rPr/>
              <w:t>不正当竞争预防措施（实质性要求）</w:t>
            </w:r>
          </w:p>
        </w:tc>
        <w:tc>
          <w:tcPr>
            <w:tcW w:type="dxa" w:w="5004"/>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公章，在评标委员会要求的时间内通过项目电子化交易系统进行提交，否则无效。投标人不能证明其投标报价合理性的，评标委员会应当将其投标文件作为无效处理。</w:t>
            </w:r>
          </w:p>
        </w:tc>
      </w:tr>
      <w:tr>
        <w:tc>
          <w:tcPr>
            <w:tcW w:type="dxa" w:w="1051"/>
          </w:tcPr>
          <w:p>
            <w:r>
              <w:rPr/>
              <w:t>8</w:t>
            </w:r>
          </w:p>
        </w:tc>
        <w:tc>
          <w:tcPr>
            <w:tcW w:type="dxa" w:w="2252"/>
          </w:tcPr>
          <w:p>
            <w:r>
              <w:rPr/>
              <w:t>投标保证金</w:t>
            </w:r>
          </w:p>
        </w:tc>
        <w:tc>
          <w:tcPr>
            <w:tcW w:type="dxa" w:w="5004"/>
          </w:tcPr>
          <w:p>
            <w:r>
              <w:rPr/>
              <w:t>本项目不收取投标保证金。</w:t>
            </w:r>
          </w:p>
        </w:tc>
      </w:tr>
      <w:tr>
        <w:tc>
          <w:tcPr>
            <w:tcW w:type="dxa" w:w="1051"/>
          </w:tcPr>
          <w:p>
            <w:r>
              <w:rPr/>
              <w:t>9</w:t>
            </w:r>
          </w:p>
        </w:tc>
        <w:tc>
          <w:tcPr>
            <w:tcW w:type="dxa" w:w="2252"/>
          </w:tcPr>
          <w:p>
            <w:r>
              <w:rPr/>
              <w:t>履约保证金</w:t>
            </w:r>
          </w:p>
        </w:tc>
        <w:tc>
          <w:tcPr>
            <w:tcW w:type="dxa" w:w="5004"/>
          </w:tcPr>
          <w:p>
            <w:pPr>
              <w:pStyle w:val="null3"/>
            </w:pPr>
          </w:p>
          <w:p>
            <w:pPr>
              <w:pStyle w:val="null3"/>
            </w:pPr>
          </w:p>
          <w:p>
            <w:pPr>
              <w:pStyle w:val="null3"/>
            </w:pPr>
            <w:r>
              <w:rPr/>
              <w:t>采购包1：缴纳</w:t>
            </w:r>
          </w:p>
          <w:p>
            <w:pPr>
              <w:pStyle w:val="null3"/>
            </w:pPr>
            <w:r>
              <w:rPr/>
              <w:t>本采购包履约保证金为合同金额的5.0%</w:t>
            </w:r>
          </w:p>
          <w:p>
            <w:pPr>
              <w:pStyle w:val="null3"/>
            </w:pPr>
            <w:r>
              <w:rPr/>
              <w:t>说明：履约保证金由采购人收取； 允许供应商自主选择以支票、汇票、保函等非现金形式缴纳或提交； 交款时间：成交通知书发放后，政府采购合同签订前； 合同履行完毕，项目验收合格后，采购人退还（无息）履约保证金。</w:t>
            </w:r>
          </w:p>
        </w:tc>
      </w:tr>
      <w:tr>
        <w:tc>
          <w:tcPr>
            <w:tcW w:type="dxa" w:w="1051"/>
          </w:tcPr>
          <w:p>
            <w:r>
              <w:rPr/>
              <w:t>10</w:t>
            </w:r>
          </w:p>
        </w:tc>
        <w:tc>
          <w:tcPr>
            <w:tcW w:type="dxa" w:w="2252"/>
          </w:tcPr>
          <w:p>
            <w:r>
              <w:rPr/>
              <w:t>投标有效期（实质性要求）</w:t>
            </w:r>
          </w:p>
        </w:tc>
        <w:tc>
          <w:tcPr>
            <w:tcW w:type="dxa" w:w="5004"/>
          </w:tcPr>
          <w:p>
            <w:r>
              <w:rPr/>
              <w:t>提交投标文件的截止之日起不少于</w:t>
            </w:r>
            <w:r>
              <w:rPr/>
              <w:t>30</w:t>
            </w:r>
            <w:r>
              <w:rPr/>
              <w:t>天。</w:t>
            </w:r>
          </w:p>
        </w:tc>
      </w:tr>
      <w:tr>
        <w:tc>
          <w:tcPr>
            <w:tcW w:type="dxa" w:w="1051"/>
          </w:tcPr>
          <w:p>
            <w:r>
              <w:rPr/>
              <w:t>11</w:t>
            </w:r>
          </w:p>
        </w:tc>
        <w:tc>
          <w:tcPr>
            <w:tcW w:type="dxa" w:w="2252"/>
          </w:tcPr>
          <w:p>
            <w:r>
              <w:rPr/>
              <w:t>代理服务费</w:t>
            </w:r>
          </w:p>
        </w:tc>
        <w:tc>
          <w:tcPr>
            <w:tcW w:type="dxa" w:w="5004"/>
          </w:tcPr>
          <w:p>
            <w:pPr>
              <w:pStyle w:val="null3"/>
            </w:pPr>
          </w:p>
          <w:p>
            <w:pPr>
              <w:pStyle w:val="null3"/>
            </w:pPr>
            <w:r>
              <w:rPr/>
              <w:t>本项目不收取代理服务费</w:t>
            </w:r>
          </w:p>
        </w:tc>
      </w:tr>
      <w:tr>
        <w:tc>
          <w:tcPr>
            <w:tcW w:type="dxa" w:w="1051"/>
          </w:tcPr>
          <w:p>
            <w:r>
              <w:rPr/>
              <w:t>12</w:t>
            </w:r>
          </w:p>
        </w:tc>
        <w:tc>
          <w:tcPr>
            <w:tcW w:type="dxa" w:w="2252"/>
          </w:tcPr>
          <w:p>
            <w:r>
              <w:rPr/>
              <w:t>采购结果公告</w:t>
            </w:r>
          </w:p>
        </w:tc>
        <w:tc>
          <w:tcPr>
            <w:tcW w:type="dxa" w:w="5004"/>
          </w:tcPr>
          <w:p>
            <w:r>
              <w:rPr/>
              <w:t>采购结果将在“四川政府采购网”予以公告。</w:t>
            </w:r>
          </w:p>
        </w:tc>
      </w:tr>
      <w:tr>
        <w:tc>
          <w:tcPr>
            <w:tcW w:type="dxa" w:w="1051"/>
          </w:tcPr>
          <w:p>
            <w:r>
              <w:rPr/>
              <w:t>13</w:t>
            </w:r>
          </w:p>
        </w:tc>
        <w:tc>
          <w:tcPr>
            <w:tcW w:type="dxa" w:w="2252"/>
          </w:tcPr>
          <w:p>
            <w:r>
              <w:rPr/>
              <w:t>中标通知书</w:t>
            </w:r>
          </w:p>
        </w:tc>
        <w:tc>
          <w:tcPr>
            <w:tcW w:type="dxa" w:w="5004"/>
          </w:tcPr>
          <w:p>
            <w:r>
              <w:rPr/>
              <w:t>采购结果公告后，采购人或代理机构通过项目电子化交易系统向中标供应商发出中标通知书；中标供应商通过项目电子化交易系统获取中标通知书。</w:t>
            </w:r>
          </w:p>
        </w:tc>
      </w:tr>
      <w:tr>
        <w:tc>
          <w:tcPr>
            <w:tcW w:type="dxa" w:w="1051"/>
          </w:tcPr>
          <w:p>
            <w:r>
              <w:rPr/>
              <w:t>14</w:t>
            </w:r>
          </w:p>
        </w:tc>
        <w:tc>
          <w:tcPr>
            <w:tcW w:type="dxa" w:w="2252"/>
          </w:tcPr>
          <w:p>
            <w:r>
              <w:rPr/>
              <w:t>政府采购合同公告、备案</w:t>
            </w:r>
          </w:p>
        </w:tc>
        <w:tc>
          <w:tcPr>
            <w:tcW w:type="dxa" w:w="5004"/>
          </w:tcPr>
          <w:p>
            <w:r>
              <w:rPr/>
              <w:t>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r>
              <w:rPr/>
              <w:t>15</w:t>
            </w:r>
          </w:p>
        </w:tc>
        <w:tc>
          <w:tcPr>
            <w:tcW w:type="dxa" w:w="2252"/>
          </w:tcPr>
          <w:p>
            <w:r>
              <w:rPr/>
              <w:t>进口产品</w:t>
            </w:r>
          </w:p>
        </w:tc>
        <w:tc>
          <w:tcPr>
            <w:tcW w:type="dxa" w:w="5004"/>
          </w:tcPr>
          <w:p>
            <w:pPr>
              <w:pStyle w:val="null3"/>
            </w:pPr>
            <w:r>
              <w:rPr/>
              <w:t>不允许（实质性要求）</w:t>
            </w:r>
          </w:p>
        </w:tc>
      </w:tr>
      <w:tr>
        <w:tc>
          <w:tcPr>
            <w:tcW w:type="dxa" w:w="1051"/>
          </w:tcPr>
          <w:p>
            <w:r>
              <w:rPr/>
              <w:t>16</w:t>
            </w:r>
          </w:p>
        </w:tc>
        <w:tc>
          <w:tcPr>
            <w:tcW w:type="dxa" w:w="2252"/>
          </w:tcPr>
          <w:p>
            <w:r>
              <w:rPr/>
              <w:t>是否组织潜在供应商踏勘项目现场</w:t>
            </w:r>
          </w:p>
        </w:tc>
        <w:tc>
          <w:tcPr>
            <w:tcW w:type="dxa" w:w="5004"/>
          </w:tcPr>
          <w:p>
            <w:pPr>
              <w:pStyle w:val="null3"/>
            </w:pPr>
          </w:p>
          <w:p>
            <w:pPr>
              <w:pStyle w:val="null3"/>
            </w:pPr>
          </w:p>
          <w:p>
            <w:pPr>
              <w:pStyle w:val="null3"/>
            </w:pPr>
            <w:r>
              <w:rPr/>
              <w:t>采购包1：组织现场踏勘：否</w:t>
            </w:r>
          </w:p>
        </w:tc>
      </w:tr>
      <w:tr>
        <w:tc>
          <w:tcPr>
            <w:tcW w:type="dxa" w:w="1051"/>
          </w:tcPr>
          <w:p>
            <w:r>
              <w:rPr/>
              <w:t>17</w:t>
            </w:r>
          </w:p>
        </w:tc>
        <w:tc>
          <w:tcPr>
            <w:tcW w:type="dxa" w:w="2252"/>
          </w:tcPr>
          <w:p>
            <w:r>
              <w:rPr/>
              <w:t>特殊情况</w:t>
            </w:r>
          </w:p>
        </w:tc>
        <w:tc>
          <w:tcPr>
            <w:tcW w:type="dxa" w:w="5004"/>
          </w:tcPr>
          <w:p>
            <w:pPr>
              <w:pStyle w:val="null3"/>
            </w:pPr>
            <w:r>
              <w:rPr/>
              <w:t>出现下列情形之一的，采购人或者采购代理机构应当中止电子化采购活动，并保留相关证明材料备查：</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tab/>
              <w:tab/>
              <w:tab/>
              <w:tab/>
              <w:tab/>
              <w:tab/>
              <w:t xml:space="preserve">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pPr>
      <w:r>
        <w:rPr>
          <w:b/>
          <w:sz w:val="28"/>
        </w:rPr>
        <w:t>2.2总则</w:t>
      </w:r>
    </w:p>
    <w:p>
      <w:pPr>
        <w:pStyle w:val="null3"/>
      </w:pPr>
      <w:r>
        <w:rPr>
          <w:b/>
          <w:sz w:val="24"/>
        </w:rPr>
        <w:t>2.2.1适用范围</w:t>
      </w:r>
    </w:p>
    <w:p>
      <w:pPr>
        <w:pStyle w:val="null3"/>
        <w:ind w:firstLine="480"/>
      </w:pPr>
      <w:r>
        <w:rPr/>
        <w:t>一、本招标文件仅适用于本次公开招标采购项目。</w:t>
      </w:r>
    </w:p>
    <w:p>
      <w:pPr>
        <w:pStyle w:val="null3"/>
        <w:ind w:firstLine="480"/>
      </w:pPr>
      <w:r>
        <w:rPr/>
        <w:t>二、本招标文件的最终解释权由</w:t>
      </w:r>
      <w:r>
        <w:rPr/>
        <w:t>川北医学院附属医院</w:t>
      </w:r>
      <w:r>
        <w:rPr/>
        <w:t>和</w:t>
      </w:r>
      <w:r>
        <w:rPr/>
        <w:t>南充市政府采购中心</w:t>
      </w:r>
      <w:r>
        <w:rPr/>
        <w:t>享有。对招标文件中供应商参加本次政府采购活动应当具备的条件，招标项目技术、服务、商务及其他要求，评标细则及标准由</w:t>
      </w:r>
      <w:r>
        <w:rPr/>
        <w:t>川北医学院附属医院</w:t>
      </w:r>
      <w:r>
        <w:rPr/>
        <w:t>负责解释。除上述招标文件内容，其他内容由</w:t>
      </w:r>
      <w:r>
        <w:rPr/>
        <w:t>南充市政府采购中心</w:t>
      </w:r>
      <w:r>
        <w:rPr/>
        <w:t>负责解释。</w:t>
      </w:r>
    </w:p>
    <w:p>
      <w:pPr>
        <w:pStyle w:val="null3"/>
      </w:pPr>
      <w:r>
        <w:rPr>
          <w:b/>
          <w:sz w:val="24"/>
        </w:rPr>
        <w:t>2.2.2有关定义</w:t>
      </w:r>
    </w:p>
    <w:p>
      <w:pPr>
        <w:pStyle w:val="null3"/>
        <w:ind w:firstLine="480"/>
      </w:pPr>
      <w:r>
        <w:rPr/>
        <w:t>一、“采购人”是指依法进行政府采购的各级国家机关、事业单位、团体组织。本次招标的采购人是</w:t>
      </w:r>
      <w:r>
        <w:rPr/>
        <w:t>川北医学院附属医院</w:t>
      </w:r>
      <w:r>
        <w:rPr/>
        <w:t>。</w:t>
      </w:r>
    </w:p>
    <w:p>
      <w:pPr>
        <w:pStyle w:val="null3"/>
        <w:ind w:firstLine="480"/>
      </w:pPr>
      <w:r>
        <w:rPr/>
        <w:t>二、“投标人”是指按照采购公告规定获取了招标文件，拟参加投标和向采购人提供货物及相应服务的法人、其他组织或者自然人。</w:t>
      </w:r>
    </w:p>
    <w:p>
      <w:pPr>
        <w:pStyle w:val="null3"/>
        <w:ind w:firstLine="480"/>
      </w:pPr>
      <w:r>
        <w:rPr/>
        <w:t>三、“代理机构”是指政府采购集中采购机构和从事政府采购代理业务的社会中介机构。本项目的代理机构是</w:t>
      </w:r>
      <w:r>
        <w:rPr/>
        <w:t>南充市政府采购中心</w:t>
      </w:r>
      <w:r>
        <w:rPr/>
        <w:t>。</w:t>
      </w:r>
    </w:p>
    <w:p>
      <w:pPr>
        <w:pStyle w:val="null3"/>
        <w:ind w:firstLine="480"/>
      </w:pPr>
      <w:r>
        <w:rPr/>
        <w:t>四、“网上开标”是指代理机构通过项目电子化交易系统在线完成签到、开标、唱标和记录等活动，供应商通过项目电子化交易系统在线完成投标文件解密、参与开标活动。</w:t>
      </w:r>
    </w:p>
    <w:p>
      <w:pPr>
        <w:pStyle w:val="null3"/>
        <w:ind w:firstLine="480"/>
      </w:pPr>
      <w:r>
        <w:rPr/>
        <w:t>五、“电子评标”是指通过项目电子化交易系统在线完成评标委员会组建，开展资格和符合性审查、比较与评价、出具评标报告、推荐中标候选供应商等活动。</w:t>
      </w:r>
    </w:p>
    <w:p>
      <w:pPr>
        <w:pStyle w:val="null3"/>
      </w:pPr>
      <w:r>
        <w:rPr>
          <w:b/>
          <w:sz w:val="28"/>
        </w:rPr>
        <w:t>2.3招标文件</w:t>
      </w:r>
    </w:p>
    <w:p>
      <w:pPr>
        <w:pStyle w:val="null3"/>
      </w:pPr>
      <w:r>
        <w:rPr>
          <w:b/>
          <w:sz w:val="24"/>
        </w:rPr>
        <w:t>2.3.1招标文件的构成</w:t>
      </w:r>
    </w:p>
    <w:p>
      <w:pPr>
        <w:pStyle w:val="null3"/>
        <w:ind w:firstLine="480"/>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二、投标人应认真阅读和充分理解招标文件中所有的事项、格式条款和规范要求。投标人没有对招标文件全面做出实质性响应所产生的风险由投标人承担。</w:t>
      </w:r>
    </w:p>
    <w:p>
      <w:pPr>
        <w:pStyle w:val="null3"/>
      </w:pPr>
      <w:r>
        <w:rPr>
          <w:b/>
          <w:sz w:val="24"/>
        </w:rPr>
        <w:t>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二、澄清或者修改的内容为招标文件的组成部分，采购人或者代理机构将在四川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pPr>
      <w:r>
        <w:rPr>
          <w:b/>
          <w:sz w:val="28"/>
        </w:rPr>
        <w:t>2.4投标文件</w:t>
      </w:r>
    </w:p>
    <w:p>
      <w:pPr>
        <w:pStyle w:val="null3"/>
      </w:pPr>
      <w:r>
        <w:rPr>
          <w:b/>
          <w:sz w:val="24"/>
        </w:rPr>
        <w:t>2.4.1投标文件的语言</w:t>
      </w:r>
    </w:p>
    <w:p>
      <w:pPr>
        <w:pStyle w:val="null3"/>
        <w:ind w:firstLine="480"/>
      </w:pPr>
      <w:r>
        <w:rPr/>
        <w:t>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可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pPr>
      <w:r>
        <w:rPr>
          <w:b/>
          <w:sz w:val="24"/>
        </w:rPr>
        <w:t>2.4.2计量单位（实质性要求）</w:t>
      </w:r>
    </w:p>
    <w:p>
      <w:pPr>
        <w:pStyle w:val="null3"/>
        <w:ind w:firstLine="480"/>
      </w:pPr>
      <w:r>
        <w:rPr/>
        <w:t>除招标文件中另有规定外，本项目均采用国家法定的计量单位。</w:t>
      </w:r>
    </w:p>
    <w:p>
      <w:pPr>
        <w:pStyle w:val="null3"/>
      </w:pPr>
      <w:r>
        <w:rPr>
          <w:b/>
          <w:sz w:val="24"/>
        </w:rPr>
        <w:t>2.4.3投标货币（实质性要求）</w:t>
      </w:r>
    </w:p>
    <w:p>
      <w:pPr>
        <w:pStyle w:val="null3"/>
        <w:ind w:firstLine="480"/>
      </w:pPr>
      <w:r>
        <w:rPr/>
        <w:t>本次项目均以人民币报价。</w:t>
      </w:r>
    </w:p>
    <w:p>
      <w:pPr>
        <w:pStyle w:val="null3"/>
      </w:pPr>
      <w:r>
        <w:rPr>
          <w:b/>
          <w:sz w:val="24"/>
        </w:rPr>
        <w:t>2.4.4知识产权（实质性要求）</w:t>
      </w:r>
    </w:p>
    <w:p>
      <w:pPr>
        <w:pStyle w:val="null3"/>
        <w:ind w:firstLine="480"/>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pPr>
      <w:r>
        <w:rPr>
          <w:b/>
          <w:sz w:val="24"/>
        </w:rPr>
        <w:t>2.4.5投标文件的组成</w:t>
      </w:r>
    </w:p>
    <w:p>
      <w:pPr>
        <w:pStyle w:val="null3"/>
        <w:ind w:firstLine="480"/>
      </w:pPr>
      <w:r>
        <w:rPr/>
        <w:t>投标人应按照招标文件的规定和要求编制投标文件。</w:t>
      </w:r>
    </w:p>
    <w:p>
      <w:pPr>
        <w:pStyle w:val="null3"/>
        <w:ind w:firstLine="480"/>
      </w:pPr>
      <w:r>
        <w:rPr/>
        <w:t>投标文件包括投标函、资格响应文件、商务技术响应文件和报价要求响应文件，具体内容详见第6章。</w:t>
      </w:r>
    </w:p>
    <w:p>
      <w:pPr>
        <w:pStyle w:val="null3"/>
      </w:pPr>
      <w:r>
        <w:rPr>
          <w:b/>
          <w:sz w:val="24"/>
        </w:rPr>
        <w:t>2.4.6投标文件格式</w:t>
      </w:r>
    </w:p>
    <w:p>
      <w:pPr>
        <w:pStyle w:val="null3"/>
        <w:ind w:firstLine="480"/>
      </w:pPr>
      <w:r>
        <w:rPr/>
        <w:t>一、投标人应按照招标文件第6章中提供的“投标文件格式”填写相关内容。</w:t>
      </w:r>
    </w:p>
    <w:p>
      <w:pPr>
        <w:pStyle w:val="null3"/>
        <w:ind w:firstLine="480"/>
      </w:pPr>
      <w:r>
        <w:rPr/>
        <w:t>二、对于没有格式要求的投标文件由投标人自行编写。</w:t>
      </w:r>
    </w:p>
    <w:p>
      <w:pPr>
        <w:pStyle w:val="null3"/>
      </w:pPr>
      <w:r>
        <w:rPr>
          <w:b/>
          <w:sz w:val="24"/>
        </w:rPr>
        <w:t>2.4.7投标报价（实质性要求）</w:t>
      </w:r>
    </w:p>
    <w:p>
      <w:pPr>
        <w:pStyle w:val="null3"/>
        <w:ind w:firstLine="480"/>
      </w:pPr>
      <w:r>
        <w:rPr/>
        <w:t>一、投标人的报价是投标人响应招标项目要</w:t>
        <w:tab/>
        <w:tab/>
        <w:t xml:space="preserve"> 求的全部工作内容的价格体现，包括投标人完成本项目所需的一切费用。</w:t>
      </w:r>
    </w:p>
    <w:p>
      <w:pPr>
        <w:pStyle w:val="null3"/>
        <w:ind w:firstLine="480"/>
      </w:pPr>
      <w:r>
        <w:rPr/>
        <w:t>二、投标人每种货物及服务内容只允许有一个报价，并且在合同履行过程中是固定不变的，任何有选择或可调整的报价将不予接受，并按无效投标处理。</w:t>
      </w:r>
    </w:p>
    <w:p>
      <w:pPr>
        <w:pStyle w:val="null3"/>
        <w:ind w:firstLine="480"/>
      </w:pPr>
      <w:r>
        <w:rPr/>
        <w:t>三、投标文件报价出现前后不一致的，按照招标文件第5章评标办法规定予以修正，修正后的报价经投标人通过项目电子化交易系统进行确认，并加盖投标人（法定名称）电子签章，投标人未在规定时间内确认的，其投标无效。</w:t>
      </w:r>
    </w:p>
    <w:p>
      <w:pPr>
        <w:pStyle w:val="null3"/>
      </w:pPr>
      <w:r>
        <w:rPr>
          <w:b/>
          <w:sz w:val="24"/>
        </w:rPr>
        <w:t>2.4.8投标有效期（实质性要求）</w:t>
      </w:r>
    </w:p>
    <w:p>
      <w:pPr>
        <w:pStyle w:val="null3"/>
        <w:ind w:firstLine="480"/>
      </w:pPr>
      <w:r>
        <w:rPr/>
        <w:t>投标有效期为提交投标文件截止之日起不少于30天。投标文件未明确投标有效期或者投标有效期小于30天的，其投标文件按无效处理。</w:t>
      </w:r>
    </w:p>
    <w:p>
      <w:pPr>
        <w:pStyle w:val="null3"/>
      </w:pPr>
      <w:r>
        <w:rPr>
          <w:b/>
          <w:sz w:val="24"/>
        </w:rPr>
        <w:t>2.4.9投标文件的制作、签章和加密（实质性要求）</w:t>
      </w:r>
    </w:p>
    <w:p>
      <w:pPr>
        <w:pStyle w:val="null3"/>
        <w:ind w:firstLine="480"/>
      </w:pPr>
      <w:r>
        <w:rPr/>
        <w:t>一、投标文件应当根据招标文件进行编制，投标人应通过四川政府采购网-办事指南下载投标（响应）客户端，使用客户端编制投标文件。</w:t>
      </w:r>
    </w:p>
    <w:p>
      <w:pPr>
        <w:pStyle w:val="null3"/>
        <w:ind w:firstLine="480"/>
      </w:pPr>
      <w:r>
        <w:rPr/>
        <w:t>二、投标人应按照客户端操作要求，对应招标文件的每项实质性要求，逐一如实响应；未如实响应或者响应内容不符合招标文件对应项的要求的，其投标文件作无效处理。</w:t>
      </w:r>
    </w:p>
    <w:p>
      <w:pPr>
        <w:pStyle w:val="null3"/>
        <w:ind w:firstLine="480"/>
      </w:pPr>
      <w:r>
        <w:rPr/>
        <w:t>三、投标人完成投标文件编制后，应按照招标文件第1章明确的签章要求，使用互认的证书及签章对投标文件进行电子签章和加密。</w:t>
      </w:r>
    </w:p>
    <w:p>
      <w:pPr>
        <w:pStyle w:val="null3"/>
        <w:ind w:firstLine="480"/>
      </w:pPr>
      <w:r>
        <w:rPr/>
        <w:t>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pPr>
      <w:r>
        <w:rPr>
          <w:b/>
          <w:sz w:val="24"/>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二、在投标文件提交截止时间后，采购人或者代理机构不再接受投标人提交投标文件。投标人应充分考虑影响投标文件提交的各种因素，确保在投标文件提交截止时间前完成提交。</w:t>
      </w:r>
    </w:p>
    <w:p>
      <w:pPr>
        <w:pStyle w:val="null3"/>
      </w:pPr>
      <w:r>
        <w:rPr>
          <w:b/>
          <w:sz w:val="24"/>
        </w:rPr>
        <w:t>2.4.11投标文件的补充、修改、撤回（实质性要求）</w:t>
      </w:r>
    </w:p>
    <w:p>
      <w:pPr>
        <w:pStyle w:val="null3"/>
        <w:ind w:firstLine="480"/>
      </w:pPr>
      <w:r>
        <w:rPr/>
        <w:t>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pPr>
      <w:r>
        <w:rPr>
          <w:b/>
          <w:sz w:val="28"/>
        </w:rPr>
        <w:t>2.5开标、资格审查、评标和中标</w:t>
      </w:r>
    </w:p>
    <w:p>
      <w:pPr>
        <w:pStyle w:val="null3"/>
      </w:pPr>
      <w:r>
        <w:rPr>
          <w:b/>
          <w:sz w:val="24"/>
        </w:rPr>
        <w:t>2.5.1开标及开标程序</w:t>
      </w:r>
    </w:p>
    <w:p>
      <w:pPr>
        <w:pStyle w:val="null3"/>
        <w:ind w:firstLine="480"/>
      </w:pPr>
      <w:r>
        <w:rPr/>
        <w:t>一、本项目为网上开标项目。网上开标的开始时间为投标文件提交截止时间。成功提交或成功提交和解密电子投标文件的投标人不足3家的，不予开标，采购人或代理机构将作废标处理。</w:t>
      </w:r>
    </w:p>
    <w:p>
      <w:pPr>
        <w:pStyle w:val="null3"/>
        <w:ind w:firstLine="480"/>
      </w:pPr>
      <w:r>
        <w:rPr/>
        <w:t>二、开标准备工作</w:t>
      </w:r>
    </w:p>
    <w:p>
      <w:pPr>
        <w:pStyle w:val="null3"/>
      </w:pPr>
      <w:r>
        <w:rPr/>
        <w:t>投标文件开启时间前，供应商登录项目电子化交易系统-“开标/开启大厅”，等待代理机构开标。</w:t>
      </w:r>
    </w:p>
    <w:p>
      <w:pPr>
        <w:pStyle w:val="null3"/>
        <w:ind w:firstLine="480"/>
      </w:pPr>
      <w:r>
        <w:rPr/>
        <w:t>三、解密投标文件（实质性要求）</w:t>
      </w:r>
    </w:p>
    <w:p>
      <w:pPr>
        <w:pStyle w:val="null3"/>
        <w:ind w:firstLine="480"/>
      </w:pPr>
      <w:r>
        <w:rPr/>
        <w:t>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pPr>
      <w:r>
        <w:rPr>
          <w:b/>
          <w:sz w:val="24"/>
        </w:rPr>
        <w:t>2.5.2查询及使用信用记录</w:t>
      </w:r>
    </w:p>
    <w:p>
      <w:pPr>
        <w:pStyle w:val="null3"/>
        <w:ind w:firstLine="480"/>
      </w:pPr>
      <w:r>
        <w:rPr/>
        <w:t>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b/>
          <w:sz w:val="24"/>
        </w:rPr>
        <w:t>2.5.3资格审查</w:t>
      </w:r>
    </w:p>
    <w:p>
      <w:pPr>
        <w:pStyle w:val="null3"/>
        <w:ind w:firstLine="480"/>
      </w:pPr>
      <w:r>
        <w:rPr/>
        <w:t>详见招标文件第4章。</w:t>
      </w:r>
    </w:p>
    <w:p>
      <w:pPr>
        <w:pStyle w:val="null3"/>
      </w:pPr>
      <w:r>
        <w:rPr>
          <w:b/>
          <w:sz w:val="24"/>
        </w:rPr>
        <w:t>2.5.4评标</w:t>
      </w:r>
    </w:p>
    <w:p>
      <w:pPr>
        <w:pStyle w:val="null3"/>
        <w:ind w:firstLine="480"/>
      </w:pPr>
      <w:r>
        <w:rPr/>
        <w:t>详见招标文件第5章。</w:t>
      </w:r>
    </w:p>
    <w:p>
      <w:pPr>
        <w:pStyle w:val="null3"/>
      </w:pPr>
      <w:r>
        <w:rPr>
          <w:b/>
          <w:sz w:val="24"/>
        </w:rPr>
        <w:t>2.5.5中标通知书</w:t>
      </w:r>
    </w:p>
    <w:p>
      <w:pPr>
        <w:pStyle w:val="null3"/>
        <w:ind w:firstLine="480"/>
      </w:pPr>
      <w:r>
        <w:rPr/>
        <w:t>一、采购人或者评标委员会确认中标供应商后，代理机构在四川政府采购网发布中标结果公告、通过项目电子化交易系统发出中标通知书，中标供应商通过项目电子化交易系统获取中标通知书。</w:t>
      </w:r>
    </w:p>
    <w:p>
      <w:pPr>
        <w:pStyle w:val="null3"/>
        <w:ind w:firstLine="480"/>
      </w:pPr>
      <w:r>
        <w:rPr/>
        <w:t>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pPr>
      <w:r>
        <w:rPr>
          <w:b/>
          <w:sz w:val="28"/>
        </w:rPr>
        <w:t>2.6签订及履行合同和验收</w:t>
      </w:r>
    </w:p>
    <w:p>
      <w:pPr>
        <w:pStyle w:val="null3"/>
      </w:pPr>
      <w:r>
        <w:rPr>
          <w:b/>
          <w:sz w:val="24"/>
        </w:rPr>
        <w:t>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pPr>
      <w:r>
        <w:rPr>
          <w:b/>
          <w:sz w:val="24"/>
        </w:rPr>
        <w:t>2.6.2合同分包和转包（实质性要求）</w:t>
      </w:r>
    </w:p>
    <w:p>
      <w:pPr>
        <w:pStyle w:val="null3"/>
      </w:pPr>
      <w:r>
        <w:rPr>
          <w:b/>
          <w:sz w:val="24"/>
        </w:rPr>
        <w:t>2.6.2.1合同分包</w:t>
      </w:r>
    </w:p>
    <w:p>
      <w:pPr>
        <w:pStyle w:val="null3"/>
      </w:pPr>
    </w:p>
    <w:p>
      <w:pPr>
        <w:pStyle w:val="null3"/>
      </w:pPr>
    </w:p>
    <w:p>
      <w:pPr>
        <w:pStyle w:val="null3"/>
      </w:pPr>
      <w:r>
        <w:rPr/>
        <w:t>采购包1：不允许合同分包；</w:t>
      </w:r>
    </w:p>
    <w:p>
      <w:pPr>
        <w:pStyle w:val="null3"/>
        <w:ind w:firstLine="480"/>
      </w:pPr>
      <w:r>
        <w:rPr/>
        <w:t>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二、分包履行合同的部分应当为采购项目的非主体、非关键性工作，不属于中标人的主要合同义务。本项目可以分包履行的具体内容、金额或者比例：</w:t>
      </w:r>
      <w:r>
        <w:rPr/>
        <w:t>无</w:t>
      </w:r>
      <w:r>
        <w:rPr/>
        <w:t>。</w:t>
      </w:r>
    </w:p>
    <w:p>
      <w:pPr>
        <w:pStyle w:val="null3"/>
        <w:ind w:firstLine="480"/>
      </w:pPr>
      <w:r>
        <w:rPr/>
        <w:t>三、采购合同实行分包履行的，中标人就采购项目和分包项目向采购人负责，分包供应商就分包项目承担责任。</w:t>
      </w:r>
    </w:p>
    <w:p>
      <w:pPr>
        <w:pStyle w:val="null3"/>
        <w:ind w:firstLine="480"/>
      </w:pPr>
      <w:r>
        <w:rPr/>
        <w:t>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b/>
          <w:sz w:val="24"/>
        </w:rPr>
        <w:t>2.6.2.2合同转包</w:t>
      </w:r>
    </w:p>
    <w:p>
      <w:pPr>
        <w:pStyle w:val="null3"/>
        <w:ind w:firstLine="480"/>
      </w:pPr>
      <w:r>
        <w:rPr/>
        <w:t>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pPr>
      <w:r>
        <w:rPr>
          <w:b/>
          <w:sz w:val="24"/>
        </w:rPr>
        <w:t>2.6.3采购人增加合同标的的权利</w:t>
      </w:r>
    </w:p>
    <w:p>
      <w:pPr>
        <w:pStyle w:val="null3"/>
        <w:ind w:firstLine="480"/>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pPr>
      <w:r>
        <w:rPr>
          <w:b/>
          <w:sz w:val="24"/>
        </w:rPr>
        <w:t>2.6.4履行合同</w:t>
      </w:r>
    </w:p>
    <w:p>
      <w:pPr>
        <w:pStyle w:val="null3"/>
        <w:ind w:firstLine="480"/>
      </w:pPr>
      <w:r>
        <w:rPr/>
        <w:t>一、合同一经签订，双方应严格履行合同规定的义务。</w:t>
      </w:r>
    </w:p>
    <w:p>
      <w:pPr>
        <w:pStyle w:val="null3"/>
        <w:ind w:firstLine="480"/>
      </w:pPr>
      <w:r>
        <w:rPr/>
        <w:t>二、在合同履行过程中，如发生合同纠纷，合同双方应按照《中华人民共和国民法典》规定及合同条款约定进行处理。</w:t>
      </w:r>
    </w:p>
    <w:p>
      <w:pPr>
        <w:pStyle w:val="null3"/>
      </w:pPr>
      <w:r>
        <w:rPr>
          <w:b/>
          <w:sz w:val="24"/>
        </w:rPr>
        <w:t>2.6.5履约验收方案</w:t>
      </w:r>
    </w:p>
    <w:p>
      <w:pPr>
        <w:pStyle w:val="null3"/>
      </w:pPr>
    </w:p>
    <w:p>
      <w:pPr>
        <w:pStyle w:val="null3"/>
      </w:pPr>
    </w:p>
    <w:p>
      <w:pPr>
        <w:pStyle w:val="null3"/>
      </w:pPr>
      <w:r>
        <w:rPr/>
        <w:t>采购包1：</w:t>
      </w:r>
    </w:p>
    <w:p>
      <w:pPr>
        <w:pStyle w:val="null3"/>
      </w:pPr>
      <w:r>
        <w:rPr/>
        <w:t>依照《财政部关于进一步加强政府采购需求和履约验收管理的指导意见》（财库〔2016〕205 号）以及招标文件要求、中标人投标文件以及签订的合同验收。</w:t>
      </w:r>
    </w:p>
    <w:p>
      <w:pPr>
        <w:pStyle w:val="null3"/>
      </w:pPr>
      <w:r>
        <w:rPr>
          <w:b/>
          <w:sz w:val="24"/>
        </w:rPr>
        <w:t>2.6.6资金支付</w:t>
      </w:r>
    </w:p>
    <w:p>
      <w:pPr>
        <w:pStyle w:val="null3"/>
        <w:ind w:firstLine="480"/>
      </w:pPr>
      <w:r>
        <w:rPr/>
        <w:t>采购人按财政部门的相关规定及采购合同的约定进行支付。</w:t>
      </w:r>
    </w:p>
    <w:p>
      <w:pPr>
        <w:pStyle w:val="null3"/>
      </w:pPr>
      <w:r>
        <w:rPr>
          <w:b/>
          <w:sz w:val="28"/>
        </w:rPr>
        <w:t>2.7纪律要求</w:t>
      </w:r>
    </w:p>
    <w:p>
      <w:pPr>
        <w:pStyle w:val="null3"/>
      </w:pPr>
      <w:r>
        <w:rPr>
          <w:b/>
          <w:sz w:val="24"/>
        </w:rPr>
        <w:t>2.7.1评标活动纪律要求</w:t>
      </w:r>
    </w:p>
    <w:p>
      <w:pPr>
        <w:pStyle w:val="null3"/>
        <w:ind w:firstLine="480"/>
      </w:pPr>
      <w:r>
        <w:rPr/>
        <w:t>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pPr>
      <w:r>
        <w:rPr>
          <w:b/>
          <w:sz w:val="24"/>
        </w:rPr>
        <w:t>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投标人有上述情形的，按照规定追究法律责任，具备一至十一条情形之一的，其投标文件无效，或取消被确认为中标供应商的资格或认定中标无效。</w:t>
      </w:r>
    </w:p>
    <w:p>
      <w:pPr>
        <w:pStyle w:val="null3"/>
      </w:pPr>
      <w:r>
        <w:rPr>
          <w:b/>
          <w:sz w:val="28"/>
        </w:rPr>
        <w:t>2.8询问、质疑和投诉</w:t>
      </w:r>
    </w:p>
    <w:p>
      <w:pPr>
        <w:pStyle w:val="null3"/>
        <w:ind w:firstLine="480"/>
      </w:pPr>
      <w:r>
        <w:rPr/>
        <w:t>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根据委托代理协议约定，供应商对招标文件的询问、质疑由</w:t>
      </w:r>
      <w:r>
        <w:rPr/>
        <w:t>南充市政府采购中心</w:t>
      </w:r>
      <w:r>
        <w:rPr/>
        <w:t>负责答复；供应商对采购过程的询问、质疑由</w:t>
      </w:r>
      <w:r>
        <w:rPr/>
        <w:t>南充市政府采购中心</w:t>
      </w:r>
      <w:r>
        <w:rPr/>
        <w:t>负责答复；供应商对采购结果的询问、质疑由</w:t>
      </w:r>
      <w:r>
        <w:rPr/>
        <w:t>南充市政府采购中心</w:t>
      </w:r>
      <w:r>
        <w:rPr/>
        <w:t>负责答复。</w:t>
      </w:r>
    </w:p>
    <w:p>
      <w:pPr>
        <w:pStyle w:val="null3"/>
        <w:ind w:firstLine="480"/>
      </w:pPr>
      <w:r>
        <w:rPr/>
        <w:t>三、供应商提出的询问，应当明确询问事项，如以书面形式提出的，应由供应商签字并加盖公章。</w:t>
      </w:r>
    </w:p>
    <w:p>
      <w:pPr>
        <w:pStyle w:val="null3"/>
        <w:ind w:firstLine="480"/>
      </w:pPr>
      <w:r>
        <w:rPr/>
        <w:t>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（五）针对质疑事项必要的证明材料（针对招标文件提出的质疑，需提交从项目电子化交易系统获取的招标文件回执单）。</w:t>
      </w:r>
    </w:p>
    <w:p>
      <w:pPr>
        <w:pStyle w:val="null3"/>
        <w:ind w:firstLine="480"/>
      </w:pPr>
      <w:r>
        <w:rPr/>
        <w:t>接收质疑函方式：书面形式。</w:t>
      </w:r>
    </w:p>
    <w:p>
      <w:pPr>
        <w:pStyle w:val="null3"/>
      </w:pPr>
    </w:p>
    <w:p>
      <w:pPr>
        <w:pStyle w:val="null3"/>
      </w:pPr>
      <w:r>
        <w:rPr/>
        <w:t>答复主体：代理机构</w:t>
      </w:r>
    </w:p>
    <w:p>
      <w:pPr>
        <w:pStyle w:val="null3"/>
      </w:pPr>
      <w:r>
        <w:rPr/>
        <w:t>联系人：交易监督科</w:t>
      </w:r>
    </w:p>
    <w:p>
      <w:pPr>
        <w:pStyle w:val="null3"/>
      </w:pPr>
      <w:r>
        <w:rPr/>
        <w:t>联系电话：0817-2697475</w:t>
      </w:r>
    </w:p>
    <w:p>
      <w:pPr>
        <w:pStyle w:val="null3"/>
      </w:pPr>
      <w:r>
        <w:rPr/>
        <w:t>地址：南充市顺庆区涪江路19号</w:t>
      </w:r>
    </w:p>
    <w:p>
      <w:pPr>
        <w:pStyle w:val="null3"/>
      </w:pPr>
      <w:r>
        <w:rPr/>
        <w:t>邮编：637000</w:t>
      </w:r>
    </w:p>
    <w:p>
      <w:pPr>
        <w:pStyle w:val="null3"/>
        <w:ind w:firstLine="480"/>
      </w:pPr>
      <w:r>
        <w:rPr/>
        <w:t>注：根据《中华人民共和国政府采购法》的规定，供应商质疑不得超出采购文件、采购过程、采购结果的范围。</w:t>
      </w:r>
    </w:p>
    <w:p>
      <w:pPr>
        <w:pStyle w:val="null3"/>
        <w:ind w:firstLine="480"/>
      </w:pPr>
      <w:r>
        <w:rPr/>
        <w:t>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b/>
          <w:sz w:val="28"/>
        </w:rPr>
        <w:t>2.9其他要求（实质性要求）</w:t>
      </w:r>
    </w:p>
    <w:p>
      <w:pPr>
        <w:pStyle w:val="null3"/>
      </w:pPr>
    </w:p>
    <w:p>
      <w:pPr>
        <w:pStyle w:val="null3"/>
      </w:pPr>
      <w:r>
        <w:rPr/>
        <w:t>参加本项目供应商须在领取采购文件截止时间按照要求登录平台下载采购文件，未按照要求下载造成投标（响应）文件无 法上传的责任自负。</w:t>
      </w:r>
    </w:p>
    <w:p>
      <w:pPr>
        <w:pStyle w:val="null3"/>
      </w:pPr>
      <w:r>
        <w:rPr/>
        <w:t xml:space="preserve"> </w:t>
      </w:r>
    </w:p>
    <w:p>
      <w:pPr>
        <w:pStyle w:val="null3"/>
        <w:jc w:val="center"/>
      </w:pPr>
      <w:r>
        <w:rPr>
          <w:b/>
          <w:sz w:val="36"/>
        </w:rPr>
        <w:t>第3章 招标项目技术、服务、商务及其他要求</w:t>
      </w:r>
    </w:p>
    <w:p>
      <w:pPr>
        <w:pStyle w:val="null3"/>
        <w:ind w:firstLine="480"/>
      </w:pPr>
      <w:r>
        <w:rPr/>
        <w:t>（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pPr>
      <w:r>
        <w:rPr>
          <w:b/>
          <w:sz w:val="28"/>
        </w:rPr>
        <w:t>3.1采购项目概况</w:t>
      </w:r>
    </w:p>
    <w:p>
      <w:pPr>
        <w:pStyle w:val="null3"/>
      </w:pPr>
    </w:p>
    <w:p>
      <w:pPr>
        <w:pStyle w:val="null3"/>
      </w:pPr>
      <w:r>
        <w:rPr/>
        <w:t>因工作需要，本单位需对采不间断电源进行公开招标.</w:t>
      </w:r>
    </w:p>
    <w:p>
      <w:pPr>
        <w:pStyle w:val="null3"/>
      </w:pPr>
      <w:r>
        <w:rPr>
          <w:b/>
          <w:sz w:val="28"/>
        </w:rPr>
        <w:t>3.2采购内容</w:t>
      </w:r>
    </w:p>
    <w:p>
      <w:pPr>
        <w:pStyle w:val="null3"/>
      </w:pPr>
    </w:p>
    <w:p>
      <w:pPr>
        <w:pStyle w:val="null3"/>
      </w:pPr>
    </w:p>
    <w:p>
      <w:pPr>
        <w:pStyle w:val="null3"/>
      </w:pPr>
      <w:r>
        <w:rPr/>
        <w:t>采购包1：</w:t>
      </w:r>
    </w:p>
    <w:p>
      <w:pPr>
        <w:pStyle w:val="null3"/>
      </w:pPr>
      <w:r>
        <w:rPr/>
        <w:t>采购包预算金额（元）: 1,255,000.00</w:t>
      </w:r>
    </w:p>
    <w:p>
      <w:pPr>
        <w:pStyle w:val="null3"/>
      </w:pPr>
      <w:r>
        <w:rPr/>
        <w:t>采购包最高限价（元）: 1,255,000.00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序号</w:t>
            </w:r>
          </w:p>
        </w:tc>
        <w:tc>
          <w:tcPr>
            <w:tcW w:type="dxa" w:w="831"/>
          </w:tcPr>
          <w:p>
            <w:r>
              <w:rPr/>
              <w:t>标的名称</w:t>
            </w:r>
          </w:p>
        </w:tc>
        <w:tc>
          <w:tcPr>
            <w:tcW w:type="dxa" w:w="831"/>
          </w:tcPr>
          <w:p>
            <w:r>
              <w:rPr/>
              <w:t>数量</w:t>
            </w:r>
          </w:p>
        </w:tc>
        <w:tc>
          <w:tcPr>
            <w:tcW w:type="dxa" w:w="831"/>
          </w:tcPr>
          <w:p>
            <w:r>
              <w:rPr/>
              <w:t>标的预算 （元）</w:t>
            </w:r>
          </w:p>
        </w:tc>
        <w:tc>
          <w:tcPr>
            <w:tcW w:type="dxa" w:w="831"/>
          </w:tcPr>
          <w:p>
            <w:r>
              <w:rPr/>
              <w:t>计量单位</w:t>
            </w:r>
          </w:p>
        </w:tc>
        <w:tc>
          <w:tcPr>
            <w:tcW w:type="dxa" w:w="831"/>
          </w:tcPr>
          <w:p>
            <w:r>
              <w:rPr/>
              <w:t>所属行业</w:t>
            </w:r>
          </w:p>
        </w:tc>
        <w:tc>
          <w:tcPr>
            <w:tcW w:type="dxa" w:w="831"/>
          </w:tcPr>
          <w:p>
            <w:r>
              <w:rPr/>
              <w:t>是否核心产品</w:t>
            </w:r>
          </w:p>
        </w:tc>
        <w:tc>
          <w:tcPr>
            <w:tcW w:type="dxa" w:w="831"/>
          </w:tcPr>
          <w:p>
            <w:r>
              <w:rPr/>
              <w:t>是否允许进口产品</w:t>
            </w:r>
          </w:p>
        </w:tc>
        <w:tc>
          <w:tcPr>
            <w:tcW w:type="dxa" w:w="831"/>
          </w:tcPr>
          <w:p>
            <w:r>
              <w:rPr/>
              <w:t>是否属于节能产品</w:t>
            </w:r>
          </w:p>
        </w:tc>
        <w:tc>
          <w:tcPr>
            <w:tcW w:type="dxa" w:w="831"/>
          </w:tcPr>
          <w:p>
            <w:r>
              <w:rPr/>
              <w:t>是否属于环境标志产品</w:t>
            </w:r>
          </w:p>
        </w:tc>
      </w:tr>
      <w:tr>
        <w:tc>
          <w:tcPr>
            <w:tcW w:type="dxa" w:w="831"/>
          </w:tcPr>
          <w:p>
            <w:r>
              <w:rPr/>
              <w:t>1</w:t>
            </w:r>
          </w:p>
        </w:tc>
        <w:tc>
          <w:tcPr>
            <w:tcW w:type="dxa" w:w="831"/>
          </w:tcPr>
          <w:p>
            <w:r>
              <w:rPr/>
              <w:t>UPS-20KVA</w:t>
            </w:r>
          </w:p>
        </w:tc>
        <w:tc>
          <w:tcPr>
            <w:tcW w:type="dxa" w:w="831"/>
          </w:tcPr>
          <w:p>
            <w:pPr>
              <w:jc w:val="right"/>
            </w:pPr>
            <w:r>
              <w:rPr/>
              <w:t>5.00</w:t>
            </w:r>
          </w:p>
        </w:tc>
        <w:tc>
          <w:tcPr>
            <w:tcW w:type="dxa" w:w="831"/>
          </w:tcPr>
          <w:p>
            <w:pPr>
              <w:jc w:val="right"/>
            </w:pPr>
            <w:r>
              <w:rPr/>
              <w:t>245,000.00</w:t>
            </w:r>
          </w:p>
        </w:tc>
        <w:tc>
          <w:tcPr>
            <w:tcW w:type="dxa" w:w="831"/>
          </w:tcPr>
          <w:p>
            <w:r>
              <w:rPr/>
              <w:t>套</w:t>
            </w:r>
          </w:p>
        </w:tc>
        <w:tc>
          <w:tcPr>
            <w:tcW w:type="dxa" w:w="831"/>
          </w:tcPr>
          <w:p>
            <w:r>
              <w:rPr/>
              <w:t>工业</w:t>
            </w:r>
          </w:p>
        </w:tc>
        <w:tc>
          <w:tcPr>
            <w:tcW w:type="dxa" w:w="831"/>
          </w:tcPr>
          <w:p>
            <w:r>
              <w:rPr/>
              <w:t>否</w:t>
            </w:r>
          </w:p>
        </w:tc>
        <w:tc>
          <w:tcPr>
            <w:tcW w:type="dxa" w:w="831"/>
          </w:tcPr>
          <w:p>
            <w:r>
              <w:rPr/>
              <w:t>否</w:t>
            </w:r>
          </w:p>
        </w:tc>
        <w:tc>
          <w:tcPr>
            <w:tcW w:type="dxa" w:w="831"/>
          </w:tcPr>
          <w:p>
            <w:r>
              <w:rPr/>
              <w:t>否</w:t>
            </w:r>
          </w:p>
        </w:tc>
        <w:tc>
          <w:tcPr>
            <w:tcW w:type="dxa" w:w="831"/>
          </w:tcPr>
          <w:p>
            <w:r>
              <w:rPr/>
              <w:t>否</w:t>
            </w:r>
          </w:p>
        </w:tc>
      </w:tr>
      <w:tr>
        <w:tc>
          <w:tcPr>
            <w:tcW w:type="dxa" w:w="831"/>
          </w:tcPr>
          <w:p>
            <w:r>
              <w:rPr/>
              <w:t>2</w:t>
            </w:r>
          </w:p>
        </w:tc>
        <w:tc>
          <w:tcPr>
            <w:tcW w:type="dxa" w:w="831"/>
          </w:tcPr>
          <w:p>
            <w:r>
              <w:rPr/>
              <w:t>UPS-10KVA</w:t>
            </w:r>
          </w:p>
        </w:tc>
        <w:tc>
          <w:tcPr>
            <w:tcW w:type="dxa" w:w="831"/>
          </w:tcPr>
          <w:p>
            <w:pPr>
              <w:jc w:val="right"/>
            </w:pPr>
            <w:r>
              <w:rPr/>
              <w:t>8.00</w:t>
            </w:r>
          </w:p>
        </w:tc>
        <w:tc>
          <w:tcPr>
            <w:tcW w:type="dxa" w:w="831"/>
          </w:tcPr>
          <w:p>
            <w:pPr>
              <w:jc w:val="right"/>
            </w:pPr>
            <w:r>
              <w:rPr/>
              <w:t>160,000.00</w:t>
            </w:r>
          </w:p>
        </w:tc>
        <w:tc>
          <w:tcPr>
            <w:tcW w:type="dxa" w:w="831"/>
          </w:tcPr>
          <w:p>
            <w:r>
              <w:rPr/>
              <w:t>套</w:t>
            </w:r>
          </w:p>
        </w:tc>
        <w:tc>
          <w:tcPr>
            <w:tcW w:type="dxa" w:w="831"/>
          </w:tcPr>
          <w:p>
            <w:r>
              <w:rPr/>
              <w:t>工业</w:t>
            </w:r>
          </w:p>
        </w:tc>
        <w:tc>
          <w:tcPr>
            <w:tcW w:type="dxa" w:w="831"/>
          </w:tcPr>
          <w:p>
            <w:r>
              <w:rPr/>
              <w:t>否</w:t>
            </w:r>
          </w:p>
        </w:tc>
        <w:tc>
          <w:tcPr>
            <w:tcW w:type="dxa" w:w="831"/>
          </w:tcPr>
          <w:p>
            <w:r>
              <w:rPr/>
              <w:t>否</w:t>
            </w:r>
          </w:p>
        </w:tc>
        <w:tc>
          <w:tcPr>
            <w:tcW w:type="dxa" w:w="831"/>
          </w:tcPr>
          <w:p>
            <w:r>
              <w:rPr/>
              <w:t>否</w:t>
            </w:r>
          </w:p>
        </w:tc>
        <w:tc>
          <w:tcPr>
            <w:tcW w:type="dxa" w:w="831"/>
          </w:tcPr>
          <w:p>
            <w:r>
              <w:rPr/>
              <w:t>否</w:t>
            </w:r>
          </w:p>
        </w:tc>
      </w:tr>
      <w:tr>
        <w:tc>
          <w:tcPr>
            <w:tcW w:type="dxa" w:w="831"/>
          </w:tcPr>
          <w:p>
            <w:r>
              <w:rPr/>
              <w:t>3</w:t>
            </w:r>
          </w:p>
        </w:tc>
        <w:tc>
          <w:tcPr>
            <w:tcW w:type="dxa" w:w="831"/>
          </w:tcPr>
          <w:p>
            <w:r>
              <w:rPr/>
              <w:t>UPS-150KVA</w:t>
            </w:r>
          </w:p>
        </w:tc>
        <w:tc>
          <w:tcPr>
            <w:tcW w:type="dxa" w:w="831"/>
          </w:tcPr>
          <w:p>
            <w:pPr>
              <w:jc w:val="right"/>
            </w:pPr>
            <w:r>
              <w:rPr/>
              <w:t>1.00</w:t>
            </w:r>
          </w:p>
        </w:tc>
        <w:tc>
          <w:tcPr>
            <w:tcW w:type="dxa" w:w="831"/>
          </w:tcPr>
          <w:p>
            <w:pPr>
              <w:jc w:val="right"/>
            </w:pPr>
            <w:r>
              <w:rPr/>
              <w:t>500,000.00</w:t>
            </w:r>
          </w:p>
        </w:tc>
        <w:tc>
          <w:tcPr>
            <w:tcW w:type="dxa" w:w="831"/>
          </w:tcPr>
          <w:p>
            <w:r>
              <w:rPr/>
              <w:t>套</w:t>
            </w:r>
          </w:p>
        </w:tc>
        <w:tc>
          <w:tcPr>
            <w:tcW w:type="dxa" w:w="831"/>
          </w:tcPr>
          <w:p>
            <w:r>
              <w:rPr/>
              <w:t>工业</w:t>
            </w:r>
          </w:p>
        </w:tc>
        <w:tc>
          <w:tcPr>
            <w:tcW w:type="dxa" w:w="831"/>
          </w:tcPr>
          <w:p>
            <w:r>
              <w:rPr/>
              <w:t>是</w:t>
            </w:r>
          </w:p>
        </w:tc>
        <w:tc>
          <w:tcPr>
            <w:tcW w:type="dxa" w:w="831"/>
          </w:tcPr>
          <w:p>
            <w:r>
              <w:rPr/>
              <w:t>否</w:t>
            </w:r>
          </w:p>
        </w:tc>
        <w:tc>
          <w:tcPr>
            <w:tcW w:type="dxa" w:w="831"/>
          </w:tcPr>
          <w:p>
            <w:r>
              <w:rPr/>
              <w:t>否</w:t>
            </w:r>
          </w:p>
        </w:tc>
        <w:tc>
          <w:tcPr>
            <w:tcW w:type="dxa" w:w="831"/>
          </w:tcPr>
          <w:p>
            <w:r>
              <w:rPr/>
              <w:t>否</w:t>
            </w:r>
          </w:p>
        </w:tc>
      </w:tr>
      <w:tr>
        <w:tc>
          <w:tcPr>
            <w:tcW w:type="dxa" w:w="831"/>
          </w:tcPr>
          <w:p>
            <w:r>
              <w:rPr/>
              <w:t>4</w:t>
            </w:r>
          </w:p>
        </w:tc>
        <w:tc>
          <w:tcPr>
            <w:tcW w:type="dxa" w:w="831"/>
          </w:tcPr>
          <w:p>
            <w:r>
              <w:rPr/>
              <w:t>UPS-100KVA</w:t>
            </w:r>
          </w:p>
        </w:tc>
        <w:tc>
          <w:tcPr>
            <w:tcW w:type="dxa" w:w="831"/>
          </w:tcPr>
          <w:p>
            <w:pPr>
              <w:jc w:val="right"/>
            </w:pPr>
            <w:r>
              <w:rPr/>
              <w:t>1.00</w:t>
            </w:r>
          </w:p>
        </w:tc>
        <w:tc>
          <w:tcPr>
            <w:tcW w:type="dxa" w:w="831"/>
          </w:tcPr>
          <w:p>
            <w:pPr>
              <w:jc w:val="right"/>
            </w:pPr>
            <w:r>
              <w:rPr/>
              <w:t>350,000.00</w:t>
            </w:r>
          </w:p>
        </w:tc>
        <w:tc>
          <w:tcPr>
            <w:tcW w:type="dxa" w:w="831"/>
          </w:tcPr>
          <w:p>
            <w:r>
              <w:rPr/>
              <w:t>套</w:t>
            </w:r>
          </w:p>
        </w:tc>
        <w:tc>
          <w:tcPr>
            <w:tcW w:type="dxa" w:w="831"/>
          </w:tcPr>
          <w:p>
            <w:r>
              <w:rPr/>
              <w:t>工业</w:t>
            </w:r>
          </w:p>
        </w:tc>
        <w:tc>
          <w:tcPr>
            <w:tcW w:type="dxa" w:w="831"/>
          </w:tcPr>
          <w:p>
            <w:r>
              <w:rPr/>
              <w:t>是</w:t>
            </w:r>
          </w:p>
        </w:tc>
        <w:tc>
          <w:tcPr>
            <w:tcW w:type="dxa" w:w="831"/>
          </w:tcPr>
          <w:p>
            <w:r>
              <w:rPr/>
              <w:t>否</w:t>
            </w:r>
          </w:p>
        </w:tc>
        <w:tc>
          <w:tcPr>
            <w:tcW w:type="dxa" w:w="831"/>
          </w:tcPr>
          <w:p>
            <w:r>
              <w:rPr/>
              <w:t>否</w:t>
            </w:r>
          </w:p>
        </w:tc>
        <w:tc>
          <w:tcPr>
            <w:tcW w:type="dxa" w:w="831"/>
          </w:tcPr>
          <w:p>
            <w:r>
              <w:rPr/>
              <w:t>否</w:t>
            </w:r>
          </w:p>
        </w:tc>
      </w:tr>
    </w:tbl>
    <w:p>
      <w:pPr>
        <w:pStyle w:val="null3"/>
      </w:pPr>
      <w:r>
        <w:rPr>
          <w:b/>
          <w:sz w:val="28"/>
        </w:rPr>
        <w:t>3.3技术参数及要求</w:t>
      </w:r>
    </w:p>
    <w:p>
      <w:pPr>
        <w:pStyle w:val="null3"/>
      </w:pPr>
    </w:p>
    <w:p>
      <w:pPr>
        <w:pStyle w:val="null3"/>
      </w:pPr>
    </w:p>
    <w:p>
      <w:pPr>
        <w:pStyle w:val="null3"/>
      </w:pPr>
      <w:r>
        <w:rPr/>
        <w:t>采购包1：</w:t>
      </w:r>
    </w:p>
    <w:p>
      <w:pPr>
        <w:pStyle w:val="null3"/>
      </w:pPr>
    </w:p>
    <w:p>
      <w:pPr>
        <w:pStyle w:val="null3"/>
      </w:pPr>
      <w:r>
        <w:rPr/>
        <w:t>标的名称：UPS-20KVA</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参数性质</w:t>
            </w:r>
          </w:p>
        </w:tc>
        <w:tc>
          <w:tcPr>
            <w:tcW w:type="dxa" w:w="2769"/>
          </w:tcPr>
          <w:p>
            <w:r>
              <w:rPr/>
              <w:t>序号</w:t>
            </w:r>
          </w:p>
        </w:tc>
        <w:tc>
          <w:tcPr>
            <w:tcW w:type="dxa" w:w="2769"/>
          </w:tcPr>
          <w:p>
            <w:r>
              <w:rPr/>
              <w:t>技术参数与性能指标</w:t>
            </w:r>
          </w:p>
        </w:tc>
      </w:tr>
      <w:tr>
        <w:tc>
          <w:tcPr>
            <w:tcW w:type="dxa" w:w="2769"/>
          </w:tcPr>
          <w:p/>
        </w:tc>
        <w:tc>
          <w:tcPr>
            <w:tcW w:type="dxa" w:w="2769"/>
          </w:tcPr>
          <w:p>
            <w:r>
              <w:rPr/>
              <w:t>1</w:t>
            </w:r>
          </w:p>
        </w:tc>
        <w:tc>
          <w:tcPr>
            <w:tcW w:type="dxa" w:w="2769"/>
          </w:tcPr>
          <w:p>
            <w:pPr>
              <w:pStyle w:val="null3"/>
              <w:jc w:val="both"/>
            </w:pPr>
            <w:r>
              <w:rPr>
                <w:rFonts w:ascii="仿宋" w:hAnsi="仿宋" w:cs="仿宋" w:eastAsia="仿宋"/>
                <w:sz w:val="24"/>
              </w:rPr>
              <w:t>一、UPS不间断电</w:t>
            </w:r>
          </w:p>
          <w:p>
            <w:pPr>
              <w:pStyle w:val="null3"/>
              <w:jc w:val="both"/>
            </w:pPr>
            <w:r>
              <w:rPr>
                <w:rFonts w:ascii="仿宋" w:hAnsi="仿宋" w:cs="仿宋" w:eastAsia="仿宋"/>
                <w:sz w:val="24"/>
              </w:rPr>
              <w:t>1</w:t>
            </w:r>
            <w:r>
              <w:rPr>
                <w:rFonts w:ascii="仿宋" w:hAnsi="仿宋" w:cs="仿宋" w:eastAsia="仿宋"/>
                <w:sz w:val="24"/>
              </w:rPr>
              <w:t>、LCD/LED双重显示面板，可显示负载量、电池容量、输入输出参数及故障信息，方便用户运维管理。</w:t>
            </w:r>
          </w:p>
          <w:p>
            <w:pPr>
              <w:pStyle w:val="null3"/>
              <w:jc w:val="both"/>
            </w:pPr>
            <w:r>
              <w:rPr>
                <w:rFonts w:ascii="仿宋" w:hAnsi="仿宋" w:cs="仿宋" w:eastAsia="仿宋"/>
                <w:sz w:val="24"/>
              </w:rPr>
              <w:t>2</w:t>
            </w:r>
            <w:r>
              <w:rPr>
                <w:rFonts w:ascii="仿宋" w:hAnsi="仿宋" w:cs="仿宋" w:eastAsia="仿宋"/>
                <w:sz w:val="24"/>
              </w:rPr>
              <w:t>、系统在运行使用中有电池故障，可直接在线下架故障的电池，电池节数在16节/18节/20节可调。</w:t>
            </w:r>
          </w:p>
          <w:p>
            <w:pPr>
              <w:pStyle w:val="null3"/>
              <w:jc w:val="both"/>
            </w:pPr>
            <w:r>
              <w:rPr>
                <w:rFonts w:ascii="仿宋" w:hAnsi="仿宋" w:cs="仿宋" w:eastAsia="仿宋"/>
                <w:sz w:val="24"/>
              </w:rPr>
              <w:t>3</w:t>
            </w:r>
            <w:r>
              <w:rPr>
                <w:rFonts w:ascii="仿宋" w:hAnsi="仿宋" w:cs="仿宋" w:eastAsia="仿宋"/>
                <w:sz w:val="24"/>
              </w:rPr>
              <w:t>、输出电压(Vac)：380/400/415±1%，输出功率因数：0.9。</w:t>
            </w:r>
          </w:p>
          <w:p>
            <w:pPr>
              <w:pStyle w:val="null3"/>
              <w:jc w:val="both"/>
            </w:pPr>
            <w:r>
              <w:rPr>
                <w:rFonts w:ascii="仿宋" w:hAnsi="仿宋" w:cs="仿宋" w:eastAsia="仿宋"/>
                <w:sz w:val="24"/>
              </w:rPr>
              <w:t>4</w:t>
            </w:r>
            <w:r>
              <w:rPr>
                <w:rFonts w:ascii="仿宋" w:hAnsi="仿宋" w:cs="仿宋" w:eastAsia="仿宋"/>
                <w:sz w:val="24"/>
              </w:rPr>
              <w:t>、具有ECO运行模式，高效节能，可降低用户使用成本。</w:t>
            </w:r>
          </w:p>
          <w:p>
            <w:pPr>
              <w:pStyle w:val="null3"/>
              <w:jc w:val="both"/>
            </w:pPr>
            <w:r>
              <w:rPr>
                <w:rFonts w:ascii="仿宋" w:hAnsi="仿宋" w:cs="仿宋" w:eastAsia="仿宋"/>
                <w:sz w:val="24"/>
              </w:rPr>
              <w:t>5</w:t>
            </w:r>
            <w:r>
              <w:rPr>
                <w:rFonts w:ascii="仿宋" w:hAnsi="仿宋" w:cs="仿宋" w:eastAsia="仿宋"/>
                <w:sz w:val="24"/>
              </w:rPr>
              <w:t>、整机效率不低于95%。</w:t>
            </w:r>
          </w:p>
          <w:p>
            <w:pPr>
              <w:pStyle w:val="null3"/>
              <w:jc w:val="both"/>
            </w:pPr>
            <w:r>
              <w:rPr>
                <w:rFonts w:ascii="仿宋" w:hAnsi="仿宋" w:cs="仿宋" w:eastAsia="仿宋"/>
                <w:sz w:val="24"/>
              </w:rPr>
              <w:t>二、蓄电池（16只）</w:t>
            </w:r>
          </w:p>
          <w:p>
            <w:pPr>
              <w:pStyle w:val="null3"/>
              <w:jc w:val="both"/>
            </w:pPr>
            <w:r>
              <w:rPr>
                <w:rFonts w:ascii="仿宋" w:hAnsi="仿宋" w:cs="仿宋" w:eastAsia="仿宋"/>
                <w:sz w:val="24"/>
              </w:rPr>
              <w:t>1.</w:t>
            </w:r>
            <w:r>
              <w:rPr>
                <w:rFonts w:ascii="仿宋" w:hAnsi="仿宋" w:cs="仿宋" w:eastAsia="仿宋"/>
                <w:sz w:val="24"/>
              </w:rPr>
              <w:t>采用12V 100AH阀控式密封铅酸蓄电池，设计寿命不低于10年。</w:t>
            </w:r>
          </w:p>
          <w:p>
            <w:pPr>
              <w:pStyle w:val="null3"/>
              <w:jc w:val="both"/>
            </w:pPr>
            <w:r>
              <w:rPr>
                <w:rFonts w:ascii="仿宋" w:hAnsi="仿宋" w:cs="仿宋" w:eastAsia="仿宋"/>
                <w:sz w:val="24"/>
              </w:rPr>
              <w:t>三、电池柜（1个）</w:t>
            </w:r>
          </w:p>
          <w:p>
            <w:pPr>
              <w:pStyle w:val="null3"/>
              <w:jc w:val="both"/>
            </w:pPr>
            <w:r>
              <w:rPr>
                <w:rFonts w:ascii="仿宋" w:hAnsi="仿宋" w:cs="仿宋" w:eastAsia="仿宋"/>
                <w:sz w:val="24"/>
              </w:rPr>
              <w:t>标准BT-16，100AH电池柜。</w:t>
            </w:r>
          </w:p>
          <w:p>
            <w:pPr>
              <w:pStyle w:val="null3"/>
              <w:jc w:val="both"/>
            </w:pPr>
            <w:r>
              <w:rPr>
                <w:rFonts w:ascii="仿宋" w:hAnsi="仿宋" w:cs="仿宋" w:eastAsia="仿宋"/>
                <w:sz w:val="24"/>
              </w:rPr>
              <w:t>四、辅材（1批）</w:t>
            </w:r>
          </w:p>
          <w:p>
            <w:pPr>
              <w:pStyle w:val="null3"/>
              <w:jc w:val="both"/>
            </w:pPr>
            <w:r>
              <w:rPr>
                <w:rFonts w:ascii="仿宋" w:hAnsi="仿宋" w:cs="仿宋" w:eastAsia="仿宋"/>
                <w:sz w:val="24"/>
              </w:rPr>
              <w:t>项目所需铜鼻子、热缩套、连接线等。</w:t>
            </w:r>
          </w:p>
        </w:tc>
      </w:tr>
      <w:tr>
        <w:tc>
          <w:tcPr>
            <w:tcW w:type="dxa" w:w="2769"/>
          </w:tcPr>
          <w:p>
            <w:r>
              <w:rPr/>
              <w:t>▲</w:t>
            </w:r>
          </w:p>
        </w:tc>
        <w:tc>
          <w:tcPr>
            <w:tcW w:type="dxa" w:w="2769"/>
          </w:tcPr>
          <w:p>
            <w:r>
              <w:rPr/>
              <w:t>2</w:t>
            </w:r>
          </w:p>
        </w:tc>
        <w:tc>
          <w:tcPr>
            <w:tcW w:type="dxa" w:w="2769"/>
          </w:tcPr>
          <w:p>
            <w:pPr>
              <w:pStyle w:val="null3"/>
              <w:jc w:val="both"/>
            </w:pPr>
            <w:r>
              <w:rPr>
                <w:rFonts w:ascii="仿宋" w:hAnsi="仿宋" w:cs="仿宋" w:eastAsia="仿宋"/>
                <w:sz w:val="24"/>
              </w:rPr>
              <w:t>一、UPS不间断电</w:t>
            </w:r>
          </w:p>
          <w:p>
            <w:pPr>
              <w:pStyle w:val="null3"/>
              <w:jc w:val="both"/>
            </w:pPr>
            <w:r>
              <w:rPr>
                <w:rFonts w:ascii="仿宋" w:hAnsi="仿宋" w:cs="仿宋" w:eastAsia="仿宋"/>
                <w:sz w:val="24"/>
              </w:rPr>
              <w:t>▲1、采用高频双变换在线式设计，容量：20KVA。</w:t>
            </w:r>
          </w:p>
          <w:p>
            <w:pPr>
              <w:pStyle w:val="null3"/>
              <w:jc w:val="both"/>
            </w:pPr>
            <w:r>
              <w:rPr>
                <w:rFonts w:ascii="仿宋" w:hAnsi="仿宋" w:cs="仿宋" w:eastAsia="仿宋"/>
                <w:sz w:val="24"/>
              </w:rPr>
              <w:t>▲2、额定输入电压(Vac)：380/400/415,要求UPS具有宽广的输入电压范围。</w:t>
            </w:r>
          </w:p>
          <w:p>
            <w:pPr>
              <w:pStyle w:val="null3"/>
              <w:jc w:val="both"/>
            </w:pPr>
            <w:r>
              <w:rPr>
                <w:rFonts w:ascii="&quot;times new roman&quot;, serif" w:hAnsi="&quot;times new roman&quot;, serif" w:cs="&quot;times new roman&quot;, serif" w:eastAsia="&quot;times new roman&quot;, serif"/>
                <w:sz w:val="21"/>
              </w:rPr>
              <w:t>二、蓄电池（16只）</w:t>
            </w:r>
          </w:p>
          <w:p>
            <w:pPr>
              <w:pStyle w:val="null3"/>
            </w:pPr>
            <w:r>
              <w:rPr>
                <w:rFonts w:ascii="&quot;times new roman&quot;, serif" w:hAnsi="&quot;times new roman&quot;, serif" w:cs="&quot;times new roman&quot;, serif" w:eastAsia="&quot;times new roman&quot;, serif"/>
                <w:sz w:val="21"/>
              </w:rPr>
              <w:t>▲1.为防止蓄电池在运输、搬运和安装过程中容易因破碎或使用的异常情况而可能导致的电池漏液，从而引起的短路着火事故安全隐患，每节蓄电池具有出厂标配电池托盘的安全措施（提供证明材料）</w:t>
            </w:r>
          </w:p>
        </w:tc>
      </w:tr>
    </w:tbl>
    <w:p>
      <w:pPr>
        <w:pStyle w:val="null3"/>
      </w:pPr>
    </w:p>
    <w:p>
      <w:pPr>
        <w:pStyle w:val="null3"/>
      </w:pPr>
      <w:r>
        <w:rPr/>
        <w:t>标的名称：UPS-10KVA</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参数性质</w:t>
            </w:r>
          </w:p>
        </w:tc>
        <w:tc>
          <w:tcPr>
            <w:tcW w:type="dxa" w:w="2769"/>
          </w:tcPr>
          <w:p>
            <w:r>
              <w:rPr/>
              <w:t>序号</w:t>
            </w:r>
          </w:p>
        </w:tc>
        <w:tc>
          <w:tcPr>
            <w:tcW w:type="dxa" w:w="2769"/>
          </w:tcPr>
          <w:p>
            <w:r>
              <w:rPr/>
              <w:t>技术参数与性能指标</w:t>
            </w:r>
          </w:p>
        </w:tc>
      </w:tr>
      <w:tr>
        <w:tc>
          <w:tcPr>
            <w:tcW w:type="dxa" w:w="2769"/>
          </w:tcPr>
          <w:p/>
        </w:tc>
        <w:tc>
          <w:tcPr>
            <w:tcW w:type="dxa" w:w="2769"/>
          </w:tcPr>
          <w:p>
            <w:r>
              <w:rPr/>
              <w:t>1</w:t>
            </w:r>
          </w:p>
        </w:tc>
        <w:tc>
          <w:tcPr>
            <w:tcW w:type="dxa" w:w="2769"/>
          </w:tcPr>
          <w:p>
            <w:pPr>
              <w:pStyle w:val="null3"/>
              <w:jc w:val="both"/>
            </w:pPr>
            <w:r>
              <w:rPr>
                <w:rFonts w:ascii="仿宋" w:hAnsi="仿宋" w:cs="仿宋" w:eastAsia="仿宋"/>
                <w:sz w:val="24"/>
              </w:rPr>
              <w:t>1</w:t>
            </w:r>
            <w:r>
              <w:rPr>
                <w:rFonts w:ascii="仿宋" w:hAnsi="仿宋" w:cs="仿宋" w:eastAsia="仿宋"/>
                <w:sz w:val="24"/>
              </w:rPr>
              <w:t>、输入频率范围：50Hz：45-55；60Hz：54-66（50/60自适应）</w:t>
            </w:r>
          </w:p>
          <w:p>
            <w:pPr>
              <w:pStyle w:val="null3"/>
              <w:jc w:val="both"/>
            </w:pPr>
            <w:r>
              <w:rPr>
                <w:rFonts w:ascii="仿宋" w:hAnsi="仿宋" w:cs="仿宋" w:eastAsia="仿宋"/>
                <w:sz w:val="24"/>
              </w:rPr>
              <w:t>2</w:t>
            </w:r>
            <w:r>
              <w:rPr>
                <w:rFonts w:ascii="仿宋" w:hAnsi="仿宋" w:cs="仿宋" w:eastAsia="仿宋"/>
                <w:sz w:val="24"/>
              </w:rPr>
              <w:t>、输出电压(Vac)：220/230/240，输出功率因数：0.99。</w:t>
            </w:r>
          </w:p>
          <w:p>
            <w:pPr>
              <w:pStyle w:val="null3"/>
              <w:jc w:val="both"/>
            </w:pPr>
            <w:r>
              <w:rPr>
                <w:rFonts w:ascii="仿宋" w:hAnsi="仿宋" w:cs="仿宋" w:eastAsia="仿宋"/>
                <w:sz w:val="24"/>
              </w:rPr>
              <w:t>3</w:t>
            </w:r>
            <w:r>
              <w:rPr>
                <w:rFonts w:ascii="仿宋" w:hAnsi="仿宋" w:cs="仿宋" w:eastAsia="仿宋"/>
                <w:sz w:val="24"/>
              </w:rPr>
              <w:t>、具有ECO运行模式，高效节能，可降低用户使用成本。</w:t>
            </w:r>
          </w:p>
          <w:p>
            <w:pPr>
              <w:pStyle w:val="null3"/>
              <w:jc w:val="both"/>
            </w:pPr>
            <w:r>
              <w:rPr>
                <w:rFonts w:ascii="仿宋" w:hAnsi="仿宋" w:cs="仿宋" w:eastAsia="仿宋"/>
                <w:sz w:val="24"/>
              </w:rPr>
              <w:t>4</w:t>
            </w:r>
            <w:r>
              <w:rPr>
                <w:rFonts w:ascii="仿宋" w:hAnsi="仿宋" w:cs="仿宋" w:eastAsia="仿宋"/>
                <w:sz w:val="24"/>
              </w:rPr>
              <w:t>、整机效率不低于92%。</w:t>
            </w:r>
          </w:p>
          <w:p>
            <w:pPr>
              <w:pStyle w:val="null3"/>
              <w:jc w:val="both"/>
            </w:pPr>
            <w:r>
              <w:rPr>
                <w:rFonts w:ascii="&quot;times new roman&quot;, serif" w:hAnsi="&quot;times new roman&quot;, serif" w:cs="&quot;times new roman&quot;, serif" w:eastAsia="&quot;times new roman&quot;, serif"/>
                <w:sz w:val="21"/>
              </w:rPr>
              <w:t>5、蓄电池（16只）</w:t>
            </w:r>
          </w:p>
          <w:p>
            <w:pPr>
              <w:pStyle w:val="null3"/>
            </w:pPr>
            <w:r>
              <w:rPr>
                <w:rFonts w:ascii="&quot;times new roman&quot;, serif" w:hAnsi="&quot;times new roman&quot;, serif" w:cs="&quot;times new roman&quot;, serif" w:eastAsia="&quot;times new roman&quot;, serif"/>
                <w:sz w:val="21"/>
              </w:rPr>
              <w:t>采用 12V 100AH 阀控式密封铅酸蓄电池；为避免蓄电池在安装过程中因破碎或使用不规范导致电池漏液而引起短路着火，所投蓄电池产品出厂时标配有防滑、防酸保护垫盘；为防止电池单格短路，所投蓄电池应采用电池板栅设计（提供证明材料）</w:t>
            </w:r>
          </w:p>
        </w:tc>
      </w:tr>
      <w:tr>
        <w:tc>
          <w:tcPr>
            <w:tcW w:type="dxa" w:w="2769"/>
          </w:tcPr>
          <w:p>
            <w:r>
              <w:rPr/>
              <w:t>▲</w:t>
            </w:r>
          </w:p>
        </w:tc>
        <w:tc>
          <w:tcPr>
            <w:tcW w:type="dxa" w:w="2769"/>
          </w:tcPr>
          <w:p>
            <w:r>
              <w:rPr/>
              <w:t>2</w:t>
            </w:r>
          </w:p>
        </w:tc>
        <w:tc>
          <w:tcPr>
            <w:tcW w:type="dxa" w:w="2769"/>
          </w:tcPr>
          <w:p>
            <w:pPr>
              <w:pStyle w:val="null3"/>
              <w:jc w:val="both"/>
            </w:pPr>
            <w:r>
              <w:rPr>
                <w:rFonts w:ascii="仿宋" w:hAnsi="仿宋" w:cs="仿宋" w:eastAsia="仿宋"/>
                <w:sz w:val="24"/>
              </w:rPr>
              <w:t>▲1、容量：10KVA。</w:t>
            </w:r>
          </w:p>
          <w:p>
            <w:pPr>
              <w:pStyle w:val="null3"/>
              <w:jc w:val="both"/>
            </w:pPr>
            <w:r>
              <w:rPr>
                <w:rFonts w:ascii="仿宋" w:hAnsi="仿宋" w:cs="仿宋" w:eastAsia="仿宋"/>
                <w:sz w:val="24"/>
              </w:rPr>
              <w:t>▲2、额定输入电压(Vac)：220/230/240,要求UPS具有宽广的输入电压范围。</w:t>
            </w:r>
          </w:p>
        </w:tc>
      </w:tr>
    </w:tbl>
    <w:p>
      <w:pPr>
        <w:pStyle w:val="null3"/>
      </w:pPr>
    </w:p>
    <w:p>
      <w:pPr>
        <w:pStyle w:val="null3"/>
      </w:pPr>
      <w:r>
        <w:rPr/>
        <w:t>标的名称：UPS-150KVA</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参数性质</w:t>
            </w:r>
          </w:p>
        </w:tc>
        <w:tc>
          <w:tcPr>
            <w:tcW w:type="dxa" w:w="2769"/>
          </w:tcPr>
          <w:p>
            <w:r>
              <w:rPr/>
              <w:t>序号</w:t>
            </w:r>
          </w:p>
        </w:tc>
        <w:tc>
          <w:tcPr>
            <w:tcW w:type="dxa" w:w="2769"/>
          </w:tcPr>
          <w:p>
            <w:r>
              <w:rPr/>
              <w:t>技术参数与性能指标</w:t>
            </w:r>
          </w:p>
        </w:tc>
      </w:tr>
      <w:tr>
        <w:tc>
          <w:tcPr>
            <w:tcW w:type="dxa" w:w="2769"/>
          </w:tcPr>
          <w:p/>
        </w:tc>
        <w:tc>
          <w:tcPr>
            <w:tcW w:type="dxa" w:w="2769"/>
          </w:tcPr>
          <w:p>
            <w:r>
              <w:rPr/>
              <w:t>1</w:t>
            </w:r>
          </w:p>
        </w:tc>
        <w:tc>
          <w:tcPr>
            <w:tcW w:type="dxa" w:w="2769"/>
          </w:tcPr>
          <w:p>
            <w:pPr>
              <w:pStyle w:val="null3"/>
              <w:jc w:val="both"/>
            </w:pPr>
            <w:r>
              <w:rPr>
                <w:rFonts w:ascii="仿宋" w:hAnsi="仿宋" w:cs="仿宋" w:eastAsia="仿宋"/>
                <w:sz w:val="24"/>
              </w:rPr>
              <w:t>一、模块化UPS电气柜</w:t>
            </w:r>
            <w:r>
              <w:br/>
            </w:r>
            <w:r>
              <w:rPr>
                <w:rFonts w:ascii="仿宋" w:hAnsi="仿宋" w:cs="仿宋" w:eastAsia="仿宋"/>
                <w:sz w:val="24"/>
              </w:rPr>
              <w:t>1、为保证旁路抗冲击能力及扩容要求，采用统一的集中旁路模块，旁路模块可插拔维护，不影响UPS系统输出（提交投标配置详细说明公共静态旁路模块容量，并提交产品投标彩页或手册证明）。</w:t>
            </w:r>
            <w:r>
              <w:br/>
            </w:r>
            <w:r>
              <w:rPr>
                <w:rFonts w:ascii="仿宋" w:hAnsi="仿宋" w:cs="仿宋" w:eastAsia="仿宋"/>
                <w:sz w:val="24"/>
              </w:rPr>
              <w:t>2、UPS标配内置输入，输出，维修旁路断路器，请提供安装断路器的设备整体及(断路器安装位置)局部清晰实物照片；同时支持选配配电单元，选配的配电单元配置不低于6路16A/1P交流空开到弱电监控及照明，6路63A/3P交流空开到空调，48路32A/1P的交流空开到IT机柜。以上开关都为</w:t>
            </w:r>
            <w:r>
              <w:rPr>
                <w:rFonts w:ascii="&quot;times new roman&quot;, serif" w:hAnsi="&quot;times new roman&quot;, serif" w:cs="&quot;times new roman&quot;, serif" w:eastAsia="&quot;times new roman&quot;, serif"/>
                <w:sz w:val="21"/>
              </w:rPr>
              <w:t>断路器，不能使用负荷隔离开关或熔断器方案。</w:t>
            </w:r>
            <w:r>
              <w:br/>
            </w:r>
            <w:r>
              <w:rPr>
                <w:rFonts w:ascii="&quot;times new roman&quot;, serif" w:hAnsi="&quot;times new roman&quot;, serif" w:cs="&quot;times new roman&quot;, serif" w:eastAsia="&quot;times new roman&quot;, serif"/>
                <w:sz w:val="21"/>
              </w:rPr>
              <w:t>3、输入电压：380VAC ±25%，输入频率：50Hz±10% 。</w:t>
            </w:r>
            <w:r>
              <w:br/>
            </w:r>
            <w:r>
              <w:rPr>
                <w:rFonts w:ascii="&quot;times new roman&quot;, serif" w:hAnsi="&quot;times new roman&quot;, serif" w:cs="&quot;times new roman&quot;, serif" w:eastAsia="&quot;times new roman&quot;, serif"/>
                <w:sz w:val="21"/>
              </w:rPr>
              <w:t>4、设备应能提供全中文监控及操作界面，采用不低于9英寸液晶彩色触摸屏，能够动态实时显示运行状态、输入输出电压、电流以及故障告警信息等（提供证明材料）。</w:t>
            </w:r>
            <w:r>
              <w:br/>
            </w:r>
            <w:r>
              <w:rPr>
                <w:rFonts w:ascii="&quot;times new roman&quot;, serif" w:hAnsi="&quot;times new roman&quot;, serif" w:cs="&quot;times new roman&quot;, serif" w:eastAsia="&quot;times new roman&quot;, serif"/>
                <w:sz w:val="21"/>
              </w:rPr>
              <w:t>5、逆变器过载能力：110%额定电流  60min，125%额定电流  10min，150%额定电流60s。</w:t>
            </w:r>
            <w:r>
              <w:br/>
            </w:r>
            <w:r>
              <w:rPr>
                <w:rFonts w:ascii="&quot;times new roman&quot;, serif" w:hAnsi="&quot;times new roman&quot;, serif" w:cs="&quot;times new roman&quot;, serif" w:eastAsia="&quot;times new roman&quot;, serif"/>
                <w:sz w:val="21"/>
              </w:rPr>
              <w:t>6、UPS电气柜标配UPS输入开关、输出开关、维修旁路开关， 同时支持选配配电单元，选配的配电单元配置不低于6路16A/1P交流空开到弱电监控及照明，6路63A/3P交流空开到空调，48路32A/1P的交流空开到IT机柜。以上开关都为断路器，不能使用负荷隔离开关或熔断器方案。</w:t>
            </w:r>
          </w:p>
          <w:p>
            <w:pPr>
              <w:pStyle w:val="null3"/>
            </w:pPr>
            <w:r>
              <w:rPr>
                <w:rFonts w:ascii="&quot;times new roman&quot;, serif" w:hAnsi="&quot;times new roman&quot;, serif" w:cs="&quot;times new roman&quot;, serif" w:eastAsia="&quot;times new roman&quot;, serif"/>
                <w:sz w:val="21"/>
              </w:rPr>
              <w:t>7、UPS应具有三电平逆变器及其过零切换逻辑控制技术。</w:t>
            </w:r>
          </w:p>
          <w:p>
            <w:pPr>
              <w:pStyle w:val="null3"/>
            </w:pPr>
            <w:r>
              <w:rPr>
                <w:rFonts w:ascii="&quot;times new roman&quot;, serif" w:hAnsi="&quot;times new roman&quot;, serif" w:cs="&quot;times new roman&quot;, serif" w:eastAsia="&quot;times new roman&quot;, serif"/>
                <w:sz w:val="21"/>
              </w:rPr>
              <w:t>8、UPS应具有滤波电路和逆变电路技术。</w:t>
            </w:r>
          </w:p>
          <w:p>
            <w:pPr>
              <w:pStyle w:val="null3"/>
            </w:pPr>
            <w:r>
              <w:rPr>
                <w:rFonts w:ascii="&quot;times new roman&quot;, serif" w:hAnsi="&quot;times new roman&quot;, serif" w:cs="&quot;times new roman&quot;, serif" w:eastAsia="&quot;times new roman&quot;, serif"/>
                <w:sz w:val="21"/>
              </w:rPr>
              <w:t>9、</w:t>
            </w:r>
            <w:r>
              <w:rPr>
                <w:rFonts w:ascii="&quot;times new roman&quot;, serif" w:hAnsi="&quot;times new roman&quot;, serif" w:cs="&quot;times new roman&quot;, serif" w:eastAsia="&quot;times new roman&quot;, serif"/>
                <w:sz w:val="21"/>
              </w:rPr>
              <w:t>UPS通过ISO 45001:2018管理体系认证（提供证明文件）。</w:t>
            </w:r>
          </w:p>
          <w:p>
            <w:pPr>
              <w:pStyle w:val="null3"/>
            </w:pPr>
            <w:r>
              <w:rPr>
                <w:rFonts w:ascii="&quot;times new roman&quot;, serif" w:hAnsi="&quot;times new roman&quot;, serif" w:cs="&quot;times new roman&quot;, serif" w:eastAsia="&quot;times new roman&quot;, serif"/>
                <w:sz w:val="21"/>
              </w:rPr>
              <w:t>10、UPS噪音：≤60db （提供证明文件）。</w:t>
            </w:r>
          </w:p>
          <w:p>
            <w:pPr>
              <w:pStyle w:val="null3"/>
              <w:ind w:firstLine="425"/>
            </w:pPr>
          </w:p>
          <w:p>
            <w:pPr>
              <w:pStyle w:val="null3"/>
              <w:jc w:val="both"/>
            </w:pPr>
            <w:r>
              <w:rPr>
                <w:rFonts w:ascii="仿宋" w:hAnsi="仿宋" w:cs="仿宋" w:eastAsia="仿宋"/>
                <w:sz w:val="24"/>
              </w:rPr>
              <w:t>二、功率模块（4个）</w:t>
            </w:r>
          </w:p>
          <w:p>
            <w:pPr>
              <w:pStyle w:val="null3"/>
              <w:jc w:val="both"/>
            </w:pPr>
            <w:r>
              <w:rPr>
                <w:rFonts w:ascii="仿宋" w:hAnsi="仿宋" w:cs="仿宋" w:eastAsia="仿宋"/>
                <w:sz w:val="24"/>
              </w:rPr>
              <w:t>1.</w:t>
            </w:r>
            <w:r>
              <w:rPr>
                <w:rFonts w:ascii="仿宋" w:hAnsi="仿宋" w:cs="仿宋" w:eastAsia="仿宋"/>
                <w:sz w:val="24"/>
              </w:rPr>
              <w:t>为了在满足供电容量需求前提下减少UPS功率模块并联数量以优化均流及环流等指标，要求单个UPS功率模块容量≥40KVA/KW；</w:t>
            </w:r>
            <w:r>
              <w:br/>
            </w:r>
            <w:r>
              <w:rPr/>
              <w:t>三、蓄电池（120只）</w:t>
            </w:r>
          </w:p>
          <w:p>
            <w:pPr>
              <w:pStyle w:val="null3"/>
              <w:jc w:val="both"/>
            </w:pPr>
            <w:r>
              <w:rPr>
                <w:rFonts w:ascii="仿宋" w:hAnsi="仿宋" w:cs="仿宋" w:eastAsia="仿宋"/>
                <w:sz w:val="24"/>
              </w:rPr>
              <w:t>1、高密板栅设计，满足高功率放电，降低腐蚀。</w:t>
            </w:r>
          </w:p>
          <w:p>
            <w:pPr>
              <w:pStyle w:val="null3"/>
              <w:jc w:val="both"/>
            </w:pPr>
            <w:r>
              <w:rPr>
                <w:rFonts w:ascii="仿宋" w:hAnsi="仿宋" w:cs="仿宋" w:eastAsia="仿宋"/>
                <w:sz w:val="24"/>
              </w:rPr>
              <w:t>四、电池架（3套）</w:t>
            </w:r>
          </w:p>
          <w:p>
            <w:pPr>
              <w:pStyle w:val="null3"/>
              <w:jc w:val="both"/>
            </w:pPr>
            <w:r>
              <w:rPr>
                <w:rFonts w:ascii="仿宋" w:hAnsi="仿宋" w:cs="仿宋" w:eastAsia="仿宋"/>
                <w:sz w:val="24"/>
              </w:rPr>
              <w:t>定制开放式电池架</w:t>
            </w:r>
          </w:p>
          <w:p>
            <w:pPr>
              <w:pStyle w:val="null3"/>
              <w:ind w:firstLine="425"/>
            </w:pPr>
          </w:p>
          <w:p>
            <w:pPr>
              <w:pStyle w:val="null3"/>
              <w:jc w:val="both"/>
            </w:pPr>
            <w:r>
              <w:rPr>
                <w:rFonts w:ascii="仿宋" w:hAnsi="仿宋" w:cs="仿宋" w:eastAsia="仿宋"/>
                <w:sz w:val="24"/>
              </w:rPr>
              <w:t>五、电池汇流柜（1套）</w:t>
            </w:r>
          </w:p>
          <w:p>
            <w:pPr>
              <w:pStyle w:val="null3"/>
              <w:jc w:val="both"/>
            </w:pPr>
            <w:r>
              <w:rPr>
                <w:rFonts w:ascii="仿宋" w:hAnsi="仿宋" w:cs="仿宋" w:eastAsia="仿宋"/>
                <w:sz w:val="24"/>
              </w:rPr>
              <w:t>1</w:t>
            </w:r>
            <w:r>
              <w:rPr>
                <w:rFonts w:ascii="仿宋" w:hAnsi="仿宋" w:cs="仿宋" w:eastAsia="仿宋"/>
                <w:sz w:val="24"/>
              </w:rPr>
              <w:t>个总开关，3个分相开关，1个开关柜，落地式，上下走线</w:t>
            </w:r>
          </w:p>
          <w:p>
            <w:pPr>
              <w:pStyle w:val="null3"/>
              <w:ind w:firstLine="425"/>
            </w:pPr>
          </w:p>
          <w:p>
            <w:pPr>
              <w:pStyle w:val="null3"/>
              <w:jc w:val="both"/>
            </w:pPr>
            <w:r>
              <w:rPr>
                <w:rFonts w:ascii="仿宋" w:hAnsi="仿宋" w:cs="仿宋" w:eastAsia="仿宋"/>
                <w:sz w:val="24"/>
              </w:rPr>
              <w:t>六、辅材（1批）</w:t>
            </w:r>
          </w:p>
          <w:p>
            <w:pPr>
              <w:pStyle w:val="null3"/>
              <w:jc w:val="both"/>
            </w:pPr>
            <w:r>
              <w:rPr>
                <w:rFonts w:ascii="仿宋" w:hAnsi="仿宋" w:cs="仿宋" w:eastAsia="仿宋"/>
                <w:sz w:val="24"/>
              </w:rPr>
              <w:t>项目所需铜鼻子、热缩套、连接线电源线等</w:t>
            </w:r>
          </w:p>
        </w:tc>
      </w:tr>
      <w:tr>
        <w:tc>
          <w:tcPr>
            <w:tcW w:type="dxa" w:w="2769"/>
          </w:tcPr>
          <w:p>
            <w:r>
              <w:rPr/>
              <w:t>▲</w:t>
            </w:r>
          </w:p>
        </w:tc>
        <w:tc>
          <w:tcPr>
            <w:tcW w:type="dxa" w:w="2769"/>
          </w:tcPr>
          <w:p>
            <w:r>
              <w:rPr/>
              <w:t>2</w:t>
            </w:r>
          </w:p>
        </w:tc>
        <w:tc>
          <w:tcPr>
            <w:tcW w:type="dxa" w:w="2769"/>
          </w:tcPr>
          <w:p>
            <w:pPr>
              <w:pStyle w:val="null3"/>
              <w:jc w:val="both"/>
            </w:pPr>
            <w:r>
              <w:rPr>
                <w:rFonts w:ascii="仿宋" w:hAnsi="仿宋" w:cs="仿宋" w:eastAsia="仿宋"/>
                <w:sz w:val="24"/>
              </w:rPr>
              <w:t>一、模块化UPS电气柜</w:t>
            </w:r>
          </w:p>
          <w:p>
            <w:pPr>
              <w:pStyle w:val="null3"/>
              <w:jc w:val="both"/>
            </w:pPr>
            <w:r>
              <w:rPr>
                <w:rFonts w:ascii="仿宋" w:hAnsi="仿宋" w:cs="仿宋" w:eastAsia="仿宋"/>
                <w:sz w:val="24"/>
              </w:rPr>
              <w:t>▲1、150KVA模块化热插拔在线式UPS主机，UPS主机冗余系统由多个UPS功率模块安装在一套机柜内组成，所有UPS功率模块输出在机柜内部直接并联。</w:t>
            </w:r>
            <w:r>
              <w:br/>
            </w:r>
            <w:r>
              <w:rPr>
                <w:rFonts w:ascii="仿宋" w:hAnsi="仿宋" w:cs="仿宋" w:eastAsia="仿宋"/>
                <w:sz w:val="24"/>
              </w:rPr>
              <w:t>▲2、UPS输入输出电压：380/380VAC，输出功率因数：1。</w:t>
            </w:r>
            <w:r>
              <w:br/>
            </w:r>
            <w:r>
              <w:rPr>
                <w:rFonts w:ascii="&quot;times new roman&quot;, serif" w:hAnsi="&quot;times new roman&quot;, serif" w:cs="&quot;times new roman&quot;, serif" w:eastAsia="&quot;times new roman&quot;, serif"/>
                <w:sz w:val="21"/>
              </w:rPr>
              <w:t>▲3、UPS输入功率因数应满足：25%~100%负载率下，UPS输入功率因数不低于0.99，提供UPS 分别在20%、30%、40%、50%、60%、80%、100%负载下任意3个数值的的输入功率因数值（提供证明材料）</w:t>
            </w:r>
            <w:r>
              <w:br/>
            </w:r>
            <w:r>
              <w:rPr>
                <w:rFonts w:ascii="&quot;times new roman&quot;, serif" w:hAnsi="&quot;times new roman&quot;, serif" w:cs="&quot;times new roman&quot;, serif" w:eastAsia="&quot;times new roman&quot;, serif"/>
                <w:sz w:val="21"/>
              </w:rPr>
              <w:t>▲4、UPS输入谐波电流应满足：25%～100%负载率下，UPS输入谐波电流总含量要求不大于3%， 提供UPS分别在20%、30%、40%、50%、60%、80%、100%负载下任意3个数值的输入谐波电流值（提供证明材料）。</w:t>
            </w:r>
            <w:r>
              <w:br/>
            </w:r>
            <w:r>
              <w:rPr>
                <w:rFonts w:ascii="仿宋" w:hAnsi="仿宋" w:cs="仿宋" w:eastAsia="仿宋"/>
                <w:sz w:val="24"/>
              </w:rPr>
              <w:t>▲5、每套机架满配容量按≥160KVA/KW，要求单机架满配后模块并联数量≤4个；需提交投标产品详细配置清单说明单机架设计容量。</w:t>
            </w:r>
            <w:r>
              <w:br/>
            </w:r>
            <w:r>
              <w:rPr>
                <w:rFonts w:ascii="&quot;times new roman&quot;, serif" w:hAnsi="&quot;times new roman&quot;, serif" w:cs="&quot;times new roman&quot;, serif" w:eastAsia="&quot;times new roman&quot;, serif"/>
                <w:sz w:val="21"/>
              </w:rPr>
              <w:t>▲6、市电模式下，UPS系统在线逆变系统效率如下：UPS在30%、40%、50%、60%、80%、100%负载下任意3个数值的系统效率不低于94%（提供证明材料）。</w:t>
            </w:r>
          </w:p>
          <w:p>
            <w:pPr>
              <w:pStyle w:val="null3"/>
              <w:jc w:val="both"/>
            </w:pPr>
            <w:r>
              <w:rPr>
                <w:rFonts w:ascii="&quot;times new roman&quot;, serif" w:hAnsi="&quot;times new roman&quot;, serif" w:cs="&quot;times new roman&quot;, serif" w:eastAsia="&quot;times new roman&quot;, serif"/>
                <w:sz w:val="21"/>
              </w:rPr>
              <w:t>▲7、UPS应采用分散控制的逻辑，每个功率模块均要求内置完整的整流、逆变及控制系统，任意模块的功率或控制电路故障都不影响UPS系统整体工作运行，保证系统控制不会出现单点故障。（提供证明材料）。</w:t>
            </w:r>
          </w:p>
          <w:p>
            <w:pPr>
              <w:pStyle w:val="null3"/>
              <w:ind w:firstLine="425"/>
            </w:pPr>
          </w:p>
          <w:p>
            <w:pPr>
              <w:pStyle w:val="null3"/>
              <w:jc w:val="both"/>
            </w:pPr>
            <w:r>
              <w:rPr>
                <w:rFonts w:ascii="仿宋" w:hAnsi="仿宋" w:cs="仿宋" w:eastAsia="仿宋"/>
                <w:sz w:val="24"/>
              </w:rPr>
              <w:t>二、功率模块（4个）</w:t>
            </w:r>
            <w:r>
              <w:br/>
            </w:r>
            <w:r>
              <w:rPr>
                <w:rFonts w:ascii="&quot;times new roman&quot;, serif" w:hAnsi="&quot;times new roman&quot;, serif" w:cs="&quot;times new roman&quot;, serif" w:eastAsia="&quot;times new roman&quot;, serif"/>
                <w:sz w:val="21"/>
              </w:rPr>
              <w:t>▲1.功率模块系统效率不低于96%，功率模块在30%、50%、100%负载下均不低于96%（提供证明材料）。</w:t>
            </w:r>
          </w:p>
          <w:p>
            <w:pPr>
              <w:pStyle w:val="null3"/>
              <w:jc w:val="both"/>
            </w:pPr>
            <w:r>
              <w:rPr>
                <w:rFonts w:ascii="&quot;times new roman&quot;, serif" w:hAnsi="&quot;times new roman&quot;, serif" w:cs="&quot;times new roman&quot;, serif" w:eastAsia="&quot;times new roman&quot;, serif"/>
                <w:sz w:val="21"/>
              </w:rPr>
              <w:t>▲2.功率模块具有休眠功能，并能手动或自动开启/关闭该模式，要求满足：产品能根据实际负载的变化自动调整功率模块的休眠数量，能使功率模块自动周期性轮换工作，且周期可设置（提供证明材料）。</w:t>
            </w:r>
          </w:p>
          <w:p>
            <w:pPr>
              <w:pStyle w:val="null3"/>
              <w:jc w:val="both"/>
            </w:pPr>
            <w:r>
              <w:rPr>
                <w:rFonts w:ascii="仿宋" w:hAnsi="仿宋" w:cs="仿宋" w:eastAsia="仿宋"/>
                <w:sz w:val="24"/>
              </w:rPr>
              <w:t>三、蓄电池（120只）</w:t>
            </w:r>
          </w:p>
          <w:p>
            <w:pPr>
              <w:pStyle w:val="null3"/>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、12V 100AH免维护铅酸蓄电池。</w:t>
            </w:r>
            <w:r>
              <w:br/>
            </w:r>
            <w:r>
              <w:rPr>
                <w:rFonts w:ascii="仿宋" w:hAnsi="仿宋" w:cs="仿宋" w:eastAsia="仿宋"/>
                <w:sz w:val="24"/>
              </w:rPr>
              <w:t>▲</w:t>
            </w:r>
            <w:r>
              <w:rPr>
                <w:rFonts w:ascii="仿宋" w:hAnsi="仿宋" w:cs="仿宋" w:eastAsia="仿宋"/>
                <w:sz w:val="24"/>
              </w:rPr>
              <w:t>2、蓄电池设计寿命不低于12年。</w:t>
            </w:r>
          </w:p>
          <w:p>
            <w:pPr>
              <w:pStyle w:val="null3"/>
              <w:jc w:val="both"/>
            </w:pPr>
            <w:r>
              <w:rPr/>
              <w:t xml:space="preserve"> </w:t>
            </w:r>
          </w:p>
        </w:tc>
      </w:tr>
    </w:tbl>
    <w:p>
      <w:pPr>
        <w:pStyle w:val="null3"/>
      </w:pPr>
    </w:p>
    <w:p>
      <w:pPr>
        <w:pStyle w:val="null3"/>
      </w:pPr>
      <w:r>
        <w:rPr/>
        <w:t>标的名称：UPS-100KVA</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参数性质</w:t>
            </w:r>
          </w:p>
        </w:tc>
        <w:tc>
          <w:tcPr>
            <w:tcW w:type="dxa" w:w="2769"/>
          </w:tcPr>
          <w:p>
            <w:r>
              <w:rPr/>
              <w:t>序号</w:t>
            </w:r>
          </w:p>
        </w:tc>
        <w:tc>
          <w:tcPr>
            <w:tcW w:type="dxa" w:w="2769"/>
          </w:tcPr>
          <w:p>
            <w:r>
              <w:rPr/>
              <w:t>技术参数与性能指标</w:t>
            </w:r>
          </w:p>
        </w:tc>
      </w:tr>
      <w:tr>
        <w:tc>
          <w:tcPr>
            <w:tcW w:type="dxa" w:w="2769"/>
          </w:tcPr>
          <w:p/>
        </w:tc>
        <w:tc>
          <w:tcPr>
            <w:tcW w:type="dxa" w:w="2769"/>
          </w:tcPr>
          <w:p>
            <w:r>
              <w:rPr/>
              <w:t>1</w:t>
            </w:r>
          </w:p>
        </w:tc>
        <w:tc>
          <w:tcPr>
            <w:tcW w:type="dxa" w:w="2769"/>
          </w:tcPr>
          <w:p>
            <w:pPr>
              <w:pStyle w:val="null3"/>
              <w:jc w:val="both"/>
            </w:pPr>
            <w:r>
              <w:rPr>
                <w:rFonts w:ascii="仿宋" w:hAnsi="仿宋" w:cs="仿宋" w:eastAsia="仿宋"/>
                <w:sz w:val="24"/>
              </w:rPr>
              <w:t>一、UPS不间断电源（1个）</w:t>
            </w:r>
          </w:p>
          <w:p>
            <w:pPr>
              <w:pStyle w:val="null3"/>
              <w:jc w:val="both"/>
            </w:pPr>
            <w:r>
              <w:rPr>
                <w:rFonts w:ascii="仿宋" w:hAnsi="仿宋" w:cs="仿宋" w:eastAsia="仿宋"/>
                <w:sz w:val="24"/>
              </w:rPr>
              <w:t>1</w:t>
            </w:r>
            <w:r>
              <w:rPr>
                <w:rFonts w:ascii="仿宋" w:hAnsi="仿宋" w:cs="仿宋" w:eastAsia="仿宋"/>
                <w:sz w:val="24"/>
              </w:rPr>
              <w:t>、采用高频双变换在线式设计，容量：100KVA。</w:t>
            </w:r>
            <w:r>
              <w:br/>
            </w:r>
            <w:r>
              <w:rPr>
                <w:rFonts w:ascii="仿宋" w:hAnsi="仿宋" w:cs="仿宋" w:eastAsia="仿宋"/>
                <w:sz w:val="24"/>
              </w:rPr>
              <w:t>2、LCD/LED双重显示面板，可显示负载量、电池容量、输入输出参数及故障信息，方便用户运维管理。</w:t>
            </w:r>
            <w:r>
              <w:br/>
            </w:r>
            <w:r>
              <w:rPr>
                <w:rFonts w:ascii="仿宋" w:hAnsi="仿宋" w:cs="仿宋" w:eastAsia="仿宋"/>
                <w:sz w:val="24"/>
              </w:rPr>
              <w:t>3、系统在运行使用中有电池故障，可直接在线下架故障的电池，电池节数在32节-40节之间偶数可调。</w:t>
            </w:r>
            <w:r>
              <w:br/>
            </w:r>
            <w:r>
              <w:rPr>
                <w:rFonts w:ascii="仿宋" w:hAnsi="仿宋" w:cs="仿宋" w:eastAsia="仿宋"/>
                <w:sz w:val="24"/>
              </w:rPr>
              <w:t>4、输出电压(Vac)：380/400/415±1%，输出功率因数：0.9。</w:t>
            </w:r>
            <w:r>
              <w:br/>
            </w:r>
            <w:r>
              <w:rPr>
                <w:rFonts w:ascii="仿宋" w:hAnsi="仿宋" w:cs="仿宋" w:eastAsia="仿宋"/>
                <w:sz w:val="24"/>
              </w:rPr>
              <w:t>5、具有ECO运行模式，高效节能，可降低用户使用成本。</w:t>
            </w:r>
            <w:r>
              <w:br/>
            </w:r>
            <w:r>
              <w:rPr>
                <w:rFonts w:ascii="仿宋" w:hAnsi="仿宋" w:cs="仿宋" w:eastAsia="仿宋"/>
                <w:sz w:val="24"/>
              </w:rPr>
              <w:t>6、整机效率不低于95%。</w:t>
            </w:r>
          </w:p>
          <w:p>
            <w:pPr>
              <w:pStyle w:val="null3"/>
              <w:ind w:firstLine="425"/>
            </w:pPr>
          </w:p>
          <w:p>
            <w:pPr>
              <w:pStyle w:val="null3"/>
              <w:jc w:val="both"/>
            </w:pPr>
            <w:r>
              <w:rPr>
                <w:rFonts w:ascii="仿宋" w:hAnsi="仿宋" w:cs="仿宋" w:eastAsia="仿宋"/>
                <w:sz w:val="24"/>
              </w:rPr>
              <w:t>二、蓄电池（80只）</w:t>
            </w:r>
          </w:p>
          <w:p>
            <w:pPr>
              <w:pStyle w:val="null3"/>
              <w:jc w:val="both"/>
            </w:pPr>
            <w:r>
              <w:rPr>
                <w:rFonts w:ascii="仿宋" w:hAnsi="仿宋" w:cs="仿宋" w:eastAsia="仿宋"/>
                <w:sz w:val="24"/>
              </w:rPr>
              <w:t>1.</w:t>
            </w:r>
            <w:r>
              <w:rPr>
                <w:rFonts w:ascii="仿宋" w:hAnsi="仿宋" w:cs="仿宋" w:eastAsia="仿宋"/>
                <w:sz w:val="24"/>
              </w:rPr>
              <w:t>采用12V 100AH阀控式密封铅酸蓄电池，设计寿命不低于10年。</w:t>
            </w:r>
          </w:p>
          <w:p>
            <w:pPr>
              <w:pStyle w:val="null3"/>
              <w:ind w:firstLine="425"/>
            </w:pPr>
          </w:p>
          <w:p>
            <w:pPr>
              <w:pStyle w:val="null3"/>
              <w:jc w:val="both"/>
            </w:pPr>
            <w:r>
              <w:rPr>
                <w:rFonts w:ascii="仿宋" w:hAnsi="仿宋" w:cs="仿宋" w:eastAsia="仿宋"/>
                <w:sz w:val="24"/>
              </w:rPr>
              <w:t>三、电池柜（4个）</w:t>
            </w:r>
          </w:p>
          <w:p>
            <w:pPr>
              <w:pStyle w:val="null3"/>
              <w:jc w:val="both"/>
            </w:pPr>
            <w:r>
              <w:rPr>
                <w:rFonts w:ascii="仿宋" w:hAnsi="仿宋" w:cs="仿宋" w:eastAsia="仿宋"/>
                <w:sz w:val="24"/>
              </w:rPr>
              <w:t>标准20节100AH电池柜</w:t>
            </w:r>
          </w:p>
          <w:p>
            <w:pPr>
              <w:pStyle w:val="null3"/>
              <w:ind w:firstLine="425"/>
            </w:pPr>
          </w:p>
          <w:p>
            <w:pPr>
              <w:pStyle w:val="null3"/>
              <w:jc w:val="both"/>
            </w:pPr>
            <w:r>
              <w:rPr>
                <w:rFonts w:ascii="仿宋" w:hAnsi="仿宋" w:cs="仿宋" w:eastAsia="仿宋"/>
                <w:sz w:val="24"/>
              </w:rPr>
              <w:t>四、电池空开箱（1套）</w:t>
            </w:r>
          </w:p>
          <w:p>
            <w:pPr>
              <w:pStyle w:val="null3"/>
              <w:jc w:val="both"/>
            </w:pPr>
            <w:r>
              <w:rPr>
                <w:rFonts w:ascii="仿宋" w:hAnsi="仿宋" w:cs="仿宋" w:eastAsia="仿宋"/>
                <w:sz w:val="24"/>
              </w:rPr>
              <w:t>二合一，落地</w:t>
            </w:r>
          </w:p>
          <w:p>
            <w:pPr>
              <w:pStyle w:val="null3"/>
              <w:ind w:firstLine="425"/>
            </w:pPr>
          </w:p>
          <w:p>
            <w:pPr>
              <w:pStyle w:val="null3"/>
              <w:jc w:val="both"/>
            </w:pPr>
            <w:r>
              <w:rPr>
                <w:rFonts w:ascii="仿宋" w:hAnsi="仿宋" w:cs="仿宋" w:eastAsia="仿宋"/>
                <w:sz w:val="24"/>
              </w:rPr>
              <w:t>五、辅材（1批）</w:t>
            </w:r>
          </w:p>
          <w:p>
            <w:pPr>
              <w:pStyle w:val="null3"/>
              <w:jc w:val="both"/>
            </w:pPr>
            <w:r>
              <w:rPr>
                <w:rFonts w:ascii="仿宋" w:hAnsi="仿宋" w:cs="仿宋" w:eastAsia="仿宋"/>
                <w:sz w:val="24"/>
              </w:rPr>
              <w:t>项目所需铜鼻子、热缩套、连接线电源线等</w:t>
            </w:r>
          </w:p>
        </w:tc>
      </w:tr>
      <w:tr>
        <w:tc>
          <w:tcPr>
            <w:tcW w:type="dxa" w:w="2769"/>
          </w:tcPr>
          <w:p>
            <w:r>
              <w:rPr/>
              <w:t>▲</w:t>
            </w:r>
          </w:p>
        </w:tc>
        <w:tc>
          <w:tcPr>
            <w:tcW w:type="dxa" w:w="2769"/>
          </w:tcPr>
          <w:p>
            <w:r>
              <w:rPr/>
              <w:t>2</w:t>
            </w:r>
          </w:p>
        </w:tc>
        <w:tc>
          <w:tcPr>
            <w:tcW w:type="dxa" w:w="2769"/>
          </w:tcPr>
          <w:p>
            <w:pPr>
              <w:pStyle w:val="null3"/>
              <w:jc w:val="both"/>
            </w:pPr>
            <w:r>
              <w:rPr>
                <w:rFonts w:ascii="仿宋" w:hAnsi="仿宋" w:cs="仿宋" w:eastAsia="仿宋"/>
                <w:sz w:val="24"/>
              </w:rPr>
              <w:t>一、UPS不间断电源（1个）</w:t>
            </w:r>
            <w:r>
              <w:br/>
            </w:r>
            <w:r>
              <w:rPr>
                <w:rFonts w:ascii="仿宋" w:hAnsi="仿宋" w:cs="仿宋" w:eastAsia="仿宋"/>
                <w:sz w:val="24"/>
              </w:rPr>
              <w:t>▲1、额定输入电压(Vac)：380/400/415,要求UPS具有宽广的输入电压范围。</w:t>
            </w:r>
            <w:r>
              <w:br/>
            </w:r>
            <w:r>
              <w:rPr>
                <w:rFonts w:ascii="仿宋" w:hAnsi="仿宋" w:cs="仿宋" w:eastAsia="仿宋"/>
                <w:sz w:val="24"/>
              </w:rPr>
              <w:t>二、蓄电池（80只）</w:t>
            </w:r>
          </w:p>
          <w:p>
            <w:pPr>
              <w:pStyle w:val="null3"/>
              <w:jc w:val="both"/>
            </w:pPr>
            <w:r>
              <w:rPr>
                <w:rFonts w:ascii="&quot;times new roman&quot;, serif" w:hAnsi="&quot;times new roman&quot;, serif" w:cs="&quot;times new roman&quot;, serif" w:eastAsia="&quot;times new roman&quot;, serif"/>
                <w:sz w:val="21"/>
              </w:rPr>
              <w:t>▲2.为防止蓄电池在运输、搬运和安装过程中容易因破碎或使用的异常情况而可能导致的电池漏液， 从而引起的短路着火事故安全隐患，每节蓄电池具有出厂标配电池托盘的安全措施（提供证明材料）。</w:t>
            </w:r>
          </w:p>
          <w:p>
            <w:pPr>
              <w:pStyle w:val="null3"/>
              <w:ind w:firstLine="425"/>
            </w:pPr>
          </w:p>
          <w:p>
            <w:pPr>
              <w:pStyle w:val="null3"/>
              <w:jc w:val="both"/>
            </w:pPr>
            <w:r>
              <w:rPr/>
              <w:t xml:space="preserve"> </w:t>
            </w:r>
          </w:p>
        </w:tc>
      </w:tr>
    </w:tbl>
    <w:p>
      <w:pPr>
        <w:pStyle w:val="null3"/>
      </w:pPr>
      <w:r>
        <w:rPr>
          <w:b/>
          <w:sz w:val="28"/>
        </w:rPr>
        <w:t>3.4商务要求</w:t>
      </w:r>
    </w:p>
    <w:p>
      <w:pPr>
        <w:pStyle w:val="null3"/>
      </w:pPr>
      <w:r>
        <w:rPr>
          <w:b/>
          <w:sz w:val="24"/>
        </w:rPr>
        <w:t>3.4.1交货时间</w:t>
      </w:r>
    </w:p>
    <w:p>
      <w:pPr>
        <w:pStyle w:val="null3"/>
      </w:pPr>
    </w:p>
    <w:p>
      <w:pPr>
        <w:pStyle w:val="null3"/>
      </w:pPr>
    </w:p>
    <w:p>
      <w:pPr>
        <w:pStyle w:val="null3"/>
      </w:pPr>
      <w:r>
        <w:rPr/>
        <w:t>采购包1：</w:t>
      </w:r>
    </w:p>
    <w:p>
      <w:pPr>
        <w:pStyle w:val="null3"/>
      </w:pPr>
      <w:r>
        <w:rPr/>
        <w:t>自合同签订之日起30日</w:t>
      </w:r>
    </w:p>
    <w:p>
      <w:pPr>
        <w:pStyle w:val="null3"/>
      </w:pPr>
      <w:r>
        <w:rPr>
          <w:b/>
          <w:sz w:val="24"/>
        </w:rPr>
        <w:t>3.4.2交货地点和方式</w:t>
      </w:r>
    </w:p>
    <w:p>
      <w:pPr>
        <w:pStyle w:val="null3"/>
      </w:pPr>
    </w:p>
    <w:p>
      <w:pPr>
        <w:pStyle w:val="null3"/>
      </w:pPr>
    </w:p>
    <w:p>
      <w:pPr>
        <w:pStyle w:val="null3"/>
      </w:pPr>
      <w:r>
        <w:rPr/>
        <w:t>采购包1：</w:t>
      </w:r>
    </w:p>
    <w:p>
      <w:pPr>
        <w:pStyle w:val="null3"/>
      </w:pPr>
      <w:r>
        <w:rPr/>
        <w:t>采购人指定地点</w:t>
      </w:r>
    </w:p>
    <w:p>
      <w:pPr>
        <w:pStyle w:val="null3"/>
      </w:pPr>
      <w:r>
        <w:rPr>
          <w:b/>
          <w:sz w:val="24"/>
        </w:rPr>
        <w:t>3.4.3支付方式</w:t>
      </w:r>
    </w:p>
    <w:p>
      <w:pPr>
        <w:pStyle w:val="null3"/>
      </w:pPr>
    </w:p>
    <w:p>
      <w:pPr>
        <w:pStyle w:val="null3"/>
      </w:pPr>
    </w:p>
    <w:p>
      <w:pPr>
        <w:pStyle w:val="null3"/>
      </w:pPr>
      <w:r>
        <w:rPr/>
        <w:t>采购包1：</w:t>
      </w:r>
    </w:p>
    <w:p>
      <w:pPr>
        <w:pStyle w:val="null3"/>
      </w:pPr>
      <w:r>
        <w:rPr/>
        <w:t>一次付清</w:t>
      </w:r>
    </w:p>
    <w:p>
      <w:pPr>
        <w:pStyle w:val="null3"/>
      </w:pPr>
      <w:r>
        <w:rPr>
          <w:b/>
          <w:sz w:val="24"/>
        </w:rPr>
        <w:t>3.4.4验收标准和方法</w:t>
      </w:r>
    </w:p>
    <w:p>
      <w:pPr>
        <w:pStyle w:val="null3"/>
      </w:pPr>
    </w:p>
    <w:p>
      <w:pPr>
        <w:pStyle w:val="null3"/>
      </w:pPr>
    </w:p>
    <w:p>
      <w:pPr>
        <w:pStyle w:val="null3"/>
      </w:pPr>
      <w:r>
        <w:rPr/>
        <w:t>采购包1：</w:t>
      </w:r>
    </w:p>
    <w:p>
      <w:pPr>
        <w:pStyle w:val="null3"/>
      </w:pPr>
      <w:r>
        <w:rPr/>
        <w:t>依照《财政部关于进一步加强政府采购需求和履约验收管理的指导意见》（财库〔2016〕205 号）以及招标文件要求、中标人投标文件以及签订的合同验收。</w:t>
      </w:r>
    </w:p>
    <w:p>
      <w:pPr>
        <w:pStyle w:val="null3"/>
      </w:pPr>
      <w:r>
        <w:rPr>
          <w:b/>
          <w:sz w:val="24"/>
        </w:rPr>
        <w:t>3.4.5包装方式及运输</w:t>
      </w:r>
    </w:p>
    <w:p>
      <w:pPr>
        <w:pStyle w:val="null3"/>
      </w:pPr>
    </w:p>
    <w:p>
      <w:pPr>
        <w:pStyle w:val="null3"/>
      </w:pP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b/>
          <w:sz w:val="24"/>
        </w:rPr>
        <w:t>3.4.6质量保修范围和保修期</w:t>
      </w:r>
    </w:p>
    <w:p>
      <w:pPr>
        <w:pStyle w:val="null3"/>
      </w:pPr>
    </w:p>
    <w:p>
      <w:pPr>
        <w:pStyle w:val="null3"/>
      </w:pPr>
    </w:p>
    <w:p>
      <w:pPr>
        <w:pStyle w:val="null3"/>
      </w:pPr>
      <w:r>
        <w:rPr/>
        <w:t>采购包1：</w:t>
      </w:r>
    </w:p>
    <w:p>
      <w:pPr>
        <w:pStyle w:val="null3"/>
      </w:pPr>
      <w:r>
        <w:rPr/>
        <w:t>质保期：项目最终验收合格后质保1年，产品按国家三包政策执行。</w:t>
      </w:r>
    </w:p>
    <w:p>
      <w:pPr>
        <w:pStyle w:val="null3"/>
      </w:pPr>
      <w:r>
        <w:rPr>
          <w:b/>
          <w:sz w:val="24"/>
        </w:rPr>
        <w:t>3.4.7售后服务要求</w:t>
      </w:r>
    </w:p>
    <w:p>
      <w:pPr>
        <w:pStyle w:val="null3"/>
      </w:pPr>
    </w:p>
    <w:p>
      <w:pPr>
        <w:pStyle w:val="null3"/>
      </w:pPr>
    </w:p>
    <w:p>
      <w:pPr>
        <w:pStyle w:val="null3"/>
      </w:pPr>
      <w:r>
        <w:rPr/>
        <w:t>采购包1：</w:t>
      </w:r>
    </w:p>
    <w:p>
      <w:pPr>
        <w:pStyle w:val="null3"/>
      </w:pPr>
      <w:r>
        <w:rPr/>
        <w:t>1、售后服务：货物质量在质保期内质量出现问题，中标人应在30分钟内做出服务响应，2小时内维修人员到达现场排除故障，4小时内保证各种设备正常使用，并承担维修的费用；如货物经中标人三次维修仍不能达到本合同约定的质量标准，中标人应更换同品牌、相同型号或高于配置要求的新设备，并重新计算质保期。 2、中标人须针对本项目配备有固定的维护、维修技术人员。 3、货到现场后由于采购人的保管不当造成的问题，中标人也应负责修复，但费用由采购人承担。 4、在质保期外，中标人提供设备更换、维修只收取材料费用，不收取人工技术费用。 5、本项目“项目实施方案”、“售后服务方案”详见“5.6.2评审标准”</w:t>
      </w:r>
    </w:p>
    <w:p>
      <w:pPr>
        <w:pStyle w:val="null3"/>
      </w:pPr>
      <w:r>
        <w:rPr>
          <w:b/>
          <w:sz w:val="24"/>
        </w:rPr>
        <w:t>3.4.8违约责任与解决争议的方法</w:t>
      </w:r>
    </w:p>
    <w:p>
      <w:pPr>
        <w:pStyle w:val="null3"/>
      </w:pPr>
    </w:p>
    <w:p>
      <w:pPr>
        <w:pStyle w:val="null3"/>
      </w:pPr>
    </w:p>
    <w:p>
      <w:pPr>
        <w:pStyle w:val="null3"/>
      </w:pPr>
      <w:r>
        <w:rPr/>
        <w:t>采购包1：</w:t>
      </w:r>
    </w:p>
    <w:p>
      <w:pPr>
        <w:pStyle w:val="null3"/>
      </w:pPr>
      <w:r>
        <w:rPr/>
        <w:t>合同履行期间,若双方发生争议，可协商或由有关部门调解解决，协商或调解不成的，由当事人依法向采购人住所地人民法院提起诉讼以维护其合法权益。</w:t>
      </w:r>
    </w:p>
    <w:p>
      <w:pPr>
        <w:pStyle w:val="null3"/>
      </w:pPr>
      <w:r>
        <w:rPr/>
        <w:t xml:space="preserve"> </w:t>
      </w:r>
    </w:p>
    <w:p>
      <w:pPr>
        <w:pStyle w:val="null3"/>
        <w:jc w:val="center"/>
      </w:pPr>
      <w:r>
        <w:rPr>
          <w:b/>
          <w:sz w:val="36"/>
        </w:rPr>
        <w:t>第4章资格审查</w:t>
      </w:r>
    </w:p>
    <w:p>
      <w:pPr>
        <w:pStyle w:val="null3"/>
        <w:ind w:firstLine="480"/>
      </w:pPr>
      <w:r>
        <w:rPr/>
        <w:t>资格审查由采购人或采购代理机构组建的资格审查小组依据法律法规和招标文件的规定，对投标文件中的资格证明等进行审查，以确定投标人是否具备投标资格，并出具资格审查报告。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pPr>
      <w:r>
        <w:rPr>
          <w:b/>
          <w:sz w:val="28"/>
        </w:rPr>
        <w:t>4.1一般资格审查</w:t>
      </w: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r>
              <w:rPr/>
              <w:t>序号</w:t>
            </w:r>
          </w:p>
        </w:tc>
        <w:tc>
          <w:tcPr>
            <w:tcW w:type="dxa" w:w="2492"/>
          </w:tcPr>
          <w:p>
            <w:r>
              <w:rPr/>
              <w:t>资格审查要求概况</w:t>
            </w:r>
          </w:p>
        </w:tc>
        <w:tc>
          <w:tcPr>
            <w:tcW w:type="dxa" w:w="3322"/>
          </w:tcPr>
          <w:p>
            <w:r>
              <w:rPr/>
              <w:t>评审点具体描述</w:t>
            </w:r>
          </w:p>
        </w:tc>
        <w:tc>
          <w:tcPr>
            <w:tcW w:type="dxa" w:w="1661"/>
          </w:tcPr>
          <w:p>
            <w:r>
              <w:rPr/>
              <w:t>关联格式</w:t>
            </w:r>
          </w:p>
        </w:tc>
      </w:tr>
      <w:tr>
        <w:tc>
          <w:tcPr>
            <w:tcW w:type="dxa" w:w="831"/>
          </w:tcPr>
          <w:p>
            <w:r>
              <w:rPr/>
              <w:t>1</w:t>
            </w:r>
          </w:p>
        </w:tc>
        <w:tc>
          <w:tcPr>
            <w:tcW w:type="dxa" w:w="2492"/>
          </w:tcPr>
          <w:p>
            <w:r>
              <w:rPr/>
              <w:t>投标人应具有独立承担民事责任的能力</w:t>
            </w:r>
          </w:p>
        </w:tc>
        <w:tc>
          <w:tcPr>
            <w:tcW w:type="dxa" w:w="3322"/>
          </w:tcPr>
          <w:p>
            <w:r>
              <w:rPr/>
              <w:t>营业执照（正本或副本）或法人登记证（正本或副本）或其他能够证明投标人具有独立承担民事责任能力的相关证明材料复印件【注：①营业执照或法人登记证或其他证明材料载明有期限的，应在有效期限内；②在中华人民共和国境内注册。】</w:t>
            </w:r>
          </w:p>
        </w:tc>
        <w:tc>
          <w:tcPr>
            <w:tcW w:type="dxa" w:w="1661"/>
          </w:tcPr>
          <w:p>
            <w:r>
              <w:rPr/>
              <w:t>投标函 投标文件封面 投标人应提交的相关资格证明材料</w:t>
            </w:r>
          </w:p>
        </w:tc>
      </w:tr>
      <w:tr>
        <w:tc>
          <w:tcPr>
            <w:tcW w:type="dxa" w:w="831"/>
          </w:tcPr>
          <w:p>
            <w:r>
              <w:rPr/>
              <w:t>2</w:t>
            </w:r>
          </w:p>
        </w:tc>
        <w:tc>
          <w:tcPr>
            <w:tcW w:type="dxa" w:w="2492"/>
          </w:tcPr>
          <w:p>
            <w:r>
              <w:rPr/>
              <w:t>投标人应具备《中华人民共和国政府采购法》第二十二条规定的条件：  具有良好的商业信誉的证明材料； 具有健全的财务会计制度的证明材料； 缴纳社会保障资金的证明材料； 缴纳税收的证明材料； 参加政府采购活动前三年内，在经营活动中没有重大违法记录</w:t>
            </w:r>
          </w:p>
        </w:tc>
        <w:tc>
          <w:tcPr>
            <w:tcW w:type="dxa" w:w="3322"/>
          </w:tcPr>
          <w:p>
            <w:r>
              <w:rPr/>
              <w:t>1.投标人具有良好的商业信誉的书面声明材料。 2.投标人参加政府采购活动前三年内，在经营活动中没有重大违法记录的书面声明材料； 3.投标人具有健全的财务会计制度的书面声明材料； 4.投标人具有依法缴纳社会保障资金良好记录的书面声明材料； 5.投标人具有依法缴纳税收良好记录的书面声明材料。 【说明：①投标人按招标文件要求提供书面声明材料；②资格审查小组根据“信用中国”和“中国政府采购网”网站的查询结果，在资格审查期间对投标人在参加政府采购活动前三年内，在经营活动中是否有重大违法记录进行审查。】</w:t>
            </w:r>
          </w:p>
        </w:tc>
        <w:tc>
          <w:tcPr>
            <w:tcW w:type="dxa" w:w="1661"/>
          </w:tcPr>
          <w:p>
            <w:r>
              <w:rPr/>
              <w:t>投标函 投标人应提交的相关资格证明材料</w:t>
            </w:r>
          </w:p>
        </w:tc>
      </w:tr>
      <w:tr>
        <w:tc>
          <w:tcPr>
            <w:tcW w:type="dxa" w:w="831"/>
          </w:tcPr>
          <w:p>
            <w:r>
              <w:rPr/>
              <w:t>3</w:t>
            </w:r>
          </w:p>
        </w:tc>
        <w:tc>
          <w:tcPr>
            <w:tcW w:type="dxa" w:w="2492"/>
          </w:tcPr>
          <w:p>
            <w:r>
              <w:rPr/>
              <w:t>未被列入失信被执行人、重大税收违法案件当事人名单、政府采购严重违法失信行为记录名单</w:t>
            </w:r>
          </w:p>
        </w:tc>
        <w:tc>
          <w:tcPr>
            <w:tcW w:type="dxa" w:w="3322"/>
          </w:tcPr>
          <w:p>
            <w:r>
              <w:rPr/>
              <w:t>1.投标人未列入失信被执行人、重大税收违法案件当事人名单、政府采购严重违法失信行为记录名单的书面声明材料。【说明：①投标人未列入失信被执行人、重大税收违法案件当事人名单、政府采购严重违法失信行为记录名单；②投标人提供书面声明材料。】  2.资格审查小组根据“信用中国”和“中国政府采购网”网站的查询结果，在资格审查期间对投标人是否被列入失信被执行人、重大税收违法案件当事人名单、政府采购严重违法失信行为记录名单进行审查。【说明：投标人未列入失信被执行人、重大税收违法案件当事人名单、政府采购严重违法失信行为记录名单。】</w:t>
            </w:r>
          </w:p>
        </w:tc>
        <w:tc>
          <w:tcPr>
            <w:tcW w:type="dxa" w:w="1661"/>
          </w:tcPr>
          <w:p>
            <w:r>
              <w:rPr/>
              <w:t>投标函 投标人应提交的相关资格证明材料</w:t>
            </w:r>
          </w:p>
        </w:tc>
      </w:tr>
      <w:tr>
        <w:tc>
          <w:tcPr>
            <w:tcW w:type="dxa" w:w="831"/>
          </w:tcPr>
          <w:p>
            <w:r>
              <w:rPr/>
              <w:t>4</w:t>
            </w:r>
          </w:p>
        </w:tc>
        <w:tc>
          <w:tcPr>
            <w:tcW w:type="dxa" w:w="2492"/>
          </w:tcPr>
          <w:p>
            <w:r>
              <w:rPr/>
              <w:t>未处于被行政部门禁止参与政府采购活动的期限内</w:t>
            </w:r>
          </w:p>
        </w:tc>
        <w:tc>
          <w:tcPr>
            <w:tcW w:type="dxa" w:w="3322"/>
          </w:tcPr>
          <w:p>
            <w:r>
              <w:rPr/>
              <w:t>投标人未处于被行政部门禁止参与政府采购活动的期限内。 【说明：①投标人按招标文件要求提供书面声明材料；②投标人未处于被行政部门禁止参与政府采购活动的期限内。】</w:t>
            </w:r>
          </w:p>
        </w:tc>
        <w:tc>
          <w:tcPr>
            <w:tcW w:type="dxa" w:w="1661"/>
          </w:tcPr>
          <w:p>
            <w:r>
              <w:rPr/>
              <w:t>投标函 投标人应提交的相关资格证明材料</w:t>
            </w:r>
          </w:p>
        </w:tc>
      </w:tr>
      <w:tr>
        <w:tc>
          <w:tcPr>
            <w:tcW w:type="dxa" w:w="831"/>
          </w:tcPr>
          <w:p>
            <w:r>
              <w:rPr/>
              <w:t>5</w:t>
            </w:r>
          </w:p>
        </w:tc>
        <w:tc>
          <w:tcPr>
            <w:tcW w:type="dxa" w:w="2492"/>
          </w:tcPr>
          <w:p>
            <w:r>
              <w:rPr/>
              <w:t>行贿犯罪记录</w:t>
            </w:r>
          </w:p>
        </w:tc>
        <w:tc>
          <w:tcPr>
            <w:tcW w:type="dxa" w:w="3322"/>
          </w:tcPr>
          <w:p>
            <w:r>
              <w:rPr/>
              <w:t>在行贿犯罪信息查询期限内，投标人及其现任法定代表人、主要负责人没有行贿犯罪记录的书面声明材料。 【说明：①按招标文件要求提供书面声明材料，投标文件中不需提供中国裁判文书网（https://wenshu.court.gov.cn）查询结果的证明材料；②在行贿犯罪信息查询期限内，供应商及其现任法定代表人、主要负责人没有行贿犯罪记录。】</w:t>
            </w:r>
          </w:p>
        </w:tc>
        <w:tc>
          <w:tcPr>
            <w:tcW w:type="dxa" w:w="1661"/>
          </w:tcPr>
          <w:p>
            <w:r>
              <w:rPr/>
              <w:t>投标函 投标人应提交的相关资格证明材料</w:t>
            </w:r>
          </w:p>
        </w:tc>
      </w:tr>
      <w:tr>
        <w:tc>
          <w:tcPr>
            <w:tcW w:type="dxa" w:w="831"/>
          </w:tcPr>
          <w:p>
            <w:r>
              <w:rPr/>
              <w:t>6</w:t>
            </w:r>
          </w:p>
        </w:tc>
        <w:tc>
          <w:tcPr>
            <w:tcW w:type="dxa" w:w="2492"/>
          </w:tcPr>
          <w:p>
            <w:r>
              <w:rPr/>
              <w:t>单位负责人为同一人或者存在直接控股、管理关系的不同供应商，不得参加同一项目的投标</w:t>
            </w:r>
          </w:p>
        </w:tc>
        <w:tc>
          <w:tcPr>
            <w:tcW w:type="dxa" w:w="3322"/>
          </w:tcPr>
          <w:p>
            <w:r>
              <w:rPr/>
              <w:t>负责人为同一人或者存在直接控股、管理关系的不同投标人未同时参加本项目书面声明材料。 【说明：①投标人按招标文件要求提供书面声明材料；②参加本项目采购活动的投标人中无与其他同时参加本项目的投标人负责人为同一人的情况，不存在直接控股、管理关系的投标人参加本项目的情况。】</w:t>
            </w:r>
          </w:p>
        </w:tc>
        <w:tc>
          <w:tcPr>
            <w:tcW w:type="dxa" w:w="1661"/>
          </w:tcPr>
          <w:p>
            <w:r>
              <w:rPr/>
              <w:t>投标函 投标人应提交的相关资格证明材料</w:t>
            </w:r>
          </w:p>
        </w:tc>
      </w:tr>
      <w:tr>
        <w:tc>
          <w:tcPr>
            <w:tcW w:type="dxa" w:w="831"/>
          </w:tcPr>
          <w:p>
            <w:r>
              <w:rPr/>
              <w:t>7</w:t>
            </w:r>
          </w:p>
        </w:tc>
        <w:tc>
          <w:tcPr>
            <w:tcW w:type="dxa" w:w="2492"/>
          </w:tcPr>
          <w:p>
            <w:r>
              <w:rPr/>
              <w:t>投标文件签章</w:t>
            </w:r>
          </w:p>
        </w:tc>
        <w:tc>
          <w:tcPr>
            <w:tcW w:type="dxa" w:w="3322"/>
          </w:tcPr>
          <w:p>
            <w:r>
              <w:rPr/>
              <w:t>投标文件加盖有投标人（法定名称）电子签章。【说明：无须提供证明材料，上传空白页即可，不对本项上传的材料作资格审查】</w:t>
            </w:r>
          </w:p>
        </w:tc>
        <w:tc>
          <w:tcPr>
            <w:tcW w:type="dxa" w:w="1661"/>
          </w:tcPr>
          <w:p>
            <w:r>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r>
              <w:rPr/>
              <w:t>8</w:t>
            </w:r>
          </w:p>
        </w:tc>
        <w:tc>
          <w:tcPr>
            <w:tcW w:type="dxa" w:w="2492"/>
          </w:tcPr>
          <w:p>
            <w:r>
              <w:rPr/>
              <w:t>投标文件资格响应文件的语言</w:t>
            </w:r>
          </w:p>
        </w:tc>
        <w:tc>
          <w:tcPr>
            <w:tcW w:type="dxa" w:w="3322"/>
          </w:tcPr>
          <w:p>
            <w:r>
              <w:rPr/>
              <w:t>语言符合招标文件的要求。 【说明：投标人无须提供证明材料，上传空白页即可，不对本项上传的材料作资格审查】</w:t>
            </w:r>
          </w:p>
        </w:tc>
        <w:tc>
          <w:tcPr>
            <w:tcW w:type="dxa" w:w="1661"/>
          </w:tcPr>
          <w:p>
            <w:r>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r>
              <w:rPr/>
              <w:t>9</w:t>
            </w:r>
          </w:p>
        </w:tc>
        <w:tc>
          <w:tcPr>
            <w:tcW w:type="dxa" w:w="2492"/>
          </w:tcPr>
          <w:p>
            <w:r>
              <w:rPr/>
              <w:t>法律、行政法规规定的其他条件</w:t>
            </w:r>
          </w:p>
        </w:tc>
        <w:tc>
          <w:tcPr>
            <w:tcW w:type="dxa" w:w="3322"/>
          </w:tcPr>
          <w:p>
            <w:r>
              <w:rPr/>
              <w:t>采购人对法律、行政法规规定的其他条件无其他特殊要求，投标人可不提供证明材料。 【说明：投标人无须提供证明材料，上传空白页即可，不对本项上传的材料作资格审查】</w:t>
            </w:r>
          </w:p>
        </w:tc>
        <w:tc>
          <w:tcPr>
            <w:tcW w:type="dxa" w:w="1661"/>
          </w:tcPr>
          <w:p>
            <w:r>
              <w:rPr/>
              <w:t>投标人应提交的相关资格证明材料</w:t>
            </w:r>
          </w:p>
        </w:tc>
      </w:tr>
      <w:tr>
        <w:tc>
          <w:tcPr>
            <w:tcW w:type="dxa" w:w="831"/>
          </w:tcPr>
          <w:p>
            <w:r>
              <w:rPr/>
              <w:t>10</w:t>
            </w:r>
          </w:p>
        </w:tc>
        <w:tc>
          <w:tcPr>
            <w:tcW w:type="dxa" w:w="2492"/>
          </w:tcPr>
          <w:p>
            <w:r>
              <w:rPr/>
              <w:t>不属于国家相关法律法规规定的其他禁止参加投标的情形</w:t>
            </w:r>
          </w:p>
        </w:tc>
        <w:tc>
          <w:tcPr>
            <w:tcW w:type="dxa" w:w="3322"/>
          </w:tcPr>
          <w:p>
            <w:r>
              <w:rPr/>
              <w:t>1、根据招标文件的要求不属于禁止参加投标或投标无效的供应商； 2、资格审查小组未发现或者未知晓投标人存在属于国家相关法律法规规定的禁止参加投标或投标无效的供应商。 【说明：投标人无须提供证明材料，上传空白页即可，不对本项上传的材料作资格审查】</w:t>
            </w:r>
          </w:p>
        </w:tc>
        <w:tc>
          <w:tcPr>
            <w:tcW w:type="dxa" w:w="1661"/>
          </w:tcPr>
          <w:p>
            <w:r>
              <w:rPr/>
              <w:t>开标一览表 产品技术参数表 投标函 中小企业声明函 残疾人福利性单位声明函 商务应答表 标的清单 监狱企业的证明文件 投标人应提交的相关资格证明材料</w:t>
            </w:r>
          </w:p>
        </w:tc>
      </w:tr>
    </w:tbl>
    <w:p>
      <w:pPr>
        <w:pStyle w:val="null3"/>
      </w:pPr>
      <w:r>
        <w:rPr>
          <w:b/>
          <w:sz w:val="28"/>
        </w:rPr>
        <w:t>4.2特殊资格审查</w:t>
      </w: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r>
              <w:rPr/>
              <w:t>序号</w:t>
            </w:r>
          </w:p>
        </w:tc>
        <w:tc>
          <w:tcPr>
            <w:tcW w:type="dxa" w:w="2492"/>
          </w:tcPr>
          <w:p>
            <w:r>
              <w:rPr/>
              <w:t>资格审查要求概况</w:t>
            </w:r>
          </w:p>
        </w:tc>
        <w:tc>
          <w:tcPr>
            <w:tcW w:type="dxa" w:w="3322"/>
          </w:tcPr>
          <w:p>
            <w:r>
              <w:rPr/>
              <w:t>评审点具体描述</w:t>
            </w:r>
          </w:p>
        </w:tc>
        <w:tc>
          <w:tcPr>
            <w:tcW w:type="dxa" w:w="1661"/>
          </w:tcPr>
          <w:p>
            <w:r>
              <w:rPr/>
              <w:t>关联格式</w:t>
            </w:r>
          </w:p>
        </w:tc>
      </w:tr>
      <w:tr>
        <w:tc>
          <w:tcPr>
            <w:tcW w:type="dxa" w:w="8306"/>
            <w:gridSpan w:val="4"/>
          </w:tcPr>
          <w:p>
            <w:r>
              <w:rPr/>
              <w:t>无</w:t>
            </w:r>
          </w:p>
        </w:tc>
      </w:tr>
    </w:tbl>
    <w:p>
      <w:pPr>
        <w:pStyle w:val="null3"/>
      </w:pPr>
      <w:r>
        <w:rPr>
          <w:b/>
          <w:sz w:val="28"/>
        </w:rPr>
        <w:t>4.3落实政府采购政策资格审查</w:t>
      </w: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r>
              <w:rPr/>
              <w:t>序号</w:t>
            </w:r>
          </w:p>
        </w:tc>
        <w:tc>
          <w:tcPr>
            <w:tcW w:type="dxa" w:w="2492"/>
          </w:tcPr>
          <w:p>
            <w:r>
              <w:rPr/>
              <w:t>资格审查要求概况</w:t>
            </w:r>
          </w:p>
        </w:tc>
        <w:tc>
          <w:tcPr>
            <w:tcW w:type="dxa" w:w="3322"/>
          </w:tcPr>
          <w:p>
            <w:r>
              <w:rPr/>
              <w:t>评审点具体描述</w:t>
            </w:r>
          </w:p>
        </w:tc>
        <w:tc>
          <w:tcPr>
            <w:tcW w:type="dxa" w:w="1661"/>
          </w:tcPr>
          <w:p>
            <w:r>
              <w:rPr/>
              <w:t>关联格式</w:t>
            </w:r>
          </w:p>
        </w:tc>
      </w:tr>
      <w:tr>
        <w:tc>
          <w:tcPr>
            <w:tcW w:type="dxa" w:w="8306"/>
            <w:gridSpan w:val="4"/>
          </w:tcPr>
          <w:p>
            <w:r>
              <w:rPr/>
              <w:t>无</w:t>
            </w:r>
          </w:p>
        </w:tc>
      </w:tr>
    </w:tbl>
    <w:p>
      <w:pPr>
        <w:pStyle w:val="null3"/>
      </w:pPr>
      <w:r>
        <w:rPr/>
        <w:t xml:space="preserve"> </w:t>
      </w:r>
    </w:p>
    <w:p>
      <w:pPr>
        <w:pStyle w:val="null3"/>
        <w:jc w:val="center"/>
      </w:pPr>
      <w:r>
        <w:rPr>
          <w:b/>
          <w:sz w:val="36"/>
        </w:rPr>
        <w:t>第5章 评标办法</w:t>
      </w:r>
    </w:p>
    <w:p>
      <w:pPr>
        <w:pStyle w:val="null3"/>
      </w:pPr>
      <w:r>
        <w:rPr>
          <w:b/>
          <w:sz w:val="28"/>
        </w:rPr>
        <w:t>5.1总则</w:t>
      </w:r>
    </w:p>
    <w:p>
      <w:pPr>
        <w:pStyle w:val="null3"/>
        <w:ind w:firstLine="480"/>
      </w:pPr>
      <w:r>
        <w:rPr/>
        <w:t>一、根据《中华人民共和国政府采购法》《中华人民共和国政府采购法实施条例》《政府采购货物和服务招标投标管理办法》《四川省政府采购评审工作规程（修订）》等法律规章，结合采购项目特点制定本评标办法。</w:t>
      </w:r>
    </w:p>
    <w:p>
      <w:pPr>
        <w:pStyle w:val="null3"/>
        <w:ind w:firstLine="480"/>
      </w:pPr>
      <w:r>
        <w:rPr/>
        <w:t>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五、评标过程中的书面材料往来均通过项目电子化交易系统传递，评标委员会成员使用互认的证书及签章进行签名后生效，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pPr>
      <w:r>
        <w:rPr>
          <w:b/>
          <w:sz w:val="28"/>
        </w:rPr>
        <w:t>5.2评标委员会</w:t>
      </w:r>
    </w:p>
    <w:p>
      <w:pPr>
        <w:pStyle w:val="null3"/>
        <w:ind w:firstLine="480"/>
      </w:pPr>
      <w:r>
        <w:rPr/>
        <w:t>一、本项目评标委员会成员如下：</w:t>
      </w:r>
    </w:p>
    <w:p>
      <w:pPr>
        <w:pStyle w:val="null3"/>
      </w:pPr>
    </w:p>
    <w:p>
      <w:pPr>
        <w:pStyle w:val="null3"/>
      </w:pPr>
      <w:r>
        <w:rPr/>
        <w:t>采购包1：</w:t>
      </w:r>
      <w:r>
        <w:rPr/>
        <w:t>共5人，</w:t>
      </w:r>
      <w:r>
        <w:rPr/>
        <w:t>其中评审专家4人，</w:t>
      </w:r>
      <w:r>
        <w:rPr/>
        <w:t>采购人代表1人。</w:t>
      </w:r>
    </w:p>
    <w:p>
      <w:pPr>
        <w:pStyle w:val="null3"/>
        <w:ind w:firstLine="480"/>
      </w:pPr>
      <w:r>
        <w:rPr/>
        <w:t>评审专家是采取随机方式在采购一体化平台的专家库系统（以下简称专家库系统）抽取/由采购人根据《四川省政府采购评审专家管理实施办法》（川财采〔2017〕62</w:t>
        <w:tab/>
        <w:tab/>
        <w:t xml:space="preserve"> 号）的规定，报主管部门同意后自行选定。技术复杂、专业性较强的采购项目，评审专家中应当包含1名法律专家。</w:t>
      </w:r>
    </w:p>
    <w:p>
      <w:pPr>
        <w:pStyle w:val="null3"/>
        <w:ind w:firstLine="480"/>
      </w:pPr>
      <w:r>
        <w:rPr/>
        <w:t>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四、评标委员会按照招标文件规定的评标程序、评分方法和标准进行评标，并独立履行下列职责：</w:t>
      </w:r>
    </w:p>
    <w:p>
      <w:pPr>
        <w:pStyle w:val="null3"/>
        <w:ind w:firstLine="480"/>
      </w:pPr>
      <w:r>
        <w:rPr/>
        <w:t>（一）熟悉和理解招标文件；</w:t>
      </w:r>
    </w:p>
    <w:p>
      <w:pPr>
        <w:pStyle w:val="null3"/>
        <w:ind w:firstLine="480"/>
      </w:pPr>
      <w:r>
        <w:rPr/>
        <w:t>（二）对符合资格的供应商的投标文件进行审查，以确定其是否满足招标文件的实质性要求；</w:t>
      </w:r>
    </w:p>
    <w:p>
      <w:pPr>
        <w:pStyle w:val="null3"/>
        <w:ind w:firstLine="480"/>
      </w:pPr>
      <w:r>
        <w:rPr/>
        <w:t>（三）对有效投标供应商的投标文件进行比较和评价；</w:t>
      </w:r>
    </w:p>
    <w:p>
      <w:pPr>
        <w:pStyle w:val="null3"/>
        <w:ind w:firstLine="480"/>
      </w:pPr>
      <w:r>
        <w:rPr/>
        <w:t>（四）根据需要要求采购人对招标文件作出解释；根据需要要求投标人对投标文件有关事项作出解释或者澄清；</w:t>
      </w:r>
    </w:p>
    <w:p>
      <w:pPr>
        <w:pStyle w:val="null3"/>
        <w:ind w:firstLine="480"/>
      </w:pPr>
      <w:r>
        <w:rPr/>
        <w:t>（五）确定中标候选人名单，或根据采购人委托直接确定中标人；</w:t>
      </w:r>
    </w:p>
    <w:p>
      <w:pPr>
        <w:pStyle w:val="null3"/>
        <w:ind w:firstLine="480"/>
      </w:pPr>
      <w:r>
        <w:rPr/>
        <w:t>（六）起草评标报告并进行签署；</w:t>
      </w:r>
    </w:p>
    <w:p>
      <w:pPr>
        <w:pStyle w:val="null3"/>
        <w:ind w:firstLine="480"/>
      </w:pPr>
      <w:r>
        <w:rPr/>
        <w:t>（七）向采购人、代理机构或者财政、监察等有关部门报告或举报非法干预评标工作的行为；</w:t>
      </w:r>
    </w:p>
    <w:p>
      <w:pPr>
        <w:pStyle w:val="null3"/>
        <w:ind w:firstLine="480"/>
      </w:pPr>
      <w:r>
        <w:rPr/>
        <w:t>（八）向采购人、代理机构或者有关部门报告评标中发现的违法行为。</w:t>
      </w:r>
    </w:p>
    <w:p>
      <w:pPr>
        <w:pStyle w:val="null3"/>
        <w:ind w:firstLine="480"/>
      </w:pPr>
      <w:r>
        <w:rPr/>
        <w:t>（九）法律、法规和规章规定的其他职责。</w:t>
      </w:r>
    </w:p>
    <w:p>
      <w:pPr>
        <w:pStyle w:val="null3"/>
      </w:pPr>
      <w:r>
        <w:rPr>
          <w:b/>
          <w:sz w:val="28"/>
        </w:rPr>
        <w:t>5.3 评标方法</w:t>
      </w:r>
    </w:p>
    <w:p>
      <w:pPr>
        <w:pStyle w:val="null3"/>
      </w:pPr>
    </w:p>
    <w:p>
      <w:pPr>
        <w:pStyle w:val="null3"/>
      </w:pPr>
      <w:r>
        <w:rPr/>
        <w:t>采购包1：综合评分法</w:t>
      </w:r>
    </w:p>
    <w:p>
      <w:pPr>
        <w:pStyle w:val="null3"/>
      </w:pPr>
      <w:r>
        <w:rPr>
          <w:b/>
          <w:sz w:val="28"/>
        </w:rPr>
        <w:t>5.4评标程序</w:t>
      </w:r>
    </w:p>
    <w:p>
      <w:pPr>
        <w:pStyle w:val="null3"/>
      </w:pPr>
      <w:r>
        <w:rPr>
          <w:b/>
          <w:sz w:val="24"/>
        </w:rPr>
        <w:t>5.4.1熟悉和理解招标文件和停止评标</w:t>
      </w:r>
    </w:p>
    <w:p>
      <w:pPr>
        <w:pStyle w:val="null3"/>
        <w:ind w:firstLine="480"/>
      </w:pPr>
      <w:r>
        <w:rPr/>
        <w:t>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（一）招标文件的规定存在歧义、重大缺陷的，导致评审无法进行的；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出现上述应当停止评标情形的，评标委员会应当通过项目电子化交易系统向采购人提交情况说明。除上述情形外，评标委员会不得以任何方式和理由停止评标。</w:t>
      </w:r>
    </w:p>
    <w:p>
      <w:pPr>
        <w:pStyle w:val="null3"/>
      </w:pPr>
      <w:r>
        <w:rPr>
          <w:b/>
          <w:sz w:val="24"/>
        </w:rPr>
        <w:t>5.4.2符合性审查</w:t>
      </w:r>
    </w:p>
    <w:p>
      <w:pPr>
        <w:pStyle w:val="null3"/>
        <w:ind w:firstLine="480"/>
      </w:pPr>
      <w:r>
        <w:rPr/>
        <w:t>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r>
              <w:rPr/>
              <w:t>序号</w:t>
            </w:r>
          </w:p>
        </w:tc>
        <w:tc>
          <w:tcPr>
            <w:tcW w:type="dxa" w:w="2492"/>
          </w:tcPr>
          <w:p>
            <w:r>
              <w:rPr/>
              <w:t>符合审查要求概况</w:t>
            </w:r>
          </w:p>
        </w:tc>
        <w:tc>
          <w:tcPr>
            <w:tcW w:type="dxa" w:w="3322"/>
          </w:tcPr>
          <w:p>
            <w:r>
              <w:rPr/>
              <w:t>评审点具体描述</w:t>
            </w:r>
          </w:p>
        </w:tc>
        <w:tc>
          <w:tcPr>
            <w:tcW w:type="dxa" w:w="1661"/>
          </w:tcPr>
          <w:p>
            <w:r>
              <w:rPr/>
              <w:t>关联格式</w:t>
            </w:r>
          </w:p>
        </w:tc>
      </w:tr>
      <w:tr>
        <w:tc>
          <w:tcPr>
            <w:tcW w:type="dxa" w:w="831"/>
          </w:tcPr>
          <w:p>
            <w:r>
              <w:rPr/>
              <w:t>1</w:t>
            </w:r>
          </w:p>
        </w:tc>
        <w:tc>
          <w:tcPr>
            <w:tcW w:type="dxa" w:w="2492"/>
          </w:tcPr>
          <w:p>
            <w:r>
              <w:rPr/>
              <w:t>不正当竞争预防措施（实质性要求）</w:t>
            </w:r>
          </w:p>
        </w:tc>
        <w:tc>
          <w:tcPr>
            <w:tcW w:type="dxa" w:w="3322"/>
          </w:tcPr>
          <w:p>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r>
              <w:rPr/>
              <w:t>开标一览表 标的清单</w:t>
            </w:r>
          </w:p>
        </w:tc>
      </w:tr>
      <w:tr>
        <w:tc>
          <w:tcPr>
            <w:tcW w:type="dxa" w:w="831"/>
          </w:tcPr>
          <w:p>
            <w:r>
              <w:rPr/>
              <w:t>2</w:t>
            </w:r>
          </w:p>
        </w:tc>
        <w:tc>
          <w:tcPr>
            <w:tcW w:type="dxa" w:w="2492"/>
          </w:tcPr>
          <w:p>
            <w:r>
              <w:rPr/>
              <w:t>符合招标文件的实质性要求</w:t>
            </w:r>
          </w:p>
        </w:tc>
        <w:tc>
          <w:tcPr>
            <w:tcW w:type="dxa" w:w="3322"/>
          </w:tcPr>
          <w:p>
            <w:r>
              <w:rPr/>
              <w:t>是否符合招标文件的实质性要求</w:t>
            </w:r>
          </w:p>
        </w:tc>
        <w:tc>
          <w:tcPr>
            <w:tcW w:type="dxa" w:w="1661"/>
          </w:tcPr>
          <w:p>
            <w:r>
              <w:rPr/>
              <w:t>开标一览表 产品技术参数表 投标函 中小企业声明函 残疾人福利性单位声明函 商务应答表 标的清单 监狱企业的证明文件 投标人应提交的相关资格证明材料</w:t>
            </w:r>
          </w:p>
        </w:tc>
      </w:tr>
    </w:tbl>
    <w:p>
      <w:pPr>
        <w:pStyle w:val="null3"/>
        <w:ind w:firstLine="480"/>
      </w:pPr>
      <w:r>
        <w:rPr/>
        <w:t>以上实质性要求全部响应并满足采购需求的，则通过符合性审查；如有任意一项未响应或不满足采购需求的，则按无效投标文件处理。如果评标委员会认为投标人有任意一项不通过的，应在评标报告中载明不通过的具体原因。</w:t>
      </w:r>
    </w:p>
    <w:p>
      <w:pPr>
        <w:pStyle w:val="null3"/>
      </w:pPr>
      <w:r>
        <w:rPr>
          <w:b/>
          <w:sz w:val="24"/>
        </w:rPr>
        <w:t>5.4.3解释、澄清有关问题</w:t>
      </w:r>
    </w:p>
    <w:p>
      <w:pPr>
        <w:pStyle w:val="null3"/>
        <w:ind w:firstLine="480"/>
      </w:pPr>
      <w:r>
        <w:rPr/>
        <w:t>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pPr>
      <w:r>
        <w:rPr>
          <w:b/>
          <w:sz w:val="24"/>
        </w:rPr>
        <w:t>5.4.4比较与评价</w:t>
      </w:r>
    </w:p>
    <w:p>
      <w:pPr>
        <w:pStyle w:val="null3"/>
        <w:ind w:firstLine="480"/>
      </w:pPr>
      <w:r>
        <w:rPr/>
        <w:t>评标委员会应当按照招标文件规定的评标细则及标准，对符合性检查合格的投标文件进行商务和技术评估，综合比较和评价。</w:t>
      </w:r>
    </w:p>
    <w:p>
      <w:pPr>
        <w:pStyle w:val="null3"/>
      </w:pPr>
      <w:r>
        <w:rPr>
          <w:b/>
          <w:sz w:val="24"/>
        </w:rPr>
        <w:t>5.4.5复核</w:t>
      </w:r>
    </w:p>
    <w:p>
      <w:pPr>
        <w:pStyle w:val="null3"/>
        <w:ind w:firstLine="480"/>
      </w:pPr>
      <w:r>
        <w:rPr/>
        <w:t>评分汇总结束后，评标委员会应当进行复核，对拟推荐为中标候选供应商、报价最低、投标文件被认定为无效等进行重点复核。</w:t>
      </w:r>
    </w:p>
    <w:p>
      <w:pPr>
        <w:pStyle w:val="null3"/>
        <w:ind w:firstLine="480"/>
      </w:pPr>
      <w:r>
        <w:rPr/>
        <w:t>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pPr>
      <w:r>
        <w:rPr>
          <w:b/>
          <w:sz w:val="24"/>
        </w:rPr>
        <w:t>5.4.6确定中标候选人名单</w:t>
      </w:r>
    </w:p>
    <w:p>
      <w:pPr>
        <w:pStyle w:val="null3"/>
      </w:pP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b/>
          <w:sz w:val="24"/>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pPr>
      <w:r>
        <w:rPr>
          <w:b/>
          <w:sz w:val="28"/>
        </w:rPr>
        <w:t>5.5评标争议处理规则</w:t>
      </w:r>
    </w:p>
    <w:p>
      <w:pPr>
        <w:pStyle w:val="null3"/>
        <w:ind w:firstLine="480"/>
      </w:pPr>
      <w:r>
        <w:rPr/>
        <w:t>评标委员会在过程中，对于符合性审查、对投标人文件作无效投标处理及其他需要共同认定的事项存在争议的，应当以全体一致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pPr>
      <w:r>
        <w:rPr>
          <w:b/>
          <w:sz w:val="28"/>
        </w:rPr>
        <w:t>5.6评标细则及标准</w:t>
      </w:r>
    </w:p>
    <w:p>
      <w:pPr>
        <w:pStyle w:val="null3"/>
        <w:ind w:firstLine="480"/>
      </w:pPr>
      <w:r>
        <w:rPr/>
        <w:t>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pPr>
      <w:r>
        <w:rPr>
          <w:b/>
          <w:sz w:val="24"/>
        </w:rPr>
        <w:t>5.6.1评分办法</w:t>
      </w:r>
    </w:p>
    <w:p>
      <w:pPr>
        <w:pStyle w:val="null3"/>
        <w:ind w:firstLine="480"/>
      </w:pPr>
      <w:r>
        <w:rPr/>
        <w:t>若采用综合评分法的，由评标委员会各成员对通过资格检查和符合性审查的投标人的投标文件进行独立评审。</w:t>
        <w:tab/>
        <w:tab/>
        <w:t xml:space="preserve">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pPr>
      <w:r>
        <w:rPr>
          <w:b/>
          <w:sz w:val="24"/>
        </w:rPr>
        <w:t>5.6.2评分标准</w:t>
      </w: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jc w:val="center"/>
            </w:pPr>
            <w:r>
              <w:rPr/>
              <w:t>评审因素</w:t>
            </w:r>
          </w:p>
        </w:tc>
        <w:tc>
          <w:tcPr>
            <w:tcW w:type="dxa" w:w="5815"/>
            <w:gridSpan w:val="4"/>
          </w:tcPr>
          <w:p>
            <w:pPr>
              <w:jc w:val="center"/>
            </w:pPr>
            <w:r>
              <w:rPr/>
              <w:t>评审标准</w:t>
            </w:r>
          </w:p>
        </w:tc>
      </w:tr>
      <w:tr>
        <w:tc>
          <w:tcPr>
            <w:tcW w:type="dxa" w:w="2492"/>
            <w:gridSpan w:val="2"/>
          </w:tcPr>
          <w:p>
            <w:pPr>
              <w:jc w:val="center"/>
            </w:pPr>
            <w:r>
              <w:rPr/>
              <w:t>分值构成</w:t>
            </w:r>
          </w:p>
        </w:tc>
        <w:tc>
          <w:tcPr>
            <w:tcW w:type="dxa" w:w="5815"/>
            <w:gridSpan w:val="4"/>
          </w:tcPr>
          <w:p>
            <w:pPr>
              <w:pStyle w:val="null3"/>
            </w:pPr>
            <w:r>
              <w:rPr/>
              <w:t>技术部分37.00分</w:t>
            </w:r>
          </w:p>
          <w:p>
            <w:pPr>
              <w:pStyle w:val="null3"/>
            </w:pPr>
            <w:r>
              <w:rPr/>
              <w:t>商务部分32.00分</w:t>
            </w:r>
          </w:p>
          <w:p>
            <w:pPr>
              <w:pStyle w:val="null3"/>
            </w:pPr>
            <w:r>
              <w:rPr/>
              <w:t>报价得分31.00分</w:t>
            </w:r>
          </w:p>
        </w:tc>
      </w:tr>
      <w:tr>
        <w:tc>
          <w:tcPr>
            <w:tcW w:type="dxa" w:w="831"/>
          </w:tcPr>
          <w:p>
            <w:pPr>
              <w:jc w:val="center"/>
            </w:pPr>
            <w:r>
              <w:rPr/>
              <w:t>评审因素分类</w:t>
            </w:r>
          </w:p>
        </w:tc>
        <w:tc>
          <w:tcPr>
            <w:tcW w:type="dxa" w:w="1661"/>
          </w:tcPr>
          <w:p>
            <w:pPr>
              <w:jc w:val="center"/>
            </w:pPr>
            <w:r>
              <w:rPr/>
              <w:t>评审项</w:t>
            </w:r>
          </w:p>
        </w:tc>
        <w:tc>
          <w:tcPr>
            <w:tcW w:type="dxa" w:w="2492"/>
          </w:tcPr>
          <w:p>
            <w:pPr>
              <w:jc w:val="center"/>
            </w:pPr>
            <w:r>
              <w:rPr/>
              <w:t>详细描述</w:t>
            </w:r>
          </w:p>
        </w:tc>
        <w:tc>
          <w:tcPr>
            <w:tcW w:type="dxa" w:w="831"/>
          </w:tcPr>
          <w:p>
            <w:pPr>
              <w:jc w:val="center"/>
            </w:pPr>
            <w:r>
              <w:rPr/>
              <w:t>分值</w:t>
            </w:r>
          </w:p>
        </w:tc>
        <w:tc>
          <w:tcPr>
            <w:tcW w:type="dxa" w:w="831"/>
          </w:tcPr>
          <w:p>
            <w:pPr>
              <w:jc w:val="center"/>
            </w:pPr>
            <w:r>
              <w:rPr/>
              <w:t>客观/主观</w:t>
            </w:r>
          </w:p>
        </w:tc>
        <w:tc>
          <w:tcPr>
            <w:tcW w:type="dxa" w:w="1661"/>
          </w:tcPr>
          <w:p>
            <w:pPr>
              <w:jc w:val="center"/>
            </w:pPr>
            <w:r>
              <w:rPr/>
              <w:t>关联格式</w:t>
            </w:r>
          </w:p>
        </w:tc>
      </w:tr>
      <w:tr>
        <w:tc>
          <w:tcPr>
            <w:tcW w:type="dxa" w:w="831"/>
          </w:tcPr>
          <w:p>
            <w:r>
              <w:rPr/>
              <w:t>技术评审</w:t>
            </w:r>
          </w:p>
        </w:tc>
        <w:tc>
          <w:tcPr>
            <w:tcW w:type="dxa" w:w="1661"/>
          </w:tcPr>
          <w:p>
            <w:r>
              <w:rPr/>
              <w:t>技术指标和配置</w:t>
            </w:r>
          </w:p>
        </w:tc>
        <w:tc>
          <w:tcPr>
            <w:tcW w:type="dxa" w:w="2492"/>
          </w:tcPr>
          <w:p>
            <w:r>
              <w:rPr/>
              <w:t>完全满足招标文件技术参数及要求的得37分；缺项或不满足的带“▲”一项扣1分，非“▲”一项扣0.5分。本项技术条款项56条，其中带“▲”项18条，非“▲”项38条。</w:t>
            </w:r>
          </w:p>
        </w:tc>
        <w:tc>
          <w:tcPr>
            <w:tcW w:type="dxa" w:w="831"/>
          </w:tcPr>
          <w:p>
            <w:pPr>
              <w:jc w:val="right"/>
            </w:pPr>
            <w:r>
              <w:rPr/>
              <w:t>37.00</w:t>
            </w:r>
          </w:p>
        </w:tc>
        <w:tc>
          <w:tcPr>
            <w:tcW w:type="dxa" w:w="831"/>
          </w:tcPr>
          <w:p>
            <w:r>
              <w:rPr/>
              <w:t>客观</w:t>
            </w:r>
          </w:p>
        </w:tc>
        <w:tc>
          <w:tcPr>
            <w:tcW w:type="dxa" w:w="1661"/>
          </w:tcPr>
          <w:p>
            <w:pPr>
              <w:pStyle w:val="null3"/>
            </w:pPr>
            <w:r>
              <w:rPr/>
              <w:t>产品技术参数表</w:t>
            </w:r>
          </w:p>
        </w:tc>
      </w:tr>
      <w:tr>
        <w:tc>
          <w:tcPr>
            <w:tcW w:type="dxa" w:w="831"/>
            <w:vMerge w:val="restart"/>
          </w:tcPr>
          <w:p>
            <w:r>
              <w:rPr/>
              <w:t>商务评审</w:t>
            </w:r>
          </w:p>
        </w:tc>
        <w:tc>
          <w:tcPr>
            <w:tcW w:type="dxa" w:w="1661"/>
          </w:tcPr>
          <w:p>
            <w:r>
              <w:rPr/>
              <w:t>项目实施方案</w:t>
            </w:r>
          </w:p>
        </w:tc>
        <w:tc>
          <w:tcPr>
            <w:tcW w:type="dxa" w:w="2492"/>
          </w:tcPr>
          <w:p>
            <w:r>
              <w:rPr/>
              <w:t>投标人提供的项目实施方案包含但不限于：①项目实施工期、流程安排（流程图）；②安全管理方案；③安全事故应急方案（包含应急预案、实施负责人和机构人员名单、联系电话等）；④环境保护措施；⑤安装质量管理；⑥安装人员配置。完全满足的得24分，缺项或每一项不满足的扣4分，总分24分扣完为止。</w:t>
            </w:r>
          </w:p>
        </w:tc>
        <w:tc>
          <w:tcPr>
            <w:tcW w:type="dxa" w:w="831"/>
          </w:tcPr>
          <w:p>
            <w:pPr>
              <w:jc w:val="right"/>
            </w:pPr>
            <w:r>
              <w:rPr/>
              <w:t>24.00</w:t>
            </w:r>
          </w:p>
        </w:tc>
        <w:tc>
          <w:tcPr>
            <w:tcW w:type="dxa" w:w="831"/>
          </w:tcPr>
          <w:p>
            <w:r>
              <w:rPr/>
              <w:t>客观</w:t>
            </w:r>
          </w:p>
        </w:tc>
        <w:tc>
          <w:tcPr>
            <w:tcW w:type="dxa" w:w="1661"/>
          </w:tcPr>
          <w:p>
            <w:pPr>
              <w:pStyle w:val="null3"/>
            </w:pPr>
            <w:r>
              <w:rPr/>
              <w:t>商务应答表</w:t>
            </w:r>
          </w:p>
        </w:tc>
      </w:tr>
      <w:tr>
        <w:tc>
          <w:tcPr>
            <w:tcW w:type="dxa" w:w="831"/>
            <w:vMerge/>
          </w:tcPr>
          <w:p/>
        </w:tc>
        <w:tc>
          <w:tcPr>
            <w:tcW w:type="dxa" w:w="1661"/>
          </w:tcPr>
          <w:p>
            <w:r>
              <w:rPr/>
              <w:t>售后服务方案</w:t>
            </w:r>
          </w:p>
        </w:tc>
        <w:tc>
          <w:tcPr>
            <w:tcW w:type="dxa" w:w="2492"/>
          </w:tcPr>
          <w:p>
            <w:r>
              <w:rPr/>
              <w:t>投标人提供针对本项目的制定售后服务方案，方案包含但不限于：①售后服务操作规范，②日常售后服务方案，③售后服务应急方案，④售后服务安全方案。完全满足的得8分，缺项或每一项不满足的扣2分，总分8分扣完为止。</w:t>
            </w:r>
          </w:p>
        </w:tc>
        <w:tc>
          <w:tcPr>
            <w:tcW w:type="dxa" w:w="831"/>
          </w:tcPr>
          <w:p>
            <w:pPr>
              <w:jc w:val="right"/>
            </w:pPr>
            <w:r>
              <w:rPr/>
              <w:t>8.00</w:t>
            </w:r>
          </w:p>
        </w:tc>
        <w:tc>
          <w:tcPr>
            <w:tcW w:type="dxa" w:w="831"/>
          </w:tcPr>
          <w:p>
            <w:r>
              <w:rPr/>
              <w:t>客观</w:t>
            </w:r>
          </w:p>
        </w:tc>
        <w:tc>
          <w:tcPr>
            <w:tcW w:type="dxa" w:w="1661"/>
          </w:tcPr>
          <w:p>
            <w:pPr>
              <w:pStyle w:val="null3"/>
            </w:pPr>
            <w:r>
              <w:rPr/>
              <w:t>商务应答表</w:t>
            </w:r>
          </w:p>
        </w:tc>
      </w:tr>
      <w:tr>
        <w:tc>
          <w:tcPr>
            <w:tcW w:type="dxa" w:w="831"/>
          </w:tcPr>
          <w:p>
            <w:r>
              <w:rPr/>
              <w:t>价格分</w:t>
            </w:r>
          </w:p>
        </w:tc>
        <w:tc>
          <w:tcPr>
            <w:tcW w:type="dxa" w:w="1661"/>
          </w:tcPr>
          <w:p>
            <w:r>
              <w:rPr/>
              <w:t>价格分</w:t>
            </w:r>
          </w:p>
        </w:tc>
        <w:tc>
          <w:tcPr>
            <w:tcW w:type="dxa" w:w="2492"/>
          </w:tcPr>
          <w:p>
            <w:r>
              <w:rPr/>
              <w:t>满足招标文件要求供应商的最低有效报价为评标基准价，其价格分为满分，投标报价得分=(评标基准价／投标报价)* 31。</w:t>
            </w:r>
          </w:p>
        </w:tc>
        <w:tc>
          <w:tcPr>
            <w:tcW w:type="dxa" w:w="831"/>
          </w:tcPr>
          <w:p>
            <w:pPr>
              <w:jc w:val="right"/>
            </w:pPr>
            <w:r>
              <w:rPr/>
              <w:t>31.00</w:t>
            </w:r>
          </w:p>
        </w:tc>
        <w:tc>
          <w:tcPr>
            <w:tcW w:type="dxa" w:w="831"/>
          </w:tcPr>
          <w:p>
            <w:r>
              <w:rPr/>
              <w:t>客观</w:t>
            </w:r>
          </w:p>
        </w:tc>
        <w:tc>
          <w:tcPr>
            <w:tcW w:type="dxa" w:w="1661"/>
          </w:tcPr>
          <w:p>
            <w:pPr>
              <w:pStyle w:val="null3"/>
            </w:pPr>
            <w:r>
              <w:rPr/>
              <w:t>开标一览表</w:t>
            </w:r>
          </w:p>
          <w:p>
            <w:pPr>
              <w:pStyle w:val="null3"/>
            </w:pPr>
            <w:r>
              <w:rPr/>
              <w:t>标的清单</w:t>
            </w:r>
          </w:p>
        </w:tc>
      </w:tr>
    </w:tbl>
    <w:p>
      <w:pPr>
        <w:pStyle w:val="null3"/>
      </w:pP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r>
              <w:rPr/>
              <w:t>序号</w:t>
            </w:r>
          </w:p>
        </w:tc>
        <w:tc>
          <w:tcPr>
            <w:tcW w:type="dxa" w:w="1661"/>
          </w:tcPr>
          <w:p>
            <w:r>
              <w:rPr/>
              <w:t>情形</w:t>
            </w:r>
          </w:p>
        </w:tc>
        <w:tc>
          <w:tcPr>
            <w:tcW w:type="dxa" w:w="1661"/>
          </w:tcPr>
          <w:p>
            <w:r>
              <w:rPr/>
              <w:t>适用对象</w:t>
            </w:r>
          </w:p>
        </w:tc>
        <w:tc>
          <w:tcPr>
            <w:tcW w:type="dxa" w:w="831"/>
          </w:tcPr>
          <w:p>
            <w:r>
              <w:rPr/>
              <w:t>比例</w:t>
            </w:r>
          </w:p>
        </w:tc>
        <w:tc>
          <w:tcPr>
            <w:tcW w:type="dxa" w:w="1661"/>
          </w:tcPr>
          <w:p>
            <w:r>
              <w:rPr/>
              <w:t>说明</w:t>
            </w:r>
          </w:p>
        </w:tc>
        <w:tc>
          <w:tcPr>
            <w:tcW w:type="dxa" w:w="1661"/>
          </w:tcPr>
          <w:p>
            <w:r>
              <w:rPr/>
              <w:t>关联格式</w:t>
            </w:r>
          </w:p>
        </w:tc>
      </w:tr>
      <w:tr>
        <w:tc>
          <w:tcPr>
            <w:tcW w:type="dxa" w:w="831"/>
          </w:tcPr>
          <w:p>
            <w:r>
              <w:rPr/>
              <w:t>1</w:t>
            </w:r>
          </w:p>
        </w:tc>
        <w:tc>
          <w:tcPr>
            <w:tcW w:type="dxa" w:w="1661"/>
          </w:tcPr>
          <w:p>
            <w:r>
              <w:rPr/>
              <w:t>小型、微型企业，监狱企业，残疾人福利性单位</w:t>
            </w:r>
          </w:p>
        </w:tc>
        <w:tc>
          <w:tcPr>
            <w:tcW w:type="dxa" w:w="1661"/>
          </w:tcPr>
          <w:p>
            <w:r>
              <w:rPr/>
              <w:t>非联合体</w:t>
            </w:r>
          </w:p>
        </w:tc>
        <w:tc>
          <w:tcPr>
            <w:tcW w:type="dxa" w:w="831"/>
          </w:tcPr>
          <w:p>
            <w:pPr>
              <w:jc w:val="right"/>
            </w:pPr>
            <w:r>
              <w:rPr/>
              <w:t>10.00%</w:t>
            </w:r>
          </w:p>
        </w:tc>
        <w:tc>
          <w:tcPr>
            <w:tcW w:type="dxa" w:w="1661"/>
          </w:tcPr>
          <w:p>
            <w:r>
              <w:rPr/>
              <w:t>本项目对属于小型和微型企业的投标人的投标报价给予相应百分比的扣除，用扣除后的价格参与评审。残疾人福利性单位视同小型、微型企业，享受同等价格扣除，但同时属于残疾人福利性单位和小微企业的，不重复价格扣除。</w:t>
            </w:r>
          </w:p>
        </w:tc>
        <w:tc>
          <w:tcPr>
            <w:tcW w:type="dxa" w:w="1661"/>
          </w:tcPr>
          <w:p>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pPr>
      <w:r>
        <w:rPr>
          <w:b/>
          <w:sz w:val="28"/>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废标后，代理机构将在“四川政府采购网”上公告。对于评标过程中废标的采购项目，评标委员会应当对招标文件是否存在不合理条款进行论证，并出具书面论证意见。</w:t>
      </w:r>
    </w:p>
    <w:p>
      <w:pPr>
        <w:pStyle w:val="null3"/>
      </w:pPr>
      <w:r>
        <w:rPr>
          <w:b/>
          <w:sz w:val="28"/>
        </w:rPr>
        <w:t>5.8定标</w:t>
      </w:r>
    </w:p>
    <w:p>
      <w:pPr>
        <w:pStyle w:val="null3"/>
      </w:pPr>
      <w:r>
        <w:rPr>
          <w:b/>
          <w:sz w:val="24"/>
        </w:rPr>
        <w:t>5.8.1 定标原则</w:t>
      </w:r>
    </w:p>
    <w:p>
      <w:pPr>
        <w:pStyle w:val="null3"/>
      </w:pPr>
    </w:p>
    <w:p>
      <w:pPr>
        <w:pStyle w:val="null3"/>
      </w:pPr>
      <w:r>
        <w:rPr/>
        <w:t>本项目授权评标委员会直接确认中标供应商，确认后代理机构在四川政府采购网上发布中标公告，同时向中标供应商发出中标通知书。</w:t>
      </w:r>
    </w:p>
    <w:p>
      <w:pPr>
        <w:pStyle w:val="null3"/>
      </w:pPr>
      <w:r>
        <w:rPr/>
        <w:t>采购包1：中标供应商</w:t>
      </w:r>
      <w:r>
        <w:rPr/>
        <w:t>1家；</w:t>
      </w:r>
    </w:p>
    <w:p>
      <w:pPr>
        <w:pStyle w:val="null3"/>
      </w:pPr>
      <w:r>
        <w:rPr>
          <w:b/>
          <w:sz w:val="28"/>
        </w:rPr>
        <w:t>5.9评审专家在政府采购活动中承担以下义务</w:t>
      </w:r>
    </w:p>
    <w:p>
      <w:pPr>
        <w:pStyle w:val="null3"/>
        <w:ind w:firstLine="480"/>
      </w:pPr>
      <w:r>
        <w:rPr/>
        <w:t>一、遵守评审工作纪律；</w:t>
      </w:r>
    </w:p>
    <w:p>
      <w:pPr>
        <w:pStyle w:val="null3"/>
        <w:ind w:firstLine="480"/>
      </w:pPr>
      <w:r>
        <w:rPr/>
        <w:t>二、按照客观、公正、审慎的原则，根据征集文件规定的评审程序、评审方法和评审标准进行独立评审；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四、及时向财政部门报告评审过程中发现的征集人向评审专家做倾向性、误导性的解释或者说明，以及供应商行贿、提供虚假材料或者串通等违法行为；</w:t>
      </w:r>
    </w:p>
    <w:p>
      <w:pPr>
        <w:pStyle w:val="null3"/>
        <w:ind w:firstLine="480"/>
      </w:pPr>
      <w:r>
        <w:rPr/>
        <w:t>五、发现征集文件内容违反国家有关强制性规定或者征集文件存在歧义、重大缺陷导致评审工作无法进行时，停止评审并向征集人书面说明情况；评审委员会熟悉和理解征集文件以及评审过程中，发现征集文件有下列情形之一的，应当停止评审：</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出现本条规定应当停止评标情形的，评标委员会通过项目电子化采购系统编制评审专家停止评审说明并发送给采购人和代理机构，并在四川政府采购网发布公告。停止评标说明中应说明停止评标的情形和具体理由。</w:t>
      </w:r>
    </w:p>
    <w:p>
      <w:pPr>
        <w:pStyle w:val="null3"/>
        <w:ind w:firstLine="480"/>
      </w:pPr>
      <w:r>
        <w:rPr/>
        <w:t>采购人、代理机构认为评标委员会不应当停止评标的，可以书面报告采购项目同级财政部门依法处理，并提供相关证明材料。</w:t>
      </w:r>
    </w:p>
    <w:p>
      <w:pPr>
        <w:pStyle w:val="null3"/>
        <w:ind w:firstLine="480"/>
      </w:pPr>
      <w:r>
        <w:rPr/>
        <w:t>六、及时向财政、监察等部门举报在评审过程中受到非法干预的情况；</w:t>
      </w:r>
    </w:p>
    <w:p>
      <w:pPr>
        <w:pStyle w:val="null3"/>
        <w:ind w:firstLine="480"/>
      </w:pPr>
      <w:r>
        <w:rPr/>
        <w:t>七、配合答复处理供应商的询问、质疑和投诉等事项；</w:t>
      </w:r>
    </w:p>
    <w:p>
      <w:pPr>
        <w:pStyle w:val="null3"/>
        <w:ind w:firstLine="480"/>
      </w:pPr>
      <w:r>
        <w:rPr/>
        <w:t>八、法律、法规和规章规定的其他义务。</w:t>
      </w:r>
    </w:p>
    <w:p>
      <w:pPr>
        <w:pStyle w:val="null3"/>
      </w:pPr>
      <w:r>
        <w:rPr>
          <w:b/>
          <w:sz w:val="28"/>
        </w:rPr>
        <w:t>5.10评审专家在政府采购活动中应当遵守以下工作纪律</w:t>
      </w:r>
    </w:p>
    <w:p>
      <w:pPr>
        <w:pStyle w:val="null3"/>
        <w:ind w:firstLine="480"/>
      </w:pPr>
      <w:r>
        <w:rPr/>
        <w:t>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w:t>
        <w:tab/>
        <w:tab/>
        <w:t xml:space="preserve"> 应当在监督人员监督之下办理。</w:t>
      </w:r>
    </w:p>
    <w:p>
      <w:pPr>
        <w:pStyle w:val="null3"/>
        <w:ind w:firstLine="480"/>
      </w:pPr>
      <w:r>
        <w:rPr/>
        <w:t>四、评审过程中，不得干预或者影响正常评审工作，不得发表倾向性、引导性意见，</w:t>
        <w:tab/>
        <w:tab/>
        <w:t xml:space="preserve"> 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pPr>
      <w:r>
        <w:rPr/>
        <w:t>五、在评审过程中和评审结束后，不得记录、复制或带走任何评审资料，除因履行《四川省政府采购评审工作规程（修订）》第十三条第（六）项规定的义务外，不得向外界透露评审内容。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pPr>
      <w:r>
        <w:rPr>
          <w:b/>
          <w:sz w:val="36"/>
        </w:rPr>
        <w:t>第6章投标文件格式</w:t>
      </w: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pPr>
      <w:r>
        <w:rPr/>
        <w:t xml:space="preserve"> </w:t>
      </w:r>
    </w:p>
    <w:p>
      <w:pPr>
        <w:pStyle w:val="null3"/>
        <w:jc w:val="center"/>
      </w:pPr>
      <w:r>
        <w:rPr>
          <w:b/>
          <w:sz w:val="36"/>
        </w:rPr>
        <w:t>第7章 拟签订采购合同文本</w:t>
      </w:r>
    </w:p>
    <w:p>
      <w:pPr>
        <w:pStyle w:val="null3"/>
      </w:pPr>
    </w:p>
    <w:p>
      <w:pPr>
        <w:pStyle w:val="null3"/>
      </w:pPr>
      <w:r>
        <w:rPr/>
        <w:t>详见附件：公开招标货物合同.docx</w:t>
      </w:r>
    </w:p>
    <w:p>
      <w:pPr>
        <w:pStyle w:val="null3"/>
      </w:pPr>
      <w:r>
        <w:rPr/>
        <w:t xml:space="preserve"> </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