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700" w:lineRule="exact"/>
        <w:jc w:val="center"/>
        <w:outlineLvl w:val="0"/>
        <w:rPr>
          <w:rFonts w:hint="eastAsia" w:ascii="黑体" w:hAnsi="黑体" w:eastAsia="黑体" w:cs="黑体"/>
          <w:b/>
          <w:bCs/>
          <w:spacing w:val="-20"/>
          <w:sz w:val="44"/>
          <w:szCs w:val="44"/>
          <w:highlight w:val="none"/>
        </w:rPr>
      </w:pPr>
      <w:bookmarkStart w:id="0" w:name="_Toc16327_WPSOffice_Level1"/>
      <w:r>
        <w:rPr>
          <w:rFonts w:hint="eastAsia" w:ascii="黑体" w:hAnsi="黑体" w:eastAsia="黑体" w:cs="黑体"/>
          <w:b/>
          <w:bCs/>
          <w:spacing w:val="-20"/>
          <w:sz w:val="44"/>
          <w:szCs w:val="44"/>
          <w:highlight w:val="none"/>
        </w:rPr>
        <w:t>中铁五局集团华南工程有限责任公司</w:t>
      </w:r>
    </w:p>
    <w:p>
      <w:pPr>
        <w:spacing w:before="156" w:beforeLines="50" w:line="700" w:lineRule="exact"/>
        <w:jc w:val="center"/>
        <w:outlineLvl w:val="0"/>
        <w:rPr>
          <w:rFonts w:hint="eastAsia" w:ascii="黑体" w:hAnsi="黑体" w:eastAsia="黑体" w:cs="黑体"/>
          <w:b/>
          <w:bCs/>
          <w:spacing w:val="-20"/>
          <w:sz w:val="44"/>
          <w:szCs w:val="44"/>
          <w:highlight w:val="none"/>
          <w:lang w:eastAsia="zh-CN"/>
        </w:rPr>
      </w:pPr>
      <w:r>
        <w:rPr>
          <w:rFonts w:hint="eastAsia" w:ascii="黑体" w:hAnsi="黑体" w:eastAsia="黑体" w:cs="黑体"/>
          <w:b/>
          <w:bCs/>
          <w:spacing w:val="-20"/>
          <w:sz w:val="44"/>
          <w:szCs w:val="44"/>
          <w:highlight w:val="none"/>
          <w:lang w:eastAsia="zh-CN"/>
        </w:rPr>
        <w:t>黄河古贤水利枢纽下游黄河大桥工程项目</w:t>
      </w:r>
    </w:p>
    <w:p>
      <w:pPr>
        <w:spacing w:before="156" w:beforeLines="50" w:line="480" w:lineRule="exact"/>
        <w:jc w:val="center"/>
        <w:rPr>
          <w:rFonts w:hint="eastAsia" w:ascii="黑体" w:hAnsi="黑体" w:eastAsia="黑体" w:cs="黑体"/>
          <w:b/>
          <w:bCs/>
          <w:spacing w:val="-20"/>
          <w:sz w:val="44"/>
          <w:szCs w:val="44"/>
          <w:highlight w:val="none"/>
        </w:rPr>
      </w:pPr>
    </w:p>
    <w:p>
      <w:pPr>
        <w:spacing w:before="156" w:beforeLines="50" w:line="480" w:lineRule="exact"/>
        <w:jc w:val="center"/>
        <w:rPr>
          <w:rFonts w:hint="eastAsia" w:ascii="黑体" w:hAnsi="黑体" w:eastAsia="黑体" w:cs="黑体"/>
          <w:b/>
          <w:bCs/>
          <w:spacing w:val="-20"/>
          <w:sz w:val="44"/>
          <w:szCs w:val="44"/>
          <w:highlight w:val="none"/>
        </w:rPr>
      </w:pPr>
    </w:p>
    <w:p>
      <w:pPr>
        <w:spacing w:before="468" w:beforeLines="150" w:line="480" w:lineRule="exact"/>
        <w:jc w:val="center"/>
        <w:outlineLvl w:val="0"/>
        <w:rPr>
          <w:rFonts w:hint="eastAsia" w:ascii="黑体" w:hAnsi="黑体" w:eastAsia="黑体" w:cs="黑体"/>
          <w:b/>
          <w:bCs/>
          <w:spacing w:val="-20"/>
          <w:sz w:val="44"/>
          <w:szCs w:val="44"/>
          <w:highlight w:val="none"/>
        </w:rPr>
      </w:pPr>
      <w:r>
        <w:rPr>
          <w:rFonts w:hint="eastAsia" w:ascii="黑体" w:hAnsi="黑体" w:eastAsia="黑体" w:cs="黑体"/>
          <w:b/>
          <w:bCs/>
          <w:spacing w:val="-20"/>
          <w:sz w:val="84"/>
          <w:szCs w:val="84"/>
          <w:highlight w:val="none"/>
        </w:rPr>
        <w:t>商务策划书</w:t>
      </w:r>
    </w:p>
    <w:p>
      <w:pPr>
        <w:pStyle w:val="6"/>
        <w:ind w:firstLine="640"/>
        <w:rPr>
          <w:rFonts w:ascii="仿宋_GB2312" w:eastAsia="仿宋_GB2312"/>
          <w:sz w:val="32"/>
          <w:szCs w:val="32"/>
          <w:highlight w:val="none"/>
        </w:rPr>
      </w:pPr>
    </w:p>
    <w:p>
      <w:pPr>
        <w:pStyle w:val="6"/>
        <w:ind w:firstLine="640"/>
        <w:rPr>
          <w:rFonts w:ascii="仿宋_GB2312" w:eastAsia="仿宋_GB2312"/>
          <w:sz w:val="32"/>
          <w:szCs w:val="32"/>
          <w:highlight w:val="none"/>
        </w:rPr>
      </w:pPr>
      <w:r>
        <w:rPr>
          <w:rFonts w:hint="eastAsia" w:cs="宋体"/>
          <w:b/>
          <w:sz w:val="32"/>
          <w:szCs w:val="32"/>
          <w:highlight w:val="none"/>
        </w:rPr>
        <w:drawing>
          <wp:anchor distT="0" distB="0" distL="114300" distR="114300" simplePos="0" relativeHeight="251660288" behindDoc="0" locked="0" layoutInCell="1" allowOverlap="1">
            <wp:simplePos x="0" y="0"/>
            <wp:positionH relativeFrom="column">
              <wp:posOffset>1888490</wp:posOffset>
            </wp:positionH>
            <wp:positionV relativeFrom="paragraph">
              <wp:posOffset>187960</wp:posOffset>
            </wp:positionV>
            <wp:extent cx="1994535" cy="1943100"/>
            <wp:effectExtent l="0" t="0" r="1905" b="762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cstate="print"/>
                    <a:stretch>
                      <a:fillRect/>
                    </a:stretch>
                  </pic:blipFill>
                  <pic:spPr>
                    <a:xfrm>
                      <a:off x="0" y="0"/>
                      <a:ext cx="1994535" cy="1943100"/>
                    </a:xfrm>
                    <a:prstGeom prst="rect">
                      <a:avLst/>
                    </a:prstGeom>
                    <a:solidFill>
                      <a:srgbClr val="FFFFFF"/>
                    </a:solidFill>
                    <a:ln w="9525">
                      <a:noFill/>
                    </a:ln>
                  </pic:spPr>
                </pic:pic>
              </a:graphicData>
            </a:graphic>
          </wp:anchor>
        </w:drawing>
      </w:r>
    </w:p>
    <w:p>
      <w:pPr>
        <w:pStyle w:val="6"/>
        <w:ind w:firstLine="640"/>
        <w:rPr>
          <w:rFonts w:ascii="仿宋_GB2312" w:eastAsia="仿宋_GB2312"/>
          <w:sz w:val="32"/>
          <w:szCs w:val="32"/>
          <w:highlight w:val="none"/>
        </w:rPr>
      </w:pPr>
    </w:p>
    <w:p>
      <w:pPr>
        <w:pStyle w:val="6"/>
        <w:ind w:firstLine="640"/>
        <w:rPr>
          <w:rFonts w:ascii="仿宋_GB2312" w:eastAsia="仿宋_GB2312"/>
          <w:sz w:val="32"/>
          <w:szCs w:val="32"/>
          <w:highlight w:val="none"/>
        </w:rPr>
      </w:pPr>
    </w:p>
    <w:p>
      <w:pPr>
        <w:pStyle w:val="6"/>
        <w:ind w:firstLine="640"/>
        <w:rPr>
          <w:rFonts w:ascii="仿宋_GB2312" w:eastAsia="仿宋_GB2312"/>
          <w:sz w:val="32"/>
          <w:szCs w:val="32"/>
          <w:highlight w:val="none"/>
        </w:rPr>
      </w:pPr>
    </w:p>
    <w:p>
      <w:pPr>
        <w:pStyle w:val="6"/>
        <w:ind w:firstLine="0"/>
        <w:rPr>
          <w:rFonts w:ascii="仿宋_GB2312" w:eastAsia="仿宋_GB2312"/>
          <w:sz w:val="32"/>
          <w:szCs w:val="32"/>
          <w:highlight w:val="none"/>
        </w:rPr>
      </w:pPr>
    </w:p>
    <w:p>
      <w:pPr>
        <w:pStyle w:val="6"/>
        <w:tabs>
          <w:tab w:val="left" w:pos="6804"/>
        </w:tabs>
        <w:ind w:firstLine="0"/>
        <w:rPr>
          <w:rFonts w:hint="eastAsia" w:ascii="黑体" w:hAnsi="黑体" w:eastAsia="黑体" w:cs="黑体"/>
          <w:sz w:val="32"/>
          <w:szCs w:val="32"/>
          <w:highlight w:val="none"/>
        </w:rPr>
      </w:pPr>
    </w:p>
    <w:p>
      <w:pPr>
        <w:keepNext w:val="0"/>
        <w:keepLines w:val="0"/>
        <w:widowControl w:val="0"/>
        <w:suppressLineNumbers w:val="0"/>
        <w:autoSpaceDE w:val="0"/>
        <w:autoSpaceDN/>
        <w:spacing w:before="0" w:beforeAutospacing="0" w:after="0" w:afterAutospacing="0" w:line="480" w:lineRule="auto"/>
        <w:ind w:left="1765" w:leftChars="304" w:right="0" w:hanging="1127" w:hangingChars="401"/>
        <w:jc w:val="left"/>
        <w:rPr>
          <w:rFonts w:hint="eastAsia" w:ascii="宋体" w:hAnsi="宋体" w:eastAsia="宋体" w:cs="宋体"/>
          <w:b/>
          <w:bCs/>
          <w:kern w:val="2"/>
          <w:sz w:val="28"/>
          <w:szCs w:val="28"/>
          <w:u w:val="single"/>
        </w:rPr>
      </w:pPr>
      <w:r>
        <w:rPr>
          <w:rFonts w:hint="eastAsia" w:ascii="宋体" w:hAnsi="宋体" w:eastAsia="宋体" w:cs="宋体"/>
          <w:b/>
          <w:bCs/>
          <w:kern w:val="2"/>
          <w:sz w:val="28"/>
          <w:szCs w:val="28"/>
          <w:lang w:val="en-US" w:eastAsia="zh-CN" w:bidi="ar"/>
        </w:rPr>
        <w:t>交底单位:</w:t>
      </w:r>
      <w:r>
        <w:rPr>
          <w:rFonts w:hint="eastAsia" w:ascii="宋体" w:hAnsi="宋体" w:eastAsia="宋体" w:cs="宋体"/>
          <w:b/>
          <w:bCs/>
          <w:kern w:val="2"/>
          <w:sz w:val="28"/>
          <w:szCs w:val="28"/>
          <w:u w:val="single"/>
          <w:lang w:val="en-US" w:eastAsia="zh-CN" w:bidi="ar"/>
        </w:rPr>
        <w:t xml:space="preserve">  公司各职能部门                        </w:t>
      </w:r>
      <w:r>
        <w:rPr>
          <w:rFonts w:hint="eastAsia" w:ascii="宋体" w:hAnsi="宋体" w:eastAsia="宋体" w:cs="宋体"/>
          <w:b/>
          <w:bCs/>
          <w:kern w:val="2"/>
          <w:sz w:val="28"/>
          <w:szCs w:val="28"/>
          <w:u w:val="single"/>
          <w:lang w:val="en-US" w:eastAsia="zh" w:bidi="ar"/>
        </w:rPr>
        <w:t xml:space="preserve"> </w:t>
      </w:r>
      <w:r>
        <w:rPr>
          <w:rFonts w:hint="eastAsia" w:ascii="宋体" w:hAnsi="宋体" w:eastAsia="宋体" w:cs="宋体"/>
          <w:b/>
          <w:bCs/>
          <w:kern w:val="2"/>
          <w:sz w:val="28"/>
          <w:szCs w:val="28"/>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1765" w:leftChars="304" w:right="0" w:hanging="1127" w:hangingChars="401"/>
        <w:jc w:val="left"/>
        <w:rPr>
          <w:rFonts w:hint="eastAsia" w:ascii="宋体" w:hAnsi="宋体" w:eastAsia="宋体" w:cs="宋体"/>
          <w:b/>
          <w:bCs/>
          <w:kern w:val="2"/>
          <w:sz w:val="28"/>
          <w:szCs w:val="28"/>
          <w:u w:val="single"/>
        </w:rPr>
      </w:pPr>
      <w:r>
        <w:rPr>
          <w:rFonts w:hint="eastAsia" w:ascii="宋体" w:hAnsi="宋体" w:eastAsia="宋体" w:cs="宋体"/>
          <w:b/>
          <w:bCs/>
          <w:kern w:val="2"/>
          <w:sz w:val="28"/>
          <w:szCs w:val="28"/>
          <w:lang w:val="en-US" w:eastAsia="zh-CN" w:bidi="ar"/>
        </w:rPr>
        <w:t xml:space="preserve">交底人: </w:t>
      </w:r>
      <w:r>
        <w:rPr>
          <w:rFonts w:hint="eastAsia" w:ascii="宋体" w:hAnsi="宋体" w:eastAsia="宋体" w:cs="宋体"/>
          <w:b/>
          <w:bCs/>
          <w:kern w:val="2"/>
          <w:sz w:val="28"/>
          <w:szCs w:val="28"/>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1765" w:leftChars="304" w:right="0" w:hanging="1127" w:hangingChars="401"/>
        <w:jc w:val="left"/>
        <w:rPr>
          <w:rFonts w:hint="eastAsia" w:ascii="宋体" w:hAnsi="宋体" w:eastAsia="宋体" w:cs="宋体"/>
          <w:b/>
          <w:bCs/>
          <w:kern w:val="2"/>
          <w:sz w:val="28"/>
          <w:szCs w:val="28"/>
          <w:u w:val="single"/>
        </w:rPr>
      </w:pPr>
      <w:r>
        <w:rPr>
          <w:rFonts w:hint="eastAsia" w:ascii="宋体" w:hAnsi="宋体" w:eastAsia="宋体" w:cs="宋体"/>
          <w:b/>
          <w:bCs/>
          <w:kern w:val="2"/>
          <w:sz w:val="28"/>
          <w:szCs w:val="28"/>
          <w:lang w:val="en-US" w:eastAsia="zh-CN" w:bidi="ar"/>
        </w:rPr>
        <w:tab/>
      </w:r>
      <w:r>
        <w:rPr>
          <w:rFonts w:hint="eastAsia" w:ascii="宋体" w:hAnsi="宋体" w:eastAsia="宋体" w:cs="宋体"/>
          <w:b/>
          <w:bCs/>
          <w:kern w:val="2"/>
          <w:sz w:val="28"/>
          <w:szCs w:val="28"/>
          <w:u w:val="single"/>
          <w:lang w:val="en-US" w:eastAsia="zh-CN" w:bidi="ar"/>
        </w:rPr>
        <w:tab/>
      </w:r>
      <w:r>
        <w:rPr>
          <w:rFonts w:hint="eastAsia" w:ascii="宋体" w:hAnsi="宋体" w:eastAsia="宋体" w:cs="宋体"/>
          <w:b/>
          <w:bCs/>
          <w:kern w:val="2"/>
          <w:sz w:val="28"/>
          <w:szCs w:val="28"/>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2046" w:leftChars="304" w:right="0" w:hanging="1408" w:hangingChars="501"/>
        <w:jc w:val="left"/>
        <w:rPr>
          <w:rFonts w:hint="eastAsia" w:ascii="宋体" w:hAnsi="宋体" w:eastAsia="宋体" w:cs="宋体"/>
          <w:b/>
          <w:bCs/>
          <w:kern w:val="2"/>
          <w:sz w:val="28"/>
          <w:szCs w:val="28"/>
          <w:u w:val="single"/>
        </w:rPr>
      </w:pPr>
      <w:r>
        <w:rPr>
          <w:rFonts w:hint="eastAsia" w:ascii="宋体" w:hAnsi="宋体" w:eastAsia="宋体" w:cs="宋体"/>
          <w:b/>
          <w:bCs/>
          <w:kern w:val="2"/>
          <w:sz w:val="28"/>
          <w:szCs w:val="28"/>
          <w:lang w:val="en-US" w:eastAsia="zh-CN" w:bidi="ar"/>
        </w:rPr>
        <w:t>接受单位:</w:t>
      </w:r>
      <w:r>
        <w:rPr>
          <w:rFonts w:hint="eastAsia" w:ascii="宋体" w:hAnsi="宋体" w:eastAsia="宋体" w:cs="宋体"/>
          <w:b/>
          <w:bCs/>
          <w:kern w:val="2"/>
          <w:sz w:val="28"/>
          <w:szCs w:val="28"/>
          <w:u w:val="single"/>
          <w:lang w:val="en-US" w:eastAsia="zh" w:bidi="ar"/>
        </w:rPr>
        <w:t xml:space="preserve"> </w:t>
      </w:r>
      <w:r>
        <w:rPr>
          <w:rFonts w:hint="eastAsia" w:ascii="宋体" w:hAnsi="宋体" w:eastAsia="宋体" w:cs="宋体"/>
          <w:b/>
          <w:bCs/>
          <w:kern w:val="2"/>
          <w:sz w:val="28"/>
          <w:szCs w:val="28"/>
          <w:u w:val="single"/>
          <w:lang w:val="en-US" w:eastAsia="zh-CN" w:bidi="ar"/>
        </w:rPr>
        <w:t xml:space="preserve">黄河古贤水利枢纽下游黄河大桥工程项目经理部          </w:t>
      </w:r>
    </w:p>
    <w:p>
      <w:pPr>
        <w:keepNext w:val="0"/>
        <w:keepLines w:val="0"/>
        <w:widowControl w:val="0"/>
        <w:suppressLineNumbers w:val="0"/>
        <w:autoSpaceDE w:val="0"/>
        <w:autoSpaceDN/>
        <w:spacing w:before="0" w:beforeAutospacing="0" w:after="0" w:afterAutospacing="0" w:line="480" w:lineRule="auto"/>
        <w:ind w:left="1765" w:leftChars="304" w:right="0" w:hanging="1127" w:hangingChars="401"/>
        <w:jc w:val="left"/>
        <w:rPr>
          <w:rFonts w:hint="eastAsia" w:ascii="宋体" w:hAnsi="宋体" w:eastAsia="宋体" w:cs="宋体"/>
          <w:b/>
          <w:bCs/>
          <w:kern w:val="2"/>
          <w:sz w:val="28"/>
          <w:szCs w:val="28"/>
          <w:u w:val="single"/>
        </w:rPr>
      </w:pPr>
      <w:r>
        <w:rPr>
          <w:rFonts w:hint="eastAsia" w:ascii="宋体" w:hAnsi="宋体" w:eastAsia="宋体" w:cs="宋体"/>
          <w:b/>
          <w:bCs/>
          <w:kern w:val="2"/>
          <w:sz w:val="28"/>
          <w:szCs w:val="28"/>
          <w:lang w:val="en-US" w:eastAsia="zh-CN" w:bidi="ar"/>
        </w:rPr>
        <w:t xml:space="preserve">接受人: </w:t>
      </w:r>
      <w:r>
        <w:rPr>
          <w:rFonts w:hint="eastAsia" w:ascii="宋体" w:hAnsi="宋体" w:eastAsia="宋体" w:cs="宋体"/>
          <w:b/>
          <w:bCs/>
          <w:kern w:val="2"/>
          <w:sz w:val="28"/>
          <w:szCs w:val="28"/>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1765" w:leftChars="304" w:right="0" w:hanging="1127" w:hangingChars="401"/>
        <w:jc w:val="left"/>
        <w:rPr>
          <w:rFonts w:hint="eastAsia" w:ascii="宋体" w:hAnsi="宋体" w:eastAsia="宋体" w:cs="宋体"/>
          <w:b/>
          <w:bCs/>
          <w:kern w:val="2"/>
          <w:sz w:val="28"/>
          <w:szCs w:val="28"/>
          <w:u w:val="single"/>
          <w:lang w:val="en-US" w:eastAsia="zh-CN" w:bidi="ar"/>
        </w:rPr>
      </w:pPr>
      <w:r>
        <w:rPr>
          <w:rFonts w:hint="eastAsia" w:ascii="宋体" w:hAnsi="宋体" w:eastAsia="宋体" w:cs="宋体"/>
          <w:b/>
          <w:bCs/>
          <w:kern w:val="2"/>
          <w:sz w:val="28"/>
          <w:szCs w:val="28"/>
          <w:lang w:val="en-US" w:eastAsia="zh-CN" w:bidi="ar"/>
        </w:rPr>
        <w:tab/>
      </w:r>
      <w:r>
        <w:rPr>
          <w:rFonts w:hint="eastAsia" w:ascii="宋体" w:hAnsi="宋体" w:eastAsia="宋体" w:cs="宋体"/>
          <w:b/>
          <w:bCs/>
          <w:kern w:val="2"/>
          <w:sz w:val="28"/>
          <w:szCs w:val="28"/>
          <w:u w:val="single"/>
          <w:lang w:val="en-US" w:eastAsia="zh-CN" w:bidi="ar"/>
        </w:rPr>
        <w:tab/>
      </w:r>
      <w:r>
        <w:rPr>
          <w:rFonts w:hint="eastAsia" w:ascii="宋体" w:hAnsi="宋体" w:eastAsia="宋体" w:cs="宋体"/>
          <w:b/>
          <w:bCs/>
          <w:kern w:val="2"/>
          <w:sz w:val="28"/>
          <w:szCs w:val="28"/>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1765" w:leftChars="304" w:right="0" w:hanging="1127" w:hangingChars="401"/>
        <w:jc w:val="left"/>
        <w:rPr>
          <w:rFonts w:hint="eastAsia" w:ascii="宋体" w:hAnsi="宋体" w:eastAsia="宋体" w:cs="宋体"/>
          <w:b/>
          <w:bCs/>
          <w:kern w:val="2"/>
          <w:sz w:val="28"/>
          <w:szCs w:val="28"/>
        </w:rPr>
      </w:pPr>
      <w:r>
        <w:rPr>
          <w:rFonts w:hint="eastAsia" w:ascii="宋体" w:hAnsi="宋体" w:eastAsia="宋体" w:cs="宋体"/>
          <w:b/>
          <w:bCs/>
          <w:kern w:val="2"/>
          <w:sz w:val="28"/>
          <w:szCs w:val="28"/>
          <w:lang w:val="en-US" w:eastAsia="zh-CN" w:bidi="ar"/>
        </w:rPr>
        <w:t>交底时间:</w:t>
      </w:r>
      <w:r>
        <w:rPr>
          <w:rFonts w:hint="eastAsia" w:ascii="宋体" w:hAnsi="宋体" w:eastAsia="宋体" w:cs="宋体"/>
          <w:b/>
          <w:bCs/>
          <w:kern w:val="2"/>
          <w:sz w:val="28"/>
          <w:szCs w:val="28"/>
          <w:u w:val="single"/>
          <w:lang w:val="en-US" w:eastAsia="zh-CN" w:bidi="ar"/>
        </w:rPr>
        <w:t xml:space="preserve">   202</w:t>
      </w:r>
      <w:r>
        <w:rPr>
          <w:rFonts w:hint="eastAsia" w:ascii="宋体" w:hAnsi="宋体" w:eastAsia="宋体" w:cs="宋体"/>
          <w:b/>
          <w:bCs/>
          <w:kern w:val="2"/>
          <w:sz w:val="28"/>
          <w:szCs w:val="28"/>
          <w:u w:val="single"/>
          <w:lang w:val="en-US" w:eastAsia="zh" w:bidi="ar"/>
        </w:rPr>
        <w:t>5</w:t>
      </w:r>
      <w:r>
        <w:rPr>
          <w:rFonts w:hint="eastAsia" w:ascii="宋体" w:hAnsi="宋体" w:eastAsia="宋体" w:cs="宋体"/>
          <w:b/>
          <w:bCs/>
          <w:kern w:val="2"/>
          <w:sz w:val="28"/>
          <w:szCs w:val="28"/>
          <w:u w:val="single"/>
          <w:lang w:val="en-US" w:eastAsia="zh-CN" w:bidi="ar"/>
        </w:rPr>
        <w:t xml:space="preserve">年9月17日                            </w:t>
      </w:r>
    </w:p>
    <w:p>
      <w:pPr>
        <w:keepNext w:val="0"/>
        <w:keepLines w:val="0"/>
        <w:widowControl w:val="0"/>
        <w:suppressLineNumbers w:val="0"/>
        <w:spacing w:before="0" w:beforeAutospacing="0" w:after="0" w:afterAutospacing="0"/>
        <w:ind w:left="0" w:right="0"/>
        <w:jc w:val="both"/>
      </w:pPr>
    </w:p>
    <w:sdt>
      <w:sdtPr>
        <w:rPr>
          <w:rFonts w:asciiTheme="minorHAnsi" w:hAnsiTheme="minorHAnsi" w:eastAsiaTheme="minorEastAsia" w:cstheme="minorBidi"/>
          <w:color w:val="auto"/>
          <w:kern w:val="2"/>
          <w:sz w:val="21"/>
          <w:szCs w:val="22"/>
          <w:highlight w:val="none"/>
          <w:lang w:val="zh-CN"/>
        </w:rPr>
        <w:id w:val="-1"/>
        <w:docPartObj>
          <w:docPartGallery w:val="Table of Contents"/>
          <w:docPartUnique/>
        </w:docPartObj>
      </w:sdtPr>
      <w:sdtEndPr>
        <w:rPr>
          <w:rFonts w:hint="eastAsia" w:ascii="仿宋" w:hAnsi="仿宋" w:eastAsia="仿宋" w:cs="仿宋"/>
          <w:b/>
          <w:bCs/>
          <w:color w:val="auto"/>
          <w:kern w:val="2"/>
          <w:sz w:val="24"/>
          <w:szCs w:val="24"/>
          <w:highlight w:val="none"/>
          <w:lang w:val="zh-CN"/>
        </w:rPr>
      </w:sdtEndPr>
      <w:sdtContent>
        <w:p>
          <w:pPr>
            <w:pStyle w:val="106"/>
            <w:jc w:val="center"/>
            <w:rPr>
              <w:rFonts w:hint="eastAsia" w:ascii="黑体" w:hAnsi="黑体" w:eastAsia="黑体"/>
              <w:color w:val="auto"/>
              <w:sz w:val="44"/>
              <w:szCs w:val="44"/>
              <w:highlight w:val="none"/>
            </w:rPr>
          </w:pPr>
          <w:r>
            <w:rPr>
              <w:rFonts w:ascii="黑体" w:hAnsi="黑体" w:eastAsia="黑体"/>
              <w:color w:val="auto"/>
              <w:sz w:val="48"/>
              <w:szCs w:val="48"/>
              <w:highlight w:val="none"/>
              <w:lang w:val="zh-CN"/>
            </w:rPr>
            <w:t>目</w:t>
          </w:r>
          <w:r>
            <w:rPr>
              <w:rFonts w:hint="eastAsia" w:ascii="黑体" w:hAnsi="黑体" w:eastAsia="黑体"/>
              <w:color w:val="auto"/>
              <w:sz w:val="48"/>
              <w:szCs w:val="48"/>
              <w:highlight w:val="none"/>
              <w:lang w:val="zh-CN"/>
            </w:rPr>
            <w:t xml:space="preserve"> </w:t>
          </w:r>
          <w:r>
            <w:rPr>
              <w:rFonts w:ascii="黑体" w:hAnsi="黑体" w:eastAsia="黑体"/>
              <w:color w:val="auto"/>
              <w:sz w:val="48"/>
              <w:szCs w:val="48"/>
              <w:highlight w:val="none"/>
              <w:lang w:val="zh-CN"/>
            </w:rPr>
            <w:t xml:space="preserve"> 录</w:t>
          </w:r>
        </w:p>
        <w:p>
          <w:pPr>
            <w:pStyle w:val="17"/>
            <w:tabs>
              <w:tab w:val="right" w:leader="hyphen" w:pos="8730"/>
            </w:tabs>
            <w:rPr>
              <w:rFonts w:hint="eastAsia" w:ascii="仿宋" w:hAnsi="仿宋" w:eastAsia="仿宋" w:cs="仿宋"/>
              <w:sz w:val="28"/>
              <w:szCs w:val="28"/>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TOC \o "1-3" \h \z \u </w:instrText>
          </w:r>
          <w:r>
            <w:rPr>
              <w:rFonts w:hint="eastAsia" w:ascii="仿宋" w:hAnsi="仿宋" w:eastAsia="仿宋" w:cs="仿宋"/>
              <w:sz w:val="24"/>
              <w:szCs w:val="24"/>
              <w:highlight w:val="none"/>
            </w:rPr>
            <w:fldChar w:fldCharType="separate"/>
          </w:r>
          <w:r>
            <w:rPr>
              <w:highlight w:val="none"/>
            </w:rPr>
            <w:fldChar w:fldCharType="begin"/>
          </w:r>
          <w:r>
            <w:rPr>
              <w:highlight w:val="none"/>
            </w:rPr>
            <w:instrText xml:space="preserve"> HYPERLINK \l "_Toc22252" </w:instrText>
          </w:r>
          <w:r>
            <w:rPr>
              <w:highlight w:val="none"/>
            </w:rPr>
            <w:fldChar w:fldCharType="separate"/>
          </w:r>
          <w:r>
            <w:rPr>
              <w:rFonts w:hint="eastAsia" w:ascii="仿宋" w:hAnsi="仿宋" w:eastAsia="仿宋" w:cs="仿宋"/>
              <w:sz w:val="28"/>
              <w:szCs w:val="28"/>
              <w:highlight w:val="none"/>
            </w:rPr>
            <w:t>一、项目关键信息</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_Toc22252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7"/>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"_Toc30406" </w:instrText>
          </w:r>
          <w:r>
            <w:rPr>
              <w:highlight w:val="none"/>
            </w:rPr>
            <w:fldChar w:fldCharType="separate"/>
          </w:r>
          <w:r>
            <w:rPr>
              <w:rFonts w:hint="eastAsia" w:ascii="仿宋" w:hAnsi="仿宋" w:eastAsia="仿宋" w:cs="仿宋"/>
              <w:sz w:val="28"/>
              <w:szCs w:val="28"/>
              <w:highlight w:val="none"/>
            </w:rPr>
            <w:t>二、目标责任指标</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_Toc30406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7"/>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"_Toc27954" </w:instrText>
          </w:r>
          <w:r>
            <w:rPr>
              <w:highlight w:val="none"/>
            </w:rPr>
            <w:fldChar w:fldCharType="separate"/>
          </w:r>
          <w:r>
            <w:rPr>
              <w:rFonts w:hint="eastAsia" w:ascii="仿宋" w:hAnsi="仿宋" w:eastAsia="仿宋" w:cs="仿宋"/>
              <w:sz w:val="28"/>
              <w:szCs w:val="28"/>
              <w:highlight w:val="none"/>
            </w:rPr>
            <w:t>三、项目风险分析</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_Toc27954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14</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7"/>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"_Toc23986" </w:instrText>
          </w:r>
          <w:r>
            <w:rPr>
              <w:highlight w:val="none"/>
            </w:rPr>
            <w:fldChar w:fldCharType="separate"/>
          </w:r>
          <w:r>
            <w:rPr>
              <w:rFonts w:hint="eastAsia" w:ascii="仿宋" w:hAnsi="仿宋" w:eastAsia="仿宋" w:cs="仿宋"/>
              <w:sz w:val="28"/>
              <w:szCs w:val="28"/>
              <w:highlight w:val="none"/>
            </w:rPr>
            <w:t>四、成本控制策划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_Toc23986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"_Toc20442" </w:instrText>
          </w:r>
          <w:r>
            <w:rPr>
              <w:highlight w:val="none"/>
            </w:rPr>
            <w:fldChar w:fldCharType="separate"/>
          </w:r>
          <w:r>
            <w:rPr>
              <w:rFonts w:hint="eastAsia" w:ascii="仿宋" w:hAnsi="仿宋" w:eastAsia="仿宋" w:cs="仿宋"/>
              <w:sz w:val="28"/>
              <w:szCs w:val="28"/>
              <w:highlight w:val="none"/>
            </w:rPr>
            <w:t>（一）责任成本测算</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_Toc20442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"_Toc12701" </w:instrText>
          </w:r>
          <w:r>
            <w:rPr>
              <w:highlight w:val="none"/>
            </w:rPr>
            <w:fldChar w:fldCharType="separate"/>
          </w:r>
          <w:r>
            <w:rPr>
              <w:rFonts w:hint="eastAsia" w:ascii="仿宋" w:hAnsi="仿宋" w:eastAsia="仿宋" w:cs="仿宋"/>
              <w:bCs/>
              <w:sz w:val="28"/>
              <w:szCs w:val="28"/>
              <w:highlight w:val="none"/>
            </w:rPr>
            <w:t>（二）责任成本分解</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_Toc12701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"_Toc6674" </w:instrText>
          </w:r>
          <w:r>
            <w:rPr>
              <w:highlight w:val="none"/>
            </w:rPr>
            <w:fldChar w:fldCharType="separate"/>
          </w:r>
          <w:r>
            <w:rPr>
              <w:rFonts w:hint="eastAsia" w:ascii="仿宋" w:hAnsi="仿宋" w:eastAsia="仿宋" w:cs="仿宋"/>
              <w:bCs/>
              <w:sz w:val="28"/>
              <w:szCs w:val="28"/>
              <w:highlight w:val="none"/>
            </w:rPr>
            <w:t>（三）项目盈亏点分析</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_Toc6674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"_Toc21542" </w:instrText>
          </w:r>
          <w:r>
            <w:rPr>
              <w:highlight w:val="none"/>
            </w:rPr>
            <w:fldChar w:fldCharType="separate"/>
          </w:r>
          <w:r>
            <w:rPr>
              <w:rFonts w:hint="eastAsia" w:ascii="仿宋" w:hAnsi="仿宋" w:eastAsia="仿宋" w:cs="仿宋"/>
              <w:bCs/>
              <w:sz w:val="28"/>
              <w:szCs w:val="28"/>
              <w:highlight w:val="none"/>
            </w:rPr>
            <w:t>（四）成本控制重点</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_Toc21542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"_Toc13699" </w:instrText>
          </w:r>
          <w:r>
            <w:rPr>
              <w:highlight w:val="none"/>
            </w:rPr>
            <w:fldChar w:fldCharType="separate"/>
          </w:r>
          <w:r>
            <w:rPr>
              <w:rFonts w:hint="eastAsia" w:ascii="仿宋" w:hAnsi="仿宋" w:eastAsia="仿宋" w:cs="仿宋"/>
              <w:sz w:val="28"/>
              <w:szCs w:val="28"/>
              <w:highlight w:val="none"/>
            </w:rPr>
            <w:t>1、分包策划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_Toc13699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"_Toc25804" </w:instrText>
          </w:r>
          <w:r>
            <w:rPr>
              <w:highlight w:val="none"/>
            </w:rPr>
            <w:fldChar w:fldCharType="separate"/>
          </w:r>
          <w:r>
            <w:rPr>
              <w:rFonts w:hint="eastAsia" w:ascii="仿宋" w:hAnsi="仿宋" w:eastAsia="仿宋" w:cs="仿宋"/>
              <w:sz w:val="28"/>
              <w:szCs w:val="28"/>
              <w:highlight w:val="none"/>
            </w:rPr>
            <w:t>2、过程管控</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_Toc25804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7"/>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"_Toc5697" </w:instrText>
          </w:r>
          <w:r>
            <w:rPr>
              <w:highlight w:val="none"/>
            </w:rPr>
            <w:fldChar w:fldCharType="separate"/>
          </w:r>
          <w:r>
            <w:rPr>
              <w:rFonts w:hint="eastAsia" w:ascii="仿宋" w:hAnsi="仿宋" w:eastAsia="仿宋" w:cs="仿宋"/>
              <w:sz w:val="28"/>
              <w:szCs w:val="28"/>
              <w:highlight w:val="none"/>
            </w:rPr>
            <w:t>五、 二次经营策划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_Toc5697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19</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7"/>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"_Toc22431" </w:instrText>
          </w:r>
          <w:r>
            <w:rPr>
              <w:highlight w:val="none"/>
            </w:rPr>
            <w:fldChar w:fldCharType="separate"/>
          </w:r>
          <w:r>
            <w:rPr>
              <w:rFonts w:hint="eastAsia" w:ascii="仿宋" w:hAnsi="仿宋" w:eastAsia="仿宋" w:cs="仿宋"/>
              <w:bCs/>
              <w:sz w:val="28"/>
              <w:szCs w:val="28"/>
              <w:highlight w:val="none"/>
            </w:rPr>
            <w:t>六、分包分供策划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_Toc22431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20</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"_Toc5952" </w:instrText>
          </w:r>
          <w:r>
            <w:rPr>
              <w:highlight w:val="none"/>
            </w:rPr>
            <w:fldChar w:fldCharType="separate"/>
          </w:r>
          <w:r>
            <w:rPr>
              <w:rFonts w:hint="eastAsia" w:ascii="仿宋" w:hAnsi="仿宋" w:eastAsia="仿宋" w:cs="仿宋"/>
              <w:bCs/>
              <w:sz w:val="28"/>
              <w:szCs w:val="28"/>
              <w:highlight w:val="none"/>
            </w:rPr>
            <w:t>（一）劳务分包策划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_Toc5952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20</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"_Toc32349" </w:instrText>
          </w:r>
          <w:r>
            <w:rPr>
              <w:highlight w:val="none"/>
            </w:rPr>
            <w:fldChar w:fldCharType="separate"/>
          </w:r>
          <w:r>
            <w:rPr>
              <w:rFonts w:hint="eastAsia" w:ascii="仿宋" w:hAnsi="仿宋" w:eastAsia="仿宋" w:cs="仿宋"/>
              <w:sz w:val="28"/>
              <w:szCs w:val="28"/>
              <w:highlight w:val="none"/>
            </w:rPr>
            <w:t>1.分包管理模式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_Toc32349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20</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"_Toc887" </w:instrText>
          </w:r>
          <w:r>
            <w:rPr>
              <w:highlight w:val="none"/>
            </w:rPr>
            <w:fldChar w:fldCharType="separate"/>
          </w:r>
          <w:r>
            <w:rPr>
              <w:rFonts w:hint="eastAsia" w:ascii="仿宋" w:hAnsi="仿宋" w:eastAsia="仿宋" w:cs="仿宋"/>
              <w:sz w:val="28"/>
              <w:szCs w:val="28"/>
              <w:highlight w:val="none"/>
            </w:rPr>
            <w:t>2.劳务队伍配置</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_Toc887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21</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"_Toc32651" </w:instrText>
          </w:r>
          <w:r>
            <w:rPr>
              <w:highlight w:val="none"/>
            </w:rPr>
            <w:fldChar w:fldCharType="separate"/>
          </w:r>
          <w:r>
            <w:rPr>
              <w:rFonts w:hint="eastAsia" w:ascii="仿宋" w:hAnsi="仿宋" w:eastAsia="仿宋" w:cs="仿宋"/>
              <w:sz w:val="28"/>
              <w:szCs w:val="28"/>
              <w:highlight w:val="none"/>
            </w:rPr>
            <w:t>3.劳务队伍招标</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_Toc32651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"_Toc30999" </w:instrText>
          </w:r>
          <w:r>
            <w:rPr>
              <w:highlight w:val="none"/>
            </w:rPr>
            <w:fldChar w:fldCharType="separate"/>
          </w:r>
          <w:r>
            <w:rPr>
              <w:rFonts w:hint="eastAsia" w:ascii="仿宋" w:hAnsi="仿宋" w:eastAsia="仿宋" w:cs="仿宋"/>
              <w:bCs/>
              <w:sz w:val="28"/>
              <w:szCs w:val="28"/>
              <w:highlight w:val="none"/>
            </w:rPr>
            <w:t>（二）物资策划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_Toc30999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"_Toc21327" </w:instrText>
          </w:r>
          <w:r>
            <w:rPr>
              <w:highlight w:val="none"/>
            </w:rPr>
            <w:fldChar w:fldCharType="separate"/>
          </w:r>
          <w:r>
            <w:rPr>
              <w:rFonts w:hint="eastAsia" w:ascii="仿宋" w:hAnsi="仿宋" w:eastAsia="仿宋" w:cs="仿宋"/>
              <w:bCs/>
              <w:sz w:val="28"/>
              <w:szCs w:val="28"/>
              <w:highlight w:val="none"/>
            </w:rPr>
            <w:t>（三）机械策划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_Toc21327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7"/>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"_Toc32640" </w:instrText>
          </w:r>
          <w:r>
            <w:rPr>
              <w:highlight w:val="none"/>
            </w:rPr>
            <w:fldChar w:fldCharType="separate"/>
          </w:r>
          <w:r>
            <w:rPr>
              <w:rFonts w:hint="eastAsia" w:ascii="仿宋" w:hAnsi="仿宋" w:eastAsia="仿宋" w:cs="仿宋"/>
              <w:sz w:val="28"/>
              <w:szCs w:val="28"/>
              <w:highlight w:val="none"/>
            </w:rPr>
            <w:t>七、安全生产设施设备投入策划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_Toc32640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7"/>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"_Toc23569" </w:instrText>
          </w:r>
          <w:r>
            <w:rPr>
              <w:highlight w:val="none"/>
            </w:rPr>
            <w:fldChar w:fldCharType="separate"/>
          </w:r>
          <w:r>
            <w:rPr>
              <w:rFonts w:hint="eastAsia" w:ascii="仿宋" w:hAnsi="仿宋" w:eastAsia="仿宋" w:cs="仿宋"/>
              <w:sz w:val="28"/>
              <w:szCs w:val="28"/>
              <w:highlight w:val="none"/>
            </w:rPr>
            <w:t>八、资金税负策划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_Toc23569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"_Toc11741" </w:instrText>
          </w:r>
          <w:r>
            <w:rPr>
              <w:highlight w:val="none"/>
            </w:rPr>
            <w:fldChar w:fldCharType="separate"/>
          </w:r>
          <w:r>
            <w:rPr>
              <w:rFonts w:hint="eastAsia" w:ascii="仿宋" w:hAnsi="仿宋" w:eastAsia="仿宋" w:cs="仿宋"/>
              <w:sz w:val="28"/>
              <w:szCs w:val="28"/>
              <w:highlight w:val="none"/>
            </w:rPr>
            <w:t>（一）资金自平衡策划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_Toc11741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rFonts w:hint="eastAsia" w:ascii="仿宋" w:hAnsi="仿宋" w:eastAsia="仿宋" w:cs="仿宋"/>
              <w:sz w:val="28"/>
              <w:szCs w:val="28"/>
              <w:highlight w:val="none"/>
            </w:rPr>
          </w:pPr>
          <w:r>
            <w:rPr>
              <w:highlight w:val="none"/>
            </w:rPr>
            <w:fldChar w:fldCharType="begin"/>
          </w:r>
          <w:r>
            <w:rPr>
              <w:highlight w:val="none"/>
            </w:rPr>
            <w:instrText xml:space="preserve"> HYPERLINK \l "_Toc8496" </w:instrText>
          </w:r>
          <w:r>
            <w:rPr>
              <w:highlight w:val="none"/>
            </w:rPr>
            <w:fldChar w:fldCharType="separate"/>
          </w:r>
          <w:r>
            <w:rPr>
              <w:rFonts w:hint="eastAsia" w:ascii="仿宋" w:hAnsi="仿宋" w:eastAsia="仿宋" w:cs="仿宋"/>
              <w:sz w:val="28"/>
              <w:szCs w:val="28"/>
              <w:highlight w:val="none"/>
            </w:rPr>
            <w:t>（二） 税务管理策划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_Toc8496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35</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8"/>
            <w:tabs>
              <w:tab w:val="right" w:leader="hyphen" w:pos="8730"/>
            </w:tabs>
            <w:rPr>
              <w:highlight w:val="none"/>
            </w:rPr>
          </w:pPr>
          <w:r>
            <w:rPr>
              <w:highlight w:val="none"/>
            </w:rPr>
            <w:fldChar w:fldCharType="begin"/>
          </w:r>
          <w:r>
            <w:rPr>
              <w:highlight w:val="none"/>
            </w:rPr>
            <w:instrText xml:space="preserve"> HYPERLINK \l "_Toc28549" </w:instrText>
          </w:r>
          <w:r>
            <w:rPr>
              <w:highlight w:val="none"/>
            </w:rPr>
            <w:fldChar w:fldCharType="separate"/>
          </w:r>
          <w:r>
            <w:rPr>
              <w:rFonts w:hint="eastAsia" w:ascii="仿宋" w:hAnsi="仿宋" w:eastAsia="仿宋" w:cs="仿宋"/>
              <w:sz w:val="28"/>
              <w:szCs w:val="28"/>
              <w:highlight w:val="none"/>
            </w:rPr>
            <w:t>（三）经费预算策划</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_Toc28549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40</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spacing w:line="360" w:lineRule="auto"/>
            <w:rPr>
              <w:rFonts w:hint="eastAsia" w:ascii="仿宋" w:hAnsi="仿宋" w:eastAsia="仿宋" w:cs="仿宋"/>
              <w:sz w:val="24"/>
              <w:szCs w:val="24"/>
              <w:highlight w:val="none"/>
            </w:rPr>
          </w:pPr>
          <w:r>
            <w:rPr>
              <w:rFonts w:hint="eastAsia" w:ascii="仿宋" w:hAnsi="仿宋" w:eastAsia="仿宋" w:cs="仿宋"/>
              <w:bCs/>
              <w:szCs w:val="24"/>
              <w:highlight w:val="none"/>
              <w:lang w:val="zh-CN"/>
            </w:rPr>
            <w:fldChar w:fldCharType="end"/>
          </w:r>
        </w:p>
      </w:sdtContent>
    </w:sdt>
    <w:p>
      <w:pPr>
        <w:rPr>
          <w:rStyle w:val="85"/>
          <w:rFonts w:hint="default" w:ascii="黑体" w:hAnsi="黑体" w:eastAsia="黑体" w:cstheme="minorBidi"/>
          <w:color w:val="auto"/>
          <w:sz w:val="32"/>
          <w:szCs w:val="32"/>
          <w:highlight w:val="none"/>
        </w:rPr>
      </w:pPr>
    </w:p>
    <w:p>
      <w:pPr>
        <w:pStyle w:val="10"/>
        <w:rPr>
          <w:rStyle w:val="85"/>
          <w:rFonts w:hint="default" w:ascii="黑体" w:hAnsi="黑体" w:eastAsia="黑体" w:cstheme="minorBidi"/>
          <w:color w:val="auto"/>
          <w:sz w:val="32"/>
          <w:szCs w:val="32"/>
          <w:highlight w:val="none"/>
        </w:rPr>
      </w:pPr>
    </w:p>
    <w:p>
      <w:pPr>
        <w:pStyle w:val="26"/>
        <w:rPr>
          <w:rStyle w:val="85"/>
          <w:rFonts w:hint="default" w:ascii="黑体" w:hAnsi="黑体" w:eastAsia="黑体" w:cstheme="minorBidi"/>
          <w:color w:val="auto"/>
          <w:sz w:val="32"/>
          <w:szCs w:val="32"/>
          <w:highlight w:val="none"/>
        </w:rPr>
      </w:pPr>
    </w:p>
    <w:p>
      <w:pPr>
        <w:pStyle w:val="27"/>
        <w:rPr>
          <w:rStyle w:val="85"/>
          <w:rFonts w:hint="default" w:ascii="黑体" w:hAnsi="黑体" w:eastAsia="黑体" w:cstheme="minorBidi"/>
          <w:color w:val="auto"/>
          <w:sz w:val="32"/>
          <w:szCs w:val="32"/>
          <w:highlight w:val="none"/>
        </w:rPr>
      </w:pPr>
    </w:p>
    <w:p>
      <w:pPr>
        <w:rPr>
          <w:rStyle w:val="85"/>
          <w:rFonts w:hint="default" w:ascii="黑体" w:hAnsi="黑体" w:eastAsia="黑体" w:cstheme="minorBidi"/>
          <w:color w:val="auto"/>
          <w:sz w:val="32"/>
          <w:szCs w:val="32"/>
          <w:highlight w:val="none"/>
        </w:rPr>
      </w:pPr>
    </w:p>
    <w:p>
      <w:pPr>
        <w:pStyle w:val="10"/>
        <w:rPr>
          <w:rStyle w:val="85"/>
          <w:rFonts w:hint="default" w:ascii="黑体" w:hAnsi="黑体" w:eastAsia="黑体" w:cstheme="minorBidi"/>
          <w:color w:val="auto"/>
          <w:sz w:val="32"/>
          <w:szCs w:val="32"/>
          <w:highlight w:val="none"/>
        </w:rPr>
      </w:pPr>
    </w:p>
    <w:p>
      <w:pPr>
        <w:pStyle w:val="26"/>
        <w:rPr>
          <w:rStyle w:val="85"/>
          <w:rFonts w:hint="default" w:ascii="黑体" w:hAnsi="黑体" w:eastAsia="黑体" w:cstheme="minorBidi"/>
          <w:color w:val="auto"/>
          <w:sz w:val="32"/>
          <w:szCs w:val="32"/>
          <w:highlight w:val="none"/>
        </w:rPr>
      </w:pPr>
    </w:p>
    <w:p>
      <w:pPr>
        <w:pStyle w:val="27"/>
        <w:rPr>
          <w:rStyle w:val="85"/>
          <w:rFonts w:hint="default" w:ascii="黑体" w:hAnsi="黑体" w:eastAsia="黑体" w:cstheme="minorBidi"/>
          <w:color w:val="auto"/>
          <w:sz w:val="32"/>
          <w:szCs w:val="32"/>
          <w:highlight w:val="none"/>
        </w:rPr>
      </w:pPr>
    </w:p>
    <w:p>
      <w:pPr>
        <w:rPr>
          <w:rStyle w:val="85"/>
          <w:rFonts w:hint="default" w:ascii="黑体" w:hAnsi="黑体" w:eastAsia="黑体" w:cstheme="minorBidi"/>
          <w:color w:val="auto"/>
          <w:sz w:val="32"/>
          <w:szCs w:val="32"/>
          <w:highlight w:val="none"/>
        </w:rPr>
      </w:pPr>
    </w:p>
    <w:p>
      <w:pPr>
        <w:pStyle w:val="10"/>
        <w:rPr>
          <w:rStyle w:val="85"/>
          <w:rFonts w:hint="default" w:ascii="黑体" w:hAnsi="黑体" w:eastAsia="黑体" w:cstheme="minorBidi"/>
          <w:color w:val="auto"/>
          <w:sz w:val="32"/>
          <w:szCs w:val="32"/>
          <w:highlight w:val="none"/>
        </w:rPr>
      </w:pPr>
    </w:p>
    <w:p>
      <w:pPr>
        <w:pStyle w:val="26"/>
        <w:rPr>
          <w:rStyle w:val="85"/>
          <w:rFonts w:hint="default" w:ascii="黑体" w:hAnsi="黑体" w:eastAsia="黑体" w:cstheme="minorBidi"/>
          <w:color w:val="auto"/>
          <w:sz w:val="32"/>
          <w:szCs w:val="32"/>
          <w:highlight w:val="none"/>
        </w:rPr>
      </w:pPr>
    </w:p>
    <w:p>
      <w:pPr>
        <w:pStyle w:val="27"/>
        <w:rPr>
          <w:rStyle w:val="85"/>
          <w:rFonts w:hint="default" w:ascii="黑体" w:hAnsi="黑体" w:eastAsia="黑体" w:cstheme="minorBidi"/>
          <w:color w:val="auto"/>
          <w:sz w:val="32"/>
          <w:szCs w:val="32"/>
          <w:highlight w:val="none"/>
        </w:rPr>
      </w:pPr>
    </w:p>
    <w:p>
      <w:pPr>
        <w:rPr>
          <w:rStyle w:val="85"/>
          <w:rFonts w:hint="default" w:ascii="黑体" w:hAnsi="黑体" w:eastAsia="黑体" w:cstheme="minorBidi"/>
          <w:color w:val="auto"/>
          <w:sz w:val="32"/>
          <w:szCs w:val="32"/>
          <w:highlight w:val="none"/>
        </w:rPr>
      </w:pPr>
    </w:p>
    <w:p>
      <w:pPr>
        <w:pStyle w:val="10"/>
        <w:rPr>
          <w:rStyle w:val="85"/>
          <w:rFonts w:hint="default" w:ascii="黑体" w:hAnsi="黑体" w:eastAsia="黑体" w:cstheme="minorBidi"/>
          <w:color w:val="auto"/>
          <w:sz w:val="32"/>
          <w:szCs w:val="32"/>
          <w:highlight w:val="none"/>
        </w:rPr>
      </w:pPr>
    </w:p>
    <w:p>
      <w:pPr>
        <w:pStyle w:val="2"/>
        <w:spacing w:before="156" w:beforeLines="50" w:after="156" w:afterLines="50" w:line="460" w:lineRule="exact"/>
        <w:ind w:firstLine="562" w:firstLineChars="200"/>
        <w:outlineLvl w:val="9"/>
        <w:rPr>
          <w:rStyle w:val="85"/>
          <w:rFonts w:hint="default" w:ascii="仿宋" w:hAnsi="仿宋" w:eastAsia="仿宋" w:cs="仿宋"/>
          <w:color w:val="auto"/>
          <w:sz w:val="28"/>
          <w:szCs w:val="28"/>
          <w:highlight w:val="none"/>
        </w:rPr>
        <w:sectPr>
          <w:footerReference r:id="rId4" w:type="first"/>
          <w:footerReference r:id="rId3" w:type="default"/>
          <w:pgSz w:w="11906" w:h="16838"/>
          <w:pgMar w:top="1418" w:right="1588" w:bottom="1418" w:left="158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spacing w:before="156" w:beforeLines="50" w:after="156" w:afterLines="50" w:line="460" w:lineRule="exact"/>
        <w:ind w:firstLine="562" w:firstLineChars="200"/>
        <w:rPr>
          <w:rStyle w:val="85"/>
          <w:rFonts w:hint="default"/>
          <w:color w:val="auto"/>
          <w:sz w:val="28"/>
          <w:szCs w:val="28"/>
          <w:highlight w:val="none"/>
        </w:rPr>
      </w:pPr>
      <w:bookmarkStart w:id="1" w:name="_Toc22252"/>
      <w:r>
        <w:rPr>
          <w:rStyle w:val="85"/>
          <w:rFonts w:hint="default"/>
          <w:color w:val="auto"/>
          <w:sz w:val="28"/>
          <w:szCs w:val="28"/>
          <w:highlight w:val="none"/>
        </w:rPr>
        <w:t>一、</w:t>
      </w:r>
      <w:bookmarkEnd w:id="0"/>
      <w:bookmarkStart w:id="2" w:name="_Toc6693_WPSOffice_Level2"/>
      <w:r>
        <w:rPr>
          <w:rStyle w:val="85"/>
          <w:rFonts w:hint="default"/>
          <w:color w:val="auto"/>
          <w:sz w:val="28"/>
          <w:szCs w:val="28"/>
          <w:highlight w:val="none"/>
        </w:rPr>
        <w:t>项目关键信息</w:t>
      </w:r>
      <w:bookmarkEnd w:id="1"/>
    </w:p>
    <w:bookmarkEnd w:id="2"/>
    <w:tbl>
      <w:tblPr>
        <w:tblStyle w:val="21"/>
        <w:tblW w:w="8829" w:type="dxa"/>
        <w:tblInd w:w="0" w:type="dxa"/>
        <w:tblLayout w:type="fixed"/>
        <w:tblCellMar>
          <w:top w:w="0" w:type="dxa"/>
          <w:left w:w="108" w:type="dxa"/>
          <w:bottom w:w="0" w:type="dxa"/>
          <w:right w:w="108" w:type="dxa"/>
        </w:tblCellMar>
      </w:tblPr>
      <w:tblGrid>
        <w:gridCol w:w="1611"/>
        <w:gridCol w:w="2235"/>
        <w:gridCol w:w="1082"/>
        <w:gridCol w:w="3901"/>
      </w:tblGrid>
      <w:tr>
        <w:tblPrEx>
          <w:tblCellMar>
            <w:top w:w="0" w:type="dxa"/>
            <w:left w:w="108" w:type="dxa"/>
            <w:bottom w:w="0" w:type="dxa"/>
            <w:right w:w="108" w:type="dxa"/>
          </w:tblCellMar>
        </w:tblPrEx>
        <w:trPr>
          <w:trHeight w:val="609"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项目名称</w:t>
            </w:r>
          </w:p>
        </w:tc>
        <w:tc>
          <w:tcPr>
            <w:tcW w:w="721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kern w:val="0"/>
                <w:sz w:val="20"/>
                <w:szCs w:val="20"/>
                <w:highlight w:val="none"/>
                <w:lang w:eastAsia="zh-CN"/>
              </w:rPr>
            </w:pPr>
            <w:r>
              <w:rPr>
                <w:rFonts w:hint="eastAsia" w:ascii="仿宋" w:hAnsi="仿宋" w:eastAsia="仿宋" w:cs="仿宋"/>
                <w:color w:val="000000"/>
                <w:kern w:val="2"/>
                <w:sz w:val="20"/>
                <w:szCs w:val="20"/>
                <w:lang w:val="en-US" w:eastAsia="zh-CN" w:bidi="ar"/>
              </w:rPr>
              <w:t>黄河古贤水利枢纽下游黄河大桥工程项目</w:t>
            </w:r>
          </w:p>
        </w:tc>
      </w:tr>
      <w:tr>
        <w:tblPrEx>
          <w:tblCellMar>
            <w:top w:w="0" w:type="dxa"/>
            <w:left w:w="108" w:type="dxa"/>
            <w:bottom w:w="0" w:type="dxa"/>
            <w:right w:w="108" w:type="dxa"/>
          </w:tblCellMar>
        </w:tblPrEx>
        <w:trPr>
          <w:trHeight w:val="549" w:hRule="atLeast"/>
        </w:trPr>
        <w:tc>
          <w:tcPr>
            <w:tcW w:w="16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项目地点</w:t>
            </w:r>
          </w:p>
        </w:tc>
        <w:tc>
          <w:tcPr>
            <w:tcW w:w="2235"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kern w:val="0"/>
                <w:sz w:val="20"/>
                <w:szCs w:val="20"/>
                <w:highlight w:val="none"/>
              </w:rPr>
            </w:pPr>
            <w:r>
              <w:rPr>
                <w:rFonts w:hint="eastAsia" w:ascii="仿宋" w:hAnsi="仿宋" w:eastAsia="仿宋" w:cs="仿宋"/>
                <w:color w:val="000000"/>
                <w:kern w:val="2"/>
                <w:sz w:val="20"/>
                <w:szCs w:val="20"/>
                <w:lang w:val="en-US" w:eastAsia="zh-CN" w:bidi="ar"/>
              </w:rPr>
              <w:t>山西省临汾市吉县</w:t>
            </w:r>
          </w:p>
        </w:tc>
        <w:tc>
          <w:tcPr>
            <w:tcW w:w="108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设计单位</w:t>
            </w:r>
          </w:p>
        </w:tc>
        <w:tc>
          <w:tcPr>
            <w:tcW w:w="390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kern w:val="2"/>
                <w:sz w:val="20"/>
                <w:szCs w:val="20"/>
                <w:lang w:val="en-US" w:eastAsia="zh" w:bidi="ar"/>
              </w:rPr>
            </w:pPr>
            <w:r>
              <w:rPr>
                <w:rFonts w:hint="eastAsia" w:ascii="仿宋" w:hAnsi="仿宋" w:eastAsia="仿宋" w:cs="仿宋"/>
                <w:color w:val="000000"/>
                <w:kern w:val="2"/>
                <w:sz w:val="20"/>
                <w:szCs w:val="20"/>
                <w:lang w:val="en-US" w:eastAsia="zh" w:bidi="ar"/>
              </w:rPr>
              <w:t>中水北方勘测设计研究有限责任公司</w:t>
            </w:r>
          </w:p>
        </w:tc>
      </w:tr>
      <w:tr>
        <w:tblPrEx>
          <w:tblCellMar>
            <w:top w:w="0" w:type="dxa"/>
            <w:left w:w="108" w:type="dxa"/>
            <w:bottom w:w="0" w:type="dxa"/>
            <w:right w:w="108" w:type="dxa"/>
          </w:tblCellMar>
        </w:tblPrEx>
        <w:trPr>
          <w:trHeight w:val="569" w:hRule="atLeast"/>
        </w:trPr>
        <w:tc>
          <w:tcPr>
            <w:tcW w:w="16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建设单位</w:t>
            </w:r>
          </w:p>
        </w:tc>
        <w:tc>
          <w:tcPr>
            <w:tcW w:w="2235"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kern w:val="0"/>
                <w:sz w:val="20"/>
                <w:szCs w:val="20"/>
                <w:highlight w:val="none"/>
              </w:rPr>
            </w:pPr>
            <w:r>
              <w:rPr>
                <w:rFonts w:hint="eastAsia" w:ascii="仿宋" w:hAnsi="仿宋" w:eastAsia="仿宋" w:cs="仿宋"/>
                <w:color w:val="000000"/>
                <w:kern w:val="2"/>
                <w:sz w:val="20"/>
                <w:szCs w:val="20"/>
                <w:lang w:val="en-US" w:eastAsia="zh-CN" w:bidi="ar"/>
              </w:rPr>
              <w:t>黄河古贤水利枢纽有限公司</w:t>
            </w:r>
          </w:p>
        </w:tc>
        <w:tc>
          <w:tcPr>
            <w:tcW w:w="108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监理单位</w:t>
            </w:r>
          </w:p>
        </w:tc>
        <w:tc>
          <w:tcPr>
            <w:tcW w:w="390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kern w:val="2"/>
                <w:sz w:val="20"/>
                <w:szCs w:val="20"/>
                <w:lang w:val="en-US" w:eastAsia="zh" w:bidi="ar"/>
              </w:rPr>
            </w:pPr>
            <w:r>
              <w:rPr>
                <w:rFonts w:hint="eastAsia" w:ascii="仿宋" w:hAnsi="仿宋" w:eastAsia="仿宋" w:cs="仿宋"/>
                <w:color w:val="000000"/>
                <w:kern w:val="2"/>
                <w:sz w:val="20"/>
                <w:szCs w:val="20"/>
                <w:lang w:val="en-US" w:eastAsia="zh" w:bidi="ar"/>
              </w:rPr>
              <w:t>上海宏波工程咨询管理有限公司</w:t>
            </w:r>
          </w:p>
        </w:tc>
      </w:tr>
      <w:tr>
        <w:tblPrEx>
          <w:tblCellMar>
            <w:top w:w="0" w:type="dxa"/>
            <w:left w:w="108" w:type="dxa"/>
            <w:bottom w:w="0" w:type="dxa"/>
            <w:right w:w="108" w:type="dxa"/>
          </w:tblCellMar>
        </w:tblPrEx>
        <w:trPr>
          <w:trHeight w:val="1435" w:hRule="atLeast"/>
        </w:trPr>
        <w:tc>
          <w:tcPr>
            <w:tcW w:w="16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2"/>
                <w:highlight w:val="none"/>
              </w:rPr>
            </w:pPr>
            <w:r>
              <w:rPr>
                <w:rFonts w:hint="eastAsia" w:ascii="仿宋" w:hAnsi="仿宋" w:eastAsia="仿宋" w:cs="仿宋"/>
                <w:kern w:val="0"/>
                <w:sz w:val="22"/>
                <w:highlight w:val="none"/>
              </w:rPr>
              <w:t>工程概况及合同承包范围</w:t>
            </w:r>
          </w:p>
        </w:tc>
        <w:tc>
          <w:tcPr>
            <w:tcW w:w="7218" w:type="dxa"/>
            <w:gridSpan w:val="3"/>
            <w:tcBorders>
              <w:top w:val="nil"/>
              <w:left w:val="nil"/>
              <w:bottom w:val="single" w:color="auto" w:sz="4" w:space="0"/>
              <w:right w:val="single" w:color="auto" w:sz="4" w:space="0"/>
            </w:tcBorders>
            <w:shd w:val="clear" w:color="auto" w:fill="auto"/>
            <w:noWrap/>
            <w:vAlign w:val="center"/>
          </w:tcPr>
          <w:p>
            <w:pPr>
              <w:contextualSpacing/>
              <w:rPr>
                <w:rFonts w:hint="eastAsia" w:ascii="仿宋" w:hAnsi="仿宋" w:eastAsia="仿宋" w:cs="仿宋"/>
                <w:b/>
                <w:bCs/>
                <w:kern w:val="0"/>
                <w:sz w:val="22"/>
                <w:highlight w:val="none"/>
              </w:rPr>
            </w:pPr>
            <w:r>
              <w:rPr>
                <w:rFonts w:hint="eastAsia" w:ascii="仿宋" w:hAnsi="仿宋" w:eastAsia="仿宋" w:cs="仿宋"/>
                <w:b/>
                <w:bCs/>
                <w:kern w:val="0"/>
                <w:sz w:val="22"/>
                <w:highlight w:val="none"/>
              </w:rPr>
              <w:t>工程概况：</w:t>
            </w:r>
          </w:p>
          <w:p>
            <w:pPr>
              <w:ind w:firstLine="400" w:firstLineChars="200"/>
              <w:contextualSpacing/>
              <w:rPr>
                <w:rFonts w:hint="eastAsia" w:ascii="仿宋" w:hAnsi="仿宋" w:eastAsia="仿宋" w:cs="仿宋"/>
                <w:kern w:val="0"/>
                <w:sz w:val="22"/>
                <w:highlight w:val="none"/>
                <w:lang w:eastAsia="zh"/>
              </w:rPr>
            </w:pPr>
            <w:r>
              <w:rPr>
                <w:rFonts w:hint="eastAsia" w:ascii="仿宋" w:hAnsi="仿宋" w:eastAsia="仿宋" w:cs="仿宋"/>
                <w:kern w:val="0"/>
                <w:sz w:val="20"/>
                <w:szCs w:val="20"/>
                <w:lang w:val="en-US" w:eastAsia="zh-CN" w:bidi="ar"/>
              </w:rPr>
              <w:t>黄河古贤水利枢纽下游黄河大桥位于古贤坝址下游2.7km处，连接场内1#、2#道路及进场道路，采用二级公路标准设计。桥型为连续梁桥，上部结构采用全预应力混凝土连续箱梁；下部结构采用实体桥墩，下接承台、群桩基础，桩基采用钻孔灌注桩。桥梁全长约522m、全宽15m，跨径布置为48m+5×85m+48m</w:t>
            </w:r>
            <w:r>
              <w:rPr>
                <w:rFonts w:hint="eastAsia" w:ascii="仿宋" w:hAnsi="仿宋" w:eastAsia="仿宋" w:cs="仿宋"/>
                <w:kern w:val="0"/>
                <w:sz w:val="20"/>
                <w:szCs w:val="20"/>
                <w:lang w:val="en-US" w:eastAsia="zh" w:bidi="ar"/>
              </w:rPr>
              <w:t>。</w:t>
            </w:r>
          </w:p>
        </w:tc>
      </w:tr>
      <w:tr>
        <w:tblPrEx>
          <w:tblCellMar>
            <w:top w:w="0" w:type="dxa"/>
            <w:left w:w="108" w:type="dxa"/>
            <w:bottom w:w="0" w:type="dxa"/>
            <w:right w:w="108" w:type="dxa"/>
          </w:tblCellMar>
        </w:tblPrEx>
        <w:trPr>
          <w:trHeight w:val="704"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2"/>
                <w:highlight w:val="none"/>
              </w:rPr>
            </w:pPr>
            <w:r>
              <w:rPr>
                <w:rFonts w:hint="eastAsia" w:ascii="仿宋" w:hAnsi="仿宋" w:eastAsia="仿宋" w:cs="仿宋"/>
                <w:kern w:val="0"/>
                <w:sz w:val="22"/>
                <w:highlight w:val="none"/>
              </w:rPr>
              <w:t>合同工期及违约责任</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contextualSpacing/>
              <w:rPr>
                <w:rFonts w:hint="eastAsia" w:ascii="仿宋" w:hAnsi="仿宋" w:eastAsia="仿宋" w:cs="仿宋"/>
                <w:sz w:val="22"/>
                <w:highlight w:val="none"/>
              </w:rPr>
            </w:pPr>
            <w:r>
              <w:rPr>
                <w:rFonts w:hint="eastAsia" w:ascii="仿宋" w:hAnsi="仿宋" w:eastAsia="仿宋" w:cs="仿宋"/>
                <w:sz w:val="22"/>
                <w:highlight w:val="none"/>
              </w:rPr>
              <w:t>（1）合同工期</w:t>
            </w:r>
          </w:p>
          <w:p>
            <w:pPr>
              <w:ind w:firstLine="440" w:firstLineChars="200"/>
              <w:contextualSpacing/>
              <w:rPr>
                <w:rFonts w:hint="eastAsia" w:ascii="仿宋" w:hAnsi="仿宋" w:eastAsia="仿宋" w:cs="仿宋"/>
                <w:sz w:val="22"/>
                <w:highlight w:val="none"/>
              </w:rPr>
            </w:pPr>
            <w:r>
              <w:rPr>
                <w:rFonts w:hint="eastAsia" w:ascii="仿宋" w:hAnsi="仿宋" w:eastAsia="仿宋" w:cs="仿宋"/>
                <w:sz w:val="22"/>
                <w:highlight w:val="none"/>
              </w:rPr>
              <w:t>计划工期：计划工期为</w:t>
            </w:r>
            <w:r>
              <w:rPr>
                <w:rFonts w:hint="eastAsia" w:ascii="仿宋" w:hAnsi="仿宋" w:eastAsia="仿宋" w:cs="仿宋"/>
                <w:sz w:val="22"/>
                <w:highlight w:val="none"/>
                <w:lang w:val="en-US" w:eastAsia="zh-CN"/>
              </w:rPr>
              <w:t>23</w:t>
            </w:r>
            <w:r>
              <w:rPr>
                <w:rFonts w:hint="eastAsia" w:ascii="仿宋" w:hAnsi="仿宋" w:eastAsia="仿宋" w:cs="仿宋"/>
                <w:sz w:val="22"/>
                <w:highlight w:val="none"/>
                <w:lang w:eastAsia="zh"/>
              </w:rPr>
              <w:t>个月</w:t>
            </w:r>
            <w:r>
              <w:rPr>
                <w:rFonts w:hint="eastAsia" w:ascii="仿宋" w:hAnsi="仿宋" w:eastAsia="仿宋" w:cs="仿宋"/>
                <w:sz w:val="22"/>
                <w:highlight w:val="none"/>
              </w:rPr>
              <w:t>，计划开工日期为2025年</w:t>
            </w:r>
            <w:r>
              <w:rPr>
                <w:rFonts w:hint="eastAsia" w:ascii="仿宋" w:hAnsi="仿宋" w:eastAsia="仿宋" w:cs="仿宋"/>
                <w:sz w:val="22"/>
                <w:highlight w:val="none"/>
                <w:lang w:val="en-US" w:eastAsia="zh-CN"/>
              </w:rPr>
              <w:t>9</w:t>
            </w:r>
            <w:r>
              <w:rPr>
                <w:rFonts w:hint="eastAsia" w:ascii="仿宋" w:hAnsi="仿宋" w:eastAsia="仿宋" w:cs="仿宋"/>
                <w:sz w:val="22"/>
                <w:highlight w:val="none"/>
              </w:rPr>
              <w:t>月</w:t>
            </w:r>
            <w:r>
              <w:rPr>
                <w:rFonts w:hint="eastAsia" w:ascii="仿宋" w:hAnsi="仿宋" w:eastAsia="仿宋" w:cs="仿宋"/>
                <w:sz w:val="22"/>
                <w:highlight w:val="none"/>
                <w:lang w:val="en-US" w:eastAsia="zh-CN"/>
              </w:rPr>
              <w:t>30</w:t>
            </w:r>
            <w:r>
              <w:rPr>
                <w:rFonts w:hint="eastAsia" w:ascii="仿宋" w:hAnsi="仿宋" w:eastAsia="仿宋" w:cs="仿宋"/>
                <w:sz w:val="22"/>
                <w:highlight w:val="none"/>
              </w:rPr>
              <w:t>日，计划竣工日期为202</w:t>
            </w:r>
            <w:r>
              <w:rPr>
                <w:rFonts w:hint="eastAsia" w:ascii="仿宋" w:hAnsi="仿宋" w:eastAsia="仿宋" w:cs="仿宋"/>
                <w:sz w:val="22"/>
                <w:highlight w:val="none"/>
                <w:lang w:eastAsia="zh"/>
              </w:rPr>
              <w:t>7</w:t>
            </w:r>
            <w:r>
              <w:rPr>
                <w:rFonts w:hint="eastAsia" w:ascii="仿宋" w:hAnsi="仿宋" w:eastAsia="仿宋" w:cs="仿宋"/>
                <w:sz w:val="22"/>
                <w:highlight w:val="none"/>
              </w:rPr>
              <w:t>年</w:t>
            </w:r>
            <w:r>
              <w:rPr>
                <w:rFonts w:hint="eastAsia" w:ascii="仿宋" w:hAnsi="仿宋" w:eastAsia="仿宋" w:cs="仿宋"/>
                <w:sz w:val="22"/>
                <w:highlight w:val="none"/>
                <w:lang w:val="en-US" w:eastAsia="zh-CN"/>
              </w:rPr>
              <w:t>8</w:t>
            </w:r>
            <w:r>
              <w:rPr>
                <w:rFonts w:hint="eastAsia" w:ascii="仿宋" w:hAnsi="仿宋" w:eastAsia="仿宋" w:cs="仿宋"/>
                <w:sz w:val="22"/>
                <w:highlight w:val="none"/>
              </w:rPr>
              <w:t>月</w:t>
            </w:r>
            <w:r>
              <w:rPr>
                <w:rFonts w:hint="eastAsia" w:ascii="仿宋" w:hAnsi="仿宋" w:eastAsia="仿宋" w:cs="仿宋"/>
                <w:sz w:val="22"/>
                <w:highlight w:val="none"/>
                <w:lang w:val="en-US" w:eastAsia="zh-CN"/>
              </w:rPr>
              <w:t>29</w:t>
            </w:r>
            <w:r>
              <w:rPr>
                <w:rFonts w:hint="eastAsia" w:ascii="仿宋" w:hAnsi="仿宋" w:eastAsia="仿宋" w:cs="仿宋"/>
                <w:sz w:val="22"/>
                <w:highlight w:val="none"/>
              </w:rPr>
              <w:t>日。</w:t>
            </w:r>
          </w:p>
          <w:p>
            <w:pPr>
              <w:contextualSpacing/>
              <w:rPr>
                <w:rFonts w:hint="eastAsia" w:ascii="仿宋" w:hAnsi="仿宋" w:eastAsia="仿宋" w:cs="仿宋"/>
                <w:sz w:val="22"/>
                <w:highlight w:val="none"/>
              </w:rPr>
            </w:pPr>
            <w:r>
              <w:rPr>
                <w:rFonts w:hint="eastAsia" w:ascii="仿宋" w:hAnsi="仿宋" w:eastAsia="仿宋" w:cs="仿宋"/>
                <w:sz w:val="22"/>
                <w:highlight w:val="none"/>
              </w:rPr>
              <w:t>（2）违约责任</w:t>
            </w:r>
          </w:p>
          <w:p>
            <w:pPr>
              <w:keepNext w:val="0"/>
              <w:keepLines w:val="0"/>
              <w:widowControl w:val="0"/>
              <w:suppressLineNumbers w:val="0"/>
              <w:spacing w:before="0" w:beforeAutospacing="0" w:after="0" w:afterAutospacing="0"/>
              <w:ind w:left="0" w:right="0" w:firstLine="442" w:firstLineChars="200"/>
              <w:contextualSpacing/>
              <w:jc w:val="both"/>
              <w:rPr>
                <w:rFonts w:hint="eastAsia" w:ascii="仿宋" w:hAnsi="仿宋" w:eastAsia="仿宋" w:cs="仿宋"/>
                <w:sz w:val="22"/>
                <w:highlight w:val="none"/>
                <w:lang w:val="en-US" w:eastAsia="zh-CN"/>
              </w:rPr>
            </w:pPr>
            <w:r>
              <w:rPr>
                <w:rFonts w:hint="eastAsia" w:ascii="仿宋" w:hAnsi="仿宋" w:eastAsia="仿宋" w:cs="仿宋"/>
                <w:b/>
                <w:bCs/>
                <w:sz w:val="22"/>
                <w:highlight w:val="yellow"/>
                <w:lang w:val="en-US" w:eastAsia="zh-CN"/>
              </w:rPr>
              <w:t>1）人员履约。</w:t>
            </w:r>
            <w:r>
              <w:rPr>
                <w:rFonts w:hint="eastAsia" w:ascii="仿宋" w:hAnsi="仿宋" w:eastAsia="仿宋" w:cs="仿宋"/>
                <w:sz w:val="22"/>
                <w:highlight w:val="none"/>
                <w:lang w:val="en-US" w:eastAsia="zh"/>
              </w:rPr>
              <w:t>①</w:t>
            </w:r>
            <w:r>
              <w:rPr>
                <w:rFonts w:hint="eastAsia" w:ascii="仿宋" w:hAnsi="仿宋" w:eastAsia="仿宋" w:cs="仿宋"/>
                <w:sz w:val="22"/>
                <w:highlight w:val="none"/>
                <w:lang w:val="en-US" w:eastAsia="zh-CN"/>
              </w:rPr>
              <w:t>承包人的项目经理、技术负责人未能按时到达现场的，需向发包人支付违约金为人民币</w:t>
            </w:r>
            <w:r>
              <w:rPr>
                <w:rFonts w:hint="eastAsia" w:ascii="仿宋" w:hAnsi="仿宋" w:eastAsia="仿宋" w:cs="仿宋"/>
                <w:b/>
                <w:bCs/>
                <w:sz w:val="22"/>
                <w:highlight w:val="none"/>
                <w:lang w:val="en-US" w:eastAsia="zh-CN"/>
              </w:rPr>
              <w:t>伍拾万元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r>
              <w:rPr>
                <w:rFonts w:hint="eastAsia" w:ascii="仿宋" w:hAnsi="仿宋" w:eastAsia="仿宋" w:cs="仿宋"/>
                <w:sz w:val="22"/>
                <w:highlight w:val="none"/>
                <w:lang w:val="en-US" w:eastAsia="zh"/>
              </w:rPr>
              <w:t>；</w:t>
            </w:r>
            <w:r>
              <w:rPr>
                <w:rFonts w:hint="eastAsia" w:ascii="仿宋" w:hAnsi="仿宋" w:eastAsia="仿宋" w:cs="仿宋"/>
                <w:sz w:val="22"/>
                <w:highlight w:val="none"/>
                <w:lang w:val="en-US" w:eastAsia="zh-CN"/>
              </w:rPr>
              <w:t>擅自更换项目经理的，需向发包人支付违约金为人民币</w:t>
            </w:r>
            <w:r>
              <w:rPr>
                <w:rFonts w:hint="eastAsia" w:ascii="仿宋" w:hAnsi="仿宋" w:eastAsia="仿宋" w:cs="仿宋"/>
                <w:b/>
                <w:bCs/>
                <w:sz w:val="22"/>
                <w:highlight w:val="none"/>
                <w:lang w:val="en-US" w:eastAsia="zh-CN"/>
              </w:rPr>
              <w:t>伍拾万元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r>
              <w:rPr>
                <w:rFonts w:hint="eastAsia" w:ascii="仿宋" w:hAnsi="仿宋" w:eastAsia="仿宋" w:cs="仿宋"/>
                <w:sz w:val="22"/>
                <w:highlight w:val="none"/>
                <w:lang w:val="en-US" w:eastAsia="zh-CN"/>
              </w:rPr>
              <w:t>；经发包人批准后更换项目经理的，需向发包人支付违约金为人民币</w:t>
            </w:r>
            <w:r>
              <w:rPr>
                <w:rFonts w:hint="eastAsia" w:ascii="仿宋" w:hAnsi="仿宋" w:eastAsia="仿宋" w:cs="仿宋"/>
                <w:b/>
                <w:bCs/>
                <w:sz w:val="22"/>
                <w:highlight w:val="none"/>
                <w:lang w:val="en-US" w:eastAsia="zh-CN"/>
              </w:rPr>
              <w:t>叁拾万元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r>
              <w:rPr>
                <w:rFonts w:hint="eastAsia" w:ascii="仿宋" w:hAnsi="仿宋" w:eastAsia="仿宋" w:cs="仿宋"/>
                <w:sz w:val="22"/>
                <w:highlight w:val="none"/>
                <w:lang w:val="en-US" w:eastAsia="zh-CN"/>
              </w:rPr>
              <w:t>。擅自更换技术负责人的，需向发包人支付违约金为人民币</w:t>
            </w:r>
            <w:r>
              <w:rPr>
                <w:rFonts w:hint="eastAsia" w:ascii="仿宋" w:hAnsi="仿宋" w:eastAsia="仿宋" w:cs="仿宋"/>
                <w:b/>
                <w:bCs/>
                <w:sz w:val="22"/>
                <w:highlight w:val="none"/>
                <w:lang w:val="en-US" w:eastAsia="zh-CN"/>
              </w:rPr>
              <w:t>贰拾万元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r>
              <w:rPr>
                <w:rFonts w:hint="eastAsia" w:ascii="仿宋" w:hAnsi="仿宋" w:eastAsia="仿宋" w:cs="仿宋"/>
                <w:sz w:val="22"/>
                <w:highlight w:val="none"/>
                <w:lang w:val="en-US" w:eastAsia="zh-CN"/>
              </w:rPr>
              <w:t>。经发包人批准后更换技术负责人的，需向发包人支付违约金为人民币</w:t>
            </w:r>
            <w:r>
              <w:rPr>
                <w:rFonts w:hint="eastAsia" w:ascii="仿宋" w:hAnsi="仿宋" w:eastAsia="仿宋" w:cs="仿宋"/>
                <w:b/>
                <w:bCs/>
                <w:sz w:val="22"/>
                <w:highlight w:val="none"/>
                <w:lang w:val="en-US" w:eastAsia="zh-CN"/>
              </w:rPr>
              <w:t>壹拾万元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r>
              <w:rPr>
                <w:rFonts w:hint="eastAsia" w:ascii="仿宋" w:hAnsi="仿宋" w:eastAsia="仿宋" w:cs="仿宋"/>
                <w:sz w:val="22"/>
                <w:highlight w:val="none"/>
                <w:lang w:val="en-US" w:eastAsia="zh-CN"/>
              </w:rPr>
              <w:t>。</w:t>
            </w:r>
          </w:p>
          <w:p>
            <w:pPr>
              <w:keepNext w:val="0"/>
              <w:keepLines w:val="0"/>
              <w:widowControl w:val="0"/>
              <w:suppressLineNumbers w:val="0"/>
              <w:spacing w:before="0" w:beforeAutospacing="0" w:after="0" w:afterAutospacing="0"/>
              <w:ind w:left="0" w:right="0" w:firstLine="440" w:firstLineChars="200"/>
              <w:contextualSpacing/>
              <w:jc w:val="both"/>
              <w:rPr>
                <w:rFonts w:hint="eastAsia" w:ascii="仿宋" w:hAnsi="仿宋" w:eastAsia="仿宋" w:cs="仿宋"/>
                <w:b/>
                <w:bCs/>
                <w:sz w:val="22"/>
                <w:highlight w:val="none"/>
                <w:lang w:val="en-US" w:eastAsia="zh-CN"/>
              </w:rPr>
            </w:pPr>
            <w:r>
              <w:rPr>
                <w:rFonts w:hint="eastAsia" w:ascii="仿宋" w:hAnsi="仿宋" w:eastAsia="仿宋" w:cs="仿宋"/>
                <w:sz w:val="22"/>
                <w:highlight w:val="none"/>
                <w:lang w:val="en-US" w:eastAsia="zh"/>
              </w:rPr>
              <w:t>②</w:t>
            </w:r>
            <w:r>
              <w:rPr>
                <w:rFonts w:hint="eastAsia" w:ascii="仿宋" w:hAnsi="仿宋" w:eastAsia="仿宋" w:cs="仿宋"/>
                <w:sz w:val="22"/>
                <w:highlight w:val="none"/>
                <w:lang w:val="en-US" w:eastAsia="zh-CN"/>
              </w:rPr>
              <w:t>承包人的安全负责人、质量负责人未能按时到达现场的，需向发包人支付违约金为人民币</w:t>
            </w:r>
            <w:r>
              <w:rPr>
                <w:rFonts w:hint="eastAsia" w:ascii="仿宋" w:hAnsi="仿宋" w:eastAsia="仿宋" w:cs="仿宋"/>
                <w:b/>
                <w:bCs/>
                <w:sz w:val="22"/>
                <w:highlight w:val="none"/>
                <w:lang w:val="en-US" w:eastAsia="zh-CN"/>
              </w:rPr>
              <w:t>伍万元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r>
              <w:rPr>
                <w:rFonts w:hint="eastAsia" w:ascii="仿宋" w:hAnsi="仿宋" w:eastAsia="仿宋" w:cs="仿宋"/>
                <w:sz w:val="22"/>
                <w:highlight w:val="none"/>
                <w:lang w:val="en-US" w:eastAsia="zh-CN"/>
              </w:rPr>
              <w:t>；擅自更换的，需向发包人支付违约金为人民币</w:t>
            </w:r>
            <w:r>
              <w:rPr>
                <w:rFonts w:hint="eastAsia" w:ascii="仿宋" w:hAnsi="仿宋" w:eastAsia="仿宋" w:cs="仿宋"/>
                <w:b/>
                <w:bCs/>
                <w:sz w:val="22"/>
                <w:highlight w:val="none"/>
                <w:lang w:val="en-US" w:eastAsia="zh-CN"/>
              </w:rPr>
              <w:t>伍万元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r>
              <w:rPr>
                <w:rFonts w:hint="eastAsia" w:ascii="仿宋" w:hAnsi="仿宋" w:eastAsia="仿宋" w:cs="仿宋"/>
                <w:sz w:val="22"/>
                <w:highlight w:val="none"/>
                <w:lang w:val="en-US" w:eastAsia="zh-CN"/>
              </w:rPr>
              <w:t>；经发包人批准后更换的，需向发包人支付违约金为人民币</w:t>
            </w:r>
            <w:r>
              <w:rPr>
                <w:rFonts w:hint="eastAsia" w:ascii="仿宋" w:hAnsi="仿宋" w:eastAsia="仿宋" w:cs="仿宋"/>
                <w:b/>
                <w:bCs/>
                <w:sz w:val="22"/>
                <w:highlight w:val="none"/>
                <w:lang w:val="en-US" w:eastAsia="zh-CN"/>
              </w:rPr>
              <w:t>贰万元</w:t>
            </w:r>
            <w:r>
              <w:rPr>
                <w:rFonts w:hint="default" w:ascii="仿宋" w:hAnsi="仿宋" w:eastAsia="仿宋" w:cs="仿宋"/>
                <w:b/>
                <w:bCs/>
                <w:sz w:val="22"/>
                <w:highlight w:val="none"/>
                <w:lang w:val="en-US" w:eastAsia="zh-CN"/>
              </w:rPr>
              <w:t>/</w:t>
            </w:r>
            <w:r>
              <w:rPr>
                <w:rFonts w:hint="eastAsia" w:ascii="仿宋" w:hAnsi="仿宋" w:eastAsia="仿宋" w:cs="仿宋"/>
                <w:b/>
                <w:bCs/>
                <w:sz w:val="22"/>
                <w:highlight w:val="none"/>
                <w:lang w:val="en-US" w:eastAsia="zh-CN"/>
              </w:rPr>
              <w:t>人次。</w:t>
            </w:r>
          </w:p>
          <w:p>
            <w:pPr>
              <w:keepNext w:val="0"/>
              <w:keepLines w:val="0"/>
              <w:widowControl w:val="0"/>
              <w:suppressLineNumbers w:val="0"/>
              <w:spacing w:before="0" w:beforeAutospacing="0" w:after="0" w:afterAutospacing="0"/>
              <w:ind w:left="0" w:right="0" w:firstLine="440" w:firstLineChars="200"/>
              <w:contextualSpacing/>
              <w:jc w:val="both"/>
              <w:rPr>
                <w:rFonts w:hint="eastAsia" w:ascii="仿宋" w:hAnsi="仿宋" w:eastAsia="仿宋" w:cs="仿宋"/>
                <w:sz w:val="22"/>
                <w:highlight w:val="none"/>
                <w:lang w:val="en-US" w:eastAsia="zh"/>
              </w:rPr>
            </w:pPr>
            <w:r>
              <w:rPr>
                <w:rFonts w:hint="eastAsia" w:ascii="仿宋" w:hAnsi="仿宋" w:eastAsia="仿宋" w:cs="仿宋"/>
                <w:sz w:val="22"/>
                <w:highlight w:val="none"/>
                <w:lang w:val="en-US" w:eastAsia="zh"/>
              </w:rPr>
              <w:t>③</w:t>
            </w:r>
            <w:r>
              <w:rPr>
                <w:rFonts w:hint="eastAsia" w:ascii="仿宋" w:hAnsi="仿宋" w:eastAsia="仿宋" w:cs="仿宋"/>
                <w:sz w:val="22"/>
                <w:highlight w:val="none"/>
                <w:lang w:val="en-US" w:eastAsia="zh-CN"/>
              </w:rPr>
              <w:t>承包人的项目经理、技术负责人、安全负责人、质量负责人，月驻现场时间不足</w:t>
            </w:r>
            <w:r>
              <w:rPr>
                <w:rFonts w:hint="default" w:ascii="仿宋" w:hAnsi="仿宋" w:eastAsia="仿宋" w:cs="仿宋"/>
                <w:sz w:val="22"/>
                <w:highlight w:val="none"/>
                <w:lang w:val="en-US" w:eastAsia="zh-CN"/>
              </w:rPr>
              <w:t>22</w:t>
            </w:r>
            <w:r>
              <w:rPr>
                <w:rFonts w:hint="eastAsia" w:ascii="仿宋" w:hAnsi="仿宋" w:eastAsia="仿宋" w:cs="仿宋"/>
                <w:sz w:val="22"/>
                <w:highlight w:val="none"/>
                <w:lang w:val="en-US" w:eastAsia="zh-CN"/>
              </w:rPr>
              <w:t>天的，按人民币</w:t>
            </w:r>
            <w:r>
              <w:rPr>
                <w:rFonts w:hint="default" w:ascii="仿宋" w:hAnsi="仿宋" w:eastAsia="仿宋" w:cs="仿宋"/>
                <w:sz w:val="22"/>
                <w:highlight w:val="none"/>
                <w:u w:val="single"/>
                <w:lang w:val="en-US" w:eastAsia="zh-CN"/>
              </w:rPr>
              <w:t xml:space="preserve"> </w:t>
            </w:r>
            <w:r>
              <w:rPr>
                <w:rFonts w:hint="eastAsia" w:ascii="仿宋" w:hAnsi="仿宋" w:eastAsia="仿宋" w:cs="仿宋"/>
                <w:sz w:val="22"/>
                <w:highlight w:val="none"/>
                <w:u w:val="single"/>
                <w:lang w:val="en-US" w:eastAsia="zh-CN"/>
              </w:rPr>
              <w:t>1</w:t>
            </w:r>
            <w:r>
              <w:rPr>
                <w:rFonts w:hint="default" w:ascii="仿宋" w:hAnsi="仿宋" w:eastAsia="仿宋" w:cs="仿宋"/>
                <w:sz w:val="22"/>
                <w:highlight w:val="none"/>
                <w:u w:val="single"/>
                <w:lang w:val="en-US" w:eastAsia="zh-CN"/>
              </w:rPr>
              <w:t>000</w:t>
            </w:r>
            <w:r>
              <w:rPr>
                <w:rFonts w:hint="eastAsia" w:ascii="仿宋" w:hAnsi="仿宋" w:eastAsia="仿宋" w:cs="仿宋"/>
                <w:sz w:val="22"/>
                <w:highlight w:val="none"/>
                <w:u w:val="single"/>
                <w:lang w:val="en-US" w:eastAsia="zh-CN"/>
              </w:rPr>
              <w:t>元/人/天</w:t>
            </w:r>
            <w:r>
              <w:rPr>
                <w:rFonts w:hint="eastAsia" w:ascii="仿宋" w:hAnsi="仿宋" w:eastAsia="仿宋" w:cs="仿宋"/>
                <w:sz w:val="22"/>
                <w:highlight w:val="none"/>
                <w:lang w:val="en-US" w:eastAsia="zh-CN"/>
              </w:rPr>
              <w:t>支付违约金。未履行请假手续离开工地的，按人民币</w:t>
            </w:r>
            <w:r>
              <w:rPr>
                <w:rFonts w:hint="eastAsia" w:ascii="仿宋" w:hAnsi="仿宋" w:eastAsia="仿宋" w:cs="仿宋"/>
                <w:sz w:val="22"/>
                <w:highlight w:val="none"/>
                <w:u w:val="single"/>
                <w:lang w:val="en-US" w:eastAsia="zh-CN"/>
              </w:rPr>
              <w:t xml:space="preserve"> 壹万元</w:t>
            </w:r>
            <w:r>
              <w:rPr>
                <w:rFonts w:hint="default" w:ascii="仿宋" w:hAnsi="仿宋" w:eastAsia="仿宋" w:cs="仿宋"/>
                <w:sz w:val="22"/>
                <w:highlight w:val="none"/>
                <w:u w:val="single"/>
                <w:lang w:val="en-US" w:eastAsia="zh-CN"/>
              </w:rPr>
              <w:t>/</w:t>
            </w:r>
            <w:r>
              <w:rPr>
                <w:rFonts w:hint="eastAsia" w:ascii="仿宋" w:hAnsi="仿宋" w:eastAsia="仿宋" w:cs="仿宋"/>
                <w:sz w:val="22"/>
                <w:highlight w:val="none"/>
                <w:u w:val="single"/>
                <w:lang w:val="en-US" w:eastAsia="zh-CN"/>
              </w:rPr>
              <w:t>人</w:t>
            </w:r>
            <w:r>
              <w:rPr>
                <w:rFonts w:hint="default" w:ascii="仿宋" w:hAnsi="仿宋" w:eastAsia="仿宋" w:cs="仿宋"/>
                <w:sz w:val="22"/>
                <w:highlight w:val="none"/>
                <w:u w:val="single"/>
                <w:lang w:val="en-US" w:eastAsia="zh-CN"/>
              </w:rPr>
              <w:t>/</w:t>
            </w:r>
            <w:r>
              <w:rPr>
                <w:rFonts w:hint="eastAsia" w:ascii="仿宋" w:hAnsi="仿宋" w:eastAsia="仿宋" w:cs="仿宋"/>
                <w:sz w:val="22"/>
                <w:highlight w:val="none"/>
                <w:u w:val="single"/>
                <w:lang w:val="en-US" w:eastAsia="zh-CN"/>
              </w:rPr>
              <w:t xml:space="preserve">次 </w:t>
            </w:r>
            <w:r>
              <w:rPr>
                <w:rFonts w:hint="eastAsia" w:ascii="仿宋" w:hAnsi="仿宋" w:eastAsia="仿宋" w:cs="仿宋"/>
                <w:sz w:val="22"/>
                <w:highlight w:val="none"/>
                <w:lang w:val="en-US" w:eastAsia="zh-CN"/>
              </w:rPr>
              <w:t>支付违约金</w:t>
            </w:r>
            <w:r>
              <w:rPr>
                <w:rFonts w:hint="eastAsia" w:ascii="仿宋" w:hAnsi="仿宋" w:eastAsia="仿宋" w:cs="仿宋"/>
                <w:sz w:val="22"/>
                <w:highlight w:val="none"/>
                <w:lang w:val="en-US" w:eastAsia="zh"/>
              </w:rPr>
              <w:t>；</w:t>
            </w:r>
          </w:p>
          <w:p>
            <w:pPr>
              <w:keepNext w:val="0"/>
              <w:keepLines w:val="0"/>
              <w:widowControl/>
              <w:numPr>
                <w:ilvl w:val="0"/>
                <w:numId w:val="0"/>
              </w:numPr>
              <w:suppressLineNumbers w:val="0"/>
              <w:ind w:firstLine="440" w:firstLineChars="0"/>
              <w:jc w:val="left"/>
              <w:rPr>
                <w:rFonts w:hint="eastAsia" w:ascii="仿宋" w:hAnsi="仿宋" w:eastAsia="仿宋" w:cs="仿宋"/>
                <w:sz w:val="22"/>
                <w:highlight w:val="none"/>
                <w:lang w:val="en-US" w:eastAsia="zh-CN"/>
              </w:rPr>
            </w:pPr>
            <w:r>
              <w:rPr>
                <w:rFonts w:hint="eastAsia" w:ascii="仿宋" w:hAnsi="仿宋" w:eastAsia="仿宋" w:cs="仿宋"/>
                <w:b/>
                <w:bCs/>
                <w:kern w:val="2"/>
                <w:sz w:val="22"/>
                <w:szCs w:val="22"/>
                <w:highlight w:val="yellow"/>
                <w:lang w:val="en-US" w:eastAsia="zh" w:bidi="ar-SA"/>
              </w:rPr>
              <w:t>2）</w:t>
            </w:r>
            <w:r>
              <w:rPr>
                <w:rFonts w:hint="eastAsia" w:ascii="仿宋" w:hAnsi="仿宋" w:eastAsia="仿宋" w:cs="仿宋"/>
                <w:b/>
                <w:bCs/>
                <w:sz w:val="22"/>
                <w:highlight w:val="yellow"/>
                <w:lang w:val="en-US" w:eastAsia="zh-CN"/>
              </w:rPr>
              <w:t>工期延误</w:t>
            </w:r>
            <w:r>
              <w:rPr>
                <w:rFonts w:hint="eastAsia" w:ascii="仿宋" w:hAnsi="仿宋" w:eastAsia="仿宋" w:cs="仿宋"/>
                <w:b/>
                <w:bCs/>
                <w:sz w:val="22"/>
                <w:highlight w:val="yellow"/>
              </w:rPr>
              <w:t>。</w:t>
            </w:r>
            <w:r>
              <w:rPr>
                <w:rFonts w:hint="eastAsia" w:ascii="仿宋" w:hAnsi="仿宋" w:eastAsia="仿宋" w:cs="仿宋"/>
                <w:sz w:val="22"/>
                <w:highlight w:val="none"/>
                <w:lang w:eastAsia="zh"/>
              </w:rPr>
              <w:t>承包人逾期完工违约，</w:t>
            </w:r>
            <w:r>
              <w:rPr>
                <w:rFonts w:hint="eastAsia" w:ascii="仿宋" w:hAnsi="仿宋" w:eastAsia="仿宋" w:cs="仿宋"/>
                <w:b/>
                <w:bCs/>
                <w:sz w:val="22"/>
                <w:highlight w:val="none"/>
                <w:lang w:eastAsia="zh"/>
              </w:rPr>
              <w:t>节点工期</w:t>
            </w:r>
            <w:r>
              <w:rPr>
                <w:rFonts w:hint="eastAsia" w:ascii="仿宋" w:hAnsi="仿宋" w:eastAsia="仿宋" w:cs="仿宋"/>
                <w:sz w:val="22"/>
                <w:highlight w:val="none"/>
                <w:lang w:eastAsia="zh"/>
              </w:rPr>
              <w:t>一旦延误,承包人须支付违约金人民币</w:t>
            </w:r>
            <w:r>
              <w:rPr>
                <w:rFonts w:hint="eastAsia" w:ascii="仿宋" w:hAnsi="仿宋" w:eastAsia="仿宋" w:cs="仿宋"/>
                <w:b/>
                <w:bCs/>
                <w:sz w:val="22"/>
                <w:highlight w:val="none"/>
                <w:lang w:eastAsia="zh"/>
              </w:rPr>
              <w:t>壹拾万元/次</w:t>
            </w:r>
            <w:r>
              <w:rPr>
                <w:rFonts w:hint="eastAsia" w:ascii="仿宋" w:hAnsi="仿宋" w:eastAsia="仿宋" w:cs="仿宋"/>
                <w:sz w:val="22"/>
                <w:highlight w:val="none"/>
                <w:lang w:eastAsia="zh"/>
              </w:rPr>
              <w:t>,此外,该节点工期每延误1天,每天增加支付违约金人民币</w:t>
            </w:r>
            <w:r>
              <w:rPr>
                <w:rFonts w:hint="eastAsia" w:ascii="仿宋" w:hAnsi="仿宋" w:eastAsia="仿宋" w:cs="仿宋"/>
                <w:b/>
                <w:bCs/>
                <w:sz w:val="22"/>
                <w:highlight w:val="none"/>
                <w:lang w:eastAsia="zh"/>
              </w:rPr>
              <w:t>壹万元</w:t>
            </w:r>
            <w:r>
              <w:rPr>
                <w:rFonts w:hint="eastAsia" w:ascii="仿宋" w:hAnsi="仿宋" w:eastAsia="仿宋" w:cs="仿宋"/>
                <w:sz w:val="22"/>
                <w:highlight w:val="none"/>
                <w:lang w:eastAsia="zh"/>
              </w:rPr>
              <w:t>。造成</w:t>
            </w:r>
            <w:r>
              <w:rPr>
                <w:rFonts w:hint="eastAsia" w:ascii="仿宋" w:hAnsi="仿宋" w:eastAsia="仿宋" w:cs="仿宋"/>
                <w:b/>
                <w:bCs/>
                <w:sz w:val="22"/>
                <w:highlight w:val="none"/>
                <w:lang w:eastAsia="zh"/>
              </w:rPr>
              <w:t>总工期延期的</w:t>
            </w:r>
            <w:r>
              <w:rPr>
                <w:rFonts w:hint="eastAsia" w:ascii="仿宋" w:hAnsi="仿宋" w:eastAsia="仿宋" w:cs="仿宋"/>
                <w:sz w:val="22"/>
                <w:highlight w:val="none"/>
                <w:lang w:eastAsia="zh"/>
              </w:rPr>
              <w:t>，每延误1天，每天支付违约金人民币</w:t>
            </w:r>
            <w:r>
              <w:rPr>
                <w:rFonts w:hint="eastAsia" w:ascii="仿宋" w:hAnsi="仿宋" w:eastAsia="仿宋" w:cs="仿宋"/>
                <w:b/>
                <w:bCs/>
                <w:sz w:val="22"/>
                <w:highlight w:val="none"/>
                <w:lang w:eastAsia="zh"/>
              </w:rPr>
              <w:t>壹拾万元</w:t>
            </w:r>
            <w:r>
              <w:rPr>
                <w:rFonts w:hint="eastAsia" w:ascii="仿宋" w:hAnsi="仿宋" w:eastAsia="仿宋" w:cs="仿宋"/>
                <w:sz w:val="22"/>
                <w:highlight w:val="none"/>
                <w:lang w:eastAsia="zh"/>
              </w:rPr>
              <w:t>。全部逾期完工违约金的总限额不超过</w:t>
            </w:r>
            <w:r>
              <w:rPr>
                <w:rFonts w:hint="eastAsia" w:ascii="仿宋" w:hAnsi="仿宋" w:eastAsia="仿宋" w:cs="仿宋"/>
                <w:b/>
                <w:bCs/>
                <w:sz w:val="22"/>
                <w:highlight w:val="none"/>
                <w:lang w:eastAsia="zh"/>
              </w:rPr>
              <w:t>合同总价的5%</w:t>
            </w:r>
            <w:r>
              <w:rPr>
                <w:rFonts w:hint="eastAsia" w:ascii="仿宋" w:hAnsi="仿宋" w:eastAsia="仿宋" w:cs="仿宋"/>
                <w:b/>
                <w:bCs/>
                <w:sz w:val="22"/>
                <w:highlight w:val="none"/>
                <w:lang w:eastAsia="zh-CN"/>
              </w:rPr>
              <w:t>。</w:t>
            </w:r>
          </w:p>
          <w:p>
            <w:pPr>
              <w:keepNext w:val="0"/>
              <w:keepLines w:val="0"/>
              <w:widowControl/>
              <w:numPr>
                <w:ilvl w:val="0"/>
                <w:numId w:val="0"/>
              </w:numPr>
              <w:suppressLineNumbers w:val="0"/>
              <w:ind w:firstLine="442" w:firstLineChars="200"/>
              <w:jc w:val="left"/>
              <w:rPr>
                <w:rFonts w:hint="eastAsia" w:ascii="仿宋" w:hAnsi="仿宋" w:eastAsia="仿宋" w:cs="仿宋"/>
                <w:sz w:val="22"/>
                <w:highlight w:val="none"/>
                <w:lang w:val="en-US" w:eastAsia="zh"/>
              </w:rPr>
            </w:pPr>
            <w:r>
              <w:rPr>
                <w:rFonts w:hint="eastAsia" w:ascii="仿宋" w:hAnsi="仿宋" w:eastAsia="仿宋" w:cs="仿宋"/>
                <w:b/>
                <w:bCs/>
                <w:sz w:val="22"/>
                <w:highlight w:val="yellow"/>
                <w:lang w:val="en-US" w:eastAsia="zh"/>
              </w:rPr>
              <w:t>3）</w:t>
            </w:r>
            <w:r>
              <w:rPr>
                <w:rFonts w:hint="eastAsia" w:ascii="仿宋" w:hAnsi="仿宋" w:eastAsia="仿宋" w:cs="仿宋"/>
                <w:b/>
                <w:bCs/>
                <w:sz w:val="22"/>
                <w:highlight w:val="yellow"/>
                <w:lang w:val="en-US" w:eastAsia="zh-CN"/>
              </w:rPr>
              <w:t>工程质量。</w:t>
            </w:r>
            <w:r>
              <w:rPr>
                <w:rFonts w:hint="eastAsia" w:ascii="仿宋" w:hAnsi="仿宋" w:eastAsia="仿宋" w:cs="仿宋"/>
                <w:kern w:val="0"/>
                <w:sz w:val="22"/>
                <w:highlight w:val="none"/>
                <w:lang w:val="en-US" w:eastAsia="zh-CN"/>
              </w:rPr>
              <w:t>违反约定使用了不合格材料或工程设备，工程质量达不到标准要求的，除要求将该部分工程在规定期限内返工外，承包人应承担</w:t>
            </w:r>
            <w:r>
              <w:rPr>
                <w:rFonts w:hint="eastAsia" w:ascii="仿宋" w:hAnsi="仿宋" w:eastAsia="仿宋" w:cs="仿宋"/>
                <w:b/>
                <w:bCs/>
                <w:kern w:val="0"/>
                <w:sz w:val="22"/>
                <w:highlight w:val="none"/>
                <w:lang w:val="en-US" w:eastAsia="zh-CN"/>
              </w:rPr>
              <w:t>不合格工程金额5%</w:t>
            </w:r>
            <w:r>
              <w:rPr>
                <w:rFonts w:hint="eastAsia" w:ascii="仿宋" w:hAnsi="仿宋" w:eastAsia="仿宋" w:cs="仿宋"/>
                <w:kern w:val="0"/>
                <w:sz w:val="22"/>
                <w:highlight w:val="none"/>
                <w:lang w:val="en-US" w:eastAsia="zh-CN"/>
              </w:rPr>
              <w:t>的违约金；在缺陷责任期内，未能对合同工程完工验收鉴定书所列的缺陷清单的内容或缺陷责任期内发生的缺陷进行修复，而又拒绝按监理人指示再进行修补，发包人有权在质量保证金中扣留未履行责任剩余工作所需金额及</w:t>
            </w:r>
            <w:r>
              <w:rPr>
                <w:rFonts w:hint="eastAsia" w:ascii="仿宋" w:hAnsi="仿宋" w:eastAsia="仿宋" w:cs="仿宋"/>
                <w:b/>
                <w:bCs/>
                <w:kern w:val="0"/>
                <w:sz w:val="22"/>
                <w:highlight w:val="none"/>
                <w:lang w:val="en-US" w:eastAsia="zh-CN"/>
              </w:rPr>
              <w:t>该金额5%</w:t>
            </w:r>
            <w:r>
              <w:rPr>
                <w:rFonts w:hint="eastAsia" w:ascii="仿宋" w:hAnsi="仿宋" w:eastAsia="仿宋" w:cs="仿宋"/>
                <w:kern w:val="0"/>
                <w:sz w:val="22"/>
                <w:highlight w:val="none"/>
                <w:lang w:val="en-US" w:eastAsia="zh-CN"/>
              </w:rPr>
              <w:t>的违约金。</w:t>
            </w:r>
          </w:p>
          <w:p>
            <w:pPr>
              <w:keepNext w:val="0"/>
              <w:keepLines w:val="0"/>
              <w:widowControl/>
              <w:suppressLineNumbers w:val="0"/>
              <w:ind w:firstLine="442" w:firstLineChars="200"/>
              <w:jc w:val="left"/>
              <w:rPr>
                <w:rFonts w:hint="eastAsia" w:ascii="仿宋" w:hAnsi="仿宋" w:eastAsia="仿宋" w:cs="仿宋"/>
                <w:b/>
                <w:bCs/>
                <w:sz w:val="22"/>
                <w:highlight w:val="yellow"/>
              </w:rPr>
            </w:pPr>
            <w:r>
              <w:rPr>
                <w:rFonts w:hint="eastAsia" w:ascii="仿宋" w:hAnsi="仿宋" w:eastAsia="仿宋" w:cs="仿宋"/>
                <w:b/>
                <w:bCs/>
                <w:sz w:val="22"/>
                <w:highlight w:val="yellow"/>
              </w:rPr>
              <w:t>4）安全</w:t>
            </w:r>
            <w:r>
              <w:rPr>
                <w:rFonts w:hint="eastAsia" w:ascii="仿宋" w:hAnsi="仿宋" w:eastAsia="仿宋" w:cs="仿宋"/>
                <w:b/>
                <w:bCs/>
                <w:sz w:val="22"/>
                <w:highlight w:val="yellow"/>
                <w:lang w:eastAsia="zh"/>
              </w:rPr>
              <w:t>文明</w:t>
            </w:r>
            <w:r>
              <w:rPr>
                <w:rFonts w:hint="eastAsia" w:ascii="仿宋" w:hAnsi="仿宋" w:eastAsia="仿宋" w:cs="仿宋"/>
                <w:b/>
                <w:bCs/>
                <w:sz w:val="22"/>
                <w:highlight w:val="yellow"/>
              </w:rPr>
              <w:t>生产。</w:t>
            </w:r>
          </w:p>
          <w:p>
            <w:pPr>
              <w:keepNext w:val="0"/>
              <w:keepLines w:val="0"/>
              <w:widowControl/>
              <w:suppressLineNumbers w:val="0"/>
              <w:ind w:firstLine="440" w:firstLineChars="200"/>
              <w:jc w:val="left"/>
              <w:rPr>
                <w:rFonts w:hint="eastAsia" w:ascii="仿宋" w:hAnsi="仿宋" w:eastAsia="仿宋" w:cs="仿宋"/>
                <w:b w:val="0"/>
                <w:bCs w:val="0"/>
                <w:sz w:val="22"/>
                <w:highlight w:val="none"/>
                <w:lang w:eastAsia="zh"/>
              </w:rPr>
            </w:pPr>
            <w:r>
              <w:rPr>
                <w:rFonts w:hint="eastAsia" w:ascii="仿宋" w:hAnsi="仿宋" w:eastAsia="仿宋" w:cs="仿宋"/>
                <w:b w:val="0"/>
                <w:bCs w:val="0"/>
                <w:sz w:val="22"/>
                <w:highlight w:val="none"/>
                <w:lang w:eastAsia="zh"/>
              </w:rPr>
              <w:t>①承包人发生环境污染事故（环境事件）以及地方行政主管部门通报批评事件的，发生</w:t>
            </w:r>
            <w:r>
              <w:rPr>
                <w:rFonts w:hint="eastAsia" w:ascii="仿宋" w:hAnsi="仿宋" w:eastAsia="仿宋" w:cs="仿宋"/>
                <w:b/>
                <w:bCs/>
                <w:sz w:val="22"/>
                <w:highlight w:val="none"/>
                <w:lang w:eastAsia="zh"/>
              </w:rPr>
              <w:t>一般环境污染事故</w:t>
            </w:r>
            <w:r>
              <w:rPr>
                <w:rFonts w:hint="eastAsia" w:ascii="仿宋" w:hAnsi="仿宋" w:eastAsia="仿宋" w:cs="仿宋"/>
                <w:b w:val="0"/>
                <w:bCs w:val="0"/>
                <w:sz w:val="22"/>
                <w:highlight w:val="none"/>
                <w:lang w:eastAsia="zh"/>
              </w:rPr>
              <w:t>（环境事件），承担违约金人民币</w:t>
            </w:r>
            <w:r>
              <w:rPr>
                <w:rFonts w:hint="eastAsia" w:ascii="仿宋" w:hAnsi="仿宋" w:eastAsia="仿宋" w:cs="仿宋"/>
                <w:b/>
                <w:bCs/>
                <w:sz w:val="22"/>
                <w:highlight w:val="none"/>
                <w:lang w:eastAsia="zh"/>
              </w:rPr>
              <w:t>壹万元</w:t>
            </w:r>
            <w:r>
              <w:rPr>
                <w:rFonts w:hint="eastAsia" w:ascii="仿宋" w:hAnsi="仿宋" w:eastAsia="仿宋" w:cs="仿宋"/>
                <w:b w:val="0"/>
                <w:bCs w:val="0"/>
                <w:sz w:val="22"/>
                <w:highlight w:val="none"/>
                <w:lang w:eastAsia="zh"/>
              </w:rPr>
              <w:t>；发生</w:t>
            </w:r>
            <w:r>
              <w:rPr>
                <w:rFonts w:hint="eastAsia" w:ascii="仿宋" w:hAnsi="仿宋" w:eastAsia="仿宋" w:cs="仿宋"/>
                <w:b/>
                <w:bCs/>
                <w:sz w:val="22"/>
                <w:highlight w:val="none"/>
                <w:lang w:eastAsia="zh"/>
              </w:rPr>
              <w:t>较大环境污染事故</w:t>
            </w:r>
            <w:r>
              <w:rPr>
                <w:rFonts w:hint="eastAsia" w:ascii="仿宋" w:hAnsi="仿宋" w:eastAsia="仿宋" w:cs="仿宋"/>
                <w:b w:val="0"/>
                <w:bCs w:val="0"/>
                <w:sz w:val="22"/>
                <w:highlight w:val="none"/>
                <w:lang w:eastAsia="zh"/>
              </w:rPr>
              <w:t>（环境事件），承担违约金人民币</w:t>
            </w:r>
            <w:r>
              <w:rPr>
                <w:rFonts w:hint="eastAsia" w:ascii="仿宋" w:hAnsi="仿宋" w:eastAsia="仿宋" w:cs="仿宋"/>
                <w:b/>
                <w:bCs/>
                <w:sz w:val="22"/>
                <w:highlight w:val="none"/>
                <w:lang w:eastAsia="zh"/>
              </w:rPr>
              <w:t>贰万元</w:t>
            </w:r>
            <w:r>
              <w:rPr>
                <w:rFonts w:hint="eastAsia" w:ascii="仿宋" w:hAnsi="仿宋" w:eastAsia="仿宋" w:cs="仿宋"/>
                <w:b w:val="0"/>
                <w:bCs w:val="0"/>
                <w:sz w:val="22"/>
                <w:highlight w:val="none"/>
                <w:lang w:eastAsia="zh"/>
              </w:rPr>
              <w:t>；发生</w:t>
            </w:r>
            <w:r>
              <w:rPr>
                <w:rFonts w:hint="eastAsia" w:ascii="仿宋" w:hAnsi="仿宋" w:eastAsia="仿宋" w:cs="仿宋"/>
                <w:b/>
                <w:bCs/>
                <w:sz w:val="22"/>
                <w:highlight w:val="none"/>
                <w:lang w:eastAsia="zh"/>
              </w:rPr>
              <w:t>重大及以上环境污染事故</w:t>
            </w:r>
            <w:r>
              <w:rPr>
                <w:rFonts w:hint="eastAsia" w:ascii="仿宋" w:hAnsi="仿宋" w:eastAsia="仿宋" w:cs="仿宋"/>
                <w:b w:val="0"/>
                <w:bCs w:val="0"/>
                <w:sz w:val="22"/>
                <w:highlight w:val="none"/>
                <w:lang w:eastAsia="zh"/>
              </w:rPr>
              <w:t>（环境事件），承担违约金人民币</w:t>
            </w:r>
            <w:r>
              <w:rPr>
                <w:rFonts w:hint="eastAsia" w:ascii="仿宋" w:hAnsi="仿宋" w:eastAsia="仿宋" w:cs="仿宋"/>
                <w:b/>
                <w:bCs/>
                <w:sz w:val="22"/>
                <w:highlight w:val="none"/>
                <w:lang w:eastAsia="zh"/>
              </w:rPr>
              <w:t>叁万元至伍万元</w:t>
            </w:r>
            <w:r>
              <w:rPr>
                <w:rFonts w:hint="eastAsia" w:ascii="仿宋" w:hAnsi="仿宋" w:eastAsia="仿宋" w:cs="仿宋"/>
                <w:b w:val="0"/>
                <w:bCs w:val="0"/>
                <w:sz w:val="22"/>
                <w:highlight w:val="none"/>
                <w:lang w:eastAsia="zh"/>
              </w:rPr>
              <w:t>；发生县及以上行政主管部门通报批评或行政处罚事件的：</w:t>
            </w:r>
            <w:r>
              <w:rPr>
                <w:rFonts w:hint="eastAsia" w:ascii="仿宋" w:hAnsi="仿宋" w:eastAsia="仿宋" w:cs="仿宋"/>
                <w:b/>
                <w:bCs/>
                <w:sz w:val="22"/>
                <w:highlight w:val="none"/>
                <w:lang w:eastAsia="zh"/>
              </w:rPr>
              <w:t>县级</w:t>
            </w:r>
            <w:r>
              <w:rPr>
                <w:rFonts w:hint="eastAsia" w:ascii="仿宋" w:hAnsi="仿宋" w:eastAsia="仿宋" w:cs="仿宋"/>
                <w:b w:val="0"/>
                <w:bCs w:val="0"/>
                <w:sz w:val="22"/>
                <w:highlight w:val="none"/>
                <w:lang w:eastAsia="zh"/>
              </w:rPr>
              <w:t>承担违约金人民币</w:t>
            </w:r>
            <w:r>
              <w:rPr>
                <w:rFonts w:hint="eastAsia" w:ascii="仿宋" w:hAnsi="仿宋" w:eastAsia="仿宋" w:cs="仿宋"/>
                <w:b/>
                <w:bCs/>
                <w:sz w:val="22"/>
                <w:highlight w:val="none"/>
                <w:lang w:eastAsia="zh"/>
              </w:rPr>
              <w:t>壹万元</w:t>
            </w:r>
            <w:r>
              <w:rPr>
                <w:rFonts w:hint="eastAsia" w:ascii="仿宋" w:hAnsi="仿宋" w:eastAsia="仿宋" w:cs="仿宋"/>
                <w:b w:val="0"/>
                <w:bCs w:val="0"/>
                <w:sz w:val="22"/>
                <w:highlight w:val="none"/>
                <w:lang w:eastAsia="zh"/>
              </w:rPr>
              <w:t>、</w:t>
            </w:r>
            <w:r>
              <w:rPr>
                <w:rFonts w:hint="eastAsia" w:ascii="仿宋" w:hAnsi="仿宋" w:eastAsia="仿宋" w:cs="仿宋"/>
                <w:b/>
                <w:bCs/>
                <w:sz w:val="22"/>
                <w:highlight w:val="none"/>
                <w:lang w:eastAsia="zh"/>
              </w:rPr>
              <w:t>地市级</w:t>
            </w:r>
            <w:r>
              <w:rPr>
                <w:rFonts w:hint="eastAsia" w:ascii="仿宋" w:hAnsi="仿宋" w:eastAsia="仿宋" w:cs="仿宋"/>
                <w:b w:val="0"/>
                <w:bCs w:val="0"/>
                <w:sz w:val="22"/>
                <w:highlight w:val="none"/>
                <w:lang w:eastAsia="zh"/>
              </w:rPr>
              <w:t>承担违约金人民币</w:t>
            </w:r>
            <w:r>
              <w:rPr>
                <w:rFonts w:hint="eastAsia" w:ascii="仿宋" w:hAnsi="仿宋" w:eastAsia="仿宋" w:cs="仿宋"/>
                <w:b/>
                <w:bCs/>
                <w:sz w:val="22"/>
                <w:highlight w:val="none"/>
                <w:lang w:eastAsia="zh"/>
              </w:rPr>
              <w:t>贰万元</w:t>
            </w:r>
            <w:r>
              <w:rPr>
                <w:rFonts w:hint="eastAsia" w:ascii="仿宋" w:hAnsi="仿宋" w:eastAsia="仿宋" w:cs="仿宋"/>
                <w:b w:val="0"/>
                <w:bCs w:val="0"/>
                <w:sz w:val="22"/>
                <w:highlight w:val="none"/>
                <w:lang w:eastAsia="zh"/>
              </w:rPr>
              <w:t>、</w:t>
            </w:r>
            <w:r>
              <w:rPr>
                <w:rFonts w:hint="eastAsia" w:ascii="仿宋" w:hAnsi="仿宋" w:eastAsia="仿宋" w:cs="仿宋"/>
                <w:b/>
                <w:bCs/>
                <w:sz w:val="22"/>
                <w:highlight w:val="none"/>
                <w:lang w:eastAsia="zh"/>
              </w:rPr>
              <w:t>省级以上</w:t>
            </w:r>
            <w:r>
              <w:rPr>
                <w:rFonts w:hint="eastAsia" w:ascii="仿宋" w:hAnsi="仿宋" w:eastAsia="仿宋" w:cs="仿宋"/>
                <w:b w:val="0"/>
                <w:bCs w:val="0"/>
                <w:sz w:val="22"/>
                <w:highlight w:val="none"/>
                <w:lang w:eastAsia="zh"/>
              </w:rPr>
              <w:t>承担违约金人民币</w:t>
            </w:r>
            <w:r>
              <w:rPr>
                <w:rFonts w:hint="eastAsia" w:ascii="仿宋" w:hAnsi="仿宋" w:eastAsia="仿宋" w:cs="仿宋"/>
                <w:b/>
                <w:bCs/>
                <w:sz w:val="22"/>
                <w:highlight w:val="none"/>
                <w:lang w:eastAsia="zh"/>
              </w:rPr>
              <w:t>伍万元</w:t>
            </w:r>
            <w:r>
              <w:rPr>
                <w:rFonts w:hint="eastAsia" w:ascii="仿宋" w:hAnsi="仿宋" w:eastAsia="仿宋" w:cs="仿宋"/>
                <w:b w:val="0"/>
                <w:bCs w:val="0"/>
                <w:sz w:val="22"/>
                <w:highlight w:val="none"/>
                <w:lang w:eastAsia="zh"/>
              </w:rPr>
              <w:t>。</w:t>
            </w:r>
          </w:p>
          <w:p>
            <w:pPr>
              <w:keepNext w:val="0"/>
              <w:keepLines w:val="0"/>
              <w:widowControl/>
              <w:suppressLineNumbers w:val="0"/>
              <w:ind w:firstLine="440" w:firstLineChars="200"/>
              <w:jc w:val="left"/>
              <w:rPr>
                <w:rFonts w:hint="eastAsia" w:ascii="仿宋" w:hAnsi="仿宋" w:eastAsia="仿宋" w:cs="仿宋"/>
                <w:b w:val="0"/>
                <w:bCs w:val="0"/>
                <w:sz w:val="22"/>
                <w:highlight w:val="none"/>
                <w:lang w:val="en-US" w:eastAsia="zh"/>
              </w:rPr>
            </w:pPr>
            <w:r>
              <w:rPr>
                <w:rFonts w:hint="eastAsia" w:ascii="仿宋" w:hAnsi="仿宋" w:eastAsia="仿宋" w:cs="仿宋"/>
                <w:b w:val="0"/>
                <w:bCs w:val="0"/>
                <w:sz w:val="22"/>
                <w:highlight w:val="none"/>
                <w:lang w:val="en-US" w:eastAsia="zh"/>
              </w:rPr>
              <w:t>②承包人未做好安全文明施工、水土保持或环境保护措施，监理人在提出整改意见后，承包人未执行的，每发现一次支付违约金人民币</w:t>
            </w:r>
            <w:r>
              <w:rPr>
                <w:rFonts w:hint="eastAsia" w:ascii="仿宋" w:hAnsi="仿宋" w:eastAsia="仿宋" w:cs="仿宋"/>
                <w:b/>
                <w:bCs/>
                <w:sz w:val="22"/>
                <w:highlight w:val="none"/>
                <w:lang w:val="en-US" w:eastAsia="zh"/>
              </w:rPr>
              <w:t>贰万元</w:t>
            </w:r>
            <w:r>
              <w:rPr>
                <w:rFonts w:hint="eastAsia" w:ascii="仿宋" w:hAnsi="仿宋" w:eastAsia="仿宋" w:cs="仿宋"/>
                <w:b w:val="0"/>
                <w:bCs w:val="0"/>
                <w:sz w:val="22"/>
                <w:highlight w:val="none"/>
                <w:lang w:val="en-US" w:eastAsia="zh"/>
              </w:rPr>
              <w:t>。</w:t>
            </w:r>
          </w:p>
          <w:p>
            <w:pPr>
              <w:pStyle w:val="27"/>
              <w:numPr>
                <w:ilvl w:val="0"/>
                <w:numId w:val="0"/>
              </w:numPr>
              <w:ind w:firstLine="442" w:firstLineChars="200"/>
              <w:rPr>
                <w:rFonts w:hint="eastAsia" w:ascii="仿宋" w:hAnsi="仿宋" w:eastAsia="仿宋" w:cs="仿宋"/>
                <w:kern w:val="0"/>
                <w:sz w:val="22"/>
                <w:highlight w:val="none"/>
                <w:lang w:val="en-US" w:eastAsia="zh-CN"/>
              </w:rPr>
            </w:pPr>
            <w:r>
              <w:rPr>
                <w:rFonts w:hint="eastAsia" w:ascii="仿宋" w:hAnsi="仿宋" w:eastAsia="仿宋" w:cs="仿宋"/>
                <w:b/>
                <w:bCs/>
                <w:kern w:val="0"/>
                <w:sz w:val="22"/>
                <w:szCs w:val="24"/>
                <w:highlight w:val="yellow"/>
                <w:lang w:val="en-US" w:eastAsia="zh-CN" w:bidi="ar-SA"/>
              </w:rPr>
              <w:t>5）</w:t>
            </w:r>
            <w:r>
              <w:rPr>
                <w:rFonts w:hint="eastAsia" w:ascii="仿宋" w:hAnsi="仿宋" w:eastAsia="仿宋" w:cs="仿宋"/>
                <w:b/>
                <w:bCs/>
                <w:sz w:val="22"/>
                <w:szCs w:val="22"/>
                <w:highlight w:val="yellow"/>
              </w:rPr>
              <w:t>维稳风险：</w:t>
            </w:r>
            <w:r>
              <w:rPr>
                <w:rFonts w:hint="eastAsia" w:ascii="仿宋" w:hAnsi="仿宋" w:eastAsia="仿宋" w:cs="仿宋"/>
                <w:kern w:val="0"/>
                <w:sz w:val="22"/>
                <w:highlight w:val="none"/>
                <w:lang w:val="en-US" w:eastAsia="zh"/>
              </w:rPr>
              <w:t>承包人因未及时支付分包人工程费用或农民工工资等原因引起投诉、上访、曝光等不良影响的;</w:t>
            </w:r>
            <w:r>
              <w:rPr>
                <w:rFonts w:hint="eastAsia" w:ascii="仿宋" w:hAnsi="仿宋" w:eastAsia="仿宋" w:cs="仿宋"/>
                <w:b/>
                <w:bCs/>
                <w:kern w:val="0"/>
                <w:sz w:val="22"/>
                <w:highlight w:val="none"/>
                <w:lang w:val="en-US" w:eastAsia="zh"/>
              </w:rPr>
              <w:t>每次</w:t>
            </w:r>
            <w:r>
              <w:rPr>
                <w:rFonts w:hint="eastAsia" w:ascii="仿宋" w:hAnsi="仿宋" w:eastAsia="仿宋" w:cs="仿宋"/>
                <w:kern w:val="0"/>
                <w:sz w:val="22"/>
                <w:highlight w:val="none"/>
                <w:lang w:val="en-US" w:eastAsia="zh"/>
              </w:rPr>
              <w:t>向发包人支付违约金人民币</w:t>
            </w:r>
            <w:r>
              <w:rPr>
                <w:rFonts w:hint="eastAsia" w:ascii="仿宋" w:hAnsi="仿宋" w:eastAsia="仿宋" w:cs="仿宋"/>
                <w:b/>
                <w:bCs/>
                <w:kern w:val="2"/>
                <w:sz w:val="22"/>
                <w:szCs w:val="22"/>
                <w:highlight w:val="none"/>
                <w:lang w:val="en-US" w:eastAsia="zh" w:bidi="ar-SA"/>
              </w:rPr>
              <w:t>壹拾万元</w:t>
            </w:r>
            <w:r>
              <w:rPr>
                <w:rFonts w:hint="eastAsia" w:ascii="仿宋" w:hAnsi="仿宋" w:eastAsia="仿宋" w:cs="仿宋"/>
                <w:kern w:val="0"/>
                <w:sz w:val="22"/>
                <w:highlight w:val="none"/>
                <w:lang w:val="en-US" w:eastAsia="zh"/>
              </w:rPr>
              <w:t>。承包人发生由于各种纠纷引发的大规模群体性事件、引发社会舆论较大负面影响的恶性事件，以及发生群体性斗殴等事件，均视为承包人违约，每发生一次，发包人有权扣除承包人违约金100万元;发生负有责任的致死3人以上刑事案件的，每发生一次，发包人有权扣除承包人违约金 300万元。</w:t>
            </w:r>
            <w:r>
              <w:rPr>
                <w:rFonts w:hint="eastAsia" w:ascii="仿宋" w:hAnsi="仿宋" w:eastAsia="仿宋" w:cs="仿宋"/>
                <w:kern w:val="0"/>
                <w:sz w:val="22"/>
                <w:highlight w:val="none"/>
                <w:lang w:val="en-US" w:eastAsia="zh-CN"/>
              </w:rPr>
              <w:t>（项目要做好维稳工作，重点关注农民工工资支付及国务院近期颁发的《保障中小企业款项支付条例》）。</w:t>
            </w:r>
          </w:p>
          <w:p>
            <w:pPr>
              <w:pStyle w:val="27"/>
              <w:numPr>
                <w:ilvl w:val="0"/>
                <w:numId w:val="0"/>
              </w:numPr>
              <w:ind w:firstLine="422" w:firstLineChars="200"/>
              <w:rPr>
                <w:rFonts w:hint="eastAsia" w:ascii="仿宋" w:hAnsi="仿宋" w:eastAsia="仿宋" w:cs="仿宋"/>
                <w:b/>
                <w:bCs/>
                <w:sz w:val="22"/>
                <w:szCs w:val="22"/>
                <w:highlight w:val="yellow"/>
              </w:rPr>
            </w:pPr>
            <w:r>
              <w:rPr>
                <w:rFonts w:hint="eastAsia" w:asciiTheme="minorHAnsi" w:hAnsiTheme="minorHAnsi" w:eastAsiaTheme="minorEastAsia" w:cstheme="minorBidi"/>
                <w:b/>
                <w:bCs/>
                <w:kern w:val="2"/>
                <w:sz w:val="21"/>
                <w:szCs w:val="22"/>
                <w:highlight w:val="yellow"/>
                <w:lang w:val="en-US" w:eastAsia="zh" w:bidi="ar-SA"/>
              </w:rPr>
              <w:t>6）</w:t>
            </w:r>
            <w:r>
              <w:rPr>
                <w:rFonts w:hint="eastAsia" w:ascii="仿宋" w:hAnsi="仿宋" w:eastAsia="仿宋" w:cs="仿宋"/>
                <w:b/>
                <w:bCs/>
                <w:sz w:val="22"/>
                <w:szCs w:val="22"/>
                <w:highlight w:val="yellow"/>
                <w:lang w:val="en-US" w:eastAsia="zh-CN"/>
              </w:rPr>
              <w:t>其他情形</w:t>
            </w:r>
            <w:r>
              <w:rPr>
                <w:rFonts w:hint="eastAsia" w:ascii="仿宋" w:hAnsi="仿宋" w:eastAsia="仿宋" w:cs="仿宋"/>
                <w:b/>
                <w:bCs/>
                <w:sz w:val="22"/>
                <w:szCs w:val="22"/>
                <w:highlight w:val="yellow"/>
              </w:rPr>
              <w:t>：</w:t>
            </w:r>
          </w:p>
          <w:p>
            <w:pPr>
              <w:pStyle w:val="27"/>
              <w:numPr>
                <w:ilvl w:val="0"/>
                <w:numId w:val="0"/>
              </w:numPr>
              <w:ind w:firstLine="440" w:firstLineChars="200"/>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①项目经理被发现在其他项目有任职、项目经理第3个月依然不能履行合同约定驻工地时间，</w:t>
            </w:r>
            <w:r>
              <w:rPr>
                <w:rFonts w:hint="eastAsia" w:ascii="仿宋" w:hAnsi="仿宋" w:eastAsia="仿宋" w:cs="仿宋"/>
                <w:b/>
                <w:bCs/>
                <w:kern w:val="0"/>
                <w:sz w:val="22"/>
                <w:highlight w:val="none"/>
                <w:lang w:val="en-US" w:eastAsia="zh-CN"/>
              </w:rPr>
              <w:t>视为擅自更换项目经理</w:t>
            </w:r>
            <w:r>
              <w:rPr>
                <w:rFonts w:hint="eastAsia" w:ascii="仿宋" w:hAnsi="仿宋" w:eastAsia="仿宋" w:cs="仿宋"/>
                <w:kern w:val="0"/>
                <w:sz w:val="22"/>
                <w:highlight w:val="none"/>
                <w:lang w:val="en-US" w:eastAsia="zh-CN"/>
              </w:rPr>
              <w:t>。</w:t>
            </w:r>
          </w:p>
          <w:p>
            <w:pPr>
              <w:pStyle w:val="27"/>
              <w:numPr>
                <w:ilvl w:val="0"/>
                <w:numId w:val="0"/>
              </w:numPr>
              <w:ind w:firstLine="440" w:firstLineChars="200"/>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②被撤换的项目经理，未经监理人批准仍在原岗位工作的，需向发包人支付违约金为人民币</w:t>
            </w:r>
            <w:r>
              <w:rPr>
                <w:rFonts w:hint="eastAsia" w:ascii="仿宋" w:hAnsi="仿宋" w:eastAsia="仿宋" w:cs="仿宋"/>
                <w:b/>
                <w:bCs/>
                <w:kern w:val="0"/>
                <w:sz w:val="22"/>
                <w:highlight w:val="none"/>
                <w:lang w:val="en-US" w:eastAsia="zh-CN"/>
              </w:rPr>
              <w:t>贰拾万</w:t>
            </w:r>
            <w:r>
              <w:rPr>
                <w:rFonts w:hint="eastAsia" w:ascii="仿宋" w:hAnsi="仿宋" w:eastAsia="仿宋" w:cs="仿宋"/>
                <w:kern w:val="0"/>
                <w:sz w:val="22"/>
                <w:highlight w:val="none"/>
                <w:lang w:val="en-US" w:eastAsia="zh-CN"/>
              </w:rPr>
              <w:t>元/人次；或更换项目经理时，承包人7天内不能提出新的人选以及两次提出的人选其资历业绩等要求都低于中标项目经理的，发包人有权要求承包人支付违约金人民币</w:t>
            </w:r>
            <w:r>
              <w:rPr>
                <w:rFonts w:hint="eastAsia" w:ascii="仿宋" w:hAnsi="仿宋" w:eastAsia="仿宋" w:cs="仿宋"/>
                <w:b/>
                <w:bCs/>
                <w:kern w:val="0"/>
                <w:sz w:val="22"/>
                <w:highlight w:val="none"/>
                <w:lang w:val="en-US" w:eastAsia="zh-CN"/>
              </w:rPr>
              <w:t>壹拾万</w:t>
            </w:r>
            <w:r>
              <w:rPr>
                <w:rFonts w:hint="eastAsia" w:ascii="仿宋" w:hAnsi="仿宋" w:eastAsia="仿宋" w:cs="仿宋"/>
                <w:kern w:val="0"/>
                <w:sz w:val="22"/>
                <w:highlight w:val="none"/>
                <w:lang w:val="en-US" w:eastAsia="zh-CN"/>
              </w:rPr>
              <w:t>元/人次，直至通知承包人解除合同。</w:t>
            </w:r>
          </w:p>
          <w:p>
            <w:pPr>
              <w:pStyle w:val="27"/>
              <w:numPr>
                <w:ilvl w:val="0"/>
                <w:numId w:val="0"/>
              </w:numPr>
              <w:ind w:firstLine="440" w:firstLineChars="200"/>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③被撤换的项目技术负责人、安全负责人、质量负责人，未经监理人批准仍在原岗位工作的，需向发包人支付违约金为人民币</w:t>
            </w:r>
            <w:r>
              <w:rPr>
                <w:rFonts w:hint="eastAsia" w:ascii="仿宋" w:hAnsi="仿宋" w:eastAsia="仿宋" w:cs="仿宋"/>
                <w:b/>
                <w:bCs/>
                <w:kern w:val="0"/>
                <w:sz w:val="22"/>
                <w:highlight w:val="none"/>
                <w:lang w:val="en-US" w:eastAsia="zh-CN"/>
              </w:rPr>
              <w:t>壹拾万</w:t>
            </w:r>
            <w:r>
              <w:rPr>
                <w:rFonts w:hint="eastAsia" w:ascii="仿宋" w:hAnsi="仿宋" w:eastAsia="仿宋" w:cs="仿宋"/>
                <w:kern w:val="0"/>
                <w:sz w:val="22"/>
                <w:highlight w:val="none"/>
                <w:lang w:val="en-US" w:eastAsia="zh-CN"/>
              </w:rPr>
              <w:t>元/人次；或更换前述人员时，承包人7天内不能提出新的人选以及两次提出的人选资历业绩等要求都低于中标人员的，发包人有权要求承包人支付违约金为人民币</w:t>
            </w:r>
            <w:r>
              <w:rPr>
                <w:rFonts w:hint="eastAsia" w:ascii="仿宋" w:hAnsi="仿宋" w:eastAsia="仿宋" w:cs="仿宋"/>
                <w:b/>
                <w:bCs/>
                <w:kern w:val="0"/>
                <w:sz w:val="22"/>
                <w:highlight w:val="none"/>
                <w:lang w:val="en-US" w:eastAsia="zh-CN"/>
              </w:rPr>
              <w:t>伍万元</w:t>
            </w:r>
            <w:r>
              <w:rPr>
                <w:rFonts w:hint="eastAsia" w:ascii="仿宋" w:hAnsi="仿宋" w:eastAsia="仿宋" w:cs="仿宋"/>
                <w:kern w:val="0"/>
                <w:sz w:val="22"/>
                <w:highlight w:val="none"/>
                <w:lang w:val="en-US" w:eastAsia="zh-CN"/>
              </w:rPr>
              <w:t>/人次，直至通知承包人解除合同。</w:t>
            </w:r>
          </w:p>
          <w:p>
            <w:pPr>
              <w:pStyle w:val="27"/>
              <w:numPr>
                <w:ilvl w:val="0"/>
                <w:numId w:val="0"/>
              </w:numPr>
              <w:ind w:firstLine="440" w:firstLineChars="200"/>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④承包人信息化建设未达到发包人要求，且经整改后仍未达到发包人要求的，视其影响及情节严重程度，需向发包人支付违约金人民币</w:t>
            </w:r>
            <w:r>
              <w:rPr>
                <w:rFonts w:hint="eastAsia" w:ascii="仿宋" w:hAnsi="仿宋" w:eastAsia="仿宋" w:cs="仿宋"/>
                <w:b/>
                <w:bCs/>
                <w:kern w:val="0"/>
                <w:sz w:val="22"/>
                <w:highlight w:val="none"/>
                <w:lang w:val="en-US" w:eastAsia="zh-CN"/>
              </w:rPr>
              <w:t>0.5～5 万元/次</w:t>
            </w:r>
            <w:r>
              <w:rPr>
                <w:rFonts w:hint="eastAsia" w:ascii="仿宋" w:hAnsi="仿宋" w:eastAsia="仿宋" w:cs="仿宋"/>
                <w:kern w:val="0"/>
                <w:sz w:val="22"/>
                <w:highlight w:val="none"/>
                <w:lang w:val="en-US" w:eastAsia="zh-CN"/>
              </w:rPr>
              <w:t>，支付违约金后仍需在发包人限定的时间内完成整改；承包人未按专用条款4.14.2项规定的时间完成相应工作的，每延后1天完成，视其影响及情节严重程度，需向发包人支付违约金人民币</w:t>
            </w:r>
            <w:r>
              <w:rPr>
                <w:rFonts w:hint="eastAsia" w:ascii="仿宋" w:hAnsi="仿宋" w:eastAsia="仿宋" w:cs="仿宋"/>
                <w:b/>
                <w:bCs/>
                <w:kern w:val="0"/>
                <w:sz w:val="22"/>
                <w:highlight w:val="none"/>
                <w:lang w:val="en-US" w:eastAsia="zh-CN"/>
              </w:rPr>
              <w:t>1000～5000元/天</w:t>
            </w:r>
            <w:r>
              <w:rPr>
                <w:rFonts w:hint="eastAsia" w:ascii="仿宋" w:hAnsi="仿宋" w:eastAsia="仿宋" w:cs="仿宋"/>
                <w:kern w:val="0"/>
                <w:sz w:val="22"/>
                <w:highlight w:val="none"/>
                <w:lang w:val="en-US" w:eastAsia="zh-CN"/>
              </w:rPr>
              <w:t>。</w:t>
            </w:r>
          </w:p>
          <w:p>
            <w:pPr>
              <w:pStyle w:val="27"/>
              <w:numPr>
                <w:ilvl w:val="0"/>
                <w:numId w:val="0"/>
              </w:numPr>
              <w:ind w:firstLine="440" w:firstLineChars="200"/>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⑤承包人未按专用条款第4.1.10.2目约定完成施工现场配合与协调工作，且拒不执行监理人指令进行整改的，每发生一次，发包人有权根据情节严重情况要求承包人在</w:t>
            </w:r>
            <w:r>
              <w:rPr>
                <w:rFonts w:hint="eastAsia" w:ascii="仿宋" w:hAnsi="仿宋" w:eastAsia="仿宋" w:cs="仿宋"/>
                <w:b/>
                <w:bCs/>
                <w:kern w:val="0"/>
                <w:sz w:val="22"/>
                <w:highlight w:val="none"/>
                <w:lang w:val="en-US" w:eastAsia="zh-CN"/>
              </w:rPr>
              <w:t>0.5～2万元</w:t>
            </w:r>
            <w:r>
              <w:rPr>
                <w:rFonts w:hint="eastAsia" w:ascii="仿宋" w:hAnsi="仿宋" w:eastAsia="仿宋" w:cs="仿宋"/>
                <w:kern w:val="0"/>
                <w:sz w:val="22"/>
                <w:highlight w:val="none"/>
                <w:lang w:val="en-US" w:eastAsia="zh-CN"/>
              </w:rPr>
              <w:t>的范围内向发包人支付违约金。</w:t>
            </w:r>
          </w:p>
          <w:p>
            <w:pPr>
              <w:pStyle w:val="27"/>
              <w:numPr>
                <w:ilvl w:val="0"/>
                <w:numId w:val="0"/>
              </w:numPr>
              <w:ind w:firstLine="440" w:firstLineChars="200"/>
              <w:rPr>
                <w:rFonts w:hint="default" w:eastAsia="仿宋"/>
                <w:lang w:val="en-US" w:eastAsia="zh-CN"/>
              </w:rPr>
            </w:pPr>
            <w:r>
              <w:rPr>
                <w:rFonts w:hint="eastAsia" w:ascii="仿宋" w:hAnsi="仿宋" w:eastAsia="仿宋" w:cs="仿宋"/>
                <w:kern w:val="0"/>
                <w:sz w:val="22"/>
                <w:highlight w:val="none"/>
                <w:lang w:val="en-US" w:eastAsia="zh-CN"/>
              </w:rPr>
              <w:t>⑥承包人擅自转移、挪用合同预付款、进度款的，承包人除应按发包人要求将转移、挪用的合同款项返还至转出账户外，还应支付每次转移、</w:t>
            </w:r>
            <w:r>
              <w:rPr>
                <w:rFonts w:hint="eastAsia" w:ascii="仿宋" w:hAnsi="仿宋" w:eastAsia="仿宋" w:cs="仿宋"/>
                <w:b/>
                <w:bCs/>
                <w:kern w:val="0"/>
                <w:sz w:val="22"/>
                <w:highlight w:val="none"/>
                <w:lang w:val="en-US" w:eastAsia="zh-CN"/>
              </w:rPr>
              <w:t>挪用合同款额2%</w:t>
            </w:r>
            <w:r>
              <w:rPr>
                <w:rFonts w:hint="eastAsia" w:ascii="仿宋" w:hAnsi="仿宋" w:eastAsia="仿宋" w:cs="仿宋"/>
                <w:kern w:val="0"/>
                <w:sz w:val="22"/>
                <w:highlight w:val="none"/>
                <w:lang w:val="en-US" w:eastAsia="zh-CN"/>
              </w:rPr>
              <w:t>的违约金。</w:t>
            </w:r>
          </w:p>
        </w:tc>
      </w:tr>
      <w:tr>
        <w:tblPrEx>
          <w:tblCellMar>
            <w:top w:w="0" w:type="dxa"/>
            <w:left w:w="108" w:type="dxa"/>
            <w:bottom w:w="0" w:type="dxa"/>
            <w:right w:w="108" w:type="dxa"/>
          </w:tblCellMar>
        </w:tblPrEx>
        <w:trPr>
          <w:trHeight w:val="1677"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2"/>
                <w:highlight w:val="none"/>
                <w:lang w:eastAsia="zh"/>
              </w:rPr>
            </w:pPr>
            <w:r>
              <w:rPr>
                <w:rFonts w:hint="eastAsia" w:ascii="仿宋" w:hAnsi="仿宋" w:eastAsia="仿宋" w:cs="仿宋"/>
                <w:kern w:val="0"/>
                <w:sz w:val="22"/>
                <w:highlight w:val="none"/>
                <w:lang w:eastAsia="zh"/>
              </w:rPr>
              <w:t xml:space="preserve">指定分包 </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仿宋" w:hAnsi="仿宋" w:eastAsia="仿宋" w:cs="仿宋"/>
                <w:kern w:val="0"/>
                <w:sz w:val="22"/>
                <w:highlight w:val="none"/>
                <w:lang w:val="en-US" w:eastAsia="zh"/>
              </w:rPr>
            </w:pPr>
            <w:r>
              <w:rPr>
                <w:rFonts w:hint="eastAsia" w:ascii="仿宋" w:hAnsi="仿宋" w:eastAsia="仿宋" w:cs="仿宋"/>
                <w:kern w:val="2"/>
                <w:sz w:val="22"/>
                <w:szCs w:val="22"/>
                <w:highlight w:val="none"/>
                <w:lang w:val="en-US" w:eastAsia="zh-CN" w:bidi="ar-SA"/>
              </w:rPr>
              <w:t>指定分包：无；</w:t>
            </w:r>
            <w:r>
              <w:rPr>
                <w:rFonts w:hint="eastAsia" w:ascii="仿宋" w:hAnsi="仿宋" w:eastAsia="仿宋" w:cs="仿宋"/>
                <w:kern w:val="2"/>
                <w:sz w:val="22"/>
                <w:szCs w:val="22"/>
                <w:highlight w:val="none"/>
                <w:lang w:val="en-US" w:eastAsia="zh" w:bidi="ar-SA"/>
              </w:rPr>
              <w:t>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tc>
      </w:tr>
      <w:tr>
        <w:tblPrEx>
          <w:tblCellMar>
            <w:top w:w="0" w:type="dxa"/>
            <w:left w:w="108" w:type="dxa"/>
            <w:bottom w:w="0" w:type="dxa"/>
            <w:right w:w="108" w:type="dxa"/>
          </w:tblCellMar>
        </w:tblPrEx>
        <w:trPr>
          <w:trHeight w:val="704"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2"/>
                <w:highlight w:val="none"/>
              </w:rPr>
            </w:pPr>
            <w:r>
              <w:rPr>
                <w:rFonts w:hint="eastAsia" w:ascii="仿宋" w:hAnsi="仿宋" w:eastAsia="仿宋" w:cs="仿宋"/>
                <w:kern w:val="0"/>
                <w:sz w:val="22"/>
                <w:highlight w:val="none"/>
              </w:rPr>
              <w:t>签约合同价及主要经济指标</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hint="eastAsia" w:ascii="仿宋" w:hAnsi="仿宋" w:eastAsia="仿宋" w:cs="仿宋"/>
                <w:highlight w:val="none"/>
              </w:rPr>
            </w:pPr>
            <w:r>
              <w:rPr>
                <w:rFonts w:hint="eastAsia" w:ascii="仿宋" w:hAnsi="仿宋" w:eastAsia="仿宋" w:cs="仿宋"/>
                <w:kern w:val="0"/>
                <w:sz w:val="22"/>
                <w:highlight w:val="none"/>
              </w:rPr>
              <w:t>合同</w:t>
            </w:r>
            <w:r>
              <w:rPr>
                <w:rFonts w:hint="eastAsia" w:ascii="仿宋" w:hAnsi="仿宋" w:eastAsia="仿宋" w:cs="仿宋"/>
                <w:kern w:val="0"/>
                <w:sz w:val="22"/>
                <w:highlight w:val="none"/>
                <w:lang w:val="en-US" w:eastAsia="zh-CN"/>
              </w:rPr>
              <w:t>签约</w:t>
            </w:r>
            <w:r>
              <w:rPr>
                <w:rFonts w:hint="eastAsia" w:ascii="仿宋" w:hAnsi="仿宋" w:eastAsia="仿宋" w:cs="仿宋"/>
                <w:kern w:val="0"/>
                <w:sz w:val="22"/>
                <w:highlight w:val="none"/>
              </w:rPr>
              <w:t>总价（含税）为：人民币（大写）陆仟陆佰捌拾肆万贰仟贰佰零玖元整（¥66842209）</w:t>
            </w:r>
            <w:r>
              <w:rPr>
                <w:rFonts w:hint="eastAsia" w:ascii="仿宋" w:hAnsi="仿宋" w:eastAsia="仿宋" w:cs="仿宋"/>
                <w:kern w:val="0"/>
                <w:sz w:val="22"/>
                <w:highlight w:val="none"/>
                <w:lang w:eastAsia="zh-CN"/>
              </w:rPr>
              <w:t>。</w:t>
            </w:r>
          </w:p>
        </w:tc>
      </w:tr>
      <w:tr>
        <w:tblPrEx>
          <w:tblCellMar>
            <w:top w:w="0" w:type="dxa"/>
            <w:left w:w="108" w:type="dxa"/>
            <w:bottom w:w="0" w:type="dxa"/>
            <w:right w:w="108" w:type="dxa"/>
          </w:tblCellMar>
        </w:tblPrEx>
        <w:trPr>
          <w:trHeight w:val="704"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2"/>
                <w:highlight w:val="none"/>
              </w:rPr>
            </w:pPr>
            <w:r>
              <w:rPr>
                <w:rFonts w:hint="eastAsia" w:ascii="仿宋" w:hAnsi="仿宋" w:eastAsia="仿宋" w:cs="仿宋"/>
                <w:kern w:val="0"/>
                <w:sz w:val="22"/>
                <w:highlight w:val="none"/>
              </w:rPr>
              <w:t>设计概预算和招标控制价</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hint="eastAsia" w:ascii="仿宋" w:hAnsi="仿宋" w:eastAsia="仿宋" w:cs="仿宋"/>
                <w:kern w:val="0"/>
                <w:sz w:val="22"/>
                <w:highlight w:val="none"/>
              </w:rPr>
            </w:pPr>
            <w:r>
              <w:rPr>
                <w:rFonts w:hint="eastAsia" w:ascii="仿宋" w:hAnsi="仿宋" w:eastAsia="仿宋" w:cs="仿宋"/>
                <w:kern w:val="0"/>
                <w:sz w:val="22"/>
                <w:highlight w:val="none"/>
              </w:rPr>
              <w:t>工程概算总投资:招标控制价</w:t>
            </w:r>
            <w:r>
              <w:rPr>
                <w:rFonts w:hint="eastAsia" w:ascii="仿宋" w:hAnsi="仿宋" w:eastAsia="仿宋" w:cs="仿宋"/>
                <w:kern w:val="0"/>
                <w:sz w:val="22"/>
                <w:highlight w:val="none"/>
                <w:lang w:val="en-US" w:eastAsia="zh-CN"/>
              </w:rPr>
              <w:t>为</w:t>
            </w:r>
            <w:r>
              <w:rPr>
                <w:rFonts w:hint="eastAsia" w:ascii="仿宋" w:hAnsi="仿宋" w:eastAsia="仿宋" w:cs="仿宋"/>
                <w:kern w:val="0"/>
                <w:sz w:val="22"/>
                <w:highlight w:val="none"/>
              </w:rPr>
              <w:t>人民币7358.1797万元，投标报价为6684.2209万元，降幅为招标控制价的9.16%。</w:t>
            </w:r>
          </w:p>
        </w:tc>
      </w:tr>
      <w:tr>
        <w:tblPrEx>
          <w:tblCellMar>
            <w:top w:w="0" w:type="dxa"/>
            <w:left w:w="108" w:type="dxa"/>
            <w:bottom w:w="0" w:type="dxa"/>
            <w:right w:w="108" w:type="dxa"/>
          </w:tblCellMar>
        </w:tblPrEx>
        <w:trPr>
          <w:trHeight w:val="580"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2"/>
                <w:highlight w:val="none"/>
              </w:rPr>
            </w:pPr>
            <w:r>
              <w:rPr>
                <w:rFonts w:hint="eastAsia" w:ascii="仿宋" w:hAnsi="仿宋" w:eastAsia="仿宋" w:cs="仿宋"/>
                <w:kern w:val="0"/>
                <w:sz w:val="22"/>
                <w:highlight w:val="none"/>
              </w:rPr>
              <w:t>不平衡报价情况</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hint="eastAsia" w:ascii="仿宋" w:hAnsi="仿宋" w:eastAsia="仿宋" w:cs="仿宋"/>
                <w:kern w:val="0"/>
                <w:sz w:val="22"/>
                <w:highlight w:val="none"/>
              </w:rPr>
            </w:pPr>
            <w:r>
              <w:rPr>
                <w:rFonts w:hint="eastAsia" w:ascii="仿宋" w:hAnsi="仿宋" w:eastAsia="仿宋" w:cs="仿宋"/>
                <w:kern w:val="0"/>
                <w:sz w:val="22"/>
                <w:highlight w:val="none"/>
                <w:lang w:val="en-US" w:eastAsia="zh-CN"/>
              </w:rPr>
              <w:t>无</w:t>
            </w:r>
            <w:r>
              <w:rPr>
                <w:rFonts w:hint="eastAsia" w:ascii="仿宋" w:hAnsi="仿宋" w:eastAsia="仿宋" w:cs="仿宋"/>
                <w:kern w:val="0"/>
                <w:sz w:val="22"/>
                <w:highlight w:val="none"/>
              </w:rPr>
              <w:t>。</w:t>
            </w:r>
          </w:p>
        </w:tc>
      </w:tr>
      <w:tr>
        <w:tblPrEx>
          <w:tblCellMar>
            <w:top w:w="0" w:type="dxa"/>
            <w:left w:w="108" w:type="dxa"/>
            <w:bottom w:w="0" w:type="dxa"/>
            <w:right w:w="108" w:type="dxa"/>
          </w:tblCellMar>
        </w:tblPrEx>
        <w:trPr>
          <w:trHeight w:val="90"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2"/>
                <w:highlight w:val="none"/>
              </w:rPr>
            </w:pPr>
            <w:r>
              <w:rPr>
                <w:rFonts w:hint="eastAsia" w:ascii="仿宋" w:hAnsi="仿宋" w:eastAsia="仿宋" w:cs="仿宋"/>
                <w:kern w:val="0"/>
                <w:sz w:val="22"/>
                <w:highlight w:val="none"/>
              </w:rPr>
              <w:t>合同类型</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40" w:firstLineChars="200"/>
              <w:rPr>
                <w:rFonts w:hint="eastAsia" w:ascii="仿宋" w:hAnsi="仿宋" w:eastAsia="仿宋" w:cs="仿宋"/>
                <w:kern w:val="0"/>
                <w:sz w:val="22"/>
                <w:highlight w:val="none"/>
              </w:rPr>
            </w:pPr>
            <w:r>
              <w:rPr>
                <w:rFonts w:hint="eastAsia" w:ascii="仿宋" w:hAnsi="仿宋" w:eastAsia="仿宋" w:cs="仿宋"/>
                <w:kern w:val="0"/>
                <w:sz w:val="22"/>
                <w:highlight w:val="none"/>
              </w:rPr>
              <w:t>采用</w:t>
            </w:r>
            <w:r>
              <w:rPr>
                <w:rFonts w:hint="eastAsia" w:ascii="仿宋" w:hAnsi="仿宋" w:eastAsia="仿宋" w:cs="仿宋"/>
                <w:kern w:val="0"/>
                <w:sz w:val="22"/>
                <w:highlight w:val="none"/>
                <w:lang w:val="en-US" w:eastAsia="zh-CN"/>
              </w:rPr>
              <w:t>单价合同。</w:t>
            </w:r>
          </w:p>
          <w:p>
            <w:pPr>
              <w:widowControl/>
              <w:ind w:firstLine="440" w:firstLineChars="200"/>
              <w:rPr>
                <w:rFonts w:hint="eastAsia" w:ascii="仿宋" w:hAnsi="仿宋" w:eastAsia="仿宋" w:cs="仿宋"/>
                <w:kern w:val="0"/>
                <w:sz w:val="22"/>
                <w:highlight w:val="none"/>
              </w:rPr>
            </w:pPr>
            <w:r>
              <w:rPr>
                <w:rFonts w:hint="eastAsia" w:ascii="仿宋" w:hAnsi="仿宋" w:eastAsia="仿宋" w:cs="仿宋"/>
                <w:kern w:val="0"/>
                <w:sz w:val="22"/>
                <w:highlight w:val="none"/>
              </w:rPr>
              <w:t>签约合同价是指发包人和承包人在合同协议书中确定的总金额，包括安全文明施工费、</w:t>
            </w:r>
            <w:r>
              <w:rPr>
                <w:rFonts w:hint="eastAsia" w:ascii="仿宋" w:hAnsi="仿宋" w:eastAsia="仿宋" w:cs="仿宋"/>
                <w:kern w:val="0"/>
                <w:sz w:val="22"/>
                <w:highlight w:val="none"/>
                <w:lang w:val="en-US" w:eastAsia="zh-CN"/>
              </w:rPr>
              <w:t>交通维护费用</w:t>
            </w:r>
            <w:r>
              <w:rPr>
                <w:rFonts w:hint="eastAsia" w:ascii="仿宋" w:hAnsi="仿宋" w:eastAsia="仿宋" w:cs="仿宋"/>
                <w:kern w:val="0"/>
                <w:sz w:val="22"/>
                <w:highlight w:val="none"/>
              </w:rPr>
              <w:t>、</w:t>
            </w:r>
            <w:r>
              <w:rPr>
                <w:rFonts w:hint="eastAsia" w:ascii="仿宋" w:hAnsi="仿宋" w:eastAsia="仿宋" w:cs="仿宋"/>
                <w:kern w:val="0"/>
                <w:sz w:val="22"/>
                <w:highlight w:val="none"/>
                <w:lang w:val="en-US" w:eastAsia="zh-CN"/>
              </w:rPr>
              <w:t>驻地建设、梁场建设</w:t>
            </w:r>
            <w:r>
              <w:rPr>
                <w:rFonts w:hint="eastAsia" w:ascii="仿宋" w:hAnsi="仿宋" w:eastAsia="仿宋" w:cs="仿宋"/>
                <w:kern w:val="0"/>
                <w:sz w:val="22"/>
                <w:highlight w:val="none"/>
              </w:rPr>
              <w:t>、</w:t>
            </w:r>
            <w:r>
              <w:rPr>
                <w:rFonts w:hint="eastAsia" w:ascii="仿宋" w:hAnsi="仿宋" w:eastAsia="仿宋" w:cs="仿宋"/>
                <w:kern w:val="0"/>
                <w:sz w:val="22"/>
                <w:highlight w:val="none"/>
                <w:lang w:val="en-US" w:eastAsia="zh-CN"/>
              </w:rPr>
              <w:t>临时用地、竣工文件</w:t>
            </w:r>
            <w:r>
              <w:rPr>
                <w:rFonts w:hint="eastAsia" w:ascii="仿宋" w:hAnsi="仿宋" w:eastAsia="仿宋" w:cs="仿宋"/>
                <w:kern w:val="0"/>
                <w:sz w:val="22"/>
                <w:highlight w:val="none"/>
              </w:rPr>
              <w:t>等承包人执行本项目所产生的可预见及不可预见的本合同中协议书条款所约定相关的一切费用。</w:t>
            </w:r>
          </w:p>
        </w:tc>
      </w:tr>
      <w:tr>
        <w:tblPrEx>
          <w:tblCellMar>
            <w:top w:w="0" w:type="dxa"/>
            <w:left w:w="108" w:type="dxa"/>
            <w:bottom w:w="0" w:type="dxa"/>
            <w:right w:w="108" w:type="dxa"/>
          </w:tblCellMar>
        </w:tblPrEx>
        <w:trPr>
          <w:trHeight w:val="580"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2"/>
                <w:highlight w:val="none"/>
              </w:rPr>
            </w:pPr>
            <w:r>
              <w:rPr>
                <w:rFonts w:hint="eastAsia" w:ascii="仿宋" w:hAnsi="仿宋" w:eastAsia="仿宋" w:cs="仿宋"/>
                <w:kern w:val="0"/>
                <w:sz w:val="22"/>
                <w:highlight w:val="none"/>
              </w:rPr>
              <w:t>价款调整规则</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40" w:firstLineChars="200"/>
              <w:rPr>
                <w:rFonts w:hint="eastAsia" w:ascii="仿宋" w:hAnsi="仿宋" w:eastAsia="仿宋" w:cs="仿宋"/>
                <w:kern w:val="0"/>
                <w:sz w:val="22"/>
                <w:highlight w:val="none"/>
                <w:lang w:eastAsia="zh"/>
              </w:rPr>
            </w:pPr>
            <w:r>
              <w:rPr>
                <w:rFonts w:hint="eastAsia" w:ascii="仿宋" w:hAnsi="仿宋" w:eastAsia="仿宋" w:cs="仿宋"/>
                <w:kern w:val="0"/>
                <w:sz w:val="22"/>
                <w:highlight w:val="none"/>
                <w:lang w:eastAsia="zh"/>
              </w:rPr>
              <w:t>物价波动引起的价格调整方式：</w:t>
            </w:r>
            <w:r>
              <w:rPr>
                <w:rFonts w:hint="eastAsia" w:ascii="仿宋" w:hAnsi="仿宋" w:eastAsia="仿宋" w:cs="仿宋"/>
                <w:b/>
                <w:bCs/>
                <w:kern w:val="0"/>
                <w:sz w:val="22"/>
                <w:highlight w:val="none"/>
                <w:lang w:eastAsia="zh"/>
              </w:rPr>
              <w:t>采用造价信息调整价格差额</w:t>
            </w:r>
            <w:r>
              <w:rPr>
                <w:rFonts w:hint="eastAsia" w:ascii="仿宋" w:hAnsi="仿宋" w:eastAsia="仿宋" w:cs="仿宋"/>
                <w:kern w:val="0"/>
                <w:sz w:val="22"/>
                <w:highlight w:val="none"/>
                <w:lang w:eastAsia="zh"/>
              </w:rPr>
              <w:t>。</w:t>
            </w:r>
          </w:p>
          <w:p>
            <w:pPr>
              <w:widowControl/>
              <w:ind w:firstLine="442" w:firstLineChars="200"/>
              <w:rPr>
                <w:rFonts w:hint="eastAsia" w:ascii="仿宋" w:hAnsi="仿宋" w:eastAsia="仿宋" w:cs="仿宋"/>
                <w:kern w:val="0"/>
                <w:sz w:val="22"/>
                <w:highlight w:val="none"/>
                <w:lang w:eastAsia="zh"/>
              </w:rPr>
            </w:pPr>
            <w:r>
              <w:rPr>
                <w:rFonts w:hint="eastAsia" w:ascii="仿宋" w:hAnsi="仿宋" w:eastAsia="仿宋" w:cs="仿宋"/>
                <w:b/>
                <w:bCs/>
                <w:kern w:val="0"/>
                <w:sz w:val="22"/>
                <w:highlight w:val="none"/>
                <w:lang w:val="en-US" w:eastAsia="zh-CN"/>
              </w:rPr>
              <w:t>（1）</w:t>
            </w:r>
            <w:r>
              <w:rPr>
                <w:rFonts w:hint="eastAsia" w:ascii="仿宋" w:hAnsi="仿宋" w:eastAsia="仿宋" w:cs="仿宋"/>
                <w:b/>
                <w:bCs/>
                <w:kern w:val="0"/>
                <w:sz w:val="22"/>
                <w:highlight w:val="none"/>
                <w:lang w:eastAsia="zh"/>
              </w:rPr>
              <w:t>工程造价信息的来源:</w:t>
            </w:r>
            <w:r>
              <w:rPr>
                <w:rFonts w:hint="eastAsia" w:ascii="仿宋" w:hAnsi="仿宋" w:eastAsia="仿宋" w:cs="仿宋"/>
                <w:kern w:val="0"/>
                <w:sz w:val="22"/>
                <w:highlight w:val="none"/>
                <w:lang w:eastAsia="zh"/>
              </w:rPr>
              <w:t>采用临汾市住房和城乡建设局发布的临汾市区价格信息。</w:t>
            </w:r>
          </w:p>
          <w:p>
            <w:pPr>
              <w:widowControl/>
              <w:ind w:firstLine="442" w:firstLineChars="200"/>
              <w:rPr>
                <w:rFonts w:hint="eastAsia" w:ascii="仿宋" w:hAnsi="仿宋" w:eastAsia="仿宋" w:cs="仿宋"/>
                <w:kern w:val="0"/>
                <w:sz w:val="22"/>
                <w:highlight w:val="none"/>
                <w:lang w:eastAsia="zh"/>
              </w:rPr>
            </w:pPr>
            <w:r>
              <w:rPr>
                <w:rFonts w:hint="eastAsia" w:ascii="仿宋" w:hAnsi="仿宋" w:eastAsia="仿宋" w:cs="仿宋"/>
                <w:b/>
                <w:bCs/>
                <w:kern w:val="0"/>
                <w:sz w:val="22"/>
                <w:highlight w:val="none"/>
                <w:lang w:eastAsia="zh-CN"/>
              </w:rPr>
              <w:t>（</w:t>
            </w:r>
            <w:r>
              <w:rPr>
                <w:rFonts w:hint="eastAsia" w:ascii="仿宋" w:hAnsi="仿宋" w:eastAsia="仿宋" w:cs="仿宋"/>
                <w:b/>
                <w:bCs/>
                <w:kern w:val="0"/>
                <w:sz w:val="22"/>
                <w:highlight w:val="none"/>
                <w:lang w:val="en-US" w:eastAsia="zh-CN"/>
              </w:rPr>
              <w:t>2</w:t>
            </w:r>
            <w:r>
              <w:rPr>
                <w:rFonts w:hint="eastAsia" w:ascii="仿宋" w:hAnsi="仿宋" w:eastAsia="仿宋" w:cs="仿宋"/>
                <w:b/>
                <w:bCs/>
                <w:kern w:val="0"/>
                <w:sz w:val="22"/>
                <w:highlight w:val="none"/>
                <w:lang w:eastAsia="zh-CN"/>
              </w:rPr>
              <w:t>）</w:t>
            </w:r>
            <w:r>
              <w:rPr>
                <w:rFonts w:hint="eastAsia" w:ascii="仿宋" w:hAnsi="仿宋" w:eastAsia="仿宋" w:cs="仿宋"/>
                <w:b/>
                <w:bCs/>
                <w:kern w:val="0"/>
                <w:sz w:val="22"/>
                <w:highlight w:val="none"/>
                <w:lang w:eastAsia="zh"/>
              </w:rPr>
              <w:t>材料价格调整的项目:</w:t>
            </w:r>
            <w:r>
              <w:rPr>
                <w:rFonts w:hint="eastAsia" w:ascii="仿宋" w:hAnsi="仿宋" w:eastAsia="仿宋" w:cs="仿宋"/>
                <w:kern w:val="0"/>
                <w:sz w:val="22"/>
                <w:highlight w:val="none"/>
                <w:lang w:eastAsia="zh"/>
              </w:rPr>
              <w:t>本工程仅对单价项目中的钢材、水泥进行调整，计日工及总价项目不作调整。</w:t>
            </w:r>
          </w:p>
          <w:p>
            <w:pPr>
              <w:widowControl/>
              <w:ind w:firstLine="442" w:firstLineChars="200"/>
              <w:rPr>
                <w:rFonts w:hint="eastAsia" w:ascii="仿宋" w:hAnsi="仿宋" w:eastAsia="仿宋" w:cs="仿宋"/>
                <w:kern w:val="0"/>
                <w:sz w:val="22"/>
                <w:highlight w:val="none"/>
                <w:lang w:eastAsia="zh"/>
              </w:rPr>
            </w:pPr>
            <w:r>
              <w:rPr>
                <w:rFonts w:hint="eastAsia" w:ascii="仿宋" w:hAnsi="仿宋" w:eastAsia="仿宋" w:cs="仿宋"/>
                <w:b/>
                <w:bCs/>
                <w:kern w:val="0"/>
                <w:sz w:val="22"/>
                <w:highlight w:val="none"/>
                <w:lang w:val="en-US" w:eastAsia="zh-CN"/>
              </w:rPr>
              <w:t>（3）材料价格调整的具体方法：</w:t>
            </w:r>
            <w:r>
              <w:rPr>
                <w:rFonts w:hint="eastAsia" w:ascii="仿宋" w:hAnsi="仿宋" w:eastAsia="仿宋" w:cs="仿宋"/>
                <w:kern w:val="0"/>
                <w:sz w:val="22"/>
                <w:highlight w:val="none"/>
                <w:lang w:val="en-US" w:eastAsia="zh-CN"/>
              </w:rPr>
              <w:t xml:space="preserve"> </w:t>
            </w:r>
          </w:p>
          <w:p>
            <w:pPr>
              <w:widowControl/>
              <w:ind w:firstLine="440" w:firstLineChars="200"/>
              <w:jc w:val="left"/>
              <w:rPr>
                <w:rFonts w:hint="default" w:ascii="仿宋" w:hAnsi="仿宋" w:eastAsia="仿宋" w:cs="仿宋"/>
                <w:kern w:val="0"/>
                <w:sz w:val="22"/>
                <w:highlight w:val="none"/>
                <w:lang w:val="en-US" w:eastAsia="zh-CN"/>
              </w:rPr>
            </w:pPr>
            <w:r>
              <w:rPr>
                <w:rFonts w:hint="default" w:ascii="仿宋" w:hAnsi="仿宋" w:eastAsia="仿宋" w:cs="仿宋"/>
                <w:kern w:val="0"/>
                <w:sz w:val="22"/>
                <w:highlight w:val="none"/>
                <w:lang w:val="en-US" w:eastAsia="zh-CN"/>
              </w:rPr>
              <w:t>△P = P-P0×（1±r%）</w:t>
            </w:r>
          </w:p>
          <w:p>
            <w:pPr>
              <w:widowControl/>
              <w:ind w:firstLine="440" w:firstLineChars="200"/>
              <w:jc w:val="left"/>
              <w:rPr>
                <w:rFonts w:hint="default" w:ascii="仿宋" w:hAnsi="仿宋" w:eastAsia="仿宋" w:cs="仿宋"/>
                <w:kern w:val="0"/>
                <w:sz w:val="22"/>
                <w:highlight w:val="none"/>
                <w:lang w:val="en-US" w:eastAsia="zh-CN"/>
              </w:rPr>
            </w:pPr>
            <w:r>
              <w:rPr>
                <w:rFonts w:hint="default" w:ascii="仿宋" w:hAnsi="仿宋" w:eastAsia="仿宋" w:cs="仿宋"/>
                <w:kern w:val="0"/>
                <w:sz w:val="22"/>
                <w:highlight w:val="none"/>
                <w:lang w:val="en-US" w:eastAsia="zh-CN"/>
              </w:rPr>
              <w:t>△P：材料价格调差额；</w:t>
            </w:r>
          </w:p>
          <w:p>
            <w:pPr>
              <w:widowControl/>
              <w:ind w:firstLine="440" w:firstLineChars="200"/>
              <w:jc w:val="left"/>
              <w:rPr>
                <w:rFonts w:hint="default" w:ascii="仿宋" w:hAnsi="仿宋" w:eastAsia="仿宋" w:cs="仿宋"/>
                <w:kern w:val="0"/>
                <w:sz w:val="22"/>
                <w:highlight w:val="none"/>
                <w:lang w:val="en-US" w:eastAsia="zh-CN"/>
              </w:rPr>
            </w:pPr>
            <w:r>
              <w:rPr>
                <w:rFonts w:hint="default" w:ascii="仿宋" w:hAnsi="仿宋" w:eastAsia="仿宋" w:cs="仿宋"/>
                <w:kern w:val="0"/>
                <w:sz w:val="22"/>
                <w:highlight w:val="none"/>
                <w:lang w:val="en-US" w:eastAsia="zh-CN"/>
              </w:rPr>
              <w:t>P：施工当年上述指定造价信息来源对应的信息价（根据已批复的工程量报验单上签署的申报日期确定调差年度）；</w:t>
            </w:r>
          </w:p>
          <w:p>
            <w:pPr>
              <w:widowControl/>
              <w:ind w:firstLine="440" w:firstLineChars="200"/>
              <w:jc w:val="left"/>
              <w:rPr>
                <w:rFonts w:hint="default" w:ascii="仿宋" w:hAnsi="仿宋" w:eastAsia="仿宋" w:cs="仿宋"/>
                <w:kern w:val="0"/>
                <w:sz w:val="22"/>
                <w:highlight w:val="none"/>
                <w:lang w:val="en-US" w:eastAsia="zh-CN"/>
              </w:rPr>
            </w:pPr>
            <w:r>
              <w:rPr>
                <w:rFonts w:hint="default" w:ascii="仿宋" w:hAnsi="仿宋" w:eastAsia="仿宋" w:cs="仿宋"/>
                <w:kern w:val="0"/>
                <w:sz w:val="22"/>
                <w:highlight w:val="none"/>
                <w:lang w:val="en-US" w:eastAsia="zh-CN"/>
              </w:rPr>
              <w:t>P=（P1+P2+P3+P4+P5+P6）/6</w:t>
            </w:r>
          </w:p>
          <w:p>
            <w:pPr>
              <w:widowControl/>
              <w:ind w:firstLine="440" w:firstLineChars="200"/>
              <w:jc w:val="left"/>
              <w:rPr>
                <w:rFonts w:hint="default" w:ascii="仿宋" w:hAnsi="仿宋" w:eastAsia="仿宋" w:cs="仿宋"/>
                <w:kern w:val="0"/>
                <w:sz w:val="22"/>
                <w:highlight w:val="none"/>
                <w:lang w:val="en-US" w:eastAsia="zh-CN"/>
              </w:rPr>
            </w:pPr>
            <w:r>
              <w:rPr>
                <w:rFonts w:hint="default" w:ascii="仿宋" w:hAnsi="仿宋" w:eastAsia="仿宋" w:cs="仿宋"/>
                <w:kern w:val="0"/>
                <w:sz w:val="22"/>
                <w:highlight w:val="none"/>
                <w:lang w:val="en-US" w:eastAsia="zh-CN"/>
              </w:rPr>
              <w:t>P1-P6为调差当年临汾市住房和城乡建设局发布的临汾市区价格信息（每2个月发布一次），若某一调差年度某一期价格信息没有发布，则参考前后各一期的信息价格取平均值作为本期信息价格。</w:t>
            </w:r>
          </w:p>
          <w:p>
            <w:pPr>
              <w:widowControl/>
              <w:ind w:firstLine="440" w:firstLineChars="200"/>
              <w:jc w:val="left"/>
              <w:rPr>
                <w:rFonts w:hint="default" w:ascii="仿宋" w:hAnsi="仿宋" w:eastAsia="仿宋" w:cs="仿宋"/>
                <w:kern w:val="0"/>
                <w:sz w:val="22"/>
                <w:highlight w:val="none"/>
                <w:lang w:val="en-US" w:eastAsia="zh-CN"/>
              </w:rPr>
            </w:pPr>
            <w:r>
              <w:rPr>
                <w:rFonts w:hint="default" w:ascii="仿宋" w:hAnsi="仿宋" w:eastAsia="仿宋" w:cs="仿宋"/>
                <w:kern w:val="0"/>
                <w:sz w:val="22"/>
                <w:highlight w:val="none"/>
                <w:lang w:val="en-US" w:eastAsia="zh-CN"/>
              </w:rPr>
              <w:t>P0：投标截止日前28天上述指定来源对应的最新信息价；</w:t>
            </w:r>
          </w:p>
          <w:p>
            <w:pPr>
              <w:widowControl/>
              <w:ind w:firstLine="440" w:firstLineChars="200"/>
              <w:jc w:val="left"/>
              <w:rPr>
                <w:rFonts w:hint="eastAsia" w:ascii="仿宋" w:hAnsi="仿宋" w:eastAsia="仿宋" w:cs="仿宋"/>
                <w:kern w:val="0"/>
                <w:sz w:val="22"/>
                <w:highlight w:val="none"/>
                <w:lang w:val="en-US" w:eastAsia="zh"/>
              </w:rPr>
            </w:pPr>
            <w:r>
              <w:rPr>
                <w:rFonts w:hint="default" w:ascii="仿宋" w:hAnsi="仿宋" w:eastAsia="仿宋" w:cs="仿宋"/>
                <w:kern w:val="0"/>
                <w:sz w:val="22"/>
                <w:highlight w:val="none"/>
                <w:lang w:val="en-US" w:eastAsia="zh-CN"/>
              </w:rPr>
              <w:t>r：风险幅度系数，r=5，物价波动在风险幅度范围（-r%，+r%）以内不进行价格调整；价格调增时取“+”号，价格调减时取“–”号</w:t>
            </w:r>
            <w:r>
              <w:rPr>
                <w:rFonts w:hint="eastAsia" w:ascii="仿宋" w:hAnsi="仿宋" w:eastAsia="仿宋" w:cs="仿宋"/>
                <w:kern w:val="0"/>
                <w:sz w:val="22"/>
                <w:highlight w:val="none"/>
                <w:lang w:val="en-US" w:eastAsia="zh"/>
              </w:rPr>
              <w:t>。</w:t>
            </w:r>
          </w:p>
          <w:p>
            <w:pPr>
              <w:widowControl/>
              <w:ind w:firstLine="442" w:firstLineChars="200"/>
              <w:jc w:val="left"/>
              <w:rPr>
                <w:rFonts w:hint="eastAsia" w:ascii="仿宋" w:hAnsi="仿宋" w:eastAsia="仿宋" w:cs="仿宋"/>
                <w:kern w:val="0"/>
                <w:sz w:val="22"/>
                <w:highlight w:val="none"/>
                <w:lang w:val="en-US" w:eastAsia="zh-CN"/>
              </w:rPr>
            </w:pPr>
            <w:r>
              <w:rPr>
                <w:rFonts w:hint="eastAsia" w:ascii="仿宋" w:hAnsi="仿宋" w:eastAsia="仿宋" w:cs="仿宋"/>
                <w:b/>
                <w:bCs/>
                <w:kern w:val="0"/>
                <w:sz w:val="22"/>
                <w:highlight w:val="none"/>
                <w:lang w:val="en-US" w:eastAsia="zh-CN"/>
              </w:rPr>
              <w:t>（4）对价格调整的范围及方式进行补充说明</w:t>
            </w:r>
            <w:r>
              <w:rPr>
                <w:rFonts w:hint="eastAsia" w:ascii="仿宋" w:hAnsi="仿宋" w:eastAsia="仿宋" w:cs="仿宋"/>
                <w:kern w:val="0"/>
                <w:sz w:val="22"/>
                <w:highlight w:val="none"/>
                <w:lang w:val="en-US" w:eastAsia="zh-CN"/>
              </w:rPr>
              <w:t>：</w:t>
            </w:r>
          </w:p>
          <w:p>
            <w:pPr>
              <w:widowControl/>
              <w:ind w:firstLine="440" w:firstLineChars="200"/>
              <w:jc w:val="left"/>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①钢材：仅调整钢筋制安、钢绞线，按实际结算的工程量计算。</w:t>
            </w:r>
          </w:p>
          <w:p>
            <w:pPr>
              <w:widowControl/>
              <w:ind w:firstLine="440" w:firstLineChars="200"/>
              <w:jc w:val="left"/>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以螺纹钢HRB400 16-25mm的平均价格作为所有不同类型、不同型号钢材的价格调整依据。</w:t>
            </w:r>
          </w:p>
          <w:p>
            <w:pPr>
              <w:widowControl/>
              <w:ind w:firstLine="440" w:firstLineChars="200"/>
              <w:jc w:val="left"/>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②水泥：仅调整混凝土中的水泥，按实际结算的工程量及监理批复的配合比计算。以42.5MPa普通硅酸盐水泥的价格作为所有不同类型、不同强度等级水泥的价格调整依据。</w:t>
            </w:r>
          </w:p>
          <w:p>
            <w:pPr>
              <w:widowControl/>
              <w:ind w:firstLine="442" w:firstLineChars="200"/>
              <w:jc w:val="left"/>
              <w:rPr>
                <w:rFonts w:hint="eastAsia" w:ascii="仿宋" w:hAnsi="仿宋" w:eastAsia="仿宋" w:cs="仿宋"/>
                <w:b/>
                <w:bCs/>
                <w:kern w:val="0"/>
                <w:sz w:val="22"/>
                <w:highlight w:val="none"/>
                <w:lang w:val="en-US" w:eastAsia="zh-CN"/>
              </w:rPr>
            </w:pPr>
            <w:r>
              <w:rPr>
                <w:rFonts w:hint="eastAsia" w:ascii="仿宋" w:hAnsi="仿宋" w:eastAsia="仿宋" w:cs="仿宋"/>
                <w:b/>
                <w:bCs/>
                <w:kern w:val="0"/>
                <w:sz w:val="22"/>
                <w:highlight w:val="none"/>
                <w:lang w:val="en-US" w:eastAsia="zh-CN"/>
              </w:rPr>
              <w:t>（5）材料价格调整每年调整一次，2025年度不调整，自2026年度起进行调整。</w:t>
            </w:r>
          </w:p>
          <w:p>
            <w:pPr>
              <w:widowControl/>
              <w:ind w:firstLine="442" w:firstLineChars="200"/>
              <w:jc w:val="left"/>
              <w:rPr>
                <w:rFonts w:hint="default" w:ascii="仿宋" w:hAnsi="仿宋" w:eastAsia="仿宋" w:cs="仿宋"/>
                <w:kern w:val="0"/>
                <w:sz w:val="22"/>
                <w:highlight w:val="none"/>
                <w:lang w:val="en-US" w:eastAsia="zh-CN"/>
              </w:rPr>
            </w:pPr>
            <w:r>
              <w:rPr>
                <w:rFonts w:hint="eastAsia" w:ascii="仿宋" w:hAnsi="仿宋" w:eastAsia="仿宋" w:cs="仿宋"/>
                <w:b/>
                <w:bCs/>
                <w:kern w:val="0"/>
                <w:sz w:val="22"/>
                <w:highlight w:val="none"/>
                <w:lang w:val="en-US" w:eastAsia="zh-CN"/>
              </w:rPr>
              <w:t>（6）调差材料总金额仅计取税金，不计算其他任何费用。</w:t>
            </w:r>
          </w:p>
        </w:tc>
      </w:tr>
      <w:tr>
        <w:tblPrEx>
          <w:tblCellMar>
            <w:top w:w="0" w:type="dxa"/>
            <w:left w:w="108" w:type="dxa"/>
            <w:bottom w:w="0" w:type="dxa"/>
            <w:right w:w="108" w:type="dxa"/>
          </w:tblCellMar>
        </w:tblPrEx>
        <w:trPr>
          <w:trHeight w:val="580"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2"/>
                <w:highlight w:val="none"/>
              </w:rPr>
            </w:pPr>
            <w:r>
              <w:rPr>
                <w:rFonts w:hint="eastAsia" w:ascii="仿宋" w:hAnsi="仿宋" w:eastAsia="仿宋" w:cs="仿宋"/>
                <w:kern w:val="0"/>
                <w:sz w:val="22"/>
                <w:highlight w:val="none"/>
              </w:rPr>
              <w:t>变更索赔约定</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42" w:firstLineChars="200"/>
              <w:jc w:val="left"/>
              <w:rPr>
                <w:rFonts w:hint="eastAsia" w:ascii="仿宋" w:hAnsi="仿宋" w:eastAsia="仿宋" w:cs="仿宋"/>
                <w:b/>
                <w:bCs/>
                <w:color w:val="FF0000"/>
                <w:kern w:val="0"/>
                <w:sz w:val="22"/>
                <w:highlight w:val="none"/>
                <w:lang w:val="en-US" w:eastAsia="zh"/>
              </w:rPr>
            </w:pPr>
            <w:r>
              <w:rPr>
                <w:rFonts w:hint="eastAsia" w:ascii="仿宋" w:hAnsi="仿宋" w:eastAsia="仿宋" w:cs="仿宋"/>
                <w:b/>
                <w:bCs/>
                <w:color w:val="FF0000"/>
                <w:kern w:val="0"/>
                <w:sz w:val="22"/>
                <w:highlight w:val="none"/>
                <w:lang w:val="en-US" w:eastAsia="zh"/>
              </w:rPr>
              <w:t>在履行合同过程中，经发包人同意，监理人可按变更程序向承包人作出变更指示，承包人应遵照执行。没有监理人的变更指示，承包人不得擅自变更。</w:t>
            </w:r>
          </w:p>
          <w:p>
            <w:pPr>
              <w:widowControl/>
              <w:ind w:firstLine="442" w:firstLineChars="200"/>
              <w:jc w:val="left"/>
              <w:rPr>
                <w:rFonts w:hint="eastAsia" w:ascii="仿宋" w:hAnsi="仿宋" w:eastAsia="仿宋" w:cs="仿宋"/>
                <w:kern w:val="0"/>
                <w:sz w:val="22"/>
                <w:highlight w:val="none"/>
              </w:rPr>
            </w:pPr>
            <w:r>
              <w:rPr>
                <w:rFonts w:hint="eastAsia" w:ascii="仿宋" w:hAnsi="仿宋" w:eastAsia="仿宋" w:cs="仿宋"/>
                <w:b/>
                <w:bCs/>
                <w:kern w:val="0"/>
                <w:sz w:val="22"/>
                <w:highlight w:val="none"/>
              </w:rPr>
              <w:t>1.变更</w:t>
            </w:r>
            <w:r>
              <w:rPr>
                <w:rFonts w:hint="eastAsia" w:ascii="仿宋" w:hAnsi="仿宋" w:eastAsia="仿宋" w:cs="仿宋"/>
                <w:b/>
                <w:bCs/>
                <w:kern w:val="0"/>
                <w:sz w:val="22"/>
                <w:highlight w:val="none"/>
                <w:lang w:val="en-US" w:eastAsia="zh-CN"/>
              </w:rPr>
              <w:t>范围</w:t>
            </w:r>
            <w:r>
              <w:rPr>
                <w:rFonts w:hint="eastAsia" w:ascii="仿宋" w:hAnsi="仿宋" w:eastAsia="仿宋" w:cs="仿宋"/>
                <w:b/>
                <w:bCs/>
                <w:kern w:val="0"/>
                <w:sz w:val="22"/>
                <w:highlight w:val="none"/>
              </w:rPr>
              <w:t>及内容：</w:t>
            </w:r>
          </w:p>
          <w:p>
            <w:pPr>
              <w:widowControl/>
              <w:ind w:firstLine="440" w:firstLineChars="200"/>
              <w:jc w:val="left"/>
              <w:rPr>
                <w:rFonts w:hint="eastAsia" w:ascii="仿宋" w:hAnsi="仿宋" w:eastAsia="仿宋" w:cs="仿宋"/>
                <w:kern w:val="0"/>
                <w:sz w:val="22"/>
                <w:highlight w:val="none"/>
                <w:lang w:eastAsia="zh"/>
              </w:rPr>
            </w:pPr>
            <w:r>
              <w:rPr>
                <w:rFonts w:hint="eastAsia" w:ascii="仿宋" w:hAnsi="仿宋" w:eastAsia="仿宋" w:cs="仿宋"/>
                <w:kern w:val="0"/>
                <w:sz w:val="22"/>
                <w:highlight w:val="none"/>
                <w:lang w:eastAsia="zh"/>
              </w:rPr>
              <w:t>在履行合同中发生以下情形之一，应按照本款规定进行变更。</w:t>
            </w:r>
          </w:p>
          <w:p>
            <w:pPr>
              <w:widowControl/>
              <w:numPr>
                <w:ilvl w:val="0"/>
                <w:numId w:val="0"/>
              </w:numPr>
              <w:ind w:firstLine="440" w:firstLineChars="200"/>
              <w:jc w:val="left"/>
              <w:rPr>
                <w:rFonts w:hint="eastAsia" w:ascii="仿宋" w:hAnsi="仿宋" w:eastAsia="仿宋" w:cs="仿宋"/>
                <w:kern w:val="0"/>
                <w:sz w:val="22"/>
                <w:highlight w:val="none"/>
                <w:lang w:eastAsia="zh"/>
              </w:rPr>
            </w:pPr>
            <w:r>
              <w:rPr>
                <w:rFonts w:hint="default" w:ascii="仿宋" w:hAnsi="仿宋" w:eastAsia="仿宋" w:cs="仿宋"/>
                <w:color w:val="000000"/>
                <w:kern w:val="0"/>
                <w:sz w:val="22"/>
                <w:szCs w:val="22"/>
                <w:lang w:val="en-US" w:eastAsia="zh" w:bidi="ar-SA"/>
              </w:rPr>
              <w:t>(1)</w:t>
            </w:r>
            <w:r>
              <w:rPr>
                <w:rFonts w:hint="eastAsia" w:ascii="仿宋" w:hAnsi="仿宋" w:eastAsia="仿宋" w:cs="仿宋"/>
                <w:kern w:val="0"/>
                <w:sz w:val="22"/>
                <w:highlight w:val="none"/>
                <w:lang w:eastAsia="zh"/>
              </w:rPr>
              <w:t>取消合同中任何一项工作，但被取消的工作不能转由发包人或其它人实施;</w:t>
            </w:r>
          </w:p>
          <w:p>
            <w:pPr>
              <w:widowControl/>
              <w:numPr>
                <w:ilvl w:val="0"/>
                <w:numId w:val="0"/>
              </w:numPr>
              <w:ind w:firstLine="440" w:firstLineChars="200"/>
              <w:jc w:val="left"/>
              <w:rPr>
                <w:rFonts w:hint="eastAsia" w:ascii="仿宋" w:hAnsi="仿宋" w:eastAsia="仿宋" w:cs="仿宋"/>
                <w:kern w:val="0"/>
                <w:sz w:val="22"/>
                <w:highlight w:val="none"/>
                <w:lang w:eastAsia="zh"/>
              </w:rPr>
            </w:pPr>
            <w:r>
              <w:rPr>
                <w:rFonts w:hint="default" w:ascii="仿宋" w:hAnsi="仿宋" w:eastAsia="仿宋" w:cs="仿宋"/>
                <w:color w:val="000000"/>
                <w:kern w:val="0"/>
                <w:sz w:val="22"/>
                <w:szCs w:val="22"/>
                <w:lang w:val="en-US" w:eastAsia="zh" w:bidi="ar-SA"/>
              </w:rPr>
              <w:t>(2)</w:t>
            </w:r>
            <w:r>
              <w:rPr>
                <w:rFonts w:hint="eastAsia" w:ascii="仿宋" w:hAnsi="仿宋" w:eastAsia="仿宋" w:cs="仿宋"/>
                <w:kern w:val="0"/>
                <w:sz w:val="22"/>
                <w:highlight w:val="none"/>
                <w:lang w:eastAsia="zh"/>
              </w:rPr>
              <w:t>改变合同中任何一项工作的质量或其它特性;</w:t>
            </w:r>
          </w:p>
          <w:p>
            <w:pPr>
              <w:widowControl/>
              <w:numPr>
                <w:ilvl w:val="0"/>
                <w:numId w:val="0"/>
              </w:numPr>
              <w:ind w:firstLine="440" w:firstLineChars="200"/>
              <w:jc w:val="left"/>
              <w:rPr>
                <w:rFonts w:hint="eastAsia" w:ascii="仿宋" w:hAnsi="仿宋" w:eastAsia="仿宋" w:cs="仿宋"/>
                <w:kern w:val="0"/>
                <w:sz w:val="22"/>
                <w:highlight w:val="none"/>
                <w:lang w:eastAsia="zh"/>
              </w:rPr>
            </w:pPr>
            <w:r>
              <w:rPr>
                <w:rFonts w:hint="default" w:ascii="仿宋" w:hAnsi="仿宋" w:eastAsia="仿宋" w:cs="仿宋"/>
                <w:color w:val="000000"/>
                <w:kern w:val="0"/>
                <w:sz w:val="22"/>
                <w:szCs w:val="22"/>
                <w:lang w:val="en-US" w:eastAsia="zh" w:bidi="ar-SA"/>
              </w:rPr>
              <w:t>(3)</w:t>
            </w:r>
            <w:r>
              <w:rPr>
                <w:rFonts w:hint="eastAsia" w:ascii="仿宋" w:hAnsi="仿宋" w:eastAsia="仿宋" w:cs="仿宋"/>
                <w:kern w:val="0"/>
                <w:sz w:val="22"/>
                <w:highlight w:val="none"/>
                <w:lang w:eastAsia="zh"/>
              </w:rPr>
              <w:t>改变合同工程的基线、标高、位置或尺寸;</w:t>
            </w:r>
          </w:p>
          <w:p>
            <w:pPr>
              <w:widowControl/>
              <w:numPr>
                <w:ilvl w:val="0"/>
                <w:numId w:val="0"/>
              </w:numPr>
              <w:ind w:firstLine="440" w:firstLineChars="200"/>
              <w:jc w:val="left"/>
              <w:rPr>
                <w:rFonts w:hint="eastAsia" w:ascii="仿宋" w:hAnsi="仿宋" w:eastAsia="仿宋" w:cs="仿宋"/>
                <w:kern w:val="0"/>
                <w:sz w:val="22"/>
                <w:highlight w:val="none"/>
                <w:lang w:eastAsia="zh"/>
              </w:rPr>
            </w:pPr>
            <w:r>
              <w:rPr>
                <w:rFonts w:hint="default" w:ascii="仿宋" w:hAnsi="仿宋" w:eastAsia="仿宋" w:cs="仿宋"/>
                <w:color w:val="000000"/>
                <w:kern w:val="0"/>
                <w:sz w:val="22"/>
                <w:szCs w:val="22"/>
                <w:lang w:val="en-US" w:eastAsia="zh" w:bidi="ar-SA"/>
              </w:rPr>
              <w:t>(4)</w:t>
            </w:r>
            <w:r>
              <w:rPr>
                <w:rFonts w:hint="eastAsia" w:ascii="仿宋" w:hAnsi="仿宋" w:eastAsia="仿宋" w:cs="仿宋"/>
                <w:kern w:val="0"/>
                <w:sz w:val="22"/>
                <w:highlight w:val="none"/>
                <w:lang w:eastAsia="zh"/>
              </w:rPr>
              <w:t>改变合同中任何一项工作的施工时间或改变已批准的施工工艺或顺序;</w:t>
            </w:r>
          </w:p>
          <w:p>
            <w:pPr>
              <w:widowControl/>
              <w:numPr>
                <w:ilvl w:val="0"/>
                <w:numId w:val="0"/>
              </w:numPr>
              <w:ind w:firstLine="440" w:firstLineChars="200"/>
              <w:jc w:val="left"/>
              <w:rPr>
                <w:rFonts w:hint="eastAsia" w:ascii="仿宋" w:hAnsi="仿宋" w:eastAsia="仿宋" w:cs="仿宋"/>
                <w:kern w:val="0"/>
                <w:sz w:val="22"/>
                <w:highlight w:val="none"/>
                <w:lang w:eastAsia="zh"/>
              </w:rPr>
            </w:pPr>
            <w:r>
              <w:rPr>
                <w:rFonts w:hint="default" w:ascii="仿宋" w:hAnsi="仿宋" w:eastAsia="仿宋" w:cs="仿宋"/>
                <w:color w:val="000000"/>
                <w:kern w:val="0"/>
                <w:sz w:val="22"/>
                <w:szCs w:val="22"/>
                <w:lang w:val="en-US" w:eastAsia="zh" w:bidi="ar-SA"/>
              </w:rPr>
              <w:t>(5)</w:t>
            </w:r>
            <w:r>
              <w:rPr>
                <w:rFonts w:hint="eastAsia" w:ascii="仿宋" w:hAnsi="仿宋" w:eastAsia="仿宋" w:cs="仿宋"/>
                <w:kern w:val="0"/>
                <w:sz w:val="22"/>
                <w:highlight w:val="none"/>
                <w:lang w:eastAsia="zh"/>
              </w:rPr>
              <w:t>为完成工程需要追加的额外工作;</w:t>
            </w:r>
          </w:p>
          <w:p>
            <w:pPr>
              <w:widowControl/>
              <w:numPr>
                <w:ilvl w:val="0"/>
                <w:numId w:val="0"/>
              </w:numPr>
              <w:ind w:firstLine="440" w:firstLineChars="200"/>
              <w:jc w:val="left"/>
              <w:rPr>
                <w:rFonts w:hint="eastAsia" w:ascii="仿宋" w:hAnsi="仿宋" w:eastAsia="仿宋" w:cs="仿宋"/>
                <w:color w:val="000000"/>
                <w:kern w:val="0"/>
                <w:sz w:val="22"/>
                <w:highlight w:val="none"/>
                <w:lang w:eastAsia="zh"/>
              </w:rPr>
            </w:pPr>
            <w:r>
              <w:rPr>
                <w:rFonts w:hint="default" w:ascii="仿宋" w:hAnsi="仿宋" w:eastAsia="仿宋" w:cs="仿宋"/>
                <w:color w:val="000000"/>
                <w:kern w:val="0"/>
                <w:sz w:val="22"/>
                <w:szCs w:val="22"/>
                <w:lang w:val="en-US" w:eastAsia="zh" w:bidi="ar-SA"/>
              </w:rPr>
              <w:t>(6)</w:t>
            </w:r>
            <w:r>
              <w:rPr>
                <w:rFonts w:hint="eastAsia" w:ascii="仿宋" w:hAnsi="仿宋" w:eastAsia="仿宋" w:cs="仿宋"/>
                <w:color w:val="000000"/>
                <w:kern w:val="0"/>
                <w:sz w:val="22"/>
                <w:highlight w:val="none"/>
                <w:lang w:eastAsia="zh"/>
              </w:rPr>
              <w:t>增加或减少合同中关键项目的工程量超过其项目工程总量的15％，</w:t>
            </w:r>
            <w:r>
              <w:rPr>
                <w:rFonts w:hint="eastAsia" w:ascii="仿宋" w:hAnsi="仿宋" w:eastAsia="仿宋" w:cs="仿宋"/>
                <w:b/>
                <w:bCs/>
                <w:color w:val="000000"/>
                <w:kern w:val="0"/>
                <w:sz w:val="22"/>
                <w:highlight w:val="none"/>
                <w:lang w:eastAsia="zh"/>
              </w:rPr>
              <w:t>关键项目：</w:t>
            </w:r>
            <w:r>
              <w:rPr>
                <w:rFonts w:hint="eastAsia" w:ascii="仿宋" w:hAnsi="仿宋" w:eastAsia="仿宋" w:cs="仿宋"/>
                <w:color w:val="000000"/>
                <w:kern w:val="0"/>
                <w:sz w:val="22"/>
                <w:highlight w:val="none"/>
                <w:lang w:eastAsia="zh"/>
              </w:rPr>
              <w:t>《工程量清单》404 基坑开挖及回填、405 钻孔灌注桩、411 预应力混凝土工程范围内的子目，</w:t>
            </w:r>
            <w:r>
              <w:rPr>
                <w:rFonts w:hint="eastAsia" w:ascii="仿宋" w:hAnsi="仿宋" w:eastAsia="仿宋" w:cs="仿宋"/>
                <w:b/>
                <w:bCs/>
                <w:color w:val="000000"/>
                <w:kern w:val="0"/>
                <w:sz w:val="22"/>
                <w:highlight w:val="none"/>
                <w:lang w:eastAsia="zh"/>
              </w:rPr>
              <w:t>单价调整方式：</w:t>
            </w:r>
            <w:r>
              <w:rPr>
                <w:rFonts w:hint="eastAsia" w:ascii="仿宋" w:hAnsi="仿宋" w:eastAsia="仿宋" w:cs="仿宋"/>
                <w:color w:val="000000"/>
                <w:kern w:val="0"/>
                <w:sz w:val="22"/>
                <w:highlight w:val="none"/>
                <w:lang w:eastAsia="zh"/>
              </w:rPr>
              <w:t>关键项目增加超过15%的，调减超过部分的工程量税前单价的5%；关键项目减少超过15%的，调增剩余的工程量合同单价税前的5%。</w:t>
            </w:r>
          </w:p>
          <w:p>
            <w:pPr>
              <w:widowControl/>
              <w:numPr>
                <w:ilvl w:val="0"/>
                <w:numId w:val="0"/>
              </w:numPr>
              <w:ind w:firstLine="440" w:firstLineChars="200"/>
              <w:jc w:val="left"/>
              <w:rPr>
                <w:rFonts w:hint="eastAsia" w:ascii="仿宋" w:hAnsi="仿宋" w:eastAsia="仿宋" w:cs="仿宋"/>
                <w:color w:val="000000"/>
                <w:kern w:val="0"/>
                <w:sz w:val="22"/>
                <w:highlight w:val="none"/>
                <w:lang w:eastAsia="zh"/>
              </w:rPr>
            </w:pPr>
            <w:r>
              <w:rPr>
                <w:rFonts w:hint="eastAsia" w:ascii="仿宋" w:hAnsi="仿宋" w:eastAsia="仿宋" w:cs="仿宋"/>
                <w:color w:val="000000"/>
                <w:kern w:val="0"/>
                <w:sz w:val="22"/>
                <w:highlight w:val="none"/>
                <w:lang w:val="zh-CN" w:eastAsia="zh"/>
              </w:rPr>
              <w:t>变更项目新增单价中的主材价格采用投标基期信息价（投标截止日前28天临汾市住房和城乡建设局发布的临汾市区价格信息），钢材、水泥超过5%的价格变化均按照专用条款16项价格调整执行。</w:t>
            </w:r>
          </w:p>
          <w:p>
            <w:pPr>
              <w:widowControl/>
              <w:ind w:firstLine="442" w:firstLineChars="200"/>
              <w:jc w:val="left"/>
              <w:rPr>
                <w:rFonts w:hint="eastAsia" w:ascii="仿宋" w:hAnsi="仿宋" w:eastAsia="仿宋" w:cs="仿宋"/>
                <w:b/>
                <w:bCs/>
                <w:kern w:val="0"/>
                <w:sz w:val="22"/>
                <w:highlight w:val="none"/>
              </w:rPr>
            </w:pPr>
            <w:r>
              <w:rPr>
                <w:rFonts w:hint="eastAsia" w:ascii="仿宋" w:hAnsi="仿宋" w:eastAsia="仿宋" w:cs="仿宋"/>
                <w:b/>
                <w:bCs/>
                <w:kern w:val="0"/>
                <w:sz w:val="22"/>
                <w:highlight w:val="none"/>
              </w:rPr>
              <w:t>2.</w:t>
            </w:r>
            <w:r>
              <w:rPr>
                <w:rFonts w:hint="eastAsia" w:ascii="仿宋" w:hAnsi="仿宋" w:eastAsia="仿宋" w:cs="仿宋"/>
                <w:b/>
                <w:bCs/>
                <w:kern w:val="0"/>
                <w:sz w:val="22"/>
                <w:highlight w:val="none"/>
                <w:lang w:val="en-US" w:eastAsia="zh-CN"/>
              </w:rPr>
              <w:t>变更的估价原则</w:t>
            </w:r>
            <w:r>
              <w:rPr>
                <w:rFonts w:hint="eastAsia" w:ascii="仿宋" w:hAnsi="仿宋" w:eastAsia="仿宋" w:cs="仿宋"/>
                <w:b/>
                <w:bCs/>
                <w:kern w:val="0"/>
                <w:sz w:val="22"/>
                <w:highlight w:val="none"/>
              </w:rPr>
              <w:t>：</w:t>
            </w:r>
          </w:p>
          <w:p>
            <w:pPr>
              <w:widowControl/>
              <w:ind w:firstLine="440" w:firstLineChars="200"/>
              <w:jc w:val="left"/>
              <w:rPr>
                <w:rFonts w:hint="eastAsia" w:ascii="仿宋" w:hAnsi="仿宋" w:eastAsia="仿宋" w:cs="仿宋"/>
                <w:kern w:val="0"/>
                <w:sz w:val="22"/>
                <w:highlight w:val="none"/>
              </w:rPr>
            </w:pPr>
            <w:r>
              <w:rPr>
                <w:rFonts w:hint="eastAsia" w:ascii="仿宋" w:hAnsi="仿宋" w:eastAsia="仿宋" w:cs="仿宋"/>
                <w:kern w:val="0"/>
                <w:sz w:val="22"/>
                <w:highlight w:val="none"/>
              </w:rPr>
              <w:t>因变更引起的价格调整，应按以下优先顺序所列原则进行处理</w:t>
            </w:r>
          </w:p>
          <w:p>
            <w:pPr>
              <w:widowControl/>
              <w:ind w:firstLine="440" w:firstLineChars="200"/>
              <w:jc w:val="left"/>
              <w:rPr>
                <w:rFonts w:hint="eastAsia" w:ascii="仿宋" w:hAnsi="仿宋" w:eastAsia="仿宋" w:cs="仿宋"/>
                <w:kern w:val="0"/>
                <w:sz w:val="22"/>
                <w:highlight w:val="yellow"/>
                <w:lang w:val="en-US" w:eastAsia="zh"/>
              </w:rPr>
            </w:pPr>
            <w:r>
              <w:rPr>
                <w:rFonts w:hint="eastAsia" w:ascii="仿宋" w:hAnsi="仿宋" w:eastAsia="仿宋" w:cs="仿宋"/>
                <w:kern w:val="0"/>
                <w:sz w:val="22"/>
                <w:highlight w:val="none"/>
                <w:lang w:val="en-US" w:eastAsia="zh-CN"/>
              </w:rPr>
              <w:t>2.1</w:t>
            </w:r>
            <w:r>
              <w:rPr>
                <w:rFonts w:hint="eastAsia" w:ascii="仿宋" w:hAnsi="仿宋" w:eastAsia="仿宋" w:cs="仿宋"/>
                <w:kern w:val="0"/>
                <w:sz w:val="22"/>
                <w:highlight w:val="none"/>
                <w:lang w:val="en-US" w:eastAsia="zh"/>
              </w:rPr>
              <w:t xml:space="preserve"> 已标价工程量清单中有适用于变更工作的子目的，采用该子目的单价。</w:t>
            </w:r>
          </w:p>
          <w:p>
            <w:pPr>
              <w:widowControl/>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CN"/>
              </w:rPr>
              <w:t>2.2</w:t>
            </w:r>
            <w:r>
              <w:rPr>
                <w:rFonts w:hint="eastAsia" w:ascii="仿宋" w:hAnsi="仿宋" w:eastAsia="仿宋" w:cs="仿宋"/>
                <w:kern w:val="0"/>
                <w:sz w:val="22"/>
                <w:highlight w:val="none"/>
                <w:lang w:val="en-US" w:eastAsia="zh"/>
              </w:rPr>
              <w:t>已标价工程量清单中无适用于变更工作的子目，但有类似子目的，可在合理范围内参照类似子目的单价，由监理人按第3.5款商定或确定变更工作的单价。</w:t>
            </w:r>
          </w:p>
          <w:p>
            <w:pPr>
              <w:widowControl/>
              <w:ind w:firstLine="440" w:firstLineChars="200"/>
              <w:jc w:val="left"/>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2.3</w:t>
            </w:r>
            <w:r>
              <w:rPr>
                <w:rFonts w:hint="eastAsia" w:ascii="仿宋" w:hAnsi="仿宋" w:eastAsia="仿宋" w:cs="仿宋"/>
                <w:kern w:val="0"/>
                <w:sz w:val="22"/>
                <w:highlight w:val="none"/>
                <w:lang w:val="en-US" w:eastAsia="zh"/>
              </w:rPr>
              <w:t>已标价工程量清单中无适用或类似子目的单价，</w:t>
            </w:r>
            <w:r>
              <w:rPr>
                <w:rFonts w:hint="eastAsia" w:ascii="仿宋" w:hAnsi="仿宋" w:eastAsia="仿宋" w:cs="仿宋"/>
                <w:kern w:val="0"/>
                <w:sz w:val="22"/>
                <w:highlight w:val="none"/>
                <w:lang w:val="en-US" w:eastAsia="zh-CN"/>
              </w:rPr>
              <w:t>组价原则如下：</w:t>
            </w:r>
          </w:p>
          <w:p>
            <w:pPr>
              <w:widowControl/>
              <w:ind w:firstLine="442" w:firstLineChars="200"/>
              <w:jc w:val="left"/>
              <w:rPr>
                <w:rFonts w:hint="eastAsia" w:ascii="仿宋" w:hAnsi="仿宋" w:eastAsia="仿宋" w:cs="仿宋"/>
                <w:kern w:val="0"/>
                <w:sz w:val="22"/>
                <w:highlight w:val="none"/>
                <w:lang w:val="en-US" w:eastAsia="zh"/>
              </w:rPr>
            </w:pPr>
            <w:r>
              <w:rPr>
                <w:rFonts w:hint="eastAsia" w:ascii="仿宋" w:hAnsi="仿宋" w:eastAsia="仿宋" w:cs="仿宋"/>
                <w:b/>
                <w:bCs/>
                <w:kern w:val="0"/>
                <w:sz w:val="22"/>
                <w:highlight w:val="none"/>
                <w:lang w:val="en-US" w:eastAsia="zh"/>
              </w:rPr>
              <w:t>（1）施工方案：</w:t>
            </w:r>
            <w:r>
              <w:rPr>
                <w:rFonts w:hint="eastAsia" w:ascii="仿宋" w:hAnsi="仿宋" w:eastAsia="仿宋" w:cs="仿宋"/>
                <w:kern w:val="0"/>
                <w:sz w:val="22"/>
                <w:highlight w:val="none"/>
                <w:lang w:val="en-US" w:eastAsia="zh"/>
              </w:rPr>
              <w:t>以监理人批复、发包人认可的施工方案为准；</w:t>
            </w:r>
          </w:p>
          <w:p>
            <w:pPr>
              <w:widowControl/>
              <w:ind w:firstLine="442" w:firstLineChars="200"/>
              <w:jc w:val="left"/>
              <w:rPr>
                <w:rFonts w:hint="eastAsia" w:ascii="仿宋" w:hAnsi="仿宋" w:eastAsia="仿宋" w:cs="仿宋"/>
                <w:kern w:val="0"/>
                <w:sz w:val="22"/>
                <w:highlight w:val="none"/>
                <w:lang w:val="en-US" w:eastAsia="zh"/>
              </w:rPr>
            </w:pPr>
            <w:r>
              <w:rPr>
                <w:rFonts w:hint="eastAsia" w:ascii="仿宋" w:hAnsi="仿宋" w:eastAsia="仿宋" w:cs="仿宋"/>
                <w:b/>
                <w:bCs/>
                <w:kern w:val="0"/>
                <w:sz w:val="22"/>
                <w:highlight w:val="none"/>
                <w:lang w:val="en-US" w:eastAsia="zh"/>
              </w:rPr>
              <w:t>（2）定额选取：</w:t>
            </w:r>
            <w:r>
              <w:rPr>
                <w:rFonts w:hint="eastAsia" w:ascii="仿宋" w:hAnsi="仿宋" w:eastAsia="仿宋" w:cs="仿宋"/>
                <w:kern w:val="0"/>
                <w:sz w:val="22"/>
                <w:highlight w:val="none"/>
                <w:lang w:val="en-US" w:eastAsia="zh"/>
              </w:rPr>
              <w:t>采用本行业预算定额（中华人民共和国交通运输部发布的《公路工程预算定额》（JTG/T 3832-2018），简称“预算定额”），本行业没有适用定额可参考其他行业预算定额；</w:t>
            </w:r>
          </w:p>
          <w:p>
            <w:pPr>
              <w:widowControl/>
              <w:ind w:firstLine="442" w:firstLineChars="200"/>
              <w:jc w:val="left"/>
              <w:rPr>
                <w:rFonts w:hint="eastAsia" w:ascii="仿宋" w:hAnsi="仿宋" w:eastAsia="仿宋" w:cs="仿宋"/>
                <w:kern w:val="0"/>
                <w:sz w:val="22"/>
                <w:highlight w:val="none"/>
                <w:lang w:val="en-US" w:eastAsia="zh"/>
              </w:rPr>
            </w:pPr>
            <w:r>
              <w:rPr>
                <w:rFonts w:hint="eastAsia" w:ascii="仿宋" w:hAnsi="仿宋" w:eastAsia="仿宋" w:cs="仿宋"/>
                <w:b/>
                <w:bCs/>
                <w:kern w:val="0"/>
                <w:sz w:val="22"/>
                <w:highlight w:val="none"/>
                <w:lang w:val="en-US" w:eastAsia="zh"/>
              </w:rPr>
              <w:t>（3）人工单价、机械台时费：</w:t>
            </w:r>
            <w:r>
              <w:rPr>
                <w:rFonts w:hint="eastAsia" w:ascii="仿宋" w:hAnsi="仿宋" w:eastAsia="仿宋" w:cs="仿宋"/>
                <w:kern w:val="0"/>
                <w:sz w:val="22"/>
                <w:highlight w:val="none"/>
                <w:lang w:val="en-US" w:eastAsia="zh"/>
              </w:rPr>
              <w:t>采用“预算定额”中的人工单价、机械台时费×（1-投标报价较最高投标限价下浮率）；</w:t>
            </w:r>
          </w:p>
          <w:p>
            <w:pPr>
              <w:widowControl/>
              <w:ind w:firstLine="442" w:firstLineChars="200"/>
              <w:jc w:val="left"/>
              <w:rPr>
                <w:rFonts w:hint="eastAsia" w:ascii="仿宋" w:hAnsi="仿宋" w:eastAsia="仿宋" w:cs="仿宋"/>
                <w:kern w:val="0"/>
                <w:sz w:val="22"/>
                <w:highlight w:val="none"/>
                <w:lang w:val="en-US" w:eastAsia="zh"/>
              </w:rPr>
            </w:pPr>
            <w:r>
              <w:rPr>
                <w:rFonts w:hint="eastAsia" w:ascii="仿宋" w:hAnsi="仿宋" w:eastAsia="仿宋" w:cs="仿宋"/>
                <w:b/>
                <w:bCs/>
                <w:kern w:val="0"/>
                <w:sz w:val="22"/>
                <w:highlight w:val="none"/>
                <w:lang w:val="en-US" w:eastAsia="zh"/>
              </w:rPr>
              <w:t>（4）材料单价：</w:t>
            </w:r>
            <w:r>
              <w:rPr>
                <w:rFonts w:hint="eastAsia" w:ascii="仿宋" w:hAnsi="仿宋" w:eastAsia="仿宋" w:cs="仿宋"/>
                <w:kern w:val="0"/>
                <w:sz w:val="22"/>
                <w:highlight w:val="none"/>
                <w:lang w:val="en-US" w:eastAsia="zh"/>
              </w:rPr>
              <w:t>主要材料（水泥、钢筋、柴油）采用投标基期信息价（投标截止日前28天临汾市住房和城乡建设局发布的临汾市区价格信息），其余材料参考承包人投标报价中的材料单价（明显高于信息价或市场价的不予参考）；</w:t>
            </w:r>
          </w:p>
          <w:p>
            <w:pPr>
              <w:widowControl/>
              <w:ind w:firstLine="442" w:firstLineChars="200"/>
              <w:jc w:val="left"/>
              <w:rPr>
                <w:rFonts w:hint="eastAsia" w:ascii="仿宋" w:hAnsi="仿宋" w:eastAsia="仿宋" w:cs="仿宋"/>
                <w:kern w:val="0"/>
                <w:sz w:val="22"/>
                <w:highlight w:val="none"/>
                <w:lang w:val="en-US" w:eastAsia="zh"/>
              </w:rPr>
            </w:pPr>
            <w:r>
              <w:rPr>
                <w:rFonts w:hint="eastAsia" w:ascii="仿宋" w:hAnsi="仿宋" w:eastAsia="仿宋" w:cs="仿宋"/>
                <w:b/>
                <w:bCs/>
                <w:kern w:val="0"/>
                <w:sz w:val="22"/>
                <w:highlight w:val="none"/>
                <w:lang w:val="en-US" w:eastAsia="zh"/>
              </w:rPr>
              <w:t>（5）取费标准：</w:t>
            </w:r>
            <w:r>
              <w:rPr>
                <w:rFonts w:hint="eastAsia" w:ascii="仿宋" w:hAnsi="仿宋" w:eastAsia="仿宋" w:cs="仿宋"/>
                <w:kern w:val="0"/>
                <w:sz w:val="22"/>
                <w:highlight w:val="none"/>
                <w:lang w:val="en-US" w:eastAsia="zh"/>
              </w:rPr>
              <w:t>采用“预算定额”取费。</w:t>
            </w:r>
          </w:p>
          <w:p>
            <w:pPr>
              <w:widowControl/>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
              </w:rPr>
              <w:t>2.4如果本工程的变更指示是因承包人过错、承包人违反合同或承包人责任造成的，则该情形引起的任何额外费用应由承包人承担。</w:t>
            </w:r>
          </w:p>
          <w:p>
            <w:pPr>
              <w:widowControl/>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
              </w:rPr>
              <w:t>2.5如果取消某项工作，则该项工作的总额价不予支付。</w:t>
            </w:r>
          </w:p>
          <w:p>
            <w:pPr>
              <w:widowControl/>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
              </w:rPr>
              <w:t>2.6除安全生产费外，总价子目(以“总额”为单位的子目)的费用不子调整。</w:t>
            </w:r>
          </w:p>
          <w:p>
            <w:pPr>
              <w:widowControl/>
              <w:ind w:firstLine="442" w:firstLineChars="200"/>
              <w:jc w:val="left"/>
              <w:rPr>
                <w:rFonts w:hint="eastAsia" w:ascii="仿宋" w:hAnsi="仿宋" w:eastAsia="仿宋" w:cs="仿宋"/>
                <w:b/>
                <w:bCs/>
                <w:kern w:val="0"/>
                <w:sz w:val="22"/>
                <w:highlight w:val="none"/>
                <w:lang w:val="en-US" w:eastAsia="zh-CN"/>
              </w:rPr>
            </w:pPr>
            <w:r>
              <w:rPr>
                <w:rFonts w:hint="eastAsia" w:ascii="仿宋" w:hAnsi="仿宋" w:eastAsia="仿宋" w:cs="仿宋"/>
                <w:b/>
                <w:bCs/>
                <w:kern w:val="0"/>
                <w:sz w:val="22"/>
                <w:highlight w:val="none"/>
                <w:lang w:val="en-US" w:eastAsia="zh-CN"/>
              </w:rPr>
              <w:t>3.暂列金额的使用：</w:t>
            </w:r>
          </w:p>
          <w:p>
            <w:pPr>
              <w:widowControl/>
              <w:numPr>
                <w:ilvl w:val="0"/>
                <w:numId w:val="0"/>
              </w:numPr>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
              </w:rPr>
              <w:t>暂列金额需经发包人审批同意，收到监理人书面指示后方可使用。</w:t>
            </w:r>
          </w:p>
          <w:p>
            <w:pPr>
              <w:widowControl/>
              <w:numPr>
                <w:ilvl w:val="0"/>
                <w:numId w:val="0"/>
              </w:numPr>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
              </w:rPr>
              <w:t>采用计日工计价的任何一项变更工作，应从暂列金额中支付。</w:t>
            </w:r>
          </w:p>
        </w:tc>
      </w:tr>
      <w:tr>
        <w:tblPrEx>
          <w:tblCellMar>
            <w:top w:w="0" w:type="dxa"/>
            <w:left w:w="108" w:type="dxa"/>
            <w:bottom w:w="0" w:type="dxa"/>
            <w:right w:w="108" w:type="dxa"/>
          </w:tblCellMar>
        </w:tblPrEx>
        <w:trPr>
          <w:trHeight w:val="391"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2"/>
                <w:highlight w:val="none"/>
              </w:rPr>
            </w:pPr>
            <w:r>
              <w:rPr>
                <w:rFonts w:hint="eastAsia" w:ascii="仿宋" w:hAnsi="仿宋" w:eastAsia="仿宋" w:cs="仿宋"/>
                <w:kern w:val="0"/>
                <w:sz w:val="22"/>
                <w:highlight w:val="none"/>
              </w:rPr>
              <w:t>验工计量及工程款支付</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pStyle w:val="6"/>
              <w:adjustRightInd w:val="0"/>
              <w:snapToGrid w:val="0"/>
              <w:ind w:left="0" w:leftChars="0" w:firstLine="442" w:firstLineChars="200"/>
              <w:rPr>
                <w:rFonts w:hint="eastAsia" w:ascii="仿宋" w:hAnsi="仿宋" w:eastAsia="仿宋" w:cs="仿宋"/>
                <w:kern w:val="0"/>
                <w:sz w:val="22"/>
                <w:szCs w:val="22"/>
                <w:highlight w:val="none"/>
              </w:rPr>
            </w:pPr>
            <w:r>
              <w:rPr>
                <w:rFonts w:hint="eastAsia" w:ascii="仿宋" w:hAnsi="仿宋" w:eastAsia="仿宋" w:cs="仿宋"/>
                <w:b/>
                <w:bCs/>
                <w:kern w:val="0"/>
                <w:sz w:val="22"/>
                <w:szCs w:val="22"/>
                <w:highlight w:val="none"/>
              </w:rPr>
              <w:t>工程量计算规则：</w:t>
            </w:r>
            <w:r>
              <w:rPr>
                <w:rFonts w:hint="eastAsia" w:ascii="仿宋" w:hAnsi="仿宋" w:eastAsia="仿宋" w:cs="仿宋"/>
                <w:kern w:val="0"/>
                <w:sz w:val="22"/>
                <w:szCs w:val="22"/>
                <w:highlight w:val="none"/>
              </w:rPr>
              <w:t>工程的计量应以净值为准，除非项目专用合同条款另有约定。工程量清单中各子目的具体计量方法按本项目专用的《工程量清单计量与支付规则》中有关规定执行。</w:t>
            </w:r>
          </w:p>
          <w:p>
            <w:pPr>
              <w:keepNext w:val="0"/>
              <w:keepLines w:val="0"/>
              <w:widowControl/>
              <w:suppressLineNumbers w:val="0"/>
              <w:ind w:firstLine="442" w:firstLineChars="200"/>
              <w:jc w:val="left"/>
              <w:rPr>
                <w:rFonts w:hint="eastAsia" w:ascii="仿宋" w:hAnsi="仿宋" w:eastAsia="仿宋" w:cs="仿宋"/>
                <w:kern w:val="0"/>
                <w:sz w:val="22"/>
                <w:szCs w:val="22"/>
                <w:highlight w:val="none"/>
                <w:lang w:eastAsia="zh-CN"/>
              </w:rPr>
            </w:pPr>
            <w:r>
              <w:rPr>
                <w:rFonts w:hint="eastAsia" w:ascii="仿宋" w:hAnsi="仿宋" w:eastAsia="仿宋" w:cs="仿宋"/>
                <w:b/>
                <w:bCs/>
                <w:kern w:val="0"/>
                <w:sz w:val="22"/>
                <w:szCs w:val="22"/>
                <w:highlight w:val="none"/>
              </w:rPr>
              <w:t>工程量计量原则</w:t>
            </w:r>
            <w:r>
              <w:rPr>
                <w:rFonts w:hint="eastAsia" w:ascii="仿宋" w:hAnsi="仿宋" w:eastAsia="仿宋" w:cs="仿宋"/>
                <w:kern w:val="0"/>
                <w:sz w:val="22"/>
                <w:szCs w:val="22"/>
                <w:highlight w:val="none"/>
              </w:rPr>
              <w:t>:只对完成的符合工程质量验收规范和设计要求的合格成品进行计量;对承包人超出设计图纸(含设计变更)范围和因承包人原因造成返工的工程量，不</w:t>
            </w:r>
            <w:r>
              <w:rPr>
                <w:rFonts w:hint="eastAsia" w:ascii="仿宋" w:hAnsi="仿宋" w:eastAsia="仿宋" w:cs="仿宋"/>
                <w:kern w:val="0"/>
                <w:sz w:val="22"/>
                <w:szCs w:val="22"/>
                <w:highlight w:val="none"/>
                <w:lang w:val="en-US" w:eastAsia="zh-CN"/>
              </w:rPr>
              <w:t>予</w:t>
            </w:r>
            <w:r>
              <w:rPr>
                <w:rFonts w:hint="eastAsia" w:ascii="仿宋" w:hAnsi="仿宋" w:eastAsia="仿宋" w:cs="仿宋"/>
                <w:kern w:val="0"/>
                <w:sz w:val="22"/>
                <w:szCs w:val="22"/>
                <w:highlight w:val="none"/>
              </w:rPr>
              <w:t>计量</w:t>
            </w:r>
            <w:r>
              <w:rPr>
                <w:rFonts w:hint="eastAsia" w:ascii="仿宋" w:hAnsi="仿宋" w:eastAsia="仿宋" w:cs="仿宋"/>
                <w:kern w:val="0"/>
                <w:sz w:val="22"/>
                <w:szCs w:val="22"/>
                <w:highlight w:val="none"/>
                <w:lang w:eastAsia="zh-CN"/>
              </w:rPr>
              <w:t>；需报发包人上级主管部门审批的变更工程项目，在发包人审核完成而尚未获得上级主管部门审批时，可采用暂定计量，暂定计量金额不超过发包人审核后的合同变更金额的85%。待上级主管部门审批后审批结果进行实际计量，并扣回己暂计量的金额；</w:t>
            </w:r>
            <w:r>
              <w:rPr>
                <w:rFonts w:hint="eastAsia" w:ascii="仿宋" w:hAnsi="仿宋" w:eastAsia="仿宋" w:cs="仿宋"/>
                <w:kern w:val="0"/>
                <w:sz w:val="22"/>
                <w:szCs w:val="22"/>
                <w:highlight w:val="none"/>
                <w:lang w:val="en-US" w:eastAsia="zh-CN"/>
              </w:rPr>
              <w:t>发包人只对承包人完成的符合工程质量验收规范和设计要求的合格成品进行计量，对承包人超出设计图纸（含设计变更）范围和因承包人原因造成返工的工程量，均不予计量。</w:t>
            </w:r>
          </w:p>
          <w:p>
            <w:pPr>
              <w:widowControl/>
              <w:ind w:firstLine="442" w:firstLineChars="200"/>
              <w:jc w:val="left"/>
              <w:rPr>
                <w:rFonts w:hint="eastAsia" w:ascii="仿宋" w:hAnsi="仿宋" w:eastAsia="仿宋" w:cs="仿宋"/>
                <w:kern w:val="0"/>
                <w:sz w:val="22"/>
                <w:highlight w:val="none"/>
                <w:lang w:eastAsia="zh-CN"/>
              </w:rPr>
            </w:pPr>
            <w:r>
              <w:rPr>
                <w:rFonts w:hint="eastAsia" w:ascii="仿宋" w:hAnsi="仿宋" w:eastAsia="仿宋" w:cs="仿宋"/>
                <w:b/>
                <w:bCs/>
                <w:kern w:val="0"/>
                <w:sz w:val="22"/>
                <w:highlight w:val="yellow"/>
              </w:rPr>
              <w:t>预付款支付</w:t>
            </w:r>
            <w:r>
              <w:rPr>
                <w:rFonts w:hint="eastAsia" w:ascii="仿宋" w:hAnsi="仿宋" w:eastAsia="仿宋" w:cs="仿宋"/>
                <w:kern w:val="0"/>
                <w:sz w:val="22"/>
                <w:highlight w:val="yellow"/>
              </w:rPr>
              <w:t>：</w:t>
            </w:r>
            <w:r>
              <w:rPr>
                <w:rFonts w:hint="eastAsia" w:ascii="仿宋" w:hAnsi="仿宋" w:eastAsia="仿宋" w:cs="仿宋"/>
                <w:kern w:val="0"/>
                <w:sz w:val="22"/>
                <w:highlight w:val="none"/>
              </w:rPr>
              <w:t>预付款的金额为</w:t>
            </w:r>
            <w:r>
              <w:rPr>
                <w:rFonts w:hint="eastAsia" w:ascii="仿宋" w:hAnsi="仿宋" w:eastAsia="仿宋" w:cs="仿宋"/>
                <w:kern w:val="0"/>
                <w:sz w:val="22"/>
                <w:highlight w:val="none"/>
                <w:lang w:eastAsia="zh"/>
              </w:rPr>
              <w:t>签约合同价(不含暂列金额、安全生产费暂估价)的</w:t>
            </w:r>
            <w:r>
              <w:rPr>
                <w:rFonts w:hint="eastAsia" w:ascii="仿宋" w:hAnsi="仿宋" w:eastAsia="仿宋" w:cs="仿宋"/>
                <w:b/>
                <w:bCs/>
                <w:kern w:val="0"/>
                <w:sz w:val="22"/>
                <w:highlight w:val="none"/>
                <w:lang w:eastAsia="zh"/>
              </w:rPr>
              <w:t>10%</w:t>
            </w:r>
            <w:r>
              <w:rPr>
                <w:rFonts w:hint="eastAsia" w:ascii="仿宋" w:hAnsi="仿宋" w:eastAsia="仿宋" w:cs="仿宋"/>
                <w:kern w:val="0"/>
                <w:sz w:val="22"/>
                <w:highlight w:val="none"/>
                <w:lang w:eastAsia="zh"/>
              </w:rPr>
              <w:t>，一次支付给承包人。在承包人主要人员进驻现场并组建项目管理机构工程开工各项准备工作已经监理人检查、审核、批复同意，且承包人向发包人提交预付款担保后方可申请支付工程预付款。承包人应在收到第一次工程预付款的同时向发包人提交工程预付款担保，预付款担保金额应与预付款金额相同，担保方式为发包人认可的不可撤销、见索即付的银行保函，预付款保函在全部预付款被发包人扣回前一直有效，担保金额可根据预付款扣回的金额相应递减</w:t>
            </w:r>
            <w:r>
              <w:rPr>
                <w:rFonts w:hint="eastAsia" w:ascii="仿宋" w:hAnsi="仿宋" w:eastAsia="仿宋" w:cs="仿宋"/>
                <w:kern w:val="0"/>
                <w:sz w:val="22"/>
                <w:highlight w:val="none"/>
                <w:lang w:eastAsia="zh-CN"/>
              </w:rPr>
              <w:t>。</w:t>
            </w:r>
          </w:p>
          <w:p>
            <w:pPr>
              <w:widowControl/>
              <w:ind w:firstLine="442" w:firstLineChars="200"/>
              <w:jc w:val="left"/>
              <w:rPr>
                <w:rFonts w:hint="eastAsia" w:ascii="仿宋" w:hAnsi="仿宋" w:eastAsia="仿宋" w:cs="仿宋"/>
                <w:kern w:val="0"/>
                <w:sz w:val="22"/>
                <w:highlight w:val="none"/>
                <w:lang w:eastAsia="zh"/>
              </w:rPr>
            </w:pPr>
            <w:r>
              <w:rPr>
                <w:rFonts w:hint="eastAsia" w:ascii="仿宋" w:hAnsi="仿宋" w:eastAsia="仿宋" w:cs="仿宋"/>
                <w:b/>
                <w:bCs/>
                <w:kern w:val="0"/>
                <w:sz w:val="22"/>
                <w:highlight w:val="yellow"/>
              </w:rPr>
              <w:t>预付款扣</w:t>
            </w:r>
            <w:r>
              <w:rPr>
                <w:rFonts w:hint="eastAsia" w:ascii="仿宋" w:hAnsi="仿宋" w:eastAsia="仿宋" w:cs="仿宋"/>
                <w:b/>
                <w:bCs/>
                <w:kern w:val="0"/>
                <w:sz w:val="22"/>
                <w:highlight w:val="yellow"/>
                <w:lang w:val="en-US" w:eastAsia="zh-CN"/>
              </w:rPr>
              <w:t>回</w:t>
            </w:r>
            <w:r>
              <w:rPr>
                <w:rFonts w:hint="eastAsia" w:ascii="仿宋" w:hAnsi="仿宋" w:eastAsia="仿宋" w:cs="仿宋"/>
                <w:b/>
                <w:bCs/>
                <w:kern w:val="0"/>
                <w:sz w:val="22"/>
                <w:highlight w:val="yellow"/>
              </w:rPr>
              <w:t>：</w:t>
            </w:r>
            <w:r>
              <w:rPr>
                <w:rFonts w:hint="eastAsia" w:ascii="仿宋" w:hAnsi="仿宋" w:eastAsia="仿宋" w:cs="仿宋"/>
                <w:kern w:val="0"/>
                <w:sz w:val="22"/>
                <w:highlight w:val="none"/>
                <w:lang w:eastAsia="zh"/>
              </w:rPr>
              <w:t>工程预付款由发包人从月进度付款中扣回。在合同累计完成金额达到</w:t>
            </w:r>
            <w:r>
              <w:rPr>
                <w:rFonts w:hint="eastAsia" w:ascii="仿宋" w:hAnsi="仿宋" w:eastAsia="仿宋" w:cs="仿宋"/>
                <w:b/>
                <w:bCs/>
                <w:kern w:val="0"/>
                <w:sz w:val="22"/>
                <w:highlight w:val="none"/>
                <w:lang w:eastAsia="zh"/>
              </w:rPr>
              <w:t>合同价格(扣除安全生产费和暂列金、暂估价)的</w:t>
            </w:r>
            <w:r>
              <w:rPr>
                <w:rFonts w:hint="eastAsia" w:ascii="仿宋" w:hAnsi="仿宋" w:eastAsia="仿宋" w:cs="仿宋"/>
                <w:b/>
                <w:bCs/>
                <w:kern w:val="0"/>
                <w:sz w:val="22"/>
                <w:highlight w:val="none"/>
                <w:lang w:val="en-US" w:eastAsia="zh-CN"/>
              </w:rPr>
              <w:t>2</w:t>
            </w:r>
            <w:r>
              <w:rPr>
                <w:rFonts w:hint="eastAsia" w:ascii="仿宋" w:hAnsi="仿宋" w:eastAsia="仿宋" w:cs="仿宋"/>
                <w:b/>
                <w:bCs/>
                <w:kern w:val="0"/>
                <w:sz w:val="22"/>
                <w:highlight w:val="none"/>
                <w:lang w:eastAsia="zh"/>
              </w:rPr>
              <w:t>0%</w:t>
            </w:r>
            <w:r>
              <w:rPr>
                <w:rFonts w:hint="eastAsia" w:ascii="仿宋" w:hAnsi="仿宋" w:eastAsia="仿宋" w:cs="仿宋"/>
                <w:kern w:val="0"/>
                <w:sz w:val="22"/>
                <w:highlight w:val="none"/>
                <w:lang w:eastAsia="zh"/>
              </w:rPr>
              <w:t>开始按进度扣回，直至合同累计完成金额达到合同价格(扣除安全生产费和暂列金、暂估价)的80%时全部扣清。</w:t>
            </w:r>
          </w:p>
          <w:p>
            <w:pPr>
              <w:keepNext w:val="0"/>
              <w:keepLines w:val="0"/>
              <w:widowControl/>
              <w:suppressLineNumbers w:val="0"/>
              <w:ind w:firstLine="442" w:firstLineChars="200"/>
              <w:jc w:val="left"/>
              <w:rPr>
                <w:rFonts w:hint="eastAsia" w:ascii="仿宋" w:hAnsi="仿宋" w:eastAsia="仿宋" w:cs="仿宋"/>
                <w:kern w:val="0"/>
                <w:sz w:val="22"/>
                <w:highlight w:val="none"/>
                <w:lang w:val="en-US" w:eastAsia="zh"/>
              </w:rPr>
            </w:pPr>
            <w:r>
              <w:rPr>
                <w:rFonts w:hint="eastAsia" w:ascii="仿宋" w:hAnsi="仿宋" w:eastAsia="仿宋" w:cs="仿宋"/>
                <w:b/>
                <w:bCs/>
                <w:kern w:val="0"/>
                <w:sz w:val="22"/>
                <w:highlight w:val="yellow"/>
              </w:rPr>
              <w:t>安全</w:t>
            </w:r>
            <w:r>
              <w:rPr>
                <w:rFonts w:hint="eastAsia" w:ascii="仿宋" w:hAnsi="仿宋" w:eastAsia="仿宋" w:cs="仿宋"/>
                <w:b/>
                <w:bCs/>
                <w:kern w:val="0"/>
                <w:sz w:val="22"/>
                <w:highlight w:val="yellow"/>
                <w:lang w:val="en-US" w:eastAsia="zh-CN"/>
              </w:rPr>
              <w:t>生产</w:t>
            </w:r>
            <w:r>
              <w:rPr>
                <w:rFonts w:hint="eastAsia" w:ascii="仿宋" w:hAnsi="仿宋" w:eastAsia="仿宋" w:cs="仿宋"/>
                <w:b/>
                <w:bCs/>
                <w:kern w:val="0"/>
                <w:sz w:val="22"/>
                <w:highlight w:val="yellow"/>
              </w:rPr>
              <w:t>费支付</w:t>
            </w:r>
            <w:r>
              <w:rPr>
                <w:rFonts w:hint="eastAsia" w:ascii="仿宋" w:hAnsi="仿宋" w:eastAsia="仿宋" w:cs="仿宋"/>
                <w:kern w:val="0"/>
                <w:sz w:val="22"/>
                <w:highlight w:val="yellow"/>
              </w:rPr>
              <w:t>：</w:t>
            </w:r>
            <w:r>
              <w:rPr>
                <w:rFonts w:hint="eastAsia" w:ascii="仿宋" w:hAnsi="仿宋" w:eastAsia="仿宋" w:cs="仿宋"/>
                <w:kern w:val="0"/>
                <w:sz w:val="22"/>
                <w:highlight w:val="none"/>
                <w:lang w:eastAsia="zh"/>
              </w:rPr>
              <w:t>共计</w:t>
            </w:r>
            <w:r>
              <w:rPr>
                <w:rFonts w:hint="eastAsia" w:ascii="仿宋" w:hAnsi="仿宋" w:eastAsia="仿宋" w:cs="仿宋"/>
                <w:kern w:val="0"/>
                <w:sz w:val="22"/>
                <w:highlight w:val="none"/>
                <w:lang w:val="en-US" w:eastAsia="zh-CN"/>
              </w:rPr>
              <w:t>98.78</w:t>
            </w:r>
            <w:r>
              <w:rPr>
                <w:rFonts w:hint="eastAsia" w:ascii="仿宋" w:hAnsi="仿宋" w:eastAsia="仿宋" w:cs="仿宋"/>
                <w:kern w:val="0"/>
                <w:sz w:val="22"/>
                <w:highlight w:val="none"/>
                <w:lang w:eastAsia="zh"/>
              </w:rPr>
              <w:t>万。</w:t>
            </w:r>
            <w:r>
              <w:rPr>
                <w:rFonts w:hint="eastAsia" w:ascii="仿宋" w:hAnsi="仿宋" w:eastAsia="仿宋" w:cs="仿宋"/>
                <w:kern w:val="0"/>
                <w:sz w:val="22"/>
                <w:highlight w:val="yellow"/>
                <w:lang w:val="en-US" w:eastAsia="zh"/>
              </w:rPr>
              <w:t>单独支付安全生产费总价的50%作为安全生产费首付款(不扣回)，专款专用。</w:t>
            </w:r>
            <w:r>
              <w:rPr>
                <w:rFonts w:hint="eastAsia" w:ascii="仿宋" w:hAnsi="仿宋" w:eastAsia="仿宋" w:cs="仿宋"/>
                <w:kern w:val="0"/>
                <w:sz w:val="22"/>
                <w:highlight w:val="none"/>
                <w:lang w:val="en-US" w:eastAsia="zh"/>
              </w:rPr>
              <w:t>工程开工28天内，承包人编制安全生产费总体使用计划和年度分解报监理人审核并经发包人批准后，监理人按安全生产费的 50%出具付款证书并通知承包人开具等额的增值税专用发票，发包人收到付款证书及发票后 28天内向承包人支付该款项。</w:t>
            </w:r>
          </w:p>
          <w:p>
            <w:pPr>
              <w:keepNext w:val="0"/>
              <w:keepLines w:val="0"/>
              <w:widowControl/>
              <w:suppressLineNumbers w:val="0"/>
              <w:ind w:firstLine="442" w:firstLineChars="200"/>
              <w:jc w:val="left"/>
              <w:rPr>
                <w:rFonts w:hint="eastAsia" w:ascii="仿宋" w:hAnsi="仿宋" w:eastAsia="仿宋" w:cs="仿宋"/>
                <w:b/>
                <w:bCs/>
                <w:kern w:val="0"/>
                <w:sz w:val="22"/>
                <w:highlight w:val="none"/>
                <w:lang w:val="en-US" w:eastAsia="zh"/>
              </w:rPr>
            </w:pPr>
            <w:r>
              <w:rPr>
                <w:rFonts w:hint="eastAsia" w:ascii="仿宋" w:hAnsi="仿宋" w:eastAsia="仿宋" w:cs="仿宋"/>
                <w:b/>
                <w:bCs/>
                <w:kern w:val="0"/>
                <w:sz w:val="22"/>
                <w:highlight w:val="none"/>
                <w:lang w:val="en-US" w:eastAsia="zh"/>
              </w:rPr>
              <w:t>承包人每季度首月将上季度的安全生产费使用情况台账及支持材料（发票、收据、监理签证等）报监理人审核、发包人核销，核销完毕后，再按照进度款结算至已超出部分由承包人自行承担。安全生产费使用过程中，应当专户核算，按规定范围安排使用，不得挤占、挪用，接受配合监理人、发包人及上级相关单位的监督检查。标价工程量清单中的安全生产费用为止。超出部分由承包人自行承担。</w:t>
            </w:r>
          </w:p>
          <w:p>
            <w:pPr>
              <w:keepNext w:val="0"/>
              <w:keepLines w:val="0"/>
              <w:widowControl/>
              <w:suppressLineNumbers w:val="0"/>
              <w:ind w:firstLine="442" w:firstLineChars="200"/>
              <w:jc w:val="left"/>
              <w:rPr>
                <w:rFonts w:hint="eastAsia" w:ascii="仿宋" w:hAnsi="仿宋" w:eastAsia="仿宋" w:cs="仿宋"/>
                <w:kern w:val="0"/>
                <w:sz w:val="22"/>
                <w:highlight w:val="yellow"/>
                <w:lang w:val="en-US" w:eastAsia="zh-CN"/>
              </w:rPr>
            </w:pPr>
            <w:r>
              <w:rPr>
                <w:rFonts w:hint="eastAsia" w:ascii="仿宋" w:hAnsi="仿宋" w:eastAsia="仿宋" w:cs="仿宋"/>
                <w:b/>
                <w:bCs/>
                <w:kern w:val="0"/>
                <w:sz w:val="22"/>
                <w:highlight w:val="yellow"/>
              </w:rPr>
              <w:t>工程进度款支付</w:t>
            </w:r>
            <w:r>
              <w:rPr>
                <w:rFonts w:hint="eastAsia" w:ascii="仿宋" w:hAnsi="仿宋" w:eastAsia="仿宋" w:cs="仿宋"/>
                <w:kern w:val="0"/>
                <w:sz w:val="22"/>
                <w:highlight w:val="yellow"/>
                <w:lang w:val="en-US" w:eastAsia="zh-CN"/>
              </w:rPr>
              <w:t>：</w:t>
            </w:r>
          </w:p>
          <w:p>
            <w:pPr>
              <w:keepNext w:val="0"/>
              <w:keepLines w:val="0"/>
              <w:widowControl/>
              <w:suppressLineNumbers w:val="0"/>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
              </w:rPr>
              <w:t>计量周期:1月份为1月1日至1月25日;2月份~11月份为上月26 日至当月 25 日:12月份为 11月 26日至12月31日。承包人每月28日前完成当月工程量报表上报。</w:t>
            </w:r>
          </w:p>
          <w:p>
            <w:pPr>
              <w:keepNext w:val="0"/>
              <w:keepLines w:val="0"/>
              <w:widowControl/>
              <w:suppressLineNumbers w:val="0"/>
              <w:ind w:firstLine="440" w:firstLineChars="200"/>
              <w:jc w:val="left"/>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
              </w:rPr>
              <w:t>工程进度款原则上按月计量与支付。发包人应在签发进度付款证书后的 28 天内，</w:t>
            </w:r>
            <w:r>
              <w:rPr>
                <w:rFonts w:hint="eastAsia" w:ascii="仿宋" w:hAnsi="仿宋" w:eastAsia="仿宋" w:cs="仿宋"/>
                <w:b/>
                <w:bCs/>
                <w:kern w:val="0"/>
                <w:sz w:val="22"/>
                <w:highlight w:val="none"/>
                <w:lang w:val="en-US" w:eastAsia="zh"/>
              </w:rPr>
              <w:t>进度款</w:t>
            </w:r>
            <w:r>
              <w:rPr>
                <w:rFonts w:hint="eastAsia" w:ascii="仿宋" w:hAnsi="仿宋" w:eastAsia="仿宋" w:cs="仿宋"/>
                <w:kern w:val="0"/>
                <w:sz w:val="22"/>
                <w:highlight w:val="none"/>
                <w:lang w:val="en-US" w:eastAsia="zh"/>
              </w:rPr>
              <w:t>按照发包人审批确认的</w:t>
            </w:r>
            <w:r>
              <w:rPr>
                <w:rFonts w:hint="eastAsia" w:ascii="仿宋" w:hAnsi="仿宋" w:eastAsia="仿宋" w:cs="仿宋"/>
                <w:b/>
                <w:bCs/>
                <w:kern w:val="0"/>
                <w:sz w:val="22"/>
                <w:highlight w:val="none"/>
                <w:lang w:val="en-US" w:eastAsia="zh"/>
              </w:rPr>
              <w:t>当期计量的工程价款的90%</w:t>
            </w:r>
            <w:r>
              <w:rPr>
                <w:rFonts w:hint="eastAsia" w:ascii="仿宋" w:hAnsi="仿宋" w:eastAsia="仿宋" w:cs="仿宋"/>
                <w:kern w:val="0"/>
                <w:sz w:val="22"/>
                <w:highlight w:val="none"/>
                <w:lang w:val="en-US" w:eastAsia="zh"/>
              </w:rPr>
              <w:t>支付。当合同工程完工后，承包人申请合同工程完工验收，完工验收合格，</w:t>
            </w:r>
            <w:r>
              <w:rPr>
                <w:rFonts w:hint="eastAsia" w:ascii="仿宋" w:hAnsi="仿宋" w:eastAsia="仿宋" w:cs="仿宋"/>
                <w:b/>
                <w:bCs/>
                <w:kern w:val="0"/>
                <w:sz w:val="22"/>
                <w:highlight w:val="none"/>
                <w:lang w:val="en-US" w:eastAsia="zh"/>
              </w:rPr>
              <w:t>完工结算审核完成后</w:t>
            </w:r>
            <w:r>
              <w:rPr>
                <w:rFonts w:hint="eastAsia" w:ascii="仿宋" w:hAnsi="仿宋" w:eastAsia="仿宋" w:cs="仿宋"/>
                <w:kern w:val="0"/>
                <w:sz w:val="22"/>
                <w:highlight w:val="none"/>
                <w:lang w:val="en-US" w:eastAsia="zh"/>
              </w:rPr>
              <w:t>，发包人支付至</w:t>
            </w:r>
            <w:r>
              <w:rPr>
                <w:rFonts w:hint="eastAsia" w:ascii="仿宋" w:hAnsi="仿宋" w:eastAsia="仿宋" w:cs="仿宋"/>
                <w:b/>
                <w:bCs/>
                <w:kern w:val="0"/>
                <w:sz w:val="22"/>
                <w:highlight w:val="none"/>
                <w:lang w:val="en-US" w:eastAsia="zh"/>
              </w:rPr>
              <w:t>完工结算价款的97%</w:t>
            </w:r>
            <w:r>
              <w:rPr>
                <w:rFonts w:hint="eastAsia" w:ascii="仿宋" w:hAnsi="仿宋" w:eastAsia="仿宋" w:cs="仿宋"/>
                <w:kern w:val="0"/>
                <w:sz w:val="22"/>
                <w:highlight w:val="none"/>
                <w:lang w:val="en-US" w:eastAsia="zh"/>
              </w:rPr>
              <w:t>。</w:t>
            </w:r>
          </w:p>
          <w:p>
            <w:pPr>
              <w:keepNext w:val="0"/>
              <w:keepLines w:val="0"/>
              <w:widowControl/>
              <w:suppressLineNumbers w:val="0"/>
              <w:ind w:firstLine="442" w:firstLineChars="200"/>
              <w:jc w:val="left"/>
              <w:rPr>
                <w:rFonts w:hint="eastAsia" w:ascii="仿宋" w:hAnsi="仿宋" w:eastAsia="仿宋" w:cs="仿宋"/>
                <w:kern w:val="0"/>
                <w:sz w:val="22"/>
                <w:highlight w:val="none"/>
              </w:rPr>
            </w:pPr>
            <w:r>
              <w:rPr>
                <w:rFonts w:hint="eastAsia" w:ascii="仿宋" w:hAnsi="仿宋" w:eastAsia="仿宋" w:cs="仿宋"/>
                <w:b/>
                <w:bCs/>
                <w:kern w:val="0"/>
                <w:sz w:val="22"/>
                <w:highlight w:val="none"/>
                <w:lang w:val="en-US" w:eastAsia="zh"/>
              </w:rPr>
              <w:t>总价子目的支付：</w:t>
            </w:r>
            <w:r>
              <w:rPr>
                <w:rFonts w:hint="eastAsia" w:ascii="仿宋" w:hAnsi="仿宋" w:eastAsia="仿宋" w:cs="仿宋"/>
                <w:b w:val="0"/>
                <w:bCs w:val="0"/>
                <w:kern w:val="0"/>
                <w:sz w:val="22"/>
                <w:highlight w:val="none"/>
                <w:lang w:val="en-US" w:eastAsia="zh"/>
              </w:rPr>
              <w:t>承包人应按工程量清单的要求对总价子目进行分解，并在签订协议书后的 28 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tc>
      </w:tr>
      <w:tr>
        <w:tblPrEx>
          <w:tblCellMar>
            <w:top w:w="0" w:type="dxa"/>
            <w:left w:w="108" w:type="dxa"/>
            <w:bottom w:w="0" w:type="dxa"/>
            <w:right w:w="108" w:type="dxa"/>
          </w:tblCellMar>
        </w:tblPrEx>
        <w:trPr>
          <w:trHeight w:val="317" w:hRule="atLeast"/>
        </w:trPr>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2"/>
                <w:highlight w:val="none"/>
              </w:rPr>
            </w:pPr>
            <w:r>
              <w:rPr>
                <w:rFonts w:hint="eastAsia" w:ascii="仿宋" w:hAnsi="仿宋" w:eastAsia="仿宋" w:cs="仿宋"/>
                <w:kern w:val="0"/>
                <w:sz w:val="22"/>
                <w:highlight w:val="none"/>
              </w:rPr>
              <w:t>其他重要信息</w:t>
            </w:r>
          </w:p>
        </w:tc>
        <w:tc>
          <w:tcPr>
            <w:tcW w:w="72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b w:val="0"/>
                <w:bCs w:val="0"/>
                <w:kern w:val="0"/>
                <w:sz w:val="22"/>
                <w:highlight w:val="none"/>
                <w:u w:val="none"/>
                <w:lang w:val="en-US" w:eastAsia="zh"/>
              </w:rPr>
            </w:pPr>
            <w:r>
              <w:rPr>
                <w:rFonts w:hint="eastAsia" w:ascii="仿宋" w:hAnsi="仿宋" w:eastAsia="仿宋" w:cs="仿宋"/>
                <w:b w:val="0"/>
                <w:bCs w:val="0"/>
                <w:kern w:val="0"/>
                <w:sz w:val="22"/>
                <w:highlight w:val="none"/>
                <w:u w:val="none"/>
                <w:lang w:val="en-US" w:eastAsia="zh"/>
              </w:rPr>
              <w:t>1.承包人应根据发包人科技创新工作的相关管理办法规定，开展科技创新工作，及时总结形成科技创新工作成果，并申报有关科技创新奖项，不断提升工程建设科技管理水平。前述工作的费用已包含在《工程量清单》各具体工程项目有效工程量的工程单价中，发包人不另行支付。</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b w:val="0"/>
                <w:bCs w:val="0"/>
                <w:kern w:val="0"/>
                <w:sz w:val="22"/>
                <w:highlight w:val="none"/>
                <w:u w:val="none"/>
                <w:lang w:val="en-US" w:eastAsia="zh"/>
              </w:rPr>
            </w:pPr>
            <w:r>
              <w:rPr>
                <w:rFonts w:hint="eastAsia" w:ascii="仿宋" w:hAnsi="仿宋" w:eastAsia="仿宋" w:cs="仿宋"/>
                <w:b w:val="0"/>
                <w:bCs w:val="0"/>
                <w:kern w:val="0"/>
                <w:sz w:val="22"/>
                <w:highlight w:val="none"/>
                <w:u w:val="none"/>
                <w:lang w:val="en-US" w:eastAsia="zh"/>
              </w:rPr>
              <w:t>工程建设过程中，由发包人引进或组织开发的科技创新相关专利或奖励的申报工作均由发包人组织和主持，承包人应积极配合资料提供和其他必要工作，不得私自申报；承包人开发的与枢纽建设相关的一切科技创新专利或奖励或标准的申报，需征得发包人同意后共同申报，承包人不得私自申报。</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b w:val="0"/>
                <w:bCs w:val="0"/>
                <w:kern w:val="0"/>
                <w:sz w:val="22"/>
                <w:highlight w:val="none"/>
                <w:u w:val="none"/>
                <w:lang w:val="en-US" w:eastAsia="zh"/>
              </w:rPr>
            </w:pPr>
            <w:r>
              <w:rPr>
                <w:rFonts w:hint="eastAsia" w:ascii="仿宋" w:hAnsi="仿宋" w:eastAsia="仿宋" w:cs="仿宋"/>
                <w:b w:val="0"/>
                <w:bCs w:val="0"/>
                <w:kern w:val="0"/>
                <w:sz w:val="22"/>
                <w:highlight w:val="none"/>
                <w:u w:val="none"/>
                <w:lang w:val="en-US" w:eastAsia="zh"/>
              </w:rPr>
              <w:t>2.承包人应按照《中国共产党章程》《中国共产党支部工作条例（试行）》和水利工程建设“党建进工地”等要求，成立承包人项目部基层党组织，配备一定比例专兼职党务工作者，积极与发包人、其他标段、地方党组织开展党建联建，建立党建联建机制，深入推进党建进工地工作，为工程建设提供坚强的政治保障和组织保障。</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kern w:val="0"/>
                <w:sz w:val="22"/>
                <w:highlight w:val="none"/>
                <w:lang w:eastAsia="zh-CN"/>
              </w:rPr>
            </w:pPr>
            <w:r>
              <w:rPr>
                <w:rFonts w:hint="eastAsia" w:ascii="仿宋" w:hAnsi="仿宋" w:eastAsia="仿宋" w:cs="仿宋"/>
                <w:b w:val="0"/>
                <w:bCs w:val="0"/>
                <w:kern w:val="0"/>
                <w:sz w:val="22"/>
                <w:highlight w:val="none"/>
                <w:u w:val="none"/>
                <w:lang w:val="en-US" w:eastAsia="zh"/>
              </w:rPr>
              <w:t>3.承包人应按照发包人的工作要求，做好宣传工作；对外新闻发布前必须经发包人审批。按照发包人要求做好舆情的日常监测、排查与处置。</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4.承包人在签订分包合同前，应将分包人的营业执照、安全生产许可</w:t>
            </w:r>
          </w:p>
          <w:p>
            <w:pPr>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仿宋" w:hAnsi="仿宋" w:eastAsia="仿宋" w:cs="仿宋"/>
                <w:kern w:val="0"/>
                <w:sz w:val="22"/>
                <w:highlight w:val="none"/>
                <w:lang w:val="en-US" w:eastAsia="zh-CN"/>
              </w:rPr>
            </w:pPr>
            <w:r>
              <w:rPr>
                <w:rFonts w:hint="eastAsia" w:ascii="仿宋" w:hAnsi="仿宋" w:eastAsia="仿宋" w:cs="仿宋"/>
                <w:kern w:val="0"/>
                <w:sz w:val="22"/>
                <w:highlight w:val="none"/>
                <w:lang w:val="en-US" w:eastAsia="zh-CN"/>
              </w:rPr>
              <w:t>证、资质证书、类似业绩以及拟派驻的现场管理机构等资料报监理人审核，监理人审核认可后报发包人审批。</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CN"/>
              </w:rPr>
              <w:t>5.项目经理平均每月驻施工现场的时间不少于22天，由监理人/发包人按季度进行考核。承包人项目经理可以授权其下属人员履行某项职责，但事先应以书面形式将人员姓名、授权范围报监理人并经过批准。</w:t>
            </w:r>
            <w:r>
              <w:rPr>
                <w:rFonts w:hint="eastAsia" w:ascii="仿宋" w:hAnsi="仿宋" w:eastAsia="仿宋" w:cs="仿宋"/>
                <w:kern w:val="0"/>
                <w:sz w:val="22"/>
                <w:highlight w:val="none"/>
                <w:lang w:val="en-US" w:eastAsia="zh"/>
              </w:rPr>
              <w:t>若项目经理</w:t>
            </w:r>
            <w:r>
              <w:rPr>
                <w:rFonts w:hint="eastAsia" w:ascii="仿宋" w:hAnsi="仿宋" w:eastAsia="仿宋" w:cs="仿宋"/>
                <w:b/>
                <w:bCs/>
                <w:kern w:val="0"/>
                <w:sz w:val="22"/>
                <w:highlight w:val="none"/>
                <w:lang w:val="en-US" w:eastAsia="zh"/>
              </w:rPr>
              <w:t>连续2个月</w:t>
            </w:r>
            <w:r>
              <w:rPr>
                <w:rFonts w:hint="eastAsia" w:ascii="仿宋" w:hAnsi="仿宋" w:eastAsia="仿宋" w:cs="仿宋"/>
                <w:kern w:val="0"/>
                <w:sz w:val="22"/>
                <w:highlight w:val="none"/>
                <w:lang w:val="en-US" w:eastAsia="zh"/>
              </w:rPr>
              <w:t>少于合同约定驻工地时间，发包人可约谈承包人法定代表人;若</w:t>
            </w:r>
            <w:r>
              <w:rPr>
                <w:rFonts w:hint="eastAsia" w:ascii="仿宋" w:hAnsi="仿宋" w:eastAsia="仿宋" w:cs="仿宋"/>
                <w:b/>
                <w:bCs/>
                <w:kern w:val="0"/>
                <w:sz w:val="22"/>
                <w:highlight w:val="none"/>
                <w:lang w:val="en-US" w:eastAsia="zh"/>
              </w:rPr>
              <w:t>第3个月</w:t>
            </w:r>
            <w:r>
              <w:rPr>
                <w:rFonts w:hint="eastAsia" w:ascii="仿宋" w:hAnsi="仿宋" w:eastAsia="仿宋" w:cs="仿宋"/>
                <w:kern w:val="0"/>
                <w:sz w:val="22"/>
                <w:highlight w:val="none"/>
                <w:lang w:val="en-US" w:eastAsia="zh"/>
              </w:rPr>
              <w:t>依然不能履行合同约定驻工地时间发包人有权与承包人解除本合同，并追究相应违约责任。</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CN"/>
              </w:rPr>
              <w:t>6.</w:t>
            </w:r>
            <w:r>
              <w:rPr>
                <w:rFonts w:hint="eastAsia" w:ascii="仿宋" w:hAnsi="仿宋" w:eastAsia="仿宋" w:cs="仿宋"/>
                <w:kern w:val="0"/>
                <w:sz w:val="22"/>
                <w:highlight w:val="none"/>
                <w:lang w:val="en-US" w:eastAsia="zh"/>
              </w:rPr>
              <w:t>承包人应配备专（兼）职信息化管理人员，积极配合并按照发包人项目信息化管理的要求开展相关工作，提高施工技术和项目管理信息化水平。具体见技术规范的相关要求。</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CN"/>
              </w:rPr>
              <w:t>7.</w:t>
            </w:r>
            <w:r>
              <w:rPr>
                <w:rFonts w:hint="eastAsia" w:ascii="仿宋" w:hAnsi="仿宋" w:eastAsia="仿宋" w:cs="仿宋"/>
                <w:kern w:val="0"/>
                <w:sz w:val="22"/>
                <w:highlight w:val="none"/>
                <w:lang w:val="en-US" w:eastAsia="zh"/>
              </w:rPr>
              <w:t>承包人应按技术规范102.14“施工期信息化”规定的技术要求和时间节点要求完成设备采购、设备安装调试，并按照发包人要求接入发包人指定的系统（平台）。</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CN"/>
              </w:rPr>
              <w:t>8</w:t>
            </w:r>
            <w:r>
              <w:rPr>
                <w:rFonts w:hint="eastAsia" w:ascii="仿宋" w:hAnsi="仿宋" w:eastAsia="仿宋" w:cs="仿宋"/>
                <w:kern w:val="0"/>
                <w:sz w:val="22"/>
                <w:highlight w:val="none"/>
                <w:lang w:val="en-US" w:eastAsia="zh"/>
              </w:rPr>
              <w:t>.承包人应主动维护好与工程所在地各级政府及有关部门、周边单位及当地群众的关系，并自行解决影响工程正常施工的相关问题。前述费用包含在《工程量清单》各具体工程项目有效工程量的工程单价中，发包人不另行支付，但另有明确约定由发包人承担的除外。</w:t>
            </w:r>
          </w:p>
          <w:p>
            <w:pPr>
              <w:keepNext w:val="0"/>
              <w:keepLines w:val="0"/>
              <w:pageBreakBefore w:val="0"/>
              <w:widowControl/>
              <w:numPr>
                <w:ilvl w:val="0"/>
                <w:numId w:val="0"/>
              </w:numPr>
              <w:kinsoku/>
              <w:wordWrap/>
              <w:overflowPunct/>
              <w:topLinePunct w:val="0"/>
              <w:autoSpaceDE/>
              <w:autoSpaceDN/>
              <w:bidi w:val="0"/>
              <w:adjustRightInd/>
              <w:snapToGrid/>
              <w:ind w:left="0" w:leftChars="0" w:right="0" w:rightChars="0" w:firstLine="330" w:firstLineChars="150"/>
              <w:jc w:val="left"/>
              <w:textAlignment w:val="auto"/>
              <w:rPr>
                <w:rFonts w:hint="eastAsia" w:ascii="仿宋" w:hAnsi="仿宋" w:eastAsia="仿宋" w:cs="仿宋"/>
                <w:kern w:val="0"/>
                <w:sz w:val="22"/>
                <w:highlight w:val="none"/>
                <w:lang w:val="en-US" w:eastAsia="zh"/>
              </w:rPr>
            </w:pPr>
            <w:r>
              <w:rPr>
                <w:rFonts w:hint="eastAsia" w:ascii="仿宋" w:hAnsi="仿宋" w:eastAsia="仿宋" w:cs="仿宋"/>
                <w:kern w:val="0"/>
                <w:sz w:val="22"/>
                <w:highlight w:val="none"/>
                <w:lang w:val="en-US" w:eastAsia="zh-CN"/>
              </w:rPr>
              <w:t>9</w:t>
            </w:r>
            <w:r>
              <w:rPr>
                <w:rFonts w:hint="eastAsia" w:ascii="仿宋" w:hAnsi="仿宋" w:eastAsia="仿宋" w:cs="仿宋"/>
                <w:kern w:val="0"/>
                <w:sz w:val="22"/>
                <w:highlight w:val="none"/>
                <w:lang w:val="en-US" w:eastAsia="zh"/>
              </w:rPr>
              <w:t>.承包人负责临时占地的手续办理，发包人予以配合。临时占地的费用实行总额包干，列入工程量清单第100章中由承包人按总额报价。承包人在合同条款2.3.2项规定的范围外使用土地，承包人自行解决并承担相应费用。</w:t>
            </w:r>
          </w:p>
        </w:tc>
      </w:tr>
    </w:tbl>
    <w:p>
      <w:pPr>
        <w:pStyle w:val="2"/>
        <w:spacing w:before="156" w:beforeLines="50" w:after="156" w:afterLines="50" w:line="460" w:lineRule="exact"/>
        <w:ind w:firstLine="562" w:firstLineChars="200"/>
        <w:rPr>
          <w:rStyle w:val="85"/>
          <w:rFonts w:hint="default"/>
          <w:color w:val="auto"/>
          <w:sz w:val="28"/>
          <w:szCs w:val="28"/>
          <w:highlight w:val="none"/>
        </w:rPr>
        <w:sectPr>
          <w:footerReference r:id="rId6" w:type="first"/>
          <w:footerReference r:id="rId5" w:type="default"/>
          <w:pgSz w:w="11906" w:h="16838"/>
          <w:pgMar w:top="1418" w:right="858" w:bottom="1418" w:left="1628" w:header="851" w:footer="992" w:gutter="0"/>
          <w:pgBorders>
            <w:top w:val="none" w:sz="0" w:space="0"/>
            <w:left w:val="none" w:sz="0" w:space="0"/>
            <w:bottom w:val="none" w:sz="0" w:space="0"/>
            <w:right w:val="none" w:sz="0" w:space="0"/>
          </w:pgBorders>
          <w:cols w:space="425" w:num="1"/>
          <w:titlePg/>
          <w:docGrid w:type="lines" w:linePitch="312" w:charSpace="0"/>
        </w:sectPr>
      </w:pPr>
      <w:bookmarkStart w:id="3" w:name="_Toc30406"/>
    </w:p>
    <w:p>
      <w:pPr>
        <w:pStyle w:val="2"/>
        <w:spacing w:before="156" w:beforeLines="50" w:after="156" w:afterLines="50" w:line="460" w:lineRule="exact"/>
        <w:ind w:firstLine="562" w:firstLineChars="200"/>
        <w:rPr>
          <w:rStyle w:val="85"/>
          <w:rFonts w:hint="default"/>
          <w:color w:val="auto"/>
          <w:sz w:val="28"/>
          <w:szCs w:val="28"/>
          <w:highlight w:val="none"/>
        </w:rPr>
      </w:pPr>
      <w:r>
        <w:rPr>
          <w:rStyle w:val="85"/>
          <w:rFonts w:hint="default"/>
          <w:color w:val="auto"/>
          <w:sz w:val="28"/>
          <w:szCs w:val="28"/>
          <w:highlight w:val="none"/>
        </w:rPr>
        <w:t>二、目标责任指标</w:t>
      </w:r>
      <w:bookmarkEnd w:id="3"/>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项目商务策划目标责任指标主要包括与经济相关的指标：成本目标，效益目标、资金管理目标等，其他履约指标见项目管理策划，具体情况如下：</w:t>
      </w:r>
    </w:p>
    <w:p>
      <w:pPr>
        <w:pStyle w:val="98"/>
        <w:spacing w:line="520" w:lineRule="exact"/>
        <w:ind w:left="-136" w:firstLine="3373" w:firstLineChars="1200"/>
        <w:contextualSpacing/>
        <w:rPr>
          <w:rFonts w:hint="eastAsia" w:ascii="仿宋" w:hAnsi="仿宋" w:eastAsia="仿宋" w:cs="仿宋"/>
          <w:bCs/>
          <w:sz w:val="28"/>
          <w:szCs w:val="28"/>
          <w:highlight w:val="none"/>
        </w:rPr>
      </w:pPr>
      <w:r>
        <w:rPr>
          <w:rFonts w:hint="eastAsia" w:ascii="仿宋" w:hAnsi="仿宋" w:eastAsia="仿宋" w:cs="仿宋"/>
          <w:b/>
          <w:sz w:val="28"/>
          <w:szCs w:val="28"/>
          <w:highlight w:val="none"/>
        </w:rPr>
        <w:t>目标责任指标一览表</w:t>
      </w:r>
    </w:p>
    <w:tbl>
      <w:tblPr>
        <w:tblStyle w:val="21"/>
        <w:tblW w:w="8880" w:type="dxa"/>
        <w:jc w:val="center"/>
        <w:tblLayout w:type="fixed"/>
        <w:tblCellMar>
          <w:top w:w="0" w:type="dxa"/>
          <w:left w:w="108" w:type="dxa"/>
          <w:bottom w:w="0" w:type="dxa"/>
          <w:right w:w="108" w:type="dxa"/>
        </w:tblCellMar>
      </w:tblPr>
      <w:tblGrid>
        <w:gridCol w:w="656"/>
        <w:gridCol w:w="3366"/>
        <w:gridCol w:w="1728"/>
        <w:gridCol w:w="3130"/>
      </w:tblGrid>
      <w:tr>
        <w:tblPrEx>
          <w:tblCellMar>
            <w:top w:w="0" w:type="dxa"/>
            <w:left w:w="108" w:type="dxa"/>
            <w:bottom w:w="0" w:type="dxa"/>
            <w:right w:w="108" w:type="dxa"/>
          </w:tblCellMar>
        </w:tblPrEx>
        <w:trPr>
          <w:trHeight w:val="454" w:hRule="exact"/>
          <w:tblHeader/>
          <w:jc w:val="center"/>
        </w:trPr>
        <w:tc>
          <w:tcPr>
            <w:tcW w:w="656" w:type="dxa"/>
            <w:tcBorders>
              <w:top w:val="single" w:color="5B9BD5" w:themeColor="accent1" w:sz="6" w:space="0"/>
              <w:left w:val="single" w:color="5B9BD5" w:themeColor="accent1" w:sz="6" w:space="0"/>
              <w:bottom w:val="single" w:color="5B9BD5" w:themeColor="accent1" w:sz="6" w:space="0"/>
              <w:right w:val="single" w:color="BDD6EE" w:themeColor="accent1" w:themeTint="66" w:sz="6" w:space="0"/>
            </w:tcBorders>
            <w:shd w:val="clear" w:color="auto" w:fill="5B9BD5" w:themeFill="accent1"/>
            <w:noWrap/>
            <w:vAlign w:val="center"/>
          </w:tcPr>
          <w:p>
            <w:pPr>
              <w:keepNext w:val="0"/>
              <w:keepLines w:val="0"/>
              <w:widowControl/>
              <w:suppressLineNumbers w:val="0"/>
              <w:jc w:val="center"/>
              <w:textAlignment w:val="center"/>
              <w:rPr>
                <w:rFonts w:hint="eastAsia" w:ascii="仿宋" w:hAnsi="仿宋" w:eastAsia="仿宋" w:cs="仿宋"/>
                <w:b/>
                <w:bCs/>
                <w:i w:val="0"/>
                <w:color w:val="FFFFFF"/>
                <w:kern w:val="0"/>
                <w:sz w:val="20"/>
                <w:szCs w:val="20"/>
                <w:highlight w:val="none"/>
                <w:lang w:bidi="ar"/>
              </w:rPr>
            </w:pPr>
            <w:r>
              <w:rPr>
                <w:rFonts w:hint="default" w:ascii="Arial" w:hAnsi="Arial" w:eastAsia="宋体" w:cs="Arial"/>
                <w:i w:val="0"/>
                <w:iCs w:val="0"/>
                <w:color w:val="000000"/>
                <w:kern w:val="0"/>
                <w:sz w:val="22"/>
                <w:szCs w:val="22"/>
                <w:u w:val="none"/>
                <w:lang w:val="en-US" w:eastAsia="zh-CN" w:bidi="ar"/>
              </w:rPr>
              <w:t>序号</w:t>
            </w:r>
          </w:p>
        </w:tc>
        <w:tc>
          <w:tcPr>
            <w:tcW w:w="3366"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pPr>
              <w:keepNext w:val="0"/>
              <w:keepLines w:val="0"/>
              <w:widowControl/>
              <w:suppressLineNumbers w:val="0"/>
              <w:jc w:val="center"/>
              <w:textAlignment w:val="center"/>
              <w:rPr>
                <w:rFonts w:hint="eastAsia" w:ascii="仿宋" w:hAnsi="仿宋" w:eastAsia="仿宋" w:cs="仿宋"/>
                <w:b/>
                <w:bCs/>
                <w:i w:val="0"/>
                <w:color w:val="FFFFFF"/>
                <w:kern w:val="0"/>
                <w:sz w:val="20"/>
                <w:szCs w:val="20"/>
                <w:highlight w:val="none"/>
                <w:lang w:bidi="ar"/>
              </w:rPr>
            </w:pPr>
            <w:r>
              <w:rPr>
                <w:rFonts w:hint="default" w:ascii="Arial" w:hAnsi="Arial" w:eastAsia="宋体" w:cs="Arial"/>
                <w:i w:val="0"/>
                <w:iCs w:val="0"/>
                <w:color w:val="000000"/>
                <w:kern w:val="0"/>
                <w:sz w:val="22"/>
                <w:szCs w:val="22"/>
                <w:u w:val="none"/>
                <w:lang w:val="en-US" w:eastAsia="zh-CN" w:bidi="ar"/>
              </w:rPr>
              <w:t>目标内容</w:t>
            </w:r>
          </w:p>
        </w:tc>
        <w:tc>
          <w:tcPr>
            <w:tcW w:w="1728"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noWrap/>
            <w:vAlign w:val="center"/>
          </w:tcPr>
          <w:p>
            <w:pPr>
              <w:keepNext w:val="0"/>
              <w:keepLines w:val="0"/>
              <w:widowControl/>
              <w:suppressLineNumbers w:val="0"/>
              <w:jc w:val="center"/>
              <w:textAlignment w:val="center"/>
              <w:rPr>
                <w:rFonts w:hint="eastAsia" w:ascii="仿宋" w:hAnsi="仿宋" w:eastAsia="仿宋" w:cs="仿宋"/>
                <w:b/>
                <w:bCs/>
                <w:i w:val="0"/>
                <w:color w:val="FFFFFF"/>
                <w:kern w:val="0"/>
                <w:sz w:val="20"/>
                <w:szCs w:val="20"/>
                <w:highlight w:val="none"/>
                <w:lang w:bidi="ar"/>
              </w:rPr>
            </w:pPr>
            <w:r>
              <w:rPr>
                <w:rFonts w:hint="default" w:ascii="Arial" w:hAnsi="Arial" w:eastAsia="宋体" w:cs="Arial"/>
                <w:i w:val="0"/>
                <w:iCs w:val="0"/>
                <w:color w:val="000000"/>
                <w:kern w:val="0"/>
                <w:sz w:val="22"/>
                <w:szCs w:val="22"/>
                <w:u w:val="none"/>
                <w:lang w:val="en-US" w:eastAsia="zh-CN" w:bidi="ar"/>
              </w:rPr>
              <w:t xml:space="preserve">目标值 </w:t>
            </w:r>
          </w:p>
        </w:tc>
        <w:tc>
          <w:tcPr>
            <w:tcW w:w="3130" w:type="dxa"/>
            <w:tcBorders>
              <w:top w:val="single" w:color="5B9BD5" w:themeColor="accent1" w:sz="6" w:space="0"/>
              <w:left w:val="single" w:color="BDD6EE" w:themeColor="accent1" w:themeTint="66" w:sz="6" w:space="0"/>
              <w:bottom w:val="single" w:color="5B9BD5" w:themeColor="accent1" w:sz="6" w:space="0"/>
              <w:right w:val="single" w:color="5B9BD5" w:themeColor="accent1" w:sz="6" w:space="0"/>
            </w:tcBorders>
            <w:shd w:val="clear" w:color="auto" w:fill="5B9BD5" w:themeFill="accent1"/>
            <w:noWrap/>
            <w:vAlign w:val="center"/>
          </w:tcPr>
          <w:p>
            <w:pPr>
              <w:keepNext w:val="0"/>
              <w:keepLines w:val="0"/>
              <w:widowControl/>
              <w:suppressLineNumbers w:val="0"/>
              <w:jc w:val="center"/>
              <w:textAlignment w:val="center"/>
              <w:rPr>
                <w:rFonts w:hint="eastAsia" w:ascii="仿宋" w:hAnsi="仿宋" w:eastAsia="仿宋" w:cs="仿宋"/>
                <w:b/>
                <w:bCs/>
                <w:i w:val="0"/>
                <w:color w:val="FFFFFF"/>
                <w:kern w:val="0"/>
                <w:sz w:val="20"/>
                <w:szCs w:val="20"/>
                <w:highlight w:val="none"/>
                <w:lang w:bidi="ar"/>
              </w:rPr>
            </w:pPr>
            <w:r>
              <w:rPr>
                <w:rFonts w:hint="default" w:ascii="Arial" w:hAnsi="Arial" w:eastAsia="宋体" w:cs="Arial"/>
                <w:i w:val="0"/>
                <w:iCs w:val="0"/>
                <w:color w:val="000000"/>
                <w:kern w:val="0"/>
                <w:sz w:val="22"/>
                <w:szCs w:val="22"/>
                <w:u w:val="none"/>
                <w:lang w:val="en-US" w:eastAsia="zh-CN" w:bidi="ar"/>
              </w:rPr>
              <w:t>备注</w:t>
            </w:r>
          </w:p>
        </w:tc>
      </w:tr>
      <w:tr>
        <w:tblPrEx>
          <w:tblCellMar>
            <w:top w:w="0" w:type="dxa"/>
            <w:left w:w="108" w:type="dxa"/>
            <w:bottom w:w="0" w:type="dxa"/>
            <w:right w:w="108" w:type="dxa"/>
          </w:tblCellMar>
        </w:tblPrEx>
        <w:trPr>
          <w:trHeight w:val="454" w:hRule="exact"/>
          <w:jc w:val="center"/>
        </w:trPr>
        <w:tc>
          <w:tcPr>
            <w:tcW w:w="656" w:type="dxa"/>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一</w:t>
            </w:r>
          </w:p>
        </w:tc>
        <w:tc>
          <w:tcPr>
            <w:tcW w:w="3366"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总收入目标</w:t>
            </w:r>
          </w:p>
        </w:tc>
        <w:tc>
          <w:tcPr>
            <w:tcW w:w="1728"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eastAsia" w:ascii="仿宋" w:hAnsi="仿宋" w:eastAsia="仿宋" w:cs="仿宋"/>
                <w:b/>
                <w:bCs/>
                <w:i w:val="0"/>
                <w:color w:val="000000"/>
                <w:kern w:val="0"/>
                <w:sz w:val="18"/>
                <w:szCs w:val="18"/>
                <w:highlight w:val="none"/>
                <w:lang w:val="en-US" w:eastAsia="zh" w:bidi="ar"/>
              </w:rPr>
              <w:t>6132.4859</w:t>
            </w:r>
            <w:r>
              <w:rPr>
                <w:rFonts w:hint="default" w:ascii="仿宋" w:hAnsi="仿宋" w:eastAsia="仿宋" w:cs="仿宋"/>
                <w:b/>
                <w:bCs/>
                <w:i w:val="0"/>
                <w:color w:val="000000"/>
                <w:kern w:val="0"/>
                <w:sz w:val="18"/>
                <w:szCs w:val="18"/>
                <w:highlight w:val="none"/>
                <w:lang w:val="en-US" w:eastAsia="zh-CN" w:bidi="ar"/>
              </w:rPr>
              <w:t>万元</w:t>
            </w:r>
          </w:p>
        </w:tc>
        <w:tc>
          <w:tcPr>
            <w:tcW w:w="3130" w:type="dxa"/>
            <w:tcBorders>
              <w:top w:val="single" w:color="5B9BD5" w:themeColor="accent1"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　</w:t>
            </w: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1</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合同内收入</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6132.4859</w:t>
            </w:r>
            <w:r>
              <w:rPr>
                <w:rFonts w:hint="default" w:ascii="仿宋" w:hAnsi="仿宋" w:eastAsia="仿宋" w:cs="仿宋"/>
                <w:b w:val="0"/>
                <w:i w:val="0"/>
                <w:color w:val="000000"/>
                <w:kern w:val="0"/>
                <w:sz w:val="18"/>
                <w:szCs w:val="18"/>
                <w:highlight w:val="none"/>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default"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不含税（下同）</w:t>
            </w:r>
            <w:r>
              <w:rPr>
                <w:rFonts w:hint="eastAsia" w:ascii="仿宋" w:hAnsi="仿宋" w:eastAsia="仿宋" w:cs="仿宋"/>
                <w:b w:val="0"/>
                <w:i w:val="0"/>
                <w:color w:val="000000"/>
                <w:kern w:val="0"/>
                <w:sz w:val="18"/>
                <w:szCs w:val="18"/>
                <w:highlight w:val="none"/>
                <w:lang w:val="en-US" w:eastAsia="zh-CN" w:bidi="ar"/>
              </w:rPr>
              <w:t>，含安文费。</w:t>
            </w: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2</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二次经营收入</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0万元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暂未定</w:t>
            </w: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二</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总成本目标</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eastAsia" w:ascii="仿宋" w:hAnsi="仿宋" w:eastAsia="仿宋" w:cs="仿宋"/>
                <w:b/>
                <w:bCs/>
                <w:i w:val="0"/>
                <w:color w:val="000000"/>
                <w:kern w:val="0"/>
                <w:sz w:val="18"/>
                <w:szCs w:val="18"/>
                <w:highlight w:val="none"/>
                <w:lang w:val="en-US" w:eastAsia="zh-CN" w:bidi="ar"/>
              </w:rPr>
              <w:t xml:space="preserve"> </w:t>
            </w:r>
            <w:r>
              <w:rPr>
                <w:rFonts w:hint="default" w:ascii="仿宋" w:hAnsi="仿宋" w:eastAsia="仿宋" w:cs="仿宋"/>
                <w:b/>
                <w:bCs/>
                <w:i w:val="0"/>
                <w:color w:val="000000"/>
                <w:kern w:val="0"/>
                <w:sz w:val="18"/>
                <w:szCs w:val="18"/>
                <w:highlight w:val="none"/>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　</w:t>
            </w:r>
          </w:p>
        </w:tc>
      </w:tr>
      <w:tr>
        <w:tblPrEx>
          <w:tblCellMar>
            <w:top w:w="0" w:type="dxa"/>
            <w:left w:w="108" w:type="dxa"/>
            <w:bottom w:w="0" w:type="dxa"/>
            <w:right w:w="108" w:type="dxa"/>
          </w:tblCellMar>
        </w:tblPrEx>
        <w:trPr>
          <w:trHeight w:val="679"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1</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合同内成本</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 xml:space="preserve"> </w:t>
            </w:r>
            <w:r>
              <w:rPr>
                <w:rFonts w:hint="default" w:ascii="仿宋" w:hAnsi="仿宋" w:eastAsia="仿宋" w:cs="仿宋"/>
                <w:b w:val="0"/>
                <w:i w:val="0"/>
                <w:color w:val="000000"/>
                <w:kern w:val="0"/>
                <w:sz w:val="18"/>
                <w:szCs w:val="18"/>
                <w:highlight w:val="none"/>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2</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二次经营成本</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 xml:space="preserve"> </w:t>
            </w:r>
            <w:r>
              <w:rPr>
                <w:rFonts w:hint="default" w:ascii="仿宋" w:hAnsi="仿宋" w:eastAsia="仿宋" w:cs="仿宋"/>
                <w:b w:val="0"/>
                <w:i w:val="0"/>
                <w:color w:val="000000"/>
                <w:kern w:val="0"/>
                <w:sz w:val="18"/>
                <w:szCs w:val="18"/>
                <w:highlight w:val="none"/>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三</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总体效益目标（确保）</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eastAsia" w:ascii="仿宋" w:hAnsi="仿宋" w:eastAsia="仿宋" w:cs="仿宋"/>
                <w:b/>
                <w:bCs/>
                <w:i w:val="0"/>
                <w:color w:val="000000"/>
                <w:kern w:val="0"/>
                <w:sz w:val="18"/>
                <w:szCs w:val="18"/>
                <w:highlight w:val="none"/>
                <w:lang w:val="en-US" w:eastAsia="zh-CN" w:bidi="ar"/>
              </w:rPr>
              <w:t xml:space="preserve"> </w:t>
            </w:r>
            <w:r>
              <w:rPr>
                <w:rFonts w:hint="default" w:ascii="仿宋" w:hAnsi="仿宋" w:eastAsia="仿宋" w:cs="仿宋"/>
                <w:b/>
                <w:bCs/>
                <w:i w:val="0"/>
                <w:color w:val="000000"/>
                <w:kern w:val="0"/>
                <w:sz w:val="18"/>
                <w:szCs w:val="18"/>
                <w:highlight w:val="none"/>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1</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合同内利润</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 xml:space="preserve"> </w:t>
            </w:r>
            <w:r>
              <w:rPr>
                <w:rFonts w:hint="default" w:ascii="仿宋" w:hAnsi="仿宋" w:eastAsia="仿宋" w:cs="仿宋"/>
                <w:b w:val="0"/>
                <w:i w:val="0"/>
                <w:color w:val="000000"/>
                <w:kern w:val="0"/>
                <w:sz w:val="18"/>
                <w:szCs w:val="18"/>
                <w:highlight w:val="none"/>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合同内收入-合同内成本</w:t>
            </w: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2</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二次经营创效</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0万元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二次经营收入-二次经营成本</w:t>
            </w: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四</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bCs/>
                <w:i w:val="0"/>
                <w:color w:val="000000"/>
                <w:kern w:val="0"/>
                <w:sz w:val="18"/>
                <w:szCs w:val="18"/>
                <w:highlight w:val="none"/>
                <w:lang w:val="en-US" w:eastAsia="zh-CN" w:bidi="ar"/>
              </w:rPr>
            </w:pPr>
            <w:r>
              <w:rPr>
                <w:rFonts w:hint="default" w:ascii="仿宋" w:hAnsi="仿宋" w:eastAsia="仿宋" w:cs="仿宋"/>
                <w:b/>
                <w:bCs/>
                <w:i w:val="0"/>
                <w:color w:val="000000"/>
                <w:kern w:val="0"/>
                <w:sz w:val="18"/>
                <w:szCs w:val="18"/>
                <w:highlight w:val="none"/>
                <w:lang w:val="en-US" w:eastAsia="zh-CN" w:bidi="ar"/>
              </w:rPr>
              <w:t>总体效益目标（力争）</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ind w:firstLine="361" w:firstLineChars="200"/>
              <w:jc w:val="left"/>
              <w:textAlignment w:val="center"/>
              <w:rPr>
                <w:rFonts w:hint="eastAsia" w:ascii="仿宋" w:hAnsi="仿宋" w:eastAsia="仿宋" w:cs="仿宋"/>
                <w:b/>
                <w:bCs/>
                <w:i w:val="0"/>
                <w:color w:val="000000"/>
                <w:kern w:val="0"/>
                <w:sz w:val="18"/>
                <w:szCs w:val="18"/>
                <w:highlight w:val="yellow"/>
                <w:lang w:val="en-US" w:eastAsia="zh-CN" w:bidi="ar"/>
              </w:rPr>
            </w:pPr>
            <w:r>
              <w:rPr>
                <w:rFonts w:hint="eastAsia" w:ascii="仿宋" w:hAnsi="仿宋" w:eastAsia="仿宋" w:cs="仿宋"/>
                <w:b/>
                <w:bCs/>
                <w:i w:val="0"/>
                <w:color w:val="000000"/>
                <w:kern w:val="0"/>
                <w:sz w:val="18"/>
                <w:szCs w:val="18"/>
                <w:highlight w:val="yellow"/>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 w:bidi="ar"/>
              </w:rPr>
            </w:pPr>
            <w:r>
              <w:rPr>
                <w:rFonts w:hint="eastAsia" w:ascii="仿宋" w:hAnsi="仿宋" w:eastAsia="仿宋" w:cs="仿宋"/>
                <w:b w:val="0"/>
                <w:i w:val="0"/>
                <w:color w:val="000000"/>
                <w:kern w:val="0"/>
                <w:sz w:val="18"/>
                <w:szCs w:val="18"/>
                <w:highlight w:val="none"/>
                <w:lang w:val="en-US" w:eastAsia="zh" w:bidi="ar"/>
              </w:rPr>
              <w:t>暂未定</w:t>
            </w: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1</w:t>
            </w:r>
          </w:p>
        </w:tc>
        <w:tc>
          <w:tcPr>
            <w:tcW w:w="33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合同内利润</w:t>
            </w:r>
          </w:p>
        </w:tc>
        <w:tc>
          <w:tcPr>
            <w:tcW w:w="172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pPr>
              <w:widowControl/>
              <w:ind w:firstLine="360" w:firstLineChars="200"/>
              <w:jc w:val="left"/>
              <w:textAlignment w:val="center"/>
              <w:rPr>
                <w:rFonts w:hint="eastAsia" w:ascii="仿宋" w:hAnsi="仿宋" w:eastAsia="仿宋" w:cs="仿宋"/>
                <w:b w:val="0"/>
                <w:i w:val="0"/>
                <w:color w:val="000000"/>
                <w:kern w:val="0"/>
                <w:sz w:val="18"/>
                <w:szCs w:val="18"/>
                <w:highlight w:val="yellow"/>
                <w:lang w:val="en-US" w:eastAsia="zh-CN" w:bidi="ar"/>
              </w:rPr>
            </w:pPr>
            <w:r>
              <w:rPr>
                <w:rFonts w:hint="default" w:ascii="仿宋" w:hAnsi="仿宋" w:eastAsia="仿宋" w:cs="仿宋"/>
                <w:b w:val="0"/>
                <w:i w:val="0"/>
                <w:color w:val="000000"/>
                <w:kern w:val="0"/>
                <w:sz w:val="18"/>
                <w:szCs w:val="18"/>
                <w:highlight w:val="yellow"/>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合同内收入-合同内成本</w:t>
            </w:r>
          </w:p>
        </w:tc>
      </w:tr>
      <w:tr>
        <w:tblPrEx>
          <w:tblCellMar>
            <w:top w:w="0" w:type="dxa"/>
            <w:left w:w="108" w:type="dxa"/>
            <w:bottom w:w="0" w:type="dxa"/>
            <w:right w:w="108" w:type="dxa"/>
          </w:tblCellMar>
        </w:tblPrEx>
        <w:trPr>
          <w:trHeight w:val="454" w:hRule="exact"/>
          <w:jc w:val="center"/>
        </w:trPr>
        <w:tc>
          <w:tcPr>
            <w:tcW w:w="656" w:type="dxa"/>
            <w:tcBorders>
              <w:top w:val="single" w:color="BDD6EE" w:themeColor="accent1" w:themeTint="66" w:sz="6" w:space="0"/>
              <w:left w:val="single" w:color="5B9BD5" w:themeColor="accent1" w:sz="6" w:space="0"/>
              <w:bottom w:val="single" w:color="5B9BD5" w:themeColor="accent1"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2</w:t>
            </w:r>
          </w:p>
        </w:tc>
        <w:tc>
          <w:tcPr>
            <w:tcW w:w="3366"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二次经营创效</w:t>
            </w:r>
          </w:p>
        </w:tc>
        <w:tc>
          <w:tcPr>
            <w:tcW w:w="1728"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pPr>
              <w:widowControl/>
              <w:ind w:firstLine="360" w:firstLineChars="200"/>
              <w:jc w:val="left"/>
              <w:textAlignment w:val="center"/>
              <w:rPr>
                <w:rFonts w:hint="eastAsia" w:ascii="仿宋" w:hAnsi="仿宋" w:eastAsia="仿宋" w:cs="仿宋"/>
                <w:b w:val="0"/>
                <w:i w:val="0"/>
                <w:color w:val="000000"/>
                <w:kern w:val="0"/>
                <w:sz w:val="18"/>
                <w:szCs w:val="18"/>
                <w:highlight w:val="yellow"/>
                <w:lang w:val="en-US" w:eastAsia="zh-CN" w:bidi="ar"/>
              </w:rPr>
            </w:pPr>
            <w:r>
              <w:rPr>
                <w:rFonts w:hint="default" w:ascii="仿宋" w:hAnsi="仿宋" w:eastAsia="仿宋" w:cs="仿宋"/>
                <w:b w:val="0"/>
                <w:i w:val="0"/>
                <w:color w:val="000000"/>
                <w:kern w:val="0"/>
                <w:sz w:val="18"/>
                <w:szCs w:val="18"/>
                <w:highlight w:val="yellow"/>
                <w:lang w:val="en-US" w:eastAsia="zh-CN" w:bidi="ar"/>
              </w:rPr>
              <w:t>万元</w:t>
            </w:r>
          </w:p>
        </w:tc>
        <w:tc>
          <w:tcPr>
            <w:tcW w:w="3130" w:type="dxa"/>
            <w:tcBorders>
              <w:top w:val="single" w:color="BDD6EE" w:themeColor="accent1" w:themeTint="66" w:sz="6" w:space="0"/>
              <w:left w:val="single" w:color="BDD6EE" w:themeColor="accent1" w:themeTint="66" w:sz="6" w:space="0"/>
              <w:bottom w:val="single" w:color="5B9BD5" w:themeColor="accent1" w:sz="6" w:space="0"/>
              <w:right w:val="single" w:color="5B9BD5" w:themeColor="accent1" w:sz="6" w:space="0"/>
            </w:tcBorders>
            <w:shd w:val="clear" w:color="auto" w:fill="FFFFFF"/>
            <w:noWrap/>
            <w:vAlign w:val="center"/>
          </w:tcPr>
          <w:p>
            <w:pPr>
              <w:widowControl/>
              <w:jc w:val="left"/>
              <w:textAlignment w:val="center"/>
              <w:rPr>
                <w:rFonts w:hint="eastAsia" w:ascii="仿宋" w:hAnsi="仿宋" w:eastAsia="仿宋" w:cs="仿宋"/>
                <w:b w:val="0"/>
                <w:i w:val="0"/>
                <w:color w:val="000000"/>
                <w:kern w:val="0"/>
                <w:sz w:val="18"/>
                <w:szCs w:val="18"/>
                <w:highlight w:val="none"/>
                <w:lang w:val="en-US" w:eastAsia="zh-CN" w:bidi="ar"/>
              </w:rPr>
            </w:pPr>
            <w:r>
              <w:rPr>
                <w:rFonts w:hint="default" w:ascii="仿宋" w:hAnsi="仿宋" w:eastAsia="仿宋" w:cs="仿宋"/>
                <w:b w:val="0"/>
                <w:i w:val="0"/>
                <w:color w:val="000000"/>
                <w:kern w:val="0"/>
                <w:sz w:val="18"/>
                <w:szCs w:val="18"/>
                <w:highlight w:val="none"/>
                <w:lang w:val="en-US" w:eastAsia="zh-CN" w:bidi="ar"/>
              </w:rPr>
              <w:t>二次经营收入-二次经营成本</w:t>
            </w:r>
          </w:p>
        </w:tc>
      </w:tr>
    </w:tbl>
    <w:p>
      <w:pPr>
        <w:pStyle w:val="2"/>
        <w:spacing w:before="156" w:beforeLines="50" w:after="156" w:afterLines="50" w:line="460" w:lineRule="exact"/>
        <w:ind w:firstLine="562" w:firstLineChars="200"/>
        <w:rPr>
          <w:rStyle w:val="85"/>
          <w:rFonts w:hint="default"/>
          <w:color w:val="auto"/>
          <w:sz w:val="28"/>
          <w:szCs w:val="28"/>
          <w:highlight w:val="none"/>
        </w:rPr>
        <w:sectPr>
          <w:pgSz w:w="11906" w:h="16838"/>
          <w:pgMar w:top="1418" w:right="858" w:bottom="1418" w:left="1628" w:header="851" w:footer="992" w:gutter="0"/>
          <w:pgBorders>
            <w:top w:val="none" w:sz="0" w:space="0"/>
            <w:left w:val="none" w:sz="0" w:space="0"/>
            <w:bottom w:val="none" w:sz="0" w:space="0"/>
            <w:right w:val="none" w:sz="0" w:space="0"/>
          </w:pgBorders>
          <w:cols w:space="425" w:num="1"/>
          <w:titlePg/>
          <w:docGrid w:type="lines" w:linePitch="312" w:charSpace="0"/>
        </w:sectPr>
      </w:pPr>
      <w:bookmarkStart w:id="4" w:name="_Toc27954"/>
    </w:p>
    <w:p>
      <w:pPr>
        <w:pStyle w:val="2"/>
        <w:spacing w:before="156" w:beforeLines="50" w:after="156" w:afterLines="50" w:line="460" w:lineRule="exact"/>
        <w:ind w:firstLine="562" w:firstLineChars="200"/>
        <w:rPr>
          <w:rStyle w:val="85"/>
          <w:rFonts w:hint="default"/>
          <w:color w:val="auto"/>
          <w:sz w:val="28"/>
          <w:szCs w:val="28"/>
          <w:highlight w:val="none"/>
        </w:rPr>
      </w:pPr>
      <w:r>
        <w:rPr>
          <w:rStyle w:val="85"/>
          <w:rFonts w:hint="default"/>
          <w:color w:val="auto"/>
          <w:sz w:val="28"/>
          <w:szCs w:val="28"/>
          <w:highlight w:val="none"/>
        </w:rPr>
        <w:t>三、项目风险分析</w:t>
      </w:r>
      <w:bookmarkEnd w:id="4"/>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通过对项目合同履约相关的安全、质量、工期、环保、成本等方面进行风险识别和评估，本项目风险共计</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个风险点，项目风险点识别和对策详见下表。</w:t>
      </w:r>
    </w:p>
    <w:tbl>
      <w:tblPr>
        <w:tblStyle w:val="21"/>
        <w:tblW w:w="9357" w:type="dxa"/>
        <w:jc w:val="center"/>
        <w:tblLayout w:type="fixed"/>
        <w:tblCellMar>
          <w:top w:w="0" w:type="dxa"/>
          <w:left w:w="108" w:type="dxa"/>
          <w:bottom w:w="0" w:type="dxa"/>
          <w:right w:w="108" w:type="dxa"/>
        </w:tblCellMar>
      </w:tblPr>
      <w:tblGrid>
        <w:gridCol w:w="544"/>
        <w:gridCol w:w="841"/>
        <w:gridCol w:w="3487"/>
        <w:gridCol w:w="2588"/>
        <w:gridCol w:w="1103"/>
        <w:gridCol w:w="794"/>
      </w:tblGrid>
      <w:tr>
        <w:tblPrEx>
          <w:tblCellMar>
            <w:top w:w="0" w:type="dxa"/>
            <w:left w:w="108" w:type="dxa"/>
            <w:bottom w:w="0" w:type="dxa"/>
            <w:right w:w="108" w:type="dxa"/>
          </w:tblCellMar>
        </w:tblPrEx>
        <w:trPr>
          <w:trHeight w:val="960" w:hRule="atLeast"/>
          <w:tblHeader/>
          <w:jc w:val="center"/>
        </w:trPr>
        <w:tc>
          <w:tcPr>
            <w:tcW w:w="544" w:type="dxa"/>
            <w:tcBorders>
              <w:top w:val="single" w:color="5B9BD5" w:themeColor="accent1" w:sz="6" w:space="0"/>
              <w:left w:val="single" w:color="5B9BD5" w:themeColor="accent1" w:sz="6" w:space="0"/>
              <w:bottom w:val="single" w:color="5B9BD5" w:themeColor="accent1" w:sz="6" w:space="0"/>
              <w:right w:val="single" w:color="BDD6EE" w:themeColor="accent1" w:themeTint="66" w:sz="6" w:space="0"/>
            </w:tcBorders>
            <w:shd w:val="clear" w:color="auto" w:fill="5B9BD5" w:themeFill="accent1"/>
            <w:vAlign w:val="center"/>
          </w:tcPr>
          <w:p>
            <w:pPr>
              <w:widowControl/>
              <w:jc w:val="center"/>
              <w:textAlignment w:val="center"/>
              <w:rPr>
                <w:rFonts w:hint="eastAsia" w:ascii="仿宋" w:hAnsi="仿宋" w:eastAsia="仿宋" w:cs="仿宋"/>
                <w:b/>
                <w:bCs/>
                <w:i w:val="0"/>
                <w:color w:val="FFFFFF"/>
                <w:sz w:val="20"/>
                <w:szCs w:val="20"/>
                <w:highlight w:val="none"/>
              </w:rPr>
            </w:pPr>
            <w:r>
              <w:rPr>
                <w:rFonts w:hint="eastAsia" w:ascii="仿宋" w:hAnsi="仿宋" w:eastAsia="仿宋" w:cs="仿宋"/>
                <w:b/>
                <w:bCs/>
                <w:i w:val="0"/>
                <w:color w:val="FFFFFF"/>
                <w:kern w:val="0"/>
                <w:sz w:val="20"/>
                <w:szCs w:val="20"/>
                <w:highlight w:val="none"/>
                <w:lang w:bidi="ar"/>
              </w:rPr>
              <w:t>序号</w:t>
            </w:r>
          </w:p>
        </w:tc>
        <w:tc>
          <w:tcPr>
            <w:tcW w:w="841"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pPr>
              <w:widowControl/>
              <w:jc w:val="center"/>
              <w:textAlignment w:val="center"/>
              <w:rPr>
                <w:rFonts w:hint="eastAsia" w:ascii="仿宋" w:hAnsi="仿宋" w:eastAsia="仿宋" w:cs="仿宋"/>
                <w:b/>
                <w:bCs/>
                <w:i w:val="0"/>
                <w:color w:val="FFFFFF"/>
                <w:sz w:val="20"/>
                <w:szCs w:val="20"/>
                <w:highlight w:val="none"/>
              </w:rPr>
            </w:pPr>
            <w:r>
              <w:rPr>
                <w:rFonts w:hint="eastAsia" w:ascii="仿宋" w:hAnsi="仿宋" w:eastAsia="仿宋" w:cs="仿宋"/>
                <w:b/>
                <w:bCs/>
                <w:i w:val="0"/>
                <w:color w:val="FFFFFF"/>
                <w:kern w:val="0"/>
                <w:sz w:val="20"/>
                <w:szCs w:val="20"/>
                <w:highlight w:val="none"/>
                <w:lang w:bidi="ar"/>
              </w:rPr>
              <w:t>风险因素</w:t>
            </w:r>
          </w:p>
        </w:tc>
        <w:tc>
          <w:tcPr>
            <w:tcW w:w="3487"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pPr>
              <w:widowControl/>
              <w:jc w:val="center"/>
              <w:textAlignment w:val="center"/>
              <w:rPr>
                <w:rFonts w:hint="eastAsia" w:ascii="仿宋" w:hAnsi="仿宋" w:eastAsia="仿宋" w:cs="仿宋"/>
                <w:b/>
                <w:bCs/>
                <w:i w:val="0"/>
                <w:color w:val="FFFFFF"/>
                <w:sz w:val="20"/>
                <w:szCs w:val="20"/>
                <w:highlight w:val="none"/>
              </w:rPr>
            </w:pPr>
            <w:r>
              <w:rPr>
                <w:rFonts w:hint="eastAsia" w:ascii="仿宋" w:hAnsi="仿宋" w:eastAsia="仿宋" w:cs="仿宋"/>
                <w:b/>
                <w:bCs/>
                <w:i w:val="0"/>
                <w:color w:val="FFFFFF"/>
                <w:kern w:val="0"/>
                <w:sz w:val="20"/>
                <w:szCs w:val="20"/>
                <w:highlight w:val="none"/>
                <w:lang w:bidi="ar"/>
              </w:rPr>
              <w:t>最不利影响</w:t>
            </w:r>
          </w:p>
        </w:tc>
        <w:tc>
          <w:tcPr>
            <w:tcW w:w="2588"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pPr>
              <w:widowControl/>
              <w:jc w:val="center"/>
              <w:textAlignment w:val="center"/>
              <w:rPr>
                <w:rFonts w:hint="eastAsia" w:ascii="仿宋" w:hAnsi="仿宋" w:eastAsia="仿宋" w:cs="仿宋"/>
                <w:b/>
                <w:bCs/>
                <w:i w:val="0"/>
                <w:color w:val="FFFFFF"/>
                <w:sz w:val="20"/>
                <w:szCs w:val="20"/>
                <w:highlight w:val="none"/>
              </w:rPr>
            </w:pPr>
            <w:r>
              <w:rPr>
                <w:rFonts w:hint="eastAsia" w:ascii="仿宋" w:hAnsi="仿宋" w:eastAsia="仿宋" w:cs="仿宋"/>
                <w:b/>
                <w:bCs/>
                <w:i w:val="0"/>
                <w:color w:val="FFFFFF"/>
                <w:kern w:val="0"/>
                <w:sz w:val="20"/>
                <w:szCs w:val="20"/>
                <w:highlight w:val="none"/>
                <w:lang w:bidi="ar"/>
              </w:rPr>
              <w:t>拟应对措施</w:t>
            </w:r>
          </w:p>
        </w:tc>
        <w:tc>
          <w:tcPr>
            <w:tcW w:w="1103"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pPr>
              <w:widowControl/>
              <w:jc w:val="center"/>
              <w:textAlignment w:val="center"/>
              <w:rPr>
                <w:rFonts w:hint="eastAsia" w:ascii="仿宋" w:hAnsi="仿宋" w:eastAsia="仿宋" w:cs="仿宋"/>
                <w:b/>
                <w:bCs/>
                <w:i w:val="0"/>
                <w:color w:val="FFFFFF"/>
                <w:kern w:val="0"/>
                <w:sz w:val="20"/>
                <w:szCs w:val="20"/>
                <w:highlight w:val="none"/>
                <w:lang w:bidi="ar"/>
              </w:rPr>
            </w:pPr>
            <w:r>
              <w:rPr>
                <w:rFonts w:hint="eastAsia" w:ascii="仿宋" w:hAnsi="仿宋" w:eastAsia="仿宋" w:cs="仿宋"/>
                <w:b/>
                <w:bCs/>
                <w:i w:val="0"/>
                <w:color w:val="FFFFFF"/>
                <w:kern w:val="0"/>
                <w:sz w:val="20"/>
                <w:szCs w:val="20"/>
                <w:highlight w:val="none"/>
                <w:lang w:bidi="ar"/>
              </w:rPr>
              <w:t>责任</w:t>
            </w:r>
          </w:p>
          <w:p>
            <w:pPr>
              <w:widowControl/>
              <w:jc w:val="center"/>
              <w:textAlignment w:val="center"/>
              <w:rPr>
                <w:rFonts w:hint="eastAsia" w:ascii="仿宋" w:hAnsi="仿宋" w:eastAsia="仿宋" w:cs="仿宋"/>
                <w:b/>
                <w:bCs/>
                <w:i w:val="0"/>
                <w:color w:val="FFFFFF"/>
                <w:sz w:val="20"/>
                <w:szCs w:val="20"/>
                <w:highlight w:val="none"/>
              </w:rPr>
            </w:pPr>
            <w:r>
              <w:rPr>
                <w:rFonts w:hint="eastAsia" w:ascii="仿宋" w:hAnsi="仿宋" w:eastAsia="仿宋" w:cs="仿宋"/>
                <w:b/>
                <w:bCs/>
                <w:i w:val="0"/>
                <w:color w:val="FFFFFF"/>
                <w:kern w:val="0"/>
                <w:sz w:val="20"/>
                <w:szCs w:val="20"/>
                <w:highlight w:val="none"/>
                <w:lang w:bidi="ar"/>
              </w:rPr>
              <w:t>部门</w:t>
            </w:r>
          </w:p>
        </w:tc>
        <w:tc>
          <w:tcPr>
            <w:tcW w:w="794" w:type="dxa"/>
            <w:tcBorders>
              <w:top w:val="single" w:color="5B9BD5" w:themeColor="accent1" w:sz="6" w:space="0"/>
              <w:left w:val="single" w:color="BDD6EE" w:themeColor="accent1" w:themeTint="66" w:sz="6" w:space="0"/>
              <w:bottom w:val="single" w:color="5B9BD5" w:themeColor="accent1" w:sz="6" w:space="0"/>
              <w:right w:val="single" w:color="5B9BD5" w:themeColor="accent1" w:sz="6" w:space="0"/>
            </w:tcBorders>
            <w:shd w:val="clear" w:color="auto" w:fill="5B9BD5" w:themeFill="accent1"/>
            <w:vAlign w:val="center"/>
          </w:tcPr>
          <w:p>
            <w:pPr>
              <w:widowControl/>
              <w:jc w:val="center"/>
              <w:textAlignment w:val="center"/>
              <w:rPr>
                <w:rFonts w:hint="eastAsia" w:ascii="仿宋" w:hAnsi="仿宋" w:eastAsia="仿宋" w:cs="仿宋"/>
                <w:b/>
                <w:bCs/>
                <w:i w:val="0"/>
                <w:color w:val="FFFFFF"/>
                <w:sz w:val="20"/>
                <w:szCs w:val="20"/>
                <w:highlight w:val="none"/>
              </w:rPr>
            </w:pPr>
            <w:r>
              <w:rPr>
                <w:rFonts w:hint="eastAsia" w:ascii="仿宋" w:hAnsi="仿宋" w:eastAsia="仿宋" w:cs="仿宋"/>
                <w:b/>
                <w:bCs/>
                <w:i w:val="0"/>
                <w:color w:val="FFFFFF"/>
                <w:kern w:val="0"/>
                <w:sz w:val="20"/>
                <w:szCs w:val="20"/>
                <w:highlight w:val="none"/>
                <w:lang w:bidi="ar"/>
              </w:rPr>
              <w:t>风险化解目标</w:t>
            </w:r>
          </w:p>
        </w:tc>
      </w:tr>
      <w:tr>
        <w:tblPrEx>
          <w:tblCellMar>
            <w:top w:w="0" w:type="dxa"/>
            <w:left w:w="108" w:type="dxa"/>
            <w:bottom w:w="0" w:type="dxa"/>
            <w:right w:w="108" w:type="dxa"/>
          </w:tblCellMar>
        </w:tblPrEx>
        <w:trPr>
          <w:trHeight w:val="1296" w:hRule="atLeast"/>
          <w:jc w:val="center"/>
        </w:trPr>
        <w:tc>
          <w:tcPr>
            <w:tcW w:w="544" w:type="dxa"/>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1</w:t>
            </w:r>
          </w:p>
        </w:tc>
        <w:tc>
          <w:tcPr>
            <w:tcW w:w="841"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工期延误</w:t>
            </w:r>
          </w:p>
        </w:tc>
        <w:tc>
          <w:tcPr>
            <w:tcW w:w="3487"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default" w:ascii="仿宋" w:hAnsi="仿宋" w:eastAsia="仿宋" w:cs="仿宋"/>
                <w:b w:val="0"/>
                <w:bCs w:val="0"/>
                <w:i w:val="0"/>
                <w:color w:val="000000"/>
                <w:sz w:val="18"/>
                <w:szCs w:val="18"/>
                <w:highlight w:val="none"/>
                <w:lang w:val="en-US" w:eastAsia="zh-CN"/>
              </w:rPr>
            </w:pPr>
            <w:r>
              <w:rPr>
                <w:rFonts w:hint="eastAsia" w:ascii="仿宋" w:hAnsi="仿宋" w:eastAsia="仿宋" w:cs="仿宋"/>
                <w:b w:val="0"/>
                <w:i w:val="0"/>
                <w:color w:val="000000"/>
                <w:kern w:val="0"/>
                <w:sz w:val="18"/>
                <w:szCs w:val="18"/>
                <w:highlight w:val="none"/>
                <w:lang w:eastAsia="zh" w:bidi="ar"/>
              </w:rPr>
              <w:t>承包人逾期完工违约，节点工期一旦延误,承包人须支付违约金人民币壹拾万元/次,此外,该节点工期每延误1天,每天增加支付违约金人民币壹万元。造成总工期延期的，每延误1天，每天支付违约金人民币壹拾万元。</w:t>
            </w:r>
            <w:r>
              <w:rPr>
                <w:rFonts w:hint="eastAsia" w:ascii="仿宋" w:hAnsi="仿宋" w:eastAsia="仿宋" w:cs="仿宋"/>
                <w:b w:val="0"/>
                <w:i w:val="0"/>
                <w:strike w:val="0"/>
                <w:dstrike w:val="0"/>
                <w:color w:val="000000"/>
                <w:kern w:val="0"/>
                <w:sz w:val="18"/>
                <w:szCs w:val="18"/>
                <w:highlight w:val="none"/>
                <w:lang w:eastAsia="zh" w:bidi="ar"/>
              </w:rPr>
              <w:t>全部逾期完工违约金的总限额不超过合同总价的5%。</w:t>
            </w:r>
          </w:p>
        </w:tc>
        <w:tc>
          <w:tcPr>
            <w:tcW w:w="2588"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val="en-US" w:eastAsia="zh-CN" w:bidi="ar"/>
              </w:rPr>
              <w:t>认真排施组计划、</w:t>
            </w:r>
            <w:r>
              <w:rPr>
                <w:rFonts w:hint="eastAsia" w:ascii="仿宋" w:hAnsi="仿宋" w:eastAsia="仿宋" w:cs="仿宋"/>
                <w:b w:val="0"/>
                <w:i w:val="0"/>
                <w:color w:val="000000"/>
                <w:kern w:val="0"/>
                <w:sz w:val="18"/>
                <w:szCs w:val="18"/>
                <w:highlight w:val="none"/>
                <w:lang w:bidi="ar"/>
              </w:rPr>
              <w:t>严格施组管理，</w:t>
            </w:r>
            <w:r>
              <w:rPr>
                <w:rFonts w:hint="eastAsia" w:ascii="仿宋" w:hAnsi="仿宋" w:eastAsia="仿宋" w:cs="仿宋"/>
                <w:b w:val="0"/>
                <w:i w:val="0"/>
                <w:color w:val="000000"/>
                <w:kern w:val="0"/>
                <w:sz w:val="18"/>
                <w:szCs w:val="18"/>
                <w:highlight w:val="none"/>
                <w:lang w:val="en-US" w:eastAsia="zh-CN" w:bidi="ar"/>
              </w:rPr>
              <w:t>严格按照生产计划完成任务，</w:t>
            </w:r>
            <w:r>
              <w:rPr>
                <w:rFonts w:hint="eastAsia" w:ascii="仿宋" w:hAnsi="仿宋" w:eastAsia="仿宋" w:cs="仿宋"/>
                <w:b w:val="0"/>
                <w:i w:val="0"/>
                <w:color w:val="000000"/>
                <w:kern w:val="0"/>
                <w:sz w:val="18"/>
                <w:szCs w:val="18"/>
                <w:highlight w:val="none"/>
                <w:lang w:bidi="ar"/>
              </w:rPr>
              <w:t>避免总工期延误。</w:t>
            </w:r>
          </w:p>
        </w:tc>
        <w:tc>
          <w:tcPr>
            <w:tcW w:w="1103"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生产部</w:t>
            </w:r>
          </w:p>
        </w:tc>
        <w:tc>
          <w:tcPr>
            <w:tcW w:w="794" w:type="dxa"/>
            <w:tcBorders>
              <w:top w:val="single" w:color="5B9BD5" w:themeColor="accent1"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无误期赔偿及违约处罚</w:t>
            </w:r>
          </w:p>
        </w:tc>
      </w:tr>
      <w:tr>
        <w:tblPrEx>
          <w:tblCellMar>
            <w:top w:w="0" w:type="dxa"/>
            <w:left w:w="108" w:type="dxa"/>
            <w:bottom w:w="0" w:type="dxa"/>
            <w:right w:w="108" w:type="dxa"/>
          </w:tblCellMar>
        </w:tblPrEx>
        <w:trPr>
          <w:trHeight w:val="1155" w:hRule="atLeast"/>
          <w:jc w:val="center"/>
        </w:trPr>
        <w:tc>
          <w:tcPr>
            <w:tcW w:w="5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2</w:t>
            </w:r>
          </w:p>
        </w:tc>
        <w:tc>
          <w:tcPr>
            <w:tcW w:w="84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违法分包、转包</w:t>
            </w:r>
          </w:p>
        </w:tc>
        <w:tc>
          <w:tcPr>
            <w:tcW w:w="34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ind w:firstLine="540" w:firstLineChars="300"/>
              <w:jc w:val="left"/>
              <w:textAlignment w:val="center"/>
              <w:rPr>
                <w:rFonts w:hint="eastAsia" w:ascii="仿宋" w:hAnsi="仿宋" w:eastAsia="仿宋" w:cs="仿宋"/>
                <w:b w:val="0"/>
                <w:i w:val="0"/>
                <w:color w:val="000000"/>
                <w:kern w:val="0"/>
                <w:sz w:val="18"/>
                <w:szCs w:val="18"/>
                <w:highlight w:val="none"/>
                <w:lang w:val="en-US" w:eastAsia="zh" w:bidi="ar"/>
              </w:rPr>
            </w:pPr>
            <w:r>
              <w:rPr>
                <w:rFonts w:hint="eastAsia" w:ascii="仿宋" w:hAnsi="仿宋" w:eastAsia="仿宋" w:cs="仿宋"/>
                <w:b w:val="0"/>
                <w:i w:val="0"/>
                <w:color w:val="000000"/>
                <w:kern w:val="0"/>
                <w:sz w:val="18"/>
                <w:szCs w:val="18"/>
                <w:highlight w:val="none"/>
                <w:lang w:eastAsia="zh" w:bidi="ar"/>
              </w:rPr>
              <w:t>承包人违反关于违法分包、转包相关约定，无论发包人是否解除合同，承包人应支付权利转让(移)标的金额10%的违约金</w:t>
            </w:r>
          </w:p>
        </w:tc>
        <w:tc>
          <w:tcPr>
            <w:tcW w:w="258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default"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rPr>
              <w:t>依法合规进行分包</w:t>
            </w:r>
            <w:r>
              <w:rPr>
                <w:rFonts w:hint="eastAsia" w:ascii="仿宋" w:hAnsi="仿宋" w:eastAsia="仿宋" w:cs="仿宋"/>
                <w:b w:val="0"/>
                <w:i w:val="0"/>
                <w:color w:val="000000"/>
                <w:sz w:val="18"/>
                <w:szCs w:val="18"/>
                <w:highlight w:val="none"/>
                <w:lang w:eastAsia="zh-CN"/>
              </w:rPr>
              <w:t>，</w:t>
            </w:r>
            <w:r>
              <w:rPr>
                <w:rFonts w:hint="eastAsia" w:ascii="仿宋" w:hAnsi="仿宋" w:eastAsia="仿宋" w:cs="仿宋"/>
                <w:b w:val="0"/>
                <w:i w:val="0"/>
                <w:color w:val="000000"/>
                <w:sz w:val="18"/>
                <w:szCs w:val="18"/>
                <w:highlight w:val="none"/>
                <w:lang w:val="en-US" w:eastAsia="zh-CN"/>
              </w:rPr>
              <w:t>做好资料归纳整理。杜绝出现“华南”、“四公司”等字眼，并注意履约人员的签字。机械计件租赁做好与机电、物资的对接。</w:t>
            </w:r>
          </w:p>
        </w:tc>
        <w:tc>
          <w:tcPr>
            <w:tcW w:w="1103"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val="en-US" w:eastAsia="zh-CN" w:bidi="ar"/>
              </w:rPr>
              <w:t>各</w:t>
            </w:r>
            <w:r>
              <w:rPr>
                <w:rFonts w:hint="eastAsia" w:ascii="仿宋" w:hAnsi="仿宋" w:eastAsia="仿宋" w:cs="仿宋"/>
                <w:b w:val="0"/>
                <w:i w:val="0"/>
                <w:color w:val="000000"/>
                <w:kern w:val="0"/>
                <w:sz w:val="18"/>
                <w:szCs w:val="18"/>
                <w:highlight w:val="none"/>
                <w:lang w:bidi="ar"/>
              </w:rPr>
              <w:t>业务部门</w:t>
            </w:r>
          </w:p>
        </w:tc>
        <w:tc>
          <w:tcPr>
            <w:tcW w:w="794"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lang w:eastAsia="zh-CN"/>
              </w:rPr>
            </w:pPr>
            <w:r>
              <w:rPr>
                <w:rFonts w:hint="eastAsia" w:ascii="仿宋" w:hAnsi="仿宋" w:eastAsia="仿宋" w:cs="仿宋"/>
                <w:b w:val="0"/>
                <w:i w:val="0"/>
                <w:color w:val="000000"/>
                <w:kern w:val="0"/>
                <w:sz w:val="18"/>
                <w:szCs w:val="18"/>
                <w:highlight w:val="none"/>
                <w:lang w:bidi="ar"/>
              </w:rPr>
              <w:t>不出现违法分包、转包、母揽子干情况</w:t>
            </w:r>
            <w:r>
              <w:rPr>
                <w:rFonts w:hint="eastAsia" w:ascii="仿宋" w:hAnsi="仿宋" w:eastAsia="仿宋" w:cs="仿宋"/>
                <w:b w:val="0"/>
                <w:i w:val="0"/>
                <w:color w:val="000000"/>
                <w:kern w:val="0"/>
                <w:sz w:val="18"/>
                <w:szCs w:val="18"/>
                <w:highlight w:val="none"/>
                <w:lang w:eastAsia="zh-CN" w:bidi="ar"/>
              </w:rPr>
              <w:t>。</w:t>
            </w:r>
          </w:p>
        </w:tc>
      </w:tr>
      <w:tr>
        <w:tblPrEx>
          <w:tblCellMar>
            <w:top w:w="0" w:type="dxa"/>
            <w:left w:w="108" w:type="dxa"/>
            <w:bottom w:w="0" w:type="dxa"/>
            <w:right w:w="108" w:type="dxa"/>
          </w:tblCellMar>
        </w:tblPrEx>
        <w:trPr>
          <w:trHeight w:val="357" w:hRule="atLeast"/>
          <w:jc w:val="center"/>
        </w:trPr>
        <w:tc>
          <w:tcPr>
            <w:tcW w:w="5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3</w:t>
            </w:r>
          </w:p>
        </w:tc>
        <w:tc>
          <w:tcPr>
            <w:tcW w:w="84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工程变更</w:t>
            </w:r>
          </w:p>
        </w:tc>
        <w:tc>
          <w:tcPr>
            <w:tcW w:w="34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lang w:eastAsia="zh-CN"/>
              </w:rPr>
            </w:pPr>
            <w:r>
              <w:rPr>
                <w:rFonts w:hint="eastAsia" w:ascii="仿宋" w:hAnsi="仿宋" w:eastAsia="仿宋" w:cs="仿宋"/>
                <w:b w:val="0"/>
                <w:i w:val="0"/>
                <w:color w:val="000000"/>
                <w:sz w:val="18"/>
                <w:szCs w:val="18"/>
                <w:highlight w:val="none"/>
              </w:rPr>
              <w:t>研究业主合同，清楚变更条款、工程变更内容、工程变更程序以及变更的价款调整。</w:t>
            </w:r>
          </w:p>
        </w:tc>
        <w:tc>
          <w:tcPr>
            <w:tcW w:w="258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lang w:eastAsia="zh-CN"/>
              </w:rPr>
            </w:pPr>
            <w:r>
              <w:rPr>
                <w:rFonts w:hint="eastAsia" w:ascii="仿宋" w:hAnsi="仿宋" w:eastAsia="仿宋" w:cs="仿宋"/>
                <w:b w:val="0"/>
                <w:i w:val="0"/>
                <w:color w:val="000000"/>
                <w:sz w:val="18"/>
                <w:szCs w:val="18"/>
                <w:highlight w:val="none"/>
              </w:rPr>
              <w:t>及时与业主、监理进行沟通，如发生工程变更</w:t>
            </w:r>
            <w:r>
              <w:rPr>
                <w:rFonts w:hint="eastAsia" w:ascii="仿宋" w:hAnsi="仿宋" w:eastAsia="仿宋" w:cs="仿宋"/>
                <w:b w:val="0"/>
                <w:i w:val="0"/>
                <w:color w:val="000000"/>
                <w:sz w:val="18"/>
                <w:szCs w:val="18"/>
                <w:highlight w:val="none"/>
                <w:lang w:val="en-US" w:eastAsia="zh-CN"/>
              </w:rPr>
              <w:t>要第一时间向监理、业主打报告</w:t>
            </w:r>
            <w:r>
              <w:rPr>
                <w:rFonts w:hint="eastAsia" w:ascii="仿宋" w:hAnsi="仿宋" w:eastAsia="仿宋" w:cs="仿宋"/>
                <w:b w:val="0"/>
                <w:i w:val="0"/>
                <w:color w:val="000000"/>
                <w:sz w:val="18"/>
                <w:szCs w:val="18"/>
                <w:highlight w:val="none"/>
                <w:lang w:val="en-US" w:eastAsia="zh"/>
              </w:rPr>
              <w:t>提出建议</w:t>
            </w:r>
            <w:r>
              <w:rPr>
                <w:rFonts w:hint="eastAsia" w:ascii="仿宋" w:hAnsi="仿宋" w:eastAsia="仿宋" w:cs="仿宋"/>
                <w:b w:val="0"/>
                <w:i w:val="0"/>
                <w:color w:val="000000"/>
                <w:sz w:val="18"/>
                <w:szCs w:val="18"/>
                <w:highlight w:val="none"/>
                <w:lang w:val="en-US" w:eastAsia="zh-CN"/>
              </w:rPr>
              <w:t>。</w:t>
            </w:r>
            <w:r>
              <w:rPr>
                <w:rFonts w:hint="eastAsia" w:ascii="仿宋" w:hAnsi="仿宋" w:eastAsia="仿宋" w:cs="仿宋"/>
                <w:b w:val="0"/>
                <w:i w:val="0"/>
                <w:color w:val="000000"/>
                <w:sz w:val="18"/>
                <w:szCs w:val="18"/>
                <w:highlight w:val="none"/>
                <w:lang w:val="en-US" w:eastAsia="zh"/>
              </w:rPr>
              <w:t>经发包人同意后，由监理人提出变更。</w:t>
            </w:r>
            <w:r>
              <w:rPr>
                <w:rFonts w:hint="eastAsia" w:ascii="仿宋" w:hAnsi="仿宋" w:eastAsia="仿宋" w:cs="仿宋"/>
                <w:b w:val="0"/>
                <w:i w:val="0"/>
                <w:color w:val="000000"/>
                <w:sz w:val="18"/>
                <w:szCs w:val="18"/>
                <w:highlight w:val="none"/>
              </w:rPr>
              <w:t>及时完善相关手续及签证资料</w:t>
            </w:r>
            <w:r>
              <w:rPr>
                <w:rFonts w:hint="eastAsia" w:ascii="仿宋" w:hAnsi="仿宋" w:eastAsia="仿宋" w:cs="仿宋"/>
                <w:b w:val="0"/>
                <w:i w:val="0"/>
                <w:color w:val="000000"/>
                <w:sz w:val="18"/>
                <w:szCs w:val="18"/>
                <w:highlight w:val="none"/>
                <w:lang w:eastAsia="zh-CN"/>
              </w:rPr>
              <w:t>。</w:t>
            </w:r>
          </w:p>
        </w:tc>
        <w:tc>
          <w:tcPr>
            <w:tcW w:w="1103"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生产部</w:t>
            </w:r>
          </w:p>
        </w:tc>
        <w:tc>
          <w:tcPr>
            <w:tcW w:w="794"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控制在计划成本以内</w:t>
            </w:r>
          </w:p>
        </w:tc>
      </w:tr>
      <w:tr>
        <w:tblPrEx>
          <w:tblCellMar>
            <w:top w:w="0" w:type="dxa"/>
            <w:left w:w="108" w:type="dxa"/>
            <w:bottom w:w="0" w:type="dxa"/>
            <w:right w:w="108" w:type="dxa"/>
          </w:tblCellMar>
        </w:tblPrEx>
        <w:trPr>
          <w:trHeight w:val="90" w:hRule="atLeast"/>
          <w:jc w:val="center"/>
        </w:trPr>
        <w:tc>
          <w:tcPr>
            <w:tcW w:w="5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kern w:val="0"/>
                <w:sz w:val="18"/>
                <w:szCs w:val="18"/>
                <w:highlight w:val="none"/>
                <w:lang w:bidi="ar"/>
              </w:rPr>
            </w:pPr>
            <w:r>
              <w:rPr>
                <w:rFonts w:hint="eastAsia" w:ascii="仿宋" w:hAnsi="仿宋" w:eastAsia="仿宋" w:cs="仿宋"/>
                <w:b w:val="0"/>
                <w:i w:val="0"/>
                <w:color w:val="000000"/>
                <w:kern w:val="0"/>
                <w:sz w:val="18"/>
                <w:szCs w:val="18"/>
                <w:highlight w:val="none"/>
                <w:lang w:bidi="ar"/>
              </w:rPr>
              <w:t>4</w:t>
            </w:r>
          </w:p>
        </w:tc>
        <w:tc>
          <w:tcPr>
            <w:tcW w:w="84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default"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施工安全</w:t>
            </w:r>
          </w:p>
        </w:tc>
        <w:tc>
          <w:tcPr>
            <w:tcW w:w="34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spacing w:line="200" w:lineRule="auto"/>
              <w:jc w:val="left"/>
              <w:textAlignment w:val="center"/>
              <w:rPr>
                <w:rFonts w:hint="eastAsia"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lang w:val="en-US" w:eastAsia="zh-CN"/>
              </w:rPr>
              <w:t>①承包人发生环境污染事故（环境事件）以及地方行政主管部门通报批评事件的，发生一般环境污染事故（环境事件），承担违约金人民币壹万元；发生较大环境污染事故（环境事件），承担违约金人民币贰万元；发生重大及以上环境污染事故（环境事件），承担违约金人民币叁万元至伍万元；发生县及以上行政主管部门通报批评或行政处罚事件的：县级承担违约金人民币壹万元、地市级承担违约金人民币贰万元、省级以上承担违约金人民币伍万元。</w:t>
            </w:r>
          </w:p>
          <w:p>
            <w:pPr>
              <w:widowControl/>
              <w:spacing w:line="200" w:lineRule="auto"/>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sz w:val="18"/>
                <w:szCs w:val="18"/>
                <w:highlight w:val="none"/>
                <w:lang w:val="en-US" w:eastAsia="zh-CN"/>
              </w:rPr>
              <w:t>②承包人未做好安全文明施工、水土保持或环境保护措施，监理人在提出整改意见后，承包人未执行的，每发现一次支付违约金人民币贰万元。</w:t>
            </w:r>
          </w:p>
          <w:p>
            <w:pPr>
              <w:widowControl/>
              <w:jc w:val="left"/>
              <w:textAlignment w:val="center"/>
              <w:rPr>
                <w:rFonts w:hint="default" w:eastAsia="仿宋"/>
                <w:b w:val="0"/>
                <w:i w:val="0"/>
                <w:sz w:val="18"/>
                <w:szCs w:val="18"/>
                <w:highlight w:val="none"/>
                <w:lang w:val="en-US" w:eastAsia="zh-CN"/>
              </w:rPr>
            </w:pPr>
          </w:p>
        </w:tc>
        <w:tc>
          <w:tcPr>
            <w:tcW w:w="258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default"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lang w:val="en-US" w:eastAsia="zh-CN"/>
              </w:rPr>
              <w:t>工程部要制定合理的施工方案，安质部也要做好安全施工培训及交底，机电部要严格把关机械的进出场并在施工中做好检修。</w:t>
            </w:r>
          </w:p>
        </w:tc>
        <w:tc>
          <w:tcPr>
            <w:tcW w:w="1103"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textAlignment w:val="center"/>
              <w:rPr>
                <w:rFonts w:hint="default"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bidi="ar"/>
              </w:rPr>
              <w:t>生产部、</w:t>
            </w:r>
            <w:r>
              <w:rPr>
                <w:rFonts w:hint="eastAsia" w:ascii="仿宋" w:hAnsi="仿宋" w:eastAsia="仿宋" w:cs="仿宋"/>
                <w:b w:val="0"/>
                <w:i w:val="0"/>
                <w:color w:val="000000"/>
                <w:kern w:val="0"/>
                <w:sz w:val="18"/>
                <w:szCs w:val="18"/>
                <w:highlight w:val="none"/>
                <w:lang w:val="en-US" w:eastAsia="zh-CN" w:bidi="ar"/>
              </w:rPr>
              <w:t>安质部、机电部</w:t>
            </w:r>
          </w:p>
        </w:tc>
        <w:tc>
          <w:tcPr>
            <w:tcW w:w="794"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pPr>
              <w:widowControl/>
              <w:jc w:val="center"/>
              <w:textAlignment w:val="center"/>
              <w:rPr>
                <w:rFonts w:hint="default"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不要出现安全事故</w:t>
            </w:r>
          </w:p>
        </w:tc>
      </w:tr>
      <w:tr>
        <w:tblPrEx>
          <w:tblCellMar>
            <w:top w:w="0" w:type="dxa"/>
            <w:left w:w="108" w:type="dxa"/>
            <w:bottom w:w="0" w:type="dxa"/>
            <w:right w:w="108" w:type="dxa"/>
          </w:tblCellMar>
        </w:tblPrEx>
        <w:trPr>
          <w:trHeight w:val="948" w:hRule="atLeast"/>
          <w:jc w:val="center"/>
        </w:trPr>
        <w:tc>
          <w:tcPr>
            <w:tcW w:w="5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5</w:t>
            </w:r>
          </w:p>
        </w:tc>
        <w:tc>
          <w:tcPr>
            <w:tcW w:w="84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安全文明施工费</w:t>
            </w:r>
          </w:p>
        </w:tc>
        <w:tc>
          <w:tcPr>
            <w:tcW w:w="34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ind w:firstLine="180" w:firstLineChars="100"/>
              <w:jc w:val="left"/>
              <w:textAlignment w:val="center"/>
              <w:rPr>
                <w:rFonts w:hint="eastAsia" w:ascii="仿宋" w:hAnsi="仿宋" w:eastAsia="仿宋" w:cs="仿宋"/>
                <w:b w:val="0"/>
                <w:i w:val="0"/>
                <w:color w:val="000000"/>
                <w:sz w:val="18"/>
                <w:szCs w:val="18"/>
                <w:highlight w:val="none"/>
                <w:lang w:eastAsia="zh"/>
              </w:rPr>
            </w:pPr>
            <w:r>
              <w:rPr>
                <w:rFonts w:hint="eastAsia" w:ascii="仿宋" w:hAnsi="仿宋" w:eastAsia="仿宋" w:cs="仿宋"/>
                <w:b w:val="0"/>
                <w:i w:val="0"/>
                <w:color w:val="000000"/>
                <w:sz w:val="18"/>
                <w:szCs w:val="18"/>
                <w:highlight w:val="none"/>
              </w:rPr>
              <w:t>安全文明施工措施费</w:t>
            </w:r>
            <w:r>
              <w:rPr>
                <w:rFonts w:hint="eastAsia" w:ascii="仿宋" w:hAnsi="仿宋" w:eastAsia="仿宋" w:cs="仿宋"/>
                <w:b w:val="0"/>
                <w:i w:val="0"/>
                <w:color w:val="000000"/>
                <w:sz w:val="18"/>
                <w:szCs w:val="18"/>
                <w:highlight w:val="none"/>
                <w:lang w:eastAsia="zh"/>
              </w:rPr>
              <w:t>总额</w:t>
            </w:r>
            <w:r>
              <w:rPr>
                <w:rFonts w:hint="eastAsia" w:ascii="仿宋" w:hAnsi="仿宋" w:eastAsia="仿宋" w:cs="仿宋"/>
                <w:b w:val="0"/>
                <w:i w:val="0"/>
                <w:color w:val="000000"/>
                <w:sz w:val="18"/>
                <w:szCs w:val="18"/>
                <w:highlight w:val="none"/>
                <w:lang w:val="en-US" w:eastAsia="zh-CN"/>
              </w:rPr>
              <w:t>98.7</w:t>
            </w:r>
            <w:r>
              <w:rPr>
                <w:rFonts w:hint="eastAsia" w:ascii="仿宋" w:hAnsi="仿宋" w:eastAsia="仿宋" w:cs="仿宋"/>
                <w:b w:val="0"/>
                <w:i w:val="0"/>
                <w:color w:val="000000"/>
                <w:sz w:val="18"/>
                <w:szCs w:val="18"/>
                <w:highlight w:val="none"/>
                <w:lang w:eastAsia="zh"/>
              </w:rPr>
              <w:t>万，施工过程中实报实销</w:t>
            </w:r>
            <w:r>
              <w:rPr>
                <w:rFonts w:hint="eastAsia" w:ascii="仿宋" w:hAnsi="仿宋" w:eastAsia="仿宋" w:cs="仿宋"/>
                <w:b w:val="0"/>
                <w:i w:val="0"/>
                <w:color w:val="000000"/>
                <w:sz w:val="18"/>
                <w:szCs w:val="18"/>
                <w:highlight w:val="none"/>
                <w:lang w:eastAsia="zh-CN"/>
              </w:rPr>
              <w:t>，</w:t>
            </w:r>
            <w:r>
              <w:rPr>
                <w:rFonts w:hint="eastAsia" w:ascii="仿宋" w:hAnsi="仿宋" w:eastAsia="仿宋" w:cs="仿宋"/>
                <w:b w:val="0"/>
                <w:i w:val="0"/>
                <w:color w:val="000000"/>
                <w:sz w:val="18"/>
                <w:szCs w:val="18"/>
                <w:highlight w:val="none"/>
                <w:lang w:val="en-US" w:eastAsia="zh-CN"/>
              </w:rPr>
              <w:t>合同计量</w:t>
            </w:r>
            <w:r>
              <w:rPr>
                <w:rFonts w:hint="eastAsia" w:ascii="仿宋" w:hAnsi="仿宋" w:eastAsia="仿宋" w:cs="仿宋"/>
                <w:b w:val="0"/>
                <w:i w:val="0"/>
                <w:color w:val="000000"/>
                <w:sz w:val="18"/>
                <w:szCs w:val="18"/>
                <w:highlight w:val="none"/>
              </w:rPr>
              <w:t>规则</w:t>
            </w:r>
            <w:r>
              <w:rPr>
                <w:rFonts w:hint="eastAsia" w:ascii="仿宋" w:hAnsi="仿宋" w:eastAsia="仿宋" w:cs="仿宋"/>
                <w:b w:val="0"/>
                <w:i w:val="0"/>
                <w:color w:val="000000"/>
                <w:sz w:val="18"/>
                <w:szCs w:val="18"/>
                <w:highlight w:val="none"/>
                <w:lang w:val="en-US" w:eastAsia="zh-CN"/>
              </w:rPr>
              <w:t>为按实计量</w:t>
            </w:r>
            <w:r>
              <w:rPr>
                <w:rFonts w:hint="eastAsia" w:ascii="仿宋" w:hAnsi="仿宋" w:eastAsia="仿宋" w:cs="仿宋"/>
                <w:b w:val="0"/>
                <w:i w:val="0"/>
                <w:color w:val="000000"/>
                <w:sz w:val="18"/>
                <w:szCs w:val="18"/>
                <w:highlight w:val="none"/>
                <w:lang w:val="en-US" w:eastAsia="zh"/>
              </w:rPr>
              <w:t>，超出部分由承包人自己承担。</w:t>
            </w:r>
          </w:p>
        </w:tc>
        <w:tc>
          <w:tcPr>
            <w:tcW w:w="258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left"/>
              <w:textAlignment w:val="center"/>
              <w:rPr>
                <w:rFonts w:hint="default"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lang w:val="en-US" w:eastAsia="zh"/>
              </w:rPr>
              <w:t>做好季度的安全生产费使用情况台账及支持材料（发票、收据、监理签证等），要扎实，避免因为支撑资料不齐全导致安文费无法计量。也要避免安文费使用超出限额。</w:t>
            </w:r>
          </w:p>
        </w:tc>
        <w:tc>
          <w:tcPr>
            <w:tcW w:w="1103"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default"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kern w:val="0"/>
                <w:sz w:val="18"/>
                <w:szCs w:val="18"/>
                <w:highlight w:val="none"/>
                <w:lang w:bidi="ar"/>
              </w:rPr>
              <w:t>商务部</w:t>
            </w:r>
            <w:r>
              <w:rPr>
                <w:rFonts w:hint="eastAsia" w:ascii="仿宋" w:hAnsi="仿宋" w:eastAsia="仿宋" w:cs="仿宋"/>
                <w:b w:val="0"/>
                <w:i w:val="0"/>
                <w:color w:val="000000"/>
                <w:kern w:val="0"/>
                <w:sz w:val="18"/>
                <w:szCs w:val="18"/>
                <w:highlight w:val="none"/>
                <w:lang w:eastAsia="zh-CN" w:bidi="ar"/>
              </w:rPr>
              <w:t>、</w:t>
            </w:r>
            <w:r>
              <w:rPr>
                <w:rFonts w:hint="eastAsia" w:ascii="仿宋" w:hAnsi="仿宋" w:eastAsia="仿宋" w:cs="仿宋"/>
                <w:b w:val="0"/>
                <w:i w:val="0"/>
                <w:color w:val="000000"/>
                <w:kern w:val="0"/>
                <w:sz w:val="18"/>
                <w:szCs w:val="18"/>
                <w:highlight w:val="none"/>
                <w:lang w:val="en-US" w:eastAsia="zh-CN" w:bidi="ar"/>
              </w:rPr>
              <w:t>安质部</w:t>
            </w:r>
          </w:p>
        </w:tc>
        <w:tc>
          <w:tcPr>
            <w:tcW w:w="794"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lang w:eastAsia="zh-CN"/>
              </w:rPr>
            </w:pPr>
            <w:r>
              <w:rPr>
                <w:rFonts w:hint="eastAsia" w:ascii="仿宋" w:hAnsi="仿宋" w:eastAsia="仿宋" w:cs="仿宋"/>
                <w:b w:val="0"/>
                <w:i w:val="0"/>
                <w:color w:val="000000"/>
                <w:kern w:val="0"/>
                <w:sz w:val="18"/>
                <w:szCs w:val="18"/>
                <w:highlight w:val="none"/>
                <w:lang w:val="en-US" w:eastAsia="zh-CN" w:bidi="ar"/>
              </w:rPr>
              <w:t>力争</w:t>
            </w:r>
            <w:r>
              <w:rPr>
                <w:rFonts w:hint="eastAsia" w:ascii="仿宋" w:hAnsi="仿宋" w:eastAsia="仿宋" w:cs="仿宋"/>
                <w:b w:val="0"/>
                <w:i w:val="0"/>
                <w:color w:val="000000"/>
                <w:kern w:val="0"/>
                <w:sz w:val="18"/>
                <w:szCs w:val="18"/>
                <w:highlight w:val="none"/>
                <w:lang w:bidi="ar"/>
              </w:rPr>
              <w:t>安全文明施工费全部计完</w:t>
            </w:r>
            <w:r>
              <w:rPr>
                <w:rFonts w:hint="eastAsia" w:ascii="仿宋" w:hAnsi="仿宋" w:eastAsia="仿宋" w:cs="仿宋"/>
                <w:b w:val="0"/>
                <w:i w:val="0"/>
                <w:color w:val="000000"/>
                <w:kern w:val="0"/>
                <w:sz w:val="18"/>
                <w:szCs w:val="18"/>
                <w:highlight w:val="none"/>
                <w:lang w:eastAsia="zh-CN" w:bidi="ar"/>
              </w:rPr>
              <w:t>。</w:t>
            </w:r>
          </w:p>
        </w:tc>
      </w:tr>
      <w:tr>
        <w:tblPrEx>
          <w:tblCellMar>
            <w:top w:w="0" w:type="dxa"/>
            <w:left w:w="108" w:type="dxa"/>
            <w:bottom w:w="0" w:type="dxa"/>
            <w:right w:w="108" w:type="dxa"/>
          </w:tblCellMar>
        </w:tblPrEx>
        <w:trPr>
          <w:trHeight w:val="3219" w:hRule="atLeast"/>
          <w:jc w:val="center"/>
        </w:trPr>
        <w:tc>
          <w:tcPr>
            <w:tcW w:w="5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6</w:t>
            </w:r>
          </w:p>
        </w:tc>
        <w:tc>
          <w:tcPr>
            <w:tcW w:w="84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val="en-US" w:eastAsia="zh-CN" w:bidi="ar"/>
              </w:rPr>
              <w:t xml:space="preserve"> 地方协调、</w:t>
            </w:r>
            <w:r>
              <w:rPr>
                <w:rFonts w:hint="eastAsia" w:ascii="仿宋" w:hAnsi="仿宋" w:eastAsia="仿宋" w:cs="仿宋"/>
                <w:b w:val="0"/>
                <w:i w:val="0"/>
                <w:color w:val="000000"/>
                <w:kern w:val="0"/>
                <w:sz w:val="18"/>
                <w:szCs w:val="18"/>
                <w:highlight w:val="none"/>
                <w:lang w:bidi="ar"/>
              </w:rPr>
              <w:t>维稳风险</w:t>
            </w:r>
          </w:p>
        </w:tc>
        <w:tc>
          <w:tcPr>
            <w:tcW w:w="34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ind w:firstLine="360" w:firstLineChars="200"/>
              <w:jc w:val="left"/>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sz w:val="18"/>
                <w:szCs w:val="18"/>
                <w:highlight w:val="none"/>
                <w:lang w:val="en-US" w:eastAsia="zh"/>
              </w:rPr>
              <w:t>承包人因未及时支付分包人工程费用或农民工工资等原因引起投诉、上访、曝光等不良影响的;每次向发包人支付违约金人民币壹拾万元。承包人发生由于各种纠纷引发的大规模群体性事件、引发社会舆论较大负面影响的恶性事件，以及发生群体性斗殴等事件，均视为承包人违约，每发生一次，发包人有权扣除承包人违约金100万元;发生负有责任的致死3人以上刑事案件的，每发生一次，发包人有权扣除承包人违约金 300万元。</w:t>
            </w:r>
          </w:p>
        </w:tc>
        <w:tc>
          <w:tcPr>
            <w:tcW w:w="258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numPr>
                <w:ilvl w:val="0"/>
                <w:numId w:val="0"/>
              </w:numPr>
              <w:jc w:val="left"/>
              <w:textAlignment w:val="center"/>
              <w:rPr>
                <w:rFonts w:hint="eastAsia"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lang w:val="en-US" w:eastAsia="zh-CN"/>
              </w:rPr>
              <w:t>1.项目要做好与各方的协调工作</w:t>
            </w:r>
            <w:r>
              <w:rPr>
                <w:rFonts w:hint="eastAsia" w:ascii="仿宋" w:hAnsi="仿宋" w:eastAsia="仿宋" w:cs="仿宋"/>
                <w:b w:val="0"/>
                <w:i w:val="0"/>
                <w:color w:val="000000"/>
                <w:sz w:val="18"/>
                <w:szCs w:val="18"/>
                <w:highlight w:val="none"/>
                <w:lang w:val="en-US" w:eastAsia="zh"/>
              </w:rPr>
              <w:t>，维护好关系</w:t>
            </w:r>
            <w:r>
              <w:rPr>
                <w:rFonts w:hint="eastAsia" w:ascii="仿宋" w:hAnsi="仿宋" w:eastAsia="仿宋" w:cs="仿宋"/>
                <w:b w:val="0"/>
                <w:i w:val="0"/>
                <w:color w:val="000000"/>
                <w:sz w:val="18"/>
                <w:szCs w:val="18"/>
                <w:highlight w:val="none"/>
                <w:lang w:val="en-US" w:eastAsia="zh-CN"/>
              </w:rPr>
              <w:t>。</w:t>
            </w:r>
          </w:p>
          <w:p>
            <w:pPr>
              <w:widowControl/>
              <w:numPr>
                <w:ilvl w:val="0"/>
                <w:numId w:val="0"/>
              </w:numPr>
              <w:jc w:val="left"/>
              <w:textAlignment w:val="center"/>
              <w:rPr>
                <w:rFonts w:hint="eastAsia"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lang w:val="en-US" w:eastAsia="zh-CN"/>
              </w:rPr>
              <w:t>2.合理分配、及时</w:t>
            </w:r>
            <w:r>
              <w:rPr>
                <w:rFonts w:hint="eastAsia" w:ascii="仿宋" w:hAnsi="仿宋" w:eastAsia="仿宋" w:cs="仿宋"/>
                <w:b w:val="0"/>
                <w:i w:val="0"/>
                <w:color w:val="000000"/>
                <w:sz w:val="18"/>
                <w:szCs w:val="18"/>
                <w:highlight w:val="none"/>
              </w:rPr>
              <w:t>支付农民工工资</w:t>
            </w:r>
            <w:r>
              <w:rPr>
                <w:rFonts w:hint="eastAsia" w:ascii="仿宋" w:hAnsi="仿宋" w:eastAsia="仿宋" w:cs="仿宋"/>
                <w:b w:val="0"/>
                <w:i w:val="0"/>
                <w:color w:val="000000"/>
                <w:sz w:val="18"/>
                <w:szCs w:val="18"/>
                <w:highlight w:val="none"/>
                <w:lang w:eastAsia="zh-CN"/>
              </w:rPr>
              <w:t>、</w:t>
            </w:r>
            <w:r>
              <w:rPr>
                <w:rFonts w:hint="eastAsia" w:ascii="仿宋" w:hAnsi="仿宋" w:eastAsia="仿宋" w:cs="仿宋"/>
                <w:b w:val="0"/>
                <w:i w:val="0"/>
                <w:color w:val="000000"/>
                <w:sz w:val="18"/>
                <w:szCs w:val="18"/>
                <w:highlight w:val="none"/>
                <w:lang w:val="en-US" w:eastAsia="zh-CN"/>
              </w:rPr>
              <w:t>工程款项</w:t>
            </w:r>
            <w:r>
              <w:rPr>
                <w:rFonts w:hint="eastAsia" w:ascii="仿宋" w:hAnsi="仿宋" w:eastAsia="仿宋" w:cs="仿宋"/>
                <w:b w:val="0"/>
                <w:i w:val="0"/>
                <w:color w:val="000000"/>
                <w:sz w:val="18"/>
                <w:szCs w:val="18"/>
                <w:highlight w:val="none"/>
              </w:rPr>
              <w:t>等</w:t>
            </w:r>
            <w:r>
              <w:rPr>
                <w:rFonts w:hint="eastAsia" w:ascii="仿宋" w:hAnsi="仿宋" w:eastAsia="仿宋" w:cs="仿宋"/>
                <w:b w:val="0"/>
                <w:i w:val="0"/>
                <w:color w:val="000000"/>
                <w:sz w:val="18"/>
                <w:szCs w:val="18"/>
                <w:highlight w:val="none"/>
                <w:lang w:eastAsia="zh-CN"/>
              </w:rPr>
              <w:t>，</w:t>
            </w:r>
            <w:r>
              <w:rPr>
                <w:rFonts w:hint="eastAsia" w:ascii="仿宋" w:hAnsi="仿宋" w:eastAsia="仿宋" w:cs="仿宋"/>
                <w:b w:val="0"/>
                <w:i w:val="0"/>
                <w:color w:val="000000"/>
                <w:sz w:val="18"/>
                <w:szCs w:val="18"/>
                <w:highlight w:val="none"/>
                <w:lang w:val="en-US" w:eastAsia="zh-CN"/>
              </w:rPr>
              <w:t>特别要注意2025年6月国务院颁布的《保障中小企业款项支付条例》。</w:t>
            </w:r>
          </w:p>
          <w:p>
            <w:pPr>
              <w:widowControl/>
              <w:numPr>
                <w:ilvl w:val="0"/>
                <w:numId w:val="0"/>
              </w:numPr>
              <w:jc w:val="left"/>
              <w:textAlignment w:val="center"/>
              <w:rPr>
                <w:rFonts w:hint="eastAsia" w:ascii="仿宋" w:hAnsi="仿宋" w:eastAsia="仿宋" w:cs="仿宋"/>
                <w:b w:val="0"/>
                <w:i w:val="0"/>
                <w:color w:val="000000"/>
                <w:sz w:val="18"/>
                <w:szCs w:val="18"/>
                <w:highlight w:val="none"/>
                <w:lang w:val="en-US" w:eastAsia="zh"/>
              </w:rPr>
            </w:pPr>
            <w:r>
              <w:rPr>
                <w:rFonts w:hint="eastAsia" w:ascii="仿宋" w:hAnsi="仿宋" w:eastAsia="仿宋" w:cs="仿宋"/>
                <w:b w:val="0"/>
                <w:i w:val="0"/>
                <w:color w:val="000000"/>
                <w:sz w:val="18"/>
                <w:szCs w:val="18"/>
                <w:highlight w:val="none"/>
                <w:lang w:val="en-US" w:eastAsia="zh"/>
              </w:rPr>
              <w:t>避免出现投诉、上访、群访、曝光等极端情况发生、</w:t>
            </w:r>
          </w:p>
        </w:tc>
        <w:tc>
          <w:tcPr>
            <w:tcW w:w="1103"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sz w:val="18"/>
                <w:szCs w:val="18"/>
                <w:highlight w:val="none"/>
              </w:rPr>
            </w:pPr>
            <w:r>
              <w:rPr>
                <w:rFonts w:hint="eastAsia" w:ascii="仿宋" w:hAnsi="仿宋" w:eastAsia="仿宋" w:cs="仿宋"/>
                <w:b w:val="0"/>
                <w:i w:val="0"/>
                <w:color w:val="000000"/>
                <w:kern w:val="0"/>
                <w:sz w:val="18"/>
                <w:szCs w:val="18"/>
                <w:highlight w:val="none"/>
                <w:lang w:bidi="ar"/>
              </w:rPr>
              <w:t>各部门</w:t>
            </w:r>
          </w:p>
        </w:tc>
        <w:tc>
          <w:tcPr>
            <w:tcW w:w="794"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pPr>
              <w:widowControl/>
              <w:jc w:val="left"/>
              <w:textAlignment w:val="center"/>
              <w:rPr>
                <w:rFonts w:hint="eastAsia" w:ascii="仿宋" w:hAnsi="仿宋" w:eastAsia="仿宋" w:cs="仿宋"/>
                <w:b w:val="0"/>
                <w:i w:val="0"/>
                <w:color w:val="000000"/>
                <w:sz w:val="18"/>
                <w:szCs w:val="18"/>
                <w:highlight w:val="none"/>
                <w:lang w:eastAsia="zh-CN"/>
              </w:rPr>
            </w:pPr>
            <w:r>
              <w:rPr>
                <w:rFonts w:hint="eastAsia" w:ascii="仿宋" w:hAnsi="仿宋" w:eastAsia="仿宋" w:cs="仿宋"/>
                <w:b w:val="0"/>
                <w:i w:val="0"/>
                <w:color w:val="000000"/>
                <w:kern w:val="0"/>
                <w:sz w:val="18"/>
                <w:szCs w:val="18"/>
                <w:highlight w:val="none"/>
                <w:lang w:bidi="ar"/>
              </w:rPr>
              <w:t>及时结算、按合同约定支付</w:t>
            </w:r>
            <w:r>
              <w:rPr>
                <w:rFonts w:hint="eastAsia" w:ascii="仿宋" w:hAnsi="仿宋" w:eastAsia="仿宋" w:cs="仿宋"/>
                <w:b w:val="0"/>
                <w:i w:val="0"/>
                <w:color w:val="000000"/>
                <w:kern w:val="0"/>
                <w:sz w:val="18"/>
                <w:szCs w:val="18"/>
                <w:highlight w:val="none"/>
                <w:lang w:eastAsia="zh-CN" w:bidi="ar"/>
              </w:rPr>
              <w:t>。</w:t>
            </w:r>
          </w:p>
        </w:tc>
      </w:tr>
      <w:tr>
        <w:tblPrEx>
          <w:tblCellMar>
            <w:top w:w="0" w:type="dxa"/>
            <w:left w:w="108" w:type="dxa"/>
            <w:bottom w:w="0" w:type="dxa"/>
            <w:right w:w="108" w:type="dxa"/>
          </w:tblCellMar>
        </w:tblPrEx>
        <w:trPr>
          <w:trHeight w:val="1023" w:hRule="atLeast"/>
          <w:jc w:val="center"/>
        </w:trPr>
        <w:tc>
          <w:tcPr>
            <w:tcW w:w="5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kern w:val="0"/>
                <w:sz w:val="18"/>
                <w:szCs w:val="18"/>
                <w:highlight w:val="none"/>
                <w:lang w:val="en-US" w:eastAsia="zh-CN" w:bidi="ar"/>
              </w:rPr>
            </w:pPr>
            <w:bookmarkStart w:id="5" w:name="_Toc23986"/>
            <w:r>
              <w:rPr>
                <w:rFonts w:hint="eastAsia" w:ascii="仿宋" w:hAnsi="仿宋" w:eastAsia="仿宋" w:cs="仿宋"/>
                <w:b w:val="0"/>
                <w:i w:val="0"/>
                <w:color w:val="000000"/>
                <w:kern w:val="0"/>
                <w:sz w:val="18"/>
                <w:szCs w:val="18"/>
                <w:highlight w:val="none"/>
                <w:lang w:val="en-US" w:eastAsia="zh-CN" w:bidi="ar"/>
              </w:rPr>
              <w:t>7</w:t>
            </w:r>
          </w:p>
        </w:tc>
        <w:tc>
          <w:tcPr>
            <w:tcW w:w="84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default"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100章成本风险</w:t>
            </w:r>
          </w:p>
        </w:tc>
        <w:tc>
          <w:tcPr>
            <w:tcW w:w="34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ind w:firstLine="360" w:firstLineChars="200"/>
              <w:jc w:val="left"/>
              <w:textAlignment w:val="center"/>
              <w:rPr>
                <w:rFonts w:hint="default"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lang w:val="en-US" w:eastAsia="zh-CN"/>
              </w:rPr>
              <w:t>100章总额包干项目部分费用缺乏指导价，市场存在较大垄断，可能对项目效益造成重大影响。</w:t>
            </w:r>
          </w:p>
        </w:tc>
        <w:tc>
          <w:tcPr>
            <w:tcW w:w="258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numPr>
                <w:ilvl w:val="0"/>
                <w:numId w:val="0"/>
              </w:numPr>
              <w:jc w:val="left"/>
              <w:textAlignment w:val="center"/>
              <w:rPr>
                <w:rFonts w:hint="default" w:ascii="仿宋" w:hAnsi="仿宋" w:eastAsia="仿宋" w:cs="仿宋"/>
                <w:b w:val="0"/>
                <w:i w:val="0"/>
                <w:color w:val="000000"/>
                <w:sz w:val="18"/>
                <w:szCs w:val="18"/>
                <w:highlight w:val="none"/>
                <w:lang w:val="en-US" w:eastAsia="zh-CN"/>
              </w:rPr>
            </w:pPr>
            <w:r>
              <w:rPr>
                <w:rFonts w:hint="eastAsia" w:ascii="仿宋" w:hAnsi="仿宋" w:eastAsia="仿宋" w:cs="仿宋"/>
                <w:b w:val="0"/>
                <w:i w:val="0"/>
                <w:color w:val="000000"/>
                <w:sz w:val="18"/>
                <w:szCs w:val="18"/>
                <w:highlight w:val="none"/>
                <w:lang w:val="en-US" w:eastAsia="zh-CN"/>
              </w:rPr>
              <w:t>一是要做好措施项目的施工方案优化。二是要多了解市场行情、多方面询价。</w:t>
            </w:r>
          </w:p>
          <w:p>
            <w:pPr>
              <w:widowControl/>
              <w:numPr>
                <w:ilvl w:val="0"/>
                <w:numId w:val="0"/>
              </w:numPr>
              <w:jc w:val="left"/>
              <w:textAlignment w:val="center"/>
              <w:rPr>
                <w:rFonts w:hint="default" w:ascii="仿宋" w:hAnsi="仿宋" w:eastAsia="仿宋" w:cs="仿宋"/>
                <w:b w:val="0"/>
                <w:i w:val="0"/>
                <w:color w:val="000000"/>
                <w:sz w:val="18"/>
                <w:szCs w:val="18"/>
                <w:highlight w:val="none"/>
                <w:lang w:val="en-US" w:eastAsia="zh-CN"/>
              </w:rPr>
            </w:pPr>
          </w:p>
        </w:tc>
        <w:tc>
          <w:tcPr>
            <w:tcW w:w="1103"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pPr>
              <w:widowControl/>
              <w:jc w:val="center"/>
              <w:textAlignment w:val="center"/>
              <w:rPr>
                <w:rFonts w:hint="eastAsia" w:ascii="仿宋" w:hAnsi="仿宋" w:eastAsia="仿宋" w:cs="仿宋"/>
                <w:b w:val="0"/>
                <w:i w:val="0"/>
                <w:color w:val="000000"/>
                <w:kern w:val="0"/>
                <w:sz w:val="18"/>
                <w:szCs w:val="18"/>
                <w:highlight w:val="none"/>
                <w:lang w:eastAsia="zh-CN" w:bidi="ar"/>
              </w:rPr>
            </w:pPr>
            <w:r>
              <w:rPr>
                <w:rFonts w:hint="eastAsia" w:ascii="仿宋" w:hAnsi="仿宋" w:eastAsia="仿宋" w:cs="仿宋"/>
                <w:b w:val="0"/>
                <w:i w:val="0"/>
                <w:color w:val="000000"/>
                <w:kern w:val="0"/>
                <w:sz w:val="18"/>
                <w:szCs w:val="18"/>
                <w:highlight w:val="none"/>
                <w:lang w:val="en-US" w:eastAsia="zh-CN" w:bidi="ar"/>
              </w:rPr>
              <w:t>项目经理、商务部</w:t>
            </w:r>
          </w:p>
        </w:tc>
        <w:tc>
          <w:tcPr>
            <w:tcW w:w="794"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pPr>
              <w:widowControl/>
              <w:jc w:val="left"/>
              <w:textAlignment w:val="center"/>
              <w:rPr>
                <w:rFonts w:hint="default" w:ascii="仿宋" w:hAnsi="仿宋" w:eastAsia="仿宋" w:cs="仿宋"/>
                <w:b w:val="0"/>
                <w:i w:val="0"/>
                <w:color w:val="000000"/>
                <w:kern w:val="0"/>
                <w:sz w:val="18"/>
                <w:szCs w:val="18"/>
                <w:highlight w:val="none"/>
                <w:lang w:val="en-US" w:eastAsia="zh-CN" w:bidi="ar"/>
              </w:rPr>
            </w:pPr>
            <w:r>
              <w:rPr>
                <w:rFonts w:hint="eastAsia" w:ascii="仿宋" w:hAnsi="仿宋" w:eastAsia="仿宋" w:cs="仿宋"/>
                <w:b w:val="0"/>
                <w:i w:val="0"/>
                <w:color w:val="000000"/>
                <w:kern w:val="0"/>
                <w:sz w:val="18"/>
                <w:szCs w:val="18"/>
                <w:highlight w:val="none"/>
                <w:lang w:val="en-US" w:eastAsia="zh-CN" w:bidi="ar"/>
              </w:rPr>
              <w:t>保证安全的前提下成本最小</w:t>
            </w:r>
          </w:p>
        </w:tc>
      </w:tr>
    </w:tbl>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562" w:firstLineChars="200"/>
        <w:textAlignment w:val="auto"/>
        <w:rPr>
          <w:rStyle w:val="85"/>
          <w:rFonts w:hint="default"/>
          <w:color w:val="auto"/>
          <w:sz w:val="28"/>
          <w:szCs w:val="28"/>
          <w:highlight w:val="none"/>
        </w:rPr>
      </w:pPr>
      <w:r>
        <w:rPr>
          <w:rStyle w:val="85"/>
          <w:rFonts w:hint="default"/>
          <w:color w:val="auto"/>
          <w:sz w:val="28"/>
          <w:szCs w:val="28"/>
          <w:highlight w:val="none"/>
        </w:rPr>
        <w:t>四、成本</w:t>
      </w:r>
      <w:r>
        <w:rPr>
          <w:rStyle w:val="85"/>
          <w:rFonts w:hint="default" w:ascii="宋体" w:hAnsi="宋体" w:eastAsia="宋体" w:cs="宋体"/>
          <w:color w:val="auto"/>
          <w:sz w:val="28"/>
          <w:szCs w:val="28"/>
          <w:highlight w:val="none"/>
        </w:rPr>
        <w:t>控制</w:t>
      </w:r>
      <w:r>
        <w:rPr>
          <w:rStyle w:val="85"/>
          <w:rFonts w:hint="default"/>
          <w:color w:val="auto"/>
          <w:sz w:val="28"/>
          <w:szCs w:val="28"/>
          <w:highlight w:val="none"/>
        </w:rPr>
        <w:t>策划</w:t>
      </w:r>
      <w:bookmarkEnd w:id="5"/>
    </w:p>
    <w:p>
      <w:pPr>
        <w:pStyle w:val="3"/>
        <w:pageBreakBefore w:val="0"/>
        <w:widowControl w:val="0"/>
        <w:kinsoku/>
        <w:wordWrap/>
        <w:overflowPunct/>
        <w:topLinePunct w:val="0"/>
        <w:autoSpaceDE/>
        <w:autoSpaceDN/>
        <w:bidi w:val="0"/>
        <w:adjustRightInd/>
        <w:snapToGrid/>
        <w:spacing w:before="156" w:beforeLines="50" w:after="156" w:afterLines="50" w:line="360" w:lineRule="auto"/>
        <w:ind w:firstLine="562" w:firstLineChars="200"/>
        <w:textAlignment w:val="auto"/>
        <w:outlineLvl w:val="1"/>
        <w:rPr>
          <w:rFonts w:hint="eastAsia" w:ascii="宋体" w:hAnsi="宋体" w:eastAsia="宋体" w:cs="宋体"/>
          <w:sz w:val="28"/>
          <w:szCs w:val="28"/>
          <w:highlight w:val="none"/>
        </w:rPr>
      </w:pPr>
      <w:bookmarkStart w:id="6" w:name="_Toc14686"/>
      <w:bookmarkStart w:id="7" w:name="_Toc20442"/>
      <w:r>
        <w:rPr>
          <w:rFonts w:hint="eastAsia" w:ascii="宋体" w:hAnsi="宋体" w:eastAsia="宋体" w:cs="宋体"/>
          <w:sz w:val="28"/>
          <w:szCs w:val="28"/>
          <w:highlight w:val="none"/>
        </w:rPr>
        <w:t>（一）责任成本测算</w:t>
      </w:r>
      <w:bookmarkEnd w:id="6"/>
      <w:bookmarkEnd w:id="7"/>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根据项目招投标资料、现场施工调查、项目管理策划以及公司责任成本测算办法等进行项目责任成本测算。测算具体情况为：</w:t>
      </w:r>
    </w:p>
    <w:p>
      <w:pPr>
        <w:pStyle w:val="98"/>
        <w:spacing w:line="240" w:lineRule="auto"/>
        <w:contextualSpacing/>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责任成本测算（汇总）表</w:t>
      </w:r>
    </w:p>
    <w:tbl>
      <w:tblPr>
        <w:tblStyle w:val="21"/>
        <w:tblW w:w="10037" w:type="dxa"/>
        <w:tblInd w:w="-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6"/>
        <w:gridCol w:w="1071"/>
        <w:gridCol w:w="2038"/>
        <w:gridCol w:w="1180"/>
        <w:gridCol w:w="1077"/>
        <w:gridCol w:w="1132"/>
        <w:gridCol w:w="1077"/>
        <w:gridCol w:w="975"/>
        <w:gridCol w:w="7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bookmarkStart w:id="8" w:name="_Toc12701"/>
            <w:r>
              <w:rPr>
                <w:rFonts w:hint="eastAsia" w:ascii="宋体" w:hAnsi="宋体" w:eastAsia="宋体" w:cs="宋体"/>
                <w:b/>
                <w:bCs/>
                <w:i w:val="0"/>
                <w:iCs w:val="0"/>
                <w:color w:val="000000"/>
                <w:kern w:val="0"/>
                <w:sz w:val="20"/>
                <w:szCs w:val="20"/>
                <w:u w:val="none"/>
                <w:lang w:val="en-US" w:eastAsia="zh-CN" w:bidi="ar"/>
              </w:rPr>
              <w:t>序号</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章号</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w:t>
            </w:r>
            <w:r>
              <w:rPr>
                <w:rFonts w:hint="default" w:ascii="Times New Roman" w:hAnsi="Times New Roman" w:eastAsia="宋体" w:cs="Times New Roman"/>
                <w:b/>
                <w:bCs/>
                <w:i w:val="0"/>
                <w:iCs w:val="0"/>
                <w:color w:val="000000"/>
                <w:kern w:val="0"/>
                <w:sz w:val="20"/>
                <w:szCs w:val="20"/>
                <w:u w:val="none"/>
                <w:lang w:val="en-US" w:eastAsia="zh-CN" w:bidi="ar"/>
              </w:rPr>
              <w:t xml:space="preserve">    </w:t>
            </w:r>
            <w:r>
              <w:rPr>
                <w:rFonts w:hint="eastAsia" w:ascii="宋体" w:hAnsi="宋体" w:eastAsia="宋体" w:cs="宋体"/>
                <w:b/>
                <w:bCs/>
                <w:i w:val="0"/>
                <w:iCs w:val="0"/>
                <w:color w:val="000000"/>
                <w:kern w:val="0"/>
                <w:sz w:val="20"/>
                <w:szCs w:val="20"/>
                <w:u w:val="none"/>
                <w:lang w:val="en-US" w:eastAsia="zh-CN" w:bidi="ar"/>
              </w:rPr>
              <w:t>称</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含税收入金额（元）</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不含税收入（元）</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不含税成本（元）</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利润额</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利润率</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第100章</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总则</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19476608</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17868448</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12373938</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5494510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30.75%</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102</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工程管理</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1687816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1548455</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1443354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105101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6.79%</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103</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临时工程与设施</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14288792</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13108984</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7119404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5989580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45.69%</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104</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承包人驻地建设</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2000000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1834862</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811180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1023682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55.79%</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105</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施工标准化</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1500000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1376147</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3000000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-1623853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楷体" w:hAnsi="楷体" w:eastAsia="楷体" w:cs="楷体"/>
                <w:i w:val="0"/>
                <w:iCs w:val="0"/>
                <w:color w:val="000000"/>
                <w:sz w:val="16"/>
                <w:szCs w:val="16"/>
                <w:u w:val="none"/>
              </w:rPr>
            </w:pPr>
            <w:r>
              <w:rPr>
                <w:rFonts w:hint="eastAsia" w:ascii="楷体" w:hAnsi="楷体" w:eastAsia="楷体" w:cs="楷体"/>
                <w:i w:val="0"/>
                <w:iCs w:val="0"/>
                <w:color w:val="000000"/>
                <w:kern w:val="0"/>
                <w:sz w:val="16"/>
                <w:szCs w:val="16"/>
                <w:u w:val="none"/>
                <w:lang w:val="en-US" w:eastAsia="zh-CN" w:bidi="ar"/>
              </w:rPr>
              <w:t>-118.00%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第200章</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路基</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64669</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59330</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32784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26546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44.74%</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第400章</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桥梁、涵洞工程</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41892022</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38434777</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33998900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4435877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11.54%</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第600章</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安全设施及预埋管线</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131004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120188</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23121</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97067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80.76%</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第700章</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绿化及环境保护设施</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620127</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568924</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600604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-31680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第800章</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照明工程</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537777</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493375</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621967</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-128592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-26.06%</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71"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038"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4120000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3779817</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3779817</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7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其他成本费用</w:t>
            </w:r>
          </w:p>
        </w:tc>
        <w:tc>
          <w:tcPr>
            <w:tcW w:w="20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外委检验试验费</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860390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-860390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7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考核奖励</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167106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-167106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7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工伤保险、安责险</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334211</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-334211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7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其他成本</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240000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-240000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7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现场经费</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2218129</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-2218129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合同内合计</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66842207</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61324859</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55250966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6073893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9.90%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0"/>
                <w:szCs w:val="20"/>
                <w:u w:val="none"/>
              </w:rPr>
            </w:pPr>
          </w:p>
        </w:tc>
      </w:tr>
    </w:tbl>
    <w:p>
      <w:pPr>
        <w:pStyle w:val="3"/>
        <w:pageBreakBefore w:val="0"/>
        <w:kinsoku/>
        <w:wordWrap/>
        <w:overflowPunct/>
        <w:topLinePunct w:val="0"/>
        <w:autoSpaceDE/>
        <w:autoSpaceDN/>
        <w:bidi w:val="0"/>
        <w:adjustRightInd/>
        <w:snapToGrid/>
        <w:spacing w:before="156" w:beforeLines="50" w:after="156" w:afterLines="50" w:line="360" w:lineRule="auto"/>
        <w:ind w:firstLine="562" w:firstLineChars="200"/>
        <w:textAlignment w:val="auto"/>
        <w:outlineLvl w:val="1"/>
        <w:rPr>
          <w:rFonts w:hint="eastAsia" w:ascii="宋体" w:hAnsi="宋体" w:eastAsia="宋体" w:cs="宋体"/>
          <w:sz w:val="28"/>
          <w:szCs w:val="28"/>
          <w:highlight w:val="none"/>
        </w:rPr>
      </w:pPr>
      <w:r>
        <w:rPr>
          <w:rFonts w:hint="eastAsia" w:ascii="宋体" w:hAnsi="宋体" w:eastAsia="宋体" w:cs="宋体"/>
          <w:sz w:val="28"/>
          <w:szCs w:val="28"/>
          <w:highlight w:val="none"/>
        </w:rPr>
        <w:t>（二）责任成本分解</w:t>
      </w:r>
      <w:bookmarkEnd w:id="8"/>
    </w:p>
    <w:p>
      <w:pPr>
        <w:pStyle w:val="98"/>
        <w:pageBreakBefore w:val="0"/>
        <w:kinsoku/>
        <w:wordWrap/>
        <w:overflowPunct/>
        <w:topLinePunct w:val="0"/>
        <w:autoSpaceDE/>
        <w:autoSpaceDN/>
        <w:bidi w:val="0"/>
        <w:adjustRightInd/>
        <w:snapToGrid/>
        <w:spacing w:line="360" w:lineRule="auto"/>
        <w:ind w:left="-136"/>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根据责任成本测算明细表，根据核算考核需要，对责任成本进行分解、对项目部门的分解见下表。</w:t>
      </w:r>
    </w:p>
    <w:tbl>
      <w:tblPr>
        <w:tblStyle w:val="21"/>
        <w:tblW w:w="9177" w:type="dxa"/>
        <w:tblInd w:w="-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5"/>
        <w:gridCol w:w="2519"/>
        <w:gridCol w:w="839"/>
        <w:gridCol w:w="1716"/>
        <w:gridCol w:w="1347"/>
        <w:gridCol w:w="1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5B9BD5"/>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bookmarkStart w:id="9" w:name="_Toc6674"/>
            <w:r>
              <w:rPr>
                <w:rFonts w:hint="eastAsia" w:ascii="宋体" w:hAnsi="宋体" w:eastAsia="宋体" w:cs="宋体"/>
                <w:i w:val="0"/>
                <w:iCs w:val="0"/>
                <w:color w:val="000000"/>
                <w:kern w:val="0"/>
                <w:sz w:val="22"/>
                <w:szCs w:val="22"/>
                <w:highlight w:val="none"/>
                <w:u w:val="none"/>
                <w:lang w:val="en-US" w:eastAsia="zh-CN" w:bidi="ar"/>
              </w:rPr>
              <w:t>序号</w:t>
            </w:r>
          </w:p>
        </w:tc>
        <w:tc>
          <w:tcPr>
            <w:tcW w:w="2519" w:type="dxa"/>
            <w:tcBorders>
              <w:top w:val="single" w:color="000000" w:sz="4" w:space="0"/>
              <w:left w:val="single" w:color="000000" w:sz="4" w:space="0"/>
              <w:bottom w:val="single" w:color="000000" w:sz="4" w:space="0"/>
              <w:right w:val="single" w:color="000000" w:sz="4" w:space="0"/>
            </w:tcBorders>
            <w:shd w:val="clear" w:color="auto" w:fill="5B9BD5"/>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成本分类</w:t>
            </w:r>
          </w:p>
        </w:tc>
        <w:tc>
          <w:tcPr>
            <w:tcW w:w="839" w:type="dxa"/>
            <w:tcBorders>
              <w:top w:val="single" w:color="000000" w:sz="4" w:space="0"/>
              <w:left w:val="single" w:color="000000" w:sz="4" w:space="0"/>
              <w:bottom w:val="single" w:color="000000" w:sz="4" w:space="0"/>
              <w:right w:val="single" w:color="000000" w:sz="4" w:space="0"/>
            </w:tcBorders>
            <w:shd w:val="clear" w:color="auto" w:fill="5B9BD5"/>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1716" w:type="dxa"/>
            <w:tcBorders>
              <w:top w:val="single" w:color="000000" w:sz="4" w:space="0"/>
              <w:left w:val="single" w:color="000000" w:sz="4" w:space="0"/>
              <w:bottom w:val="single" w:color="000000" w:sz="4" w:space="0"/>
              <w:right w:val="single" w:color="000000" w:sz="4" w:space="0"/>
            </w:tcBorders>
            <w:shd w:val="clear" w:color="auto" w:fill="5B9BD5"/>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责任部门</w:t>
            </w:r>
          </w:p>
        </w:tc>
        <w:tc>
          <w:tcPr>
            <w:tcW w:w="1347" w:type="dxa"/>
            <w:tcBorders>
              <w:top w:val="single" w:color="000000" w:sz="4" w:space="0"/>
              <w:left w:val="single" w:color="000000" w:sz="4" w:space="0"/>
              <w:bottom w:val="single" w:color="000000" w:sz="4" w:space="0"/>
              <w:right w:val="single" w:color="000000" w:sz="4" w:space="0"/>
            </w:tcBorders>
            <w:shd w:val="clear" w:color="auto" w:fill="5B9BD5"/>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责任成本</w:t>
            </w:r>
          </w:p>
        </w:tc>
        <w:tc>
          <w:tcPr>
            <w:tcW w:w="1891" w:type="dxa"/>
            <w:tcBorders>
              <w:top w:val="single" w:color="000000" w:sz="4" w:space="0"/>
              <w:left w:val="single" w:color="000000" w:sz="4" w:space="0"/>
              <w:bottom w:val="single" w:color="000000" w:sz="4" w:space="0"/>
              <w:right w:val="single" w:color="000000" w:sz="4" w:space="0"/>
            </w:tcBorders>
            <w:shd w:val="clear" w:color="auto" w:fill="5B9BD5"/>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分包费</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商务部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2486</w:t>
            </w:r>
          </w:p>
        </w:tc>
        <w:tc>
          <w:tcPr>
            <w:tcW w:w="1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含暂列金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材料费（主材、周转料）</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物设部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2225</w:t>
            </w:r>
          </w:p>
        </w:tc>
        <w:tc>
          <w:tcPr>
            <w:tcW w:w="1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机使费（机械、设备）</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机电部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70</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安全生产费</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商务部、物资部、安质部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112</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临建设施费</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商务部、物资部、机电部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381</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等线" w:hAnsi="等线" w:eastAsia="等线" w:cs="等线"/>
                <w:i w:val="0"/>
                <w:iCs w:val="0"/>
                <w:color w:val="000000"/>
                <w:sz w:val="22"/>
                <w:szCs w:val="22"/>
                <w:highlight w:val="none"/>
                <w:u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含展厅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工程管理、试验检测</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生产部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318</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7</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保险</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商务部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33.4</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8</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考核奖励</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生产部、安质部、商务部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16.7</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9</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现场经费</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财务部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221.8</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10</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其他费用</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万元</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财务部</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24</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338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合计</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仿宋" w:hAnsi="仿宋" w:eastAsia="仿宋" w:cs="仿宋"/>
                <w:b/>
                <w:bCs/>
                <w:i w:val="0"/>
                <w:iCs w:val="0"/>
                <w:color w:val="000000"/>
                <w:sz w:val="18"/>
                <w:szCs w:val="18"/>
                <w:highlight w:val="none"/>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仿宋" w:hAnsi="仿宋" w:eastAsia="仿宋" w:cs="仿宋"/>
                <w:b/>
                <w:bCs/>
                <w:i w:val="0"/>
                <w:iCs w:val="0"/>
                <w:color w:val="000000"/>
                <w:sz w:val="18"/>
                <w:szCs w:val="18"/>
                <w:highlight w:val="none"/>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lang w:eastAsia="zh"/>
              </w:rPr>
            </w:pP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highlight w:val="none"/>
                <w:u w:val="none"/>
              </w:rPr>
            </w:pPr>
          </w:p>
        </w:tc>
      </w:tr>
    </w:tbl>
    <w:p>
      <w:pPr>
        <w:pStyle w:val="3"/>
        <w:pageBreakBefore w:val="0"/>
        <w:kinsoku/>
        <w:wordWrap/>
        <w:overflowPunct/>
        <w:topLinePunct w:val="0"/>
        <w:autoSpaceDE/>
        <w:autoSpaceDN/>
        <w:bidi w:val="0"/>
        <w:adjustRightInd/>
        <w:snapToGrid/>
        <w:spacing w:before="156" w:beforeLines="50" w:after="156" w:afterLines="50" w:line="360" w:lineRule="auto"/>
        <w:ind w:firstLine="562" w:firstLineChars="200"/>
        <w:textAlignment w:val="auto"/>
        <w:outlineLvl w:val="1"/>
        <w:rPr>
          <w:rFonts w:hint="eastAsia" w:ascii="宋体" w:hAnsi="宋体" w:eastAsia="宋体" w:cs="宋体"/>
          <w:sz w:val="28"/>
          <w:szCs w:val="28"/>
          <w:highlight w:val="none"/>
        </w:rPr>
      </w:pPr>
      <w:r>
        <w:rPr>
          <w:rFonts w:hint="eastAsia" w:ascii="宋体" w:hAnsi="宋体" w:eastAsia="宋体" w:cs="宋体"/>
          <w:sz w:val="28"/>
          <w:szCs w:val="28"/>
          <w:highlight w:val="none"/>
        </w:rPr>
        <w:t>（三）项目盈亏点分析</w:t>
      </w:r>
      <w:bookmarkEnd w:id="9"/>
    </w:p>
    <w:p>
      <w:pPr>
        <w:pStyle w:val="109"/>
        <w:pageBreakBefore w:val="0"/>
        <w:kinsoku/>
        <w:wordWrap/>
        <w:overflowPunct/>
        <w:topLinePunct w:val="0"/>
        <w:autoSpaceDE/>
        <w:autoSpaceDN/>
        <w:bidi w:val="0"/>
        <w:adjustRightInd/>
        <w:snapToGrid/>
        <w:spacing w:line="360" w:lineRule="auto"/>
        <w:ind w:firstLine="562"/>
        <w:textAlignment w:val="auto"/>
        <w:outlineLvl w:val="2"/>
        <w:rPr>
          <w:rFonts w:hint="eastAsia" w:ascii="仿宋" w:hAnsi="仿宋" w:eastAsia="仿宋" w:cs="仿宋"/>
          <w:sz w:val="28"/>
          <w:szCs w:val="28"/>
          <w:highlight w:val="none"/>
        </w:rPr>
      </w:pPr>
      <w:bookmarkStart w:id="10" w:name="_Hlk104062891"/>
      <w:r>
        <w:rPr>
          <w:rFonts w:hint="eastAsia" w:ascii="仿宋" w:hAnsi="仿宋" w:eastAsia="仿宋" w:cs="仿宋"/>
          <w:b/>
          <w:bCs/>
          <w:sz w:val="28"/>
          <w:szCs w:val="28"/>
          <w:highlight w:val="none"/>
        </w:rPr>
        <w:t>1、主要赢利点</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本项目部主要盈利点</w:t>
      </w:r>
      <w:r>
        <w:rPr>
          <w:rFonts w:hint="eastAsia" w:ascii="仿宋" w:hAnsi="仿宋" w:eastAsia="仿宋" w:cs="仿宋"/>
          <w:b w:val="0"/>
          <w:bCs w:val="0"/>
          <w:sz w:val="28"/>
          <w:szCs w:val="28"/>
          <w:highlight w:val="none"/>
        </w:rPr>
        <w:t>在</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1</w:t>
      </w:r>
      <w:r>
        <w:rPr>
          <w:rFonts w:hint="eastAsia" w:ascii="仿宋" w:hAnsi="仿宋" w:eastAsia="仿宋" w:cs="仿宋"/>
          <w:b w:val="0"/>
          <w:bCs w:val="0"/>
          <w:sz w:val="28"/>
          <w:szCs w:val="28"/>
          <w:highlight w:val="none"/>
          <w:lang w:eastAsia="zh-CN"/>
        </w:rPr>
        <w:t>）</w:t>
      </w:r>
      <w:r>
        <w:rPr>
          <w:rFonts w:hint="eastAsia" w:cs="仿宋"/>
          <w:b w:val="0"/>
          <w:bCs w:val="0"/>
          <w:sz w:val="28"/>
          <w:szCs w:val="28"/>
          <w:highlight w:val="none"/>
          <w:lang w:val="en-US" w:eastAsia="zh-CN"/>
        </w:rPr>
        <w:t>临时围挡</w:t>
      </w:r>
      <w:r>
        <w:rPr>
          <w:rFonts w:hint="eastAsia" w:ascii="仿宋" w:hAnsi="仿宋" w:eastAsia="仿宋" w:cs="仿宋"/>
          <w:b w:val="0"/>
          <w:bCs w:val="0"/>
          <w:sz w:val="28"/>
          <w:szCs w:val="28"/>
          <w:highlight w:val="none"/>
          <w:lang w:eastAsia="zh"/>
        </w:rPr>
        <w:t>，约</w:t>
      </w:r>
      <w:r>
        <w:rPr>
          <w:rFonts w:hint="eastAsia" w:cs="仿宋"/>
          <w:b w:val="0"/>
          <w:bCs w:val="0"/>
          <w:sz w:val="28"/>
          <w:szCs w:val="28"/>
          <w:highlight w:val="none"/>
          <w:lang w:val="en-US" w:eastAsia="zh-CN"/>
        </w:rPr>
        <w:t>745</w:t>
      </w:r>
      <w:r>
        <w:rPr>
          <w:rFonts w:hint="eastAsia" w:ascii="仿宋" w:hAnsi="仿宋" w:eastAsia="仿宋" w:cs="仿宋"/>
          <w:b w:val="0"/>
          <w:bCs w:val="0"/>
          <w:sz w:val="28"/>
          <w:szCs w:val="28"/>
          <w:highlight w:val="none"/>
          <w:lang w:eastAsia="zh"/>
        </w:rPr>
        <w:t>万元；</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2</w:t>
      </w:r>
      <w:r>
        <w:rPr>
          <w:rFonts w:hint="eastAsia" w:ascii="仿宋" w:hAnsi="仿宋" w:eastAsia="仿宋" w:cs="仿宋"/>
          <w:b w:val="0"/>
          <w:bCs w:val="0"/>
          <w:sz w:val="28"/>
          <w:szCs w:val="28"/>
          <w:highlight w:val="none"/>
          <w:lang w:eastAsia="zh-CN"/>
        </w:rPr>
        <w:t>）</w:t>
      </w:r>
      <w:r>
        <w:rPr>
          <w:rFonts w:hint="eastAsia" w:cs="仿宋"/>
          <w:b w:val="0"/>
          <w:bCs w:val="0"/>
          <w:sz w:val="28"/>
          <w:szCs w:val="28"/>
          <w:highlight w:val="none"/>
          <w:lang w:val="en-US" w:eastAsia="zh-CN"/>
        </w:rPr>
        <w:t>围堰</w:t>
      </w:r>
      <w:r>
        <w:rPr>
          <w:rFonts w:hint="eastAsia" w:ascii="仿宋" w:hAnsi="仿宋" w:eastAsia="仿宋" w:cs="仿宋"/>
          <w:b w:val="0"/>
          <w:bCs w:val="0"/>
          <w:sz w:val="28"/>
          <w:szCs w:val="28"/>
          <w:highlight w:val="none"/>
          <w:lang w:eastAsia="zh"/>
        </w:rPr>
        <w:t>，约</w:t>
      </w:r>
      <w:r>
        <w:rPr>
          <w:rFonts w:hint="eastAsia" w:cs="仿宋"/>
          <w:b w:val="0"/>
          <w:bCs w:val="0"/>
          <w:sz w:val="28"/>
          <w:szCs w:val="28"/>
          <w:highlight w:val="none"/>
          <w:lang w:val="en-US" w:eastAsia="zh-CN"/>
        </w:rPr>
        <w:t>158</w:t>
      </w:r>
      <w:r>
        <w:rPr>
          <w:rFonts w:hint="eastAsia" w:ascii="仿宋" w:hAnsi="仿宋" w:eastAsia="仿宋" w:cs="仿宋"/>
          <w:b w:val="0"/>
          <w:bCs w:val="0"/>
          <w:sz w:val="28"/>
          <w:szCs w:val="28"/>
          <w:highlight w:val="none"/>
          <w:lang w:eastAsia="zh"/>
        </w:rPr>
        <w:t>万元；</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3</w:t>
      </w:r>
      <w:r>
        <w:rPr>
          <w:rFonts w:hint="eastAsia" w:ascii="仿宋" w:hAnsi="仿宋" w:eastAsia="仿宋" w:cs="仿宋"/>
          <w:b w:val="0"/>
          <w:bCs w:val="0"/>
          <w:sz w:val="28"/>
          <w:szCs w:val="28"/>
          <w:highlight w:val="none"/>
          <w:lang w:eastAsia="zh-CN"/>
        </w:rPr>
        <w:t>）</w:t>
      </w:r>
      <w:r>
        <w:rPr>
          <w:rFonts w:hint="eastAsia" w:cs="仿宋"/>
          <w:b w:val="0"/>
          <w:bCs w:val="0"/>
          <w:sz w:val="28"/>
          <w:szCs w:val="28"/>
          <w:highlight w:val="none"/>
          <w:lang w:val="en-US" w:eastAsia="zh-CN"/>
        </w:rPr>
        <w:t>桥梁钢筋</w:t>
      </w:r>
      <w:r>
        <w:rPr>
          <w:rFonts w:hint="eastAsia" w:ascii="仿宋" w:hAnsi="仿宋" w:eastAsia="仿宋" w:cs="仿宋"/>
          <w:b w:val="0"/>
          <w:bCs w:val="0"/>
          <w:sz w:val="28"/>
          <w:szCs w:val="28"/>
          <w:highlight w:val="none"/>
          <w:lang w:eastAsia="zh"/>
        </w:rPr>
        <w:t>，约</w:t>
      </w:r>
      <w:r>
        <w:rPr>
          <w:rFonts w:hint="eastAsia" w:ascii="仿宋" w:hAnsi="仿宋" w:eastAsia="仿宋" w:cs="仿宋"/>
          <w:b w:val="0"/>
          <w:bCs w:val="0"/>
          <w:sz w:val="28"/>
          <w:szCs w:val="28"/>
          <w:highlight w:val="none"/>
          <w:lang w:val="en-US" w:eastAsia="zh-CN"/>
        </w:rPr>
        <w:t>483</w:t>
      </w:r>
      <w:r>
        <w:rPr>
          <w:rFonts w:hint="eastAsia" w:ascii="仿宋" w:hAnsi="仿宋" w:eastAsia="仿宋" w:cs="仿宋"/>
          <w:b w:val="0"/>
          <w:bCs w:val="0"/>
          <w:sz w:val="28"/>
          <w:szCs w:val="28"/>
          <w:highlight w:val="none"/>
          <w:lang w:eastAsia="zh"/>
        </w:rPr>
        <w:t>万元；</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4</w:t>
      </w:r>
      <w:r>
        <w:rPr>
          <w:rFonts w:hint="eastAsia" w:ascii="仿宋" w:hAnsi="仿宋" w:eastAsia="仿宋" w:cs="仿宋"/>
          <w:b w:val="0"/>
          <w:bCs w:val="0"/>
          <w:sz w:val="28"/>
          <w:szCs w:val="28"/>
          <w:highlight w:val="none"/>
          <w:lang w:eastAsia="zh-CN"/>
        </w:rPr>
        <w:t>）</w:t>
      </w:r>
      <w:r>
        <w:rPr>
          <w:rFonts w:hint="eastAsia" w:cs="仿宋"/>
          <w:b w:val="0"/>
          <w:bCs w:val="0"/>
          <w:sz w:val="28"/>
          <w:szCs w:val="28"/>
          <w:highlight w:val="none"/>
          <w:lang w:val="en-US" w:eastAsia="zh-CN"/>
        </w:rPr>
        <w:t>基坑开挖</w:t>
      </w:r>
      <w:r>
        <w:rPr>
          <w:rFonts w:hint="eastAsia" w:ascii="仿宋" w:hAnsi="仿宋" w:eastAsia="仿宋" w:cs="仿宋"/>
          <w:b w:val="0"/>
          <w:bCs w:val="0"/>
          <w:sz w:val="28"/>
          <w:szCs w:val="28"/>
          <w:highlight w:val="none"/>
          <w:lang w:eastAsia="zh"/>
        </w:rPr>
        <w:t>，约</w:t>
      </w:r>
      <w:r>
        <w:rPr>
          <w:rFonts w:hint="eastAsia" w:cs="仿宋"/>
          <w:b w:val="0"/>
          <w:bCs w:val="0"/>
          <w:sz w:val="28"/>
          <w:szCs w:val="28"/>
          <w:highlight w:val="none"/>
          <w:lang w:val="en-US" w:eastAsia="zh-CN"/>
        </w:rPr>
        <w:t>30</w:t>
      </w:r>
      <w:r>
        <w:rPr>
          <w:rFonts w:hint="eastAsia" w:ascii="仿宋" w:hAnsi="仿宋" w:eastAsia="仿宋" w:cs="仿宋"/>
          <w:b w:val="0"/>
          <w:bCs w:val="0"/>
          <w:sz w:val="28"/>
          <w:szCs w:val="28"/>
          <w:highlight w:val="none"/>
          <w:lang w:eastAsia="zh"/>
        </w:rPr>
        <w:t>万元；</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5</w:t>
      </w:r>
      <w:r>
        <w:rPr>
          <w:rFonts w:hint="eastAsia" w:ascii="仿宋" w:hAnsi="仿宋" w:eastAsia="仿宋" w:cs="仿宋"/>
          <w:b w:val="0"/>
          <w:bCs w:val="0"/>
          <w:sz w:val="28"/>
          <w:szCs w:val="28"/>
          <w:highlight w:val="none"/>
          <w:lang w:eastAsia="zh-CN"/>
        </w:rPr>
        <w:t>）</w:t>
      </w:r>
      <w:r>
        <w:rPr>
          <w:rFonts w:hint="eastAsia" w:cs="仿宋"/>
          <w:b w:val="0"/>
          <w:bCs w:val="0"/>
          <w:sz w:val="28"/>
          <w:szCs w:val="28"/>
          <w:highlight w:val="none"/>
          <w:lang w:val="en-US" w:eastAsia="zh-CN"/>
        </w:rPr>
        <w:t>钻孔灌注桩</w:t>
      </w:r>
      <w:r>
        <w:rPr>
          <w:rFonts w:hint="eastAsia" w:ascii="仿宋" w:hAnsi="仿宋" w:eastAsia="仿宋" w:cs="仿宋"/>
          <w:b w:val="0"/>
          <w:bCs w:val="0"/>
          <w:sz w:val="28"/>
          <w:szCs w:val="28"/>
          <w:highlight w:val="none"/>
          <w:lang w:eastAsia="zh"/>
        </w:rPr>
        <w:t>，约</w:t>
      </w:r>
      <w:r>
        <w:rPr>
          <w:rFonts w:hint="eastAsia" w:cs="仿宋"/>
          <w:b w:val="0"/>
          <w:bCs w:val="0"/>
          <w:sz w:val="28"/>
          <w:szCs w:val="28"/>
          <w:highlight w:val="none"/>
          <w:lang w:val="en-US" w:eastAsia="zh-CN"/>
        </w:rPr>
        <w:t>42</w:t>
      </w:r>
      <w:r>
        <w:rPr>
          <w:rFonts w:hint="eastAsia" w:ascii="仿宋" w:hAnsi="仿宋" w:eastAsia="仿宋" w:cs="仿宋"/>
          <w:b w:val="0"/>
          <w:bCs w:val="0"/>
          <w:sz w:val="28"/>
          <w:szCs w:val="28"/>
          <w:highlight w:val="none"/>
          <w:lang w:eastAsia="zh"/>
        </w:rPr>
        <w:t>万元</w:t>
      </w:r>
      <w:r>
        <w:rPr>
          <w:rFonts w:hint="eastAsia" w:cs="仿宋"/>
          <w:b w:val="0"/>
          <w:bCs w:val="0"/>
          <w:sz w:val="28"/>
          <w:szCs w:val="28"/>
          <w:highlight w:val="none"/>
          <w:lang w:eastAsia="zh-CN"/>
        </w:rPr>
        <w:t>；（</w:t>
      </w:r>
      <w:r>
        <w:rPr>
          <w:rFonts w:hint="eastAsia" w:cs="仿宋"/>
          <w:b w:val="0"/>
          <w:bCs w:val="0"/>
          <w:sz w:val="28"/>
          <w:szCs w:val="28"/>
          <w:highlight w:val="none"/>
          <w:lang w:val="en-US" w:eastAsia="zh-CN"/>
        </w:rPr>
        <w:t>5</w:t>
      </w:r>
      <w:r>
        <w:rPr>
          <w:rFonts w:hint="eastAsia" w:cs="仿宋"/>
          <w:b w:val="0"/>
          <w:bCs w:val="0"/>
          <w:sz w:val="28"/>
          <w:szCs w:val="28"/>
          <w:highlight w:val="none"/>
          <w:lang w:eastAsia="zh-CN"/>
        </w:rPr>
        <w:t>）</w:t>
      </w:r>
      <w:r>
        <w:rPr>
          <w:rFonts w:hint="eastAsia" w:cs="仿宋"/>
          <w:b w:val="0"/>
          <w:bCs w:val="0"/>
          <w:sz w:val="28"/>
          <w:szCs w:val="28"/>
          <w:highlight w:val="none"/>
          <w:lang w:val="en-US" w:eastAsia="zh-CN"/>
        </w:rPr>
        <w:t>钢绞线，约270万元；</w:t>
      </w:r>
      <w:r>
        <w:rPr>
          <w:rFonts w:hint="eastAsia" w:cs="仿宋"/>
          <w:b w:val="0"/>
          <w:bCs w:val="0"/>
          <w:sz w:val="28"/>
          <w:szCs w:val="28"/>
          <w:highlight w:val="none"/>
          <w:lang w:eastAsia="zh-CN"/>
        </w:rPr>
        <w:t>（</w:t>
      </w:r>
      <w:r>
        <w:rPr>
          <w:rFonts w:hint="eastAsia" w:cs="仿宋"/>
          <w:b w:val="0"/>
          <w:bCs w:val="0"/>
          <w:sz w:val="28"/>
          <w:szCs w:val="28"/>
          <w:highlight w:val="none"/>
          <w:lang w:val="en-US" w:eastAsia="zh-CN"/>
        </w:rPr>
        <w:t>6</w:t>
      </w:r>
      <w:r>
        <w:rPr>
          <w:rFonts w:hint="eastAsia" w:cs="仿宋"/>
          <w:b w:val="0"/>
          <w:bCs w:val="0"/>
          <w:sz w:val="28"/>
          <w:szCs w:val="28"/>
          <w:highlight w:val="none"/>
          <w:lang w:eastAsia="zh-CN"/>
        </w:rPr>
        <w:t>）</w:t>
      </w:r>
      <w:r>
        <w:rPr>
          <w:rFonts w:hint="eastAsia" w:cs="仿宋"/>
          <w:b w:val="0"/>
          <w:bCs w:val="0"/>
          <w:sz w:val="28"/>
          <w:szCs w:val="28"/>
          <w:highlight w:val="none"/>
          <w:lang w:val="en-US" w:eastAsia="zh-CN"/>
        </w:rPr>
        <w:t>承台、墩身，约192万元</w:t>
      </w:r>
      <w:r>
        <w:rPr>
          <w:rFonts w:hint="eastAsia" w:ascii="仿宋" w:hAnsi="仿宋" w:eastAsia="仿宋" w:cs="仿宋"/>
          <w:b w:val="0"/>
          <w:bCs w:val="0"/>
          <w:sz w:val="28"/>
          <w:szCs w:val="28"/>
          <w:highlight w:val="none"/>
          <w:lang w:eastAsia="zh"/>
        </w:rPr>
        <w:t>。</w:t>
      </w:r>
      <w:r>
        <w:rPr>
          <w:rFonts w:hint="eastAsia" w:ascii="仿宋" w:hAnsi="仿宋" w:eastAsia="仿宋" w:cs="仿宋"/>
          <w:sz w:val="28"/>
          <w:szCs w:val="28"/>
          <w:highlight w:val="none"/>
        </w:rPr>
        <w:t>在工程招标过程中，通过单价测算、市场调查、多方面询价，做到掌握分包工程的真实成本效益情况，加强队伍选用，严控分包单价，从而降低成分包成本，提高利润点。</w:t>
      </w:r>
    </w:p>
    <w:p>
      <w:pPr>
        <w:pStyle w:val="109"/>
        <w:pageBreakBefore w:val="0"/>
        <w:kinsoku/>
        <w:wordWrap/>
        <w:overflowPunct/>
        <w:topLinePunct w:val="0"/>
        <w:autoSpaceDE/>
        <w:autoSpaceDN/>
        <w:bidi w:val="0"/>
        <w:adjustRightInd/>
        <w:snapToGrid/>
        <w:spacing w:line="360" w:lineRule="auto"/>
        <w:ind w:firstLine="562"/>
        <w:textAlignment w:val="auto"/>
        <w:outlineLvl w:val="2"/>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2、主要亏损点</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b w:val="0"/>
          <w:bCs w:val="0"/>
          <w:kern w:val="2"/>
          <w:sz w:val="28"/>
          <w:szCs w:val="28"/>
          <w:highlight w:val="none"/>
          <w:lang w:val="en-US" w:eastAsia="zh" w:bidi="ar-SA"/>
        </w:rPr>
      </w:pPr>
      <w:bookmarkStart w:id="11" w:name="_Toc21542"/>
      <w:r>
        <w:rPr>
          <w:rFonts w:hint="eastAsia" w:cs="仿宋"/>
          <w:b w:val="0"/>
          <w:bCs w:val="0"/>
          <w:kern w:val="2"/>
          <w:sz w:val="28"/>
          <w:szCs w:val="28"/>
          <w:highlight w:val="none"/>
          <w:lang w:val="en-US" w:eastAsia="zh-CN" w:bidi="ar-SA"/>
        </w:rPr>
        <w:t>（1）桥梁现浇梁</w:t>
      </w:r>
      <w:r>
        <w:rPr>
          <w:rFonts w:hint="eastAsia" w:ascii="仿宋" w:hAnsi="仿宋" w:eastAsia="仿宋" w:cs="仿宋"/>
          <w:b w:val="0"/>
          <w:bCs w:val="0"/>
          <w:kern w:val="2"/>
          <w:sz w:val="28"/>
          <w:szCs w:val="28"/>
          <w:highlight w:val="none"/>
          <w:lang w:val="en-US" w:eastAsia="zh-CN" w:bidi="ar-SA"/>
        </w:rPr>
        <w:t>预计亏损</w:t>
      </w:r>
      <w:r>
        <w:rPr>
          <w:rFonts w:hint="eastAsia" w:cs="仿宋"/>
          <w:b w:val="0"/>
          <w:bCs w:val="0"/>
          <w:kern w:val="2"/>
          <w:sz w:val="28"/>
          <w:szCs w:val="28"/>
          <w:highlight w:val="none"/>
          <w:lang w:val="en-US" w:eastAsia="zh-CN" w:bidi="ar-SA"/>
        </w:rPr>
        <w:t>588</w:t>
      </w:r>
      <w:r>
        <w:rPr>
          <w:rFonts w:hint="eastAsia" w:ascii="仿宋" w:hAnsi="仿宋" w:eastAsia="仿宋" w:cs="仿宋"/>
          <w:b w:val="0"/>
          <w:bCs w:val="0"/>
          <w:kern w:val="2"/>
          <w:sz w:val="28"/>
          <w:szCs w:val="28"/>
          <w:highlight w:val="none"/>
          <w:lang w:val="en-US" w:eastAsia="zh-CN" w:bidi="ar-SA"/>
        </w:rPr>
        <w:t>万元。</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w:t>
      </w:r>
      <w:r>
        <w:rPr>
          <w:rFonts w:hint="eastAsia" w:cs="仿宋"/>
          <w:b w:val="0"/>
          <w:bCs w:val="0"/>
          <w:kern w:val="2"/>
          <w:sz w:val="28"/>
          <w:szCs w:val="28"/>
          <w:highlight w:val="none"/>
          <w:lang w:val="en-US" w:eastAsia="zh-CN" w:bidi="ar-SA"/>
        </w:rPr>
        <w:t>2</w:t>
      </w:r>
      <w:r>
        <w:rPr>
          <w:rFonts w:hint="eastAsia" w:ascii="仿宋" w:hAnsi="仿宋" w:eastAsia="仿宋" w:cs="仿宋"/>
          <w:b w:val="0"/>
          <w:bCs w:val="0"/>
          <w:kern w:val="2"/>
          <w:sz w:val="28"/>
          <w:szCs w:val="28"/>
          <w:highlight w:val="none"/>
          <w:lang w:val="en-US" w:eastAsia="zh-CN" w:bidi="ar-SA"/>
        </w:rPr>
        <w:t>）</w:t>
      </w:r>
      <w:r>
        <w:rPr>
          <w:rFonts w:hint="eastAsia" w:cs="仿宋"/>
          <w:b w:val="0"/>
          <w:bCs w:val="0"/>
          <w:kern w:val="2"/>
          <w:sz w:val="28"/>
          <w:szCs w:val="28"/>
          <w:highlight w:val="none"/>
          <w:lang w:val="en-US" w:eastAsia="zh-CN" w:bidi="ar-SA"/>
        </w:rPr>
        <w:t>总额项目亏损，如：临时便桥（栈桥）亏损207万元，河势、雍水观测费200万元（含安全方案评审），智慧展馆亏损162万元</w:t>
      </w:r>
      <w:r>
        <w:rPr>
          <w:rFonts w:hint="eastAsia" w:ascii="仿宋" w:hAnsi="仿宋" w:eastAsia="仿宋" w:cs="仿宋"/>
          <w:b w:val="0"/>
          <w:bCs w:val="0"/>
          <w:kern w:val="2"/>
          <w:sz w:val="28"/>
          <w:szCs w:val="28"/>
          <w:highlight w:val="none"/>
          <w:lang w:val="en-US" w:eastAsia="zh-CN" w:bidi="ar-SA"/>
        </w:rPr>
        <w:t>。</w:t>
      </w:r>
    </w:p>
    <w:p>
      <w:pPr>
        <w:pStyle w:val="3"/>
        <w:pageBreakBefore w:val="0"/>
        <w:kinsoku/>
        <w:wordWrap/>
        <w:overflowPunct/>
        <w:topLinePunct w:val="0"/>
        <w:autoSpaceDE/>
        <w:autoSpaceDN/>
        <w:bidi w:val="0"/>
        <w:adjustRightInd/>
        <w:snapToGrid/>
        <w:spacing w:before="0" w:after="0" w:line="360" w:lineRule="auto"/>
        <w:ind w:firstLine="281" w:firstLineChars="1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（四）成本控制重点</w:t>
      </w:r>
      <w:bookmarkEnd w:id="11"/>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通过加强内部管理，优化资源配置，在成本测算的基础上，结合项目盈亏点分析，一是通过建立大商务管理体系，建立管理制度、构建管理组织、制定管理措施并借此达到控制成本的目的；二是</w:t>
      </w:r>
      <w:r>
        <w:rPr>
          <w:rFonts w:hint="eastAsia" w:ascii="仿宋" w:hAnsi="仿宋" w:eastAsia="仿宋" w:cs="仿宋"/>
          <w:sz w:val="28"/>
          <w:szCs w:val="28"/>
          <w:highlight w:val="none"/>
          <w:lang w:val="en-US" w:eastAsia="zh-CN"/>
        </w:rPr>
        <w:t>做好分包策划，由招采中心进行统一招采</w:t>
      </w:r>
      <w:r>
        <w:rPr>
          <w:rFonts w:hint="eastAsia" w:ascii="仿宋" w:hAnsi="仿宋" w:eastAsia="仿宋" w:cs="仿宋"/>
          <w:sz w:val="28"/>
          <w:szCs w:val="28"/>
          <w:highlight w:val="none"/>
        </w:rPr>
        <w:t>利用集采优势，</w:t>
      </w:r>
      <w:r>
        <w:rPr>
          <w:rFonts w:hint="eastAsia" w:ascii="仿宋" w:hAnsi="仿宋" w:eastAsia="仿宋" w:cs="仿宋"/>
          <w:sz w:val="28"/>
          <w:szCs w:val="28"/>
          <w:highlight w:val="none"/>
          <w:lang w:val="en-US" w:eastAsia="zh-CN"/>
        </w:rPr>
        <w:t>通过</w:t>
      </w:r>
      <w:r>
        <w:rPr>
          <w:rFonts w:hint="eastAsia" w:ascii="仿宋" w:hAnsi="仿宋" w:eastAsia="仿宋" w:cs="仿宋"/>
          <w:sz w:val="28"/>
          <w:szCs w:val="28"/>
          <w:highlight w:val="none"/>
        </w:rPr>
        <w:t>优选分包队伍、优化资源配置，合理控制分包采购成本。三是结合项目自身的特点抓住项目成本控制的重点，最大提升项目进度、技术工艺工法变更、方案优化、内部控制（招标竞价、限额控制、包干控制、责任控制）手段、发挥经济活动分析纠偏及预警的作用等</w:t>
      </w:r>
      <w:r>
        <w:rPr>
          <w:rFonts w:hint="eastAsia" w:ascii="仿宋" w:hAnsi="仿宋" w:eastAsia="仿宋" w:cs="仿宋"/>
          <w:sz w:val="28"/>
          <w:szCs w:val="28"/>
          <w:highlight w:val="none"/>
          <w:lang w:eastAsia="zh"/>
        </w:rPr>
        <w:t>，</w:t>
      </w:r>
      <w:r>
        <w:rPr>
          <w:rFonts w:hint="eastAsia" w:ascii="仿宋" w:hAnsi="仿宋" w:eastAsia="仿宋" w:cs="仿宋"/>
          <w:sz w:val="28"/>
          <w:szCs w:val="28"/>
          <w:highlight w:val="none"/>
        </w:rPr>
        <w:t>降低</w:t>
      </w:r>
      <w:r>
        <w:rPr>
          <w:rFonts w:hint="eastAsia" w:cs="仿宋"/>
          <w:sz w:val="28"/>
          <w:szCs w:val="28"/>
          <w:highlight w:val="none"/>
        </w:rPr>
        <w:t>项目</w:t>
      </w:r>
      <w:r>
        <w:rPr>
          <w:rFonts w:hint="eastAsia" w:ascii="仿宋" w:hAnsi="仿宋" w:eastAsia="仿宋" w:cs="仿宋"/>
          <w:sz w:val="28"/>
          <w:szCs w:val="28"/>
          <w:highlight w:val="none"/>
        </w:rPr>
        <w:t>成本，达到创效目的。</w:t>
      </w:r>
    </w:p>
    <w:bookmarkEnd w:id="10"/>
    <w:p>
      <w:pPr>
        <w:pStyle w:val="109"/>
        <w:keepNext w:val="0"/>
        <w:keepLines w:val="0"/>
        <w:pageBreakBefore w:val="0"/>
        <w:widowControl w:val="0"/>
        <w:kinsoku/>
        <w:wordWrap/>
        <w:overflowPunct/>
        <w:topLinePunct w:val="0"/>
        <w:autoSpaceDE/>
        <w:autoSpaceDN/>
        <w:bidi w:val="0"/>
        <w:adjustRightInd/>
        <w:snapToGrid/>
        <w:spacing w:line="360" w:lineRule="auto"/>
        <w:ind w:firstLine="562"/>
        <w:textAlignment w:val="auto"/>
        <w:outlineLvl w:val="2"/>
        <w:rPr>
          <w:rFonts w:hint="eastAsia" w:ascii="仿宋" w:hAnsi="仿宋" w:eastAsia="仿宋" w:cs="仿宋"/>
          <w:b/>
          <w:bCs/>
          <w:sz w:val="28"/>
          <w:szCs w:val="28"/>
          <w:highlight w:val="none"/>
        </w:rPr>
      </w:pPr>
      <w:bookmarkStart w:id="12" w:name="_Toc13699"/>
      <w:r>
        <w:rPr>
          <w:rFonts w:hint="eastAsia" w:ascii="仿宋" w:hAnsi="仿宋" w:eastAsia="仿宋" w:cs="仿宋"/>
          <w:b/>
          <w:bCs/>
          <w:sz w:val="28"/>
          <w:szCs w:val="28"/>
          <w:highlight w:val="none"/>
        </w:rPr>
        <w:t>1、分包策划</w:t>
      </w:r>
      <w:bookmarkEnd w:id="12"/>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rPr>
      </w:pPr>
      <w:r>
        <w:rPr>
          <w:rFonts w:hint="eastAsia" w:cs="仿宋"/>
          <w:sz w:val="28"/>
          <w:szCs w:val="28"/>
          <w:highlight w:val="none"/>
        </w:rPr>
        <w:t>项目应在施工进场后做好队伍分包策划，迅速组织对业主工程量清单的梳理，同时结合现场情况及施工工序，</w:t>
      </w:r>
      <w:r>
        <w:rPr>
          <w:rFonts w:hint="eastAsia" w:cs="仿宋"/>
          <w:sz w:val="28"/>
          <w:szCs w:val="28"/>
          <w:highlight w:val="none"/>
          <w:lang w:val="en-US" w:eastAsia="zh-CN"/>
        </w:rPr>
        <w:t>完成</w:t>
      </w:r>
      <w:r>
        <w:rPr>
          <w:rFonts w:hint="eastAsia" w:cs="仿宋"/>
          <w:sz w:val="28"/>
          <w:szCs w:val="28"/>
          <w:highlight w:val="none"/>
        </w:rPr>
        <w:t>对队伍分包板块的划分。</w:t>
      </w:r>
      <w:r>
        <w:rPr>
          <w:rFonts w:hint="eastAsia" w:cs="仿宋"/>
          <w:sz w:val="28"/>
          <w:szCs w:val="28"/>
          <w:highlight w:val="none"/>
          <w:lang w:val="en-US" w:eastAsia="zh-CN"/>
        </w:rPr>
        <w:t>为</w:t>
      </w:r>
      <w:r>
        <w:rPr>
          <w:rFonts w:hint="eastAsia" w:cs="仿宋"/>
          <w:sz w:val="28"/>
          <w:szCs w:val="28"/>
          <w:highlight w:val="none"/>
        </w:rPr>
        <w:t>避免各工序间清单交叉</w:t>
      </w:r>
      <w:r>
        <w:rPr>
          <w:rFonts w:hint="eastAsia" w:cs="仿宋"/>
          <w:sz w:val="28"/>
          <w:szCs w:val="28"/>
          <w:highlight w:val="none"/>
          <w:lang w:eastAsia="zh-CN"/>
        </w:rPr>
        <w:t>，</w:t>
      </w:r>
      <w:r>
        <w:rPr>
          <w:rFonts w:hint="eastAsia" w:cs="仿宋"/>
          <w:sz w:val="28"/>
          <w:szCs w:val="28"/>
          <w:highlight w:val="none"/>
        </w:rPr>
        <w:t>容易导致清单划分不清晰，不利于后期队伍的管理以及分包成本的控制。建议队伍工序划分及进场顺序：</w:t>
      </w:r>
      <w:r>
        <w:rPr>
          <w:rFonts w:hint="eastAsia" w:cs="仿宋"/>
          <w:sz w:val="28"/>
          <w:szCs w:val="28"/>
          <w:highlight w:val="none"/>
          <w:lang w:val="en-US" w:eastAsia="zh-CN"/>
        </w:rPr>
        <w:t>临建工程+</w:t>
      </w:r>
      <w:r>
        <w:rPr>
          <w:rFonts w:hint="eastAsia" w:cs="仿宋"/>
          <w:sz w:val="28"/>
          <w:szCs w:val="28"/>
          <w:highlight w:val="none"/>
          <w:lang w:eastAsia="zh"/>
        </w:rPr>
        <w:t>路基土石方</w:t>
      </w:r>
      <w:r>
        <w:rPr>
          <w:rFonts w:hint="eastAsia" w:cs="仿宋"/>
          <w:sz w:val="28"/>
          <w:szCs w:val="28"/>
          <w:highlight w:val="none"/>
        </w:rPr>
        <w:t>→</w:t>
      </w:r>
      <w:r>
        <w:rPr>
          <w:rFonts w:hint="eastAsia" w:cs="仿宋"/>
          <w:sz w:val="28"/>
          <w:szCs w:val="28"/>
          <w:highlight w:val="none"/>
          <w:lang w:val="en-US" w:eastAsia="zh-CN"/>
        </w:rPr>
        <w:t>桥梁施工队伍</w:t>
      </w:r>
      <w:r>
        <w:rPr>
          <w:rFonts w:hint="eastAsia" w:cs="仿宋"/>
          <w:sz w:val="28"/>
          <w:szCs w:val="28"/>
          <w:highlight w:val="none"/>
        </w:rPr>
        <w:t>→</w:t>
      </w:r>
      <w:r>
        <w:rPr>
          <w:rFonts w:hint="eastAsia" w:cs="仿宋"/>
          <w:sz w:val="28"/>
          <w:szCs w:val="28"/>
          <w:highlight w:val="none"/>
          <w:lang w:val="en-US" w:eastAsia="zh-CN"/>
        </w:rPr>
        <w:t>栈桥、围堰施工单位</w:t>
      </w:r>
      <w:r>
        <w:rPr>
          <w:rFonts w:hint="eastAsia" w:cs="仿宋"/>
          <w:sz w:val="28"/>
          <w:szCs w:val="28"/>
          <w:highlight w:val="none"/>
        </w:rPr>
        <w:t>→</w:t>
      </w:r>
      <w:r>
        <w:rPr>
          <w:rFonts w:hint="eastAsia" w:cs="仿宋"/>
          <w:sz w:val="28"/>
          <w:szCs w:val="28"/>
          <w:highlight w:val="none"/>
          <w:lang w:val="en-US" w:eastAsia="zh-CN"/>
        </w:rPr>
        <w:t>沥青路面</w:t>
      </w:r>
      <w:r>
        <w:rPr>
          <w:rFonts w:hint="eastAsia" w:cs="仿宋"/>
          <w:sz w:val="28"/>
          <w:szCs w:val="28"/>
          <w:highlight w:val="none"/>
        </w:rPr>
        <w:t>→</w:t>
      </w:r>
      <w:r>
        <w:rPr>
          <w:rFonts w:hint="eastAsia" w:cs="仿宋"/>
          <w:sz w:val="28"/>
          <w:szCs w:val="28"/>
          <w:highlight w:val="none"/>
          <w:lang w:eastAsia="zh"/>
        </w:rPr>
        <w:t>交通安全设施安装</w:t>
      </w:r>
      <w:r>
        <w:rPr>
          <w:rFonts w:hint="eastAsia" w:cs="仿宋"/>
          <w:sz w:val="28"/>
          <w:szCs w:val="28"/>
          <w:highlight w:val="none"/>
          <w:lang w:val="en-US" w:eastAsia="zh-CN"/>
        </w:rPr>
        <w:t>+照明工程施工</w:t>
      </w:r>
      <w:r>
        <w:rPr>
          <w:rFonts w:hint="eastAsia" w:cs="仿宋"/>
          <w:sz w:val="28"/>
          <w:szCs w:val="28"/>
          <w:highlight w:val="none"/>
        </w:rPr>
        <w:t>→</w:t>
      </w:r>
      <w:r>
        <w:rPr>
          <w:rFonts w:hint="eastAsia" w:cs="仿宋"/>
          <w:sz w:val="28"/>
          <w:szCs w:val="28"/>
          <w:highlight w:val="none"/>
          <w:lang w:eastAsia="zh"/>
        </w:rPr>
        <w:t>水土保持</w:t>
      </w:r>
      <w:r>
        <w:rPr>
          <w:rFonts w:hint="eastAsia" w:cs="仿宋"/>
          <w:sz w:val="28"/>
          <w:szCs w:val="28"/>
          <w:highlight w:val="none"/>
        </w:rPr>
        <w:t>。</w:t>
      </w:r>
    </w:p>
    <w:p>
      <w:pPr>
        <w:pStyle w:val="109"/>
        <w:pageBreakBefore w:val="0"/>
        <w:kinsoku/>
        <w:wordWrap/>
        <w:overflowPunct/>
        <w:topLinePunct w:val="0"/>
        <w:autoSpaceDE/>
        <w:autoSpaceDN/>
        <w:bidi w:val="0"/>
        <w:adjustRightInd/>
        <w:snapToGrid/>
        <w:spacing w:line="360" w:lineRule="auto"/>
        <w:ind w:firstLine="562"/>
        <w:textAlignment w:val="auto"/>
        <w:outlineLvl w:val="2"/>
        <w:rPr>
          <w:rFonts w:hint="eastAsia" w:ascii="仿宋" w:hAnsi="仿宋" w:eastAsia="仿宋" w:cs="仿宋"/>
          <w:b/>
          <w:bCs/>
          <w:sz w:val="28"/>
          <w:szCs w:val="28"/>
          <w:highlight w:val="none"/>
        </w:rPr>
      </w:pPr>
      <w:bookmarkStart w:id="13" w:name="_Toc25804"/>
      <w:r>
        <w:rPr>
          <w:rFonts w:hint="eastAsia" w:ascii="仿宋" w:hAnsi="仿宋" w:eastAsia="仿宋" w:cs="仿宋"/>
          <w:b/>
          <w:bCs/>
          <w:sz w:val="28"/>
          <w:szCs w:val="28"/>
          <w:highlight w:val="none"/>
        </w:rPr>
        <w:t>2、过程管控</w:t>
      </w:r>
      <w:bookmarkEnd w:id="13"/>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rPr>
      </w:pPr>
      <w:r>
        <w:rPr>
          <w:rFonts w:hint="eastAsia" w:cs="仿宋"/>
          <w:sz w:val="28"/>
          <w:szCs w:val="28"/>
          <w:highlight w:val="none"/>
        </w:rPr>
        <w:t>1）项目部对目标责任成本进行细化时，首先应了解前期投标时的策略，对项目能够创造利润或容易造成亏损的所在，做到心中有数。然后结合项目实际情况，对施工技术措施、施工组织程序、施工材料的选用、机械设备的配置、人力资源调配等进行认真分析研究，编制本项目详细目标成本。并将目标成本分解到各部门、</w:t>
      </w:r>
      <w:r>
        <w:rPr>
          <w:rFonts w:hint="eastAsia" w:cs="仿宋"/>
          <w:sz w:val="28"/>
          <w:szCs w:val="28"/>
          <w:highlight w:val="none"/>
          <w:lang w:val="en-US" w:eastAsia="zh-CN"/>
        </w:rPr>
        <w:t>工区</w:t>
      </w:r>
      <w:r>
        <w:rPr>
          <w:rFonts w:hint="eastAsia" w:cs="仿宋"/>
          <w:sz w:val="28"/>
          <w:szCs w:val="28"/>
          <w:highlight w:val="none"/>
        </w:rPr>
        <w:t>和班组,落实成本管理责任这也是对各部门各责任人进行考核、奖惩的依据。</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rPr>
      </w:pPr>
      <w:r>
        <w:rPr>
          <w:rFonts w:hint="eastAsia" w:cs="仿宋"/>
          <w:sz w:val="28"/>
          <w:szCs w:val="28"/>
          <w:highlight w:val="none"/>
        </w:rPr>
        <w:t>2）坚持计划指导生产，强化定额控制。按照科学合理的施工方案和计划，组织施工和合理安排，根据具体施工安排和定额含量，编制出劳力、材料、设备、机具等使用计划和资金使用计划，使人、财、物的投入在定额范围内按计划满足施工需要，以防工程成本出现人为失控。减少因组织不合理造成的停工、窝工、返工等损失，避免工期滞后造成的管理经费增加或赶工费用，定期对项目工期履约预警并采取措施纠偏。</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rPr>
      </w:pPr>
      <w:r>
        <w:rPr>
          <w:rFonts w:hint="eastAsia" w:cs="仿宋"/>
          <w:sz w:val="28"/>
          <w:szCs w:val="28"/>
          <w:highlight w:val="none"/>
        </w:rPr>
        <w:t>3）把好项目劳务队伍“准入”关，从源头避免过程“扯皮”现象，规避风险，有效降低工费支出。过去的经验教训告诉我们，项目劳务队伍的好坏在很大程度上决定项目的成败。目前，部分劳务队伍实力、诚信、管理及技术水平尚可，但也有些劳务队伍缺乏实力、队伍松散、管理及技术水平低下，还有些劳务队伍老板玩“空手道”，纯粹一个“提蓝子”角色,对于这些形形色色、参差不一的劳务队伍。在项目策划时，必须对已列入合格劳务分包商的劳务队伍进行考察，从实力、资信、工程实例、管理及技术水平等方面综合评估，从优选用;如果目前的劳务队伍都不是最佳选择，队伍的选择还可采用发散性思维方式，从局、公司甚至其他同行业施工企业中表现良好的队伍选择。只有操作层配备了择优筛选过的技术素质高且工作稳定并作风顽强敢打硬仗的成建制的劳务队伍和人员,确定适当的劳务价格，实行动态管理,合理安排好作业面,做好工种之间、工序之间的衔接,鼓励工人用足工时，多完成作业任务，提高定额水平和全员劳动生产力，严格按定额任务单考核计量和结算，实行多劳多得的激励措施，才能对人工成本进行有效控制。</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rPr>
      </w:pPr>
      <w:r>
        <w:rPr>
          <w:rFonts w:hint="eastAsia" w:cs="仿宋"/>
          <w:sz w:val="28"/>
          <w:szCs w:val="28"/>
          <w:highlight w:val="none"/>
        </w:rPr>
        <w:t>4）加强材料费管理，做好材料成本的有效控制。材料费在工程成本中占很大的比重，材料管理的好坏直接影响到项目的经济效益，因此,应将材料费控制作为工程成本控制的重点。严格把好原材料计划关、质量关、定价关、选购关、验收入库关、出库使用关、限额领料关、余料回收关、材料消耗关、盘点核算关，实行材料耗用承包和节超奖罚制。周材费用按合理测分比例承包，实行租赁制，严格周材管理和奖赔。</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rPr>
      </w:pPr>
      <w:r>
        <w:rPr>
          <w:rFonts w:hint="eastAsia" w:cs="仿宋"/>
          <w:sz w:val="28"/>
          <w:szCs w:val="28"/>
          <w:highlight w:val="none"/>
        </w:rPr>
        <w:t>5）加强机械费管理，做好各项费用成本的有效控制机械的使用应根据施工工序要求，合理调配施工设备，并切实加强设备的维护与保养，提高设备的利用率和完好率。对于按完成工作量结算的外租设备，要做好原始记录工作，结算准确。</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rPr>
      </w:pPr>
      <w:r>
        <w:rPr>
          <w:rFonts w:hint="eastAsia" w:cs="仿宋"/>
          <w:sz w:val="28"/>
          <w:szCs w:val="28"/>
          <w:highlight w:val="none"/>
          <w:lang w:val="en-US" w:eastAsia="zh-CN"/>
        </w:rPr>
        <w:t>6）加强管理费管理，</w:t>
      </w:r>
      <w:r>
        <w:rPr>
          <w:rFonts w:hint="eastAsia" w:cs="仿宋"/>
          <w:sz w:val="28"/>
          <w:szCs w:val="28"/>
          <w:highlight w:val="none"/>
        </w:rPr>
        <w:t>合理配置项目管理机构，通过核定工资总额，实行定岗定编定员，一人多岗和一专多能，力求精干高效，减少管理费用支出。从严控制非生产性开支,杜绝浪费。按用款计划精打细算后用，控制范围，严格审批。</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 w:cs="仿宋"/>
          <w:sz w:val="28"/>
          <w:szCs w:val="28"/>
          <w:highlight w:val="none"/>
          <w:lang w:val="en-US" w:eastAsia="zh-CN"/>
        </w:rPr>
      </w:pPr>
      <w:r>
        <w:rPr>
          <w:rFonts w:hint="eastAsia" w:cs="仿宋"/>
          <w:sz w:val="28"/>
          <w:szCs w:val="28"/>
          <w:highlight w:val="none"/>
          <w:lang w:val="en-US" w:eastAsia="zh-CN"/>
        </w:rPr>
        <w:t>7）临建费用：大、小临设施应优化实施方案，合理选择场址，实行限额设计，做好经济比选，尽可能因地制宜，长久使用，避免二次搬运或拆除，在满足施工生产和安全的前提下确保成本最低，实行总额控制。包括百千万工程，也要按照临建管理要求进行先审批后施工。</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eastAsia="zh"/>
        </w:rPr>
      </w:pPr>
      <w:r>
        <w:rPr>
          <w:rFonts w:hint="eastAsia" w:cs="仿宋"/>
          <w:sz w:val="28"/>
          <w:szCs w:val="28"/>
          <w:highlight w:val="none"/>
          <w:lang w:val="en-US" w:eastAsia="zh-CN"/>
        </w:rPr>
        <w:t>8）</w:t>
      </w:r>
      <w:r>
        <w:rPr>
          <w:rFonts w:hint="eastAsia" w:cs="仿宋"/>
          <w:sz w:val="28"/>
          <w:szCs w:val="28"/>
          <w:highlight w:val="none"/>
          <w:lang w:eastAsia="zh"/>
        </w:rPr>
        <w:t>劳务分包</w:t>
      </w:r>
      <w:r>
        <w:rPr>
          <w:rFonts w:hint="eastAsia" w:cs="仿宋"/>
          <w:sz w:val="28"/>
          <w:szCs w:val="28"/>
          <w:highlight w:val="none"/>
          <w:lang w:eastAsia="zh-CN"/>
        </w:rPr>
        <w:t>。</w:t>
      </w:r>
      <w:r>
        <w:rPr>
          <w:rFonts w:hint="eastAsia" w:cs="仿宋"/>
          <w:sz w:val="28"/>
          <w:szCs w:val="28"/>
          <w:highlight w:val="none"/>
          <w:lang w:val="en-US" w:eastAsia="zh-CN"/>
        </w:rPr>
        <w:t>①</w:t>
      </w:r>
      <w:r>
        <w:rPr>
          <w:rFonts w:hint="eastAsia" w:cs="仿宋"/>
          <w:sz w:val="28"/>
          <w:szCs w:val="28"/>
          <w:highlight w:val="none"/>
          <w:lang w:eastAsia="zh"/>
        </w:rPr>
        <w:t>实行闭口合同</w:t>
      </w:r>
      <w:r>
        <w:rPr>
          <w:rFonts w:hint="eastAsia" w:cs="仿宋"/>
          <w:sz w:val="28"/>
          <w:szCs w:val="28"/>
          <w:highlight w:val="none"/>
          <w:lang w:eastAsia="zh-CN"/>
        </w:rPr>
        <w:t>；</w:t>
      </w:r>
      <w:r>
        <w:rPr>
          <w:rFonts w:hint="eastAsia" w:cs="仿宋"/>
          <w:sz w:val="28"/>
          <w:szCs w:val="28"/>
          <w:highlight w:val="none"/>
          <w:lang w:val="en-US" w:eastAsia="zh-CN"/>
        </w:rPr>
        <w:t>②</w:t>
      </w:r>
      <w:r>
        <w:rPr>
          <w:rFonts w:hint="eastAsia" w:cs="仿宋"/>
          <w:sz w:val="28"/>
          <w:szCs w:val="28"/>
          <w:highlight w:val="none"/>
          <w:lang w:eastAsia="zh"/>
        </w:rPr>
        <w:t>建立台账、规范分包结算，严控例外支出费用补偿</w:t>
      </w:r>
      <w:r>
        <w:rPr>
          <w:rFonts w:hint="eastAsia" w:cs="仿宋"/>
          <w:sz w:val="28"/>
          <w:szCs w:val="28"/>
          <w:highlight w:val="none"/>
          <w:lang w:eastAsia="zh-CN"/>
        </w:rPr>
        <w:t>；</w:t>
      </w:r>
      <w:r>
        <w:rPr>
          <w:rFonts w:hint="eastAsia" w:cs="仿宋"/>
          <w:sz w:val="28"/>
          <w:szCs w:val="28"/>
          <w:highlight w:val="none"/>
          <w:lang w:val="en-US" w:eastAsia="zh-CN"/>
        </w:rPr>
        <w:t>③</w:t>
      </w:r>
      <w:r>
        <w:rPr>
          <w:rFonts w:hint="eastAsia" w:cs="仿宋"/>
          <w:sz w:val="28"/>
          <w:szCs w:val="28"/>
          <w:highlight w:val="none"/>
          <w:lang w:eastAsia="zh"/>
        </w:rPr>
        <w:t>加强预算量、</w:t>
      </w:r>
      <w:r>
        <w:rPr>
          <w:rFonts w:hint="eastAsia" w:cs="仿宋"/>
          <w:sz w:val="28"/>
          <w:szCs w:val="28"/>
          <w:highlight w:val="none"/>
          <w:lang w:val="en-US" w:eastAsia="zh"/>
        </w:rPr>
        <w:t>施工图</w:t>
      </w:r>
      <w:r>
        <w:rPr>
          <w:rFonts w:hint="eastAsia" w:cs="仿宋"/>
          <w:sz w:val="28"/>
          <w:szCs w:val="28"/>
          <w:highlight w:val="none"/>
          <w:lang w:eastAsia="zh"/>
        </w:rPr>
        <w:t>量（责任成本量）、现场完成量、实际结算量“四量”对比，分析数量节超原因及对成本的影响。</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val="en-US" w:eastAsia="zh-CN"/>
        </w:rPr>
      </w:pPr>
      <w:r>
        <w:rPr>
          <w:rFonts w:hint="eastAsia" w:cs="仿宋"/>
          <w:sz w:val="28"/>
          <w:szCs w:val="28"/>
          <w:highlight w:val="none"/>
          <w:lang w:val="en-US" w:eastAsia="zh-CN"/>
        </w:rPr>
        <w:t>9）劳务工管理。①要求针对每个劳务工进退场必须有6个附件，即在场劳务人员花名册、合同、进场确认书、退场确认书、工资单、民工工资支付承诺书等，且需增加视频资料，确保相应资料签认的真实性。②项目每月一次对所有班组现场点名全覆盖，每月张贴农民工工资公示表，每月至少每个班组抽查10%以上工资发放情况。</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eastAsia="zh"/>
        </w:rPr>
      </w:pPr>
      <w:r>
        <w:rPr>
          <w:rFonts w:hint="eastAsia" w:cs="仿宋"/>
          <w:sz w:val="28"/>
          <w:szCs w:val="28"/>
          <w:highlight w:val="none"/>
          <w:lang w:val="en-US" w:eastAsia="zh-CN"/>
        </w:rPr>
        <w:t>10）</w:t>
      </w:r>
      <w:r>
        <w:rPr>
          <w:rFonts w:hint="eastAsia" w:cs="仿宋"/>
          <w:sz w:val="28"/>
          <w:szCs w:val="28"/>
          <w:highlight w:val="none"/>
          <w:lang w:eastAsia="zh"/>
        </w:rPr>
        <w:t>专项考核：项目开工前，项目部内部要明确先期开工点或关键节点的工期目标、主要材料消耗（钢材、混凝土等）、重点</w:t>
      </w:r>
      <w:r>
        <w:rPr>
          <w:rFonts w:hint="eastAsia" w:cs="仿宋"/>
          <w:color w:val="000000"/>
          <w:sz w:val="28"/>
          <w:szCs w:val="28"/>
          <w:highlight w:val="none"/>
          <w:lang w:eastAsia="zh"/>
        </w:rPr>
        <w:t>风险</w:t>
      </w:r>
      <w:r>
        <w:rPr>
          <w:rFonts w:hint="eastAsia" w:cs="仿宋"/>
          <w:sz w:val="28"/>
          <w:szCs w:val="28"/>
          <w:highlight w:val="none"/>
          <w:lang w:eastAsia="zh"/>
        </w:rPr>
        <w:t>事项、内部结算工程数量控制、关键工序循环（如</w:t>
      </w:r>
      <w:r>
        <w:rPr>
          <w:rFonts w:hint="eastAsia" w:cs="仿宋"/>
          <w:sz w:val="28"/>
          <w:szCs w:val="28"/>
          <w:highlight w:val="none"/>
          <w:lang w:val="en-US" w:eastAsia="zh-CN"/>
        </w:rPr>
        <w:t>现浇梁施工</w:t>
      </w:r>
      <w:r>
        <w:rPr>
          <w:rFonts w:hint="eastAsia" w:cs="仿宋"/>
          <w:sz w:val="28"/>
          <w:szCs w:val="28"/>
          <w:highlight w:val="none"/>
          <w:lang w:eastAsia="zh"/>
        </w:rPr>
        <w:t>等）、混凝土质量控制</w:t>
      </w:r>
      <w:r>
        <w:rPr>
          <w:rFonts w:hint="eastAsia" w:cs="仿宋"/>
          <w:sz w:val="28"/>
          <w:szCs w:val="28"/>
          <w:highlight w:val="none"/>
          <w:lang w:eastAsia="zh-CN"/>
        </w:rPr>
        <w:t>、</w:t>
      </w:r>
      <w:r>
        <w:rPr>
          <w:rFonts w:hint="eastAsia" w:cs="仿宋"/>
          <w:sz w:val="28"/>
          <w:szCs w:val="28"/>
          <w:highlight w:val="none"/>
          <w:lang w:val="en-US" w:eastAsia="zh-CN"/>
        </w:rPr>
        <w:t>二次经营</w:t>
      </w:r>
      <w:r>
        <w:rPr>
          <w:rFonts w:hint="eastAsia" w:cs="仿宋"/>
          <w:sz w:val="28"/>
          <w:szCs w:val="28"/>
          <w:highlight w:val="none"/>
          <w:lang w:eastAsia="zh"/>
        </w:rPr>
        <w:t>等专项考核，必要时专项考核要延伸至协作队伍，专项考核要确定具体目标、考核对象、奖罚规则。</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 w:cs="仿宋"/>
          <w:sz w:val="28"/>
          <w:szCs w:val="28"/>
          <w:highlight w:val="none"/>
          <w:lang w:val="en-US" w:eastAsia="zh-CN"/>
        </w:rPr>
      </w:pPr>
      <w:r>
        <w:rPr>
          <w:rFonts w:hint="eastAsia" w:cs="仿宋"/>
          <w:sz w:val="28"/>
          <w:szCs w:val="28"/>
          <w:highlight w:val="none"/>
          <w:lang w:val="en-US" w:eastAsia="zh-CN"/>
        </w:rPr>
        <w:t>11）安全措施费计取，费率取费项过程中资料收集，后期防止审减。</w:t>
      </w:r>
    </w:p>
    <w:p>
      <w:pPr>
        <w:pStyle w:val="109"/>
        <w:pageBreakBefore w:val="0"/>
        <w:kinsoku/>
        <w:wordWrap/>
        <w:overflowPunct/>
        <w:topLinePunct w:val="0"/>
        <w:autoSpaceDE/>
        <w:autoSpaceDN/>
        <w:bidi w:val="0"/>
        <w:adjustRightInd/>
        <w:snapToGrid/>
        <w:spacing w:line="360" w:lineRule="auto"/>
        <w:ind w:firstLine="562"/>
        <w:textAlignment w:val="auto"/>
        <w:outlineLvl w:val="2"/>
        <w:rPr>
          <w:rFonts w:hint="eastAsia" w:cs="仿宋"/>
          <w:color w:val="auto"/>
          <w:sz w:val="28"/>
          <w:szCs w:val="28"/>
          <w:highlight w:val="none"/>
          <w:lang w:val="en-US" w:eastAsia="zh-CN"/>
        </w:rPr>
      </w:pPr>
      <w:r>
        <w:rPr>
          <w:rFonts w:hint="eastAsia" w:ascii="仿宋" w:hAnsi="仿宋" w:eastAsia="仿宋" w:cs="仿宋"/>
          <w:b/>
          <w:bCs/>
          <w:kern w:val="2"/>
          <w:sz w:val="28"/>
          <w:szCs w:val="28"/>
          <w:highlight w:val="none"/>
          <w:lang w:val="en-US" w:eastAsia="zh-CN" w:bidi="ar-SA"/>
        </w:rPr>
        <w:t>3、经济活动分析</w:t>
      </w:r>
    </w:p>
    <w:p>
      <w:pPr>
        <w:pStyle w:val="112"/>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eastAsia" w:cs="仿宋"/>
          <w:color w:val="auto"/>
          <w:sz w:val="28"/>
          <w:szCs w:val="28"/>
          <w:highlight w:val="none"/>
          <w:lang w:val="en-US" w:eastAsia="zh-CN"/>
        </w:rPr>
      </w:pPr>
      <w:r>
        <w:rPr>
          <w:rFonts w:hint="eastAsia" w:cs="仿宋"/>
          <w:color w:val="auto"/>
          <w:sz w:val="28"/>
          <w:szCs w:val="28"/>
          <w:highlight w:val="none"/>
          <w:lang w:val="en-US" w:eastAsia="zh-CN"/>
        </w:rPr>
        <w:t>项目必须建立“项目一张表”和经济档案，项目经济活动分析按“月重点、季全面”的原则开展，特别是做好项目“首次、未次”经济活动分析会准备资料；项目的“首次、未次”经济活动分析由公司组织召开，公司相关领导及部门负责人、项目经理及项目相关人员参加，采取“一对一”方式进行。</w:t>
      </w:r>
      <w:r>
        <w:rPr>
          <w:rFonts w:hint="eastAsia" w:cs="仿宋"/>
          <w:b/>
          <w:bCs/>
          <w:color w:val="auto"/>
          <w:sz w:val="28"/>
          <w:szCs w:val="28"/>
          <w:highlight w:val="none"/>
          <w:lang w:val="en-US" w:eastAsia="zh-CN"/>
        </w:rPr>
        <w:t>首次会：</w:t>
      </w:r>
      <w:r>
        <w:rPr>
          <w:rFonts w:hint="eastAsia" w:cs="仿宋"/>
          <w:color w:val="auto"/>
          <w:sz w:val="28"/>
          <w:szCs w:val="28"/>
          <w:highlight w:val="none"/>
          <w:lang w:val="en-US" w:eastAsia="zh-CN"/>
        </w:rPr>
        <w:t>在项目开工3个月内或签订责任书1个月内，由公司主要领导或分管领导组织，召开项目“首次经济活动分析会”；</w:t>
      </w:r>
      <w:r>
        <w:rPr>
          <w:rFonts w:hint="eastAsia" w:cs="仿宋"/>
          <w:b/>
          <w:bCs/>
          <w:color w:val="auto"/>
          <w:sz w:val="28"/>
          <w:szCs w:val="28"/>
          <w:highlight w:val="none"/>
          <w:lang w:val="en-US" w:eastAsia="zh-CN"/>
        </w:rPr>
        <w:t>过程会：</w:t>
      </w:r>
      <w:r>
        <w:rPr>
          <w:rFonts w:hint="eastAsia" w:cs="仿宋"/>
          <w:color w:val="auto"/>
          <w:sz w:val="28"/>
          <w:szCs w:val="28"/>
          <w:highlight w:val="none"/>
          <w:lang w:val="en-US" w:eastAsia="zh-CN"/>
        </w:rPr>
        <w:t>由公司主要领导或分管领导组织，每个项目每年至少召开一次“过程经济活动分析会”；</w:t>
      </w:r>
      <w:r>
        <w:rPr>
          <w:rFonts w:hint="eastAsia" w:cs="仿宋"/>
          <w:b/>
          <w:bCs/>
          <w:color w:val="auto"/>
          <w:sz w:val="28"/>
          <w:szCs w:val="28"/>
          <w:highlight w:val="none"/>
          <w:lang w:val="en-US" w:eastAsia="zh-CN"/>
        </w:rPr>
        <w:t>末次会:</w:t>
      </w:r>
      <w:r>
        <w:rPr>
          <w:rFonts w:hint="eastAsia" w:cs="仿宋"/>
          <w:color w:val="auto"/>
          <w:sz w:val="28"/>
          <w:szCs w:val="28"/>
          <w:highlight w:val="none"/>
          <w:lang w:val="en-US" w:eastAsia="zh-CN"/>
        </w:rPr>
        <w:t>当工程全面完成，成本基本锁定后，由公司主要领导或分管领导组织召开项目的“未次经济活动分析会”对公司下达的各项指标完成情况进行全面总结分析，总结好的经验做法，吸取不足和教训，客观评价项目总体管理情况，达到以会代训、不断提升人员素质和管理水平、为公司其他项目提供借鉴的目的。</w:t>
      </w:r>
    </w:p>
    <w:p>
      <w:pPr>
        <w:pStyle w:val="112"/>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eastAsia" w:cs="仿宋"/>
          <w:color w:val="auto"/>
          <w:sz w:val="28"/>
          <w:szCs w:val="28"/>
          <w:highlight w:val="none"/>
          <w:lang w:val="en-US" w:eastAsia="zh-CN"/>
        </w:rPr>
      </w:pPr>
      <w:r>
        <w:rPr>
          <w:rFonts w:hint="eastAsia" w:cs="仿宋"/>
          <w:color w:val="auto"/>
          <w:sz w:val="28"/>
          <w:szCs w:val="28"/>
          <w:highlight w:val="none"/>
          <w:lang w:val="en-US" w:eastAsia="zh-CN"/>
        </w:rPr>
        <w:t>（1）经济活动分析应以责任成本分析为基础，分析查找问题存在的环节、工点、责任部门和责任单位，以便问题查找准确，措施切入“病灶”，纠偏迅速取得实效。</w:t>
      </w:r>
    </w:p>
    <w:p>
      <w:pPr>
        <w:pStyle w:val="112"/>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eastAsia" w:cs="仿宋"/>
          <w:color w:val="auto"/>
          <w:sz w:val="28"/>
          <w:szCs w:val="28"/>
          <w:highlight w:val="none"/>
          <w:lang w:val="en-US" w:eastAsia="zh-CN"/>
        </w:rPr>
      </w:pPr>
      <w:r>
        <w:rPr>
          <w:rFonts w:hint="eastAsia" w:cs="仿宋"/>
          <w:color w:val="auto"/>
          <w:sz w:val="28"/>
          <w:szCs w:val="28"/>
          <w:highlight w:val="none"/>
          <w:lang w:val="en-US" w:eastAsia="zh-CN"/>
        </w:rPr>
        <w:t>（2）经济活动分析时，收入成本与施工实际进度同步，资产、债权和债务与实际施工进度，与项目收入配比，确保经济分析数据的真实准确性。</w:t>
      </w:r>
    </w:p>
    <w:p>
      <w:pPr>
        <w:pStyle w:val="112"/>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eastAsia" w:cs="仿宋"/>
          <w:color w:val="auto"/>
          <w:sz w:val="28"/>
          <w:szCs w:val="28"/>
          <w:highlight w:val="none"/>
          <w:lang w:val="en-US" w:eastAsia="zh-CN"/>
        </w:rPr>
      </w:pPr>
      <w:r>
        <w:rPr>
          <w:rFonts w:hint="eastAsia" w:cs="仿宋"/>
          <w:color w:val="auto"/>
          <w:sz w:val="28"/>
          <w:szCs w:val="28"/>
          <w:highlight w:val="none"/>
          <w:lang w:val="en-US" w:eastAsia="zh-CN"/>
        </w:rPr>
        <w:t>（3）经济活动分析应系统全面，真实反映项目经济运行的整体状况，但在项目实施的不同阶段，应针对影响项目成本效益的关键要素和环节，抓住重点，突出针对性，展开分析和纠偏，如：前期分析临建、支护方案的经济性，施工中期分析工效、材料损耗率、设备闲置率、进度偏差等，收尾分析成本锁定率、结算存在问题、资金清理等。</w:t>
      </w:r>
    </w:p>
    <w:p>
      <w:pPr>
        <w:pStyle w:val="112"/>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eastAsia" w:cs="仿宋"/>
          <w:color w:val="auto"/>
          <w:sz w:val="28"/>
          <w:szCs w:val="28"/>
          <w:highlight w:val="none"/>
          <w:lang w:val="en-US" w:eastAsia="zh-CN"/>
        </w:rPr>
      </w:pPr>
      <w:r>
        <w:rPr>
          <w:rFonts w:hint="eastAsia" w:cs="仿宋"/>
          <w:color w:val="auto"/>
          <w:sz w:val="28"/>
          <w:szCs w:val="28"/>
          <w:highlight w:val="none"/>
          <w:lang w:val="en-US" w:eastAsia="zh-CN"/>
        </w:rPr>
        <w:t>（4）在分析项目盈亏时，对预估收入或债权预计时要持谨慎态度，对未及时结算的劳务、材料和设备等其他成本费用分析时要考虑全面，防止数据失真，进而盲目乐观。</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eastAsia="zh"/>
        </w:rPr>
      </w:pPr>
      <w:r>
        <w:rPr>
          <w:rFonts w:hint="eastAsia" w:cs="仿宋"/>
          <w:color w:val="auto"/>
          <w:sz w:val="28"/>
          <w:szCs w:val="28"/>
          <w:highlight w:val="none"/>
          <w:lang w:val="en-US" w:eastAsia="zh-CN"/>
        </w:rPr>
        <w:t>（5）分析的目的是揭示问题，进行纠偏。纠偏和取得效果是经济活动分析管理的核心。</w:t>
      </w:r>
    </w:p>
    <w:p>
      <w:pPr>
        <w:pStyle w:val="2"/>
        <w:pageBreakBefore w:val="0"/>
        <w:kinsoku/>
        <w:wordWrap/>
        <w:overflowPunct/>
        <w:topLinePunct w:val="0"/>
        <w:autoSpaceDE/>
        <w:autoSpaceDN/>
        <w:bidi w:val="0"/>
        <w:adjustRightInd/>
        <w:snapToGrid/>
        <w:spacing w:before="156" w:beforeLines="50" w:after="156" w:afterLines="50" w:line="360" w:lineRule="auto"/>
        <w:ind w:firstLine="562" w:firstLineChars="200"/>
        <w:textAlignment w:val="auto"/>
        <w:rPr>
          <w:rStyle w:val="85"/>
          <w:rFonts w:hint="default" w:ascii="仿宋" w:hAnsi="仿宋" w:eastAsia="仿宋" w:cs="仿宋"/>
          <w:color w:val="auto"/>
          <w:sz w:val="28"/>
          <w:szCs w:val="28"/>
          <w:highlight w:val="none"/>
        </w:rPr>
      </w:pPr>
      <w:bookmarkStart w:id="14" w:name="_Toc5697"/>
      <w:r>
        <w:rPr>
          <w:rStyle w:val="85"/>
          <w:rFonts w:hint="eastAsia" w:ascii="仿宋" w:hAnsi="仿宋" w:eastAsia="仿宋" w:cs="仿宋"/>
          <w:color w:val="auto"/>
          <w:sz w:val="28"/>
          <w:szCs w:val="28"/>
          <w:highlight w:val="none"/>
          <w:lang w:eastAsia="zh"/>
        </w:rPr>
        <w:t>五、</w:t>
      </w:r>
      <w:r>
        <w:rPr>
          <w:rStyle w:val="85"/>
          <w:rFonts w:hint="default" w:ascii="仿宋" w:hAnsi="仿宋" w:eastAsia="仿宋" w:cs="仿宋"/>
          <w:color w:val="auto"/>
          <w:sz w:val="28"/>
          <w:szCs w:val="28"/>
          <w:highlight w:val="none"/>
        </w:rPr>
        <w:t>二次</w:t>
      </w:r>
      <w:r>
        <w:rPr>
          <w:rStyle w:val="85"/>
          <w:rFonts w:hint="default" w:ascii="宋体" w:hAnsi="宋体" w:eastAsia="宋体" w:cs="宋体"/>
          <w:color w:val="auto"/>
          <w:sz w:val="28"/>
          <w:szCs w:val="28"/>
          <w:highlight w:val="none"/>
        </w:rPr>
        <w:t>经营</w:t>
      </w:r>
      <w:r>
        <w:rPr>
          <w:rStyle w:val="85"/>
          <w:rFonts w:hint="default" w:ascii="仿宋" w:hAnsi="仿宋" w:eastAsia="仿宋" w:cs="仿宋"/>
          <w:color w:val="auto"/>
          <w:sz w:val="28"/>
          <w:szCs w:val="28"/>
          <w:highlight w:val="none"/>
        </w:rPr>
        <w:t>策划</w:t>
      </w:r>
      <w:bookmarkEnd w:id="14"/>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color w:val="000000"/>
          <w:sz w:val="28"/>
          <w:szCs w:val="28"/>
          <w:highlight w:val="none"/>
        </w:rPr>
      </w:pPr>
      <w:bookmarkStart w:id="15" w:name="_Toc22431"/>
      <w:r>
        <w:rPr>
          <w:rFonts w:hint="eastAsia" w:cs="仿宋"/>
          <w:color w:val="000000"/>
          <w:sz w:val="28"/>
          <w:szCs w:val="28"/>
          <w:highlight w:val="none"/>
        </w:rPr>
        <w:t>在项目风险分析基础上，结合项目实际情况，通过施工过程中</w:t>
      </w:r>
      <w:r>
        <w:rPr>
          <w:rFonts w:hint="eastAsia" w:cs="仿宋"/>
          <w:color w:val="000000"/>
          <w:sz w:val="28"/>
          <w:szCs w:val="28"/>
          <w:highlight w:val="none"/>
          <w:lang w:eastAsia="zh"/>
        </w:rPr>
        <w:t>工程数量差、</w:t>
      </w:r>
      <w:r>
        <w:rPr>
          <w:rFonts w:hint="eastAsia" w:cs="仿宋"/>
          <w:color w:val="000000"/>
          <w:sz w:val="28"/>
          <w:szCs w:val="28"/>
          <w:highlight w:val="none"/>
        </w:rPr>
        <w:t>设计变更、新增工程、现场签证、方案优化、</w:t>
      </w:r>
      <w:r>
        <w:rPr>
          <w:rFonts w:hint="eastAsia" w:cs="仿宋"/>
          <w:color w:val="000000"/>
          <w:sz w:val="28"/>
          <w:szCs w:val="28"/>
          <w:highlight w:val="none"/>
          <w:lang w:eastAsia="zh"/>
        </w:rPr>
        <w:t>征地拆迁、</w:t>
      </w:r>
      <w:r>
        <w:rPr>
          <w:rFonts w:hint="eastAsia" w:cs="仿宋"/>
          <w:color w:val="000000"/>
          <w:sz w:val="28"/>
          <w:szCs w:val="28"/>
          <w:highlight w:val="none"/>
        </w:rPr>
        <w:t>索赔等二次经营手段，实现增加项目效益或减少项目亏损。</w:t>
      </w:r>
    </w:p>
    <w:p>
      <w:pPr>
        <w:pStyle w:val="98"/>
        <w:keepNext w:val="0"/>
        <w:keepLines w:val="0"/>
        <w:pageBreakBefore w:val="0"/>
        <w:widowControl/>
        <w:kinsoku/>
        <w:wordWrap/>
        <w:overflowPunct/>
        <w:topLinePunct w:val="0"/>
        <w:autoSpaceDE/>
        <w:autoSpaceDN/>
        <w:bidi w:val="0"/>
        <w:adjustRightInd/>
        <w:snapToGrid/>
        <w:spacing w:line="360" w:lineRule="auto"/>
        <w:ind w:left="0"/>
        <w:contextualSpacing/>
        <w:textAlignment w:val="auto"/>
        <w:outlineLvl w:val="1"/>
        <w:rPr>
          <w:rFonts w:ascii="仿宋" w:hAnsi="仿宋" w:eastAsia="仿宋" w:cs="仿宋"/>
          <w:b/>
          <w:bCs/>
          <w:sz w:val="28"/>
          <w:szCs w:val="28"/>
        </w:rPr>
      </w:pPr>
      <w:bookmarkStart w:id="16" w:name="_Toc124515004"/>
      <w:bookmarkStart w:id="17" w:name="_Toc124506391"/>
      <w:bookmarkStart w:id="18" w:name="_Toc30389"/>
      <w:bookmarkStart w:id="19" w:name="_Toc3061"/>
      <w:bookmarkStart w:id="20" w:name="_Toc124506677"/>
      <w:r>
        <w:rPr>
          <w:rFonts w:hint="eastAsia" w:ascii="仿宋" w:hAnsi="仿宋" w:eastAsia="仿宋" w:cs="仿宋"/>
          <w:b/>
          <w:bCs/>
          <w:sz w:val="28"/>
          <w:szCs w:val="28"/>
          <w:lang w:val="en-US" w:eastAsia="zh-CN"/>
        </w:rPr>
        <w:t>1、</w:t>
      </w:r>
      <w:r>
        <w:rPr>
          <w:rFonts w:hint="eastAsia" w:ascii="仿宋" w:hAnsi="仿宋" w:eastAsia="仿宋" w:cs="仿宋"/>
          <w:b/>
          <w:bCs/>
          <w:sz w:val="28"/>
          <w:szCs w:val="28"/>
        </w:rPr>
        <w:t>二次经营目标</w:t>
      </w:r>
      <w:bookmarkEnd w:id="16"/>
      <w:bookmarkEnd w:id="17"/>
      <w:bookmarkEnd w:id="18"/>
      <w:bookmarkEnd w:id="19"/>
      <w:bookmarkEnd w:id="20"/>
    </w:p>
    <w:p>
      <w:pPr>
        <w:pStyle w:val="98"/>
        <w:pageBreakBefore w:val="0"/>
        <w:tabs>
          <w:tab w:val="left" w:pos="315"/>
        </w:tabs>
        <w:kinsoku/>
        <w:wordWrap/>
        <w:overflowPunct/>
        <w:topLinePunct w:val="0"/>
        <w:autoSpaceDE/>
        <w:autoSpaceDN/>
        <w:bidi w:val="0"/>
        <w:adjustRightInd/>
        <w:snapToGrid/>
        <w:spacing w:line="360" w:lineRule="auto"/>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不低于</w:t>
      </w:r>
      <w:r>
        <w:rPr>
          <w:rFonts w:hint="eastAsia" w:ascii="仿宋" w:hAnsi="仿宋" w:eastAsia="仿宋" w:cs="仿宋"/>
          <w:sz w:val="28"/>
          <w:szCs w:val="28"/>
          <w:highlight w:val="none"/>
          <w:lang w:val="en-US" w:eastAsia="zh-CN"/>
        </w:rPr>
        <w:t>合同额</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670</w:t>
      </w:r>
      <w:r>
        <w:rPr>
          <w:rFonts w:hint="eastAsia" w:ascii="仿宋" w:hAnsi="仿宋" w:eastAsia="仿宋" w:cs="仿宋"/>
          <w:sz w:val="28"/>
          <w:szCs w:val="28"/>
          <w:highlight w:val="none"/>
        </w:rPr>
        <w:t>万）</w:t>
      </w:r>
    </w:p>
    <w:p>
      <w:pPr>
        <w:pStyle w:val="98"/>
        <w:keepNext w:val="0"/>
        <w:keepLines w:val="0"/>
        <w:pageBreakBefore w:val="0"/>
        <w:widowControl/>
        <w:kinsoku/>
        <w:wordWrap/>
        <w:overflowPunct/>
        <w:topLinePunct w:val="0"/>
        <w:autoSpaceDE/>
        <w:autoSpaceDN/>
        <w:bidi w:val="0"/>
        <w:adjustRightInd/>
        <w:snapToGrid/>
        <w:spacing w:line="360" w:lineRule="auto"/>
        <w:ind w:left="0"/>
        <w:contextualSpacing/>
        <w:textAlignment w:val="auto"/>
        <w:outlineLvl w:val="1"/>
        <w:rPr>
          <w:rFonts w:hint="eastAsia" w:ascii="仿宋" w:hAnsi="仿宋" w:eastAsia="仿宋" w:cs="仿宋"/>
          <w:b/>
          <w:bCs/>
          <w:sz w:val="28"/>
          <w:szCs w:val="28"/>
          <w:highlight w:val="none"/>
          <w:lang w:val="en-US" w:eastAsia="zh-CN"/>
        </w:rPr>
      </w:pPr>
      <w:r>
        <w:rPr>
          <w:rFonts w:hint="eastAsia" w:ascii="仿宋" w:hAnsi="仿宋" w:eastAsia="仿宋" w:cs="仿宋"/>
          <w:b/>
          <w:bCs/>
          <w:kern w:val="2"/>
          <w:sz w:val="28"/>
          <w:szCs w:val="28"/>
          <w:lang w:val="en-US" w:eastAsia="zh-CN" w:bidi="ar-SA"/>
        </w:rPr>
        <w:t>2、</w:t>
      </w:r>
      <w:r>
        <w:rPr>
          <w:rFonts w:hint="eastAsia" w:ascii="仿宋" w:hAnsi="仿宋" w:eastAsia="仿宋" w:cs="仿宋"/>
          <w:b/>
          <w:bCs/>
          <w:sz w:val="28"/>
          <w:szCs w:val="28"/>
          <w:highlight w:val="none"/>
        </w:rPr>
        <w:t>二次经营题材</w:t>
      </w:r>
      <w:r>
        <w:rPr>
          <w:rFonts w:hint="eastAsia" w:cs="仿宋"/>
          <w:b/>
          <w:bCs/>
          <w:sz w:val="28"/>
          <w:szCs w:val="28"/>
          <w:highlight w:val="none"/>
          <w:lang w:val="en-US" w:eastAsia="zh-CN"/>
        </w:rPr>
        <w:t>思路</w:t>
      </w:r>
    </w:p>
    <w:p>
      <w:pPr>
        <w:numPr>
          <w:ilvl w:val="0"/>
          <w:numId w:val="0"/>
        </w:numPr>
        <w:spacing w:before="2" w:line="360" w:lineRule="auto"/>
        <w:ind w:left="497" w:leftChars="0" w:right="85" w:rightChars="0"/>
        <w:outlineLvl w:val="1"/>
        <w:rPr>
          <w:rFonts w:hint="eastAsia" w:ascii="仿宋" w:hAnsi="仿宋" w:eastAsia="仿宋" w:cs="仿宋"/>
          <w:kern w:val="2"/>
          <w:sz w:val="28"/>
          <w:szCs w:val="28"/>
          <w:highlight w:val="none"/>
          <w:lang w:val="en-US" w:eastAsia="zh" w:bidi="ar-SA"/>
        </w:rPr>
      </w:pPr>
      <w:r>
        <w:rPr>
          <w:rFonts w:hint="eastAsia" w:ascii="仿宋" w:hAnsi="仿宋" w:eastAsia="仿宋" w:cs="仿宋"/>
          <w:kern w:val="2"/>
          <w:sz w:val="28"/>
          <w:szCs w:val="28"/>
          <w:highlight w:val="none"/>
          <w:lang w:val="en-US" w:eastAsia="zh-CN" w:bidi="ar-SA"/>
        </w:rPr>
        <w:t>（1）</w:t>
      </w:r>
      <w:r>
        <w:rPr>
          <w:rFonts w:hint="eastAsia" w:ascii="仿宋" w:hAnsi="仿宋" w:eastAsia="仿宋" w:cs="仿宋"/>
          <w:kern w:val="2"/>
          <w:sz w:val="28"/>
          <w:szCs w:val="28"/>
          <w:highlight w:val="none"/>
          <w:lang w:val="en-US" w:eastAsia="zh" w:bidi="ar-SA"/>
        </w:rPr>
        <w:t>栈桥及桩基施工平台施工方案优化</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val="en-US" w:eastAsia="zh-CN"/>
        </w:rPr>
      </w:pPr>
      <w:r>
        <w:rPr>
          <w:rFonts w:hint="eastAsia" w:ascii="仿宋" w:hAnsi="仿宋" w:eastAsia="仿宋" w:cs="仿宋"/>
          <w:kern w:val="2"/>
          <w:sz w:val="28"/>
          <w:szCs w:val="28"/>
          <w:highlight w:val="none"/>
          <w:lang w:val="en-US" w:eastAsia="zh" w:bidi="ar-SA"/>
        </w:rPr>
        <w:t>根据施工组织安排，在满足需求使用的前期下，对栈桥合理进行优化布置，减少栈桥搭设工程量</w:t>
      </w:r>
      <w:r>
        <w:rPr>
          <w:rFonts w:hint="eastAsia" w:cs="仿宋"/>
          <w:sz w:val="28"/>
          <w:szCs w:val="28"/>
          <w:highlight w:val="none"/>
          <w:lang w:val="en-US" w:eastAsia="zh-CN"/>
        </w:rPr>
        <w:t>。</w:t>
      </w:r>
    </w:p>
    <w:p>
      <w:pPr>
        <w:spacing w:before="2" w:line="360" w:lineRule="auto"/>
        <w:ind w:left="23" w:right="85" w:firstLine="474"/>
        <w:outlineLvl w:val="1"/>
        <w:rPr>
          <w:rFonts w:hint="eastAsia" w:ascii="仿宋" w:hAnsi="仿宋" w:eastAsia="仿宋" w:cs="仿宋"/>
          <w:kern w:val="2"/>
          <w:sz w:val="28"/>
          <w:szCs w:val="28"/>
          <w:highlight w:val="none"/>
          <w:lang w:val="en-US" w:eastAsia="zh" w:bidi="ar-SA"/>
        </w:rPr>
      </w:pPr>
      <w:r>
        <w:rPr>
          <w:rFonts w:hint="eastAsia" w:ascii="仿宋" w:hAnsi="仿宋" w:eastAsia="仿宋" w:cs="仿宋"/>
          <w:kern w:val="2"/>
          <w:sz w:val="28"/>
          <w:szCs w:val="28"/>
          <w:highlight w:val="none"/>
          <w:lang w:val="en-US" w:eastAsia="zh-CN" w:bidi="ar-SA"/>
        </w:rPr>
        <w:t>（2）</w:t>
      </w:r>
      <w:r>
        <w:rPr>
          <w:rFonts w:hint="eastAsia" w:ascii="仿宋" w:hAnsi="仿宋" w:eastAsia="仿宋" w:cs="仿宋"/>
          <w:kern w:val="2"/>
          <w:sz w:val="28"/>
          <w:szCs w:val="28"/>
          <w:highlight w:val="none"/>
          <w:lang w:val="en-US" w:eastAsia="zh" w:bidi="ar-SA"/>
        </w:rPr>
        <w:t>深水围堰专项施工方案优化</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val="en-US" w:eastAsia="zh"/>
        </w:rPr>
      </w:pPr>
      <w:r>
        <w:rPr>
          <w:rFonts w:hint="eastAsia" w:ascii="仿宋" w:hAnsi="仿宋" w:eastAsia="仿宋" w:cs="仿宋"/>
          <w:kern w:val="2"/>
          <w:sz w:val="28"/>
          <w:szCs w:val="28"/>
          <w:highlight w:val="none"/>
          <w:lang w:val="en-US" w:eastAsia="zh" w:bidi="ar-SA"/>
        </w:rPr>
        <w:t>优化围堰布设形式及施工工艺，使其满足安全要求，使用振动锤+冲击锤组合形式，减少引孔措施费用，采用二次水下封底措施</w:t>
      </w:r>
      <w:r>
        <w:rPr>
          <w:rFonts w:hint="eastAsia" w:cs="仿宋"/>
          <w:sz w:val="28"/>
          <w:szCs w:val="28"/>
          <w:highlight w:val="none"/>
          <w:lang w:val="en-US" w:eastAsia="zh"/>
        </w:rPr>
        <w:t>。</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val="en-US" w:eastAsia="zh-CN"/>
        </w:rPr>
      </w:pPr>
      <w:r>
        <w:rPr>
          <w:rFonts w:hint="eastAsia" w:cs="仿宋"/>
          <w:sz w:val="28"/>
          <w:szCs w:val="28"/>
          <w:highlight w:val="none"/>
          <w:lang w:val="en-US" w:eastAsia="zh-CN"/>
        </w:rPr>
        <w:t>（3）材料调差：及时掌握材料信息价，研究材料价格变化趋势，研判材料调差情况，应做到资料手续齐全，充分利用政策，调足正差，避免或减少负差，如预计信息价处于高位时可适当超计量，信息价处于低位时可适当少计量。</w:t>
      </w:r>
    </w:p>
    <w:p>
      <w:pPr>
        <w:pStyle w:val="98"/>
        <w:keepNext w:val="0"/>
        <w:keepLines w:val="0"/>
        <w:pageBreakBefore w:val="0"/>
        <w:widowControl/>
        <w:kinsoku/>
        <w:wordWrap/>
        <w:overflowPunct/>
        <w:topLinePunct w:val="0"/>
        <w:autoSpaceDE/>
        <w:autoSpaceDN/>
        <w:bidi w:val="0"/>
        <w:adjustRightInd/>
        <w:snapToGrid/>
        <w:spacing w:line="360" w:lineRule="auto"/>
        <w:ind w:left="0"/>
        <w:contextualSpacing/>
        <w:textAlignment w:val="auto"/>
        <w:outlineLvl w:val="1"/>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3、二次经营工作要求</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项目中标1个月内要形成二次经营规划初稿，项目中标3个月内，更新完善项目二次经营工作规划，形成二次经营台账，修定二次经营目标及总体思路。根据项目情况变化，随时动态调整二次经营思路及方案规划。</w:t>
      </w:r>
    </w:p>
    <w:p>
      <w:pPr>
        <w:pStyle w:val="2"/>
        <w:pageBreakBefore w:val="0"/>
        <w:kinsoku/>
        <w:wordWrap/>
        <w:overflowPunct/>
        <w:topLinePunct w:val="0"/>
        <w:autoSpaceDE/>
        <w:autoSpaceDN/>
        <w:bidi w:val="0"/>
        <w:adjustRightInd/>
        <w:snapToGrid/>
        <w:spacing w:before="156" w:beforeLines="50" w:after="156" w:afterLines="50" w:line="360" w:lineRule="auto"/>
        <w:ind w:firstLine="562" w:firstLineChars="200"/>
        <w:textAlignment w:val="auto"/>
        <w:rPr>
          <w:rStyle w:val="85"/>
          <w:rFonts w:hint="default" w:ascii="仿宋" w:hAnsi="仿宋" w:eastAsia="仿宋" w:cs="仿宋"/>
          <w:color w:val="auto"/>
          <w:sz w:val="28"/>
          <w:szCs w:val="28"/>
          <w:highlight w:val="none"/>
        </w:rPr>
      </w:pPr>
      <w:r>
        <w:rPr>
          <w:rStyle w:val="85"/>
          <w:rFonts w:hint="default" w:ascii="仿宋" w:hAnsi="仿宋" w:eastAsia="仿宋" w:cs="仿宋"/>
          <w:color w:val="auto"/>
          <w:sz w:val="28"/>
          <w:szCs w:val="28"/>
          <w:highlight w:val="none"/>
        </w:rPr>
        <w:t>六、分包分供策划</w:t>
      </w:r>
      <w:bookmarkEnd w:id="15"/>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val="en-US" w:eastAsia="zh"/>
        </w:rPr>
      </w:pPr>
      <w:r>
        <w:rPr>
          <w:rFonts w:hint="eastAsia" w:cs="仿宋"/>
          <w:sz w:val="28"/>
          <w:szCs w:val="28"/>
          <w:highlight w:val="none"/>
          <w:lang w:val="en-US" w:eastAsia="zh"/>
        </w:rPr>
        <w:t>根据项目管理策划工程进度计划、施组设计进行劳务、材料、机械设备等分包分供策划。</w:t>
      </w:r>
    </w:p>
    <w:p>
      <w:pPr>
        <w:pStyle w:val="3"/>
        <w:pageBreakBefore w:val="0"/>
        <w:kinsoku/>
        <w:wordWrap/>
        <w:overflowPunct/>
        <w:topLinePunct w:val="0"/>
        <w:autoSpaceDE/>
        <w:autoSpaceDN/>
        <w:bidi w:val="0"/>
        <w:adjustRightInd/>
        <w:snapToGrid/>
        <w:spacing w:before="156" w:beforeLines="50" w:after="156" w:afterLines="50" w:line="360" w:lineRule="auto"/>
        <w:ind w:firstLine="562" w:firstLineChars="200"/>
        <w:textAlignment w:val="auto"/>
        <w:outlineLvl w:val="1"/>
        <w:rPr>
          <w:rFonts w:hint="eastAsia" w:ascii="仿宋" w:hAnsi="仿宋" w:eastAsia="仿宋" w:cs="仿宋"/>
          <w:sz w:val="28"/>
          <w:szCs w:val="28"/>
          <w:highlight w:val="none"/>
        </w:rPr>
      </w:pPr>
      <w:bookmarkStart w:id="21" w:name="_Toc5952"/>
      <w:r>
        <w:rPr>
          <w:rFonts w:hint="eastAsia" w:ascii="仿宋" w:hAnsi="仿宋" w:eastAsia="仿宋" w:cs="仿宋"/>
          <w:sz w:val="28"/>
          <w:szCs w:val="28"/>
          <w:highlight w:val="none"/>
        </w:rPr>
        <w:t>（一）</w:t>
      </w:r>
      <w:r>
        <w:rPr>
          <w:rFonts w:hint="eastAsia" w:ascii="宋体" w:hAnsi="宋体" w:eastAsia="宋体" w:cs="宋体"/>
          <w:sz w:val="28"/>
          <w:szCs w:val="28"/>
          <w:highlight w:val="none"/>
        </w:rPr>
        <w:t>劳务</w:t>
      </w:r>
      <w:r>
        <w:rPr>
          <w:rFonts w:hint="eastAsia" w:ascii="仿宋" w:hAnsi="仿宋" w:eastAsia="仿宋" w:cs="仿宋"/>
          <w:sz w:val="28"/>
          <w:szCs w:val="28"/>
          <w:highlight w:val="none"/>
        </w:rPr>
        <w:t>分包策划</w:t>
      </w:r>
      <w:bookmarkEnd w:id="21"/>
    </w:p>
    <w:p>
      <w:pPr>
        <w:pStyle w:val="98"/>
        <w:keepNext w:val="0"/>
        <w:keepLines w:val="0"/>
        <w:pageBreakBefore w:val="0"/>
        <w:widowControl/>
        <w:kinsoku/>
        <w:wordWrap/>
        <w:overflowPunct/>
        <w:topLinePunct w:val="0"/>
        <w:autoSpaceDE/>
        <w:autoSpaceDN/>
        <w:bidi w:val="0"/>
        <w:adjustRightInd/>
        <w:snapToGrid/>
        <w:spacing w:line="360" w:lineRule="auto"/>
        <w:ind w:left="0"/>
        <w:contextualSpacing/>
        <w:textAlignment w:val="auto"/>
        <w:outlineLvl w:val="2"/>
        <w:rPr>
          <w:rFonts w:hint="eastAsia" w:ascii="仿宋" w:hAnsi="仿宋" w:eastAsia="仿宋" w:cs="仿宋"/>
          <w:b/>
          <w:bCs/>
          <w:sz w:val="28"/>
          <w:szCs w:val="28"/>
          <w:highlight w:val="none"/>
        </w:rPr>
      </w:pPr>
      <w:bookmarkStart w:id="22" w:name="_Toc32349"/>
      <w:r>
        <w:rPr>
          <w:rFonts w:hint="eastAsia" w:ascii="仿宋" w:hAnsi="仿宋" w:eastAsia="仿宋" w:cs="仿宋"/>
          <w:b/>
          <w:bCs/>
          <w:sz w:val="28"/>
          <w:szCs w:val="28"/>
          <w:highlight w:val="none"/>
        </w:rPr>
        <w:t>1.分包管理模式</w:t>
      </w:r>
      <w:bookmarkEnd w:id="22"/>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s="仿宋"/>
          <w:sz w:val="28"/>
          <w:szCs w:val="28"/>
          <w:highlight w:val="none"/>
          <w:lang w:val="en-US" w:eastAsia="zh-CN"/>
        </w:rPr>
      </w:pPr>
      <w:bookmarkStart w:id="23" w:name="_Toc887"/>
      <w:r>
        <w:rPr>
          <w:rFonts w:hint="eastAsia" w:cs="仿宋"/>
          <w:sz w:val="28"/>
          <w:szCs w:val="28"/>
          <w:highlight w:val="none"/>
          <w:lang w:val="en-US" w:eastAsia="zh-CN"/>
        </w:rPr>
        <w:t>项目分包结合隧道标，除桥梁施工外，其余工程与隧道标共同招标。</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val="en-US" w:eastAsia="zh"/>
        </w:rPr>
      </w:pPr>
      <w:r>
        <w:rPr>
          <w:rFonts w:hint="eastAsia" w:cs="仿宋"/>
          <w:sz w:val="28"/>
          <w:szCs w:val="28"/>
          <w:highlight w:val="none"/>
          <w:lang w:val="en-US" w:eastAsia="zh-CN"/>
        </w:rPr>
        <w:t>（1）栈桥、围堰</w:t>
      </w:r>
      <w:r>
        <w:rPr>
          <w:rFonts w:hint="eastAsia" w:cs="仿宋"/>
          <w:sz w:val="28"/>
          <w:szCs w:val="28"/>
          <w:highlight w:val="none"/>
          <w:lang w:val="en-US" w:eastAsia="zh"/>
        </w:rPr>
        <w:t>工程</w:t>
      </w:r>
      <w:r>
        <w:rPr>
          <w:rFonts w:hint="eastAsia" w:cs="仿宋"/>
          <w:sz w:val="28"/>
          <w:szCs w:val="28"/>
          <w:highlight w:val="none"/>
          <w:lang w:val="en-US" w:eastAsia="zh-CN"/>
        </w:rPr>
        <w:t>、主桥桩基工程</w:t>
      </w:r>
      <w:r>
        <w:rPr>
          <w:rFonts w:hint="eastAsia" w:cs="仿宋"/>
          <w:sz w:val="28"/>
          <w:szCs w:val="28"/>
          <w:highlight w:val="none"/>
          <w:lang w:val="en-US" w:eastAsia="zh"/>
        </w:rPr>
        <w:t>拟划分分包单元数量</w:t>
      </w:r>
      <w:r>
        <w:rPr>
          <w:rFonts w:hint="eastAsia" w:cs="仿宋"/>
          <w:sz w:val="28"/>
          <w:szCs w:val="28"/>
          <w:highlight w:val="none"/>
          <w:lang w:val="en-US" w:eastAsia="zh-CN"/>
        </w:rPr>
        <w:t>：2</w:t>
      </w:r>
      <w:r>
        <w:rPr>
          <w:rFonts w:hint="eastAsia" w:cs="仿宋"/>
          <w:sz w:val="28"/>
          <w:szCs w:val="28"/>
          <w:highlight w:val="none"/>
          <w:lang w:val="en-US" w:eastAsia="zh"/>
        </w:rPr>
        <w:t>个</w:t>
      </w:r>
      <w:r>
        <w:rPr>
          <w:rFonts w:hint="eastAsia" w:cs="仿宋"/>
          <w:sz w:val="28"/>
          <w:szCs w:val="28"/>
          <w:highlight w:val="none"/>
          <w:lang w:val="en-US" w:eastAsia="zh-CN"/>
        </w:rPr>
        <w:t>，</w:t>
      </w:r>
      <w:r>
        <w:rPr>
          <w:rFonts w:hint="eastAsia" w:cs="仿宋"/>
          <w:sz w:val="28"/>
          <w:szCs w:val="28"/>
          <w:highlight w:val="none"/>
          <w:lang w:val="en-US" w:eastAsia="zh"/>
        </w:rPr>
        <w:t>采用1支队伍来干，</w:t>
      </w:r>
      <w:r>
        <w:rPr>
          <w:rFonts w:hint="eastAsia" w:cs="仿宋"/>
          <w:sz w:val="28"/>
          <w:szCs w:val="28"/>
          <w:highlight w:val="none"/>
          <w:lang w:val="en-US" w:eastAsia="zh-CN"/>
        </w:rPr>
        <w:t>栈桥、围堰采用专业分包（包含全部费用，注意约定租赁时间上限，超过一定时间可转化为买断模式），桩基采用机械计件租赁</w:t>
      </w:r>
      <w:r>
        <w:rPr>
          <w:rFonts w:hint="eastAsia" w:cs="仿宋"/>
          <w:sz w:val="28"/>
          <w:szCs w:val="28"/>
          <w:highlight w:val="none"/>
          <w:lang w:val="en-US" w:eastAsia="zh"/>
        </w:rPr>
        <w:t>。</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仿宋"/>
          <w:sz w:val="28"/>
          <w:szCs w:val="28"/>
          <w:highlight w:val="none"/>
          <w:lang w:val="en-US" w:eastAsia="zh"/>
        </w:rPr>
      </w:pPr>
      <w:r>
        <w:rPr>
          <w:rFonts w:hint="eastAsia" w:cs="仿宋"/>
          <w:sz w:val="28"/>
          <w:szCs w:val="28"/>
          <w:highlight w:val="none"/>
          <w:lang w:val="en-US" w:eastAsia="zh-CN"/>
        </w:rPr>
        <w:t>（2）桥梁工程</w:t>
      </w:r>
      <w:r>
        <w:rPr>
          <w:rFonts w:hint="eastAsia" w:cs="仿宋"/>
          <w:sz w:val="28"/>
          <w:szCs w:val="28"/>
          <w:highlight w:val="none"/>
          <w:lang w:val="en-US" w:eastAsia="zh"/>
        </w:rPr>
        <w:t>拟划分分包单元数量</w:t>
      </w:r>
      <w:r>
        <w:rPr>
          <w:rFonts w:hint="eastAsia" w:cs="仿宋"/>
          <w:sz w:val="28"/>
          <w:szCs w:val="28"/>
          <w:highlight w:val="none"/>
          <w:lang w:val="en-US" w:eastAsia="zh-CN"/>
        </w:rPr>
        <w:t>：1</w:t>
      </w:r>
      <w:r>
        <w:rPr>
          <w:rFonts w:hint="eastAsia" w:cs="仿宋"/>
          <w:sz w:val="28"/>
          <w:szCs w:val="28"/>
          <w:highlight w:val="none"/>
          <w:lang w:val="en-US" w:eastAsia="zh"/>
        </w:rPr>
        <w:t>个</w:t>
      </w:r>
      <w:r>
        <w:rPr>
          <w:rFonts w:hint="eastAsia" w:cs="仿宋"/>
          <w:sz w:val="28"/>
          <w:szCs w:val="28"/>
          <w:highlight w:val="none"/>
          <w:lang w:val="en-US" w:eastAsia="zh-CN"/>
        </w:rPr>
        <w:t>，</w:t>
      </w:r>
      <w:r>
        <w:rPr>
          <w:rFonts w:hint="eastAsia" w:cs="仿宋"/>
          <w:sz w:val="28"/>
          <w:szCs w:val="28"/>
          <w:highlight w:val="none"/>
          <w:lang w:val="en-US" w:eastAsia="zh"/>
        </w:rPr>
        <w:t>采用1支队伍来干，其中</w:t>
      </w:r>
      <w:r>
        <w:rPr>
          <w:rFonts w:hint="eastAsia" w:cs="仿宋"/>
          <w:sz w:val="28"/>
          <w:szCs w:val="28"/>
          <w:highlight w:val="none"/>
          <w:lang w:val="en-US" w:eastAsia="zh-CN"/>
        </w:rPr>
        <w:t>桥梁上下部结构、桥面系</w:t>
      </w:r>
      <w:r>
        <w:rPr>
          <w:rFonts w:hint="eastAsia" w:cs="仿宋"/>
          <w:sz w:val="28"/>
          <w:szCs w:val="28"/>
          <w:highlight w:val="none"/>
          <w:lang w:val="en-US" w:eastAsia="zh"/>
        </w:rPr>
        <w:t>采用劳务分包。</w:t>
      </w:r>
      <w:bookmarkStart w:id="46" w:name="_GoBack"/>
      <w:bookmarkEnd w:id="46"/>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 w:cs="仿宋"/>
          <w:sz w:val="28"/>
          <w:szCs w:val="28"/>
          <w:highlight w:val="none"/>
          <w:lang w:val="en-US" w:eastAsia="zh-CN"/>
        </w:rPr>
      </w:pPr>
      <w:r>
        <w:rPr>
          <w:rFonts w:hint="eastAsia" w:cs="仿宋"/>
          <w:sz w:val="28"/>
          <w:szCs w:val="28"/>
          <w:highlight w:val="none"/>
          <w:lang w:val="en-US" w:eastAsia="zh-CN"/>
        </w:rPr>
        <w:t>（3）沥青路面</w:t>
      </w:r>
      <w:r>
        <w:rPr>
          <w:rFonts w:hint="eastAsia" w:cs="仿宋"/>
          <w:sz w:val="28"/>
          <w:szCs w:val="28"/>
          <w:highlight w:val="none"/>
          <w:lang w:val="en-US" w:eastAsia="zh"/>
        </w:rPr>
        <w:t>拟划分分包单元数量</w:t>
      </w:r>
      <w:r>
        <w:rPr>
          <w:rFonts w:hint="eastAsia" w:cs="仿宋"/>
          <w:sz w:val="28"/>
          <w:szCs w:val="28"/>
          <w:highlight w:val="none"/>
          <w:lang w:val="en-US" w:eastAsia="zh-CN"/>
        </w:rPr>
        <w:t>：1</w:t>
      </w:r>
      <w:r>
        <w:rPr>
          <w:rFonts w:hint="eastAsia" w:cs="仿宋"/>
          <w:sz w:val="28"/>
          <w:szCs w:val="28"/>
          <w:highlight w:val="none"/>
          <w:lang w:val="en-US" w:eastAsia="zh"/>
        </w:rPr>
        <w:t>个</w:t>
      </w:r>
      <w:r>
        <w:rPr>
          <w:rFonts w:hint="eastAsia" w:cs="仿宋"/>
          <w:sz w:val="28"/>
          <w:szCs w:val="28"/>
          <w:highlight w:val="none"/>
          <w:lang w:val="en-US" w:eastAsia="zh-CN"/>
        </w:rPr>
        <w:t>，</w:t>
      </w:r>
      <w:r>
        <w:rPr>
          <w:rFonts w:hint="eastAsia" w:cs="仿宋"/>
          <w:sz w:val="28"/>
          <w:szCs w:val="28"/>
          <w:highlight w:val="none"/>
          <w:lang w:val="en-US" w:eastAsia="zh"/>
        </w:rPr>
        <w:t>采用</w:t>
      </w:r>
      <w:r>
        <w:rPr>
          <w:rFonts w:hint="eastAsia" w:cs="仿宋"/>
          <w:sz w:val="28"/>
          <w:szCs w:val="28"/>
          <w:highlight w:val="none"/>
          <w:lang w:val="en-US" w:eastAsia="zh-CN"/>
        </w:rPr>
        <w:t>专业分包（包含全部费用）。</w:t>
      </w:r>
    </w:p>
    <w:p>
      <w:pPr>
        <w:pStyle w:val="98"/>
        <w:keepNext w:val="0"/>
        <w:keepLines w:val="0"/>
        <w:pageBreakBefore w:val="0"/>
        <w:widowControl/>
        <w:kinsoku/>
        <w:wordWrap/>
        <w:overflowPunct/>
        <w:topLinePunct w:val="0"/>
        <w:autoSpaceDE/>
        <w:autoSpaceDN/>
        <w:bidi w:val="0"/>
        <w:adjustRightInd/>
        <w:snapToGrid/>
        <w:spacing w:line="360" w:lineRule="auto"/>
        <w:ind w:left="0"/>
        <w:contextualSpacing/>
        <w:textAlignment w:val="auto"/>
        <w:outlineLvl w:val="2"/>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2.劳务队伍配置</w:t>
      </w:r>
      <w:bookmarkEnd w:id="23"/>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lang w:eastAsia="zh"/>
        </w:rPr>
        <w:sectPr>
          <w:pgSz w:w="11906" w:h="16838"/>
          <w:pgMar w:top="1418" w:right="858" w:bottom="1418" w:left="1628"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ascii="仿宋" w:hAnsi="仿宋" w:eastAsia="仿宋" w:cs="仿宋"/>
          <w:sz w:val="28"/>
          <w:szCs w:val="28"/>
          <w:highlight w:val="none"/>
        </w:rPr>
        <w:t>根据项目</w:t>
      </w:r>
      <w:r>
        <w:rPr>
          <w:rFonts w:hint="eastAsia" w:cs="仿宋"/>
          <w:sz w:val="28"/>
          <w:szCs w:val="28"/>
          <w:highlight w:val="none"/>
          <w:lang w:val="en-US" w:eastAsia="zh"/>
        </w:rPr>
        <w:t>特点</w:t>
      </w:r>
      <w:r>
        <w:rPr>
          <w:rFonts w:hint="eastAsia" w:ascii="仿宋" w:hAnsi="仿宋" w:eastAsia="仿宋" w:cs="仿宋"/>
          <w:sz w:val="28"/>
          <w:szCs w:val="28"/>
          <w:highlight w:val="none"/>
        </w:rPr>
        <w:t>，项目实行项目部统一组织直接管理劳务班组进行工序作业。即项目部+劳务班组模式。项目分阶段计划</w:t>
      </w:r>
      <w:r>
        <w:rPr>
          <w:rFonts w:hint="eastAsia" w:cs="仿宋"/>
          <w:sz w:val="28"/>
          <w:szCs w:val="28"/>
          <w:highlight w:val="none"/>
          <w:lang w:val="en-US" w:eastAsia="zh-CN"/>
        </w:rPr>
        <w:t>新增</w:t>
      </w:r>
      <w:r>
        <w:rPr>
          <w:rFonts w:hint="eastAsia" w:ascii="仿宋" w:hAnsi="仿宋" w:eastAsia="仿宋" w:cs="仿宋"/>
          <w:sz w:val="28"/>
          <w:szCs w:val="28"/>
          <w:highlight w:val="none"/>
        </w:rPr>
        <w:t>引入</w:t>
      </w:r>
      <w:r>
        <w:rPr>
          <w:rFonts w:hint="eastAsia" w:cs="仿宋"/>
          <w:sz w:val="28"/>
          <w:szCs w:val="28"/>
          <w:highlight w:val="none"/>
          <w:lang w:val="en-US" w:eastAsia="zh-CN"/>
        </w:rPr>
        <w:t>3</w:t>
      </w:r>
      <w:r>
        <w:rPr>
          <w:rFonts w:hint="eastAsia" w:ascii="仿宋" w:hAnsi="仿宋" w:eastAsia="仿宋" w:cs="仿宋"/>
          <w:sz w:val="28"/>
          <w:szCs w:val="28"/>
          <w:highlight w:val="none"/>
          <w:lang w:eastAsia="zh"/>
        </w:rPr>
        <w:t>个分包</w:t>
      </w:r>
      <w:r>
        <w:rPr>
          <w:rFonts w:hint="eastAsia" w:ascii="仿宋" w:hAnsi="仿宋" w:eastAsia="仿宋" w:cs="仿宋"/>
          <w:sz w:val="28"/>
          <w:szCs w:val="28"/>
          <w:highlight w:val="none"/>
        </w:rPr>
        <w:t>队伍。</w:t>
      </w:r>
    </w:p>
    <w:tbl>
      <w:tblPr>
        <w:tblStyle w:val="21"/>
        <w:tblW w:w="5365" w:type="pct"/>
        <w:tblInd w:w="-3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79"/>
        <w:gridCol w:w="753"/>
        <w:gridCol w:w="756"/>
        <w:gridCol w:w="1601"/>
        <w:gridCol w:w="623"/>
        <w:gridCol w:w="617"/>
        <w:gridCol w:w="918"/>
        <w:gridCol w:w="1050"/>
        <w:gridCol w:w="1336"/>
        <w:gridCol w:w="1123"/>
        <w:gridCol w:w="1339"/>
        <w:gridCol w:w="2402"/>
        <w:gridCol w:w="2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blHeader/>
        </w:trPr>
        <w:tc>
          <w:tcPr>
            <w:tcW w:w="1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序号</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分包单元</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工点名称</w:t>
            </w:r>
          </w:p>
        </w:tc>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施工内容（合同范围）</w:t>
            </w:r>
          </w:p>
        </w:tc>
        <w:tc>
          <w:tcPr>
            <w:tcW w:w="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包件划分</w:t>
            </w: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分包队伍数量（支）</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分包模式</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招标包件金额（万元）</w:t>
            </w:r>
          </w:p>
        </w:tc>
        <w:tc>
          <w:tcPr>
            <w:tcW w:w="12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项目部资源配置</w:t>
            </w:r>
          </w:p>
        </w:tc>
        <w:tc>
          <w:tcPr>
            <w:tcW w:w="7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18"/>
                <w:szCs w:val="18"/>
              </w:rPr>
            </w:pPr>
            <w:r>
              <w:rPr>
                <w:rFonts w:hint="eastAsia" w:ascii="宋体" w:hAnsi="宋体" w:eastAsia="宋体" w:cs="宋体"/>
                <w:b/>
                <w:bCs/>
                <w:i w:val="0"/>
                <w:iCs w:val="0"/>
                <w:color w:val="000000"/>
                <w:kern w:val="0"/>
                <w:sz w:val="18"/>
                <w:szCs w:val="18"/>
                <w:u w:val="none"/>
                <w:lang w:val="en-US" w:eastAsia="zh-CN" w:bidi="ar"/>
              </w:rPr>
              <w:t>分包合同的主要风险</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bCs/>
                <w:color w:val="000000"/>
                <w:sz w:val="21"/>
                <w:szCs w:val="21"/>
              </w:rPr>
            </w:pPr>
            <w:r>
              <w:rPr>
                <w:rFonts w:hint="eastAsia" w:ascii="宋体" w:hAnsi="宋体" w:eastAsia="宋体" w:cs="宋体"/>
                <w:b/>
                <w:bCs/>
                <w:i w:val="0"/>
                <w:iCs w:val="0"/>
                <w:color w:val="auto"/>
                <w:kern w:val="0"/>
                <w:sz w:val="18"/>
                <w:szCs w:val="18"/>
                <w:u w:val="none"/>
                <w:shd w:val="clear" w:color="auto" w:fill="auto"/>
                <w:lang w:val="en-US" w:eastAsia="zh-CN" w:bidi="ar"/>
              </w:rPr>
              <w:t>控制重点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blHeader/>
        </w:trPr>
        <w:tc>
          <w:tcPr>
            <w:tcW w:w="1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color w:val="000000"/>
                <w:sz w:val="18"/>
                <w:szCs w:val="18"/>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color w:val="000000"/>
                <w:sz w:val="18"/>
                <w:szCs w:val="18"/>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color w:val="000000"/>
                <w:sz w:val="18"/>
                <w:szCs w:val="18"/>
              </w:rPr>
            </w:pP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color w:val="000000"/>
                <w:sz w:val="18"/>
                <w:szCs w:val="18"/>
              </w:rPr>
            </w:pPr>
          </w:p>
        </w:tc>
        <w:tc>
          <w:tcPr>
            <w:tcW w:w="20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color w:val="000000"/>
                <w:sz w:val="18"/>
                <w:szCs w:val="18"/>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color w:val="000000"/>
                <w:sz w:val="18"/>
                <w:szCs w:val="18"/>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color w:val="000000"/>
                <w:sz w:val="18"/>
                <w:szCs w:val="18"/>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b/>
                <w:bCs/>
                <w:color w:val="000000"/>
                <w:sz w:val="21"/>
                <w:szCs w:val="21"/>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color w:val="000000"/>
                <w:sz w:val="18"/>
                <w:szCs w:val="18"/>
              </w:rPr>
            </w:pPr>
            <w:r>
              <w:rPr>
                <w:rFonts w:hint="eastAsia" w:ascii="宋体" w:hAnsi="宋体" w:eastAsia="宋体" w:cs="宋体"/>
                <w:b/>
                <w:bCs/>
                <w:i w:val="0"/>
                <w:iCs w:val="0"/>
                <w:color w:val="000000"/>
                <w:kern w:val="0"/>
                <w:sz w:val="18"/>
                <w:szCs w:val="18"/>
                <w:u w:val="none"/>
                <w:lang w:val="en-US" w:eastAsia="zh-CN" w:bidi="ar"/>
              </w:rPr>
              <w:t>材料</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b/>
                <w:bCs/>
                <w:i w:val="0"/>
                <w:iCs w:val="0"/>
                <w:color w:val="000000"/>
                <w:kern w:val="0"/>
                <w:sz w:val="18"/>
                <w:szCs w:val="18"/>
                <w:u w:val="none"/>
                <w:lang w:val="en-US" w:eastAsia="zh-CN" w:bidi="ar"/>
              </w:rPr>
              <w:t>设备</w:t>
            </w: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b/>
                <w:bCs/>
                <w:i w:val="0"/>
                <w:iCs w:val="0"/>
                <w:color w:val="000000"/>
                <w:kern w:val="0"/>
                <w:sz w:val="18"/>
                <w:szCs w:val="18"/>
                <w:u w:val="none"/>
                <w:lang w:val="en-US" w:eastAsia="zh-CN" w:bidi="ar"/>
              </w:rPr>
              <w:t>甲供乙费</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color w:val="000000"/>
                <w:sz w:val="18"/>
                <w:szCs w:val="18"/>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color w:val="00000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0"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color w:val="000000"/>
                <w:sz w:val="18"/>
                <w:szCs w:val="18"/>
                <w:lang w:val="en-US"/>
              </w:rPr>
            </w:pPr>
            <w:r>
              <w:rPr>
                <w:rFonts w:hint="eastAsia" w:ascii="宋体" w:hAnsi="宋体" w:eastAsia="宋体" w:cs="宋体"/>
                <w:i w:val="0"/>
                <w:iCs w:val="0"/>
                <w:color w:val="000000"/>
                <w:kern w:val="0"/>
                <w:sz w:val="18"/>
                <w:szCs w:val="18"/>
                <w:u w:val="none"/>
                <w:lang w:val="en-US" w:eastAsia="zh-CN" w:bidi="ar"/>
              </w:rPr>
              <w:t>栈桥、钢围堰、主桥桩基</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跨黄河大桥</w:t>
            </w:r>
          </w:p>
        </w:tc>
        <w:tc>
          <w:tcPr>
            <w:tcW w:w="5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color w:val="000000"/>
                <w:sz w:val="18"/>
                <w:szCs w:val="18"/>
                <w:lang w:val="en-US"/>
              </w:rPr>
            </w:pPr>
            <w:r>
              <w:rPr>
                <w:rFonts w:hint="eastAsia" w:ascii="宋体" w:hAnsi="宋体" w:eastAsia="宋体" w:cs="宋体"/>
                <w:i w:val="0"/>
                <w:iCs w:val="0"/>
                <w:color w:val="000000"/>
                <w:kern w:val="0"/>
                <w:sz w:val="18"/>
                <w:szCs w:val="18"/>
                <w:u w:val="none"/>
                <w:lang w:val="en-US" w:eastAsia="zh-CN" w:bidi="ar"/>
              </w:rPr>
              <w:t>钢栈桥及钢围堰加工，运输，安装，拆除、桩基钻孔灌注</w:t>
            </w:r>
          </w:p>
        </w:tc>
        <w:tc>
          <w:tcPr>
            <w:tcW w:w="2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w:t>
            </w:r>
          </w:p>
        </w:tc>
        <w:tc>
          <w:tcPr>
            <w:tcW w:w="2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专业分包</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400.00 </w:t>
            </w: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无</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二级及以上配电箱</w:t>
            </w: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个人安全防护用品、住宿、水电费、三级配电箱</w:t>
            </w:r>
          </w:p>
        </w:tc>
        <w:tc>
          <w:tcPr>
            <w:tcW w:w="7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1.工程数量的风险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2.计量起止时间的争议风险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3.工期风险</w:t>
            </w: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1.严控计价数量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2.明确开始计量的起止时间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3.明确质量标准和要求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4.明确不可预见的风险（对工期做一个限制，确定栈桥和围堰的控制价）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0"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color w:val="000000"/>
                <w:sz w:val="18"/>
                <w:szCs w:val="18"/>
              </w:rPr>
            </w:pPr>
            <w:r>
              <w:rPr>
                <w:rFonts w:hint="eastAsia" w:ascii="宋体" w:hAnsi="宋体" w:eastAsia="宋体" w:cs="宋体"/>
                <w:i w:val="0"/>
                <w:iCs w:val="0"/>
                <w:color w:val="000000"/>
                <w:kern w:val="0"/>
                <w:sz w:val="18"/>
                <w:szCs w:val="18"/>
                <w:u w:val="none"/>
                <w:lang w:val="en-US" w:eastAsia="zh-CN" w:bidi="ar"/>
              </w:rPr>
              <w:t>2</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color w:val="000000"/>
                <w:sz w:val="18"/>
                <w:szCs w:val="18"/>
              </w:rPr>
            </w:pPr>
            <w:r>
              <w:rPr>
                <w:rFonts w:hint="eastAsia" w:ascii="宋体" w:hAnsi="宋体" w:eastAsia="宋体" w:cs="宋体"/>
                <w:i w:val="0"/>
                <w:iCs w:val="0"/>
                <w:color w:val="000000"/>
                <w:kern w:val="0"/>
                <w:sz w:val="18"/>
                <w:szCs w:val="18"/>
                <w:u w:val="none"/>
                <w:lang w:val="en-US" w:eastAsia="zh-CN" w:bidi="ar"/>
              </w:rPr>
              <w:t>桥梁整体（含桩基、桥面附属）</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跨黄河大桥</w:t>
            </w:r>
          </w:p>
        </w:tc>
        <w:tc>
          <w:tcPr>
            <w:tcW w:w="5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桩基、承台、桥台、桥墩、现浇梁、桥面铺装、防撞护栏、栏杆扶手、声屏障、防排水、人行道、文明施工</w:t>
            </w:r>
          </w:p>
        </w:tc>
        <w:tc>
          <w:tcPr>
            <w:tcW w:w="2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2</w:t>
            </w:r>
          </w:p>
        </w:tc>
        <w:tc>
          <w:tcPr>
            <w:tcW w:w="2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color w:val="000000"/>
                <w:sz w:val="18"/>
                <w:szCs w:val="18"/>
              </w:rPr>
            </w:pPr>
            <w:r>
              <w:rPr>
                <w:rFonts w:hint="eastAsia" w:ascii="宋体" w:hAnsi="宋体" w:eastAsia="宋体" w:cs="宋体"/>
                <w:i w:val="0"/>
                <w:iCs w:val="0"/>
                <w:color w:val="000000"/>
                <w:kern w:val="0"/>
                <w:sz w:val="18"/>
                <w:szCs w:val="18"/>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劳务分包+机械计件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1420.00 </w:t>
            </w: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钢筋、砼、声测管、连接套筒、定型钢模板、、钢绞线、锚具、波纹管、压浆料、挂篮模板、球形支座、声屏障、PVC排水管、钢板、护栏、编织网隔离栅</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二级及以上配电箱</w:t>
            </w: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个人安全防护用品、住宿、水电费、三级配电箱</w:t>
            </w:r>
          </w:p>
        </w:tc>
        <w:tc>
          <w:tcPr>
            <w:tcW w:w="7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1.水中施工，受雨季影响，工效问题；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2.挂篮系统的设计与安装、混凝土浇筑、预应力施工过程质量把控，避免发生结构安全问题，不良地质及气候条件对临时支撑体系的影响；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3.工作面较多，需要根据现场实际情况进行人员调配，提高效率;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4.垫资较大</w:t>
            </w: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1.施工组织，队伍资源的合理安排；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3.挂篮的安装与验收、施工进度、高程控制、施工过程安全控制；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4.连续施工及作业循环时间；不予计量的辅助工作；各种预埋件位置及型号、砼外观质量控制。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color w:val="000000"/>
                <w:sz w:val="18"/>
                <w:szCs w:val="18"/>
              </w:rPr>
            </w:pPr>
            <w:r>
              <w:rPr>
                <w:rFonts w:hint="eastAsia" w:ascii="宋体" w:hAnsi="宋体" w:eastAsia="宋体" w:cs="宋体"/>
                <w:i w:val="0"/>
                <w:iCs w:val="0"/>
                <w:color w:val="000000"/>
                <w:kern w:val="0"/>
                <w:sz w:val="18"/>
                <w:szCs w:val="18"/>
                <w:u w:val="none"/>
                <w:lang w:val="en-US" w:eastAsia="zh-CN" w:bidi="ar"/>
              </w:rPr>
              <w:t>3</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color w:val="000000"/>
                <w:sz w:val="18"/>
                <w:szCs w:val="18"/>
              </w:rPr>
            </w:pPr>
            <w:r>
              <w:rPr>
                <w:rFonts w:hint="eastAsia" w:ascii="宋体" w:hAnsi="宋体" w:eastAsia="宋体" w:cs="宋体"/>
                <w:i w:val="0"/>
                <w:iCs w:val="0"/>
                <w:color w:val="000000"/>
                <w:kern w:val="0"/>
                <w:sz w:val="18"/>
                <w:szCs w:val="18"/>
                <w:u w:val="none"/>
                <w:lang w:val="en-US" w:eastAsia="zh-CN" w:bidi="ar"/>
              </w:rPr>
              <w:t>沥青路面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跨黄河大桥</w:t>
            </w:r>
          </w:p>
        </w:tc>
        <w:tc>
          <w:tcPr>
            <w:tcW w:w="5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沥青混凝土桥面铺装，防水层及粘层。</w:t>
            </w:r>
          </w:p>
        </w:tc>
        <w:tc>
          <w:tcPr>
            <w:tcW w:w="2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w:t>
            </w:r>
          </w:p>
        </w:tc>
        <w:tc>
          <w:tcPr>
            <w:tcW w:w="2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专业分包</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63.50 </w:t>
            </w: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无</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二级及以上配电箱</w:t>
            </w:r>
          </w:p>
        </w:tc>
        <w:tc>
          <w:tcPr>
            <w:tcW w:w="4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个人安全防护用品、住宿、水电费、三级配电箱</w:t>
            </w:r>
          </w:p>
        </w:tc>
        <w:tc>
          <w:tcPr>
            <w:tcW w:w="7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1、质量风险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2、工程数量风险（填筑标高）</w:t>
            </w: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1、加强过程质量控制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2、过程控制填筑标高</w:t>
            </w:r>
          </w:p>
        </w:tc>
      </w:tr>
    </w:tbl>
    <w:p>
      <w:pPr>
        <w:spacing w:line="460" w:lineRule="exact"/>
        <w:ind w:firstLine="561"/>
        <w:jc w:val="center"/>
        <w:rPr>
          <w:rFonts w:hint="eastAsia" w:ascii="仿宋" w:hAnsi="仿宋" w:eastAsia="仿宋" w:cs="仿宋"/>
          <w:sz w:val="24"/>
          <w:szCs w:val="24"/>
          <w:highlight w:val="none"/>
        </w:rPr>
        <w:sectPr>
          <w:pgSz w:w="16838" w:h="11906" w:orient="landscape"/>
          <w:pgMar w:top="1588" w:right="1418" w:bottom="1588" w:left="1418" w:header="851" w:footer="992" w:gutter="0"/>
          <w:pgBorders>
            <w:top w:val="none" w:sz="0" w:space="0"/>
            <w:left w:val="none" w:sz="0" w:space="0"/>
            <w:bottom w:val="none" w:sz="0" w:space="0"/>
            <w:right w:val="none" w:sz="0" w:space="0"/>
          </w:pgBorders>
          <w:cols w:space="425" w:num="1"/>
          <w:titlePg/>
          <w:docGrid w:type="lines" w:linePitch="312" w:charSpace="0"/>
        </w:sectPr>
      </w:pPr>
    </w:p>
    <w:p>
      <w:pPr>
        <w:pStyle w:val="98"/>
        <w:keepNext w:val="0"/>
        <w:keepLines w:val="0"/>
        <w:pageBreakBefore w:val="0"/>
        <w:widowControl/>
        <w:kinsoku/>
        <w:wordWrap/>
        <w:overflowPunct/>
        <w:topLinePunct w:val="0"/>
        <w:autoSpaceDE/>
        <w:autoSpaceDN/>
        <w:bidi w:val="0"/>
        <w:adjustRightInd/>
        <w:snapToGrid/>
        <w:spacing w:line="360" w:lineRule="auto"/>
        <w:ind w:left="0"/>
        <w:contextualSpacing/>
        <w:textAlignment w:val="auto"/>
        <w:outlineLvl w:val="2"/>
        <w:rPr>
          <w:rFonts w:hint="eastAsia" w:ascii="仿宋" w:hAnsi="仿宋" w:eastAsia="仿宋" w:cs="仿宋"/>
          <w:b/>
          <w:bCs/>
          <w:sz w:val="28"/>
          <w:szCs w:val="28"/>
          <w:highlight w:val="none"/>
        </w:rPr>
      </w:pPr>
      <w:bookmarkStart w:id="24" w:name="_Toc32651"/>
      <w:r>
        <w:rPr>
          <w:rFonts w:hint="eastAsia" w:ascii="仿宋" w:hAnsi="仿宋" w:eastAsia="仿宋" w:cs="仿宋"/>
          <w:b/>
          <w:bCs/>
          <w:sz w:val="28"/>
          <w:szCs w:val="28"/>
          <w:highlight w:val="none"/>
        </w:rPr>
        <w:t>3.劳务队伍招标</w:t>
      </w:r>
      <w:bookmarkEnd w:id="24"/>
    </w:p>
    <w:p>
      <w:pPr>
        <w:pStyle w:val="5"/>
        <w:keepNext/>
        <w:keepLines w:val="0"/>
        <w:pageBreakBefore w:val="0"/>
        <w:widowControl w:val="0"/>
        <w:kinsoku/>
        <w:wordWrap/>
        <w:overflowPunct/>
        <w:topLinePunct w:val="0"/>
        <w:autoSpaceDE/>
        <w:autoSpaceDN/>
        <w:bidi w:val="0"/>
        <w:adjustRightInd/>
        <w:snapToGrid/>
        <w:spacing w:beforeLines="0" w:afterLines="0" w:line="360" w:lineRule="auto"/>
        <w:ind w:firstLine="549"/>
        <w:textAlignment w:val="auto"/>
        <w:rPr>
          <w:rFonts w:hint="eastAsia" w:ascii="仿宋" w:hAnsi="仿宋" w:eastAsia="仿宋" w:cs="仿宋"/>
          <w:szCs w:val="28"/>
          <w:highlight w:val="none"/>
        </w:rPr>
      </w:pPr>
      <w:r>
        <w:rPr>
          <w:rFonts w:hint="eastAsia" w:ascii="仿宋" w:hAnsi="仿宋" w:eastAsia="仿宋" w:cs="仿宋"/>
          <w:szCs w:val="28"/>
          <w:highlight w:val="none"/>
        </w:rPr>
        <w:t>（1）分包管理的组织体系和责任分工</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yellow"/>
        </w:rPr>
        <w:t>分包采购通过公开招标、邀请招标、竞争性谈判方式，</w:t>
      </w:r>
      <w:r>
        <w:rPr>
          <w:rFonts w:hint="eastAsia" w:ascii="仿宋" w:hAnsi="仿宋" w:eastAsia="仿宋" w:cs="仿宋"/>
          <w:sz w:val="28"/>
          <w:szCs w:val="28"/>
          <w:highlight w:val="yellow"/>
          <w:lang w:eastAsia="zh"/>
        </w:rPr>
        <w:t>相关采购方案和采购文件编制、评审、审批工作在公司招采中心的组织下有序开展及推进。</w:t>
      </w:r>
      <w:r>
        <w:rPr>
          <w:rFonts w:hint="eastAsia" w:ascii="仿宋" w:hAnsi="仿宋" w:eastAsia="仿宋" w:cs="仿宋"/>
          <w:sz w:val="28"/>
          <w:szCs w:val="28"/>
          <w:highlight w:val="none"/>
        </w:rPr>
        <w:t>项目部成立招标小组，合同评审小组等，负责分包项目招标、合同自评审、上报公司评审、合同签订、按合同办理结算、工资监督发放和资金计划报审，履行合同的过程管理，办理末次结算、合同封闭及报批的责任主体。</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yellow"/>
        </w:rPr>
      </w:pPr>
      <w:r>
        <w:rPr>
          <w:rFonts w:hint="eastAsia" w:ascii="仿宋" w:hAnsi="仿宋" w:eastAsia="仿宋" w:cs="仿宋"/>
          <w:sz w:val="28"/>
          <w:szCs w:val="28"/>
          <w:highlight w:val="none"/>
        </w:rPr>
        <w:t>2）项目部是分包队伍现场围绕保障进度、质量、安全、参与收方、组织材料盘点，履行合同义务，行使合同权力的作业面组织、协调、服务、监督的直接责任人。</w:t>
      </w:r>
      <w:r>
        <w:rPr>
          <w:rFonts w:hint="eastAsia" w:ascii="仿宋" w:hAnsi="仿宋" w:eastAsia="仿宋" w:cs="仿宋"/>
          <w:sz w:val="28"/>
          <w:szCs w:val="28"/>
          <w:highlight w:val="yellow"/>
          <w:lang w:eastAsia="zh"/>
        </w:rPr>
        <w:t>对分包队伍的工程签证及相关现场签认，必须经过项目经理同意或授权。</w:t>
      </w:r>
    </w:p>
    <w:p>
      <w:pPr>
        <w:pStyle w:val="5"/>
        <w:keepNext/>
        <w:keepLines w:val="0"/>
        <w:pageBreakBefore w:val="0"/>
        <w:widowControl w:val="0"/>
        <w:kinsoku/>
        <w:wordWrap/>
        <w:overflowPunct/>
        <w:topLinePunct w:val="0"/>
        <w:autoSpaceDE/>
        <w:autoSpaceDN/>
        <w:bidi w:val="0"/>
        <w:adjustRightInd/>
        <w:snapToGrid/>
        <w:spacing w:beforeLines="0" w:afterLines="0" w:line="360" w:lineRule="auto"/>
        <w:ind w:firstLine="549"/>
        <w:textAlignment w:val="auto"/>
        <w:rPr>
          <w:rFonts w:hint="eastAsia" w:ascii="仿宋" w:hAnsi="仿宋" w:eastAsia="仿宋" w:cs="仿宋"/>
          <w:szCs w:val="28"/>
          <w:highlight w:val="none"/>
        </w:rPr>
      </w:pPr>
      <w:r>
        <w:rPr>
          <w:rFonts w:hint="eastAsia" w:ascii="仿宋" w:hAnsi="仿宋" w:eastAsia="仿宋" w:cs="仿宋"/>
          <w:szCs w:val="28"/>
          <w:highlight w:val="none"/>
        </w:rPr>
        <w:t>（2）分包总体原则</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1）项目只提供主材（钢筋、混凝土、</w:t>
      </w:r>
      <w:r>
        <w:rPr>
          <w:rFonts w:hint="eastAsia" w:ascii="仿宋" w:hAnsi="仿宋" w:eastAsia="仿宋" w:cs="仿宋"/>
          <w:sz w:val="28"/>
          <w:szCs w:val="28"/>
          <w:highlight w:val="none"/>
          <w:lang w:val="en-US" w:eastAsia="zh-CN"/>
        </w:rPr>
        <w:t>钢绞线</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钢</w:t>
      </w:r>
      <w:r>
        <w:rPr>
          <w:rFonts w:hint="eastAsia" w:ascii="仿宋" w:hAnsi="仿宋" w:eastAsia="仿宋" w:cs="仿宋"/>
          <w:sz w:val="28"/>
          <w:szCs w:val="28"/>
          <w:highlight w:val="none"/>
        </w:rPr>
        <w:t>模板、波纹管、水泥</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压浆料、外加剂、组合钢模板、锚具、吊具</w:t>
      </w:r>
      <w:r>
        <w:rPr>
          <w:rFonts w:hint="eastAsia" w:ascii="仿宋" w:hAnsi="仿宋" w:eastAsia="仿宋" w:cs="仿宋"/>
          <w:sz w:val="28"/>
          <w:szCs w:val="28"/>
          <w:highlight w:val="none"/>
          <w:lang w:val="en-US" w:eastAsia="zh-CN"/>
        </w:rPr>
        <w:t>、配电箱（2级及以上甲供，其余甲供乙费）、安全帽、反光衣、水、电费、安防材料；其余</w:t>
      </w:r>
      <w:r>
        <w:rPr>
          <w:rFonts w:hint="eastAsia" w:ascii="仿宋" w:hAnsi="仿宋" w:eastAsia="仿宋" w:cs="仿宋"/>
          <w:sz w:val="28"/>
          <w:szCs w:val="28"/>
          <w:highlight w:val="none"/>
        </w:rPr>
        <w:t>二三项材料、移动设备临建施工料、小型机具由班组自备，水电由项目统一规划提供接口，费用班组自理</w:t>
      </w:r>
      <w:r>
        <w:rPr>
          <w:rFonts w:hint="eastAsia" w:ascii="仿宋" w:hAnsi="仿宋" w:eastAsia="仿宋" w:cs="仿宋"/>
          <w:sz w:val="28"/>
          <w:szCs w:val="28"/>
          <w:highlight w:val="none"/>
          <w:lang w:val="en-US" w:eastAsia="zh-CN"/>
        </w:rPr>
        <w:t>。</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2）在模式选定上充分考虑以下因素：</w:t>
      </w:r>
    </w:p>
    <w:p>
      <w:pPr>
        <w:pStyle w:val="11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①控制性工程，高风险工点的主导施工设备原则上公司提供，切实把控工程的掌控权在项目手中。</w:t>
      </w:r>
    </w:p>
    <w:p>
      <w:pPr>
        <w:pageBreakBefore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②混凝土、钢筋</w:t>
      </w:r>
      <w:r>
        <w:rPr>
          <w:rFonts w:hint="eastAsia" w:ascii="仿宋" w:hAnsi="仿宋" w:eastAsia="仿宋" w:cs="仿宋"/>
          <w:sz w:val="28"/>
          <w:szCs w:val="28"/>
          <w:highlight w:val="none"/>
          <w:lang w:eastAsia="zh"/>
        </w:rPr>
        <w:t>、</w:t>
      </w:r>
      <w:r>
        <w:rPr>
          <w:rFonts w:hint="eastAsia" w:ascii="仿宋" w:hAnsi="仿宋" w:eastAsia="仿宋" w:cs="仿宋"/>
          <w:sz w:val="28"/>
          <w:szCs w:val="28"/>
          <w:highlight w:val="none"/>
        </w:rPr>
        <w:t>钢材</w:t>
      </w:r>
      <w:r>
        <w:rPr>
          <w:rFonts w:hint="eastAsia" w:ascii="仿宋" w:hAnsi="仿宋" w:eastAsia="仿宋" w:cs="仿宋"/>
          <w:sz w:val="28"/>
          <w:szCs w:val="28"/>
          <w:highlight w:val="none"/>
          <w:lang w:eastAsia="zh"/>
        </w:rPr>
        <w:t>、水泥</w:t>
      </w:r>
      <w:r>
        <w:rPr>
          <w:rFonts w:hint="eastAsia" w:ascii="仿宋" w:hAnsi="仿宋" w:eastAsia="仿宋" w:cs="仿宋"/>
          <w:sz w:val="28"/>
          <w:szCs w:val="28"/>
          <w:highlight w:val="none"/>
        </w:rPr>
        <w:t>等用于工程主体的材料由项目部提供给队伍。</w:t>
      </w:r>
    </w:p>
    <w:p>
      <w:pPr>
        <w:pageBreakBefore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③在分包方式的选择和计量规则制定上，消除和尽可能削弱偷工减料的利益趋动。</w:t>
      </w:r>
    </w:p>
    <w:p>
      <w:pPr>
        <w:pageBreakBefore w:val="0"/>
        <w:kinsoku/>
        <w:wordWrap/>
        <w:overflowPunct/>
        <w:topLinePunct w:val="0"/>
        <w:autoSpaceDE/>
        <w:autoSpaceDN/>
        <w:bidi w:val="0"/>
        <w:adjustRightInd/>
        <w:snapToGrid/>
        <w:spacing w:line="360" w:lineRule="auto"/>
        <w:ind w:firstLine="560"/>
        <w:jc w:val="left"/>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3）按以下流程办理：按《中铁五局华南公司工程施工分包采购管理实施细则》(华南司商务〔2023〕170号)办理招标。</w:t>
      </w:r>
    </w:p>
    <w:p>
      <w:pPr>
        <w:pageBreakBefore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4）劳务队伍必须先签合同后进场，先计量（开票）后支付，先培训后上岗。</w:t>
      </w:r>
    </w:p>
    <w:p>
      <w:pPr>
        <w:pageBreakBefore w:val="0"/>
        <w:kinsoku/>
        <w:wordWrap/>
        <w:overflowPunct/>
        <w:topLinePunct w:val="0"/>
        <w:autoSpaceDE/>
        <w:autoSpaceDN/>
        <w:bidi w:val="0"/>
        <w:adjustRightInd/>
        <w:snapToGrid/>
        <w:spacing w:line="360" w:lineRule="auto"/>
        <w:ind w:firstLine="560"/>
        <w:jc w:val="left"/>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5）禁止为劳务队伍采购不构成工程实体的二、三项辅助材料。</w:t>
      </w:r>
    </w:p>
    <w:p>
      <w:pPr>
        <w:pStyle w:val="3"/>
        <w:pageBreakBefore w:val="0"/>
        <w:kinsoku/>
        <w:wordWrap/>
        <w:overflowPunct/>
        <w:topLinePunct w:val="0"/>
        <w:autoSpaceDE/>
        <w:autoSpaceDN/>
        <w:bidi w:val="0"/>
        <w:adjustRightInd/>
        <w:snapToGrid/>
        <w:spacing w:before="0" w:after="0" w:line="360" w:lineRule="auto"/>
        <w:ind w:firstLine="281" w:firstLineChars="100"/>
        <w:textAlignment w:val="auto"/>
        <w:rPr>
          <w:rFonts w:hint="eastAsia" w:ascii="仿宋" w:hAnsi="仿宋" w:eastAsia="仿宋" w:cs="仿宋"/>
          <w:sz w:val="28"/>
          <w:szCs w:val="28"/>
          <w:highlight w:val="none"/>
          <w:lang w:eastAsia="zh-CN"/>
        </w:rPr>
      </w:pPr>
      <w:bookmarkStart w:id="25" w:name="_Toc30999"/>
      <w:bookmarkStart w:id="26" w:name="_Toc21327"/>
      <w:r>
        <w:rPr>
          <w:rFonts w:hint="eastAsia" w:ascii="仿宋" w:hAnsi="仿宋" w:eastAsia="仿宋" w:cs="仿宋"/>
          <w:sz w:val="28"/>
          <w:szCs w:val="28"/>
          <w:highlight w:val="none"/>
        </w:rPr>
        <w:t>（二）物资策划</w:t>
      </w:r>
      <w:bookmarkEnd w:id="25"/>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物资部完善</w:t>
      </w:r>
      <w:r>
        <w:rPr>
          <w:rFonts w:hint="eastAsia" w:ascii="仿宋" w:hAnsi="仿宋" w:eastAsia="仿宋" w:cs="仿宋"/>
          <w:sz w:val="28"/>
          <w:szCs w:val="28"/>
          <w:highlight w:val="none"/>
          <w:lang w:eastAsia="zh-CN"/>
        </w:rPr>
        <w:t>）</w:t>
      </w:r>
    </w:p>
    <w:p>
      <w:pPr>
        <w:pStyle w:val="98"/>
        <w:pageBreakBefore w:val="0"/>
        <w:kinsoku/>
        <w:wordWrap/>
        <w:overflowPunct/>
        <w:topLinePunct w:val="0"/>
        <w:autoSpaceDE/>
        <w:autoSpaceDN/>
        <w:bidi w:val="0"/>
        <w:adjustRightInd/>
        <w:snapToGrid/>
        <w:spacing w:line="360" w:lineRule="auto"/>
        <w:ind w:left="-136" w:firstLine="562"/>
        <w:contextualSpacing/>
        <w:textAlignment w:val="auto"/>
        <w:outlineLvl w:val="2"/>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1.采购方案</w:t>
      </w:r>
    </w:p>
    <w:p>
      <w:pPr>
        <w:pStyle w:val="98"/>
        <w:pageBreakBefore w:val="0"/>
        <w:kinsoku/>
        <w:wordWrap/>
        <w:overflowPunct/>
        <w:topLinePunct w:val="0"/>
        <w:autoSpaceDE/>
        <w:autoSpaceDN/>
        <w:bidi w:val="0"/>
        <w:adjustRightInd/>
        <w:snapToGrid/>
        <w:spacing w:line="360" w:lineRule="auto"/>
        <w:ind w:left="-136"/>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结合建设单位及公司采购管理要求，制定本项目主要材料及周转料的采购权限及方式，但当市场资源、供应价格出现重大变化，以及建设单位或上级单位对采购管理要求发生变化时，项目部可根据情况变化适时调整采购方案并报公司审批。</w:t>
      </w:r>
    </w:p>
    <w:tbl>
      <w:tblPr>
        <w:tblStyle w:val="21"/>
        <w:tblW w:w="9918" w:type="dxa"/>
        <w:jc w:val="center"/>
        <w:tblLayout w:type="fixed"/>
        <w:tblCellMar>
          <w:top w:w="0" w:type="dxa"/>
          <w:left w:w="108" w:type="dxa"/>
          <w:bottom w:w="0" w:type="dxa"/>
          <w:right w:w="108" w:type="dxa"/>
        </w:tblCellMar>
      </w:tblPr>
      <w:tblGrid>
        <w:gridCol w:w="709"/>
        <w:gridCol w:w="1275"/>
        <w:gridCol w:w="1297"/>
        <w:gridCol w:w="708"/>
        <w:gridCol w:w="1282"/>
        <w:gridCol w:w="1108"/>
        <w:gridCol w:w="1275"/>
        <w:gridCol w:w="1134"/>
        <w:gridCol w:w="1130"/>
      </w:tblGrid>
      <w:tr>
        <w:tblPrEx>
          <w:tblCellMar>
            <w:top w:w="0" w:type="dxa"/>
            <w:left w:w="108" w:type="dxa"/>
            <w:bottom w:w="0" w:type="dxa"/>
            <w:right w:w="108" w:type="dxa"/>
          </w:tblCellMar>
        </w:tblPrEx>
        <w:trPr>
          <w:trHeight w:val="631" w:hRule="atLeast"/>
          <w:tblHeader/>
          <w:jc w:val="center"/>
        </w:trPr>
        <w:tc>
          <w:tcPr>
            <w:tcW w:w="709" w:type="dxa"/>
            <w:tcBorders>
              <w:top w:val="single" w:color="auto" w:sz="4" w:space="0"/>
              <w:left w:val="single" w:color="auto" w:sz="4" w:space="0"/>
              <w:bottom w:val="single" w:color="auto" w:sz="4" w:space="0"/>
              <w:right w:val="single" w:color="auto" w:sz="4" w:space="0"/>
            </w:tcBorders>
            <w:shd w:val="clear" w:color="000000" w:fill="0070C0"/>
            <w:noWrap/>
            <w:vAlign w:val="center"/>
          </w:tcPr>
          <w:p>
            <w:pPr>
              <w:widowControl/>
              <w:jc w:val="center"/>
              <w:rPr>
                <w:rFonts w:hint="eastAsia" w:ascii="宋体" w:hAnsi="宋体" w:eastAsia="宋体" w:cs="Arial"/>
                <w:color w:val="FFFFFF"/>
                <w:kern w:val="0"/>
                <w:sz w:val="18"/>
                <w:szCs w:val="18"/>
              </w:rPr>
            </w:pPr>
            <w:bookmarkStart w:id="27" w:name="_Hlk119138889"/>
            <w:r>
              <w:rPr>
                <w:rFonts w:hint="eastAsia" w:ascii="宋体" w:hAnsi="宋体" w:eastAsia="宋体" w:cs="Arial"/>
                <w:color w:val="FFFFFF"/>
                <w:kern w:val="0"/>
                <w:sz w:val="18"/>
                <w:szCs w:val="18"/>
              </w:rPr>
              <w:t>序号</w:t>
            </w:r>
          </w:p>
        </w:tc>
        <w:tc>
          <w:tcPr>
            <w:tcW w:w="1275" w:type="dxa"/>
            <w:tcBorders>
              <w:top w:val="single" w:color="auto" w:sz="4" w:space="0"/>
              <w:left w:val="nil"/>
              <w:bottom w:val="single" w:color="auto" w:sz="4" w:space="0"/>
              <w:right w:val="single" w:color="auto" w:sz="4" w:space="0"/>
            </w:tcBorders>
            <w:shd w:val="clear" w:color="000000" w:fill="0070C0"/>
            <w:noWrap/>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材料名称</w:t>
            </w:r>
          </w:p>
        </w:tc>
        <w:tc>
          <w:tcPr>
            <w:tcW w:w="1297" w:type="dxa"/>
            <w:tcBorders>
              <w:top w:val="single" w:color="auto" w:sz="4" w:space="0"/>
              <w:left w:val="nil"/>
              <w:bottom w:val="single" w:color="auto" w:sz="4" w:space="0"/>
              <w:right w:val="single" w:color="auto" w:sz="4" w:space="0"/>
            </w:tcBorders>
            <w:shd w:val="clear" w:color="000000" w:fill="0070C0"/>
            <w:noWrap/>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规格型号</w:t>
            </w:r>
          </w:p>
        </w:tc>
        <w:tc>
          <w:tcPr>
            <w:tcW w:w="708" w:type="dxa"/>
            <w:tcBorders>
              <w:top w:val="single" w:color="auto" w:sz="4" w:space="0"/>
              <w:left w:val="nil"/>
              <w:bottom w:val="single" w:color="auto" w:sz="4" w:space="0"/>
              <w:right w:val="single" w:color="auto" w:sz="4" w:space="0"/>
            </w:tcBorders>
            <w:shd w:val="clear" w:color="000000" w:fill="0070C0"/>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单位</w:t>
            </w:r>
          </w:p>
        </w:tc>
        <w:tc>
          <w:tcPr>
            <w:tcW w:w="1282" w:type="dxa"/>
            <w:tcBorders>
              <w:top w:val="single" w:color="auto" w:sz="4" w:space="0"/>
              <w:left w:val="single" w:color="auto" w:sz="4" w:space="0"/>
              <w:bottom w:val="single" w:color="auto" w:sz="4" w:space="0"/>
              <w:right w:val="single" w:color="auto" w:sz="4" w:space="0"/>
            </w:tcBorders>
            <w:shd w:val="clear" w:color="000000" w:fill="0070C0"/>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数量</w:t>
            </w:r>
          </w:p>
        </w:tc>
        <w:tc>
          <w:tcPr>
            <w:tcW w:w="1108" w:type="dxa"/>
            <w:tcBorders>
              <w:top w:val="single" w:color="auto" w:sz="4" w:space="0"/>
              <w:left w:val="single" w:color="auto" w:sz="4" w:space="0"/>
              <w:bottom w:val="single" w:color="auto" w:sz="4" w:space="0"/>
              <w:right w:val="single" w:color="auto" w:sz="4" w:space="0"/>
            </w:tcBorders>
            <w:shd w:val="clear" w:color="000000" w:fill="0070C0"/>
            <w:noWrap/>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采购方式</w:t>
            </w:r>
          </w:p>
        </w:tc>
        <w:tc>
          <w:tcPr>
            <w:tcW w:w="1275" w:type="dxa"/>
            <w:tcBorders>
              <w:top w:val="single" w:color="auto" w:sz="4" w:space="0"/>
              <w:left w:val="nil"/>
              <w:bottom w:val="single" w:color="auto" w:sz="4" w:space="0"/>
              <w:right w:val="single" w:color="auto" w:sz="4" w:space="0"/>
            </w:tcBorders>
            <w:shd w:val="clear" w:color="000000" w:fill="0070C0"/>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采购平台</w:t>
            </w:r>
          </w:p>
        </w:tc>
        <w:tc>
          <w:tcPr>
            <w:tcW w:w="1134" w:type="dxa"/>
            <w:tcBorders>
              <w:top w:val="single" w:color="auto" w:sz="4" w:space="0"/>
              <w:left w:val="nil"/>
              <w:bottom w:val="single" w:color="auto" w:sz="4" w:space="0"/>
              <w:right w:val="single" w:color="auto" w:sz="4" w:space="0"/>
            </w:tcBorders>
            <w:shd w:val="clear" w:color="000000" w:fill="0070C0"/>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采购权限建议</w:t>
            </w:r>
          </w:p>
        </w:tc>
        <w:tc>
          <w:tcPr>
            <w:tcW w:w="1130" w:type="dxa"/>
            <w:tcBorders>
              <w:top w:val="single" w:color="auto" w:sz="4" w:space="0"/>
              <w:left w:val="nil"/>
              <w:bottom w:val="single" w:color="auto" w:sz="4" w:space="0"/>
              <w:right w:val="single" w:color="auto" w:sz="4" w:space="0"/>
            </w:tcBorders>
            <w:shd w:val="clear" w:color="000000" w:fill="0070C0"/>
            <w:noWrap/>
            <w:vAlign w:val="center"/>
          </w:tcPr>
          <w:p>
            <w:pPr>
              <w:widowControl/>
              <w:jc w:val="center"/>
              <w:rPr>
                <w:rFonts w:hint="eastAsia" w:ascii="宋体" w:hAnsi="宋体" w:eastAsia="宋体" w:cs="Arial"/>
                <w:color w:val="FFFFFF"/>
                <w:kern w:val="0"/>
                <w:sz w:val="18"/>
                <w:szCs w:val="18"/>
              </w:rPr>
            </w:pPr>
            <w:r>
              <w:rPr>
                <w:rFonts w:hint="eastAsia" w:ascii="宋体" w:hAnsi="宋体" w:eastAsia="宋体" w:cs="Arial"/>
                <w:color w:val="FFFFFF"/>
                <w:kern w:val="0"/>
                <w:sz w:val="18"/>
                <w:szCs w:val="18"/>
              </w:rPr>
              <w:t>备注</w:t>
            </w:r>
          </w:p>
        </w:tc>
      </w:tr>
      <w:tr>
        <w:tblPrEx>
          <w:tblCellMar>
            <w:top w:w="0" w:type="dxa"/>
            <w:left w:w="108" w:type="dxa"/>
            <w:bottom w:w="0" w:type="dxa"/>
            <w:right w:w="108" w:type="dxa"/>
          </w:tblCellMar>
        </w:tblPrEx>
        <w:trPr>
          <w:trHeight w:val="59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kern w:val="0"/>
                <w:sz w:val="18"/>
                <w:szCs w:val="18"/>
                <w:lang w:bidi="ar"/>
              </w:rPr>
              <w:t xml:space="preserve">建筑钢筋 </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kern w:val="0"/>
                <w:sz w:val="18"/>
                <w:szCs w:val="18"/>
                <w:lang w:bidi="ar"/>
              </w:rPr>
              <w:t>各型</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kern w:val="0"/>
                <w:sz w:val="18"/>
                <w:szCs w:val="18"/>
                <w:lang w:bidi="ar"/>
              </w:rPr>
              <w:t>吨</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sz w:val="18"/>
                <w:szCs w:val="18"/>
              </w:rPr>
              <w:t>36500</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联合招标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广州资源交易平台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十一标组织</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36"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钢绞线</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15.2mm</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吨</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7400</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联合招标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广州资源交易平台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十一标组织</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5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金属波纹管</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内径55mm</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m</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558937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二次寻源</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公司组织</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5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4</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金属波纹管</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内径70mm</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m</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166618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二次寻源</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公司组织</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78"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5</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钢筋连接器</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φ25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个</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96326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专业分包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线下</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班组自购</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5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6</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钢筋连接器</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φ20</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个</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90664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专业分包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线下</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班组自购</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5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7</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钢筋连接器</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φ16</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个</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204316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专业分包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线下</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班组自购</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5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8</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锚具连接器</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1584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49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9</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锚具连接器</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4312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49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10</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YMB15-4</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368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49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YMB15-5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980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49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YMB15-6</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824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49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YM15-3</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40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03"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14</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YM15-4</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26328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62"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15</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YM15-5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18672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44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16</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YM15-6</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7436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66"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17</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YM15-7</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608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639"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18</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锚具</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YM15-11</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b/>
                <w:bCs/>
                <w:sz w:val="18"/>
                <w:szCs w:val="18"/>
              </w:rPr>
            </w:pPr>
            <w:r>
              <w:rPr>
                <w:rFonts w:hint="eastAsia" w:ascii="仿宋" w:hAnsi="仿宋" w:eastAsia="仿宋" w:cs="仿宋"/>
                <w:color w:val="000000"/>
                <w:kern w:val="0"/>
                <w:sz w:val="18"/>
                <w:szCs w:val="18"/>
                <w:lang w:bidi="ar"/>
              </w:rPr>
              <w:t xml:space="preserve">672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7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19</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水泥</w:t>
            </w:r>
          </w:p>
        </w:tc>
        <w:tc>
          <w:tcPr>
            <w:tcW w:w="1297" w:type="dxa"/>
            <w:tcBorders>
              <w:top w:val="nil"/>
              <w:left w:val="nil"/>
              <w:bottom w:val="single" w:color="auto" w:sz="4" w:space="0"/>
              <w:right w:val="single" w:color="auto" w:sz="4" w:space="0"/>
            </w:tcBorders>
            <w:shd w:val="clear" w:color="auto" w:fill="auto"/>
            <w:vAlign w:val="center"/>
          </w:tcPr>
          <w:p>
            <w:pPr>
              <w:rPr>
                <w:rFonts w:hint="eastAsia" w:ascii="仿宋" w:hAnsi="仿宋" w:eastAsia="仿宋" w:cs="仿宋"/>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t</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89426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联合招标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广州资源交易平台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十二标组织</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7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20</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河砂</w:t>
            </w:r>
          </w:p>
        </w:tc>
        <w:tc>
          <w:tcPr>
            <w:tcW w:w="1297" w:type="dxa"/>
            <w:tcBorders>
              <w:top w:val="nil"/>
              <w:left w:val="nil"/>
              <w:bottom w:val="single" w:color="auto" w:sz="4" w:space="0"/>
              <w:right w:val="single" w:color="auto" w:sz="4" w:space="0"/>
            </w:tcBorders>
            <w:shd w:val="clear" w:color="auto" w:fill="auto"/>
            <w:vAlign w:val="center"/>
          </w:tcPr>
          <w:p>
            <w:pPr>
              <w:rPr>
                <w:rFonts w:hint="eastAsia" w:ascii="仿宋" w:hAnsi="仿宋" w:eastAsia="仿宋" w:cs="仿宋"/>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t</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128550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公开竞谈</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公司组织</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652"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碎石</w:t>
            </w:r>
          </w:p>
        </w:tc>
        <w:tc>
          <w:tcPr>
            <w:tcW w:w="1297" w:type="dxa"/>
            <w:tcBorders>
              <w:top w:val="nil"/>
              <w:left w:val="nil"/>
              <w:bottom w:val="single" w:color="auto" w:sz="4" w:space="0"/>
              <w:right w:val="single" w:color="auto" w:sz="4" w:space="0"/>
            </w:tcBorders>
            <w:shd w:val="clear" w:color="auto" w:fill="auto"/>
            <w:vAlign w:val="center"/>
          </w:tcPr>
          <w:p>
            <w:pPr>
              <w:rPr>
                <w:rFonts w:hint="eastAsia" w:ascii="仿宋" w:hAnsi="仿宋" w:eastAsia="仿宋" w:cs="仿宋"/>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t</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209965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公开竞谈</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公司组织</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481"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减水剂</w:t>
            </w:r>
          </w:p>
        </w:tc>
        <w:tc>
          <w:tcPr>
            <w:tcW w:w="1297" w:type="dxa"/>
            <w:tcBorders>
              <w:top w:val="nil"/>
              <w:left w:val="nil"/>
              <w:bottom w:val="single" w:color="auto" w:sz="4" w:space="0"/>
              <w:right w:val="single" w:color="auto" w:sz="4" w:space="0"/>
            </w:tcBorders>
            <w:shd w:val="clear" w:color="auto" w:fill="auto"/>
            <w:vAlign w:val="center"/>
          </w:tcPr>
          <w:p>
            <w:pPr>
              <w:rPr>
                <w:rFonts w:hint="eastAsia" w:ascii="仿宋" w:hAnsi="仿宋" w:eastAsia="仿宋" w:cs="仿宋"/>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t</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1341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4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压浆料</w:t>
            </w:r>
          </w:p>
        </w:tc>
        <w:tc>
          <w:tcPr>
            <w:tcW w:w="1297" w:type="dxa"/>
            <w:tcBorders>
              <w:top w:val="nil"/>
              <w:left w:val="nil"/>
              <w:bottom w:val="single" w:color="auto" w:sz="4" w:space="0"/>
              <w:right w:val="single" w:color="auto" w:sz="4" w:space="0"/>
            </w:tcBorders>
            <w:shd w:val="clear" w:color="auto" w:fill="auto"/>
            <w:vAlign w:val="center"/>
          </w:tcPr>
          <w:p>
            <w:pPr>
              <w:rPr>
                <w:rFonts w:hint="eastAsia" w:ascii="仿宋" w:hAnsi="仿宋" w:eastAsia="仿宋" w:cs="仿宋"/>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t</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800</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局集采/公开招标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项目自购/公司组织</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56"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24</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橡胶缓冲块</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30×30 ×2cm</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752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公开询价</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566"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25</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橡胶缓冲块</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30×30 ×5cm</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16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公开询价</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63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26</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橡胶缓冲块</w:t>
            </w:r>
          </w:p>
        </w:tc>
        <w:tc>
          <w:tcPr>
            <w:tcW w:w="1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200*200*50mm</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sz w:val="18"/>
                <w:szCs w:val="18"/>
              </w:rPr>
            </w:pPr>
            <w:r>
              <w:rPr>
                <w:rFonts w:hint="eastAsia" w:ascii="仿宋" w:hAnsi="仿宋" w:eastAsia="仿宋" w:cs="仿宋"/>
                <w:color w:val="000000"/>
                <w:kern w:val="0"/>
                <w:sz w:val="18"/>
                <w:szCs w:val="18"/>
                <w:lang w:bidi="ar"/>
              </w:rPr>
              <w:t>块</w:t>
            </w:r>
          </w:p>
        </w:tc>
        <w:tc>
          <w:tcPr>
            <w:tcW w:w="128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708 </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公开询价</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项目自购</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仿宋" w:hAnsi="仿宋" w:eastAsia="仿宋" w:cs="仿宋"/>
                <w:color w:val="000000"/>
                <w:kern w:val="0"/>
                <w:sz w:val="18"/>
                <w:szCs w:val="18"/>
                <w:lang w:bidi="ar"/>
              </w:rPr>
            </w:pPr>
          </w:p>
        </w:tc>
      </w:tr>
      <w:tr>
        <w:tblPrEx>
          <w:tblCellMar>
            <w:top w:w="0" w:type="dxa"/>
            <w:left w:w="108" w:type="dxa"/>
            <w:bottom w:w="0" w:type="dxa"/>
            <w:right w:w="108" w:type="dxa"/>
          </w:tblCellMar>
        </w:tblPrEx>
        <w:trPr>
          <w:trHeight w:val="766"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color w:val="000000"/>
                <w:kern w:val="0"/>
                <w:sz w:val="18"/>
                <w:szCs w:val="18"/>
              </w:rPr>
            </w:pPr>
            <w:r>
              <w:rPr>
                <w:rFonts w:hint="eastAsia" w:ascii="仿宋" w:hAnsi="仿宋" w:eastAsia="仿宋" w:cs="仿宋"/>
                <w:color w:val="000000"/>
                <w:kern w:val="0"/>
                <w:sz w:val="18"/>
                <w:szCs w:val="18"/>
                <w:lang w:bidi="ar"/>
              </w:rPr>
              <w:t>27</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olor w:val="000000"/>
                <w:sz w:val="18"/>
                <w:szCs w:val="18"/>
              </w:rPr>
            </w:pPr>
            <w:r>
              <w:rPr>
                <w:rFonts w:hint="eastAsia" w:ascii="仿宋" w:hAnsi="仿宋" w:eastAsia="仿宋" w:cs="仿宋"/>
                <w:color w:val="000000"/>
                <w:kern w:val="0"/>
                <w:sz w:val="18"/>
                <w:szCs w:val="18"/>
                <w:lang w:bidi="ar"/>
              </w:rPr>
              <w:t>台座面板（不锈钢）</w:t>
            </w:r>
          </w:p>
        </w:tc>
        <w:tc>
          <w:tcPr>
            <w:tcW w:w="129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olor w:val="000000"/>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000000"/>
                <w:sz w:val="18"/>
                <w:szCs w:val="18"/>
              </w:rPr>
            </w:pPr>
            <w:r>
              <w:rPr>
                <w:rFonts w:hint="eastAsia" w:ascii="宋体" w:hAnsi="宋体" w:eastAsia="宋体"/>
                <w:color w:val="000000"/>
                <w:sz w:val="18"/>
                <w:szCs w:val="18"/>
              </w:rPr>
              <w:t>批</w:t>
            </w:r>
          </w:p>
        </w:tc>
        <w:tc>
          <w:tcPr>
            <w:tcW w:w="128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sz w:val="18"/>
                <w:szCs w:val="18"/>
              </w:rPr>
            </w:pPr>
            <w:r>
              <w:rPr>
                <w:rFonts w:hint="eastAsia" w:ascii="仿宋" w:hAnsi="仿宋" w:eastAsia="仿宋" w:cs="仿宋"/>
                <w:color w:val="000000"/>
                <w:sz w:val="18"/>
                <w:szCs w:val="18"/>
              </w:rPr>
              <w:t>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highlight w:val="yellow"/>
              </w:rPr>
            </w:pPr>
            <w:r>
              <w:rPr>
                <w:rFonts w:hint="eastAsia" w:ascii="仿宋" w:hAnsi="仿宋" w:eastAsia="仿宋" w:cs="仿宋"/>
                <w:color w:val="000000"/>
                <w:kern w:val="0"/>
                <w:sz w:val="18"/>
                <w:szCs w:val="18"/>
                <w:lang w:bidi="ar"/>
              </w:rPr>
              <w:t>公开询价</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highlight w:val="yellow"/>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color w:val="000000"/>
                <w:kern w:val="0"/>
                <w:sz w:val="18"/>
                <w:szCs w:val="18"/>
                <w:lang w:bidi="ar"/>
              </w:rPr>
              <w:t>项目自购</w:t>
            </w:r>
          </w:p>
        </w:tc>
        <w:tc>
          <w:tcPr>
            <w:tcW w:w="113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宋体" w:hAnsi="宋体" w:eastAsia="宋体" w:cs="Arial"/>
                <w:color w:val="000000"/>
                <w:kern w:val="0"/>
                <w:sz w:val="18"/>
                <w:szCs w:val="18"/>
              </w:rPr>
            </w:pPr>
          </w:p>
        </w:tc>
      </w:tr>
      <w:tr>
        <w:tblPrEx>
          <w:tblCellMar>
            <w:top w:w="0" w:type="dxa"/>
            <w:left w:w="108" w:type="dxa"/>
            <w:bottom w:w="0" w:type="dxa"/>
            <w:right w:w="108" w:type="dxa"/>
          </w:tblCellMar>
        </w:tblPrEx>
        <w:trPr>
          <w:trHeight w:val="578"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kern w:val="0"/>
                <w:sz w:val="18"/>
                <w:szCs w:val="18"/>
              </w:rPr>
            </w:pPr>
            <w:r>
              <w:rPr>
                <w:rFonts w:hint="eastAsia" w:ascii="宋体" w:hAnsi="宋体" w:eastAsia="宋体" w:cs="Arial"/>
                <w:color w:val="000000"/>
                <w:kern w:val="0"/>
                <w:sz w:val="18"/>
                <w:szCs w:val="18"/>
              </w:rPr>
              <w:t>28</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柴油</w:t>
            </w:r>
          </w:p>
        </w:tc>
        <w:tc>
          <w:tcPr>
            <w:tcW w:w="129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批</w:t>
            </w:r>
          </w:p>
        </w:tc>
        <w:tc>
          <w:tcPr>
            <w:tcW w:w="128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color w:val="000000"/>
                <w:kern w:val="0"/>
                <w:sz w:val="18"/>
                <w:szCs w:val="18"/>
                <w:lang w:bidi="ar"/>
              </w:rPr>
              <w:t>询价</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color w:val="000000"/>
                <w:kern w:val="0"/>
                <w:sz w:val="18"/>
                <w:szCs w:val="18"/>
                <w:lang w:bidi="ar"/>
              </w:rPr>
              <w:t>线下</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color w:val="000000"/>
                <w:kern w:val="0"/>
                <w:sz w:val="18"/>
                <w:szCs w:val="18"/>
                <w:lang w:bidi="ar"/>
              </w:rPr>
              <w:t>项目自购</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Arial"/>
                <w:strike/>
                <w:color w:val="000000"/>
                <w:kern w:val="0"/>
                <w:sz w:val="18"/>
                <w:szCs w:val="18"/>
              </w:rPr>
            </w:pPr>
          </w:p>
        </w:tc>
      </w:tr>
      <w:tr>
        <w:tblPrEx>
          <w:tblCellMar>
            <w:top w:w="0" w:type="dxa"/>
            <w:left w:w="108" w:type="dxa"/>
            <w:bottom w:w="0" w:type="dxa"/>
            <w:right w:w="108" w:type="dxa"/>
          </w:tblCellMar>
        </w:tblPrEx>
        <w:trPr>
          <w:trHeight w:val="684"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kern w:val="0"/>
                <w:sz w:val="18"/>
                <w:szCs w:val="18"/>
              </w:rPr>
            </w:pPr>
            <w:r>
              <w:rPr>
                <w:rFonts w:hint="eastAsia" w:ascii="宋体" w:hAnsi="宋体" w:eastAsia="宋体" w:cs="Arial"/>
                <w:kern w:val="0"/>
                <w:sz w:val="18"/>
                <w:szCs w:val="18"/>
              </w:rPr>
              <w:t>29</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安全防护类</w:t>
            </w:r>
          </w:p>
        </w:tc>
        <w:tc>
          <w:tcPr>
            <w:tcW w:w="129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具备条件下</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批</w:t>
            </w:r>
          </w:p>
        </w:tc>
        <w:tc>
          <w:tcPr>
            <w:tcW w:w="128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kern w:val="0"/>
                <w:sz w:val="18"/>
                <w:szCs w:val="18"/>
              </w:rPr>
              <w:t>公开招标/询价</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kern w:val="0"/>
                <w:sz w:val="18"/>
                <w:szCs w:val="18"/>
              </w:rPr>
              <w:t>公司组织</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Arial"/>
                <w:strike/>
                <w:color w:val="000000"/>
                <w:kern w:val="0"/>
                <w:sz w:val="18"/>
                <w:szCs w:val="18"/>
              </w:rPr>
            </w:pPr>
          </w:p>
        </w:tc>
      </w:tr>
      <w:tr>
        <w:tblPrEx>
          <w:tblCellMar>
            <w:top w:w="0" w:type="dxa"/>
            <w:left w:w="108" w:type="dxa"/>
            <w:bottom w:w="0" w:type="dxa"/>
            <w:right w:w="108" w:type="dxa"/>
          </w:tblCellMar>
        </w:tblPrEx>
        <w:trPr>
          <w:trHeight w:val="578"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kern w:val="0"/>
                <w:sz w:val="18"/>
                <w:szCs w:val="18"/>
              </w:rPr>
            </w:pPr>
            <w:r>
              <w:rPr>
                <w:rFonts w:hint="eastAsia" w:ascii="宋体" w:hAnsi="宋体" w:eastAsia="宋体" w:cs="Arial"/>
                <w:kern w:val="0"/>
                <w:sz w:val="18"/>
                <w:szCs w:val="18"/>
              </w:rPr>
              <w:t>30</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电线电缆</w:t>
            </w:r>
          </w:p>
        </w:tc>
        <w:tc>
          <w:tcPr>
            <w:tcW w:w="1297"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钢结构、搅拌站莲、梁场</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批</w:t>
            </w:r>
          </w:p>
        </w:tc>
        <w:tc>
          <w:tcPr>
            <w:tcW w:w="128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kern w:val="0"/>
                <w:sz w:val="18"/>
                <w:szCs w:val="18"/>
              </w:rPr>
              <w:t>公开招标/询价</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kern w:val="0"/>
                <w:sz w:val="18"/>
                <w:szCs w:val="18"/>
              </w:rPr>
              <w:t>鲁班平台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18"/>
                <w:szCs w:val="18"/>
              </w:rPr>
            </w:pPr>
            <w:r>
              <w:rPr>
                <w:rFonts w:hint="eastAsia" w:ascii="仿宋" w:hAnsi="仿宋" w:eastAsia="仿宋" w:cs="仿宋"/>
                <w:kern w:val="0"/>
                <w:sz w:val="18"/>
                <w:szCs w:val="18"/>
              </w:rPr>
              <w:t>公司组织</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Arial"/>
                <w:color w:val="000000"/>
                <w:kern w:val="0"/>
                <w:sz w:val="18"/>
                <w:szCs w:val="18"/>
              </w:rPr>
            </w:pPr>
          </w:p>
        </w:tc>
      </w:tr>
      <w:tr>
        <w:tblPrEx>
          <w:tblCellMar>
            <w:top w:w="0" w:type="dxa"/>
            <w:left w:w="108" w:type="dxa"/>
            <w:bottom w:w="0" w:type="dxa"/>
            <w:right w:w="108" w:type="dxa"/>
          </w:tblCellMar>
        </w:tblPrEx>
        <w:trPr>
          <w:trHeight w:val="57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kern w:val="0"/>
                <w:sz w:val="18"/>
                <w:szCs w:val="18"/>
              </w:rPr>
            </w:pPr>
            <w:r>
              <w:rPr>
                <w:rFonts w:hint="eastAsia" w:ascii="宋体" w:hAnsi="宋体" w:eastAsia="宋体" w:cs="Arial"/>
                <w:kern w:val="0"/>
                <w:sz w:val="18"/>
                <w:szCs w:val="18"/>
              </w:rPr>
              <w:t>31</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配电箱</w:t>
            </w:r>
          </w:p>
        </w:tc>
        <w:tc>
          <w:tcPr>
            <w:tcW w:w="129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批</w:t>
            </w:r>
          </w:p>
        </w:tc>
        <w:tc>
          <w:tcPr>
            <w:tcW w:w="128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内部加工</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钢结构公司</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Arial"/>
                <w:strike/>
                <w:color w:val="000000"/>
                <w:kern w:val="0"/>
                <w:sz w:val="18"/>
                <w:szCs w:val="18"/>
              </w:rPr>
            </w:pPr>
          </w:p>
        </w:tc>
      </w:tr>
      <w:tr>
        <w:tblPrEx>
          <w:tblCellMar>
            <w:top w:w="0" w:type="dxa"/>
            <w:left w:w="108" w:type="dxa"/>
            <w:bottom w:w="0" w:type="dxa"/>
            <w:right w:w="108" w:type="dxa"/>
          </w:tblCellMar>
        </w:tblPrEx>
        <w:trPr>
          <w:trHeight w:val="558"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kern w:val="0"/>
                <w:sz w:val="18"/>
                <w:szCs w:val="18"/>
              </w:rPr>
            </w:pPr>
            <w:r>
              <w:rPr>
                <w:rFonts w:hint="eastAsia" w:ascii="宋体" w:hAnsi="宋体" w:eastAsia="宋体" w:cs="Arial"/>
                <w:kern w:val="0"/>
                <w:sz w:val="18"/>
                <w:szCs w:val="18"/>
              </w:rPr>
              <w:t>32</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钢轨</w:t>
            </w:r>
          </w:p>
        </w:tc>
        <w:tc>
          <w:tcPr>
            <w:tcW w:w="129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批</w:t>
            </w:r>
          </w:p>
        </w:tc>
        <w:tc>
          <w:tcPr>
            <w:tcW w:w="128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内部调拨</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eastAsia="zh-CN" w:bidi="ar"/>
              </w:rPr>
            </w:pPr>
            <w:r>
              <w:rPr>
                <w:rFonts w:hint="eastAsia" w:ascii="仿宋" w:hAnsi="仿宋" w:eastAsia="仿宋" w:cs="仿宋"/>
                <w:color w:val="000000"/>
                <w:kern w:val="0"/>
                <w:sz w:val="18"/>
                <w:szCs w:val="18"/>
                <w:lang w:bidi="ar"/>
              </w:rPr>
              <w:t>项目</w:t>
            </w:r>
            <w:r>
              <w:rPr>
                <w:rFonts w:hint="eastAsia" w:ascii="仿宋" w:hAnsi="仿宋" w:eastAsia="仿宋" w:cs="仿宋"/>
                <w:color w:val="000000"/>
                <w:kern w:val="0"/>
                <w:sz w:val="18"/>
                <w:szCs w:val="18"/>
                <w:lang w:val="en-US" w:eastAsia="zh-CN" w:bidi="ar"/>
              </w:rPr>
              <w:t>调拨</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天庄、鸡商、宣绩等项目调拨</w:t>
            </w:r>
          </w:p>
        </w:tc>
      </w:tr>
      <w:tr>
        <w:tblPrEx>
          <w:tblCellMar>
            <w:top w:w="0" w:type="dxa"/>
            <w:left w:w="108" w:type="dxa"/>
            <w:bottom w:w="0" w:type="dxa"/>
            <w:right w:w="108" w:type="dxa"/>
          </w:tblCellMar>
        </w:tblPrEx>
        <w:trPr>
          <w:trHeight w:val="592"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kern w:val="0"/>
                <w:sz w:val="18"/>
                <w:szCs w:val="18"/>
              </w:rPr>
            </w:pPr>
            <w:r>
              <w:rPr>
                <w:rFonts w:hint="eastAsia" w:ascii="宋体" w:hAnsi="宋体" w:eastAsia="宋体" w:cs="Arial"/>
                <w:kern w:val="0"/>
                <w:sz w:val="18"/>
                <w:szCs w:val="18"/>
              </w:rPr>
              <w:t>33</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钢模板</w:t>
            </w:r>
          </w:p>
        </w:tc>
        <w:tc>
          <w:tcPr>
            <w:tcW w:w="129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预制构件　</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批</w:t>
            </w:r>
          </w:p>
        </w:tc>
        <w:tc>
          <w:tcPr>
            <w:tcW w:w="128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1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内部加工</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线下</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钢结构公司</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Arial"/>
                <w:color w:val="000000"/>
                <w:kern w:val="0"/>
                <w:sz w:val="18"/>
                <w:szCs w:val="18"/>
              </w:rPr>
            </w:pPr>
          </w:p>
        </w:tc>
      </w:tr>
      <w:tr>
        <w:tblPrEx>
          <w:tblCellMar>
            <w:top w:w="0" w:type="dxa"/>
            <w:left w:w="108" w:type="dxa"/>
            <w:bottom w:w="0" w:type="dxa"/>
            <w:right w:w="108" w:type="dxa"/>
          </w:tblCellMar>
        </w:tblPrEx>
        <w:trPr>
          <w:trHeight w:val="602"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kern w:val="0"/>
                <w:sz w:val="18"/>
                <w:szCs w:val="18"/>
              </w:rPr>
            </w:pPr>
            <w:r>
              <w:rPr>
                <w:rFonts w:hint="eastAsia" w:ascii="宋体" w:hAnsi="宋体" w:eastAsia="宋体" w:cs="Arial"/>
                <w:kern w:val="0"/>
                <w:sz w:val="18"/>
                <w:szCs w:val="18"/>
              </w:rPr>
              <w:t>34</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钢模板</w:t>
            </w:r>
          </w:p>
        </w:tc>
        <w:tc>
          <w:tcPr>
            <w:tcW w:w="12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批</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公开竞谈</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鲁班平台</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18"/>
                <w:szCs w:val="18"/>
                <w:lang w:bidi="ar"/>
              </w:rPr>
            </w:pPr>
            <w:r>
              <w:rPr>
                <w:rFonts w:hint="eastAsia" w:ascii="仿宋" w:hAnsi="仿宋" w:eastAsia="仿宋" w:cs="仿宋"/>
                <w:kern w:val="0"/>
                <w:sz w:val="18"/>
                <w:szCs w:val="18"/>
              </w:rPr>
              <w:t>公司组织</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Arial"/>
                <w:color w:val="000000"/>
                <w:kern w:val="0"/>
                <w:sz w:val="18"/>
                <w:szCs w:val="18"/>
              </w:rPr>
            </w:pPr>
          </w:p>
        </w:tc>
      </w:tr>
      <w:bookmarkEnd w:id="27"/>
    </w:tbl>
    <w:p>
      <w:pPr>
        <w:pStyle w:val="98"/>
        <w:ind w:left="0" w:leftChars="0" w:firstLine="0" w:firstLineChars="0"/>
        <w:contextualSpacing/>
        <w:outlineLvl w:val="9"/>
        <w:rPr>
          <w:rFonts w:hint="eastAsia" w:ascii="仿宋" w:hAnsi="仿宋" w:eastAsia="仿宋" w:cs="仿宋"/>
          <w:b/>
          <w:bCs/>
          <w:sz w:val="28"/>
          <w:szCs w:val="28"/>
          <w:highlight w:val="none"/>
        </w:rPr>
      </w:pPr>
    </w:p>
    <w:p>
      <w:pPr>
        <w:pStyle w:val="98"/>
        <w:ind w:left="-136" w:firstLine="562"/>
        <w:contextualSpacing/>
        <w:outlineLvl w:val="2"/>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2.物资招标</w:t>
      </w:r>
    </w:p>
    <w:p>
      <w:pPr>
        <w:pStyle w:val="98"/>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考虑市场行情、供应商垫资能力及供应能力、综合采购成本等各类因素，考虑备选垫资供应商。包件划分及招标批次具体如下：</w:t>
      </w:r>
    </w:p>
    <w:tbl>
      <w:tblPr>
        <w:tblStyle w:val="115"/>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268"/>
        <w:gridCol w:w="868"/>
        <w:gridCol w:w="1276"/>
        <w:gridCol w:w="1701"/>
        <w:gridCol w:w="126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jc w:val="center"/>
        </w:trPr>
        <w:tc>
          <w:tcPr>
            <w:tcW w:w="1696" w:type="dxa"/>
            <w:shd w:val="clear" w:color="auto" w:fill="5B9BD5" w:themeFill="accent1"/>
            <w:vAlign w:val="center"/>
          </w:tcPr>
          <w:p>
            <w:pPr>
              <w:spacing w:line="240" w:lineRule="exact"/>
              <w:jc w:val="center"/>
              <w:rPr>
                <w:rFonts w:hint="eastAsia" w:ascii="宋体" w:hAnsi="宋体" w:eastAsia="宋体" w:cs="微软雅黑"/>
                <w:color w:val="FFFFFF" w:themeColor="background1"/>
                <w:szCs w:val="21"/>
                <w14:textFill>
                  <w14:solidFill>
                    <w14:schemeClr w14:val="bg1"/>
                  </w14:solidFill>
                </w14:textFill>
              </w:rPr>
            </w:pPr>
            <w:r>
              <w:rPr>
                <w:rFonts w:hint="eastAsia" w:ascii="宋体" w:hAnsi="宋体" w:eastAsia="宋体" w:cs="微软雅黑"/>
                <w:color w:val="FFFFFF" w:themeColor="background1"/>
                <w:szCs w:val="21"/>
                <w14:textFill>
                  <w14:solidFill>
                    <w14:schemeClr w14:val="bg1"/>
                  </w14:solidFill>
                </w14:textFill>
              </w:rPr>
              <w:t>物资</w:t>
            </w:r>
            <w:r>
              <w:rPr>
                <w:rFonts w:ascii="宋体" w:hAnsi="宋体" w:eastAsia="宋体" w:cs="微软雅黑"/>
                <w:color w:val="FFFFFF" w:themeColor="background1"/>
                <w:szCs w:val="21"/>
                <w14:textFill>
                  <w14:solidFill>
                    <w14:schemeClr w14:val="bg1"/>
                  </w14:solidFill>
                </w14:textFill>
              </w:rPr>
              <w:t>名称</w:t>
            </w:r>
          </w:p>
        </w:tc>
        <w:tc>
          <w:tcPr>
            <w:tcW w:w="1268" w:type="dxa"/>
            <w:shd w:val="clear" w:color="auto" w:fill="5B9BD5" w:themeFill="accent1"/>
            <w:vAlign w:val="center"/>
          </w:tcPr>
          <w:p>
            <w:pPr>
              <w:spacing w:line="240" w:lineRule="exact"/>
              <w:jc w:val="center"/>
              <w:rPr>
                <w:rFonts w:hint="eastAsia" w:ascii="宋体" w:hAnsi="宋体" w:eastAsia="宋体" w:cs="微软雅黑"/>
                <w:color w:val="FFFFFF" w:themeColor="background1"/>
                <w:szCs w:val="21"/>
                <w14:textFill>
                  <w14:solidFill>
                    <w14:schemeClr w14:val="bg1"/>
                  </w14:solidFill>
                </w14:textFill>
              </w:rPr>
            </w:pPr>
            <w:r>
              <w:rPr>
                <w:rFonts w:hint="eastAsia" w:ascii="宋体" w:hAnsi="宋体" w:eastAsia="宋体" w:cs="微软雅黑"/>
                <w:color w:val="FFFFFF" w:themeColor="background1"/>
                <w:szCs w:val="21"/>
                <w14:textFill>
                  <w14:solidFill>
                    <w14:schemeClr w14:val="bg1"/>
                  </w14:solidFill>
                </w14:textFill>
              </w:rPr>
              <w:t>包件</w:t>
            </w:r>
            <w:r>
              <w:rPr>
                <w:rFonts w:ascii="宋体" w:hAnsi="宋体" w:eastAsia="宋体" w:cs="微软雅黑"/>
                <w:color w:val="FFFFFF" w:themeColor="background1"/>
                <w:szCs w:val="21"/>
                <w14:textFill>
                  <w14:solidFill>
                    <w14:schemeClr w14:val="bg1"/>
                  </w14:solidFill>
                </w14:textFill>
              </w:rPr>
              <w:t>号</w:t>
            </w:r>
          </w:p>
        </w:tc>
        <w:tc>
          <w:tcPr>
            <w:tcW w:w="868" w:type="dxa"/>
            <w:shd w:val="clear" w:color="auto" w:fill="5B9BD5" w:themeFill="accent1"/>
            <w:vAlign w:val="center"/>
          </w:tcPr>
          <w:p>
            <w:pPr>
              <w:spacing w:line="240" w:lineRule="exact"/>
              <w:jc w:val="center"/>
              <w:rPr>
                <w:rFonts w:hint="eastAsia" w:ascii="宋体" w:hAnsi="宋体" w:eastAsia="宋体" w:cs="微软雅黑"/>
                <w:color w:val="FFFFFF" w:themeColor="background1"/>
                <w:szCs w:val="21"/>
                <w14:textFill>
                  <w14:solidFill>
                    <w14:schemeClr w14:val="bg1"/>
                  </w14:solidFill>
                </w14:textFill>
              </w:rPr>
            </w:pPr>
            <w:r>
              <w:rPr>
                <w:rFonts w:hint="eastAsia" w:ascii="宋体" w:hAnsi="宋体" w:eastAsia="宋体" w:cs="微软雅黑"/>
                <w:color w:val="FFFFFF" w:themeColor="background1"/>
                <w:szCs w:val="21"/>
                <w14:textFill>
                  <w14:solidFill>
                    <w14:schemeClr w14:val="bg1"/>
                  </w14:solidFill>
                </w14:textFill>
              </w:rPr>
              <w:t>单位</w:t>
            </w:r>
          </w:p>
        </w:tc>
        <w:tc>
          <w:tcPr>
            <w:tcW w:w="1276" w:type="dxa"/>
            <w:shd w:val="clear" w:color="auto" w:fill="5B9BD5" w:themeFill="accent1"/>
            <w:vAlign w:val="center"/>
          </w:tcPr>
          <w:p>
            <w:pPr>
              <w:spacing w:line="240" w:lineRule="exact"/>
              <w:jc w:val="center"/>
              <w:rPr>
                <w:rFonts w:hint="eastAsia" w:ascii="宋体" w:hAnsi="宋体" w:eastAsia="宋体" w:cs="微软雅黑"/>
                <w:color w:val="FFFFFF" w:themeColor="background1"/>
                <w:szCs w:val="21"/>
                <w14:textFill>
                  <w14:solidFill>
                    <w14:schemeClr w14:val="bg1"/>
                  </w14:solidFill>
                </w14:textFill>
              </w:rPr>
            </w:pPr>
            <w:r>
              <w:rPr>
                <w:rFonts w:hint="eastAsia" w:ascii="宋体" w:hAnsi="宋体" w:eastAsia="宋体" w:cs="微软雅黑"/>
                <w:color w:val="FFFFFF" w:themeColor="background1"/>
                <w:szCs w:val="21"/>
                <w14:textFill>
                  <w14:solidFill>
                    <w14:schemeClr w14:val="bg1"/>
                  </w14:solidFill>
                </w14:textFill>
              </w:rPr>
              <w:t>包件数量</w:t>
            </w:r>
          </w:p>
        </w:tc>
        <w:tc>
          <w:tcPr>
            <w:tcW w:w="1701" w:type="dxa"/>
            <w:shd w:val="clear" w:color="auto" w:fill="5B9BD5" w:themeFill="accent1"/>
            <w:vAlign w:val="center"/>
          </w:tcPr>
          <w:p>
            <w:pPr>
              <w:spacing w:line="240" w:lineRule="exact"/>
              <w:jc w:val="center"/>
              <w:rPr>
                <w:rFonts w:hint="eastAsia" w:ascii="宋体" w:hAnsi="宋体" w:eastAsia="宋体" w:cs="微软雅黑"/>
                <w:color w:val="FFFFFF" w:themeColor="background1"/>
                <w:szCs w:val="21"/>
                <w14:textFill>
                  <w14:solidFill>
                    <w14:schemeClr w14:val="bg1"/>
                  </w14:solidFill>
                </w14:textFill>
              </w:rPr>
            </w:pPr>
            <w:r>
              <w:rPr>
                <w:rFonts w:hint="eastAsia" w:ascii="宋体" w:hAnsi="宋体" w:eastAsia="宋体" w:cs="微软雅黑"/>
                <w:color w:val="FFFFFF" w:themeColor="background1"/>
                <w:szCs w:val="21"/>
                <w14:textFill>
                  <w14:solidFill>
                    <w14:schemeClr w14:val="bg1"/>
                  </w14:solidFill>
                </w14:textFill>
              </w:rPr>
              <w:t>包件预估金额（万元）</w:t>
            </w:r>
          </w:p>
        </w:tc>
        <w:tc>
          <w:tcPr>
            <w:tcW w:w="1266" w:type="dxa"/>
            <w:shd w:val="clear" w:color="auto" w:fill="5B9BD5" w:themeFill="accent1"/>
            <w:vAlign w:val="center"/>
          </w:tcPr>
          <w:p>
            <w:pPr>
              <w:spacing w:line="240" w:lineRule="exact"/>
              <w:jc w:val="center"/>
              <w:rPr>
                <w:rFonts w:hint="eastAsia" w:ascii="宋体" w:hAnsi="宋体" w:eastAsia="宋体" w:cs="微软雅黑"/>
                <w:strike/>
                <w:color w:val="FFFFFF" w:themeColor="background1"/>
                <w:szCs w:val="21"/>
                <w14:textFill>
                  <w14:solidFill>
                    <w14:schemeClr w14:val="bg1"/>
                  </w14:solidFill>
                </w14:textFill>
              </w:rPr>
            </w:pPr>
            <w:r>
              <w:rPr>
                <w:rFonts w:hint="eastAsia" w:ascii="宋体" w:hAnsi="宋体" w:eastAsia="宋体" w:cs="微软雅黑"/>
                <w:color w:val="FFFFFF" w:themeColor="background1"/>
                <w:szCs w:val="21"/>
                <w14:textFill>
                  <w14:solidFill>
                    <w14:schemeClr w14:val="bg1"/>
                  </w14:solidFill>
                </w14:textFill>
              </w:rPr>
              <w:t>招标批次</w:t>
            </w:r>
          </w:p>
        </w:tc>
        <w:tc>
          <w:tcPr>
            <w:tcW w:w="1418" w:type="dxa"/>
            <w:shd w:val="clear" w:color="auto" w:fill="5B9BD5" w:themeFill="accent1"/>
            <w:vAlign w:val="center"/>
          </w:tcPr>
          <w:p>
            <w:pPr>
              <w:spacing w:line="240" w:lineRule="exact"/>
              <w:jc w:val="center"/>
              <w:rPr>
                <w:rFonts w:hint="eastAsia" w:ascii="宋体" w:hAnsi="宋体" w:eastAsia="宋体" w:cs="微软雅黑"/>
                <w:color w:val="FFFFFF" w:themeColor="background1"/>
                <w:szCs w:val="21"/>
                <w14:textFill>
                  <w14:solidFill>
                    <w14:schemeClr w14:val="bg1"/>
                  </w14:solidFill>
                </w14:textFill>
              </w:rPr>
            </w:pPr>
            <w:r>
              <w:rPr>
                <w:rFonts w:hint="eastAsia" w:ascii="宋体" w:hAnsi="宋体" w:eastAsia="宋体" w:cs="微软雅黑"/>
                <w:color w:val="FFFFFF" w:themeColor="background1"/>
                <w:szCs w:val="21"/>
                <w14:textFill>
                  <w14:solidFill>
                    <w14:schemeClr w14:val="bg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9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钢筋</w:t>
            </w:r>
          </w:p>
        </w:tc>
        <w:tc>
          <w:tcPr>
            <w:tcW w:w="1268" w:type="dxa"/>
            <w:vAlign w:val="center"/>
          </w:tcPr>
          <w:p>
            <w:pPr>
              <w:spacing w:line="240" w:lineRule="exact"/>
              <w:jc w:val="center"/>
              <w:rPr>
                <w:rFonts w:hint="eastAsia" w:ascii="宋体" w:hAnsi="宋体" w:eastAsia="宋体" w:cs="宋体"/>
                <w:color w:val="000000"/>
                <w:kern w:val="0"/>
                <w:szCs w:val="21"/>
              </w:rPr>
            </w:pPr>
            <w:r>
              <w:rPr>
                <w:rFonts w:ascii="宋体" w:hAnsi="宋体" w:eastAsia="宋体" w:cs="宋体"/>
                <w:color w:val="000000"/>
                <w:kern w:val="0"/>
                <w:szCs w:val="21"/>
              </w:rPr>
              <w:t>G</w:t>
            </w:r>
            <w:r>
              <w:rPr>
                <w:rFonts w:hint="eastAsia" w:ascii="宋体" w:hAnsi="宋体" w:eastAsia="宋体" w:cs="宋体"/>
                <w:color w:val="000000"/>
                <w:kern w:val="0"/>
                <w:szCs w:val="21"/>
              </w:rPr>
              <w:t>J-01</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40000</w:t>
            </w:r>
          </w:p>
        </w:tc>
        <w:tc>
          <w:tcPr>
            <w:tcW w:w="1701"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14400</w:t>
            </w:r>
          </w:p>
        </w:tc>
        <w:tc>
          <w:tcPr>
            <w:tcW w:w="126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微软雅黑"/>
                <w:szCs w:val="21"/>
              </w:rPr>
              <w:t>第一批</w:t>
            </w:r>
          </w:p>
        </w:tc>
        <w:tc>
          <w:tcPr>
            <w:tcW w:w="1418" w:type="dxa"/>
            <w:vAlign w:val="center"/>
          </w:tcPr>
          <w:p>
            <w:pPr>
              <w:widowControl/>
              <w:jc w:val="center"/>
              <w:rPr>
                <w:rFonts w:hint="eastAsia" w:ascii="宋体" w:hAnsi="宋体" w:eastAsia="宋体" w:cs="微软雅黑"/>
                <w:sz w:val="18"/>
                <w:szCs w:val="18"/>
              </w:rPr>
            </w:pPr>
            <w:r>
              <w:rPr>
                <w:rFonts w:hint="eastAsia" w:ascii="宋体" w:hAnsi="宋体" w:eastAsia="宋体" w:cs="微软雅黑"/>
                <w:szCs w:val="21"/>
              </w:rPr>
              <w:t>联合招标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9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水泥</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SN-01</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100000</w:t>
            </w:r>
          </w:p>
        </w:tc>
        <w:tc>
          <w:tcPr>
            <w:tcW w:w="1701"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3750</w:t>
            </w:r>
          </w:p>
        </w:tc>
        <w:tc>
          <w:tcPr>
            <w:tcW w:w="1266" w:type="dxa"/>
            <w:vAlign w:val="center"/>
          </w:tcPr>
          <w:p>
            <w:pPr>
              <w:spacing w:line="240" w:lineRule="exact"/>
              <w:jc w:val="center"/>
              <w:rPr>
                <w:rFonts w:hint="eastAsia" w:ascii="宋体" w:hAnsi="宋体" w:eastAsia="宋体" w:cs="宋体"/>
                <w:color w:val="000000"/>
                <w:kern w:val="0"/>
                <w:szCs w:val="21"/>
                <w:highlight w:val="yellow"/>
              </w:rPr>
            </w:pPr>
            <w:r>
              <w:rPr>
                <w:rFonts w:hint="eastAsia" w:ascii="宋体" w:hAnsi="宋体" w:eastAsia="宋体" w:cs="微软雅黑"/>
                <w:szCs w:val="21"/>
              </w:rPr>
              <w:t>第一批</w:t>
            </w:r>
          </w:p>
        </w:tc>
        <w:tc>
          <w:tcPr>
            <w:tcW w:w="1418" w:type="dxa"/>
            <w:vAlign w:val="center"/>
          </w:tcPr>
          <w:p>
            <w:pPr>
              <w:widowControl/>
              <w:jc w:val="center"/>
              <w:rPr>
                <w:rFonts w:hint="eastAsia" w:ascii="宋体" w:hAnsi="宋体" w:eastAsia="宋体" w:cs="微软雅黑"/>
                <w:sz w:val="18"/>
                <w:szCs w:val="18"/>
              </w:rPr>
            </w:pPr>
            <w:r>
              <w:rPr>
                <w:rFonts w:hint="eastAsia" w:ascii="宋体" w:hAnsi="宋体" w:eastAsia="宋体" w:cs="微软雅黑"/>
                <w:szCs w:val="21"/>
              </w:rPr>
              <w:t>联合招标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9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钢绞线</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GJX-01</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7200</w:t>
            </w:r>
          </w:p>
        </w:tc>
        <w:tc>
          <w:tcPr>
            <w:tcW w:w="1701"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3300</w:t>
            </w:r>
          </w:p>
        </w:tc>
        <w:tc>
          <w:tcPr>
            <w:tcW w:w="1266" w:type="dxa"/>
            <w:vAlign w:val="center"/>
          </w:tcPr>
          <w:p>
            <w:pPr>
              <w:spacing w:line="240" w:lineRule="exact"/>
              <w:jc w:val="center"/>
              <w:rPr>
                <w:rFonts w:hint="eastAsia" w:ascii="宋体" w:hAnsi="宋体" w:eastAsia="宋体" w:cs="宋体"/>
                <w:color w:val="000000"/>
                <w:kern w:val="0"/>
                <w:szCs w:val="21"/>
                <w:highlight w:val="yellow"/>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 w:val="18"/>
                <w:szCs w:val="18"/>
              </w:rPr>
            </w:pPr>
            <w:r>
              <w:rPr>
                <w:rFonts w:hint="eastAsia" w:ascii="宋体" w:hAnsi="宋体" w:eastAsia="宋体" w:cs="微软雅黑"/>
                <w:szCs w:val="21"/>
              </w:rPr>
              <w:t>联合招标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69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金属波纹管</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JSBWG-01</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m</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725555</w:t>
            </w:r>
          </w:p>
        </w:tc>
        <w:tc>
          <w:tcPr>
            <w:tcW w:w="1701"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260</w:t>
            </w:r>
          </w:p>
        </w:tc>
        <w:tc>
          <w:tcPr>
            <w:tcW w:w="1266"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 w:val="18"/>
                <w:szCs w:val="18"/>
              </w:rPr>
            </w:pPr>
            <w:r>
              <w:rPr>
                <w:rFonts w:hint="eastAsia" w:ascii="宋体" w:hAnsi="宋体" w:eastAsia="宋体" w:cs="微软雅黑"/>
                <w:szCs w:val="21"/>
              </w:rPr>
              <w:t>二次寻源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9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钢模板（梁）</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GMB-01</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p>
        </w:tc>
        <w:tc>
          <w:tcPr>
            <w:tcW w:w="1701" w:type="dxa"/>
            <w:vAlign w:val="center"/>
          </w:tcPr>
          <w:p>
            <w:pPr>
              <w:spacing w:line="240" w:lineRule="exact"/>
              <w:jc w:val="center"/>
              <w:rPr>
                <w:rFonts w:hint="eastAsia" w:ascii="宋体" w:hAnsi="宋体" w:eastAsia="宋体" w:cs="微软雅黑"/>
                <w:szCs w:val="21"/>
              </w:rPr>
            </w:pPr>
          </w:p>
        </w:tc>
        <w:tc>
          <w:tcPr>
            <w:tcW w:w="1266"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 w:val="18"/>
                <w:szCs w:val="18"/>
              </w:rPr>
            </w:pPr>
            <w:r>
              <w:rPr>
                <w:rFonts w:hint="eastAsia" w:ascii="宋体" w:hAnsi="宋体" w:eastAsia="宋体" w:cs="微软雅黑"/>
                <w:szCs w:val="21"/>
              </w:rPr>
              <w:t>公开竞谈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9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制梁材料</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锚具、压浆料</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批</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1701" w:type="dxa"/>
            <w:vAlign w:val="center"/>
          </w:tcPr>
          <w:p>
            <w:pPr>
              <w:spacing w:line="240" w:lineRule="exact"/>
              <w:jc w:val="center"/>
              <w:rPr>
                <w:rFonts w:hint="eastAsia" w:ascii="宋体" w:hAnsi="宋体" w:eastAsia="宋体" w:cs="微软雅黑"/>
                <w:szCs w:val="21"/>
              </w:rPr>
            </w:pPr>
          </w:p>
        </w:tc>
        <w:tc>
          <w:tcPr>
            <w:tcW w:w="1266"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Cs w:val="21"/>
                <w:lang w:val="en-US" w:eastAsia="zh-CN"/>
              </w:rPr>
            </w:pPr>
            <w:r>
              <w:rPr>
                <w:rFonts w:hint="eastAsia" w:ascii="宋体" w:hAnsi="宋体" w:eastAsia="宋体" w:cs="微软雅黑"/>
                <w:szCs w:val="21"/>
              </w:rPr>
              <w:t>局集采/公开</w:t>
            </w:r>
            <w:r>
              <w:rPr>
                <w:rFonts w:hint="eastAsia" w:ascii="宋体" w:hAnsi="宋体" w:eastAsia="宋体" w:cs="微软雅黑"/>
                <w:szCs w:val="21"/>
                <w:lang w:val="en-US" w:eastAsia="zh-CN"/>
              </w:rPr>
              <w:t>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96" w:type="dxa"/>
            <w:shd w:val="clear" w:color="auto" w:fill="auto"/>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机制砂</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JZS-01</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65000</w:t>
            </w:r>
          </w:p>
        </w:tc>
        <w:tc>
          <w:tcPr>
            <w:tcW w:w="1701"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770</w:t>
            </w:r>
          </w:p>
        </w:tc>
        <w:tc>
          <w:tcPr>
            <w:tcW w:w="126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公开竞谈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96" w:type="dxa"/>
            <w:shd w:val="clear" w:color="auto" w:fill="auto"/>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机制砂</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JZS-02</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65000</w:t>
            </w:r>
          </w:p>
        </w:tc>
        <w:tc>
          <w:tcPr>
            <w:tcW w:w="1701"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770</w:t>
            </w:r>
          </w:p>
        </w:tc>
        <w:tc>
          <w:tcPr>
            <w:tcW w:w="1266"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公开竞谈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96" w:type="dxa"/>
            <w:shd w:val="clear" w:color="auto" w:fill="auto"/>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碎石</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SS-01</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100000</w:t>
            </w:r>
          </w:p>
        </w:tc>
        <w:tc>
          <w:tcPr>
            <w:tcW w:w="1701"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1260</w:t>
            </w:r>
          </w:p>
        </w:tc>
        <w:tc>
          <w:tcPr>
            <w:tcW w:w="1266" w:type="dxa"/>
            <w:vAlign w:val="center"/>
          </w:tcPr>
          <w:p>
            <w:pPr>
              <w:spacing w:line="240" w:lineRule="exact"/>
              <w:jc w:val="center"/>
              <w:rPr>
                <w:rFonts w:hint="eastAsia" w:ascii="宋体" w:hAnsi="宋体" w:eastAsia="宋体" w:cs="宋体"/>
                <w:color w:val="000000"/>
                <w:kern w:val="0"/>
                <w:szCs w:val="21"/>
                <w:highlight w:val="yellow"/>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公开竞谈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96" w:type="dxa"/>
            <w:shd w:val="clear" w:color="auto" w:fill="auto"/>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碎石</w:t>
            </w:r>
          </w:p>
        </w:tc>
        <w:tc>
          <w:tcPr>
            <w:tcW w:w="12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SS-02</w:t>
            </w: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t</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100000</w:t>
            </w:r>
          </w:p>
        </w:tc>
        <w:tc>
          <w:tcPr>
            <w:tcW w:w="1701"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1260</w:t>
            </w:r>
          </w:p>
        </w:tc>
        <w:tc>
          <w:tcPr>
            <w:tcW w:w="1266"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第一批</w:t>
            </w:r>
          </w:p>
        </w:tc>
        <w:tc>
          <w:tcPr>
            <w:tcW w:w="1418"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公开竞谈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696" w:type="dxa"/>
            <w:shd w:val="clear" w:color="auto" w:fill="auto"/>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橡胶缓冲块</w:t>
            </w:r>
          </w:p>
        </w:tc>
        <w:tc>
          <w:tcPr>
            <w:tcW w:w="1268" w:type="dxa"/>
            <w:vAlign w:val="center"/>
          </w:tcPr>
          <w:p>
            <w:pPr>
              <w:spacing w:line="240" w:lineRule="exact"/>
              <w:jc w:val="center"/>
              <w:rPr>
                <w:rFonts w:hint="eastAsia" w:ascii="宋体" w:hAnsi="宋体" w:eastAsia="宋体" w:cs="宋体"/>
                <w:color w:val="000000"/>
                <w:kern w:val="0"/>
                <w:szCs w:val="21"/>
              </w:rPr>
            </w:pP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批</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1701" w:type="dxa"/>
            <w:vAlign w:val="center"/>
          </w:tcPr>
          <w:p>
            <w:pPr>
              <w:spacing w:line="240" w:lineRule="exact"/>
              <w:jc w:val="center"/>
              <w:rPr>
                <w:rFonts w:hint="eastAsia" w:ascii="宋体" w:hAnsi="宋体" w:eastAsia="宋体" w:cs="微软雅黑"/>
                <w:szCs w:val="21"/>
              </w:rPr>
            </w:pPr>
            <w:r>
              <w:rPr>
                <w:rFonts w:hint="eastAsia" w:ascii="等线" w:hAnsi="等线" w:eastAsia="等线"/>
                <w:color w:val="000000"/>
                <w:sz w:val="22"/>
              </w:rPr>
              <w:t>20</w:t>
            </w:r>
          </w:p>
        </w:tc>
        <w:tc>
          <w:tcPr>
            <w:tcW w:w="1266"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第二批</w:t>
            </w:r>
          </w:p>
        </w:tc>
        <w:tc>
          <w:tcPr>
            <w:tcW w:w="1418"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公开询价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96" w:type="dxa"/>
            <w:shd w:val="clear" w:color="auto" w:fill="auto"/>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台座面板（不锈钢）</w:t>
            </w:r>
          </w:p>
        </w:tc>
        <w:tc>
          <w:tcPr>
            <w:tcW w:w="1268" w:type="dxa"/>
            <w:vAlign w:val="center"/>
          </w:tcPr>
          <w:p>
            <w:pPr>
              <w:spacing w:line="240" w:lineRule="exact"/>
              <w:jc w:val="center"/>
              <w:rPr>
                <w:rFonts w:hint="eastAsia" w:ascii="宋体" w:hAnsi="宋体" w:eastAsia="宋体" w:cs="宋体"/>
                <w:color w:val="000000"/>
                <w:kern w:val="0"/>
                <w:szCs w:val="21"/>
              </w:rPr>
            </w:pPr>
          </w:p>
        </w:tc>
        <w:tc>
          <w:tcPr>
            <w:tcW w:w="868"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批</w:t>
            </w:r>
          </w:p>
        </w:tc>
        <w:tc>
          <w:tcPr>
            <w:tcW w:w="1276" w:type="dxa"/>
            <w:vAlign w:val="center"/>
          </w:tcPr>
          <w:p>
            <w:pPr>
              <w:spacing w:line="240" w:lineRule="exact"/>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1701" w:type="dxa"/>
            <w:vAlign w:val="center"/>
          </w:tcPr>
          <w:p>
            <w:pPr>
              <w:spacing w:line="240" w:lineRule="exact"/>
              <w:jc w:val="center"/>
              <w:rPr>
                <w:rFonts w:hint="eastAsia" w:ascii="宋体" w:hAnsi="宋体" w:eastAsia="宋体" w:cs="微软雅黑"/>
                <w:szCs w:val="21"/>
              </w:rPr>
            </w:pPr>
            <w:r>
              <w:rPr>
                <w:rFonts w:hint="eastAsia" w:ascii="等线" w:hAnsi="等线" w:eastAsia="等线"/>
                <w:color w:val="000000"/>
                <w:sz w:val="22"/>
              </w:rPr>
              <w:t>60</w:t>
            </w:r>
          </w:p>
        </w:tc>
        <w:tc>
          <w:tcPr>
            <w:tcW w:w="1266"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第二批</w:t>
            </w:r>
          </w:p>
        </w:tc>
        <w:tc>
          <w:tcPr>
            <w:tcW w:w="1418" w:type="dxa"/>
            <w:vAlign w:val="center"/>
          </w:tcPr>
          <w:p>
            <w:pPr>
              <w:spacing w:line="240" w:lineRule="exact"/>
              <w:jc w:val="center"/>
              <w:rPr>
                <w:rFonts w:hint="eastAsia" w:ascii="宋体" w:hAnsi="宋体" w:eastAsia="宋体" w:cs="微软雅黑"/>
                <w:szCs w:val="21"/>
              </w:rPr>
            </w:pPr>
            <w:r>
              <w:rPr>
                <w:rFonts w:hint="eastAsia" w:ascii="宋体" w:hAnsi="宋体" w:eastAsia="宋体" w:cs="微软雅黑"/>
                <w:szCs w:val="21"/>
              </w:rPr>
              <w:t>公开询价</w:t>
            </w:r>
          </w:p>
        </w:tc>
      </w:tr>
    </w:tbl>
    <w:p>
      <w:pPr>
        <w:pStyle w:val="98"/>
        <w:ind w:firstLine="281" w:firstLineChars="100"/>
        <w:contextualSpacing/>
        <w:outlineLvl w:val="2"/>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3.物资定价机制</w:t>
      </w:r>
    </w:p>
    <w:p>
      <w:pPr>
        <w:autoSpaceDE w:val="0"/>
        <w:spacing w:line="440" w:lineRule="exact"/>
        <w:ind w:firstLine="561"/>
        <w:jc w:val="left"/>
        <w:outlineLvl w:val="3"/>
        <w:rPr>
          <w:rFonts w:hint="eastAsia" w:ascii="仿宋" w:hAnsi="仿宋" w:eastAsia="仿宋" w:cs="微软雅黑"/>
          <w:sz w:val="24"/>
          <w:szCs w:val="24"/>
          <w:highlight w:val="none"/>
        </w:rPr>
      </w:pPr>
      <w:r>
        <w:rPr>
          <w:rFonts w:hint="eastAsia" w:ascii="仿宋" w:hAnsi="仿宋" w:eastAsia="仿宋" w:cs="微软雅黑"/>
          <w:sz w:val="24"/>
          <w:szCs w:val="24"/>
          <w:highlight w:val="none"/>
        </w:rPr>
        <w:t>（一）局物资公司供应物资根据局定价机制以及局战略采购相关文件执行。</w:t>
      </w:r>
    </w:p>
    <w:p>
      <w:pPr>
        <w:autoSpaceDE w:val="0"/>
        <w:spacing w:line="440" w:lineRule="exact"/>
        <w:ind w:firstLine="561"/>
        <w:jc w:val="left"/>
        <w:outlineLvl w:val="3"/>
        <w:rPr>
          <w:rFonts w:hint="eastAsia" w:ascii="仿宋" w:hAnsi="仿宋" w:eastAsia="仿宋" w:cs="微软雅黑"/>
          <w:sz w:val="24"/>
          <w:szCs w:val="24"/>
          <w:highlight w:val="none"/>
        </w:rPr>
      </w:pPr>
      <w:r>
        <w:rPr>
          <w:rFonts w:hint="eastAsia" w:ascii="仿宋" w:hAnsi="仿宋" w:eastAsia="仿宋" w:cs="微软雅黑"/>
          <w:sz w:val="24"/>
          <w:szCs w:val="24"/>
          <w:highlight w:val="none"/>
        </w:rPr>
        <w:t>（二）Ⅰ类材料（钢材、水泥、钢绞线）：供应期内以广东省交通运输工程造价事务中心按月发布的广东省交通建设工程主要外购及地方材料信息价为依据进行上下浮动。</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1）货物结算款=月度材料款+材料调差款;月度材料款=预结算单价*月度供应数量。</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2）预结算单价:各月计量以中标综合单价的90%作为预结算单价。如材料价格出现较大变化时，买方有权根据实际情况予以调整预结算单价，卖方须无条件接受。</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3）材料调差款(包含上一期未结的10%)每月进行一次计算，每季度进行一次结算当季度的材料调差最迟应在下一季度第二个月的计量支付中予以调整到位。</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4）莞深（土建标）采购价：钢材依据信息价下浮2%；水泥依据信息价下浮4%；钢绞线依据信息价上浮11.2%。</w:t>
      </w:r>
    </w:p>
    <w:p>
      <w:pPr>
        <w:autoSpaceDE w:val="0"/>
        <w:spacing w:line="440" w:lineRule="exact"/>
        <w:ind w:firstLine="561"/>
        <w:jc w:val="left"/>
        <w:outlineLvl w:val="3"/>
        <w:rPr>
          <w:rFonts w:hint="eastAsia" w:ascii="仿宋" w:hAnsi="仿宋" w:eastAsia="仿宋" w:cs="微软雅黑"/>
          <w:sz w:val="24"/>
          <w:szCs w:val="24"/>
          <w:highlight w:val="none"/>
        </w:rPr>
      </w:pPr>
      <w:r>
        <w:rPr>
          <w:rFonts w:hint="eastAsia" w:ascii="仿宋" w:hAnsi="仿宋" w:eastAsia="仿宋" w:cs="微软雅黑"/>
          <w:sz w:val="24"/>
          <w:szCs w:val="24"/>
          <w:highlight w:val="none"/>
        </w:rPr>
        <w:t>（三）自主物资</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1、钢模板：参考网价实行浮动结算，综合加工运杂费单价实行固定单价。</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1）参考网价：供应期内钢模板加工涉及全部材料综合单价（含所有钢材、精轧螺纹钢拉杆、精轧螺帽、垫片、焊接材料、氧气、乙炔等及其它所有辅材、工器具），按采购人发送《供货通知书》当天“我的钢铁网”（网址：www.mysteel.com）广州市场中厚板价格行情里Q235B牌号8mm普中板日钢营口的网价（取第一次报价，不取备注价；若当天“我的钢铁网”广州市场未公布市场价格的，则以前一日公布价格为准）为准。</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2）数量验收方式：经质量验收合格的所有钢模板均在采购人搅拌站过磅验收，包括配套的精轧螺纹钢拉杆、精轧螺帽、垫片等。</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3）单价调整方法</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结算单价=供应期内钢模板加工涉及全部材料综合单价（浮动）+综合加工运杂费（固定）</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采购控制价：综合加工运杂费≤2500元/吨（普通钢板），304不锈钢面板控制价视市场调查后而定。</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2、地材：实行固定价结算，若价格波动超过合同约定时，制定调价机制或双方协商调整。</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（1）碎石，采用固定价结算，根据市场调查情况及参考环莞项目碎石采购单价，含税到场单价为140元/吨。</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采购控制价：含税到场单价≤140元/吨。</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（2）机制砂，采用固定价结算，根据市场调查情况及参考环莞项目机制砂采购单价，含税到场单价为135元/吨。</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采购控制价：含税到场单价≤135元/吨。</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3、金属波纹管（框架二次寻源）：实行固定价结算。</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采购控制价：不得高于招募入围供应商的报价。</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4、柴油</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（1）根据局物设部函〔2024〕30号《关于转发&lt;2024年3季度内部供应指导价定价原则及结算价格的建议&gt;的通知》执行，即：集采结算价格=（国家规定价-本期优惠幅度）±标准升级差价+地区价区差+运输费。</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（2）项目以2025年6月1日为例，集采结算价格如下：</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国Ⅵ0#车用柴油集采结算价为7120元/吨＝7650元/吨（项目所在广东省国Ⅵ0#车用柴油国家发改委最高零售限价）-700元/吨(物设部函〔2025〕11号《关于转发&lt;2025年2季度内部供应指导价定价原则及结算价格的建议&gt;的通知》中规定的优惠幅度)+50元/吨（一次配送运费）+120元/吨（二次配送运费）。</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5、外加剂、锚具</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结算单价按每季度局集采价格结算，现目前按物设部函〔2025〕11关于转发《2025年2季度内部供应指导价定价原则及结算价格的建议》通知执行。</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1）聚羧酸减水剂：减水率≥30%，掺量:按设计配合比约定掺量的±0.1%，混凝土坍落度1h经时变化量≤60mm，含税到货价为3109元/吨；</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2）压浆料（TW-YJL）：压浆料水料比为0.26～0.33，含税到货价为1080元/吨；</w:t>
      </w:r>
    </w:p>
    <w:p>
      <w:pPr>
        <w:autoSpaceDE w:val="0"/>
        <w:spacing w:line="440" w:lineRule="exact"/>
        <w:ind w:firstLine="561"/>
        <w:jc w:val="left"/>
        <w:outlineLvl w:val="9"/>
        <w:rPr>
          <w:rFonts w:hint="eastAsia" w:ascii="仿宋" w:hAnsi="仿宋" w:eastAsia="仿宋" w:cs="微软雅黑"/>
          <w:sz w:val="24"/>
          <w:szCs w:val="24"/>
          <w:highlight w:val="none"/>
        </w:rPr>
      </w:pPr>
      <w:r>
        <w:rPr>
          <w:rFonts w:hint="eastAsia" w:ascii="仿宋" w:hAnsi="仿宋" w:eastAsia="仿宋" w:cs="微软雅黑"/>
          <w:sz w:val="24"/>
          <w:szCs w:val="24"/>
          <w:highlight w:val="none"/>
        </w:rPr>
        <w:t>3）锚具：指导价的基础上+1.5%。</w:t>
      </w:r>
    </w:p>
    <w:p>
      <w:pPr>
        <w:autoSpaceDE w:val="0"/>
        <w:spacing w:line="440" w:lineRule="exact"/>
        <w:ind w:firstLine="561"/>
        <w:jc w:val="left"/>
        <w:outlineLvl w:val="9"/>
        <w:rPr>
          <w:rFonts w:hint="eastAsia" w:ascii="仿宋" w:hAnsi="仿宋" w:eastAsia="仿宋" w:cs="仿宋"/>
          <w:sz w:val="28"/>
          <w:szCs w:val="28"/>
          <w:highlight w:val="none"/>
        </w:rPr>
      </w:pPr>
      <w:r>
        <w:rPr>
          <w:rFonts w:hint="eastAsia" w:ascii="仿宋" w:hAnsi="仿宋" w:eastAsia="仿宋" w:cs="微软雅黑"/>
          <w:sz w:val="24"/>
          <w:szCs w:val="24"/>
          <w:highlight w:val="none"/>
        </w:rPr>
        <w:t>5、其它材料：采用固定价或按采购文件约定执行</w:t>
      </w:r>
      <w:r>
        <w:rPr>
          <w:rFonts w:hint="eastAsia" w:ascii="宋体" w:hAnsi="宋体" w:eastAsia="宋体"/>
          <w:color w:val="000000"/>
          <w:kern w:val="0"/>
          <w:sz w:val="24"/>
          <w:szCs w:val="24"/>
          <w:highlight w:val="none"/>
        </w:rPr>
        <w:t>。</w:t>
      </w:r>
    </w:p>
    <w:p>
      <w:pPr>
        <w:pStyle w:val="98"/>
        <w:ind w:left="-136"/>
        <w:contextualSpacing/>
        <w:outlineLvl w:val="2"/>
        <w:rPr>
          <w:rFonts w:hint="eastAsia" w:ascii="仿宋" w:hAnsi="仿宋" w:eastAsia="仿宋" w:cs="仿宋"/>
          <w:sz w:val="28"/>
          <w:szCs w:val="28"/>
          <w:highlight w:val="none"/>
        </w:rPr>
      </w:pPr>
      <w:r>
        <w:rPr>
          <w:rFonts w:hint="eastAsia" w:ascii="仿宋" w:hAnsi="仿宋" w:eastAsia="仿宋" w:cs="仿宋"/>
          <w:b/>
          <w:bCs/>
          <w:sz w:val="28"/>
          <w:szCs w:val="28"/>
          <w:highlight w:val="none"/>
        </w:rPr>
        <w:t>4.峰值用量、资金需求</w:t>
      </w:r>
    </w:p>
    <w:p>
      <w:pPr>
        <w:snapToGrid w:val="0"/>
        <w:spacing w:line="400" w:lineRule="exact"/>
        <w:ind w:firstLine="480" w:firstLineChars="200"/>
        <w:contextualSpacing/>
        <w:rPr>
          <w:rFonts w:hint="eastAsia" w:ascii="仿宋_GB2312" w:hAnsi="黑体" w:eastAsia="仿宋_GB2312" w:cs="Times New Roman"/>
          <w:kern w:val="0"/>
          <w:sz w:val="24"/>
          <w:szCs w:val="24"/>
        </w:rPr>
      </w:pPr>
      <w:r>
        <w:rPr>
          <w:rFonts w:hint="eastAsia" w:ascii="仿宋" w:hAnsi="仿宋" w:eastAsia="仿宋"/>
          <w:kern w:val="0"/>
          <w:sz w:val="24"/>
          <w:szCs w:val="24"/>
        </w:rPr>
        <w:t>根据项目施组</w:t>
      </w:r>
      <w:r>
        <w:rPr>
          <w:rFonts w:ascii="仿宋" w:hAnsi="仿宋" w:eastAsia="仿宋"/>
          <w:kern w:val="0"/>
          <w:sz w:val="24"/>
          <w:szCs w:val="24"/>
        </w:rPr>
        <w:t>计划</w:t>
      </w:r>
      <w:r>
        <w:rPr>
          <w:rFonts w:hint="eastAsia" w:ascii="仿宋" w:hAnsi="仿宋" w:eastAsia="仿宋"/>
          <w:kern w:val="0"/>
          <w:sz w:val="24"/>
          <w:szCs w:val="24"/>
        </w:rPr>
        <w:t>及物资需求，钢材、砼用量高峰期</w:t>
      </w:r>
      <w:r>
        <w:rPr>
          <w:rFonts w:ascii="仿宋" w:hAnsi="仿宋" w:eastAsia="仿宋"/>
          <w:kern w:val="0"/>
          <w:sz w:val="24"/>
          <w:szCs w:val="24"/>
        </w:rPr>
        <w:t>为</w:t>
      </w:r>
      <w:r>
        <w:rPr>
          <w:rFonts w:hint="eastAsia" w:ascii="仿宋" w:hAnsi="仿宋" w:eastAsia="仿宋"/>
          <w:kern w:val="0"/>
          <w:sz w:val="24"/>
          <w:szCs w:val="24"/>
        </w:rPr>
        <w:t>2025年7月</w:t>
      </w:r>
      <w:r>
        <w:rPr>
          <w:rFonts w:ascii="仿宋" w:hAnsi="仿宋" w:eastAsia="仿宋"/>
          <w:kern w:val="0"/>
          <w:sz w:val="24"/>
          <w:szCs w:val="24"/>
        </w:rPr>
        <w:t>至</w:t>
      </w:r>
      <w:r>
        <w:rPr>
          <w:rFonts w:hint="eastAsia" w:ascii="仿宋" w:hAnsi="仿宋" w:eastAsia="仿宋"/>
          <w:kern w:val="0"/>
          <w:sz w:val="24"/>
          <w:szCs w:val="24"/>
        </w:rPr>
        <w:t>2</w:t>
      </w:r>
      <w:r>
        <w:rPr>
          <w:rFonts w:ascii="仿宋" w:hAnsi="仿宋" w:eastAsia="仿宋"/>
          <w:kern w:val="0"/>
          <w:sz w:val="24"/>
          <w:szCs w:val="24"/>
        </w:rPr>
        <w:t>02</w:t>
      </w:r>
      <w:r>
        <w:rPr>
          <w:rFonts w:hint="eastAsia" w:ascii="仿宋" w:hAnsi="仿宋" w:eastAsia="仿宋"/>
          <w:kern w:val="0"/>
          <w:sz w:val="24"/>
          <w:szCs w:val="24"/>
        </w:rPr>
        <w:t>6年9月</w:t>
      </w:r>
      <w:r>
        <w:rPr>
          <w:rFonts w:ascii="仿宋" w:hAnsi="仿宋" w:eastAsia="仿宋"/>
          <w:kern w:val="0"/>
          <w:sz w:val="24"/>
          <w:szCs w:val="24"/>
        </w:rPr>
        <w:t>，</w:t>
      </w:r>
      <w:r>
        <w:rPr>
          <w:rFonts w:hint="eastAsia" w:ascii="仿宋" w:hAnsi="仿宋" w:eastAsia="仿宋"/>
          <w:kern w:val="0"/>
          <w:sz w:val="24"/>
          <w:szCs w:val="24"/>
        </w:rPr>
        <w:t>钢材</w:t>
      </w:r>
      <w:r>
        <w:rPr>
          <w:rFonts w:ascii="仿宋" w:hAnsi="仿宋" w:eastAsia="仿宋"/>
          <w:kern w:val="0"/>
          <w:sz w:val="24"/>
          <w:szCs w:val="24"/>
        </w:rPr>
        <w:t>约</w:t>
      </w:r>
      <w:r>
        <w:rPr>
          <w:rFonts w:hint="eastAsia" w:ascii="仿宋" w:hAnsi="仿宋" w:eastAsia="仿宋"/>
          <w:kern w:val="0"/>
          <w:sz w:val="24"/>
          <w:szCs w:val="24"/>
        </w:rPr>
        <w:t>3.6万吨，钢绞线约7400吨，水泥</w:t>
      </w:r>
      <w:r>
        <w:rPr>
          <w:rFonts w:ascii="仿宋" w:hAnsi="仿宋" w:eastAsia="仿宋"/>
          <w:kern w:val="0"/>
          <w:sz w:val="24"/>
          <w:szCs w:val="24"/>
        </w:rPr>
        <w:t>约</w:t>
      </w:r>
      <w:r>
        <w:rPr>
          <w:rFonts w:hint="eastAsia" w:ascii="仿宋" w:hAnsi="仿宋" w:eastAsia="仿宋"/>
          <w:kern w:val="0"/>
          <w:sz w:val="24"/>
          <w:szCs w:val="24"/>
        </w:rPr>
        <w:t>9万吨，碎石20万吨，机制砂12万吨。钢材月峰值用量</w:t>
      </w:r>
      <w:bookmarkStart w:id="28" w:name="_Hlk151279539"/>
      <w:r>
        <w:rPr>
          <w:rFonts w:hint="eastAsia" w:ascii="仿宋" w:hAnsi="仿宋" w:eastAsia="仿宋"/>
          <w:kern w:val="0"/>
          <w:sz w:val="24"/>
          <w:szCs w:val="24"/>
        </w:rPr>
        <w:t>考虑原材、半成品</w:t>
      </w:r>
      <w:bookmarkEnd w:id="28"/>
      <w:r>
        <w:rPr>
          <w:rFonts w:hint="eastAsia" w:ascii="仿宋" w:hAnsi="仿宋" w:eastAsia="仿宋"/>
          <w:kern w:val="0"/>
          <w:sz w:val="24"/>
          <w:szCs w:val="24"/>
        </w:rPr>
        <w:t>（含集中加工站点、工点未验工等）库存，</w:t>
      </w:r>
      <w:bookmarkStart w:id="29" w:name="_Hlk151279635"/>
      <w:r>
        <w:rPr>
          <w:rFonts w:hint="eastAsia" w:ascii="仿宋" w:hAnsi="仿宋" w:eastAsia="仿宋"/>
          <w:kern w:val="0"/>
          <w:sz w:val="24"/>
          <w:szCs w:val="24"/>
        </w:rPr>
        <w:t>依据最大使用量月份的1</w:t>
      </w:r>
      <w:r>
        <w:rPr>
          <w:rFonts w:ascii="仿宋" w:hAnsi="仿宋" w:eastAsia="仿宋"/>
          <w:kern w:val="0"/>
          <w:sz w:val="24"/>
          <w:szCs w:val="24"/>
        </w:rPr>
        <w:t>.5</w:t>
      </w:r>
      <w:r>
        <w:rPr>
          <w:rFonts w:hint="eastAsia" w:ascii="仿宋" w:hAnsi="仿宋" w:eastAsia="仿宋"/>
          <w:kern w:val="0"/>
          <w:sz w:val="24"/>
          <w:szCs w:val="24"/>
        </w:rPr>
        <w:t>倍计</w:t>
      </w:r>
      <w:bookmarkEnd w:id="29"/>
      <w:r>
        <w:rPr>
          <w:rFonts w:hint="eastAsia" w:ascii="仿宋" w:hAnsi="仿宋" w:eastAsia="仿宋"/>
          <w:kern w:val="0"/>
          <w:sz w:val="24"/>
          <w:szCs w:val="24"/>
        </w:rPr>
        <w:t>；混凝土原材料月峰值用量考虑施工损耗、料仓库存、备料储备等，依据最大使用量月份的</w:t>
      </w:r>
      <w:r>
        <w:rPr>
          <w:rFonts w:ascii="仿宋" w:hAnsi="仿宋" w:eastAsia="仿宋"/>
          <w:kern w:val="0"/>
          <w:sz w:val="24"/>
          <w:szCs w:val="24"/>
        </w:rPr>
        <w:t>1.</w:t>
      </w:r>
      <w:r>
        <w:rPr>
          <w:rFonts w:hint="eastAsia" w:ascii="仿宋" w:hAnsi="仿宋" w:eastAsia="仿宋"/>
          <w:kern w:val="0"/>
          <w:sz w:val="24"/>
          <w:szCs w:val="24"/>
        </w:rPr>
        <w:t>5</w:t>
      </w:r>
      <w:r>
        <w:rPr>
          <w:rFonts w:ascii="仿宋" w:hAnsi="仿宋" w:eastAsia="仿宋"/>
          <w:kern w:val="0"/>
          <w:sz w:val="24"/>
          <w:szCs w:val="24"/>
        </w:rPr>
        <w:t>倍计</w:t>
      </w:r>
      <w:r>
        <w:rPr>
          <w:rFonts w:hint="eastAsia" w:ascii="仿宋" w:hAnsi="仿宋" w:eastAsia="仿宋"/>
          <w:kern w:val="0"/>
          <w:sz w:val="24"/>
          <w:szCs w:val="24"/>
        </w:rPr>
        <w:t>。</w:t>
      </w:r>
      <w:r>
        <w:rPr>
          <w:rFonts w:ascii="仿宋" w:hAnsi="仿宋" w:eastAsia="仿宋"/>
          <w:kern w:val="0"/>
          <w:sz w:val="24"/>
          <w:szCs w:val="24"/>
        </w:rPr>
        <w:t>约按</w:t>
      </w:r>
      <w:r>
        <w:rPr>
          <w:rFonts w:hint="eastAsia" w:ascii="仿宋" w:hAnsi="仿宋" w:eastAsia="仿宋"/>
          <w:kern w:val="0"/>
          <w:sz w:val="24"/>
          <w:szCs w:val="24"/>
        </w:rPr>
        <w:t>当月验工，次月支付方式，</w:t>
      </w:r>
      <w:r>
        <w:rPr>
          <w:rFonts w:ascii="仿宋" w:hAnsi="仿宋" w:eastAsia="仿宋"/>
          <w:kern w:val="0"/>
          <w:sz w:val="24"/>
          <w:szCs w:val="24"/>
        </w:rPr>
        <w:t>参考</w:t>
      </w:r>
      <w:r>
        <w:rPr>
          <w:rFonts w:hint="eastAsia" w:ascii="仿宋" w:hAnsi="仿宋" w:eastAsia="仿宋"/>
          <w:kern w:val="0"/>
          <w:sz w:val="24"/>
          <w:szCs w:val="24"/>
        </w:rPr>
        <w:t>市场调查平均价格</w:t>
      </w:r>
      <w:r>
        <w:rPr>
          <w:rFonts w:ascii="仿宋" w:hAnsi="仿宋" w:eastAsia="仿宋"/>
          <w:kern w:val="0"/>
          <w:sz w:val="24"/>
          <w:szCs w:val="24"/>
        </w:rPr>
        <w:t>，</w:t>
      </w:r>
      <w:r>
        <w:rPr>
          <w:rFonts w:hint="eastAsia" w:ascii="仿宋" w:hAnsi="仿宋" w:eastAsia="仿宋"/>
          <w:kern w:val="0"/>
          <w:sz w:val="24"/>
          <w:szCs w:val="24"/>
        </w:rPr>
        <w:t>结算后次月付款实际垫资周期为2个月，经综合</w:t>
      </w:r>
      <w:r>
        <w:rPr>
          <w:rFonts w:ascii="仿宋" w:hAnsi="仿宋" w:eastAsia="仿宋"/>
          <w:kern w:val="0"/>
          <w:sz w:val="24"/>
          <w:szCs w:val="24"/>
        </w:rPr>
        <w:t>计算</w:t>
      </w:r>
      <w:r>
        <w:rPr>
          <w:rFonts w:hint="eastAsia" w:ascii="仿宋" w:hAnsi="仿宋" w:eastAsia="仿宋"/>
          <w:kern w:val="0"/>
          <w:sz w:val="24"/>
          <w:szCs w:val="24"/>
        </w:rPr>
        <w:t>垫</w:t>
      </w:r>
      <w:r>
        <w:rPr>
          <w:rFonts w:ascii="仿宋" w:hAnsi="仿宋" w:eastAsia="仿宋"/>
          <w:kern w:val="0"/>
          <w:sz w:val="24"/>
          <w:szCs w:val="24"/>
        </w:rPr>
        <w:t>资</w:t>
      </w:r>
      <w:r>
        <w:rPr>
          <w:rFonts w:hint="eastAsia" w:ascii="仿宋" w:hAnsi="仿宋" w:eastAsia="仿宋"/>
          <w:kern w:val="0"/>
          <w:sz w:val="24"/>
          <w:szCs w:val="24"/>
        </w:rPr>
        <w:t>需</w:t>
      </w:r>
      <w:r>
        <w:rPr>
          <w:rFonts w:ascii="仿宋" w:hAnsi="仿宋" w:eastAsia="仿宋"/>
          <w:kern w:val="0"/>
          <w:sz w:val="24"/>
          <w:szCs w:val="24"/>
        </w:rPr>
        <w:t>求如下</w:t>
      </w:r>
      <w:r>
        <w:rPr>
          <w:rFonts w:hint="eastAsia" w:ascii="仿宋" w:hAnsi="仿宋" w:eastAsia="仿宋"/>
          <w:kern w:val="0"/>
          <w:sz w:val="24"/>
          <w:szCs w:val="24"/>
        </w:rPr>
        <w:t>:</w:t>
      </w:r>
      <w:r>
        <w:rPr>
          <w:rFonts w:hint="eastAsia" w:ascii="仿宋_GB2312" w:hAnsi="黑体" w:eastAsia="仿宋_GB2312" w:cs="Times New Roman"/>
          <w:kern w:val="0"/>
          <w:sz w:val="24"/>
          <w:szCs w:val="24"/>
        </w:rPr>
        <w:t xml:space="preserve"> </w:t>
      </w:r>
    </w:p>
    <w:tbl>
      <w:tblPr>
        <w:tblStyle w:val="21"/>
        <w:tblW w:w="9493" w:type="dxa"/>
        <w:jc w:val="center"/>
        <w:tblLayout w:type="fixed"/>
        <w:tblCellMar>
          <w:top w:w="0" w:type="dxa"/>
          <w:left w:w="108" w:type="dxa"/>
          <w:bottom w:w="0" w:type="dxa"/>
          <w:right w:w="108" w:type="dxa"/>
        </w:tblCellMar>
      </w:tblPr>
      <w:tblGrid>
        <w:gridCol w:w="846"/>
        <w:gridCol w:w="1984"/>
        <w:gridCol w:w="851"/>
        <w:gridCol w:w="1276"/>
        <w:gridCol w:w="1701"/>
        <w:gridCol w:w="1559"/>
        <w:gridCol w:w="1276"/>
      </w:tblGrid>
      <w:tr>
        <w:tblPrEx>
          <w:tblCellMar>
            <w:top w:w="0" w:type="dxa"/>
            <w:left w:w="108" w:type="dxa"/>
            <w:bottom w:w="0" w:type="dxa"/>
            <w:right w:w="108" w:type="dxa"/>
          </w:tblCellMar>
        </w:tblPrEx>
        <w:trPr>
          <w:trHeight w:val="858" w:hRule="exact"/>
          <w:tblHeader/>
          <w:jc w:val="center"/>
        </w:trPr>
        <w:tc>
          <w:tcPr>
            <w:tcW w:w="846" w:type="dxa"/>
            <w:tcBorders>
              <w:top w:val="single" w:color="auto" w:sz="4" w:space="0"/>
              <w:left w:val="single" w:color="auto" w:sz="4" w:space="0"/>
              <w:bottom w:val="single" w:color="auto" w:sz="4" w:space="0"/>
              <w:right w:val="single" w:color="auto" w:sz="4" w:space="0"/>
            </w:tcBorders>
            <w:shd w:val="clear" w:color="auto" w:fill="5B9BD5" w:themeFill="accent1"/>
            <w:noWrap/>
            <w:vAlign w:val="center"/>
          </w:tcPr>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序号</w:t>
            </w:r>
          </w:p>
        </w:tc>
        <w:tc>
          <w:tcPr>
            <w:tcW w:w="1984" w:type="dxa"/>
            <w:tcBorders>
              <w:top w:val="single" w:color="auto" w:sz="4" w:space="0"/>
              <w:left w:val="nil"/>
              <w:bottom w:val="single" w:color="auto" w:sz="4" w:space="0"/>
              <w:right w:val="single" w:color="auto" w:sz="4" w:space="0"/>
            </w:tcBorders>
            <w:shd w:val="clear" w:color="auto" w:fill="5B9BD5" w:themeFill="accent1"/>
            <w:noWrap/>
            <w:vAlign w:val="center"/>
          </w:tcPr>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材料类别</w:t>
            </w:r>
          </w:p>
        </w:tc>
        <w:tc>
          <w:tcPr>
            <w:tcW w:w="851" w:type="dxa"/>
            <w:tcBorders>
              <w:top w:val="single" w:color="auto" w:sz="4" w:space="0"/>
              <w:left w:val="nil"/>
              <w:bottom w:val="single" w:color="auto" w:sz="4" w:space="0"/>
              <w:right w:val="single" w:color="auto" w:sz="4" w:space="0"/>
            </w:tcBorders>
            <w:shd w:val="clear" w:color="auto" w:fill="5B9BD5" w:themeFill="accent1"/>
            <w:noWrap/>
            <w:vAlign w:val="center"/>
          </w:tcPr>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单位</w:t>
            </w:r>
          </w:p>
        </w:tc>
        <w:tc>
          <w:tcPr>
            <w:tcW w:w="1276" w:type="dxa"/>
            <w:tcBorders>
              <w:top w:val="single" w:color="auto" w:sz="4" w:space="0"/>
              <w:left w:val="nil"/>
              <w:bottom w:val="single" w:color="auto" w:sz="4" w:space="0"/>
              <w:right w:val="single" w:color="auto" w:sz="4" w:space="0"/>
            </w:tcBorders>
            <w:shd w:val="clear" w:color="auto" w:fill="5B9BD5" w:themeFill="accent1"/>
            <w:vAlign w:val="center"/>
          </w:tcPr>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采购</w:t>
            </w:r>
            <w:r>
              <w:rPr>
                <w:rFonts w:ascii="宋体" w:hAnsi="宋体" w:eastAsia="宋体" w:cs="宋体"/>
                <w:b/>
                <w:color w:val="FFFFFF" w:themeColor="background1"/>
                <w:kern w:val="0"/>
                <w:szCs w:val="21"/>
                <w14:textFill>
                  <w14:solidFill>
                    <w14:schemeClr w14:val="bg1"/>
                  </w14:solidFill>
                </w14:textFill>
              </w:rPr>
              <w:t>均价</w:t>
            </w:r>
          </w:p>
        </w:tc>
        <w:tc>
          <w:tcPr>
            <w:tcW w:w="1701" w:type="dxa"/>
            <w:tcBorders>
              <w:top w:val="single" w:color="auto" w:sz="4" w:space="0"/>
              <w:left w:val="single" w:color="auto" w:sz="4" w:space="0"/>
              <w:bottom w:val="single" w:color="auto" w:sz="4" w:space="0"/>
              <w:right w:val="single" w:color="auto" w:sz="4" w:space="0"/>
            </w:tcBorders>
            <w:shd w:val="clear" w:color="auto" w:fill="5B9BD5" w:themeFill="accent1"/>
            <w:noWrap/>
            <w:vAlign w:val="center"/>
          </w:tcPr>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月峰值用量（已考虑影响因素）</w:t>
            </w:r>
          </w:p>
        </w:tc>
        <w:tc>
          <w:tcPr>
            <w:tcW w:w="1559" w:type="dxa"/>
            <w:tcBorders>
              <w:top w:val="single" w:color="auto" w:sz="4" w:space="0"/>
              <w:left w:val="nil"/>
              <w:bottom w:val="single" w:color="auto" w:sz="4" w:space="0"/>
              <w:right w:val="single" w:color="auto" w:sz="4" w:space="0"/>
            </w:tcBorders>
            <w:shd w:val="clear" w:color="auto" w:fill="5B9BD5" w:themeFill="accent1"/>
            <w:noWrap/>
            <w:vAlign w:val="center"/>
          </w:tcPr>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峰值月资金需求(万元)</w:t>
            </w:r>
          </w:p>
        </w:tc>
        <w:tc>
          <w:tcPr>
            <w:tcW w:w="1276" w:type="dxa"/>
            <w:tcBorders>
              <w:top w:val="single" w:color="auto" w:sz="4" w:space="0"/>
              <w:left w:val="nil"/>
              <w:bottom w:val="single" w:color="auto" w:sz="4" w:space="0"/>
              <w:right w:val="single" w:color="auto" w:sz="4" w:space="0"/>
            </w:tcBorders>
            <w:shd w:val="clear" w:color="auto" w:fill="5B9BD5" w:themeFill="accent1"/>
            <w:noWrap/>
            <w:vAlign w:val="center"/>
          </w:tcPr>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垫资额度</w:t>
            </w:r>
          </w:p>
          <w:p>
            <w:pPr>
              <w:widowControl/>
              <w:jc w:val="center"/>
              <w:rPr>
                <w:rFonts w:hint="eastAsia" w:ascii="宋体" w:hAnsi="宋体" w:eastAsia="宋体" w:cs="宋体"/>
                <w:b/>
                <w:color w:val="FFFFFF" w:themeColor="background1"/>
                <w:kern w:val="0"/>
                <w:szCs w:val="21"/>
                <w14:textFill>
                  <w14:solidFill>
                    <w14:schemeClr w14:val="bg1"/>
                  </w14:solidFill>
                </w14:textFill>
              </w:rPr>
            </w:pPr>
            <w:r>
              <w:rPr>
                <w:rFonts w:hint="eastAsia" w:ascii="宋体" w:hAnsi="宋体" w:eastAsia="宋体" w:cs="宋体"/>
                <w:b/>
                <w:color w:val="FFFFFF" w:themeColor="background1"/>
                <w:kern w:val="0"/>
                <w:szCs w:val="21"/>
                <w14:textFill>
                  <w14:solidFill>
                    <w14:schemeClr w14:val="bg1"/>
                  </w14:solidFill>
                </w14:textFill>
              </w:rPr>
              <w:t>(万元)</w:t>
            </w:r>
          </w:p>
        </w:tc>
      </w:tr>
      <w:tr>
        <w:tblPrEx>
          <w:tblCellMar>
            <w:top w:w="0" w:type="dxa"/>
            <w:left w:w="108" w:type="dxa"/>
            <w:bottom w:w="0" w:type="dxa"/>
            <w:right w:w="108" w:type="dxa"/>
          </w:tblCellMar>
        </w:tblPrEx>
        <w:trPr>
          <w:trHeight w:val="582" w:hRule="exac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钢筋</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cs="宋体"/>
                <w:color w:val="000000"/>
                <w:kern w:val="0"/>
                <w:szCs w:val="21"/>
              </w:rPr>
              <w:t>t</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3670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2400</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880</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1700</w:t>
            </w:r>
          </w:p>
        </w:tc>
      </w:tr>
      <w:tr>
        <w:tblPrEx>
          <w:tblCellMar>
            <w:top w:w="0" w:type="dxa"/>
            <w:left w:w="108" w:type="dxa"/>
            <w:bottom w:w="0" w:type="dxa"/>
            <w:right w:w="108" w:type="dxa"/>
          </w:tblCellMar>
        </w:tblPrEx>
        <w:trPr>
          <w:trHeight w:val="609" w:hRule="exac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钢绞线</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cs="宋体"/>
                <w:color w:val="000000"/>
                <w:kern w:val="0"/>
                <w:szCs w:val="21"/>
              </w:rPr>
              <w:t>t</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4700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500</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235</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470</w:t>
            </w:r>
          </w:p>
        </w:tc>
      </w:tr>
      <w:tr>
        <w:tblPrEx>
          <w:tblCellMar>
            <w:top w:w="0" w:type="dxa"/>
            <w:left w:w="108" w:type="dxa"/>
            <w:bottom w:w="0" w:type="dxa"/>
            <w:right w:w="108" w:type="dxa"/>
          </w:tblCellMar>
        </w:tblPrEx>
        <w:trPr>
          <w:trHeight w:val="553" w:hRule="exac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3</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水泥</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cs="宋体"/>
                <w:color w:val="000000"/>
                <w:kern w:val="0"/>
                <w:szCs w:val="21"/>
              </w:rPr>
              <w:t>t</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360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600</w:t>
            </w:r>
            <w:r>
              <w:rPr>
                <w:rFonts w:ascii="宋体" w:hAnsi="宋体" w:eastAsia="宋体" w:cs="宋体"/>
                <w:color w:val="000000"/>
                <w:kern w:val="0"/>
                <w:szCs w:val="21"/>
              </w:rPr>
              <w:t>0</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216</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432</w:t>
            </w:r>
          </w:p>
        </w:tc>
      </w:tr>
      <w:tr>
        <w:tblPrEx>
          <w:tblCellMar>
            <w:top w:w="0" w:type="dxa"/>
            <w:left w:w="108" w:type="dxa"/>
            <w:bottom w:w="0" w:type="dxa"/>
            <w:right w:w="108" w:type="dxa"/>
          </w:tblCellMar>
        </w:tblPrEx>
        <w:trPr>
          <w:trHeight w:val="553" w:hRule="exac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4</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碎石</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cs="宋体"/>
                <w:color w:val="000000"/>
                <w:kern w:val="0"/>
                <w:szCs w:val="21"/>
              </w:rPr>
              <w:t>t</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140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12000</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168</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336</w:t>
            </w:r>
          </w:p>
        </w:tc>
      </w:tr>
      <w:tr>
        <w:tblPrEx>
          <w:tblCellMar>
            <w:top w:w="0" w:type="dxa"/>
            <w:left w:w="108" w:type="dxa"/>
            <w:bottom w:w="0" w:type="dxa"/>
            <w:right w:w="108" w:type="dxa"/>
          </w:tblCellMar>
        </w:tblPrEx>
        <w:trPr>
          <w:trHeight w:val="553" w:hRule="exac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5</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机制砂</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cs="宋体"/>
                <w:color w:val="000000"/>
                <w:kern w:val="0"/>
                <w:szCs w:val="21"/>
              </w:rPr>
              <w:t>t</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135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8000</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108</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216</w:t>
            </w:r>
          </w:p>
        </w:tc>
      </w:tr>
      <w:tr>
        <w:tblPrEx>
          <w:tblCellMar>
            <w:top w:w="0" w:type="dxa"/>
            <w:left w:w="108" w:type="dxa"/>
            <w:bottom w:w="0" w:type="dxa"/>
            <w:right w:w="108" w:type="dxa"/>
          </w:tblCellMar>
        </w:tblPrEx>
        <w:trPr>
          <w:trHeight w:val="577" w:hRule="exact"/>
          <w:jc w:val="center"/>
        </w:trPr>
        <w:tc>
          <w:tcPr>
            <w:tcW w:w="6658"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以上</w:t>
            </w:r>
            <w:r>
              <w:rPr>
                <w:rFonts w:ascii="宋体" w:hAnsi="宋体" w:eastAsia="宋体" w:cs="宋体"/>
                <w:b/>
                <w:color w:val="000000"/>
                <w:kern w:val="0"/>
                <w:sz w:val="24"/>
                <w:szCs w:val="24"/>
              </w:rPr>
              <w:t>合计</w:t>
            </w:r>
            <w:r>
              <w:rPr>
                <w:rFonts w:hint="eastAsia" w:ascii="宋体" w:hAnsi="宋体" w:eastAsia="宋体" w:cs="宋体"/>
                <w:b/>
                <w:color w:val="000000"/>
                <w:kern w:val="0"/>
                <w:sz w:val="24"/>
                <w:szCs w:val="24"/>
              </w:rPr>
              <w:t>（万元）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color w:val="000000"/>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3154</w:t>
            </w:r>
          </w:p>
        </w:tc>
      </w:tr>
    </w:tbl>
    <w:p>
      <w:pPr>
        <w:pStyle w:val="98"/>
        <w:ind w:left="-136"/>
        <w:contextualSpacing/>
        <w:outlineLvl w:val="2"/>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5.前期</w:t>
      </w:r>
      <w:r>
        <w:rPr>
          <w:rFonts w:hint="eastAsia" w:ascii="仿宋" w:hAnsi="仿宋" w:eastAsia="仿宋" w:cs="仿宋"/>
          <w:b/>
          <w:bCs/>
          <w:sz w:val="28"/>
          <w:szCs w:val="28"/>
          <w:highlight w:val="none"/>
        </w:rPr>
        <w:t>物资供应组织方案</w:t>
      </w:r>
    </w:p>
    <w:p>
      <w:pPr>
        <w:snapToGrid w:val="0"/>
        <w:spacing w:line="400" w:lineRule="exact"/>
        <w:ind w:firstLine="480" w:firstLineChars="200"/>
        <w:contextualSpacing/>
        <w:rPr>
          <w:rFonts w:hint="eastAsia" w:ascii="仿宋" w:hAnsi="仿宋" w:eastAsia="仿宋" w:cs="仿宋"/>
          <w:b w:val="0"/>
          <w:bCs w:val="0"/>
          <w:kern w:val="2"/>
          <w:sz w:val="28"/>
          <w:szCs w:val="28"/>
          <w:highlight w:val="none"/>
          <w:lang w:val="en-US" w:eastAsia="zh-CN" w:bidi="ar-SA"/>
        </w:rPr>
      </w:pPr>
      <w:r>
        <w:rPr>
          <w:rFonts w:hint="eastAsia" w:ascii="仿宋" w:hAnsi="仿宋" w:eastAsia="仿宋"/>
          <w:kern w:val="0"/>
          <w:sz w:val="24"/>
          <w:szCs w:val="24"/>
          <w:lang w:val="en-US" w:eastAsia="zh-CN"/>
        </w:rPr>
        <w:t>在主要物资招标未完成之前，前期工程所需甲控乙购Ⅰ类材料（</w:t>
      </w:r>
      <w:r>
        <w:rPr>
          <w:rFonts w:hint="eastAsia" w:ascii="仿宋" w:hAnsi="仿宋" w:eastAsia="仿宋"/>
          <w:color w:val="FF0000"/>
          <w:kern w:val="0"/>
          <w:sz w:val="24"/>
          <w:szCs w:val="24"/>
          <w:lang w:val="en-US" w:eastAsia="zh-CN"/>
        </w:rPr>
        <w:t>建筑钢材、水泥、钢绞线</w:t>
      </w:r>
      <w:r>
        <w:rPr>
          <w:rFonts w:hint="eastAsia" w:ascii="仿宋" w:hAnsi="仿宋" w:eastAsia="仿宋"/>
          <w:kern w:val="0"/>
          <w:sz w:val="24"/>
          <w:szCs w:val="24"/>
          <w:lang w:val="en-US" w:eastAsia="zh-CN"/>
        </w:rPr>
        <w:t>）联合招标采购未完成之前由</w:t>
      </w:r>
      <w:r>
        <w:rPr>
          <w:rFonts w:hint="eastAsia" w:ascii="仿宋" w:hAnsi="仿宋" w:eastAsia="仿宋"/>
          <w:color w:val="FF0000"/>
          <w:kern w:val="0"/>
          <w:sz w:val="24"/>
          <w:szCs w:val="24"/>
          <w:lang w:val="en-US" w:eastAsia="zh-CN"/>
        </w:rPr>
        <w:t>东莞交投建材有限公司</w:t>
      </w:r>
      <w:r>
        <w:rPr>
          <w:rFonts w:hint="eastAsia" w:ascii="仿宋" w:hAnsi="仿宋" w:eastAsia="仿宋"/>
          <w:kern w:val="0"/>
          <w:sz w:val="24"/>
          <w:szCs w:val="24"/>
          <w:lang w:val="en-US" w:eastAsia="zh-CN"/>
        </w:rPr>
        <w:t>签订前期供应协议并实施供应；其他物资采用线下竞谈、询价以及局阿里商城的方式进行采购。竞谈、询价采购物资按照公司相关物资采购管理办法实施</w:t>
      </w:r>
      <w:r>
        <w:rPr>
          <w:rFonts w:hint="eastAsia" w:ascii="仿宋" w:hAnsi="仿宋" w:eastAsia="仿宋" w:cs="仿宋"/>
          <w:b w:val="0"/>
          <w:bCs w:val="0"/>
          <w:kern w:val="2"/>
          <w:sz w:val="28"/>
          <w:szCs w:val="28"/>
          <w:highlight w:val="none"/>
          <w:lang w:val="en-US" w:eastAsia="zh-CN" w:bidi="ar-SA"/>
        </w:rPr>
        <w:t>。</w:t>
      </w:r>
    </w:p>
    <w:p>
      <w:pPr>
        <w:pStyle w:val="3"/>
        <w:spacing w:before="0" w:after="0" w:line="460" w:lineRule="exact"/>
        <w:ind w:firstLine="281" w:firstLineChars="1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（三）机械策划</w:t>
      </w:r>
      <w:bookmarkEnd w:id="26"/>
    </w:p>
    <w:p>
      <w:pPr>
        <w:pStyle w:val="4"/>
        <w:spacing w:before="0" w:after="0" w:line="560" w:lineRule="exact"/>
        <w:ind w:firstLine="562" w:firstLineChars="200"/>
        <w:rPr>
          <w:rFonts w:hint="eastAsia" w:ascii="仿宋" w:hAnsi="仿宋" w:eastAsia="仿宋" w:cs="仿宋"/>
          <w:bCs/>
          <w:sz w:val="28"/>
          <w:szCs w:val="28"/>
          <w:highlight w:val="none"/>
        </w:rPr>
      </w:pPr>
      <w:bookmarkStart w:id="30" w:name="_Toc110861947"/>
      <w:bookmarkStart w:id="31" w:name="_Toc399445657"/>
      <w:bookmarkStart w:id="32" w:name="_Toc23569"/>
      <w:r>
        <w:rPr>
          <w:rFonts w:hint="eastAsia" w:ascii="仿宋" w:hAnsi="仿宋" w:eastAsia="仿宋" w:cs="仿宋"/>
          <w:bCs/>
          <w:sz w:val="28"/>
          <w:szCs w:val="28"/>
          <w:highlight w:val="none"/>
        </w:rPr>
        <w:t>1、设备</w:t>
      </w:r>
      <w:bookmarkEnd w:id="30"/>
      <w:bookmarkEnd w:id="31"/>
      <w:r>
        <w:rPr>
          <w:rFonts w:hint="eastAsia" w:ascii="仿宋" w:hAnsi="仿宋" w:eastAsia="仿宋" w:cs="仿宋"/>
          <w:bCs/>
          <w:sz w:val="28"/>
          <w:szCs w:val="28"/>
          <w:highlight w:val="none"/>
        </w:rPr>
        <w:t>配置计划</w:t>
      </w:r>
    </w:p>
    <w:tbl>
      <w:tblPr>
        <w:tblStyle w:val="2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7"/>
        <w:gridCol w:w="1707"/>
        <w:gridCol w:w="1976"/>
        <w:gridCol w:w="437"/>
        <w:gridCol w:w="595"/>
        <w:gridCol w:w="438"/>
        <w:gridCol w:w="438"/>
        <w:gridCol w:w="549"/>
        <w:gridCol w:w="438"/>
        <w:gridCol w:w="550"/>
        <w:gridCol w:w="1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blHeader/>
        </w:trPr>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2"/>
                <w:szCs w:val="22"/>
                <w:u w:val="none"/>
              </w:rPr>
            </w:pPr>
            <w:bookmarkStart w:id="33" w:name="_Toc110861948"/>
            <w:bookmarkStart w:id="34" w:name="_Toc399445658"/>
            <w:r>
              <w:rPr>
                <w:rFonts w:hint="eastAsia" w:ascii="仿宋" w:hAnsi="仿宋" w:eastAsia="仿宋" w:cs="仿宋"/>
                <w:b/>
                <w:bCs/>
                <w:i w:val="0"/>
                <w:iCs w:val="0"/>
                <w:color w:val="000000"/>
                <w:kern w:val="0"/>
                <w:sz w:val="22"/>
                <w:szCs w:val="22"/>
                <w:u w:val="none"/>
                <w:lang w:val="en-US" w:eastAsia="zh-CN" w:bidi="ar"/>
              </w:rPr>
              <w:t>序号</w:t>
            </w:r>
          </w:p>
        </w:tc>
        <w:tc>
          <w:tcPr>
            <w:tcW w:w="10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设备名称</w:t>
            </w:r>
          </w:p>
        </w:tc>
        <w:tc>
          <w:tcPr>
            <w:tcW w:w="8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型号规格</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配备数量</w:t>
            </w:r>
          </w:p>
        </w:tc>
        <w:tc>
          <w:tcPr>
            <w:tcW w:w="138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设备来源</w:t>
            </w:r>
          </w:p>
        </w:tc>
        <w:tc>
          <w:tcPr>
            <w:tcW w:w="9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进场负责人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blHeader/>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10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8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调拨</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租赁</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劳务队</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新购/加工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9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前期临建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轮式装载机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3m</w:t>
            </w:r>
            <w:r>
              <w:rPr>
                <w:rFonts w:hint="eastAsia" w:ascii="宋体" w:hAnsi="宋体" w:eastAsia="宋体" w:cs="宋体"/>
                <w:i w:val="0"/>
                <w:iCs w:val="0"/>
                <w:color w:val="000000"/>
                <w:kern w:val="0"/>
                <w:sz w:val="22"/>
                <w:szCs w:val="22"/>
                <w:u w:val="none"/>
                <w:lang w:val="en-US" w:eastAsia="zh-CN" w:bidi="ar"/>
              </w:rPr>
              <w:t>³</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履带式挖掘机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1m</w:t>
            </w:r>
            <w:r>
              <w:rPr>
                <w:rFonts w:hint="eastAsia" w:ascii="宋体" w:hAnsi="宋体" w:eastAsia="宋体" w:cs="宋体"/>
                <w:i w:val="0"/>
                <w:iCs w:val="0"/>
                <w:color w:val="000000"/>
                <w:kern w:val="0"/>
                <w:sz w:val="22"/>
                <w:szCs w:val="22"/>
                <w:u w:val="none"/>
                <w:lang w:val="en-US" w:eastAsia="zh-CN" w:bidi="ar"/>
              </w:rPr>
              <w:t>³</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推土机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自卸汽车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20m</w:t>
            </w:r>
            <w:r>
              <w:rPr>
                <w:rFonts w:hint="eastAsia" w:ascii="宋体" w:hAnsi="宋体" w:eastAsia="宋体" w:cs="宋体"/>
                <w:i w:val="0"/>
                <w:iCs w:val="0"/>
                <w:color w:val="000000"/>
                <w:kern w:val="0"/>
                <w:sz w:val="22"/>
                <w:szCs w:val="22"/>
                <w:u w:val="none"/>
                <w:lang w:val="en-US" w:eastAsia="zh-CN" w:bidi="ar"/>
              </w:rPr>
              <w:t>³</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柴油发电机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洒水车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10000L</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汽车式起重机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汽车式起重机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平板车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13米</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高空作业车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22米</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随车起重机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40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梁场一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MG80t-15m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MH10t-15m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MG80t-39.5m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MH10t-39.5m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MG80t-22m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MH10t-22m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轮胎提梁机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叉车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智慧生产线</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数控钢筋弯曲中心</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FHB2 - 32A   15.5KW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钢筋调直机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GT6-12</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钢筋弯曲机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GW40或GW50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二氧化碳保护焊</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NBC500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波纹管加工机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ZBG100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插入式振动器</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附着式高频振动器</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ZF-20 1.5KW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卷扬机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JTM-5 11KW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预应力智能张拉系统</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ZZJN-50F</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大循环智能压浆系统</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LJ-2.4/3.5/300A6</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自动智能喷淋系统</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真空压浆泵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MBD80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拌浆机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JW180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螺杆式灌浆机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SQ45-3</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增压泵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YE3-160M-2</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257</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15</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235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7</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257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梁场二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MG50t-38m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MH10t-38m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MG80t-35m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门式起重机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MH10t-35m</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叉车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轮胎提梁机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钢筋调直机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GT6-12</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钢筋弯曲机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GW40或GW50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二氧化碳保护焊</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ZX-500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卷扬机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JTM-5</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预应力智能张拉系统</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ZZJN-50F</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大循环智能压浆系统</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LJ-2.4/3.5/300A6</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波纹管加工机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ZBG100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自动喷淋养护</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真空压浆泵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MBD80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拌浆机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JW180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螺杆式灌浆机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SQ45-3</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附着式高频振动器</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ZF-20 1.5KW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插入式振动棒</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增压泵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YE3-160M-2</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81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10</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68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3</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81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运架梁（6200片）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架桥机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JGJ200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汽车式起重机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履带吊</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柴油发电机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50-100kW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运梁车（大件运输）</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150T以上</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运梁车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轮胎提梁机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44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36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44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搅拌站(13.2万方)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混凝土搅拌机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HZS120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洗石机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YH-LX7060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筛沙机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YH-SH50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电子汽车衡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SCS-180T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砂石分离机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HJGT-30型(4500*1800*1800)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一体化污水处理设备</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XCD-G-10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洗轮机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污水泵</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轮式装载机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ZL50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砼搅拌运输车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8方</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砼搅拌运输车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12方</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7</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六</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试验室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振击式标准振筛机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ZBSX-92A</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标准恒温恒湿养护箱</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SHBY-40B</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标准恒温恒湿养护箱</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SHBY-40B</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标准恒温恒湿养护箱</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YH-60B</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标准养护恒温恒湿控制仪</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BYSF-120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标准养护恒温恒湿控制仪</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BYSF-120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超级低温槽</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THD-0510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电液伺服万能材料试验机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CXWAW-100SB</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电液伺服万能材料试验机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CXWAW-300SB</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电液伺服万能材料试验机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CXWAW-1000SB</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钢筋弯曲试验机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GW-40A</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高强回弹仪</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HT450-A</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恒温溢流水槽</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CF-C型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强制式单卧轴混凝土搅拌机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SJD-60型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砂浆搅拌机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SJD-15型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数字回弹仪</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ZC3-T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水泥压浆高速搅拌机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SYJ-10型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微机控制压力试验机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CXYAW-2000AS</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一体式钢筋扫描仪</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HC-GY71T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七</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预制构件厂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钢筋调直机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GT6-12</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钢筋弯曲机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GW40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直流电焊机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ZX500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插入式振动棒</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叉车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5T</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洒水车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10方</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发电机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31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31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31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八</w:t>
            </w:r>
          </w:p>
        </w:tc>
        <w:tc>
          <w:tcPr>
            <w:tcW w:w="478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箱式变压器</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630KVA</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箱式变压器</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800KVA</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柴油发电机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箱式变压器</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630KVA</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柴油发电机</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400KW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越野车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5座</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皮卡车</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5座</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尹喜荣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8</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合计</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519</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59</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31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410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19</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519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bl>
    <w:p>
      <w:pPr>
        <w:pStyle w:val="4"/>
        <w:spacing w:before="0" w:after="0" w:line="560" w:lineRule="exact"/>
        <w:ind w:firstLine="562"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2</w:t>
      </w:r>
      <w:bookmarkEnd w:id="33"/>
      <w:bookmarkEnd w:id="34"/>
      <w:r>
        <w:rPr>
          <w:rFonts w:hint="eastAsia" w:ascii="仿宋" w:hAnsi="仿宋" w:eastAsia="仿宋" w:cs="仿宋"/>
          <w:bCs/>
          <w:sz w:val="28"/>
          <w:szCs w:val="28"/>
          <w:highlight w:val="none"/>
        </w:rPr>
        <w:t>、设备管理策划</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（1）拌和站设备选型及配置方案</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根据施工组织计划，项目自建拌和站混凝土生产任务总量约13.2万方，为满足混凝土供应需要，拌和站主要配置2台HZS120混凝土搅拌机、1台洗石机、1台筛砂机、1台电子汽车衡、1台砂石分离机、1台一体化污水处理设备；新购1台ZL50装载机、2台400kW柴油发电机、2台洗轮机、2台污水泵；外租10台混凝土搅拌运输车。</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（2）梁场设备布置方案</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1#梁场设置3条生产线，计划调拨6台80t、9台10t共计15台门式起重机；新购1套轮胎提梁机、4台污水泵、2条智慧生产线，其中包含钢筋绑扎胎具、底模移动台座、液压侧模系统、智能振捣系统、自动蒸养房系统等；其他设备235台均由班组自带，如叉车、钢筋加工设备、高频振动器、预应力张拉机、真空压浆泵等设备。</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2#梁场设置2条生产线，计划调拨2台80t、2台50t、6台10t共计10台门式起重机；新购1套轮胎提梁机、2台污水泵；其他设备68台均由班组自带，如叉车、钢筋加工设备、高频振动器、预应力张拉机、真空压浆泵等设备。</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（3）运架梁设备配置方案</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根据业主招标文件要求，现场需配备6台架桥机，考虑现场实际施工，同时展开7处架梁工作面，计划配置4台架桥机、2台220t汽车起重机、2台450t履带起重机、4台小规格柴油发电机、20台运梁车（大件运输）、4台运梁车、4套轮胎提梁机。其中2台架桥机、4台运梁车由机电分公司提供，项目租赁2套轮胎提梁机，其余机械设备均由班组自备。</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（4）试验测量仪器设备配置方案</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试验测量仪器设备以调拨为主，目前已有1台GPS一体机、1台全站仪配备到位。实验仪器方面，除新购一台一体式钢筋扫描仪外，其他设备如振筛机、恒温恒湿养护箱、万能材料试验机、钢筋弯曲试验机、高强回弹仪等共计21台（套）实验仪器，均从鸡商高速项目调拨。</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（5）预制构件厂设备配置方案</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预制构件厂设置5条生产线，计划配置20台钢筋加工设备、2台插入式振动棒、4台叉车、1台洒水车、1台发电机，均由班组自带。。</w:t>
      </w:r>
    </w:p>
    <w:p>
      <w:pPr>
        <w:pStyle w:val="4"/>
        <w:spacing w:before="0" w:after="0" w:line="560" w:lineRule="exact"/>
        <w:ind w:firstLine="562"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3、自有设备配件维修策划</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本项目计划配置自有设备78台，内部调拨59台，新购19台。项目梁场所需的8台80t、2台50t、15台10t门式起重机，主要通过内部调拨及现有设备改造解决。若因施工进度紧张导致2#梁场急需80t或50t门式起重机，可短期租赁保障高效施工，严禁新购。</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结合现场使用需求及采购经济比选，本项目需新购大型设备主要为2条预制梁生产线、1台架桥机、2套80t轮胎提梁机、1台装载机、1台一体式钢筋扫描仪、2台400kW柴油发电机共计9台。其他小型设备7.5kw污水泵8台、洗轮机2台共计10台。</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根据业主招标文件要求，项目需配置2条预制梁智慧生产线，项目机电部对相关配套设施设备进行了市场调查，目前已得到三家厂商的报价，湖北晟鑫金属制品有限公司170万-200万元、湖南五新智能科技股份有限公司200万-240万元、山东晟晖重工科技有限公司150万元，具体付款方式、加工条件等信息详见附件《预制梁智慧生产线市场调查》。项目机电部需进一步开展市场调查工作，严格控制生产线建设成本，于7月10日前将申购报告报项目负责人、公司领导审批。</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新购1台200t架桥机、1台3.0m³内燃机式装载机、1台HC-GY71T一体式钢筋扫描仪、2台400kW柴油发电机，要求项目机电部对接机电分公司，于6月30日前完善采购相关程序。（附件见新购设备经济比选表）小型机具项目按照公司采购管理办法询价采购。</w:t>
      </w:r>
    </w:p>
    <w:p>
      <w:pPr>
        <w:pStyle w:val="4"/>
        <w:spacing w:before="0" w:after="0" w:line="560" w:lineRule="exact"/>
        <w:ind w:firstLine="562"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4、外租设备费用策划</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根据项目施工组织设计规划，项目拟采用工作量模式租入6台8m³混凝土搅拌运输车、4台12m³混凝土运输车，月租4台25t汽车起重机、4台50t汽车起重机、2台13m平板车、2台22m高空作业车、2台10t随车起重机、2台轮胎提梁机、1台越野车、1台皮卡车，以及其他临租机械，合计外租成本466.65万元。设备配置方案详见附表：</w:t>
      </w:r>
    </w:p>
    <w:p>
      <w:pPr>
        <w:jc w:val="center"/>
        <w:outlineLvl w:val="9"/>
        <w:rPr>
          <w:rFonts w:hint="eastAsia" w:ascii="仿宋" w:hAnsi="仿宋" w:eastAsia="仿宋" w:cs="仿宋"/>
          <w:b/>
          <w:bCs/>
          <w:kern w:val="2"/>
          <w:sz w:val="28"/>
          <w:szCs w:val="28"/>
          <w:highlight w:val="none"/>
          <w:lang w:val="en-US" w:eastAsia="zh-CN" w:bidi="ar-SA"/>
        </w:rPr>
      </w:pPr>
      <w:r>
        <w:rPr>
          <w:rFonts w:hint="eastAsia" w:ascii="仿宋" w:hAnsi="仿宋" w:cs="仿宋"/>
          <w:b/>
          <w:bCs/>
          <w:kern w:val="2"/>
          <w:sz w:val="28"/>
          <w:szCs w:val="28"/>
          <w:highlight w:val="none"/>
          <w:lang w:val="en-US" w:eastAsia="zh-CN" w:bidi="ar-SA"/>
        </w:rPr>
        <w:t>外租</w:t>
      </w:r>
      <w:r>
        <w:rPr>
          <w:rFonts w:hint="eastAsia" w:ascii="仿宋" w:hAnsi="仿宋" w:eastAsia="仿宋" w:cs="仿宋"/>
          <w:b/>
          <w:bCs/>
          <w:kern w:val="2"/>
          <w:sz w:val="28"/>
          <w:szCs w:val="28"/>
          <w:highlight w:val="none"/>
          <w:lang w:val="en-US" w:eastAsia="zh-CN" w:bidi="ar-SA"/>
        </w:rPr>
        <w:t>设备</w:t>
      </w:r>
      <w:r>
        <w:rPr>
          <w:rFonts w:hint="eastAsia" w:ascii="仿宋" w:hAnsi="仿宋" w:cs="仿宋"/>
          <w:b/>
          <w:bCs/>
          <w:kern w:val="2"/>
          <w:sz w:val="28"/>
          <w:szCs w:val="28"/>
          <w:highlight w:val="none"/>
          <w:lang w:val="en-US" w:eastAsia="zh-CN" w:bidi="ar-SA"/>
        </w:rPr>
        <w:t>费用</w:t>
      </w:r>
      <w:r>
        <w:rPr>
          <w:rFonts w:hint="eastAsia" w:ascii="仿宋" w:hAnsi="仿宋" w:eastAsia="仿宋" w:cs="仿宋"/>
          <w:b/>
          <w:bCs/>
          <w:kern w:val="2"/>
          <w:sz w:val="28"/>
          <w:szCs w:val="28"/>
          <w:highlight w:val="none"/>
          <w:lang w:val="en-US" w:eastAsia="zh-CN" w:bidi="ar-SA"/>
        </w:rPr>
        <w:t>表</w:t>
      </w:r>
    </w:p>
    <w:tbl>
      <w:tblPr>
        <w:tblStyle w:val="2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8"/>
        <w:gridCol w:w="1025"/>
        <w:gridCol w:w="1014"/>
        <w:gridCol w:w="925"/>
        <w:gridCol w:w="920"/>
        <w:gridCol w:w="920"/>
        <w:gridCol w:w="920"/>
        <w:gridCol w:w="920"/>
        <w:gridCol w:w="1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租赁方式</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配备数量</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预计单价</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租赁期限</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预计成本</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汽车起重机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25t</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台班</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1750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52500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汽车起重机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50t</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台班</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平板车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13m</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台班</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高空作业车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22m</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台班</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随车起重机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10t</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台班</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汽车起重机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25t</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月租</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汽车起重机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50t</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月租</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256000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平板车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13m</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月租</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高空作业车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22m</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月租</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随车起重机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10t</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月租</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104000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轮胎提梁机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月租</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运架梁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76"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混凝土搅拌运输车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8m³</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方量</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cs="仿宋"/>
                <w:i w:val="0"/>
                <w:iCs w:val="0"/>
                <w:color w:val="000000"/>
                <w:kern w:val="0"/>
                <w:sz w:val="20"/>
                <w:szCs w:val="20"/>
                <w:u w:val="none"/>
                <w:lang w:val="en-US" w:eastAsia="zh-CN" w:bidi="ar"/>
              </w:rPr>
              <w:t>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1440000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场外8公里公路运输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76"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混凝土搅拌运输车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12m³</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方量</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1300000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箱式变压器</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630kVA</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216000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两梁场各一台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箱式变压器</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800kVA</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114000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1#梁场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越野车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5座</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皮卡车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2t</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月</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216000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8" w:hRule="atLeast"/>
        </w:trPr>
        <w:tc>
          <w:tcPr>
            <w:tcW w:w="1958" w:type="pct"/>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合计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4666500</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bl>
    <w:p>
      <w:pPr>
        <w:pStyle w:val="98"/>
        <w:ind w:left="-136" w:firstLine="562"/>
        <w:contextualSpacing/>
        <w:outlineLvl w:val="2"/>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5、设备租赁及市场调查</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混凝土运输方案及租赁市场调查</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1#梁场东侧将新建1座搅拌站为两座梁场供应商生产所需混凝土，根据施工组织计划。1#梁场为场内运输，计划配置4台12m³混凝土搅拌运输车。2#梁场距离搅拌站行驶路程约8km，考虑东莞本地相关部门要求道路运输混凝土不可超过7m³，计划配置6台8m³混凝土搅拌运输车。砼运输费用1#梁场控制在13元/m³，2#梁场24元/m³，罐车租赁总控数量在130月以内。</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梁体大件运输方案及市场调查</w:t>
      </w:r>
    </w:p>
    <w:p>
      <w:pPr>
        <w:pStyle w:val="98"/>
        <w:ind w:left="-136"/>
        <w:contextualSpacing/>
        <w:rPr>
          <w:rFonts w:hint="eastAsia" w:ascii="仿宋" w:hAnsi="仿宋" w:eastAsia="仿宋" w:cs="仿宋"/>
          <w:sz w:val="28"/>
          <w:szCs w:val="28"/>
          <w:highlight w:val="none"/>
        </w:rPr>
      </w:pPr>
      <w:r>
        <w:rPr>
          <w:rFonts w:hint="eastAsia" w:ascii="仿宋" w:hAnsi="仿宋" w:eastAsia="仿宋" w:cs="仿宋"/>
          <w:sz w:val="28"/>
          <w:szCs w:val="28"/>
          <w:highlight w:val="none"/>
        </w:rPr>
        <w:t>对东莞本地具备大件公路运输资质单位进行了市场调查，计价模式有两种，分别为按吨位、按方量计价，目前东莞本地已有7家报价，其中报价最高的为75元/吨，最低的为36.53元/吨，其他单位报价大多在40-50元/吨范围浮动，具体询价情况如下。</w:t>
      </w:r>
    </w:p>
    <w:p>
      <w:pPr>
        <w:ind w:firstLine="562" w:firstLineChars="200"/>
        <w:jc w:val="center"/>
        <w:rPr>
          <w:rFonts w:hint="default" w:ascii="仿宋" w:hAnsi="仿宋" w:cs="仿宋"/>
          <w:b/>
          <w:bCs/>
          <w:kern w:val="2"/>
          <w:sz w:val="28"/>
          <w:szCs w:val="28"/>
          <w:highlight w:val="none"/>
          <w:lang w:val="en-US" w:eastAsia="zh-CN" w:bidi="ar-SA"/>
        </w:rPr>
      </w:pPr>
      <w:r>
        <w:rPr>
          <w:rFonts w:hint="eastAsia" w:ascii="仿宋" w:hAnsi="仿宋" w:cs="仿宋"/>
          <w:b/>
          <w:bCs/>
          <w:kern w:val="2"/>
          <w:sz w:val="28"/>
          <w:szCs w:val="28"/>
          <w:highlight w:val="none"/>
          <w:lang w:val="en-US" w:eastAsia="zh-CN" w:bidi="ar-SA"/>
        </w:rPr>
        <w:t>大件运输市场调查表</w:t>
      </w:r>
    </w:p>
    <w:p>
      <w:pPr>
        <w:jc w:val="center"/>
        <w:rPr>
          <w:rFonts w:hint="default" w:ascii="仿宋" w:hAnsi="仿宋" w:cs="仿宋"/>
          <w:b w:val="0"/>
          <w:bCs w:val="0"/>
          <w:kern w:val="2"/>
          <w:sz w:val="28"/>
          <w:szCs w:val="28"/>
          <w:highlight w:val="none"/>
          <w:lang w:val="en-US" w:eastAsia="zh-CN" w:bidi="ar-SA"/>
        </w:rPr>
      </w:pPr>
      <w:r>
        <w:rPr>
          <w:rFonts w:hint="eastAsia" w:ascii="仿宋" w:hAnsi="仿宋" w:cs="仿宋"/>
          <w:b w:val="0"/>
          <w:bCs w:val="0"/>
          <w:kern w:val="2"/>
          <w:sz w:val="28"/>
          <w:szCs w:val="28"/>
          <w:highlight w:val="none"/>
          <w:lang w:val="en-US" w:eastAsia="zh-CN" w:bidi="ar-SA"/>
        </w:rPr>
        <w:drawing>
          <wp:inline distT="0" distB="0" distL="114300" distR="114300">
            <wp:extent cx="5720080" cy="2396490"/>
            <wp:effectExtent l="0" t="0" r="4445" b="3810"/>
            <wp:docPr id="4" name="图片 4" descr="clipbord_174928018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lipbord_1749280184381"/>
                    <pic:cNvPicPr>
                      <a:picLocks noChangeAspect="1"/>
                    </pic:cNvPicPr>
                  </pic:nvPicPr>
                  <pic:blipFill>
                    <a:blip r:embed="rId9"/>
                    <a:stretch>
                      <a:fillRect/>
                    </a:stretch>
                  </pic:blipFill>
                  <pic:spPr>
                    <a:xfrm>
                      <a:off x="0" y="0"/>
                      <a:ext cx="5720080" cy="2396490"/>
                    </a:xfrm>
                    <a:prstGeom prst="rect">
                      <a:avLst/>
                    </a:prstGeom>
                  </pic:spPr>
                </pic:pic>
              </a:graphicData>
            </a:graphic>
          </wp:inline>
        </w:drawing>
      </w:r>
    </w:p>
    <w:p>
      <w:pPr>
        <w:ind w:firstLine="560" w:firstLineChars="200"/>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cs="仿宋"/>
          <w:b w:val="0"/>
          <w:bCs w:val="0"/>
          <w:kern w:val="2"/>
          <w:sz w:val="28"/>
          <w:szCs w:val="28"/>
          <w:highlight w:val="none"/>
          <w:lang w:val="en-US" w:eastAsia="zh-CN" w:bidi="ar-SA"/>
        </w:rPr>
        <w:t>（3）</w:t>
      </w:r>
      <w:r>
        <w:rPr>
          <w:rFonts w:hint="eastAsia" w:ascii="仿宋" w:hAnsi="仿宋" w:eastAsia="仿宋" w:cs="仿宋"/>
          <w:b w:val="0"/>
          <w:bCs w:val="0"/>
          <w:kern w:val="2"/>
          <w:sz w:val="28"/>
          <w:szCs w:val="28"/>
          <w:highlight w:val="none"/>
          <w:lang w:val="en-US" w:eastAsia="zh-CN" w:bidi="ar-SA"/>
        </w:rPr>
        <w:t>常规机械设备租赁市场调查</w:t>
      </w:r>
    </w:p>
    <w:p>
      <w:pPr>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val="en-US" w:eastAsia="zh-CN"/>
        </w:rPr>
        <w:t>公司机电部针对主要外租设备对周边租赁市场进行调查，</w:t>
      </w:r>
      <w:r>
        <w:rPr>
          <w:rFonts w:hint="eastAsia" w:ascii="仿宋" w:hAnsi="仿宋" w:eastAsia="仿宋" w:cs="仿宋"/>
          <w:kern w:val="2"/>
          <w:sz w:val="28"/>
          <w:szCs w:val="28"/>
          <w:highlight w:val="none"/>
          <w:lang w:val="en-US" w:eastAsia="zh-CN" w:bidi="ar-SA"/>
        </w:rPr>
        <w:t>当地常规机械设备租赁市场资源丰富，常用的设备较多，租赁市场价格与公司限价比较接近，常规设备可以在限价范围内满足需求，具体市场调查情况，详见附件《东莞地区机械设备租赁市场调查》。</w:t>
      </w:r>
    </w:p>
    <w:p>
      <w:pPr>
        <w:pStyle w:val="2"/>
        <w:spacing w:before="156" w:beforeLines="50" w:after="156" w:afterLines="50" w:line="460" w:lineRule="exact"/>
        <w:ind w:firstLine="562"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七、资金</w:t>
      </w:r>
      <w:r>
        <w:rPr>
          <w:rStyle w:val="85"/>
          <w:rFonts w:hint="eastAsia" w:ascii="宋体" w:hAnsi="宋体" w:eastAsia="宋体" w:cs="宋体"/>
          <w:color w:val="auto"/>
          <w:sz w:val="28"/>
          <w:szCs w:val="28"/>
          <w:highlight w:val="none"/>
        </w:rPr>
        <w:t>税负</w:t>
      </w:r>
      <w:r>
        <w:rPr>
          <w:rFonts w:hint="eastAsia" w:ascii="仿宋" w:hAnsi="仿宋" w:eastAsia="仿宋" w:cs="仿宋"/>
          <w:sz w:val="28"/>
          <w:szCs w:val="28"/>
          <w:highlight w:val="none"/>
        </w:rPr>
        <w:t>策划</w:t>
      </w:r>
      <w:bookmarkEnd w:id="32"/>
    </w:p>
    <w:p>
      <w:pPr>
        <w:pStyle w:val="3"/>
        <w:spacing w:before="0" w:after="0" w:line="460" w:lineRule="exact"/>
        <w:ind w:firstLine="281" w:firstLineChars="100"/>
        <w:rPr>
          <w:rFonts w:hint="eastAsia" w:ascii="仿宋" w:hAnsi="仿宋" w:eastAsia="仿宋" w:cs="仿宋"/>
          <w:sz w:val="28"/>
          <w:szCs w:val="28"/>
          <w:highlight w:val="none"/>
        </w:rPr>
      </w:pPr>
      <w:bookmarkStart w:id="35" w:name="_Toc30443"/>
      <w:bookmarkStart w:id="36" w:name="_Toc11741"/>
      <w:bookmarkStart w:id="37" w:name="_Toc21955"/>
      <w:r>
        <w:rPr>
          <w:rFonts w:hint="eastAsia" w:ascii="仿宋" w:hAnsi="仿宋" w:eastAsia="仿宋" w:cs="仿宋"/>
          <w:sz w:val="28"/>
          <w:szCs w:val="28"/>
          <w:highlight w:val="none"/>
        </w:rPr>
        <w:t>（一）资金自平衡策划</w:t>
      </w:r>
      <w:bookmarkEnd w:id="35"/>
      <w:bookmarkEnd w:id="36"/>
      <w:bookmarkEnd w:id="37"/>
    </w:p>
    <w:p>
      <w:pPr>
        <w:spacing w:line="460" w:lineRule="exact"/>
        <w:ind w:firstLine="560" w:firstLineChars="200"/>
        <w:rPr>
          <w:rFonts w:hint="eastAsia" w:ascii="仿宋" w:hAnsi="仿宋" w:eastAsia="仿宋" w:cs="仿宋"/>
          <w:sz w:val="28"/>
          <w:szCs w:val="28"/>
          <w:highlight w:val="none"/>
        </w:rPr>
      </w:pPr>
      <w:bookmarkStart w:id="38" w:name="_Toc31664"/>
      <w:bookmarkStart w:id="39" w:name="_Toc110861982"/>
      <w:bookmarkStart w:id="40" w:name="_Hlk114238999"/>
      <w:r>
        <w:rPr>
          <w:rFonts w:hint="eastAsia" w:ascii="仿宋" w:hAnsi="仿宋" w:eastAsia="仿宋" w:cs="仿宋"/>
          <w:sz w:val="28"/>
          <w:szCs w:val="28"/>
          <w:highlight w:val="none"/>
        </w:rPr>
        <w:t>资金自平衡管理目标：完成项目生产任务所需要资金最低需求量与上级管理费、应缴税费需求量之和，不大于项目全周期收到业主支付的资金金额，其中项目施工期间各年度原则上要达到生产任务所需要资金最低需求量与上级管理费、应缴税费需求量之和，不大于项目年度收到业主按合同约定比例支付的资金金额。依据公司《中铁五局华南公司工程项目现金流自平衡实施细则（试行）》文件要求，现对资金自平衡管理工作交底如下：</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（一）自平衡管理架构</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项目部成立自平衡管理工作组，并明确相应的工作职责。</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1.组长由项目部经理担任，负责召开项目自平衡管理工作会，审核项目自平衡方案。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2.成员由项目部其他领导班子成员、生产、商务、物设、财务、安质和办公室等部门负责人组成。</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（二）项目自平衡管理工作组各部门职责分工</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1.生产部：编制项目施组方案，下达各期施工计划，测算项目各期完成的工程数量。</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2.商务部：负责测算项目各期和全周期营业收入和责任成本目标，负责项目分包业务平衡方案，严格测算分包成本，根据业主付款情况制定分包债务支付比例、频次、时间和支付方式等方案。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3.物设部（材料、周转材料）：负责项目材料采购和周转材料租赁平衡方案，根据业主付款情况制定物资采购和周转料租赁债务支付比例、频次、时间和支付方式等方案。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4.物设部（机械租赁）：负责项目机械租赁平衡方案，根据业主付款情况制定机械租赁债务支付比例、频次、时间和支付方式等方案。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5.各部门共同负责项目其他直接费平衡方案，根据项目责任成本目标中临时设施、施工措施费、安全生产费和征地拆迁费等成本情况，根据业主付款情况制定对应的债务支付比例、频次、时间和支付方式等方案。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6.财务部：牵头各部门负责项目经费平衡方案，制定经费债务支付比例、频次、时间和支付方式等测算方案；负责项目财务费用、上级管理费和税费的平衡方案；负责复核项目各分类平衡方案测算数据计算的准确性。</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（三）自平衡方案的制定和执行</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1.项目总平衡方案的制定：项目部应在开工后一个月内，研究和确定施工项目全周期和分年的营业收入计划、验工结算目标和责任成本目标，在目标管理的基础上拟定项目总平衡方案。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项目分类平衡方案的制定：项目部根据各年和全周期计划完成工程量和责任成本目标，测算各年和全周期各类成本的结算负债，在保证年度现金流入大于现金流出的原则下灵活测定各项结算负债的付款比例和付款金额。测算时要特别考虑各分类成本在“过程付款、封闭后付款、预留款支付、质保金付款”不同期间的支付比例，将支付比例和支付时间准确分摊至相关年度。</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（四）项目部自平衡方案审定的业务流程</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1.项目部在开工后一个月内召开自平衡管理工作会，确定项目总平衡和分类平衡方案。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2.项目部将拟定的自平衡方案报公司委员会办公室，由办公室将总平衡方案和分类平衡方案分发给相关部门进行初审。</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3.分类平衡方案经相关部门初审后，由相应分管分包、材料采购和机械设备租赁的副主任签署，提交由主任主持的委员会会议审议、确定。</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自平衡管理委员会定期召开委员会会议，对项目部提交方案进行审议，如常务副主任和副主任之间对分类平衡方案有不同意见时，由主任根据常务副主任、副主任所持不同意见的理由进行裁决，最终审定自平衡方案。</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5.经委员会会议审定的自平衡方案，必须履行公司“三重一大”事项决策程序。</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（五） 自平衡方案的执行 </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项目部根据公司审定的自平衡方案，依法合规地将总平衡方案、分类平衡方案中确定的结算负债方案（结算负债支付比例、支付时间）落实在公开招议标要约与承诺上，并明确体现在“分包协议、材料采购协议、机械设备租赁协议和其他成本协议”中。上述各种协议文本格式应遵从局和公司的统一规定。</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2.项目合同因客观原因引起的重大变化，应及时对总平衡、分类平衡方案进行调整。</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（六）非“自平衡”救助 </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资金救助分为“永久性缺口”救助和“时间性缺口”救助，“永久性缺口”被认定为亏损性质；“时间性缺口”为以后业主能够补偿性质。</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永久性缺口”救助。被认定为“永久性缺口”的，必须厘清原因、分清主客观责任并进行主观责任追究；责任追究的形式、标准从《中铁五局集团有限公司违规经营投资责任追究处理规定》中铁五审计〔2021〕176号有关规定和公司违规经营投资责任追究处理规定。</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时间性缺口”救助。被认定为“时间性缺口”的，经由委员会办公室相应成员、副主任、常务副主任、主任共同背书后，给予项目部资金支持。项目部经理、书记应对该笔救助资金背书。背书人员须承担救助资金的回收责任。项目部提前筹划债务支付方案解决“时间性缺口”。</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（七）过程监督 </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自平衡管理委员会办公室应组织成员对项目自平衡执行情况按期进行过程监督检查、及时预警，过程监督一般采用收取资料核查和现场检查的方式，办公室对发现的问题及时提请相应副主任及常务副主任、主任召集委员会会议研究、采取措施进行纠偏。对于未能及时发现问题、及时预警、及时报告的，应追究相关人员的责任。</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2.对各项目部上报情况，公司不定期进行抽样“飞行检查”，检查结果均纳入预警管理。</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项目部党工委书记或党群负责人要充分发挥项目实施自平衡方案过程中的监督作用，熟悉各分类平衡方案，参与各项成本的招议标工作，严格按照招标条件参与合同条款的评审，严格审查合同支付条款、支付时间和违约责任等。</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（八）考核奖罚 </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1.对项目执行自平衡方案的情况，公司纳入专项考核办法进行考核奖罚，具体按项目责任书规定执行。</w:t>
      </w:r>
    </w:p>
    <w:p>
      <w:pPr>
        <w:spacing w:line="46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2.对有“时间性缺口”救助资金，但能按时回收的项目，在救助资金回收前预留项目背书人员30%的竣工考核奖，直至救助资金全部收回才予以兑现</w:t>
      </w:r>
      <w:r>
        <w:rPr>
          <w:rFonts w:hint="eastAsia" w:ascii="仿宋" w:hAnsi="仿宋" w:eastAsia="仿宋" w:cs="仿宋"/>
          <w:sz w:val="28"/>
          <w:szCs w:val="28"/>
          <w:highlight w:val="none"/>
          <w:lang w:eastAsia="zh-CN"/>
        </w:rPr>
        <w:t>。</w:t>
      </w:r>
    </w:p>
    <w:p>
      <w:pPr>
        <w:pStyle w:val="3"/>
        <w:numPr>
          <w:ilvl w:val="0"/>
          <w:numId w:val="0"/>
        </w:numPr>
        <w:spacing w:before="0" w:after="0" w:line="460" w:lineRule="exact"/>
        <w:ind w:firstLine="281" w:firstLineChars="100"/>
        <w:rPr>
          <w:rFonts w:hint="eastAsia" w:ascii="仿宋" w:hAnsi="仿宋" w:eastAsia="仿宋" w:cs="仿宋"/>
          <w:sz w:val="28"/>
          <w:szCs w:val="28"/>
          <w:highlight w:val="none"/>
        </w:rPr>
      </w:pPr>
      <w:bookmarkStart w:id="41" w:name="_Toc8496"/>
      <w:bookmarkStart w:id="42" w:name="_Toc24497"/>
      <w:r>
        <w:rPr>
          <w:rFonts w:hint="eastAsia" w:ascii="仿宋" w:hAnsi="仿宋" w:eastAsia="仿宋" w:cs="仿宋"/>
          <w:b/>
          <w:bCs/>
          <w:kern w:val="2"/>
          <w:sz w:val="28"/>
          <w:szCs w:val="28"/>
          <w:lang w:val="en-US" w:eastAsia="zh-CN" w:bidi="ar-SA"/>
        </w:rPr>
        <w:t>（二）</w:t>
      </w:r>
      <w:r>
        <w:rPr>
          <w:rFonts w:hint="eastAsia" w:ascii="仿宋" w:hAnsi="仿宋" w:eastAsia="仿宋" w:cs="仿宋"/>
          <w:sz w:val="28"/>
          <w:szCs w:val="28"/>
          <w:highlight w:val="none"/>
        </w:rPr>
        <w:t>税务管理策</w:t>
      </w:r>
      <w:bookmarkEnd w:id="38"/>
      <w:bookmarkEnd w:id="39"/>
      <w:bookmarkEnd w:id="40"/>
      <w:r>
        <w:rPr>
          <w:rFonts w:hint="eastAsia" w:ascii="仿宋" w:hAnsi="仿宋" w:eastAsia="仿宋" w:cs="仿宋"/>
          <w:sz w:val="28"/>
          <w:szCs w:val="28"/>
          <w:highlight w:val="none"/>
        </w:rPr>
        <w:t>划</w:t>
      </w:r>
      <w:bookmarkEnd w:id="41"/>
      <w:bookmarkEnd w:id="42"/>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本项目按照税务环境调研、项目取票策略、合同条款审核及管理事项三个方面进行策划，具体内容如下：</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（一）税务环境调研</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项目重点从印花税缴纳政策、企业所得税预缴政策、耕地占用税政策、个人所得税政策、增值税预缴政策、环境保护税政策等六个方面进行调研，具体情况如下：</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1、印花税相关政策：印花税相关政策主要明确：</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（1）项目按照业主合同金额一次性申报以及下游供应商采购结算进度分期向公司申报印花税，由公司汇总后向东莞洪梅税务局申报。</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（2）建筑行业的印花税缴纳，暂无适用优惠政策，依照合同的签订按不含税金额的万分之三缴纳。</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（3）若本项目采用独立局名义核算，无需增加内部分包合同，相对于传统项目能够节约印花15.80万元。</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2、企业所得税预缴政策：在独立局名义核算管理模式下按不含税收入的千分之二预缴企业所得税。</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4、耕地占用税政策：耕地占用税相关政策主要明确：</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（1）耕地占用税以纳税人实际占用的耕地面积为计税依据，按照规定的适用税额一次性征收。</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（2）公路线路占用耕地，可以减按每平方米2元的税额征收耕地占用税。</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5、个人所得税政策：项目部全员由项目财务部汇总后统一申报缴纳，项目代发的农民工工资由其劳务分包公司负责申报缴纳。</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6、环境保护税政策：目前税务局未要求缴纳环境保护税，本项目暂不考虑环保税相关影响。</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（二）项目取票策略</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进项发票筹划不仅影响到项目税负、公司本部进项留抵甚至对项目的现金流也会产生影响，因此确定项目进项取票相关策略：</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1、认真测算项目增值税税负</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开工前，组织各业务部门对工程量清单进行了认真的拆分细化，明确项目劳务分包与专业分包比重及金额，物资采购总额,机械设备租赁及配件采购维修费总额，其他直接费（含临建工程及部分单列措施费）总额等。</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在预计劳务分包工程量、物资采购量、机械使用量等的基础上，结合供应商、劳务分包商、机械出租方等的纳税人身份，对项目的毛利、税负等进行详细的测算。</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积极筹划，切实降低进项留抵和现金流出。采用独立局名义核算则需预缴增值税和增值税相关附加税，经计算需预缴增值税和增值税相关附加税约816.19万元，需缴纳企业所得税105.32万元，需缴纳印花税27.84万元。项目测算的增值税税负率偏高，主要原因是：</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（1）劳务分包多是一般纳税人选择简易计税，仅能取得3%的进项发票。</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（2）国家政策影响，自2023年1月1日至2027年12月31日，增值税小规模纳税人适用3%征收率的应税销售收入，减按1%征收率征收增值税；适用3%预征率的预缴增值税项目，减按1%预征率预缴增值税。</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所以项目的增值税进项发票应坚持“应取尽取、应抵尽抵”的原则，争取取得高税率的增值税进项发票，降低项目增值税税负。</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3、合理选择材料供应商及结算税率</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（1）选择材料供应商，物资采购</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应尽量选择一般纳税人，并取得13%增值税专用发票。原则上不选择与小规模纳税人或个人（自然人）签订材料采购合同。在满足“成本效益”原则下，提供普票的价税合计金额低于其他供应商提供专票的不含税金额时，才选择与其合作。</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（2）选择专业分包签订分包合同</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对于满足资质，符合条件或带机械作业的劳务队伍，优先选择专业分包的方式签订分包合同，同时取得9%的增值税专用发票。</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（3）机械租赁，配件采购</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项目总的机械租赁金额小，内容单一，但应该争取取得13%税率的增值税专用发票。机械配备人员一起租赁签订合同的情况下需取得3%税率的增值税专用发票。</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（4）取票进度的跟踪管理</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项目要及时取得进项发票，各业务部门当月结算应该当月进账，财务部及时认证抵扣。避免由于取票不及时，导致公司缴纳增值税，造成公司层面现金流出。</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（三）合同条款审核及管理事项</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1、合同条款审核。</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（1）明确发票取得类型。</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（2）合同价款按照价税分离进行约定。</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（3）付款条件应注明先提供发票后再进行付款。</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（4）收款方提供异常发票造成付款方损失的应承担相应违约责任。</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2、款项支付。确保交易真实才能支付款项，并严格按照“三流一致”的原则支付款。即合同签订方、发票开具方、收款方为统一法人（自然人）。</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3、异常发票管理。建立异常发票追责问责机制，按照谁开票谁负责的原则，确保项目不发生异常发票行为。</w:t>
      </w:r>
    </w:p>
    <w:p>
      <w:pPr>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4、以上税金支出纳入项目资金自平衡管理。</w:t>
      </w:r>
    </w:p>
    <w:p>
      <w:pPr>
        <w:spacing w:line="500" w:lineRule="exact"/>
        <w:ind w:firstLine="560" w:firstLineChars="200"/>
        <w:rPr>
          <w:rFonts w:hint="eastAsia" w:hAnsi="仿宋_GB2312" w:eastAsia="仿宋_GB2312" w:cs="仿宋_GB2312"/>
          <w:sz w:val="28"/>
          <w:szCs w:val="28"/>
          <w:highlight w:val="none"/>
        </w:rPr>
        <w:sectPr>
          <w:pgSz w:w="11906" w:h="16838"/>
          <w:pgMar w:top="1418" w:right="1588" w:bottom="1418" w:left="1588"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ascii="仿宋" w:hAnsi="仿宋" w:eastAsia="仿宋" w:cs="仿宋"/>
          <w:sz w:val="28"/>
          <w:szCs w:val="28"/>
          <w:highlight w:val="none"/>
        </w:rPr>
        <w:t>项目税务筹划具体依据《中铁五局税务交底工作指引》。具体税金测算如下</w:t>
      </w:r>
      <w:r>
        <w:rPr>
          <w:rFonts w:hint="eastAsia" w:eastAsia="仿宋_GB2312"/>
          <w:sz w:val="28"/>
          <w:highlight w:val="none"/>
        </w:rPr>
        <w:t>：</w:t>
      </w:r>
    </w:p>
    <w:p>
      <w:pPr>
        <w:pStyle w:val="20"/>
        <w:spacing w:before="62" w:after="62" w:line="460" w:lineRule="exact"/>
        <w:jc w:val="center"/>
        <w:outlineLvl w:val="9"/>
        <w:rPr>
          <w:rFonts w:hint="eastAsia" w:ascii="仿宋" w:hAnsi="仿宋" w:eastAsia="仿宋" w:cs="仿宋"/>
          <w:b/>
          <w:bCs/>
          <w:color w:val="auto"/>
          <w:w w:val="100"/>
          <w:kern w:val="2"/>
          <w:sz w:val="30"/>
          <w:szCs w:val="30"/>
          <w:highlight w:val="none"/>
        </w:rPr>
      </w:pPr>
      <w:r>
        <w:rPr>
          <w:rFonts w:hint="eastAsia" w:ascii="仿宋" w:hAnsi="仿宋" w:eastAsia="仿宋" w:cs="仿宋"/>
          <w:b/>
          <w:bCs/>
          <w:color w:val="auto"/>
          <w:w w:val="100"/>
          <w:kern w:val="2"/>
          <w:sz w:val="30"/>
          <w:szCs w:val="30"/>
          <w:highlight w:val="none"/>
          <w:lang w:eastAsia="zh-CN"/>
        </w:rPr>
        <w:t>黄河古贤水利枢纽进场道路施工3标项目项目</w:t>
      </w:r>
      <w:r>
        <w:rPr>
          <w:rFonts w:hint="eastAsia" w:ascii="仿宋" w:hAnsi="仿宋" w:eastAsia="仿宋" w:cs="仿宋"/>
          <w:b/>
          <w:bCs/>
          <w:color w:val="auto"/>
          <w:w w:val="100"/>
          <w:kern w:val="2"/>
          <w:sz w:val="30"/>
          <w:szCs w:val="30"/>
          <w:highlight w:val="none"/>
        </w:rPr>
        <w:t>一般计税方式增值税筹划表(华南公司</w:t>
      </w:r>
      <w:r>
        <w:rPr>
          <w:rFonts w:ascii="仿宋" w:hAnsi="仿宋" w:eastAsia="仿宋" w:cs="仿宋"/>
          <w:b/>
          <w:bCs/>
          <w:color w:val="auto"/>
          <w:w w:val="100"/>
          <w:kern w:val="2"/>
          <w:sz w:val="30"/>
          <w:szCs w:val="30"/>
          <w:highlight w:val="none"/>
        </w:rPr>
        <w:t>)</w:t>
      </w:r>
    </w:p>
    <w:p>
      <w:pPr>
        <w:pStyle w:val="20"/>
        <w:spacing w:before="62" w:after="62" w:line="460" w:lineRule="exact"/>
        <w:ind w:right="1204" w:firstLine="602" w:firstLineChars="200"/>
        <w:rPr>
          <w:rFonts w:hint="eastAsia" w:ascii="仿宋" w:hAnsi="仿宋" w:eastAsia="仿宋" w:cs="仿宋"/>
          <w:color w:val="auto"/>
          <w:w w:val="100"/>
          <w:kern w:val="2"/>
          <w:sz w:val="21"/>
          <w:szCs w:val="21"/>
          <w:highlight w:val="none"/>
        </w:rPr>
      </w:pPr>
      <w:r>
        <w:rPr>
          <w:rFonts w:ascii="仿宋" w:hAnsi="仿宋" w:eastAsia="仿宋" w:cs="仿宋"/>
          <w:b/>
          <w:bCs/>
          <w:color w:val="auto"/>
          <w:w w:val="100"/>
          <w:kern w:val="2"/>
          <w:sz w:val="30"/>
          <w:szCs w:val="30"/>
          <w:highlight w:val="none"/>
        </w:rPr>
        <w:t xml:space="preserve">                                                                          </w:t>
      </w:r>
      <w:r>
        <w:rPr>
          <w:rFonts w:hint="eastAsia" w:ascii="仿宋" w:hAnsi="仿宋" w:eastAsia="仿宋" w:cs="仿宋"/>
          <w:b/>
          <w:bCs/>
          <w:color w:val="auto"/>
          <w:w w:val="100"/>
          <w:kern w:val="2"/>
          <w:sz w:val="21"/>
          <w:szCs w:val="21"/>
          <w:highlight w:val="none"/>
        </w:rPr>
        <w:t xml:space="preserve">金额：万元 </w:t>
      </w:r>
      <w:r>
        <w:rPr>
          <w:rFonts w:ascii="仿宋" w:hAnsi="仿宋" w:eastAsia="仿宋" w:cs="仿宋"/>
          <w:color w:val="auto"/>
          <w:w w:val="100"/>
          <w:kern w:val="2"/>
          <w:sz w:val="21"/>
          <w:szCs w:val="21"/>
          <w:highlight w:val="none"/>
        </w:rPr>
        <w:t xml:space="preserve">                           </w:t>
      </w:r>
    </w:p>
    <w:tbl>
      <w:tblPr>
        <w:tblStyle w:val="2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71"/>
        <w:gridCol w:w="1217"/>
        <w:gridCol w:w="1584"/>
        <w:gridCol w:w="1336"/>
        <w:gridCol w:w="1317"/>
        <w:gridCol w:w="1447"/>
        <w:gridCol w:w="4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bookmarkStart w:id="43" w:name="_Hlk126152831"/>
            <w:r>
              <w:rPr>
                <w:rFonts w:hint="eastAsia" w:ascii="宋体" w:hAnsi="宋体" w:eastAsia="宋体" w:cs="宋体"/>
                <w:b/>
                <w:bCs/>
                <w:i w:val="0"/>
                <w:iCs w:val="0"/>
                <w:color w:val="000000"/>
                <w:kern w:val="0"/>
                <w:sz w:val="32"/>
                <w:szCs w:val="32"/>
                <w:u w:val="none"/>
                <w:lang w:val="en-US" w:eastAsia="zh-CN" w:bidi="ar"/>
              </w:rPr>
              <w:t>莞深高速税负测算表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分类 </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不含税金额</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税额</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价税合计</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收入</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中标报价</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51,749.38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4,657.44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56,406.83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安措费</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909.81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81.88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991.69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52,659.19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4,739.33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57,398.52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工程成本-人工费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劳务分包</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200.00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18.00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218.00 </w:t>
            </w: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钢筋大棚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工程成本-人工费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劳务分包</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10,499.33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314.98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10,814.31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制梁班组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工程成本-人工费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劳务分包</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2,869.00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86.07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2,955.07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梁场临建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工程成本-材料费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主材</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21,866.91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2,842.70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24,709.61 </w:t>
            </w: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钢筋、水泥、钢绞线、碎石等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工程成本-材料费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辅材</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796.00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23.88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819.88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二三项料、辅助材料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工程成本-材料费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周转材料</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442.00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13.26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455.26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工程成本-机械费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临租</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80.00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2.40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82.40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工程成本-燃料及动力</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电费</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1,041.60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135.41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1,177.01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工程成本-机械费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租赁费</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1,442.55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43.28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1,485.83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工程成本-机械费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租赁费</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2,768.64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249.18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3,017.82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工程成本-其他直接费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其他费用</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244.10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6.00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14.65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258.75 </w:t>
            </w: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检验试验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工程成本-其他直接费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其他费用</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154.35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0.00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154.35 </w:t>
            </w: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奖励基金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工程成本-其他直接费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其他费用</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251.04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6.00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15.06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266.10 </w:t>
            </w: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工程成本-其他直接费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其他费用</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2,757.38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0.00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2,757.38 </w:t>
            </w: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征地拆迁赔偿款不涉及税、考核奖励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工程成本-间接费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可取票</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326.02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9.78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335.80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差旅费、办公费等可抵扣部分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工程成本-间接费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不可取票</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1,654.46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0.00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1,654.46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经费（除差旅可抵扣部分）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成本费用合计</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47,393.38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3,768.64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51,162.02 </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抵扣后应缴纳销项税额</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970.69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预交增值税（项目实际申报金额）</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39,826.74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0.02 </w:t>
            </w:r>
          </w:p>
        </w:tc>
        <w:tc>
          <w:tcPr>
            <w:tcW w:w="4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796.53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缴纳城市建设维护税</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796.53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39.83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按预缴增值税基数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缴纳教育费附加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796.53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23.90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按预缴增值税基数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缴纳地方教育费附加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796.53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2.00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15.93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按预缴增值税基数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缴纳企业所得税</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52,659.19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0.20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105.32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缴纳印花税</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92,814.28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0.03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27.84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项目实际支付税费合计</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1,009.35 </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税负</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2.25%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4"/>
                <w:szCs w:val="24"/>
                <w:u w:val="none"/>
              </w:rPr>
            </w:pP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bookmarkEnd w:id="43"/>
    </w:tbl>
    <w:p>
      <w:pPr>
        <w:rPr>
          <w:rFonts w:hint="eastAsia" w:hAnsi="仿宋_GB2312" w:eastAsia="仿宋_GB2312" w:cs="仿宋_GB2312"/>
          <w:sz w:val="28"/>
          <w:szCs w:val="28"/>
          <w:highlight w:val="none"/>
        </w:rPr>
        <w:sectPr>
          <w:pgSz w:w="16838" w:h="11906" w:orient="landscape"/>
          <w:pgMar w:top="1588" w:right="1418" w:bottom="1588" w:left="1418" w:header="851" w:footer="992" w:gutter="0"/>
          <w:pgBorders>
            <w:top w:val="none" w:sz="0" w:space="0"/>
            <w:left w:val="none" w:sz="0" w:space="0"/>
            <w:bottom w:val="none" w:sz="0" w:space="0"/>
            <w:right w:val="none" w:sz="0" w:space="0"/>
          </w:pgBorders>
          <w:cols w:space="425" w:num="1"/>
          <w:titlePg/>
          <w:docGrid w:type="lines" w:linePitch="312" w:charSpace="0"/>
        </w:sectPr>
      </w:pPr>
    </w:p>
    <w:p>
      <w:pPr>
        <w:rPr>
          <w:highlight w:val="none"/>
        </w:rPr>
      </w:pPr>
    </w:p>
    <w:p>
      <w:pPr>
        <w:pStyle w:val="3"/>
        <w:numPr>
          <w:ilvl w:val="0"/>
          <w:numId w:val="0"/>
        </w:numPr>
        <w:spacing w:before="0" w:after="0" w:line="460" w:lineRule="exact"/>
        <w:ind w:firstLine="281" w:firstLineChars="100"/>
        <w:rPr>
          <w:rFonts w:hint="eastAsia" w:ascii="仿宋" w:hAnsi="仿宋" w:eastAsia="仿宋" w:cs="仿宋"/>
          <w:sz w:val="28"/>
          <w:szCs w:val="28"/>
          <w:highlight w:val="none"/>
        </w:rPr>
      </w:pPr>
      <w:bookmarkStart w:id="44" w:name="_Toc21563"/>
      <w:bookmarkStart w:id="45" w:name="_Toc28549"/>
      <w:r>
        <w:rPr>
          <w:rFonts w:hint="eastAsia" w:ascii="仿宋" w:hAnsi="仿宋" w:eastAsia="仿宋" w:cs="仿宋"/>
          <w:sz w:val="28"/>
          <w:szCs w:val="28"/>
          <w:highlight w:val="none"/>
        </w:rPr>
        <w:t>（三）经费预算策划</w:t>
      </w:r>
      <w:bookmarkEnd w:id="44"/>
      <w:bookmarkEnd w:id="45"/>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经费预算管理依据华南司财务〔2022〕78号“关于印发《中铁五局华南公司项目经费预算管理办法》的通知”执行。经费预算管理要做好计划、控制及分析工作，及时发现经费支出中存在的问题，针对经费超支情况，提出改进措施。经费考核与项目绩效薪酬挂钩，由公司财务部按季度对项目部开展考核，并对项目开累经费发生情况与项目前期策划经费总额做对比监督。</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（一）经费核算的内容</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指以项目部为组织和管理项目生产经营所发生的各项费用，包括：职工工资及附加费、办公费、差旅费、低值易耗品摊销、通信费、业务招待费、其他费用等。</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（二）经费定额指标的核定</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每年年末由公司财会部根据最近三年不同类别项目历史数据滚动加权平均确定，平均数在局定额标准以内的，以公司项目平均数为准，超过局定额的以局定额为准，每年年初由财会部发布项目经费定额。</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项目季度经费指标=项目定员*经费定额</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（三）项目定编定员、精简管理人员</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项目实际人数小于公司核定的定员定编时，公司不减少经费指标；实际人数大于公司核定的定员定编时，公司不增加经费指标。</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（四）经费核算</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项目财务执行财务管理制度，严格落实公司经费管理规定，正确核算经费，加强审查把关。按月、季度编制经费预算表，加强预算管理。每季度对经费节超进行分析，严控经费超支。</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（五）经费考核</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公司对项目部经费预算的执行情况，按季度进行考核兑现，经费节超与项目班子及员工的月绩效工资挂钩，即每月发放绩效工资时，要考虑季度经费考核系数影响。</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经费节超奖罚对月绩效工资的影响为：月绩效工资基数*项目上一季度经费考核系数（滚动）</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1.项目经费超支情况下，项目季度经费考核系数=（1-超支比例）*100%；</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超支比例=（项目经费季度实际发生数-项目经费季度指标）/项目经费季度指标。</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2.项目经费节约情况下，项目季度经费考核系数=（1+节约比例）*100%；</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节约比例=（项目经费季度指标-项目经费季度实际发生数）/项目经费季度指标。</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3.考核系数控制在0.8-1.2之间（含上下限）。</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项目班子成员年度绩效薪酬清算时，已预发绩效薪酬部分不包括季度经费考核兑现部分，即经费考核兑现不计入项目班子成员年薪中。</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项目班子成员年度绩效薪酬=绩效基数*年度实际工作月数*（年度绩效考核得分/100）-已预发绩效薪酬</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已预发绩效薪酬=绩效基数*年度实际工作月数*60%，即年度绩效清算时，不考虑季度经费考核节超兑现。</w:t>
      </w:r>
    </w:p>
    <w:p>
      <w:pPr>
        <w:spacing w:line="4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本项目依据人资部定编，项目筹备期间核定定员27人，大干期间核定定员33人，收尾期间核定定员20人。根据华南司人资〔2024〕58号“关于印发《中铁五局华南公司项目部员工岗位绩效工资制实施办法》的通知”、华南司人资〔2025〕25号“关于公布2024年度项目部班子成员薪酬标准、相关系数及责任目标考核的通知”制定项目职工薪酬标准，测算出项目的经费为1980.48万元，占不含税收入61943.40万元的3.20%。经费测算具体明细如下表所示。</w:t>
      </w:r>
    </w:p>
    <w:tbl>
      <w:tblPr>
        <w:tblStyle w:val="2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2"/>
        <w:gridCol w:w="3735"/>
        <w:gridCol w:w="2077"/>
        <w:gridCol w:w="19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4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b/>
                <w:bCs/>
                <w:i w:val="0"/>
                <w:iCs w:val="0"/>
                <w:color w:val="000000"/>
                <w:sz w:val="32"/>
                <w:szCs w:val="32"/>
                <w:u w:val="none"/>
              </w:rPr>
            </w:pPr>
            <w:r>
              <w:rPr>
                <w:rFonts w:hint="eastAsia" w:ascii="宋体" w:hAnsi="宋体" w:eastAsia="宋体" w:cs="宋体"/>
                <w:b/>
                <w:bCs/>
                <w:i w:val="0"/>
                <w:iCs w:val="0"/>
                <w:color w:val="000000"/>
                <w:kern w:val="0"/>
                <w:sz w:val="30"/>
                <w:szCs w:val="30"/>
                <w:highlight w:val="none"/>
                <w:u w:val="none"/>
                <w:lang w:val="en-US" w:eastAsia="zh-CN" w:bidi="ar"/>
              </w:rPr>
              <w:t>莞深预制标第13标段项目经费测算分类汇总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4"/>
                <w:szCs w:val="24"/>
                <w:u w:val="none"/>
                <w:lang w:val="en-US" w:eastAsia="zh-CN" w:bidi="ar"/>
              </w:rPr>
              <w:t>分类项</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4"/>
                <w:szCs w:val="24"/>
                <w:u w:val="none"/>
                <w:lang w:val="en-US" w:eastAsia="zh-CN" w:bidi="ar"/>
              </w:rPr>
              <w:t>金额</w:t>
            </w:r>
            <w:r>
              <w:rPr>
                <w:rFonts w:hint="default" w:ascii="Times New Roman" w:hAnsi="Times New Roman" w:eastAsia="宋体" w:cs="Times New Roman"/>
                <w:b/>
                <w:bCs/>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元</w:t>
            </w:r>
            <w:r>
              <w:rPr>
                <w:rFonts w:hint="default" w:ascii="Times New Roman" w:hAnsi="Times New Roman" w:eastAsia="宋体" w:cs="Times New Roman"/>
                <w:b/>
                <w:bCs/>
                <w:i w:val="0"/>
                <w:iCs w:val="0"/>
                <w:color w:val="000000"/>
                <w:kern w:val="0"/>
                <w:sz w:val="24"/>
                <w:szCs w:val="24"/>
                <w:u w:val="none"/>
                <w:lang w:val="en-US" w:eastAsia="zh-CN" w:bidi="ar"/>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1</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84"/>
                <w:lang w:val="en-US" w:eastAsia="zh-CN" w:bidi="ar"/>
              </w:rPr>
              <w:t>工资及附加</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 xml:space="preserve">13263136.34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66.97%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2</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84"/>
                <w:rFonts w:hint="default" w:ascii="宋体" w:hAnsi="宋体" w:eastAsia="宋体" w:cs="宋体"/>
                <w:i w:val="0"/>
                <w:iCs w:val="0"/>
                <w:color w:val="000000"/>
                <w:lang w:val="en-US" w:eastAsia="zh-CN" w:bidi="ar"/>
              </w:rPr>
              <w:t>行政用固资使用费</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32"/>
                <w:szCs w:val="32"/>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3</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84"/>
                <w:lang w:val="en-US" w:eastAsia="zh-CN" w:bidi="ar"/>
              </w:rPr>
              <w:t>办公费</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 xml:space="preserve">363580.00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4</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84"/>
                <w:lang w:val="en-US" w:eastAsia="zh-CN" w:bidi="ar"/>
              </w:rPr>
              <w:t>差旅交通费</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32"/>
                <w:szCs w:val="32"/>
                <w:u w:val="none"/>
              </w:rPr>
            </w:pPr>
            <w:r>
              <w:rPr>
                <w:rFonts w:hint="default" w:ascii="Times New Roman" w:hAnsi="Times New Roman" w:eastAsia="等线" w:cs="Times New Roman"/>
                <w:i w:val="0"/>
                <w:iCs w:val="0"/>
                <w:color w:val="auto"/>
                <w:kern w:val="0"/>
                <w:sz w:val="24"/>
                <w:szCs w:val="24"/>
                <w:u w:val="none"/>
                <w:lang w:val="en-US" w:eastAsia="zh-CN" w:bidi="ar"/>
              </w:rPr>
              <w:t xml:space="preserve">411000.00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5</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24"/>
                <w:szCs w:val="24"/>
                <w:u w:val="none"/>
                <w:lang w:val="en-US" w:eastAsia="zh-CN" w:bidi="ar"/>
              </w:rPr>
              <w:t>小车使用费</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32"/>
                <w:szCs w:val="32"/>
                <w:u w:val="none"/>
              </w:rPr>
            </w:pPr>
            <w:r>
              <w:rPr>
                <w:rFonts w:hint="default" w:ascii="Times New Roman" w:hAnsi="Times New Roman" w:eastAsia="等线" w:cs="Times New Roman"/>
                <w:i w:val="0"/>
                <w:iCs w:val="0"/>
                <w:color w:val="auto"/>
                <w:kern w:val="0"/>
                <w:sz w:val="24"/>
                <w:szCs w:val="24"/>
                <w:u w:val="none"/>
                <w:lang w:val="en-US" w:eastAsia="zh-CN" w:bidi="ar"/>
              </w:rPr>
              <w:t xml:space="preserve">959867.00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6</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24"/>
                <w:szCs w:val="24"/>
                <w:u w:val="none"/>
                <w:lang w:val="en-US" w:eastAsia="zh-CN" w:bidi="ar"/>
              </w:rPr>
              <w:t>其他费用</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32"/>
                <w:szCs w:val="32"/>
                <w:u w:val="none"/>
              </w:rPr>
            </w:pPr>
            <w:r>
              <w:rPr>
                <w:rFonts w:hint="default" w:ascii="Times New Roman" w:hAnsi="Times New Roman" w:eastAsia="等线" w:cs="Times New Roman"/>
                <w:i w:val="0"/>
                <w:iCs w:val="0"/>
                <w:color w:val="auto"/>
                <w:kern w:val="0"/>
                <w:sz w:val="24"/>
                <w:szCs w:val="24"/>
                <w:u w:val="none"/>
                <w:lang w:val="en-US" w:eastAsia="zh-CN" w:bidi="ar"/>
              </w:rPr>
              <w:t xml:space="preserve">2399240.00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12.11%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7</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84"/>
                <w:lang w:val="en-US" w:eastAsia="zh-CN" w:bidi="ar"/>
              </w:rPr>
              <w:t>业务招待费</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32"/>
                <w:szCs w:val="32"/>
                <w:u w:val="none"/>
              </w:rPr>
            </w:pPr>
            <w:r>
              <w:rPr>
                <w:rFonts w:hint="default" w:ascii="Times New Roman" w:hAnsi="Times New Roman" w:eastAsia="等线" w:cs="Times New Roman"/>
                <w:i w:val="0"/>
                <w:iCs w:val="0"/>
                <w:color w:val="auto"/>
                <w:kern w:val="0"/>
                <w:sz w:val="24"/>
                <w:szCs w:val="24"/>
                <w:u w:val="none"/>
                <w:lang w:val="en-US" w:eastAsia="zh-CN" w:bidi="ar"/>
              </w:rPr>
              <w:t xml:space="preserve">1958000.00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77"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8</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84"/>
                <w:lang w:val="en-US" w:eastAsia="zh-CN" w:bidi="ar"/>
              </w:rPr>
              <w:t>低值易耗品购置费</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32"/>
                <w:szCs w:val="32"/>
                <w:u w:val="none"/>
              </w:rPr>
            </w:pPr>
            <w:r>
              <w:rPr>
                <w:rFonts w:hint="default" w:ascii="Times New Roman" w:hAnsi="Times New Roman" w:eastAsia="等线" w:cs="Times New Roman"/>
                <w:i w:val="0"/>
                <w:iCs w:val="0"/>
                <w:color w:val="auto"/>
                <w:kern w:val="0"/>
                <w:sz w:val="24"/>
                <w:szCs w:val="24"/>
                <w:u w:val="none"/>
                <w:lang w:val="en-US" w:eastAsia="zh-CN" w:bidi="ar"/>
              </w:rPr>
              <w:t xml:space="preserve">450000.00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9</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84"/>
                <w:lang w:val="en-US" w:eastAsia="zh-CN" w:bidi="ar"/>
              </w:rPr>
              <w:t>中标项目投标费用（不含）</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32"/>
                <w:szCs w:val="32"/>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24"/>
                <w:szCs w:val="24"/>
                <w:u w:val="none"/>
                <w:lang w:val="en-US" w:eastAsia="zh-CN" w:bidi="ar"/>
              </w:rPr>
              <w:t>单列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4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b/>
                <w:bCs/>
                <w:i w:val="0"/>
                <w:iCs w:val="0"/>
                <w:color w:val="000000"/>
                <w:kern w:val="0"/>
                <w:sz w:val="24"/>
                <w:szCs w:val="24"/>
                <w:u w:val="none"/>
                <w:lang w:val="en-US" w:eastAsia="zh-CN" w:bidi="ar"/>
              </w:rPr>
              <w:t>经费合计</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b/>
                <w:bCs/>
                <w:i w:val="0"/>
                <w:iCs w:val="0"/>
                <w:color w:val="000000"/>
                <w:kern w:val="0"/>
                <w:sz w:val="24"/>
                <w:szCs w:val="24"/>
                <w:u w:val="none"/>
                <w:lang w:val="en-US" w:eastAsia="zh-CN" w:bidi="ar"/>
              </w:rPr>
              <w:t xml:space="preserve">19804823.34 </w:t>
            </w:r>
          </w:p>
        </w:tc>
        <w:tc>
          <w:tcPr>
            <w:tcW w:w="1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32"/>
                <w:szCs w:val="32"/>
                <w:u w:val="none"/>
              </w:rPr>
            </w:pPr>
            <w:r>
              <w:rPr>
                <w:rFonts w:hint="default" w:ascii="Times New Roman" w:hAnsi="Times New Roman" w:eastAsia="等线" w:cs="Times New Roman"/>
                <w:i w:val="0"/>
                <w:iCs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8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32"/>
                <w:szCs w:val="32"/>
                <w:u w:val="none"/>
                <w:lang w:val="en-US"/>
              </w:rPr>
            </w:pPr>
            <w:r>
              <w:rPr>
                <w:rFonts w:hint="eastAsia" w:ascii="宋体" w:hAnsi="宋体" w:eastAsia="宋体" w:cs="宋体"/>
                <w:b/>
                <w:bCs/>
                <w:i w:val="0"/>
                <w:iCs w:val="0"/>
                <w:color w:val="000000"/>
                <w:kern w:val="0"/>
                <w:sz w:val="24"/>
                <w:szCs w:val="24"/>
                <w:u w:val="none"/>
                <w:lang w:val="en-US" w:eastAsia="zh-CN" w:bidi="ar"/>
              </w:rPr>
              <w:t>经费占不含税收入的3.20%</w:t>
            </w:r>
          </w:p>
        </w:tc>
      </w:tr>
    </w:tbl>
    <w:p>
      <w:pPr>
        <w:pStyle w:val="20"/>
        <w:spacing w:before="62" w:after="62" w:line="460" w:lineRule="exact"/>
        <w:rPr>
          <w:rFonts w:hint="eastAsia" w:hAnsi="仿宋" w:eastAsia="仿宋_GB2312" w:cs="仿宋"/>
          <w:color w:val="auto"/>
          <w:sz w:val="22"/>
          <w:highlight w:val="none"/>
        </w:rPr>
      </w:pPr>
    </w:p>
    <w:sectPr>
      <w:pgSz w:w="11906" w:h="16838"/>
      <w:pgMar w:top="1418" w:right="1588" w:bottom="1418" w:left="1588" w:header="851" w:footer="99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08EDC3B-577B-4DD6-89C2-33CE8F3507D6}"/>
  </w:font>
  <w:font w:name="黑体">
    <w:panose1 w:val="02010609060101010101"/>
    <w:charset w:val="86"/>
    <w:family w:val="auto"/>
    <w:pitch w:val="default"/>
    <w:sig w:usb0="800002BF" w:usb1="38CF7CFA" w:usb2="00000016" w:usb3="00000000" w:csb0="00040001" w:csb1="00000000"/>
    <w:embedRegular r:id="rId2" w:fontKey="{B07177B2-A177-4D8C-ACC4-AC906800DB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1BF96E3-8D4C-4A08-8EFB-E236D90DE51E}"/>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D7A8B778-0C65-4A97-B073-7AC5DBFE5C97}"/>
  </w:font>
  <w:font w:name="仿宋">
    <w:panose1 w:val="02010609060101010101"/>
    <w:charset w:val="86"/>
    <w:family w:val="auto"/>
    <w:pitch w:val="default"/>
    <w:sig w:usb0="800002BF" w:usb1="38CF7CFA" w:usb2="00000016" w:usb3="00000000" w:csb0="00040001" w:csb1="00000000"/>
    <w:embedRegular r:id="rId5" w:fontKey="{A7E809CB-56DD-4F5B-87DF-07D9510ED57B}"/>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embedRegular r:id="rId6" w:fontKey="{BCAEF748-90DE-4225-8BB2-4A120F755A37}"/>
  </w:font>
  <w:font w:name="等线">
    <w:panose1 w:val="02010600030101010101"/>
    <w:charset w:val="86"/>
    <w:family w:val="auto"/>
    <w:pitch w:val="default"/>
    <w:sig w:usb0="A00002BF" w:usb1="38CF7CFA" w:usb2="00000016" w:usb3="00000000" w:csb0="0004000F" w:csb1="00000000"/>
    <w:embedRegular r:id="rId7" w:fontKey="{6C5CC25A-C12E-4F38-AC92-1603D71A2822}"/>
  </w:font>
  <w:font w:name="微软雅黑">
    <w:panose1 w:val="020B0503020204020204"/>
    <w:charset w:val="86"/>
    <w:family w:val="swiss"/>
    <w:pitch w:val="default"/>
    <w:sig w:usb0="80000287" w:usb1="2ACF3C50" w:usb2="00000016" w:usb3="00000000" w:csb0="0004001F" w:csb1="00000000"/>
    <w:embedRegular r:id="rId8" w:fontKey="{58CC7DBC-C532-448A-A80C-105348B1645A}"/>
  </w:font>
  <w:font w:name="方正小标宋简体">
    <w:panose1 w:val="02000000000000000000"/>
    <w:charset w:val="86"/>
    <w:family w:val="auto"/>
    <w:pitch w:val="default"/>
    <w:sig w:usb0="A00002BF" w:usb1="184F6CFA" w:usb2="00000012" w:usb3="00000000" w:csb0="00040001" w:csb1="00000000"/>
    <w:embedRegular r:id="rId9" w:fontKey="{11DE1CC1-AF2D-4338-9758-1AAD7B788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58380226"/>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858380226"/>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0"/>
                    </w:pPr>
                  </w:p>
                </w:txbxContent>
              </v:textbox>
            </v:shape>
          </w:pict>
        </mc:Fallback>
      </mc:AlternateContent>
    </w:r>
  </w:p>
  <w:p>
    <w:pPr>
      <w:pStyle w:val="15"/>
      <w:tabs>
        <w:tab w:val="left" w:pos="5136"/>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rFonts w:hint="eastAsia"/>
      </w:rPr>
      <w:t>21</w:t>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92287037"/>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592287037"/>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0"/>
                    </w:pPr>
                  </w:p>
                </w:txbxContent>
              </v:textbox>
            </v:shape>
          </w:pict>
        </mc:Fallback>
      </mc:AlternateContent>
    </w:r>
  </w:p>
  <w:p>
    <w:pPr>
      <w:pStyle w:val="15"/>
      <w:tabs>
        <w:tab w:val="left" w:pos="513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rFonts w:hint="eastAsia"/>
      </w:rPr>
      <w:t>4</w:t>
    </w:r>
  </w:p>
  <w:p>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TrueTypeFonts/>
  <w:saveSubsetFonts/>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FlNDAwYzIxODI0NjhkNTU1ZGQ1YjJiZDk4YTljMjUifQ=="/>
  </w:docVars>
  <w:rsids>
    <w:rsidRoot w:val="00916223"/>
    <w:rsid w:val="000002A8"/>
    <w:rsid w:val="00003167"/>
    <w:rsid w:val="00003695"/>
    <w:rsid w:val="0000639D"/>
    <w:rsid w:val="00007098"/>
    <w:rsid w:val="00010662"/>
    <w:rsid w:val="00011F3F"/>
    <w:rsid w:val="000124B9"/>
    <w:rsid w:val="00012B6C"/>
    <w:rsid w:val="00012E20"/>
    <w:rsid w:val="00013564"/>
    <w:rsid w:val="00014B84"/>
    <w:rsid w:val="0001545A"/>
    <w:rsid w:val="00017163"/>
    <w:rsid w:val="00023BF7"/>
    <w:rsid w:val="00024526"/>
    <w:rsid w:val="000245BE"/>
    <w:rsid w:val="000260E3"/>
    <w:rsid w:val="0002634F"/>
    <w:rsid w:val="00026BE3"/>
    <w:rsid w:val="00026C0C"/>
    <w:rsid w:val="000317AC"/>
    <w:rsid w:val="000403B3"/>
    <w:rsid w:val="00040564"/>
    <w:rsid w:val="00040624"/>
    <w:rsid w:val="00040729"/>
    <w:rsid w:val="0004081F"/>
    <w:rsid w:val="00042150"/>
    <w:rsid w:val="00044CDE"/>
    <w:rsid w:val="00046774"/>
    <w:rsid w:val="00047181"/>
    <w:rsid w:val="00047A8C"/>
    <w:rsid w:val="000534DB"/>
    <w:rsid w:val="00053BFA"/>
    <w:rsid w:val="00054916"/>
    <w:rsid w:val="0005640E"/>
    <w:rsid w:val="00057768"/>
    <w:rsid w:val="00060DBF"/>
    <w:rsid w:val="000636B3"/>
    <w:rsid w:val="00064E9F"/>
    <w:rsid w:val="000661D2"/>
    <w:rsid w:val="00070A31"/>
    <w:rsid w:val="0007158A"/>
    <w:rsid w:val="00072050"/>
    <w:rsid w:val="0007591B"/>
    <w:rsid w:val="00075BFB"/>
    <w:rsid w:val="00077F93"/>
    <w:rsid w:val="000803C8"/>
    <w:rsid w:val="00082CF4"/>
    <w:rsid w:val="00084287"/>
    <w:rsid w:val="00084DC1"/>
    <w:rsid w:val="00086332"/>
    <w:rsid w:val="0009143E"/>
    <w:rsid w:val="00092324"/>
    <w:rsid w:val="00092F72"/>
    <w:rsid w:val="0009539B"/>
    <w:rsid w:val="000A12ED"/>
    <w:rsid w:val="000A31D3"/>
    <w:rsid w:val="000A39C8"/>
    <w:rsid w:val="000A3D5F"/>
    <w:rsid w:val="000A40B1"/>
    <w:rsid w:val="000B1935"/>
    <w:rsid w:val="000B4CB8"/>
    <w:rsid w:val="000B5B6E"/>
    <w:rsid w:val="000B6EC1"/>
    <w:rsid w:val="000B7942"/>
    <w:rsid w:val="000C0995"/>
    <w:rsid w:val="000C16EF"/>
    <w:rsid w:val="000C3DD6"/>
    <w:rsid w:val="000C6D2D"/>
    <w:rsid w:val="000D0D72"/>
    <w:rsid w:val="000D10AA"/>
    <w:rsid w:val="000D1B0E"/>
    <w:rsid w:val="000D1ED8"/>
    <w:rsid w:val="000D410B"/>
    <w:rsid w:val="000D427B"/>
    <w:rsid w:val="000E19DD"/>
    <w:rsid w:val="000E2082"/>
    <w:rsid w:val="000E3330"/>
    <w:rsid w:val="000E71E5"/>
    <w:rsid w:val="000F0007"/>
    <w:rsid w:val="000F1823"/>
    <w:rsid w:val="000F1A17"/>
    <w:rsid w:val="000F4772"/>
    <w:rsid w:val="001032C1"/>
    <w:rsid w:val="00110865"/>
    <w:rsid w:val="001147AD"/>
    <w:rsid w:val="00114F86"/>
    <w:rsid w:val="001167F5"/>
    <w:rsid w:val="0012104D"/>
    <w:rsid w:val="00122A16"/>
    <w:rsid w:val="001232B7"/>
    <w:rsid w:val="0012348F"/>
    <w:rsid w:val="00125657"/>
    <w:rsid w:val="00125D10"/>
    <w:rsid w:val="00126A59"/>
    <w:rsid w:val="001300BA"/>
    <w:rsid w:val="00132EA2"/>
    <w:rsid w:val="00135386"/>
    <w:rsid w:val="00136A90"/>
    <w:rsid w:val="00137D08"/>
    <w:rsid w:val="00145E04"/>
    <w:rsid w:val="00147630"/>
    <w:rsid w:val="00147F9D"/>
    <w:rsid w:val="001505F9"/>
    <w:rsid w:val="001519E1"/>
    <w:rsid w:val="00153B98"/>
    <w:rsid w:val="00153E51"/>
    <w:rsid w:val="00154371"/>
    <w:rsid w:val="00154BFA"/>
    <w:rsid w:val="00154C49"/>
    <w:rsid w:val="00156C85"/>
    <w:rsid w:val="00157958"/>
    <w:rsid w:val="00160243"/>
    <w:rsid w:val="00160F3E"/>
    <w:rsid w:val="00161DB2"/>
    <w:rsid w:val="00163350"/>
    <w:rsid w:val="00165B45"/>
    <w:rsid w:val="0017334F"/>
    <w:rsid w:val="00174085"/>
    <w:rsid w:val="00176BC7"/>
    <w:rsid w:val="001779BD"/>
    <w:rsid w:val="001779E4"/>
    <w:rsid w:val="00180485"/>
    <w:rsid w:val="00182557"/>
    <w:rsid w:val="00182B00"/>
    <w:rsid w:val="0018347F"/>
    <w:rsid w:val="001845CF"/>
    <w:rsid w:val="001863D8"/>
    <w:rsid w:val="0018703D"/>
    <w:rsid w:val="00195570"/>
    <w:rsid w:val="001A080E"/>
    <w:rsid w:val="001A316B"/>
    <w:rsid w:val="001A5B0B"/>
    <w:rsid w:val="001B0243"/>
    <w:rsid w:val="001B1190"/>
    <w:rsid w:val="001B1F6C"/>
    <w:rsid w:val="001B3739"/>
    <w:rsid w:val="001B48E1"/>
    <w:rsid w:val="001B4A7C"/>
    <w:rsid w:val="001B503A"/>
    <w:rsid w:val="001B617F"/>
    <w:rsid w:val="001B6C6D"/>
    <w:rsid w:val="001B6FAE"/>
    <w:rsid w:val="001B7374"/>
    <w:rsid w:val="001C13DD"/>
    <w:rsid w:val="001C1DEE"/>
    <w:rsid w:val="001C2736"/>
    <w:rsid w:val="001C2ADE"/>
    <w:rsid w:val="001C2F27"/>
    <w:rsid w:val="001C38CE"/>
    <w:rsid w:val="001C53E7"/>
    <w:rsid w:val="001C5FAA"/>
    <w:rsid w:val="001C695E"/>
    <w:rsid w:val="001C6E8C"/>
    <w:rsid w:val="001D1197"/>
    <w:rsid w:val="001D2FAA"/>
    <w:rsid w:val="001D3A30"/>
    <w:rsid w:val="001D5C5C"/>
    <w:rsid w:val="001D6A87"/>
    <w:rsid w:val="001E1912"/>
    <w:rsid w:val="001E7006"/>
    <w:rsid w:val="001E7807"/>
    <w:rsid w:val="001E7849"/>
    <w:rsid w:val="001E7C32"/>
    <w:rsid w:val="001F1F44"/>
    <w:rsid w:val="001F4119"/>
    <w:rsid w:val="001F4898"/>
    <w:rsid w:val="00200445"/>
    <w:rsid w:val="002018C3"/>
    <w:rsid w:val="002028CC"/>
    <w:rsid w:val="00205515"/>
    <w:rsid w:val="002058B5"/>
    <w:rsid w:val="00205ED2"/>
    <w:rsid w:val="00211529"/>
    <w:rsid w:val="00211762"/>
    <w:rsid w:val="00211CD6"/>
    <w:rsid w:val="00211D9D"/>
    <w:rsid w:val="00215DFB"/>
    <w:rsid w:val="00216746"/>
    <w:rsid w:val="00217BAA"/>
    <w:rsid w:val="002248BE"/>
    <w:rsid w:val="00224E9D"/>
    <w:rsid w:val="00227888"/>
    <w:rsid w:val="0023074B"/>
    <w:rsid w:val="00231F3A"/>
    <w:rsid w:val="00232EB4"/>
    <w:rsid w:val="002338B9"/>
    <w:rsid w:val="002343F4"/>
    <w:rsid w:val="0024228D"/>
    <w:rsid w:val="002429F4"/>
    <w:rsid w:val="002446DE"/>
    <w:rsid w:val="00245242"/>
    <w:rsid w:val="00245AE4"/>
    <w:rsid w:val="00246B4B"/>
    <w:rsid w:val="00247B62"/>
    <w:rsid w:val="00256F8C"/>
    <w:rsid w:val="0026148C"/>
    <w:rsid w:val="002617A4"/>
    <w:rsid w:val="00262D60"/>
    <w:rsid w:val="00264CD8"/>
    <w:rsid w:val="00264FA5"/>
    <w:rsid w:val="002656FE"/>
    <w:rsid w:val="002671CB"/>
    <w:rsid w:val="0026790C"/>
    <w:rsid w:val="00267DBE"/>
    <w:rsid w:val="002717F5"/>
    <w:rsid w:val="00277DFD"/>
    <w:rsid w:val="00284733"/>
    <w:rsid w:val="00287A3B"/>
    <w:rsid w:val="00290FF9"/>
    <w:rsid w:val="00292350"/>
    <w:rsid w:val="002A0831"/>
    <w:rsid w:val="002A1DF8"/>
    <w:rsid w:val="002A439C"/>
    <w:rsid w:val="002A4F9C"/>
    <w:rsid w:val="002A5870"/>
    <w:rsid w:val="002A64D3"/>
    <w:rsid w:val="002A7DBB"/>
    <w:rsid w:val="002B0411"/>
    <w:rsid w:val="002B346D"/>
    <w:rsid w:val="002C0051"/>
    <w:rsid w:val="002C1176"/>
    <w:rsid w:val="002C4966"/>
    <w:rsid w:val="002C5138"/>
    <w:rsid w:val="002C53A3"/>
    <w:rsid w:val="002C5CB2"/>
    <w:rsid w:val="002C6EBE"/>
    <w:rsid w:val="002D0C05"/>
    <w:rsid w:val="002D1DFD"/>
    <w:rsid w:val="002D4A65"/>
    <w:rsid w:val="002E01DF"/>
    <w:rsid w:val="002E1E89"/>
    <w:rsid w:val="002E3B0F"/>
    <w:rsid w:val="002E4C3C"/>
    <w:rsid w:val="002E6D80"/>
    <w:rsid w:val="002E75C2"/>
    <w:rsid w:val="002F127E"/>
    <w:rsid w:val="002F1BA5"/>
    <w:rsid w:val="002F38D9"/>
    <w:rsid w:val="002F4DDF"/>
    <w:rsid w:val="002F6118"/>
    <w:rsid w:val="002F78A1"/>
    <w:rsid w:val="002F7FAB"/>
    <w:rsid w:val="00300B87"/>
    <w:rsid w:val="00301C3A"/>
    <w:rsid w:val="003020E9"/>
    <w:rsid w:val="00304148"/>
    <w:rsid w:val="00305CDA"/>
    <w:rsid w:val="003102CE"/>
    <w:rsid w:val="003130DE"/>
    <w:rsid w:val="003139C9"/>
    <w:rsid w:val="00313BCF"/>
    <w:rsid w:val="00314067"/>
    <w:rsid w:val="003149B5"/>
    <w:rsid w:val="00314A0A"/>
    <w:rsid w:val="00320BAC"/>
    <w:rsid w:val="00323203"/>
    <w:rsid w:val="003236BF"/>
    <w:rsid w:val="0032383F"/>
    <w:rsid w:val="00324D3E"/>
    <w:rsid w:val="00332612"/>
    <w:rsid w:val="00332E86"/>
    <w:rsid w:val="00333CD9"/>
    <w:rsid w:val="0033670E"/>
    <w:rsid w:val="00341CC8"/>
    <w:rsid w:val="003428AB"/>
    <w:rsid w:val="00343A37"/>
    <w:rsid w:val="00343AD3"/>
    <w:rsid w:val="00343D01"/>
    <w:rsid w:val="003524FC"/>
    <w:rsid w:val="00354E6F"/>
    <w:rsid w:val="00357BB9"/>
    <w:rsid w:val="003602DD"/>
    <w:rsid w:val="00361D8C"/>
    <w:rsid w:val="00363351"/>
    <w:rsid w:val="0036468E"/>
    <w:rsid w:val="00365F47"/>
    <w:rsid w:val="00366998"/>
    <w:rsid w:val="00370308"/>
    <w:rsid w:val="003703E4"/>
    <w:rsid w:val="00370A9A"/>
    <w:rsid w:val="003751BC"/>
    <w:rsid w:val="0037673F"/>
    <w:rsid w:val="0038006E"/>
    <w:rsid w:val="0038556A"/>
    <w:rsid w:val="003868DF"/>
    <w:rsid w:val="0039073A"/>
    <w:rsid w:val="0039232D"/>
    <w:rsid w:val="00393E8B"/>
    <w:rsid w:val="00395A95"/>
    <w:rsid w:val="00396BB8"/>
    <w:rsid w:val="00397D18"/>
    <w:rsid w:val="003A0376"/>
    <w:rsid w:val="003A177C"/>
    <w:rsid w:val="003A3D81"/>
    <w:rsid w:val="003A4CD0"/>
    <w:rsid w:val="003A5813"/>
    <w:rsid w:val="003A61FE"/>
    <w:rsid w:val="003A640C"/>
    <w:rsid w:val="003A7353"/>
    <w:rsid w:val="003A7CE2"/>
    <w:rsid w:val="003A7FFD"/>
    <w:rsid w:val="003B4D35"/>
    <w:rsid w:val="003B7D7F"/>
    <w:rsid w:val="003C24BF"/>
    <w:rsid w:val="003C3609"/>
    <w:rsid w:val="003C3642"/>
    <w:rsid w:val="003C3CA0"/>
    <w:rsid w:val="003C3F6C"/>
    <w:rsid w:val="003C5963"/>
    <w:rsid w:val="003D015D"/>
    <w:rsid w:val="003D1126"/>
    <w:rsid w:val="003D1C1A"/>
    <w:rsid w:val="003D3D43"/>
    <w:rsid w:val="003E08FD"/>
    <w:rsid w:val="003E0D39"/>
    <w:rsid w:val="003E1D0C"/>
    <w:rsid w:val="003F6DC0"/>
    <w:rsid w:val="003F741E"/>
    <w:rsid w:val="004008DF"/>
    <w:rsid w:val="00402255"/>
    <w:rsid w:val="00404465"/>
    <w:rsid w:val="00404C43"/>
    <w:rsid w:val="004050CD"/>
    <w:rsid w:val="00406275"/>
    <w:rsid w:val="004079B9"/>
    <w:rsid w:val="00415C28"/>
    <w:rsid w:val="00421800"/>
    <w:rsid w:val="004228D7"/>
    <w:rsid w:val="004242D1"/>
    <w:rsid w:val="0042471C"/>
    <w:rsid w:val="004278D7"/>
    <w:rsid w:val="00430165"/>
    <w:rsid w:val="004314CA"/>
    <w:rsid w:val="00433835"/>
    <w:rsid w:val="004360E8"/>
    <w:rsid w:val="00436DCF"/>
    <w:rsid w:val="00437D52"/>
    <w:rsid w:val="004414A2"/>
    <w:rsid w:val="0044271C"/>
    <w:rsid w:val="0045052A"/>
    <w:rsid w:val="0045071B"/>
    <w:rsid w:val="004509FC"/>
    <w:rsid w:val="00450AA7"/>
    <w:rsid w:val="004518A1"/>
    <w:rsid w:val="0045290F"/>
    <w:rsid w:val="00454BEB"/>
    <w:rsid w:val="00463942"/>
    <w:rsid w:val="00463A57"/>
    <w:rsid w:val="00463DD2"/>
    <w:rsid w:val="0047148E"/>
    <w:rsid w:val="00480DA1"/>
    <w:rsid w:val="004847D5"/>
    <w:rsid w:val="00490254"/>
    <w:rsid w:val="004904A4"/>
    <w:rsid w:val="004914B4"/>
    <w:rsid w:val="00492CE2"/>
    <w:rsid w:val="00494A6B"/>
    <w:rsid w:val="004967B4"/>
    <w:rsid w:val="004A2144"/>
    <w:rsid w:val="004A3885"/>
    <w:rsid w:val="004A3C43"/>
    <w:rsid w:val="004A60B0"/>
    <w:rsid w:val="004A7162"/>
    <w:rsid w:val="004A743F"/>
    <w:rsid w:val="004B3890"/>
    <w:rsid w:val="004B4A59"/>
    <w:rsid w:val="004C1477"/>
    <w:rsid w:val="004C5629"/>
    <w:rsid w:val="004C61F6"/>
    <w:rsid w:val="004D078C"/>
    <w:rsid w:val="004D10A6"/>
    <w:rsid w:val="004E1388"/>
    <w:rsid w:val="004E32FE"/>
    <w:rsid w:val="004E52B3"/>
    <w:rsid w:val="004E52FB"/>
    <w:rsid w:val="004E5BFB"/>
    <w:rsid w:val="004E66C0"/>
    <w:rsid w:val="004E7B64"/>
    <w:rsid w:val="004F00E9"/>
    <w:rsid w:val="004F3D6A"/>
    <w:rsid w:val="004F64FA"/>
    <w:rsid w:val="00500FF1"/>
    <w:rsid w:val="005039D5"/>
    <w:rsid w:val="00505469"/>
    <w:rsid w:val="00506B47"/>
    <w:rsid w:val="00516268"/>
    <w:rsid w:val="00522537"/>
    <w:rsid w:val="005241FF"/>
    <w:rsid w:val="00525B19"/>
    <w:rsid w:val="00525F93"/>
    <w:rsid w:val="0053080B"/>
    <w:rsid w:val="00531EDD"/>
    <w:rsid w:val="00536923"/>
    <w:rsid w:val="00537484"/>
    <w:rsid w:val="00537BCE"/>
    <w:rsid w:val="00537DAA"/>
    <w:rsid w:val="00540E9F"/>
    <w:rsid w:val="00540F56"/>
    <w:rsid w:val="00543AD5"/>
    <w:rsid w:val="00546945"/>
    <w:rsid w:val="005471AF"/>
    <w:rsid w:val="00553262"/>
    <w:rsid w:val="00554B2C"/>
    <w:rsid w:val="00555AD1"/>
    <w:rsid w:val="00560C49"/>
    <w:rsid w:val="00560C9E"/>
    <w:rsid w:val="00561E18"/>
    <w:rsid w:val="00564822"/>
    <w:rsid w:val="00564DD0"/>
    <w:rsid w:val="00564EEB"/>
    <w:rsid w:val="0056608F"/>
    <w:rsid w:val="00571BF9"/>
    <w:rsid w:val="00573DF6"/>
    <w:rsid w:val="005746C9"/>
    <w:rsid w:val="0057652C"/>
    <w:rsid w:val="00581DF4"/>
    <w:rsid w:val="00581E89"/>
    <w:rsid w:val="00586467"/>
    <w:rsid w:val="00586FEC"/>
    <w:rsid w:val="00587D32"/>
    <w:rsid w:val="0059197C"/>
    <w:rsid w:val="00592176"/>
    <w:rsid w:val="005928DF"/>
    <w:rsid w:val="005928F1"/>
    <w:rsid w:val="00596AF3"/>
    <w:rsid w:val="00596BCE"/>
    <w:rsid w:val="00597BB7"/>
    <w:rsid w:val="00597EB7"/>
    <w:rsid w:val="005A0372"/>
    <w:rsid w:val="005A071E"/>
    <w:rsid w:val="005A0C1F"/>
    <w:rsid w:val="005A0DEE"/>
    <w:rsid w:val="005A26A5"/>
    <w:rsid w:val="005A32B0"/>
    <w:rsid w:val="005A4A10"/>
    <w:rsid w:val="005A56CD"/>
    <w:rsid w:val="005A66EA"/>
    <w:rsid w:val="005A6AE9"/>
    <w:rsid w:val="005A7AF0"/>
    <w:rsid w:val="005A7ECA"/>
    <w:rsid w:val="005B5713"/>
    <w:rsid w:val="005B7B66"/>
    <w:rsid w:val="005B7D4C"/>
    <w:rsid w:val="005C0EEA"/>
    <w:rsid w:val="005C1D37"/>
    <w:rsid w:val="005C1FAE"/>
    <w:rsid w:val="005C2D14"/>
    <w:rsid w:val="005C3F45"/>
    <w:rsid w:val="005C6A22"/>
    <w:rsid w:val="005C7DB8"/>
    <w:rsid w:val="005D63ED"/>
    <w:rsid w:val="005E29EF"/>
    <w:rsid w:val="005E3C6D"/>
    <w:rsid w:val="005E427C"/>
    <w:rsid w:val="005E4621"/>
    <w:rsid w:val="005E6661"/>
    <w:rsid w:val="005F2BCC"/>
    <w:rsid w:val="005F3C82"/>
    <w:rsid w:val="005F3CCE"/>
    <w:rsid w:val="005F4331"/>
    <w:rsid w:val="005F4730"/>
    <w:rsid w:val="00600523"/>
    <w:rsid w:val="00602D0D"/>
    <w:rsid w:val="006072DF"/>
    <w:rsid w:val="00607DDF"/>
    <w:rsid w:val="0061415C"/>
    <w:rsid w:val="006150A5"/>
    <w:rsid w:val="00616A2E"/>
    <w:rsid w:val="00616E26"/>
    <w:rsid w:val="006206A8"/>
    <w:rsid w:val="006216D1"/>
    <w:rsid w:val="0062344F"/>
    <w:rsid w:val="006239ED"/>
    <w:rsid w:val="00623BA0"/>
    <w:rsid w:val="0062518B"/>
    <w:rsid w:val="006278DF"/>
    <w:rsid w:val="00631D31"/>
    <w:rsid w:val="00635C76"/>
    <w:rsid w:val="00636119"/>
    <w:rsid w:val="00636F64"/>
    <w:rsid w:val="00641E35"/>
    <w:rsid w:val="00643749"/>
    <w:rsid w:val="00644131"/>
    <w:rsid w:val="00647BB1"/>
    <w:rsid w:val="006509D6"/>
    <w:rsid w:val="00651ED5"/>
    <w:rsid w:val="00652314"/>
    <w:rsid w:val="00653DF2"/>
    <w:rsid w:val="00656202"/>
    <w:rsid w:val="0066198D"/>
    <w:rsid w:val="00661D7F"/>
    <w:rsid w:val="00662891"/>
    <w:rsid w:val="00664237"/>
    <w:rsid w:val="00665A82"/>
    <w:rsid w:val="00665AAE"/>
    <w:rsid w:val="00665ABE"/>
    <w:rsid w:val="00666C74"/>
    <w:rsid w:val="006672C3"/>
    <w:rsid w:val="00667751"/>
    <w:rsid w:val="00667BBB"/>
    <w:rsid w:val="006701AE"/>
    <w:rsid w:val="0067023C"/>
    <w:rsid w:val="006727D8"/>
    <w:rsid w:val="00673501"/>
    <w:rsid w:val="006739AF"/>
    <w:rsid w:val="00673CD2"/>
    <w:rsid w:val="0068000D"/>
    <w:rsid w:val="00680CC0"/>
    <w:rsid w:val="00680F7C"/>
    <w:rsid w:val="00684D22"/>
    <w:rsid w:val="00684F1C"/>
    <w:rsid w:val="00685684"/>
    <w:rsid w:val="00690D9E"/>
    <w:rsid w:val="006925DB"/>
    <w:rsid w:val="00693778"/>
    <w:rsid w:val="0069529A"/>
    <w:rsid w:val="00695312"/>
    <w:rsid w:val="006977C7"/>
    <w:rsid w:val="006A0F6F"/>
    <w:rsid w:val="006A3248"/>
    <w:rsid w:val="006A4601"/>
    <w:rsid w:val="006A6336"/>
    <w:rsid w:val="006B0644"/>
    <w:rsid w:val="006B0C0C"/>
    <w:rsid w:val="006B4319"/>
    <w:rsid w:val="006B47A7"/>
    <w:rsid w:val="006C028E"/>
    <w:rsid w:val="006C4C35"/>
    <w:rsid w:val="006C513E"/>
    <w:rsid w:val="006C60E6"/>
    <w:rsid w:val="006C78A7"/>
    <w:rsid w:val="006D1047"/>
    <w:rsid w:val="006D1124"/>
    <w:rsid w:val="006D4762"/>
    <w:rsid w:val="006E09A4"/>
    <w:rsid w:val="006E0FFF"/>
    <w:rsid w:val="006E1E62"/>
    <w:rsid w:val="006E3152"/>
    <w:rsid w:val="006E40CA"/>
    <w:rsid w:val="006F036E"/>
    <w:rsid w:val="006F0738"/>
    <w:rsid w:val="006F1831"/>
    <w:rsid w:val="006F396E"/>
    <w:rsid w:val="006F3B3F"/>
    <w:rsid w:val="006F4A48"/>
    <w:rsid w:val="006F5E9C"/>
    <w:rsid w:val="007008AD"/>
    <w:rsid w:val="0070487E"/>
    <w:rsid w:val="00704A78"/>
    <w:rsid w:val="00710046"/>
    <w:rsid w:val="00710220"/>
    <w:rsid w:val="0071187B"/>
    <w:rsid w:val="007164F7"/>
    <w:rsid w:val="00720EB8"/>
    <w:rsid w:val="00727CEE"/>
    <w:rsid w:val="00731184"/>
    <w:rsid w:val="00732D65"/>
    <w:rsid w:val="00734CC3"/>
    <w:rsid w:val="00735D06"/>
    <w:rsid w:val="00735D43"/>
    <w:rsid w:val="00742A6B"/>
    <w:rsid w:val="00742F6B"/>
    <w:rsid w:val="00745406"/>
    <w:rsid w:val="00745649"/>
    <w:rsid w:val="007469EC"/>
    <w:rsid w:val="007476DC"/>
    <w:rsid w:val="0075202E"/>
    <w:rsid w:val="00757336"/>
    <w:rsid w:val="00760EB7"/>
    <w:rsid w:val="007622CB"/>
    <w:rsid w:val="00762AE8"/>
    <w:rsid w:val="00764A33"/>
    <w:rsid w:val="007652BA"/>
    <w:rsid w:val="0077026E"/>
    <w:rsid w:val="00770D06"/>
    <w:rsid w:val="00774A38"/>
    <w:rsid w:val="007758AA"/>
    <w:rsid w:val="007813D8"/>
    <w:rsid w:val="0078312A"/>
    <w:rsid w:val="007865BB"/>
    <w:rsid w:val="00797063"/>
    <w:rsid w:val="007A0B6B"/>
    <w:rsid w:val="007A3E84"/>
    <w:rsid w:val="007B0043"/>
    <w:rsid w:val="007B3C13"/>
    <w:rsid w:val="007B43A7"/>
    <w:rsid w:val="007B4B8F"/>
    <w:rsid w:val="007C2B47"/>
    <w:rsid w:val="007C3973"/>
    <w:rsid w:val="007C499D"/>
    <w:rsid w:val="007C674F"/>
    <w:rsid w:val="007C7C4F"/>
    <w:rsid w:val="007D6D53"/>
    <w:rsid w:val="007D7683"/>
    <w:rsid w:val="007E0E49"/>
    <w:rsid w:val="007E3CCC"/>
    <w:rsid w:val="007E5063"/>
    <w:rsid w:val="007E52E4"/>
    <w:rsid w:val="007E54E5"/>
    <w:rsid w:val="007E7B29"/>
    <w:rsid w:val="007F1C26"/>
    <w:rsid w:val="007F3873"/>
    <w:rsid w:val="007F4574"/>
    <w:rsid w:val="007F582F"/>
    <w:rsid w:val="00802043"/>
    <w:rsid w:val="0080346D"/>
    <w:rsid w:val="0080386C"/>
    <w:rsid w:val="008062DC"/>
    <w:rsid w:val="00807A90"/>
    <w:rsid w:val="00810D85"/>
    <w:rsid w:val="00811012"/>
    <w:rsid w:val="0081685E"/>
    <w:rsid w:val="008168B2"/>
    <w:rsid w:val="008177B4"/>
    <w:rsid w:val="008213FC"/>
    <w:rsid w:val="0082333F"/>
    <w:rsid w:val="00824612"/>
    <w:rsid w:val="008258AB"/>
    <w:rsid w:val="00825F93"/>
    <w:rsid w:val="00827785"/>
    <w:rsid w:val="00827B79"/>
    <w:rsid w:val="00830150"/>
    <w:rsid w:val="008301EF"/>
    <w:rsid w:val="008360EB"/>
    <w:rsid w:val="008370A4"/>
    <w:rsid w:val="00837E2C"/>
    <w:rsid w:val="00841187"/>
    <w:rsid w:val="0084685A"/>
    <w:rsid w:val="008503DD"/>
    <w:rsid w:val="00851989"/>
    <w:rsid w:val="008527CE"/>
    <w:rsid w:val="008537A7"/>
    <w:rsid w:val="008546F8"/>
    <w:rsid w:val="0086069F"/>
    <w:rsid w:val="008609D1"/>
    <w:rsid w:val="00861C2A"/>
    <w:rsid w:val="00873C94"/>
    <w:rsid w:val="00876D0C"/>
    <w:rsid w:val="00880D29"/>
    <w:rsid w:val="00880D7D"/>
    <w:rsid w:val="00883F77"/>
    <w:rsid w:val="00885CE1"/>
    <w:rsid w:val="00886471"/>
    <w:rsid w:val="008927FE"/>
    <w:rsid w:val="00894DAB"/>
    <w:rsid w:val="0089564C"/>
    <w:rsid w:val="00895BB2"/>
    <w:rsid w:val="008A33A8"/>
    <w:rsid w:val="008A3CC3"/>
    <w:rsid w:val="008B1A2F"/>
    <w:rsid w:val="008B3B75"/>
    <w:rsid w:val="008B5416"/>
    <w:rsid w:val="008B633F"/>
    <w:rsid w:val="008B64DF"/>
    <w:rsid w:val="008B6DCA"/>
    <w:rsid w:val="008C2624"/>
    <w:rsid w:val="008C7D5A"/>
    <w:rsid w:val="008C7F5F"/>
    <w:rsid w:val="008D3034"/>
    <w:rsid w:val="008D5D2A"/>
    <w:rsid w:val="008D6120"/>
    <w:rsid w:val="008D629D"/>
    <w:rsid w:val="008D670F"/>
    <w:rsid w:val="008D78E4"/>
    <w:rsid w:val="008D7E3F"/>
    <w:rsid w:val="008E7007"/>
    <w:rsid w:val="008E7A36"/>
    <w:rsid w:val="008F0F0C"/>
    <w:rsid w:val="008F20AA"/>
    <w:rsid w:val="008F3D51"/>
    <w:rsid w:val="008F439E"/>
    <w:rsid w:val="008F45E6"/>
    <w:rsid w:val="008F6666"/>
    <w:rsid w:val="008F6B9D"/>
    <w:rsid w:val="009019A5"/>
    <w:rsid w:val="00902999"/>
    <w:rsid w:val="009037EF"/>
    <w:rsid w:val="009040B7"/>
    <w:rsid w:val="009050C3"/>
    <w:rsid w:val="0090510C"/>
    <w:rsid w:val="00905265"/>
    <w:rsid w:val="00906315"/>
    <w:rsid w:val="009107B1"/>
    <w:rsid w:val="00911C8D"/>
    <w:rsid w:val="00912973"/>
    <w:rsid w:val="00913689"/>
    <w:rsid w:val="00914D85"/>
    <w:rsid w:val="00916223"/>
    <w:rsid w:val="009169AC"/>
    <w:rsid w:val="009222A8"/>
    <w:rsid w:val="00924F96"/>
    <w:rsid w:val="00925F77"/>
    <w:rsid w:val="00936A9F"/>
    <w:rsid w:val="0093717A"/>
    <w:rsid w:val="00942F05"/>
    <w:rsid w:val="00943633"/>
    <w:rsid w:val="009444C8"/>
    <w:rsid w:val="00944F4E"/>
    <w:rsid w:val="009474EB"/>
    <w:rsid w:val="0095038F"/>
    <w:rsid w:val="0095128D"/>
    <w:rsid w:val="00951536"/>
    <w:rsid w:val="00953D9C"/>
    <w:rsid w:val="0095432F"/>
    <w:rsid w:val="009552AA"/>
    <w:rsid w:val="00955A5C"/>
    <w:rsid w:val="00956F82"/>
    <w:rsid w:val="00957104"/>
    <w:rsid w:val="0095732A"/>
    <w:rsid w:val="009574F1"/>
    <w:rsid w:val="009627A9"/>
    <w:rsid w:val="00963F75"/>
    <w:rsid w:val="00964E2A"/>
    <w:rsid w:val="00966458"/>
    <w:rsid w:val="0096695C"/>
    <w:rsid w:val="00967C52"/>
    <w:rsid w:val="009714EF"/>
    <w:rsid w:val="0097258D"/>
    <w:rsid w:val="00974AC7"/>
    <w:rsid w:val="00975068"/>
    <w:rsid w:val="00976B55"/>
    <w:rsid w:val="009813B7"/>
    <w:rsid w:val="0098430F"/>
    <w:rsid w:val="00984BE2"/>
    <w:rsid w:val="00987191"/>
    <w:rsid w:val="00987400"/>
    <w:rsid w:val="009877DF"/>
    <w:rsid w:val="00990D52"/>
    <w:rsid w:val="00993AF4"/>
    <w:rsid w:val="00993D38"/>
    <w:rsid w:val="00996AE6"/>
    <w:rsid w:val="009A0E1A"/>
    <w:rsid w:val="009A0F5B"/>
    <w:rsid w:val="009A24B7"/>
    <w:rsid w:val="009A54E8"/>
    <w:rsid w:val="009B1A96"/>
    <w:rsid w:val="009B2353"/>
    <w:rsid w:val="009B38D8"/>
    <w:rsid w:val="009B3E5F"/>
    <w:rsid w:val="009B4DD1"/>
    <w:rsid w:val="009B6390"/>
    <w:rsid w:val="009B6C97"/>
    <w:rsid w:val="009B73BA"/>
    <w:rsid w:val="009B7F54"/>
    <w:rsid w:val="009C3CDC"/>
    <w:rsid w:val="009D1869"/>
    <w:rsid w:val="009D3D94"/>
    <w:rsid w:val="009D49D7"/>
    <w:rsid w:val="009D5F75"/>
    <w:rsid w:val="009E0AE8"/>
    <w:rsid w:val="009E40BF"/>
    <w:rsid w:val="009E5B63"/>
    <w:rsid w:val="009E7029"/>
    <w:rsid w:val="009F154D"/>
    <w:rsid w:val="009F19FC"/>
    <w:rsid w:val="009F4409"/>
    <w:rsid w:val="009F51B9"/>
    <w:rsid w:val="009F596C"/>
    <w:rsid w:val="00A00399"/>
    <w:rsid w:val="00A0110F"/>
    <w:rsid w:val="00A016BA"/>
    <w:rsid w:val="00A02344"/>
    <w:rsid w:val="00A070CD"/>
    <w:rsid w:val="00A1252E"/>
    <w:rsid w:val="00A171A2"/>
    <w:rsid w:val="00A17E23"/>
    <w:rsid w:val="00A2240D"/>
    <w:rsid w:val="00A2413A"/>
    <w:rsid w:val="00A25B06"/>
    <w:rsid w:val="00A26D3C"/>
    <w:rsid w:val="00A306EE"/>
    <w:rsid w:val="00A3396E"/>
    <w:rsid w:val="00A34758"/>
    <w:rsid w:val="00A372D7"/>
    <w:rsid w:val="00A41F46"/>
    <w:rsid w:val="00A42C7C"/>
    <w:rsid w:val="00A43915"/>
    <w:rsid w:val="00A4549A"/>
    <w:rsid w:val="00A4684A"/>
    <w:rsid w:val="00A501A0"/>
    <w:rsid w:val="00A516D8"/>
    <w:rsid w:val="00A524B4"/>
    <w:rsid w:val="00A556E4"/>
    <w:rsid w:val="00A63659"/>
    <w:rsid w:val="00A65217"/>
    <w:rsid w:val="00A65D28"/>
    <w:rsid w:val="00A6792F"/>
    <w:rsid w:val="00A70D04"/>
    <w:rsid w:val="00A71018"/>
    <w:rsid w:val="00A73271"/>
    <w:rsid w:val="00A73438"/>
    <w:rsid w:val="00A756D1"/>
    <w:rsid w:val="00A75ABD"/>
    <w:rsid w:val="00A75ED6"/>
    <w:rsid w:val="00A801D1"/>
    <w:rsid w:val="00A822DD"/>
    <w:rsid w:val="00A8404C"/>
    <w:rsid w:val="00A85DD9"/>
    <w:rsid w:val="00A92BDD"/>
    <w:rsid w:val="00A96CA9"/>
    <w:rsid w:val="00A97C19"/>
    <w:rsid w:val="00AA0D9D"/>
    <w:rsid w:val="00AA2F70"/>
    <w:rsid w:val="00AA331E"/>
    <w:rsid w:val="00AA3450"/>
    <w:rsid w:val="00AA53C1"/>
    <w:rsid w:val="00AA6729"/>
    <w:rsid w:val="00AB02EC"/>
    <w:rsid w:val="00AB0AA4"/>
    <w:rsid w:val="00AB2A9F"/>
    <w:rsid w:val="00AB2AF7"/>
    <w:rsid w:val="00AB4236"/>
    <w:rsid w:val="00AB4FFF"/>
    <w:rsid w:val="00AC0132"/>
    <w:rsid w:val="00AC071B"/>
    <w:rsid w:val="00AC0A43"/>
    <w:rsid w:val="00AC12B2"/>
    <w:rsid w:val="00AC3665"/>
    <w:rsid w:val="00AC38BC"/>
    <w:rsid w:val="00AC43B8"/>
    <w:rsid w:val="00AC5352"/>
    <w:rsid w:val="00AC5765"/>
    <w:rsid w:val="00AC597A"/>
    <w:rsid w:val="00AC63FD"/>
    <w:rsid w:val="00AD54DB"/>
    <w:rsid w:val="00AD6286"/>
    <w:rsid w:val="00AD6F83"/>
    <w:rsid w:val="00AD7501"/>
    <w:rsid w:val="00AD780B"/>
    <w:rsid w:val="00AD7CDC"/>
    <w:rsid w:val="00AE075F"/>
    <w:rsid w:val="00AE0DCA"/>
    <w:rsid w:val="00AE3267"/>
    <w:rsid w:val="00AE3353"/>
    <w:rsid w:val="00AE7070"/>
    <w:rsid w:val="00AF0DA9"/>
    <w:rsid w:val="00AF2E53"/>
    <w:rsid w:val="00AF3F0F"/>
    <w:rsid w:val="00AF6BDD"/>
    <w:rsid w:val="00B00AC0"/>
    <w:rsid w:val="00B026E9"/>
    <w:rsid w:val="00B038F6"/>
    <w:rsid w:val="00B077F4"/>
    <w:rsid w:val="00B07E69"/>
    <w:rsid w:val="00B109F3"/>
    <w:rsid w:val="00B151B0"/>
    <w:rsid w:val="00B1607D"/>
    <w:rsid w:val="00B16A40"/>
    <w:rsid w:val="00B1770A"/>
    <w:rsid w:val="00B225AB"/>
    <w:rsid w:val="00B22837"/>
    <w:rsid w:val="00B25C56"/>
    <w:rsid w:val="00B25CBD"/>
    <w:rsid w:val="00B26F6B"/>
    <w:rsid w:val="00B32853"/>
    <w:rsid w:val="00B3307D"/>
    <w:rsid w:val="00B341F8"/>
    <w:rsid w:val="00B344BE"/>
    <w:rsid w:val="00B3615F"/>
    <w:rsid w:val="00B3707C"/>
    <w:rsid w:val="00B4292E"/>
    <w:rsid w:val="00B43340"/>
    <w:rsid w:val="00B43E4B"/>
    <w:rsid w:val="00B474A5"/>
    <w:rsid w:val="00B51223"/>
    <w:rsid w:val="00B54383"/>
    <w:rsid w:val="00B552A2"/>
    <w:rsid w:val="00B55C21"/>
    <w:rsid w:val="00B5699A"/>
    <w:rsid w:val="00B578FA"/>
    <w:rsid w:val="00B67078"/>
    <w:rsid w:val="00B67226"/>
    <w:rsid w:val="00B67318"/>
    <w:rsid w:val="00B701B7"/>
    <w:rsid w:val="00B713C9"/>
    <w:rsid w:val="00B7402C"/>
    <w:rsid w:val="00B74A16"/>
    <w:rsid w:val="00B74A30"/>
    <w:rsid w:val="00B750E1"/>
    <w:rsid w:val="00B7536D"/>
    <w:rsid w:val="00B75942"/>
    <w:rsid w:val="00B80631"/>
    <w:rsid w:val="00B827E0"/>
    <w:rsid w:val="00B86115"/>
    <w:rsid w:val="00B86F81"/>
    <w:rsid w:val="00B92C80"/>
    <w:rsid w:val="00B92CB3"/>
    <w:rsid w:val="00B9732A"/>
    <w:rsid w:val="00B97CA6"/>
    <w:rsid w:val="00BA0A22"/>
    <w:rsid w:val="00BA1A27"/>
    <w:rsid w:val="00BA2852"/>
    <w:rsid w:val="00BA2DA9"/>
    <w:rsid w:val="00BA44D6"/>
    <w:rsid w:val="00BA5E41"/>
    <w:rsid w:val="00BA5F62"/>
    <w:rsid w:val="00BB2AC9"/>
    <w:rsid w:val="00BB5A56"/>
    <w:rsid w:val="00BB5ECD"/>
    <w:rsid w:val="00BC1CD0"/>
    <w:rsid w:val="00BC1FE5"/>
    <w:rsid w:val="00BC224C"/>
    <w:rsid w:val="00BC2A53"/>
    <w:rsid w:val="00BD5368"/>
    <w:rsid w:val="00BD6B3E"/>
    <w:rsid w:val="00BD7382"/>
    <w:rsid w:val="00BD749D"/>
    <w:rsid w:val="00BD7F05"/>
    <w:rsid w:val="00BE5330"/>
    <w:rsid w:val="00BE591A"/>
    <w:rsid w:val="00BE59CD"/>
    <w:rsid w:val="00BF3EB4"/>
    <w:rsid w:val="00BF45B2"/>
    <w:rsid w:val="00C03229"/>
    <w:rsid w:val="00C05415"/>
    <w:rsid w:val="00C05795"/>
    <w:rsid w:val="00C0703C"/>
    <w:rsid w:val="00C07773"/>
    <w:rsid w:val="00C07A61"/>
    <w:rsid w:val="00C102A6"/>
    <w:rsid w:val="00C10869"/>
    <w:rsid w:val="00C11035"/>
    <w:rsid w:val="00C12EC4"/>
    <w:rsid w:val="00C147A3"/>
    <w:rsid w:val="00C159F9"/>
    <w:rsid w:val="00C15AB2"/>
    <w:rsid w:val="00C172C6"/>
    <w:rsid w:val="00C221D5"/>
    <w:rsid w:val="00C24FE8"/>
    <w:rsid w:val="00C25580"/>
    <w:rsid w:val="00C35C89"/>
    <w:rsid w:val="00C5007D"/>
    <w:rsid w:val="00C5322E"/>
    <w:rsid w:val="00C545BC"/>
    <w:rsid w:val="00C6040C"/>
    <w:rsid w:val="00C60C67"/>
    <w:rsid w:val="00C71DC9"/>
    <w:rsid w:val="00C7382D"/>
    <w:rsid w:val="00C75BD7"/>
    <w:rsid w:val="00C821F8"/>
    <w:rsid w:val="00C82299"/>
    <w:rsid w:val="00C83258"/>
    <w:rsid w:val="00C83FE6"/>
    <w:rsid w:val="00C857E1"/>
    <w:rsid w:val="00C9166A"/>
    <w:rsid w:val="00C937D4"/>
    <w:rsid w:val="00C95D23"/>
    <w:rsid w:val="00CA0B31"/>
    <w:rsid w:val="00CA1553"/>
    <w:rsid w:val="00CA4397"/>
    <w:rsid w:val="00CA7525"/>
    <w:rsid w:val="00CB2A71"/>
    <w:rsid w:val="00CB2EAA"/>
    <w:rsid w:val="00CB35E8"/>
    <w:rsid w:val="00CB405A"/>
    <w:rsid w:val="00CC18D0"/>
    <w:rsid w:val="00CC2050"/>
    <w:rsid w:val="00CC2EE2"/>
    <w:rsid w:val="00CC3257"/>
    <w:rsid w:val="00CC5D4C"/>
    <w:rsid w:val="00CC6DD6"/>
    <w:rsid w:val="00CC7025"/>
    <w:rsid w:val="00CC794F"/>
    <w:rsid w:val="00CC7DDB"/>
    <w:rsid w:val="00CD1DC6"/>
    <w:rsid w:val="00CD2141"/>
    <w:rsid w:val="00CD3237"/>
    <w:rsid w:val="00CD499A"/>
    <w:rsid w:val="00CD6454"/>
    <w:rsid w:val="00CE5B30"/>
    <w:rsid w:val="00CE7D64"/>
    <w:rsid w:val="00CF005D"/>
    <w:rsid w:val="00CF4BB1"/>
    <w:rsid w:val="00CF5F7D"/>
    <w:rsid w:val="00D00C02"/>
    <w:rsid w:val="00D01E7E"/>
    <w:rsid w:val="00D04B52"/>
    <w:rsid w:val="00D04FF7"/>
    <w:rsid w:val="00D07F62"/>
    <w:rsid w:val="00D10C36"/>
    <w:rsid w:val="00D12C07"/>
    <w:rsid w:val="00D130FE"/>
    <w:rsid w:val="00D137DA"/>
    <w:rsid w:val="00D14501"/>
    <w:rsid w:val="00D14624"/>
    <w:rsid w:val="00D15A4E"/>
    <w:rsid w:val="00D16240"/>
    <w:rsid w:val="00D16355"/>
    <w:rsid w:val="00D17512"/>
    <w:rsid w:val="00D203F0"/>
    <w:rsid w:val="00D205C8"/>
    <w:rsid w:val="00D229D5"/>
    <w:rsid w:val="00D23777"/>
    <w:rsid w:val="00D244FC"/>
    <w:rsid w:val="00D24A66"/>
    <w:rsid w:val="00D266A8"/>
    <w:rsid w:val="00D27A53"/>
    <w:rsid w:val="00D31E1A"/>
    <w:rsid w:val="00D36D82"/>
    <w:rsid w:val="00D374C5"/>
    <w:rsid w:val="00D3763C"/>
    <w:rsid w:val="00D40100"/>
    <w:rsid w:val="00D409E0"/>
    <w:rsid w:val="00D42A72"/>
    <w:rsid w:val="00D44DA8"/>
    <w:rsid w:val="00D452AC"/>
    <w:rsid w:val="00D46427"/>
    <w:rsid w:val="00D5060F"/>
    <w:rsid w:val="00D523E7"/>
    <w:rsid w:val="00D53D09"/>
    <w:rsid w:val="00D5436C"/>
    <w:rsid w:val="00D5495D"/>
    <w:rsid w:val="00D55D62"/>
    <w:rsid w:val="00D5749E"/>
    <w:rsid w:val="00D60769"/>
    <w:rsid w:val="00D61CAD"/>
    <w:rsid w:val="00D62AA1"/>
    <w:rsid w:val="00D62AC6"/>
    <w:rsid w:val="00D65733"/>
    <w:rsid w:val="00D66B33"/>
    <w:rsid w:val="00D70436"/>
    <w:rsid w:val="00D70639"/>
    <w:rsid w:val="00D7371A"/>
    <w:rsid w:val="00D73BA1"/>
    <w:rsid w:val="00D75B4D"/>
    <w:rsid w:val="00D761DD"/>
    <w:rsid w:val="00D76E53"/>
    <w:rsid w:val="00D76F1E"/>
    <w:rsid w:val="00D801A2"/>
    <w:rsid w:val="00D81BFE"/>
    <w:rsid w:val="00D8227B"/>
    <w:rsid w:val="00D82348"/>
    <w:rsid w:val="00D835AA"/>
    <w:rsid w:val="00D86218"/>
    <w:rsid w:val="00D9218D"/>
    <w:rsid w:val="00D92974"/>
    <w:rsid w:val="00D96C07"/>
    <w:rsid w:val="00D96DA9"/>
    <w:rsid w:val="00D97090"/>
    <w:rsid w:val="00D97981"/>
    <w:rsid w:val="00DA2270"/>
    <w:rsid w:val="00DB0BCE"/>
    <w:rsid w:val="00DB1AA7"/>
    <w:rsid w:val="00DB43AD"/>
    <w:rsid w:val="00DB4E03"/>
    <w:rsid w:val="00DB59CC"/>
    <w:rsid w:val="00DB5BBF"/>
    <w:rsid w:val="00DB7C05"/>
    <w:rsid w:val="00DC272B"/>
    <w:rsid w:val="00DC2B34"/>
    <w:rsid w:val="00DC582A"/>
    <w:rsid w:val="00DC65FD"/>
    <w:rsid w:val="00DD0EE6"/>
    <w:rsid w:val="00DD1B7E"/>
    <w:rsid w:val="00DD3DBB"/>
    <w:rsid w:val="00DD58B9"/>
    <w:rsid w:val="00DD7232"/>
    <w:rsid w:val="00DE2635"/>
    <w:rsid w:val="00DE278C"/>
    <w:rsid w:val="00DE3FB6"/>
    <w:rsid w:val="00DE4F66"/>
    <w:rsid w:val="00DF0165"/>
    <w:rsid w:val="00DF0ACD"/>
    <w:rsid w:val="00DF143C"/>
    <w:rsid w:val="00DF1C17"/>
    <w:rsid w:val="00DF2F07"/>
    <w:rsid w:val="00DF4113"/>
    <w:rsid w:val="00DF4244"/>
    <w:rsid w:val="00DF68EE"/>
    <w:rsid w:val="00DF6DB5"/>
    <w:rsid w:val="00E02075"/>
    <w:rsid w:val="00E0475B"/>
    <w:rsid w:val="00E05F5B"/>
    <w:rsid w:val="00E06DBF"/>
    <w:rsid w:val="00E135CA"/>
    <w:rsid w:val="00E17361"/>
    <w:rsid w:val="00E209A3"/>
    <w:rsid w:val="00E21E55"/>
    <w:rsid w:val="00E21EC3"/>
    <w:rsid w:val="00E21F5C"/>
    <w:rsid w:val="00E24E16"/>
    <w:rsid w:val="00E26C57"/>
    <w:rsid w:val="00E2709B"/>
    <w:rsid w:val="00E27461"/>
    <w:rsid w:val="00E3043A"/>
    <w:rsid w:val="00E30B61"/>
    <w:rsid w:val="00E317F5"/>
    <w:rsid w:val="00E3666C"/>
    <w:rsid w:val="00E3674A"/>
    <w:rsid w:val="00E424E3"/>
    <w:rsid w:val="00E44A35"/>
    <w:rsid w:val="00E44D09"/>
    <w:rsid w:val="00E450B2"/>
    <w:rsid w:val="00E46BA4"/>
    <w:rsid w:val="00E508D2"/>
    <w:rsid w:val="00E50A28"/>
    <w:rsid w:val="00E52699"/>
    <w:rsid w:val="00E53605"/>
    <w:rsid w:val="00E568ED"/>
    <w:rsid w:val="00E57DB9"/>
    <w:rsid w:val="00E60B51"/>
    <w:rsid w:val="00E619C7"/>
    <w:rsid w:val="00E645C6"/>
    <w:rsid w:val="00E66153"/>
    <w:rsid w:val="00E666A2"/>
    <w:rsid w:val="00E73CEC"/>
    <w:rsid w:val="00E7456A"/>
    <w:rsid w:val="00E74E2C"/>
    <w:rsid w:val="00E754F5"/>
    <w:rsid w:val="00E75E98"/>
    <w:rsid w:val="00E83CAD"/>
    <w:rsid w:val="00E85A94"/>
    <w:rsid w:val="00E86E1B"/>
    <w:rsid w:val="00E8721E"/>
    <w:rsid w:val="00E92AF5"/>
    <w:rsid w:val="00E93A3D"/>
    <w:rsid w:val="00E94BC8"/>
    <w:rsid w:val="00E9504A"/>
    <w:rsid w:val="00E96881"/>
    <w:rsid w:val="00E96D20"/>
    <w:rsid w:val="00EA00F2"/>
    <w:rsid w:val="00EA0127"/>
    <w:rsid w:val="00EA2CB9"/>
    <w:rsid w:val="00EA454D"/>
    <w:rsid w:val="00EA5E74"/>
    <w:rsid w:val="00EB3B00"/>
    <w:rsid w:val="00EB40E6"/>
    <w:rsid w:val="00EB5ACF"/>
    <w:rsid w:val="00EB6742"/>
    <w:rsid w:val="00EC0403"/>
    <w:rsid w:val="00ED00EF"/>
    <w:rsid w:val="00ED080A"/>
    <w:rsid w:val="00ED1741"/>
    <w:rsid w:val="00ED31E7"/>
    <w:rsid w:val="00ED579F"/>
    <w:rsid w:val="00ED64F1"/>
    <w:rsid w:val="00EE2FC6"/>
    <w:rsid w:val="00EE354D"/>
    <w:rsid w:val="00EE5170"/>
    <w:rsid w:val="00EF0996"/>
    <w:rsid w:val="00EF1C61"/>
    <w:rsid w:val="00F05AFC"/>
    <w:rsid w:val="00F075B7"/>
    <w:rsid w:val="00F0778A"/>
    <w:rsid w:val="00F107A0"/>
    <w:rsid w:val="00F110B1"/>
    <w:rsid w:val="00F110D2"/>
    <w:rsid w:val="00F172CE"/>
    <w:rsid w:val="00F22CFD"/>
    <w:rsid w:val="00F23FED"/>
    <w:rsid w:val="00F26549"/>
    <w:rsid w:val="00F32B40"/>
    <w:rsid w:val="00F338BF"/>
    <w:rsid w:val="00F34E3D"/>
    <w:rsid w:val="00F353B9"/>
    <w:rsid w:val="00F40734"/>
    <w:rsid w:val="00F41650"/>
    <w:rsid w:val="00F42132"/>
    <w:rsid w:val="00F43C52"/>
    <w:rsid w:val="00F522F5"/>
    <w:rsid w:val="00F525F1"/>
    <w:rsid w:val="00F53D8A"/>
    <w:rsid w:val="00F56F51"/>
    <w:rsid w:val="00F620FF"/>
    <w:rsid w:val="00F671EA"/>
    <w:rsid w:val="00F67823"/>
    <w:rsid w:val="00F67B4C"/>
    <w:rsid w:val="00F726FF"/>
    <w:rsid w:val="00F73CF4"/>
    <w:rsid w:val="00F82518"/>
    <w:rsid w:val="00F841F7"/>
    <w:rsid w:val="00F86B69"/>
    <w:rsid w:val="00F90976"/>
    <w:rsid w:val="00F90DEC"/>
    <w:rsid w:val="00F91D4C"/>
    <w:rsid w:val="00F91F72"/>
    <w:rsid w:val="00F94C60"/>
    <w:rsid w:val="00F95255"/>
    <w:rsid w:val="00F958D0"/>
    <w:rsid w:val="00F95E2F"/>
    <w:rsid w:val="00F97B4C"/>
    <w:rsid w:val="00FA22C8"/>
    <w:rsid w:val="00FA37BF"/>
    <w:rsid w:val="00FB083D"/>
    <w:rsid w:val="00FB20FC"/>
    <w:rsid w:val="00FB2560"/>
    <w:rsid w:val="00FB3FCC"/>
    <w:rsid w:val="00FB6653"/>
    <w:rsid w:val="00FC075B"/>
    <w:rsid w:val="00FC0783"/>
    <w:rsid w:val="00FC1FAF"/>
    <w:rsid w:val="00FC2372"/>
    <w:rsid w:val="00FC2A76"/>
    <w:rsid w:val="00FC3D33"/>
    <w:rsid w:val="00FC600E"/>
    <w:rsid w:val="00FC7093"/>
    <w:rsid w:val="00FC7E2B"/>
    <w:rsid w:val="00FD6FCE"/>
    <w:rsid w:val="00FE382A"/>
    <w:rsid w:val="00FE434D"/>
    <w:rsid w:val="00FE4EDD"/>
    <w:rsid w:val="00FE553C"/>
    <w:rsid w:val="00FE5761"/>
    <w:rsid w:val="00FE6782"/>
    <w:rsid w:val="00FE6D52"/>
    <w:rsid w:val="00FE6E4C"/>
    <w:rsid w:val="00FF0111"/>
    <w:rsid w:val="00FF0CAA"/>
    <w:rsid w:val="00FF2104"/>
    <w:rsid w:val="00FF3A35"/>
    <w:rsid w:val="00FF4979"/>
    <w:rsid w:val="00FF645F"/>
    <w:rsid w:val="00FF6F6A"/>
    <w:rsid w:val="01001704"/>
    <w:rsid w:val="01170C55"/>
    <w:rsid w:val="011949CD"/>
    <w:rsid w:val="01260E98"/>
    <w:rsid w:val="012651AE"/>
    <w:rsid w:val="013B20DA"/>
    <w:rsid w:val="014F6641"/>
    <w:rsid w:val="01610122"/>
    <w:rsid w:val="01853E11"/>
    <w:rsid w:val="01974507"/>
    <w:rsid w:val="019E0A2D"/>
    <w:rsid w:val="019F1815"/>
    <w:rsid w:val="01BD0F5C"/>
    <w:rsid w:val="01CC1A40"/>
    <w:rsid w:val="01CF3D6E"/>
    <w:rsid w:val="01EA636A"/>
    <w:rsid w:val="0207164B"/>
    <w:rsid w:val="020D2912"/>
    <w:rsid w:val="021D5F3B"/>
    <w:rsid w:val="02282611"/>
    <w:rsid w:val="02315CA0"/>
    <w:rsid w:val="0241005D"/>
    <w:rsid w:val="02497534"/>
    <w:rsid w:val="02557C87"/>
    <w:rsid w:val="02A80A82"/>
    <w:rsid w:val="02D92666"/>
    <w:rsid w:val="02E375A5"/>
    <w:rsid w:val="02EA4C51"/>
    <w:rsid w:val="02F838F3"/>
    <w:rsid w:val="02FA438B"/>
    <w:rsid w:val="030328D7"/>
    <w:rsid w:val="03157356"/>
    <w:rsid w:val="03675EC4"/>
    <w:rsid w:val="037C1244"/>
    <w:rsid w:val="03906A9D"/>
    <w:rsid w:val="0394310A"/>
    <w:rsid w:val="039E565E"/>
    <w:rsid w:val="03A72A54"/>
    <w:rsid w:val="03AA4003"/>
    <w:rsid w:val="03B70FA8"/>
    <w:rsid w:val="03CA681E"/>
    <w:rsid w:val="03CF5D70"/>
    <w:rsid w:val="03D270B5"/>
    <w:rsid w:val="03DA5637"/>
    <w:rsid w:val="03DB240E"/>
    <w:rsid w:val="03E56D6D"/>
    <w:rsid w:val="03E72B61"/>
    <w:rsid w:val="0406072D"/>
    <w:rsid w:val="04062840"/>
    <w:rsid w:val="04265592"/>
    <w:rsid w:val="04455AD9"/>
    <w:rsid w:val="044F0F93"/>
    <w:rsid w:val="04536D66"/>
    <w:rsid w:val="04890DCA"/>
    <w:rsid w:val="04983E5B"/>
    <w:rsid w:val="04990B17"/>
    <w:rsid w:val="049F4688"/>
    <w:rsid w:val="04B743C8"/>
    <w:rsid w:val="04C133B2"/>
    <w:rsid w:val="04C764D1"/>
    <w:rsid w:val="04E2157A"/>
    <w:rsid w:val="04F2060B"/>
    <w:rsid w:val="050D65F7"/>
    <w:rsid w:val="05234731"/>
    <w:rsid w:val="05655D7F"/>
    <w:rsid w:val="057436EF"/>
    <w:rsid w:val="05746876"/>
    <w:rsid w:val="0575419C"/>
    <w:rsid w:val="057E12A3"/>
    <w:rsid w:val="05816FE5"/>
    <w:rsid w:val="058B36EC"/>
    <w:rsid w:val="05945916"/>
    <w:rsid w:val="05C56ED2"/>
    <w:rsid w:val="05C7138E"/>
    <w:rsid w:val="05C80770"/>
    <w:rsid w:val="05E14B91"/>
    <w:rsid w:val="05EA2DDC"/>
    <w:rsid w:val="05F23A3F"/>
    <w:rsid w:val="06093611"/>
    <w:rsid w:val="060F639F"/>
    <w:rsid w:val="06196421"/>
    <w:rsid w:val="061C3F1E"/>
    <w:rsid w:val="061F0F4F"/>
    <w:rsid w:val="061F41D8"/>
    <w:rsid w:val="062137FE"/>
    <w:rsid w:val="0654717C"/>
    <w:rsid w:val="065B5A88"/>
    <w:rsid w:val="06677F89"/>
    <w:rsid w:val="06846D8D"/>
    <w:rsid w:val="06856661"/>
    <w:rsid w:val="069C4EF4"/>
    <w:rsid w:val="069F3723"/>
    <w:rsid w:val="06A558F2"/>
    <w:rsid w:val="06B7558B"/>
    <w:rsid w:val="06BE1528"/>
    <w:rsid w:val="06D56E93"/>
    <w:rsid w:val="06DE629A"/>
    <w:rsid w:val="06E51E4D"/>
    <w:rsid w:val="07112374"/>
    <w:rsid w:val="07114B72"/>
    <w:rsid w:val="07117AA0"/>
    <w:rsid w:val="07300CC3"/>
    <w:rsid w:val="07312C79"/>
    <w:rsid w:val="07361155"/>
    <w:rsid w:val="073775E9"/>
    <w:rsid w:val="0748606E"/>
    <w:rsid w:val="07691ADF"/>
    <w:rsid w:val="07707311"/>
    <w:rsid w:val="077E3AC2"/>
    <w:rsid w:val="0795103E"/>
    <w:rsid w:val="079E79DA"/>
    <w:rsid w:val="07AD2B61"/>
    <w:rsid w:val="07F77A80"/>
    <w:rsid w:val="07FFD7FA"/>
    <w:rsid w:val="081F3728"/>
    <w:rsid w:val="082A74C0"/>
    <w:rsid w:val="083E29A5"/>
    <w:rsid w:val="083EDA74"/>
    <w:rsid w:val="086C7AD9"/>
    <w:rsid w:val="086F0BD1"/>
    <w:rsid w:val="08772E39"/>
    <w:rsid w:val="087A1DAD"/>
    <w:rsid w:val="08823079"/>
    <w:rsid w:val="08B93C60"/>
    <w:rsid w:val="08C2594B"/>
    <w:rsid w:val="08C27A90"/>
    <w:rsid w:val="08E3399D"/>
    <w:rsid w:val="08E55403"/>
    <w:rsid w:val="08FA1F19"/>
    <w:rsid w:val="08FB1E77"/>
    <w:rsid w:val="09080D7A"/>
    <w:rsid w:val="09093579"/>
    <w:rsid w:val="090A1C48"/>
    <w:rsid w:val="091C2FD6"/>
    <w:rsid w:val="0926237D"/>
    <w:rsid w:val="092E2FE0"/>
    <w:rsid w:val="0933523C"/>
    <w:rsid w:val="09454389"/>
    <w:rsid w:val="097E5D15"/>
    <w:rsid w:val="097E7AC3"/>
    <w:rsid w:val="09963593"/>
    <w:rsid w:val="09976418"/>
    <w:rsid w:val="099C3A5B"/>
    <w:rsid w:val="099C6FD8"/>
    <w:rsid w:val="09B75DA7"/>
    <w:rsid w:val="09CF206E"/>
    <w:rsid w:val="09D52D05"/>
    <w:rsid w:val="09D5345C"/>
    <w:rsid w:val="09DB4625"/>
    <w:rsid w:val="09E6794E"/>
    <w:rsid w:val="09EA39F6"/>
    <w:rsid w:val="0A0A57FB"/>
    <w:rsid w:val="0A2B5949"/>
    <w:rsid w:val="0A414BC3"/>
    <w:rsid w:val="0A496E94"/>
    <w:rsid w:val="0A505945"/>
    <w:rsid w:val="0A6A44EC"/>
    <w:rsid w:val="0A6E5D8A"/>
    <w:rsid w:val="0A747118"/>
    <w:rsid w:val="0A79472F"/>
    <w:rsid w:val="0AA51080"/>
    <w:rsid w:val="0AAA2B3A"/>
    <w:rsid w:val="0AC534D0"/>
    <w:rsid w:val="0AC651A3"/>
    <w:rsid w:val="0ACB31DC"/>
    <w:rsid w:val="0AD11E75"/>
    <w:rsid w:val="0ADE652D"/>
    <w:rsid w:val="0AE71698"/>
    <w:rsid w:val="0AFB3C30"/>
    <w:rsid w:val="0B005613"/>
    <w:rsid w:val="0B032D15"/>
    <w:rsid w:val="0B093D05"/>
    <w:rsid w:val="0B0F38FC"/>
    <w:rsid w:val="0B200CAA"/>
    <w:rsid w:val="0B310B66"/>
    <w:rsid w:val="0B3B2B23"/>
    <w:rsid w:val="0B6727D9"/>
    <w:rsid w:val="0B84224B"/>
    <w:rsid w:val="0B8A2AEF"/>
    <w:rsid w:val="0BA261B2"/>
    <w:rsid w:val="0BAD31D5"/>
    <w:rsid w:val="0BB93035"/>
    <w:rsid w:val="0BBA69EB"/>
    <w:rsid w:val="0BBB6595"/>
    <w:rsid w:val="0BBC48D3"/>
    <w:rsid w:val="0BCA5B5B"/>
    <w:rsid w:val="0BD37B9C"/>
    <w:rsid w:val="0C0369A6"/>
    <w:rsid w:val="0C0A7D34"/>
    <w:rsid w:val="0C22507E"/>
    <w:rsid w:val="0C4A1EDF"/>
    <w:rsid w:val="0C5915EE"/>
    <w:rsid w:val="0C707194"/>
    <w:rsid w:val="0C756C7F"/>
    <w:rsid w:val="0C7752D1"/>
    <w:rsid w:val="0C7B1354"/>
    <w:rsid w:val="0C825B1D"/>
    <w:rsid w:val="0C877D76"/>
    <w:rsid w:val="0C934700"/>
    <w:rsid w:val="0C935514"/>
    <w:rsid w:val="0CAA6E21"/>
    <w:rsid w:val="0CC634A7"/>
    <w:rsid w:val="0CD10852"/>
    <w:rsid w:val="0CE95B9C"/>
    <w:rsid w:val="0CEA6308"/>
    <w:rsid w:val="0CF771ED"/>
    <w:rsid w:val="0CFE0DE4"/>
    <w:rsid w:val="0D3606B5"/>
    <w:rsid w:val="0D441024"/>
    <w:rsid w:val="0D493EB9"/>
    <w:rsid w:val="0D5B011C"/>
    <w:rsid w:val="0D5D20E6"/>
    <w:rsid w:val="0D613984"/>
    <w:rsid w:val="0D664FFE"/>
    <w:rsid w:val="0D6F0D16"/>
    <w:rsid w:val="0D7108B3"/>
    <w:rsid w:val="0D7D0092"/>
    <w:rsid w:val="0D7F25F2"/>
    <w:rsid w:val="0D8C7BA2"/>
    <w:rsid w:val="0D9E323C"/>
    <w:rsid w:val="0DB7126A"/>
    <w:rsid w:val="0DBE38A3"/>
    <w:rsid w:val="0DCC7572"/>
    <w:rsid w:val="0DE00E6C"/>
    <w:rsid w:val="0DE02C7F"/>
    <w:rsid w:val="0DE56B35"/>
    <w:rsid w:val="0DFE11D3"/>
    <w:rsid w:val="0DFF335D"/>
    <w:rsid w:val="0E0C49BE"/>
    <w:rsid w:val="0E0D3A47"/>
    <w:rsid w:val="0E386761"/>
    <w:rsid w:val="0E3B513E"/>
    <w:rsid w:val="0E424B5A"/>
    <w:rsid w:val="0E59465B"/>
    <w:rsid w:val="0E672ECF"/>
    <w:rsid w:val="0E76520D"/>
    <w:rsid w:val="0E83792A"/>
    <w:rsid w:val="0E8A515C"/>
    <w:rsid w:val="0E8E5845"/>
    <w:rsid w:val="0E903DF5"/>
    <w:rsid w:val="0EA70B2B"/>
    <w:rsid w:val="0EC20452"/>
    <w:rsid w:val="0EDB7766"/>
    <w:rsid w:val="0EFD57A2"/>
    <w:rsid w:val="0F046C72"/>
    <w:rsid w:val="0F256C33"/>
    <w:rsid w:val="0F2D5755"/>
    <w:rsid w:val="0F3A448D"/>
    <w:rsid w:val="0F3D21CF"/>
    <w:rsid w:val="0F621C35"/>
    <w:rsid w:val="0F623E9D"/>
    <w:rsid w:val="0F6B200C"/>
    <w:rsid w:val="0F7F4595"/>
    <w:rsid w:val="0FAA30A6"/>
    <w:rsid w:val="0FAB7138"/>
    <w:rsid w:val="0FCA3208"/>
    <w:rsid w:val="0FCF1D58"/>
    <w:rsid w:val="0FE8038D"/>
    <w:rsid w:val="100D29D6"/>
    <w:rsid w:val="103806F6"/>
    <w:rsid w:val="103A226A"/>
    <w:rsid w:val="104B7178"/>
    <w:rsid w:val="10AA3894"/>
    <w:rsid w:val="10AC13BA"/>
    <w:rsid w:val="10C224F3"/>
    <w:rsid w:val="10CF66F1"/>
    <w:rsid w:val="10E87F18"/>
    <w:rsid w:val="10EA60EE"/>
    <w:rsid w:val="10EC17B7"/>
    <w:rsid w:val="10F42D61"/>
    <w:rsid w:val="111E1B8C"/>
    <w:rsid w:val="112A6783"/>
    <w:rsid w:val="113B0990"/>
    <w:rsid w:val="116E2B13"/>
    <w:rsid w:val="11904FA1"/>
    <w:rsid w:val="11954CF1"/>
    <w:rsid w:val="11B8733D"/>
    <w:rsid w:val="11BB35C9"/>
    <w:rsid w:val="11C20769"/>
    <w:rsid w:val="11E11EC9"/>
    <w:rsid w:val="11FA6155"/>
    <w:rsid w:val="12296A3A"/>
    <w:rsid w:val="123F61BB"/>
    <w:rsid w:val="12431300"/>
    <w:rsid w:val="12476305"/>
    <w:rsid w:val="12485D96"/>
    <w:rsid w:val="125F40F6"/>
    <w:rsid w:val="126637EB"/>
    <w:rsid w:val="126B0E01"/>
    <w:rsid w:val="128C57DB"/>
    <w:rsid w:val="12902616"/>
    <w:rsid w:val="12AF2938"/>
    <w:rsid w:val="12C07CF8"/>
    <w:rsid w:val="12E36BE9"/>
    <w:rsid w:val="12EC1F42"/>
    <w:rsid w:val="12F708E7"/>
    <w:rsid w:val="12F92BFB"/>
    <w:rsid w:val="13002A29"/>
    <w:rsid w:val="1308078C"/>
    <w:rsid w:val="1315332F"/>
    <w:rsid w:val="13160D6D"/>
    <w:rsid w:val="13182014"/>
    <w:rsid w:val="13374094"/>
    <w:rsid w:val="134C29E0"/>
    <w:rsid w:val="13560E3A"/>
    <w:rsid w:val="13637F80"/>
    <w:rsid w:val="136A4DE4"/>
    <w:rsid w:val="136E2957"/>
    <w:rsid w:val="136F698A"/>
    <w:rsid w:val="13876AF5"/>
    <w:rsid w:val="138B10AB"/>
    <w:rsid w:val="138E5FB3"/>
    <w:rsid w:val="139D4FEA"/>
    <w:rsid w:val="13A21F12"/>
    <w:rsid w:val="13BA5B9C"/>
    <w:rsid w:val="13C40D30"/>
    <w:rsid w:val="13C953AF"/>
    <w:rsid w:val="14102C90"/>
    <w:rsid w:val="143C7B9B"/>
    <w:rsid w:val="146B50E8"/>
    <w:rsid w:val="14726477"/>
    <w:rsid w:val="14740C59"/>
    <w:rsid w:val="147D0667"/>
    <w:rsid w:val="148E71BB"/>
    <w:rsid w:val="14967E53"/>
    <w:rsid w:val="14A53978"/>
    <w:rsid w:val="14BC76F2"/>
    <w:rsid w:val="14BF5434"/>
    <w:rsid w:val="14C82C8D"/>
    <w:rsid w:val="154871D8"/>
    <w:rsid w:val="154B554D"/>
    <w:rsid w:val="155562DA"/>
    <w:rsid w:val="155A3D5C"/>
    <w:rsid w:val="156938DB"/>
    <w:rsid w:val="158C3208"/>
    <w:rsid w:val="15C5586A"/>
    <w:rsid w:val="15CD0F58"/>
    <w:rsid w:val="15F55D45"/>
    <w:rsid w:val="15F95FAD"/>
    <w:rsid w:val="16193F89"/>
    <w:rsid w:val="16296E97"/>
    <w:rsid w:val="163A2FC4"/>
    <w:rsid w:val="16432DA5"/>
    <w:rsid w:val="164B6F7F"/>
    <w:rsid w:val="16551036"/>
    <w:rsid w:val="16677E15"/>
    <w:rsid w:val="16683DFA"/>
    <w:rsid w:val="169C73F1"/>
    <w:rsid w:val="16A86180"/>
    <w:rsid w:val="16CB4564"/>
    <w:rsid w:val="16CE33F9"/>
    <w:rsid w:val="16D36F75"/>
    <w:rsid w:val="16DB02E7"/>
    <w:rsid w:val="16DE4297"/>
    <w:rsid w:val="16EA2FD8"/>
    <w:rsid w:val="170966C3"/>
    <w:rsid w:val="17125CEF"/>
    <w:rsid w:val="171935F8"/>
    <w:rsid w:val="171B2DF6"/>
    <w:rsid w:val="171C4FC6"/>
    <w:rsid w:val="172001B4"/>
    <w:rsid w:val="176410EF"/>
    <w:rsid w:val="177A3491"/>
    <w:rsid w:val="177E15D6"/>
    <w:rsid w:val="178070FD"/>
    <w:rsid w:val="178A3AD7"/>
    <w:rsid w:val="178E7A6B"/>
    <w:rsid w:val="1791130A"/>
    <w:rsid w:val="17915D32"/>
    <w:rsid w:val="179B5F82"/>
    <w:rsid w:val="17A43253"/>
    <w:rsid w:val="17CB6EEE"/>
    <w:rsid w:val="17FE67D9"/>
    <w:rsid w:val="180155FA"/>
    <w:rsid w:val="1844012A"/>
    <w:rsid w:val="184C12C4"/>
    <w:rsid w:val="184C3B1E"/>
    <w:rsid w:val="186C59F6"/>
    <w:rsid w:val="186E2BE4"/>
    <w:rsid w:val="187F73B4"/>
    <w:rsid w:val="18805297"/>
    <w:rsid w:val="189015C1"/>
    <w:rsid w:val="18A31D0D"/>
    <w:rsid w:val="18E74BBC"/>
    <w:rsid w:val="18F94929"/>
    <w:rsid w:val="19031D93"/>
    <w:rsid w:val="19263CD4"/>
    <w:rsid w:val="19445A61"/>
    <w:rsid w:val="194A1770"/>
    <w:rsid w:val="195271C6"/>
    <w:rsid w:val="19554C83"/>
    <w:rsid w:val="19620200"/>
    <w:rsid w:val="196E4791"/>
    <w:rsid w:val="199E46B4"/>
    <w:rsid w:val="19B117EF"/>
    <w:rsid w:val="19D006D2"/>
    <w:rsid w:val="19D35C0A"/>
    <w:rsid w:val="19EE47F1"/>
    <w:rsid w:val="1A023DF9"/>
    <w:rsid w:val="1A164C6D"/>
    <w:rsid w:val="1A2A5DB7"/>
    <w:rsid w:val="1A2C4511"/>
    <w:rsid w:val="1A482F0D"/>
    <w:rsid w:val="1A6B257F"/>
    <w:rsid w:val="1A7C004F"/>
    <w:rsid w:val="1A8B2040"/>
    <w:rsid w:val="1A9133CF"/>
    <w:rsid w:val="1A937147"/>
    <w:rsid w:val="1AAC0253"/>
    <w:rsid w:val="1ABD41C4"/>
    <w:rsid w:val="1ACD6F4F"/>
    <w:rsid w:val="1ACE017F"/>
    <w:rsid w:val="1B1A1D4A"/>
    <w:rsid w:val="1B2405E6"/>
    <w:rsid w:val="1B3F107D"/>
    <w:rsid w:val="1B602CD9"/>
    <w:rsid w:val="1B7927E1"/>
    <w:rsid w:val="1B9118D8"/>
    <w:rsid w:val="1B984B43"/>
    <w:rsid w:val="1BAB04C0"/>
    <w:rsid w:val="1BB90559"/>
    <w:rsid w:val="1BF63E31"/>
    <w:rsid w:val="1BFFB2F3"/>
    <w:rsid w:val="1C0302FC"/>
    <w:rsid w:val="1C161DDD"/>
    <w:rsid w:val="1C1E2856"/>
    <w:rsid w:val="1C241D44"/>
    <w:rsid w:val="1C2A4812"/>
    <w:rsid w:val="1C316B1D"/>
    <w:rsid w:val="1C3B5CE8"/>
    <w:rsid w:val="1C4C361A"/>
    <w:rsid w:val="1C5D4184"/>
    <w:rsid w:val="1C6012AB"/>
    <w:rsid w:val="1C626DD1"/>
    <w:rsid w:val="1C66201E"/>
    <w:rsid w:val="1C6C5EA1"/>
    <w:rsid w:val="1C6E1C1A"/>
    <w:rsid w:val="1C6E31FF"/>
    <w:rsid w:val="1C7D6B71"/>
    <w:rsid w:val="1C8651B5"/>
    <w:rsid w:val="1CAE3854"/>
    <w:rsid w:val="1CEA0627"/>
    <w:rsid w:val="1CFB4CAE"/>
    <w:rsid w:val="1D1C1676"/>
    <w:rsid w:val="1D1E53EE"/>
    <w:rsid w:val="1D373FB2"/>
    <w:rsid w:val="1D451D8E"/>
    <w:rsid w:val="1D4D7A81"/>
    <w:rsid w:val="1D5F77C4"/>
    <w:rsid w:val="1D7E40DE"/>
    <w:rsid w:val="1D827DB0"/>
    <w:rsid w:val="1D9751F7"/>
    <w:rsid w:val="1D9E3361"/>
    <w:rsid w:val="1DA91864"/>
    <w:rsid w:val="1DB53608"/>
    <w:rsid w:val="1DBA49EB"/>
    <w:rsid w:val="1DBD07E3"/>
    <w:rsid w:val="1DD22755"/>
    <w:rsid w:val="1DD57177"/>
    <w:rsid w:val="1DDF0761"/>
    <w:rsid w:val="1E072880"/>
    <w:rsid w:val="1E4F261A"/>
    <w:rsid w:val="1E6257AE"/>
    <w:rsid w:val="1E7713DE"/>
    <w:rsid w:val="1E82375A"/>
    <w:rsid w:val="1E932557"/>
    <w:rsid w:val="1E95181A"/>
    <w:rsid w:val="1EA90CE7"/>
    <w:rsid w:val="1EBD29E4"/>
    <w:rsid w:val="1EC42375"/>
    <w:rsid w:val="1EFD7285"/>
    <w:rsid w:val="1F093E7B"/>
    <w:rsid w:val="1F131C7D"/>
    <w:rsid w:val="1F1327AC"/>
    <w:rsid w:val="1F187E58"/>
    <w:rsid w:val="1F2E0D2E"/>
    <w:rsid w:val="1F48616B"/>
    <w:rsid w:val="1F4A45F7"/>
    <w:rsid w:val="1F5A46D7"/>
    <w:rsid w:val="1F5A6485"/>
    <w:rsid w:val="1F843502"/>
    <w:rsid w:val="1F86727A"/>
    <w:rsid w:val="1F902463"/>
    <w:rsid w:val="1FCFF85C"/>
    <w:rsid w:val="1FD60202"/>
    <w:rsid w:val="1FE6B535"/>
    <w:rsid w:val="1FEF6BCD"/>
    <w:rsid w:val="1FF718AA"/>
    <w:rsid w:val="1FF7A9C8"/>
    <w:rsid w:val="1FFB009A"/>
    <w:rsid w:val="1FFE3904"/>
    <w:rsid w:val="200927E0"/>
    <w:rsid w:val="200C3C23"/>
    <w:rsid w:val="20196CC9"/>
    <w:rsid w:val="202170DA"/>
    <w:rsid w:val="203942EC"/>
    <w:rsid w:val="204B1884"/>
    <w:rsid w:val="204F1C56"/>
    <w:rsid w:val="205C7FDB"/>
    <w:rsid w:val="206B05CD"/>
    <w:rsid w:val="206D3C47"/>
    <w:rsid w:val="207215AC"/>
    <w:rsid w:val="207A7E45"/>
    <w:rsid w:val="207B1A5C"/>
    <w:rsid w:val="208A0FEC"/>
    <w:rsid w:val="209F6845"/>
    <w:rsid w:val="20BB2F53"/>
    <w:rsid w:val="20D95FF3"/>
    <w:rsid w:val="20DC68A5"/>
    <w:rsid w:val="20E90680"/>
    <w:rsid w:val="20EA55E7"/>
    <w:rsid w:val="21025026"/>
    <w:rsid w:val="210F0C05"/>
    <w:rsid w:val="21130FE1"/>
    <w:rsid w:val="212705E9"/>
    <w:rsid w:val="213526E0"/>
    <w:rsid w:val="21451EAE"/>
    <w:rsid w:val="215C4736"/>
    <w:rsid w:val="216830DB"/>
    <w:rsid w:val="216A6484"/>
    <w:rsid w:val="216A6CFC"/>
    <w:rsid w:val="21723F5A"/>
    <w:rsid w:val="21753944"/>
    <w:rsid w:val="2194430B"/>
    <w:rsid w:val="21A41C42"/>
    <w:rsid w:val="21C574CB"/>
    <w:rsid w:val="21F77FBB"/>
    <w:rsid w:val="220311B7"/>
    <w:rsid w:val="22105521"/>
    <w:rsid w:val="22284619"/>
    <w:rsid w:val="22411A5B"/>
    <w:rsid w:val="22631AF5"/>
    <w:rsid w:val="2274785E"/>
    <w:rsid w:val="22835CF3"/>
    <w:rsid w:val="2284362A"/>
    <w:rsid w:val="229972C4"/>
    <w:rsid w:val="22A30143"/>
    <w:rsid w:val="22A42520"/>
    <w:rsid w:val="22A83E47"/>
    <w:rsid w:val="22CA087A"/>
    <w:rsid w:val="22FA160E"/>
    <w:rsid w:val="22FB6A1D"/>
    <w:rsid w:val="230627E3"/>
    <w:rsid w:val="231057D9"/>
    <w:rsid w:val="231C2AB7"/>
    <w:rsid w:val="2329554B"/>
    <w:rsid w:val="232E2103"/>
    <w:rsid w:val="23735D67"/>
    <w:rsid w:val="23751ADF"/>
    <w:rsid w:val="2380346A"/>
    <w:rsid w:val="23953F30"/>
    <w:rsid w:val="239D1036"/>
    <w:rsid w:val="23AE7E18"/>
    <w:rsid w:val="23B106CF"/>
    <w:rsid w:val="23B134DE"/>
    <w:rsid w:val="23C12F77"/>
    <w:rsid w:val="23C86A6F"/>
    <w:rsid w:val="23D8472E"/>
    <w:rsid w:val="23E0180D"/>
    <w:rsid w:val="23FA1FE5"/>
    <w:rsid w:val="2423153B"/>
    <w:rsid w:val="2423722E"/>
    <w:rsid w:val="24263271"/>
    <w:rsid w:val="24355381"/>
    <w:rsid w:val="24525B8A"/>
    <w:rsid w:val="245B6F27"/>
    <w:rsid w:val="24711E06"/>
    <w:rsid w:val="24743CD7"/>
    <w:rsid w:val="247E52C4"/>
    <w:rsid w:val="2480698E"/>
    <w:rsid w:val="24831FDA"/>
    <w:rsid w:val="24A26904"/>
    <w:rsid w:val="24BB79C6"/>
    <w:rsid w:val="24C2232C"/>
    <w:rsid w:val="24D9609E"/>
    <w:rsid w:val="25017A10"/>
    <w:rsid w:val="25115838"/>
    <w:rsid w:val="252235A1"/>
    <w:rsid w:val="25356F91"/>
    <w:rsid w:val="257A33DD"/>
    <w:rsid w:val="25826736"/>
    <w:rsid w:val="25B032A3"/>
    <w:rsid w:val="25B478D1"/>
    <w:rsid w:val="25B83F05"/>
    <w:rsid w:val="25DA526E"/>
    <w:rsid w:val="25DE0807"/>
    <w:rsid w:val="25DE1BBE"/>
    <w:rsid w:val="25E371D4"/>
    <w:rsid w:val="260B04D9"/>
    <w:rsid w:val="2629095F"/>
    <w:rsid w:val="262D044F"/>
    <w:rsid w:val="263C2A79"/>
    <w:rsid w:val="264A194A"/>
    <w:rsid w:val="26503F93"/>
    <w:rsid w:val="26591245"/>
    <w:rsid w:val="26663961"/>
    <w:rsid w:val="26795443"/>
    <w:rsid w:val="269009DE"/>
    <w:rsid w:val="269F0C21"/>
    <w:rsid w:val="26AF5308"/>
    <w:rsid w:val="26B50445"/>
    <w:rsid w:val="26D43BC2"/>
    <w:rsid w:val="26D61483"/>
    <w:rsid w:val="26E41345"/>
    <w:rsid w:val="2705317A"/>
    <w:rsid w:val="2714160F"/>
    <w:rsid w:val="272763A3"/>
    <w:rsid w:val="27365875"/>
    <w:rsid w:val="2738148B"/>
    <w:rsid w:val="27433CA3"/>
    <w:rsid w:val="27475541"/>
    <w:rsid w:val="27637BED"/>
    <w:rsid w:val="277877AE"/>
    <w:rsid w:val="2788089B"/>
    <w:rsid w:val="279369D8"/>
    <w:rsid w:val="27982240"/>
    <w:rsid w:val="279F5BBE"/>
    <w:rsid w:val="27A110F5"/>
    <w:rsid w:val="27A42993"/>
    <w:rsid w:val="27B5694E"/>
    <w:rsid w:val="27CC15DA"/>
    <w:rsid w:val="27D43C48"/>
    <w:rsid w:val="27D9324B"/>
    <w:rsid w:val="27FB5B7D"/>
    <w:rsid w:val="2818512F"/>
    <w:rsid w:val="281D40F3"/>
    <w:rsid w:val="28251E94"/>
    <w:rsid w:val="28447CD2"/>
    <w:rsid w:val="285F2D5E"/>
    <w:rsid w:val="2899001E"/>
    <w:rsid w:val="28AB1AFF"/>
    <w:rsid w:val="28C66939"/>
    <w:rsid w:val="28D948BF"/>
    <w:rsid w:val="28E270DB"/>
    <w:rsid w:val="28E574B7"/>
    <w:rsid w:val="28EE732B"/>
    <w:rsid w:val="28F12057"/>
    <w:rsid w:val="28FC4DE8"/>
    <w:rsid w:val="2924051E"/>
    <w:rsid w:val="29566969"/>
    <w:rsid w:val="29591D17"/>
    <w:rsid w:val="2964687E"/>
    <w:rsid w:val="29804D3A"/>
    <w:rsid w:val="29894AF5"/>
    <w:rsid w:val="29970CA5"/>
    <w:rsid w:val="299C1026"/>
    <w:rsid w:val="29A21154"/>
    <w:rsid w:val="29CD5E68"/>
    <w:rsid w:val="29DC0728"/>
    <w:rsid w:val="29E7300B"/>
    <w:rsid w:val="29EB2AFB"/>
    <w:rsid w:val="2A09357E"/>
    <w:rsid w:val="2A0A3585"/>
    <w:rsid w:val="2A0E1057"/>
    <w:rsid w:val="2A19561B"/>
    <w:rsid w:val="2A1D07DB"/>
    <w:rsid w:val="2A2B739C"/>
    <w:rsid w:val="2A33356A"/>
    <w:rsid w:val="2A3F69A3"/>
    <w:rsid w:val="2A5D216E"/>
    <w:rsid w:val="2A5E0B09"/>
    <w:rsid w:val="2A613606"/>
    <w:rsid w:val="2A6401B8"/>
    <w:rsid w:val="2AA34A6F"/>
    <w:rsid w:val="2ABA427C"/>
    <w:rsid w:val="2ABF2DA9"/>
    <w:rsid w:val="2AC73784"/>
    <w:rsid w:val="2AE06D25"/>
    <w:rsid w:val="2AED1993"/>
    <w:rsid w:val="2AF92FF6"/>
    <w:rsid w:val="2B033E75"/>
    <w:rsid w:val="2B0E4702"/>
    <w:rsid w:val="2B2067D5"/>
    <w:rsid w:val="2B2778C2"/>
    <w:rsid w:val="2B391645"/>
    <w:rsid w:val="2B6F12BB"/>
    <w:rsid w:val="2BAC606B"/>
    <w:rsid w:val="2BB11524"/>
    <w:rsid w:val="2BB313F7"/>
    <w:rsid w:val="2C097B64"/>
    <w:rsid w:val="2C285595"/>
    <w:rsid w:val="2C300C99"/>
    <w:rsid w:val="2C301423"/>
    <w:rsid w:val="2C412EA7"/>
    <w:rsid w:val="2C424529"/>
    <w:rsid w:val="2C484235"/>
    <w:rsid w:val="2C88267F"/>
    <w:rsid w:val="2C8F1A73"/>
    <w:rsid w:val="2CB52F4D"/>
    <w:rsid w:val="2CC86EB5"/>
    <w:rsid w:val="2CD57254"/>
    <w:rsid w:val="2D1426E6"/>
    <w:rsid w:val="2D1E4F96"/>
    <w:rsid w:val="2D211146"/>
    <w:rsid w:val="2D297AA3"/>
    <w:rsid w:val="2D322369"/>
    <w:rsid w:val="2D407F10"/>
    <w:rsid w:val="2D48680A"/>
    <w:rsid w:val="2D4D133B"/>
    <w:rsid w:val="2D587F4A"/>
    <w:rsid w:val="2D601F81"/>
    <w:rsid w:val="2D7F04E4"/>
    <w:rsid w:val="2D844C86"/>
    <w:rsid w:val="2D897121"/>
    <w:rsid w:val="2D8A29A9"/>
    <w:rsid w:val="2D962640"/>
    <w:rsid w:val="2DB463C6"/>
    <w:rsid w:val="2DB96A6D"/>
    <w:rsid w:val="2DC01BA9"/>
    <w:rsid w:val="2DCF6290"/>
    <w:rsid w:val="2DD58229"/>
    <w:rsid w:val="2E045F3A"/>
    <w:rsid w:val="2E114AFB"/>
    <w:rsid w:val="2E3A0FCE"/>
    <w:rsid w:val="2E6B420B"/>
    <w:rsid w:val="2E6C16AB"/>
    <w:rsid w:val="2E6C3ADF"/>
    <w:rsid w:val="2E9E6E30"/>
    <w:rsid w:val="2EA65243"/>
    <w:rsid w:val="2EA72D69"/>
    <w:rsid w:val="2EAA668C"/>
    <w:rsid w:val="2EB84F76"/>
    <w:rsid w:val="2ECB2EFB"/>
    <w:rsid w:val="2ED753FC"/>
    <w:rsid w:val="2EE144CD"/>
    <w:rsid w:val="2EF12043"/>
    <w:rsid w:val="2F0049E9"/>
    <w:rsid w:val="2F025B5D"/>
    <w:rsid w:val="2F14549C"/>
    <w:rsid w:val="2F1A353B"/>
    <w:rsid w:val="2F1B3B51"/>
    <w:rsid w:val="2F1F6DA3"/>
    <w:rsid w:val="2F283EAA"/>
    <w:rsid w:val="2F320885"/>
    <w:rsid w:val="2F364819"/>
    <w:rsid w:val="2F5C3B54"/>
    <w:rsid w:val="2F952D38"/>
    <w:rsid w:val="2FA67E20"/>
    <w:rsid w:val="2FAF59E6"/>
    <w:rsid w:val="2FBB5D2C"/>
    <w:rsid w:val="2FE34275"/>
    <w:rsid w:val="3013555B"/>
    <w:rsid w:val="30197C97"/>
    <w:rsid w:val="303405D8"/>
    <w:rsid w:val="30437078"/>
    <w:rsid w:val="30485F5C"/>
    <w:rsid w:val="304C1E1A"/>
    <w:rsid w:val="30783D60"/>
    <w:rsid w:val="307A6987"/>
    <w:rsid w:val="309E1060"/>
    <w:rsid w:val="30AE397D"/>
    <w:rsid w:val="30B05026"/>
    <w:rsid w:val="30D00355"/>
    <w:rsid w:val="30D43636"/>
    <w:rsid w:val="30E73509"/>
    <w:rsid w:val="30F00600"/>
    <w:rsid w:val="30F24DAF"/>
    <w:rsid w:val="3102678C"/>
    <w:rsid w:val="31091A14"/>
    <w:rsid w:val="311A1F18"/>
    <w:rsid w:val="3148210B"/>
    <w:rsid w:val="31542076"/>
    <w:rsid w:val="31554CFE"/>
    <w:rsid w:val="315D23F0"/>
    <w:rsid w:val="31666F0B"/>
    <w:rsid w:val="316903C7"/>
    <w:rsid w:val="31740FC8"/>
    <w:rsid w:val="31772EC7"/>
    <w:rsid w:val="318C74F0"/>
    <w:rsid w:val="319C0B7F"/>
    <w:rsid w:val="31A517E2"/>
    <w:rsid w:val="31D125D7"/>
    <w:rsid w:val="32290665"/>
    <w:rsid w:val="326A47D9"/>
    <w:rsid w:val="326A6587"/>
    <w:rsid w:val="326C7A86"/>
    <w:rsid w:val="326F1DF0"/>
    <w:rsid w:val="32726005"/>
    <w:rsid w:val="328B4E7C"/>
    <w:rsid w:val="32936A74"/>
    <w:rsid w:val="329B0D74"/>
    <w:rsid w:val="329F5A4B"/>
    <w:rsid w:val="32A21C21"/>
    <w:rsid w:val="32AE1A4E"/>
    <w:rsid w:val="32B36255"/>
    <w:rsid w:val="32C56014"/>
    <w:rsid w:val="32FE6138"/>
    <w:rsid w:val="330A3B0F"/>
    <w:rsid w:val="33134E71"/>
    <w:rsid w:val="33226E62"/>
    <w:rsid w:val="332D5DF8"/>
    <w:rsid w:val="33413136"/>
    <w:rsid w:val="336C7BE0"/>
    <w:rsid w:val="33775400"/>
    <w:rsid w:val="337B4075"/>
    <w:rsid w:val="3381627F"/>
    <w:rsid w:val="338B0EAB"/>
    <w:rsid w:val="33A762A6"/>
    <w:rsid w:val="33AE346B"/>
    <w:rsid w:val="33B435CD"/>
    <w:rsid w:val="33BE5278"/>
    <w:rsid w:val="33C5616B"/>
    <w:rsid w:val="33CC7309"/>
    <w:rsid w:val="33CD5020"/>
    <w:rsid w:val="33D633AC"/>
    <w:rsid w:val="33E05A19"/>
    <w:rsid w:val="33FD3B57"/>
    <w:rsid w:val="342509B8"/>
    <w:rsid w:val="34430B68"/>
    <w:rsid w:val="346A0AC1"/>
    <w:rsid w:val="34781BDD"/>
    <w:rsid w:val="34806536"/>
    <w:rsid w:val="348F6779"/>
    <w:rsid w:val="34984532"/>
    <w:rsid w:val="34AF793D"/>
    <w:rsid w:val="34B00BC9"/>
    <w:rsid w:val="34BF6E76"/>
    <w:rsid w:val="34CB78A0"/>
    <w:rsid w:val="34CF6E5E"/>
    <w:rsid w:val="34D66156"/>
    <w:rsid w:val="34E0709E"/>
    <w:rsid w:val="34EC7728"/>
    <w:rsid w:val="34F8431E"/>
    <w:rsid w:val="351647A5"/>
    <w:rsid w:val="352A609E"/>
    <w:rsid w:val="3577485D"/>
    <w:rsid w:val="35873487"/>
    <w:rsid w:val="35A949E7"/>
    <w:rsid w:val="35BF6BEA"/>
    <w:rsid w:val="35C20414"/>
    <w:rsid w:val="35CC0858"/>
    <w:rsid w:val="35EE6C90"/>
    <w:rsid w:val="35FA7C22"/>
    <w:rsid w:val="36032041"/>
    <w:rsid w:val="364253F0"/>
    <w:rsid w:val="365E6403"/>
    <w:rsid w:val="36733B58"/>
    <w:rsid w:val="3682026F"/>
    <w:rsid w:val="36966D3F"/>
    <w:rsid w:val="369E0EF6"/>
    <w:rsid w:val="36AC3612"/>
    <w:rsid w:val="36B14785"/>
    <w:rsid w:val="36BA35B0"/>
    <w:rsid w:val="36CA1CEB"/>
    <w:rsid w:val="36CE0A29"/>
    <w:rsid w:val="36F6663C"/>
    <w:rsid w:val="36FFCE3E"/>
    <w:rsid w:val="37076A9B"/>
    <w:rsid w:val="37320B2F"/>
    <w:rsid w:val="37A92C8C"/>
    <w:rsid w:val="37C42B4F"/>
    <w:rsid w:val="37CD795E"/>
    <w:rsid w:val="37CE75B8"/>
    <w:rsid w:val="37D01583"/>
    <w:rsid w:val="37D463B4"/>
    <w:rsid w:val="37F30963"/>
    <w:rsid w:val="381B0A50"/>
    <w:rsid w:val="38230582"/>
    <w:rsid w:val="382E5ABD"/>
    <w:rsid w:val="38317FAF"/>
    <w:rsid w:val="383438BF"/>
    <w:rsid w:val="38397B0D"/>
    <w:rsid w:val="383C7DE6"/>
    <w:rsid w:val="38523D46"/>
    <w:rsid w:val="38591578"/>
    <w:rsid w:val="38675A43"/>
    <w:rsid w:val="38765C86"/>
    <w:rsid w:val="388D4D7E"/>
    <w:rsid w:val="38977A0E"/>
    <w:rsid w:val="389D610E"/>
    <w:rsid w:val="38A62E5F"/>
    <w:rsid w:val="38B37AA7"/>
    <w:rsid w:val="38BF3F07"/>
    <w:rsid w:val="38C53A4C"/>
    <w:rsid w:val="38D8249D"/>
    <w:rsid w:val="38DB1F8D"/>
    <w:rsid w:val="38E76B84"/>
    <w:rsid w:val="38E86458"/>
    <w:rsid w:val="38F1742D"/>
    <w:rsid w:val="39036540"/>
    <w:rsid w:val="39276F80"/>
    <w:rsid w:val="3929719C"/>
    <w:rsid w:val="394532E6"/>
    <w:rsid w:val="395B7C0A"/>
    <w:rsid w:val="396401D4"/>
    <w:rsid w:val="396F26D5"/>
    <w:rsid w:val="397F7652"/>
    <w:rsid w:val="39822409"/>
    <w:rsid w:val="39891B38"/>
    <w:rsid w:val="39974106"/>
    <w:rsid w:val="39AD2FDA"/>
    <w:rsid w:val="39B36A66"/>
    <w:rsid w:val="39B723B5"/>
    <w:rsid w:val="39C870CF"/>
    <w:rsid w:val="39C9359C"/>
    <w:rsid w:val="39FA2298"/>
    <w:rsid w:val="39FA4695"/>
    <w:rsid w:val="39FE7998"/>
    <w:rsid w:val="3A0D5629"/>
    <w:rsid w:val="3A0F1B5F"/>
    <w:rsid w:val="3A2A25FA"/>
    <w:rsid w:val="3A2A4F7A"/>
    <w:rsid w:val="3A2B6F44"/>
    <w:rsid w:val="3A2D16F8"/>
    <w:rsid w:val="3A323E2F"/>
    <w:rsid w:val="3A3F7DD2"/>
    <w:rsid w:val="3A480BD6"/>
    <w:rsid w:val="3A5936B2"/>
    <w:rsid w:val="3A613A8F"/>
    <w:rsid w:val="3AAA7E69"/>
    <w:rsid w:val="3ABC0FF7"/>
    <w:rsid w:val="3AD57D04"/>
    <w:rsid w:val="3ADC3D9A"/>
    <w:rsid w:val="3AFF1421"/>
    <w:rsid w:val="3B007A89"/>
    <w:rsid w:val="3B0D2698"/>
    <w:rsid w:val="3B2139A6"/>
    <w:rsid w:val="3B3140E6"/>
    <w:rsid w:val="3B3B41F5"/>
    <w:rsid w:val="3B4A1D0B"/>
    <w:rsid w:val="3B52495E"/>
    <w:rsid w:val="3B6E3C79"/>
    <w:rsid w:val="3B7A5A8D"/>
    <w:rsid w:val="3B7D732B"/>
    <w:rsid w:val="3B7F62DA"/>
    <w:rsid w:val="3B954E58"/>
    <w:rsid w:val="3B9D11D1"/>
    <w:rsid w:val="3BA61080"/>
    <w:rsid w:val="3BA90120"/>
    <w:rsid w:val="3BAB130E"/>
    <w:rsid w:val="3BAC7A40"/>
    <w:rsid w:val="3BB54D17"/>
    <w:rsid w:val="3BE20976"/>
    <w:rsid w:val="3BE9676F"/>
    <w:rsid w:val="3C0439B0"/>
    <w:rsid w:val="3C1D6958"/>
    <w:rsid w:val="3C3C0F95"/>
    <w:rsid w:val="3C4C4EF0"/>
    <w:rsid w:val="3C530DD9"/>
    <w:rsid w:val="3C580D98"/>
    <w:rsid w:val="3C795D45"/>
    <w:rsid w:val="3C7C3A87"/>
    <w:rsid w:val="3C89701C"/>
    <w:rsid w:val="3C991D62"/>
    <w:rsid w:val="3C9C1A33"/>
    <w:rsid w:val="3CA07775"/>
    <w:rsid w:val="3CB14F07"/>
    <w:rsid w:val="3CC90D9A"/>
    <w:rsid w:val="3CCA0DC3"/>
    <w:rsid w:val="3CD15B81"/>
    <w:rsid w:val="3CD613E9"/>
    <w:rsid w:val="3CDC413D"/>
    <w:rsid w:val="3CDC6F77"/>
    <w:rsid w:val="3CDD4F42"/>
    <w:rsid w:val="3CE610F8"/>
    <w:rsid w:val="3CFA3F88"/>
    <w:rsid w:val="3CFD4BC8"/>
    <w:rsid w:val="3CFD4F5D"/>
    <w:rsid w:val="3CFF80DC"/>
    <w:rsid w:val="3CFFB76D"/>
    <w:rsid w:val="3D023F8C"/>
    <w:rsid w:val="3D1617E6"/>
    <w:rsid w:val="3D17730C"/>
    <w:rsid w:val="3D22462E"/>
    <w:rsid w:val="3D4212FD"/>
    <w:rsid w:val="3D522236"/>
    <w:rsid w:val="3D7A6218"/>
    <w:rsid w:val="3D7B051C"/>
    <w:rsid w:val="3D7D39C6"/>
    <w:rsid w:val="3D9500F6"/>
    <w:rsid w:val="3DD52610"/>
    <w:rsid w:val="3DD96E06"/>
    <w:rsid w:val="3DF71617"/>
    <w:rsid w:val="3DFD4754"/>
    <w:rsid w:val="3E1D59D3"/>
    <w:rsid w:val="3E353EED"/>
    <w:rsid w:val="3E3652E5"/>
    <w:rsid w:val="3E391C30"/>
    <w:rsid w:val="3E3C1EAC"/>
    <w:rsid w:val="3E5ECA85"/>
    <w:rsid w:val="3E786B8F"/>
    <w:rsid w:val="3E8135D7"/>
    <w:rsid w:val="3E885557"/>
    <w:rsid w:val="3E903F17"/>
    <w:rsid w:val="3EB43064"/>
    <w:rsid w:val="3EBA22C2"/>
    <w:rsid w:val="3EBC02AD"/>
    <w:rsid w:val="3EEA92BE"/>
    <w:rsid w:val="3F0D09C6"/>
    <w:rsid w:val="3F1735F3"/>
    <w:rsid w:val="3F17EB40"/>
    <w:rsid w:val="3F1B7587"/>
    <w:rsid w:val="3F2521B4"/>
    <w:rsid w:val="3F3153D0"/>
    <w:rsid w:val="3F3917BB"/>
    <w:rsid w:val="3F3A4B15"/>
    <w:rsid w:val="3F3F2116"/>
    <w:rsid w:val="3F734FAB"/>
    <w:rsid w:val="3F7837A3"/>
    <w:rsid w:val="3F8B45B8"/>
    <w:rsid w:val="3F975194"/>
    <w:rsid w:val="3F9F6A05"/>
    <w:rsid w:val="3FC27A03"/>
    <w:rsid w:val="3FCF3ECE"/>
    <w:rsid w:val="3FD608B4"/>
    <w:rsid w:val="3FEE6A4A"/>
    <w:rsid w:val="3FF75B57"/>
    <w:rsid w:val="3FF85A05"/>
    <w:rsid w:val="3FFBF1DF"/>
    <w:rsid w:val="3FFBF87F"/>
    <w:rsid w:val="3FFFE9C9"/>
    <w:rsid w:val="400B34E1"/>
    <w:rsid w:val="400B75FC"/>
    <w:rsid w:val="40170058"/>
    <w:rsid w:val="401F289E"/>
    <w:rsid w:val="40305577"/>
    <w:rsid w:val="40582115"/>
    <w:rsid w:val="405D597D"/>
    <w:rsid w:val="40760714"/>
    <w:rsid w:val="407C5E04"/>
    <w:rsid w:val="40811822"/>
    <w:rsid w:val="40830F65"/>
    <w:rsid w:val="40925627"/>
    <w:rsid w:val="409A0980"/>
    <w:rsid w:val="40A560BB"/>
    <w:rsid w:val="40A62E81"/>
    <w:rsid w:val="40B315EB"/>
    <w:rsid w:val="40BC7AB8"/>
    <w:rsid w:val="40C97D7D"/>
    <w:rsid w:val="40D53766"/>
    <w:rsid w:val="40DB2273"/>
    <w:rsid w:val="41126291"/>
    <w:rsid w:val="41180364"/>
    <w:rsid w:val="414508EB"/>
    <w:rsid w:val="414546A9"/>
    <w:rsid w:val="416748EC"/>
    <w:rsid w:val="417A2073"/>
    <w:rsid w:val="417C22E7"/>
    <w:rsid w:val="417D58F7"/>
    <w:rsid w:val="4182744A"/>
    <w:rsid w:val="418A4E1D"/>
    <w:rsid w:val="41A43864"/>
    <w:rsid w:val="41BE2C81"/>
    <w:rsid w:val="41C62484"/>
    <w:rsid w:val="41CA2B9F"/>
    <w:rsid w:val="41D26E92"/>
    <w:rsid w:val="41DD4D60"/>
    <w:rsid w:val="41E2613A"/>
    <w:rsid w:val="41EA1493"/>
    <w:rsid w:val="41FD4D22"/>
    <w:rsid w:val="42196E52"/>
    <w:rsid w:val="42264A85"/>
    <w:rsid w:val="423D2C52"/>
    <w:rsid w:val="42527CC7"/>
    <w:rsid w:val="428916B8"/>
    <w:rsid w:val="42BD7C09"/>
    <w:rsid w:val="42D40179"/>
    <w:rsid w:val="42D6573E"/>
    <w:rsid w:val="42DD6121"/>
    <w:rsid w:val="42EF6489"/>
    <w:rsid w:val="42F47543"/>
    <w:rsid w:val="42F72B1E"/>
    <w:rsid w:val="42FA2D0E"/>
    <w:rsid w:val="430420E0"/>
    <w:rsid w:val="433114A3"/>
    <w:rsid w:val="434846C3"/>
    <w:rsid w:val="43615785"/>
    <w:rsid w:val="43647DA4"/>
    <w:rsid w:val="43931DE2"/>
    <w:rsid w:val="43947908"/>
    <w:rsid w:val="43A52FF4"/>
    <w:rsid w:val="43B65AD0"/>
    <w:rsid w:val="43DB72E5"/>
    <w:rsid w:val="43DC3CC8"/>
    <w:rsid w:val="43E159D8"/>
    <w:rsid w:val="43EC14F2"/>
    <w:rsid w:val="43F87AAB"/>
    <w:rsid w:val="43FB34E3"/>
    <w:rsid w:val="440A3726"/>
    <w:rsid w:val="442E1423"/>
    <w:rsid w:val="444B47AB"/>
    <w:rsid w:val="446552EA"/>
    <w:rsid w:val="4479551D"/>
    <w:rsid w:val="448A10F1"/>
    <w:rsid w:val="448C05DF"/>
    <w:rsid w:val="449341BB"/>
    <w:rsid w:val="44946B48"/>
    <w:rsid w:val="44AE2782"/>
    <w:rsid w:val="44BC2C73"/>
    <w:rsid w:val="44F477ED"/>
    <w:rsid w:val="454D612E"/>
    <w:rsid w:val="458D1D24"/>
    <w:rsid w:val="4599777C"/>
    <w:rsid w:val="45B46040"/>
    <w:rsid w:val="45B77C22"/>
    <w:rsid w:val="45BA06EF"/>
    <w:rsid w:val="45CA1BE5"/>
    <w:rsid w:val="45E931D8"/>
    <w:rsid w:val="45F4639B"/>
    <w:rsid w:val="45FE1F2B"/>
    <w:rsid w:val="46096306"/>
    <w:rsid w:val="461A7F93"/>
    <w:rsid w:val="462B6F7C"/>
    <w:rsid w:val="46357180"/>
    <w:rsid w:val="463A5F4F"/>
    <w:rsid w:val="463D4287"/>
    <w:rsid w:val="463D7C0D"/>
    <w:rsid w:val="464C0D8E"/>
    <w:rsid w:val="465B6AD1"/>
    <w:rsid w:val="46715CDF"/>
    <w:rsid w:val="46A71700"/>
    <w:rsid w:val="46AF05B5"/>
    <w:rsid w:val="46AF075C"/>
    <w:rsid w:val="46B67B95"/>
    <w:rsid w:val="46C07277"/>
    <w:rsid w:val="46DC11B8"/>
    <w:rsid w:val="46E841F3"/>
    <w:rsid w:val="46EB783F"/>
    <w:rsid w:val="46F25071"/>
    <w:rsid w:val="46F96400"/>
    <w:rsid w:val="47064679"/>
    <w:rsid w:val="47157CD6"/>
    <w:rsid w:val="472F8AD5"/>
    <w:rsid w:val="473867FC"/>
    <w:rsid w:val="4741374E"/>
    <w:rsid w:val="474311A3"/>
    <w:rsid w:val="474F6918"/>
    <w:rsid w:val="47524958"/>
    <w:rsid w:val="47651E00"/>
    <w:rsid w:val="477EBD9C"/>
    <w:rsid w:val="47EB2981"/>
    <w:rsid w:val="4803476D"/>
    <w:rsid w:val="48082E4D"/>
    <w:rsid w:val="480D1A37"/>
    <w:rsid w:val="48225263"/>
    <w:rsid w:val="482374AD"/>
    <w:rsid w:val="48257EE1"/>
    <w:rsid w:val="482A4397"/>
    <w:rsid w:val="482E0C98"/>
    <w:rsid w:val="483445AD"/>
    <w:rsid w:val="48474F49"/>
    <w:rsid w:val="484C6A03"/>
    <w:rsid w:val="48521E66"/>
    <w:rsid w:val="485C4F5C"/>
    <w:rsid w:val="4867383D"/>
    <w:rsid w:val="48691363"/>
    <w:rsid w:val="48711FC6"/>
    <w:rsid w:val="487359DE"/>
    <w:rsid w:val="48926B09"/>
    <w:rsid w:val="489C0142"/>
    <w:rsid w:val="48B55B9D"/>
    <w:rsid w:val="48B84099"/>
    <w:rsid w:val="48E24C72"/>
    <w:rsid w:val="48FB59C5"/>
    <w:rsid w:val="490935B1"/>
    <w:rsid w:val="492B03C7"/>
    <w:rsid w:val="49373210"/>
    <w:rsid w:val="494476DB"/>
    <w:rsid w:val="49534629"/>
    <w:rsid w:val="4954035D"/>
    <w:rsid w:val="495A5150"/>
    <w:rsid w:val="49667651"/>
    <w:rsid w:val="49705938"/>
    <w:rsid w:val="49731136"/>
    <w:rsid w:val="49825E53"/>
    <w:rsid w:val="499A379E"/>
    <w:rsid w:val="49AB56D6"/>
    <w:rsid w:val="49AE0C66"/>
    <w:rsid w:val="49B303BC"/>
    <w:rsid w:val="49B838D7"/>
    <w:rsid w:val="49CD76D0"/>
    <w:rsid w:val="49CF4E2D"/>
    <w:rsid w:val="49D3732F"/>
    <w:rsid w:val="49ED7D72"/>
    <w:rsid w:val="4A023CFE"/>
    <w:rsid w:val="4A0B01F8"/>
    <w:rsid w:val="4A203CA4"/>
    <w:rsid w:val="4A35443D"/>
    <w:rsid w:val="4A4D25BF"/>
    <w:rsid w:val="4A584C1A"/>
    <w:rsid w:val="4A596098"/>
    <w:rsid w:val="4A6635F4"/>
    <w:rsid w:val="4A6F69D9"/>
    <w:rsid w:val="4A8A5D3F"/>
    <w:rsid w:val="4A9B5A20"/>
    <w:rsid w:val="4AB55038"/>
    <w:rsid w:val="4AC07235"/>
    <w:rsid w:val="4B0D06CC"/>
    <w:rsid w:val="4B107291"/>
    <w:rsid w:val="4B180E1F"/>
    <w:rsid w:val="4B262B6E"/>
    <w:rsid w:val="4B45356B"/>
    <w:rsid w:val="4B531586"/>
    <w:rsid w:val="4B553060"/>
    <w:rsid w:val="4B61194B"/>
    <w:rsid w:val="4B6F3F44"/>
    <w:rsid w:val="4B6F5CC9"/>
    <w:rsid w:val="4B9E6CAC"/>
    <w:rsid w:val="4BAB539D"/>
    <w:rsid w:val="4BC845F3"/>
    <w:rsid w:val="4BC97261"/>
    <w:rsid w:val="4BD06A87"/>
    <w:rsid w:val="4BED5E07"/>
    <w:rsid w:val="4BFE72D3"/>
    <w:rsid w:val="4C017B05"/>
    <w:rsid w:val="4C0849EF"/>
    <w:rsid w:val="4C095E0D"/>
    <w:rsid w:val="4C11505E"/>
    <w:rsid w:val="4C2061DD"/>
    <w:rsid w:val="4C400DC5"/>
    <w:rsid w:val="4C4023DB"/>
    <w:rsid w:val="4C434C28"/>
    <w:rsid w:val="4C8449BE"/>
    <w:rsid w:val="4CA0731E"/>
    <w:rsid w:val="4CA57206"/>
    <w:rsid w:val="4CB5018A"/>
    <w:rsid w:val="4CC34439"/>
    <w:rsid w:val="4CD24624"/>
    <w:rsid w:val="4D003831"/>
    <w:rsid w:val="4D0C050F"/>
    <w:rsid w:val="4D3C515B"/>
    <w:rsid w:val="4D3D3138"/>
    <w:rsid w:val="4D4105D8"/>
    <w:rsid w:val="4D7D31BB"/>
    <w:rsid w:val="4D8056D5"/>
    <w:rsid w:val="4D887416"/>
    <w:rsid w:val="4D896004"/>
    <w:rsid w:val="4DC94652"/>
    <w:rsid w:val="4DCB3509"/>
    <w:rsid w:val="4DD01F76"/>
    <w:rsid w:val="4DF61B1A"/>
    <w:rsid w:val="4E086F29"/>
    <w:rsid w:val="4E1C6409"/>
    <w:rsid w:val="4E28039F"/>
    <w:rsid w:val="4E2875CB"/>
    <w:rsid w:val="4E8D5680"/>
    <w:rsid w:val="4E90645C"/>
    <w:rsid w:val="4EB4226B"/>
    <w:rsid w:val="4EB96475"/>
    <w:rsid w:val="4EF851EF"/>
    <w:rsid w:val="4F0022F6"/>
    <w:rsid w:val="4F071EFE"/>
    <w:rsid w:val="4F075432"/>
    <w:rsid w:val="4F1076A9"/>
    <w:rsid w:val="4F1763DA"/>
    <w:rsid w:val="4F26028E"/>
    <w:rsid w:val="4F400944"/>
    <w:rsid w:val="4F455F5A"/>
    <w:rsid w:val="4F4C7C93"/>
    <w:rsid w:val="4F610FE6"/>
    <w:rsid w:val="4F8C09BA"/>
    <w:rsid w:val="4F9F1B0F"/>
    <w:rsid w:val="4FE00872"/>
    <w:rsid w:val="4FF3009A"/>
    <w:rsid w:val="4FF9BA78"/>
    <w:rsid w:val="4FFF73BC"/>
    <w:rsid w:val="50025BF9"/>
    <w:rsid w:val="50033B53"/>
    <w:rsid w:val="502322A4"/>
    <w:rsid w:val="503B2A6E"/>
    <w:rsid w:val="5051105B"/>
    <w:rsid w:val="506569F8"/>
    <w:rsid w:val="506B2AEC"/>
    <w:rsid w:val="507477AD"/>
    <w:rsid w:val="508C4122"/>
    <w:rsid w:val="50940F47"/>
    <w:rsid w:val="509E773D"/>
    <w:rsid w:val="50B12E19"/>
    <w:rsid w:val="50B743BC"/>
    <w:rsid w:val="50C652F5"/>
    <w:rsid w:val="50C75C84"/>
    <w:rsid w:val="50CB1709"/>
    <w:rsid w:val="50EC2B32"/>
    <w:rsid w:val="50FF1090"/>
    <w:rsid w:val="510F6215"/>
    <w:rsid w:val="511268FB"/>
    <w:rsid w:val="51160E0B"/>
    <w:rsid w:val="511C42AD"/>
    <w:rsid w:val="511D2CEB"/>
    <w:rsid w:val="513239F1"/>
    <w:rsid w:val="51361FFF"/>
    <w:rsid w:val="513D5032"/>
    <w:rsid w:val="51493AE0"/>
    <w:rsid w:val="5170799F"/>
    <w:rsid w:val="51731710"/>
    <w:rsid w:val="517448D5"/>
    <w:rsid w:val="51761C4B"/>
    <w:rsid w:val="51782617"/>
    <w:rsid w:val="519136D9"/>
    <w:rsid w:val="51A65765"/>
    <w:rsid w:val="51AD32E7"/>
    <w:rsid w:val="51C770FB"/>
    <w:rsid w:val="51D3784E"/>
    <w:rsid w:val="521340EE"/>
    <w:rsid w:val="52241E8B"/>
    <w:rsid w:val="52401955"/>
    <w:rsid w:val="5246001F"/>
    <w:rsid w:val="52520651"/>
    <w:rsid w:val="525A7A86"/>
    <w:rsid w:val="52756B57"/>
    <w:rsid w:val="528D5892"/>
    <w:rsid w:val="529A65BD"/>
    <w:rsid w:val="52AA0FCD"/>
    <w:rsid w:val="52AD337E"/>
    <w:rsid w:val="52CE1BD2"/>
    <w:rsid w:val="52E05282"/>
    <w:rsid w:val="52E37F64"/>
    <w:rsid w:val="52E83425"/>
    <w:rsid w:val="52F97788"/>
    <w:rsid w:val="533D4B9F"/>
    <w:rsid w:val="535D661D"/>
    <w:rsid w:val="53625582"/>
    <w:rsid w:val="537F1C1E"/>
    <w:rsid w:val="539626A4"/>
    <w:rsid w:val="53C33B6F"/>
    <w:rsid w:val="53DD10F5"/>
    <w:rsid w:val="53E81E61"/>
    <w:rsid w:val="53EE4E13"/>
    <w:rsid w:val="54081D26"/>
    <w:rsid w:val="540E1011"/>
    <w:rsid w:val="54104D89"/>
    <w:rsid w:val="54380106"/>
    <w:rsid w:val="543B2B99"/>
    <w:rsid w:val="544B6B4F"/>
    <w:rsid w:val="54520EFE"/>
    <w:rsid w:val="54607F58"/>
    <w:rsid w:val="546E7BCC"/>
    <w:rsid w:val="54991140"/>
    <w:rsid w:val="54B24092"/>
    <w:rsid w:val="54DF6509"/>
    <w:rsid w:val="54E029AD"/>
    <w:rsid w:val="54F54933"/>
    <w:rsid w:val="54F7436C"/>
    <w:rsid w:val="54FB115B"/>
    <w:rsid w:val="54FE72D7"/>
    <w:rsid w:val="55085A60"/>
    <w:rsid w:val="55142657"/>
    <w:rsid w:val="552D196B"/>
    <w:rsid w:val="553FF778"/>
    <w:rsid w:val="55560EC1"/>
    <w:rsid w:val="556A2277"/>
    <w:rsid w:val="556B6888"/>
    <w:rsid w:val="55913CA7"/>
    <w:rsid w:val="55A90A92"/>
    <w:rsid w:val="55B654BC"/>
    <w:rsid w:val="55F81F79"/>
    <w:rsid w:val="55FF8584"/>
    <w:rsid w:val="560162DD"/>
    <w:rsid w:val="56095F34"/>
    <w:rsid w:val="562C010C"/>
    <w:rsid w:val="56355993"/>
    <w:rsid w:val="5650413D"/>
    <w:rsid w:val="56616D97"/>
    <w:rsid w:val="567570B7"/>
    <w:rsid w:val="567C4958"/>
    <w:rsid w:val="567E4819"/>
    <w:rsid w:val="56810020"/>
    <w:rsid w:val="56876E58"/>
    <w:rsid w:val="56956775"/>
    <w:rsid w:val="569972B8"/>
    <w:rsid w:val="569F4DFD"/>
    <w:rsid w:val="56A7547E"/>
    <w:rsid w:val="56BF65F2"/>
    <w:rsid w:val="56BFDFF9"/>
    <w:rsid w:val="56C854A7"/>
    <w:rsid w:val="56CA5F03"/>
    <w:rsid w:val="56D5310E"/>
    <w:rsid w:val="56D844CB"/>
    <w:rsid w:val="56DD7F5E"/>
    <w:rsid w:val="56EA6A8C"/>
    <w:rsid w:val="56ED315F"/>
    <w:rsid w:val="57155A64"/>
    <w:rsid w:val="57171D74"/>
    <w:rsid w:val="57216C87"/>
    <w:rsid w:val="5724489E"/>
    <w:rsid w:val="57266671"/>
    <w:rsid w:val="573E1C0D"/>
    <w:rsid w:val="574B7E86"/>
    <w:rsid w:val="575678A3"/>
    <w:rsid w:val="57580F21"/>
    <w:rsid w:val="5765719A"/>
    <w:rsid w:val="577949F3"/>
    <w:rsid w:val="57966B49"/>
    <w:rsid w:val="579A6C74"/>
    <w:rsid w:val="57A557E8"/>
    <w:rsid w:val="57BB14B0"/>
    <w:rsid w:val="57BC68A5"/>
    <w:rsid w:val="57E22A2A"/>
    <w:rsid w:val="57E427B4"/>
    <w:rsid w:val="57EF0107"/>
    <w:rsid w:val="57F8000E"/>
    <w:rsid w:val="57FB5D50"/>
    <w:rsid w:val="57FC5BA4"/>
    <w:rsid w:val="57FE1657"/>
    <w:rsid w:val="57FF4CE5"/>
    <w:rsid w:val="580F7106"/>
    <w:rsid w:val="58115BFE"/>
    <w:rsid w:val="58136BF6"/>
    <w:rsid w:val="58254B7B"/>
    <w:rsid w:val="58313520"/>
    <w:rsid w:val="583B379F"/>
    <w:rsid w:val="58411061"/>
    <w:rsid w:val="5855163F"/>
    <w:rsid w:val="588F4CBF"/>
    <w:rsid w:val="589C6BEB"/>
    <w:rsid w:val="58A001B5"/>
    <w:rsid w:val="58A13BAB"/>
    <w:rsid w:val="58AC78C9"/>
    <w:rsid w:val="58AD0694"/>
    <w:rsid w:val="58B7309D"/>
    <w:rsid w:val="58BA0E12"/>
    <w:rsid w:val="58D72319"/>
    <w:rsid w:val="58D77C23"/>
    <w:rsid w:val="58E86E8A"/>
    <w:rsid w:val="58ED0CAE"/>
    <w:rsid w:val="58F534E5"/>
    <w:rsid w:val="59162E41"/>
    <w:rsid w:val="5925741E"/>
    <w:rsid w:val="594827D5"/>
    <w:rsid w:val="59554FEC"/>
    <w:rsid w:val="595C74DB"/>
    <w:rsid w:val="59614356"/>
    <w:rsid w:val="596D2336"/>
    <w:rsid w:val="599854C6"/>
    <w:rsid w:val="59995821"/>
    <w:rsid w:val="599B3347"/>
    <w:rsid w:val="59A20DC7"/>
    <w:rsid w:val="59A338CE"/>
    <w:rsid w:val="59AB52E6"/>
    <w:rsid w:val="59E35D98"/>
    <w:rsid w:val="59E67B49"/>
    <w:rsid w:val="59F14D15"/>
    <w:rsid w:val="59F70A29"/>
    <w:rsid w:val="5A226CB9"/>
    <w:rsid w:val="5A485661"/>
    <w:rsid w:val="5A557744"/>
    <w:rsid w:val="5A5B4A08"/>
    <w:rsid w:val="5A5B5774"/>
    <w:rsid w:val="5A647BDD"/>
    <w:rsid w:val="5A6B2D19"/>
    <w:rsid w:val="5A7A7400"/>
    <w:rsid w:val="5A7B6CD4"/>
    <w:rsid w:val="5A9F29C3"/>
    <w:rsid w:val="5AAC3332"/>
    <w:rsid w:val="5ABD553F"/>
    <w:rsid w:val="5ABE5A4B"/>
    <w:rsid w:val="5ACF4FC7"/>
    <w:rsid w:val="5AD54636"/>
    <w:rsid w:val="5ADB29FA"/>
    <w:rsid w:val="5ADC09EF"/>
    <w:rsid w:val="5B0942E0"/>
    <w:rsid w:val="5B0F1E35"/>
    <w:rsid w:val="5B242EC8"/>
    <w:rsid w:val="5B2A61DA"/>
    <w:rsid w:val="5B3C7D16"/>
    <w:rsid w:val="5B40629C"/>
    <w:rsid w:val="5B644AF7"/>
    <w:rsid w:val="5B8E2880"/>
    <w:rsid w:val="5B9D1601"/>
    <w:rsid w:val="5B9D3B6E"/>
    <w:rsid w:val="5BA55888"/>
    <w:rsid w:val="5BA74587"/>
    <w:rsid w:val="5BBE50CA"/>
    <w:rsid w:val="5BD42518"/>
    <w:rsid w:val="5BD82630"/>
    <w:rsid w:val="5BFD79AA"/>
    <w:rsid w:val="5BFF61DE"/>
    <w:rsid w:val="5C152146"/>
    <w:rsid w:val="5C1565C5"/>
    <w:rsid w:val="5C1B42CB"/>
    <w:rsid w:val="5C942A1D"/>
    <w:rsid w:val="5C9A1694"/>
    <w:rsid w:val="5CA14EF9"/>
    <w:rsid w:val="5CAD6BEE"/>
    <w:rsid w:val="5CBA1142"/>
    <w:rsid w:val="5CBB785C"/>
    <w:rsid w:val="5CC6692D"/>
    <w:rsid w:val="5CCA0262"/>
    <w:rsid w:val="5CE012E2"/>
    <w:rsid w:val="5D251732"/>
    <w:rsid w:val="5D4B235F"/>
    <w:rsid w:val="5D4E7906"/>
    <w:rsid w:val="5D506E26"/>
    <w:rsid w:val="5D525800"/>
    <w:rsid w:val="5D766567"/>
    <w:rsid w:val="5D8864DC"/>
    <w:rsid w:val="5D902A97"/>
    <w:rsid w:val="5D9A3907"/>
    <w:rsid w:val="5DA27BC8"/>
    <w:rsid w:val="5DC8742A"/>
    <w:rsid w:val="5DE91468"/>
    <w:rsid w:val="5DF72822"/>
    <w:rsid w:val="5DFD694B"/>
    <w:rsid w:val="5DFF766E"/>
    <w:rsid w:val="5E007622"/>
    <w:rsid w:val="5E1716FA"/>
    <w:rsid w:val="5E235FD5"/>
    <w:rsid w:val="5E385608"/>
    <w:rsid w:val="5E6301AB"/>
    <w:rsid w:val="5E65080E"/>
    <w:rsid w:val="5E7A4426"/>
    <w:rsid w:val="5E7E73D8"/>
    <w:rsid w:val="5E8022FC"/>
    <w:rsid w:val="5E8303FB"/>
    <w:rsid w:val="5E8545C5"/>
    <w:rsid w:val="5E8E2983"/>
    <w:rsid w:val="5E9865C0"/>
    <w:rsid w:val="5E991EED"/>
    <w:rsid w:val="5E9C00E7"/>
    <w:rsid w:val="5EBEA2C1"/>
    <w:rsid w:val="5EE70DDC"/>
    <w:rsid w:val="5EE76ABB"/>
    <w:rsid w:val="5EF105DB"/>
    <w:rsid w:val="5EF34B27"/>
    <w:rsid w:val="5EF64B7B"/>
    <w:rsid w:val="5EFC7D55"/>
    <w:rsid w:val="5EFF9A68"/>
    <w:rsid w:val="5F0059FA"/>
    <w:rsid w:val="5F0674B4"/>
    <w:rsid w:val="5F0B0627"/>
    <w:rsid w:val="5F151C99"/>
    <w:rsid w:val="5F22665E"/>
    <w:rsid w:val="5F38256E"/>
    <w:rsid w:val="5F6879AA"/>
    <w:rsid w:val="5F760809"/>
    <w:rsid w:val="5F796185"/>
    <w:rsid w:val="5F976878"/>
    <w:rsid w:val="5FAE7638"/>
    <w:rsid w:val="5FB2841A"/>
    <w:rsid w:val="5FB52C88"/>
    <w:rsid w:val="5FBC31E0"/>
    <w:rsid w:val="5FBFF6BF"/>
    <w:rsid w:val="5FDB5AD9"/>
    <w:rsid w:val="5FDD1D78"/>
    <w:rsid w:val="5FE01AB3"/>
    <w:rsid w:val="5FFB231A"/>
    <w:rsid w:val="601856F1"/>
    <w:rsid w:val="60274A7B"/>
    <w:rsid w:val="602D4525"/>
    <w:rsid w:val="602F077D"/>
    <w:rsid w:val="604C661D"/>
    <w:rsid w:val="606D27A4"/>
    <w:rsid w:val="6083140A"/>
    <w:rsid w:val="608A6980"/>
    <w:rsid w:val="609B1699"/>
    <w:rsid w:val="60A87566"/>
    <w:rsid w:val="60BA7A17"/>
    <w:rsid w:val="60BB0411"/>
    <w:rsid w:val="60C7044C"/>
    <w:rsid w:val="60CD169B"/>
    <w:rsid w:val="60DA29A7"/>
    <w:rsid w:val="60E640E0"/>
    <w:rsid w:val="60F670B5"/>
    <w:rsid w:val="61045C75"/>
    <w:rsid w:val="611B4D6D"/>
    <w:rsid w:val="61230C09"/>
    <w:rsid w:val="612345D1"/>
    <w:rsid w:val="614C2D6F"/>
    <w:rsid w:val="615362B5"/>
    <w:rsid w:val="61545FD2"/>
    <w:rsid w:val="61561B6A"/>
    <w:rsid w:val="615D5386"/>
    <w:rsid w:val="615D6F2A"/>
    <w:rsid w:val="61600611"/>
    <w:rsid w:val="6166144A"/>
    <w:rsid w:val="61673FEA"/>
    <w:rsid w:val="617856B1"/>
    <w:rsid w:val="61826B9A"/>
    <w:rsid w:val="619743F4"/>
    <w:rsid w:val="61A0029B"/>
    <w:rsid w:val="61B56F70"/>
    <w:rsid w:val="61B9080E"/>
    <w:rsid w:val="61BC3E5A"/>
    <w:rsid w:val="61C13B66"/>
    <w:rsid w:val="61CA3A31"/>
    <w:rsid w:val="61DF3873"/>
    <w:rsid w:val="61EB0BE3"/>
    <w:rsid w:val="62183A9B"/>
    <w:rsid w:val="6223212B"/>
    <w:rsid w:val="62261C1B"/>
    <w:rsid w:val="62315CBA"/>
    <w:rsid w:val="6234230D"/>
    <w:rsid w:val="62377FA3"/>
    <w:rsid w:val="623D288E"/>
    <w:rsid w:val="623E1E4C"/>
    <w:rsid w:val="62425155"/>
    <w:rsid w:val="625642AF"/>
    <w:rsid w:val="625C5B39"/>
    <w:rsid w:val="62640ED7"/>
    <w:rsid w:val="627625F6"/>
    <w:rsid w:val="62AC3ECF"/>
    <w:rsid w:val="62B3440B"/>
    <w:rsid w:val="62B35552"/>
    <w:rsid w:val="62C64B96"/>
    <w:rsid w:val="62D82F16"/>
    <w:rsid w:val="62DA6345"/>
    <w:rsid w:val="62DB47B4"/>
    <w:rsid w:val="62E643B0"/>
    <w:rsid w:val="62E8291D"/>
    <w:rsid w:val="630737FB"/>
    <w:rsid w:val="63185EE8"/>
    <w:rsid w:val="634A294C"/>
    <w:rsid w:val="635527B8"/>
    <w:rsid w:val="63615C24"/>
    <w:rsid w:val="63821240"/>
    <w:rsid w:val="63AE011A"/>
    <w:rsid w:val="63CE4319"/>
    <w:rsid w:val="63D556A7"/>
    <w:rsid w:val="63DF6526"/>
    <w:rsid w:val="63E15DFA"/>
    <w:rsid w:val="63F741FF"/>
    <w:rsid w:val="640A6B85"/>
    <w:rsid w:val="64153CF6"/>
    <w:rsid w:val="642D35D6"/>
    <w:rsid w:val="64457568"/>
    <w:rsid w:val="6482661B"/>
    <w:rsid w:val="64AA7DDE"/>
    <w:rsid w:val="64BA42B5"/>
    <w:rsid w:val="64C3617D"/>
    <w:rsid w:val="64E42046"/>
    <w:rsid w:val="64E57B6C"/>
    <w:rsid w:val="64ED4D9E"/>
    <w:rsid w:val="65142754"/>
    <w:rsid w:val="65167D25"/>
    <w:rsid w:val="65312DB1"/>
    <w:rsid w:val="654A32E8"/>
    <w:rsid w:val="655D3BA6"/>
    <w:rsid w:val="65A17F37"/>
    <w:rsid w:val="65AF3987"/>
    <w:rsid w:val="65B06DA5"/>
    <w:rsid w:val="65BA4FF8"/>
    <w:rsid w:val="65C978DA"/>
    <w:rsid w:val="65FE5B7A"/>
    <w:rsid w:val="65FF6A0B"/>
    <w:rsid w:val="66044ABE"/>
    <w:rsid w:val="66091638"/>
    <w:rsid w:val="661A35F2"/>
    <w:rsid w:val="66344907"/>
    <w:rsid w:val="66384398"/>
    <w:rsid w:val="66424D7D"/>
    <w:rsid w:val="6643340A"/>
    <w:rsid w:val="664B6375"/>
    <w:rsid w:val="664B7EA3"/>
    <w:rsid w:val="6660394E"/>
    <w:rsid w:val="66685872"/>
    <w:rsid w:val="666E419D"/>
    <w:rsid w:val="667C5966"/>
    <w:rsid w:val="667C62AE"/>
    <w:rsid w:val="66B5226D"/>
    <w:rsid w:val="66C265BD"/>
    <w:rsid w:val="66D7158F"/>
    <w:rsid w:val="66DE6EEA"/>
    <w:rsid w:val="672506F4"/>
    <w:rsid w:val="674060A3"/>
    <w:rsid w:val="674212A6"/>
    <w:rsid w:val="677A6371"/>
    <w:rsid w:val="678A6BDB"/>
    <w:rsid w:val="678B5AFB"/>
    <w:rsid w:val="67982C74"/>
    <w:rsid w:val="6799749C"/>
    <w:rsid w:val="67A60936"/>
    <w:rsid w:val="67A80D24"/>
    <w:rsid w:val="67AB03DB"/>
    <w:rsid w:val="67B3300F"/>
    <w:rsid w:val="67B741C2"/>
    <w:rsid w:val="67B76F26"/>
    <w:rsid w:val="67BB0368"/>
    <w:rsid w:val="67E91721"/>
    <w:rsid w:val="67FC76A6"/>
    <w:rsid w:val="681A5D7E"/>
    <w:rsid w:val="683230C8"/>
    <w:rsid w:val="68391FA3"/>
    <w:rsid w:val="68602CD8"/>
    <w:rsid w:val="687B7C5F"/>
    <w:rsid w:val="6881148F"/>
    <w:rsid w:val="6897117D"/>
    <w:rsid w:val="68B47F81"/>
    <w:rsid w:val="68B95597"/>
    <w:rsid w:val="68C028E4"/>
    <w:rsid w:val="68C270F2"/>
    <w:rsid w:val="68D51CA5"/>
    <w:rsid w:val="68D76C7A"/>
    <w:rsid w:val="68D7748A"/>
    <w:rsid w:val="68DC1286"/>
    <w:rsid w:val="68E93F12"/>
    <w:rsid w:val="692F585A"/>
    <w:rsid w:val="693414FD"/>
    <w:rsid w:val="69561D41"/>
    <w:rsid w:val="696848C8"/>
    <w:rsid w:val="69707939"/>
    <w:rsid w:val="69730F0D"/>
    <w:rsid w:val="698311B7"/>
    <w:rsid w:val="69A26117"/>
    <w:rsid w:val="69EA8AC1"/>
    <w:rsid w:val="69F696D1"/>
    <w:rsid w:val="6A0078A7"/>
    <w:rsid w:val="6A331379"/>
    <w:rsid w:val="6A3C022E"/>
    <w:rsid w:val="6A630FDC"/>
    <w:rsid w:val="6A8120E5"/>
    <w:rsid w:val="6A841BD5"/>
    <w:rsid w:val="6A902328"/>
    <w:rsid w:val="6A921EE7"/>
    <w:rsid w:val="6AA67D9D"/>
    <w:rsid w:val="6AAE5BA5"/>
    <w:rsid w:val="6AB9362D"/>
    <w:rsid w:val="6AC87F41"/>
    <w:rsid w:val="6AD20B3D"/>
    <w:rsid w:val="6AD761A9"/>
    <w:rsid w:val="6AE663EC"/>
    <w:rsid w:val="6AFE28BF"/>
    <w:rsid w:val="6B010499"/>
    <w:rsid w:val="6B2569AB"/>
    <w:rsid w:val="6B3734E3"/>
    <w:rsid w:val="6B4B03BA"/>
    <w:rsid w:val="6B8359E9"/>
    <w:rsid w:val="6B9C351B"/>
    <w:rsid w:val="6BA257CE"/>
    <w:rsid w:val="6BA841FF"/>
    <w:rsid w:val="6BB52671"/>
    <w:rsid w:val="6BBB5183"/>
    <w:rsid w:val="6BBBF82A"/>
    <w:rsid w:val="6BBD49BF"/>
    <w:rsid w:val="6BC0512C"/>
    <w:rsid w:val="6BCA3618"/>
    <w:rsid w:val="6BD25936"/>
    <w:rsid w:val="6BE26BB3"/>
    <w:rsid w:val="6BE50451"/>
    <w:rsid w:val="6BEA5287"/>
    <w:rsid w:val="6BF453B7"/>
    <w:rsid w:val="6C091033"/>
    <w:rsid w:val="6C303DC2"/>
    <w:rsid w:val="6C31028B"/>
    <w:rsid w:val="6C3C0C3E"/>
    <w:rsid w:val="6C436979"/>
    <w:rsid w:val="6C5A4DEA"/>
    <w:rsid w:val="6C735A5D"/>
    <w:rsid w:val="6C7A3290"/>
    <w:rsid w:val="6C891725"/>
    <w:rsid w:val="6C8D2FCB"/>
    <w:rsid w:val="6C8E1FC4"/>
    <w:rsid w:val="6C922387"/>
    <w:rsid w:val="6C946428"/>
    <w:rsid w:val="6C9F2CF6"/>
    <w:rsid w:val="6CA34E6D"/>
    <w:rsid w:val="6CBA2E1E"/>
    <w:rsid w:val="6CC23BEF"/>
    <w:rsid w:val="6CCA3C9D"/>
    <w:rsid w:val="6CCB3A63"/>
    <w:rsid w:val="6D0449C2"/>
    <w:rsid w:val="6D381DA2"/>
    <w:rsid w:val="6D5451DF"/>
    <w:rsid w:val="6D54588F"/>
    <w:rsid w:val="6D7F6FE9"/>
    <w:rsid w:val="6D922098"/>
    <w:rsid w:val="6D9A32D4"/>
    <w:rsid w:val="6DB56CBE"/>
    <w:rsid w:val="6DE05374"/>
    <w:rsid w:val="6DEF4C8B"/>
    <w:rsid w:val="6E0437F0"/>
    <w:rsid w:val="6E105F9C"/>
    <w:rsid w:val="6E162B44"/>
    <w:rsid w:val="6E22686A"/>
    <w:rsid w:val="6E245261"/>
    <w:rsid w:val="6E2F3848"/>
    <w:rsid w:val="6E5A5D4F"/>
    <w:rsid w:val="6E7920B2"/>
    <w:rsid w:val="6E7FD33B"/>
    <w:rsid w:val="6E8A4B8C"/>
    <w:rsid w:val="6EB24699"/>
    <w:rsid w:val="6EB324D2"/>
    <w:rsid w:val="6ED90A2B"/>
    <w:rsid w:val="6EFC7F8C"/>
    <w:rsid w:val="6F255735"/>
    <w:rsid w:val="6F3DEF8C"/>
    <w:rsid w:val="6F5C5A41"/>
    <w:rsid w:val="6F887A72"/>
    <w:rsid w:val="6F8D32DA"/>
    <w:rsid w:val="6FAF1470"/>
    <w:rsid w:val="6FCF9521"/>
    <w:rsid w:val="6FD20A83"/>
    <w:rsid w:val="6FDB4BBB"/>
    <w:rsid w:val="6FE747D8"/>
    <w:rsid w:val="6FEEA618"/>
    <w:rsid w:val="6FF78C76"/>
    <w:rsid w:val="6FF869A5"/>
    <w:rsid w:val="6FFA53F6"/>
    <w:rsid w:val="6FFE33F8"/>
    <w:rsid w:val="6FFF7525"/>
    <w:rsid w:val="7000585A"/>
    <w:rsid w:val="70412100"/>
    <w:rsid w:val="70447695"/>
    <w:rsid w:val="705838E8"/>
    <w:rsid w:val="705B4450"/>
    <w:rsid w:val="705C33D8"/>
    <w:rsid w:val="7073427E"/>
    <w:rsid w:val="708E7931"/>
    <w:rsid w:val="70A22DB5"/>
    <w:rsid w:val="70A54C1B"/>
    <w:rsid w:val="70BB79D3"/>
    <w:rsid w:val="70C541D3"/>
    <w:rsid w:val="70F96E79"/>
    <w:rsid w:val="70FA499F"/>
    <w:rsid w:val="71070742"/>
    <w:rsid w:val="71123A97"/>
    <w:rsid w:val="711C5DC8"/>
    <w:rsid w:val="713C4FB8"/>
    <w:rsid w:val="7141195C"/>
    <w:rsid w:val="71431229"/>
    <w:rsid w:val="715D01CE"/>
    <w:rsid w:val="717F50A9"/>
    <w:rsid w:val="719374FA"/>
    <w:rsid w:val="71A056FE"/>
    <w:rsid w:val="71A06ECC"/>
    <w:rsid w:val="71AA6784"/>
    <w:rsid w:val="71AC6076"/>
    <w:rsid w:val="71B608C6"/>
    <w:rsid w:val="71C1726B"/>
    <w:rsid w:val="71D323DB"/>
    <w:rsid w:val="71EA6D73"/>
    <w:rsid w:val="72035AD5"/>
    <w:rsid w:val="72172541"/>
    <w:rsid w:val="722241AD"/>
    <w:rsid w:val="7227188E"/>
    <w:rsid w:val="72281098"/>
    <w:rsid w:val="722C0B88"/>
    <w:rsid w:val="72484ADF"/>
    <w:rsid w:val="724AB86F"/>
    <w:rsid w:val="7258464E"/>
    <w:rsid w:val="728C2F03"/>
    <w:rsid w:val="72B20BEE"/>
    <w:rsid w:val="72DB4E68"/>
    <w:rsid w:val="72FE102D"/>
    <w:rsid w:val="730223D1"/>
    <w:rsid w:val="73341EB4"/>
    <w:rsid w:val="733D17D7"/>
    <w:rsid w:val="733F9A72"/>
    <w:rsid w:val="73475772"/>
    <w:rsid w:val="734B7A5E"/>
    <w:rsid w:val="735E7467"/>
    <w:rsid w:val="73731422"/>
    <w:rsid w:val="737C4621"/>
    <w:rsid w:val="73813156"/>
    <w:rsid w:val="739367E9"/>
    <w:rsid w:val="73973553"/>
    <w:rsid w:val="73A57D5F"/>
    <w:rsid w:val="73AD2E32"/>
    <w:rsid w:val="73B13A3B"/>
    <w:rsid w:val="73BC7FB5"/>
    <w:rsid w:val="73DB0AB8"/>
    <w:rsid w:val="73DEB805"/>
    <w:rsid w:val="73EC0646"/>
    <w:rsid w:val="73F863B9"/>
    <w:rsid w:val="74153223"/>
    <w:rsid w:val="743B2F14"/>
    <w:rsid w:val="74402C14"/>
    <w:rsid w:val="744610CB"/>
    <w:rsid w:val="74656904"/>
    <w:rsid w:val="74707DA0"/>
    <w:rsid w:val="747E47EA"/>
    <w:rsid w:val="747F51E5"/>
    <w:rsid w:val="74806F69"/>
    <w:rsid w:val="74B3733F"/>
    <w:rsid w:val="74B72C97"/>
    <w:rsid w:val="74D53759"/>
    <w:rsid w:val="74DA0D6F"/>
    <w:rsid w:val="74E03EAC"/>
    <w:rsid w:val="74F160B9"/>
    <w:rsid w:val="74FD8138"/>
    <w:rsid w:val="74FF7CF2"/>
    <w:rsid w:val="7503324B"/>
    <w:rsid w:val="75056C52"/>
    <w:rsid w:val="750D7CAF"/>
    <w:rsid w:val="75134281"/>
    <w:rsid w:val="751900B0"/>
    <w:rsid w:val="752009F6"/>
    <w:rsid w:val="7521074C"/>
    <w:rsid w:val="75346317"/>
    <w:rsid w:val="754E6F1A"/>
    <w:rsid w:val="755C79D6"/>
    <w:rsid w:val="75622B13"/>
    <w:rsid w:val="756920F3"/>
    <w:rsid w:val="75735FF7"/>
    <w:rsid w:val="758142BF"/>
    <w:rsid w:val="75872165"/>
    <w:rsid w:val="759E5D3C"/>
    <w:rsid w:val="75A35605"/>
    <w:rsid w:val="75A56DB3"/>
    <w:rsid w:val="75AE7B06"/>
    <w:rsid w:val="75B5532A"/>
    <w:rsid w:val="75B75963"/>
    <w:rsid w:val="75DA4618"/>
    <w:rsid w:val="75DA6B4D"/>
    <w:rsid w:val="75EE19E5"/>
    <w:rsid w:val="75F47C0F"/>
    <w:rsid w:val="75F72D90"/>
    <w:rsid w:val="76041A24"/>
    <w:rsid w:val="7604624F"/>
    <w:rsid w:val="760B4F58"/>
    <w:rsid w:val="763D766B"/>
    <w:rsid w:val="76406042"/>
    <w:rsid w:val="76426BCC"/>
    <w:rsid w:val="76492F5A"/>
    <w:rsid w:val="76556507"/>
    <w:rsid w:val="765B6FCC"/>
    <w:rsid w:val="766118A1"/>
    <w:rsid w:val="766809B5"/>
    <w:rsid w:val="767FBC26"/>
    <w:rsid w:val="768C6099"/>
    <w:rsid w:val="76A74C81"/>
    <w:rsid w:val="76B64EC4"/>
    <w:rsid w:val="76F5C605"/>
    <w:rsid w:val="76FD3CA9"/>
    <w:rsid w:val="76FE0619"/>
    <w:rsid w:val="770976EA"/>
    <w:rsid w:val="770C76E9"/>
    <w:rsid w:val="771A36A5"/>
    <w:rsid w:val="775BC1C7"/>
    <w:rsid w:val="775FB7B1"/>
    <w:rsid w:val="77705994"/>
    <w:rsid w:val="7775502F"/>
    <w:rsid w:val="7791148D"/>
    <w:rsid w:val="779D7E32"/>
    <w:rsid w:val="77A60210"/>
    <w:rsid w:val="77B61FDB"/>
    <w:rsid w:val="77BD94C1"/>
    <w:rsid w:val="77BFA0E9"/>
    <w:rsid w:val="77C758BC"/>
    <w:rsid w:val="77DE2925"/>
    <w:rsid w:val="77DF74C7"/>
    <w:rsid w:val="77E2416C"/>
    <w:rsid w:val="77E617D9"/>
    <w:rsid w:val="77E65C7D"/>
    <w:rsid w:val="77EDAC1C"/>
    <w:rsid w:val="77F35159"/>
    <w:rsid w:val="781F0EBD"/>
    <w:rsid w:val="782F13D2"/>
    <w:rsid w:val="78476066"/>
    <w:rsid w:val="7848598B"/>
    <w:rsid w:val="784A68FB"/>
    <w:rsid w:val="78702F49"/>
    <w:rsid w:val="787D4428"/>
    <w:rsid w:val="78947487"/>
    <w:rsid w:val="789F1C75"/>
    <w:rsid w:val="78D32AD6"/>
    <w:rsid w:val="78D54DC7"/>
    <w:rsid w:val="78F84B81"/>
    <w:rsid w:val="79020895"/>
    <w:rsid w:val="790243F1"/>
    <w:rsid w:val="790448DE"/>
    <w:rsid w:val="790D2688"/>
    <w:rsid w:val="791F1447"/>
    <w:rsid w:val="79254583"/>
    <w:rsid w:val="794660B4"/>
    <w:rsid w:val="794762A8"/>
    <w:rsid w:val="79572CB7"/>
    <w:rsid w:val="795A75D0"/>
    <w:rsid w:val="798F62A3"/>
    <w:rsid w:val="79994E68"/>
    <w:rsid w:val="79A01ABA"/>
    <w:rsid w:val="79D20267"/>
    <w:rsid w:val="79DF3FF2"/>
    <w:rsid w:val="79E628C7"/>
    <w:rsid w:val="79E87A8A"/>
    <w:rsid w:val="79F71A7C"/>
    <w:rsid w:val="79FA77BE"/>
    <w:rsid w:val="7A0A341E"/>
    <w:rsid w:val="7A236D15"/>
    <w:rsid w:val="7A394769"/>
    <w:rsid w:val="7A485B61"/>
    <w:rsid w:val="7A4C1975"/>
    <w:rsid w:val="7A5B64AE"/>
    <w:rsid w:val="7A821F84"/>
    <w:rsid w:val="7A966FBB"/>
    <w:rsid w:val="7A97325F"/>
    <w:rsid w:val="7A9F5224"/>
    <w:rsid w:val="7AA86C05"/>
    <w:rsid w:val="7AC57DCC"/>
    <w:rsid w:val="7AD12F68"/>
    <w:rsid w:val="7AD41DBD"/>
    <w:rsid w:val="7ADB6CD6"/>
    <w:rsid w:val="7AE71F70"/>
    <w:rsid w:val="7AE804D8"/>
    <w:rsid w:val="7AEB2552"/>
    <w:rsid w:val="7AF82475"/>
    <w:rsid w:val="7B357DD3"/>
    <w:rsid w:val="7B5A49B8"/>
    <w:rsid w:val="7B821819"/>
    <w:rsid w:val="7B84377A"/>
    <w:rsid w:val="7B892BA7"/>
    <w:rsid w:val="7B9330D9"/>
    <w:rsid w:val="7B9574A7"/>
    <w:rsid w:val="7BA23D99"/>
    <w:rsid w:val="7BA63759"/>
    <w:rsid w:val="7BBB3A8D"/>
    <w:rsid w:val="7BBB9497"/>
    <w:rsid w:val="7BBE5F30"/>
    <w:rsid w:val="7BDE3C42"/>
    <w:rsid w:val="7BDFC38F"/>
    <w:rsid w:val="7BE9A979"/>
    <w:rsid w:val="7BEB5610"/>
    <w:rsid w:val="7BF21C6F"/>
    <w:rsid w:val="7BFE8407"/>
    <w:rsid w:val="7C0309BF"/>
    <w:rsid w:val="7C134B67"/>
    <w:rsid w:val="7C2E374F"/>
    <w:rsid w:val="7C53250F"/>
    <w:rsid w:val="7C690454"/>
    <w:rsid w:val="7C795FC7"/>
    <w:rsid w:val="7C8415C1"/>
    <w:rsid w:val="7C88317C"/>
    <w:rsid w:val="7C8B2EA3"/>
    <w:rsid w:val="7C9F44F2"/>
    <w:rsid w:val="7CAB6854"/>
    <w:rsid w:val="7CAD2396"/>
    <w:rsid w:val="7CB00FB3"/>
    <w:rsid w:val="7CBCF648"/>
    <w:rsid w:val="7CC42565"/>
    <w:rsid w:val="7CCF7E73"/>
    <w:rsid w:val="7CE534D0"/>
    <w:rsid w:val="7CE956F3"/>
    <w:rsid w:val="7CFE3C2F"/>
    <w:rsid w:val="7D1C7628"/>
    <w:rsid w:val="7D2012E9"/>
    <w:rsid w:val="7D2232B3"/>
    <w:rsid w:val="7D592A4D"/>
    <w:rsid w:val="7D7A4E9D"/>
    <w:rsid w:val="7D7D04EA"/>
    <w:rsid w:val="7D7FD6EC"/>
    <w:rsid w:val="7D955719"/>
    <w:rsid w:val="7D9FA7FE"/>
    <w:rsid w:val="7DA43CC8"/>
    <w:rsid w:val="7DCC01A6"/>
    <w:rsid w:val="7DD628A0"/>
    <w:rsid w:val="7DDF6E2C"/>
    <w:rsid w:val="7DE71E07"/>
    <w:rsid w:val="7DF792BF"/>
    <w:rsid w:val="7DFED8BA"/>
    <w:rsid w:val="7E1122A2"/>
    <w:rsid w:val="7E1370A0"/>
    <w:rsid w:val="7E140E26"/>
    <w:rsid w:val="7E4F257C"/>
    <w:rsid w:val="7E6404F7"/>
    <w:rsid w:val="7E665422"/>
    <w:rsid w:val="7E691F7C"/>
    <w:rsid w:val="7E7713DD"/>
    <w:rsid w:val="7EA867DD"/>
    <w:rsid w:val="7EAA7A04"/>
    <w:rsid w:val="7EBDFDE6"/>
    <w:rsid w:val="7ECC0CF3"/>
    <w:rsid w:val="7ED83FFF"/>
    <w:rsid w:val="7EE6A43F"/>
    <w:rsid w:val="7F0326C5"/>
    <w:rsid w:val="7F0A066D"/>
    <w:rsid w:val="7F1069B7"/>
    <w:rsid w:val="7F1E3F4E"/>
    <w:rsid w:val="7F2FB039"/>
    <w:rsid w:val="7F3AA74A"/>
    <w:rsid w:val="7F3D3F8C"/>
    <w:rsid w:val="7F69E99E"/>
    <w:rsid w:val="7F6DBCB1"/>
    <w:rsid w:val="7F75C589"/>
    <w:rsid w:val="7F7B314F"/>
    <w:rsid w:val="7F844BE6"/>
    <w:rsid w:val="7F896739"/>
    <w:rsid w:val="7F8A5401"/>
    <w:rsid w:val="7F9466E6"/>
    <w:rsid w:val="7FA62B1F"/>
    <w:rsid w:val="7FAA409D"/>
    <w:rsid w:val="7FAE5972"/>
    <w:rsid w:val="7FAFD828"/>
    <w:rsid w:val="7FB482DF"/>
    <w:rsid w:val="7FB7D083"/>
    <w:rsid w:val="7FBB823D"/>
    <w:rsid w:val="7FBD260F"/>
    <w:rsid w:val="7FBE057B"/>
    <w:rsid w:val="7FCA378E"/>
    <w:rsid w:val="7FDF80D0"/>
    <w:rsid w:val="7FE71C86"/>
    <w:rsid w:val="7FEB14F9"/>
    <w:rsid w:val="7FF5D093"/>
    <w:rsid w:val="7FFB5A34"/>
    <w:rsid w:val="7FFDDA44"/>
    <w:rsid w:val="7FFE3A1A"/>
    <w:rsid w:val="7FFF73B0"/>
    <w:rsid w:val="7FFFD6BD"/>
    <w:rsid w:val="8BFD1EAD"/>
    <w:rsid w:val="90DFE2A6"/>
    <w:rsid w:val="92BFAF58"/>
    <w:rsid w:val="9F7C632D"/>
    <w:rsid w:val="9FBE5CF8"/>
    <w:rsid w:val="9FD7BAE9"/>
    <w:rsid w:val="9FEDA46A"/>
    <w:rsid w:val="AF7E5407"/>
    <w:rsid w:val="B6FC099A"/>
    <w:rsid w:val="BAF7BC16"/>
    <w:rsid w:val="BAFFB7D7"/>
    <w:rsid w:val="BBCFBA35"/>
    <w:rsid w:val="BBE751B0"/>
    <w:rsid w:val="BD5D124C"/>
    <w:rsid w:val="BDFB5C67"/>
    <w:rsid w:val="BE3EC5C2"/>
    <w:rsid w:val="BEAE79DD"/>
    <w:rsid w:val="BF5EFBF4"/>
    <w:rsid w:val="BF731749"/>
    <w:rsid w:val="BF99690F"/>
    <w:rsid w:val="BFBD3DEA"/>
    <w:rsid w:val="BFD236C2"/>
    <w:rsid w:val="BFEF555F"/>
    <w:rsid w:val="BFF55855"/>
    <w:rsid w:val="BFFF1394"/>
    <w:rsid w:val="C3F7E8A8"/>
    <w:rsid w:val="C7D3528B"/>
    <w:rsid w:val="C7E30FB6"/>
    <w:rsid w:val="CB7B7337"/>
    <w:rsid w:val="CD27E143"/>
    <w:rsid w:val="CEDE8D24"/>
    <w:rsid w:val="CF6F3033"/>
    <w:rsid w:val="CFFBFAEE"/>
    <w:rsid w:val="D35F09E7"/>
    <w:rsid w:val="D4EFEBCE"/>
    <w:rsid w:val="D5763AF2"/>
    <w:rsid w:val="D6FCAE45"/>
    <w:rsid w:val="D6FFF017"/>
    <w:rsid w:val="D7DC54E4"/>
    <w:rsid w:val="D7DD6CFE"/>
    <w:rsid w:val="D8D6EBC3"/>
    <w:rsid w:val="DB7B68DF"/>
    <w:rsid w:val="DBDD4379"/>
    <w:rsid w:val="DBEA952C"/>
    <w:rsid w:val="DDEF47C7"/>
    <w:rsid w:val="DE45DDCC"/>
    <w:rsid w:val="DEB70F15"/>
    <w:rsid w:val="DEF3B7A2"/>
    <w:rsid w:val="DF7F8FC7"/>
    <w:rsid w:val="DF8F11C3"/>
    <w:rsid w:val="DFB04656"/>
    <w:rsid w:val="DFB6ABB1"/>
    <w:rsid w:val="DFFC72EC"/>
    <w:rsid w:val="DFFFED6C"/>
    <w:rsid w:val="E19BA40E"/>
    <w:rsid w:val="E6FF0B2A"/>
    <w:rsid w:val="E77FB2F3"/>
    <w:rsid w:val="E7FBB373"/>
    <w:rsid w:val="EBFF919D"/>
    <w:rsid w:val="ED9F2B16"/>
    <w:rsid w:val="EDE5520F"/>
    <w:rsid w:val="EDFD2C2B"/>
    <w:rsid w:val="EE5D61AD"/>
    <w:rsid w:val="EE9BF5FD"/>
    <w:rsid w:val="EF5D9D01"/>
    <w:rsid w:val="EFBEA134"/>
    <w:rsid w:val="EFEF2EED"/>
    <w:rsid w:val="F15DE464"/>
    <w:rsid w:val="F1BB90C1"/>
    <w:rsid w:val="F39FD765"/>
    <w:rsid w:val="F3EF849E"/>
    <w:rsid w:val="F3F675B6"/>
    <w:rsid w:val="F57B9CD6"/>
    <w:rsid w:val="F5FFC91D"/>
    <w:rsid w:val="F65F83CF"/>
    <w:rsid w:val="F667F925"/>
    <w:rsid w:val="F6BE8846"/>
    <w:rsid w:val="F6D35C74"/>
    <w:rsid w:val="F6D74ACB"/>
    <w:rsid w:val="F7A7E061"/>
    <w:rsid w:val="F7E1801F"/>
    <w:rsid w:val="F7E79045"/>
    <w:rsid w:val="F7EEE276"/>
    <w:rsid w:val="F7FF3F1F"/>
    <w:rsid w:val="F9AB8593"/>
    <w:rsid w:val="F9EBA97D"/>
    <w:rsid w:val="F9F3B1B6"/>
    <w:rsid w:val="F9FE8A3E"/>
    <w:rsid w:val="FA6F2909"/>
    <w:rsid w:val="FB598D9E"/>
    <w:rsid w:val="FB6FB4C3"/>
    <w:rsid w:val="FB7A0C93"/>
    <w:rsid w:val="FB7D8E3F"/>
    <w:rsid w:val="FB7DB103"/>
    <w:rsid w:val="FBCFAF55"/>
    <w:rsid w:val="FBDEF6DB"/>
    <w:rsid w:val="FBF3B2A4"/>
    <w:rsid w:val="FBFB31F7"/>
    <w:rsid w:val="FBFF1C2A"/>
    <w:rsid w:val="FCDF26D0"/>
    <w:rsid w:val="FD7E5D0A"/>
    <w:rsid w:val="FDEAF210"/>
    <w:rsid w:val="FDFF2F31"/>
    <w:rsid w:val="FDFFACD2"/>
    <w:rsid w:val="FED53DD8"/>
    <w:rsid w:val="FF1F5E32"/>
    <w:rsid w:val="FF5E66BE"/>
    <w:rsid w:val="FF7756AD"/>
    <w:rsid w:val="FF7F03C0"/>
    <w:rsid w:val="FFC55182"/>
    <w:rsid w:val="FFCFDA79"/>
    <w:rsid w:val="FFDF6949"/>
    <w:rsid w:val="FFF3FB5D"/>
    <w:rsid w:val="FFF75E0A"/>
    <w:rsid w:val="FFFB1BE1"/>
    <w:rsid w:val="FFFFE21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4"/>
    <w:unhideWhenUsed/>
    <w:qFormat/>
    <w:uiPriority w:val="0"/>
    <w:pPr>
      <w:keepNext/>
      <w:keepLines/>
      <w:spacing w:before="260" w:after="260" w:line="413" w:lineRule="auto"/>
      <w:outlineLvl w:val="2"/>
    </w:pPr>
    <w:rPr>
      <w:b/>
      <w:sz w:val="32"/>
    </w:rPr>
  </w:style>
  <w:style w:type="paragraph" w:styleId="5">
    <w:name w:val="heading 4"/>
    <w:basedOn w:val="1"/>
    <w:next w:val="6"/>
    <w:link w:val="103"/>
    <w:qFormat/>
    <w:uiPriority w:val="0"/>
    <w:pPr>
      <w:keepNext/>
      <w:tabs>
        <w:tab w:val="left" w:pos="730"/>
      </w:tabs>
      <w:spacing w:beforeLines="50" w:afterLines="30" w:line="300" w:lineRule="exact"/>
      <w:ind w:firstLine="200" w:firstLineChars="200"/>
      <w:outlineLvl w:val="3"/>
    </w:pPr>
    <w:rPr>
      <w:rFonts w:ascii="仿宋_GB2312" w:hAnsi="Times New Roman" w:eastAsia="宋体" w:cs="Times New Roman"/>
      <w:b/>
      <w:w w:val="98"/>
      <w:sz w:val="28"/>
      <w:szCs w:val="24"/>
    </w:rPr>
  </w:style>
  <w:style w:type="paragraph" w:styleId="7">
    <w:name w:val="heading 5"/>
    <w:basedOn w:val="1"/>
    <w:next w:val="1"/>
    <w:link w:val="113"/>
    <w:unhideWhenUsed/>
    <w:qFormat/>
    <w:uiPriority w:val="9"/>
    <w:pPr>
      <w:keepNext/>
      <w:keepLines/>
      <w:spacing w:before="280" w:after="290" w:line="372" w:lineRule="auto"/>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102"/>
    <w:unhideWhenUsed/>
    <w:qFormat/>
    <w:uiPriority w:val="0"/>
    <w:pPr>
      <w:ind w:firstLine="420"/>
    </w:pPr>
    <w:rPr>
      <w:rFonts w:ascii="宋体"/>
      <w:sz w:val="24"/>
      <w:szCs w:val="24"/>
    </w:rPr>
  </w:style>
  <w:style w:type="paragraph" w:styleId="8">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9">
    <w:name w:val="annotation text"/>
    <w:basedOn w:val="1"/>
    <w:link w:val="95"/>
    <w:semiHidden/>
    <w:unhideWhenUsed/>
    <w:qFormat/>
    <w:uiPriority w:val="99"/>
    <w:pPr>
      <w:jc w:val="left"/>
    </w:pPr>
  </w:style>
  <w:style w:type="paragraph" w:styleId="10">
    <w:name w:val="Body Text"/>
    <w:basedOn w:val="1"/>
    <w:next w:val="1"/>
    <w:link w:val="33"/>
    <w:unhideWhenUsed/>
    <w:qFormat/>
    <w:uiPriority w:val="99"/>
    <w:pPr>
      <w:spacing w:after="120"/>
    </w:pPr>
  </w:style>
  <w:style w:type="paragraph" w:styleId="11">
    <w:name w:val="Body Text Indent"/>
    <w:basedOn w:val="1"/>
    <w:unhideWhenUsed/>
    <w:qFormat/>
    <w:uiPriority w:val="99"/>
    <w:pPr>
      <w:ind w:firstLine="8593" w:firstLineChars="3069"/>
      <w:jc w:val="left"/>
    </w:pPr>
    <w:rPr>
      <w:sz w:val="28"/>
    </w:rPr>
  </w:style>
  <w:style w:type="paragraph" w:styleId="12">
    <w:name w:val="toc 3"/>
    <w:basedOn w:val="1"/>
    <w:next w:val="1"/>
    <w:semiHidden/>
    <w:unhideWhenUsed/>
    <w:qFormat/>
    <w:uiPriority w:val="39"/>
    <w:pPr>
      <w:ind w:left="840" w:leftChars="400"/>
    </w:pPr>
  </w:style>
  <w:style w:type="paragraph" w:styleId="13">
    <w:name w:val="Plain Text"/>
    <w:basedOn w:val="1"/>
    <w:next w:val="1"/>
    <w:qFormat/>
    <w:uiPriority w:val="99"/>
    <w:pPr>
      <w:wordWrap w:val="0"/>
      <w:autoSpaceDE w:val="0"/>
      <w:autoSpaceDN w:val="0"/>
      <w:spacing w:line="440" w:lineRule="exact"/>
      <w:ind w:firstLine="200" w:firstLineChars="200"/>
      <w:jc w:val="left"/>
    </w:pPr>
    <w:rPr>
      <w:rFonts w:ascii="仿宋_GB2312" w:hAnsi="Courier New" w:eastAsia="仿宋_GB2312" w:cs="Times New Roman"/>
      <w:sz w:val="24"/>
      <w:szCs w:val="24"/>
      <w:lang w:eastAsia="ja-JP"/>
    </w:rPr>
  </w:style>
  <w:style w:type="paragraph" w:styleId="14">
    <w:name w:val="Balloon Text"/>
    <w:basedOn w:val="1"/>
    <w:link w:val="35"/>
    <w:semiHidden/>
    <w:unhideWhenUsed/>
    <w:qFormat/>
    <w:uiPriority w:val="99"/>
    <w:rPr>
      <w:sz w:val="18"/>
      <w:szCs w:val="18"/>
    </w:rPr>
  </w:style>
  <w:style w:type="paragraph" w:styleId="15">
    <w:name w:val="footer"/>
    <w:basedOn w:val="1"/>
    <w:link w:val="32"/>
    <w:unhideWhenUsed/>
    <w:qFormat/>
    <w:uiPriority w:val="99"/>
    <w:pPr>
      <w:tabs>
        <w:tab w:val="center" w:pos="4153"/>
        <w:tab w:val="right" w:pos="8306"/>
      </w:tabs>
      <w:snapToGrid w:val="0"/>
      <w:jc w:val="left"/>
    </w:pPr>
    <w:rPr>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0">
    <w:name w:val="Body Text First Indent"/>
    <w:basedOn w:val="10"/>
    <w:link w:val="34"/>
    <w:unhideWhenUsed/>
    <w:qFormat/>
    <w:uiPriority w:val="99"/>
    <w:pPr>
      <w:tabs>
        <w:tab w:val="left" w:pos="993"/>
      </w:tabs>
      <w:spacing w:beforeLines="20" w:afterLines="20" w:line="500" w:lineRule="exact"/>
    </w:pPr>
    <w:rPr>
      <w:rFonts w:ascii="宋体" w:hAnsi="宋体" w:eastAsia="宋体"/>
      <w:color w:val="333333"/>
      <w:w w:val="98"/>
      <w:kern w:val="0"/>
      <w:sz w:val="24"/>
    </w:rPr>
  </w:style>
  <w:style w:type="table" w:styleId="22">
    <w:name w:val="Table Grid"/>
    <w:basedOn w:val="21"/>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4">
    <w:name w:val="FollowedHyperlink"/>
    <w:basedOn w:val="23"/>
    <w:semiHidden/>
    <w:unhideWhenUsed/>
    <w:qFormat/>
    <w:uiPriority w:val="99"/>
    <w:rPr>
      <w:color w:val="800080"/>
      <w:u w:val="single"/>
    </w:rPr>
  </w:style>
  <w:style w:type="character" w:styleId="25">
    <w:name w:val="Hyperlink"/>
    <w:basedOn w:val="23"/>
    <w:unhideWhenUsed/>
    <w:qFormat/>
    <w:uiPriority w:val="99"/>
    <w:rPr>
      <w:color w:val="0000FF"/>
      <w:u w:val="single"/>
    </w:rPr>
  </w:style>
  <w:style w:type="paragraph" w:customStyle="1" w:styleId="26">
    <w:name w:val="style4"/>
    <w:basedOn w:val="1"/>
    <w:next w:val="27"/>
    <w:qFormat/>
    <w:uiPriority w:val="0"/>
    <w:pPr>
      <w:widowControl/>
      <w:spacing w:before="100" w:beforeAutospacing="1" w:after="100" w:afterAutospacing="1"/>
      <w:jc w:val="left"/>
    </w:pPr>
    <w:rPr>
      <w:rFonts w:ascii="宋体" w:hAnsi="宋体" w:cs="宋体"/>
      <w:kern w:val="0"/>
      <w:sz w:val="18"/>
      <w:szCs w:val="18"/>
    </w:rPr>
  </w:style>
  <w:style w:type="paragraph" w:customStyle="1" w:styleId="27">
    <w:name w:val="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Default"/>
    <w:next w:val="29"/>
    <w:qFormat/>
    <w:uiPriority w:val="0"/>
    <w:pPr>
      <w:widowControl w:val="0"/>
      <w:autoSpaceDE w:val="0"/>
      <w:autoSpaceDN w:val="0"/>
      <w:adjustRightInd w:val="0"/>
    </w:pPr>
    <w:rPr>
      <w:rFonts w:ascii="Times New Roman" w:hAnsi="Times New Roman" w:eastAsia="Calibri" w:cs="Times New Roman"/>
      <w:color w:val="000000"/>
      <w:sz w:val="24"/>
      <w:szCs w:val="24"/>
      <w:lang w:val="en-US" w:eastAsia="zh-CN" w:bidi="ar-SA"/>
    </w:rPr>
  </w:style>
  <w:style w:type="paragraph" w:customStyle="1" w:styleId="29">
    <w:name w:val="表格文字"/>
    <w:basedOn w:val="1"/>
    <w:qFormat/>
    <w:uiPriority w:val="0"/>
    <w:pPr>
      <w:adjustRightInd w:val="0"/>
      <w:spacing w:line="420" w:lineRule="atLeast"/>
      <w:jc w:val="left"/>
      <w:textAlignment w:val="baseline"/>
    </w:pPr>
    <w:rPr>
      <w:kern w:val="0"/>
      <w:szCs w:val="20"/>
    </w:rPr>
  </w:style>
  <w:style w:type="paragraph" w:styleId="30">
    <w:name w:val="List Paragraph"/>
    <w:basedOn w:val="1"/>
    <w:qFormat/>
    <w:uiPriority w:val="34"/>
    <w:pPr>
      <w:ind w:firstLine="420" w:firstLineChars="200"/>
    </w:pPr>
  </w:style>
  <w:style w:type="character" w:customStyle="1" w:styleId="31">
    <w:name w:val="页眉 字符"/>
    <w:basedOn w:val="23"/>
    <w:link w:val="16"/>
    <w:qFormat/>
    <w:uiPriority w:val="99"/>
    <w:rPr>
      <w:sz w:val="18"/>
      <w:szCs w:val="18"/>
    </w:rPr>
  </w:style>
  <w:style w:type="character" w:customStyle="1" w:styleId="32">
    <w:name w:val="页脚 字符"/>
    <w:basedOn w:val="23"/>
    <w:link w:val="15"/>
    <w:qFormat/>
    <w:uiPriority w:val="99"/>
    <w:rPr>
      <w:sz w:val="18"/>
      <w:szCs w:val="18"/>
    </w:rPr>
  </w:style>
  <w:style w:type="character" w:customStyle="1" w:styleId="33">
    <w:name w:val="正文文本 字符"/>
    <w:basedOn w:val="23"/>
    <w:link w:val="10"/>
    <w:qFormat/>
    <w:uiPriority w:val="99"/>
  </w:style>
  <w:style w:type="character" w:customStyle="1" w:styleId="34">
    <w:name w:val="正文文本首行缩进 字符"/>
    <w:basedOn w:val="33"/>
    <w:link w:val="20"/>
    <w:qFormat/>
    <w:uiPriority w:val="99"/>
    <w:rPr>
      <w:rFonts w:ascii="宋体" w:hAnsi="宋体" w:eastAsia="宋体"/>
      <w:color w:val="333333"/>
      <w:w w:val="98"/>
      <w:kern w:val="0"/>
      <w:sz w:val="24"/>
    </w:rPr>
  </w:style>
  <w:style w:type="character" w:customStyle="1" w:styleId="35">
    <w:name w:val="批注框文本 字符"/>
    <w:basedOn w:val="23"/>
    <w:link w:val="14"/>
    <w:semiHidden/>
    <w:qFormat/>
    <w:uiPriority w:val="99"/>
    <w:rPr>
      <w:sz w:val="18"/>
      <w:szCs w:val="18"/>
    </w:rPr>
  </w:style>
  <w:style w:type="paragraph" w:customStyle="1" w:styleId="36">
    <w:name w:val="图表名称"/>
    <w:basedOn w:val="1"/>
    <w:qFormat/>
    <w:uiPriority w:val="0"/>
    <w:pPr>
      <w:snapToGrid w:val="0"/>
      <w:spacing w:line="360" w:lineRule="auto"/>
      <w:jc w:val="center"/>
    </w:pPr>
    <w:rPr>
      <w:rFonts w:ascii="Times New Roman" w:hAnsi="Times New Roman" w:eastAsia="仿宋" w:cs="Times New Roman"/>
    </w:rPr>
  </w:style>
  <w:style w:type="paragraph" w:customStyle="1" w:styleId="37">
    <w:name w:val="表格首行"/>
    <w:basedOn w:val="38"/>
    <w:qFormat/>
    <w:uiPriority w:val="0"/>
    <w:rPr>
      <w:b/>
    </w:rPr>
  </w:style>
  <w:style w:type="paragraph" w:customStyle="1" w:styleId="38">
    <w:name w:val="表格单行"/>
    <w:basedOn w:val="1"/>
    <w:qFormat/>
    <w:uiPriority w:val="0"/>
    <w:pPr>
      <w:snapToGrid w:val="0"/>
      <w:spacing w:line="240" w:lineRule="atLeast"/>
      <w:jc w:val="center"/>
    </w:pPr>
    <w:rPr>
      <w:rFonts w:ascii="Times New Roman" w:hAnsi="Times New Roman" w:eastAsia="仿宋" w:cs="Times New Roman"/>
    </w:rPr>
  </w:style>
  <w:style w:type="paragraph" w:customStyle="1" w:styleId="39">
    <w:name w:val="表格多行"/>
    <w:basedOn w:val="38"/>
    <w:qFormat/>
    <w:uiPriority w:val="0"/>
    <w:pPr>
      <w:ind w:firstLine="200" w:firstLineChars="200"/>
      <w:jc w:val="left"/>
    </w:pPr>
  </w:style>
  <w:style w:type="paragraph" w:customStyle="1" w:styleId="40">
    <w:name w:val="梦龙红头字号"/>
    <w:basedOn w:val="1"/>
    <w:qFormat/>
    <w:uiPriority w:val="0"/>
    <w:pPr>
      <w:widowControl/>
      <w:spacing w:line="560" w:lineRule="exact"/>
      <w:jc w:val="center"/>
    </w:pPr>
    <w:rPr>
      <w:rFonts w:ascii="仿宋_GB2312" w:hAnsi="Times New Roman" w:eastAsia="仿宋_GB2312" w:cs="Times New Roman"/>
      <w:sz w:val="32"/>
      <w:szCs w:val="32"/>
    </w:rPr>
  </w:style>
  <w:style w:type="paragraph" w:customStyle="1" w:styleId="41">
    <w:name w:val="列出段落1"/>
    <w:basedOn w:val="1"/>
    <w:qFormat/>
    <w:uiPriority w:val="34"/>
    <w:pPr>
      <w:ind w:firstLine="420" w:firstLineChars="200"/>
    </w:pPr>
  </w:style>
  <w:style w:type="paragraph" w:customStyle="1" w:styleId="42">
    <w:name w:val="font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3">
    <w:name w:val="font6"/>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44">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4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7">
    <w:name w:val="xl70"/>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48">
    <w:name w:val="xl71"/>
    <w:basedOn w:val="1"/>
    <w:qFormat/>
    <w:uiPriority w:val="0"/>
    <w:pPr>
      <w:widowControl/>
      <w:spacing w:before="100" w:beforeAutospacing="1" w:after="100" w:afterAutospacing="1"/>
      <w:jc w:val="center"/>
    </w:pPr>
    <w:rPr>
      <w:rFonts w:ascii="Times New Roman" w:hAnsi="Times New Roman" w:eastAsia="宋体" w:cs="Times New Roman"/>
      <w:b/>
      <w:bCs/>
      <w:kern w:val="0"/>
      <w:sz w:val="20"/>
      <w:szCs w:val="20"/>
    </w:rPr>
  </w:style>
  <w:style w:type="paragraph" w:customStyle="1" w:styleId="4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5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0"/>
      <w:szCs w:val="20"/>
    </w:rPr>
  </w:style>
  <w:style w:type="paragraph" w:customStyle="1" w:styleId="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0"/>
      <w:szCs w:val="20"/>
    </w:rPr>
  </w:style>
  <w:style w:type="paragraph" w:customStyle="1" w:styleId="56">
    <w:name w:val="xl79"/>
    <w:basedOn w:val="1"/>
    <w:qFormat/>
    <w:uiPriority w:val="0"/>
    <w:pPr>
      <w:widowControl/>
      <w:spacing w:before="100" w:beforeAutospacing="1" w:after="100" w:afterAutospacing="1"/>
      <w:jc w:val="center"/>
    </w:pPr>
    <w:rPr>
      <w:rFonts w:ascii="宋体" w:hAnsi="宋体" w:eastAsia="宋体" w:cs="宋体"/>
      <w:kern w:val="0"/>
      <w:sz w:val="32"/>
      <w:szCs w:val="32"/>
    </w:rPr>
  </w:style>
  <w:style w:type="paragraph" w:customStyle="1" w:styleId="57">
    <w:name w:val="xl80"/>
    <w:basedOn w:val="1"/>
    <w:qFormat/>
    <w:uiPriority w:val="0"/>
    <w:pPr>
      <w:widowControl/>
      <w:spacing w:before="100" w:beforeAutospacing="1" w:after="100" w:afterAutospacing="1"/>
      <w:jc w:val="center"/>
    </w:pPr>
    <w:rPr>
      <w:rFonts w:ascii="Times New Roman" w:hAnsi="Times New Roman" w:eastAsia="宋体" w:cs="Times New Roman"/>
      <w:kern w:val="0"/>
      <w:sz w:val="32"/>
      <w:szCs w:val="32"/>
    </w:rPr>
  </w:style>
  <w:style w:type="paragraph" w:customStyle="1" w:styleId="58">
    <w:name w:val="xl81"/>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59">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0">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20"/>
      <w:szCs w:val="20"/>
    </w:rPr>
  </w:style>
  <w:style w:type="paragraph" w:customStyle="1" w:styleId="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20"/>
      <w:szCs w:val="20"/>
    </w:rPr>
  </w:style>
  <w:style w:type="paragraph" w:customStyle="1" w:styleId="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20"/>
      <w:szCs w:val="20"/>
    </w:rPr>
  </w:style>
  <w:style w:type="paragraph" w:customStyle="1" w:styleId="6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68">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b/>
      <w:bCs/>
      <w:kern w:val="0"/>
      <w:sz w:val="20"/>
      <w:szCs w:val="20"/>
    </w:rPr>
  </w:style>
  <w:style w:type="paragraph" w:customStyle="1" w:styleId="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20"/>
      <w:szCs w:val="20"/>
    </w:rPr>
  </w:style>
  <w:style w:type="paragraph" w:customStyle="1" w:styleId="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3">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7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5">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7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78">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8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8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8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8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character" w:customStyle="1" w:styleId="84">
    <w:name w:val="font61"/>
    <w:basedOn w:val="23"/>
    <w:qFormat/>
    <w:uiPriority w:val="0"/>
    <w:rPr>
      <w:rFonts w:hint="eastAsia" w:ascii="宋体" w:hAnsi="宋体" w:eastAsia="宋体" w:cs="宋体"/>
      <w:color w:val="000000"/>
      <w:sz w:val="20"/>
      <w:szCs w:val="20"/>
      <w:u w:val="none"/>
    </w:rPr>
  </w:style>
  <w:style w:type="character" w:customStyle="1" w:styleId="85">
    <w:name w:val="font71"/>
    <w:basedOn w:val="23"/>
    <w:qFormat/>
    <w:uiPriority w:val="0"/>
    <w:rPr>
      <w:rFonts w:hint="eastAsia" w:ascii="宋体" w:hAnsi="宋体" w:eastAsia="宋体" w:cs="宋体"/>
      <w:color w:val="000000"/>
      <w:sz w:val="20"/>
      <w:szCs w:val="20"/>
      <w:u w:val="none"/>
    </w:rPr>
  </w:style>
  <w:style w:type="character" w:customStyle="1" w:styleId="86">
    <w:name w:val="font51"/>
    <w:basedOn w:val="23"/>
    <w:qFormat/>
    <w:uiPriority w:val="0"/>
    <w:rPr>
      <w:rFonts w:hint="eastAsia" w:ascii="宋体" w:hAnsi="宋体" w:eastAsia="宋体" w:cs="宋体"/>
      <w:color w:val="000000"/>
      <w:sz w:val="20"/>
      <w:szCs w:val="20"/>
      <w:u w:val="none"/>
      <w:vertAlign w:val="superscript"/>
    </w:rPr>
  </w:style>
  <w:style w:type="character" w:customStyle="1" w:styleId="87">
    <w:name w:val="font01"/>
    <w:basedOn w:val="23"/>
    <w:qFormat/>
    <w:uiPriority w:val="0"/>
    <w:rPr>
      <w:rFonts w:hint="eastAsia" w:ascii="宋体" w:hAnsi="宋体" w:eastAsia="宋体" w:cs="宋体"/>
      <w:color w:val="000000"/>
      <w:sz w:val="20"/>
      <w:szCs w:val="20"/>
      <w:u w:val="none"/>
    </w:rPr>
  </w:style>
  <w:style w:type="character" w:customStyle="1" w:styleId="88">
    <w:name w:val="font41"/>
    <w:basedOn w:val="23"/>
    <w:qFormat/>
    <w:uiPriority w:val="0"/>
    <w:rPr>
      <w:rFonts w:hint="default" w:ascii="Times New Roman" w:hAnsi="Times New Roman" w:cs="Times New Roman"/>
      <w:color w:val="000000"/>
      <w:sz w:val="20"/>
      <w:szCs w:val="20"/>
      <w:u w:val="none"/>
    </w:rPr>
  </w:style>
  <w:style w:type="character" w:customStyle="1" w:styleId="89">
    <w:name w:val="font31"/>
    <w:basedOn w:val="23"/>
    <w:qFormat/>
    <w:uiPriority w:val="0"/>
    <w:rPr>
      <w:rFonts w:hint="default" w:ascii="Times New Roman" w:hAnsi="Times New Roman" w:cs="Times New Roman"/>
      <w:color w:val="000000"/>
      <w:sz w:val="18"/>
      <w:szCs w:val="18"/>
      <w:u w:val="none"/>
    </w:rPr>
  </w:style>
  <w:style w:type="character" w:customStyle="1" w:styleId="90">
    <w:name w:val="font11"/>
    <w:basedOn w:val="23"/>
    <w:qFormat/>
    <w:uiPriority w:val="0"/>
    <w:rPr>
      <w:rFonts w:hint="eastAsia" w:ascii="宋体" w:hAnsi="宋体" w:eastAsia="宋体" w:cs="宋体"/>
      <w:color w:val="000000"/>
      <w:sz w:val="18"/>
      <w:szCs w:val="18"/>
      <w:u w:val="none"/>
    </w:rPr>
  </w:style>
  <w:style w:type="character" w:customStyle="1" w:styleId="91">
    <w:name w:val="font21"/>
    <w:basedOn w:val="23"/>
    <w:qFormat/>
    <w:uiPriority w:val="0"/>
    <w:rPr>
      <w:rFonts w:hint="default" w:ascii="Times New Roman" w:hAnsi="Times New Roman" w:cs="Times New Roman"/>
      <w:color w:val="000000"/>
      <w:sz w:val="18"/>
      <w:szCs w:val="18"/>
      <w:u w:val="none"/>
    </w:rPr>
  </w:style>
  <w:style w:type="character" w:customStyle="1" w:styleId="92">
    <w:name w:val="font81"/>
    <w:basedOn w:val="23"/>
    <w:qFormat/>
    <w:uiPriority w:val="0"/>
    <w:rPr>
      <w:rFonts w:hint="eastAsia" w:ascii="宋体" w:hAnsi="宋体" w:eastAsia="宋体" w:cs="宋体"/>
      <w:color w:val="000000"/>
      <w:sz w:val="20"/>
      <w:szCs w:val="20"/>
      <w:u w:val="none"/>
    </w:rPr>
  </w:style>
  <w:style w:type="character" w:customStyle="1" w:styleId="93">
    <w:name w:val="font91"/>
    <w:basedOn w:val="23"/>
    <w:qFormat/>
    <w:uiPriority w:val="0"/>
    <w:rPr>
      <w:rFonts w:hint="eastAsia" w:ascii="宋体" w:hAnsi="宋体" w:eastAsia="宋体" w:cs="宋体"/>
      <w:color w:val="000000"/>
      <w:sz w:val="18"/>
      <w:szCs w:val="18"/>
      <w:u w:val="none"/>
      <w:vertAlign w:val="superscript"/>
    </w:rPr>
  </w:style>
  <w:style w:type="character" w:customStyle="1" w:styleId="94">
    <w:name w:val="font101"/>
    <w:basedOn w:val="23"/>
    <w:qFormat/>
    <w:uiPriority w:val="0"/>
    <w:rPr>
      <w:rFonts w:hint="default" w:ascii="仿宋_GB2312" w:eastAsia="仿宋_GB2312" w:cs="仿宋_GB2312"/>
      <w:color w:val="000000"/>
      <w:sz w:val="18"/>
      <w:szCs w:val="18"/>
      <w:u w:val="none"/>
    </w:rPr>
  </w:style>
  <w:style w:type="character" w:customStyle="1" w:styleId="95">
    <w:name w:val="批注文字 字符"/>
    <w:basedOn w:val="23"/>
    <w:link w:val="9"/>
    <w:semiHidden/>
    <w:qFormat/>
    <w:uiPriority w:val="99"/>
  </w:style>
  <w:style w:type="paragraph" w:customStyle="1" w:styleId="96">
    <w:name w:val="无间隔1"/>
    <w:qFormat/>
    <w:uiPriority w:val="99"/>
    <w:pPr>
      <w:adjustRightInd w:val="0"/>
      <w:snapToGrid w:val="0"/>
    </w:pPr>
    <w:rPr>
      <w:rFonts w:ascii="Tahoma" w:hAnsi="Tahoma" w:eastAsia="宋体" w:cs="Times New Roman"/>
      <w:sz w:val="22"/>
      <w:szCs w:val="22"/>
      <w:lang w:val="en-US" w:eastAsia="zh-CN" w:bidi="ar-SA"/>
    </w:rPr>
  </w:style>
  <w:style w:type="character" w:customStyle="1" w:styleId="97">
    <w:name w:val="页脚 Char"/>
    <w:qFormat/>
    <w:uiPriority w:val="99"/>
    <w:rPr>
      <w:sz w:val="18"/>
      <w:szCs w:val="18"/>
    </w:rPr>
  </w:style>
  <w:style w:type="paragraph" w:customStyle="1" w:styleId="98">
    <w:name w:val="样式 (西文) 仿宋_GB2312 首行缩进:  2 字符"/>
    <w:basedOn w:val="1"/>
    <w:qFormat/>
    <w:uiPriority w:val="0"/>
    <w:pPr>
      <w:widowControl/>
      <w:spacing w:line="460" w:lineRule="exact"/>
      <w:ind w:firstLine="560" w:firstLineChars="200"/>
    </w:pPr>
    <w:rPr>
      <w:rFonts w:ascii="仿宋_GB2312" w:hAnsi="宋体" w:eastAsia="宋体" w:cs="宋体"/>
      <w:szCs w:val="21"/>
    </w:rPr>
  </w:style>
  <w:style w:type="paragraph" w:customStyle="1" w:styleId="99">
    <w:name w:val="WPSOffice手动目录 1"/>
    <w:qFormat/>
    <w:uiPriority w:val="0"/>
    <w:rPr>
      <w:rFonts w:ascii="Times New Roman" w:hAnsi="Times New Roman" w:eastAsia="宋体" w:cs="Times New Roman"/>
      <w:lang w:val="en-US" w:eastAsia="zh-CN" w:bidi="ar-SA"/>
    </w:rPr>
  </w:style>
  <w:style w:type="paragraph" w:customStyle="1" w:styleId="10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0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02">
    <w:name w:val="正文缩进 字符"/>
    <w:link w:val="6"/>
    <w:qFormat/>
    <w:uiPriority w:val="0"/>
    <w:rPr>
      <w:rFonts w:ascii="宋体" w:hAnsiTheme="minorHAnsi" w:eastAsiaTheme="minorEastAsia" w:cstheme="minorBidi"/>
      <w:kern w:val="2"/>
      <w:sz w:val="24"/>
      <w:szCs w:val="24"/>
    </w:rPr>
  </w:style>
  <w:style w:type="character" w:customStyle="1" w:styleId="103">
    <w:name w:val="标题 4 字符"/>
    <w:basedOn w:val="23"/>
    <w:link w:val="5"/>
    <w:qFormat/>
    <w:uiPriority w:val="0"/>
    <w:rPr>
      <w:rFonts w:ascii="仿宋_GB2312"/>
      <w:b/>
      <w:w w:val="98"/>
      <w:kern w:val="2"/>
      <w:sz w:val="28"/>
      <w:szCs w:val="24"/>
    </w:rPr>
  </w:style>
  <w:style w:type="character" w:customStyle="1" w:styleId="104">
    <w:name w:val="标题 1 字符"/>
    <w:basedOn w:val="23"/>
    <w:link w:val="2"/>
    <w:qFormat/>
    <w:uiPriority w:val="9"/>
    <w:rPr>
      <w:rFonts w:asciiTheme="minorHAnsi" w:hAnsiTheme="minorHAnsi" w:eastAsiaTheme="minorEastAsia" w:cstheme="minorBidi"/>
      <w:b/>
      <w:bCs/>
      <w:kern w:val="44"/>
      <w:sz w:val="44"/>
      <w:szCs w:val="44"/>
    </w:rPr>
  </w:style>
  <w:style w:type="character" w:customStyle="1" w:styleId="105">
    <w:name w:val="标题 2 字符"/>
    <w:basedOn w:val="23"/>
    <w:link w:val="3"/>
    <w:qFormat/>
    <w:uiPriority w:val="9"/>
    <w:rPr>
      <w:rFonts w:asciiTheme="majorHAnsi" w:hAnsiTheme="majorHAnsi" w:eastAsiaTheme="majorEastAsia" w:cstheme="majorBidi"/>
      <w:b/>
      <w:bCs/>
      <w:kern w:val="2"/>
      <w:sz w:val="32"/>
      <w:szCs w:val="32"/>
    </w:rPr>
  </w:style>
  <w:style w:type="paragraph" w:customStyle="1" w:styleId="10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07">
    <w:name w:val="No Spacing"/>
    <w:link w:val="108"/>
    <w:qFormat/>
    <w:uiPriority w:val="1"/>
    <w:rPr>
      <w:rFonts w:asciiTheme="minorHAnsi" w:hAnsiTheme="minorHAnsi" w:eastAsiaTheme="minorEastAsia" w:cstheme="minorBidi"/>
      <w:sz w:val="22"/>
      <w:szCs w:val="22"/>
      <w:lang w:val="en-US" w:eastAsia="zh-CN" w:bidi="ar-SA"/>
    </w:rPr>
  </w:style>
  <w:style w:type="character" w:customStyle="1" w:styleId="108">
    <w:name w:val="无间隔 字符"/>
    <w:basedOn w:val="23"/>
    <w:link w:val="107"/>
    <w:qFormat/>
    <w:uiPriority w:val="1"/>
    <w:rPr>
      <w:rFonts w:asciiTheme="minorHAnsi" w:hAnsiTheme="minorHAnsi" w:eastAsiaTheme="minorEastAsia" w:cstheme="minorBidi"/>
      <w:sz w:val="22"/>
      <w:szCs w:val="22"/>
    </w:rPr>
  </w:style>
  <w:style w:type="paragraph" w:customStyle="1" w:styleId="109">
    <w:name w:val="F正文"/>
    <w:qFormat/>
    <w:uiPriority w:val="0"/>
    <w:pPr>
      <w:widowControl w:val="0"/>
      <w:spacing w:line="360" w:lineRule="auto"/>
      <w:ind w:firstLine="200" w:firstLineChars="200"/>
      <w:jc w:val="both"/>
    </w:pPr>
    <w:rPr>
      <w:rFonts w:ascii="仿宋_GB2312" w:hAnsi="宋体" w:eastAsia="仿宋_GB2312" w:cs="Times New Roman"/>
      <w:kern w:val="2"/>
      <w:sz w:val="32"/>
      <w:szCs w:val="24"/>
      <w:lang w:val="en-US" w:eastAsia="zh-CN" w:bidi="ar-SA"/>
    </w:rPr>
  </w:style>
  <w:style w:type="character" w:customStyle="1" w:styleId="110">
    <w:name w:val="font111"/>
    <w:basedOn w:val="23"/>
    <w:qFormat/>
    <w:uiPriority w:val="0"/>
    <w:rPr>
      <w:rFonts w:hint="eastAsia" w:ascii="宋体" w:hAnsi="宋体" w:eastAsia="宋体" w:cs="宋体"/>
      <w:color w:val="000000"/>
      <w:sz w:val="18"/>
      <w:szCs w:val="18"/>
      <w:u w:val="none"/>
    </w:rPr>
  </w:style>
  <w:style w:type="paragraph" w:customStyle="1" w:styleId="111">
    <w:name w:val="样式2"/>
    <w:basedOn w:val="1"/>
    <w:qFormat/>
    <w:uiPriority w:val="0"/>
    <w:pPr>
      <w:adjustRightInd w:val="0"/>
      <w:snapToGrid w:val="0"/>
      <w:spacing w:line="360" w:lineRule="auto"/>
      <w:jc w:val="left"/>
      <w:outlineLvl w:val="1"/>
    </w:pPr>
    <w:rPr>
      <w:rFonts w:ascii="黑体" w:hAnsi="黑体" w:eastAsia="黑体" w:cs="Times New Roman"/>
      <w:kern w:val="0"/>
      <w:sz w:val="24"/>
      <w:szCs w:val="24"/>
    </w:rPr>
  </w:style>
  <w:style w:type="paragraph" w:customStyle="1" w:styleId="112">
    <w:name w:val="正文2"/>
    <w:basedOn w:val="1"/>
    <w:qFormat/>
    <w:uiPriority w:val="0"/>
    <w:pPr>
      <w:ind w:firstLine="570"/>
    </w:pPr>
    <w:rPr>
      <w:rFonts w:ascii="仿宋" w:hAnsi="仿宋" w:eastAsia="仿宋"/>
    </w:rPr>
  </w:style>
  <w:style w:type="character" w:customStyle="1" w:styleId="113">
    <w:name w:val="标题 5 字符"/>
    <w:link w:val="7"/>
    <w:qFormat/>
    <w:uiPriority w:val="9"/>
    <w:rPr>
      <w:b/>
      <w:sz w:val="28"/>
    </w:rPr>
  </w:style>
  <w:style w:type="character" w:customStyle="1" w:styleId="114">
    <w:name w:val="标题 3 字符"/>
    <w:link w:val="4"/>
    <w:qFormat/>
    <w:uiPriority w:val="0"/>
    <w:rPr>
      <w:b/>
      <w:sz w:val="32"/>
    </w:rPr>
  </w:style>
  <w:style w:type="table" w:customStyle="1" w:styleId="115">
    <w:name w:val="网格型2"/>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6">
    <w:name w:val="表名"/>
    <w:basedOn w:val="1"/>
    <w:next w:val="1"/>
    <w:qFormat/>
    <w:uiPriority w:val="99"/>
    <w:pPr>
      <w:spacing w:line="500" w:lineRule="exact"/>
      <w:jc w:val="center"/>
    </w:pPr>
    <w:rPr>
      <w:rFonts w:ascii="仿宋_GB2312" w:hAnsi="仿宋_GB2312" w:eastAsia="仿宋_GB2312" w:cs="仿宋_GB2312"/>
      <w:b/>
      <w:sz w:val="28"/>
    </w:rPr>
  </w:style>
  <w:style w:type="paragraph" w:customStyle="1" w:styleId="117">
    <w:name w:val="2级标题"/>
    <w:basedOn w:val="1"/>
    <w:qFormat/>
    <w:uiPriority w:val="0"/>
    <w:pPr>
      <w:keepNext w:val="0"/>
      <w:keepLines w:val="0"/>
      <w:widowControl w:val="0"/>
      <w:suppressLineNumbers w:val="0"/>
      <w:adjustRightInd w:val="0"/>
      <w:snapToGrid w:val="0"/>
      <w:spacing w:line="360" w:lineRule="auto"/>
      <w:ind w:left="0" w:firstLine="198" w:firstLineChars="0"/>
      <w:jc w:val="left"/>
      <w:outlineLvl w:val="1"/>
    </w:pPr>
    <w:rPr>
      <w:rFonts w:hint="eastAsia" w:ascii="宋体" w:hAnsi="Times New Roman" w:eastAsia="宋体" w:cs="宋体"/>
      <w:color w:val="0070C0"/>
      <w:kern w:val="2"/>
      <w:sz w:val="28"/>
      <w:szCs w:val="28"/>
      <w:lang w:val="en-US" w:eastAsia="zh-CN" w:bidi="ar"/>
    </w:rPr>
  </w:style>
  <w:style w:type="character" w:customStyle="1" w:styleId="118">
    <w:name w:val="font131"/>
    <w:basedOn w:val="23"/>
    <w:qFormat/>
    <w:uiPriority w:val="0"/>
    <w:rPr>
      <w:rFonts w:hint="default" w:ascii="Times New Roman" w:hAnsi="Times New Roman" w:cs="Times New Roman"/>
      <w:b/>
      <w:bCs/>
      <w:color w:val="000000"/>
      <w:sz w:val="20"/>
      <w:szCs w:val="20"/>
      <w:u w:val="none"/>
    </w:rPr>
  </w:style>
  <w:style w:type="character" w:customStyle="1" w:styleId="119">
    <w:name w:val="font121"/>
    <w:basedOn w:val="23"/>
    <w:qFormat/>
    <w:uiPriority w:val="0"/>
    <w:rPr>
      <w:rFonts w:hint="eastAsia" w:ascii="宋体" w:hAnsi="宋体" w:eastAsia="宋体" w:cs="宋体"/>
      <w:color w:val="3366FF"/>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9F06CB-98D5-4052-B5A9-5641894CD8DA}">
  <ds:schemaRefs/>
</ds:datastoreItem>
</file>

<file path=docProps/app.xml><?xml version="1.0" encoding="utf-8"?>
<Properties xmlns="http://schemas.openxmlformats.org/officeDocument/2006/extended-properties" xmlns:vt="http://schemas.openxmlformats.org/officeDocument/2006/docPropsVTypes">
  <Company>中国中铁</Company>
  <Pages>47</Pages>
  <Words>4540</Words>
  <Characters>4777</Characters>
  <Lines>1</Lines>
  <Paragraphs>1</Paragraphs>
  <TotalTime>2</TotalTime>
  <ScaleCrop>false</ScaleCrop>
  <LinksUpToDate>false</LinksUpToDate>
  <CharactersWithSpaces>5135</CharactersWithSpaces>
  <Application>WPS Office_11.8.2.12316_F1E327BC-269C-435d-A152-05C5408002CA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2022-10-21T02:19:00Z</dcterms:created>
  <dc:creator>张 顺强</dc:creator>
  <cp:lastModifiedBy>城市游客</cp:lastModifiedBy>
  <cp:lastPrinted>2024-08-13T09:49:00Z</cp:lastPrinted>
  <dcterms:modified xsi:type="dcterms:W3CDTF">2025-10-16T03:00:01Z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2052-11.8.2.12316</vt:lpwstr>
  </property>
  <property fmtid="{D5CDD505-2E9C-101B-9397-08002B2CF9AE}" pid="3" name="ICV">
    <vt:lpwstr>4EEDC3B6C09841648C6E1989C98C58D9</vt:lpwstr>
  </property>
  <property fmtid="{D5CDD505-2E9C-101B-9397-08002B2CF9AE}" pid="4" name="KSOTemplateDocerSaveRecord">
    <vt:lpwstr>eyJoZGlkIjoiOWFlNDAwYzIxODI0NjhkNTU1ZGQ1YjJiZDk4YTljMjUiLCJ1c2VySWQiOiIxNDc4MDIwNzMzIn0=</vt:lpwstr>
  </property>
</Properties>
</file>