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D436C">
      <w:pPr>
        <w:spacing w:line="360" w:lineRule="auto"/>
        <w:jc w:val="center"/>
        <w:textAlignment w:val="bottom"/>
        <w:rPr>
          <w:rStyle w:val="27"/>
          <w:rFonts w:ascii="宋体"/>
          <w:b/>
          <w:color w:val="auto"/>
          <w:kern w:val="0"/>
          <w:sz w:val="52"/>
          <w:szCs w:val="52"/>
          <w:highlight w:val="none"/>
        </w:rPr>
      </w:pPr>
    </w:p>
    <w:p w14:paraId="1A9C008C">
      <w:pPr>
        <w:spacing w:line="360" w:lineRule="auto"/>
        <w:textAlignment w:val="bottom"/>
        <w:rPr>
          <w:rStyle w:val="27"/>
          <w:rFonts w:ascii="宋体"/>
          <w:b/>
          <w:color w:val="auto"/>
          <w:kern w:val="0"/>
          <w:sz w:val="52"/>
          <w:szCs w:val="52"/>
          <w:highlight w:val="none"/>
        </w:rPr>
      </w:pPr>
    </w:p>
    <w:p w14:paraId="7430BC39">
      <w:pPr>
        <w:spacing w:line="360" w:lineRule="auto"/>
        <w:jc w:val="center"/>
        <w:textAlignment w:val="bottom"/>
        <w:rPr>
          <w:rStyle w:val="27"/>
          <w:rFonts w:ascii="宋体"/>
          <w:b/>
          <w:color w:val="auto"/>
          <w:kern w:val="0"/>
          <w:sz w:val="52"/>
          <w:szCs w:val="52"/>
          <w:highlight w:val="none"/>
        </w:rPr>
      </w:pPr>
      <w:r>
        <w:rPr>
          <w:rStyle w:val="27"/>
          <w:rFonts w:ascii="宋体"/>
          <w:b/>
          <w:color w:val="auto"/>
          <w:kern w:val="0"/>
          <w:sz w:val="52"/>
          <w:szCs w:val="52"/>
          <w:highlight w:val="none"/>
        </w:rPr>
        <w:t>政府采购电子招标文件</w:t>
      </w:r>
    </w:p>
    <w:p w14:paraId="05394D59">
      <w:pPr>
        <w:spacing w:line="360" w:lineRule="auto"/>
        <w:jc w:val="center"/>
        <w:textAlignment w:val="bottom"/>
        <w:rPr>
          <w:rStyle w:val="27"/>
          <w:rFonts w:ascii="宋体" w:hAnsi="宋体"/>
          <w:color w:val="auto"/>
          <w:sz w:val="28"/>
          <w:szCs w:val="28"/>
          <w:highlight w:val="none"/>
        </w:rPr>
      </w:pPr>
    </w:p>
    <w:p w14:paraId="585ED0CC">
      <w:pPr>
        <w:spacing w:line="360" w:lineRule="auto"/>
        <w:jc w:val="center"/>
        <w:textAlignment w:val="bottom"/>
        <w:rPr>
          <w:rStyle w:val="27"/>
          <w:rFonts w:hint="default" w:ascii="宋体" w:hAnsi="宋体" w:eastAsia="宋体"/>
          <w:color w:val="auto"/>
          <w:sz w:val="28"/>
          <w:szCs w:val="28"/>
          <w:highlight w:val="none"/>
          <w:lang w:val="en-US" w:eastAsia="zh-CN"/>
        </w:rPr>
      </w:pPr>
      <w:r>
        <w:rPr>
          <w:rStyle w:val="27"/>
          <w:rFonts w:ascii="宋体" w:hAnsi="宋体"/>
          <w:color w:val="auto"/>
          <w:sz w:val="28"/>
          <w:szCs w:val="28"/>
          <w:highlight w:val="none"/>
        </w:rPr>
        <w:t>项目编号：</w:t>
      </w:r>
      <w:bookmarkStart w:id="36" w:name="_GoBack"/>
      <w:bookmarkEnd w:id="36"/>
      <w:r>
        <w:rPr>
          <w:rStyle w:val="27"/>
          <w:rFonts w:hint="eastAsia" w:ascii="宋体" w:hAnsi="宋体"/>
          <w:color w:val="auto"/>
          <w:sz w:val="28"/>
          <w:szCs w:val="28"/>
          <w:highlight w:val="none"/>
          <w:lang w:eastAsia="zh-CN"/>
        </w:rPr>
        <w:t>DDTZ2025-1212</w:t>
      </w:r>
    </w:p>
    <w:p w14:paraId="34222481">
      <w:pPr>
        <w:tabs>
          <w:tab w:val="left" w:pos="1860"/>
        </w:tabs>
        <w:spacing w:line="360" w:lineRule="auto"/>
        <w:textAlignment w:val="bottom"/>
        <w:rPr>
          <w:rStyle w:val="27"/>
          <w:rFonts w:ascii="宋体"/>
          <w:color w:val="auto"/>
          <w:kern w:val="0"/>
          <w:sz w:val="28"/>
          <w:highlight w:val="none"/>
        </w:rPr>
      </w:pPr>
    </w:p>
    <w:p w14:paraId="4076D60E">
      <w:pPr>
        <w:spacing w:line="360" w:lineRule="auto"/>
        <w:textAlignment w:val="bottom"/>
        <w:rPr>
          <w:rStyle w:val="27"/>
          <w:rFonts w:ascii="宋体"/>
          <w:color w:val="auto"/>
          <w:kern w:val="0"/>
          <w:sz w:val="28"/>
          <w:highlight w:val="none"/>
        </w:rPr>
      </w:pPr>
    </w:p>
    <w:p w14:paraId="1E68E6C1">
      <w:pPr>
        <w:pStyle w:val="32"/>
        <w:rPr>
          <w:rStyle w:val="27"/>
          <w:rFonts w:ascii="宋体" w:hAnsi="Times New Roman" w:eastAsia="宋体"/>
          <w:color w:val="auto"/>
          <w:sz w:val="28"/>
          <w:szCs w:val="24"/>
          <w:highlight w:val="none"/>
        </w:rPr>
      </w:pPr>
    </w:p>
    <w:p w14:paraId="077AAB4E">
      <w:pPr>
        <w:pStyle w:val="32"/>
        <w:rPr>
          <w:rStyle w:val="27"/>
          <w:rFonts w:ascii="宋体" w:hAnsi="Times New Roman" w:eastAsia="宋体"/>
          <w:color w:val="auto"/>
          <w:sz w:val="28"/>
          <w:szCs w:val="24"/>
          <w:highlight w:val="none"/>
        </w:rPr>
      </w:pPr>
    </w:p>
    <w:p w14:paraId="1E72250D">
      <w:pPr>
        <w:pStyle w:val="32"/>
        <w:rPr>
          <w:rStyle w:val="27"/>
          <w:rFonts w:ascii="宋体" w:hAnsi="Times New Roman" w:eastAsia="宋体"/>
          <w:color w:val="auto"/>
          <w:sz w:val="28"/>
          <w:szCs w:val="24"/>
          <w:highlight w:val="none"/>
        </w:rPr>
      </w:pPr>
    </w:p>
    <w:p w14:paraId="7BEB55FB">
      <w:pPr>
        <w:pStyle w:val="2"/>
        <w:rPr>
          <w:rStyle w:val="27"/>
          <w:rFonts w:ascii="宋体"/>
          <w:color w:val="auto"/>
          <w:kern w:val="0"/>
          <w:sz w:val="28"/>
          <w:highlight w:val="none"/>
        </w:rPr>
      </w:pPr>
    </w:p>
    <w:p w14:paraId="214D3B34">
      <w:pPr>
        <w:pStyle w:val="22"/>
        <w:rPr>
          <w:color w:val="auto"/>
          <w:highlight w:val="none"/>
        </w:rPr>
      </w:pPr>
    </w:p>
    <w:p w14:paraId="4921CD2F">
      <w:pPr>
        <w:spacing w:line="360" w:lineRule="auto"/>
        <w:ind w:left="2238" w:leftChars="399" w:hanging="1400" w:hangingChars="500"/>
        <w:jc w:val="left"/>
        <w:rPr>
          <w:rStyle w:val="27"/>
          <w:rFonts w:hint="eastAsia" w:ascii="宋体" w:eastAsia="宋体"/>
          <w:color w:val="auto"/>
          <w:kern w:val="0"/>
          <w:sz w:val="28"/>
          <w:highlight w:val="none"/>
          <w:lang w:eastAsia="zh-CN"/>
        </w:rPr>
      </w:pPr>
      <w:r>
        <w:rPr>
          <w:rStyle w:val="27"/>
          <w:rFonts w:ascii="宋体"/>
          <w:color w:val="auto"/>
          <w:kern w:val="0"/>
          <w:sz w:val="28"/>
          <w:highlight w:val="none"/>
        </w:rPr>
        <w:t>采购项目：</w:t>
      </w:r>
      <w:r>
        <w:rPr>
          <w:rStyle w:val="27"/>
          <w:rFonts w:hint="eastAsia" w:ascii="宋体"/>
          <w:color w:val="auto"/>
          <w:kern w:val="0"/>
          <w:sz w:val="28"/>
          <w:highlight w:val="none"/>
          <w:lang w:eastAsia="zh-CN"/>
        </w:rPr>
        <w:t>路桥区海塘排涝闸2026-2028年物业化管理项目</w:t>
      </w:r>
    </w:p>
    <w:p w14:paraId="52EB9961">
      <w:pPr>
        <w:spacing w:line="360" w:lineRule="auto"/>
        <w:ind w:firstLine="840" w:firstLineChars="300"/>
        <w:rPr>
          <w:rStyle w:val="27"/>
          <w:rFonts w:hint="eastAsia" w:ascii="宋体" w:eastAsia="宋体"/>
          <w:color w:val="auto"/>
          <w:kern w:val="0"/>
          <w:sz w:val="28"/>
          <w:highlight w:val="none"/>
          <w:lang w:eastAsia="zh-CN"/>
        </w:rPr>
      </w:pPr>
      <w:r>
        <w:rPr>
          <w:rStyle w:val="27"/>
          <w:rFonts w:ascii="宋体"/>
          <w:color w:val="auto"/>
          <w:kern w:val="0"/>
          <w:sz w:val="28"/>
          <w:highlight w:val="none"/>
        </w:rPr>
        <w:t>采购</w:t>
      </w:r>
      <w:r>
        <w:rPr>
          <w:rStyle w:val="27"/>
          <w:rFonts w:hint="eastAsia" w:ascii="宋体"/>
          <w:color w:val="auto"/>
          <w:kern w:val="0"/>
          <w:sz w:val="28"/>
          <w:highlight w:val="none"/>
        </w:rPr>
        <w:t>单位</w:t>
      </w:r>
      <w:r>
        <w:rPr>
          <w:rStyle w:val="27"/>
          <w:rFonts w:ascii="宋体"/>
          <w:color w:val="auto"/>
          <w:kern w:val="0"/>
          <w:sz w:val="28"/>
          <w:highlight w:val="none"/>
        </w:rPr>
        <w:t>：</w:t>
      </w:r>
      <w:r>
        <w:rPr>
          <w:rStyle w:val="27"/>
          <w:rFonts w:hint="eastAsia" w:ascii="宋体"/>
          <w:color w:val="auto"/>
          <w:kern w:val="0"/>
          <w:sz w:val="28"/>
          <w:highlight w:val="none"/>
          <w:lang w:eastAsia="zh-CN"/>
        </w:rPr>
        <w:t>台州市路桥区农业农村和水利局</w:t>
      </w:r>
    </w:p>
    <w:p w14:paraId="076457D3">
      <w:pPr>
        <w:pStyle w:val="32"/>
        <w:rPr>
          <w:rStyle w:val="27"/>
          <w:rFonts w:ascii="宋体" w:hAnsi="宋体" w:eastAsia="宋体"/>
          <w:color w:val="auto"/>
          <w:kern w:val="2"/>
          <w:sz w:val="24"/>
          <w:szCs w:val="32"/>
          <w:highlight w:val="none"/>
        </w:rPr>
      </w:pPr>
    </w:p>
    <w:p w14:paraId="78C99FF1">
      <w:pPr>
        <w:spacing w:line="360" w:lineRule="auto"/>
        <w:ind w:firstLine="840" w:firstLineChars="300"/>
        <w:rPr>
          <w:rStyle w:val="27"/>
          <w:rFonts w:ascii="宋体" w:hAnsi="宋体"/>
          <w:color w:val="auto"/>
          <w:sz w:val="28"/>
          <w:szCs w:val="36"/>
          <w:highlight w:val="none"/>
        </w:rPr>
      </w:pPr>
      <w:r>
        <w:rPr>
          <w:rStyle w:val="27"/>
          <w:rFonts w:ascii="宋体" w:hAnsi="宋体"/>
          <w:color w:val="auto"/>
          <w:sz w:val="28"/>
          <w:szCs w:val="36"/>
          <w:highlight w:val="none"/>
        </w:rPr>
        <w:t>采购代理机构：</w:t>
      </w:r>
      <w:r>
        <w:rPr>
          <w:rStyle w:val="27"/>
          <w:rFonts w:hint="eastAsia" w:ascii="宋体" w:hAnsi="宋体"/>
          <w:color w:val="auto"/>
          <w:sz w:val="28"/>
          <w:szCs w:val="36"/>
          <w:highlight w:val="none"/>
        </w:rPr>
        <w:t>大地工程咨询有限公司</w:t>
      </w:r>
    </w:p>
    <w:p w14:paraId="349E816A">
      <w:pPr>
        <w:spacing w:line="360" w:lineRule="auto"/>
        <w:jc w:val="center"/>
        <w:rPr>
          <w:rStyle w:val="27"/>
          <w:rFonts w:ascii="宋体"/>
          <w:color w:val="auto"/>
          <w:kern w:val="0"/>
          <w:sz w:val="28"/>
          <w:highlight w:val="none"/>
        </w:rPr>
      </w:pPr>
      <w:r>
        <w:rPr>
          <w:rStyle w:val="27"/>
          <w:rFonts w:ascii="宋体"/>
          <w:color w:val="auto"/>
          <w:kern w:val="0"/>
          <w:sz w:val="28"/>
          <w:highlight w:val="none"/>
        </w:rPr>
        <w:br w:type="textWrapping"/>
      </w:r>
      <w:r>
        <w:rPr>
          <w:rStyle w:val="27"/>
          <w:rFonts w:ascii="宋体"/>
          <w:color w:val="auto"/>
          <w:kern w:val="0"/>
          <w:sz w:val="28"/>
          <w:highlight w:val="none"/>
        </w:rPr>
        <w:br w:type="textWrapping"/>
      </w:r>
      <w:r>
        <w:rPr>
          <w:rStyle w:val="27"/>
          <w:rFonts w:hint="eastAsia" w:ascii="宋体"/>
          <w:color w:val="auto"/>
          <w:kern w:val="0"/>
          <w:sz w:val="28"/>
          <w:highlight w:val="none"/>
        </w:rPr>
        <w:t>2025</w:t>
      </w:r>
      <w:r>
        <w:rPr>
          <w:rStyle w:val="27"/>
          <w:rFonts w:ascii="宋体"/>
          <w:color w:val="auto"/>
          <w:kern w:val="0"/>
          <w:sz w:val="28"/>
          <w:highlight w:val="none"/>
        </w:rPr>
        <w:t>年</w:t>
      </w:r>
      <w:r>
        <w:rPr>
          <w:rStyle w:val="27"/>
          <w:rFonts w:hint="eastAsia" w:ascii="宋体"/>
          <w:color w:val="auto"/>
          <w:kern w:val="0"/>
          <w:sz w:val="28"/>
          <w:highlight w:val="none"/>
          <w:lang w:val="en-US" w:eastAsia="zh-CN"/>
        </w:rPr>
        <w:t>12</w:t>
      </w:r>
      <w:r>
        <w:rPr>
          <w:rStyle w:val="27"/>
          <w:rFonts w:ascii="宋体"/>
          <w:color w:val="auto"/>
          <w:kern w:val="0"/>
          <w:sz w:val="28"/>
          <w:highlight w:val="none"/>
        </w:rPr>
        <w:t>月</w:t>
      </w:r>
    </w:p>
    <w:p w14:paraId="16FA2A2B">
      <w:pPr>
        <w:spacing w:line="360" w:lineRule="auto"/>
        <w:rPr>
          <w:rStyle w:val="27"/>
          <w:rFonts w:ascii="宋体" w:hAnsi="宋体"/>
          <w:color w:val="auto"/>
          <w:sz w:val="24"/>
          <w:szCs w:val="32"/>
          <w:highlight w:val="none"/>
        </w:rPr>
      </w:pPr>
    </w:p>
    <w:p w14:paraId="77B3C54A">
      <w:pPr>
        <w:spacing w:line="360" w:lineRule="auto"/>
        <w:rPr>
          <w:rStyle w:val="27"/>
          <w:rFonts w:ascii="宋体" w:hAnsi="宋体"/>
          <w:color w:val="auto"/>
          <w:sz w:val="24"/>
          <w:szCs w:val="32"/>
          <w:highlight w:val="none"/>
        </w:rPr>
      </w:pPr>
    </w:p>
    <w:p w14:paraId="77A1E602">
      <w:pPr>
        <w:spacing w:line="360" w:lineRule="auto"/>
        <w:rPr>
          <w:rStyle w:val="27"/>
          <w:rFonts w:ascii="宋体" w:hAnsi="宋体"/>
          <w:color w:val="auto"/>
          <w:sz w:val="24"/>
          <w:szCs w:val="32"/>
          <w:highlight w:val="none"/>
        </w:rPr>
      </w:pPr>
    </w:p>
    <w:p w14:paraId="61DC99A5">
      <w:pPr>
        <w:rPr>
          <w:rStyle w:val="27"/>
          <w:rFonts w:ascii="宋体" w:hAnsi="宋体" w:cs="Arial"/>
          <w:b/>
          <w:bCs/>
          <w:color w:val="auto"/>
          <w:sz w:val="36"/>
          <w:szCs w:val="36"/>
          <w:highlight w:val="none"/>
        </w:rPr>
      </w:pPr>
      <w:r>
        <w:rPr>
          <w:rStyle w:val="27"/>
          <w:rFonts w:ascii="宋体" w:hAnsi="宋体" w:cs="Arial"/>
          <w:b/>
          <w:bCs/>
          <w:color w:val="auto"/>
          <w:sz w:val="36"/>
          <w:szCs w:val="36"/>
          <w:highlight w:val="none"/>
        </w:rPr>
        <w:br w:type="page"/>
      </w:r>
    </w:p>
    <w:p w14:paraId="652B97F7">
      <w:pPr>
        <w:jc w:val="center"/>
        <w:rPr>
          <w:rStyle w:val="27"/>
          <w:rFonts w:ascii="宋体" w:hAnsi="宋体" w:cs="Arial"/>
          <w:b/>
          <w:bCs/>
          <w:color w:val="auto"/>
          <w:sz w:val="36"/>
          <w:szCs w:val="36"/>
          <w:highlight w:val="none"/>
        </w:rPr>
      </w:pPr>
      <w:r>
        <w:rPr>
          <w:rStyle w:val="27"/>
          <w:rFonts w:ascii="宋体" w:hAnsi="宋体" w:cs="Arial"/>
          <w:b/>
          <w:bCs/>
          <w:color w:val="auto"/>
          <w:sz w:val="36"/>
          <w:szCs w:val="36"/>
          <w:highlight w:val="none"/>
        </w:rPr>
        <w:t>目  录</w:t>
      </w:r>
    </w:p>
    <w:p w14:paraId="6076C707">
      <w:pPr>
        <w:spacing w:line="360" w:lineRule="auto"/>
        <w:rPr>
          <w:rStyle w:val="27"/>
          <w:rFonts w:ascii="宋体" w:hAnsi="宋体"/>
          <w:color w:val="auto"/>
          <w:sz w:val="24"/>
          <w:szCs w:val="32"/>
          <w:highlight w:val="none"/>
        </w:rPr>
      </w:pPr>
    </w:p>
    <w:p w14:paraId="14632E5C">
      <w:pPr>
        <w:spacing w:line="360" w:lineRule="auto"/>
        <w:rPr>
          <w:rStyle w:val="27"/>
          <w:rFonts w:ascii="宋体" w:hAnsi="宋体" w:cs="宋体"/>
          <w:b/>
          <w:bCs/>
          <w:color w:val="auto"/>
          <w:sz w:val="32"/>
          <w:szCs w:val="32"/>
          <w:highlight w:val="none"/>
        </w:rPr>
      </w:pPr>
      <w:r>
        <w:rPr>
          <w:rStyle w:val="27"/>
          <w:rFonts w:ascii="宋体" w:hAnsi="宋体" w:cs="宋体"/>
          <w:b/>
          <w:bCs/>
          <w:color w:val="auto"/>
          <w:sz w:val="32"/>
          <w:szCs w:val="32"/>
          <w:highlight w:val="none"/>
        </w:rPr>
        <w:t>第一章 公开招标采购公告</w:t>
      </w:r>
    </w:p>
    <w:p w14:paraId="6BC639FC">
      <w:pPr>
        <w:spacing w:line="360" w:lineRule="auto"/>
        <w:rPr>
          <w:rStyle w:val="27"/>
          <w:rFonts w:ascii="宋体" w:hAnsi="宋体" w:cs="宋体"/>
          <w:b/>
          <w:bCs/>
          <w:color w:val="auto"/>
          <w:sz w:val="32"/>
          <w:szCs w:val="32"/>
          <w:highlight w:val="none"/>
        </w:rPr>
      </w:pPr>
      <w:r>
        <w:rPr>
          <w:rStyle w:val="27"/>
          <w:rFonts w:ascii="宋体" w:hAnsi="宋体" w:cs="宋体"/>
          <w:b/>
          <w:bCs/>
          <w:color w:val="auto"/>
          <w:sz w:val="32"/>
          <w:szCs w:val="32"/>
          <w:highlight w:val="none"/>
        </w:rPr>
        <w:t>第二章 投标人须知</w:t>
      </w:r>
    </w:p>
    <w:p w14:paraId="2B029E54">
      <w:pPr>
        <w:spacing w:line="360" w:lineRule="auto"/>
        <w:rPr>
          <w:rStyle w:val="27"/>
          <w:rFonts w:ascii="宋体" w:hAnsi="宋体" w:cs="宋体"/>
          <w:b/>
          <w:bCs/>
          <w:color w:val="auto"/>
          <w:sz w:val="32"/>
          <w:szCs w:val="32"/>
          <w:highlight w:val="none"/>
        </w:rPr>
      </w:pPr>
      <w:r>
        <w:rPr>
          <w:rStyle w:val="27"/>
          <w:rFonts w:ascii="宋体" w:hAnsi="宋体" w:cs="宋体"/>
          <w:b/>
          <w:bCs/>
          <w:color w:val="auto"/>
          <w:sz w:val="32"/>
          <w:szCs w:val="32"/>
          <w:highlight w:val="none"/>
        </w:rPr>
        <w:t>第三章 评标办法及评分标准</w:t>
      </w:r>
    </w:p>
    <w:p w14:paraId="6C2D9385">
      <w:pPr>
        <w:spacing w:line="360" w:lineRule="auto"/>
        <w:rPr>
          <w:rStyle w:val="27"/>
          <w:rFonts w:ascii="宋体" w:hAnsi="宋体" w:cs="宋体"/>
          <w:b/>
          <w:bCs/>
          <w:color w:val="auto"/>
          <w:sz w:val="32"/>
          <w:szCs w:val="32"/>
          <w:highlight w:val="none"/>
        </w:rPr>
      </w:pPr>
      <w:r>
        <w:rPr>
          <w:rStyle w:val="27"/>
          <w:rFonts w:ascii="宋体" w:hAnsi="宋体" w:cs="宋体"/>
          <w:b/>
          <w:bCs/>
          <w:color w:val="auto"/>
          <w:sz w:val="32"/>
          <w:szCs w:val="32"/>
          <w:highlight w:val="none"/>
        </w:rPr>
        <w:t>第四章 公开招标需求</w:t>
      </w:r>
    </w:p>
    <w:p w14:paraId="0CE11089">
      <w:pPr>
        <w:spacing w:line="360" w:lineRule="auto"/>
        <w:rPr>
          <w:rStyle w:val="27"/>
          <w:rFonts w:ascii="宋体" w:hAnsi="宋体" w:cs="宋体"/>
          <w:b/>
          <w:bCs/>
          <w:color w:val="auto"/>
          <w:sz w:val="32"/>
          <w:szCs w:val="32"/>
          <w:highlight w:val="none"/>
        </w:rPr>
      </w:pPr>
      <w:r>
        <w:rPr>
          <w:rStyle w:val="27"/>
          <w:rFonts w:ascii="宋体" w:hAnsi="宋体" w:cs="宋体"/>
          <w:b/>
          <w:bCs/>
          <w:color w:val="auto"/>
          <w:sz w:val="32"/>
          <w:szCs w:val="32"/>
          <w:highlight w:val="none"/>
        </w:rPr>
        <w:t>第五章 政府采购合同主要条款指引</w:t>
      </w:r>
    </w:p>
    <w:p w14:paraId="6BA491EC">
      <w:pPr>
        <w:spacing w:line="360" w:lineRule="auto"/>
        <w:rPr>
          <w:rStyle w:val="27"/>
          <w:rFonts w:ascii="宋体" w:hAnsi="宋体" w:cs="宋体"/>
          <w:b/>
          <w:bCs/>
          <w:color w:val="auto"/>
          <w:sz w:val="32"/>
          <w:szCs w:val="32"/>
          <w:highlight w:val="none"/>
        </w:rPr>
      </w:pPr>
      <w:r>
        <w:rPr>
          <w:rStyle w:val="27"/>
          <w:rFonts w:ascii="宋体" w:hAnsi="宋体" w:cs="宋体"/>
          <w:b/>
          <w:bCs/>
          <w:color w:val="auto"/>
          <w:sz w:val="32"/>
          <w:szCs w:val="32"/>
          <w:highlight w:val="none"/>
        </w:rPr>
        <w:t>第六章 投标文件格式附件</w:t>
      </w:r>
    </w:p>
    <w:p w14:paraId="11F670A0">
      <w:pPr>
        <w:spacing w:line="360" w:lineRule="auto"/>
        <w:rPr>
          <w:rStyle w:val="27"/>
          <w:rFonts w:ascii="宋体" w:hAnsi="宋体"/>
          <w:color w:val="auto"/>
          <w:sz w:val="24"/>
          <w:szCs w:val="32"/>
          <w:highlight w:val="none"/>
        </w:rPr>
      </w:pPr>
    </w:p>
    <w:p w14:paraId="3141BF2D">
      <w:pPr>
        <w:spacing w:line="360" w:lineRule="auto"/>
        <w:rPr>
          <w:rStyle w:val="27"/>
          <w:rFonts w:ascii="宋体" w:hAnsi="宋体"/>
          <w:color w:val="auto"/>
          <w:sz w:val="24"/>
          <w:szCs w:val="32"/>
          <w:highlight w:val="none"/>
        </w:rPr>
      </w:pPr>
    </w:p>
    <w:p w14:paraId="5CF4FA48">
      <w:pPr>
        <w:spacing w:line="360" w:lineRule="auto"/>
        <w:rPr>
          <w:rStyle w:val="27"/>
          <w:rFonts w:ascii="宋体" w:hAnsi="宋体"/>
          <w:color w:val="auto"/>
          <w:sz w:val="24"/>
          <w:szCs w:val="32"/>
          <w:highlight w:val="none"/>
        </w:rPr>
      </w:pPr>
    </w:p>
    <w:p w14:paraId="6B84CCE2">
      <w:pPr>
        <w:spacing w:line="360" w:lineRule="auto"/>
        <w:rPr>
          <w:rStyle w:val="27"/>
          <w:rFonts w:ascii="宋体" w:hAnsi="宋体"/>
          <w:color w:val="auto"/>
          <w:sz w:val="24"/>
          <w:szCs w:val="32"/>
          <w:highlight w:val="none"/>
        </w:rPr>
      </w:pPr>
    </w:p>
    <w:p w14:paraId="40DE45AD">
      <w:pPr>
        <w:spacing w:line="360" w:lineRule="auto"/>
        <w:rPr>
          <w:rStyle w:val="27"/>
          <w:rFonts w:ascii="宋体" w:hAnsi="宋体"/>
          <w:color w:val="auto"/>
          <w:sz w:val="24"/>
          <w:szCs w:val="32"/>
          <w:highlight w:val="none"/>
        </w:rPr>
      </w:pPr>
    </w:p>
    <w:p w14:paraId="5C715D39">
      <w:pPr>
        <w:spacing w:line="360" w:lineRule="auto"/>
        <w:rPr>
          <w:rStyle w:val="27"/>
          <w:rFonts w:ascii="宋体" w:hAnsi="宋体"/>
          <w:color w:val="auto"/>
          <w:sz w:val="24"/>
          <w:szCs w:val="32"/>
          <w:highlight w:val="none"/>
        </w:rPr>
      </w:pPr>
    </w:p>
    <w:p w14:paraId="526437B7">
      <w:pPr>
        <w:spacing w:line="360" w:lineRule="auto"/>
        <w:rPr>
          <w:rStyle w:val="27"/>
          <w:rFonts w:ascii="宋体" w:hAnsi="宋体"/>
          <w:color w:val="auto"/>
          <w:sz w:val="24"/>
          <w:szCs w:val="32"/>
          <w:highlight w:val="none"/>
        </w:rPr>
      </w:pPr>
    </w:p>
    <w:p w14:paraId="3BD213E1">
      <w:pPr>
        <w:spacing w:line="360" w:lineRule="auto"/>
        <w:rPr>
          <w:rStyle w:val="27"/>
          <w:rFonts w:ascii="宋体" w:hAnsi="宋体"/>
          <w:color w:val="auto"/>
          <w:sz w:val="24"/>
          <w:szCs w:val="32"/>
          <w:highlight w:val="none"/>
        </w:rPr>
      </w:pPr>
    </w:p>
    <w:p w14:paraId="51541A2D">
      <w:pPr>
        <w:spacing w:line="360" w:lineRule="auto"/>
        <w:rPr>
          <w:rStyle w:val="27"/>
          <w:rFonts w:ascii="宋体" w:hAnsi="宋体"/>
          <w:color w:val="auto"/>
          <w:sz w:val="24"/>
          <w:szCs w:val="32"/>
          <w:highlight w:val="none"/>
        </w:rPr>
      </w:pPr>
    </w:p>
    <w:p w14:paraId="2117F469">
      <w:pPr>
        <w:spacing w:line="360" w:lineRule="auto"/>
        <w:rPr>
          <w:rStyle w:val="27"/>
          <w:rFonts w:ascii="宋体" w:hAnsi="宋体"/>
          <w:color w:val="auto"/>
          <w:sz w:val="24"/>
          <w:szCs w:val="32"/>
          <w:highlight w:val="none"/>
        </w:rPr>
      </w:pPr>
    </w:p>
    <w:p w14:paraId="3788EF83">
      <w:pPr>
        <w:spacing w:line="360" w:lineRule="auto"/>
        <w:rPr>
          <w:rStyle w:val="27"/>
          <w:rFonts w:ascii="宋体" w:hAnsi="宋体"/>
          <w:color w:val="auto"/>
          <w:sz w:val="24"/>
          <w:szCs w:val="32"/>
          <w:highlight w:val="none"/>
        </w:rPr>
      </w:pPr>
    </w:p>
    <w:p w14:paraId="66E8E11C">
      <w:pPr>
        <w:spacing w:line="360" w:lineRule="auto"/>
        <w:rPr>
          <w:rStyle w:val="27"/>
          <w:rFonts w:ascii="宋体" w:hAnsi="宋体"/>
          <w:color w:val="auto"/>
          <w:sz w:val="24"/>
          <w:szCs w:val="32"/>
          <w:highlight w:val="none"/>
        </w:rPr>
      </w:pPr>
    </w:p>
    <w:p w14:paraId="55C95055">
      <w:pPr>
        <w:spacing w:line="360" w:lineRule="auto"/>
        <w:rPr>
          <w:rStyle w:val="27"/>
          <w:rFonts w:ascii="宋体" w:hAnsi="宋体"/>
          <w:color w:val="auto"/>
          <w:sz w:val="24"/>
          <w:szCs w:val="32"/>
          <w:highlight w:val="none"/>
        </w:rPr>
      </w:pPr>
    </w:p>
    <w:p w14:paraId="10FD6EE0">
      <w:pPr>
        <w:spacing w:line="360" w:lineRule="auto"/>
        <w:rPr>
          <w:rStyle w:val="27"/>
          <w:rFonts w:ascii="宋体" w:hAnsi="宋体"/>
          <w:color w:val="auto"/>
          <w:sz w:val="24"/>
          <w:szCs w:val="32"/>
          <w:highlight w:val="none"/>
        </w:rPr>
      </w:pPr>
    </w:p>
    <w:p w14:paraId="669613A1">
      <w:pPr>
        <w:spacing w:line="360" w:lineRule="auto"/>
        <w:rPr>
          <w:rStyle w:val="27"/>
          <w:rFonts w:ascii="宋体" w:hAnsi="宋体"/>
          <w:color w:val="auto"/>
          <w:sz w:val="24"/>
          <w:szCs w:val="32"/>
          <w:highlight w:val="none"/>
        </w:rPr>
      </w:pPr>
    </w:p>
    <w:p w14:paraId="72007D42">
      <w:pPr>
        <w:spacing w:line="360" w:lineRule="auto"/>
        <w:rPr>
          <w:rStyle w:val="27"/>
          <w:rFonts w:ascii="宋体" w:hAnsi="宋体"/>
          <w:color w:val="auto"/>
          <w:sz w:val="24"/>
          <w:szCs w:val="32"/>
          <w:highlight w:val="none"/>
        </w:rPr>
      </w:pPr>
    </w:p>
    <w:p w14:paraId="2F5ECA7A">
      <w:pPr>
        <w:spacing w:line="360" w:lineRule="auto"/>
        <w:rPr>
          <w:rStyle w:val="27"/>
          <w:rFonts w:ascii="宋体" w:hAnsi="宋体"/>
          <w:color w:val="auto"/>
          <w:sz w:val="24"/>
          <w:szCs w:val="32"/>
          <w:highlight w:val="none"/>
        </w:rPr>
      </w:pPr>
    </w:p>
    <w:p w14:paraId="47E000E1">
      <w:pPr>
        <w:spacing w:line="360" w:lineRule="auto"/>
        <w:rPr>
          <w:rStyle w:val="27"/>
          <w:rFonts w:ascii="宋体" w:hAnsi="宋体"/>
          <w:color w:val="auto"/>
          <w:sz w:val="24"/>
          <w:szCs w:val="32"/>
          <w:highlight w:val="none"/>
        </w:rPr>
      </w:pPr>
    </w:p>
    <w:p w14:paraId="33E768ED">
      <w:pPr>
        <w:spacing w:line="360" w:lineRule="auto"/>
        <w:rPr>
          <w:rStyle w:val="27"/>
          <w:rFonts w:ascii="宋体" w:hAnsi="宋体"/>
          <w:color w:val="auto"/>
          <w:sz w:val="24"/>
          <w:szCs w:val="32"/>
          <w:highlight w:val="none"/>
        </w:rPr>
      </w:pPr>
    </w:p>
    <w:p w14:paraId="56F5A061">
      <w:pPr>
        <w:spacing w:line="360" w:lineRule="auto"/>
        <w:jc w:val="center"/>
        <w:rPr>
          <w:rStyle w:val="27"/>
          <w:rFonts w:ascii="宋体" w:hAnsi="宋体" w:cs="宋体"/>
          <w:b/>
          <w:bCs/>
          <w:color w:val="auto"/>
          <w:sz w:val="36"/>
          <w:szCs w:val="44"/>
          <w:highlight w:val="none"/>
        </w:rPr>
      </w:pPr>
      <w:r>
        <w:rPr>
          <w:rStyle w:val="27"/>
          <w:rFonts w:ascii="宋体" w:hAnsi="宋体" w:cs="宋体"/>
          <w:b/>
          <w:bCs/>
          <w:color w:val="auto"/>
          <w:sz w:val="36"/>
          <w:szCs w:val="44"/>
          <w:highlight w:val="none"/>
        </w:rPr>
        <w:t>第一章 公开招标采购公告</w:t>
      </w:r>
    </w:p>
    <w:p w14:paraId="3CB24295">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 xml:space="preserve">根据《中华人民共和国政府采购法》、《中华人民共和国政府采购法实施条例》和财政部令第87号《政府采购货物和服务招标投标管理办法》等有关规定, </w:t>
      </w:r>
      <w:r>
        <w:rPr>
          <w:rStyle w:val="27"/>
          <w:rFonts w:hint="eastAsia" w:ascii="宋体" w:hAnsi="宋体" w:cs="宋体"/>
          <w:b/>
          <w:bCs/>
          <w:color w:val="auto"/>
          <w:sz w:val="24"/>
          <w:szCs w:val="32"/>
          <w:highlight w:val="none"/>
        </w:rPr>
        <w:t>大地工程咨询有限公司</w:t>
      </w:r>
      <w:r>
        <w:rPr>
          <w:rStyle w:val="27"/>
          <w:rFonts w:ascii="宋体" w:hAnsi="宋体"/>
          <w:color w:val="auto"/>
          <w:sz w:val="24"/>
          <w:szCs w:val="32"/>
          <w:highlight w:val="none"/>
        </w:rPr>
        <w:t>受</w:t>
      </w:r>
      <w:r>
        <w:rPr>
          <w:rStyle w:val="27"/>
          <w:rFonts w:hint="eastAsia" w:ascii="宋体" w:hAnsi="宋体" w:cs="宋体"/>
          <w:b/>
          <w:bCs/>
          <w:color w:val="auto"/>
          <w:sz w:val="24"/>
          <w:szCs w:val="32"/>
          <w:highlight w:val="none"/>
          <w:lang w:eastAsia="zh-CN"/>
        </w:rPr>
        <w:t>台州市路桥区农业农村和水利局</w:t>
      </w:r>
      <w:r>
        <w:rPr>
          <w:rStyle w:val="27"/>
          <w:rFonts w:ascii="宋体" w:hAnsi="宋体"/>
          <w:color w:val="auto"/>
          <w:sz w:val="24"/>
          <w:szCs w:val="32"/>
          <w:highlight w:val="none"/>
        </w:rPr>
        <w:t>委托，现就其</w:t>
      </w:r>
      <w:r>
        <w:rPr>
          <w:rStyle w:val="27"/>
          <w:rFonts w:hint="eastAsia" w:ascii="宋体" w:hAnsi="宋体" w:cs="宋体"/>
          <w:b/>
          <w:bCs/>
          <w:color w:val="auto"/>
          <w:sz w:val="24"/>
          <w:szCs w:val="32"/>
          <w:highlight w:val="none"/>
          <w:lang w:eastAsia="zh-CN"/>
        </w:rPr>
        <w:t>路桥区海塘排涝闸2026-2028年物业化管理项目</w:t>
      </w:r>
      <w:r>
        <w:rPr>
          <w:rStyle w:val="27"/>
          <w:rFonts w:ascii="宋体" w:hAnsi="宋体"/>
          <w:color w:val="auto"/>
          <w:sz w:val="24"/>
          <w:szCs w:val="32"/>
          <w:highlight w:val="none"/>
        </w:rPr>
        <w:t>进行公开招标采购，欢迎合格供应商前来投标。</w:t>
      </w:r>
    </w:p>
    <w:p w14:paraId="1320212E">
      <w:pPr>
        <w:spacing w:line="360" w:lineRule="auto"/>
        <w:ind w:firstLine="482" w:firstLineChars="200"/>
        <w:rPr>
          <w:rStyle w:val="27"/>
          <w:rFonts w:hint="eastAsia" w:ascii="宋体" w:hAnsi="宋体" w:eastAsia="宋体"/>
          <w:color w:val="auto"/>
          <w:sz w:val="24"/>
          <w:szCs w:val="32"/>
          <w:highlight w:val="none"/>
          <w:lang w:eastAsia="zh-CN"/>
        </w:rPr>
      </w:pPr>
      <w:r>
        <w:rPr>
          <w:rStyle w:val="27"/>
          <w:rFonts w:ascii="宋体" w:hAnsi="宋体" w:cs="宋体"/>
          <w:b/>
          <w:bCs/>
          <w:color w:val="auto"/>
          <w:sz w:val="24"/>
          <w:szCs w:val="32"/>
          <w:highlight w:val="none"/>
        </w:rPr>
        <w:t>一、项目编号：</w:t>
      </w:r>
      <w:r>
        <w:rPr>
          <w:rStyle w:val="27"/>
          <w:rFonts w:hint="eastAsia" w:ascii="宋体" w:hAnsi="宋体"/>
          <w:color w:val="auto"/>
          <w:sz w:val="24"/>
          <w:szCs w:val="32"/>
          <w:highlight w:val="none"/>
          <w:lang w:eastAsia="zh-CN"/>
        </w:rPr>
        <w:t>DDTZ2025-1212</w:t>
      </w:r>
    </w:p>
    <w:p w14:paraId="66662F0B">
      <w:pPr>
        <w:spacing w:line="360" w:lineRule="auto"/>
        <w:ind w:firstLine="482" w:firstLineChars="200"/>
        <w:rPr>
          <w:rStyle w:val="27"/>
          <w:rFonts w:ascii="宋体" w:hAnsi="宋体" w:cs="宋体"/>
          <w:b/>
          <w:bCs/>
          <w:color w:val="auto"/>
          <w:sz w:val="24"/>
          <w:szCs w:val="32"/>
          <w:highlight w:val="none"/>
        </w:rPr>
      </w:pPr>
      <w:r>
        <w:rPr>
          <w:rStyle w:val="27"/>
          <w:rFonts w:ascii="宋体" w:hAnsi="宋体" w:cs="宋体"/>
          <w:b/>
          <w:bCs/>
          <w:color w:val="auto"/>
          <w:sz w:val="24"/>
          <w:szCs w:val="32"/>
          <w:highlight w:val="none"/>
        </w:rPr>
        <w:t>二、招标项目概况：</w:t>
      </w:r>
    </w:p>
    <w:tbl>
      <w:tblPr>
        <w:tblStyle w:val="23"/>
        <w:tblW w:w="10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2611"/>
        <w:gridCol w:w="2336"/>
        <w:gridCol w:w="2373"/>
        <w:gridCol w:w="2189"/>
      </w:tblGrid>
      <w:tr w14:paraId="461C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2AE1271C">
            <w:pPr>
              <w:jc w:val="center"/>
              <w:rPr>
                <w:rStyle w:val="27"/>
                <w:rFonts w:ascii="宋体" w:hAnsi="宋体"/>
                <w:color w:val="auto"/>
                <w:sz w:val="24"/>
                <w:highlight w:val="none"/>
              </w:rPr>
            </w:pPr>
            <w:r>
              <w:rPr>
                <w:rStyle w:val="27"/>
                <w:rFonts w:ascii="宋体" w:hAnsi="宋体"/>
                <w:color w:val="auto"/>
                <w:sz w:val="24"/>
                <w:highlight w:val="none"/>
              </w:rPr>
              <w:t>序号</w:t>
            </w:r>
          </w:p>
        </w:tc>
        <w:tc>
          <w:tcPr>
            <w:tcW w:w="2611" w:type="dxa"/>
            <w:tcBorders>
              <w:top w:val="single" w:color="000000" w:sz="4" w:space="0"/>
              <w:left w:val="single" w:color="000000" w:sz="4" w:space="0"/>
              <w:bottom w:val="single" w:color="000000" w:sz="4" w:space="0"/>
              <w:right w:val="single" w:color="000000" w:sz="4" w:space="0"/>
            </w:tcBorders>
            <w:vAlign w:val="center"/>
          </w:tcPr>
          <w:p w14:paraId="5C2AB5C0">
            <w:pPr>
              <w:jc w:val="center"/>
              <w:rPr>
                <w:rStyle w:val="27"/>
                <w:rFonts w:ascii="宋体" w:hAnsi="宋体"/>
                <w:color w:val="auto"/>
                <w:sz w:val="24"/>
                <w:highlight w:val="none"/>
              </w:rPr>
            </w:pPr>
            <w:r>
              <w:rPr>
                <w:rStyle w:val="27"/>
                <w:rFonts w:hint="eastAsia" w:ascii="宋体" w:hAnsi="宋体"/>
                <w:color w:val="auto"/>
                <w:sz w:val="24"/>
                <w:highlight w:val="none"/>
              </w:rPr>
              <w:t>项目名称</w:t>
            </w:r>
          </w:p>
        </w:tc>
        <w:tc>
          <w:tcPr>
            <w:tcW w:w="2336" w:type="dxa"/>
            <w:tcBorders>
              <w:top w:val="single" w:color="000000" w:sz="4" w:space="0"/>
              <w:left w:val="single" w:color="000000" w:sz="4" w:space="0"/>
              <w:bottom w:val="single" w:color="000000" w:sz="4" w:space="0"/>
              <w:right w:val="single" w:color="000000" w:sz="4" w:space="0"/>
            </w:tcBorders>
            <w:vAlign w:val="center"/>
          </w:tcPr>
          <w:p w14:paraId="04A2EAEE">
            <w:pPr>
              <w:jc w:val="center"/>
              <w:rPr>
                <w:rStyle w:val="27"/>
                <w:rFonts w:ascii="宋体" w:hAnsi="宋体"/>
                <w:color w:val="auto"/>
                <w:sz w:val="24"/>
                <w:highlight w:val="none"/>
              </w:rPr>
            </w:pPr>
          </w:p>
          <w:p w14:paraId="7A72A359">
            <w:pPr>
              <w:jc w:val="center"/>
              <w:rPr>
                <w:rStyle w:val="27"/>
                <w:rFonts w:ascii="宋体" w:hAnsi="宋体"/>
                <w:color w:val="auto"/>
                <w:sz w:val="24"/>
                <w:highlight w:val="none"/>
              </w:rPr>
            </w:pPr>
            <w:r>
              <w:rPr>
                <w:rStyle w:val="27"/>
                <w:rFonts w:ascii="宋体" w:hAnsi="宋体"/>
                <w:color w:val="auto"/>
                <w:sz w:val="24"/>
                <w:highlight w:val="none"/>
              </w:rPr>
              <w:t>预算金额</w:t>
            </w:r>
          </w:p>
          <w:p w14:paraId="0B0A7B58">
            <w:pPr>
              <w:jc w:val="center"/>
              <w:rPr>
                <w:rStyle w:val="27"/>
                <w:rFonts w:ascii="宋体" w:hAnsi="宋体"/>
                <w:color w:val="auto"/>
                <w:sz w:val="24"/>
                <w:highlight w:val="none"/>
              </w:rPr>
            </w:pPr>
          </w:p>
        </w:tc>
        <w:tc>
          <w:tcPr>
            <w:tcW w:w="2373" w:type="dxa"/>
            <w:tcBorders>
              <w:top w:val="single" w:color="000000" w:sz="4" w:space="0"/>
              <w:left w:val="single" w:color="000000" w:sz="4" w:space="0"/>
              <w:bottom w:val="single" w:color="000000" w:sz="4" w:space="0"/>
              <w:right w:val="single" w:color="000000" w:sz="4" w:space="0"/>
            </w:tcBorders>
            <w:vAlign w:val="center"/>
          </w:tcPr>
          <w:p w14:paraId="5D13E4BD">
            <w:pPr>
              <w:jc w:val="center"/>
              <w:rPr>
                <w:rStyle w:val="27"/>
                <w:rFonts w:ascii="宋体" w:hAnsi="宋体"/>
                <w:color w:val="auto"/>
                <w:sz w:val="24"/>
                <w:highlight w:val="none"/>
              </w:rPr>
            </w:pPr>
            <w:r>
              <w:rPr>
                <w:rStyle w:val="27"/>
                <w:rFonts w:ascii="宋体" w:hAnsi="宋体"/>
                <w:color w:val="auto"/>
                <w:sz w:val="24"/>
                <w:highlight w:val="none"/>
              </w:rPr>
              <w:t>服务期限</w:t>
            </w:r>
          </w:p>
        </w:tc>
        <w:tc>
          <w:tcPr>
            <w:tcW w:w="2189" w:type="dxa"/>
            <w:tcBorders>
              <w:top w:val="single" w:color="000000" w:sz="4" w:space="0"/>
              <w:left w:val="single" w:color="000000" w:sz="4" w:space="0"/>
              <w:bottom w:val="single" w:color="000000" w:sz="4" w:space="0"/>
              <w:right w:val="single" w:color="000000" w:sz="4" w:space="0"/>
            </w:tcBorders>
            <w:vAlign w:val="center"/>
          </w:tcPr>
          <w:p w14:paraId="0DDB711E">
            <w:pPr>
              <w:jc w:val="center"/>
              <w:rPr>
                <w:rStyle w:val="27"/>
                <w:rFonts w:ascii="宋体" w:hAnsi="宋体"/>
                <w:color w:val="auto"/>
                <w:sz w:val="24"/>
                <w:highlight w:val="none"/>
              </w:rPr>
            </w:pPr>
            <w:r>
              <w:rPr>
                <w:rStyle w:val="27"/>
                <w:rFonts w:hint="eastAsia" w:ascii="宋体" w:hAnsi="宋体"/>
                <w:color w:val="auto"/>
                <w:sz w:val="24"/>
                <w:highlight w:val="none"/>
              </w:rPr>
              <w:t>采购内容</w:t>
            </w:r>
          </w:p>
        </w:tc>
      </w:tr>
      <w:tr w14:paraId="3E7DC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0633E4C">
            <w:pPr>
              <w:jc w:val="center"/>
              <w:rPr>
                <w:rStyle w:val="27"/>
                <w:rFonts w:ascii="宋体" w:hAnsi="宋体"/>
                <w:color w:val="auto"/>
                <w:sz w:val="24"/>
                <w:highlight w:val="none"/>
              </w:rPr>
            </w:pPr>
            <w:r>
              <w:rPr>
                <w:rStyle w:val="27"/>
                <w:rFonts w:ascii="宋体" w:hAnsi="宋体"/>
                <w:color w:val="auto"/>
                <w:sz w:val="24"/>
                <w:highlight w:val="none"/>
              </w:rPr>
              <w:t>一</w:t>
            </w:r>
          </w:p>
        </w:tc>
        <w:tc>
          <w:tcPr>
            <w:tcW w:w="2611" w:type="dxa"/>
            <w:tcBorders>
              <w:top w:val="single" w:color="000000" w:sz="4" w:space="0"/>
              <w:left w:val="single" w:color="000000" w:sz="4" w:space="0"/>
              <w:bottom w:val="single" w:color="000000" w:sz="4" w:space="0"/>
              <w:right w:val="single" w:color="000000" w:sz="4" w:space="0"/>
            </w:tcBorders>
            <w:vAlign w:val="center"/>
          </w:tcPr>
          <w:p w14:paraId="1747FDD6">
            <w:pPr>
              <w:jc w:val="center"/>
              <w:rPr>
                <w:rStyle w:val="27"/>
                <w:rFonts w:hint="eastAsia" w:ascii="宋体" w:hAnsi="宋体" w:eastAsia="宋体"/>
                <w:color w:val="auto"/>
                <w:sz w:val="24"/>
                <w:highlight w:val="none"/>
                <w:lang w:eastAsia="zh-CN"/>
              </w:rPr>
            </w:pPr>
            <w:r>
              <w:rPr>
                <w:rFonts w:hint="eastAsia" w:ascii="宋体" w:hAnsi="宋体" w:cs="Times New Roman"/>
                <w:color w:val="auto"/>
                <w:sz w:val="24"/>
                <w:highlight w:val="none"/>
                <w:lang w:eastAsia="zh-CN"/>
              </w:rPr>
              <w:t>路桥区海塘排涝闸2026-2028年物业化管理项目</w:t>
            </w:r>
          </w:p>
        </w:tc>
        <w:tc>
          <w:tcPr>
            <w:tcW w:w="2336" w:type="dxa"/>
            <w:tcBorders>
              <w:top w:val="single" w:color="000000" w:sz="4" w:space="0"/>
              <w:left w:val="single" w:color="000000" w:sz="4" w:space="0"/>
              <w:bottom w:val="single" w:color="000000" w:sz="4" w:space="0"/>
              <w:right w:val="single" w:color="000000" w:sz="4" w:space="0"/>
            </w:tcBorders>
            <w:vAlign w:val="center"/>
          </w:tcPr>
          <w:p w14:paraId="6EC33527">
            <w:pPr>
              <w:jc w:val="center"/>
              <w:rPr>
                <w:rStyle w:val="27"/>
                <w:rFonts w:hint="default" w:ascii="宋体" w:hAnsi="宋体" w:eastAsia="宋体"/>
                <w:color w:val="auto"/>
                <w:sz w:val="24"/>
                <w:highlight w:val="none"/>
                <w:lang w:val="en-US" w:eastAsia="zh-CN"/>
              </w:rPr>
            </w:pPr>
            <w:r>
              <w:rPr>
                <w:rFonts w:hint="eastAsia" w:ascii="宋体" w:cs="Times New Roman"/>
                <w:color w:val="auto"/>
                <w:sz w:val="24"/>
                <w:highlight w:val="none"/>
                <w:lang w:val="en-US" w:eastAsia="zh-CN"/>
              </w:rPr>
              <w:t>46.5万元/年</w:t>
            </w:r>
            <w:r>
              <w:rPr>
                <w:rFonts w:hint="default" w:ascii="Arial" w:hAnsi="Arial" w:cs="Arial"/>
                <w:color w:val="auto"/>
                <w:sz w:val="24"/>
                <w:highlight w:val="none"/>
                <w:lang w:val="en-US" w:eastAsia="zh-CN"/>
              </w:rPr>
              <w:t>×</w:t>
            </w:r>
            <w:r>
              <w:rPr>
                <w:rFonts w:hint="eastAsia" w:ascii="宋体" w:cs="Times New Roman"/>
                <w:color w:val="auto"/>
                <w:sz w:val="24"/>
                <w:highlight w:val="none"/>
                <w:lang w:val="en-US" w:eastAsia="zh-CN"/>
              </w:rPr>
              <w:t>3=139.5万元</w:t>
            </w:r>
          </w:p>
        </w:tc>
        <w:tc>
          <w:tcPr>
            <w:tcW w:w="2373" w:type="dxa"/>
            <w:tcBorders>
              <w:top w:val="single" w:color="000000" w:sz="4" w:space="0"/>
              <w:left w:val="single" w:color="000000" w:sz="4" w:space="0"/>
              <w:bottom w:val="single" w:color="000000" w:sz="4" w:space="0"/>
              <w:right w:val="single" w:color="000000" w:sz="4" w:space="0"/>
            </w:tcBorders>
            <w:vAlign w:val="center"/>
          </w:tcPr>
          <w:p w14:paraId="70FFD7C9">
            <w:pPr>
              <w:tabs>
                <w:tab w:val="left" w:pos="180"/>
                <w:tab w:val="left" w:pos="360"/>
                <w:tab w:val="left" w:pos="540"/>
                <w:tab w:val="left" w:pos="8280"/>
              </w:tabs>
              <w:autoSpaceDE w:val="0"/>
              <w:autoSpaceDN w:val="0"/>
              <w:adjustRightInd w:val="0"/>
              <w:ind w:right="23"/>
              <w:jc w:val="center"/>
              <w:rPr>
                <w:rStyle w:val="27"/>
                <w:rFonts w:hint="default" w:ascii="宋体" w:hAnsi="宋体" w:eastAsia="宋体"/>
                <w:color w:val="auto"/>
                <w:sz w:val="24"/>
                <w:highlight w:val="none"/>
                <w:lang w:val="en-US" w:eastAsia="zh-CN"/>
              </w:rPr>
            </w:pPr>
            <w:r>
              <w:rPr>
                <w:rFonts w:hint="eastAsia" w:ascii="宋体" w:cs="Times New Roman"/>
                <w:color w:val="auto"/>
                <w:sz w:val="24"/>
                <w:highlight w:val="none"/>
                <w:lang w:val="en-US" w:eastAsia="zh-CN"/>
              </w:rPr>
              <w:t>三年（2026年-2028年），合同一年一签。</w:t>
            </w:r>
          </w:p>
        </w:tc>
        <w:tc>
          <w:tcPr>
            <w:tcW w:w="2189" w:type="dxa"/>
            <w:tcBorders>
              <w:top w:val="single" w:color="000000" w:sz="4" w:space="0"/>
              <w:left w:val="single" w:color="000000" w:sz="4" w:space="0"/>
              <w:bottom w:val="single" w:color="000000" w:sz="4" w:space="0"/>
              <w:right w:val="single" w:color="000000" w:sz="4" w:space="0"/>
            </w:tcBorders>
            <w:vAlign w:val="center"/>
          </w:tcPr>
          <w:p w14:paraId="41C65CE5">
            <w:pPr>
              <w:jc w:val="center"/>
              <w:rPr>
                <w:rStyle w:val="27"/>
                <w:rFonts w:hint="default" w:ascii="宋体" w:hAnsi="宋体" w:eastAsia="宋体"/>
                <w:color w:val="auto"/>
                <w:sz w:val="24"/>
                <w:highlight w:val="none"/>
                <w:lang w:val="en-US" w:eastAsia="zh-CN"/>
              </w:rPr>
            </w:pPr>
            <w:r>
              <w:rPr>
                <w:rFonts w:hint="eastAsia" w:ascii="宋体" w:cs="Times New Roman"/>
                <w:color w:val="auto"/>
                <w:sz w:val="24"/>
                <w:highlight w:val="none"/>
                <w:lang w:val="en-US" w:eastAsia="zh-CN"/>
              </w:rPr>
              <w:t>具体详见招标需求</w:t>
            </w:r>
          </w:p>
        </w:tc>
      </w:tr>
    </w:tbl>
    <w:p w14:paraId="36FA0C28">
      <w:pPr>
        <w:spacing w:line="360" w:lineRule="auto"/>
        <w:ind w:firstLine="482" w:firstLineChars="200"/>
        <w:rPr>
          <w:rStyle w:val="27"/>
          <w:rFonts w:ascii="宋体" w:hAnsi="宋体" w:cs="宋体"/>
          <w:b/>
          <w:bCs/>
          <w:color w:val="auto"/>
          <w:sz w:val="24"/>
          <w:szCs w:val="32"/>
          <w:highlight w:val="none"/>
        </w:rPr>
      </w:pPr>
      <w:r>
        <w:rPr>
          <w:rStyle w:val="27"/>
          <w:rFonts w:ascii="宋体" w:hAnsi="宋体" w:cs="宋体"/>
          <w:b/>
          <w:bCs/>
          <w:color w:val="auto"/>
          <w:sz w:val="24"/>
          <w:szCs w:val="32"/>
          <w:highlight w:val="none"/>
        </w:rPr>
        <w:t>三、合格投标人的资格条件：</w:t>
      </w:r>
    </w:p>
    <w:p w14:paraId="1133FE29">
      <w:pPr>
        <w:pStyle w:val="104"/>
        <w:adjustRightInd w:val="0"/>
        <w:snapToGrid w:val="0"/>
        <w:spacing w:before="0" w:line="440" w:lineRule="exact"/>
        <w:ind w:left="0" w:right="0" w:firstLine="480" w:firstLineChars="200"/>
        <w:rPr>
          <w:rFonts w:ascii="宋体" w:eastAsia="宋体"/>
          <w:color w:val="auto"/>
          <w:sz w:val="24"/>
          <w:szCs w:val="24"/>
          <w:highlight w:val="none"/>
        </w:rPr>
      </w:pPr>
      <w:r>
        <w:rPr>
          <w:rFonts w:hint="eastAsia" w:ascii="宋体" w:eastAsia="宋体"/>
          <w:color w:val="auto"/>
          <w:sz w:val="24"/>
          <w:szCs w:val="24"/>
          <w:highlight w:val="none"/>
        </w:rPr>
        <w:t>1、满足《中华人民共和国政府采购法》第二十二条规定的投标人资格条件；</w:t>
      </w:r>
    </w:p>
    <w:p w14:paraId="3364AEB5">
      <w:pPr>
        <w:pStyle w:val="105"/>
        <w:spacing w:line="440" w:lineRule="exact"/>
        <w:rPr>
          <w:color w:val="auto"/>
          <w:highlight w:val="none"/>
        </w:rPr>
      </w:pPr>
      <w:r>
        <w:rPr>
          <w:color w:val="auto"/>
          <w:highlight w:val="none"/>
        </w:rPr>
        <w:t>窗体底端</w:t>
      </w:r>
    </w:p>
    <w:p w14:paraId="56E22D6A">
      <w:pPr>
        <w:adjustRightInd w:val="0"/>
        <w:snapToGrid w:val="0"/>
        <w:spacing w:line="440" w:lineRule="exact"/>
        <w:rPr>
          <w:rFonts w:ascii="Arial" w:hAnsi="宋体" w:cs="Arial"/>
          <w:color w:val="auto"/>
          <w:sz w:val="24"/>
          <w:highlight w:val="none"/>
        </w:rPr>
      </w:pPr>
      <w:r>
        <w:rPr>
          <w:rFonts w:hint="eastAsia" w:ascii="Arial" w:hAnsi="宋体" w:cs="Arial"/>
          <w:color w:val="auto"/>
          <w:sz w:val="24"/>
          <w:highlight w:val="none"/>
        </w:rPr>
        <w:t>未被“信用中国”（www.creditchina.gov.cn)、中国政府采购网（www.ccgp.gov.cn）列入失信被执行人、重大税收违法案件当事人名单、政府采购严重违法失信行为记录名单。</w:t>
      </w:r>
    </w:p>
    <w:p w14:paraId="5C07608F">
      <w:pPr>
        <w:spacing w:line="360" w:lineRule="auto"/>
        <w:ind w:firstLine="480" w:firstLineChars="200"/>
        <w:rPr>
          <w:color w:val="auto"/>
          <w:sz w:val="24"/>
          <w:highlight w:val="none"/>
        </w:rPr>
      </w:pPr>
      <w:r>
        <w:rPr>
          <w:rFonts w:hint="eastAsia"/>
          <w:color w:val="auto"/>
          <w:sz w:val="24"/>
          <w:highlight w:val="none"/>
        </w:rPr>
        <w:t>2、</w:t>
      </w:r>
      <w:r>
        <w:rPr>
          <w:rFonts w:hint="eastAsia" w:ascii="Arial" w:hAnsi="宋体" w:cs="Arial"/>
          <w:b/>
          <w:bCs/>
          <w:color w:val="auto"/>
          <w:sz w:val="24"/>
          <w:highlight w:val="none"/>
        </w:rPr>
        <w:t>落实政府采购政策需满足的资格要求：</w:t>
      </w:r>
      <w:bookmarkStart w:id="0" w:name="OLE_LINK4"/>
      <w:r>
        <w:rPr>
          <w:rFonts w:hint="eastAsia" w:ascii="Arial" w:hAnsi="宋体" w:cs="Arial"/>
          <w:b/>
          <w:bCs/>
          <w:color w:val="auto"/>
          <w:sz w:val="24"/>
          <w:highlight w:val="none"/>
        </w:rPr>
        <w:t>本项目按照《政府采购促进中小企业发展管理办法》【财库（2020）46号】第七条规定：专门面向中小企业采购。</w:t>
      </w:r>
      <w:bookmarkEnd w:id="0"/>
    </w:p>
    <w:p w14:paraId="3CA2E82D">
      <w:pPr>
        <w:spacing w:line="360" w:lineRule="auto"/>
        <w:ind w:firstLine="480" w:firstLineChars="200"/>
        <w:rPr>
          <w:rFonts w:asciiTheme="minorEastAsia" w:hAnsiTheme="minorEastAsia" w:eastAsiaTheme="minorEastAsia" w:cstheme="minorEastAsia"/>
          <w:b/>
          <w:color w:val="auto"/>
          <w:sz w:val="24"/>
          <w:highlight w:val="none"/>
        </w:rPr>
      </w:pPr>
      <w:r>
        <w:rPr>
          <w:rFonts w:hint="eastAsia"/>
          <w:color w:val="auto"/>
          <w:sz w:val="24"/>
          <w:highlight w:val="none"/>
        </w:rPr>
        <w:t>3、</w:t>
      </w:r>
      <w:r>
        <w:rPr>
          <w:rFonts w:hint="eastAsia" w:asciiTheme="minorEastAsia" w:hAnsiTheme="minorEastAsia" w:eastAsiaTheme="minorEastAsia" w:cstheme="minorEastAsia"/>
          <w:b/>
          <w:color w:val="auto"/>
          <w:sz w:val="24"/>
          <w:highlight w:val="none"/>
        </w:rPr>
        <w:t>本项目供应商特定资格要求：无。</w:t>
      </w:r>
    </w:p>
    <w:p w14:paraId="0FAD59E7">
      <w:pPr>
        <w:adjustRightInd w:val="0"/>
        <w:snapToGrid w:val="0"/>
        <w:spacing w:line="440" w:lineRule="exact"/>
        <w:ind w:firstLine="482" w:firstLineChars="200"/>
        <w:rPr>
          <w:rFonts w:ascii="Arial" w:hAnsi="宋体" w:cs="Arial"/>
          <w:b/>
          <w:bCs/>
          <w:color w:val="auto"/>
          <w:sz w:val="24"/>
          <w:highlight w:val="none"/>
        </w:rPr>
      </w:pPr>
      <w:r>
        <w:rPr>
          <w:rFonts w:hint="eastAsia" w:ascii="Arial" w:hAnsi="宋体" w:cs="Arial"/>
          <w:b/>
          <w:bCs/>
          <w:color w:val="auto"/>
          <w:sz w:val="24"/>
          <w:highlight w:val="none"/>
        </w:rPr>
        <w:t>4、本项目不接受联合体投标。</w:t>
      </w:r>
    </w:p>
    <w:p w14:paraId="77D104B0">
      <w:pPr>
        <w:spacing w:line="360" w:lineRule="auto"/>
        <w:ind w:firstLine="482" w:firstLineChars="200"/>
        <w:rPr>
          <w:rStyle w:val="27"/>
          <w:rFonts w:ascii="宋体" w:hAnsi="宋体" w:cs="宋体"/>
          <w:b/>
          <w:bCs/>
          <w:color w:val="auto"/>
          <w:sz w:val="24"/>
          <w:szCs w:val="32"/>
          <w:highlight w:val="none"/>
        </w:rPr>
      </w:pPr>
      <w:r>
        <w:rPr>
          <w:rStyle w:val="27"/>
          <w:rFonts w:ascii="宋体" w:hAnsi="宋体" w:cs="宋体"/>
          <w:b/>
          <w:bCs/>
          <w:color w:val="auto"/>
          <w:sz w:val="24"/>
          <w:szCs w:val="32"/>
          <w:highlight w:val="none"/>
        </w:rPr>
        <w:t>四、招标文件获取的时间、方式：</w:t>
      </w:r>
    </w:p>
    <w:p w14:paraId="0D82CF1B">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1、本项目招标文件实行“政府采购云平台”在线获取，不提供招标文件纸质版。供应商获取招标文件前应先完成“政府采购云平台”的账号注册。</w:t>
      </w:r>
    </w:p>
    <w:p w14:paraId="3E1C20CB">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2、获取时间：自本公告发布之日起至响应文件递交截止时间止（以供应商完成获取采购文件申请后下载采购文件的时间为准）。</w:t>
      </w:r>
    </w:p>
    <w:p w14:paraId="7F146DC5">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3、地点：</w:t>
      </w:r>
    </w:p>
    <w:p w14:paraId="51B6C1CD">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（1）政采云平台（http：//zfcg.czt.zj.gov.cn）；</w:t>
      </w:r>
    </w:p>
    <w:p w14:paraId="296B82B0">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（2）供应商网上报名操作指南：“浙江政府采购网-办事指南-省采中心-网上报名”（http：//zfcg.czt.zj.gov.cn/bs_other/2018-03-30/12002.html）。</w:t>
      </w:r>
    </w:p>
    <w:p w14:paraId="100B3E8F">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4、方式：潜在供应商登陆政采云平台，在线申请获取招标文件（进入“项目采购”应用，在获取招标文件菜单中选择项目，申请获取招标文件，本项目招标文件不收取工本费；仅需浏览招标文件的供应商可点击“游客，浏览招标文件”直接下载招标文件浏览）。</w:t>
      </w:r>
    </w:p>
    <w:p w14:paraId="4311189C">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5、提示：招标公告附件内的招标文件（或采购需求）仅供阅览使用，供应商只有在“政府采购云平台”完成获取招标文件申请并下载了招标文件后才视作依法获取招标文件（法律法规所指的供应商获取招标文件时间以供应商完成获取招标文件申请后下载招标文件的时间为准）。</w:t>
      </w:r>
    </w:p>
    <w:p w14:paraId="09265772">
      <w:pPr>
        <w:pStyle w:val="2"/>
        <w:spacing w:line="360" w:lineRule="auto"/>
        <w:rPr>
          <w:rStyle w:val="27"/>
          <w:rFonts w:ascii="宋体" w:hAnsi="宋体"/>
          <w:color w:val="auto"/>
          <w:szCs w:val="32"/>
          <w:highlight w:val="none"/>
        </w:rPr>
      </w:pPr>
      <w:r>
        <w:rPr>
          <w:rStyle w:val="27"/>
          <w:rFonts w:hint="eastAsia" w:ascii="宋体" w:hAnsi="宋体"/>
          <w:color w:val="auto"/>
          <w:szCs w:val="32"/>
          <w:highlight w:val="none"/>
        </w:rPr>
        <w:t xml:space="preserve"> 6、未进行供应商资格报名或登记（含网上报名登记）的供应商，应视为未参加政府采购活动，一般不得提出质疑，但因供应商资格条件受到限制、报名时间设定不符合有关规定等原因使供应商不能参加报名或登记的除外。</w:t>
      </w:r>
    </w:p>
    <w:p w14:paraId="3A458C2A">
      <w:pPr>
        <w:spacing w:line="360" w:lineRule="auto"/>
        <w:ind w:firstLine="482" w:firstLineChars="200"/>
        <w:rPr>
          <w:rStyle w:val="27"/>
          <w:rFonts w:ascii="宋体" w:hAnsi="宋体" w:cs="宋体"/>
          <w:b/>
          <w:bCs/>
          <w:color w:val="auto"/>
          <w:sz w:val="24"/>
          <w:szCs w:val="32"/>
          <w:highlight w:val="none"/>
        </w:rPr>
      </w:pPr>
      <w:r>
        <w:rPr>
          <w:rStyle w:val="27"/>
          <w:rFonts w:ascii="宋体" w:hAnsi="宋体" w:cs="宋体"/>
          <w:b/>
          <w:bCs/>
          <w:color w:val="auto"/>
          <w:sz w:val="24"/>
          <w:szCs w:val="32"/>
          <w:highlight w:val="none"/>
        </w:rPr>
        <w:t>五、投标说明：</w:t>
      </w:r>
    </w:p>
    <w:p w14:paraId="1C53501D">
      <w:pPr>
        <w:spacing w:line="360" w:lineRule="auto"/>
        <w:ind w:firstLine="480" w:firstLineChars="200"/>
        <w:rPr>
          <w:rStyle w:val="27"/>
          <w:rFonts w:ascii="宋体" w:hAnsi="宋体"/>
          <w:color w:val="auto"/>
          <w:kern w:val="0"/>
          <w:sz w:val="24"/>
          <w:highlight w:val="none"/>
          <w:u w:val="single" w:color="000000"/>
        </w:rPr>
      </w:pPr>
      <w:r>
        <w:rPr>
          <w:rStyle w:val="27"/>
          <w:rFonts w:ascii="宋体" w:hAnsi="宋体"/>
          <w:color w:val="auto"/>
          <w:kern w:val="0"/>
          <w:sz w:val="24"/>
          <w:highlight w:val="none"/>
          <w:u w:val="single" w:color="000000"/>
        </w:rPr>
        <w:t>1.本项目实行电子投标，投标人应按照本项目招标文件和政采云平台的要求编制、加密并递交投标文件。投标人在使用系统进行投标的过程中遇到涉及平台使用的任何问题，可致电政采云平台技术支持热线咨询，联系方式：</w:t>
      </w:r>
      <w:r>
        <w:rPr>
          <w:rFonts w:hint="eastAsia" w:ascii="宋体" w:hAnsi="宋体" w:cs="宋体"/>
          <w:color w:val="auto"/>
          <w:kern w:val="0"/>
          <w:sz w:val="24"/>
          <w:highlight w:val="none"/>
          <w:u w:val="single"/>
          <w:lang w:val="en-US" w:eastAsia="zh-CN"/>
        </w:rPr>
        <w:t>95763</w:t>
      </w:r>
      <w:r>
        <w:rPr>
          <w:rStyle w:val="27"/>
          <w:rFonts w:ascii="宋体" w:hAnsi="宋体"/>
          <w:color w:val="auto"/>
          <w:kern w:val="0"/>
          <w:sz w:val="24"/>
          <w:highlight w:val="none"/>
          <w:u w:val="single" w:color="000000"/>
        </w:rPr>
        <w:t>。</w:t>
      </w:r>
    </w:p>
    <w:p w14:paraId="58807D7B">
      <w:pPr>
        <w:spacing w:line="360" w:lineRule="auto"/>
        <w:ind w:firstLine="480" w:firstLineChars="200"/>
        <w:rPr>
          <w:rStyle w:val="27"/>
          <w:rFonts w:ascii="宋体" w:hAnsi="宋体"/>
          <w:color w:val="auto"/>
          <w:kern w:val="0"/>
          <w:sz w:val="24"/>
          <w:highlight w:val="none"/>
          <w:u w:val="single" w:color="000000"/>
        </w:rPr>
      </w:pPr>
      <w:r>
        <w:rPr>
          <w:rStyle w:val="27"/>
          <w:rFonts w:ascii="宋体" w:hAnsi="宋体"/>
          <w:color w:val="auto"/>
          <w:kern w:val="0"/>
          <w:sz w:val="24"/>
          <w:highlight w:val="none"/>
          <w:u w:val="single" w:color="000000"/>
        </w:rPr>
        <w:t>2.投标人通过政采云平台电子投标工具制作投标文件，电子投标工具请供应商自行前往浙江政府采购网下载并安装（下载网址：http：//www.zjzfcg.gov.cn/bidClientTemplate/2019-05-27/12946.html）。</w:t>
      </w:r>
    </w:p>
    <w:p w14:paraId="55DF4033">
      <w:pPr>
        <w:spacing w:line="360" w:lineRule="auto"/>
        <w:ind w:firstLine="480" w:firstLineChars="200"/>
        <w:rPr>
          <w:rStyle w:val="27"/>
          <w:rFonts w:ascii="宋体" w:hAnsi="宋体"/>
          <w:color w:val="auto"/>
          <w:kern w:val="0"/>
          <w:sz w:val="24"/>
          <w:highlight w:val="none"/>
          <w:u w:val="single" w:color="000000"/>
        </w:rPr>
      </w:pPr>
      <w:r>
        <w:rPr>
          <w:rStyle w:val="27"/>
          <w:rFonts w:ascii="宋体" w:hAnsi="宋体"/>
          <w:color w:val="auto"/>
          <w:kern w:val="0"/>
          <w:sz w:val="24"/>
          <w:highlight w:val="none"/>
          <w:u w:val="single" w:color="000000"/>
        </w:rPr>
        <w:t>3.投标人应在开标前完成CA数字证书办理。（办理流程详见http：//www.zjzfcg.gov.cn/bidClientTemplate/2019-05-27/12945.html，完成CA数字证书办理预计一周左右，请各投标人自行把握时间）</w:t>
      </w:r>
    </w:p>
    <w:p w14:paraId="350E32B3">
      <w:pPr>
        <w:spacing w:line="360" w:lineRule="auto"/>
        <w:ind w:firstLine="480" w:firstLineChars="200"/>
        <w:rPr>
          <w:rStyle w:val="27"/>
          <w:rFonts w:ascii="宋体" w:hAnsi="宋体"/>
          <w:color w:val="auto"/>
          <w:kern w:val="0"/>
          <w:sz w:val="24"/>
          <w:highlight w:val="none"/>
          <w:u w:val="single" w:color="000000"/>
        </w:rPr>
      </w:pPr>
      <w:r>
        <w:rPr>
          <w:rStyle w:val="27"/>
          <w:rFonts w:ascii="宋体" w:hAnsi="宋体"/>
          <w:color w:val="auto"/>
          <w:kern w:val="0"/>
          <w:sz w:val="24"/>
          <w:highlight w:val="none"/>
          <w:u w:val="single" w:color="000000"/>
        </w:rPr>
        <w:t>4.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传输、递交的投标文件，将被拒收。</w:t>
      </w:r>
      <w:r>
        <w:rPr>
          <w:rStyle w:val="27"/>
          <w:rFonts w:ascii="宋体" w:hAnsi="宋体"/>
          <w:color w:val="auto"/>
          <w:kern w:val="0"/>
          <w:sz w:val="24"/>
          <w:highlight w:val="none"/>
          <w:u w:val="single" w:color="000000"/>
          <w:lang w:val="en-GB"/>
        </w:rPr>
        <w:t>在开标后规定的投标有效期内，投标人不能撤销投标文件。</w:t>
      </w:r>
    </w:p>
    <w:p w14:paraId="07184464">
      <w:pPr>
        <w:spacing w:line="360" w:lineRule="auto"/>
        <w:ind w:firstLine="480" w:firstLineChars="200"/>
        <w:rPr>
          <w:rStyle w:val="27"/>
          <w:rFonts w:ascii="宋体" w:hAnsi="宋体" w:cs="宋体"/>
          <w:bCs/>
          <w:color w:val="auto"/>
          <w:sz w:val="24"/>
          <w:highlight w:val="none"/>
        </w:rPr>
      </w:pPr>
      <w:r>
        <w:rPr>
          <w:rStyle w:val="27"/>
          <w:rFonts w:ascii="宋体" w:hAnsi="宋体" w:cs="宋体"/>
          <w:bCs/>
          <w:color w:val="auto"/>
          <w:sz w:val="24"/>
          <w:highlight w:val="none"/>
        </w:rPr>
        <w:t>5.投标文件的组成、份数、密封、效力</w:t>
      </w:r>
    </w:p>
    <w:p w14:paraId="24846A7E">
      <w:pPr>
        <w:spacing w:line="360" w:lineRule="auto"/>
        <w:ind w:firstLine="480" w:firstLineChars="200"/>
        <w:rPr>
          <w:rStyle w:val="27"/>
          <w:rFonts w:ascii="宋体" w:hAnsi="宋体"/>
          <w:color w:val="auto"/>
          <w:sz w:val="24"/>
          <w:highlight w:val="none"/>
        </w:rPr>
      </w:pPr>
      <w:r>
        <w:rPr>
          <w:rStyle w:val="27"/>
          <w:rFonts w:ascii="宋体" w:hAnsi="宋体"/>
          <w:color w:val="auto"/>
          <w:sz w:val="24"/>
          <w:highlight w:val="none"/>
        </w:rPr>
        <w:t>本项目实行电子投标，供应商应准备电子投标文件、以介质（U盘）存储的数据电文形式、纸质备份投标文件三类：</w:t>
      </w:r>
    </w:p>
    <w:p w14:paraId="57E12ADF">
      <w:pPr>
        <w:spacing w:line="360" w:lineRule="auto"/>
        <w:ind w:firstLine="480" w:firstLineChars="200"/>
        <w:rPr>
          <w:rStyle w:val="27"/>
          <w:rFonts w:ascii="宋体" w:hAnsi="宋体"/>
          <w:color w:val="auto"/>
          <w:sz w:val="24"/>
          <w:highlight w:val="none"/>
        </w:rPr>
      </w:pPr>
      <w:r>
        <w:rPr>
          <w:rStyle w:val="27"/>
          <w:rFonts w:ascii="宋体" w:hAnsi="宋体"/>
          <w:color w:val="auto"/>
          <w:sz w:val="24"/>
          <w:highlight w:val="none"/>
        </w:rPr>
        <w:t>5.1电子投标文件，按政采云平台项目采购--电子招投标操作指南及本招标文件要求编制。</w:t>
      </w:r>
    </w:p>
    <w:p w14:paraId="7219AA6A">
      <w:pPr>
        <w:spacing w:line="360" w:lineRule="auto"/>
        <w:ind w:firstLine="480" w:firstLineChars="200"/>
        <w:rPr>
          <w:rStyle w:val="27"/>
          <w:rFonts w:ascii="宋体" w:hAnsi="宋体"/>
          <w:color w:val="auto"/>
          <w:sz w:val="24"/>
          <w:highlight w:val="none"/>
        </w:rPr>
      </w:pPr>
      <w:r>
        <w:rPr>
          <w:rStyle w:val="27"/>
          <w:rFonts w:ascii="宋体" w:hAnsi="宋体"/>
          <w:color w:val="auto"/>
          <w:sz w:val="24"/>
          <w:highlight w:val="none"/>
        </w:rPr>
        <w:t>5.2纸质备份投标文件以纸质文件的形式编制，按资格证明文件、商务技术文件、报价文件三部分分别编制并单独装订成册，</w:t>
      </w:r>
      <w:r>
        <w:rPr>
          <w:rStyle w:val="27"/>
          <w:rFonts w:ascii="宋体" w:hAnsi="宋体" w:cs="宋体"/>
          <w:b/>
          <w:bCs/>
          <w:color w:val="auto"/>
          <w:sz w:val="24"/>
          <w:highlight w:val="none"/>
        </w:rPr>
        <w:t>数量均为2份（一正一副）</w:t>
      </w:r>
      <w:r>
        <w:rPr>
          <w:rStyle w:val="27"/>
          <w:rFonts w:ascii="宋体" w:hAnsi="宋体"/>
          <w:color w:val="auto"/>
          <w:sz w:val="24"/>
          <w:highlight w:val="none"/>
        </w:rPr>
        <w:t>。资格证明文件、商务技术文件、报价文件三部分须分别密封封装，</w:t>
      </w:r>
      <w:r>
        <w:rPr>
          <w:rStyle w:val="27"/>
          <w:rFonts w:ascii="宋体" w:hAnsi="宋体"/>
          <w:color w:val="auto"/>
          <w:sz w:val="24"/>
          <w:highlight w:val="none"/>
          <w:u w:val="single" w:color="000000"/>
        </w:rPr>
        <w:t>资格证明文件、商务技术文件、报价文件三部分未分别密封的投标文件将为无效。</w:t>
      </w:r>
    </w:p>
    <w:p w14:paraId="023DE84F">
      <w:pPr>
        <w:spacing w:line="360" w:lineRule="auto"/>
        <w:ind w:firstLine="480" w:firstLineChars="200"/>
        <w:rPr>
          <w:rStyle w:val="27"/>
          <w:rFonts w:ascii="宋体" w:hAnsi="宋体"/>
          <w:color w:val="auto"/>
          <w:sz w:val="24"/>
          <w:highlight w:val="none"/>
          <w:u w:val="single" w:color="000000"/>
        </w:rPr>
      </w:pPr>
      <w:r>
        <w:rPr>
          <w:rStyle w:val="27"/>
          <w:rFonts w:ascii="宋体" w:hAnsi="宋体"/>
          <w:color w:val="auto"/>
          <w:sz w:val="24"/>
          <w:highlight w:val="none"/>
        </w:rPr>
        <w:t>5.3</w:t>
      </w:r>
      <w:r>
        <w:rPr>
          <w:rStyle w:val="27"/>
          <w:rFonts w:ascii="宋体" w:hAnsi="宋体"/>
          <w:color w:val="auto"/>
          <w:sz w:val="24"/>
          <w:highlight w:val="none"/>
          <w:u w:val="single" w:color="000000"/>
        </w:rPr>
        <w:t>投标供应商在“政府采购云平台”完成“电子加密投标文件”的上传递交后，还可以在投标截止时间前递交以介质（U盘）存储的数据电文形式和纸质形式的“备份投标文件”，“备份投标文件”应当密封包装并在包装上标注投标项目名称、投标单位名称并加盖公章。以介质（U盘）存储的数据电文形式和纸质形式的“备份投标文件”需分别密封，可采用以下</w:t>
      </w:r>
      <w:r>
        <w:rPr>
          <w:rStyle w:val="27"/>
          <w:rFonts w:ascii="宋体" w:hAnsi="宋体" w:cs="宋体"/>
          <w:b/>
          <w:bCs/>
          <w:color w:val="auto"/>
          <w:sz w:val="24"/>
          <w:highlight w:val="none"/>
          <w:u w:val="single" w:color="000000"/>
        </w:rPr>
        <w:t>两种方式其中一种</w:t>
      </w:r>
      <w:r>
        <w:rPr>
          <w:rStyle w:val="27"/>
          <w:rFonts w:ascii="宋体" w:hAnsi="宋体"/>
          <w:color w:val="auto"/>
          <w:sz w:val="24"/>
          <w:highlight w:val="none"/>
          <w:u w:val="single" w:color="000000"/>
        </w:rPr>
        <w:t>送达（逾期送达或未密封将被拒收）：</w:t>
      </w:r>
    </w:p>
    <w:p w14:paraId="78A86DF2">
      <w:pPr>
        <w:spacing w:line="360" w:lineRule="auto"/>
        <w:ind w:firstLine="480" w:firstLineChars="200"/>
        <w:rPr>
          <w:rStyle w:val="27"/>
          <w:rFonts w:ascii="宋体" w:hAnsi="宋体"/>
          <w:color w:val="auto"/>
          <w:sz w:val="24"/>
          <w:highlight w:val="none"/>
        </w:rPr>
      </w:pPr>
      <w:r>
        <w:rPr>
          <w:rStyle w:val="27"/>
          <w:rFonts w:ascii="宋体" w:hAnsi="宋体"/>
          <w:color w:val="auto"/>
          <w:sz w:val="24"/>
          <w:highlight w:val="none"/>
        </w:rPr>
        <w:t>①在投标截止时间前送交到开标地点；</w:t>
      </w:r>
    </w:p>
    <w:p w14:paraId="19A35177">
      <w:pPr>
        <w:spacing w:line="360" w:lineRule="auto"/>
        <w:ind w:firstLine="480" w:firstLineChars="200"/>
        <w:rPr>
          <w:rStyle w:val="27"/>
          <w:rFonts w:ascii="宋体" w:hAnsi="宋体"/>
          <w:color w:val="auto"/>
          <w:sz w:val="24"/>
          <w:highlight w:val="none"/>
        </w:rPr>
      </w:pPr>
      <w:r>
        <w:rPr>
          <w:rStyle w:val="27"/>
          <w:rFonts w:ascii="宋体" w:hAnsi="宋体"/>
          <w:color w:val="auto"/>
          <w:sz w:val="24"/>
          <w:highlight w:val="none"/>
        </w:rPr>
        <w:t>②采用邮寄方式，邮寄公司统一采用顺丰（包裹外包装上请注明单位、项目名称、联系电话等信息，以便代理机构作接收登记工作），邮寄接收截止时间为投标截止时间前一个工作日下午16：00整（邮寄地址：</w:t>
      </w:r>
      <w:r>
        <w:rPr>
          <w:rStyle w:val="27"/>
          <w:rFonts w:hint="eastAsia" w:ascii="宋体" w:hAnsi="宋体"/>
          <w:color w:val="auto"/>
          <w:sz w:val="24"/>
          <w:highlight w:val="none"/>
        </w:rPr>
        <w:t>大地工程咨询有限公司</w:t>
      </w:r>
      <w:r>
        <w:rPr>
          <w:rStyle w:val="27"/>
          <w:rFonts w:ascii="宋体" w:hAnsi="宋体"/>
          <w:color w:val="auto"/>
          <w:sz w:val="24"/>
          <w:highlight w:val="none"/>
        </w:rPr>
        <w:t>（</w:t>
      </w:r>
      <w:r>
        <w:rPr>
          <w:rFonts w:hint="eastAsia" w:ascii="宋体" w:hAnsi="宋体" w:cs="宋体"/>
          <w:color w:val="auto"/>
          <w:sz w:val="24"/>
          <w:highlight w:val="none"/>
        </w:rPr>
        <w:t>路桥区汇鑫商务广场1207室，联系人：金先生，电话：0576-82905007/13867603337</w:t>
      </w:r>
      <w:r>
        <w:rPr>
          <w:rStyle w:val="27"/>
          <w:rFonts w:ascii="宋体" w:hAnsi="宋体"/>
          <w:color w:val="auto"/>
          <w:sz w:val="24"/>
          <w:highlight w:val="none"/>
        </w:rPr>
        <w:t>））。</w:t>
      </w:r>
    </w:p>
    <w:p w14:paraId="5455240F">
      <w:pPr>
        <w:spacing w:line="360" w:lineRule="auto"/>
        <w:ind w:firstLine="480" w:firstLineChars="200"/>
        <w:rPr>
          <w:rStyle w:val="27"/>
          <w:rFonts w:ascii="宋体" w:hAnsi="宋体"/>
          <w:color w:val="auto"/>
          <w:sz w:val="24"/>
          <w:highlight w:val="none"/>
        </w:rPr>
      </w:pPr>
      <w:r>
        <w:rPr>
          <w:rStyle w:val="27"/>
          <w:rFonts w:ascii="宋体" w:hAnsi="宋体"/>
          <w:color w:val="auto"/>
          <w:sz w:val="24"/>
          <w:highlight w:val="none"/>
        </w:rPr>
        <w:t>5.4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w:t>
      </w:r>
    </w:p>
    <w:p w14:paraId="05CE2FB9">
      <w:pPr>
        <w:spacing w:line="360" w:lineRule="auto"/>
        <w:ind w:firstLine="480" w:firstLineChars="200"/>
        <w:rPr>
          <w:rStyle w:val="27"/>
          <w:rFonts w:ascii="宋体" w:hAnsi="宋体"/>
          <w:color w:val="auto"/>
          <w:sz w:val="24"/>
          <w:highlight w:val="none"/>
          <w:u w:val="single" w:color="000000"/>
        </w:rPr>
      </w:pPr>
      <w:r>
        <w:rPr>
          <w:rStyle w:val="27"/>
          <w:rFonts w:ascii="宋体" w:hAnsi="宋体"/>
          <w:color w:val="auto"/>
          <w:sz w:val="24"/>
          <w:highlight w:val="none"/>
          <w:u w:val="single" w:color="000000"/>
        </w:rPr>
        <w:t>5.5投标文件启用顺序和效力：投标文件的启用，按先后顺位分别为电子投标文件、以介质（U盘）存储的数据电文形式的备份投标文件和纸质备份投标文件。全部投标人的电子投标文件均已按时解密的，备份投标文件自动失效，全部投标人的电子投标文件均无法按时解密的，启用纸质备份投标文件进行线下开评标。如果某位投标人的电子投标文件无法按时解密的，其投标文件为无效标，不启用纸质备份投标文件。</w:t>
      </w:r>
    </w:p>
    <w:p w14:paraId="0E901E63">
      <w:pPr>
        <w:spacing w:line="360" w:lineRule="auto"/>
        <w:ind w:firstLine="480" w:firstLineChars="200"/>
        <w:rPr>
          <w:rStyle w:val="27"/>
          <w:rFonts w:ascii="宋体" w:hAnsi="宋体"/>
          <w:color w:val="auto"/>
          <w:sz w:val="24"/>
          <w:highlight w:val="none"/>
          <w:u w:val="single" w:color="000000"/>
        </w:rPr>
      </w:pPr>
      <w:r>
        <w:rPr>
          <w:rStyle w:val="27"/>
          <w:rFonts w:ascii="宋体" w:hAnsi="宋体"/>
          <w:color w:val="auto"/>
          <w:sz w:val="24"/>
          <w:highlight w:val="none"/>
          <w:u w:val="single" w:color="000000"/>
        </w:rPr>
        <w:t>5.6▲未传输递交电子投标文件的，投标无效。未按规定提供相应的备份投标文件，造成项目开评标活动无法进行下去的，投标无效。</w:t>
      </w:r>
    </w:p>
    <w:p w14:paraId="239632FC">
      <w:pPr>
        <w:spacing w:line="360" w:lineRule="auto"/>
        <w:ind w:firstLine="482" w:firstLineChars="200"/>
        <w:rPr>
          <w:rStyle w:val="27"/>
          <w:rFonts w:ascii="宋体"/>
          <w:color w:val="auto"/>
          <w:sz w:val="24"/>
          <w:highlight w:val="none"/>
        </w:rPr>
      </w:pPr>
      <w:r>
        <w:rPr>
          <w:rStyle w:val="27"/>
          <w:rFonts w:ascii="宋体" w:hAnsi="宋体" w:cs="宋体"/>
          <w:b/>
          <w:bCs/>
          <w:color w:val="auto"/>
          <w:sz w:val="24"/>
          <w:highlight w:val="none"/>
        </w:rPr>
        <w:t>六、投标截止时间及开标时间：</w:t>
      </w:r>
      <w:r>
        <w:rPr>
          <w:rStyle w:val="27"/>
          <w:rFonts w:hint="eastAsia" w:ascii="宋体" w:hAnsi="宋体" w:cs="宋体"/>
          <w:color w:val="auto"/>
          <w:sz w:val="24"/>
          <w:highlight w:val="none"/>
        </w:rPr>
        <w:t>详见网上公告</w:t>
      </w:r>
    </w:p>
    <w:p w14:paraId="2CB96DD7">
      <w:pPr>
        <w:spacing w:line="360" w:lineRule="auto"/>
        <w:ind w:firstLine="482" w:firstLineChars="200"/>
        <w:rPr>
          <w:rStyle w:val="27"/>
          <w:rFonts w:ascii="宋体"/>
          <w:color w:val="auto"/>
          <w:sz w:val="24"/>
          <w:highlight w:val="none"/>
        </w:rPr>
      </w:pPr>
      <w:r>
        <w:rPr>
          <w:rStyle w:val="27"/>
          <w:rFonts w:ascii="宋体" w:hAnsi="宋体" w:cs="宋体"/>
          <w:b/>
          <w:bCs/>
          <w:color w:val="auto"/>
          <w:sz w:val="24"/>
          <w:highlight w:val="none"/>
        </w:rPr>
        <w:t>七、投标及开标地址：</w:t>
      </w:r>
      <w:r>
        <w:rPr>
          <w:rStyle w:val="27"/>
          <w:rFonts w:ascii="宋体" w:hAnsi="宋体"/>
          <w:color w:val="auto"/>
          <w:sz w:val="24"/>
          <w:highlight w:val="none"/>
        </w:rPr>
        <w:t>台州市路桥区财富大道999号区政府商城办公区（商城国际）五楼政府采购中心开标室。</w:t>
      </w:r>
    </w:p>
    <w:p w14:paraId="331D6A93">
      <w:pPr>
        <w:spacing w:line="360" w:lineRule="auto"/>
        <w:ind w:firstLine="482" w:firstLineChars="200"/>
        <w:rPr>
          <w:rStyle w:val="27"/>
          <w:rFonts w:ascii="宋体" w:cs="Times New Roman"/>
          <w:b/>
          <w:bCs/>
          <w:color w:val="auto"/>
          <w:sz w:val="24"/>
          <w:highlight w:val="none"/>
        </w:rPr>
      </w:pPr>
      <w:r>
        <w:rPr>
          <w:rStyle w:val="27"/>
          <w:rFonts w:ascii="宋体" w:hAnsi="宋体" w:cs="宋体"/>
          <w:b/>
          <w:bCs/>
          <w:color w:val="auto"/>
          <w:sz w:val="24"/>
          <w:highlight w:val="none"/>
        </w:rPr>
        <w:t>八、相关注意事项：</w:t>
      </w:r>
    </w:p>
    <w:p w14:paraId="73BFA28C">
      <w:pPr>
        <w:spacing w:line="360" w:lineRule="auto"/>
        <w:ind w:firstLine="480" w:firstLineChars="200"/>
        <w:rPr>
          <w:rStyle w:val="27"/>
          <w:rFonts w:ascii="宋体"/>
          <w:color w:val="auto"/>
          <w:sz w:val="24"/>
          <w:highlight w:val="none"/>
        </w:rPr>
      </w:pPr>
      <w:r>
        <w:rPr>
          <w:rStyle w:val="27"/>
          <w:rFonts w:ascii="宋体" w:hAnsi="宋体"/>
          <w:color w:val="auto"/>
          <w:sz w:val="24"/>
          <w:highlight w:val="none"/>
        </w:rPr>
        <w:t>供应商如对采购文件有异议应按规定的时间提出，且应当在采购响应截止时间之前，逾期提出的，采购组织机构不予受理、答复。</w:t>
      </w:r>
    </w:p>
    <w:p w14:paraId="3A32C57D">
      <w:pPr>
        <w:spacing w:line="360" w:lineRule="auto"/>
        <w:ind w:firstLine="480" w:firstLineChars="200"/>
        <w:rPr>
          <w:rStyle w:val="27"/>
          <w:rFonts w:ascii="宋体" w:hAnsi="宋体" w:cs="Times New Roman"/>
          <w:color w:val="auto"/>
          <w:sz w:val="24"/>
          <w:highlight w:val="none"/>
        </w:rPr>
      </w:pPr>
      <w:r>
        <w:rPr>
          <w:rStyle w:val="27"/>
          <w:rFonts w:ascii="宋体" w:hAnsi="宋体"/>
          <w:color w:val="auto"/>
          <w:sz w:val="24"/>
          <w:highlight w:val="none"/>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Style w:val="27"/>
          <w:rFonts w:hint="eastAsia" w:ascii="宋体" w:hAnsi="宋体" w:cs="Times New Roman"/>
          <w:color w:val="auto"/>
          <w:sz w:val="24"/>
          <w:highlight w:val="none"/>
        </w:rPr>
        <w:t>未进行供应商资格报名或登记（含网上报名登记）的供应商，应视为未参加政府采购活动，一般不得提出质疑，但因供应商资格条件受到限制、报名时间设定不符合有关规定等原因使供应商不能参加报名或登记的除外。</w:t>
      </w:r>
    </w:p>
    <w:p w14:paraId="0DB0BE20">
      <w:pPr>
        <w:spacing w:line="360" w:lineRule="auto"/>
        <w:ind w:firstLine="480" w:firstLineChars="200"/>
        <w:rPr>
          <w:rStyle w:val="27"/>
          <w:rFonts w:ascii="宋体"/>
          <w:color w:val="auto"/>
          <w:sz w:val="24"/>
          <w:highlight w:val="none"/>
        </w:rPr>
      </w:pPr>
      <w:r>
        <w:rPr>
          <w:rStyle w:val="27"/>
          <w:rFonts w:ascii="宋体" w:hAnsi="宋体"/>
          <w:color w:val="auto"/>
          <w:sz w:val="24"/>
          <w:highlight w:val="none"/>
        </w:rPr>
        <w:t>2.根据财库[2016]125号《关于在政府采购活动中查询及使用信用记录有关问题的通知》要求，采购代理机构会对供应商信用记录进行查询并甄别。</w:t>
      </w:r>
    </w:p>
    <w:p w14:paraId="2F5C43B6">
      <w:pPr>
        <w:spacing w:line="360" w:lineRule="auto"/>
        <w:ind w:firstLine="480" w:firstLineChars="200"/>
        <w:rPr>
          <w:rStyle w:val="27"/>
          <w:rFonts w:ascii="宋体"/>
          <w:color w:val="auto"/>
          <w:sz w:val="24"/>
          <w:highlight w:val="none"/>
        </w:rPr>
      </w:pPr>
      <w:r>
        <w:rPr>
          <w:rStyle w:val="27"/>
          <w:rFonts w:ascii="宋体" w:hAnsi="宋体"/>
          <w:color w:val="auto"/>
          <w:sz w:val="24"/>
          <w:highlight w:val="none"/>
        </w:rPr>
        <w:t>1）信用信息查询的截止时点：开标后评标前；</w:t>
      </w:r>
    </w:p>
    <w:p w14:paraId="6D33D5A2">
      <w:pPr>
        <w:spacing w:line="360" w:lineRule="auto"/>
        <w:ind w:firstLine="480" w:firstLineChars="200"/>
        <w:rPr>
          <w:rStyle w:val="27"/>
          <w:rFonts w:ascii="宋体"/>
          <w:color w:val="auto"/>
          <w:sz w:val="24"/>
          <w:highlight w:val="none"/>
        </w:rPr>
      </w:pPr>
      <w:r>
        <w:rPr>
          <w:rStyle w:val="27"/>
          <w:rFonts w:ascii="宋体" w:hAnsi="宋体"/>
          <w:color w:val="auto"/>
          <w:sz w:val="24"/>
          <w:highlight w:val="none"/>
        </w:rPr>
        <w:t>2）查询渠道：“信用中国”（www.creditchina.gov.cn）、“中国政府采购网”（www.ccgp.gov.cn）、“浙江政府采购网（www.zjzfcg.gov.cn）；</w:t>
      </w:r>
    </w:p>
    <w:p w14:paraId="44FDDCF2">
      <w:pPr>
        <w:spacing w:line="360" w:lineRule="auto"/>
        <w:ind w:firstLine="480" w:firstLineChars="200"/>
        <w:rPr>
          <w:rStyle w:val="27"/>
          <w:rFonts w:ascii="宋体"/>
          <w:color w:val="auto"/>
          <w:sz w:val="24"/>
          <w:highlight w:val="none"/>
        </w:rPr>
      </w:pPr>
      <w:r>
        <w:rPr>
          <w:rStyle w:val="27"/>
          <w:rFonts w:ascii="宋体" w:hAnsi="宋体"/>
          <w:color w:val="auto"/>
          <w:sz w:val="24"/>
          <w:highlight w:val="none"/>
        </w:rPr>
        <w:t>3）信用信息查询记录和证据留存具体方式：采购代理机构经办人将查询网页打印与其他项目相关文件一并保存；</w:t>
      </w:r>
    </w:p>
    <w:p w14:paraId="50565A05">
      <w:pPr>
        <w:spacing w:line="360" w:lineRule="auto"/>
        <w:ind w:firstLine="480" w:firstLineChars="200"/>
        <w:rPr>
          <w:rStyle w:val="27"/>
          <w:rFonts w:ascii="宋体"/>
          <w:color w:val="auto"/>
          <w:sz w:val="24"/>
          <w:highlight w:val="none"/>
        </w:rPr>
      </w:pPr>
      <w:r>
        <w:rPr>
          <w:rStyle w:val="27"/>
          <w:rFonts w:ascii="宋体" w:hAnsi="宋体"/>
          <w:color w:val="auto"/>
          <w:sz w:val="24"/>
          <w:highlight w:val="none"/>
        </w:rPr>
        <w:t>4）信用信息的使用规则：供应商存在不良信用记录的，其投标将被作为无效投标被拒绝。</w:t>
      </w:r>
    </w:p>
    <w:p w14:paraId="3BE4AAB6">
      <w:pPr>
        <w:spacing w:line="360" w:lineRule="auto"/>
        <w:ind w:firstLine="480" w:firstLineChars="200"/>
        <w:rPr>
          <w:rStyle w:val="27"/>
          <w:rFonts w:ascii="宋体"/>
          <w:color w:val="auto"/>
          <w:sz w:val="24"/>
          <w:highlight w:val="none"/>
        </w:rPr>
      </w:pPr>
      <w:r>
        <w:rPr>
          <w:rStyle w:val="27"/>
          <w:rFonts w:ascii="宋体" w:hAnsi="宋体"/>
          <w:color w:val="auto"/>
          <w:sz w:val="24"/>
          <w:highlight w:val="none"/>
        </w:rPr>
        <w:t>3.不良信用记录指：被列入失信被执行人、重大税收违法案件当事人名单、政府采购严重违法失信行为记录名单或浙江政府采购网曝光台中尚在行政处罚期内的。</w:t>
      </w:r>
    </w:p>
    <w:p w14:paraId="11A6061C">
      <w:pPr>
        <w:spacing w:line="360" w:lineRule="auto"/>
        <w:ind w:firstLine="482" w:firstLineChars="200"/>
        <w:rPr>
          <w:rStyle w:val="27"/>
          <w:rFonts w:ascii="宋体" w:cs="Times New Roman"/>
          <w:b/>
          <w:bCs/>
          <w:color w:val="auto"/>
          <w:sz w:val="24"/>
          <w:highlight w:val="none"/>
        </w:rPr>
      </w:pPr>
      <w:r>
        <w:rPr>
          <w:rStyle w:val="27"/>
          <w:rFonts w:ascii="宋体" w:hAnsi="宋体" w:cs="宋体"/>
          <w:b/>
          <w:bCs/>
          <w:color w:val="auto"/>
          <w:sz w:val="24"/>
          <w:highlight w:val="none"/>
        </w:rPr>
        <w:t>4.开标时间后30分钟内，供应商须登录“政采云”平台，用“项目采购</w:t>
      </w:r>
      <w:r>
        <w:rPr>
          <w:rStyle w:val="27"/>
          <w:rFonts w:ascii="宋体" w:cs="宋体"/>
          <w:b/>
          <w:bCs/>
          <w:color w:val="auto"/>
          <w:sz w:val="24"/>
          <w:highlight w:val="none"/>
        </w:rPr>
        <w:t>-</w:t>
      </w:r>
      <w:r>
        <w:rPr>
          <w:rStyle w:val="27"/>
          <w:rFonts w:ascii="宋体" w:hAnsi="宋体" w:cs="宋体"/>
          <w:b/>
          <w:bCs/>
          <w:color w:val="auto"/>
          <w:sz w:val="24"/>
          <w:highlight w:val="none"/>
        </w:rPr>
        <w:t>开标评标”功能解密响应文件，供应商未按时解密或解密失败的，其上传的电子响应文件自动失效。电脑及CA解密设备自备。</w:t>
      </w:r>
    </w:p>
    <w:p w14:paraId="6EBC504A">
      <w:pPr>
        <w:spacing w:line="360" w:lineRule="auto"/>
        <w:ind w:firstLine="482" w:firstLineChars="200"/>
        <w:rPr>
          <w:rStyle w:val="27"/>
          <w:rFonts w:ascii="宋体" w:hAnsi="宋体" w:cs="宋体"/>
          <w:b/>
          <w:bCs/>
          <w:color w:val="auto"/>
          <w:sz w:val="24"/>
          <w:highlight w:val="none"/>
        </w:rPr>
      </w:pPr>
      <w:r>
        <w:rPr>
          <w:rStyle w:val="27"/>
          <w:rFonts w:ascii="宋体" w:hAnsi="宋体" w:cs="宋体"/>
          <w:b/>
          <w:bCs/>
          <w:color w:val="auto"/>
          <w:sz w:val="24"/>
          <w:highlight w:val="none"/>
        </w:rPr>
        <w:t>九、联系方式：</w:t>
      </w:r>
    </w:p>
    <w:p w14:paraId="740F3F0F">
      <w:pPr>
        <w:spacing w:line="360" w:lineRule="auto"/>
        <w:ind w:firstLine="482" w:firstLineChars="200"/>
        <w:rPr>
          <w:rStyle w:val="27"/>
          <w:rFonts w:ascii="宋体" w:hAnsi="宋体"/>
          <w:color w:val="auto"/>
          <w:sz w:val="24"/>
          <w:szCs w:val="32"/>
          <w:highlight w:val="none"/>
        </w:rPr>
      </w:pPr>
      <w:r>
        <w:rPr>
          <w:rStyle w:val="27"/>
          <w:rFonts w:ascii="宋体" w:hAnsi="宋体" w:cs="宋体"/>
          <w:b/>
          <w:bCs/>
          <w:color w:val="auto"/>
          <w:sz w:val="24"/>
          <w:szCs w:val="32"/>
          <w:highlight w:val="none"/>
        </w:rPr>
        <w:t>1、采购代理机构：</w:t>
      </w:r>
      <w:r>
        <w:rPr>
          <w:rStyle w:val="27"/>
          <w:rFonts w:hint="eastAsia" w:ascii="宋体" w:hAnsi="宋体"/>
          <w:color w:val="auto"/>
          <w:sz w:val="24"/>
          <w:szCs w:val="32"/>
          <w:highlight w:val="none"/>
        </w:rPr>
        <w:t>大地工程咨询有限公司</w:t>
      </w:r>
      <w:r>
        <w:rPr>
          <w:rStyle w:val="27"/>
          <w:rFonts w:ascii="宋体" w:hAnsi="宋体"/>
          <w:color w:val="auto"/>
          <w:sz w:val="24"/>
          <w:szCs w:val="32"/>
          <w:highlight w:val="none"/>
        </w:rPr>
        <w:t>；</w:t>
      </w:r>
    </w:p>
    <w:p w14:paraId="515066F6">
      <w:pPr>
        <w:spacing w:line="360" w:lineRule="auto"/>
        <w:ind w:firstLine="480" w:firstLineChars="200"/>
        <w:rPr>
          <w:rStyle w:val="27"/>
          <w:rFonts w:ascii="宋体" w:hAnsi="宋体" w:cs="Times New Roman"/>
          <w:color w:val="auto"/>
          <w:sz w:val="24"/>
          <w:szCs w:val="32"/>
          <w:highlight w:val="none"/>
        </w:rPr>
      </w:pPr>
      <w:r>
        <w:rPr>
          <w:rStyle w:val="27"/>
          <w:rFonts w:ascii="宋体" w:hAnsi="宋体" w:cs="Times New Roman"/>
          <w:color w:val="auto"/>
          <w:sz w:val="24"/>
          <w:szCs w:val="32"/>
          <w:highlight w:val="none"/>
        </w:rPr>
        <w:t>项目负责人：</w:t>
      </w:r>
      <w:bookmarkStart w:id="1" w:name="OLE_LINK7"/>
      <w:r>
        <w:rPr>
          <w:rStyle w:val="27"/>
          <w:rFonts w:hint="eastAsia" w:ascii="宋体" w:hAnsi="宋体" w:cs="Times New Roman"/>
          <w:color w:val="auto"/>
          <w:sz w:val="24"/>
          <w:szCs w:val="32"/>
          <w:highlight w:val="none"/>
        </w:rPr>
        <w:t>金威力</w:t>
      </w:r>
      <w:bookmarkEnd w:id="1"/>
      <w:r>
        <w:rPr>
          <w:rStyle w:val="27"/>
          <w:rFonts w:ascii="宋体" w:hAnsi="宋体" w:cs="Times New Roman"/>
          <w:color w:val="auto"/>
          <w:sz w:val="24"/>
          <w:szCs w:val="32"/>
          <w:highlight w:val="none"/>
        </w:rPr>
        <w:t>；联系电话：</w:t>
      </w:r>
      <w:r>
        <w:rPr>
          <w:rStyle w:val="27"/>
          <w:rFonts w:hint="eastAsia" w:ascii="宋体" w:hAnsi="宋体" w:cs="Times New Roman"/>
          <w:color w:val="auto"/>
          <w:sz w:val="24"/>
          <w:szCs w:val="32"/>
          <w:highlight w:val="none"/>
        </w:rPr>
        <w:t>13867603337</w:t>
      </w:r>
      <w:r>
        <w:rPr>
          <w:rStyle w:val="27"/>
          <w:rFonts w:ascii="宋体" w:hAnsi="宋体" w:cs="Times New Roman"/>
          <w:color w:val="auto"/>
          <w:sz w:val="24"/>
          <w:szCs w:val="32"/>
          <w:highlight w:val="none"/>
        </w:rPr>
        <w:t>；</w:t>
      </w:r>
    </w:p>
    <w:p w14:paraId="04D89086">
      <w:pPr>
        <w:spacing w:line="360" w:lineRule="auto"/>
        <w:ind w:firstLine="480" w:firstLineChars="200"/>
        <w:rPr>
          <w:rStyle w:val="27"/>
          <w:rFonts w:ascii="宋体" w:hAnsi="宋体" w:cs="Times New Roman"/>
          <w:color w:val="auto"/>
          <w:sz w:val="24"/>
          <w:szCs w:val="32"/>
          <w:highlight w:val="none"/>
        </w:rPr>
      </w:pPr>
      <w:r>
        <w:rPr>
          <w:rStyle w:val="27"/>
          <w:rFonts w:ascii="宋体" w:hAnsi="宋体" w:cs="Times New Roman"/>
          <w:color w:val="auto"/>
          <w:sz w:val="24"/>
          <w:szCs w:val="32"/>
          <w:highlight w:val="none"/>
        </w:rPr>
        <w:t>质疑接收人：</w:t>
      </w:r>
      <w:r>
        <w:rPr>
          <w:rStyle w:val="27"/>
          <w:rFonts w:hint="eastAsia" w:ascii="宋体" w:hAnsi="宋体" w:cs="Times New Roman"/>
          <w:color w:val="auto"/>
          <w:sz w:val="24"/>
          <w:szCs w:val="32"/>
          <w:highlight w:val="none"/>
        </w:rPr>
        <w:t>徐先生</w:t>
      </w:r>
      <w:r>
        <w:rPr>
          <w:rStyle w:val="27"/>
          <w:rFonts w:ascii="宋体" w:hAnsi="宋体" w:cs="Times New Roman"/>
          <w:color w:val="auto"/>
          <w:sz w:val="24"/>
          <w:szCs w:val="32"/>
          <w:highlight w:val="none"/>
        </w:rPr>
        <w:t>；联系电话：</w:t>
      </w:r>
      <w:r>
        <w:rPr>
          <w:rStyle w:val="27"/>
          <w:rFonts w:hint="eastAsia" w:ascii="宋体" w:hAnsi="宋体" w:cs="Times New Roman"/>
          <w:color w:val="auto"/>
          <w:sz w:val="24"/>
          <w:szCs w:val="32"/>
          <w:highlight w:val="none"/>
        </w:rPr>
        <w:t>0576-82905007</w:t>
      </w:r>
      <w:r>
        <w:rPr>
          <w:rStyle w:val="27"/>
          <w:rFonts w:ascii="宋体" w:hAnsi="宋体" w:cs="Times New Roman"/>
          <w:color w:val="auto"/>
          <w:sz w:val="24"/>
          <w:szCs w:val="32"/>
          <w:highlight w:val="none"/>
        </w:rPr>
        <w:t>；</w:t>
      </w:r>
    </w:p>
    <w:p w14:paraId="0A70ADE7">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地址：</w:t>
      </w:r>
      <w:r>
        <w:rPr>
          <w:rFonts w:hint="eastAsia" w:ascii="宋体" w:hAnsi="宋体" w:cs="宋体"/>
          <w:color w:val="auto"/>
          <w:sz w:val="24"/>
          <w:highlight w:val="none"/>
        </w:rPr>
        <w:t>路桥区汇鑫商务广场1207室</w:t>
      </w:r>
      <w:r>
        <w:rPr>
          <w:rStyle w:val="27"/>
          <w:rFonts w:ascii="宋体" w:hAnsi="宋体"/>
          <w:color w:val="auto"/>
          <w:sz w:val="24"/>
          <w:szCs w:val="32"/>
          <w:highlight w:val="none"/>
        </w:rPr>
        <w:t>；</w:t>
      </w:r>
    </w:p>
    <w:p w14:paraId="6D47274E">
      <w:pPr>
        <w:spacing w:line="312" w:lineRule="auto"/>
        <w:ind w:firstLine="482" w:firstLineChars="200"/>
        <w:jc w:val="left"/>
        <w:textAlignment w:val="auto"/>
        <w:rPr>
          <w:rFonts w:hint="eastAsia" w:ascii="宋体" w:hAnsi="宋体" w:eastAsia="宋体" w:cs="宋体"/>
          <w:color w:val="auto"/>
          <w:kern w:val="0"/>
          <w:sz w:val="24"/>
          <w:highlight w:val="none"/>
          <w:lang w:eastAsia="zh-CN"/>
        </w:rPr>
      </w:pPr>
      <w:r>
        <w:rPr>
          <w:rStyle w:val="27"/>
          <w:rFonts w:hint="eastAsia" w:ascii="宋体" w:hAnsi="宋体" w:cs="宋体"/>
          <w:b/>
          <w:bCs/>
          <w:color w:val="auto"/>
          <w:sz w:val="24"/>
          <w:szCs w:val="32"/>
          <w:highlight w:val="none"/>
        </w:rPr>
        <w:t>2、采购人：</w:t>
      </w:r>
      <w:r>
        <w:rPr>
          <w:rFonts w:hint="eastAsia" w:ascii="宋体" w:hAnsi="宋体" w:cs="宋体"/>
          <w:color w:val="auto"/>
          <w:kern w:val="0"/>
          <w:sz w:val="24"/>
          <w:highlight w:val="none"/>
          <w:lang w:eastAsia="zh-CN"/>
        </w:rPr>
        <w:t>台州市路桥区农业农村和水利局</w:t>
      </w:r>
    </w:p>
    <w:p w14:paraId="1A56F671">
      <w:pPr>
        <w:spacing w:line="360" w:lineRule="auto"/>
        <w:ind w:left="479" w:leftChars="228"/>
        <w:rPr>
          <w:rFonts w:ascii="宋体" w:hAnsi="宋体" w:cs="宋体"/>
          <w:color w:val="auto"/>
          <w:sz w:val="24"/>
          <w:szCs w:val="32"/>
          <w:highlight w:val="none"/>
        </w:rPr>
      </w:pPr>
      <w:r>
        <w:rPr>
          <w:rFonts w:hint="eastAsia" w:ascii="宋体" w:hAnsi="宋体" w:cs="宋体"/>
          <w:color w:val="auto"/>
          <w:kern w:val="0"/>
          <w:sz w:val="24"/>
          <w:highlight w:val="none"/>
        </w:rPr>
        <w:t>联系人：</w:t>
      </w:r>
      <w:bookmarkStart w:id="2" w:name="OLE_LINK5"/>
      <w:r>
        <w:rPr>
          <w:rFonts w:hint="eastAsia" w:ascii="宋体" w:hAnsi="宋体" w:cs="宋体"/>
          <w:color w:val="auto"/>
          <w:kern w:val="0"/>
          <w:sz w:val="24"/>
          <w:highlight w:val="none"/>
          <w:lang w:val="en-US" w:eastAsia="zh-CN"/>
        </w:rPr>
        <w:t>梁</w:t>
      </w:r>
      <w:r>
        <w:rPr>
          <w:rFonts w:hint="eastAsia" w:ascii="宋体" w:hAnsi="宋体" w:cs="宋体"/>
          <w:color w:val="auto"/>
          <w:kern w:val="0"/>
          <w:sz w:val="24"/>
          <w:highlight w:val="none"/>
        </w:rPr>
        <w:t>先生</w:t>
      </w:r>
      <w:bookmarkEnd w:id="2"/>
      <w:r>
        <w:rPr>
          <w:rFonts w:hint="eastAsia" w:ascii="宋体" w:hAnsi="宋体" w:cs="宋体"/>
          <w:color w:val="auto"/>
          <w:kern w:val="0"/>
          <w:sz w:val="24"/>
          <w:highlight w:val="none"/>
        </w:rPr>
        <w:t xml:space="preserve">      联系电话：</w:t>
      </w:r>
      <w:r>
        <w:rPr>
          <w:rFonts w:hint="eastAsia" w:ascii="宋体" w:hAnsi="宋体" w:eastAsia="宋体" w:cs="宋体"/>
          <w:color w:val="auto"/>
          <w:kern w:val="0"/>
          <w:sz w:val="24"/>
          <w:highlight w:val="none"/>
          <w:lang w:val="en-US" w:eastAsia="zh-CN"/>
        </w:rPr>
        <w:t>13676630101</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cs="宋体"/>
          <w:color w:val="auto"/>
          <w:sz w:val="24"/>
          <w:szCs w:val="32"/>
          <w:highlight w:val="none"/>
        </w:rPr>
        <w:t>质疑接收人：</w:t>
      </w:r>
      <w:r>
        <w:rPr>
          <w:rFonts w:hint="eastAsia" w:ascii="宋体" w:hAnsi="宋体" w:cs="宋体"/>
          <w:color w:val="auto"/>
          <w:sz w:val="24"/>
          <w:szCs w:val="32"/>
          <w:highlight w:val="none"/>
          <w:lang w:val="en-US" w:eastAsia="zh-CN"/>
        </w:rPr>
        <w:t>张先生</w:t>
      </w:r>
      <w:r>
        <w:rPr>
          <w:rFonts w:hint="eastAsia" w:ascii="宋体" w:hAnsi="宋体" w:cs="宋体"/>
          <w:color w:val="auto"/>
          <w:sz w:val="24"/>
          <w:szCs w:val="32"/>
          <w:highlight w:val="none"/>
        </w:rPr>
        <w:t>；联系电话：</w:t>
      </w:r>
      <w:r>
        <w:rPr>
          <w:rFonts w:hint="eastAsia" w:ascii="宋体" w:hAnsi="宋体" w:cs="宋体"/>
          <w:color w:val="auto"/>
          <w:sz w:val="24"/>
          <w:szCs w:val="32"/>
          <w:highlight w:val="none"/>
          <w:lang w:val="en-US" w:eastAsia="zh-CN"/>
        </w:rPr>
        <w:t>13626663533</w:t>
      </w:r>
      <w:r>
        <w:rPr>
          <w:rFonts w:hint="eastAsia" w:ascii="宋体" w:hAnsi="宋体" w:cs="宋体"/>
          <w:color w:val="auto"/>
          <w:sz w:val="24"/>
          <w:szCs w:val="32"/>
          <w:highlight w:val="none"/>
        </w:rPr>
        <w:t>；</w:t>
      </w:r>
    </w:p>
    <w:p w14:paraId="6004F4A4">
      <w:pPr>
        <w:spacing w:line="312" w:lineRule="auto"/>
        <w:ind w:left="479" w:leftChars="228"/>
        <w:jc w:val="left"/>
        <w:textAlignment w:val="auto"/>
        <w:rPr>
          <w:rStyle w:val="27"/>
          <w:rFonts w:ascii="宋体" w:hAnsi="宋体" w:cs="宋体"/>
          <w:b/>
          <w:bCs/>
          <w:color w:val="auto"/>
          <w:sz w:val="24"/>
          <w:szCs w:val="32"/>
          <w:highlight w:val="none"/>
        </w:rPr>
      </w:pPr>
      <w:r>
        <w:rPr>
          <w:rFonts w:hint="eastAsia" w:ascii="宋体" w:hAnsi="宋体" w:cs="宋体"/>
          <w:color w:val="auto"/>
          <w:sz w:val="24"/>
          <w:szCs w:val="32"/>
          <w:highlight w:val="none"/>
        </w:rPr>
        <w:t>地址：台州市路桥区西路桥大道539号；</w:t>
      </w:r>
    </w:p>
    <w:p w14:paraId="5BF064BC">
      <w:pPr>
        <w:spacing w:line="360" w:lineRule="auto"/>
        <w:ind w:firstLine="482" w:firstLineChars="200"/>
        <w:rPr>
          <w:rStyle w:val="27"/>
          <w:rFonts w:ascii="宋体" w:hAnsi="宋体"/>
          <w:color w:val="auto"/>
          <w:sz w:val="24"/>
          <w:szCs w:val="32"/>
          <w:highlight w:val="none"/>
        </w:rPr>
      </w:pPr>
      <w:r>
        <w:rPr>
          <w:rStyle w:val="27"/>
          <w:rFonts w:hint="eastAsia" w:ascii="宋体" w:hAnsi="宋体" w:cs="宋体"/>
          <w:b/>
          <w:bCs/>
          <w:color w:val="auto"/>
          <w:sz w:val="24"/>
          <w:szCs w:val="32"/>
          <w:highlight w:val="none"/>
        </w:rPr>
        <w:t>3</w:t>
      </w:r>
      <w:r>
        <w:rPr>
          <w:rStyle w:val="27"/>
          <w:rFonts w:ascii="宋体" w:hAnsi="宋体" w:cs="宋体"/>
          <w:b/>
          <w:bCs/>
          <w:color w:val="auto"/>
          <w:sz w:val="24"/>
          <w:szCs w:val="32"/>
          <w:highlight w:val="none"/>
        </w:rPr>
        <w:t>、同级政府采购监管管理部门：</w:t>
      </w:r>
      <w:r>
        <w:rPr>
          <w:rStyle w:val="27"/>
          <w:rFonts w:hint="eastAsia" w:ascii="宋体" w:hAnsi="宋体"/>
          <w:color w:val="auto"/>
          <w:sz w:val="24"/>
          <w:szCs w:val="32"/>
          <w:highlight w:val="none"/>
        </w:rPr>
        <w:t>台州市路桥区财政局监督绩效管理与采购监管科</w:t>
      </w:r>
      <w:r>
        <w:rPr>
          <w:rStyle w:val="27"/>
          <w:rFonts w:ascii="宋体" w:hAnsi="宋体"/>
          <w:color w:val="auto"/>
          <w:sz w:val="24"/>
          <w:szCs w:val="32"/>
          <w:highlight w:val="none"/>
        </w:rPr>
        <w:t>；</w:t>
      </w:r>
    </w:p>
    <w:p w14:paraId="1CA9D367">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联系人：</w:t>
      </w:r>
      <w:r>
        <w:rPr>
          <w:rStyle w:val="27"/>
          <w:rFonts w:hint="eastAsia" w:ascii="宋体" w:hAnsi="宋体"/>
          <w:color w:val="auto"/>
          <w:sz w:val="24"/>
          <w:szCs w:val="32"/>
          <w:highlight w:val="none"/>
          <w:lang w:val="en-US" w:eastAsia="zh-CN"/>
        </w:rPr>
        <w:t>王先生</w:t>
      </w:r>
      <w:r>
        <w:rPr>
          <w:rStyle w:val="27"/>
          <w:rFonts w:ascii="宋体" w:hAnsi="宋体"/>
          <w:color w:val="auto"/>
          <w:sz w:val="24"/>
          <w:szCs w:val="32"/>
          <w:highlight w:val="none"/>
        </w:rPr>
        <w:t>；监督投诉电话：0576-82517851；</w:t>
      </w:r>
    </w:p>
    <w:p w14:paraId="38A783BD">
      <w:pPr>
        <w:spacing w:line="360" w:lineRule="auto"/>
        <w:ind w:firstLine="480" w:firstLineChars="200"/>
        <w:rPr>
          <w:rStyle w:val="27"/>
          <w:rFonts w:ascii="宋体" w:hAnsi="宋体"/>
          <w:color w:val="auto"/>
          <w:sz w:val="24"/>
          <w:szCs w:val="32"/>
          <w:highlight w:val="none"/>
        </w:rPr>
      </w:pPr>
      <w:r>
        <w:rPr>
          <w:rStyle w:val="27"/>
          <w:rFonts w:ascii="宋体" w:hAnsi="宋体"/>
          <w:color w:val="auto"/>
          <w:sz w:val="24"/>
          <w:szCs w:val="32"/>
          <w:highlight w:val="none"/>
        </w:rPr>
        <w:t>地址：台州市路桥区西路桥大道58号。</w:t>
      </w:r>
    </w:p>
    <w:p w14:paraId="67A6F668">
      <w:pPr>
        <w:spacing w:line="360" w:lineRule="auto"/>
        <w:ind w:firstLine="482" w:firstLineChars="200"/>
        <w:rPr>
          <w:rStyle w:val="27"/>
          <w:rFonts w:ascii="宋体" w:hAnsi="宋体" w:cs="宋体"/>
          <w:b/>
          <w:bCs/>
          <w:color w:val="auto"/>
          <w:sz w:val="24"/>
          <w:szCs w:val="32"/>
          <w:highlight w:val="none"/>
        </w:rPr>
      </w:pPr>
      <w:r>
        <w:rPr>
          <w:rStyle w:val="27"/>
          <w:rFonts w:hint="eastAsia" w:ascii="宋体" w:hAnsi="宋体" w:cs="宋体"/>
          <w:b/>
          <w:bCs/>
          <w:color w:val="auto"/>
          <w:sz w:val="24"/>
          <w:szCs w:val="32"/>
          <w:highlight w:val="none"/>
        </w:rPr>
        <w:t>九</w:t>
      </w:r>
      <w:r>
        <w:rPr>
          <w:rStyle w:val="27"/>
          <w:rFonts w:ascii="宋体" w:hAnsi="宋体" w:cs="宋体"/>
          <w:b/>
          <w:bCs/>
          <w:color w:val="auto"/>
          <w:sz w:val="24"/>
          <w:szCs w:val="32"/>
          <w:highlight w:val="none"/>
        </w:rPr>
        <w:t>、</w:t>
      </w:r>
      <w:r>
        <w:rPr>
          <w:rStyle w:val="27"/>
          <w:rFonts w:hint="eastAsia" w:ascii="宋体" w:hAnsi="宋体" w:cs="宋体"/>
          <w:b/>
          <w:bCs/>
          <w:color w:val="auto"/>
          <w:sz w:val="24"/>
          <w:szCs w:val="32"/>
          <w:highlight w:val="none"/>
        </w:rPr>
        <w:t>其他</w:t>
      </w:r>
    </w:p>
    <w:p w14:paraId="67F7AA12">
      <w:pPr>
        <w:ind w:firstLine="480" w:firstLineChars="200"/>
        <w:rPr>
          <w:color w:val="auto"/>
          <w:highlight w:val="none"/>
        </w:rPr>
      </w:pPr>
      <w:r>
        <w:rPr>
          <w:rFonts w:hint="eastAsia" w:ascii="宋体" w:hAnsi="宋体" w:cs="宋体"/>
          <w:color w:val="auto"/>
          <w:sz w:val="24"/>
          <w:highlight w:val="none"/>
        </w:rPr>
        <w:t>1、合同履约保函联系方式</w:t>
      </w:r>
    </w:p>
    <w:tbl>
      <w:tblPr>
        <w:tblStyle w:val="24"/>
        <w:tblW w:w="857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87"/>
        <w:gridCol w:w="2288"/>
        <w:gridCol w:w="1276"/>
        <w:gridCol w:w="1624"/>
      </w:tblGrid>
      <w:tr w14:paraId="5D3C84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7" w:hRule="atLeast"/>
          <w:jc w:val="center"/>
        </w:trPr>
        <w:tc>
          <w:tcPr>
            <w:tcW w:w="3387" w:type="dxa"/>
            <w:vAlign w:val="center"/>
          </w:tcPr>
          <w:p w14:paraId="07F4D36E">
            <w:pPr>
              <w:widowControl w:val="0"/>
              <w:jc w:val="center"/>
              <w:rPr>
                <w:rFonts w:ascii="宋体" w:hAnsi="宋体" w:cs="宋体"/>
                <w:b/>
                <w:bCs/>
                <w:color w:val="auto"/>
                <w:sz w:val="24"/>
                <w:highlight w:val="none"/>
              </w:rPr>
            </w:pPr>
            <w:r>
              <w:rPr>
                <w:rFonts w:hint="eastAsia" w:ascii="宋体" w:hAnsi="宋体" w:cs="宋体"/>
                <w:b/>
                <w:bCs/>
                <w:color w:val="auto"/>
                <w:sz w:val="24"/>
                <w:highlight w:val="none"/>
              </w:rPr>
              <w:t>保险公司名称</w:t>
            </w:r>
          </w:p>
        </w:tc>
        <w:tc>
          <w:tcPr>
            <w:tcW w:w="2288" w:type="dxa"/>
            <w:vAlign w:val="center"/>
          </w:tcPr>
          <w:p w14:paraId="069B725B">
            <w:pPr>
              <w:widowControl w:val="0"/>
              <w:jc w:val="center"/>
              <w:rPr>
                <w:rFonts w:ascii="宋体" w:hAnsi="宋体" w:cs="宋体"/>
                <w:b/>
                <w:bCs/>
                <w:color w:val="auto"/>
                <w:sz w:val="24"/>
                <w:highlight w:val="none"/>
              </w:rPr>
            </w:pPr>
            <w:r>
              <w:rPr>
                <w:rFonts w:hint="eastAsia" w:ascii="宋体" w:hAnsi="宋体" w:cs="宋体"/>
                <w:b/>
                <w:bCs/>
                <w:color w:val="auto"/>
                <w:sz w:val="24"/>
                <w:highlight w:val="none"/>
              </w:rPr>
              <w:t>保费率</w:t>
            </w:r>
          </w:p>
        </w:tc>
        <w:tc>
          <w:tcPr>
            <w:tcW w:w="1276" w:type="dxa"/>
            <w:vAlign w:val="center"/>
          </w:tcPr>
          <w:p w14:paraId="3CB92B6A">
            <w:pPr>
              <w:widowControl w:val="0"/>
              <w:jc w:val="center"/>
              <w:rPr>
                <w:rFonts w:ascii="宋体" w:hAnsi="宋体" w:cs="宋体"/>
                <w:b/>
                <w:bCs/>
                <w:color w:val="auto"/>
                <w:sz w:val="24"/>
                <w:highlight w:val="none"/>
              </w:rPr>
            </w:pPr>
            <w:r>
              <w:rPr>
                <w:rFonts w:hint="eastAsia" w:ascii="宋体" w:hAnsi="宋体" w:cs="宋体"/>
                <w:b/>
                <w:bCs/>
                <w:color w:val="auto"/>
                <w:sz w:val="24"/>
                <w:highlight w:val="none"/>
              </w:rPr>
              <w:t>联系人</w:t>
            </w:r>
          </w:p>
        </w:tc>
        <w:tc>
          <w:tcPr>
            <w:tcW w:w="1624" w:type="dxa"/>
            <w:vAlign w:val="center"/>
          </w:tcPr>
          <w:p w14:paraId="19CA748A">
            <w:pPr>
              <w:widowControl w:val="0"/>
              <w:jc w:val="center"/>
              <w:rPr>
                <w:rFonts w:ascii="宋体" w:hAnsi="宋体" w:cs="宋体"/>
                <w:b/>
                <w:bCs/>
                <w:color w:val="auto"/>
                <w:sz w:val="24"/>
                <w:highlight w:val="none"/>
              </w:rPr>
            </w:pPr>
            <w:r>
              <w:rPr>
                <w:rFonts w:hint="eastAsia" w:ascii="宋体" w:hAnsi="宋体" w:cs="宋体"/>
                <w:b/>
                <w:bCs/>
                <w:color w:val="auto"/>
                <w:sz w:val="24"/>
                <w:highlight w:val="none"/>
              </w:rPr>
              <w:t>联系电话</w:t>
            </w:r>
          </w:p>
        </w:tc>
      </w:tr>
      <w:tr w14:paraId="317D1B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1D3A7CC2">
            <w:pPr>
              <w:widowControl w:val="0"/>
              <w:jc w:val="left"/>
              <w:rPr>
                <w:rFonts w:ascii="宋体" w:hAnsi="宋体" w:cs="宋体"/>
                <w:color w:val="auto"/>
                <w:sz w:val="24"/>
                <w:highlight w:val="none"/>
              </w:rPr>
            </w:pPr>
            <w:r>
              <w:rPr>
                <w:rFonts w:hint="eastAsia" w:ascii="宋体" w:hAnsi="宋体" w:cs="宋体"/>
                <w:color w:val="auto"/>
                <w:sz w:val="24"/>
                <w:highlight w:val="none"/>
              </w:rPr>
              <w:t>中国人寿财产保险股份有限公司台州中心支公司</w:t>
            </w:r>
          </w:p>
        </w:tc>
        <w:tc>
          <w:tcPr>
            <w:tcW w:w="2288" w:type="dxa"/>
            <w:vAlign w:val="center"/>
          </w:tcPr>
          <w:p w14:paraId="13326BD6">
            <w:pPr>
              <w:widowControl w:val="0"/>
              <w:jc w:val="left"/>
              <w:rPr>
                <w:rFonts w:ascii="宋体" w:hAnsi="宋体" w:cs="宋体"/>
                <w:color w:val="auto"/>
                <w:sz w:val="24"/>
                <w:highlight w:val="none"/>
              </w:rPr>
            </w:pPr>
            <w:r>
              <w:rPr>
                <w:rFonts w:hint="eastAsia" w:ascii="宋体" w:hAnsi="宋体" w:cs="宋体"/>
                <w:color w:val="auto"/>
                <w:sz w:val="24"/>
                <w:highlight w:val="none"/>
              </w:rPr>
              <w:t>年费率1%，最低保费500元</w:t>
            </w:r>
          </w:p>
        </w:tc>
        <w:tc>
          <w:tcPr>
            <w:tcW w:w="1276" w:type="dxa"/>
            <w:vAlign w:val="center"/>
          </w:tcPr>
          <w:p w14:paraId="26CC6997">
            <w:pPr>
              <w:widowControl w:val="0"/>
              <w:jc w:val="center"/>
              <w:rPr>
                <w:rFonts w:ascii="宋体" w:hAnsi="宋体" w:cs="宋体"/>
                <w:color w:val="auto"/>
                <w:sz w:val="24"/>
                <w:highlight w:val="none"/>
              </w:rPr>
            </w:pPr>
            <w:r>
              <w:rPr>
                <w:rFonts w:hint="eastAsia" w:ascii="宋体" w:hAnsi="宋体" w:cs="宋体"/>
                <w:color w:val="auto"/>
                <w:sz w:val="24"/>
                <w:highlight w:val="none"/>
              </w:rPr>
              <w:t>徐凌</w:t>
            </w:r>
          </w:p>
        </w:tc>
        <w:tc>
          <w:tcPr>
            <w:tcW w:w="1624" w:type="dxa"/>
            <w:vAlign w:val="center"/>
          </w:tcPr>
          <w:p w14:paraId="54A67478">
            <w:pPr>
              <w:widowControl w:val="0"/>
              <w:jc w:val="center"/>
              <w:rPr>
                <w:rFonts w:ascii="宋体" w:hAnsi="宋体" w:cs="宋体"/>
                <w:color w:val="auto"/>
                <w:sz w:val="24"/>
                <w:highlight w:val="none"/>
              </w:rPr>
            </w:pPr>
            <w:r>
              <w:rPr>
                <w:rFonts w:hint="eastAsia" w:ascii="宋体" w:hAnsi="宋体" w:cs="宋体"/>
                <w:color w:val="auto"/>
                <w:sz w:val="24"/>
                <w:highlight w:val="none"/>
              </w:rPr>
              <w:t>13905168070</w:t>
            </w:r>
          </w:p>
        </w:tc>
      </w:tr>
      <w:tr w14:paraId="1DF08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09310FCA">
            <w:pPr>
              <w:widowControl w:val="0"/>
              <w:jc w:val="left"/>
              <w:rPr>
                <w:rFonts w:ascii="宋体" w:hAnsi="宋体" w:cs="宋体"/>
                <w:color w:val="auto"/>
                <w:sz w:val="24"/>
                <w:highlight w:val="none"/>
              </w:rPr>
            </w:pPr>
            <w:r>
              <w:rPr>
                <w:rFonts w:hint="eastAsia" w:ascii="宋体" w:hAnsi="宋体" w:cs="宋体"/>
                <w:color w:val="auto"/>
                <w:sz w:val="24"/>
                <w:highlight w:val="none"/>
              </w:rPr>
              <w:t>永诚财产保险股份有限公司台州分公司</w:t>
            </w:r>
          </w:p>
        </w:tc>
        <w:tc>
          <w:tcPr>
            <w:tcW w:w="2288" w:type="dxa"/>
            <w:vAlign w:val="center"/>
          </w:tcPr>
          <w:p w14:paraId="06455252">
            <w:pPr>
              <w:widowControl w:val="0"/>
              <w:jc w:val="left"/>
              <w:rPr>
                <w:rFonts w:ascii="宋体" w:hAnsi="宋体" w:cs="宋体"/>
                <w:color w:val="auto"/>
                <w:sz w:val="24"/>
                <w:highlight w:val="none"/>
              </w:rPr>
            </w:pPr>
            <w:r>
              <w:rPr>
                <w:rFonts w:hint="eastAsia" w:ascii="宋体" w:hAnsi="宋体" w:cs="宋体"/>
                <w:color w:val="auto"/>
                <w:sz w:val="24"/>
                <w:highlight w:val="none"/>
              </w:rPr>
              <w:t>年费率1%，最低保费1000元</w:t>
            </w:r>
          </w:p>
        </w:tc>
        <w:tc>
          <w:tcPr>
            <w:tcW w:w="1276" w:type="dxa"/>
            <w:vAlign w:val="center"/>
          </w:tcPr>
          <w:p w14:paraId="30F76CF6">
            <w:pPr>
              <w:widowControl w:val="0"/>
              <w:jc w:val="center"/>
              <w:rPr>
                <w:rFonts w:ascii="宋体" w:hAnsi="宋体" w:cs="宋体"/>
                <w:color w:val="auto"/>
                <w:sz w:val="24"/>
                <w:highlight w:val="none"/>
              </w:rPr>
            </w:pPr>
            <w:r>
              <w:rPr>
                <w:rFonts w:hint="eastAsia" w:ascii="宋体" w:hAnsi="宋体" w:cs="宋体"/>
                <w:color w:val="auto"/>
                <w:sz w:val="24"/>
                <w:highlight w:val="none"/>
              </w:rPr>
              <w:t>尹刚强</w:t>
            </w:r>
          </w:p>
        </w:tc>
        <w:tc>
          <w:tcPr>
            <w:tcW w:w="1624" w:type="dxa"/>
            <w:vAlign w:val="center"/>
          </w:tcPr>
          <w:p w14:paraId="569272B4">
            <w:pPr>
              <w:widowControl w:val="0"/>
              <w:jc w:val="center"/>
              <w:rPr>
                <w:rFonts w:ascii="宋体" w:hAnsi="宋体" w:cs="宋体"/>
                <w:color w:val="auto"/>
                <w:sz w:val="24"/>
                <w:highlight w:val="none"/>
              </w:rPr>
            </w:pPr>
            <w:r>
              <w:rPr>
                <w:rFonts w:hint="eastAsia" w:ascii="宋体" w:hAnsi="宋体" w:cs="宋体"/>
                <w:color w:val="auto"/>
                <w:sz w:val="24"/>
                <w:highlight w:val="none"/>
              </w:rPr>
              <w:t>13750668184</w:t>
            </w:r>
          </w:p>
        </w:tc>
      </w:tr>
      <w:tr w14:paraId="4B51A9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22027FE1">
            <w:pPr>
              <w:widowControl w:val="0"/>
              <w:jc w:val="left"/>
              <w:rPr>
                <w:rFonts w:ascii="宋体" w:hAnsi="宋体" w:cs="宋体"/>
                <w:color w:val="auto"/>
                <w:sz w:val="24"/>
                <w:highlight w:val="none"/>
              </w:rPr>
            </w:pPr>
            <w:r>
              <w:rPr>
                <w:rFonts w:hint="eastAsia" w:ascii="宋体" w:hAnsi="宋体" w:cs="宋体"/>
                <w:color w:val="auto"/>
                <w:sz w:val="24"/>
                <w:highlight w:val="none"/>
              </w:rPr>
              <w:t>华泰财产保险有限公司台州中心支公司</w:t>
            </w:r>
          </w:p>
        </w:tc>
        <w:tc>
          <w:tcPr>
            <w:tcW w:w="2288" w:type="dxa"/>
            <w:vAlign w:val="center"/>
          </w:tcPr>
          <w:p w14:paraId="1E9AA571">
            <w:pPr>
              <w:widowControl w:val="0"/>
              <w:jc w:val="left"/>
              <w:rPr>
                <w:rFonts w:ascii="宋体" w:hAnsi="宋体" w:cs="宋体"/>
                <w:color w:val="auto"/>
                <w:sz w:val="24"/>
                <w:highlight w:val="none"/>
              </w:rPr>
            </w:pPr>
            <w:r>
              <w:rPr>
                <w:rFonts w:hint="eastAsia" w:ascii="宋体" w:hAnsi="宋体" w:cs="宋体"/>
                <w:color w:val="auto"/>
                <w:sz w:val="24"/>
                <w:highlight w:val="none"/>
              </w:rPr>
              <w:t>年费率0.5%，最低保费1000元</w:t>
            </w:r>
          </w:p>
        </w:tc>
        <w:tc>
          <w:tcPr>
            <w:tcW w:w="1276" w:type="dxa"/>
            <w:vAlign w:val="center"/>
          </w:tcPr>
          <w:p w14:paraId="068FCE8D">
            <w:pPr>
              <w:widowControl w:val="0"/>
              <w:jc w:val="center"/>
              <w:rPr>
                <w:rFonts w:ascii="宋体" w:hAnsi="宋体" w:cs="宋体"/>
                <w:color w:val="auto"/>
                <w:sz w:val="24"/>
                <w:highlight w:val="none"/>
              </w:rPr>
            </w:pPr>
            <w:r>
              <w:rPr>
                <w:rFonts w:hint="eastAsia" w:ascii="宋体" w:hAnsi="宋体" w:cs="宋体"/>
                <w:color w:val="auto"/>
                <w:sz w:val="24"/>
                <w:highlight w:val="none"/>
              </w:rPr>
              <w:t>王灵芳</w:t>
            </w:r>
          </w:p>
        </w:tc>
        <w:tc>
          <w:tcPr>
            <w:tcW w:w="1624" w:type="dxa"/>
            <w:vAlign w:val="center"/>
          </w:tcPr>
          <w:p w14:paraId="18FC92CA">
            <w:pPr>
              <w:widowControl w:val="0"/>
              <w:jc w:val="center"/>
              <w:rPr>
                <w:rFonts w:ascii="宋体" w:hAnsi="宋体" w:cs="宋体"/>
                <w:color w:val="auto"/>
                <w:sz w:val="24"/>
                <w:highlight w:val="none"/>
              </w:rPr>
            </w:pPr>
            <w:r>
              <w:rPr>
                <w:rFonts w:hint="eastAsia" w:ascii="宋体" w:hAnsi="宋体" w:cs="宋体"/>
                <w:color w:val="auto"/>
                <w:sz w:val="24"/>
                <w:highlight w:val="none"/>
              </w:rPr>
              <w:t>88869818 13586123199</w:t>
            </w:r>
          </w:p>
        </w:tc>
      </w:tr>
      <w:tr w14:paraId="37ABDE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5B3BACD5">
            <w:pPr>
              <w:widowControl w:val="0"/>
              <w:jc w:val="left"/>
              <w:rPr>
                <w:rFonts w:ascii="宋体" w:hAnsi="宋体" w:cs="宋体"/>
                <w:color w:val="auto"/>
                <w:sz w:val="24"/>
                <w:highlight w:val="none"/>
              </w:rPr>
            </w:pPr>
            <w:r>
              <w:rPr>
                <w:rFonts w:hint="eastAsia" w:ascii="宋体" w:hAnsi="宋体" w:cs="宋体"/>
                <w:color w:val="auto"/>
                <w:sz w:val="24"/>
                <w:highlight w:val="none"/>
              </w:rPr>
              <w:t>中国大地财产保险股份有限公司台州中心支公司</w:t>
            </w:r>
          </w:p>
        </w:tc>
        <w:tc>
          <w:tcPr>
            <w:tcW w:w="2288" w:type="dxa"/>
            <w:vAlign w:val="center"/>
          </w:tcPr>
          <w:p w14:paraId="7ABACF30">
            <w:pPr>
              <w:widowControl w:val="0"/>
              <w:jc w:val="left"/>
              <w:rPr>
                <w:rFonts w:ascii="宋体" w:hAnsi="宋体" w:cs="宋体"/>
                <w:color w:val="auto"/>
                <w:sz w:val="24"/>
                <w:highlight w:val="none"/>
              </w:rPr>
            </w:pPr>
            <w:r>
              <w:rPr>
                <w:rFonts w:hint="eastAsia" w:ascii="宋体" w:hAnsi="宋体" w:cs="宋体"/>
                <w:color w:val="auto"/>
                <w:sz w:val="24"/>
                <w:highlight w:val="none"/>
              </w:rPr>
              <w:t>年费率1.5%，最低保费1000元</w:t>
            </w:r>
          </w:p>
        </w:tc>
        <w:tc>
          <w:tcPr>
            <w:tcW w:w="1276" w:type="dxa"/>
            <w:vAlign w:val="center"/>
          </w:tcPr>
          <w:p w14:paraId="60A0100C">
            <w:pPr>
              <w:widowControl w:val="0"/>
              <w:jc w:val="center"/>
              <w:rPr>
                <w:rFonts w:ascii="宋体" w:hAnsi="宋体" w:cs="宋体"/>
                <w:color w:val="auto"/>
                <w:sz w:val="24"/>
                <w:highlight w:val="none"/>
              </w:rPr>
            </w:pPr>
            <w:r>
              <w:rPr>
                <w:rFonts w:hint="eastAsia" w:ascii="宋体" w:hAnsi="宋体" w:cs="宋体"/>
                <w:color w:val="auto"/>
                <w:sz w:val="24"/>
                <w:highlight w:val="none"/>
              </w:rPr>
              <w:t>徐小明</w:t>
            </w:r>
          </w:p>
        </w:tc>
        <w:tc>
          <w:tcPr>
            <w:tcW w:w="1624" w:type="dxa"/>
            <w:vAlign w:val="center"/>
          </w:tcPr>
          <w:p w14:paraId="64282DBB">
            <w:pPr>
              <w:widowControl w:val="0"/>
              <w:jc w:val="center"/>
              <w:rPr>
                <w:rFonts w:ascii="宋体" w:hAnsi="宋体" w:cs="宋体"/>
                <w:color w:val="auto"/>
                <w:sz w:val="24"/>
                <w:highlight w:val="none"/>
              </w:rPr>
            </w:pPr>
            <w:r>
              <w:rPr>
                <w:rFonts w:hint="eastAsia" w:ascii="宋体" w:hAnsi="宋体" w:cs="宋体"/>
                <w:color w:val="auto"/>
                <w:sz w:val="24"/>
                <w:highlight w:val="none"/>
              </w:rPr>
              <w:t>88552788      13968603112</w:t>
            </w:r>
          </w:p>
        </w:tc>
      </w:tr>
      <w:tr w14:paraId="609636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250108C6">
            <w:pPr>
              <w:widowControl w:val="0"/>
              <w:jc w:val="left"/>
              <w:rPr>
                <w:rFonts w:ascii="宋体" w:hAnsi="宋体" w:cs="宋体"/>
                <w:color w:val="auto"/>
                <w:sz w:val="24"/>
                <w:highlight w:val="none"/>
              </w:rPr>
            </w:pPr>
            <w:r>
              <w:rPr>
                <w:rFonts w:hint="eastAsia" w:ascii="宋体" w:hAnsi="宋体" w:cs="宋体"/>
                <w:color w:val="auto"/>
                <w:sz w:val="24"/>
                <w:highlight w:val="none"/>
              </w:rPr>
              <w:t>阳光保险台州中心支公司</w:t>
            </w:r>
          </w:p>
        </w:tc>
        <w:tc>
          <w:tcPr>
            <w:tcW w:w="2288" w:type="dxa"/>
            <w:vAlign w:val="center"/>
          </w:tcPr>
          <w:p w14:paraId="7B1C830D">
            <w:pPr>
              <w:widowControl w:val="0"/>
              <w:jc w:val="left"/>
              <w:rPr>
                <w:rFonts w:ascii="宋体" w:hAnsi="宋体" w:cs="宋体"/>
                <w:color w:val="auto"/>
                <w:sz w:val="24"/>
                <w:highlight w:val="none"/>
              </w:rPr>
            </w:pPr>
            <w:r>
              <w:rPr>
                <w:rFonts w:hint="eastAsia" w:ascii="宋体" w:hAnsi="宋体" w:cs="宋体"/>
                <w:color w:val="auto"/>
                <w:sz w:val="24"/>
                <w:highlight w:val="none"/>
              </w:rPr>
              <w:t>年费率1%，最低保费500元</w:t>
            </w:r>
          </w:p>
        </w:tc>
        <w:tc>
          <w:tcPr>
            <w:tcW w:w="1276" w:type="dxa"/>
            <w:vAlign w:val="center"/>
          </w:tcPr>
          <w:p w14:paraId="59239BCF">
            <w:pPr>
              <w:widowControl w:val="0"/>
              <w:jc w:val="center"/>
              <w:rPr>
                <w:rFonts w:ascii="宋体" w:hAnsi="宋体" w:cs="宋体"/>
                <w:color w:val="auto"/>
                <w:sz w:val="24"/>
                <w:highlight w:val="none"/>
              </w:rPr>
            </w:pPr>
            <w:r>
              <w:rPr>
                <w:rFonts w:hint="eastAsia" w:ascii="宋体" w:hAnsi="宋体" w:cs="宋体"/>
                <w:color w:val="auto"/>
                <w:sz w:val="24"/>
                <w:highlight w:val="none"/>
              </w:rPr>
              <w:t>林高明</w:t>
            </w:r>
          </w:p>
        </w:tc>
        <w:tc>
          <w:tcPr>
            <w:tcW w:w="1624" w:type="dxa"/>
            <w:vAlign w:val="center"/>
          </w:tcPr>
          <w:p w14:paraId="29293CBD">
            <w:pPr>
              <w:widowControl w:val="0"/>
              <w:jc w:val="center"/>
              <w:rPr>
                <w:rFonts w:ascii="宋体" w:hAnsi="宋体" w:cs="宋体"/>
                <w:color w:val="auto"/>
                <w:sz w:val="24"/>
                <w:highlight w:val="none"/>
              </w:rPr>
            </w:pPr>
            <w:r>
              <w:rPr>
                <w:rFonts w:hint="eastAsia" w:ascii="宋体" w:hAnsi="宋体" w:cs="宋体"/>
                <w:color w:val="auto"/>
                <w:sz w:val="24"/>
                <w:highlight w:val="none"/>
              </w:rPr>
              <w:t>15888682693</w:t>
            </w:r>
          </w:p>
        </w:tc>
      </w:tr>
      <w:tr w14:paraId="709BE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457EFA67">
            <w:pPr>
              <w:widowControl w:val="0"/>
              <w:jc w:val="left"/>
              <w:rPr>
                <w:rFonts w:ascii="宋体" w:hAnsi="宋体" w:cs="宋体"/>
                <w:color w:val="auto"/>
                <w:sz w:val="24"/>
                <w:highlight w:val="none"/>
              </w:rPr>
            </w:pPr>
            <w:r>
              <w:rPr>
                <w:rFonts w:hint="eastAsia" w:ascii="宋体" w:hAnsi="宋体" w:cs="宋体"/>
                <w:color w:val="auto"/>
                <w:sz w:val="24"/>
                <w:highlight w:val="none"/>
              </w:rPr>
              <w:t>中华联合财产保险股份有限公司台州中心支公司</w:t>
            </w:r>
          </w:p>
        </w:tc>
        <w:tc>
          <w:tcPr>
            <w:tcW w:w="2288" w:type="dxa"/>
            <w:vAlign w:val="center"/>
          </w:tcPr>
          <w:p w14:paraId="33AC6E81">
            <w:pPr>
              <w:widowControl w:val="0"/>
              <w:jc w:val="left"/>
              <w:rPr>
                <w:rFonts w:ascii="宋体" w:hAnsi="宋体" w:cs="宋体"/>
                <w:color w:val="auto"/>
                <w:sz w:val="24"/>
                <w:highlight w:val="none"/>
              </w:rPr>
            </w:pPr>
            <w:r>
              <w:rPr>
                <w:rFonts w:hint="eastAsia" w:ascii="宋体" w:hAnsi="宋体" w:cs="宋体"/>
                <w:color w:val="auto"/>
                <w:sz w:val="24"/>
                <w:highlight w:val="none"/>
              </w:rPr>
              <w:t>年费率2%，最低保费500元</w:t>
            </w:r>
          </w:p>
        </w:tc>
        <w:tc>
          <w:tcPr>
            <w:tcW w:w="1276" w:type="dxa"/>
            <w:vAlign w:val="center"/>
          </w:tcPr>
          <w:p w14:paraId="3D74490E">
            <w:pPr>
              <w:widowControl w:val="0"/>
              <w:jc w:val="center"/>
              <w:rPr>
                <w:rFonts w:ascii="宋体" w:hAnsi="宋体" w:cs="宋体"/>
                <w:color w:val="auto"/>
                <w:sz w:val="24"/>
                <w:highlight w:val="none"/>
              </w:rPr>
            </w:pPr>
            <w:r>
              <w:rPr>
                <w:rFonts w:hint="eastAsia" w:ascii="宋体" w:hAnsi="宋体" w:cs="宋体"/>
                <w:color w:val="auto"/>
                <w:sz w:val="24"/>
                <w:highlight w:val="none"/>
              </w:rPr>
              <w:t>王仙高</w:t>
            </w:r>
          </w:p>
        </w:tc>
        <w:tc>
          <w:tcPr>
            <w:tcW w:w="1624" w:type="dxa"/>
            <w:vAlign w:val="center"/>
          </w:tcPr>
          <w:p w14:paraId="2CD3FD6E">
            <w:pPr>
              <w:widowControl w:val="0"/>
              <w:jc w:val="center"/>
              <w:rPr>
                <w:rFonts w:ascii="宋体" w:hAnsi="宋体" w:cs="宋体"/>
                <w:color w:val="auto"/>
                <w:sz w:val="24"/>
                <w:highlight w:val="none"/>
              </w:rPr>
            </w:pPr>
            <w:r>
              <w:rPr>
                <w:rFonts w:hint="eastAsia" w:ascii="宋体" w:hAnsi="宋体" w:cs="宋体"/>
                <w:color w:val="auto"/>
                <w:sz w:val="24"/>
                <w:highlight w:val="none"/>
              </w:rPr>
              <w:t>13858600221</w:t>
            </w:r>
          </w:p>
        </w:tc>
      </w:tr>
      <w:tr w14:paraId="584B39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337D9AF4">
            <w:pPr>
              <w:widowControl w:val="0"/>
              <w:jc w:val="left"/>
              <w:rPr>
                <w:rFonts w:ascii="宋体" w:hAnsi="宋体" w:cs="宋体"/>
                <w:color w:val="auto"/>
                <w:sz w:val="24"/>
                <w:highlight w:val="none"/>
              </w:rPr>
            </w:pPr>
            <w:r>
              <w:rPr>
                <w:rFonts w:hint="eastAsia" w:ascii="宋体" w:hAnsi="宋体" w:cs="宋体"/>
                <w:color w:val="auto"/>
                <w:sz w:val="24"/>
                <w:highlight w:val="none"/>
              </w:rPr>
              <w:t>中国人民财产保险股份有限公司台州中心支公司</w:t>
            </w:r>
          </w:p>
        </w:tc>
        <w:tc>
          <w:tcPr>
            <w:tcW w:w="2288" w:type="dxa"/>
            <w:vAlign w:val="center"/>
          </w:tcPr>
          <w:p w14:paraId="4726CCA5">
            <w:pPr>
              <w:widowControl w:val="0"/>
              <w:jc w:val="left"/>
              <w:rPr>
                <w:rFonts w:ascii="宋体" w:hAnsi="宋体" w:cs="宋体"/>
                <w:color w:val="auto"/>
                <w:sz w:val="24"/>
                <w:highlight w:val="none"/>
              </w:rPr>
            </w:pPr>
            <w:r>
              <w:rPr>
                <w:rFonts w:hint="eastAsia" w:ascii="宋体" w:hAnsi="宋体" w:cs="宋体"/>
                <w:color w:val="auto"/>
                <w:sz w:val="24"/>
                <w:highlight w:val="none"/>
              </w:rPr>
              <w:t>年费率0.3%，最低保费1000元</w:t>
            </w:r>
          </w:p>
        </w:tc>
        <w:tc>
          <w:tcPr>
            <w:tcW w:w="1276" w:type="dxa"/>
            <w:vAlign w:val="center"/>
          </w:tcPr>
          <w:p w14:paraId="4D93916F">
            <w:pPr>
              <w:widowControl w:val="0"/>
              <w:jc w:val="center"/>
              <w:rPr>
                <w:rFonts w:ascii="宋体" w:hAnsi="宋体" w:cs="宋体"/>
                <w:color w:val="auto"/>
                <w:sz w:val="24"/>
                <w:highlight w:val="none"/>
              </w:rPr>
            </w:pPr>
            <w:r>
              <w:rPr>
                <w:rFonts w:hint="eastAsia" w:ascii="宋体" w:hAnsi="宋体" w:cs="宋体"/>
                <w:color w:val="auto"/>
                <w:sz w:val="24"/>
                <w:highlight w:val="none"/>
              </w:rPr>
              <w:t>王仙春</w:t>
            </w:r>
          </w:p>
        </w:tc>
        <w:tc>
          <w:tcPr>
            <w:tcW w:w="1624" w:type="dxa"/>
            <w:vAlign w:val="center"/>
          </w:tcPr>
          <w:p w14:paraId="6D8BEDBC">
            <w:pPr>
              <w:widowControl w:val="0"/>
              <w:jc w:val="center"/>
              <w:rPr>
                <w:rFonts w:ascii="宋体" w:hAnsi="宋体" w:cs="宋体"/>
                <w:color w:val="auto"/>
                <w:sz w:val="24"/>
                <w:highlight w:val="none"/>
              </w:rPr>
            </w:pPr>
            <w:r>
              <w:rPr>
                <w:rFonts w:hint="eastAsia" w:ascii="宋体" w:hAnsi="宋体" w:cs="宋体"/>
                <w:color w:val="auto"/>
                <w:sz w:val="24"/>
                <w:highlight w:val="none"/>
              </w:rPr>
              <w:t>13515769179</w:t>
            </w:r>
          </w:p>
        </w:tc>
      </w:tr>
      <w:tr w14:paraId="4BBF55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6C6A3432">
            <w:pPr>
              <w:widowControl w:val="0"/>
              <w:jc w:val="left"/>
              <w:rPr>
                <w:rFonts w:ascii="宋体" w:hAnsi="宋体" w:cs="宋体"/>
                <w:color w:val="auto"/>
                <w:sz w:val="24"/>
                <w:highlight w:val="none"/>
              </w:rPr>
            </w:pPr>
            <w:r>
              <w:rPr>
                <w:rFonts w:hint="eastAsia" w:ascii="宋体" w:hAnsi="宋体" w:cs="宋体"/>
                <w:color w:val="auto"/>
                <w:sz w:val="24"/>
                <w:highlight w:val="none"/>
              </w:rPr>
              <w:t>永安财产保险股份有限公司台州中心支公司</w:t>
            </w:r>
          </w:p>
        </w:tc>
        <w:tc>
          <w:tcPr>
            <w:tcW w:w="2288" w:type="dxa"/>
            <w:vAlign w:val="center"/>
          </w:tcPr>
          <w:p w14:paraId="361A3921">
            <w:pPr>
              <w:widowControl w:val="0"/>
              <w:jc w:val="left"/>
              <w:rPr>
                <w:rFonts w:ascii="宋体" w:hAnsi="宋体" w:cs="宋体"/>
                <w:color w:val="auto"/>
                <w:sz w:val="24"/>
                <w:highlight w:val="none"/>
              </w:rPr>
            </w:pPr>
            <w:r>
              <w:rPr>
                <w:rFonts w:hint="eastAsia" w:ascii="宋体" w:hAnsi="宋体" w:cs="宋体"/>
                <w:color w:val="auto"/>
                <w:sz w:val="24"/>
                <w:highlight w:val="none"/>
              </w:rPr>
              <w:t>年费率0.3%，最低保费1000元</w:t>
            </w:r>
          </w:p>
        </w:tc>
        <w:tc>
          <w:tcPr>
            <w:tcW w:w="1276" w:type="dxa"/>
            <w:vAlign w:val="center"/>
          </w:tcPr>
          <w:p w14:paraId="726ED199">
            <w:pPr>
              <w:widowControl w:val="0"/>
              <w:jc w:val="center"/>
              <w:rPr>
                <w:rFonts w:ascii="宋体" w:hAnsi="宋体" w:cs="宋体"/>
                <w:color w:val="auto"/>
                <w:sz w:val="24"/>
                <w:highlight w:val="none"/>
              </w:rPr>
            </w:pPr>
            <w:r>
              <w:rPr>
                <w:rFonts w:hint="eastAsia" w:ascii="宋体" w:hAnsi="宋体" w:cs="宋体"/>
                <w:color w:val="auto"/>
                <w:sz w:val="24"/>
                <w:highlight w:val="none"/>
              </w:rPr>
              <w:t>王春宇</w:t>
            </w:r>
          </w:p>
        </w:tc>
        <w:tc>
          <w:tcPr>
            <w:tcW w:w="1624" w:type="dxa"/>
            <w:vAlign w:val="center"/>
          </w:tcPr>
          <w:p w14:paraId="012FFB11">
            <w:pPr>
              <w:widowControl w:val="0"/>
              <w:jc w:val="center"/>
              <w:rPr>
                <w:rFonts w:ascii="宋体" w:hAnsi="宋体" w:cs="宋体"/>
                <w:color w:val="auto"/>
                <w:sz w:val="24"/>
                <w:highlight w:val="none"/>
              </w:rPr>
            </w:pPr>
            <w:r>
              <w:rPr>
                <w:rFonts w:hint="eastAsia" w:ascii="宋体" w:hAnsi="宋体" w:cs="宋体"/>
                <w:color w:val="auto"/>
                <w:sz w:val="24"/>
                <w:highlight w:val="none"/>
              </w:rPr>
              <w:t>13676675331</w:t>
            </w:r>
          </w:p>
        </w:tc>
      </w:tr>
    </w:tbl>
    <w:p w14:paraId="5E2C30EE">
      <w:pPr>
        <w:rPr>
          <w:rFonts w:ascii="宋体" w:hAnsi="宋体" w:cs="宋体"/>
          <w:b/>
          <w:bCs/>
          <w:color w:val="auto"/>
          <w:sz w:val="24"/>
          <w:highlight w:val="none"/>
        </w:rPr>
      </w:pPr>
    </w:p>
    <w:p w14:paraId="456C6FD6">
      <w:pPr>
        <w:ind w:firstLine="480" w:firstLineChars="200"/>
        <w:rPr>
          <w:color w:val="auto"/>
          <w:highlight w:val="none"/>
        </w:rPr>
      </w:pPr>
      <w:r>
        <w:rPr>
          <w:rFonts w:hint="eastAsia" w:ascii="宋体" w:hAnsi="宋体" w:cs="宋体"/>
          <w:color w:val="auto"/>
          <w:sz w:val="24"/>
          <w:highlight w:val="none"/>
        </w:rPr>
        <w:t>2、预付款保函联系方式</w:t>
      </w:r>
    </w:p>
    <w:tbl>
      <w:tblPr>
        <w:tblStyle w:val="24"/>
        <w:tblW w:w="856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87"/>
        <w:gridCol w:w="2288"/>
        <w:gridCol w:w="1287"/>
        <w:gridCol w:w="1600"/>
      </w:tblGrid>
      <w:tr w14:paraId="3ACB5E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jc w:val="center"/>
        </w:trPr>
        <w:tc>
          <w:tcPr>
            <w:tcW w:w="3387" w:type="dxa"/>
            <w:vAlign w:val="center"/>
          </w:tcPr>
          <w:p w14:paraId="5384FF8F">
            <w:pPr>
              <w:widowControl w:val="0"/>
              <w:jc w:val="center"/>
              <w:rPr>
                <w:rFonts w:ascii="宋体" w:hAnsi="宋体" w:cs="宋体"/>
                <w:b/>
                <w:bCs/>
                <w:color w:val="auto"/>
                <w:sz w:val="24"/>
                <w:highlight w:val="none"/>
              </w:rPr>
            </w:pPr>
            <w:r>
              <w:rPr>
                <w:rFonts w:hint="eastAsia" w:ascii="宋体" w:hAnsi="宋体" w:cs="宋体"/>
                <w:b/>
                <w:bCs/>
                <w:color w:val="auto"/>
                <w:sz w:val="24"/>
                <w:highlight w:val="none"/>
              </w:rPr>
              <w:t>保险公司名称</w:t>
            </w:r>
          </w:p>
        </w:tc>
        <w:tc>
          <w:tcPr>
            <w:tcW w:w="2288" w:type="dxa"/>
            <w:vAlign w:val="center"/>
          </w:tcPr>
          <w:p w14:paraId="1A96FD1A">
            <w:pPr>
              <w:widowControl w:val="0"/>
              <w:jc w:val="center"/>
              <w:rPr>
                <w:rFonts w:ascii="宋体" w:hAnsi="宋体" w:cs="宋体"/>
                <w:b/>
                <w:bCs/>
                <w:color w:val="auto"/>
                <w:sz w:val="24"/>
                <w:highlight w:val="none"/>
              </w:rPr>
            </w:pPr>
            <w:r>
              <w:rPr>
                <w:rFonts w:hint="eastAsia" w:ascii="宋体" w:hAnsi="宋体" w:cs="宋体"/>
                <w:b/>
                <w:bCs/>
                <w:color w:val="auto"/>
                <w:sz w:val="24"/>
                <w:highlight w:val="none"/>
              </w:rPr>
              <w:t>保费率</w:t>
            </w:r>
          </w:p>
        </w:tc>
        <w:tc>
          <w:tcPr>
            <w:tcW w:w="1287" w:type="dxa"/>
            <w:vAlign w:val="center"/>
          </w:tcPr>
          <w:p w14:paraId="5EB66BE2">
            <w:pPr>
              <w:widowControl w:val="0"/>
              <w:jc w:val="center"/>
              <w:rPr>
                <w:rFonts w:ascii="宋体" w:hAnsi="宋体" w:cs="宋体"/>
                <w:b/>
                <w:bCs/>
                <w:color w:val="auto"/>
                <w:sz w:val="24"/>
                <w:highlight w:val="none"/>
              </w:rPr>
            </w:pPr>
            <w:r>
              <w:rPr>
                <w:rFonts w:hint="eastAsia" w:ascii="宋体" w:hAnsi="宋体" w:cs="宋体"/>
                <w:b/>
                <w:bCs/>
                <w:color w:val="auto"/>
                <w:sz w:val="24"/>
                <w:highlight w:val="none"/>
              </w:rPr>
              <w:t>联系人</w:t>
            </w:r>
          </w:p>
        </w:tc>
        <w:tc>
          <w:tcPr>
            <w:tcW w:w="1600" w:type="dxa"/>
            <w:vAlign w:val="center"/>
          </w:tcPr>
          <w:p w14:paraId="044FC9D9">
            <w:pPr>
              <w:widowControl w:val="0"/>
              <w:jc w:val="center"/>
              <w:rPr>
                <w:rFonts w:ascii="宋体" w:hAnsi="宋体" w:cs="宋体"/>
                <w:b/>
                <w:bCs/>
                <w:color w:val="auto"/>
                <w:sz w:val="24"/>
                <w:highlight w:val="none"/>
              </w:rPr>
            </w:pPr>
            <w:r>
              <w:rPr>
                <w:rFonts w:hint="eastAsia" w:ascii="宋体" w:hAnsi="宋体" w:cs="宋体"/>
                <w:b/>
                <w:bCs/>
                <w:color w:val="auto"/>
                <w:sz w:val="24"/>
                <w:highlight w:val="none"/>
              </w:rPr>
              <w:t>联系电话</w:t>
            </w:r>
          </w:p>
        </w:tc>
      </w:tr>
      <w:tr w14:paraId="4DC5CE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5ED0AADB">
            <w:pPr>
              <w:widowControl w:val="0"/>
              <w:jc w:val="left"/>
              <w:rPr>
                <w:rFonts w:ascii="宋体" w:hAnsi="宋体" w:cs="宋体"/>
                <w:color w:val="auto"/>
                <w:sz w:val="24"/>
                <w:highlight w:val="none"/>
              </w:rPr>
            </w:pPr>
            <w:r>
              <w:rPr>
                <w:rFonts w:hint="eastAsia" w:ascii="宋体" w:hAnsi="宋体" w:cs="宋体"/>
                <w:color w:val="auto"/>
                <w:sz w:val="24"/>
                <w:highlight w:val="none"/>
              </w:rPr>
              <w:t>中国人寿财产保险股份有限公司台州中心支公司</w:t>
            </w:r>
          </w:p>
        </w:tc>
        <w:tc>
          <w:tcPr>
            <w:tcW w:w="2288" w:type="dxa"/>
          </w:tcPr>
          <w:p w14:paraId="484B4D58">
            <w:pPr>
              <w:widowControl w:val="0"/>
              <w:jc w:val="left"/>
              <w:rPr>
                <w:rFonts w:ascii="宋体" w:hAnsi="宋体" w:cs="宋体"/>
                <w:color w:val="auto"/>
                <w:sz w:val="24"/>
                <w:highlight w:val="none"/>
              </w:rPr>
            </w:pPr>
            <w:r>
              <w:rPr>
                <w:rFonts w:hint="eastAsia" w:ascii="宋体" w:hAnsi="宋体" w:cs="宋体"/>
                <w:color w:val="auto"/>
                <w:sz w:val="24"/>
                <w:highlight w:val="none"/>
              </w:rPr>
              <w:t>年费率3%，最低保费500元</w:t>
            </w:r>
          </w:p>
        </w:tc>
        <w:tc>
          <w:tcPr>
            <w:tcW w:w="1287" w:type="dxa"/>
            <w:vAlign w:val="center"/>
          </w:tcPr>
          <w:p w14:paraId="182917C2">
            <w:pPr>
              <w:widowControl w:val="0"/>
              <w:jc w:val="center"/>
              <w:rPr>
                <w:rFonts w:ascii="宋体" w:hAnsi="宋体" w:cs="宋体"/>
                <w:color w:val="auto"/>
                <w:sz w:val="24"/>
                <w:highlight w:val="none"/>
              </w:rPr>
            </w:pPr>
            <w:r>
              <w:rPr>
                <w:rFonts w:hint="eastAsia" w:ascii="宋体" w:hAnsi="宋体" w:cs="宋体"/>
                <w:color w:val="auto"/>
                <w:sz w:val="24"/>
                <w:highlight w:val="none"/>
              </w:rPr>
              <w:t>徐凌</w:t>
            </w:r>
          </w:p>
        </w:tc>
        <w:tc>
          <w:tcPr>
            <w:tcW w:w="1600" w:type="dxa"/>
            <w:vAlign w:val="center"/>
          </w:tcPr>
          <w:p w14:paraId="53EAC13B">
            <w:pPr>
              <w:widowControl w:val="0"/>
              <w:jc w:val="center"/>
              <w:rPr>
                <w:rFonts w:ascii="宋体" w:hAnsi="宋体" w:cs="宋体"/>
                <w:color w:val="auto"/>
                <w:sz w:val="24"/>
                <w:highlight w:val="none"/>
              </w:rPr>
            </w:pPr>
            <w:r>
              <w:rPr>
                <w:rFonts w:hint="eastAsia" w:ascii="宋体" w:hAnsi="宋体" w:cs="宋体"/>
                <w:color w:val="auto"/>
                <w:sz w:val="24"/>
                <w:highlight w:val="none"/>
              </w:rPr>
              <w:t>13905168070</w:t>
            </w:r>
          </w:p>
        </w:tc>
      </w:tr>
      <w:tr w14:paraId="6FEC45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6260B73B">
            <w:pPr>
              <w:widowControl w:val="0"/>
              <w:jc w:val="left"/>
              <w:rPr>
                <w:rFonts w:ascii="宋体" w:hAnsi="宋体" w:cs="宋体"/>
                <w:color w:val="auto"/>
                <w:sz w:val="24"/>
                <w:highlight w:val="none"/>
              </w:rPr>
            </w:pPr>
            <w:r>
              <w:rPr>
                <w:rFonts w:hint="eastAsia" w:ascii="宋体" w:hAnsi="宋体" w:cs="宋体"/>
                <w:color w:val="auto"/>
                <w:sz w:val="24"/>
                <w:highlight w:val="none"/>
              </w:rPr>
              <w:t>阳光保险台州中心支公司</w:t>
            </w:r>
          </w:p>
        </w:tc>
        <w:tc>
          <w:tcPr>
            <w:tcW w:w="2288" w:type="dxa"/>
          </w:tcPr>
          <w:p w14:paraId="71A0C5BD">
            <w:pPr>
              <w:widowControl w:val="0"/>
              <w:jc w:val="left"/>
              <w:rPr>
                <w:rFonts w:ascii="宋体" w:hAnsi="宋体" w:cs="宋体"/>
                <w:color w:val="auto"/>
                <w:sz w:val="24"/>
                <w:highlight w:val="none"/>
              </w:rPr>
            </w:pPr>
            <w:r>
              <w:rPr>
                <w:rFonts w:hint="eastAsia" w:ascii="宋体" w:hAnsi="宋体" w:cs="宋体"/>
                <w:color w:val="auto"/>
                <w:sz w:val="24"/>
                <w:highlight w:val="none"/>
              </w:rPr>
              <w:t>年费率1%，最低保费500元</w:t>
            </w:r>
          </w:p>
        </w:tc>
        <w:tc>
          <w:tcPr>
            <w:tcW w:w="1287" w:type="dxa"/>
            <w:vAlign w:val="center"/>
          </w:tcPr>
          <w:p w14:paraId="56E742A2">
            <w:pPr>
              <w:widowControl w:val="0"/>
              <w:jc w:val="center"/>
              <w:rPr>
                <w:rFonts w:ascii="宋体" w:hAnsi="宋体" w:cs="宋体"/>
                <w:color w:val="auto"/>
                <w:sz w:val="24"/>
                <w:highlight w:val="none"/>
              </w:rPr>
            </w:pPr>
            <w:r>
              <w:rPr>
                <w:rFonts w:hint="eastAsia" w:ascii="宋体" w:hAnsi="宋体" w:cs="宋体"/>
                <w:color w:val="auto"/>
                <w:sz w:val="24"/>
                <w:highlight w:val="none"/>
              </w:rPr>
              <w:t>林高明</w:t>
            </w:r>
          </w:p>
        </w:tc>
        <w:tc>
          <w:tcPr>
            <w:tcW w:w="1600" w:type="dxa"/>
            <w:vAlign w:val="center"/>
          </w:tcPr>
          <w:p w14:paraId="6A20717A">
            <w:pPr>
              <w:widowControl w:val="0"/>
              <w:jc w:val="center"/>
              <w:rPr>
                <w:rFonts w:ascii="宋体" w:hAnsi="宋体" w:cs="宋体"/>
                <w:color w:val="auto"/>
                <w:sz w:val="24"/>
                <w:highlight w:val="none"/>
              </w:rPr>
            </w:pPr>
            <w:r>
              <w:rPr>
                <w:rFonts w:hint="eastAsia" w:ascii="宋体" w:hAnsi="宋体" w:cs="宋体"/>
                <w:color w:val="auto"/>
                <w:sz w:val="24"/>
                <w:highlight w:val="none"/>
              </w:rPr>
              <w:t>15888682693</w:t>
            </w:r>
          </w:p>
        </w:tc>
      </w:tr>
      <w:tr w14:paraId="21E79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387" w:type="dxa"/>
            <w:vAlign w:val="center"/>
          </w:tcPr>
          <w:p w14:paraId="3F8DF2BD">
            <w:pPr>
              <w:widowControl w:val="0"/>
              <w:jc w:val="left"/>
              <w:rPr>
                <w:rFonts w:ascii="宋体" w:hAnsi="宋体" w:cs="宋体"/>
                <w:color w:val="auto"/>
                <w:sz w:val="24"/>
                <w:highlight w:val="none"/>
              </w:rPr>
            </w:pPr>
            <w:r>
              <w:rPr>
                <w:rFonts w:hint="eastAsia" w:ascii="宋体" w:hAnsi="宋体" w:cs="宋体"/>
                <w:color w:val="auto"/>
                <w:sz w:val="24"/>
                <w:highlight w:val="none"/>
              </w:rPr>
              <w:t>天安财产保险股份有限公司台州中心支公司</w:t>
            </w:r>
          </w:p>
        </w:tc>
        <w:tc>
          <w:tcPr>
            <w:tcW w:w="2288" w:type="dxa"/>
          </w:tcPr>
          <w:p w14:paraId="3A4779EE">
            <w:pPr>
              <w:widowControl w:val="0"/>
              <w:jc w:val="left"/>
              <w:rPr>
                <w:rFonts w:ascii="宋体" w:hAnsi="宋体" w:cs="宋体"/>
                <w:color w:val="auto"/>
                <w:sz w:val="24"/>
                <w:highlight w:val="none"/>
              </w:rPr>
            </w:pPr>
            <w:r>
              <w:rPr>
                <w:rFonts w:hint="eastAsia" w:ascii="宋体" w:hAnsi="宋体" w:cs="宋体"/>
                <w:color w:val="auto"/>
                <w:sz w:val="24"/>
                <w:highlight w:val="none"/>
              </w:rPr>
              <w:t>年费率1%-2%，最低保费500元</w:t>
            </w:r>
          </w:p>
        </w:tc>
        <w:tc>
          <w:tcPr>
            <w:tcW w:w="1287" w:type="dxa"/>
            <w:vAlign w:val="center"/>
          </w:tcPr>
          <w:p w14:paraId="3FB7BD72">
            <w:pPr>
              <w:widowControl w:val="0"/>
              <w:jc w:val="center"/>
              <w:rPr>
                <w:rFonts w:ascii="宋体" w:hAnsi="宋体" w:cs="宋体"/>
                <w:color w:val="auto"/>
                <w:sz w:val="24"/>
                <w:highlight w:val="none"/>
              </w:rPr>
            </w:pPr>
            <w:r>
              <w:rPr>
                <w:rFonts w:hint="eastAsia" w:ascii="宋体" w:hAnsi="宋体" w:cs="宋体"/>
                <w:color w:val="auto"/>
                <w:sz w:val="24"/>
                <w:highlight w:val="none"/>
              </w:rPr>
              <w:t>罗赛</w:t>
            </w:r>
          </w:p>
        </w:tc>
        <w:tc>
          <w:tcPr>
            <w:tcW w:w="1600" w:type="dxa"/>
            <w:vAlign w:val="center"/>
          </w:tcPr>
          <w:p w14:paraId="45AA2A12">
            <w:pPr>
              <w:widowControl w:val="0"/>
              <w:jc w:val="center"/>
              <w:rPr>
                <w:rFonts w:ascii="宋体" w:hAnsi="宋体" w:cs="宋体"/>
                <w:color w:val="auto"/>
                <w:sz w:val="24"/>
                <w:highlight w:val="none"/>
              </w:rPr>
            </w:pPr>
            <w:r>
              <w:rPr>
                <w:rFonts w:hint="eastAsia" w:ascii="宋体" w:hAnsi="宋体" w:cs="宋体"/>
                <w:color w:val="auto"/>
                <w:sz w:val="24"/>
                <w:highlight w:val="none"/>
              </w:rPr>
              <w:t>13736605643</w:t>
            </w:r>
          </w:p>
        </w:tc>
      </w:tr>
    </w:tbl>
    <w:p w14:paraId="1A6B6E2F">
      <w:pPr>
        <w:pStyle w:val="106"/>
        <w:spacing w:line="360" w:lineRule="auto"/>
        <w:ind w:firstLine="240"/>
        <w:rPr>
          <w:rFonts w:ascii="宋体" w:hAnsi="宋体" w:cs="宋体"/>
          <w:color w:val="auto"/>
          <w:highlight w:val="none"/>
        </w:rPr>
      </w:pPr>
    </w:p>
    <w:p w14:paraId="7497FCC4">
      <w:pPr>
        <w:pStyle w:val="106"/>
        <w:spacing w:line="360" w:lineRule="auto"/>
        <w:ind w:firstLine="482" w:firstLineChars="200"/>
        <w:rPr>
          <w:rFonts w:ascii="宋体" w:hAnsi="宋体" w:cs="宋体"/>
          <w:b/>
          <w:bCs/>
          <w:color w:val="auto"/>
          <w:highlight w:val="none"/>
        </w:rPr>
      </w:pPr>
      <w:r>
        <w:rPr>
          <w:rFonts w:hint="eastAsia" w:ascii="宋体" w:hAnsi="宋体" w:cs="宋体"/>
          <w:b/>
          <w:bCs/>
          <w:color w:val="auto"/>
          <w:highlight w:val="none"/>
        </w:rPr>
        <w:t>3、银行（中标项目贷款咨询）</w:t>
      </w:r>
    </w:p>
    <w:p w14:paraId="3A1048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中标供应商如有融资需求，可使用以下银行的政采贷服务。</w:t>
      </w:r>
    </w:p>
    <w:tbl>
      <w:tblPr>
        <w:tblStyle w:val="23"/>
        <w:tblW w:w="9189" w:type="dxa"/>
        <w:jc w:val="center"/>
        <w:tblLayout w:type="fixed"/>
        <w:tblCellMar>
          <w:top w:w="0" w:type="dxa"/>
          <w:left w:w="108" w:type="dxa"/>
          <w:bottom w:w="0" w:type="dxa"/>
          <w:right w:w="108" w:type="dxa"/>
        </w:tblCellMar>
      </w:tblPr>
      <w:tblGrid>
        <w:gridCol w:w="592"/>
        <w:gridCol w:w="4638"/>
        <w:gridCol w:w="1162"/>
        <w:gridCol w:w="1243"/>
        <w:gridCol w:w="1554"/>
      </w:tblGrid>
      <w:tr w14:paraId="420AC8E8">
        <w:tblPrEx>
          <w:tblCellMar>
            <w:top w:w="0" w:type="dxa"/>
            <w:left w:w="108" w:type="dxa"/>
            <w:bottom w:w="0" w:type="dxa"/>
            <w:right w:w="108" w:type="dxa"/>
          </w:tblCellMar>
        </w:tblPrEx>
        <w:trPr>
          <w:trHeight w:val="35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961A">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E58C">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银 行 名 称</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E5E7">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政采贷年利率</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2857">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联系人</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BB6F">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联系电话</w:t>
            </w:r>
          </w:p>
        </w:tc>
      </w:tr>
      <w:tr w14:paraId="19CBBC4C">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C305">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D431">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中国建设银行股份有限公司台州路桥支行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B0BD">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4.80%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BB8D">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徐剑鸿</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B49A">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15167671223</w:t>
            </w:r>
          </w:p>
        </w:tc>
      </w:tr>
      <w:tr w14:paraId="3CE09BAB">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A2AE">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2</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783E">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中国工商银行股份有限公司台州路桥支行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AEB6">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3.8%起</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8128">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倪  昊</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D17A">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15968680259</w:t>
            </w:r>
          </w:p>
        </w:tc>
      </w:tr>
      <w:tr w14:paraId="360CB087">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69CF">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1B4F">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中国农业银行股份有限公司台州路桥支行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1BF7">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3.85%起</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02D7">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丁道兵</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84A8">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13606668045</w:t>
            </w:r>
          </w:p>
        </w:tc>
      </w:tr>
      <w:tr w14:paraId="323FA5C7">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448B">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4</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F88D">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中国银行股份有限公司台州市路桥区支行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3FDA">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4%</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F491">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车  斌</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7BFF">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13750661198</w:t>
            </w:r>
          </w:p>
        </w:tc>
      </w:tr>
      <w:tr w14:paraId="279CFF11">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504B">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5</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EB70">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台州银行股份有限公司</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A224">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7.08%</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A6E3">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黄红芹</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5496">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13968689000</w:t>
            </w:r>
          </w:p>
        </w:tc>
      </w:tr>
      <w:tr w14:paraId="4F3E31E3">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1DF1">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6</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341D">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浙江泰隆商业银行股份有限公司</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D89B">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7.08%</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E8BE">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冯观凤</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5EB4">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17858683988</w:t>
            </w:r>
          </w:p>
        </w:tc>
      </w:tr>
      <w:tr w14:paraId="606D2C0C">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29E4">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7</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CBE8">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中国邮政储蓄银行股份有限公司台州市路桥区支行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12A5">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4.35%起</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FB60">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沈丹华</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27E9">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13306566969</w:t>
            </w:r>
          </w:p>
        </w:tc>
      </w:tr>
      <w:tr w14:paraId="5A5C805C">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B762">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8</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2091">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交通银行股份有限公司台州路桥支行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652F">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3.80%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965F">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刘鲁浙</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A99">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15968662111</w:t>
            </w:r>
          </w:p>
        </w:tc>
      </w:tr>
      <w:tr w14:paraId="22EB826C">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D326">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9</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5F12">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兴业银行股份有限公司台州路桥支行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D445">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4%起</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633E">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蒋  峰</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BDB0">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13586088395</w:t>
            </w:r>
          </w:p>
        </w:tc>
      </w:tr>
      <w:tr w14:paraId="47B02C31">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3B69">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10</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B1D4">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中信银行股份有限公司台州路桥支行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B590">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4.15%起</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997E">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曹筱婕</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C077">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18105768199</w:t>
            </w:r>
          </w:p>
        </w:tc>
      </w:tr>
      <w:tr w14:paraId="3184FCA0">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534F">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3AA5">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浙商银行股份有限公司台州路桥小微企业专营支行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39D9">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6.75%</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C8A8">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庄道勇</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B535">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13867611023</w:t>
            </w:r>
          </w:p>
        </w:tc>
      </w:tr>
      <w:tr w14:paraId="7AE82DD3">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1A98">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12</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8EE4">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广发银行股份有限公司台州路桥小微企业专营支行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0DAC">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5.65%</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AA05">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林  春</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4D62">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13858687790</w:t>
            </w:r>
          </w:p>
        </w:tc>
      </w:tr>
      <w:tr w14:paraId="3B19FD5E">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E51D">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2748">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平安银行股份有限公司台州路桥小微企业专营支行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E09D">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7%</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3856">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李俊丽</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BDF8">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15906861025</w:t>
            </w:r>
          </w:p>
        </w:tc>
      </w:tr>
      <w:tr w14:paraId="44C6C2D6">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7810">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14</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909F">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宁波银行股份有限公司台州路桥小微企业专营支行</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12F2">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5%-6%</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1BB2">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李诚杰</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1ABA">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13395745558</w:t>
            </w:r>
          </w:p>
        </w:tc>
      </w:tr>
      <w:tr w14:paraId="42F357A6">
        <w:tblPrEx>
          <w:tblCellMar>
            <w:top w:w="0" w:type="dxa"/>
            <w:left w:w="108" w:type="dxa"/>
            <w:bottom w:w="0" w:type="dxa"/>
            <w:right w:w="108" w:type="dxa"/>
          </w:tblCellMar>
        </w:tblPrEx>
        <w:trPr>
          <w:trHeight w:val="525" w:hRule="atLeast"/>
          <w:jc w:val="center"/>
        </w:trPr>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EB3F">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5343">
            <w:pPr>
              <w:jc w:val="left"/>
              <w:textAlignment w:val="center"/>
              <w:rPr>
                <w:rFonts w:ascii="宋体" w:hAnsi="宋体" w:cs="宋体"/>
                <w:color w:val="auto"/>
                <w:sz w:val="24"/>
                <w:highlight w:val="none"/>
              </w:rPr>
            </w:pPr>
            <w:r>
              <w:rPr>
                <w:rFonts w:hint="eastAsia" w:ascii="宋体" w:hAnsi="宋体" w:cs="宋体"/>
                <w:color w:val="auto"/>
                <w:kern w:val="0"/>
                <w:sz w:val="24"/>
                <w:highlight w:val="none"/>
              </w:rPr>
              <w:t>浙江台州路桥富民村镇银行股份有限公司</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D6A5">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7.80%</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98F1">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金根灵</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A46F">
            <w:pPr>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13157608788</w:t>
            </w:r>
          </w:p>
        </w:tc>
      </w:tr>
    </w:tbl>
    <w:p w14:paraId="23AAA86C">
      <w:pPr>
        <w:spacing w:line="360" w:lineRule="auto"/>
        <w:jc w:val="right"/>
        <w:rPr>
          <w:rStyle w:val="27"/>
          <w:rFonts w:ascii="宋体" w:hAnsi="宋体"/>
          <w:color w:val="auto"/>
          <w:sz w:val="24"/>
          <w:szCs w:val="32"/>
          <w:highlight w:val="none"/>
        </w:rPr>
      </w:pPr>
      <w:r>
        <w:rPr>
          <w:rStyle w:val="27"/>
          <w:rFonts w:hint="eastAsia" w:ascii="宋体" w:hAnsi="宋体"/>
          <w:color w:val="auto"/>
          <w:sz w:val="24"/>
          <w:szCs w:val="32"/>
          <w:highlight w:val="none"/>
        </w:rPr>
        <w:t>大地工程咨询有限公司</w:t>
      </w:r>
    </w:p>
    <w:p w14:paraId="1817E1A0">
      <w:pPr>
        <w:spacing w:line="360" w:lineRule="auto"/>
        <w:ind w:firstLine="6240" w:firstLineChars="2600"/>
        <w:rPr>
          <w:rStyle w:val="27"/>
          <w:rFonts w:ascii="宋体" w:hAnsi="宋体"/>
          <w:color w:val="auto"/>
          <w:sz w:val="24"/>
          <w:szCs w:val="32"/>
          <w:highlight w:val="none"/>
        </w:rPr>
      </w:pPr>
      <w:r>
        <w:rPr>
          <w:rStyle w:val="27"/>
          <w:rFonts w:hint="eastAsia" w:ascii="宋体" w:hAnsi="宋体"/>
          <w:color w:val="auto"/>
          <w:sz w:val="24"/>
          <w:szCs w:val="32"/>
          <w:highlight w:val="none"/>
        </w:rPr>
        <w:t>2025</w:t>
      </w:r>
      <w:r>
        <w:rPr>
          <w:rStyle w:val="27"/>
          <w:rFonts w:ascii="宋体" w:hAnsi="宋体"/>
          <w:color w:val="auto"/>
          <w:sz w:val="24"/>
          <w:szCs w:val="32"/>
          <w:highlight w:val="none"/>
        </w:rPr>
        <w:t>年</w:t>
      </w:r>
      <w:r>
        <w:rPr>
          <w:rStyle w:val="27"/>
          <w:rFonts w:hint="eastAsia" w:ascii="宋体" w:hAnsi="宋体"/>
          <w:color w:val="auto"/>
          <w:sz w:val="24"/>
          <w:szCs w:val="32"/>
          <w:highlight w:val="none"/>
          <w:lang w:val="en-US" w:eastAsia="zh-CN"/>
        </w:rPr>
        <w:t>12</w:t>
      </w:r>
      <w:r>
        <w:rPr>
          <w:rStyle w:val="27"/>
          <w:rFonts w:ascii="宋体" w:hAnsi="宋体"/>
          <w:color w:val="auto"/>
          <w:sz w:val="24"/>
          <w:szCs w:val="32"/>
          <w:highlight w:val="none"/>
        </w:rPr>
        <w:t>月</w:t>
      </w:r>
    </w:p>
    <w:p w14:paraId="46B25BF2">
      <w:pPr>
        <w:spacing w:line="360" w:lineRule="auto"/>
        <w:rPr>
          <w:rStyle w:val="27"/>
          <w:rFonts w:ascii="宋体" w:hAnsi="宋体"/>
          <w:color w:val="auto"/>
          <w:sz w:val="24"/>
          <w:szCs w:val="32"/>
          <w:highlight w:val="none"/>
        </w:rPr>
      </w:pPr>
    </w:p>
    <w:p w14:paraId="670A7259">
      <w:pPr>
        <w:spacing w:line="360" w:lineRule="auto"/>
        <w:rPr>
          <w:rStyle w:val="27"/>
          <w:rFonts w:ascii="宋体" w:hAnsi="宋体"/>
          <w:color w:val="auto"/>
          <w:sz w:val="24"/>
          <w:szCs w:val="32"/>
          <w:highlight w:val="none"/>
        </w:rPr>
      </w:pPr>
    </w:p>
    <w:p w14:paraId="0A819304">
      <w:pPr>
        <w:spacing w:line="360" w:lineRule="auto"/>
        <w:rPr>
          <w:rStyle w:val="27"/>
          <w:rFonts w:ascii="宋体" w:hAnsi="宋体"/>
          <w:color w:val="auto"/>
          <w:sz w:val="24"/>
          <w:szCs w:val="32"/>
          <w:highlight w:val="none"/>
        </w:rPr>
      </w:pPr>
    </w:p>
    <w:p w14:paraId="20F6C2C7">
      <w:pPr>
        <w:spacing w:line="360" w:lineRule="auto"/>
        <w:rPr>
          <w:rStyle w:val="27"/>
          <w:rFonts w:ascii="宋体" w:hAnsi="宋体"/>
          <w:color w:val="auto"/>
          <w:sz w:val="24"/>
          <w:szCs w:val="32"/>
          <w:highlight w:val="none"/>
        </w:rPr>
      </w:pPr>
    </w:p>
    <w:p w14:paraId="52038525">
      <w:pPr>
        <w:spacing w:line="360" w:lineRule="auto"/>
        <w:rPr>
          <w:rStyle w:val="27"/>
          <w:rFonts w:ascii="宋体" w:hAnsi="宋体"/>
          <w:color w:val="auto"/>
          <w:sz w:val="24"/>
          <w:szCs w:val="32"/>
          <w:highlight w:val="none"/>
        </w:rPr>
      </w:pPr>
    </w:p>
    <w:p w14:paraId="0689DB29">
      <w:pPr>
        <w:spacing w:line="360" w:lineRule="auto"/>
        <w:rPr>
          <w:rStyle w:val="27"/>
          <w:rFonts w:ascii="宋体" w:hAnsi="宋体"/>
          <w:color w:val="auto"/>
          <w:sz w:val="24"/>
          <w:szCs w:val="32"/>
          <w:highlight w:val="none"/>
        </w:rPr>
      </w:pPr>
    </w:p>
    <w:p w14:paraId="78C7667C">
      <w:pPr>
        <w:pStyle w:val="32"/>
        <w:rPr>
          <w:rStyle w:val="27"/>
          <w:rFonts w:ascii="宋体" w:hAnsi="宋体" w:eastAsia="宋体"/>
          <w:color w:val="auto"/>
          <w:kern w:val="2"/>
          <w:sz w:val="24"/>
          <w:szCs w:val="32"/>
          <w:highlight w:val="none"/>
        </w:rPr>
      </w:pPr>
    </w:p>
    <w:p w14:paraId="5AFB4171">
      <w:pPr>
        <w:pStyle w:val="32"/>
        <w:rPr>
          <w:rStyle w:val="27"/>
          <w:rFonts w:ascii="宋体" w:hAnsi="宋体" w:eastAsia="宋体"/>
          <w:color w:val="auto"/>
          <w:kern w:val="2"/>
          <w:sz w:val="24"/>
          <w:szCs w:val="32"/>
          <w:highlight w:val="none"/>
        </w:rPr>
      </w:pPr>
    </w:p>
    <w:p w14:paraId="7F1329D3">
      <w:pPr>
        <w:pStyle w:val="32"/>
        <w:rPr>
          <w:rStyle w:val="27"/>
          <w:rFonts w:ascii="宋体" w:hAnsi="宋体" w:eastAsia="宋体"/>
          <w:color w:val="auto"/>
          <w:kern w:val="2"/>
          <w:sz w:val="24"/>
          <w:szCs w:val="32"/>
          <w:highlight w:val="none"/>
        </w:rPr>
      </w:pPr>
    </w:p>
    <w:p w14:paraId="35A4D2FC">
      <w:pPr>
        <w:pStyle w:val="32"/>
        <w:rPr>
          <w:rStyle w:val="27"/>
          <w:rFonts w:ascii="宋体" w:hAnsi="宋体" w:eastAsia="宋体"/>
          <w:color w:val="auto"/>
          <w:kern w:val="2"/>
          <w:sz w:val="24"/>
          <w:szCs w:val="32"/>
          <w:highlight w:val="none"/>
        </w:rPr>
      </w:pPr>
    </w:p>
    <w:p w14:paraId="6E620D3E">
      <w:pPr>
        <w:pStyle w:val="32"/>
        <w:rPr>
          <w:rStyle w:val="27"/>
          <w:rFonts w:ascii="宋体" w:hAnsi="宋体" w:eastAsia="宋体"/>
          <w:color w:val="auto"/>
          <w:kern w:val="2"/>
          <w:sz w:val="24"/>
          <w:szCs w:val="32"/>
          <w:highlight w:val="none"/>
        </w:rPr>
      </w:pPr>
    </w:p>
    <w:p w14:paraId="1531A9AA">
      <w:pPr>
        <w:pStyle w:val="32"/>
        <w:rPr>
          <w:rStyle w:val="27"/>
          <w:rFonts w:ascii="宋体" w:hAnsi="宋体" w:eastAsia="宋体"/>
          <w:color w:val="auto"/>
          <w:kern w:val="2"/>
          <w:sz w:val="24"/>
          <w:szCs w:val="32"/>
          <w:highlight w:val="none"/>
        </w:rPr>
      </w:pPr>
    </w:p>
    <w:p w14:paraId="144A4896">
      <w:pPr>
        <w:pStyle w:val="32"/>
        <w:rPr>
          <w:rStyle w:val="27"/>
          <w:rFonts w:ascii="宋体" w:hAnsi="宋体" w:eastAsia="宋体"/>
          <w:color w:val="auto"/>
          <w:kern w:val="2"/>
          <w:sz w:val="24"/>
          <w:szCs w:val="32"/>
          <w:highlight w:val="none"/>
        </w:rPr>
      </w:pPr>
    </w:p>
    <w:p w14:paraId="72F6D634">
      <w:pPr>
        <w:pStyle w:val="32"/>
        <w:rPr>
          <w:rStyle w:val="27"/>
          <w:rFonts w:ascii="宋体" w:hAnsi="宋体" w:eastAsia="宋体"/>
          <w:color w:val="auto"/>
          <w:kern w:val="2"/>
          <w:sz w:val="24"/>
          <w:szCs w:val="32"/>
          <w:highlight w:val="none"/>
        </w:rPr>
      </w:pPr>
    </w:p>
    <w:p w14:paraId="183DC053">
      <w:pPr>
        <w:pStyle w:val="32"/>
        <w:rPr>
          <w:rStyle w:val="27"/>
          <w:rFonts w:ascii="宋体" w:hAnsi="宋体" w:eastAsia="宋体"/>
          <w:color w:val="auto"/>
          <w:kern w:val="2"/>
          <w:sz w:val="24"/>
          <w:szCs w:val="32"/>
          <w:highlight w:val="none"/>
        </w:rPr>
      </w:pPr>
    </w:p>
    <w:p w14:paraId="72B53DC9">
      <w:pPr>
        <w:rPr>
          <w:rStyle w:val="27"/>
          <w:rFonts w:ascii="宋体" w:hAnsi="宋体" w:cs="宋体"/>
          <w:b/>
          <w:bCs/>
          <w:color w:val="auto"/>
          <w:sz w:val="36"/>
          <w:szCs w:val="44"/>
          <w:highlight w:val="none"/>
        </w:rPr>
      </w:pPr>
      <w:r>
        <w:rPr>
          <w:rStyle w:val="27"/>
          <w:rFonts w:ascii="宋体" w:hAnsi="宋体" w:cs="宋体"/>
          <w:b/>
          <w:bCs/>
          <w:color w:val="auto"/>
          <w:sz w:val="36"/>
          <w:szCs w:val="44"/>
          <w:highlight w:val="none"/>
        </w:rPr>
        <w:br w:type="page"/>
      </w:r>
    </w:p>
    <w:p w14:paraId="49170B4C">
      <w:pPr>
        <w:spacing w:line="360" w:lineRule="auto"/>
        <w:jc w:val="center"/>
        <w:rPr>
          <w:rStyle w:val="27"/>
          <w:rFonts w:ascii="宋体" w:hAnsi="宋体" w:cs="宋体"/>
          <w:b/>
          <w:bCs/>
          <w:color w:val="auto"/>
          <w:sz w:val="36"/>
          <w:szCs w:val="44"/>
          <w:highlight w:val="none"/>
        </w:rPr>
      </w:pPr>
      <w:r>
        <w:rPr>
          <w:rStyle w:val="27"/>
          <w:rFonts w:ascii="宋体" w:hAnsi="宋体" w:cs="宋体"/>
          <w:b/>
          <w:bCs/>
          <w:color w:val="auto"/>
          <w:sz w:val="36"/>
          <w:szCs w:val="44"/>
          <w:highlight w:val="none"/>
        </w:rPr>
        <w:t>第二章 投标人须知</w:t>
      </w:r>
    </w:p>
    <w:p w14:paraId="4D85C35D">
      <w:pPr>
        <w:spacing w:line="360" w:lineRule="auto"/>
        <w:ind w:firstLine="482" w:firstLineChars="200"/>
        <w:jc w:val="center"/>
        <w:rPr>
          <w:rStyle w:val="27"/>
          <w:rFonts w:ascii="宋体" w:hAnsi="宋体" w:cs="宋体"/>
          <w:b/>
          <w:bCs/>
          <w:color w:val="auto"/>
          <w:sz w:val="24"/>
          <w:szCs w:val="32"/>
          <w:highlight w:val="none"/>
        </w:rPr>
      </w:pPr>
      <w:r>
        <w:rPr>
          <w:rStyle w:val="27"/>
          <w:rFonts w:ascii="宋体" w:hAnsi="宋体" w:cs="宋体"/>
          <w:b/>
          <w:bCs/>
          <w:color w:val="auto"/>
          <w:sz w:val="24"/>
          <w:szCs w:val="32"/>
          <w:highlight w:val="none"/>
        </w:rPr>
        <w:t>前附表</w:t>
      </w:r>
    </w:p>
    <w:tbl>
      <w:tblPr>
        <w:tblStyle w:val="23"/>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1840"/>
        <w:gridCol w:w="7144"/>
      </w:tblGrid>
      <w:tr w14:paraId="1186B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6E3D1BDA">
            <w:pPr>
              <w:jc w:val="center"/>
              <w:rPr>
                <w:rStyle w:val="27"/>
                <w:rFonts w:ascii="宋体"/>
                <w:color w:val="auto"/>
                <w:sz w:val="24"/>
                <w:highlight w:val="none"/>
              </w:rPr>
            </w:pPr>
            <w:r>
              <w:rPr>
                <w:rStyle w:val="27"/>
                <w:rFonts w:ascii="宋体" w:hAnsi="宋体"/>
                <w:color w:val="auto"/>
                <w:sz w:val="24"/>
                <w:highlight w:val="none"/>
              </w:rPr>
              <w:t>序号</w:t>
            </w:r>
          </w:p>
        </w:tc>
        <w:tc>
          <w:tcPr>
            <w:tcW w:w="1840" w:type="dxa"/>
            <w:tcBorders>
              <w:top w:val="single" w:color="000000" w:sz="4" w:space="0"/>
              <w:left w:val="single" w:color="000000" w:sz="4" w:space="0"/>
              <w:bottom w:val="single" w:color="000000" w:sz="4" w:space="0"/>
              <w:right w:val="single" w:color="000000" w:sz="4" w:space="0"/>
            </w:tcBorders>
            <w:vAlign w:val="center"/>
          </w:tcPr>
          <w:p w14:paraId="0F463440">
            <w:pPr>
              <w:jc w:val="center"/>
              <w:rPr>
                <w:rStyle w:val="27"/>
                <w:rFonts w:ascii="宋体"/>
                <w:color w:val="auto"/>
                <w:sz w:val="24"/>
                <w:highlight w:val="none"/>
              </w:rPr>
            </w:pPr>
            <w:r>
              <w:rPr>
                <w:rStyle w:val="27"/>
                <w:rFonts w:ascii="宋体" w:hAnsi="宋体"/>
                <w:color w:val="auto"/>
                <w:sz w:val="24"/>
                <w:highlight w:val="none"/>
              </w:rPr>
              <w:t>项    目</w:t>
            </w:r>
          </w:p>
        </w:tc>
        <w:tc>
          <w:tcPr>
            <w:tcW w:w="7144" w:type="dxa"/>
            <w:tcBorders>
              <w:top w:val="single" w:color="000000" w:sz="4" w:space="0"/>
              <w:left w:val="single" w:color="000000" w:sz="4" w:space="0"/>
              <w:bottom w:val="single" w:color="000000" w:sz="4" w:space="0"/>
              <w:right w:val="single" w:color="000000" w:sz="4" w:space="0"/>
            </w:tcBorders>
            <w:vAlign w:val="center"/>
          </w:tcPr>
          <w:p w14:paraId="63C6852C">
            <w:pPr>
              <w:jc w:val="center"/>
              <w:rPr>
                <w:rStyle w:val="27"/>
                <w:rFonts w:ascii="宋体"/>
                <w:color w:val="auto"/>
                <w:sz w:val="24"/>
                <w:highlight w:val="none"/>
              </w:rPr>
            </w:pPr>
            <w:r>
              <w:rPr>
                <w:rStyle w:val="27"/>
                <w:rFonts w:ascii="宋体" w:hAnsi="宋体"/>
                <w:color w:val="auto"/>
                <w:sz w:val="24"/>
                <w:highlight w:val="none"/>
              </w:rPr>
              <w:t>内                 容</w:t>
            </w:r>
          </w:p>
        </w:tc>
      </w:tr>
      <w:tr w14:paraId="01D90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300DB764">
            <w:pPr>
              <w:jc w:val="center"/>
              <w:rPr>
                <w:rStyle w:val="27"/>
                <w:rFonts w:ascii="宋体"/>
                <w:color w:val="auto"/>
                <w:sz w:val="24"/>
                <w:highlight w:val="none"/>
              </w:rPr>
            </w:pPr>
            <w:r>
              <w:rPr>
                <w:rStyle w:val="27"/>
                <w:rFonts w:ascii="宋体" w:hAnsi="宋体"/>
                <w:color w:val="auto"/>
                <w:sz w:val="24"/>
                <w:highlight w:val="none"/>
              </w:rPr>
              <w:t>1</w:t>
            </w:r>
          </w:p>
        </w:tc>
        <w:tc>
          <w:tcPr>
            <w:tcW w:w="1840" w:type="dxa"/>
            <w:tcBorders>
              <w:top w:val="single" w:color="000000" w:sz="4" w:space="0"/>
              <w:left w:val="single" w:color="000000" w:sz="4" w:space="0"/>
              <w:bottom w:val="single" w:color="000000" w:sz="4" w:space="0"/>
              <w:right w:val="single" w:color="000000" w:sz="4" w:space="0"/>
            </w:tcBorders>
            <w:vAlign w:val="center"/>
          </w:tcPr>
          <w:p w14:paraId="1E04C11C">
            <w:pPr>
              <w:jc w:val="center"/>
              <w:rPr>
                <w:rStyle w:val="27"/>
                <w:rFonts w:ascii="宋体"/>
                <w:color w:val="auto"/>
                <w:sz w:val="24"/>
                <w:highlight w:val="none"/>
              </w:rPr>
            </w:pPr>
            <w:r>
              <w:rPr>
                <w:rStyle w:val="27"/>
                <w:rFonts w:ascii="宋体" w:hAnsi="宋体"/>
                <w:color w:val="auto"/>
                <w:sz w:val="24"/>
                <w:highlight w:val="none"/>
              </w:rPr>
              <w:t>供应商特定资格要求</w:t>
            </w:r>
          </w:p>
        </w:tc>
        <w:tc>
          <w:tcPr>
            <w:tcW w:w="7144" w:type="dxa"/>
            <w:tcBorders>
              <w:top w:val="single" w:color="000000" w:sz="4" w:space="0"/>
              <w:left w:val="single" w:color="000000" w:sz="4" w:space="0"/>
              <w:bottom w:val="single" w:color="000000" w:sz="4" w:space="0"/>
              <w:right w:val="single" w:color="000000" w:sz="4" w:space="0"/>
            </w:tcBorders>
            <w:vAlign w:val="center"/>
          </w:tcPr>
          <w:p w14:paraId="33FFFB7D">
            <w:pPr>
              <w:rPr>
                <w:rStyle w:val="27"/>
                <w:rFonts w:ascii="宋体"/>
                <w:color w:val="auto"/>
                <w:sz w:val="24"/>
                <w:highlight w:val="none"/>
              </w:rPr>
            </w:pPr>
            <w:r>
              <w:rPr>
                <w:rStyle w:val="27"/>
                <w:rFonts w:ascii="宋体" w:hAnsi="宋体"/>
                <w:color w:val="auto"/>
                <w:sz w:val="24"/>
                <w:highlight w:val="none"/>
              </w:rPr>
              <w:t>符合招标公告资格要求的供应商。</w:t>
            </w:r>
          </w:p>
        </w:tc>
      </w:tr>
      <w:tr w14:paraId="1AA3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7312F27F">
            <w:pPr>
              <w:jc w:val="center"/>
              <w:rPr>
                <w:rStyle w:val="27"/>
                <w:rFonts w:ascii="宋体"/>
                <w:color w:val="auto"/>
                <w:sz w:val="24"/>
                <w:highlight w:val="none"/>
              </w:rPr>
            </w:pPr>
            <w:r>
              <w:rPr>
                <w:rStyle w:val="27"/>
                <w:rFonts w:ascii="宋体" w:hAnsi="宋体"/>
                <w:color w:val="auto"/>
                <w:sz w:val="24"/>
                <w:highlight w:val="none"/>
              </w:rPr>
              <w:t>2</w:t>
            </w:r>
          </w:p>
        </w:tc>
        <w:tc>
          <w:tcPr>
            <w:tcW w:w="1840" w:type="dxa"/>
            <w:tcBorders>
              <w:top w:val="single" w:color="000000" w:sz="4" w:space="0"/>
              <w:left w:val="single" w:color="000000" w:sz="4" w:space="0"/>
              <w:bottom w:val="single" w:color="000000" w:sz="4" w:space="0"/>
              <w:right w:val="single" w:color="000000" w:sz="4" w:space="0"/>
            </w:tcBorders>
            <w:vAlign w:val="center"/>
          </w:tcPr>
          <w:p w14:paraId="15E650DF">
            <w:pPr>
              <w:jc w:val="center"/>
              <w:rPr>
                <w:rStyle w:val="27"/>
                <w:rFonts w:ascii="宋体"/>
                <w:color w:val="auto"/>
                <w:sz w:val="24"/>
                <w:highlight w:val="none"/>
              </w:rPr>
            </w:pPr>
            <w:r>
              <w:rPr>
                <w:rStyle w:val="27"/>
                <w:rFonts w:ascii="宋体" w:hAnsi="宋体"/>
                <w:color w:val="auto"/>
                <w:kern w:val="0"/>
                <w:sz w:val="24"/>
                <w:highlight w:val="none"/>
              </w:rPr>
              <w:t>答疑会或</w:t>
            </w:r>
            <w:r>
              <w:rPr>
                <w:rStyle w:val="27"/>
                <w:rFonts w:ascii="宋体" w:hAnsi="宋体"/>
                <w:color w:val="auto"/>
                <w:sz w:val="24"/>
                <w:highlight w:val="none"/>
              </w:rPr>
              <w:t>现场踏勘</w:t>
            </w:r>
          </w:p>
        </w:tc>
        <w:tc>
          <w:tcPr>
            <w:tcW w:w="7144" w:type="dxa"/>
            <w:tcBorders>
              <w:top w:val="single" w:color="000000" w:sz="4" w:space="0"/>
              <w:left w:val="single" w:color="000000" w:sz="4" w:space="0"/>
              <w:bottom w:val="single" w:color="000000" w:sz="4" w:space="0"/>
              <w:right w:val="single" w:color="000000" w:sz="4" w:space="0"/>
            </w:tcBorders>
            <w:vAlign w:val="center"/>
          </w:tcPr>
          <w:p w14:paraId="0E979989">
            <w:pPr>
              <w:rPr>
                <w:rStyle w:val="27"/>
                <w:rFonts w:ascii="宋体"/>
                <w:color w:val="auto"/>
                <w:sz w:val="24"/>
                <w:highlight w:val="none"/>
              </w:rPr>
            </w:pPr>
            <w:r>
              <w:rPr>
                <w:rStyle w:val="27"/>
                <w:rFonts w:ascii="宋体"/>
                <w:color w:val="auto"/>
                <w:sz w:val="24"/>
                <w:highlight w:val="none"/>
              </w:rPr>
              <w:t>无。</w:t>
            </w:r>
          </w:p>
        </w:tc>
      </w:tr>
      <w:tr w14:paraId="12D1A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2BE5BE87">
            <w:pPr>
              <w:jc w:val="center"/>
              <w:rPr>
                <w:rStyle w:val="27"/>
                <w:rFonts w:ascii="宋体"/>
                <w:color w:val="auto"/>
                <w:sz w:val="24"/>
                <w:highlight w:val="none"/>
              </w:rPr>
            </w:pPr>
            <w:r>
              <w:rPr>
                <w:rStyle w:val="27"/>
                <w:rFonts w:ascii="宋体" w:hAnsi="宋体"/>
                <w:color w:val="auto"/>
                <w:sz w:val="24"/>
                <w:highlight w:val="none"/>
              </w:rPr>
              <w:t>3</w:t>
            </w:r>
          </w:p>
        </w:tc>
        <w:tc>
          <w:tcPr>
            <w:tcW w:w="1840" w:type="dxa"/>
            <w:tcBorders>
              <w:top w:val="single" w:color="000000" w:sz="4" w:space="0"/>
              <w:left w:val="single" w:color="000000" w:sz="4" w:space="0"/>
              <w:bottom w:val="single" w:color="000000" w:sz="4" w:space="0"/>
              <w:right w:val="single" w:color="000000" w:sz="4" w:space="0"/>
            </w:tcBorders>
            <w:vAlign w:val="center"/>
          </w:tcPr>
          <w:p w14:paraId="62BEF1BA">
            <w:pPr>
              <w:spacing w:line="360" w:lineRule="auto"/>
              <w:jc w:val="center"/>
              <w:rPr>
                <w:rStyle w:val="27"/>
                <w:rFonts w:ascii="宋体"/>
                <w:color w:val="auto"/>
                <w:sz w:val="24"/>
                <w:highlight w:val="none"/>
              </w:rPr>
            </w:pPr>
            <w:r>
              <w:rPr>
                <w:rStyle w:val="27"/>
                <w:rFonts w:ascii="宋体" w:hAnsi="宋体"/>
                <w:color w:val="auto"/>
                <w:sz w:val="24"/>
                <w:highlight w:val="none"/>
              </w:rPr>
              <w:t>投标文件递交要求</w:t>
            </w:r>
          </w:p>
        </w:tc>
        <w:tc>
          <w:tcPr>
            <w:tcW w:w="7144" w:type="dxa"/>
            <w:tcBorders>
              <w:top w:val="single" w:color="000000" w:sz="4" w:space="0"/>
              <w:left w:val="single" w:color="000000" w:sz="4" w:space="0"/>
              <w:bottom w:val="single" w:color="000000" w:sz="4" w:space="0"/>
              <w:right w:val="single" w:color="000000" w:sz="4" w:space="0"/>
            </w:tcBorders>
            <w:vAlign w:val="center"/>
          </w:tcPr>
          <w:p w14:paraId="4BF2B6F7">
            <w:pPr>
              <w:rPr>
                <w:rStyle w:val="27"/>
                <w:rFonts w:ascii="宋体"/>
                <w:color w:val="auto"/>
                <w:sz w:val="24"/>
                <w:highlight w:val="none"/>
              </w:rPr>
            </w:pPr>
            <w:r>
              <w:rPr>
                <w:rStyle w:val="27"/>
                <w:rFonts w:ascii="宋体"/>
                <w:color w:val="auto"/>
                <w:sz w:val="24"/>
                <w:highlight w:val="none"/>
              </w:rPr>
              <w:t>本项目实行</w:t>
            </w:r>
            <w:r>
              <w:rPr>
                <w:rStyle w:val="27"/>
                <w:rFonts w:ascii="宋体" w:cs="宋体"/>
                <w:b/>
                <w:bCs/>
                <w:color w:val="auto"/>
                <w:sz w:val="24"/>
                <w:highlight w:val="none"/>
              </w:rPr>
              <w:t>电子投标</w:t>
            </w:r>
            <w:r>
              <w:rPr>
                <w:rStyle w:val="27"/>
                <w:rFonts w:ascii="宋体"/>
                <w:color w:val="auto"/>
                <w:sz w:val="24"/>
                <w:highlight w:val="none"/>
              </w:rPr>
              <w:t>，供应商应准备电子投标文件、以介质（U盘）存储的数据电文形式的备份投标文件、纸质备份投标文件三类：</w:t>
            </w:r>
          </w:p>
          <w:p w14:paraId="5BA8842C">
            <w:pPr>
              <w:ind w:firstLine="480" w:firstLineChars="200"/>
              <w:rPr>
                <w:rStyle w:val="27"/>
                <w:rFonts w:ascii="宋体"/>
                <w:color w:val="auto"/>
                <w:sz w:val="24"/>
                <w:highlight w:val="none"/>
              </w:rPr>
            </w:pPr>
            <w:r>
              <w:rPr>
                <w:rStyle w:val="27"/>
                <w:rFonts w:ascii="宋体"/>
                <w:color w:val="auto"/>
                <w:sz w:val="24"/>
                <w:highlight w:val="none"/>
              </w:rPr>
              <w:t>1.电子投标文件，按政采云平台项目采购--电子招投标操作指南及本招标文件要求编制、递交。</w:t>
            </w:r>
          </w:p>
          <w:p w14:paraId="48DA96DE">
            <w:pPr>
              <w:ind w:firstLine="480" w:firstLineChars="200"/>
              <w:rPr>
                <w:rStyle w:val="27"/>
                <w:rFonts w:ascii="宋体"/>
                <w:color w:val="auto"/>
                <w:sz w:val="24"/>
                <w:highlight w:val="none"/>
              </w:rPr>
            </w:pPr>
            <w:r>
              <w:rPr>
                <w:rStyle w:val="27"/>
                <w:rFonts w:ascii="宋体"/>
                <w:color w:val="auto"/>
                <w:sz w:val="24"/>
                <w:highlight w:val="none"/>
              </w:rPr>
              <w:t>2.以介质（U盘）存储的数据电文形式的备份投标文件，按政采云平台项目采购-电子招投标操作指南中上传的电子投标文件格式，以U盘形式提供。</w:t>
            </w:r>
          </w:p>
          <w:p w14:paraId="2ADFF13F">
            <w:pPr>
              <w:ind w:firstLine="480" w:firstLineChars="200"/>
              <w:rPr>
                <w:rStyle w:val="27"/>
                <w:rFonts w:ascii="宋体"/>
                <w:color w:val="auto"/>
                <w:sz w:val="24"/>
                <w:highlight w:val="none"/>
              </w:rPr>
            </w:pPr>
            <w:r>
              <w:rPr>
                <w:rStyle w:val="27"/>
                <w:rFonts w:ascii="宋体"/>
                <w:color w:val="auto"/>
                <w:sz w:val="24"/>
                <w:highlight w:val="none"/>
              </w:rPr>
              <w:t>3.纸质备份投标文件以纸质文件的形式编制，按</w:t>
            </w:r>
            <w:r>
              <w:rPr>
                <w:rStyle w:val="27"/>
                <w:rFonts w:ascii="宋体" w:hAnsi="宋体"/>
                <w:color w:val="auto"/>
                <w:sz w:val="24"/>
                <w:highlight w:val="none"/>
              </w:rPr>
              <w:t>资格证明文件、商务技术文件、报价文件三部分</w:t>
            </w:r>
            <w:r>
              <w:rPr>
                <w:rStyle w:val="27"/>
                <w:rFonts w:ascii="宋体"/>
                <w:color w:val="auto"/>
                <w:sz w:val="24"/>
                <w:highlight w:val="none"/>
              </w:rPr>
              <w:t>分别编制并单独装订成册，</w:t>
            </w:r>
            <w:r>
              <w:rPr>
                <w:rStyle w:val="27"/>
                <w:rFonts w:ascii="宋体" w:hAnsi="宋体" w:cs="宋体"/>
                <w:b/>
                <w:bCs/>
                <w:color w:val="auto"/>
                <w:sz w:val="24"/>
                <w:highlight w:val="none"/>
              </w:rPr>
              <w:t>数量均为2份（一正一副）</w:t>
            </w:r>
            <w:r>
              <w:rPr>
                <w:rStyle w:val="27"/>
                <w:rFonts w:ascii="宋体"/>
                <w:color w:val="auto"/>
                <w:sz w:val="24"/>
                <w:highlight w:val="none"/>
              </w:rPr>
              <w:t>。</w:t>
            </w:r>
            <w:r>
              <w:rPr>
                <w:rStyle w:val="27"/>
                <w:rFonts w:ascii="宋体" w:hAnsi="宋体"/>
                <w:color w:val="auto"/>
                <w:sz w:val="24"/>
                <w:highlight w:val="none"/>
              </w:rPr>
              <w:t>资格证明文件、商务技术文件、报价文件三部分</w:t>
            </w:r>
            <w:r>
              <w:rPr>
                <w:rStyle w:val="27"/>
                <w:rFonts w:ascii="宋体"/>
                <w:color w:val="auto"/>
                <w:sz w:val="24"/>
                <w:highlight w:val="none"/>
              </w:rPr>
              <w:t>须分别密封封装，</w:t>
            </w:r>
            <w:r>
              <w:rPr>
                <w:rStyle w:val="27"/>
                <w:rFonts w:ascii="宋体" w:hAnsi="宋体"/>
                <w:color w:val="auto"/>
                <w:sz w:val="24"/>
                <w:highlight w:val="none"/>
              </w:rPr>
              <w:t>资格证明文件、商务技术文件、报价文件三部分</w:t>
            </w:r>
            <w:r>
              <w:rPr>
                <w:rStyle w:val="27"/>
                <w:rFonts w:ascii="宋体"/>
                <w:color w:val="auto"/>
                <w:sz w:val="24"/>
                <w:highlight w:val="none"/>
              </w:rPr>
              <w:t>未分别密封的投标文件将为无效。</w:t>
            </w:r>
          </w:p>
          <w:p w14:paraId="74557F93">
            <w:pPr>
              <w:ind w:firstLine="480" w:firstLineChars="200"/>
              <w:rPr>
                <w:rStyle w:val="27"/>
                <w:rFonts w:ascii="宋体"/>
                <w:color w:val="auto"/>
                <w:sz w:val="24"/>
                <w:highlight w:val="none"/>
              </w:rPr>
            </w:pPr>
            <w:r>
              <w:rPr>
                <w:rStyle w:val="27"/>
                <w:rFonts w:ascii="宋体"/>
                <w:color w:val="auto"/>
                <w:sz w:val="24"/>
                <w:highlight w:val="none"/>
              </w:rPr>
              <w:t>4.投标文件启用顺序和效力：投标文件的启用，按先后顺位分别为电子投标文件、以介质（U盘）存储的数据电文形式的备份投标文件、纸质备份投标文件。顺位在先的投标文件已按时解密的，备份投标文件自动失效。在下一顺位的投标文件启用时，前一顺位的投标文件自动失效。</w:t>
            </w:r>
          </w:p>
          <w:p w14:paraId="32262A17">
            <w:pPr>
              <w:ind w:firstLine="480" w:firstLineChars="200"/>
              <w:rPr>
                <w:rStyle w:val="27"/>
                <w:rFonts w:ascii="宋体"/>
                <w:color w:val="auto"/>
                <w:sz w:val="24"/>
                <w:highlight w:val="none"/>
              </w:rPr>
            </w:pPr>
            <w:r>
              <w:rPr>
                <w:rStyle w:val="27"/>
                <w:rFonts w:ascii="宋体"/>
                <w:color w:val="auto"/>
                <w:sz w:val="24"/>
                <w:highlight w:val="none"/>
              </w:rPr>
              <w:t>5.▲未传输递交电子投标文件的，投标无效。▲未按规定提供相应的备份投标文件，造成项目开评标活动无法进行下去的，投标无效。</w:t>
            </w:r>
          </w:p>
        </w:tc>
      </w:tr>
      <w:tr w14:paraId="32DCF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6E5B3977">
            <w:pPr>
              <w:jc w:val="center"/>
              <w:rPr>
                <w:rStyle w:val="27"/>
                <w:rFonts w:ascii="宋体"/>
                <w:color w:val="auto"/>
                <w:sz w:val="24"/>
                <w:highlight w:val="none"/>
              </w:rPr>
            </w:pPr>
            <w:r>
              <w:rPr>
                <w:rStyle w:val="27"/>
                <w:rFonts w:ascii="宋体" w:hAnsi="宋体"/>
                <w:color w:val="auto"/>
                <w:sz w:val="24"/>
                <w:highlight w:val="none"/>
              </w:rPr>
              <w:t>4</w:t>
            </w:r>
          </w:p>
        </w:tc>
        <w:tc>
          <w:tcPr>
            <w:tcW w:w="1840" w:type="dxa"/>
            <w:tcBorders>
              <w:top w:val="single" w:color="000000" w:sz="4" w:space="0"/>
              <w:left w:val="single" w:color="000000" w:sz="4" w:space="0"/>
              <w:bottom w:val="single" w:color="000000" w:sz="4" w:space="0"/>
              <w:right w:val="single" w:color="000000" w:sz="4" w:space="0"/>
            </w:tcBorders>
            <w:vAlign w:val="center"/>
          </w:tcPr>
          <w:p w14:paraId="21EA9511">
            <w:pPr>
              <w:jc w:val="center"/>
              <w:rPr>
                <w:rStyle w:val="27"/>
                <w:rFonts w:ascii="宋体"/>
                <w:color w:val="auto"/>
                <w:sz w:val="24"/>
                <w:highlight w:val="none"/>
              </w:rPr>
            </w:pPr>
            <w:r>
              <w:rPr>
                <w:rStyle w:val="27"/>
                <w:rFonts w:ascii="宋体" w:hAnsi="宋体"/>
                <w:color w:val="auto"/>
                <w:sz w:val="24"/>
                <w:highlight w:val="none"/>
              </w:rPr>
              <w:t>投标有效期</w:t>
            </w:r>
          </w:p>
        </w:tc>
        <w:tc>
          <w:tcPr>
            <w:tcW w:w="7144" w:type="dxa"/>
            <w:tcBorders>
              <w:top w:val="single" w:color="000000" w:sz="4" w:space="0"/>
              <w:left w:val="single" w:color="000000" w:sz="4" w:space="0"/>
              <w:bottom w:val="single" w:color="000000" w:sz="4" w:space="0"/>
              <w:right w:val="single" w:color="000000" w:sz="4" w:space="0"/>
            </w:tcBorders>
            <w:vAlign w:val="center"/>
          </w:tcPr>
          <w:p w14:paraId="37DC9026">
            <w:pPr>
              <w:rPr>
                <w:rStyle w:val="27"/>
                <w:rFonts w:ascii="宋体"/>
                <w:color w:val="auto"/>
                <w:sz w:val="24"/>
                <w:highlight w:val="none"/>
              </w:rPr>
            </w:pPr>
            <w:r>
              <w:rPr>
                <w:rStyle w:val="27"/>
                <w:rFonts w:ascii="宋体" w:hAnsi="宋体"/>
                <w:color w:val="auto"/>
                <w:sz w:val="24"/>
                <w:highlight w:val="none"/>
              </w:rPr>
              <w:t>投标有效期为开标后90天，</w:t>
            </w:r>
            <w:r>
              <w:rPr>
                <w:rStyle w:val="27"/>
                <w:rFonts w:ascii="宋体" w:hAnsi="宋体"/>
                <w:color w:val="auto"/>
                <w:kern w:val="0"/>
                <w:sz w:val="24"/>
                <w:highlight w:val="none"/>
              </w:rPr>
              <w:t>投标有效期从提交投标文件的截止之日起算。</w:t>
            </w:r>
          </w:p>
        </w:tc>
      </w:tr>
      <w:tr w14:paraId="1AFD3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1307B894">
            <w:pPr>
              <w:jc w:val="center"/>
              <w:rPr>
                <w:rStyle w:val="27"/>
                <w:rFonts w:ascii="宋体"/>
                <w:color w:val="auto"/>
                <w:sz w:val="24"/>
                <w:highlight w:val="none"/>
              </w:rPr>
            </w:pPr>
            <w:r>
              <w:rPr>
                <w:rStyle w:val="27"/>
                <w:rFonts w:ascii="宋体" w:hAnsi="宋体"/>
                <w:color w:val="auto"/>
                <w:sz w:val="24"/>
                <w:highlight w:val="none"/>
              </w:rPr>
              <w:t>5</w:t>
            </w:r>
          </w:p>
        </w:tc>
        <w:tc>
          <w:tcPr>
            <w:tcW w:w="1840" w:type="dxa"/>
            <w:tcBorders>
              <w:top w:val="single" w:color="000000" w:sz="4" w:space="0"/>
              <w:left w:val="single" w:color="000000" w:sz="4" w:space="0"/>
              <w:bottom w:val="single" w:color="000000" w:sz="4" w:space="0"/>
              <w:right w:val="single" w:color="000000" w:sz="4" w:space="0"/>
            </w:tcBorders>
            <w:vAlign w:val="center"/>
          </w:tcPr>
          <w:p w14:paraId="00DDEDD7">
            <w:pPr>
              <w:jc w:val="center"/>
              <w:rPr>
                <w:rStyle w:val="27"/>
                <w:rFonts w:ascii="宋体"/>
                <w:color w:val="auto"/>
                <w:sz w:val="24"/>
                <w:highlight w:val="none"/>
              </w:rPr>
            </w:pPr>
            <w:r>
              <w:rPr>
                <w:rStyle w:val="27"/>
                <w:rFonts w:ascii="宋体" w:hAnsi="宋体"/>
                <w:color w:val="auto"/>
                <w:sz w:val="24"/>
                <w:highlight w:val="none"/>
              </w:rPr>
              <w:t>投标文件递交</w:t>
            </w:r>
          </w:p>
        </w:tc>
        <w:tc>
          <w:tcPr>
            <w:tcW w:w="7144" w:type="dxa"/>
            <w:tcBorders>
              <w:top w:val="single" w:color="000000" w:sz="4" w:space="0"/>
              <w:left w:val="single" w:color="000000" w:sz="4" w:space="0"/>
              <w:bottom w:val="single" w:color="000000" w:sz="4" w:space="0"/>
              <w:right w:val="single" w:color="000000" w:sz="4" w:space="0"/>
            </w:tcBorders>
            <w:vAlign w:val="center"/>
          </w:tcPr>
          <w:p w14:paraId="42FEC0C8">
            <w:pPr>
              <w:rPr>
                <w:rStyle w:val="27"/>
                <w:rFonts w:ascii="宋体"/>
                <w:color w:val="auto"/>
                <w:sz w:val="24"/>
                <w:highlight w:val="none"/>
              </w:rPr>
            </w:pPr>
            <w:r>
              <w:rPr>
                <w:rStyle w:val="27"/>
                <w:rFonts w:ascii="宋体" w:hAnsi="宋体"/>
                <w:color w:val="auto"/>
                <w:sz w:val="24"/>
                <w:highlight w:val="none"/>
              </w:rPr>
              <w:t>截止时间：</w:t>
            </w:r>
            <w:r>
              <w:rPr>
                <w:rStyle w:val="27"/>
                <w:rFonts w:hint="eastAsia" w:ascii="宋体" w:hAnsi="宋体"/>
                <w:color w:val="auto"/>
                <w:sz w:val="24"/>
                <w:highlight w:val="none"/>
              </w:rPr>
              <w:t>详见公告</w:t>
            </w:r>
          </w:p>
          <w:p w14:paraId="6A636B20">
            <w:pPr>
              <w:rPr>
                <w:rStyle w:val="27"/>
                <w:rFonts w:ascii="宋体"/>
                <w:color w:val="auto"/>
                <w:sz w:val="24"/>
                <w:highlight w:val="none"/>
              </w:rPr>
            </w:pPr>
            <w:r>
              <w:rPr>
                <w:rStyle w:val="27"/>
                <w:rFonts w:ascii="宋体" w:hAnsi="宋体"/>
                <w:color w:val="auto"/>
                <w:sz w:val="24"/>
                <w:highlight w:val="none"/>
              </w:rPr>
              <w:t>投标供应商应当在投标截止时间前将生成的“电子加密投标文件”上传递交至“政府采购云平台”，并在开标当日投标截止时间前提交纸质备份投标文件。</w:t>
            </w:r>
          </w:p>
        </w:tc>
      </w:tr>
      <w:tr w14:paraId="437FF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6C3F4AEF">
            <w:pPr>
              <w:jc w:val="center"/>
              <w:rPr>
                <w:rStyle w:val="27"/>
                <w:rFonts w:ascii="宋体"/>
                <w:color w:val="auto"/>
                <w:sz w:val="24"/>
                <w:highlight w:val="none"/>
              </w:rPr>
            </w:pPr>
            <w:r>
              <w:rPr>
                <w:rStyle w:val="27"/>
                <w:rFonts w:ascii="宋体" w:hAnsi="宋体"/>
                <w:color w:val="auto"/>
                <w:sz w:val="24"/>
                <w:highlight w:val="none"/>
              </w:rPr>
              <w:t>6</w:t>
            </w:r>
          </w:p>
        </w:tc>
        <w:tc>
          <w:tcPr>
            <w:tcW w:w="1840" w:type="dxa"/>
            <w:tcBorders>
              <w:top w:val="single" w:color="000000" w:sz="4" w:space="0"/>
              <w:left w:val="single" w:color="000000" w:sz="4" w:space="0"/>
              <w:bottom w:val="single" w:color="000000" w:sz="4" w:space="0"/>
              <w:right w:val="single" w:color="000000" w:sz="4" w:space="0"/>
            </w:tcBorders>
            <w:vAlign w:val="center"/>
          </w:tcPr>
          <w:p w14:paraId="14F0C06F">
            <w:pPr>
              <w:jc w:val="center"/>
              <w:rPr>
                <w:rStyle w:val="27"/>
                <w:rFonts w:ascii="宋体"/>
                <w:color w:val="auto"/>
                <w:sz w:val="24"/>
                <w:highlight w:val="none"/>
              </w:rPr>
            </w:pPr>
            <w:r>
              <w:rPr>
                <w:rStyle w:val="27"/>
                <w:rFonts w:ascii="宋体" w:hAnsi="宋体"/>
                <w:color w:val="auto"/>
                <w:sz w:val="24"/>
                <w:highlight w:val="none"/>
              </w:rPr>
              <w:t>开标时间及地点</w:t>
            </w:r>
          </w:p>
        </w:tc>
        <w:tc>
          <w:tcPr>
            <w:tcW w:w="7144" w:type="dxa"/>
            <w:tcBorders>
              <w:top w:val="single" w:color="000000" w:sz="4" w:space="0"/>
              <w:left w:val="single" w:color="000000" w:sz="4" w:space="0"/>
              <w:bottom w:val="single" w:color="000000" w:sz="4" w:space="0"/>
              <w:right w:val="single" w:color="000000" w:sz="4" w:space="0"/>
            </w:tcBorders>
            <w:vAlign w:val="center"/>
          </w:tcPr>
          <w:p w14:paraId="67FDA605">
            <w:pPr>
              <w:rPr>
                <w:rStyle w:val="27"/>
                <w:rFonts w:ascii="宋体"/>
                <w:color w:val="auto"/>
                <w:sz w:val="24"/>
                <w:highlight w:val="none"/>
              </w:rPr>
            </w:pPr>
            <w:r>
              <w:rPr>
                <w:rStyle w:val="27"/>
                <w:rFonts w:ascii="宋体" w:hAnsi="宋体"/>
                <w:color w:val="auto"/>
                <w:sz w:val="24"/>
                <w:highlight w:val="none"/>
              </w:rPr>
              <w:t>时间：</w:t>
            </w:r>
            <w:r>
              <w:rPr>
                <w:rStyle w:val="27"/>
                <w:rFonts w:hint="eastAsia" w:ascii="宋体" w:hAnsi="宋体"/>
                <w:color w:val="auto"/>
                <w:sz w:val="24"/>
                <w:highlight w:val="none"/>
              </w:rPr>
              <w:t>同投标文件递交截止时间</w:t>
            </w:r>
          </w:p>
          <w:p w14:paraId="0C0B4DCD">
            <w:pPr>
              <w:rPr>
                <w:rStyle w:val="27"/>
                <w:rFonts w:ascii="宋体"/>
                <w:color w:val="auto"/>
                <w:sz w:val="24"/>
                <w:highlight w:val="none"/>
              </w:rPr>
            </w:pPr>
            <w:r>
              <w:rPr>
                <w:rStyle w:val="27"/>
                <w:rFonts w:ascii="宋体" w:hAnsi="宋体"/>
                <w:color w:val="auto"/>
                <w:sz w:val="24"/>
                <w:highlight w:val="none"/>
              </w:rPr>
              <w:t>地点：台州市路桥区财富大道999号区政府商城办公区（商城国际）五楼政府采购中心开标室。</w:t>
            </w:r>
          </w:p>
        </w:tc>
      </w:tr>
      <w:tr w14:paraId="2C010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74C4A8DB">
            <w:pPr>
              <w:spacing w:line="400" w:lineRule="exact"/>
              <w:jc w:val="center"/>
              <w:rPr>
                <w:rStyle w:val="27"/>
                <w:rFonts w:ascii="宋体" w:hAnsi="宋体"/>
                <w:color w:val="auto"/>
                <w:sz w:val="24"/>
                <w:highlight w:val="none"/>
              </w:rPr>
            </w:pPr>
            <w:r>
              <w:rPr>
                <w:rStyle w:val="27"/>
                <w:rFonts w:ascii="宋体" w:hAnsi="宋体"/>
                <w:color w:val="auto"/>
                <w:sz w:val="24"/>
                <w:highlight w:val="none"/>
              </w:rPr>
              <w:t>7</w:t>
            </w:r>
          </w:p>
        </w:tc>
        <w:tc>
          <w:tcPr>
            <w:tcW w:w="1840" w:type="dxa"/>
            <w:tcBorders>
              <w:top w:val="single" w:color="000000" w:sz="4" w:space="0"/>
              <w:left w:val="single" w:color="000000" w:sz="4" w:space="0"/>
              <w:bottom w:val="single" w:color="000000" w:sz="4" w:space="0"/>
              <w:right w:val="single" w:color="000000" w:sz="4" w:space="0"/>
            </w:tcBorders>
            <w:vAlign w:val="center"/>
          </w:tcPr>
          <w:p w14:paraId="4553E370">
            <w:pPr>
              <w:spacing w:line="400" w:lineRule="exact"/>
              <w:jc w:val="center"/>
              <w:rPr>
                <w:rStyle w:val="27"/>
                <w:rFonts w:ascii="宋体" w:hAnsi="宋体"/>
                <w:color w:val="auto"/>
                <w:sz w:val="24"/>
                <w:highlight w:val="none"/>
              </w:rPr>
            </w:pPr>
            <w:r>
              <w:rPr>
                <w:rStyle w:val="27"/>
                <w:rFonts w:ascii="宋体" w:hAnsi="宋体"/>
                <w:color w:val="auto"/>
                <w:sz w:val="24"/>
                <w:highlight w:val="none"/>
              </w:rPr>
              <w:t>履约保证金</w:t>
            </w:r>
          </w:p>
        </w:tc>
        <w:tc>
          <w:tcPr>
            <w:tcW w:w="7144" w:type="dxa"/>
            <w:tcBorders>
              <w:top w:val="single" w:color="000000" w:sz="4" w:space="0"/>
              <w:left w:val="single" w:color="000000" w:sz="4" w:space="0"/>
              <w:bottom w:val="single" w:color="000000" w:sz="4" w:space="0"/>
              <w:right w:val="single" w:color="000000" w:sz="4" w:space="0"/>
            </w:tcBorders>
            <w:vAlign w:val="center"/>
          </w:tcPr>
          <w:p w14:paraId="0E023F88">
            <w:pPr>
              <w:keepNext w:val="0"/>
              <w:keepLines w:val="0"/>
              <w:pageBreakBefore w:val="0"/>
              <w:widowControl w:val="0"/>
              <w:kinsoku/>
              <w:wordWrap/>
              <w:overflowPunct/>
              <w:topLinePunct w:val="0"/>
              <w:autoSpaceDE/>
              <w:autoSpaceDN/>
              <w:bidi w:val="0"/>
              <w:adjustRightInd/>
              <w:snapToGrid/>
              <w:spacing w:line="348" w:lineRule="auto"/>
              <w:textAlignment w:val="auto"/>
              <w:rPr>
                <w:rStyle w:val="27"/>
                <w:rFonts w:ascii="宋体" w:hAnsi="宋体"/>
                <w:color w:val="auto"/>
                <w:sz w:val="24"/>
                <w:highlight w:val="none"/>
              </w:rPr>
            </w:pPr>
            <w:r>
              <w:rPr>
                <w:rStyle w:val="27"/>
                <w:rFonts w:hint="eastAsia" w:ascii="宋体" w:hAnsi="宋体" w:eastAsia="宋体" w:cs="Times New Roman"/>
                <w:color w:val="auto"/>
                <w:sz w:val="24"/>
                <w:highlight w:val="none"/>
              </w:rPr>
              <w:t>供应商在签订合同前须交纳本项目履约保证金，金额为</w:t>
            </w:r>
            <w:r>
              <w:rPr>
                <w:rStyle w:val="27"/>
                <w:rFonts w:hint="eastAsia" w:ascii="宋体" w:hAnsi="宋体" w:eastAsia="宋体" w:cs="Times New Roman"/>
                <w:color w:val="auto"/>
                <w:sz w:val="24"/>
                <w:highlight w:val="none"/>
                <w:lang w:val="en-US" w:eastAsia="zh-CN"/>
              </w:rPr>
              <w:t>中标价</w:t>
            </w:r>
            <w:r>
              <w:rPr>
                <w:rStyle w:val="27"/>
                <w:rFonts w:hint="eastAsia" w:ascii="宋体" w:hAnsi="宋体" w:eastAsia="宋体" w:cs="Times New Roman"/>
                <w:color w:val="auto"/>
                <w:sz w:val="24"/>
                <w:highlight w:val="none"/>
              </w:rPr>
              <w:t>的</w:t>
            </w:r>
            <w:r>
              <w:rPr>
                <w:rStyle w:val="27"/>
                <w:rFonts w:hint="eastAsia" w:ascii="宋体" w:hAnsi="宋体" w:eastAsia="宋体" w:cs="Times New Roman"/>
                <w:color w:val="auto"/>
                <w:sz w:val="24"/>
                <w:highlight w:val="none"/>
                <w:lang w:val="en-US" w:eastAsia="zh-CN"/>
              </w:rPr>
              <w:t>1</w:t>
            </w:r>
            <w:r>
              <w:rPr>
                <w:rStyle w:val="27"/>
                <w:rFonts w:hint="eastAsia" w:ascii="宋体" w:hAnsi="宋体" w:eastAsia="宋体" w:cs="Times New Roman"/>
                <w:color w:val="auto"/>
                <w:sz w:val="24"/>
                <w:highlight w:val="none"/>
              </w:rPr>
              <w:t>%，项目履行完毕后7日内无息退还</w:t>
            </w:r>
            <w:r>
              <w:rPr>
                <w:rStyle w:val="27"/>
                <w:rFonts w:hint="eastAsia" w:ascii="宋体" w:hAnsi="宋体" w:eastAsia="宋体" w:cs="Times New Roman"/>
                <w:color w:val="auto"/>
                <w:sz w:val="24"/>
                <w:highlight w:val="none"/>
                <w:lang w:eastAsia="zh-CN"/>
              </w:rPr>
              <w:t>或失效</w:t>
            </w:r>
            <w:r>
              <w:rPr>
                <w:rStyle w:val="27"/>
                <w:rFonts w:hint="eastAsia" w:ascii="宋体" w:hAnsi="宋体" w:eastAsia="宋体" w:cs="Times New Roman"/>
                <w:color w:val="auto"/>
                <w:sz w:val="24"/>
                <w:highlight w:val="none"/>
              </w:rPr>
              <w:t>。（履约保证金可以采用保函、担保、保险等形式）</w:t>
            </w:r>
            <w:r>
              <w:rPr>
                <w:rStyle w:val="27"/>
                <w:rFonts w:hint="eastAsia" w:ascii="宋体" w:hAnsi="宋体" w:eastAsia="宋体" w:cs="Times New Roman"/>
                <w:color w:val="auto"/>
                <w:sz w:val="24"/>
                <w:highlight w:val="none"/>
                <w:lang w:val="zh-CN"/>
              </w:rPr>
              <w:t>。</w:t>
            </w:r>
          </w:p>
        </w:tc>
      </w:tr>
      <w:tr w14:paraId="3ACE3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41B3112D">
            <w:pPr>
              <w:jc w:val="center"/>
              <w:rPr>
                <w:rStyle w:val="27"/>
                <w:rFonts w:ascii="宋体"/>
                <w:color w:val="auto"/>
                <w:sz w:val="24"/>
                <w:highlight w:val="none"/>
              </w:rPr>
            </w:pPr>
            <w:r>
              <w:rPr>
                <w:rStyle w:val="27"/>
                <w:rFonts w:ascii="宋体" w:hAnsi="宋体"/>
                <w:color w:val="auto"/>
                <w:sz w:val="24"/>
                <w:highlight w:val="none"/>
              </w:rPr>
              <w:t>8</w:t>
            </w:r>
          </w:p>
        </w:tc>
        <w:tc>
          <w:tcPr>
            <w:tcW w:w="1840" w:type="dxa"/>
            <w:tcBorders>
              <w:top w:val="single" w:color="000000" w:sz="4" w:space="0"/>
              <w:left w:val="single" w:color="000000" w:sz="4" w:space="0"/>
              <w:bottom w:val="single" w:color="000000" w:sz="4" w:space="0"/>
              <w:right w:val="single" w:color="000000" w:sz="4" w:space="0"/>
            </w:tcBorders>
            <w:vAlign w:val="center"/>
          </w:tcPr>
          <w:p w14:paraId="373BCD43">
            <w:pPr>
              <w:jc w:val="center"/>
              <w:rPr>
                <w:rStyle w:val="27"/>
                <w:rFonts w:ascii="宋体"/>
                <w:color w:val="auto"/>
                <w:sz w:val="24"/>
                <w:highlight w:val="none"/>
              </w:rPr>
            </w:pPr>
            <w:r>
              <w:rPr>
                <w:rStyle w:val="27"/>
                <w:rFonts w:ascii="宋体" w:hAnsi="宋体"/>
                <w:color w:val="auto"/>
                <w:sz w:val="24"/>
                <w:highlight w:val="none"/>
                <w:lang w:val="zh-CN"/>
              </w:rPr>
              <w:t>实质性条款</w:t>
            </w:r>
          </w:p>
        </w:tc>
        <w:tc>
          <w:tcPr>
            <w:tcW w:w="7144" w:type="dxa"/>
            <w:tcBorders>
              <w:top w:val="single" w:color="000000" w:sz="4" w:space="0"/>
              <w:left w:val="single" w:color="000000" w:sz="4" w:space="0"/>
              <w:bottom w:val="single" w:color="000000" w:sz="4" w:space="0"/>
              <w:right w:val="single" w:color="000000" w:sz="4" w:space="0"/>
            </w:tcBorders>
            <w:vAlign w:val="center"/>
          </w:tcPr>
          <w:p w14:paraId="6C47EEC9">
            <w:pPr>
              <w:spacing w:line="400" w:lineRule="exact"/>
              <w:jc w:val="left"/>
              <w:rPr>
                <w:rStyle w:val="27"/>
                <w:rFonts w:ascii="宋体" w:hAnsi="宋体"/>
                <w:color w:val="auto"/>
                <w:sz w:val="24"/>
                <w:highlight w:val="none"/>
              </w:rPr>
            </w:pPr>
            <w:r>
              <w:rPr>
                <w:rStyle w:val="27"/>
                <w:rFonts w:ascii="宋体" w:hAnsi="宋体"/>
                <w:color w:val="auto"/>
                <w:sz w:val="24"/>
                <w:highlight w:val="none"/>
                <w:lang w:val="zh-CN"/>
              </w:rPr>
              <w:t>带“</w:t>
            </w:r>
            <w:r>
              <w:rPr>
                <w:rStyle w:val="27"/>
                <w:rFonts w:ascii="宋体" w:hAnsi="宋体"/>
                <w:color w:val="auto"/>
                <w:sz w:val="24"/>
                <w:highlight w:val="none"/>
              </w:rPr>
              <w:t>▲”的条款是实质性条款，投标文件须作出实质性响应，否则作无效投标处理。</w:t>
            </w:r>
          </w:p>
        </w:tc>
      </w:tr>
      <w:tr w14:paraId="568FC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6AFFE98D">
            <w:pPr>
              <w:spacing w:line="400" w:lineRule="exact"/>
              <w:jc w:val="center"/>
              <w:rPr>
                <w:rStyle w:val="27"/>
                <w:rFonts w:ascii="宋体" w:hAnsi="宋体"/>
                <w:color w:val="auto"/>
                <w:sz w:val="24"/>
                <w:highlight w:val="none"/>
              </w:rPr>
            </w:pPr>
            <w:r>
              <w:rPr>
                <w:rStyle w:val="27"/>
                <w:rFonts w:ascii="宋体" w:hAnsi="宋体"/>
                <w:color w:val="auto"/>
                <w:sz w:val="24"/>
                <w:highlight w:val="none"/>
              </w:rPr>
              <w:t>9</w:t>
            </w:r>
          </w:p>
        </w:tc>
        <w:tc>
          <w:tcPr>
            <w:tcW w:w="1840" w:type="dxa"/>
            <w:tcBorders>
              <w:top w:val="single" w:color="000000" w:sz="4" w:space="0"/>
              <w:left w:val="single" w:color="000000" w:sz="4" w:space="0"/>
              <w:bottom w:val="single" w:color="000000" w:sz="4" w:space="0"/>
              <w:right w:val="single" w:color="000000" w:sz="4" w:space="0"/>
            </w:tcBorders>
            <w:vAlign w:val="center"/>
          </w:tcPr>
          <w:p w14:paraId="3D05A8B2">
            <w:pPr>
              <w:spacing w:line="400" w:lineRule="exact"/>
              <w:jc w:val="center"/>
              <w:rPr>
                <w:rStyle w:val="27"/>
                <w:rFonts w:ascii="宋体" w:hAnsi="宋体"/>
                <w:color w:val="auto"/>
                <w:sz w:val="24"/>
                <w:highlight w:val="none"/>
              </w:rPr>
            </w:pPr>
            <w:r>
              <w:rPr>
                <w:rStyle w:val="27"/>
                <w:rFonts w:ascii="宋体" w:hAnsi="宋体"/>
                <w:color w:val="auto"/>
                <w:sz w:val="24"/>
                <w:highlight w:val="none"/>
              </w:rPr>
              <w:t>样品及演示</w:t>
            </w:r>
          </w:p>
        </w:tc>
        <w:tc>
          <w:tcPr>
            <w:tcW w:w="7144" w:type="dxa"/>
            <w:tcBorders>
              <w:top w:val="single" w:color="000000" w:sz="4" w:space="0"/>
              <w:left w:val="single" w:color="000000" w:sz="4" w:space="0"/>
              <w:bottom w:val="single" w:color="000000" w:sz="4" w:space="0"/>
              <w:right w:val="single" w:color="000000" w:sz="4" w:space="0"/>
            </w:tcBorders>
            <w:vAlign w:val="center"/>
          </w:tcPr>
          <w:p w14:paraId="74ABD1EE">
            <w:pPr>
              <w:spacing w:line="400" w:lineRule="exact"/>
              <w:jc w:val="left"/>
              <w:rPr>
                <w:rStyle w:val="27"/>
                <w:rFonts w:ascii="宋体" w:hAnsi="宋体"/>
                <w:color w:val="auto"/>
                <w:sz w:val="24"/>
                <w:highlight w:val="none"/>
              </w:rPr>
            </w:pPr>
            <w:r>
              <w:rPr>
                <w:rStyle w:val="27"/>
                <w:rFonts w:ascii="宋体" w:hAnsi="宋体"/>
                <w:color w:val="auto"/>
                <w:sz w:val="24"/>
                <w:highlight w:val="none"/>
              </w:rPr>
              <w:t>无。</w:t>
            </w:r>
          </w:p>
        </w:tc>
      </w:tr>
      <w:tr w14:paraId="25156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412F0DAD">
            <w:pPr>
              <w:spacing w:line="400" w:lineRule="exact"/>
              <w:jc w:val="center"/>
              <w:rPr>
                <w:rStyle w:val="27"/>
                <w:rFonts w:ascii="宋体" w:hAnsi="宋体"/>
                <w:color w:val="auto"/>
                <w:sz w:val="24"/>
                <w:highlight w:val="none"/>
              </w:rPr>
            </w:pPr>
            <w:r>
              <w:rPr>
                <w:rStyle w:val="27"/>
                <w:rFonts w:ascii="宋体" w:hAnsi="宋体"/>
                <w:color w:val="auto"/>
                <w:sz w:val="24"/>
                <w:highlight w:val="none"/>
              </w:rPr>
              <w:t>10</w:t>
            </w:r>
          </w:p>
        </w:tc>
        <w:tc>
          <w:tcPr>
            <w:tcW w:w="1840" w:type="dxa"/>
            <w:tcBorders>
              <w:top w:val="single" w:color="000000" w:sz="4" w:space="0"/>
              <w:left w:val="single" w:color="000000" w:sz="4" w:space="0"/>
              <w:bottom w:val="single" w:color="000000" w:sz="4" w:space="0"/>
              <w:right w:val="single" w:color="000000" w:sz="4" w:space="0"/>
            </w:tcBorders>
            <w:vAlign w:val="center"/>
          </w:tcPr>
          <w:p w14:paraId="3BA65C1C">
            <w:pPr>
              <w:spacing w:line="400" w:lineRule="exact"/>
              <w:jc w:val="center"/>
              <w:rPr>
                <w:rStyle w:val="27"/>
                <w:rFonts w:ascii="宋体" w:hAnsi="宋体"/>
                <w:color w:val="auto"/>
                <w:sz w:val="24"/>
                <w:highlight w:val="none"/>
              </w:rPr>
            </w:pPr>
            <w:r>
              <w:rPr>
                <w:rStyle w:val="27"/>
                <w:rFonts w:ascii="宋体" w:hAnsi="宋体"/>
                <w:color w:val="auto"/>
                <w:sz w:val="24"/>
                <w:highlight w:val="none"/>
              </w:rPr>
              <w:t>节能环保</w:t>
            </w:r>
          </w:p>
        </w:tc>
        <w:tc>
          <w:tcPr>
            <w:tcW w:w="7144" w:type="dxa"/>
            <w:tcBorders>
              <w:top w:val="single" w:color="000000" w:sz="4" w:space="0"/>
              <w:left w:val="single" w:color="000000" w:sz="4" w:space="0"/>
              <w:bottom w:val="single" w:color="000000" w:sz="4" w:space="0"/>
              <w:right w:val="single" w:color="000000" w:sz="4" w:space="0"/>
            </w:tcBorders>
            <w:vAlign w:val="center"/>
          </w:tcPr>
          <w:p w14:paraId="71FC943F">
            <w:pPr>
              <w:rPr>
                <w:rStyle w:val="27"/>
                <w:rFonts w:ascii="宋体" w:hAnsi="宋体"/>
                <w:color w:val="auto"/>
                <w:sz w:val="24"/>
                <w:highlight w:val="none"/>
              </w:rPr>
            </w:pPr>
            <w:r>
              <w:rPr>
                <w:rStyle w:val="27"/>
                <w:rFonts w:ascii="宋体" w:hAnsi="宋体"/>
                <w:color w:val="auto"/>
                <w:sz w:val="24"/>
                <w:highlight w:val="none"/>
              </w:rPr>
              <w:t>符合国家相关法律规定。</w:t>
            </w:r>
          </w:p>
        </w:tc>
      </w:tr>
      <w:tr w14:paraId="44A0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4247BFBA">
            <w:pPr>
              <w:jc w:val="center"/>
              <w:rPr>
                <w:rStyle w:val="27"/>
                <w:rFonts w:ascii="宋体" w:hAnsi="宋体"/>
                <w:color w:val="auto"/>
                <w:sz w:val="24"/>
                <w:highlight w:val="none"/>
              </w:rPr>
            </w:pPr>
            <w:r>
              <w:rPr>
                <w:rStyle w:val="27"/>
                <w:rFonts w:ascii="宋体" w:hAnsi="宋体"/>
                <w:color w:val="auto"/>
                <w:sz w:val="24"/>
                <w:szCs w:val="20"/>
                <w:highlight w:val="none"/>
              </w:rPr>
              <w:t>11</w:t>
            </w:r>
          </w:p>
        </w:tc>
        <w:tc>
          <w:tcPr>
            <w:tcW w:w="1840" w:type="dxa"/>
            <w:tcBorders>
              <w:top w:val="single" w:color="000000" w:sz="4" w:space="0"/>
              <w:left w:val="single" w:color="000000" w:sz="4" w:space="0"/>
              <w:bottom w:val="single" w:color="000000" w:sz="4" w:space="0"/>
              <w:right w:val="single" w:color="000000" w:sz="4" w:space="0"/>
            </w:tcBorders>
            <w:vAlign w:val="center"/>
          </w:tcPr>
          <w:p w14:paraId="045F2B9F">
            <w:pPr>
              <w:jc w:val="center"/>
              <w:rPr>
                <w:rStyle w:val="27"/>
                <w:rFonts w:ascii="宋体" w:hAnsi="宋体"/>
                <w:color w:val="auto"/>
                <w:sz w:val="24"/>
                <w:highlight w:val="none"/>
              </w:rPr>
            </w:pPr>
            <w:r>
              <w:rPr>
                <w:rStyle w:val="27"/>
                <w:rFonts w:ascii="宋体" w:hAnsi="宋体"/>
                <w:color w:val="auto"/>
                <w:sz w:val="24"/>
                <w:highlight w:val="none"/>
              </w:rPr>
              <w:t>其他</w:t>
            </w:r>
          </w:p>
        </w:tc>
        <w:tc>
          <w:tcPr>
            <w:tcW w:w="7144" w:type="dxa"/>
            <w:tcBorders>
              <w:top w:val="single" w:color="000000" w:sz="4" w:space="0"/>
              <w:left w:val="single" w:color="000000" w:sz="4" w:space="0"/>
              <w:bottom w:val="single" w:color="000000" w:sz="4" w:space="0"/>
              <w:right w:val="single" w:color="000000" w:sz="4" w:space="0"/>
            </w:tcBorders>
            <w:vAlign w:val="center"/>
          </w:tcPr>
          <w:p w14:paraId="2B75BA5D">
            <w:pPr>
              <w:rPr>
                <w:rStyle w:val="27"/>
                <w:rFonts w:ascii="宋体" w:hAnsi="宋体"/>
                <w:color w:val="auto"/>
                <w:sz w:val="24"/>
                <w:highlight w:val="none"/>
              </w:rPr>
            </w:pPr>
            <w:r>
              <w:rPr>
                <w:rStyle w:val="27"/>
                <w:rFonts w:ascii="宋体" w:hAnsi="宋体"/>
                <w:color w:val="auto"/>
                <w:sz w:val="24"/>
                <w:highlight w:val="none"/>
              </w:rPr>
              <w:t>1、各供应商自行在浙江政府采购网下载或查阅采购文件和相关更正公告等，不另行通知，如有遗漏采购人、采购代理机构概不负责。</w:t>
            </w:r>
            <w:r>
              <w:rPr>
                <w:rStyle w:val="27"/>
                <w:rFonts w:ascii="宋体" w:hAnsi="宋体"/>
                <w:color w:val="auto"/>
                <w:sz w:val="24"/>
                <w:highlight w:val="none"/>
              </w:rPr>
              <w:br w:type="textWrapping"/>
            </w:r>
            <w:r>
              <w:rPr>
                <w:rStyle w:val="27"/>
                <w:rFonts w:ascii="宋体" w:hAnsi="宋体"/>
                <w:color w:val="auto"/>
                <w:sz w:val="24"/>
                <w:highlight w:val="none"/>
              </w:rPr>
              <w:t>2、两家或两家以上供应商提供的投标文件出自同一终端设备的，或在相同Internet主机分配地址（相同IP地址）报名或网上投标的，后果由供应商自行承担。</w:t>
            </w:r>
          </w:p>
        </w:tc>
      </w:tr>
      <w:tr w14:paraId="674DB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7F81142A">
            <w:pPr>
              <w:spacing w:line="400" w:lineRule="exact"/>
              <w:jc w:val="center"/>
              <w:rPr>
                <w:rStyle w:val="27"/>
                <w:rFonts w:ascii="宋体" w:hAnsi="宋体"/>
                <w:color w:val="auto"/>
                <w:sz w:val="24"/>
                <w:highlight w:val="none"/>
              </w:rPr>
            </w:pPr>
            <w:r>
              <w:rPr>
                <w:rStyle w:val="27"/>
                <w:rFonts w:hint="eastAsia" w:ascii="宋体" w:hAnsi="宋体"/>
                <w:color w:val="auto"/>
                <w:sz w:val="24"/>
                <w:highlight w:val="none"/>
              </w:rPr>
              <w:t>12</w:t>
            </w:r>
          </w:p>
        </w:tc>
        <w:tc>
          <w:tcPr>
            <w:tcW w:w="1840" w:type="dxa"/>
            <w:tcBorders>
              <w:top w:val="single" w:color="000000" w:sz="4" w:space="0"/>
              <w:left w:val="single" w:color="000000" w:sz="4" w:space="0"/>
              <w:bottom w:val="single" w:color="000000" w:sz="4" w:space="0"/>
              <w:right w:val="single" w:color="000000" w:sz="4" w:space="0"/>
            </w:tcBorders>
            <w:vAlign w:val="center"/>
          </w:tcPr>
          <w:p w14:paraId="5D971E65">
            <w:pPr>
              <w:spacing w:line="420" w:lineRule="atLeast"/>
              <w:jc w:val="center"/>
              <w:textAlignment w:val="auto"/>
              <w:rPr>
                <w:rStyle w:val="27"/>
                <w:rFonts w:ascii="宋体" w:hAnsi="宋体"/>
                <w:color w:val="auto"/>
                <w:sz w:val="24"/>
                <w:highlight w:val="none"/>
              </w:rPr>
            </w:pPr>
            <w:r>
              <w:rPr>
                <w:rFonts w:hint="eastAsia" w:ascii="宋体" w:hAnsi="宋体" w:cs="Times New Roman"/>
                <w:color w:val="auto"/>
                <w:sz w:val="24"/>
                <w:szCs w:val="22"/>
                <w:highlight w:val="none"/>
              </w:rPr>
              <w:t>中小企业预留份额情况</w:t>
            </w:r>
          </w:p>
        </w:tc>
        <w:tc>
          <w:tcPr>
            <w:tcW w:w="7144" w:type="dxa"/>
            <w:tcBorders>
              <w:top w:val="single" w:color="000000" w:sz="4" w:space="0"/>
              <w:left w:val="single" w:color="000000" w:sz="4" w:space="0"/>
              <w:bottom w:val="single" w:color="000000" w:sz="4" w:space="0"/>
              <w:right w:val="single" w:color="000000" w:sz="4" w:space="0"/>
            </w:tcBorders>
            <w:vAlign w:val="center"/>
          </w:tcPr>
          <w:p w14:paraId="14B2D633">
            <w:pPr>
              <w:spacing w:line="380" w:lineRule="atLeast"/>
              <w:textAlignment w:val="auto"/>
              <w:rPr>
                <w:rStyle w:val="27"/>
                <w:rFonts w:ascii="宋体" w:hAnsi="宋体"/>
                <w:color w:val="auto"/>
                <w:sz w:val="24"/>
                <w:highlight w:val="none"/>
              </w:rPr>
            </w:pPr>
            <w:r>
              <w:rPr>
                <w:rFonts w:hint="eastAsia" w:ascii="宋体" w:hAnsi="宋体" w:cs="Times New Roman"/>
                <w:color w:val="auto"/>
                <w:sz w:val="24"/>
                <w:szCs w:val="22"/>
                <w:highlight w:val="none"/>
              </w:rPr>
              <w:t>本项目</w:t>
            </w:r>
            <w:r>
              <w:rPr>
                <w:rFonts w:hint="eastAsia" w:ascii="宋体" w:hAnsi="宋体" w:cs="Times New Roman"/>
                <w:color w:val="auto"/>
                <w:sz w:val="24"/>
                <w:szCs w:val="22"/>
                <w:highlight w:val="none"/>
                <w:u w:val="single"/>
              </w:rPr>
              <w:t xml:space="preserve"> 是 </w:t>
            </w:r>
            <w:r>
              <w:rPr>
                <w:rFonts w:hint="eastAsia" w:ascii="宋体" w:hAnsi="宋体" w:cs="Times New Roman"/>
                <w:color w:val="auto"/>
                <w:sz w:val="24"/>
                <w:szCs w:val="22"/>
                <w:highlight w:val="none"/>
              </w:rPr>
              <w:t>属于专门面向中小企业采购的项目。</w:t>
            </w:r>
          </w:p>
        </w:tc>
      </w:tr>
      <w:tr w14:paraId="4591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0634C75F">
            <w:pPr>
              <w:spacing w:line="400" w:lineRule="exact"/>
              <w:jc w:val="center"/>
              <w:rPr>
                <w:rStyle w:val="27"/>
                <w:rFonts w:ascii="宋体" w:hAnsi="宋体"/>
                <w:color w:val="auto"/>
                <w:sz w:val="24"/>
                <w:highlight w:val="none"/>
              </w:rPr>
            </w:pPr>
            <w:r>
              <w:rPr>
                <w:rStyle w:val="27"/>
                <w:rFonts w:hint="eastAsia" w:ascii="宋体" w:hAnsi="宋体"/>
                <w:color w:val="auto"/>
                <w:sz w:val="24"/>
                <w:highlight w:val="none"/>
              </w:rPr>
              <w:t>13</w:t>
            </w:r>
          </w:p>
        </w:tc>
        <w:tc>
          <w:tcPr>
            <w:tcW w:w="1840" w:type="dxa"/>
            <w:tcBorders>
              <w:top w:val="single" w:color="000000" w:sz="4" w:space="0"/>
              <w:left w:val="single" w:color="000000" w:sz="4" w:space="0"/>
              <w:bottom w:val="single" w:color="000000" w:sz="4" w:space="0"/>
              <w:right w:val="single" w:color="000000" w:sz="4" w:space="0"/>
            </w:tcBorders>
            <w:vAlign w:val="center"/>
          </w:tcPr>
          <w:p w14:paraId="6E9649D2">
            <w:pPr>
              <w:spacing w:line="420" w:lineRule="atLeast"/>
              <w:jc w:val="left"/>
              <w:textAlignment w:val="auto"/>
              <w:rPr>
                <w:rStyle w:val="27"/>
                <w:rFonts w:ascii="宋体" w:hAnsi="宋体"/>
                <w:color w:val="auto"/>
                <w:sz w:val="24"/>
                <w:highlight w:val="none"/>
              </w:rPr>
            </w:pPr>
            <w:r>
              <w:rPr>
                <w:rFonts w:hint="eastAsia" w:ascii="宋体" w:hAnsi="宋体" w:cs="Times New Roman"/>
                <w:color w:val="auto"/>
                <w:sz w:val="24"/>
                <w:szCs w:val="22"/>
                <w:highlight w:val="none"/>
              </w:rPr>
              <w:t>中小企业优惠措施</w:t>
            </w:r>
          </w:p>
        </w:tc>
        <w:tc>
          <w:tcPr>
            <w:tcW w:w="7144" w:type="dxa"/>
            <w:tcBorders>
              <w:top w:val="single" w:color="000000" w:sz="4" w:space="0"/>
              <w:left w:val="single" w:color="000000" w:sz="4" w:space="0"/>
              <w:bottom w:val="single" w:color="000000" w:sz="4" w:space="0"/>
              <w:right w:val="single" w:color="000000" w:sz="4" w:space="0"/>
            </w:tcBorders>
            <w:vAlign w:val="center"/>
          </w:tcPr>
          <w:p w14:paraId="4EF10D1E">
            <w:pPr>
              <w:spacing w:line="380" w:lineRule="atLeast"/>
              <w:textAlignment w:val="auto"/>
              <w:rPr>
                <w:rFonts w:ascii="宋体" w:hAnsi="宋体" w:cs="Times New Roman"/>
                <w:b/>
                <w:bCs/>
                <w:color w:val="auto"/>
                <w:sz w:val="24"/>
                <w:szCs w:val="22"/>
                <w:highlight w:val="none"/>
              </w:rPr>
            </w:pPr>
            <w:r>
              <w:rPr>
                <w:rFonts w:hint="eastAsia" w:ascii="宋体" w:hAnsi="宋体" w:cs="Times New Roman"/>
                <w:b/>
                <w:bCs/>
                <w:color w:val="auto"/>
                <w:sz w:val="24"/>
                <w:szCs w:val="22"/>
                <w:highlight w:val="none"/>
              </w:rPr>
              <w:t>1、所属行业：</w:t>
            </w:r>
            <w:r>
              <w:rPr>
                <w:rFonts w:hint="eastAsia" w:ascii="宋体" w:hAnsi="宋体" w:cs="Times New Roman"/>
                <w:b/>
                <w:bCs/>
                <w:color w:val="auto"/>
                <w:sz w:val="24"/>
                <w:szCs w:val="22"/>
                <w:highlight w:val="none"/>
                <w:u w:val="single"/>
              </w:rPr>
              <w:t xml:space="preserve">服务类 </w:t>
            </w:r>
          </w:p>
          <w:p w14:paraId="3F000741">
            <w:pPr>
              <w:pStyle w:val="107"/>
              <w:spacing w:line="380" w:lineRule="atLeast"/>
              <w:ind w:firstLine="0" w:firstLineChars="0"/>
              <w:textAlignment w:val="auto"/>
              <w:rPr>
                <w:rFonts w:hint="eastAsia" w:ascii="宋体" w:hAnsi="宋体" w:eastAsia="宋体"/>
                <w:b/>
                <w:bCs/>
                <w:color w:val="auto"/>
                <w:sz w:val="24"/>
                <w:szCs w:val="22"/>
                <w:highlight w:val="none"/>
                <w:lang w:eastAsia="zh-CN"/>
              </w:rPr>
            </w:pPr>
            <w:r>
              <w:rPr>
                <w:rFonts w:hint="eastAsia" w:ascii="宋体" w:hAnsi="宋体"/>
                <w:b/>
                <w:bCs/>
                <w:color w:val="auto"/>
                <w:sz w:val="24"/>
                <w:szCs w:val="22"/>
                <w:highlight w:val="none"/>
              </w:rPr>
              <w:t>2、中小企业划分标准所属行业</w:t>
            </w:r>
            <w:r>
              <w:rPr>
                <w:rFonts w:hint="eastAsia" w:ascii="宋体" w:hAnsi="宋体"/>
                <w:b/>
                <w:bCs/>
                <w:color w:val="auto"/>
                <w:sz w:val="24"/>
                <w:szCs w:val="22"/>
                <w:highlight w:val="none"/>
                <w:lang w:eastAsia="zh-CN"/>
              </w:rPr>
              <w:t>：</w:t>
            </w:r>
            <w:r>
              <w:rPr>
                <w:rFonts w:hint="eastAsia" w:ascii="宋体" w:hAnsi="宋体" w:eastAsia="宋体" w:cs="Times New Roman"/>
                <w:b/>
                <w:bCs/>
                <w:color w:val="auto"/>
                <w:kern w:val="2"/>
                <w:sz w:val="24"/>
                <w:szCs w:val="22"/>
                <w:highlight w:val="none"/>
                <w:u w:val="single"/>
                <w:lang w:val="en-US" w:eastAsia="zh-CN" w:bidi="ar-SA"/>
              </w:rPr>
              <w:t>其他未列明行业-其他服务业</w:t>
            </w:r>
          </w:p>
          <w:p w14:paraId="37231102">
            <w:pPr>
              <w:spacing w:line="380" w:lineRule="atLeast"/>
              <w:jc w:val="left"/>
              <w:textAlignment w:val="auto"/>
              <w:rPr>
                <w:rFonts w:ascii="宋体" w:hAnsi="宋体" w:cs="Times New Roman"/>
                <w:color w:val="auto"/>
                <w:sz w:val="24"/>
                <w:szCs w:val="22"/>
                <w:highlight w:val="none"/>
              </w:rPr>
            </w:pPr>
            <w:r>
              <w:rPr>
                <w:rFonts w:hint="eastAsia" w:ascii="宋体" w:hAnsi="宋体" w:cs="Times New Roman"/>
                <w:color w:val="auto"/>
                <w:sz w:val="24"/>
                <w:szCs w:val="22"/>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6D8D11A3">
            <w:pPr>
              <w:spacing w:line="380" w:lineRule="atLeast"/>
              <w:jc w:val="left"/>
              <w:textAlignment w:val="auto"/>
              <w:rPr>
                <w:rFonts w:ascii="宋体" w:hAnsi="宋体" w:cs="Times New Roman"/>
                <w:color w:val="auto"/>
                <w:sz w:val="24"/>
                <w:szCs w:val="22"/>
                <w:highlight w:val="none"/>
              </w:rPr>
            </w:pPr>
            <w:r>
              <w:rPr>
                <w:rFonts w:hint="eastAsia" w:ascii="宋体" w:hAnsi="宋体" w:cs="Times New Roman"/>
                <w:color w:val="auto"/>
                <w:sz w:val="24"/>
                <w:szCs w:val="22"/>
                <w:highlight w:val="none"/>
              </w:rPr>
              <w:t>4.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3FFB7369">
            <w:pPr>
              <w:spacing w:line="380" w:lineRule="atLeast"/>
              <w:jc w:val="left"/>
              <w:textAlignment w:val="auto"/>
              <w:rPr>
                <w:rStyle w:val="27"/>
                <w:rFonts w:ascii="宋体" w:hAnsi="宋体"/>
                <w:color w:val="auto"/>
                <w:sz w:val="24"/>
                <w:highlight w:val="none"/>
              </w:rPr>
            </w:pPr>
            <w:r>
              <w:rPr>
                <w:rFonts w:hint="eastAsia" w:ascii="宋体" w:hAnsi="宋体" w:cs="Times New Roman"/>
                <w:color w:val="auto"/>
                <w:sz w:val="24"/>
                <w:szCs w:val="22"/>
                <w:highlight w:val="none"/>
              </w:rPr>
              <w:t>(注：未提供以上材料的，不享受小型、微型企业政策）。</w:t>
            </w:r>
          </w:p>
        </w:tc>
      </w:tr>
      <w:tr w14:paraId="0CB7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8" w:type="dxa"/>
            <w:tcBorders>
              <w:top w:val="single" w:color="000000" w:sz="4" w:space="0"/>
              <w:left w:val="single" w:color="000000" w:sz="4" w:space="0"/>
              <w:bottom w:val="single" w:color="000000" w:sz="4" w:space="0"/>
              <w:right w:val="single" w:color="000000" w:sz="4" w:space="0"/>
            </w:tcBorders>
            <w:vAlign w:val="center"/>
          </w:tcPr>
          <w:p w14:paraId="7F97ADA4">
            <w:pPr>
              <w:spacing w:line="400" w:lineRule="exact"/>
              <w:jc w:val="center"/>
              <w:rPr>
                <w:rStyle w:val="27"/>
                <w:rFonts w:ascii="宋体" w:hAnsi="宋体"/>
                <w:color w:val="auto"/>
                <w:sz w:val="24"/>
                <w:highlight w:val="none"/>
              </w:rPr>
            </w:pPr>
            <w:r>
              <w:rPr>
                <w:rStyle w:val="27"/>
                <w:rFonts w:ascii="宋体" w:hAnsi="宋体"/>
                <w:color w:val="auto"/>
                <w:sz w:val="24"/>
                <w:highlight w:val="none"/>
              </w:rPr>
              <w:t>1</w:t>
            </w:r>
            <w:r>
              <w:rPr>
                <w:rStyle w:val="27"/>
                <w:rFonts w:hint="eastAsia" w:ascii="宋体" w:hAnsi="宋体"/>
                <w:color w:val="auto"/>
                <w:sz w:val="24"/>
                <w:highlight w:val="none"/>
              </w:rPr>
              <w:t>4</w:t>
            </w:r>
          </w:p>
        </w:tc>
        <w:tc>
          <w:tcPr>
            <w:tcW w:w="1840" w:type="dxa"/>
            <w:tcBorders>
              <w:top w:val="single" w:color="000000" w:sz="4" w:space="0"/>
              <w:left w:val="single" w:color="000000" w:sz="4" w:space="0"/>
              <w:bottom w:val="single" w:color="000000" w:sz="4" w:space="0"/>
              <w:right w:val="single" w:color="000000" w:sz="4" w:space="0"/>
            </w:tcBorders>
            <w:vAlign w:val="center"/>
          </w:tcPr>
          <w:p w14:paraId="32F5EB09">
            <w:pPr>
              <w:spacing w:line="400" w:lineRule="exact"/>
              <w:jc w:val="center"/>
              <w:rPr>
                <w:rStyle w:val="27"/>
                <w:rFonts w:ascii="宋体" w:hAnsi="宋体"/>
                <w:color w:val="auto"/>
                <w:sz w:val="24"/>
                <w:highlight w:val="none"/>
              </w:rPr>
            </w:pPr>
            <w:r>
              <w:rPr>
                <w:rStyle w:val="27"/>
                <w:rFonts w:ascii="宋体" w:hAnsi="宋体"/>
                <w:color w:val="auto"/>
                <w:sz w:val="24"/>
                <w:highlight w:val="none"/>
              </w:rPr>
              <w:t>解释权</w:t>
            </w:r>
          </w:p>
        </w:tc>
        <w:tc>
          <w:tcPr>
            <w:tcW w:w="7144" w:type="dxa"/>
            <w:tcBorders>
              <w:top w:val="single" w:color="000000" w:sz="4" w:space="0"/>
              <w:left w:val="single" w:color="000000" w:sz="4" w:space="0"/>
              <w:bottom w:val="single" w:color="000000" w:sz="4" w:space="0"/>
              <w:right w:val="single" w:color="000000" w:sz="4" w:space="0"/>
            </w:tcBorders>
            <w:vAlign w:val="center"/>
          </w:tcPr>
          <w:p w14:paraId="12B820EC">
            <w:pPr>
              <w:rPr>
                <w:rStyle w:val="27"/>
                <w:rFonts w:ascii="宋体" w:hAnsi="宋体"/>
                <w:color w:val="auto"/>
                <w:sz w:val="24"/>
                <w:highlight w:val="none"/>
              </w:rPr>
            </w:pPr>
            <w:r>
              <w:rPr>
                <w:rStyle w:val="27"/>
                <w:rFonts w:ascii="宋体" w:hAnsi="宋体"/>
                <w:color w:val="auto"/>
                <w:sz w:val="24"/>
                <w:highlight w:val="none"/>
              </w:rPr>
              <w:t>本招标文件解释权属于采购人和</w:t>
            </w:r>
            <w:r>
              <w:rPr>
                <w:rStyle w:val="27"/>
                <w:rFonts w:hint="eastAsia" w:ascii="宋体" w:hAnsi="宋体"/>
                <w:color w:val="auto"/>
                <w:sz w:val="24"/>
                <w:highlight w:val="none"/>
              </w:rPr>
              <w:t>大地工程咨询有限公司</w:t>
            </w:r>
            <w:r>
              <w:rPr>
                <w:rStyle w:val="27"/>
                <w:rFonts w:ascii="宋体" w:hAnsi="宋体"/>
                <w:color w:val="auto"/>
                <w:sz w:val="24"/>
                <w:highlight w:val="none"/>
              </w:rPr>
              <w:t>。</w:t>
            </w:r>
          </w:p>
        </w:tc>
      </w:tr>
    </w:tbl>
    <w:p w14:paraId="434C722E">
      <w:pPr>
        <w:rPr>
          <w:rStyle w:val="27"/>
          <w:rFonts w:ascii="宋体" w:hAnsi="宋体" w:cs="宋体"/>
          <w:b/>
          <w:bCs/>
          <w:color w:val="auto"/>
          <w:sz w:val="24"/>
          <w:szCs w:val="32"/>
          <w:highlight w:val="none"/>
        </w:rPr>
      </w:pPr>
      <w:r>
        <w:rPr>
          <w:rStyle w:val="27"/>
          <w:rFonts w:ascii="宋体" w:hAnsi="宋体" w:cs="宋体"/>
          <w:b/>
          <w:bCs/>
          <w:color w:val="auto"/>
          <w:sz w:val="24"/>
          <w:szCs w:val="32"/>
          <w:highlight w:val="none"/>
        </w:rPr>
        <w:br w:type="page"/>
      </w:r>
    </w:p>
    <w:p w14:paraId="21BFC2DB">
      <w:pPr>
        <w:pStyle w:val="11"/>
        <w:tabs>
          <w:tab w:val="right" w:leader="dot" w:pos="8494"/>
        </w:tabs>
        <w:snapToGrid w:val="0"/>
        <w:spacing w:line="440" w:lineRule="exact"/>
        <w:textAlignment w:val="auto"/>
        <w:rPr>
          <w:rFonts w:hAnsi="宋体"/>
          <w:b/>
          <w:color w:val="auto"/>
          <w:sz w:val="24"/>
          <w:highlight w:val="none"/>
        </w:rPr>
      </w:pPr>
      <w:r>
        <w:rPr>
          <w:rFonts w:hint="eastAsia" w:hAnsi="宋体"/>
          <w:b/>
          <w:color w:val="auto"/>
          <w:sz w:val="24"/>
          <w:highlight w:val="none"/>
        </w:rPr>
        <w:t>一 、总  则</w:t>
      </w:r>
    </w:p>
    <w:p w14:paraId="35F6872D">
      <w:pPr>
        <w:snapToGrid w:val="0"/>
        <w:spacing w:line="440" w:lineRule="exact"/>
        <w:ind w:firstLine="482" w:firstLineChars="200"/>
        <w:textAlignment w:val="auto"/>
        <w:outlineLvl w:val="1"/>
        <w:rPr>
          <w:rFonts w:ascii="宋体" w:hAnsi="宋体"/>
          <w:b/>
          <w:color w:val="auto"/>
          <w:sz w:val="24"/>
          <w:highlight w:val="none"/>
        </w:rPr>
      </w:pPr>
      <w:r>
        <w:rPr>
          <w:rFonts w:hint="eastAsia" w:ascii="宋体" w:hAnsi="宋体"/>
          <w:b/>
          <w:color w:val="auto"/>
          <w:sz w:val="24"/>
          <w:highlight w:val="none"/>
        </w:rPr>
        <w:t>（一）实施依据及</w:t>
      </w:r>
      <w:r>
        <w:rPr>
          <w:rFonts w:ascii="宋体" w:hAnsi="宋体"/>
          <w:b/>
          <w:color w:val="auto"/>
          <w:sz w:val="24"/>
          <w:highlight w:val="none"/>
        </w:rPr>
        <w:t>适用范围</w:t>
      </w:r>
    </w:p>
    <w:p w14:paraId="02467AF2">
      <w:pPr>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实施依据：本次采购工作按照《中华人民共和国政府采购法》、《中华人民共和国政府采购法实施条例》、《政府采购货物和服务招标投标管理办法》、《浙江省政府采购项目电子交易管理暂行办法》等政府采购有关法律、法规、规章、文件的规定组织和实施。</w:t>
      </w:r>
    </w:p>
    <w:p w14:paraId="2397FD87">
      <w:pPr>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2、本招标文件适用于</w:t>
      </w:r>
      <w:r>
        <w:rPr>
          <w:rFonts w:hint="eastAsia" w:ascii="宋体" w:hAnsi="宋体"/>
          <w:bCs/>
          <w:color w:val="auto"/>
          <w:sz w:val="24"/>
          <w:highlight w:val="none"/>
        </w:rPr>
        <w:t>本次</w:t>
      </w:r>
      <w:r>
        <w:rPr>
          <w:rFonts w:hint="eastAsia" w:ascii="宋体" w:hAnsi="宋体"/>
          <w:color w:val="auto"/>
          <w:sz w:val="24"/>
          <w:highlight w:val="none"/>
        </w:rPr>
        <w:t>项目的招标、投标、评标、定标、验收、合同履约、付款等行为（法律、法规另有规定的，从其规定）。</w:t>
      </w:r>
    </w:p>
    <w:p w14:paraId="706E0F09">
      <w:pPr>
        <w:snapToGrid w:val="0"/>
        <w:spacing w:line="440" w:lineRule="exact"/>
        <w:ind w:firstLine="482" w:firstLineChars="200"/>
        <w:textAlignment w:val="auto"/>
        <w:outlineLvl w:val="1"/>
        <w:rPr>
          <w:rFonts w:ascii="宋体" w:hAnsi="宋体"/>
          <w:b/>
          <w:color w:val="auto"/>
          <w:sz w:val="24"/>
          <w:highlight w:val="none"/>
        </w:rPr>
      </w:pPr>
      <w:r>
        <w:rPr>
          <w:rFonts w:hint="eastAsia" w:ascii="宋体" w:hAnsi="宋体"/>
          <w:b/>
          <w:color w:val="auto"/>
          <w:sz w:val="24"/>
          <w:highlight w:val="none"/>
        </w:rPr>
        <w:t>（二）定义</w:t>
      </w:r>
    </w:p>
    <w:p w14:paraId="0CC8DF09">
      <w:pPr>
        <w:pStyle w:val="5"/>
        <w:keepNext w:val="0"/>
        <w:tabs>
          <w:tab w:val="left" w:pos="0"/>
          <w:tab w:val="left" w:pos="851"/>
          <w:tab w:val="left" w:pos="1275"/>
          <w:tab w:val="clear" w:pos="1260"/>
        </w:tabs>
        <w:autoSpaceDE w:val="0"/>
        <w:autoSpaceDN w:val="0"/>
        <w:adjustRightInd w:val="0"/>
        <w:snapToGrid w:val="0"/>
        <w:spacing w:line="440" w:lineRule="exact"/>
        <w:ind w:firstLine="480" w:firstLineChars="200"/>
        <w:jc w:val="left"/>
        <w:textAlignment w:val="auto"/>
        <w:rPr>
          <w:rFonts w:hAnsi="宋体"/>
          <w:b w:val="0"/>
          <w:color w:val="auto"/>
          <w:sz w:val="24"/>
          <w:highlight w:val="none"/>
        </w:rPr>
      </w:pPr>
      <w:r>
        <w:rPr>
          <w:rFonts w:hint="eastAsia" w:hAnsi="宋体"/>
          <w:b w:val="0"/>
          <w:color w:val="auto"/>
          <w:sz w:val="24"/>
          <w:highlight w:val="none"/>
        </w:rPr>
        <w:t>1、</w:t>
      </w:r>
      <w:r>
        <w:rPr>
          <w:rFonts w:hint="eastAsia" w:hAnsi="宋体"/>
          <w:b w:val="0"/>
          <w:color w:val="auto"/>
          <w:sz w:val="24"/>
          <w:highlight w:val="none"/>
          <w:lang w:val="zh-CN"/>
        </w:rPr>
        <w:t>“采购组织机构”指采购人委托组织招标的</w:t>
      </w:r>
      <w:r>
        <w:rPr>
          <w:rFonts w:hint="eastAsia" w:hAnsi="宋体"/>
          <w:b w:val="0"/>
          <w:color w:val="auto"/>
          <w:sz w:val="24"/>
          <w:highlight w:val="none"/>
        </w:rPr>
        <w:t>采购代理</w:t>
      </w:r>
      <w:r>
        <w:rPr>
          <w:rFonts w:hint="eastAsia" w:hAnsi="宋体"/>
          <w:b w:val="0"/>
          <w:color w:val="auto"/>
          <w:sz w:val="24"/>
          <w:highlight w:val="none"/>
          <w:lang w:val="zh-CN"/>
        </w:rPr>
        <w:t>机构。</w:t>
      </w:r>
    </w:p>
    <w:p w14:paraId="6B6A8EF0">
      <w:pPr>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2、采购人：是指委托</w:t>
      </w:r>
      <w:r>
        <w:rPr>
          <w:rFonts w:hint="eastAsia" w:ascii="宋体" w:hAnsi="宋体"/>
          <w:color w:val="auto"/>
          <w:sz w:val="24"/>
          <w:highlight w:val="none"/>
          <w:lang w:val="zh-CN"/>
        </w:rPr>
        <w:t>集中采购机构</w:t>
      </w:r>
      <w:r>
        <w:rPr>
          <w:rFonts w:hint="eastAsia" w:ascii="宋体" w:hAnsi="宋体"/>
          <w:color w:val="auto"/>
          <w:sz w:val="24"/>
          <w:highlight w:val="none"/>
        </w:rPr>
        <w:t>采购本次项目的国家机关、事业单位和团体组织。</w:t>
      </w:r>
    </w:p>
    <w:p w14:paraId="6D178E0C">
      <w:pPr>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3、投标人（供应商）：</w:t>
      </w:r>
      <w:r>
        <w:rPr>
          <w:rFonts w:hint="eastAsia" w:ascii="宋体" w:hAnsi="宋体" w:cs="Arial"/>
          <w:color w:val="auto"/>
          <w:sz w:val="24"/>
          <w:highlight w:val="none"/>
        </w:rPr>
        <w:t>是指响应本次招标、参加投标竞争的法人、其他组织或者自然人；</w:t>
      </w:r>
    </w:p>
    <w:p w14:paraId="32A82055">
      <w:pPr>
        <w:snapToGrid w:val="0"/>
        <w:spacing w:line="440" w:lineRule="exact"/>
        <w:ind w:firstLine="480" w:firstLineChars="200"/>
        <w:textAlignment w:val="auto"/>
        <w:rPr>
          <w:rFonts w:ascii="宋体" w:hAnsi="宋体" w:cs="Arial"/>
          <w:color w:val="auto"/>
          <w:sz w:val="24"/>
          <w:highlight w:val="none"/>
        </w:rPr>
      </w:pPr>
      <w:r>
        <w:rPr>
          <w:rFonts w:hint="eastAsia" w:ascii="宋体" w:hAnsi="宋体" w:cs="Arial"/>
          <w:color w:val="auto"/>
          <w:sz w:val="24"/>
          <w:highlight w:val="none"/>
        </w:rPr>
        <w:t>4、“中标单位”：是指经评标委员会推荐并经采购人确认的中标成交单位，即政府采购合同中的“乙方”；</w:t>
      </w:r>
    </w:p>
    <w:p w14:paraId="07C46175">
      <w:pPr>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货物</w:t>
      </w:r>
      <w:r>
        <w:rPr>
          <w:rFonts w:hint="eastAsia" w:ascii="宋体" w:hAnsi="宋体"/>
          <w:color w:val="auto"/>
          <w:sz w:val="24"/>
          <w:highlight w:val="none"/>
        </w:rPr>
        <w:t>：</w:t>
      </w:r>
      <w:r>
        <w:rPr>
          <w:rFonts w:ascii="宋体" w:hAnsi="宋体"/>
          <w:color w:val="auto"/>
          <w:sz w:val="24"/>
          <w:highlight w:val="none"/>
        </w:rPr>
        <w:t>是指各种形态和种类的物品，包括原材料、燃料、设备、产品等。</w:t>
      </w:r>
    </w:p>
    <w:p w14:paraId="45F6F3C9">
      <w:pPr>
        <w:snapToGrid w:val="0"/>
        <w:spacing w:line="440" w:lineRule="exact"/>
        <w:ind w:firstLine="480" w:firstLineChars="200"/>
        <w:textAlignment w:val="auto"/>
        <w:rPr>
          <w:rFonts w:ascii="宋体" w:hAnsi="宋体"/>
          <w:b/>
          <w:color w:val="auto"/>
          <w:sz w:val="24"/>
          <w:highlight w:val="none"/>
        </w:rPr>
      </w:pPr>
      <w:r>
        <w:rPr>
          <w:rFonts w:hint="eastAsia" w:ascii="宋体" w:hAnsi="宋体"/>
          <w:color w:val="auto"/>
          <w:sz w:val="24"/>
          <w:highlight w:val="none"/>
        </w:rPr>
        <w:t>6、</w:t>
      </w:r>
      <w:r>
        <w:rPr>
          <w:rFonts w:ascii="宋体" w:hAnsi="宋体"/>
          <w:color w:val="auto"/>
          <w:sz w:val="24"/>
          <w:highlight w:val="none"/>
        </w:rPr>
        <w:t>服务</w:t>
      </w:r>
      <w:r>
        <w:rPr>
          <w:rFonts w:hint="eastAsia" w:ascii="宋体" w:hAnsi="宋体"/>
          <w:color w:val="auto"/>
          <w:sz w:val="24"/>
          <w:highlight w:val="none"/>
        </w:rPr>
        <w:t>：</w:t>
      </w:r>
      <w:r>
        <w:rPr>
          <w:rFonts w:ascii="宋体" w:hAnsi="宋体"/>
          <w:color w:val="auto"/>
          <w:sz w:val="24"/>
          <w:highlight w:val="none"/>
        </w:rPr>
        <w:t>是指除货物和工程以外的政府采购对象，包括各类专业服务、信息网络开发服务、金融保险服务、运输服务，以及维修与维护服务等。</w:t>
      </w:r>
    </w:p>
    <w:p w14:paraId="5B08C34F">
      <w:pPr>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“书面形式”包括信函、传真等。</w:t>
      </w:r>
    </w:p>
    <w:p w14:paraId="4ECF388C">
      <w:pPr>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8、“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23EFF66">
      <w:pPr>
        <w:snapToGrid w:val="0"/>
        <w:spacing w:line="440" w:lineRule="exact"/>
        <w:ind w:firstLine="480" w:firstLineChars="200"/>
        <w:textAlignment w:val="auto"/>
        <w:rPr>
          <w:rFonts w:ascii="宋体" w:hAnsi="宋体" w:cs="Times New Roman"/>
          <w:color w:val="auto"/>
          <w:sz w:val="24"/>
          <w:highlight w:val="none"/>
        </w:rPr>
      </w:pPr>
      <w:r>
        <w:rPr>
          <w:rFonts w:hint="eastAsia" w:ascii="宋体" w:hAnsi="宋体" w:cs="Times New Roman"/>
          <w:color w:val="auto"/>
          <w:sz w:val="24"/>
          <w:highlight w:val="none"/>
        </w:rPr>
        <w:t>9、“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hint="eastAsia" w:ascii="宋体" w:hAnsi="宋体" w:cs="Times New Roman"/>
          <w:color w:val="auto"/>
          <w:sz w:val="24"/>
          <w:highlight w:val="none"/>
        </w:rPr>
        <w:br w:type="textWrapping"/>
      </w:r>
      <w:r>
        <w:rPr>
          <w:rFonts w:hint="eastAsia" w:ascii="宋体" w:hAnsi="宋体" w:cs="Times New Roman"/>
          <w:color w:val="auto"/>
          <w:sz w:val="24"/>
          <w:highlight w:val="none"/>
        </w:rPr>
        <w:t>10、“残疾人福利性单位”：是指符合《财政部 民政部 中国残疾人联合会关于促进残疾人就业政府采购政策的通知》（财库〔2017〕141号）的规定单位；</w:t>
      </w:r>
    </w:p>
    <w:p w14:paraId="1A982208">
      <w:pPr>
        <w:snapToGrid w:val="0"/>
        <w:spacing w:line="440" w:lineRule="exact"/>
        <w:ind w:firstLine="482" w:firstLineChars="200"/>
        <w:textAlignment w:val="auto"/>
        <w:rPr>
          <w:rFonts w:ascii="宋体" w:hAnsi="宋体" w:cs="Times New Roman"/>
          <w:b/>
          <w:bCs/>
          <w:color w:val="auto"/>
          <w:sz w:val="24"/>
          <w:highlight w:val="none"/>
        </w:rPr>
      </w:pPr>
      <w:r>
        <w:rPr>
          <w:rFonts w:hint="eastAsia" w:ascii="宋体" w:hAnsi="宋体" w:cs="Times New Roman"/>
          <w:b/>
          <w:bCs/>
          <w:color w:val="auto"/>
          <w:sz w:val="24"/>
          <w:highlight w:val="none"/>
        </w:rPr>
        <w:t>（三）投标委托</w:t>
      </w:r>
    </w:p>
    <w:p w14:paraId="5F4029C4">
      <w:pPr>
        <w:snapToGrid w:val="0"/>
        <w:spacing w:line="440" w:lineRule="exact"/>
        <w:ind w:firstLine="480" w:firstLineChars="200"/>
        <w:textAlignment w:val="auto"/>
        <w:rPr>
          <w:rFonts w:ascii="宋体" w:hAnsi="宋体" w:cs="Times New Roman"/>
          <w:color w:val="auto"/>
          <w:sz w:val="24"/>
          <w:highlight w:val="none"/>
        </w:rPr>
      </w:pPr>
      <w:r>
        <w:rPr>
          <w:rFonts w:hint="eastAsia" w:ascii="宋体" w:hAnsi="宋体" w:cs="Times New Roman"/>
          <w:color w:val="auto"/>
          <w:sz w:val="24"/>
          <w:highlight w:val="none"/>
        </w:rPr>
        <w:t>如授权代表不是法定代表人，须有法定代表人出具的法定代表人授权委托书（格式见第六部分 投标文件格式），《法定代表人授权委托书》必须经法定代表人签字（或盖章），否则视为无效授权（等同未提供）。</w:t>
      </w:r>
    </w:p>
    <w:p w14:paraId="4844453C">
      <w:pPr>
        <w:snapToGrid w:val="0"/>
        <w:spacing w:line="440" w:lineRule="exact"/>
        <w:ind w:firstLine="482" w:firstLineChars="200"/>
        <w:textAlignment w:val="auto"/>
        <w:outlineLvl w:val="1"/>
        <w:rPr>
          <w:rFonts w:ascii="宋体" w:hAnsi="宋体"/>
          <w:b/>
          <w:color w:val="auto"/>
          <w:sz w:val="24"/>
          <w:highlight w:val="none"/>
        </w:rPr>
      </w:pPr>
      <w:r>
        <w:rPr>
          <w:rFonts w:hint="eastAsia" w:ascii="宋体" w:hAnsi="宋体"/>
          <w:b/>
          <w:color w:val="auto"/>
          <w:sz w:val="24"/>
          <w:highlight w:val="none"/>
        </w:rPr>
        <w:t>（四）投标费用</w:t>
      </w:r>
    </w:p>
    <w:p w14:paraId="288E0513">
      <w:pPr>
        <w:snapToGri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1、不论投标结果如何，投标人均应自行承担所有与投标有关的全部费用（采购文件有相关规定除外），采购组织机构概不负责；</w:t>
      </w:r>
    </w:p>
    <w:p w14:paraId="7CECA061">
      <w:pPr>
        <w:snapToGrid w:val="0"/>
        <w:spacing w:line="440" w:lineRule="exact"/>
        <w:ind w:firstLine="480" w:firstLineChars="200"/>
        <w:textAlignment w:val="auto"/>
        <w:rPr>
          <w:color w:val="auto"/>
          <w:sz w:val="24"/>
          <w:highlight w:val="none"/>
        </w:rPr>
      </w:pPr>
      <w:r>
        <w:rPr>
          <w:rFonts w:hint="eastAsia" w:ascii="宋体" w:hAnsi="宋体"/>
          <w:color w:val="auto"/>
          <w:sz w:val="24"/>
          <w:highlight w:val="none"/>
        </w:rPr>
        <w:t>2</w:t>
      </w:r>
      <w:r>
        <w:rPr>
          <w:rFonts w:hint="eastAsia"/>
          <w:color w:val="auto"/>
          <w:sz w:val="24"/>
          <w:highlight w:val="none"/>
        </w:rPr>
        <w:t>、</w:t>
      </w:r>
      <w:r>
        <w:rPr>
          <w:rFonts w:hint="eastAsia" w:ascii="宋体" w:hAnsi="宋体"/>
          <w:color w:val="auto"/>
          <w:sz w:val="24"/>
          <w:highlight w:val="none"/>
        </w:rPr>
        <w:t>合同实施过程中，中标单位须与采购人积极配合。中标单位自行承担本次采购活动中所发生的全部费用。</w:t>
      </w:r>
    </w:p>
    <w:p w14:paraId="0C6F1B66">
      <w:pPr>
        <w:pStyle w:val="11"/>
        <w:tabs>
          <w:tab w:val="right" w:leader="dot" w:pos="8494"/>
        </w:tabs>
        <w:snapToGrid w:val="0"/>
        <w:spacing w:line="440" w:lineRule="exact"/>
        <w:ind w:firstLine="482" w:firstLineChars="200"/>
        <w:textAlignment w:val="auto"/>
        <w:rPr>
          <w:rFonts w:hAnsi="宋体"/>
          <w:b/>
          <w:color w:val="auto"/>
          <w:sz w:val="24"/>
          <w:highlight w:val="none"/>
        </w:rPr>
      </w:pPr>
      <w:r>
        <w:rPr>
          <w:rFonts w:hint="eastAsia" w:hAnsi="宋体"/>
          <w:b/>
          <w:color w:val="auto"/>
          <w:sz w:val="24"/>
          <w:highlight w:val="none"/>
        </w:rPr>
        <w:t>（五）转包与分包</w:t>
      </w:r>
    </w:p>
    <w:p w14:paraId="20B30067">
      <w:pPr>
        <w:pStyle w:val="11"/>
        <w:tabs>
          <w:tab w:val="right" w:leader="dot" w:pos="8494"/>
        </w:tabs>
        <w:snapToGrid w:val="0"/>
        <w:spacing w:line="440" w:lineRule="exact"/>
        <w:ind w:firstLine="480" w:firstLineChars="200"/>
        <w:textAlignment w:val="auto"/>
        <w:rPr>
          <w:rFonts w:hAnsi="宋体"/>
          <w:color w:val="auto"/>
          <w:sz w:val="24"/>
          <w:highlight w:val="none"/>
        </w:rPr>
      </w:pPr>
      <w:bookmarkStart w:id="3" w:name="_Toc504504532"/>
      <w:r>
        <w:rPr>
          <w:rFonts w:hint="eastAsia" w:hAnsi="宋体"/>
          <w:color w:val="auto"/>
          <w:sz w:val="24"/>
          <w:highlight w:val="none"/>
        </w:rPr>
        <w:t>本项目不允许转包、分包。</w:t>
      </w:r>
    </w:p>
    <w:p w14:paraId="228F7739">
      <w:pPr>
        <w:pStyle w:val="11"/>
        <w:tabs>
          <w:tab w:val="right" w:leader="dot" w:pos="8494"/>
        </w:tabs>
        <w:snapToGrid w:val="0"/>
        <w:spacing w:line="440" w:lineRule="exact"/>
        <w:ind w:firstLine="482" w:firstLineChars="200"/>
        <w:textAlignment w:val="auto"/>
        <w:rPr>
          <w:rFonts w:hAnsi="宋体"/>
          <w:b/>
          <w:color w:val="auto"/>
          <w:sz w:val="24"/>
          <w:highlight w:val="none"/>
        </w:rPr>
      </w:pPr>
      <w:r>
        <w:rPr>
          <w:rFonts w:hint="eastAsia" w:hAnsi="宋体"/>
          <w:b/>
          <w:color w:val="auto"/>
          <w:sz w:val="24"/>
          <w:highlight w:val="none"/>
        </w:rPr>
        <w:t>（六）特殊投标人投标规定</w:t>
      </w:r>
    </w:p>
    <w:p w14:paraId="7319702B">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根据《关于规范政府采购供应商资格设定及资格审查的通知（浙财采监【2013】24号）》第六条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14:paraId="6CB1B0D3">
      <w:pPr>
        <w:pStyle w:val="11"/>
        <w:tabs>
          <w:tab w:val="right" w:leader="dot" w:pos="8494"/>
        </w:tabs>
        <w:snapToGrid w:val="0"/>
        <w:spacing w:line="440" w:lineRule="exact"/>
        <w:ind w:firstLine="482" w:firstLineChars="200"/>
        <w:textAlignment w:val="auto"/>
        <w:rPr>
          <w:rFonts w:hAnsi="宋体"/>
          <w:b/>
          <w:color w:val="auto"/>
          <w:sz w:val="24"/>
          <w:highlight w:val="none"/>
        </w:rPr>
      </w:pPr>
      <w:r>
        <w:rPr>
          <w:rFonts w:hint="eastAsia" w:hAnsi="宋体"/>
          <w:b/>
          <w:color w:val="auto"/>
          <w:sz w:val="24"/>
          <w:highlight w:val="none"/>
        </w:rPr>
        <w:t>（七）质疑和投诉</w:t>
      </w:r>
      <w:bookmarkEnd w:id="3"/>
    </w:p>
    <w:p w14:paraId="01DEB64C">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1、供应商认为采购文件、采购过程、中标或者成交结果使自己的权益受到损害的，可以在知道或者应知其权益受到损害之日起7个工作日内，以书面形式一次性向采购人、采购组织机构提出针对同一采购程序环节的质疑。</w:t>
      </w:r>
    </w:p>
    <w:p w14:paraId="527790D8">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上述所指“应知其权益受到损害之日”，是指：</w:t>
      </w:r>
    </w:p>
    <w:p w14:paraId="61F8AE5B">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（1）对采购文件提出质疑的，为获取采购文件之日或者采购文件公告期限届满之日（采购文件公告期限届满后获取采购文件的，以采购文件公告期限届满之日为准）；</w:t>
      </w:r>
    </w:p>
    <w:p w14:paraId="754D4C31">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（2）对采购过程提出质疑的，为各采购程序环节结束之日；</w:t>
      </w:r>
    </w:p>
    <w:p w14:paraId="6DB36E12">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（3）对中标或者成交结果提出质疑的，为中标或者成交结果公告期限届满之日。</w:t>
      </w:r>
    </w:p>
    <w:p w14:paraId="60E2969C">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2、提出质疑的供应商应当是参与所质疑项目采购活动的供应商。潜在供应商已依法获取其可质疑的采购文件的，可以对该文件提出质疑。对采购文件提出质疑的，应当在获取采购文件或者采购文件公告期限届满之日起7个工作日内提出。</w:t>
      </w:r>
    </w:p>
    <w:p w14:paraId="29EB4771">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3、质疑供应商对采购人、采购组织机构的答复不满意，或者采购人、采购组织机构未在规定时间内作出答复的，可以在答复期满后15个工作日内向同级采购监管部门提起投诉。</w:t>
      </w:r>
    </w:p>
    <w:p w14:paraId="00E8C98F">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4、质疑、投诉应当采用书面形式（原件一式三份），经法定代表人或其授权代表签署后加盖单位公章，质疑书、投诉书均应明确阐述采购文件、招标过程和中标结果中使自己合法权益受到损害的实质性内容，投标人提出的质疑、投诉应当有明确的诉求（即通过质疑所要达到的具体目标）和必要的证明材料（即通过合法手段获得的能够证明投标人的诉求成立的必要材料）。</w:t>
      </w:r>
    </w:p>
    <w:p w14:paraId="58B8C3F8">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质疑函应当包括下列内容：</w:t>
      </w:r>
    </w:p>
    <w:p w14:paraId="60F38C35">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（1）供应商的姓名或者名称、地址、邮编、联系人及联系电话；</w:t>
      </w:r>
    </w:p>
    <w:p w14:paraId="2D1FD9A0">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（2）质疑项目的名称、编号；</w:t>
      </w:r>
    </w:p>
    <w:p w14:paraId="51B6948D">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（3）具体、明确的质疑事项和与质疑事项相关的请求；</w:t>
      </w:r>
    </w:p>
    <w:p w14:paraId="2AE34EC7">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（4）事实依据；</w:t>
      </w:r>
    </w:p>
    <w:p w14:paraId="5C56CC60">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（5）必要的法律依据；</w:t>
      </w:r>
    </w:p>
    <w:p w14:paraId="387C957F">
      <w:pPr>
        <w:pStyle w:val="11"/>
        <w:tabs>
          <w:tab w:val="right" w:leader="dot" w:pos="8494"/>
        </w:tabs>
        <w:snapToGrid w:val="0"/>
        <w:spacing w:line="440" w:lineRule="exact"/>
        <w:ind w:firstLine="480" w:firstLineChars="200"/>
        <w:textAlignment w:val="auto"/>
        <w:rPr>
          <w:rFonts w:hAnsi="宋体"/>
          <w:bCs/>
          <w:color w:val="auto"/>
          <w:sz w:val="24"/>
          <w:highlight w:val="none"/>
        </w:rPr>
      </w:pPr>
      <w:r>
        <w:rPr>
          <w:rFonts w:hint="eastAsia" w:hAnsi="宋体"/>
          <w:bCs/>
          <w:color w:val="auto"/>
          <w:sz w:val="24"/>
          <w:highlight w:val="none"/>
        </w:rPr>
        <w:t>（6）提出质疑的日期。</w:t>
      </w:r>
    </w:p>
    <w:p w14:paraId="10817830">
      <w:pPr>
        <w:pStyle w:val="11"/>
        <w:tabs>
          <w:tab w:val="right" w:leader="dot" w:pos="8494"/>
        </w:tabs>
        <w:snapToGrid w:val="0"/>
        <w:spacing w:line="440" w:lineRule="exact"/>
        <w:ind w:firstLine="482" w:firstLineChars="200"/>
        <w:textAlignment w:val="auto"/>
        <w:rPr>
          <w:rFonts w:hAnsi="宋体"/>
          <w:b/>
          <w:color w:val="auto"/>
          <w:sz w:val="24"/>
          <w:highlight w:val="none"/>
        </w:rPr>
      </w:pPr>
      <w:r>
        <w:rPr>
          <w:rFonts w:hint="eastAsia" w:hAnsi="宋体"/>
          <w:b/>
          <w:color w:val="auto"/>
          <w:sz w:val="24"/>
          <w:highlight w:val="none"/>
        </w:rPr>
        <w:t>（八）其它说明</w:t>
      </w:r>
    </w:p>
    <w:p w14:paraId="1D54BD77">
      <w:pPr>
        <w:pStyle w:val="11"/>
        <w:tabs>
          <w:tab w:val="right" w:leader="dot" w:pos="8494"/>
        </w:tabs>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1、投标人投标所使用的资格、信誉、荣誉、投标人业绩与企业认证必须为本法人所拥有。投标人投标所使用的采购项目负责管理人员必须为投标人员工（或投标人控股公司正式员工）。</w:t>
      </w:r>
    </w:p>
    <w:p w14:paraId="75491B86">
      <w:pPr>
        <w:spacing w:line="440" w:lineRule="exact"/>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2、</w:t>
      </w:r>
      <w:r>
        <w:rPr>
          <w:rFonts w:ascii="宋体" w:hAnsi="宋体"/>
          <w:b/>
          <w:bCs/>
          <w:color w:val="auto"/>
          <w:sz w:val="24"/>
          <w:highlight w:val="none"/>
        </w:rPr>
        <w:t>投标人在投标活动中提供任何虚假材料</w:t>
      </w:r>
      <w:r>
        <w:rPr>
          <w:rFonts w:hint="eastAsia" w:ascii="宋体" w:hAnsi="宋体"/>
          <w:b/>
          <w:bCs/>
          <w:color w:val="auto"/>
          <w:sz w:val="24"/>
          <w:highlight w:val="none"/>
        </w:rPr>
        <w:t>，</w:t>
      </w:r>
      <w:r>
        <w:rPr>
          <w:rFonts w:ascii="宋体" w:hAnsi="宋体"/>
          <w:b/>
          <w:bCs/>
          <w:color w:val="auto"/>
          <w:sz w:val="24"/>
          <w:highlight w:val="none"/>
        </w:rPr>
        <w:t>其投标无效，并报监管部门查处；中标后发现的,根据《中华人民共和国政府采购法》第七十七条第一款第一项之规定</w:t>
      </w:r>
      <w:r>
        <w:rPr>
          <w:rFonts w:hint="eastAsia" w:ascii="宋体" w:hAnsi="宋体"/>
          <w:b/>
          <w:bCs/>
          <w:color w:val="auto"/>
          <w:sz w:val="24"/>
          <w:highlight w:val="none"/>
        </w:rPr>
        <w:t>，</w:t>
      </w:r>
      <w:r>
        <w:rPr>
          <w:rFonts w:ascii="宋体" w:hAnsi="宋体"/>
          <w:b/>
          <w:bCs/>
          <w:color w:val="auto"/>
          <w:sz w:val="24"/>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b/>
          <w:bCs/>
          <w:color w:val="auto"/>
          <w:sz w:val="24"/>
          <w:highlight w:val="none"/>
        </w:rPr>
        <w:t>。</w:t>
      </w:r>
    </w:p>
    <w:p w14:paraId="3A93780B">
      <w:pPr>
        <w:pStyle w:val="5"/>
        <w:keepNext w:val="0"/>
        <w:tabs>
          <w:tab w:val="left" w:pos="851"/>
          <w:tab w:val="left" w:pos="8280"/>
          <w:tab w:val="clear" w:pos="1260"/>
        </w:tabs>
        <w:snapToGrid w:val="0"/>
        <w:spacing w:line="440" w:lineRule="exact"/>
        <w:ind w:firstLine="480" w:firstLineChars="200"/>
        <w:textAlignment w:val="auto"/>
        <w:rPr>
          <w:rFonts w:hAnsi="宋体" w:cs="Times New Roman"/>
          <w:b w:val="0"/>
          <w:bCs w:val="0"/>
          <w:color w:val="auto"/>
          <w:sz w:val="24"/>
          <w:highlight w:val="none"/>
        </w:rPr>
      </w:pPr>
      <w:r>
        <w:rPr>
          <w:rFonts w:hint="eastAsia" w:hAnsi="宋体"/>
          <w:b w:val="0"/>
          <w:bCs w:val="0"/>
          <w:color w:val="auto"/>
          <w:sz w:val="24"/>
          <w:highlight w:val="none"/>
        </w:rPr>
        <w:t>3、投标人被列入“黑名单”的，采购组织单位将根据《浙江省政府采购供应商注册及诚信管理暂行办法》第四十六条之规定，在处罚有效期内，资格审查时不予通过。</w:t>
      </w:r>
    </w:p>
    <w:p w14:paraId="0F2E8CFA">
      <w:pPr>
        <w:pStyle w:val="5"/>
        <w:keepNext w:val="0"/>
        <w:tabs>
          <w:tab w:val="left" w:pos="851"/>
          <w:tab w:val="left" w:pos="8280"/>
          <w:tab w:val="clear" w:pos="1260"/>
        </w:tabs>
        <w:snapToGrid w:val="0"/>
        <w:spacing w:line="440" w:lineRule="exact"/>
        <w:ind w:firstLine="480" w:firstLineChars="200"/>
        <w:textAlignment w:val="auto"/>
        <w:rPr>
          <w:rFonts w:hAnsi="宋体"/>
          <w:b w:val="0"/>
          <w:bCs w:val="0"/>
          <w:color w:val="auto"/>
          <w:sz w:val="24"/>
          <w:highlight w:val="none"/>
        </w:rPr>
      </w:pPr>
      <w:r>
        <w:rPr>
          <w:rFonts w:hint="eastAsia" w:hAnsi="宋体"/>
          <w:b w:val="0"/>
          <w:bCs w:val="0"/>
          <w:color w:val="auto"/>
          <w:sz w:val="24"/>
          <w:highlight w:val="none"/>
        </w:rPr>
        <w:t>4、投标人不得相互串通投标报价，不得妨碍其他投标人的公平竞争，不得损害采购人或其他投标人的合法权益，投标人不得以向采购人、评标委员会成员行贿或者采取其他不正当手段谋取中标。</w:t>
      </w:r>
    </w:p>
    <w:p w14:paraId="6BB8E9A1">
      <w:pPr>
        <w:pStyle w:val="5"/>
        <w:keepNext w:val="0"/>
        <w:tabs>
          <w:tab w:val="left" w:pos="851"/>
          <w:tab w:val="left" w:pos="8280"/>
          <w:tab w:val="clear" w:pos="1260"/>
        </w:tabs>
        <w:snapToGrid w:val="0"/>
        <w:spacing w:line="440" w:lineRule="exact"/>
        <w:ind w:firstLine="480" w:firstLineChars="200"/>
        <w:textAlignment w:val="auto"/>
        <w:rPr>
          <w:rFonts w:hAnsi="宋体"/>
          <w:b w:val="0"/>
          <w:bCs w:val="0"/>
          <w:color w:val="auto"/>
          <w:sz w:val="24"/>
          <w:highlight w:val="none"/>
        </w:rPr>
      </w:pPr>
      <w:r>
        <w:rPr>
          <w:rFonts w:hint="eastAsia" w:hAnsi="宋体"/>
          <w:b w:val="0"/>
          <w:bCs w:val="0"/>
          <w:color w:val="auto"/>
          <w:sz w:val="24"/>
          <w:highlight w:val="none"/>
        </w:rPr>
        <w:t>5、电子投标文件格式中的表格式样可以根据项目差别做适当调整,但应当保持表格样式基本形态不变。</w:t>
      </w:r>
    </w:p>
    <w:p w14:paraId="2C788D2F">
      <w:pPr>
        <w:tabs>
          <w:tab w:val="left" w:pos="720"/>
          <w:tab w:val="left" w:pos="1260"/>
          <w:tab w:val="left" w:pos="2160"/>
          <w:tab w:val="left" w:pos="2880"/>
          <w:tab w:val="left" w:pos="3600"/>
          <w:tab w:val="left" w:pos="4320"/>
          <w:tab w:val="left" w:pos="5040"/>
          <w:tab w:val="left" w:pos="5760"/>
        </w:tabs>
        <w:autoSpaceDE w:val="0"/>
        <w:autoSpaceDN w:val="0"/>
        <w:adjustRightInd w:val="0"/>
        <w:spacing w:line="440" w:lineRule="exact"/>
        <w:ind w:right="1800"/>
        <w:textAlignment w:val="auto"/>
        <w:rPr>
          <w:rFonts w:ascii="宋体" w:hAnsi="宋体"/>
          <w:b/>
          <w:color w:val="auto"/>
          <w:sz w:val="24"/>
          <w:highlight w:val="none"/>
        </w:rPr>
      </w:pPr>
      <w:r>
        <w:rPr>
          <w:rFonts w:hint="eastAsia" w:ascii="宋体" w:hAnsi="宋体"/>
          <w:b/>
          <w:color w:val="auto"/>
          <w:sz w:val="24"/>
          <w:highlight w:val="none"/>
        </w:rPr>
        <w:t>二、招标文件</w:t>
      </w:r>
    </w:p>
    <w:p w14:paraId="71592F15">
      <w:pPr>
        <w:autoSpaceDE w:val="0"/>
        <w:autoSpaceDN w:val="0"/>
        <w:adjustRightInd w:val="0"/>
        <w:spacing w:line="440" w:lineRule="exact"/>
        <w:ind w:firstLine="482" w:firstLineChars="200"/>
        <w:textAlignment w:val="auto"/>
        <w:rPr>
          <w:rFonts w:ascii="宋体" w:hAnsi="宋体"/>
          <w:color w:val="auto"/>
          <w:sz w:val="24"/>
          <w:highlight w:val="none"/>
        </w:rPr>
      </w:pPr>
      <w:r>
        <w:rPr>
          <w:rFonts w:hint="eastAsia" w:ascii="宋体" w:hAnsi="宋体"/>
          <w:b/>
          <w:bCs/>
          <w:color w:val="auto"/>
          <w:sz w:val="24"/>
          <w:highlight w:val="none"/>
        </w:rPr>
        <w:t>（一）招标文件由招标文件总目录所列内容组成。</w:t>
      </w:r>
    </w:p>
    <w:p w14:paraId="5F1E361C">
      <w:pPr>
        <w:autoSpaceDE w:val="0"/>
        <w:autoSpaceDN w:val="0"/>
        <w:adjustRightInd w:val="0"/>
        <w:spacing w:line="440" w:lineRule="exact"/>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（二）投标人的风险</w:t>
      </w:r>
    </w:p>
    <w:p w14:paraId="4D2107FC">
      <w:pPr>
        <w:autoSpaceDE w:val="0"/>
        <w:autoSpaceDN w:val="0"/>
        <w:adjustRightIn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投标人没有按照招标文件要求提供全部资料，或者投标人没有对招标文件在各方面作出实质性响应是投标人的风险，并可能导致其投标被拒绝。</w:t>
      </w:r>
    </w:p>
    <w:p w14:paraId="650FFF98">
      <w:pPr>
        <w:autoSpaceDE w:val="0"/>
        <w:autoSpaceDN w:val="0"/>
        <w:adjustRightInd w:val="0"/>
        <w:spacing w:line="440" w:lineRule="exact"/>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（三）招标文件的澄清或修改</w:t>
      </w:r>
    </w:p>
    <w:p w14:paraId="72C98F5D">
      <w:pPr>
        <w:autoSpaceDE w:val="0"/>
        <w:autoSpaceDN w:val="0"/>
        <w:adjustRightIn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1、投标人应认真阅读本招标文件，发现其中有误或有要求不合理的，投标人必须在投标须知前附表规定的招标文件答疑与澄清截止时间前以书面形式要求采购组织机构澄清。</w:t>
      </w:r>
    </w:p>
    <w:p w14:paraId="2A17D574">
      <w:pPr>
        <w:autoSpaceDE w:val="0"/>
        <w:autoSpaceDN w:val="0"/>
        <w:adjustRightIn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2、采购组织机构必须以书面形式答复投标人要求澄清的问题，并将不包含问题来源的答复书面通知所有依法获取招标文件的投标人。</w:t>
      </w:r>
    </w:p>
    <w:p w14:paraId="1434C882">
      <w:pPr>
        <w:autoSpaceDE w:val="0"/>
        <w:autoSpaceDN w:val="0"/>
        <w:adjustRightIn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 xml:space="preserve">3、采购组织机构可视采购具体情况对已发出的招标文件进行必要的澄清或者修改。澄清或者修改的内容可能影响投标文件编制的，采购人或者采购组织机构应当在投标截止时间至少15日前，在原公告发布媒体上发布澄清公告，澄清或者修改的内容为招标文件的组成部分；不足15日的，采购人或者采购组织机构应当顺延提交投标文件的截止时间。 </w:t>
      </w:r>
    </w:p>
    <w:p w14:paraId="5BCB6CB5">
      <w:pPr>
        <w:autoSpaceDE w:val="0"/>
        <w:autoSpaceDN w:val="0"/>
        <w:adjustRightIn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4、招标文件澄清、答复、修改、补充的内容为招标文件的组成部分。当招标文件与招标文件的答复、澄清、修改、补充通知就同一内容的表述不一致时，以最后发出的书面文件为准。</w:t>
      </w:r>
    </w:p>
    <w:p w14:paraId="77307280">
      <w:pPr>
        <w:autoSpaceDE w:val="0"/>
        <w:autoSpaceDN w:val="0"/>
        <w:adjustRightInd w:val="0"/>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投标人在规定的时间内未对招标文件提出疑问、质疑或要求澄清的，将视其为无异议。对招标文件中描述有歧义或前后不一致的地方，评标委员会有权进行评判，但对同一条款的评判应适用于每个投标人</w:t>
      </w:r>
      <w:r>
        <w:rPr>
          <w:rFonts w:hint="eastAsia" w:ascii="宋体" w:hAnsi="宋体"/>
          <w:color w:val="auto"/>
          <w:sz w:val="24"/>
          <w:highlight w:val="none"/>
        </w:rPr>
        <w:t>。</w:t>
      </w:r>
    </w:p>
    <w:p w14:paraId="6D064F3B">
      <w:pPr>
        <w:tabs>
          <w:tab w:val="left" w:pos="1418"/>
        </w:tabs>
        <w:autoSpaceDE w:val="0"/>
        <w:autoSpaceDN w:val="0"/>
        <w:adjustRightInd w:val="0"/>
        <w:spacing w:line="440" w:lineRule="exact"/>
        <w:textAlignment w:val="auto"/>
        <w:rPr>
          <w:rFonts w:ascii="宋体" w:hAnsi="宋体"/>
          <w:b/>
          <w:color w:val="auto"/>
          <w:sz w:val="24"/>
          <w:highlight w:val="none"/>
        </w:rPr>
      </w:pPr>
      <w:r>
        <w:rPr>
          <w:rFonts w:hint="eastAsia" w:ascii="宋体" w:hAnsi="宋体"/>
          <w:b/>
          <w:color w:val="auto"/>
          <w:sz w:val="24"/>
          <w:highlight w:val="none"/>
        </w:rPr>
        <w:t>三、投标文件</w:t>
      </w:r>
    </w:p>
    <w:p w14:paraId="14756EB0">
      <w:pPr>
        <w:autoSpaceDE w:val="0"/>
        <w:autoSpaceDN w:val="0"/>
        <w:adjustRightInd w:val="0"/>
        <w:spacing w:line="440" w:lineRule="exact"/>
        <w:ind w:firstLine="482" w:firstLineChars="200"/>
        <w:textAlignment w:val="auto"/>
        <w:rPr>
          <w:rFonts w:ascii="宋体" w:hAnsi="宋体"/>
          <w:b/>
          <w:color w:val="auto"/>
          <w:sz w:val="24"/>
          <w:highlight w:val="none"/>
          <w:lang w:val="zh-CN"/>
        </w:rPr>
      </w:pPr>
      <w:r>
        <w:rPr>
          <w:rFonts w:hint="eastAsia" w:ascii="宋体" w:hAnsi="宋体"/>
          <w:b/>
          <w:color w:val="auto"/>
          <w:sz w:val="24"/>
          <w:highlight w:val="none"/>
          <w:lang w:val="zh-CN"/>
        </w:rPr>
        <w:t>（一）投标文件的形式</w:t>
      </w:r>
    </w:p>
    <w:p w14:paraId="0B324ED4">
      <w:pPr>
        <w:autoSpaceDE w:val="0"/>
        <w:autoSpaceDN w:val="0"/>
        <w:adjustRightInd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投标文件的形式：电子加密投标文件（是指通过“政采云电子交易客户端”完成投标文件编制后生成并加密的数据电文形式的投标文件，文件格式“.jmbs”）。</w:t>
      </w:r>
    </w:p>
    <w:p w14:paraId="1BF28F6D">
      <w:pPr>
        <w:autoSpaceDE w:val="0"/>
        <w:autoSpaceDN w:val="0"/>
        <w:adjustRightInd w:val="0"/>
        <w:spacing w:line="440" w:lineRule="exact"/>
        <w:ind w:firstLine="482" w:firstLineChars="200"/>
        <w:textAlignment w:val="auto"/>
        <w:rPr>
          <w:rFonts w:ascii="宋体" w:hAnsi="宋体"/>
          <w:b/>
          <w:bCs/>
          <w:color w:val="auto"/>
          <w:sz w:val="24"/>
          <w:highlight w:val="none"/>
        </w:rPr>
      </w:pPr>
      <w:r>
        <w:rPr>
          <w:rFonts w:hint="eastAsia" w:ascii="宋体" w:hAnsi="宋体"/>
          <w:b/>
          <w:color w:val="auto"/>
          <w:sz w:val="24"/>
          <w:highlight w:val="none"/>
          <w:lang w:val="zh-CN"/>
        </w:rPr>
        <w:t>（</w:t>
      </w:r>
      <w:r>
        <w:rPr>
          <w:rFonts w:hint="eastAsia" w:ascii="宋体" w:hAnsi="宋体"/>
          <w:b/>
          <w:color w:val="auto"/>
          <w:sz w:val="24"/>
          <w:highlight w:val="none"/>
        </w:rPr>
        <w:t>二</w:t>
      </w:r>
      <w:r>
        <w:rPr>
          <w:rFonts w:hint="eastAsia" w:ascii="宋体" w:hAnsi="宋体"/>
          <w:b/>
          <w:color w:val="auto"/>
          <w:sz w:val="24"/>
          <w:highlight w:val="none"/>
          <w:lang w:val="zh-CN"/>
        </w:rPr>
        <w:t>）</w:t>
      </w:r>
      <w:r>
        <w:rPr>
          <w:rFonts w:hint="eastAsia" w:ascii="宋体" w:hAnsi="宋体"/>
          <w:b/>
          <w:bCs/>
          <w:color w:val="auto"/>
          <w:sz w:val="24"/>
          <w:highlight w:val="none"/>
        </w:rPr>
        <w:t>投标文件的组成</w:t>
      </w:r>
    </w:p>
    <w:p w14:paraId="70C50265">
      <w:pPr>
        <w:autoSpaceDE w:val="0"/>
        <w:autoSpaceDN w:val="0"/>
        <w:adjustRightInd w:val="0"/>
        <w:spacing w:line="440" w:lineRule="exact"/>
        <w:ind w:firstLine="480" w:firstLineChars="200"/>
        <w:textAlignment w:val="auto"/>
        <w:rPr>
          <w:rFonts w:ascii="宋体" w:hAnsi="宋体" w:cs="宋体"/>
          <w:bCs/>
          <w:color w:val="auto"/>
          <w:sz w:val="24"/>
          <w:highlight w:val="none"/>
        </w:rPr>
      </w:pPr>
      <w:r>
        <w:rPr>
          <w:rFonts w:hint="eastAsia" w:ascii="宋体" w:hAnsi="宋体"/>
          <w:bCs/>
          <w:color w:val="auto"/>
          <w:kern w:val="0"/>
          <w:sz w:val="24"/>
          <w:highlight w:val="none"/>
        </w:rPr>
        <w:t>投标文件应按照招标文件</w:t>
      </w:r>
      <w:r>
        <w:rPr>
          <w:rFonts w:hint="eastAsia" w:ascii="宋体" w:hAnsi="宋体"/>
          <w:b/>
          <w:color w:val="auto"/>
          <w:kern w:val="0"/>
          <w:sz w:val="24"/>
          <w:highlight w:val="none"/>
        </w:rPr>
        <w:t>第六章“投标文件格式”的内容要求进行编写</w:t>
      </w:r>
      <w:r>
        <w:rPr>
          <w:rFonts w:hint="eastAsia" w:ascii="宋体" w:hAnsi="宋体"/>
          <w:bCs/>
          <w:color w:val="auto"/>
          <w:kern w:val="0"/>
          <w:sz w:val="24"/>
          <w:highlight w:val="none"/>
        </w:rPr>
        <w:t>，可以增加附页。</w:t>
      </w:r>
      <w:r>
        <w:rPr>
          <w:rFonts w:hint="eastAsia" w:ascii="宋体" w:hAnsi="宋体" w:cs="宋体"/>
          <w:bCs/>
          <w:color w:val="auto"/>
          <w:sz w:val="24"/>
          <w:highlight w:val="none"/>
        </w:rPr>
        <w:t>投标文件由</w:t>
      </w:r>
      <w:r>
        <w:rPr>
          <w:rFonts w:hint="eastAsia" w:ascii="宋体" w:hAnsi="宋体" w:cs="宋体"/>
          <w:b/>
          <w:color w:val="auto"/>
          <w:sz w:val="24"/>
          <w:highlight w:val="none"/>
        </w:rPr>
        <w:t>资格证明文件、商务与技术文件、报价文件</w:t>
      </w:r>
      <w:r>
        <w:rPr>
          <w:rFonts w:hint="eastAsia" w:ascii="宋体" w:hAnsi="宋体" w:cs="宋体"/>
          <w:bCs/>
          <w:color w:val="auto"/>
          <w:sz w:val="24"/>
          <w:highlight w:val="none"/>
        </w:rPr>
        <w:t>组成。其中电子投标文件中所须加盖公章部分均采用CA签章。</w:t>
      </w:r>
    </w:p>
    <w:p w14:paraId="5E5708B3">
      <w:pPr>
        <w:widowControl w:val="0"/>
        <w:spacing w:line="440" w:lineRule="exact"/>
        <w:ind w:firstLine="482" w:firstLineChars="200"/>
        <w:textAlignment w:val="auto"/>
        <w:rPr>
          <w:rFonts w:ascii="宋体" w:hAnsi="宋体"/>
          <w:b/>
          <w:color w:val="auto"/>
          <w:sz w:val="24"/>
          <w:highlight w:val="none"/>
        </w:rPr>
      </w:pPr>
      <w:r>
        <w:rPr>
          <w:rFonts w:hint="eastAsia" w:ascii="宋体" w:hAnsi="宋体"/>
          <w:b/>
          <w:color w:val="auto"/>
          <w:sz w:val="24"/>
          <w:highlight w:val="none"/>
        </w:rPr>
        <w:t>（</w:t>
      </w:r>
      <w:r>
        <w:rPr>
          <w:rFonts w:hint="eastAsia" w:ascii="宋体" w:hAnsi="宋体"/>
          <w:b/>
          <w:color w:val="auto"/>
          <w:sz w:val="24"/>
          <w:highlight w:val="none"/>
          <w:lang w:val="zh-CN"/>
        </w:rPr>
        <w:t>三</w:t>
      </w:r>
      <w:r>
        <w:rPr>
          <w:rFonts w:hint="eastAsia" w:ascii="宋体" w:hAnsi="宋体"/>
          <w:b/>
          <w:color w:val="auto"/>
          <w:sz w:val="24"/>
          <w:highlight w:val="none"/>
        </w:rPr>
        <w:t>）</w:t>
      </w:r>
      <w:r>
        <w:rPr>
          <w:rFonts w:hint="eastAsia" w:ascii="宋体" w:hAnsi="宋体"/>
          <w:b/>
          <w:color w:val="auto"/>
          <w:sz w:val="24"/>
          <w:highlight w:val="none"/>
          <w:lang w:val="zh-CN"/>
        </w:rPr>
        <w:t>投标文件的编制</w:t>
      </w:r>
    </w:p>
    <w:p w14:paraId="640E3E1E">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rPr>
        <w:t>1</w:t>
      </w:r>
      <w:r>
        <w:rPr>
          <w:rFonts w:hint="eastAsia" w:ascii="宋体" w:hAnsi="宋体"/>
          <w:bCs/>
          <w:color w:val="auto"/>
          <w:sz w:val="24"/>
          <w:highlight w:val="none"/>
          <w:lang w:val="zh-CN"/>
        </w:rPr>
        <w:t>、依据《浙江省政府采购项目电子交易管理暂行办法》</w:t>
      </w:r>
      <w:r>
        <w:rPr>
          <w:rFonts w:hint="eastAsia" w:ascii="宋体" w:hAnsi="宋体"/>
          <w:bCs/>
          <w:color w:val="auto"/>
          <w:sz w:val="24"/>
          <w:highlight w:val="none"/>
        </w:rPr>
        <w:t>，</w:t>
      </w:r>
      <w:r>
        <w:rPr>
          <w:rFonts w:hint="eastAsia" w:ascii="宋体" w:hAnsi="宋体"/>
          <w:bCs/>
          <w:color w:val="auto"/>
          <w:sz w:val="24"/>
          <w:highlight w:val="none"/>
          <w:lang w:val="zh-CN"/>
        </w:rPr>
        <w:t>本项目通过</w:t>
      </w:r>
      <w:r>
        <w:rPr>
          <w:rFonts w:hint="eastAsia" w:ascii="宋体" w:hAnsi="宋体"/>
          <w:bCs/>
          <w:color w:val="auto"/>
          <w:sz w:val="24"/>
          <w:highlight w:val="none"/>
        </w:rPr>
        <w:t>“</w:t>
      </w:r>
      <w:r>
        <w:rPr>
          <w:rFonts w:hint="eastAsia" w:ascii="宋体" w:hAnsi="宋体"/>
          <w:bCs/>
          <w:color w:val="auto"/>
          <w:sz w:val="24"/>
          <w:highlight w:val="none"/>
          <w:lang w:val="zh-CN"/>
        </w:rPr>
        <w:t>政府采购云平台</w:t>
      </w:r>
      <w:r>
        <w:rPr>
          <w:rFonts w:hint="eastAsia" w:ascii="宋体" w:hAnsi="宋体"/>
          <w:bCs/>
          <w:color w:val="auto"/>
          <w:sz w:val="24"/>
          <w:highlight w:val="none"/>
        </w:rPr>
        <w:t>”（</w:t>
      </w:r>
      <w:r>
        <w:rPr>
          <w:rFonts w:hint="eastAsia" w:ascii="宋体" w:hAnsi="宋体"/>
          <w:bCs/>
          <w:color w:val="auto"/>
          <w:sz w:val="24"/>
          <w:highlight w:val="none"/>
          <w:lang w:val="zh-CN"/>
        </w:rPr>
        <w:t>网址</w:t>
      </w:r>
      <w:r>
        <w:rPr>
          <w:rFonts w:hint="eastAsia" w:ascii="宋体" w:hAnsi="宋体"/>
          <w:bCs/>
          <w:color w:val="auto"/>
          <w:sz w:val="24"/>
          <w:highlight w:val="none"/>
        </w:rPr>
        <w:t>：</w:t>
      </w:r>
      <w:r>
        <w:rPr>
          <w:color w:val="auto"/>
          <w:highlight w:val="none"/>
        </w:rPr>
        <w:fldChar w:fldCharType="begin"/>
      </w:r>
      <w:r>
        <w:rPr>
          <w:color w:val="auto"/>
          <w:highlight w:val="none"/>
        </w:rPr>
        <w:instrText xml:space="preserve"> HYPERLINK "http://www.zcygov.cn）实行电子交易（在线投标响应）。供应商参加本项目电子交易应当安装" </w:instrText>
      </w:r>
      <w:r>
        <w:rPr>
          <w:color w:val="auto"/>
          <w:highlight w:val="none"/>
        </w:rPr>
        <w:fldChar w:fldCharType="separate"/>
      </w:r>
      <w:r>
        <w:rPr>
          <w:rFonts w:hint="eastAsia" w:ascii="宋体" w:hAnsi="宋体"/>
          <w:bCs/>
          <w:color w:val="auto"/>
          <w:sz w:val="24"/>
          <w:highlight w:val="none"/>
        </w:rPr>
        <w:t>www.zcygov.cn）</w:t>
      </w:r>
      <w:r>
        <w:rPr>
          <w:rFonts w:hint="eastAsia" w:ascii="宋体" w:hAnsi="宋体"/>
          <w:bCs/>
          <w:color w:val="auto"/>
          <w:sz w:val="24"/>
          <w:highlight w:val="none"/>
          <w:lang w:val="zh-CN"/>
        </w:rPr>
        <w:t>实行电子交易</w:t>
      </w:r>
      <w:r>
        <w:rPr>
          <w:rFonts w:hint="eastAsia" w:ascii="宋体" w:hAnsi="宋体"/>
          <w:bCs/>
          <w:color w:val="auto"/>
          <w:sz w:val="24"/>
          <w:highlight w:val="none"/>
        </w:rPr>
        <w:t>（</w:t>
      </w:r>
      <w:r>
        <w:rPr>
          <w:rFonts w:hint="eastAsia" w:ascii="宋体" w:hAnsi="宋体"/>
          <w:bCs/>
          <w:color w:val="auto"/>
          <w:sz w:val="24"/>
          <w:highlight w:val="none"/>
          <w:lang w:val="zh-CN"/>
        </w:rPr>
        <w:t>在线投标响应</w:t>
      </w:r>
      <w:r>
        <w:rPr>
          <w:rFonts w:hint="eastAsia" w:ascii="宋体" w:hAnsi="宋体"/>
          <w:bCs/>
          <w:color w:val="auto"/>
          <w:sz w:val="24"/>
          <w:highlight w:val="none"/>
        </w:rPr>
        <w:t>）</w:t>
      </w:r>
      <w:r>
        <w:rPr>
          <w:rFonts w:hint="eastAsia" w:ascii="宋体" w:hAnsi="宋体"/>
          <w:bCs/>
          <w:color w:val="auto"/>
          <w:sz w:val="24"/>
          <w:highlight w:val="none"/>
          <w:lang w:val="zh-CN"/>
        </w:rPr>
        <w:t>。投标人参加本项目电子交易应当安装“政采云电子交易客户端”，并按照本采购文件规定和“政府采购云平台”的要求编制电子投标文件</w:t>
      </w:r>
      <w:r>
        <w:rPr>
          <w:rFonts w:hint="eastAsia" w:ascii="宋体" w:hAnsi="宋体" w:cs="Times New Roman"/>
          <w:bCs/>
          <w:color w:val="auto"/>
          <w:sz w:val="24"/>
          <w:highlight w:val="none"/>
          <w:lang w:val="zh-CN"/>
        </w:rPr>
        <w:t>并进行关联定位。</w:t>
      </w:r>
      <w:r>
        <w:rPr>
          <w:rFonts w:hint="eastAsia" w:ascii="宋体" w:hAnsi="宋体" w:cs="Times New Roman"/>
          <w:bCs/>
          <w:color w:val="auto"/>
          <w:sz w:val="24"/>
          <w:highlight w:val="none"/>
          <w:lang w:val="zh-CN"/>
        </w:rPr>
        <w:fldChar w:fldCharType="end"/>
      </w:r>
    </w:p>
    <w:p w14:paraId="39A0CD8E">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2、投标文件内容不完整、编排混乱导致投标文件被误读、漏读或者查找不到相关内容的，是投标人的责任。</w:t>
      </w:r>
    </w:p>
    <w:p w14:paraId="5F3A53A2">
      <w:pPr>
        <w:spacing w:line="440" w:lineRule="exact"/>
        <w:ind w:firstLine="480" w:firstLineChars="200"/>
        <w:jc w:val="left"/>
        <w:textAlignment w:val="auto"/>
        <w:rPr>
          <w:rFonts w:ascii="宋体" w:hAnsi="宋体" w:cs="宋体"/>
          <w:bCs/>
          <w:color w:val="auto"/>
          <w:sz w:val="24"/>
          <w:highlight w:val="none"/>
        </w:rPr>
      </w:pPr>
      <w:r>
        <w:rPr>
          <w:rFonts w:hint="eastAsia" w:ascii="宋体" w:hAnsi="宋体"/>
          <w:color w:val="auto"/>
          <w:kern w:val="0"/>
          <w:sz w:val="24"/>
          <w:highlight w:val="none"/>
        </w:rPr>
        <w:t>3、“备份电子投标文件”是指与“电子投标文件”同时生成的数据电文形式的电子文件（文件格式“.bfbs”），其他方式编制的备份投标文件视为无效备份投标文件，请投标人自行妥善保管。</w:t>
      </w:r>
    </w:p>
    <w:p w14:paraId="25E1024D">
      <w:pPr>
        <w:pStyle w:val="9"/>
        <w:spacing w:line="440" w:lineRule="exact"/>
        <w:ind w:firstLine="480" w:firstLineChars="200"/>
        <w:textAlignment w:val="auto"/>
        <w:rPr>
          <w:color w:val="auto"/>
          <w:sz w:val="24"/>
          <w:highlight w:val="none"/>
        </w:rPr>
      </w:pPr>
      <w:r>
        <w:rPr>
          <w:rFonts w:hint="eastAsia" w:ascii="宋体" w:hAnsi="宋体"/>
          <w:color w:val="auto"/>
          <w:sz w:val="24"/>
          <w:highlight w:val="none"/>
        </w:rPr>
        <w:t>4、投标人应对所提供的全部资料的真实性、有效性承担法律责任，电子投标文件中盖章之处必须加盖电子印章。</w:t>
      </w:r>
    </w:p>
    <w:p w14:paraId="07ACDF04">
      <w:pPr>
        <w:autoSpaceDE w:val="0"/>
        <w:autoSpaceDN w:val="0"/>
        <w:adjustRightInd w:val="0"/>
        <w:spacing w:line="440" w:lineRule="exact"/>
        <w:ind w:firstLine="480"/>
        <w:textAlignment w:val="auto"/>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若投标人不按招标文件的要求提供资格审查材料，其风险由投标人自行承担。</w:t>
      </w:r>
    </w:p>
    <w:p w14:paraId="67E5C255">
      <w:pPr>
        <w:autoSpaceDE w:val="0"/>
        <w:autoSpaceDN w:val="0"/>
        <w:adjustRightInd w:val="0"/>
        <w:spacing w:line="440" w:lineRule="exact"/>
        <w:ind w:firstLine="480"/>
        <w:textAlignment w:val="auto"/>
        <w:rPr>
          <w:rFonts w:ascii="宋体" w:hAnsi="宋体"/>
          <w:color w:val="auto"/>
          <w:sz w:val="24"/>
          <w:highlight w:val="none"/>
        </w:rPr>
      </w:pPr>
      <w:r>
        <w:rPr>
          <w:rFonts w:hint="eastAsia" w:ascii="宋体" w:hAnsi="宋体"/>
          <w:color w:val="auto"/>
          <w:kern w:val="0"/>
          <w:sz w:val="24"/>
          <w:highlight w:val="none"/>
        </w:rPr>
        <w:t>6、</w:t>
      </w:r>
      <w:r>
        <w:rPr>
          <w:rFonts w:hint="eastAsia" w:ascii="宋体" w:hAnsi="宋体"/>
          <w:color w:val="auto"/>
          <w:sz w:val="24"/>
          <w:highlight w:val="none"/>
        </w:rPr>
        <w:t>与本次投标无关的内容请不要制作在内，确保电子投标文件有针对性、简洁明了。</w:t>
      </w:r>
    </w:p>
    <w:p w14:paraId="58375B5D">
      <w:pPr>
        <w:widowControl w:val="0"/>
        <w:spacing w:line="440" w:lineRule="exact"/>
        <w:ind w:firstLine="482" w:firstLineChars="200"/>
        <w:textAlignment w:val="auto"/>
        <w:rPr>
          <w:rFonts w:ascii="宋体" w:hAnsi="宋体"/>
          <w:b/>
          <w:color w:val="auto"/>
          <w:sz w:val="24"/>
          <w:highlight w:val="none"/>
          <w:lang w:val="zh-CN"/>
        </w:rPr>
      </w:pPr>
      <w:r>
        <w:rPr>
          <w:rFonts w:hint="eastAsia" w:ascii="宋体" w:hAnsi="宋体"/>
          <w:b/>
          <w:color w:val="auto"/>
          <w:sz w:val="24"/>
          <w:highlight w:val="none"/>
          <w:lang w:val="zh-CN"/>
        </w:rPr>
        <w:t>（四）投标文件的语言及计量</w:t>
      </w:r>
    </w:p>
    <w:p w14:paraId="071658B8">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1、投标文件以及投标人与招标方就有关投标事宜的所有来往函电，均应以中文汉语书写。除签名、盖章、专用名称等特殊情形外，以中文汉语以外的文字表述的投标文件视同未提供。</w:t>
      </w:r>
    </w:p>
    <w:p w14:paraId="6D5102E2">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2、投标计量单位，招标文件已有明确规定的，使用招标文件规定的计量单位；招标文件没有规定的，应采用中华人民共和国法定计量单位（货币单位：人民币元），否则视同未响应。</w:t>
      </w:r>
      <w:bookmarkStart w:id="4" w:name="_Toc504504539"/>
    </w:p>
    <w:p w14:paraId="12B5EA00">
      <w:pPr>
        <w:widowControl w:val="0"/>
        <w:spacing w:line="440" w:lineRule="exact"/>
        <w:ind w:firstLine="482" w:firstLineChars="200"/>
        <w:textAlignment w:val="auto"/>
        <w:rPr>
          <w:rFonts w:ascii="宋体" w:hAnsi="宋体"/>
          <w:b/>
          <w:color w:val="auto"/>
          <w:sz w:val="24"/>
          <w:highlight w:val="none"/>
          <w:lang w:val="zh-CN"/>
        </w:rPr>
      </w:pPr>
      <w:r>
        <w:rPr>
          <w:rFonts w:hint="eastAsia" w:ascii="宋体" w:hAnsi="宋体"/>
          <w:b/>
          <w:color w:val="auto"/>
          <w:sz w:val="24"/>
          <w:highlight w:val="none"/>
          <w:lang w:val="zh-CN"/>
        </w:rPr>
        <w:t>（五）投标报价</w:t>
      </w:r>
      <w:bookmarkEnd w:id="4"/>
    </w:p>
    <w:p w14:paraId="5DD59704">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1、投标报价应按招标文件中相关附表格式填写。</w:t>
      </w:r>
    </w:p>
    <w:p w14:paraId="51AD7A46">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2、投标报价是履行合同的最终价格，即完成本项目服务内容和要求所产生的所有费用，包括所有的</w:t>
      </w:r>
      <w:r>
        <w:rPr>
          <w:rFonts w:hint="eastAsia" w:ascii="宋体" w:hAnsi="宋体"/>
          <w:bCs/>
          <w:color w:val="auto"/>
          <w:sz w:val="24"/>
          <w:highlight w:val="none"/>
          <w:lang w:eastAsia="zh-CN"/>
        </w:rPr>
        <w:t>人工费、设备费、材料费、附加费</w:t>
      </w:r>
      <w:r>
        <w:rPr>
          <w:rFonts w:hint="eastAsia" w:ascii="宋体" w:hAnsi="宋体"/>
          <w:bCs/>
          <w:color w:val="auto"/>
          <w:sz w:val="24"/>
          <w:highlight w:val="none"/>
          <w:lang w:val="zh-CN"/>
        </w:rPr>
        <w:t>（税金、运输、保险、包装、安装调试、服务、维护费）等一切费用。</w:t>
      </w:r>
    </w:p>
    <w:p w14:paraId="54DB1321">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3、投标文件只允许有一个报价，有选择的报价将不予接受（作无效标处理）。</w:t>
      </w:r>
    </w:p>
    <w:p w14:paraId="28BE2932">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4、投标人应充分考虑因各种原因可能发生的费用。对没有填报的费用，招标人认为所有费用已包含在总价中，除合同条款另有规定外，不得进行调整。</w:t>
      </w:r>
    </w:p>
    <w:p w14:paraId="13A6D285">
      <w:pPr>
        <w:widowControl w:val="0"/>
        <w:spacing w:line="440" w:lineRule="exact"/>
        <w:ind w:firstLine="482" w:firstLineChars="200"/>
        <w:textAlignment w:val="auto"/>
        <w:rPr>
          <w:rFonts w:ascii="宋体" w:hAnsi="宋体"/>
          <w:b/>
          <w:color w:val="auto"/>
          <w:sz w:val="24"/>
          <w:highlight w:val="none"/>
          <w:lang w:val="zh-CN"/>
        </w:rPr>
      </w:pPr>
      <w:r>
        <w:rPr>
          <w:rFonts w:hint="eastAsia" w:ascii="宋体" w:hAnsi="宋体"/>
          <w:b/>
          <w:color w:val="auto"/>
          <w:sz w:val="24"/>
          <w:highlight w:val="none"/>
          <w:lang w:val="zh-CN"/>
        </w:rPr>
        <w:t>5、投标报价必须合理，经评委认定为明显不合理的报价将被取消中标资格。</w:t>
      </w:r>
      <w:bookmarkStart w:id="5" w:name="_Toc504504540"/>
    </w:p>
    <w:p w14:paraId="3ADA97B4">
      <w:pPr>
        <w:widowControl w:val="0"/>
        <w:spacing w:line="440" w:lineRule="exact"/>
        <w:ind w:firstLine="482" w:firstLineChars="200"/>
        <w:textAlignment w:val="auto"/>
        <w:rPr>
          <w:rFonts w:ascii="宋体" w:hAnsi="宋体"/>
          <w:b/>
          <w:color w:val="auto"/>
          <w:sz w:val="24"/>
          <w:highlight w:val="none"/>
          <w:lang w:val="zh-CN"/>
        </w:rPr>
      </w:pPr>
      <w:r>
        <w:rPr>
          <w:rFonts w:hint="eastAsia" w:ascii="宋体" w:hAnsi="宋体"/>
          <w:b/>
          <w:color w:val="auto"/>
          <w:sz w:val="24"/>
          <w:highlight w:val="none"/>
          <w:lang w:val="zh-CN"/>
        </w:rPr>
        <w:t>（六）投标文件的有效期</w:t>
      </w:r>
      <w:bookmarkEnd w:id="5"/>
    </w:p>
    <w:p w14:paraId="53BAFBC5">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1、自投标截止日起90天内电子投标文件应保持有效。有效期不足的电子投标文件将被拒绝。</w:t>
      </w:r>
    </w:p>
    <w:p w14:paraId="67863E58">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2、在特殊情况下，采购人可与投标人协商延长电子投标文件的有效期，协商过程以书面形式进行。</w:t>
      </w:r>
    </w:p>
    <w:p w14:paraId="31A59622">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3、投标人可拒绝接受延期要求，同意延长有效期的投标人不能修改投标文件；</w:t>
      </w:r>
    </w:p>
    <w:p w14:paraId="7A7390FB">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4、中标单位的电子投标文件自开标之日起至合同履行完毕止均应保持有效。</w:t>
      </w:r>
    </w:p>
    <w:p w14:paraId="34CAE4CA">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5、投标人在电子投标文件有效期内强行撤回（撤销）其投标文件的，采购人将按采购预算金额的2%对其进行追偿，以弥补采购人、采购组织机构损失，同时将对其失信行为上报至同级政府采购监督管理部门依法处理。</w:t>
      </w:r>
    </w:p>
    <w:p w14:paraId="6FDE1801">
      <w:pPr>
        <w:widowControl w:val="0"/>
        <w:spacing w:line="440" w:lineRule="exact"/>
        <w:ind w:firstLine="482" w:firstLineChars="200"/>
        <w:textAlignment w:val="auto"/>
        <w:rPr>
          <w:rFonts w:ascii="宋体" w:hAnsi="宋体"/>
          <w:b/>
          <w:color w:val="auto"/>
          <w:sz w:val="24"/>
          <w:highlight w:val="none"/>
          <w:lang w:val="zh-CN"/>
        </w:rPr>
      </w:pPr>
      <w:bookmarkStart w:id="6" w:name="_Toc504504558"/>
      <w:r>
        <w:rPr>
          <w:rFonts w:hint="eastAsia" w:ascii="宋体" w:hAnsi="宋体"/>
          <w:b/>
          <w:color w:val="auto"/>
          <w:sz w:val="24"/>
          <w:highlight w:val="none"/>
        </w:rPr>
        <w:t>(七)电子</w:t>
      </w:r>
      <w:r>
        <w:rPr>
          <w:rFonts w:hint="eastAsia" w:ascii="宋体" w:hAnsi="宋体"/>
          <w:b/>
          <w:color w:val="auto"/>
          <w:sz w:val="24"/>
          <w:highlight w:val="none"/>
          <w:lang w:val="zh-CN"/>
        </w:rPr>
        <w:t>投标文件的递交、修改和撤回</w:t>
      </w:r>
    </w:p>
    <w:p w14:paraId="3138BA80">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1、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政采云平台拒收。</w:t>
      </w:r>
    </w:p>
    <w:p w14:paraId="29EA7911">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2、采购人和采购组织机构可通过修改招标文件酌情延长投标截止日期，在此情况下，投标人的所有权利和义务以及投标人的投标截止日期均应以延长后新的截止日期为准。</w:t>
      </w:r>
    </w:p>
    <w:bookmarkEnd w:id="6"/>
    <w:p w14:paraId="7ACC1059">
      <w:pPr>
        <w:widowControl w:val="0"/>
        <w:spacing w:line="440" w:lineRule="exact"/>
        <w:ind w:firstLine="482" w:firstLineChars="200"/>
        <w:textAlignment w:val="auto"/>
        <w:rPr>
          <w:rFonts w:ascii="宋体" w:hAnsi="宋体"/>
          <w:b/>
          <w:color w:val="auto"/>
          <w:sz w:val="24"/>
          <w:highlight w:val="none"/>
          <w:lang w:val="zh-CN"/>
        </w:rPr>
      </w:pPr>
      <w:bookmarkStart w:id="7" w:name="_Toc504504559"/>
      <w:r>
        <w:rPr>
          <w:rFonts w:hint="eastAsia" w:ascii="宋体" w:hAnsi="宋体"/>
          <w:b/>
          <w:color w:val="auto"/>
          <w:sz w:val="24"/>
          <w:highlight w:val="none"/>
          <w:lang w:val="zh-CN"/>
        </w:rPr>
        <w:t>（</w:t>
      </w:r>
      <w:r>
        <w:rPr>
          <w:rFonts w:hint="eastAsia" w:ascii="宋体" w:hAnsi="宋体"/>
          <w:b/>
          <w:color w:val="auto"/>
          <w:sz w:val="24"/>
          <w:highlight w:val="none"/>
        </w:rPr>
        <w:t>八</w:t>
      </w:r>
      <w:r>
        <w:rPr>
          <w:rFonts w:hint="eastAsia" w:ascii="宋体" w:hAnsi="宋体"/>
          <w:b/>
          <w:color w:val="auto"/>
          <w:sz w:val="24"/>
          <w:highlight w:val="none"/>
          <w:lang w:val="zh-CN"/>
        </w:rPr>
        <w:t>）投标无效的情形</w:t>
      </w:r>
      <w:bookmarkEnd w:id="7"/>
    </w:p>
    <w:p w14:paraId="685CBB78">
      <w:pPr>
        <w:widowControl w:val="0"/>
        <w:spacing w:line="440" w:lineRule="exact"/>
        <w:ind w:firstLine="482" w:firstLineChars="200"/>
        <w:textAlignment w:val="auto"/>
        <w:rPr>
          <w:rFonts w:ascii="宋体" w:hAnsi="宋体"/>
          <w:b/>
          <w:color w:val="auto"/>
          <w:sz w:val="24"/>
          <w:highlight w:val="none"/>
          <w:lang w:val="zh-CN"/>
        </w:rPr>
      </w:pPr>
      <w:r>
        <w:rPr>
          <w:rFonts w:hint="eastAsia" w:ascii="宋体" w:hAnsi="宋体"/>
          <w:b/>
          <w:color w:val="auto"/>
          <w:sz w:val="24"/>
          <w:highlight w:val="none"/>
          <w:lang w:val="zh-CN"/>
        </w:rPr>
        <w:t>1、在资格审查时，如发现下列情形之一的，投标文件将被视为无效：</w:t>
      </w:r>
    </w:p>
    <w:p w14:paraId="5BAB5BC2">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（1）资格证明文件不全的，或者不符合招标文件标明的资格要求的；</w:t>
      </w:r>
    </w:p>
    <w:p w14:paraId="153E02E2">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（2）电子投标文件解密失败的，且未在规定时间内提交电子备份投标文件的；</w:t>
      </w:r>
    </w:p>
    <w:p w14:paraId="5450D4F1">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（3）未按照招标文件规定的要求签署、盖章的。</w:t>
      </w:r>
    </w:p>
    <w:p w14:paraId="4F8B05E0">
      <w:pPr>
        <w:widowControl w:val="0"/>
        <w:spacing w:line="440" w:lineRule="exact"/>
        <w:ind w:firstLine="482" w:firstLineChars="200"/>
        <w:textAlignment w:val="auto"/>
        <w:rPr>
          <w:rFonts w:ascii="宋体" w:hAnsi="宋体"/>
          <w:b/>
          <w:color w:val="auto"/>
          <w:sz w:val="24"/>
          <w:highlight w:val="none"/>
          <w:lang w:val="zh-CN"/>
        </w:rPr>
      </w:pPr>
      <w:r>
        <w:rPr>
          <w:rFonts w:hint="eastAsia" w:ascii="宋体" w:hAnsi="宋体"/>
          <w:b/>
          <w:color w:val="auto"/>
          <w:sz w:val="24"/>
          <w:highlight w:val="none"/>
          <w:lang w:val="zh-CN"/>
        </w:rPr>
        <w:t>2、在符合性审查时，如发现下列情形之一的，投标文件将被视为无效：</w:t>
      </w:r>
    </w:p>
    <w:p w14:paraId="3BF43086">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（1）投标文件无法定代表人或授权代表签字或盖章，或授权代理人未经有效授权的；</w:t>
      </w:r>
    </w:p>
    <w:p w14:paraId="44734388">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（2）电子投标文件未按照招标文件规定的要求签署、盖章的；</w:t>
      </w:r>
    </w:p>
    <w:p w14:paraId="699DC934">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（3）投标有效期、服务期、付款方式等商务条款不能满足招标文件要求的；</w:t>
      </w:r>
    </w:p>
    <w:p w14:paraId="11C6ACA7">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（4）不响应或者擅自改变招标文件要求或者投标文件有采购人不能接受的附加条件的；</w:t>
      </w:r>
    </w:p>
    <w:p w14:paraId="1E38CAF3">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（5）未提供或未如实提供投标产品（货物）技术性能、参数的，或者虚假投标的。</w:t>
      </w:r>
    </w:p>
    <w:p w14:paraId="6B0F5918">
      <w:pPr>
        <w:widowControl w:val="0"/>
        <w:spacing w:line="440" w:lineRule="exact"/>
        <w:ind w:firstLine="482" w:firstLineChars="200"/>
        <w:textAlignment w:val="auto"/>
        <w:rPr>
          <w:rFonts w:ascii="宋体" w:hAnsi="宋体"/>
          <w:b/>
          <w:color w:val="auto"/>
          <w:sz w:val="24"/>
          <w:highlight w:val="none"/>
          <w:lang w:val="zh-CN"/>
        </w:rPr>
      </w:pPr>
      <w:r>
        <w:rPr>
          <w:rFonts w:hint="eastAsia" w:ascii="宋体" w:hAnsi="宋体"/>
          <w:b/>
          <w:color w:val="auto"/>
          <w:sz w:val="24"/>
          <w:highlight w:val="none"/>
          <w:lang w:val="zh-CN"/>
        </w:rPr>
        <w:t>3、在技术评审时，如发现下列情形之一的，投标文件将被视为无效：</w:t>
      </w:r>
    </w:p>
    <w:p w14:paraId="1DD0840A">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（1）资格文件、商务技术文件内有商务报价出现的；</w:t>
      </w:r>
    </w:p>
    <w:p w14:paraId="1D1DF462">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（2）未提供或未如实提供投标货物的技术参数，或者投标文件标明的响应或偏离与事实不符或虚假投标的；</w:t>
      </w:r>
    </w:p>
    <w:p w14:paraId="7D73275F">
      <w:pPr>
        <w:widowControl w:val="0"/>
        <w:spacing w:line="440" w:lineRule="exact"/>
        <w:ind w:firstLine="480" w:firstLineChars="200"/>
        <w:textAlignment w:val="auto"/>
        <w:rPr>
          <w:b/>
          <w:bCs/>
          <w:color w:val="auto"/>
          <w:sz w:val="24"/>
          <w:highlight w:val="none"/>
          <w:lang w:val="zh-CN"/>
        </w:rPr>
      </w:pPr>
      <w:r>
        <w:rPr>
          <w:rFonts w:hint="eastAsia" w:ascii="宋体" w:hAnsi="宋体"/>
          <w:bCs/>
          <w:color w:val="auto"/>
          <w:sz w:val="24"/>
          <w:highlight w:val="none"/>
          <w:lang w:val="zh-CN"/>
        </w:rPr>
        <w:t>（3）</w:t>
      </w:r>
      <w:r>
        <w:rPr>
          <w:rFonts w:hint="eastAsia" w:asciiTheme="minorEastAsia" w:hAnsiTheme="minorEastAsia" w:eastAsiaTheme="minorEastAsia"/>
          <w:b/>
          <w:bCs/>
          <w:color w:val="auto"/>
          <w:kern w:val="0"/>
          <w:sz w:val="24"/>
          <w:highlight w:val="none"/>
        </w:rPr>
        <w:t>投标参数未如实填写，完全复制粘贴招标参数的；</w:t>
      </w:r>
    </w:p>
    <w:p w14:paraId="0126E69A">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w:t>
      </w:r>
      <w:r>
        <w:rPr>
          <w:rFonts w:hint="eastAsia" w:ascii="宋体" w:hAnsi="宋体"/>
          <w:bCs/>
          <w:color w:val="auto"/>
          <w:sz w:val="24"/>
          <w:highlight w:val="none"/>
        </w:rPr>
        <w:t>4</w:t>
      </w:r>
      <w:r>
        <w:rPr>
          <w:rFonts w:hint="eastAsia" w:ascii="宋体" w:hAnsi="宋体"/>
          <w:bCs/>
          <w:color w:val="auto"/>
          <w:sz w:val="24"/>
          <w:highlight w:val="none"/>
          <w:lang w:val="zh-CN"/>
        </w:rPr>
        <w:t>）明显不符合招标文件要求的规格型号、质量标准，或者与招标文件中标“</w:t>
      </w:r>
      <w:r>
        <w:rPr>
          <w:rFonts w:hint="eastAsia" w:ascii="宋体" w:hAnsi="宋体" w:cs="宋体"/>
          <w:bCs/>
          <w:color w:val="auto"/>
          <w:sz w:val="24"/>
          <w:highlight w:val="none"/>
        </w:rPr>
        <w:t>▲</w:t>
      </w:r>
      <w:r>
        <w:rPr>
          <w:rFonts w:hint="eastAsia" w:ascii="宋体" w:hAnsi="宋体"/>
          <w:bCs/>
          <w:color w:val="auto"/>
          <w:sz w:val="24"/>
          <w:highlight w:val="none"/>
          <w:lang w:val="zh-CN"/>
        </w:rPr>
        <w:t>”的技术指标、主要功能项目发生实质性偏离的；</w:t>
      </w:r>
    </w:p>
    <w:p w14:paraId="71560313">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w:t>
      </w:r>
      <w:r>
        <w:rPr>
          <w:rFonts w:hint="eastAsia" w:ascii="宋体" w:hAnsi="宋体"/>
          <w:bCs/>
          <w:color w:val="auto"/>
          <w:sz w:val="24"/>
          <w:highlight w:val="none"/>
        </w:rPr>
        <w:t>5</w:t>
      </w:r>
      <w:r>
        <w:rPr>
          <w:rFonts w:hint="eastAsia" w:ascii="宋体" w:hAnsi="宋体"/>
          <w:bCs/>
          <w:color w:val="auto"/>
          <w:sz w:val="24"/>
          <w:highlight w:val="none"/>
          <w:lang w:val="zh-CN"/>
        </w:rPr>
        <w:t>）投标技术方案不明确，存在一个或一个以上备选（替代）投标方案的；</w:t>
      </w:r>
    </w:p>
    <w:p w14:paraId="15605183">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w:t>
      </w:r>
      <w:r>
        <w:rPr>
          <w:rFonts w:hint="eastAsia" w:ascii="宋体" w:hAnsi="宋体"/>
          <w:bCs/>
          <w:color w:val="auto"/>
          <w:sz w:val="24"/>
          <w:highlight w:val="none"/>
        </w:rPr>
        <w:t>6</w:t>
      </w:r>
      <w:r>
        <w:rPr>
          <w:rFonts w:hint="eastAsia" w:ascii="宋体" w:hAnsi="宋体"/>
          <w:bCs/>
          <w:color w:val="auto"/>
          <w:sz w:val="24"/>
          <w:highlight w:val="none"/>
          <w:lang w:val="zh-CN"/>
        </w:rPr>
        <w:t>）与其他参加本次投标投标人的投标文件（技术文件）的文字表述内容相同连续20行以上或者差错相同2处以上的。</w:t>
      </w:r>
    </w:p>
    <w:p w14:paraId="74269AD2">
      <w:pPr>
        <w:widowControl w:val="0"/>
        <w:spacing w:line="440" w:lineRule="exact"/>
        <w:ind w:firstLine="482" w:firstLineChars="200"/>
        <w:textAlignment w:val="auto"/>
        <w:rPr>
          <w:rFonts w:ascii="宋体" w:hAnsi="宋体"/>
          <w:b/>
          <w:color w:val="auto"/>
          <w:sz w:val="24"/>
          <w:highlight w:val="none"/>
          <w:lang w:val="zh-CN"/>
        </w:rPr>
      </w:pPr>
      <w:r>
        <w:rPr>
          <w:rFonts w:hint="eastAsia" w:ascii="宋体" w:hAnsi="宋体"/>
          <w:b/>
          <w:color w:val="auto"/>
          <w:sz w:val="24"/>
          <w:highlight w:val="none"/>
          <w:lang w:val="zh-CN"/>
        </w:rPr>
        <w:t>4、在价格评审时，如发现下列情形之一的，投标文件将被视为无效：</w:t>
      </w:r>
    </w:p>
    <w:p w14:paraId="6B045A18">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（1）未采用人民币报价或者未按照招标文件标明的币种报价的；</w:t>
      </w:r>
    </w:p>
    <w:p w14:paraId="1580CE73">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（2）报价超出最高限价，或者超出采购预算金额，采购人不能支付的；</w:t>
      </w:r>
    </w:p>
    <w:p w14:paraId="1A3A2153">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（3）投标报价具有选择性，或者开标价格与投标文件承诺的优惠（折扣）价格不一致的；</w:t>
      </w:r>
    </w:p>
    <w:p w14:paraId="0E13F042">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 xml:space="preserve">（4）评标委员会认为投标人的报价明显低于其他通过符合性审查的投标人的报价有可能影响产品质量或者不能诚信履约时，投标人不能在规定的时间证明其报价合理性的。                                                                                          </w:t>
      </w:r>
    </w:p>
    <w:p w14:paraId="2DE8CCC6">
      <w:pPr>
        <w:widowControl w:val="0"/>
        <w:spacing w:line="440" w:lineRule="exact"/>
        <w:ind w:firstLine="482" w:firstLineChars="200"/>
        <w:textAlignment w:val="auto"/>
        <w:rPr>
          <w:rFonts w:ascii="宋体" w:hAnsi="宋体"/>
          <w:b/>
          <w:color w:val="auto"/>
          <w:sz w:val="24"/>
          <w:highlight w:val="none"/>
          <w:lang w:val="zh-CN"/>
        </w:rPr>
      </w:pPr>
      <w:r>
        <w:rPr>
          <w:rFonts w:hint="eastAsia" w:ascii="宋体" w:hAnsi="宋体"/>
          <w:b/>
          <w:color w:val="auto"/>
          <w:sz w:val="24"/>
          <w:highlight w:val="none"/>
        </w:rPr>
        <w:t>5、</w:t>
      </w:r>
      <w:r>
        <w:rPr>
          <w:rFonts w:hint="eastAsia" w:ascii="宋体" w:hAnsi="宋体"/>
          <w:b/>
          <w:color w:val="auto"/>
          <w:sz w:val="24"/>
          <w:highlight w:val="none"/>
          <w:lang w:val="zh-CN"/>
        </w:rPr>
        <w:t>法律、法规和招标文件规定的其他无效标情形。</w:t>
      </w:r>
    </w:p>
    <w:p w14:paraId="0F053EFE">
      <w:pPr>
        <w:widowControl w:val="0"/>
        <w:spacing w:line="440" w:lineRule="exact"/>
        <w:ind w:firstLine="480" w:firstLineChars="200"/>
        <w:textAlignment w:val="auto"/>
        <w:rPr>
          <w:rFonts w:ascii="宋体" w:hAnsi="宋体"/>
          <w:bCs/>
          <w:color w:val="auto"/>
          <w:sz w:val="24"/>
          <w:highlight w:val="none"/>
          <w:lang w:val="zh-CN"/>
        </w:rPr>
      </w:pPr>
      <w:r>
        <w:rPr>
          <w:rFonts w:hint="eastAsia" w:ascii="宋体" w:hAnsi="宋体"/>
          <w:bCs/>
          <w:color w:val="auto"/>
          <w:sz w:val="24"/>
          <w:highlight w:val="none"/>
          <w:lang w:val="zh-CN"/>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6AB66440">
      <w:pPr>
        <w:widowControl w:val="0"/>
        <w:spacing w:line="440" w:lineRule="exact"/>
        <w:ind w:firstLine="482" w:firstLineChars="200"/>
        <w:textAlignment w:val="auto"/>
        <w:rPr>
          <w:rFonts w:ascii="宋体" w:hAnsi="宋体"/>
          <w:b/>
          <w:color w:val="auto"/>
          <w:sz w:val="24"/>
          <w:highlight w:val="none"/>
          <w:lang w:val="zh-CN"/>
        </w:rPr>
      </w:pPr>
      <w:bookmarkStart w:id="8" w:name="_Toc504504560"/>
      <w:r>
        <w:rPr>
          <w:rFonts w:hint="eastAsia" w:ascii="宋体" w:hAnsi="宋体"/>
          <w:b/>
          <w:color w:val="auto"/>
          <w:sz w:val="24"/>
          <w:highlight w:val="none"/>
          <w:lang w:val="zh-CN"/>
        </w:rPr>
        <w:t>（九）</w:t>
      </w:r>
      <w:bookmarkStart w:id="9" w:name="_Toc170792769"/>
      <w:bookmarkStart w:id="10" w:name="_Toc107820050"/>
      <w:r>
        <w:rPr>
          <w:rFonts w:hint="eastAsia" w:ascii="宋体" w:hAnsi="宋体"/>
          <w:b/>
          <w:color w:val="auto"/>
          <w:sz w:val="24"/>
          <w:highlight w:val="none"/>
          <w:lang w:val="zh-CN"/>
        </w:rPr>
        <w:t>废标的情形</w:t>
      </w:r>
      <w:bookmarkEnd w:id="8"/>
    </w:p>
    <w:p w14:paraId="16165807">
      <w:pPr>
        <w:widowControl w:val="0"/>
        <w:spacing w:line="440" w:lineRule="exact"/>
        <w:ind w:firstLine="480" w:firstLineChars="200"/>
        <w:textAlignment w:val="auto"/>
        <w:rPr>
          <w:rFonts w:ascii="宋体" w:hAnsi="宋体"/>
          <w:bCs/>
          <w:color w:val="auto"/>
          <w:sz w:val="24"/>
          <w:highlight w:val="none"/>
          <w:lang w:val="zh-CN"/>
        </w:rPr>
      </w:pPr>
      <w:bookmarkStart w:id="11" w:name="_Toc504504561"/>
      <w:bookmarkStart w:id="12" w:name="_Toc504504486"/>
      <w:r>
        <w:rPr>
          <w:rFonts w:hint="eastAsia" w:ascii="宋体" w:hAnsi="宋体"/>
          <w:bCs/>
          <w:color w:val="auto"/>
          <w:sz w:val="24"/>
          <w:highlight w:val="none"/>
          <w:lang w:val="zh-CN"/>
        </w:rPr>
        <w:t>在招标采购中，出现下列情形之一的，应予废标：</w:t>
      </w:r>
      <w:bookmarkEnd w:id="11"/>
      <w:bookmarkEnd w:id="12"/>
    </w:p>
    <w:p w14:paraId="20F3CE1D">
      <w:pPr>
        <w:widowControl w:val="0"/>
        <w:spacing w:line="440" w:lineRule="exact"/>
        <w:ind w:firstLine="480" w:firstLineChars="200"/>
        <w:textAlignment w:val="auto"/>
        <w:rPr>
          <w:rFonts w:ascii="宋体" w:hAnsi="宋体"/>
          <w:bCs/>
          <w:color w:val="auto"/>
          <w:sz w:val="24"/>
          <w:highlight w:val="none"/>
          <w:lang w:val="zh-CN"/>
        </w:rPr>
      </w:pPr>
      <w:bookmarkStart w:id="13" w:name="_Toc504504487"/>
      <w:bookmarkStart w:id="14" w:name="_Toc504504562"/>
      <w:r>
        <w:rPr>
          <w:rFonts w:hint="eastAsia" w:ascii="宋体" w:hAnsi="宋体"/>
          <w:bCs/>
          <w:color w:val="auto"/>
          <w:sz w:val="24"/>
          <w:highlight w:val="none"/>
          <w:lang w:val="zh-CN"/>
        </w:rPr>
        <w:t>1、符合专业条件的投标人或者对招标文件作实质性响应的投标人不足三家的；</w:t>
      </w:r>
      <w:bookmarkEnd w:id="13"/>
      <w:bookmarkEnd w:id="14"/>
    </w:p>
    <w:p w14:paraId="5FBC796F">
      <w:pPr>
        <w:widowControl w:val="0"/>
        <w:spacing w:line="440" w:lineRule="exact"/>
        <w:ind w:firstLine="480" w:firstLineChars="200"/>
        <w:textAlignment w:val="auto"/>
        <w:rPr>
          <w:rFonts w:ascii="宋体" w:hAnsi="宋体"/>
          <w:bCs/>
          <w:color w:val="auto"/>
          <w:sz w:val="24"/>
          <w:highlight w:val="none"/>
          <w:lang w:val="zh-CN"/>
        </w:rPr>
      </w:pPr>
      <w:bookmarkStart w:id="15" w:name="_Toc504504488"/>
      <w:bookmarkStart w:id="16" w:name="_Toc504504563"/>
      <w:r>
        <w:rPr>
          <w:rFonts w:hint="eastAsia" w:ascii="宋体" w:hAnsi="宋体"/>
          <w:bCs/>
          <w:color w:val="auto"/>
          <w:sz w:val="24"/>
          <w:highlight w:val="none"/>
          <w:lang w:val="zh-CN"/>
        </w:rPr>
        <w:t>2、出现影响采购公正的违法、违规行为的；</w:t>
      </w:r>
      <w:bookmarkEnd w:id="15"/>
      <w:bookmarkEnd w:id="16"/>
    </w:p>
    <w:p w14:paraId="538CF322">
      <w:pPr>
        <w:widowControl w:val="0"/>
        <w:spacing w:line="440" w:lineRule="exact"/>
        <w:ind w:firstLine="480" w:firstLineChars="200"/>
        <w:textAlignment w:val="auto"/>
        <w:rPr>
          <w:rFonts w:ascii="宋体" w:hAnsi="宋体"/>
          <w:bCs/>
          <w:color w:val="auto"/>
          <w:sz w:val="24"/>
          <w:highlight w:val="none"/>
          <w:lang w:val="zh-CN"/>
        </w:rPr>
      </w:pPr>
      <w:bookmarkStart w:id="17" w:name="_Toc504504564"/>
      <w:bookmarkStart w:id="18" w:name="_Toc504504489"/>
      <w:r>
        <w:rPr>
          <w:rFonts w:hint="eastAsia" w:ascii="宋体" w:hAnsi="宋体"/>
          <w:bCs/>
          <w:color w:val="auto"/>
          <w:sz w:val="24"/>
          <w:highlight w:val="none"/>
          <w:lang w:val="zh-CN"/>
        </w:rPr>
        <w:t>3、投标人的报价均超过了采购预算，采购人不能支付的；</w:t>
      </w:r>
      <w:bookmarkEnd w:id="17"/>
      <w:bookmarkEnd w:id="18"/>
    </w:p>
    <w:p w14:paraId="0E3CEF2A">
      <w:pPr>
        <w:widowControl w:val="0"/>
        <w:spacing w:line="440" w:lineRule="exact"/>
        <w:ind w:firstLine="480" w:firstLineChars="200"/>
        <w:textAlignment w:val="auto"/>
        <w:rPr>
          <w:rFonts w:ascii="宋体" w:hAnsi="宋体"/>
          <w:bCs/>
          <w:color w:val="auto"/>
          <w:sz w:val="24"/>
          <w:highlight w:val="none"/>
          <w:lang w:val="zh-CN"/>
        </w:rPr>
      </w:pPr>
      <w:bookmarkStart w:id="19" w:name="_Toc504504490"/>
      <w:bookmarkStart w:id="20" w:name="_Toc504504565"/>
      <w:r>
        <w:rPr>
          <w:rFonts w:hint="eastAsia" w:ascii="宋体" w:hAnsi="宋体"/>
          <w:bCs/>
          <w:color w:val="auto"/>
          <w:sz w:val="24"/>
          <w:highlight w:val="none"/>
          <w:lang w:val="zh-CN"/>
        </w:rPr>
        <w:t>4、因重大变故，采购任务取消的。</w:t>
      </w:r>
      <w:bookmarkEnd w:id="19"/>
      <w:bookmarkEnd w:id="20"/>
    </w:p>
    <w:bookmarkEnd w:id="9"/>
    <w:bookmarkEnd w:id="10"/>
    <w:p w14:paraId="29FCC4DE">
      <w:pPr>
        <w:snapToGrid w:val="0"/>
        <w:spacing w:line="440" w:lineRule="exact"/>
        <w:textAlignment w:val="auto"/>
        <w:rPr>
          <w:rFonts w:ascii="宋体" w:hAnsi="宋体"/>
          <w:b/>
          <w:color w:val="auto"/>
          <w:sz w:val="24"/>
          <w:highlight w:val="none"/>
        </w:rPr>
      </w:pPr>
      <w:r>
        <w:rPr>
          <w:rFonts w:hint="eastAsia" w:ascii="宋体" w:hAnsi="宋体"/>
          <w:b/>
          <w:color w:val="auto"/>
          <w:sz w:val="24"/>
          <w:highlight w:val="none"/>
        </w:rPr>
        <w:t>四、开标</w:t>
      </w:r>
    </w:p>
    <w:p w14:paraId="7F8336D4">
      <w:pPr>
        <w:pStyle w:val="11"/>
        <w:tabs>
          <w:tab w:val="right" w:leader="dot" w:pos="8494"/>
        </w:tabs>
        <w:adjustRightInd w:val="0"/>
        <w:snapToGrid w:val="0"/>
        <w:spacing w:line="440" w:lineRule="exact"/>
        <w:ind w:firstLine="482" w:firstLineChars="200"/>
        <w:textAlignment w:val="auto"/>
        <w:rPr>
          <w:rFonts w:hAnsi="宋体"/>
          <w:b/>
          <w:bCs/>
          <w:color w:val="auto"/>
          <w:sz w:val="24"/>
          <w:highlight w:val="none"/>
        </w:rPr>
      </w:pPr>
      <w:bookmarkStart w:id="21" w:name="_Toc531267757"/>
      <w:r>
        <w:rPr>
          <w:rFonts w:hint="eastAsia" w:hAnsi="宋体"/>
          <w:b/>
          <w:bCs/>
          <w:color w:val="auto"/>
          <w:sz w:val="24"/>
          <w:highlight w:val="none"/>
        </w:rPr>
        <w:t>（一）开标形式</w:t>
      </w:r>
    </w:p>
    <w:p w14:paraId="7EECC0ED">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采购组织机构将按照招标文件规定的时间通过“政府采购云平台”组织开标、开启投标文件，所有投标人均应当准时在线参加。</w:t>
      </w:r>
    </w:p>
    <w:p w14:paraId="425FEFCC">
      <w:pPr>
        <w:pStyle w:val="11"/>
        <w:tabs>
          <w:tab w:val="right" w:leader="dot" w:pos="8494"/>
        </w:tabs>
        <w:adjustRightInd w:val="0"/>
        <w:snapToGrid w:val="0"/>
        <w:spacing w:line="440" w:lineRule="exact"/>
        <w:ind w:firstLine="482" w:firstLineChars="200"/>
        <w:textAlignment w:val="auto"/>
        <w:rPr>
          <w:rFonts w:hAnsi="宋体"/>
          <w:b/>
          <w:bCs/>
          <w:color w:val="auto"/>
          <w:sz w:val="24"/>
          <w:highlight w:val="none"/>
        </w:rPr>
      </w:pPr>
      <w:r>
        <w:rPr>
          <w:rFonts w:hint="eastAsia" w:hAnsi="宋体"/>
          <w:b/>
          <w:bCs/>
          <w:color w:val="auto"/>
          <w:sz w:val="24"/>
          <w:highlight w:val="none"/>
        </w:rPr>
        <w:t>（二） 开标准备</w:t>
      </w:r>
    </w:p>
    <w:p w14:paraId="0C2522B9">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1、开标的准备工作由采购组织机构负责落实；</w:t>
      </w:r>
    </w:p>
    <w:p w14:paraId="4B963C97">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2、采购组织机构将按照招标文件规定的时间通过“政府采购云平台”组织开标、开启投标文件，所有投标人均应当准时在线参加。投标人如不参加开标大会的，视同认可开标结果，事后不得对采购相关人员、开标过程和开标结果提出异议，</w:t>
      </w:r>
      <w:r>
        <w:rPr>
          <w:rFonts w:hint="eastAsia" w:hAnsi="宋体"/>
          <w:b/>
          <w:bCs/>
          <w:color w:val="auto"/>
          <w:sz w:val="24"/>
          <w:highlight w:val="none"/>
        </w:rPr>
        <w:t>同时</w:t>
      </w:r>
      <w:r>
        <w:rPr>
          <w:rFonts w:hint="eastAsia" w:hAnsi="宋体"/>
          <w:b/>
          <w:bCs/>
          <w:color w:val="auto"/>
          <w:sz w:val="24"/>
          <w:highlight w:val="none"/>
          <w:u w:val="single"/>
        </w:rPr>
        <w:t>投标人因未在线参加开标而导致投标文件无法按时解密等一切后果由投标人自己承担。</w:t>
      </w:r>
    </w:p>
    <w:p w14:paraId="3E6B81B1">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3、投标人对开标过程和开标记录有疑义，以及认为采购人、采购组织机构相关工作人员有需要回避的情形的，应当场提出询问或回避申请。</w:t>
      </w:r>
    </w:p>
    <w:p w14:paraId="31675255">
      <w:pPr>
        <w:pStyle w:val="11"/>
        <w:tabs>
          <w:tab w:val="right" w:leader="dot" w:pos="8494"/>
        </w:tabs>
        <w:adjustRightInd w:val="0"/>
        <w:snapToGrid w:val="0"/>
        <w:spacing w:line="440" w:lineRule="exact"/>
        <w:ind w:firstLine="482" w:firstLineChars="200"/>
        <w:textAlignment w:val="auto"/>
        <w:rPr>
          <w:rFonts w:hAnsi="宋体"/>
          <w:b/>
          <w:bCs/>
          <w:color w:val="auto"/>
          <w:sz w:val="24"/>
          <w:highlight w:val="none"/>
        </w:rPr>
      </w:pPr>
      <w:r>
        <w:rPr>
          <w:rFonts w:hint="eastAsia" w:hAnsi="宋体"/>
          <w:b/>
          <w:bCs/>
          <w:color w:val="auto"/>
          <w:sz w:val="24"/>
          <w:highlight w:val="none"/>
        </w:rPr>
        <w:t>（三）开标流程</w:t>
      </w:r>
    </w:p>
    <w:p w14:paraId="79CA0D04">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1、开标时，采购组织机构在政采云平台向各投标人发出电子加密投标文件【开始解密】通知，由投标人按招标文件规定的时间内自行进行投标文件解密。</w:t>
      </w:r>
    </w:p>
    <w:p w14:paraId="0BC97165">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2、开启标书信息（资格文件、商务技术文件）。标书信息开启后，首先由采购人或采购组织机构依法对投标人的资格文件进行审查，审查投标人的资格符合情况。资格审查合格的投标人数量不足三家的，项目不再进行评审；</w:t>
      </w:r>
    </w:p>
    <w:p w14:paraId="669971A4">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3、开启资格审查通过的投标人的商务技术文件进入符合性审查、商务技术评审；</w:t>
      </w:r>
    </w:p>
    <w:p w14:paraId="2389084A">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4、商务技术评审结束后，宣告商务技术评审无效投标人名称及理由；公布经商务技术评审的有效投标人名单，同时公布其商务技术得分情况。</w:t>
      </w:r>
    </w:p>
    <w:p w14:paraId="74380AD6">
      <w:pPr>
        <w:pStyle w:val="11"/>
        <w:tabs>
          <w:tab w:val="right" w:leader="dot" w:pos="8494"/>
        </w:tabs>
        <w:adjustRightInd w:val="0"/>
        <w:snapToGrid w:val="0"/>
        <w:spacing w:line="440" w:lineRule="exact"/>
        <w:ind w:firstLine="480" w:firstLineChars="200"/>
        <w:textAlignment w:val="auto"/>
        <w:rPr>
          <w:rFonts w:hAnsi="宋体" w:cs="Times New Roman"/>
          <w:b/>
          <w:bCs/>
          <w:color w:val="auto"/>
          <w:sz w:val="24"/>
          <w:highlight w:val="none"/>
        </w:rPr>
      </w:pPr>
      <w:r>
        <w:rPr>
          <w:rFonts w:hint="eastAsia" w:hAnsi="宋体" w:cs="Times New Roman"/>
          <w:color w:val="auto"/>
          <w:sz w:val="24"/>
          <w:highlight w:val="none"/>
        </w:rPr>
        <w:t>5、开启有效投标人的《报价文件》，采购组织机构成功开启报价响应文件后，方可查看各供应商报价情况。采购组织机构在线公布开标一览表有关内容，</w:t>
      </w:r>
      <w:r>
        <w:rPr>
          <w:rFonts w:hint="eastAsia" w:hAnsi="宋体" w:cs="Times New Roman"/>
          <w:b/>
          <w:bCs/>
          <w:color w:val="auto"/>
          <w:sz w:val="24"/>
          <w:highlight w:val="none"/>
        </w:rPr>
        <w:t>投标人应在10分钟内在线签字确认（不予确认的应说明原因，否则视为无异议）。</w:t>
      </w:r>
    </w:p>
    <w:p w14:paraId="561B21AD">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s="Times New Roman"/>
          <w:color w:val="auto"/>
          <w:sz w:val="24"/>
          <w:highlight w:val="none"/>
        </w:rPr>
        <w:t>6、开启《报价文件》后，由评标委员会对报价的符合性、合理性、准确性等</w:t>
      </w:r>
      <w:r>
        <w:rPr>
          <w:rFonts w:hint="eastAsia" w:hAnsi="宋体"/>
          <w:color w:val="auto"/>
          <w:sz w:val="24"/>
          <w:highlight w:val="none"/>
        </w:rPr>
        <w:t>进行审查核实。</w:t>
      </w:r>
    </w:p>
    <w:p w14:paraId="25AA46E5">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7．由主持人公布报价文件无效的投标人名单、投标无效的原因及其他有效投标的报价文件得分；</w:t>
      </w:r>
    </w:p>
    <w:p w14:paraId="0462E8A7">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8．宣布综合</w:t>
      </w:r>
      <w:bookmarkStart w:id="22" w:name="_Hlk59371720"/>
      <w:r>
        <w:rPr>
          <w:rFonts w:hint="eastAsia" w:hAnsi="宋体"/>
          <w:color w:val="auto"/>
          <w:sz w:val="24"/>
          <w:highlight w:val="none"/>
        </w:rPr>
        <w:t>得分结果</w:t>
      </w:r>
      <w:bookmarkEnd w:id="22"/>
      <w:r>
        <w:rPr>
          <w:rFonts w:hint="eastAsia" w:hAnsi="宋体"/>
          <w:color w:val="auto"/>
          <w:sz w:val="24"/>
          <w:highlight w:val="none"/>
        </w:rPr>
        <w:t>及中标候选人名单。</w:t>
      </w:r>
    </w:p>
    <w:p w14:paraId="2EEEF3F9">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9、在系统上公布评审结果。</w:t>
      </w:r>
    </w:p>
    <w:p w14:paraId="3977D6A2">
      <w:pPr>
        <w:pStyle w:val="11"/>
        <w:tabs>
          <w:tab w:val="right" w:leader="dot" w:pos="8494"/>
        </w:tabs>
        <w:adjustRightInd w:val="0"/>
        <w:snapToGrid w:val="0"/>
        <w:spacing w:line="440" w:lineRule="exact"/>
        <w:ind w:firstLine="482" w:firstLineChars="200"/>
        <w:textAlignment w:val="auto"/>
        <w:rPr>
          <w:rFonts w:hAnsi="宋体"/>
          <w:b/>
          <w:bCs/>
          <w:color w:val="auto"/>
          <w:sz w:val="24"/>
          <w:highlight w:val="none"/>
        </w:rPr>
      </w:pPr>
      <w:r>
        <w:rPr>
          <w:rFonts w:hint="eastAsia" w:hAnsi="宋体"/>
          <w:b/>
          <w:bCs/>
          <w:color w:val="auto"/>
          <w:sz w:val="24"/>
          <w:highlight w:val="none"/>
        </w:rPr>
        <w:t>特别说明：</w:t>
      </w:r>
    </w:p>
    <w:p w14:paraId="7E4866EC">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1、如遇“政府采购云平台”电子化开标或评审程序调整的，按调整后程序执行。</w:t>
      </w:r>
    </w:p>
    <w:p w14:paraId="099E0D8C">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2、开标过程中需要相关当事人进行签字或盖章确认的材料将通过“政府采购云平台”在线询标系统进行，若因“政府采购云平台”技术问题无法进行签字或盖章确认的，采购组织机构将通过邮件、传真等形式予以确认。</w:t>
      </w:r>
    </w:p>
    <w:p w14:paraId="2145E09B">
      <w:pPr>
        <w:pStyle w:val="11"/>
        <w:tabs>
          <w:tab w:val="right" w:leader="dot" w:pos="8494"/>
        </w:tabs>
        <w:adjustRightInd w:val="0"/>
        <w:snapToGrid w:val="0"/>
        <w:spacing w:line="440" w:lineRule="exact"/>
        <w:ind w:firstLine="482" w:firstLineChars="200"/>
        <w:textAlignment w:val="auto"/>
        <w:rPr>
          <w:rFonts w:hAnsi="宋体"/>
          <w:b/>
          <w:bCs/>
          <w:color w:val="auto"/>
          <w:sz w:val="24"/>
          <w:highlight w:val="none"/>
        </w:rPr>
      </w:pPr>
      <w:r>
        <w:rPr>
          <w:rFonts w:hint="eastAsia" w:hAnsi="宋体"/>
          <w:b/>
          <w:bCs/>
          <w:color w:val="auto"/>
          <w:sz w:val="24"/>
          <w:highlight w:val="none"/>
        </w:rPr>
        <w:t>（四）情况说明</w:t>
      </w:r>
    </w:p>
    <w:p w14:paraId="542F5145">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本项目采用政采云电子招投标开标及评审程序，但有下情形之一的，按以下情况处理：</w:t>
      </w:r>
    </w:p>
    <w:p w14:paraId="5537F06C">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s="宋体"/>
          <w:color w:val="auto"/>
          <w:sz w:val="24"/>
          <w:highlight w:val="none"/>
        </w:rPr>
        <w:t>1、投标人应当按规定及时解密，若因技术原因导致电子投标文件未能及时解密的，应及时联系</w:t>
      </w:r>
      <w:r>
        <w:rPr>
          <w:rFonts w:hint="eastAsia" w:hAnsi="宋体" w:cs="宋体"/>
          <w:bCs/>
          <w:color w:val="auto"/>
          <w:sz w:val="24"/>
          <w:highlight w:val="none"/>
        </w:rPr>
        <w:t>咨询政采云平台技术支持热线</w:t>
      </w:r>
      <w:r>
        <w:rPr>
          <w:rFonts w:hint="eastAsia" w:hAnsi="宋体" w:cs="宋体"/>
          <w:color w:val="auto"/>
          <w:sz w:val="24"/>
          <w:highlight w:val="none"/>
        </w:rPr>
        <w:t>协助其完成解密。仍无法完成解密的，应按规定及时递交备份电子投标文件，否则，视同放弃投标。</w:t>
      </w:r>
    </w:p>
    <w:p w14:paraId="5506DB6A">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2、采购过程中出现以下情形，导致电子交易平台无法正常运行，或者无法保证电子交易的公平、公正和安全时，采购组织机构可中止电子交易活动：</w:t>
      </w:r>
    </w:p>
    <w:p w14:paraId="7C49A3DA">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 xml:space="preserve">（1）电子交易平台发生故障而无法登录访问的； </w:t>
      </w:r>
    </w:p>
    <w:p w14:paraId="50BE753F">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（2）电子交易平台应用或数据库出现错误，不能进行正常操作的；</w:t>
      </w:r>
    </w:p>
    <w:p w14:paraId="5EBD90B5">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（3）电子交易平台发现严重安全漏洞，有潜在泄密危险的；</w:t>
      </w:r>
    </w:p>
    <w:p w14:paraId="48322618">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 xml:space="preserve">（4）病毒发作导致不能进行正常操作的； </w:t>
      </w:r>
    </w:p>
    <w:p w14:paraId="7A0EE2AF">
      <w:pPr>
        <w:pStyle w:val="11"/>
        <w:tabs>
          <w:tab w:val="right" w:leader="dot" w:pos="8494"/>
        </w:tabs>
        <w:adjustRightInd w:val="0"/>
        <w:snapToGrid w:val="0"/>
        <w:spacing w:line="440" w:lineRule="exact"/>
        <w:ind w:firstLine="480" w:firstLineChars="200"/>
        <w:textAlignment w:val="auto"/>
        <w:rPr>
          <w:rFonts w:hAnsi="宋体"/>
          <w:color w:val="auto"/>
          <w:sz w:val="24"/>
          <w:highlight w:val="none"/>
        </w:rPr>
      </w:pPr>
      <w:r>
        <w:rPr>
          <w:rFonts w:hint="eastAsia" w:hAnsi="宋体"/>
          <w:color w:val="auto"/>
          <w:sz w:val="24"/>
          <w:highlight w:val="none"/>
        </w:rPr>
        <w:t>（5）其他无法保证电子交易的公平、公正和安全的情况。</w:t>
      </w:r>
    </w:p>
    <w:bookmarkEnd w:id="21"/>
    <w:p w14:paraId="18B087E4">
      <w:pPr>
        <w:spacing w:line="440" w:lineRule="exact"/>
        <w:textAlignment w:val="auto"/>
        <w:rPr>
          <w:b/>
          <w:color w:val="auto"/>
          <w:sz w:val="24"/>
          <w:highlight w:val="none"/>
        </w:rPr>
      </w:pPr>
      <w:bookmarkStart w:id="23" w:name="_Toc33014423"/>
      <w:bookmarkStart w:id="24" w:name="_Toc531267758"/>
      <w:bookmarkStart w:id="25" w:name="_Toc26036"/>
      <w:r>
        <w:rPr>
          <w:rFonts w:hint="eastAsia"/>
          <w:b/>
          <w:color w:val="auto"/>
          <w:sz w:val="24"/>
          <w:highlight w:val="none"/>
        </w:rPr>
        <w:t>五、评标</w:t>
      </w:r>
      <w:bookmarkEnd w:id="23"/>
      <w:bookmarkEnd w:id="24"/>
      <w:bookmarkEnd w:id="25"/>
    </w:p>
    <w:p w14:paraId="0B8068D3">
      <w:pPr>
        <w:spacing w:line="440" w:lineRule="exact"/>
        <w:ind w:firstLine="482" w:firstLineChars="200"/>
        <w:textAlignment w:val="auto"/>
        <w:rPr>
          <w:b/>
          <w:color w:val="auto"/>
          <w:sz w:val="24"/>
          <w:highlight w:val="none"/>
        </w:rPr>
      </w:pPr>
      <w:r>
        <w:rPr>
          <w:rFonts w:hint="eastAsia"/>
          <w:b/>
          <w:color w:val="auto"/>
          <w:sz w:val="24"/>
          <w:highlight w:val="none"/>
        </w:rPr>
        <w:t>（一）组建评标委员会</w:t>
      </w:r>
    </w:p>
    <w:p w14:paraId="155F762A">
      <w:pPr>
        <w:spacing w:line="440" w:lineRule="exact"/>
        <w:ind w:firstLine="480" w:firstLineChars="200"/>
        <w:textAlignment w:val="auto"/>
        <w:rPr>
          <w:bCs/>
          <w:color w:val="auto"/>
          <w:sz w:val="24"/>
          <w:highlight w:val="none"/>
        </w:rPr>
      </w:pPr>
      <w:r>
        <w:rPr>
          <w:rFonts w:hint="eastAsia"/>
          <w:bCs/>
          <w:color w:val="auto"/>
          <w:sz w:val="24"/>
          <w:highlight w:val="none"/>
        </w:rPr>
        <w:t>评标委员会由采购人代表和有关技术、经济等方面的专家组成,成员人数应当为五人及以上单数。其中技术、经济等方面的专家不得少于成员总数的三分之二。</w:t>
      </w:r>
    </w:p>
    <w:p w14:paraId="1DD6B319">
      <w:pPr>
        <w:spacing w:line="440" w:lineRule="exact"/>
        <w:ind w:firstLine="482" w:firstLineChars="200"/>
        <w:textAlignment w:val="auto"/>
        <w:rPr>
          <w:b/>
          <w:color w:val="auto"/>
          <w:sz w:val="24"/>
          <w:highlight w:val="none"/>
        </w:rPr>
      </w:pPr>
      <w:r>
        <w:rPr>
          <w:rFonts w:hint="eastAsia"/>
          <w:b/>
          <w:color w:val="auto"/>
          <w:sz w:val="24"/>
          <w:highlight w:val="none"/>
        </w:rPr>
        <w:t>（二）评标的方式</w:t>
      </w:r>
    </w:p>
    <w:p w14:paraId="2FE756EB">
      <w:pPr>
        <w:spacing w:line="440" w:lineRule="exact"/>
        <w:ind w:firstLine="480" w:firstLineChars="200"/>
        <w:textAlignment w:val="auto"/>
        <w:rPr>
          <w:bCs/>
          <w:color w:val="auto"/>
          <w:sz w:val="24"/>
          <w:highlight w:val="none"/>
        </w:rPr>
      </w:pPr>
      <w:r>
        <w:rPr>
          <w:rFonts w:hint="eastAsia"/>
          <w:bCs/>
          <w:color w:val="auto"/>
          <w:sz w:val="24"/>
          <w:highlight w:val="none"/>
        </w:rPr>
        <w:t>本项目采用不公开方式评标，评标的依据为招标文件和电子投标文件。</w:t>
      </w:r>
    </w:p>
    <w:p w14:paraId="092386E5">
      <w:pPr>
        <w:spacing w:line="440" w:lineRule="exact"/>
        <w:ind w:firstLine="482" w:firstLineChars="200"/>
        <w:textAlignment w:val="auto"/>
        <w:rPr>
          <w:b/>
          <w:color w:val="auto"/>
          <w:sz w:val="24"/>
          <w:highlight w:val="none"/>
        </w:rPr>
      </w:pPr>
      <w:r>
        <w:rPr>
          <w:rFonts w:hint="eastAsia"/>
          <w:b/>
          <w:color w:val="auto"/>
          <w:sz w:val="24"/>
          <w:highlight w:val="none"/>
        </w:rPr>
        <w:t>（三）评标委员会的职责</w:t>
      </w:r>
    </w:p>
    <w:p w14:paraId="20ACF42B">
      <w:pPr>
        <w:spacing w:line="440" w:lineRule="exact"/>
        <w:ind w:firstLine="482" w:firstLineChars="200"/>
        <w:textAlignment w:val="auto"/>
        <w:rPr>
          <w:b/>
          <w:color w:val="auto"/>
          <w:sz w:val="24"/>
          <w:highlight w:val="none"/>
        </w:rPr>
      </w:pPr>
      <w:r>
        <w:rPr>
          <w:rFonts w:hint="eastAsia"/>
          <w:b/>
          <w:color w:val="auto"/>
          <w:sz w:val="24"/>
          <w:highlight w:val="none"/>
        </w:rPr>
        <w:t>评标委员会负责具体评审事务，并独立履行下列职责：</w:t>
      </w:r>
    </w:p>
    <w:p w14:paraId="1D9394FA">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（1）审查、评价投标文件是否符合采购文件的资信、技术等实质性要求；</w:t>
      </w:r>
    </w:p>
    <w:p w14:paraId="1026C82A">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（2）要求投标人对投标文件有关事项作出澄清或者说明；</w:t>
      </w:r>
    </w:p>
    <w:p w14:paraId="2C6B9744">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（3）对投标文件进行比较和评价；</w:t>
      </w:r>
    </w:p>
    <w:p w14:paraId="5B289958">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（4）确定中标候选人名单，以及根据采购人委托直接确定中标单位；</w:t>
      </w:r>
    </w:p>
    <w:p w14:paraId="277186D7">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（5）向采购人、采购组织机构或者有关部门报告评审中发现的违法行为。</w:t>
      </w:r>
    </w:p>
    <w:p w14:paraId="62FB573B">
      <w:pPr>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（四）评审原则</w:t>
      </w:r>
    </w:p>
    <w:p w14:paraId="20F55401">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1、评审原则：评标委员会按照客观、公正、审慎、择优的原则，根据采购文件规定的评审程序、评审方法和评审标准进行独立评审。</w:t>
      </w:r>
    </w:p>
    <w:p w14:paraId="05A09920">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2、评审工作将依据采购文件、投标文件及采购文件中事先已列明的内容进行。</w:t>
      </w:r>
    </w:p>
    <w:p w14:paraId="790F9285">
      <w:pPr>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（五）评审意见的争议处理</w:t>
      </w:r>
    </w:p>
    <w:p w14:paraId="704D3565">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评标委员会成员对需要共同认定的事项存在争议的，按照少数服从多数的原则作出结论。持不同意见的评标委员会成员应当在评审报告上签署不同意见及理由，否则视为同意评审报告。</w:t>
      </w:r>
    </w:p>
    <w:p w14:paraId="0B42C4B0">
      <w:pPr>
        <w:spacing w:line="440" w:lineRule="exact"/>
        <w:ind w:firstLine="241" w:firstLineChars="100"/>
        <w:textAlignment w:val="auto"/>
        <w:rPr>
          <w:rFonts w:ascii="宋体" w:hAnsi="宋体" w:cs="宋体"/>
          <w:b/>
          <w:color w:val="auto"/>
          <w:sz w:val="24"/>
          <w:highlight w:val="none"/>
        </w:rPr>
      </w:pPr>
      <w:r>
        <w:rPr>
          <w:rFonts w:hint="eastAsia" w:ascii="宋体" w:hAnsi="宋体" w:cs="宋体"/>
          <w:b/>
          <w:color w:val="auto"/>
          <w:sz w:val="24"/>
          <w:highlight w:val="none"/>
        </w:rPr>
        <w:t>（六）评标纪律</w:t>
      </w:r>
    </w:p>
    <w:p w14:paraId="10C6BEE0">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1、本项目评标过程实行全程录音、录像监控，政府采购监管部门视情进行视频远程或现场监督，投标人在评标过程中所进行的试图影响评标结果的不公正活动，可能导致其投标被拒绝。</w:t>
      </w:r>
    </w:p>
    <w:p w14:paraId="56F4D58F">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评标委员会成员必须严格遵守保密规定，不得泄露评审的有关情况，任何单位和个人不得干扰、影响评标的正常进行，评标委员会成员不得私下与投标人接触，不得出现浙江省政府采购活动现场组织管理办法中规定的其他禁止行为。</w:t>
      </w:r>
    </w:p>
    <w:p w14:paraId="239D1E91">
      <w:pPr>
        <w:spacing w:line="440" w:lineRule="exact"/>
        <w:ind w:firstLine="241" w:firstLineChars="100"/>
        <w:textAlignment w:val="auto"/>
        <w:rPr>
          <w:rFonts w:ascii="宋体" w:hAnsi="宋体" w:cs="宋体"/>
          <w:b/>
          <w:color w:val="auto"/>
          <w:sz w:val="24"/>
          <w:highlight w:val="none"/>
        </w:rPr>
      </w:pPr>
      <w:bookmarkStart w:id="26" w:name="_Toc33194395"/>
      <w:bookmarkStart w:id="27" w:name="_Toc24550044"/>
      <w:r>
        <w:rPr>
          <w:rFonts w:hint="eastAsia" w:ascii="宋体" w:hAnsi="宋体" w:cs="宋体"/>
          <w:b/>
          <w:color w:val="auto"/>
          <w:sz w:val="24"/>
          <w:highlight w:val="none"/>
        </w:rPr>
        <w:t>（七）评审流程及内容</w:t>
      </w:r>
      <w:bookmarkEnd w:id="26"/>
      <w:bookmarkEnd w:id="27"/>
    </w:p>
    <w:p w14:paraId="4D57AC24">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本项目具体的评审事务由评标委员会负责，评审流程及内容如下：</w:t>
      </w:r>
    </w:p>
    <w:p w14:paraId="42D3A1BE">
      <w:pPr>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1、评审前准备</w:t>
      </w:r>
    </w:p>
    <w:p w14:paraId="03D2DDD3">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1.1由评审专家推选评审小组组长，采购人代表不得担任评审小组组长。</w:t>
      </w:r>
    </w:p>
    <w:p w14:paraId="75075409">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1.2由评审小组组长（评标委员会主任委员）召集所有评委成员阅读采购文件及相关补充、质疑、答复文件、项目书面说明等材料，熟悉采购项目基本情况、采购需求、合同主要条款、投标文件无效情形、评审办法、评审标准，以及其他与评审有关的内容。</w:t>
      </w:r>
    </w:p>
    <w:p w14:paraId="582CD62B">
      <w:pPr>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2、投标文件的初步审查、符合性审查</w:t>
      </w:r>
    </w:p>
    <w:p w14:paraId="2FF31CF7">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对所有通过资格审查的投标人的投标文件进行初步审查，审查、评价投标文件是否符合采购文件的资信、技术、服务等实质性要求。</w:t>
      </w:r>
    </w:p>
    <w:p w14:paraId="1DA22923">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2.1评标委员会首先对所有通过资格审查的投标人的投标文件进行符合性审查，审查每份投标文件是否实质上响应了采购文件的要求（实质性响应的投标文件是指投标文件符合采购文件规定的实质性内容、条件和规定）。</w:t>
      </w:r>
    </w:p>
    <w:p w14:paraId="7780B33A">
      <w:pPr>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3、投标文件的澄清、说明或补正</w:t>
      </w:r>
    </w:p>
    <w:p w14:paraId="7B89FC70">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3.1对于投标文件中含义不明确、同类问题表述不一致或者有明显文字和计算错误的内容，评标委员会将以书面形式（或通过“政府采购云平台”在线询标）的形式要求投标人在规定的时间内作出必要的澄清、说明或者补正。</w:t>
      </w:r>
    </w:p>
    <w:p w14:paraId="175EBDBB">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3.2评标过程中评标委员会对投标人提出质询或要求投标人书面确认的（或通过“政府采购云平台”在线答复），采用书面形式（PDF格式）提交并加盖公章，或者由法定代表人或其授权的代表签字或盖章，在规定时间内予以书面（PDF格式）回复或确认，若因CA锁等原因无法上传，在专家限定时间内可将线下材料（PDF格式）发送到采购组织机构邮箱，由采购组织机构上传。否则视为不予回复或确认，评标委员会有权拒绝该投标文件，澄清、说明或者补正不得超出投标文件的范围或者改变投标文件的实质性内容。</w:t>
      </w:r>
    </w:p>
    <w:p w14:paraId="1E277464">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3.3上述询标、澄清、说明和补正工作如因客观原因无法通过“政府采购云平台”在线进行的，将采用书面（含邮件）形式进行。</w:t>
      </w:r>
    </w:p>
    <w:p w14:paraId="7AC06578">
      <w:pPr>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4、投标文件的错误修正</w:t>
      </w:r>
    </w:p>
    <w:p w14:paraId="368ABBBD">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4.1《投标文件》如果出现计算或表达上的错误，修正错误的原则如下：</w:t>
      </w:r>
    </w:p>
    <w:p w14:paraId="281B43A3">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（1）投标文件中开标一览表（报价表）内容与投标文件中相应内容不一致的，以开标一览表（报价表）为准。</w:t>
      </w:r>
    </w:p>
    <w:p w14:paraId="134CC8BC">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（2）《投标文件》的大写金额和小写金额不一致的，以大写金额为准；</w:t>
      </w:r>
    </w:p>
    <w:p w14:paraId="08B395D7">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（3）单价金额小数点或者百分比有明显错位的，应以开标一览表（报价表）的总价为准，并修改单价；</w:t>
      </w:r>
    </w:p>
    <w:p w14:paraId="48F78B9A">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（4）总价金额与按单价汇总金额不一致的，以单价金额计算结果为准。</w:t>
      </w:r>
    </w:p>
    <w:p w14:paraId="0D4A69A3">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（5）若在报价文件上传的报价和报价一览表里填写的报价不一致时，以投标人上传的报价文件为准，由采购组织机构经办人对投标人报价进行修正。</w:t>
      </w:r>
    </w:p>
    <w:p w14:paraId="7E22039A">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4.2对不同文字文本《投标文件》的解释发生异议的，以中文文本为准。</w:t>
      </w:r>
    </w:p>
    <w:p w14:paraId="46950C36">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同时出现两种以上不一致的，按照前款规定的顺序修正。修正后的报价按照经投标人加盖CA签章，由法定代表人或其授权的代表</w:t>
      </w:r>
      <w:r>
        <w:rPr>
          <w:rFonts w:hint="eastAsia" w:ascii="宋体" w:hAnsi="宋体"/>
          <w:color w:val="auto"/>
          <w:sz w:val="24"/>
          <w:highlight w:val="none"/>
        </w:rPr>
        <w:t>签字或电子印章</w:t>
      </w:r>
      <w:r>
        <w:rPr>
          <w:rFonts w:hint="eastAsia" w:ascii="宋体" w:hAnsi="宋体" w:cs="宋体"/>
          <w:bCs/>
          <w:color w:val="auto"/>
          <w:sz w:val="24"/>
          <w:highlight w:val="none"/>
        </w:rPr>
        <w:t>确认后产生约束力，投标人不确认的，其投标无效。</w:t>
      </w:r>
    </w:p>
    <w:p w14:paraId="56F64567">
      <w:pPr>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rPr>
        <w:t>5、</w:t>
      </w:r>
      <w:r>
        <w:rPr>
          <w:rFonts w:hint="eastAsia" w:ascii="宋体" w:hAnsi="宋体" w:cs="宋体"/>
          <w:bCs/>
          <w:color w:val="auto"/>
          <w:sz w:val="24"/>
          <w:highlight w:val="none"/>
          <w:lang w:val="zh-CN"/>
        </w:rPr>
        <w:t>提供相同品牌产品的不同投标人参加同一合同项下投标的，按一家供应商认定：</w:t>
      </w:r>
    </w:p>
    <w:p w14:paraId="13673C27">
      <w:pPr>
        <w:spacing w:line="440" w:lineRule="exact"/>
        <w:ind w:firstLine="480" w:firstLineChars="200"/>
        <w:textAlignment w:val="auto"/>
        <w:rPr>
          <w:rFonts w:ascii="宋体" w:hAnsi="宋体" w:cs="宋体"/>
          <w:bCs/>
          <w:color w:val="auto"/>
          <w:sz w:val="24"/>
          <w:highlight w:val="none"/>
          <w:lang w:val="zh-CN"/>
        </w:rPr>
      </w:pPr>
      <w:bookmarkStart w:id="28" w:name="_Toc514938678"/>
      <w:bookmarkStart w:id="29" w:name="_Toc3505"/>
      <w:bookmarkStart w:id="30" w:name="_Toc504504574"/>
      <w:bookmarkStart w:id="31" w:name="_Toc510614926"/>
      <w:r>
        <w:rPr>
          <w:rFonts w:hint="eastAsia" w:ascii="宋体" w:hAnsi="宋体" w:cs="宋体"/>
          <w:bCs/>
          <w:color w:val="auto"/>
          <w:sz w:val="24"/>
          <w:highlight w:val="none"/>
          <w:lang w:val="zh-CN"/>
        </w:rPr>
        <w:t>本项目采用综合评分法，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11930D2">
      <w:pPr>
        <w:spacing w:line="440" w:lineRule="exact"/>
        <w:textAlignment w:val="auto"/>
        <w:rPr>
          <w:rFonts w:ascii="宋体" w:hAnsi="宋体" w:cs="宋体"/>
          <w:b/>
          <w:color w:val="auto"/>
          <w:sz w:val="24"/>
          <w:highlight w:val="none"/>
        </w:rPr>
      </w:pPr>
      <w:r>
        <w:rPr>
          <w:rFonts w:hint="eastAsia" w:ascii="宋体" w:hAnsi="宋体" w:cs="宋体"/>
          <w:b/>
          <w:color w:val="auto"/>
          <w:sz w:val="24"/>
          <w:highlight w:val="none"/>
        </w:rPr>
        <w:t>六、定标</w:t>
      </w:r>
      <w:bookmarkEnd w:id="28"/>
      <w:bookmarkEnd w:id="29"/>
      <w:bookmarkEnd w:id="30"/>
      <w:bookmarkEnd w:id="31"/>
    </w:p>
    <w:p w14:paraId="7CA1D34A">
      <w:pPr>
        <w:spacing w:line="440" w:lineRule="exact"/>
        <w:ind w:firstLine="241" w:firstLineChars="100"/>
        <w:textAlignment w:val="auto"/>
        <w:rPr>
          <w:rFonts w:ascii="宋体" w:hAnsi="宋体" w:cs="宋体"/>
          <w:b/>
          <w:color w:val="auto"/>
          <w:sz w:val="24"/>
          <w:highlight w:val="none"/>
        </w:rPr>
      </w:pPr>
      <w:bookmarkStart w:id="32" w:name="_Toc534621006"/>
      <w:r>
        <w:rPr>
          <w:rFonts w:hint="eastAsia" w:ascii="宋体" w:hAnsi="宋体" w:cs="宋体"/>
          <w:b/>
          <w:color w:val="auto"/>
          <w:sz w:val="24"/>
          <w:highlight w:val="none"/>
        </w:rPr>
        <w:t>（一）采购结果确认（确定中标单位）</w:t>
      </w:r>
    </w:p>
    <w:p w14:paraId="76472157">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本项目由采购人根据评标委员会提交的《评审报告》，通过“政府采购云平台”依法确认采购结果、确定中标单位。具体流程如下：</w:t>
      </w:r>
    </w:p>
    <w:p w14:paraId="106D720D">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1、本项目由评标委员会推荐中标候选人，采购组织机构在评标结束后2个工作日内将评审报告交采购人确认。</w:t>
      </w:r>
      <w:bookmarkEnd w:id="32"/>
    </w:p>
    <w:p w14:paraId="7FBFA3FC">
      <w:pPr>
        <w:spacing w:line="440" w:lineRule="exact"/>
        <w:ind w:firstLine="480" w:firstLineChars="200"/>
        <w:textAlignment w:val="auto"/>
        <w:rPr>
          <w:rFonts w:ascii="宋体" w:hAnsi="宋体" w:cs="宋体"/>
          <w:bCs/>
          <w:color w:val="auto"/>
          <w:sz w:val="24"/>
          <w:highlight w:val="none"/>
        </w:rPr>
      </w:pPr>
      <w:bookmarkStart w:id="33" w:name="_Toc534621007"/>
      <w:r>
        <w:rPr>
          <w:rFonts w:hint="eastAsia" w:ascii="宋体" w:hAnsi="宋体" w:cs="宋体"/>
          <w:bCs/>
          <w:color w:val="auto"/>
          <w:sz w:val="24"/>
          <w:highlight w:val="none"/>
        </w:rPr>
        <w:t>2、采购人应当自收到评审报告之日起5个工作日内，在评审报告确定的中标候选人名单中按顺序确定中标单位。采购人在收到评审报告5个工作日内未按评审报告推荐的中标候选人顺序确定中标单位，又不能说明合法理由的，视同按评审报告推荐的顺序确定排名第一的中标候选人为中标单位。</w:t>
      </w:r>
      <w:bookmarkEnd w:id="33"/>
    </w:p>
    <w:p w14:paraId="6544C3B6">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3、采购人及采购组织机构不对评审结果做任何解释。</w:t>
      </w:r>
    </w:p>
    <w:p w14:paraId="7D5C1A49">
      <w:pPr>
        <w:spacing w:line="440" w:lineRule="exact"/>
        <w:textAlignment w:val="auto"/>
        <w:rPr>
          <w:rFonts w:ascii="宋体" w:hAnsi="宋体" w:cs="宋体"/>
          <w:b/>
          <w:color w:val="auto"/>
          <w:sz w:val="24"/>
          <w:highlight w:val="none"/>
        </w:rPr>
      </w:pPr>
      <w:r>
        <w:rPr>
          <w:rFonts w:hint="eastAsia" w:ascii="宋体" w:hAnsi="宋体" w:cs="宋体"/>
          <w:b/>
          <w:color w:val="auto"/>
          <w:sz w:val="24"/>
          <w:highlight w:val="none"/>
        </w:rPr>
        <w:t>（二）采购结果公告和中标通知书签发</w:t>
      </w:r>
    </w:p>
    <w:p w14:paraId="0490A623">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1、采购结果经采购人确认后，采购组织机构将于2个工作日内在浙江省政府采购网上发布中标公告，并向中标方签发书面《中标通知书》。</w:t>
      </w:r>
      <w:bookmarkStart w:id="34" w:name="_Hlk59369379"/>
      <w:r>
        <w:rPr>
          <w:rFonts w:hint="eastAsia" w:ascii="宋体" w:hAnsi="宋体"/>
          <w:color w:val="auto"/>
          <w:sz w:val="24"/>
          <w:highlight w:val="none"/>
        </w:rPr>
        <w:t>为营造更优质的营商环境，</w:t>
      </w:r>
      <w:bookmarkStart w:id="35" w:name="_Hlk59708763"/>
      <w:r>
        <w:rPr>
          <w:rFonts w:hint="eastAsia" w:ascii="宋体" w:hAnsi="宋体"/>
          <w:color w:val="auto"/>
          <w:sz w:val="24"/>
          <w:highlight w:val="none"/>
        </w:rPr>
        <w:t>中标人可选择采购组织机构以邮寄方式向其寄达《中标通知书》（邮寄地址、收件人等信息请在“投标函”中详细写明，邮费可到付）。</w:t>
      </w:r>
      <w:bookmarkEnd w:id="34"/>
      <w:bookmarkEnd w:id="35"/>
      <w:r>
        <w:rPr>
          <w:rFonts w:hint="eastAsia" w:ascii="宋体" w:hAnsi="宋体"/>
          <w:color w:val="auto"/>
          <w:sz w:val="24"/>
          <w:highlight w:val="none"/>
        </w:rPr>
        <w:br w:type="textWrapping"/>
      </w:r>
      <w:r>
        <w:rPr>
          <w:rFonts w:hint="eastAsia" w:ascii="宋体" w:hAnsi="宋体" w:cs="宋体"/>
          <w:bCs/>
          <w:color w:val="auto"/>
          <w:sz w:val="24"/>
          <w:highlight w:val="none"/>
        </w:rPr>
        <w:t>2、中标公告期限为1个工作日；</w:t>
      </w:r>
    </w:p>
    <w:p w14:paraId="3749E42A">
      <w:pPr>
        <w:spacing w:line="440" w:lineRule="exact"/>
        <w:ind w:left="479" w:leftChars="228"/>
        <w:textAlignment w:val="auto"/>
        <w:rPr>
          <w:rFonts w:ascii="宋体" w:hAnsi="宋体" w:cs="宋体"/>
          <w:bCs/>
          <w:color w:val="auto"/>
          <w:sz w:val="24"/>
          <w:highlight w:val="none"/>
        </w:rPr>
      </w:pPr>
      <w:r>
        <w:rPr>
          <w:rFonts w:hint="eastAsia" w:ascii="宋体" w:hAnsi="宋体" w:cs="宋体"/>
          <w:bCs/>
          <w:color w:val="auto"/>
          <w:sz w:val="24"/>
          <w:highlight w:val="none"/>
        </w:rPr>
        <w:t>3、中标通知书发出后，中标单位无正当理由不得放弃中标。</w:t>
      </w:r>
    </w:p>
    <w:p w14:paraId="7B93F9A7">
      <w:pPr>
        <w:spacing w:line="44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olor w:val="auto"/>
          <w:sz w:val="24"/>
          <w:szCs w:val="32"/>
          <w:highlight w:val="none"/>
        </w:rPr>
        <w:t>招标代理费用：</w:t>
      </w:r>
      <w:r>
        <w:rPr>
          <w:rFonts w:hint="eastAsia" w:ascii="宋体" w:hAnsi="宋体" w:cs="宋体"/>
          <w:color w:val="auto"/>
          <w:sz w:val="24"/>
          <w:szCs w:val="32"/>
          <w:highlight w:val="none"/>
        </w:rPr>
        <w:t>招标代理费用参照</w:t>
      </w:r>
      <w:r>
        <w:rPr>
          <w:rFonts w:hint="eastAsia" w:ascii="宋体" w:hAnsi="宋体" w:cs="宋体"/>
          <w:color w:val="auto"/>
          <w:kern w:val="0"/>
          <w:sz w:val="24"/>
          <w:highlight w:val="none"/>
        </w:rPr>
        <w:t>下表中</w:t>
      </w:r>
      <w:r>
        <w:rPr>
          <w:rFonts w:hint="eastAsia" w:ascii="宋体" w:hAnsi="宋体" w:cs="宋体"/>
          <w:b/>
          <w:bCs/>
          <w:color w:val="auto"/>
          <w:kern w:val="0"/>
          <w:sz w:val="24"/>
          <w:highlight w:val="none"/>
        </w:rPr>
        <w:t>服务类</w:t>
      </w:r>
      <w:r>
        <w:rPr>
          <w:rFonts w:hint="eastAsia" w:ascii="宋体" w:hAnsi="宋体" w:cs="宋体"/>
          <w:color w:val="auto"/>
          <w:kern w:val="0"/>
          <w:sz w:val="24"/>
          <w:highlight w:val="none"/>
        </w:rPr>
        <w:t>计算标准计算</w:t>
      </w:r>
      <w:r>
        <w:rPr>
          <w:rFonts w:hint="eastAsia" w:ascii="宋体" w:cs="宋体"/>
          <w:color w:val="auto"/>
          <w:sz w:val="24"/>
          <w:highlight w:val="none"/>
        </w:rPr>
        <w:t>（差额定率累进法），计费基数：中标价，向成交供应商</w:t>
      </w:r>
      <w:r>
        <w:rPr>
          <w:rFonts w:hint="eastAsia" w:ascii="宋体" w:hAnsi="宋体" w:cs="宋体"/>
          <w:color w:val="auto"/>
          <w:kern w:val="0"/>
          <w:sz w:val="24"/>
          <w:highlight w:val="none"/>
        </w:rPr>
        <w:t>收取招标代理服务费（</w:t>
      </w:r>
      <w:r>
        <w:rPr>
          <w:rFonts w:hint="eastAsia" w:ascii="宋体" w:hAnsi="宋体" w:cs="宋体"/>
          <w:b/>
          <w:bCs/>
          <w:color w:val="auto"/>
          <w:kern w:val="0"/>
          <w:sz w:val="24"/>
          <w:highlight w:val="none"/>
        </w:rPr>
        <w:t>若招标代理服务费报酬不足柒仟元的，按柒仟元计</w:t>
      </w:r>
      <w:r>
        <w:rPr>
          <w:rFonts w:hint="eastAsia" w:ascii="宋体" w:hAnsi="宋体" w:cs="宋体"/>
          <w:color w:val="auto"/>
          <w:kern w:val="0"/>
          <w:sz w:val="24"/>
          <w:highlight w:val="none"/>
        </w:rPr>
        <w:t>），该费用</w:t>
      </w:r>
      <w:r>
        <w:rPr>
          <w:rFonts w:hint="eastAsia" w:ascii="宋体" w:hAnsi="宋体" w:cs="宋体"/>
          <w:color w:val="auto"/>
          <w:sz w:val="24"/>
          <w:szCs w:val="32"/>
          <w:highlight w:val="none"/>
        </w:rPr>
        <w:t>成交供应商</w:t>
      </w:r>
      <w:r>
        <w:rPr>
          <w:rFonts w:hint="eastAsia" w:ascii="宋体" w:hAnsi="宋体" w:cs="宋体"/>
          <w:color w:val="auto"/>
          <w:kern w:val="0"/>
          <w:sz w:val="24"/>
          <w:highlight w:val="none"/>
        </w:rPr>
        <w:t>须在中标通知书</w:t>
      </w:r>
      <w:r>
        <w:rPr>
          <w:rFonts w:hint="eastAsia" w:ascii="宋体" w:hAnsi="宋体" w:cs="宋体"/>
          <w:color w:val="auto"/>
          <w:sz w:val="24"/>
          <w:szCs w:val="32"/>
          <w:highlight w:val="none"/>
        </w:rPr>
        <w:t>发出前一次性付清</w:t>
      </w:r>
      <w:r>
        <w:rPr>
          <w:rFonts w:hint="eastAsia" w:ascii="宋体" w:hAnsi="宋体" w:cs="宋体"/>
          <w:color w:val="auto"/>
          <w:kern w:val="0"/>
          <w:sz w:val="24"/>
          <w:highlight w:val="none"/>
        </w:rPr>
        <w:t>。</w:t>
      </w:r>
    </w:p>
    <w:tbl>
      <w:tblPr>
        <w:tblStyle w:val="23"/>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1568"/>
        <w:gridCol w:w="1568"/>
        <w:gridCol w:w="1570"/>
      </w:tblGrid>
      <w:tr w14:paraId="641A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65" w:type="dxa"/>
            <w:noWrap/>
            <w:vAlign w:val="center"/>
          </w:tcPr>
          <w:p w14:paraId="08F59DEC">
            <w:pPr>
              <w:jc w:val="center"/>
              <w:rPr>
                <w:rFonts w:ascii="宋体" w:hAnsi="宋体" w:cs="宋体"/>
                <w:color w:val="auto"/>
                <w:sz w:val="24"/>
                <w:highlight w:val="none"/>
              </w:rPr>
            </w:pPr>
            <w:r>
              <w:rPr>
                <w:rFonts w:hint="eastAsia" w:ascii="宋体" w:hAnsi="宋体" w:cs="宋体"/>
                <w:color w:val="auto"/>
                <w:sz w:val="24"/>
                <w:highlight w:val="none"/>
              </w:rPr>
              <w:t>服务类型、费率、中标金额（万元）</w:t>
            </w:r>
          </w:p>
        </w:tc>
        <w:tc>
          <w:tcPr>
            <w:tcW w:w="1568" w:type="dxa"/>
            <w:noWrap/>
            <w:vAlign w:val="center"/>
          </w:tcPr>
          <w:p w14:paraId="7B82D580">
            <w:pPr>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568" w:type="dxa"/>
            <w:noWrap/>
            <w:vAlign w:val="center"/>
          </w:tcPr>
          <w:p w14:paraId="1129BBA7">
            <w:pPr>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570" w:type="dxa"/>
            <w:noWrap/>
            <w:vAlign w:val="center"/>
          </w:tcPr>
          <w:p w14:paraId="77086069">
            <w:pPr>
              <w:jc w:val="center"/>
              <w:rPr>
                <w:rFonts w:ascii="宋体" w:hAnsi="宋体" w:cs="宋体"/>
                <w:color w:val="auto"/>
                <w:sz w:val="24"/>
                <w:highlight w:val="none"/>
              </w:rPr>
            </w:pPr>
            <w:r>
              <w:rPr>
                <w:rFonts w:hint="eastAsia" w:ascii="宋体" w:hAnsi="宋体" w:cs="宋体"/>
                <w:color w:val="auto"/>
                <w:sz w:val="24"/>
                <w:highlight w:val="none"/>
              </w:rPr>
              <w:t>工程招标</w:t>
            </w:r>
          </w:p>
        </w:tc>
      </w:tr>
      <w:tr w14:paraId="68A4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65" w:type="dxa"/>
            <w:noWrap/>
            <w:vAlign w:val="center"/>
          </w:tcPr>
          <w:p w14:paraId="2BFA0166">
            <w:pPr>
              <w:jc w:val="center"/>
              <w:rPr>
                <w:rFonts w:ascii="宋体" w:hAnsi="宋体" w:cs="宋体"/>
                <w:color w:val="auto"/>
                <w:sz w:val="24"/>
                <w:highlight w:val="none"/>
              </w:rPr>
            </w:pPr>
            <w:r>
              <w:rPr>
                <w:rFonts w:hint="eastAsia" w:ascii="宋体" w:hAnsi="宋体" w:cs="宋体"/>
                <w:color w:val="auto"/>
                <w:sz w:val="24"/>
                <w:highlight w:val="none"/>
              </w:rPr>
              <w:t>100以下</w:t>
            </w:r>
          </w:p>
        </w:tc>
        <w:tc>
          <w:tcPr>
            <w:tcW w:w="1568" w:type="dxa"/>
            <w:noWrap/>
            <w:vAlign w:val="center"/>
          </w:tcPr>
          <w:p w14:paraId="51156CB8">
            <w:pPr>
              <w:jc w:val="center"/>
              <w:rPr>
                <w:rFonts w:ascii="宋体" w:hAnsi="宋体" w:cs="宋体"/>
                <w:color w:val="auto"/>
                <w:sz w:val="24"/>
                <w:highlight w:val="none"/>
              </w:rPr>
            </w:pPr>
            <w:r>
              <w:rPr>
                <w:rFonts w:hint="eastAsia" w:ascii="宋体" w:hAnsi="宋体" w:cs="宋体"/>
                <w:color w:val="auto"/>
                <w:sz w:val="24"/>
                <w:highlight w:val="none"/>
              </w:rPr>
              <w:t>1.50%</w:t>
            </w:r>
          </w:p>
        </w:tc>
        <w:tc>
          <w:tcPr>
            <w:tcW w:w="1568" w:type="dxa"/>
            <w:noWrap/>
            <w:vAlign w:val="center"/>
          </w:tcPr>
          <w:p w14:paraId="0F9EE140">
            <w:pPr>
              <w:jc w:val="center"/>
              <w:rPr>
                <w:rFonts w:ascii="宋体" w:hAnsi="宋体" w:cs="宋体"/>
                <w:color w:val="auto"/>
                <w:sz w:val="24"/>
                <w:highlight w:val="none"/>
              </w:rPr>
            </w:pPr>
            <w:r>
              <w:rPr>
                <w:rFonts w:hint="eastAsia" w:ascii="宋体" w:hAnsi="宋体" w:cs="宋体"/>
                <w:color w:val="auto"/>
                <w:sz w:val="24"/>
                <w:highlight w:val="none"/>
              </w:rPr>
              <w:t>1.50%</w:t>
            </w:r>
          </w:p>
        </w:tc>
        <w:tc>
          <w:tcPr>
            <w:tcW w:w="1570" w:type="dxa"/>
            <w:noWrap/>
            <w:vAlign w:val="center"/>
          </w:tcPr>
          <w:p w14:paraId="05D23956">
            <w:pPr>
              <w:jc w:val="center"/>
              <w:rPr>
                <w:rFonts w:ascii="宋体" w:hAnsi="宋体" w:cs="宋体"/>
                <w:color w:val="auto"/>
                <w:sz w:val="24"/>
                <w:highlight w:val="none"/>
              </w:rPr>
            </w:pPr>
            <w:r>
              <w:rPr>
                <w:rFonts w:hint="eastAsia" w:ascii="宋体" w:hAnsi="宋体" w:cs="宋体"/>
                <w:color w:val="auto"/>
                <w:sz w:val="24"/>
                <w:highlight w:val="none"/>
              </w:rPr>
              <w:t>1.00%</w:t>
            </w:r>
          </w:p>
        </w:tc>
      </w:tr>
      <w:tr w14:paraId="46C3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65" w:type="dxa"/>
            <w:noWrap/>
            <w:vAlign w:val="top"/>
          </w:tcPr>
          <w:p w14:paraId="1FA2A330">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100-500</w:t>
            </w:r>
          </w:p>
        </w:tc>
        <w:tc>
          <w:tcPr>
            <w:tcW w:w="1568" w:type="dxa"/>
            <w:noWrap/>
            <w:vAlign w:val="center"/>
          </w:tcPr>
          <w:p w14:paraId="42DB468D">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1.10%</w:t>
            </w:r>
          </w:p>
        </w:tc>
        <w:tc>
          <w:tcPr>
            <w:tcW w:w="1568" w:type="dxa"/>
            <w:noWrap/>
            <w:vAlign w:val="center"/>
          </w:tcPr>
          <w:p w14:paraId="717A02CE">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0.80%</w:t>
            </w:r>
          </w:p>
        </w:tc>
        <w:tc>
          <w:tcPr>
            <w:tcW w:w="1570" w:type="dxa"/>
            <w:noWrap/>
            <w:vAlign w:val="center"/>
          </w:tcPr>
          <w:p w14:paraId="53336399">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0.70%</w:t>
            </w:r>
          </w:p>
        </w:tc>
      </w:tr>
      <w:tr w14:paraId="7B9E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65" w:type="dxa"/>
            <w:noWrap/>
            <w:vAlign w:val="top"/>
          </w:tcPr>
          <w:p w14:paraId="77328EF3">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500-1000</w:t>
            </w:r>
          </w:p>
        </w:tc>
        <w:tc>
          <w:tcPr>
            <w:tcW w:w="1568" w:type="dxa"/>
            <w:noWrap/>
            <w:vAlign w:val="center"/>
          </w:tcPr>
          <w:p w14:paraId="4260A6D0">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0.80%</w:t>
            </w:r>
          </w:p>
        </w:tc>
        <w:tc>
          <w:tcPr>
            <w:tcW w:w="1568" w:type="dxa"/>
            <w:noWrap/>
            <w:vAlign w:val="center"/>
          </w:tcPr>
          <w:p w14:paraId="0A8E00F2">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0.45%</w:t>
            </w:r>
          </w:p>
        </w:tc>
        <w:tc>
          <w:tcPr>
            <w:tcW w:w="1570" w:type="dxa"/>
            <w:noWrap/>
            <w:vAlign w:val="center"/>
          </w:tcPr>
          <w:p w14:paraId="6D64C65E">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0.55%</w:t>
            </w:r>
          </w:p>
        </w:tc>
      </w:tr>
      <w:tr w14:paraId="5E19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65" w:type="dxa"/>
            <w:noWrap/>
            <w:vAlign w:val="top"/>
          </w:tcPr>
          <w:p w14:paraId="411E1130">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1000-5000</w:t>
            </w:r>
          </w:p>
        </w:tc>
        <w:tc>
          <w:tcPr>
            <w:tcW w:w="1568" w:type="dxa"/>
            <w:noWrap/>
            <w:vAlign w:val="center"/>
          </w:tcPr>
          <w:p w14:paraId="1697CD27">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0.50%</w:t>
            </w:r>
          </w:p>
        </w:tc>
        <w:tc>
          <w:tcPr>
            <w:tcW w:w="1568" w:type="dxa"/>
            <w:noWrap/>
            <w:vAlign w:val="center"/>
          </w:tcPr>
          <w:p w14:paraId="2E81676E">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0.25%</w:t>
            </w:r>
          </w:p>
        </w:tc>
        <w:tc>
          <w:tcPr>
            <w:tcW w:w="1570" w:type="dxa"/>
            <w:noWrap/>
            <w:vAlign w:val="center"/>
          </w:tcPr>
          <w:p w14:paraId="306ED5E7">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0.35%</w:t>
            </w:r>
          </w:p>
        </w:tc>
      </w:tr>
      <w:tr w14:paraId="3D3C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65" w:type="dxa"/>
            <w:noWrap/>
            <w:vAlign w:val="top"/>
          </w:tcPr>
          <w:p w14:paraId="6FAC18C6">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5000-10000</w:t>
            </w:r>
          </w:p>
        </w:tc>
        <w:tc>
          <w:tcPr>
            <w:tcW w:w="1568" w:type="dxa"/>
            <w:noWrap/>
            <w:vAlign w:val="center"/>
          </w:tcPr>
          <w:p w14:paraId="37FFBCA0">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0.25%</w:t>
            </w:r>
          </w:p>
        </w:tc>
        <w:tc>
          <w:tcPr>
            <w:tcW w:w="1568" w:type="dxa"/>
            <w:noWrap/>
            <w:vAlign w:val="center"/>
          </w:tcPr>
          <w:p w14:paraId="21A851F6">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0.10%</w:t>
            </w:r>
          </w:p>
        </w:tc>
        <w:tc>
          <w:tcPr>
            <w:tcW w:w="1570" w:type="dxa"/>
            <w:noWrap/>
            <w:vAlign w:val="center"/>
          </w:tcPr>
          <w:p w14:paraId="1711C522">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0.20%</w:t>
            </w:r>
          </w:p>
        </w:tc>
      </w:tr>
      <w:tr w14:paraId="4DFD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65" w:type="dxa"/>
            <w:noWrap/>
            <w:vAlign w:val="top"/>
          </w:tcPr>
          <w:p w14:paraId="3D1C9D42">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10000-100000</w:t>
            </w:r>
          </w:p>
        </w:tc>
        <w:tc>
          <w:tcPr>
            <w:tcW w:w="1568" w:type="dxa"/>
            <w:noWrap/>
            <w:vAlign w:val="center"/>
          </w:tcPr>
          <w:p w14:paraId="59D53C01">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0.05%</w:t>
            </w:r>
          </w:p>
        </w:tc>
        <w:tc>
          <w:tcPr>
            <w:tcW w:w="1568" w:type="dxa"/>
            <w:noWrap/>
            <w:vAlign w:val="center"/>
          </w:tcPr>
          <w:p w14:paraId="28DECD63">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0.05%</w:t>
            </w:r>
          </w:p>
        </w:tc>
        <w:tc>
          <w:tcPr>
            <w:tcW w:w="1570" w:type="dxa"/>
            <w:noWrap/>
            <w:vAlign w:val="center"/>
          </w:tcPr>
          <w:p w14:paraId="241B1FC0">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0.05%</w:t>
            </w:r>
          </w:p>
        </w:tc>
      </w:tr>
      <w:tr w14:paraId="4FB2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65" w:type="dxa"/>
            <w:noWrap/>
            <w:vAlign w:val="top"/>
          </w:tcPr>
          <w:p w14:paraId="735EF353">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1000000</w:t>
            </w:r>
            <w:r>
              <w:rPr>
                <w:rFonts w:hint="eastAsia" w:ascii="宋体" w:hAnsi="宋体" w:cs="宋体"/>
                <w:color w:val="auto"/>
                <w:sz w:val="24"/>
                <w:highlight w:val="none"/>
                <w:lang w:val="en-US" w:eastAsia="zh-CN"/>
              </w:rPr>
              <w:t>以上</w:t>
            </w:r>
          </w:p>
        </w:tc>
        <w:tc>
          <w:tcPr>
            <w:tcW w:w="1568" w:type="dxa"/>
            <w:noWrap/>
            <w:vAlign w:val="center"/>
          </w:tcPr>
          <w:p w14:paraId="582E09CC">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0.01%</w:t>
            </w:r>
          </w:p>
        </w:tc>
        <w:tc>
          <w:tcPr>
            <w:tcW w:w="1568" w:type="dxa"/>
            <w:noWrap/>
            <w:vAlign w:val="center"/>
          </w:tcPr>
          <w:p w14:paraId="3FD28EE9">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0.01%</w:t>
            </w:r>
          </w:p>
        </w:tc>
        <w:tc>
          <w:tcPr>
            <w:tcW w:w="1570" w:type="dxa"/>
            <w:noWrap/>
            <w:vAlign w:val="center"/>
          </w:tcPr>
          <w:p w14:paraId="07FC10C4">
            <w:pPr>
              <w:jc w:val="center"/>
              <w:rPr>
                <w:rFonts w:hint="eastAsia" w:ascii="宋体" w:hAnsi="宋体" w:cs="宋体"/>
                <w:color w:val="auto"/>
                <w:sz w:val="24"/>
                <w:highlight w:val="none"/>
              </w:rPr>
            </w:pPr>
            <w:r>
              <w:rPr>
                <w:rFonts w:hint="default" w:ascii="宋体" w:hAnsi="宋体" w:cs="宋体"/>
                <w:color w:val="auto"/>
                <w:sz w:val="24"/>
                <w:highlight w:val="none"/>
                <w:lang w:val="en-US" w:eastAsia="zh-CN"/>
              </w:rPr>
              <w:t>0.01%</w:t>
            </w:r>
          </w:p>
        </w:tc>
      </w:tr>
    </w:tbl>
    <w:p w14:paraId="4419FC4A">
      <w:pPr>
        <w:spacing w:line="440" w:lineRule="exact"/>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七、合同签订及公告</w:t>
      </w:r>
    </w:p>
    <w:p w14:paraId="506D3D62">
      <w:pPr>
        <w:spacing w:line="44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（一）签订合同</w:t>
      </w:r>
    </w:p>
    <w:p w14:paraId="1351EF93">
      <w:pPr>
        <w:pStyle w:val="20"/>
        <w:spacing w:beforeAutospacing="0" w:afterAutospacing="0" w:line="440" w:lineRule="exact"/>
        <w:ind w:firstLine="480" w:firstLineChars="200"/>
        <w:jc w:val="both"/>
        <w:textAlignment w:val="auto"/>
        <w:rPr>
          <w:rFonts w:cs="宋体"/>
          <w:color w:val="auto"/>
          <w:highlight w:val="none"/>
        </w:rPr>
      </w:pPr>
      <w:r>
        <w:rPr>
          <w:rFonts w:hint="eastAsia" w:cs="宋体"/>
          <w:color w:val="auto"/>
          <w:highlight w:val="none"/>
        </w:rPr>
        <w:t>1、采购人与中标单位应当在《中标通知书》发出之日起30日内持《中标通知书》与采购人签订《政府采购合同》。</w:t>
      </w:r>
    </w:p>
    <w:p w14:paraId="4EF9047B">
      <w:pPr>
        <w:pStyle w:val="20"/>
        <w:spacing w:beforeAutospacing="0" w:afterAutospacing="0" w:line="440" w:lineRule="exact"/>
        <w:ind w:firstLine="480" w:firstLineChars="200"/>
        <w:jc w:val="both"/>
        <w:textAlignment w:val="auto"/>
        <w:rPr>
          <w:rFonts w:cs="宋体"/>
          <w:color w:val="auto"/>
          <w:highlight w:val="none"/>
        </w:rPr>
      </w:pPr>
      <w:r>
        <w:rPr>
          <w:rFonts w:hint="eastAsia" w:cs="宋体"/>
          <w:color w:val="auto"/>
          <w:highlight w:val="none"/>
        </w:rPr>
        <w:t>2、所签订的合同不得对招标文件确定的事项和中标人投标文件作实质性修改。集中采购机构将根据采购人的委托，对合同内容进行审查鉴证，如发现与采购结果和投标承诺内容不一致的，将予以纠正。</w:t>
      </w:r>
    </w:p>
    <w:p w14:paraId="51606D60">
      <w:pPr>
        <w:pStyle w:val="20"/>
        <w:spacing w:beforeAutospacing="0" w:afterAutospacing="0" w:line="440" w:lineRule="exact"/>
        <w:ind w:firstLine="480" w:firstLineChars="200"/>
        <w:jc w:val="both"/>
        <w:textAlignment w:val="auto"/>
        <w:rPr>
          <w:rFonts w:cs="宋体"/>
          <w:color w:val="auto"/>
          <w:highlight w:val="none"/>
        </w:rPr>
      </w:pPr>
      <w:r>
        <w:rPr>
          <w:rFonts w:hint="eastAsia" w:cs="宋体"/>
          <w:color w:val="auto"/>
          <w:highlight w:val="none"/>
        </w:rPr>
        <w:t>3、采购人不得向中标人提出任何不合理的要求作为签订合同的条件。</w:t>
      </w:r>
    </w:p>
    <w:p w14:paraId="27DD6735">
      <w:pPr>
        <w:pStyle w:val="20"/>
        <w:spacing w:beforeAutospacing="0" w:afterAutospacing="0" w:line="440" w:lineRule="exact"/>
        <w:ind w:firstLine="480" w:firstLineChars="200"/>
        <w:jc w:val="both"/>
        <w:textAlignment w:val="auto"/>
        <w:rPr>
          <w:rFonts w:cs="宋体"/>
          <w:color w:val="auto"/>
          <w:highlight w:val="none"/>
        </w:rPr>
      </w:pPr>
      <w:r>
        <w:rPr>
          <w:rFonts w:hint="eastAsia" w:cs="宋体"/>
          <w:color w:val="auto"/>
          <w:highlight w:val="none"/>
        </w:rPr>
        <w:t>4、中标供应商拒绝与采购人签订合同的，采购人可以按照评审报告推荐的中标候选人名单排序，确定下一候选人为中标供应商，也可以重新开展政府采购活动。同时，拒绝与采购人签订合同的供应商，由同级财政部门依法作出处理。</w:t>
      </w:r>
    </w:p>
    <w:p w14:paraId="1818F8A4">
      <w:pPr>
        <w:pStyle w:val="20"/>
        <w:spacing w:beforeAutospacing="0" w:afterAutospacing="0" w:line="440" w:lineRule="exact"/>
        <w:ind w:firstLine="480" w:firstLineChars="200"/>
        <w:textAlignment w:val="auto"/>
        <w:rPr>
          <w:rFonts w:cs="宋体"/>
          <w:color w:val="auto"/>
          <w:highlight w:val="none"/>
        </w:rPr>
      </w:pPr>
      <w:r>
        <w:rPr>
          <w:rFonts w:hint="eastAsia" w:cs="宋体"/>
          <w:color w:val="auto"/>
          <w:highlight w:val="none"/>
        </w:rPr>
        <w:t>5、询问或者质疑事项可能影响中标结果的，采购人应当暂停签订合同，已经签订合同的，应当中止履行合同（中标结果的质疑期为中标结果公告期限届满之日起七个工作日）。</w:t>
      </w:r>
    </w:p>
    <w:p w14:paraId="7ADEB2E2">
      <w:pPr>
        <w:pStyle w:val="20"/>
        <w:spacing w:beforeAutospacing="0" w:afterAutospacing="0" w:line="440" w:lineRule="exact"/>
        <w:ind w:firstLine="482" w:firstLineChars="200"/>
        <w:textAlignment w:val="auto"/>
        <w:rPr>
          <w:rFonts w:cs="仿宋_GB2312"/>
          <w:b/>
          <w:color w:val="auto"/>
          <w:highlight w:val="none"/>
        </w:rPr>
      </w:pPr>
      <w:r>
        <w:rPr>
          <w:b/>
          <w:color w:val="auto"/>
          <w:highlight w:val="none"/>
        </w:rPr>
        <w:t>（二）合同公告及备案</w:t>
      </w:r>
    </w:p>
    <w:p w14:paraId="2E5E63F1">
      <w:pPr>
        <w:pStyle w:val="10"/>
        <w:spacing w:line="440" w:lineRule="exact"/>
        <w:ind w:left="0" w:leftChars="0" w:firstLine="480" w:firstLineChars="200"/>
        <w:jc w:val="left"/>
        <w:textAlignment w:val="auto"/>
        <w:rPr>
          <w:rStyle w:val="27"/>
          <w:rFonts w:ascii="宋体" w:hAnsi="宋体" w:cs="宋体"/>
          <w:b/>
          <w:bCs/>
          <w:color w:val="auto"/>
          <w:sz w:val="24"/>
          <w:highlight w:val="none"/>
        </w:rPr>
      </w:pPr>
      <w:r>
        <w:rPr>
          <w:rFonts w:ascii="宋体" w:hAnsi="宋体"/>
          <w:color w:val="auto"/>
          <w:sz w:val="24"/>
          <w:highlight w:val="none"/>
        </w:rPr>
        <w:t>1</w:t>
      </w:r>
      <w:r>
        <w:rPr>
          <w:rFonts w:hint="eastAsia" w:ascii="宋体" w:hAnsi="宋体"/>
          <w:color w:val="auto"/>
          <w:sz w:val="24"/>
          <w:highlight w:val="none"/>
        </w:rPr>
        <w:t>、采购人应当自政府采购合同签订之日起</w:t>
      </w:r>
      <w:r>
        <w:rPr>
          <w:rFonts w:ascii="宋体" w:hAnsi="宋体"/>
          <w:color w:val="auto"/>
          <w:sz w:val="24"/>
          <w:highlight w:val="none"/>
        </w:rPr>
        <w:t>2</w:t>
      </w:r>
      <w:r>
        <w:rPr>
          <w:rFonts w:hint="eastAsia" w:ascii="宋体" w:hAnsi="宋体"/>
          <w:color w:val="auto"/>
          <w:sz w:val="24"/>
          <w:highlight w:val="none"/>
        </w:rPr>
        <w:t>个工作日内，在省级以上财政部门指定的政府采购信息发布媒体及相关网站上公告。</w:t>
      </w:r>
      <w:r>
        <w:rPr>
          <w:rFonts w:hint="eastAsia" w:ascii="宋体" w:hAnsi="宋体"/>
          <w:color w:val="auto"/>
          <w:sz w:val="24"/>
          <w:highlight w:val="none"/>
        </w:rPr>
        <w:br w:type="textWrapping"/>
      </w:r>
      <w:r>
        <w:rPr>
          <w:rFonts w:hint="eastAsia" w:ascii="宋体" w:hAnsi="宋体"/>
          <w:color w:val="auto"/>
          <w:sz w:val="24"/>
          <w:highlight w:val="none"/>
          <w:lang w:val="en-US" w:eastAsia="zh-CN"/>
        </w:rPr>
        <w:t xml:space="preserve">    </w:t>
      </w:r>
      <w:r>
        <w:rPr>
          <w:color w:val="auto"/>
          <w:sz w:val="24"/>
          <w:highlight w:val="none"/>
        </w:rPr>
        <w:t>2、采购人应当自政府采购合同签订之日起7个工作日内，将</w:t>
      </w:r>
      <w:r>
        <w:rPr>
          <w:rFonts w:hint="eastAsia"/>
          <w:color w:val="auto"/>
          <w:sz w:val="24"/>
          <w:highlight w:val="none"/>
        </w:rPr>
        <w:t>政府</w:t>
      </w:r>
      <w:r>
        <w:rPr>
          <w:color w:val="auto"/>
          <w:sz w:val="24"/>
          <w:highlight w:val="none"/>
        </w:rPr>
        <w:t>采购合同副本报同级人民政府财政部门以及</w:t>
      </w:r>
      <w:r>
        <w:rPr>
          <w:rFonts w:hint="eastAsia"/>
          <w:color w:val="auto"/>
          <w:sz w:val="24"/>
          <w:highlight w:val="none"/>
        </w:rPr>
        <w:t>集中</w:t>
      </w:r>
      <w:r>
        <w:rPr>
          <w:color w:val="auto"/>
          <w:sz w:val="24"/>
          <w:highlight w:val="none"/>
        </w:rPr>
        <w:t>采购机构备案存档。</w:t>
      </w:r>
    </w:p>
    <w:p w14:paraId="090D8250">
      <w:pPr>
        <w:spacing w:line="360" w:lineRule="auto"/>
        <w:jc w:val="center"/>
        <w:rPr>
          <w:rStyle w:val="27"/>
          <w:rFonts w:ascii="宋体" w:hAnsi="宋体" w:cs="宋体"/>
          <w:b/>
          <w:bCs/>
          <w:color w:val="auto"/>
          <w:sz w:val="36"/>
          <w:szCs w:val="44"/>
          <w:highlight w:val="none"/>
        </w:rPr>
      </w:pPr>
    </w:p>
    <w:p w14:paraId="11FEBC87">
      <w:pPr>
        <w:spacing w:line="360" w:lineRule="auto"/>
        <w:jc w:val="center"/>
        <w:rPr>
          <w:rStyle w:val="27"/>
          <w:rFonts w:ascii="宋体" w:hAnsi="宋体" w:cs="宋体"/>
          <w:b/>
          <w:bCs/>
          <w:color w:val="auto"/>
          <w:sz w:val="36"/>
          <w:szCs w:val="44"/>
          <w:highlight w:val="none"/>
        </w:rPr>
      </w:pPr>
    </w:p>
    <w:p w14:paraId="28535E04">
      <w:pPr>
        <w:spacing w:line="360" w:lineRule="auto"/>
        <w:jc w:val="center"/>
        <w:rPr>
          <w:rStyle w:val="27"/>
          <w:rFonts w:ascii="宋体" w:hAnsi="宋体" w:cs="宋体"/>
          <w:b/>
          <w:bCs/>
          <w:color w:val="auto"/>
          <w:sz w:val="36"/>
          <w:szCs w:val="44"/>
          <w:highlight w:val="none"/>
        </w:rPr>
      </w:pPr>
    </w:p>
    <w:p w14:paraId="06F038CE">
      <w:pPr>
        <w:spacing w:line="360" w:lineRule="auto"/>
        <w:jc w:val="center"/>
        <w:rPr>
          <w:rStyle w:val="27"/>
          <w:rFonts w:ascii="宋体" w:hAnsi="宋体" w:cs="宋体"/>
          <w:b/>
          <w:bCs/>
          <w:color w:val="auto"/>
          <w:sz w:val="36"/>
          <w:szCs w:val="44"/>
          <w:highlight w:val="none"/>
        </w:rPr>
      </w:pPr>
    </w:p>
    <w:p w14:paraId="373BA0F6">
      <w:pPr>
        <w:spacing w:line="360" w:lineRule="auto"/>
        <w:jc w:val="center"/>
        <w:rPr>
          <w:rStyle w:val="27"/>
          <w:rFonts w:ascii="宋体" w:hAnsi="宋体" w:cs="宋体"/>
          <w:b/>
          <w:bCs/>
          <w:color w:val="auto"/>
          <w:sz w:val="36"/>
          <w:szCs w:val="44"/>
          <w:highlight w:val="none"/>
        </w:rPr>
      </w:pPr>
    </w:p>
    <w:p w14:paraId="2695605D">
      <w:pPr>
        <w:pStyle w:val="2"/>
        <w:rPr>
          <w:color w:val="auto"/>
          <w:highlight w:val="none"/>
        </w:rPr>
      </w:pPr>
    </w:p>
    <w:p w14:paraId="64E898CE">
      <w:pPr>
        <w:spacing w:line="360" w:lineRule="auto"/>
        <w:rPr>
          <w:rStyle w:val="27"/>
          <w:rFonts w:ascii="宋体" w:hAnsi="宋体" w:cs="宋体"/>
          <w:b/>
          <w:bCs/>
          <w:color w:val="auto"/>
          <w:sz w:val="36"/>
          <w:szCs w:val="44"/>
          <w:highlight w:val="none"/>
        </w:rPr>
      </w:pPr>
    </w:p>
    <w:p w14:paraId="1F227F87">
      <w:pPr>
        <w:rPr>
          <w:rStyle w:val="27"/>
          <w:rFonts w:ascii="宋体" w:hAnsi="宋体" w:cs="宋体"/>
          <w:b/>
          <w:bCs/>
          <w:color w:val="auto"/>
          <w:sz w:val="36"/>
          <w:szCs w:val="44"/>
          <w:highlight w:val="none"/>
        </w:rPr>
      </w:pPr>
      <w:r>
        <w:rPr>
          <w:rStyle w:val="27"/>
          <w:rFonts w:ascii="宋体" w:hAnsi="宋体" w:cs="宋体"/>
          <w:b/>
          <w:bCs/>
          <w:color w:val="auto"/>
          <w:sz w:val="36"/>
          <w:szCs w:val="44"/>
          <w:highlight w:val="none"/>
        </w:rPr>
        <w:br w:type="page"/>
      </w:r>
    </w:p>
    <w:p w14:paraId="37ED6159">
      <w:pPr>
        <w:spacing w:line="324" w:lineRule="auto"/>
        <w:jc w:val="center"/>
        <w:rPr>
          <w:rStyle w:val="27"/>
          <w:rFonts w:ascii="宋体" w:hAnsi="宋体" w:cs="宋体"/>
          <w:b/>
          <w:bCs/>
          <w:color w:val="auto"/>
          <w:sz w:val="36"/>
          <w:szCs w:val="44"/>
          <w:highlight w:val="none"/>
        </w:rPr>
      </w:pPr>
      <w:r>
        <w:rPr>
          <w:rStyle w:val="27"/>
          <w:rFonts w:ascii="宋体" w:hAnsi="宋体" w:cs="宋体"/>
          <w:b/>
          <w:bCs/>
          <w:color w:val="auto"/>
          <w:sz w:val="36"/>
          <w:szCs w:val="44"/>
          <w:highlight w:val="none"/>
        </w:rPr>
        <w:t>第三章 评标办法及评分标准</w:t>
      </w:r>
    </w:p>
    <w:p w14:paraId="3FCD06AE">
      <w:pPr>
        <w:keepNext w:val="0"/>
        <w:keepLines w:val="0"/>
        <w:pageBreakBefore w:val="0"/>
        <w:widowControl/>
        <w:kinsoku/>
        <w:wordWrap/>
        <w:overflowPunct/>
        <w:topLinePunct w:val="0"/>
        <w:autoSpaceDE w:val="0"/>
        <w:autoSpaceDN w:val="0"/>
        <w:bidi w:val="0"/>
        <w:spacing w:line="324" w:lineRule="auto"/>
        <w:ind w:firstLine="480" w:firstLineChars="200"/>
        <w:textAlignment w:val="baseline"/>
        <w:rPr>
          <w:rFonts w:asciiTheme="minorEastAsia" w:hAnsiTheme="minorEastAsia" w:eastAsiaTheme="minorEastAsia"/>
          <w:b/>
          <w:i/>
          <w:color w:val="auto"/>
          <w:kern w:val="0"/>
          <w:sz w:val="24"/>
          <w:highlight w:val="none"/>
        </w:rPr>
      </w:pPr>
      <w:r>
        <w:rPr>
          <w:rFonts w:hint="eastAsia" w:asciiTheme="minorEastAsia" w:hAnsiTheme="minorEastAsia" w:eastAsiaTheme="minorEastAsia"/>
          <w:color w:val="auto"/>
          <w:kern w:val="0"/>
          <w:sz w:val="24"/>
          <w:highlight w:val="none"/>
        </w:rPr>
        <w:t>一、采购组织机构将组织评标委员会，对投标人提供的投标文件进行综合评审。</w:t>
      </w:r>
    </w:p>
    <w:p w14:paraId="10DC06C9">
      <w:pPr>
        <w:keepNext w:val="0"/>
        <w:keepLines w:val="0"/>
        <w:pageBreakBefore w:val="0"/>
        <w:widowControl/>
        <w:kinsoku/>
        <w:wordWrap/>
        <w:overflowPunct/>
        <w:topLinePunct w:val="0"/>
        <w:autoSpaceDE w:val="0"/>
        <w:autoSpaceDN w:val="0"/>
        <w:bidi w:val="0"/>
        <w:spacing w:line="324" w:lineRule="auto"/>
        <w:ind w:firstLine="480" w:firstLineChars="200"/>
        <w:textAlignment w:val="baseline"/>
        <w:rPr>
          <w:rFonts w:ascii="宋体"/>
          <w:bCs/>
          <w:color w:val="auto"/>
          <w:sz w:val="24"/>
          <w:highlight w:val="none"/>
          <w:lang w:val="zh-CN"/>
        </w:rPr>
      </w:pPr>
      <w:r>
        <w:rPr>
          <w:rFonts w:hint="eastAsia" w:asciiTheme="minorEastAsia" w:hAnsiTheme="minorEastAsia" w:eastAsiaTheme="minorEastAsia"/>
          <w:color w:val="auto"/>
          <w:kern w:val="0"/>
          <w:sz w:val="24"/>
          <w:highlight w:val="none"/>
        </w:rPr>
        <w:t>二、本次招标项目的评标方法为综合评分法，总计100分</w:t>
      </w:r>
      <w:r>
        <w:rPr>
          <w:rFonts w:hint="eastAsia" w:ascii="宋体"/>
          <w:bCs/>
          <w:color w:val="auto"/>
          <w:sz w:val="24"/>
          <w:highlight w:val="none"/>
          <w:lang w:val="zh-CN"/>
        </w:rPr>
        <w:t>(商务与技术文件为</w:t>
      </w:r>
      <w:r>
        <w:rPr>
          <w:rFonts w:hint="eastAsia" w:ascii="宋体"/>
          <w:bCs/>
          <w:color w:val="auto"/>
          <w:sz w:val="24"/>
          <w:highlight w:val="none"/>
          <w:u w:val="single"/>
          <w:lang w:val="en-US" w:eastAsia="zh-CN"/>
        </w:rPr>
        <w:t>8</w:t>
      </w:r>
      <w:r>
        <w:rPr>
          <w:rFonts w:hint="eastAsia" w:ascii="宋体"/>
          <w:bCs/>
          <w:color w:val="auto"/>
          <w:sz w:val="24"/>
          <w:highlight w:val="none"/>
          <w:u w:val="single"/>
        </w:rPr>
        <w:t xml:space="preserve">0 </w:t>
      </w:r>
      <w:r>
        <w:rPr>
          <w:rFonts w:hint="eastAsia" w:ascii="宋体"/>
          <w:bCs/>
          <w:color w:val="auto"/>
          <w:sz w:val="24"/>
          <w:highlight w:val="none"/>
          <w:lang w:val="zh-CN"/>
        </w:rPr>
        <w:t>分，报价文件为</w:t>
      </w:r>
      <w:r>
        <w:rPr>
          <w:rFonts w:hint="eastAsia" w:ascii="宋体"/>
          <w:bCs/>
          <w:color w:val="auto"/>
          <w:sz w:val="24"/>
          <w:highlight w:val="none"/>
          <w:u w:val="single"/>
          <w:lang w:val="en-US" w:eastAsia="zh-CN"/>
        </w:rPr>
        <w:t>2</w:t>
      </w:r>
      <w:r>
        <w:rPr>
          <w:rFonts w:hint="eastAsia" w:ascii="宋体"/>
          <w:bCs/>
          <w:color w:val="auto"/>
          <w:sz w:val="24"/>
          <w:highlight w:val="none"/>
          <w:u w:val="single"/>
        </w:rPr>
        <w:t>0</w:t>
      </w:r>
      <w:r>
        <w:rPr>
          <w:rFonts w:hint="eastAsia" w:ascii="宋体"/>
          <w:bCs/>
          <w:color w:val="auto"/>
          <w:sz w:val="24"/>
          <w:highlight w:val="none"/>
          <w:lang w:val="zh-CN"/>
        </w:rPr>
        <w:t>分)</w:t>
      </w:r>
      <w:r>
        <w:rPr>
          <w:rFonts w:hint="eastAsia" w:asciiTheme="minorEastAsia" w:hAnsiTheme="minorEastAsia" w:eastAsiaTheme="minorEastAsia"/>
          <w:color w:val="auto"/>
          <w:kern w:val="0"/>
          <w:sz w:val="24"/>
          <w:highlight w:val="none"/>
        </w:rPr>
        <w:t>。</w:t>
      </w:r>
      <w:r>
        <w:rPr>
          <w:rFonts w:hint="eastAsia" w:ascii="宋体"/>
          <w:bCs/>
          <w:color w:val="auto"/>
          <w:sz w:val="24"/>
          <w:highlight w:val="none"/>
          <w:lang w:val="zh-CN"/>
        </w:rPr>
        <w:t>各投标人的综合得分为其商务与技术文件得分与报价文件得分之和，即综合得分=商务与技术文件得分+报价文件得分。</w:t>
      </w:r>
    </w:p>
    <w:p w14:paraId="518408DD">
      <w:pPr>
        <w:keepNext w:val="0"/>
        <w:keepLines w:val="0"/>
        <w:pageBreakBefore w:val="0"/>
        <w:widowControl/>
        <w:kinsoku/>
        <w:wordWrap/>
        <w:overflowPunct/>
        <w:topLinePunct w:val="0"/>
        <w:autoSpaceDE w:val="0"/>
        <w:autoSpaceDN w:val="0"/>
        <w:bidi w:val="0"/>
        <w:adjustRightInd w:val="0"/>
        <w:spacing w:line="324" w:lineRule="auto"/>
        <w:ind w:right="84" w:firstLine="472"/>
        <w:textAlignment w:val="baseline"/>
        <w:rPr>
          <w:rFonts w:ascii="宋体"/>
          <w:bCs/>
          <w:color w:val="auto"/>
          <w:sz w:val="24"/>
          <w:highlight w:val="none"/>
          <w:lang w:val="zh-CN"/>
        </w:rPr>
      </w:pPr>
      <w:r>
        <w:rPr>
          <w:rFonts w:hint="eastAsia" w:ascii="宋体"/>
          <w:bCs/>
          <w:color w:val="auto"/>
          <w:sz w:val="24"/>
          <w:highlight w:val="none"/>
          <w:lang w:val="zh-CN"/>
        </w:rPr>
        <w:t>（一）商务与技术文件中的客观分由评标委员会讨论后统一打分；其余在规定的分值内单独评定打分（</w:t>
      </w:r>
      <w:r>
        <w:rPr>
          <w:rFonts w:hint="eastAsia" w:ascii="宋体"/>
          <w:color w:val="auto"/>
          <w:sz w:val="24"/>
          <w:highlight w:val="none"/>
          <w:lang w:val="zh-CN"/>
        </w:rPr>
        <w:t>小数点后保留1位，第2位四舍五入）</w:t>
      </w:r>
      <w:r>
        <w:rPr>
          <w:rFonts w:hint="eastAsia" w:ascii="宋体"/>
          <w:bCs/>
          <w:color w:val="auto"/>
          <w:sz w:val="24"/>
          <w:highlight w:val="none"/>
          <w:lang w:val="zh-CN"/>
        </w:rPr>
        <w:t>。</w:t>
      </w:r>
    </w:p>
    <w:p w14:paraId="4811A569">
      <w:pPr>
        <w:keepNext w:val="0"/>
        <w:keepLines w:val="0"/>
        <w:pageBreakBefore w:val="0"/>
        <w:widowControl/>
        <w:kinsoku/>
        <w:wordWrap/>
        <w:overflowPunct/>
        <w:topLinePunct w:val="0"/>
        <w:autoSpaceDE w:val="0"/>
        <w:autoSpaceDN w:val="0"/>
        <w:bidi w:val="0"/>
        <w:adjustRightInd w:val="0"/>
        <w:spacing w:line="324" w:lineRule="auto"/>
        <w:ind w:right="84" w:firstLine="472"/>
        <w:textAlignment w:val="baseline"/>
        <w:rPr>
          <w:rFonts w:ascii="宋体"/>
          <w:bCs/>
          <w:color w:val="auto"/>
          <w:sz w:val="24"/>
          <w:highlight w:val="none"/>
          <w:shd w:val="clear" w:color="FFFFFF" w:fill="D9D9D9"/>
          <w:lang w:val="zh-CN"/>
        </w:rPr>
      </w:pPr>
      <w:r>
        <w:rPr>
          <w:rFonts w:hint="eastAsia" w:ascii="宋体"/>
          <w:bCs/>
          <w:color w:val="auto"/>
          <w:sz w:val="24"/>
          <w:highlight w:val="none"/>
          <w:lang w:val="zh-CN"/>
        </w:rPr>
        <w:t>（二）各投标人商务与技术文件</w:t>
      </w:r>
      <w:r>
        <w:rPr>
          <w:rFonts w:hint="eastAsia" w:ascii="宋体"/>
          <w:color w:val="auto"/>
          <w:kern w:val="0"/>
          <w:sz w:val="24"/>
          <w:highlight w:val="none"/>
          <w:lang w:val="zh-CN"/>
        </w:rPr>
        <w:t>得分按照评标委员会成</w:t>
      </w:r>
      <w:r>
        <w:rPr>
          <w:rFonts w:hint="eastAsia" w:ascii="宋体"/>
          <w:bCs/>
          <w:color w:val="auto"/>
          <w:sz w:val="24"/>
          <w:highlight w:val="none"/>
          <w:lang w:val="zh-CN"/>
        </w:rPr>
        <w:t>员的独立评分结果汇总后的算术平均分计算（</w:t>
      </w:r>
      <w:r>
        <w:rPr>
          <w:rFonts w:hint="eastAsia" w:ascii="宋体"/>
          <w:color w:val="auto"/>
          <w:sz w:val="24"/>
          <w:highlight w:val="none"/>
          <w:lang w:val="zh-CN"/>
        </w:rPr>
        <w:t>小数点后保留2位，第3位四舍五入）</w:t>
      </w:r>
      <w:r>
        <w:rPr>
          <w:rFonts w:hint="eastAsia" w:ascii="宋体"/>
          <w:bCs/>
          <w:color w:val="auto"/>
          <w:sz w:val="24"/>
          <w:highlight w:val="none"/>
          <w:lang w:val="zh-CN"/>
        </w:rPr>
        <w:t>，计算公式为：</w:t>
      </w:r>
    </w:p>
    <w:p w14:paraId="26B0EB1D">
      <w:pPr>
        <w:keepNext w:val="0"/>
        <w:keepLines w:val="0"/>
        <w:pageBreakBefore w:val="0"/>
        <w:widowControl/>
        <w:kinsoku/>
        <w:wordWrap/>
        <w:overflowPunct/>
        <w:topLinePunct w:val="0"/>
        <w:autoSpaceDE w:val="0"/>
        <w:autoSpaceDN w:val="0"/>
        <w:bidi w:val="0"/>
        <w:adjustRightInd w:val="0"/>
        <w:spacing w:line="324" w:lineRule="auto"/>
        <w:ind w:right="84" w:firstLine="472"/>
        <w:textAlignment w:val="baseline"/>
        <w:rPr>
          <w:rFonts w:ascii="宋体"/>
          <w:bCs/>
          <w:color w:val="auto"/>
          <w:sz w:val="24"/>
          <w:highlight w:val="none"/>
          <w:shd w:val="clear" w:color="FFFFFF" w:fill="D9D9D9"/>
          <w:lang w:val="zh-CN"/>
        </w:rPr>
      </w:pPr>
      <w:r>
        <w:rPr>
          <w:rFonts w:hint="eastAsia" w:ascii="宋体" w:hAnsi="宋体"/>
          <w:color w:val="auto"/>
          <w:sz w:val="24"/>
          <w:highlight w:val="none"/>
        </w:rPr>
        <w:t>商务与技术文件得分</w:t>
      </w:r>
      <w:r>
        <w:rPr>
          <w:rFonts w:hint="eastAsia" w:ascii="宋体"/>
          <w:bCs/>
          <w:color w:val="auto"/>
          <w:sz w:val="24"/>
          <w:highlight w:val="none"/>
          <w:lang w:val="zh-CN"/>
        </w:rPr>
        <w:t>=评标委员会所有成员评分合计数/评标委员会组成人员数。</w:t>
      </w:r>
    </w:p>
    <w:p w14:paraId="623C4152">
      <w:pPr>
        <w:keepNext w:val="0"/>
        <w:keepLines w:val="0"/>
        <w:pageBreakBefore w:val="0"/>
        <w:widowControl/>
        <w:kinsoku/>
        <w:wordWrap/>
        <w:overflowPunct/>
        <w:topLinePunct w:val="0"/>
        <w:autoSpaceDE w:val="0"/>
        <w:autoSpaceDN w:val="0"/>
        <w:bidi w:val="0"/>
        <w:adjustRightInd w:val="0"/>
        <w:spacing w:line="324" w:lineRule="auto"/>
        <w:ind w:right="85" w:firstLine="480" w:firstLineChars="200"/>
        <w:textAlignment w:val="baseline"/>
        <w:rPr>
          <w:rFonts w:ascii="宋体"/>
          <w:color w:val="auto"/>
          <w:sz w:val="24"/>
          <w:highlight w:val="none"/>
          <w:lang w:val="zh-CN"/>
        </w:rPr>
      </w:pPr>
      <w:r>
        <w:rPr>
          <w:rFonts w:hint="eastAsia" w:ascii="宋体"/>
          <w:bCs/>
          <w:color w:val="auto"/>
          <w:sz w:val="24"/>
          <w:highlight w:val="none"/>
          <w:lang w:val="zh-CN"/>
        </w:rPr>
        <w:t>（三）</w:t>
      </w:r>
      <w:r>
        <w:rPr>
          <w:rFonts w:hint="eastAsia" w:ascii="宋体"/>
          <w:color w:val="auto"/>
          <w:sz w:val="24"/>
          <w:highlight w:val="none"/>
          <w:lang w:val="zh-CN"/>
        </w:rPr>
        <w:t>投标报价得分采用低价优先法计算，即满足招标文件要求且投标价格最低的投标报价为评标基准价，其报价得满分。其他投标人的投标报价得分按下列公式计算</w:t>
      </w:r>
      <w:r>
        <w:rPr>
          <w:rFonts w:hint="eastAsia" w:ascii="宋体"/>
          <w:bCs/>
          <w:color w:val="auto"/>
          <w:sz w:val="24"/>
          <w:highlight w:val="none"/>
          <w:lang w:val="zh-CN"/>
        </w:rPr>
        <w:t>（</w:t>
      </w:r>
      <w:r>
        <w:rPr>
          <w:rFonts w:hint="eastAsia" w:ascii="宋体"/>
          <w:color w:val="auto"/>
          <w:sz w:val="24"/>
          <w:highlight w:val="none"/>
          <w:lang w:val="zh-CN"/>
        </w:rPr>
        <w:t>小数点后保留2位，第3位四舍五入）：</w:t>
      </w:r>
    </w:p>
    <w:p w14:paraId="039D55F1">
      <w:pPr>
        <w:keepNext w:val="0"/>
        <w:keepLines w:val="0"/>
        <w:pageBreakBefore w:val="0"/>
        <w:widowControl/>
        <w:kinsoku/>
        <w:wordWrap/>
        <w:overflowPunct/>
        <w:topLinePunct w:val="0"/>
        <w:autoSpaceDE w:val="0"/>
        <w:autoSpaceDN w:val="0"/>
        <w:bidi w:val="0"/>
        <w:adjustRightInd w:val="0"/>
        <w:spacing w:line="324" w:lineRule="auto"/>
        <w:ind w:right="85" w:firstLine="480" w:firstLineChars="200"/>
        <w:textAlignment w:val="baseline"/>
        <w:rPr>
          <w:rFonts w:ascii="宋体" w:hAnsi="宋体"/>
          <w:color w:val="auto"/>
          <w:sz w:val="24"/>
          <w:highlight w:val="none"/>
          <w:u w:val="single"/>
        </w:rPr>
      </w:pPr>
      <w:r>
        <w:rPr>
          <w:rFonts w:hint="eastAsia"/>
          <w:color w:val="auto"/>
          <w:sz w:val="24"/>
          <w:highlight w:val="none"/>
          <w:u w:val="single"/>
        </w:rPr>
        <w:t>投标报价得</w:t>
      </w:r>
      <w:r>
        <w:rPr>
          <w:color w:val="auto"/>
          <w:sz w:val="24"/>
          <w:highlight w:val="none"/>
          <w:u w:val="single"/>
        </w:rPr>
        <w:t>分=</w:t>
      </w:r>
      <w:r>
        <w:rPr>
          <w:rFonts w:hint="eastAsia"/>
          <w:color w:val="auto"/>
          <w:sz w:val="24"/>
          <w:highlight w:val="none"/>
          <w:u w:val="single"/>
        </w:rPr>
        <w:t>（</w:t>
      </w:r>
      <w:r>
        <w:rPr>
          <w:color w:val="auto"/>
          <w:sz w:val="24"/>
          <w:highlight w:val="none"/>
          <w:u w:val="single"/>
        </w:rPr>
        <w:t>评标基准价／投</w:t>
      </w:r>
      <w:r>
        <w:rPr>
          <w:rFonts w:ascii="宋体" w:hAnsi="宋体"/>
          <w:color w:val="auto"/>
          <w:sz w:val="24"/>
          <w:highlight w:val="none"/>
          <w:u w:val="single"/>
        </w:rPr>
        <w:t>标报价)×</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0%</w:t>
      </w:r>
      <w:r>
        <w:rPr>
          <w:rFonts w:ascii="宋体" w:hAnsi="宋体"/>
          <w:color w:val="auto"/>
          <w:sz w:val="24"/>
          <w:highlight w:val="none"/>
          <w:u w:val="single"/>
        </w:rPr>
        <w:t>×100</w:t>
      </w:r>
      <w:r>
        <w:rPr>
          <w:rFonts w:hint="eastAsia" w:ascii="宋体" w:hAnsi="宋体"/>
          <w:color w:val="auto"/>
          <w:sz w:val="24"/>
          <w:highlight w:val="none"/>
          <w:u w:val="single"/>
        </w:rPr>
        <w:t>。</w:t>
      </w:r>
    </w:p>
    <w:p w14:paraId="4AA42B08">
      <w:pPr>
        <w:keepNext w:val="0"/>
        <w:keepLines w:val="0"/>
        <w:widowControl w:val="0"/>
        <w:suppressLineNumbers w:val="0"/>
        <w:autoSpaceDE w:val="0"/>
        <w:autoSpaceDN/>
        <w:snapToGrid w:val="0"/>
        <w:spacing w:before="0" w:beforeAutospacing="0" w:after="0" w:afterAutospacing="0" w:line="312" w:lineRule="auto"/>
        <w:ind w:left="0" w:right="0" w:firstLineChars="200"/>
        <w:jc w:val="both"/>
        <w:rPr>
          <w:rFonts w:hint="eastAsia" w:ascii="宋体" w:hAnsi="宋体" w:eastAsia="宋体" w:cs="Times New Roman"/>
          <w:i w:val="0"/>
          <w:iCs w:val="0"/>
          <w:color w:val="auto"/>
          <w:kern w:val="2"/>
          <w:sz w:val="24"/>
          <w:szCs w:val="24"/>
          <w:highlight w:val="none"/>
        </w:rPr>
      </w:pPr>
      <w:r>
        <w:rPr>
          <w:rFonts w:hint="eastAsia" w:ascii="宋体"/>
          <w:color w:val="auto"/>
          <w:sz w:val="24"/>
          <w:highlight w:val="none"/>
          <w:lang w:val="zh-CN"/>
        </w:rPr>
        <w:t>（四）政府采购政策及优惠：</w:t>
      </w:r>
      <w:r>
        <w:rPr>
          <w:rFonts w:hint="eastAsia" w:ascii="宋体" w:hAnsi="宋体" w:eastAsia="宋体" w:cs="宋体"/>
          <w:i w:val="0"/>
          <w:iCs w:val="0"/>
          <w:color w:val="auto"/>
          <w:kern w:val="2"/>
          <w:sz w:val="24"/>
          <w:szCs w:val="24"/>
          <w:highlight w:val="none"/>
          <w:lang w:val="en-US" w:eastAsia="zh-CN" w:bidi="ar"/>
        </w:rPr>
        <w:t>政府采购政策及优惠：</w:t>
      </w:r>
    </w:p>
    <w:p w14:paraId="726151AE">
      <w:pPr>
        <w:keepNext w:val="0"/>
        <w:keepLines w:val="0"/>
        <w:widowControl w:val="0"/>
        <w:suppressLineNumbers w:val="0"/>
        <w:autoSpaceDE w:val="0"/>
        <w:autoSpaceDN/>
        <w:snapToGrid w:val="0"/>
        <w:spacing w:before="0" w:beforeAutospacing="0" w:after="0" w:afterAutospacing="0" w:line="312" w:lineRule="auto"/>
        <w:ind w:left="0" w:right="0" w:firstLineChars="200"/>
        <w:jc w:val="both"/>
        <w:rPr>
          <w:rFonts w:ascii="宋体"/>
          <w:color w:val="auto"/>
          <w:sz w:val="24"/>
          <w:highlight w:val="none"/>
          <w:lang w:val="zh-CN"/>
        </w:rPr>
      </w:pPr>
      <w:r>
        <w:rPr>
          <w:rFonts w:hint="eastAsia" w:ascii="宋体" w:hAnsi="宋体" w:eastAsia="宋体" w:cs="宋体"/>
          <w:i w:val="0"/>
          <w:iCs w:val="0"/>
          <w:color w:val="auto"/>
          <w:kern w:val="2"/>
          <w:sz w:val="24"/>
          <w:szCs w:val="24"/>
          <w:highlight w:val="none"/>
          <w:lang w:val="en-US" w:eastAsia="zh-CN" w:bidi="ar"/>
        </w:rPr>
        <w:t>本项目专门面向中小企业采购，价格评审时，小微企业的投标价格不做扣除。</w:t>
      </w:r>
    </w:p>
    <w:p w14:paraId="3543C33C">
      <w:pPr>
        <w:keepNext w:val="0"/>
        <w:keepLines w:val="0"/>
        <w:pageBreakBefore w:val="0"/>
        <w:widowControl/>
        <w:kinsoku/>
        <w:wordWrap/>
        <w:overflowPunct/>
        <w:topLinePunct w:val="0"/>
        <w:autoSpaceDE w:val="0"/>
        <w:autoSpaceDN w:val="0"/>
        <w:bidi w:val="0"/>
        <w:adjustRightInd w:val="0"/>
        <w:spacing w:line="324" w:lineRule="auto"/>
        <w:ind w:right="84" w:firstLine="472"/>
        <w:textAlignment w:val="baseline"/>
        <w:rPr>
          <w:rFonts w:ascii="宋体"/>
          <w:bCs/>
          <w:color w:val="auto"/>
          <w:sz w:val="24"/>
          <w:highlight w:val="none"/>
          <w:shd w:val="clear" w:color="FFFFFF" w:fill="D9D9D9"/>
          <w:lang w:val="zh-CN"/>
        </w:rPr>
      </w:pPr>
      <w:r>
        <w:rPr>
          <w:rFonts w:hint="eastAsia" w:ascii="宋体"/>
          <w:color w:val="auto"/>
          <w:sz w:val="24"/>
          <w:highlight w:val="none"/>
          <w:lang w:val="zh-CN"/>
        </w:rPr>
        <w:t>注：得分以系统计算为准，保留2位小数。</w:t>
      </w:r>
    </w:p>
    <w:p w14:paraId="20A5BA38">
      <w:pPr>
        <w:keepNext w:val="0"/>
        <w:keepLines w:val="0"/>
        <w:pageBreakBefore w:val="0"/>
        <w:widowControl/>
        <w:kinsoku/>
        <w:wordWrap/>
        <w:overflowPunct/>
        <w:topLinePunct w:val="0"/>
        <w:autoSpaceDE w:val="0"/>
        <w:autoSpaceDN w:val="0"/>
        <w:bidi w:val="0"/>
        <w:adjustRightInd w:val="0"/>
        <w:spacing w:line="324" w:lineRule="auto"/>
        <w:ind w:right="85" w:firstLine="480" w:firstLineChars="200"/>
        <w:textAlignment w:val="baseline"/>
        <w:rPr>
          <w:rFonts w:hint="eastAsia" w:ascii="宋体"/>
          <w:color w:val="auto"/>
          <w:sz w:val="24"/>
          <w:highlight w:val="none"/>
          <w:lang w:val="zh-CN"/>
        </w:rPr>
      </w:pPr>
      <w:r>
        <w:rPr>
          <w:rFonts w:hint="eastAsia" w:ascii="宋体"/>
          <w:color w:val="auto"/>
          <w:sz w:val="24"/>
          <w:highlight w:val="none"/>
          <w:lang w:val="zh-CN"/>
        </w:rPr>
        <w:t>三、在最大限度地满足招标文件实质性要求前提下，评标委员会按照招标文件中规定的各项因素进行综合评审后，推荐二名合格的中标候选人，并按评标报告推荐的顺序确定排名第一的中标候选人为中标人。</w:t>
      </w:r>
    </w:p>
    <w:p w14:paraId="43E8AF8C">
      <w:pPr>
        <w:keepNext w:val="0"/>
        <w:keepLines w:val="0"/>
        <w:pageBreakBefore w:val="0"/>
        <w:widowControl/>
        <w:kinsoku/>
        <w:wordWrap/>
        <w:overflowPunct/>
        <w:topLinePunct w:val="0"/>
        <w:autoSpaceDE w:val="0"/>
        <w:autoSpaceDN w:val="0"/>
        <w:bidi w:val="0"/>
        <w:adjustRightInd w:val="0"/>
        <w:spacing w:line="324" w:lineRule="auto"/>
        <w:ind w:right="85" w:firstLine="480" w:firstLineChars="200"/>
        <w:textAlignment w:val="baseline"/>
        <w:rPr>
          <w:rFonts w:ascii="宋体"/>
          <w:color w:val="auto"/>
          <w:sz w:val="24"/>
          <w:highlight w:val="none"/>
          <w:lang w:val="zh-CN"/>
        </w:rPr>
      </w:pPr>
      <w:r>
        <w:rPr>
          <w:rFonts w:hint="eastAsia" w:ascii="宋体"/>
          <w:color w:val="auto"/>
          <w:sz w:val="24"/>
          <w:highlight w:val="none"/>
          <w:lang w:val="zh-CN"/>
        </w:rPr>
        <w:t>四、如综合得分相同，投标报价低者为先；如综合得分且投标报价相同的，货物类采购项目以技术性能得分较高者为先，服务类采购项目以实力信誉及业绩得分较高者为先。</w:t>
      </w:r>
    </w:p>
    <w:p w14:paraId="7B23ADC6">
      <w:pPr>
        <w:keepNext w:val="0"/>
        <w:keepLines w:val="0"/>
        <w:pageBreakBefore w:val="0"/>
        <w:widowControl/>
        <w:kinsoku/>
        <w:wordWrap/>
        <w:overflowPunct/>
        <w:topLinePunct w:val="0"/>
        <w:autoSpaceDE w:val="0"/>
        <w:autoSpaceDN w:val="0"/>
        <w:bidi w:val="0"/>
        <w:adjustRightInd w:val="0"/>
        <w:spacing w:line="324" w:lineRule="auto"/>
        <w:ind w:right="85" w:firstLine="480" w:firstLineChars="200"/>
        <w:textAlignment w:val="baseline"/>
        <w:rPr>
          <w:rFonts w:asciiTheme="minorEastAsia" w:hAnsiTheme="minorEastAsia" w:eastAsiaTheme="minorEastAsia"/>
          <w:color w:val="auto"/>
          <w:kern w:val="0"/>
          <w:sz w:val="24"/>
          <w:highlight w:val="none"/>
        </w:rPr>
      </w:pPr>
      <w:r>
        <w:rPr>
          <w:rFonts w:hint="eastAsia" w:ascii="宋体"/>
          <w:color w:val="auto"/>
          <w:sz w:val="24"/>
          <w:highlight w:val="none"/>
          <w:lang w:val="zh-CN"/>
        </w:rPr>
        <w:t>五、提供相同品牌产品的不同投标人参加同一合同项下投标的，按一家供应商认定：（1）采用最低评标价法的采购项目，以其中通过资格审查、符合性审查且报价最低的参加评标；报价相同的，由评标委员会集体确定一个投标人参加评标，其他投标无效。（2）使用综合评分法的采购项目，评审后得分最高的同品牌投标人获得中标人推荐资格；评审得分相同的，由评标委员会集体推荐一个投标人作为中标候选人，其他同品牌投标人不作为中标候选人。</w:t>
      </w:r>
    </w:p>
    <w:p w14:paraId="70BD1E8A">
      <w:pPr>
        <w:keepNext w:val="0"/>
        <w:keepLines w:val="0"/>
        <w:pageBreakBefore w:val="0"/>
        <w:widowControl/>
        <w:kinsoku/>
        <w:wordWrap/>
        <w:overflowPunct/>
        <w:topLinePunct w:val="0"/>
        <w:autoSpaceDE w:val="0"/>
        <w:autoSpaceDN w:val="0"/>
        <w:bidi w:val="0"/>
        <w:adjustRightInd w:val="0"/>
        <w:spacing w:line="324" w:lineRule="auto"/>
        <w:ind w:firstLine="360" w:firstLineChars="150"/>
        <w:jc w:val="left"/>
        <w:textAlignment w:val="baseline"/>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六、</w:t>
      </w:r>
      <w:r>
        <w:rPr>
          <w:rFonts w:hint="eastAsia" w:ascii="宋体"/>
          <w:bCs/>
          <w:color w:val="auto"/>
          <w:sz w:val="24"/>
          <w:highlight w:val="none"/>
        </w:rPr>
        <w:t>商务与技术文件</w:t>
      </w:r>
      <w:r>
        <w:rPr>
          <w:rFonts w:hint="eastAsia" w:ascii="宋体"/>
          <w:bCs/>
          <w:color w:val="auto"/>
          <w:sz w:val="24"/>
          <w:highlight w:val="none"/>
          <w:lang w:val="zh-CN"/>
        </w:rPr>
        <w:t>评审内容及标准</w:t>
      </w:r>
      <w:r>
        <w:rPr>
          <w:rFonts w:hint="eastAsia" w:asciiTheme="minorEastAsia" w:hAnsiTheme="minorEastAsia" w:eastAsiaTheme="minorEastAsia"/>
          <w:color w:val="auto"/>
          <w:kern w:val="0"/>
          <w:sz w:val="24"/>
          <w:highlight w:val="none"/>
        </w:rPr>
        <w:t>：</w:t>
      </w:r>
    </w:p>
    <w:p w14:paraId="53B650E5">
      <w:pPr>
        <w:keepNext w:val="0"/>
        <w:keepLines w:val="0"/>
        <w:pageBreakBefore w:val="0"/>
        <w:widowControl/>
        <w:kinsoku/>
        <w:wordWrap/>
        <w:overflowPunct/>
        <w:topLinePunct w:val="0"/>
        <w:bidi w:val="0"/>
        <w:spacing w:line="324"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①商务与技术评定分值为</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0分。</w:t>
      </w:r>
    </w:p>
    <w:p w14:paraId="5203FB35">
      <w:pPr>
        <w:keepNext w:val="0"/>
        <w:keepLines w:val="0"/>
        <w:pageBreakBefore w:val="0"/>
        <w:widowControl/>
        <w:kinsoku/>
        <w:wordWrap/>
        <w:overflowPunct/>
        <w:topLinePunct w:val="0"/>
        <w:bidi w:val="0"/>
        <w:spacing w:line="324"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②评标委员会按评分标准（详见表）中的内容，对各供应商的商务技术文件进行评审打分，合计得出各供应商的技术得分。</w:t>
      </w:r>
    </w:p>
    <w:p w14:paraId="0FF40674">
      <w:pPr>
        <w:keepNext w:val="0"/>
        <w:keepLines w:val="0"/>
        <w:pageBreakBefore w:val="0"/>
        <w:widowControl/>
        <w:kinsoku/>
        <w:wordWrap/>
        <w:overflowPunct/>
        <w:topLinePunct w:val="0"/>
        <w:bidi w:val="0"/>
        <w:spacing w:line="324"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③各供应商的商务与技术得分由评委自行评议，商务与技术得分评分的最终得分为所有评委评分的平均值。</w:t>
      </w:r>
    </w:p>
    <w:tbl>
      <w:tblPr>
        <w:tblStyle w:val="23"/>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571"/>
        <w:gridCol w:w="1255"/>
        <w:gridCol w:w="6308"/>
      </w:tblGrid>
      <w:tr w14:paraId="4036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noWrap w:val="0"/>
            <w:vAlign w:val="center"/>
          </w:tcPr>
          <w:p w14:paraId="0049A211">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1" w:type="dxa"/>
            <w:noWrap w:val="0"/>
            <w:vAlign w:val="center"/>
          </w:tcPr>
          <w:p w14:paraId="24175401">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   目</w:t>
            </w:r>
          </w:p>
        </w:tc>
        <w:tc>
          <w:tcPr>
            <w:tcW w:w="1255" w:type="dxa"/>
            <w:noWrap w:val="0"/>
            <w:vAlign w:val="center"/>
          </w:tcPr>
          <w:p w14:paraId="23620F8A">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分值范围</w:t>
            </w:r>
          </w:p>
        </w:tc>
        <w:tc>
          <w:tcPr>
            <w:tcW w:w="6308" w:type="dxa"/>
            <w:noWrap w:val="0"/>
            <w:vAlign w:val="center"/>
          </w:tcPr>
          <w:p w14:paraId="0A1B6290">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tc>
      </w:tr>
      <w:tr w14:paraId="192A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noWrap w:val="0"/>
            <w:vAlign w:val="center"/>
          </w:tcPr>
          <w:p w14:paraId="59E9CAD7">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571" w:type="dxa"/>
            <w:noWrap w:val="0"/>
            <w:vAlign w:val="center"/>
          </w:tcPr>
          <w:p w14:paraId="782E8ACE">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体系认证</w:t>
            </w:r>
          </w:p>
        </w:tc>
        <w:tc>
          <w:tcPr>
            <w:tcW w:w="1255" w:type="dxa"/>
            <w:noWrap w:val="0"/>
            <w:vAlign w:val="center"/>
          </w:tcPr>
          <w:p w14:paraId="2899C0F7">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分</w:t>
            </w:r>
          </w:p>
        </w:tc>
        <w:tc>
          <w:tcPr>
            <w:tcW w:w="6308" w:type="dxa"/>
            <w:noWrap w:val="0"/>
            <w:vAlign w:val="center"/>
          </w:tcPr>
          <w:p w14:paraId="2107A90D">
            <w:pPr>
              <w:bidi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投标人具有环境管理体系认证、职业健康安全管理体系认证、质量管理体系认证，信息安全管理体系认证、信息技术服务管理体系认证，全部具备得3分，少一个扣1分</w:t>
            </w:r>
            <w:r>
              <w:rPr>
                <w:rFonts w:hint="eastAsia" w:ascii="宋体" w:hAnsi="宋体" w:eastAsia="宋体" w:cs="宋体"/>
                <w:sz w:val="24"/>
                <w:szCs w:val="24"/>
                <w:highlight w:val="none"/>
              </w:rPr>
              <w:t>，最高得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5FAE78B0">
            <w:pPr>
              <w:bidi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（证书须在有效期内；须提供证书扫描件）</w:t>
            </w:r>
          </w:p>
        </w:tc>
      </w:tr>
      <w:tr w14:paraId="4F5D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vMerge w:val="restart"/>
            <w:noWrap w:val="0"/>
            <w:vAlign w:val="center"/>
          </w:tcPr>
          <w:p w14:paraId="1F138426">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1571" w:type="dxa"/>
            <w:vMerge w:val="restart"/>
            <w:noWrap w:val="0"/>
            <w:vAlign w:val="center"/>
          </w:tcPr>
          <w:p w14:paraId="3F76CE1D">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投标人实力</w:t>
            </w:r>
          </w:p>
        </w:tc>
        <w:tc>
          <w:tcPr>
            <w:tcW w:w="1255" w:type="dxa"/>
            <w:noWrap w:val="0"/>
            <w:vAlign w:val="center"/>
          </w:tcPr>
          <w:p w14:paraId="3E183573">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308" w:type="dxa"/>
            <w:noWrap w:val="0"/>
            <w:vAlign w:val="center"/>
          </w:tcPr>
          <w:p w14:paraId="358B8CB4">
            <w:pPr>
              <w:bidi w:val="0"/>
              <w:spacing w:line="24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投标人具有水利工程运维服务认证证书（海塘或堤防运行维护服务或水闸运行维护服务）认证证书，得 2 分</w:t>
            </w:r>
            <w:r>
              <w:rPr>
                <w:rFonts w:hint="eastAsia" w:ascii="宋体" w:hAnsi="宋体" w:eastAsia="宋体" w:cs="宋体"/>
                <w:sz w:val="24"/>
                <w:szCs w:val="24"/>
                <w:highlight w:val="none"/>
              </w:rPr>
              <w:t>。</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认证证书须在有效期内；须提供证书扫描件）</w:t>
            </w:r>
          </w:p>
        </w:tc>
      </w:tr>
      <w:tr w14:paraId="2A3F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vMerge w:val="continue"/>
            <w:noWrap w:val="0"/>
            <w:vAlign w:val="center"/>
          </w:tcPr>
          <w:p w14:paraId="6FF49D5A">
            <w:pPr>
              <w:bidi w:val="0"/>
              <w:spacing w:line="240" w:lineRule="auto"/>
              <w:jc w:val="center"/>
              <w:rPr>
                <w:rFonts w:hint="eastAsia" w:ascii="宋体" w:hAnsi="宋体" w:eastAsia="宋体" w:cs="宋体"/>
                <w:sz w:val="24"/>
                <w:szCs w:val="24"/>
                <w:highlight w:val="none"/>
                <w:lang w:val="en-US" w:eastAsia="zh-CN"/>
              </w:rPr>
            </w:pPr>
          </w:p>
        </w:tc>
        <w:tc>
          <w:tcPr>
            <w:tcW w:w="1571" w:type="dxa"/>
            <w:vMerge w:val="continue"/>
            <w:noWrap w:val="0"/>
            <w:vAlign w:val="center"/>
          </w:tcPr>
          <w:p w14:paraId="6A350D8A">
            <w:pPr>
              <w:bidi w:val="0"/>
              <w:spacing w:line="240" w:lineRule="auto"/>
              <w:jc w:val="center"/>
              <w:rPr>
                <w:rFonts w:hint="eastAsia" w:ascii="宋体" w:hAnsi="宋体" w:eastAsia="宋体" w:cs="宋体"/>
                <w:sz w:val="24"/>
                <w:szCs w:val="24"/>
                <w:highlight w:val="none"/>
              </w:rPr>
            </w:pPr>
          </w:p>
        </w:tc>
        <w:tc>
          <w:tcPr>
            <w:tcW w:w="1255" w:type="dxa"/>
            <w:noWrap w:val="0"/>
            <w:vAlign w:val="center"/>
          </w:tcPr>
          <w:p w14:paraId="387645F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308" w:type="dxa"/>
            <w:noWrap w:val="0"/>
            <w:vAlign w:val="center"/>
          </w:tcPr>
          <w:p w14:paraId="1BC61C5D">
            <w:pPr>
              <w:bidi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投标人具有水利水电施工总承包资质的得2分。</w:t>
            </w:r>
          </w:p>
        </w:tc>
      </w:tr>
      <w:tr w14:paraId="288B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vMerge w:val="continue"/>
            <w:noWrap w:val="0"/>
            <w:vAlign w:val="center"/>
          </w:tcPr>
          <w:p w14:paraId="1BD6A92A">
            <w:pPr>
              <w:bidi w:val="0"/>
              <w:spacing w:line="240" w:lineRule="auto"/>
              <w:jc w:val="center"/>
              <w:rPr>
                <w:rFonts w:hint="eastAsia" w:ascii="宋体" w:hAnsi="宋体" w:eastAsia="宋体" w:cs="宋体"/>
                <w:sz w:val="24"/>
                <w:szCs w:val="24"/>
                <w:highlight w:val="none"/>
              </w:rPr>
            </w:pPr>
          </w:p>
        </w:tc>
        <w:tc>
          <w:tcPr>
            <w:tcW w:w="1571" w:type="dxa"/>
            <w:vMerge w:val="continue"/>
            <w:noWrap w:val="0"/>
            <w:vAlign w:val="center"/>
          </w:tcPr>
          <w:p w14:paraId="03CFA58A">
            <w:pPr>
              <w:bidi w:val="0"/>
              <w:spacing w:line="240" w:lineRule="auto"/>
              <w:jc w:val="center"/>
              <w:rPr>
                <w:rFonts w:hint="eastAsia" w:ascii="宋体" w:hAnsi="宋体" w:eastAsia="宋体" w:cs="宋体"/>
                <w:sz w:val="24"/>
                <w:szCs w:val="24"/>
                <w:highlight w:val="none"/>
              </w:rPr>
            </w:pPr>
          </w:p>
        </w:tc>
        <w:tc>
          <w:tcPr>
            <w:tcW w:w="1255" w:type="dxa"/>
            <w:noWrap w:val="0"/>
            <w:vAlign w:val="center"/>
          </w:tcPr>
          <w:p w14:paraId="17DE4D69">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0-2分</w:t>
            </w:r>
          </w:p>
        </w:tc>
        <w:tc>
          <w:tcPr>
            <w:tcW w:w="6308" w:type="dxa"/>
            <w:noWrap w:val="0"/>
            <w:vAlign w:val="center"/>
          </w:tcPr>
          <w:p w14:paraId="1051B77E">
            <w:pPr>
              <w:bidi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具备乙级及以上测绘资质（专业类别包含工程测量）的得2分。</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须提供证书原件的扫描件，否则不得分。</w:t>
            </w:r>
            <w:r>
              <w:rPr>
                <w:rFonts w:hint="eastAsia" w:ascii="宋体" w:hAnsi="宋体" w:eastAsia="宋体" w:cs="宋体"/>
                <w:sz w:val="24"/>
                <w:szCs w:val="24"/>
                <w:highlight w:val="none"/>
                <w:lang w:eastAsia="zh-CN"/>
              </w:rPr>
              <w:t>）</w:t>
            </w:r>
          </w:p>
        </w:tc>
      </w:tr>
      <w:tr w14:paraId="7457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noWrap w:val="0"/>
            <w:vAlign w:val="center"/>
          </w:tcPr>
          <w:p w14:paraId="1B0E290D">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571" w:type="dxa"/>
            <w:noWrap w:val="0"/>
            <w:vAlign w:val="center"/>
          </w:tcPr>
          <w:p w14:paraId="21E1124A">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tc>
        <w:tc>
          <w:tcPr>
            <w:tcW w:w="1255" w:type="dxa"/>
            <w:noWrap w:val="0"/>
            <w:vAlign w:val="center"/>
          </w:tcPr>
          <w:p w14:paraId="50AC3F29">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p>
        </w:tc>
        <w:tc>
          <w:tcPr>
            <w:tcW w:w="6308" w:type="dxa"/>
            <w:noWrap w:val="0"/>
            <w:vAlign w:val="center"/>
          </w:tcPr>
          <w:p w14:paraId="591E7C42">
            <w:pPr>
              <w:bidi w:val="0"/>
              <w:spacing w:line="24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投标人自20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年1月1日以来</w:t>
            </w:r>
            <w:r>
              <w:rPr>
                <w:rFonts w:hint="eastAsia" w:ascii="宋体" w:hAnsi="宋体" w:eastAsia="宋体" w:cs="宋体"/>
                <w:sz w:val="24"/>
                <w:szCs w:val="24"/>
                <w:highlight w:val="none"/>
                <w:lang w:val="en-US" w:eastAsia="zh-CN"/>
              </w:rPr>
              <w:t>承担过</w:t>
            </w:r>
            <w:r>
              <w:rPr>
                <w:rFonts w:hint="eastAsia" w:ascii="宋体" w:hAnsi="宋体" w:cs="宋体"/>
                <w:sz w:val="24"/>
                <w:szCs w:val="24"/>
                <w:highlight w:val="none"/>
                <w:lang w:val="en-US" w:eastAsia="zh-CN"/>
              </w:rPr>
              <w:t>类似项目的</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分，最高不超过</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rPr>
              <w:br w:type="textWrapping"/>
            </w:r>
            <w:r>
              <w:rPr>
                <w:rFonts w:hint="eastAsia" w:ascii="宋体" w:hAnsi="宋体" w:cs="宋体"/>
                <w:sz w:val="24"/>
                <w:szCs w:val="24"/>
                <w:highlight w:val="none"/>
                <w:lang w:val="en-US" w:eastAsia="zh-CN"/>
              </w:rPr>
              <w:t>类似项目指：</w:t>
            </w:r>
            <w:r>
              <w:rPr>
                <w:rFonts w:hint="eastAsia" w:ascii="宋体" w:hAnsi="宋体" w:eastAsia="宋体" w:cs="宋体"/>
                <w:sz w:val="24"/>
                <w:szCs w:val="24"/>
                <w:highlight w:val="none"/>
                <w:lang w:val="en-US" w:eastAsia="zh-CN"/>
              </w:rPr>
              <w:t>海塘</w:t>
            </w:r>
            <w:r>
              <w:rPr>
                <w:rFonts w:hint="eastAsia" w:ascii="宋体" w:hAnsi="宋体" w:cs="宋体"/>
                <w:sz w:val="24"/>
                <w:szCs w:val="24"/>
                <w:highlight w:val="none"/>
                <w:lang w:val="en-US" w:eastAsia="zh-CN"/>
              </w:rPr>
              <w:t>或水闸</w:t>
            </w:r>
            <w:r>
              <w:rPr>
                <w:rFonts w:hint="eastAsia" w:ascii="宋体" w:hAnsi="宋体" w:eastAsia="宋体" w:cs="宋体"/>
                <w:sz w:val="24"/>
                <w:szCs w:val="24"/>
                <w:highlight w:val="none"/>
                <w:lang w:val="en-US" w:eastAsia="zh-CN"/>
              </w:rPr>
              <w:t>运行物业化管理</w:t>
            </w:r>
          </w:p>
          <w:p w14:paraId="3C942AC3">
            <w:pPr>
              <w:bidi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需提供合同原件及相应证明材料</w:t>
            </w:r>
            <w:r>
              <w:rPr>
                <w:rFonts w:hint="eastAsia" w:ascii="宋体" w:hAnsi="宋体" w:cs="宋体"/>
                <w:sz w:val="24"/>
                <w:szCs w:val="24"/>
                <w:highlight w:val="none"/>
                <w:lang w:val="en-US" w:eastAsia="zh-CN"/>
              </w:rPr>
              <w:t>的扫描件</w:t>
            </w:r>
            <w:r>
              <w:rPr>
                <w:rFonts w:hint="eastAsia" w:ascii="宋体" w:hAnsi="宋体" w:eastAsia="宋体" w:cs="宋体"/>
                <w:sz w:val="24"/>
                <w:szCs w:val="24"/>
                <w:highlight w:val="none"/>
              </w:rPr>
              <w:t>，未提供不得分）。</w:t>
            </w:r>
          </w:p>
        </w:tc>
      </w:tr>
      <w:tr w14:paraId="6B02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vMerge w:val="restart"/>
            <w:noWrap w:val="0"/>
            <w:vAlign w:val="center"/>
          </w:tcPr>
          <w:p w14:paraId="7FAE4371">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571" w:type="dxa"/>
            <w:vMerge w:val="restart"/>
            <w:noWrap w:val="0"/>
            <w:vAlign w:val="center"/>
          </w:tcPr>
          <w:p w14:paraId="6A38D580">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人员配备</w:t>
            </w:r>
          </w:p>
        </w:tc>
        <w:tc>
          <w:tcPr>
            <w:tcW w:w="1255" w:type="dxa"/>
            <w:noWrap w:val="0"/>
            <w:vAlign w:val="center"/>
          </w:tcPr>
          <w:p w14:paraId="575200AF">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6308" w:type="dxa"/>
            <w:noWrap w:val="0"/>
            <w:vAlign w:val="center"/>
          </w:tcPr>
          <w:p w14:paraId="0767B89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u w:val="none"/>
                <w:shd w:val="clear" w:color="auto" w:fill="auto"/>
                <w:lang w:val="en-US" w:eastAsia="zh-CN" w:bidi="ar-SA"/>
              </w:rPr>
              <w:t>项目负责人具有水利水电工程专业二级建造师及以上注册证书的得1分，本小项最高得1分。</w:t>
            </w:r>
          </w:p>
          <w:p w14:paraId="57363FCB">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②</w:t>
            </w:r>
            <w:r>
              <w:rPr>
                <w:rFonts w:hint="eastAsia" w:ascii="宋体" w:hAnsi="宋体" w:eastAsia="宋体" w:cs="宋体"/>
                <w:kern w:val="0"/>
                <w:sz w:val="24"/>
                <w:szCs w:val="24"/>
                <w:highlight w:val="none"/>
                <w:u w:val="none"/>
                <w:shd w:val="clear" w:color="auto" w:fill="auto"/>
                <w:lang w:val="en-US" w:eastAsia="zh-CN" w:bidi="ar-SA"/>
              </w:rPr>
              <w:t>：项目负责人具有水利类中级工程师职称的得1分，具有水利类高级工程师职称的得2分，本小项最高得2分。</w:t>
            </w:r>
          </w:p>
        </w:tc>
      </w:tr>
      <w:tr w14:paraId="5539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vMerge w:val="continue"/>
            <w:noWrap w:val="0"/>
            <w:vAlign w:val="center"/>
          </w:tcPr>
          <w:p w14:paraId="084240A4">
            <w:pPr>
              <w:bidi w:val="0"/>
              <w:spacing w:line="240" w:lineRule="auto"/>
              <w:jc w:val="center"/>
              <w:rPr>
                <w:rFonts w:hint="eastAsia" w:ascii="宋体" w:hAnsi="宋体" w:eastAsia="宋体" w:cs="宋体"/>
                <w:sz w:val="24"/>
                <w:szCs w:val="24"/>
                <w:highlight w:val="none"/>
                <w:lang w:val="en-US" w:eastAsia="zh-CN"/>
              </w:rPr>
            </w:pPr>
          </w:p>
        </w:tc>
        <w:tc>
          <w:tcPr>
            <w:tcW w:w="1571" w:type="dxa"/>
            <w:vMerge w:val="continue"/>
            <w:noWrap w:val="0"/>
            <w:vAlign w:val="center"/>
          </w:tcPr>
          <w:p w14:paraId="5FCA4227">
            <w:pPr>
              <w:bidi w:val="0"/>
              <w:spacing w:line="240" w:lineRule="auto"/>
              <w:jc w:val="center"/>
              <w:rPr>
                <w:rFonts w:hint="eastAsia" w:ascii="宋体" w:hAnsi="宋体" w:eastAsia="宋体" w:cs="宋体"/>
                <w:sz w:val="24"/>
                <w:szCs w:val="24"/>
                <w:highlight w:val="none"/>
              </w:rPr>
            </w:pPr>
          </w:p>
        </w:tc>
        <w:tc>
          <w:tcPr>
            <w:tcW w:w="1255" w:type="dxa"/>
            <w:noWrap w:val="0"/>
            <w:vAlign w:val="center"/>
          </w:tcPr>
          <w:p w14:paraId="71EADCD8">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6308" w:type="dxa"/>
            <w:noWrap w:val="0"/>
            <w:vAlign w:val="center"/>
          </w:tcPr>
          <w:p w14:paraId="492ED2FF">
            <w:pPr>
              <w:bidi w:val="0"/>
              <w:spacing w:line="240" w:lineRule="auto"/>
              <w:jc w:val="left"/>
              <w:rPr>
                <w:rFonts w:hint="eastAsia" w:ascii="宋体" w:hAnsi="宋体" w:eastAsia="宋体" w:cs="宋体"/>
                <w:color w:val="000000"/>
                <w:spacing w:val="0"/>
                <w:w w:val="100"/>
                <w:kern w:val="2"/>
                <w:position w:val="0"/>
                <w:sz w:val="24"/>
                <w:szCs w:val="24"/>
                <w:highlight w:val="none"/>
                <w:lang w:val="en-US" w:eastAsia="zh-CN" w:bidi="ar-SA"/>
              </w:rPr>
            </w:pPr>
            <w:r>
              <w:rPr>
                <w:rFonts w:hint="eastAsia" w:ascii="宋体" w:hAnsi="宋体" w:eastAsia="宋体" w:cs="宋体"/>
                <w:color w:val="000000"/>
                <w:spacing w:val="0"/>
                <w:w w:val="100"/>
                <w:kern w:val="2"/>
                <w:position w:val="0"/>
                <w:sz w:val="24"/>
                <w:szCs w:val="24"/>
                <w:highlight w:val="none"/>
                <w:lang w:val="en-US" w:eastAsia="zh-CN" w:bidi="ar-SA"/>
              </w:rPr>
              <w:t>①：技术负责人具有机电工程专业二级及以上建造师注册证书的得1.0分，本小项最高得1分。</w:t>
            </w:r>
          </w:p>
          <w:p w14:paraId="4ACD107B">
            <w:pPr>
              <w:keepNext w:val="0"/>
              <w:keepLines w:val="0"/>
              <w:pageBreakBefore w:val="0"/>
              <w:widowControl/>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color w:val="000000"/>
                <w:spacing w:val="0"/>
                <w:w w:val="100"/>
                <w:kern w:val="2"/>
                <w:position w:val="0"/>
                <w:sz w:val="24"/>
                <w:szCs w:val="24"/>
                <w:highlight w:val="none"/>
                <w:lang w:val="en-US" w:eastAsia="zh-CN" w:bidi="ar-SA"/>
              </w:rPr>
            </w:pPr>
            <w:r>
              <w:rPr>
                <w:rFonts w:hint="eastAsia" w:ascii="宋体" w:hAnsi="宋体" w:eastAsia="宋体" w:cs="宋体"/>
                <w:color w:val="000000"/>
                <w:spacing w:val="0"/>
                <w:w w:val="100"/>
                <w:kern w:val="2"/>
                <w:position w:val="0"/>
                <w:sz w:val="24"/>
                <w:szCs w:val="24"/>
                <w:highlight w:val="none"/>
                <w:lang w:val="en-US" w:eastAsia="zh-CN" w:bidi="ar-SA"/>
              </w:rPr>
              <w:t>②：技术负责人具有水利机械电气专业高级职称的得2分，本小项最高得2分。</w:t>
            </w:r>
          </w:p>
        </w:tc>
      </w:tr>
      <w:tr w14:paraId="1E5E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vMerge w:val="continue"/>
            <w:noWrap w:val="0"/>
            <w:vAlign w:val="center"/>
          </w:tcPr>
          <w:p w14:paraId="35955479">
            <w:pPr>
              <w:bidi w:val="0"/>
              <w:spacing w:line="240" w:lineRule="auto"/>
              <w:jc w:val="center"/>
              <w:rPr>
                <w:rFonts w:hint="eastAsia" w:ascii="宋体" w:hAnsi="宋体" w:eastAsia="宋体" w:cs="宋体"/>
                <w:sz w:val="24"/>
                <w:szCs w:val="24"/>
                <w:highlight w:val="none"/>
              </w:rPr>
            </w:pPr>
          </w:p>
        </w:tc>
        <w:tc>
          <w:tcPr>
            <w:tcW w:w="1571" w:type="dxa"/>
            <w:vMerge w:val="continue"/>
            <w:noWrap w:val="0"/>
            <w:vAlign w:val="center"/>
          </w:tcPr>
          <w:p w14:paraId="37D2CF10">
            <w:pPr>
              <w:bidi w:val="0"/>
              <w:spacing w:line="240" w:lineRule="auto"/>
              <w:jc w:val="center"/>
              <w:rPr>
                <w:rFonts w:hint="eastAsia" w:ascii="宋体" w:hAnsi="宋体" w:eastAsia="宋体" w:cs="宋体"/>
                <w:sz w:val="24"/>
                <w:szCs w:val="24"/>
                <w:highlight w:val="none"/>
              </w:rPr>
            </w:pPr>
          </w:p>
        </w:tc>
        <w:tc>
          <w:tcPr>
            <w:tcW w:w="1255" w:type="dxa"/>
            <w:noWrap w:val="0"/>
            <w:vAlign w:val="center"/>
          </w:tcPr>
          <w:p w14:paraId="2EB0D92E">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c>
          <w:tcPr>
            <w:tcW w:w="6308" w:type="dxa"/>
            <w:noWrap w:val="0"/>
            <w:vAlign w:val="center"/>
          </w:tcPr>
          <w:p w14:paraId="09F9F67A">
            <w:pPr>
              <w:pStyle w:val="115"/>
              <w:keepNext w:val="0"/>
              <w:keepLines w:val="0"/>
              <w:widowControl w:val="0"/>
              <w:numPr>
                <w:ilvl w:val="0"/>
                <w:numId w:val="0"/>
              </w:numPr>
              <w:shd w:val="clear" w:color="auto" w:fill="auto"/>
              <w:bidi w:val="0"/>
              <w:spacing w:before="0" w:after="0" w:line="311" w:lineRule="exact"/>
              <w:ind w:leftChars="0" w:right="0" w:rightChars="0"/>
              <w:jc w:val="both"/>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kern w:val="2"/>
                <w:position w:val="0"/>
                <w:sz w:val="24"/>
                <w:szCs w:val="24"/>
                <w:highlight w:val="none"/>
                <w:lang w:val="en-US" w:eastAsia="zh-CN" w:bidi="ar-SA"/>
              </w:rPr>
              <w:t>①</w:t>
            </w:r>
            <w:r>
              <w:rPr>
                <w:rFonts w:hint="eastAsia" w:cs="宋体"/>
                <w:color w:val="000000"/>
                <w:spacing w:val="0"/>
                <w:w w:val="100"/>
                <w:kern w:val="2"/>
                <w:position w:val="0"/>
                <w:sz w:val="24"/>
                <w:szCs w:val="24"/>
                <w:highlight w:val="none"/>
                <w:lang w:val="en-US" w:eastAsia="zh-CN" w:bidi="ar-SA"/>
              </w:rPr>
              <w:t>、</w:t>
            </w:r>
            <w:r>
              <w:rPr>
                <w:rFonts w:hint="eastAsia" w:ascii="宋体" w:hAnsi="宋体" w:eastAsia="宋体" w:cs="宋体"/>
                <w:color w:val="000000"/>
                <w:spacing w:val="0"/>
                <w:w w:val="100"/>
                <w:position w:val="0"/>
                <w:sz w:val="24"/>
                <w:szCs w:val="24"/>
                <w:highlight w:val="none"/>
              </w:rPr>
              <w:t>团队成员（除项目负责人与技术负责人外）</w:t>
            </w:r>
            <w:r>
              <w:rPr>
                <w:rFonts w:hint="eastAsia" w:ascii="宋体" w:hAnsi="宋体" w:eastAsia="宋体" w:cs="宋体"/>
                <w:color w:val="000000"/>
                <w:spacing w:val="0"/>
                <w:w w:val="100"/>
                <w:position w:val="0"/>
                <w:sz w:val="24"/>
                <w:szCs w:val="24"/>
                <w:highlight w:val="none"/>
                <w:lang w:val="en-US" w:eastAsia="zh-CN"/>
              </w:rPr>
              <w:t>含有水工监测工</w:t>
            </w:r>
            <w:r>
              <w:rPr>
                <w:rFonts w:hint="eastAsia" w:ascii="宋体" w:hAnsi="宋体" w:eastAsia="宋体" w:cs="宋体"/>
                <w:color w:val="000000"/>
                <w:spacing w:val="0"/>
                <w:w w:val="100"/>
                <w:position w:val="0"/>
                <w:sz w:val="24"/>
                <w:szCs w:val="24"/>
                <w:highlight w:val="none"/>
              </w:rPr>
              <w:t>、</w:t>
            </w:r>
            <w:r>
              <w:rPr>
                <w:rFonts w:hint="eastAsia" w:cs="宋体"/>
                <w:color w:val="000000"/>
                <w:spacing w:val="0"/>
                <w:w w:val="100"/>
                <w:position w:val="0"/>
                <w:sz w:val="24"/>
                <w:szCs w:val="24"/>
                <w:highlight w:val="none"/>
                <w:lang w:val="en-US" w:eastAsia="zh-CN"/>
              </w:rPr>
              <w:t>闸门运行</w:t>
            </w:r>
            <w:r>
              <w:rPr>
                <w:rFonts w:hint="eastAsia" w:ascii="宋体" w:hAnsi="宋体" w:eastAsia="宋体" w:cs="宋体"/>
                <w:color w:val="000000"/>
                <w:spacing w:val="0"/>
                <w:w w:val="100"/>
                <w:position w:val="0"/>
                <w:sz w:val="24"/>
                <w:szCs w:val="24"/>
                <w:highlight w:val="none"/>
                <w:lang w:val="en-US" w:eastAsia="zh-CN"/>
              </w:rPr>
              <w:t>工合格证书的，每个专业的1分，（同一人最多得一次分），本项最高得2分。</w:t>
            </w:r>
          </w:p>
          <w:p w14:paraId="300EC671">
            <w:pPr>
              <w:pStyle w:val="115"/>
              <w:keepNext w:val="0"/>
              <w:keepLines w:val="0"/>
              <w:widowControl w:val="0"/>
              <w:shd w:val="clear" w:color="auto" w:fill="auto"/>
              <w:bidi w:val="0"/>
              <w:spacing w:before="0" w:after="0" w:line="311" w:lineRule="exact"/>
              <w:ind w:left="0" w:right="0" w:firstLine="0"/>
              <w:jc w:val="both"/>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②、团队成员中具有系统集成项目管理工程师的，每具备1个得1分，本项最高1分。</w:t>
            </w:r>
          </w:p>
          <w:p w14:paraId="68592106">
            <w:pPr>
              <w:pStyle w:val="115"/>
              <w:keepNext w:val="0"/>
              <w:keepLines w:val="0"/>
              <w:widowControl w:val="0"/>
              <w:shd w:val="clear" w:color="auto" w:fill="auto"/>
              <w:bidi w:val="0"/>
              <w:spacing w:before="0" w:after="0" w:line="311" w:lineRule="exact"/>
              <w:ind w:left="0" w:right="0" w:firstLine="0"/>
              <w:jc w:val="both"/>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③、团队成员中的测量专业人员具有注册测绘师的得1分。</w:t>
            </w:r>
          </w:p>
          <w:p w14:paraId="130EC25E">
            <w:pPr>
              <w:pStyle w:val="115"/>
              <w:keepNext w:val="0"/>
              <w:keepLines w:val="0"/>
              <w:widowControl w:val="0"/>
              <w:shd w:val="clear" w:color="auto" w:fill="auto"/>
              <w:bidi w:val="0"/>
              <w:spacing w:before="0" w:after="0" w:line="311" w:lineRule="exact"/>
              <w:ind w:left="0" w:right="0" w:firstLine="0"/>
              <w:jc w:val="both"/>
              <w:rPr>
                <w:rFonts w:hint="eastAsia" w:ascii="宋体" w:hAnsi="宋体" w:eastAsia="宋体"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lang w:val="en-US" w:eastAsia="zh-CN"/>
              </w:rPr>
              <w:t>④、团队成员中具有测绘无人机操作手合格证</w:t>
            </w:r>
            <w:r>
              <w:rPr>
                <w:rFonts w:hint="eastAsia" w:ascii="宋体" w:hAnsi="宋体" w:eastAsia="宋体" w:cs="宋体"/>
                <w:color w:val="000000"/>
                <w:spacing w:val="0"/>
                <w:w w:val="100"/>
                <w:position w:val="0"/>
                <w:sz w:val="24"/>
                <w:szCs w:val="24"/>
                <w:highlight w:val="none"/>
              </w:rPr>
              <w:t>的得</w:t>
            </w:r>
            <w:r>
              <w:rPr>
                <w:rFonts w:hint="eastAsia" w:ascii="宋体" w:hAnsi="宋体" w:eastAsia="宋体" w:cs="宋体"/>
                <w:color w:val="000000"/>
                <w:spacing w:val="0"/>
                <w:w w:val="100"/>
                <w:position w:val="0"/>
                <w:sz w:val="24"/>
                <w:szCs w:val="24"/>
                <w:highlight w:val="none"/>
                <w:lang w:val="en-US" w:eastAsia="zh-CN"/>
              </w:rPr>
              <w:t>1</w:t>
            </w:r>
            <w:r>
              <w:rPr>
                <w:rFonts w:hint="eastAsia" w:ascii="宋体" w:hAnsi="宋体" w:eastAsia="宋体" w:cs="宋体"/>
                <w:color w:val="000000"/>
                <w:spacing w:val="0"/>
                <w:w w:val="100"/>
                <w:position w:val="0"/>
                <w:sz w:val="24"/>
                <w:szCs w:val="24"/>
                <w:highlight w:val="none"/>
              </w:rPr>
              <w:t>分</w:t>
            </w:r>
            <w:r>
              <w:rPr>
                <w:rFonts w:hint="eastAsia" w:ascii="宋体" w:hAnsi="宋体" w:eastAsia="宋体" w:cs="宋体"/>
                <w:color w:val="000000"/>
                <w:spacing w:val="0"/>
                <w:w w:val="100"/>
                <w:position w:val="0"/>
                <w:sz w:val="24"/>
                <w:szCs w:val="24"/>
                <w:highlight w:val="none"/>
                <w:lang w:eastAsia="zh-CN"/>
              </w:rPr>
              <w:t>。</w:t>
            </w:r>
          </w:p>
          <w:p w14:paraId="5059E583">
            <w:pPr>
              <w:pStyle w:val="115"/>
              <w:keepNext w:val="0"/>
              <w:keepLines w:val="0"/>
              <w:widowControl w:val="0"/>
              <w:shd w:val="clear" w:color="auto" w:fill="auto"/>
              <w:bidi w:val="0"/>
              <w:spacing w:before="0" w:after="0" w:line="311" w:lineRule="exact"/>
              <w:ind w:left="0" w:right="0" w:firstLine="0"/>
              <w:jc w:val="both"/>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⑤、团队成员中具有应急防灾减灾技术工程师及以上职称证</w:t>
            </w:r>
            <w:r>
              <w:rPr>
                <w:rFonts w:hint="eastAsia" w:ascii="宋体" w:hAnsi="宋体" w:eastAsia="宋体" w:cs="宋体"/>
                <w:color w:val="000000"/>
                <w:spacing w:val="0"/>
                <w:w w:val="100"/>
                <w:position w:val="0"/>
                <w:sz w:val="24"/>
                <w:szCs w:val="24"/>
                <w:highlight w:val="none"/>
              </w:rPr>
              <w:t>的得</w:t>
            </w:r>
            <w:r>
              <w:rPr>
                <w:rFonts w:hint="eastAsia" w:ascii="宋体" w:hAnsi="宋体" w:eastAsia="宋体" w:cs="宋体"/>
                <w:color w:val="000000"/>
                <w:spacing w:val="0"/>
                <w:w w:val="100"/>
                <w:position w:val="0"/>
                <w:sz w:val="24"/>
                <w:szCs w:val="24"/>
                <w:highlight w:val="none"/>
                <w:lang w:val="en-US" w:eastAsia="zh-CN"/>
              </w:rPr>
              <w:t>1</w:t>
            </w:r>
            <w:r>
              <w:rPr>
                <w:rFonts w:hint="eastAsia" w:ascii="宋体" w:hAnsi="宋体" w:eastAsia="宋体" w:cs="宋体"/>
                <w:color w:val="000000"/>
                <w:spacing w:val="0"/>
                <w:w w:val="100"/>
                <w:position w:val="0"/>
                <w:sz w:val="24"/>
                <w:szCs w:val="24"/>
                <w:highlight w:val="none"/>
              </w:rPr>
              <w:t>分</w:t>
            </w:r>
            <w:r>
              <w:rPr>
                <w:rFonts w:hint="eastAsia" w:ascii="宋体" w:hAnsi="宋体" w:eastAsia="宋体"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lang w:val="en-US" w:eastAsia="zh-CN"/>
              </w:rPr>
              <w:t>本项最高1分。</w:t>
            </w:r>
          </w:p>
          <w:p w14:paraId="505763C5">
            <w:pPr>
              <w:pStyle w:val="115"/>
              <w:keepNext w:val="0"/>
              <w:keepLines w:val="0"/>
              <w:widowControl w:val="0"/>
              <w:numPr>
                <w:ilvl w:val="0"/>
                <w:numId w:val="0"/>
              </w:numPr>
              <w:shd w:val="clear" w:color="auto" w:fill="auto"/>
              <w:bidi w:val="0"/>
              <w:spacing w:before="0" w:after="0" w:line="311" w:lineRule="exact"/>
              <w:ind w:leftChars="0" w:right="0" w:rightChars="0"/>
              <w:jc w:val="both"/>
              <w:rPr>
                <w:rFonts w:hint="eastAsia" w:ascii="宋体" w:hAnsi="宋体" w:eastAsia="宋体" w:cs="宋体"/>
                <w:sz w:val="24"/>
                <w:szCs w:val="24"/>
                <w:highlight w:val="none"/>
              </w:rPr>
            </w:pPr>
            <w:r>
              <w:rPr>
                <w:rFonts w:hint="eastAsia" w:ascii="宋体" w:hAnsi="宋体" w:eastAsia="宋体" w:cs="宋体"/>
                <w:color w:val="000000"/>
                <w:spacing w:val="0"/>
                <w:w w:val="100"/>
                <w:position w:val="0"/>
                <w:sz w:val="24"/>
                <w:szCs w:val="24"/>
                <w:highlight w:val="none"/>
                <w:lang w:val="en-US" w:eastAsia="zh-CN"/>
              </w:rPr>
              <w:t>⑥、团队成员中具有</w:t>
            </w:r>
            <w:r>
              <w:rPr>
                <w:rFonts w:hint="eastAsia" w:ascii="宋体" w:hAnsi="宋体" w:eastAsia="宋体" w:cs="宋体"/>
                <w:color w:val="000000"/>
                <w:spacing w:val="0"/>
                <w:w w:val="100"/>
                <w:kern w:val="2"/>
                <w:position w:val="0"/>
                <w:sz w:val="24"/>
                <w:szCs w:val="24"/>
                <w:highlight w:val="none"/>
                <w:lang w:val="en-US" w:eastAsia="zh-CN" w:bidi="ar-SA"/>
              </w:rPr>
              <w:t>水利水电工程专业</w:t>
            </w:r>
            <w:r>
              <w:rPr>
                <w:rFonts w:hint="eastAsia" w:cs="宋体"/>
                <w:color w:val="000000"/>
                <w:spacing w:val="0"/>
                <w:w w:val="100"/>
                <w:kern w:val="2"/>
                <w:position w:val="0"/>
                <w:sz w:val="24"/>
                <w:szCs w:val="24"/>
                <w:highlight w:val="none"/>
                <w:lang w:val="en-US" w:eastAsia="zh-CN" w:bidi="ar-SA"/>
              </w:rPr>
              <w:t>二</w:t>
            </w:r>
            <w:r>
              <w:rPr>
                <w:rFonts w:hint="eastAsia" w:ascii="宋体" w:hAnsi="宋体" w:eastAsia="宋体" w:cs="宋体"/>
                <w:color w:val="000000"/>
                <w:spacing w:val="0"/>
                <w:w w:val="100"/>
                <w:kern w:val="2"/>
                <w:position w:val="0"/>
                <w:sz w:val="24"/>
                <w:szCs w:val="24"/>
                <w:highlight w:val="none"/>
                <w:lang w:val="en-US" w:eastAsia="zh-CN" w:bidi="ar-SA"/>
              </w:rPr>
              <w:t>级</w:t>
            </w:r>
            <w:r>
              <w:rPr>
                <w:rFonts w:hint="eastAsia" w:cs="宋体"/>
                <w:color w:val="000000"/>
                <w:spacing w:val="0"/>
                <w:w w:val="100"/>
                <w:kern w:val="2"/>
                <w:position w:val="0"/>
                <w:sz w:val="24"/>
                <w:szCs w:val="24"/>
                <w:highlight w:val="none"/>
                <w:lang w:val="en-US" w:eastAsia="zh-CN" w:bidi="ar-SA"/>
              </w:rPr>
              <w:t>及以上</w:t>
            </w:r>
            <w:r>
              <w:rPr>
                <w:rFonts w:hint="eastAsia" w:ascii="宋体" w:hAnsi="宋体" w:eastAsia="宋体" w:cs="宋体"/>
                <w:color w:val="000000"/>
                <w:spacing w:val="0"/>
                <w:w w:val="100"/>
                <w:kern w:val="2"/>
                <w:position w:val="0"/>
                <w:sz w:val="24"/>
                <w:szCs w:val="24"/>
                <w:highlight w:val="none"/>
                <w:lang w:val="en-US" w:eastAsia="zh-CN" w:bidi="ar-SA"/>
              </w:rPr>
              <w:t>建造师证书的，</w:t>
            </w:r>
            <w:r>
              <w:rPr>
                <w:rFonts w:hint="eastAsia" w:ascii="宋体" w:hAnsi="宋体" w:eastAsia="宋体" w:cs="宋体"/>
                <w:color w:val="000000"/>
                <w:spacing w:val="0"/>
                <w:w w:val="100"/>
                <w:position w:val="0"/>
                <w:sz w:val="24"/>
                <w:szCs w:val="24"/>
                <w:highlight w:val="none"/>
                <w:lang w:val="en-US" w:eastAsia="zh-CN"/>
              </w:rPr>
              <w:t>每具备1个得1分，本项最高1分。</w:t>
            </w:r>
          </w:p>
        </w:tc>
      </w:tr>
      <w:tr w14:paraId="7A2C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vMerge w:val="continue"/>
            <w:noWrap w:val="0"/>
            <w:vAlign w:val="center"/>
          </w:tcPr>
          <w:p w14:paraId="1F1F0CB6">
            <w:pPr>
              <w:bidi w:val="0"/>
              <w:spacing w:line="240" w:lineRule="auto"/>
              <w:jc w:val="center"/>
              <w:rPr>
                <w:rFonts w:hint="eastAsia" w:ascii="宋体" w:hAnsi="宋体" w:eastAsia="宋体" w:cs="宋体"/>
                <w:sz w:val="24"/>
                <w:szCs w:val="24"/>
                <w:highlight w:val="none"/>
              </w:rPr>
            </w:pPr>
          </w:p>
        </w:tc>
        <w:tc>
          <w:tcPr>
            <w:tcW w:w="1571" w:type="dxa"/>
            <w:vMerge w:val="continue"/>
            <w:noWrap w:val="0"/>
            <w:vAlign w:val="center"/>
          </w:tcPr>
          <w:p w14:paraId="0F60440C">
            <w:pPr>
              <w:bidi w:val="0"/>
              <w:spacing w:line="240" w:lineRule="auto"/>
              <w:jc w:val="center"/>
              <w:rPr>
                <w:rFonts w:hint="eastAsia" w:ascii="宋体" w:hAnsi="宋体" w:eastAsia="宋体" w:cs="宋体"/>
                <w:sz w:val="24"/>
                <w:szCs w:val="24"/>
                <w:highlight w:val="none"/>
              </w:rPr>
            </w:pPr>
          </w:p>
        </w:tc>
        <w:tc>
          <w:tcPr>
            <w:tcW w:w="7563" w:type="dxa"/>
            <w:gridSpan w:val="2"/>
            <w:noWrap w:val="0"/>
            <w:vAlign w:val="center"/>
          </w:tcPr>
          <w:p w14:paraId="45AD92E1">
            <w:pPr>
              <w:bidi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注：1.需提供证书原件的扫描件及</w:t>
            </w:r>
            <w:r>
              <w:rPr>
                <w:rFonts w:hint="eastAsia" w:ascii="宋体" w:hAnsi="宋体" w:eastAsia="宋体" w:cs="宋体"/>
                <w:sz w:val="24"/>
                <w:szCs w:val="24"/>
                <w:highlight w:val="none"/>
                <w:lang w:val="en-US" w:eastAsia="zh-CN"/>
              </w:rPr>
              <w:t>近</w:t>
            </w:r>
            <w:r>
              <w:rPr>
                <w:rFonts w:hint="eastAsia" w:ascii="宋体" w:hAnsi="宋体" w:eastAsia="宋体" w:cs="宋体"/>
                <w:sz w:val="24"/>
                <w:szCs w:val="24"/>
                <w:highlight w:val="none"/>
              </w:rPr>
              <w:t>三个月</w:t>
            </w:r>
            <w:r>
              <w:rPr>
                <w:rFonts w:hint="eastAsia" w:ascii="宋体" w:hAnsi="宋体" w:eastAsia="宋体" w:cs="宋体"/>
                <w:sz w:val="24"/>
                <w:szCs w:val="24"/>
                <w:highlight w:val="none"/>
                <w:lang w:val="en-US" w:eastAsia="zh-CN"/>
              </w:rPr>
              <w:t>内其中一个月</w:t>
            </w:r>
            <w:r>
              <w:rPr>
                <w:rFonts w:hint="eastAsia" w:ascii="宋体" w:hAnsi="宋体" w:eastAsia="宋体" w:cs="宋体"/>
                <w:sz w:val="24"/>
                <w:szCs w:val="24"/>
                <w:highlight w:val="none"/>
              </w:rPr>
              <w:t>在投标人单位缴纳的社保证明原件（如社保证明为网上打印，可提供盖有电子章的打印页）的扫描件。</w:t>
            </w:r>
          </w:p>
        </w:tc>
      </w:tr>
      <w:tr w14:paraId="4AD6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noWrap w:val="0"/>
            <w:vAlign w:val="center"/>
          </w:tcPr>
          <w:p w14:paraId="221B087B">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571" w:type="dxa"/>
            <w:noWrap w:val="0"/>
            <w:vAlign w:val="center"/>
          </w:tcPr>
          <w:p w14:paraId="1FCE6BB2">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设备投入</w:t>
            </w:r>
          </w:p>
        </w:tc>
        <w:tc>
          <w:tcPr>
            <w:tcW w:w="1255" w:type="dxa"/>
            <w:noWrap w:val="0"/>
            <w:vAlign w:val="center"/>
          </w:tcPr>
          <w:p w14:paraId="140320FA">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308" w:type="dxa"/>
            <w:noWrap w:val="0"/>
            <w:vAlign w:val="center"/>
          </w:tcPr>
          <w:p w14:paraId="316BCA4C">
            <w:pPr>
              <w:bidi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针对本项目的日常巡查等工作需要，拟投入下列自有车辆设备的：</w:t>
            </w:r>
          </w:p>
          <w:p w14:paraId="316C1D8B">
            <w:pPr>
              <w:bidi w:val="0"/>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spacing w:val="0"/>
                <w:w w:val="100"/>
                <w:kern w:val="2"/>
                <w:position w:val="0"/>
                <w:sz w:val="24"/>
                <w:szCs w:val="24"/>
                <w:highlight w:val="none"/>
                <w:lang w:val="en-US" w:eastAsia="zh-CN" w:bidi="ar-SA"/>
              </w:rPr>
              <w:t>①</w:t>
            </w:r>
            <w:r>
              <w:rPr>
                <w:rFonts w:hint="eastAsia" w:ascii="宋体" w:hAnsi="宋体" w:eastAsia="宋体" w:cs="宋体"/>
                <w:sz w:val="24"/>
                <w:szCs w:val="24"/>
                <w:highlight w:val="none"/>
              </w:rPr>
              <w:t>巡查车</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辆</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以上的得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，仅提供一辆车辆的得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eastAsia="zh-CN"/>
              </w:rPr>
              <w:br w:type="textWrapping"/>
            </w:r>
            <w:r>
              <w:rPr>
                <w:rFonts w:hint="eastAsia" w:ascii="宋体" w:hAnsi="宋体" w:eastAsia="宋体" w:cs="宋体"/>
                <w:color w:val="000000"/>
                <w:spacing w:val="0"/>
                <w:w w:val="100"/>
                <w:position w:val="0"/>
                <w:sz w:val="24"/>
                <w:szCs w:val="24"/>
                <w:highlight w:val="none"/>
                <w:lang w:val="en-US" w:eastAsia="zh-CN"/>
              </w:rPr>
              <w:t>②</w:t>
            </w:r>
            <w:r>
              <w:rPr>
                <w:rFonts w:hint="eastAsia" w:ascii="宋体" w:hAnsi="宋体" w:eastAsia="宋体" w:cs="宋体"/>
                <w:sz w:val="24"/>
                <w:szCs w:val="24"/>
                <w:highlight w:val="none"/>
              </w:rPr>
              <w:t>提供自有的</w:t>
            </w:r>
            <w:r>
              <w:rPr>
                <w:rFonts w:hint="eastAsia" w:ascii="宋体" w:hAnsi="宋体" w:eastAsia="宋体" w:cs="宋体"/>
                <w:sz w:val="24"/>
                <w:szCs w:val="24"/>
                <w:highlight w:val="none"/>
                <w:lang w:eastAsia="zh-CN"/>
              </w:rPr>
              <w:t>具备航拍功能的</w:t>
            </w:r>
            <w:r>
              <w:rPr>
                <w:rFonts w:hint="eastAsia" w:ascii="宋体" w:hAnsi="宋体" w:eastAsia="宋体" w:cs="宋体"/>
                <w:sz w:val="24"/>
                <w:szCs w:val="24"/>
                <w:highlight w:val="none"/>
              </w:rPr>
              <w:t>无人机一架得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最高得2分，没有不得分</w:t>
            </w:r>
            <w:r>
              <w:rPr>
                <w:rFonts w:hint="eastAsia" w:ascii="宋体" w:hAnsi="宋体" w:eastAsia="宋体" w:cs="宋体"/>
                <w:sz w:val="24"/>
                <w:szCs w:val="24"/>
                <w:highlight w:val="none"/>
              </w:rPr>
              <w:t>。</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eastAsia="zh-CN"/>
              </w:rPr>
              <w:t>本项最高得</w:t>
            </w:r>
            <w:r>
              <w:rPr>
                <w:rFonts w:hint="eastAsia" w:ascii="宋体" w:hAnsi="宋体" w:eastAsia="宋体" w:cs="宋体"/>
                <w:sz w:val="24"/>
                <w:szCs w:val="24"/>
                <w:highlight w:val="none"/>
                <w:lang w:val="en-US" w:eastAsia="zh-CN"/>
              </w:rPr>
              <w:t>6分。</w:t>
            </w:r>
          </w:p>
          <w:p w14:paraId="299427CA">
            <w:pPr>
              <w:bidi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（投标文件中提供设备的照片，车辆提供有效年检期内的车辆行驶证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购车发票</w:t>
            </w:r>
            <w:r>
              <w:rPr>
                <w:rFonts w:hint="eastAsia" w:ascii="宋体" w:hAnsi="宋体" w:eastAsia="宋体" w:cs="宋体"/>
                <w:sz w:val="24"/>
                <w:szCs w:val="24"/>
                <w:highlight w:val="none"/>
                <w:lang w:val="en-US" w:eastAsia="zh-CN"/>
              </w:rPr>
              <w:t>或租赁合同扫描</w:t>
            </w:r>
            <w:r>
              <w:rPr>
                <w:rFonts w:hint="eastAsia" w:ascii="宋体" w:hAnsi="宋体" w:eastAsia="宋体" w:cs="宋体"/>
                <w:sz w:val="24"/>
                <w:szCs w:val="24"/>
                <w:highlight w:val="none"/>
              </w:rPr>
              <w:t>件，设备提供购买发票</w:t>
            </w:r>
            <w:r>
              <w:rPr>
                <w:rFonts w:hint="eastAsia" w:ascii="宋体" w:hAnsi="宋体" w:eastAsia="宋体" w:cs="宋体"/>
                <w:sz w:val="24"/>
                <w:szCs w:val="24"/>
                <w:highlight w:val="none"/>
                <w:lang w:val="en-US" w:eastAsia="zh-CN"/>
              </w:rPr>
              <w:t>或租赁合同</w:t>
            </w:r>
            <w:r>
              <w:rPr>
                <w:rFonts w:hint="eastAsia" w:ascii="宋体" w:hAnsi="宋体" w:eastAsia="宋体" w:cs="宋体"/>
                <w:sz w:val="24"/>
                <w:szCs w:val="24"/>
                <w:highlight w:val="none"/>
              </w:rPr>
              <w:t>）</w:t>
            </w:r>
          </w:p>
        </w:tc>
      </w:tr>
      <w:tr w14:paraId="0AEC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745" w:type="dxa"/>
            <w:vMerge w:val="restart"/>
            <w:noWrap w:val="0"/>
            <w:vAlign w:val="center"/>
          </w:tcPr>
          <w:p w14:paraId="68EE2ED8">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571" w:type="dxa"/>
            <w:vMerge w:val="restart"/>
            <w:noWrap w:val="0"/>
            <w:vAlign w:val="center"/>
          </w:tcPr>
          <w:p w14:paraId="6D69405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对本项目的理解及应急突发事情的响应及处理方案</w:t>
            </w:r>
          </w:p>
        </w:tc>
        <w:tc>
          <w:tcPr>
            <w:tcW w:w="1255" w:type="dxa"/>
            <w:vMerge w:val="restart"/>
            <w:noWrap w:val="0"/>
            <w:vAlign w:val="center"/>
          </w:tcPr>
          <w:p w14:paraId="30E37F2F">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0-10分</w:t>
            </w:r>
          </w:p>
        </w:tc>
        <w:tc>
          <w:tcPr>
            <w:tcW w:w="6308" w:type="dxa"/>
            <w:noWrap w:val="0"/>
            <w:vAlign w:val="center"/>
          </w:tcPr>
          <w:p w14:paraId="2C9E593B">
            <w:pPr>
              <w:bidi w:val="0"/>
              <w:spacing w:line="240" w:lineRule="auto"/>
              <w:jc w:val="left"/>
              <w:rPr>
                <w:rFonts w:hint="default" w:ascii="宋体" w:hAnsi="宋体" w:eastAsia="宋体" w:cs="宋体"/>
                <w:sz w:val="24"/>
                <w:szCs w:val="24"/>
                <w:highlight w:val="none"/>
                <w:lang w:val="en-US"/>
              </w:rPr>
            </w:pPr>
            <w: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t>根据各投标人对本项目的理解和管理难点的分析</w: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进行打分</w:t>
            </w:r>
            <w: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t>；</w:t>
            </w:r>
            <w: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br w:type="textWrapping"/>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①理解透彻、难点分析全面的得3.5-5.0分；</w: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br w:type="textWrapping"/>
            </w:r>
            <w:r>
              <w:rPr>
                <w:rFonts w:hint="eastAsia" w:ascii="宋体" w:hAnsi="宋体" w:eastAsia="宋体" w:cs="宋体"/>
                <w:color w:val="000000"/>
                <w:spacing w:val="0"/>
                <w:w w:val="100"/>
                <w:position w:val="0"/>
                <w:sz w:val="24"/>
                <w:szCs w:val="24"/>
                <w:highlight w:val="none"/>
                <w:lang w:val="en-US" w:eastAsia="zh-CN"/>
              </w:rPr>
              <w:t>②理解片面、难点分析较详细的得1.0-3.4分；</w:t>
            </w:r>
            <w:r>
              <w:rPr>
                <w:rFonts w:hint="eastAsia" w:ascii="宋体" w:hAnsi="宋体" w:eastAsia="宋体" w:cs="宋体"/>
                <w:color w:val="000000"/>
                <w:spacing w:val="0"/>
                <w:w w:val="100"/>
                <w:position w:val="0"/>
                <w:sz w:val="24"/>
                <w:szCs w:val="24"/>
                <w:highlight w:val="none"/>
                <w:lang w:val="en-US" w:eastAsia="zh-CN"/>
              </w:rPr>
              <w:br w:type="textWrapping"/>
            </w:r>
            <w:r>
              <w:rPr>
                <w:rFonts w:hint="eastAsia" w:ascii="宋体" w:hAnsi="宋体" w:eastAsia="宋体" w:cs="宋体"/>
                <w:color w:val="000000"/>
                <w:spacing w:val="0"/>
                <w:w w:val="100"/>
                <w:position w:val="0"/>
                <w:sz w:val="24"/>
                <w:szCs w:val="24"/>
                <w:highlight w:val="none"/>
                <w:lang w:val="en-US" w:eastAsia="zh-CN"/>
              </w:rPr>
              <w:t>③内容不够详细全面的得0.1-0.9分。</w:t>
            </w:r>
          </w:p>
        </w:tc>
      </w:tr>
      <w:tr w14:paraId="5D6A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745" w:type="dxa"/>
            <w:vMerge w:val="continue"/>
            <w:noWrap w:val="0"/>
            <w:vAlign w:val="center"/>
          </w:tcPr>
          <w:p w14:paraId="23938D2E">
            <w:pPr>
              <w:bidi w:val="0"/>
              <w:spacing w:line="240" w:lineRule="auto"/>
              <w:jc w:val="left"/>
              <w:rPr>
                <w:highlight w:val="none"/>
              </w:rPr>
            </w:pPr>
          </w:p>
        </w:tc>
        <w:tc>
          <w:tcPr>
            <w:tcW w:w="1571" w:type="dxa"/>
            <w:vMerge w:val="continue"/>
            <w:noWrap w:val="0"/>
            <w:vAlign w:val="center"/>
          </w:tcPr>
          <w:p w14:paraId="32DDBFB9">
            <w:pPr>
              <w:bidi w:val="0"/>
              <w:spacing w:line="240" w:lineRule="auto"/>
              <w:jc w:val="left"/>
              <w:rPr>
                <w:highlight w:val="none"/>
              </w:rPr>
            </w:pPr>
          </w:p>
        </w:tc>
        <w:tc>
          <w:tcPr>
            <w:tcW w:w="1255" w:type="dxa"/>
            <w:vMerge w:val="continue"/>
            <w:noWrap w:val="0"/>
            <w:vAlign w:val="center"/>
          </w:tcPr>
          <w:p w14:paraId="4E498BE3">
            <w:pPr>
              <w:bidi w:val="0"/>
              <w:spacing w:line="240" w:lineRule="auto"/>
              <w:jc w:val="left"/>
              <w:rPr>
                <w:highlight w:val="none"/>
              </w:rPr>
            </w:pPr>
          </w:p>
        </w:tc>
        <w:tc>
          <w:tcPr>
            <w:tcW w:w="6308" w:type="dxa"/>
            <w:noWrap w:val="0"/>
            <w:vAlign w:val="center"/>
          </w:tcPr>
          <w:p w14:paraId="329F9D5A">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各投标人</w:t>
            </w:r>
            <w:r>
              <w:rPr>
                <w:rFonts w:hint="eastAsia" w:ascii="宋体" w:hAnsi="宋体" w:eastAsia="宋体" w:cs="宋体"/>
                <w:sz w:val="24"/>
                <w:szCs w:val="24"/>
                <w:highlight w:val="none"/>
              </w:rPr>
              <w:t>对应急突发事情的处理经验来描述承诺（包括区级及以上部门考核检查、防汛等）。</w:t>
            </w:r>
            <w:r>
              <w:rPr>
                <w:rFonts w:hint="eastAsia" w:ascii="宋体" w:hAnsi="宋体" w:eastAsia="宋体" w:cs="宋体"/>
                <w:sz w:val="24"/>
                <w:szCs w:val="24"/>
                <w:highlight w:val="none"/>
              </w:rPr>
              <w:br w:type="textWrapping"/>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begin"/>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instrText xml:space="preserve"> = 1 \* GB3 \* MERGEFORMAT </w:instrTex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separate"/>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①</w: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end"/>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方案详实、内容完整、操作性强的得3.5-5.0分；</w:t>
            </w:r>
          </w:p>
          <w:p w14:paraId="759038C4">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begin"/>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instrText xml:space="preserve"> = 2 \* GB3 \* MERGEFORMAT </w:instrTex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separate"/>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②</w: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end"/>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方案一般、内容常规、操作性一般的得</w:t>
            </w:r>
            <w:r>
              <w:rPr>
                <w:rFonts w:hint="eastAsia" w:ascii="宋体" w:hAnsi="宋体" w:eastAsia="宋体" w:cs="宋体"/>
                <w:color w:val="000000"/>
                <w:spacing w:val="0"/>
                <w:w w:val="100"/>
                <w:position w:val="0"/>
                <w:sz w:val="24"/>
                <w:szCs w:val="24"/>
                <w:highlight w:val="none"/>
                <w:lang w:val="en-US" w:eastAsia="zh-CN"/>
              </w:rPr>
              <w:t>1.0-3.4</w: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分；</w:t>
            </w:r>
          </w:p>
          <w:p w14:paraId="0AC99E6F">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begin"/>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instrText xml:space="preserve"> = 3 \* GB3 \* MERGEFORMAT </w:instrTex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separate"/>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③</w: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end"/>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方案粗糙、内容缺漏、操作性差的得</w:t>
            </w:r>
            <w:r>
              <w:rPr>
                <w:rFonts w:hint="eastAsia" w:ascii="宋体" w:hAnsi="宋体" w:eastAsia="宋体" w:cs="宋体"/>
                <w:color w:val="000000"/>
                <w:spacing w:val="0"/>
                <w:w w:val="100"/>
                <w:position w:val="0"/>
                <w:sz w:val="24"/>
                <w:szCs w:val="24"/>
                <w:highlight w:val="none"/>
                <w:lang w:val="en-US" w:eastAsia="zh-CN"/>
              </w:rPr>
              <w:t>0.1-0.9</w: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分。</w:t>
            </w:r>
          </w:p>
        </w:tc>
      </w:tr>
      <w:tr w14:paraId="59F1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noWrap w:val="0"/>
            <w:vAlign w:val="center"/>
          </w:tcPr>
          <w:p w14:paraId="0B90ED51">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1571" w:type="dxa"/>
            <w:noWrap w:val="0"/>
            <w:vAlign w:val="center"/>
          </w:tcPr>
          <w:p w14:paraId="765C049A">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整体管理服务方案</w:t>
            </w:r>
          </w:p>
        </w:tc>
        <w:tc>
          <w:tcPr>
            <w:tcW w:w="1255" w:type="dxa"/>
            <w:noWrap w:val="0"/>
            <w:vAlign w:val="center"/>
          </w:tcPr>
          <w:p w14:paraId="28EAAAAA">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0-15分</w:t>
            </w:r>
          </w:p>
        </w:tc>
        <w:tc>
          <w:tcPr>
            <w:tcW w:w="6308" w:type="dxa"/>
            <w:noWrap w:val="0"/>
            <w:vAlign w:val="center"/>
          </w:tcPr>
          <w:p w14:paraId="5DFA25C3">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r>
              <w:rPr>
                <w:rFonts w:hint="eastAsia" w:ascii="宋体" w:hAnsi="宋体" w:eastAsia="宋体" w:cs="宋体"/>
                <w:sz w:val="24"/>
                <w:szCs w:val="24"/>
                <w:highlight w:val="none"/>
              </w:rPr>
              <w:t>各投标人需制定本项目整体管理服务方案（应涵盖招标需求的各项工作，包括设施设备维修养护、巡查检查、资料整编、信息平台数据维护、台账与档案管理等），详细描述技术负责人、保洁、维养人员配置及计划，根据管理模式的全面性、合理性、可行性等综合评分。</w:t>
            </w:r>
            <w:r>
              <w:rPr>
                <w:rFonts w:hint="eastAsia" w:ascii="宋体" w:hAnsi="宋体" w:eastAsia="宋体" w:cs="宋体"/>
                <w:sz w:val="24"/>
                <w:szCs w:val="24"/>
                <w:highlight w:val="none"/>
              </w:rPr>
              <w:br w:type="textWrapping"/>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begin"/>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instrText xml:space="preserve"> = 1 \* GB3 \* MERGEFORMAT </w:instrTex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separate"/>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①</w: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end"/>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方案合理、科学，人员配备充足的得11.0-15.0分；</w:t>
            </w:r>
          </w:p>
          <w:p w14:paraId="6F171032">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pP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begin"/>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instrText xml:space="preserve"> = 2 \* GB3 \* MERGEFORMAT </w:instrTex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separate"/>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②</w: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end"/>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方案一般、内容常规、人员配置基本满足的5.0-10.9分；</w:t>
            </w:r>
          </w:p>
          <w:p w14:paraId="6265170A">
            <w:pPr>
              <w:pStyle w:val="8"/>
              <w:keepNext w:val="0"/>
              <w:keepLines w:val="0"/>
              <w:pageBreakBefore w:val="0"/>
              <w:kinsoku/>
              <w:wordWrap/>
              <w:overflowPunct/>
              <w:topLinePunct w:val="0"/>
              <w:autoSpaceDE/>
              <w:autoSpaceDN/>
              <w:bidi w:val="0"/>
              <w:spacing w:line="340" w:lineRule="exact"/>
              <w:ind w:firstLine="0" w:firstLineChars="0"/>
              <w:textAlignment w:val="auto"/>
              <w:rPr>
                <w:rFonts w:hint="default" w:ascii="宋体" w:hAnsi="宋体" w:eastAsia="宋体" w:cs="宋体"/>
                <w:sz w:val="24"/>
                <w:szCs w:val="24"/>
                <w:highlight w:val="none"/>
                <w:lang w:val="en-US"/>
              </w:rPr>
            </w:pP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begin"/>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instrText xml:space="preserve"> = 3 \* GB3 \* MERGEFORMAT </w:instrTex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separate"/>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t>③</w:t>
            </w:r>
            <w:r>
              <w:rPr>
                <w:rFonts w:hint="eastAsia" w:ascii="宋体" w:hAnsi="宋体" w:eastAsia="宋体" w:cs="宋体"/>
                <w:color w:val="000000"/>
                <w:spacing w:val="0"/>
                <w:w w:val="100"/>
                <w:kern w:val="2"/>
                <w:position w:val="0"/>
                <w:sz w:val="24"/>
                <w:szCs w:val="24"/>
                <w:highlight w:val="none"/>
                <w:u w:val="none"/>
                <w:shd w:val="clear" w:color="auto" w:fill="auto"/>
                <w:lang w:val="en-US" w:eastAsia="zh-CN" w:bidi="zh-TW"/>
              </w:rPr>
              <w:fldChar w:fldCharType="end"/>
            </w:r>
            <w:r>
              <w:rPr>
                <w:rFonts w:hint="eastAsia" w:ascii="宋体" w:hAnsi="宋体" w:eastAsia="宋体" w:cs="宋体"/>
                <w:kern w:val="0"/>
                <w:sz w:val="24"/>
                <w:szCs w:val="24"/>
                <w:highlight w:val="none"/>
                <w:lang w:val="en-US" w:eastAsia="zh-CN" w:bidi="ar-SA"/>
              </w:rPr>
              <w:t>方案粗糙、内容缺漏、操作性差的得</w:t>
            </w:r>
            <w:r>
              <w:rPr>
                <w:rFonts w:hint="eastAsia" w:ascii="宋体" w:hAnsi="宋体" w:cs="宋体"/>
                <w:kern w:val="0"/>
                <w:sz w:val="24"/>
                <w:szCs w:val="24"/>
                <w:highlight w:val="none"/>
                <w:lang w:val="en-US" w:eastAsia="zh-CN" w:bidi="ar-SA"/>
              </w:rPr>
              <w:t>0.1-4.9</w:t>
            </w:r>
            <w:r>
              <w:rPr>
                <w:rFonts w:hint="eastAsia" w:ascii="宋体" w:hAnsi="宋体" w:eastAsia="宋体" w:cs="宋体"/>
                <w:kern w:val="0"/>
                <w:sz w:val="24"/>
                <w:szCs w:val="24"/>
                <w:highlight w:val="none"/>
                <w:lang w:val="en-US" w:eastAsia="zh-CN" w:bidi="ar-SA"/>
              </w:rPr>
              <w:t>分。</w:t>
            </w:r>
          </w:p>
        </w:tc>
      </w:tr>
      <w:tr w14:paraId="0A55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noWrap w:val="0"/>
            <w:vAlign w:val="center"/>
          </w:tcPr>
          <w:p w14:paraId="10920789">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1571" w:type="dxa"/>
            <w:noWrap w:val="0"/>
            <w:vAlign w:val="center"/>
          </w:tcPr>
          <w:p w14:paraId="464126D0">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规章制度</w:t>
            </w:r>
          </w:p>
        </w:tc>
        <w:tc>
          <w:tcPr>
            <w:tcW w:w="1255" w:type="dxa"/>
            <w:noWrap w:val="0"/>
            <w:vAlign w:val="center"/>
          </w:tcPr>
          <w:p w14:paraId="6F0CE1D5">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308" w:type="dxa"/>
            <w:noWrap w:val="0"/>
            <w:vAlign w:val="center"/>
          </w:tcPr>
          <w:p w14:paraId="521488C2">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根据供应商针对本项目</w:t>
            </w:r>
            <w:r>
              <w:rPr>
                <w:rFonts w:hint="eastAsia" w:ascii="宋体" w:hAnsi="宋体" w:eastAsia="宋体" w:cs="宋体"/>
                <w:sz w:val="24"/>
                <w:szCs w:val="24"/>
                <w:highlight w:val="none"/>
              </w:rPr>
              <w:t>规章制度的建立是否健全，档案管理</w:t>
            </w:r>
            <w:r>
              <w:rPr>
                <w:rFonts w:hint="eastAsia" w:ascii="宋体" w:hAnsi="宋体" w:eastAsia="宋体" w:cs="宋体"/>
                <w:sz w:val="24"/>
                <w:szCs w:val="24"/>
                <w:highlight w:val="none"/>
                <w:lang w:val="en-US" w:eastAsia="zh-CN"/>
              </w:rPr>
              <w:t>制度完善、充分考虑用户实际使用需求及充分考虑项目实际情况等进行</w:t>
            </w:r>
            <w:r>
              <w:rPr>
                <w:rFonts w:hint="eastAsia" w:ascii="宋体" w:hAnsi="宋体" w:eastAsia="宋体" w:cs="宋体"/>
                <w:sz w:val="24"/>
                <w:szCs w:val="24"/>
                <w:highlight w:val="none"/>
              </w:rPr>
              <w:t>评分。</w:t>
            </w:r>
          </w:p>
          <w:p w14:paraId="1524F0D7">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1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方案合理、科学的得6.0-8.0分；</w:t>
            </w:r>
          </w:p>
          <w:p w14:paraId="5CFB0ACF">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2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方案一般、内容常规的4.0-5.9分；</w:t>
            </w:r>
          </w:p>
          <w:p w14:paraId="370602C0">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3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方案粗糙、内容缺漏、操作性差的得0.1-3.9分。</w:t>
            </w:r>
          </w:p>
        </w:tc>
      </w:tr>
      <w:tr w14:paraId="0675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noWrap w:val="0"/>
            <w:vAlign w:val="center"/>
          </w:tcPr>
          <w:p w14:paraId="0AB3B662">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1571" w:type="dxa"/>
            <w:noWrap w:val="0"/>
            <w:vAlign w:val="center"/>
          </w:tcPr>
          <w:p w14:paraId="41421703">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安全管理及文明作业</w:t>
            </w:r>
          </w:p>
        </w:tc>
        <w:tc>
          <w:tcPr>
            <w:tcW w:w="1255" w:type="dxa"/>
            <w:noWrap w:val="0"/>
            <w:vAlign w:val="center"/>
          </w:tcPr>
          <w:p w14:paraId="5995B852">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308" w:type="dxa"/>
            <w:noWrap w:val="0"/>
            <w:vAlign w:val="center"/>
          </w:tcPr>
          <w:p w14:paraId="04B9D2FD">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根据投标人针对</w:t>
            </w:r>
            <w:r>
              <w:rPr>
                <w:rFonts w:hint="eastAsia" w:ascii="宋体" w:hAnsi="宋体" w:eastAsia="宋体" w:cs="宋体"/>
                <w:sz w:val="24"/>
                <w:szCs w:val="24"/>
                <w:highlight w:val="none"/>
                <w:lang w:val="en-US" w:eastAsia="zh-CN"/>
              </w:rPr>
              <w:t>本项目实施过程中提供的确保本项目项目安全、文明施工及环保、消防等方面保障措施是否科学、合理、到位等进行打分。</w:t>
            </w:r>
          </w:p>
          <w:p w14:paraId="1CC89BC8">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1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方案合理、科学的得6.0-8.0分；</w:t>
            </w:r>
          </w:p>
          <w:p w14:paraId="584B4206">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2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方案一般、内容常规的4.0-5.9分；</w:t>
            </w:r>
          </w:p>
          <w:p w14:paraId="2816C083">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3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方案粗糙、内容缺漏、操作性差的得0.1-3.9分。</w:t>
            </w:r>
          </w:p>
        </w:tc>
      </w:tr>
      <w:tr w14:paraId="20FC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noWrap w:val="0"/>
            <w:vAlign w:val="center"/>
          </w:tcPr>
          <w:p w14:paraId="268AC7B4">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71" w:type="dxa"/>
            <w:noWrap w:val="0"/>
            <w:vAlign w:val="center"/>
          </w:tcPr>
          <w:p w14:paraId="177864D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能力</w:t>
            </w:r>
          </w:p>
        </w:tc>
        <w:tc>
          <w:tcPr>
            <w:tcW w:w="1255" w:type="dxa"/>
            <w:noWrap w:val="0"/>
            <w:vAlign w:val="center"/>
          </w:tcPr>
          <w:p w14:paraId="7DA334C5">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0-5分</w:t>
            </w:r>
          </w:p>
        </w:tc>
        <w:tc>
          <w:tcPr>
            <w:tcW w:w="6308" w:type="dxa"/>
            <w:noWrap w:val="0"/>
            <w:vAlign w:val="center"/>
          </w:tcPr>
          <w:p w14:paraId="33E002E4">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根据供应商承诺的服务响应时间、其他优惠条件等情况进行</w:t>
            </w:r>
            <w:r>
              <w:rPr>
                <w:rFonts w:hint="eastAsia" w:ascii="宋体" w:hAnsi="宋体" w:eastAsia="宋体" w:cs="宋体"/>
                <w:sz w:val="24"/>
                <w:szCs w:val="24"/>
                <w:highlight w:val="none"/>
                <w:lang w:val="en-US" w:eastAsia="zh-CN"/>
              </w:rPr>
              <w:t>打分。</w:t>
            </w:r>
          </w:p>
          <w:p w14:paraId="1E3C2B32">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1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方案合理、科学的得3.5.0-6分；</w:t>
            </w:r>
          </w:p>
          <w:p w14:paraId="6020D0AF">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2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方案一般、内容常规的2-3.4分；</w:t>
            </w:r>
          </w:p>
          <w:p w14:paraId="1E952879">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3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方案粗糙、内容缺漏、操作性差的得0.1-1.9分。</w:t>
            </w:r>
          </w:p>
        </w:tc>
      </w:tr>
      <w:tr w14:paraId="3D14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45" w:type="dxa"/>
            <w:noWrap w:val="0"/>
            <w:vAlign w:val="center"/>
          </w:tcPr>
          <w:p w14:paraId="5C9E95A8">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p>
        </w:tc>
        <w:tc>
          <w:tcPr>
            <w:tcW w:w="1571" w:type="dxa"/>
            <w:noWrap w:val="0"/>
            <w:vAlign w:val="center"/>
          </w:tcPr>
          <w:p w14:paraId="6B09A1D8">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应急预案</w:t>
            </w:r>
          </w:p>
        </w:tc>
        <w:tc>
          <w:tcPr>
            <w:tcW w:w="1255" w:type="dxa"/>
            <w:noWrap w:val="0"/>
            <w:vAlign w:val="center"/>
          </w:tcPr>
          <w:p w14:paraId="14D537D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c>
          <w:tcPr>
            <w:tcW w:w="6308" w:type="dxa"/>
            <w:noWrap w:val="0"/>
            <w:vAlign w:val="center"/>
          </w:tcPr>
          <w:p w14:paraId="21F3661F">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根据供应商针对本项目实施中可能遇到的紧急事件、自然灾害、突发事件、异常处理及配合重大活动等应急预案和对应的解决措施情况的科学性、合理性进行打分。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1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方案合理、科学的得3.0-4.0分；</w:t>
            </w:r>
          </w:p>
          <w:p w14:paraId="64C315DB">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2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方案一般、内容常规的2.0-2.9分；</w:t>
            </w:r>
          </w:p>
          <w:p w14:paraId="02503EB1">
            <w:pPr>
              <w:pStyle w:val="8"/>
              <w:keepNext w:val="0"/>
              <w:keepLines w:val="0"/>
              <w:pageBreakBefore w:val="0"/>
              <w:kinsoku/>
              <w:wordWrap/>
              <w:overflowPunct/>
              <w:topLinePunct w:val="0"/>
              <w:autoSpaceDE/>
              <w:autoSpaceDN/>
              <w:bidi w:val="0"/>
              <w:spacing w:line="34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 3 \* GB3 \* MERGEFORMAT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方案粗糙、内容缺漏、操作性差的得0.1-1.9分。</w:t>
            </w:r>
          </w:p>
        </w:tc>
      </w:tr>
    </w:tbl>
    <w:p w14:paraId="790C50B8">
      <w:pPr>
        <w:spacing w:line="360" w:lineRule="auto"/>
        <w:ind w:firstLine="420" w:firstLineChars="200"/>
        <w:rPr>
          <w:rFonts w:ascii="宋体" w:hAnsi="宋体" w:cs="宋体"/>
          <w:color w:val="auto"/>
          <w:kern w:val="0"/>
          <w:szCs w:val="21"/>
          <w:highlight w:val="none"/>
        </w:rPr>
      </w:pPr>
    </w:p>
    <w:p w14:paraId="22E229D3">
      <w:pPr>
        <w:spacing w:line="400" w:lineRule="exact"/>
        <w:jc w:val="left"/>
        <w:rPr>
          <w:rFonts w:ascii="宋体" w:hAnsi="宋体" w:cs="宋体"/>
          <w:color w:val="auto"/>
          <w:kern w:val="0"/>
          <w:szCs w:val="21"/>
          <w:highlight w:val="none"/>
        </w:rPr>
      </w:pPr>
    </w:p>
    <w:p w14:paraId="26E1DBF6">
      <w:pPr>
        <w:spacing w:line="400" w:lineRule="exact"/>
        <w:jc w:val="left"/>
        <w:rPr>
          <w:rFonts w:ascii="宋体" w:hAnsi="宋体" w:cs="宋体"/>
          <w:color w:val="auto"/>
          <w:kern w:val="0"/>
          <w:szCs w:val="21"/>
          <w:highlight w:val="none"/>
        </w:rPr>
      </w:pPr>
    </w:p>
    <w:p w14:paraId="1807ECB0">
      <w:pPr>
        <w:spacing w:line="400" w:lineRule="exact"/>
        <w:jc w:val="left"/>
        <w:rPr>
          <w:rFonts w:ascii="宋体" w:hAnsi="宋体" w:cs="宋体"/>
          <w:color w:val="auto"/>
          <w:kern w:val="0"/>
          <w:szCs w:val="21"/>
          <w:highlight w:val="none"/>
        </w:rPr>
      </w:pPr>
    </w:p>
    <w:p w14:paraId="6D731C0B">
      <w:pPr>
        <w:rPr>
          <w:rFonts w:asciiTheme="minorEastAsia" w:hAnsiTheme="minorEastAsia" w:eastAsiaTheme="minorEastAsia"/>
          <w:b/>
          <w:color w:val="auto"/>
          <w:sz w:val="36"/>
          <w:szCs w:val="36"/>
          <w:highlight w:val="none"/>
        </w:rPr>
      </w:pPr>
    </w:p>
    <w:p w14:paraId="562D458B">
      <w:pPr>
        <w:pStyle w:val="2"/>
        <w:rPr>
          <w:rFonts w:asciiTheme="minorEastAsia" w:hAnsiTheme="minorEastAsia" w:eastAsiaTheme="minorEastAsia"/>
          <w:b/>
          <w:color w:val="auto"/>
          <w:sz w:val="36"/>
          <w:szCs w:val="36"/>
          <w:highlight w:val="none"/>
        </w:rPr>
      </w:pPr>
    </w:p>
    <w:p w14:paraId="1AAC2705">
      <w:pPr>
        <w:pStyle w:val="22"/>
        <w:rPr>
          <w:rFonts w:asciiTheme="minorEastAsia" w:hAnsiTheme="minorEastAsia" w:eastAsiaTheme="minorEastAsia"/>
          <w:b/>
          <w:color w:val="auto"/>
          <w:sz w:val="36"/>
          <w:szCs w:val="36"/>
          <w:highlight w:val="none"/>
        </w:rPr>
      </w:pPr>
    </w:p>
    <w:p w14:paraId="7E6655BC">
      <w:pPr>
        <w:spacing w:line="360" w:lineRule="auto"/>
        <w:jc w:val="center"/>
        <w:rPr>
          <w:rStyle w:val="27"/>
          <w:rFonts w:ascii="宋体" w:hAnsi="宋体" w:cs="宋体"/>
          <w:b/>
          <w:bCs/>
          <w:color w:val="auto"/>
          <w:sz w:val="36"/>
          <w:szCs w:val="44"/>
          <w:highlight w:val="none"/>
        </w:rPr>
      </w:pPr>
      <w:r>
        <w:rPr>
          <w:rStyle w:val="27"/>
          <w:rFonts w:ascii="宋体" w:hAnsi="宋体" w:cs="宋体"/>
          <w:b/>
          <w:bCs/>
          <w:color w:val="auto"/>
          <w:sz w:val="36"/>
          <w:szCs w:val="44"/>
          <w:highlight w:val="none"/>
        </w:rPr>
        <w:t>第四章 公开招标需求</w:t>
      </w:r>
    </w:p>
    <w:p w14:paraId="619A9FB3">
      <w:pPr>
        <w:tabs>
          <w:tab w:val="left" w:pos="8280"/>
        </w:tabs>
        <w:autoSpaceDE w:val="0"/>
        <w:autoSpaceDN w:val="0"/>
        <w:adjustRightInd w:val="0"/>
        <w:snapToGrid w:val="0"/>
        <w:spacing w:line="360" w:lineRule="auto"/>
        <w:ind w:right="25"/>
        <w:jc w:val="left"/>
        <w:rPr>
          <w:rFonts w:ascii="宋体" w:hAnsi="宋体" w:cs="宋体"/>
          <w:color w:val="auto"/>
          <w:sz w:val="24"/>
          <w:highlight w:val="none"/>
        </w:rPr>
      </w:pPr>
      <w:r>
        <w:rPr>
          <w:rFonts w:hint="eastAsia" w:ascii="宋体" w:hAnsi="宋体" w:cs="宋体"/>
          <w:b/>
          <w:color w:val="auto"/>
          <w:sz w:val="24"/>
          <w:highlight w:val="none"/>
        </w:rPr>
        <w:t>一、招标项目一览表</w:t>
      </w:r>
    </w:p>
    <w:p w14:paraId="2B46DBC0">
      <w:pPr>
        <w:tabs>
          <w:tab w:val="left" w:pos="8280"/>
        </w:tabs>
        <w:autoSpaceDE w:val="0"/>
        <w:autoSpaceDN w:val="0"/>
        <w:adjustRightInd w:val="0"/>
        <w:snapToGrid w:val="0"/>
        <w:spacing w:line="360" w:lineRule="auto"/>
        <w:ind w:right="25" w:firstLine="280"/>
        <w:rPr>
          <w:rFonts w:ascii="宋体" w:hAnsi="宋体"/>
          <w:color w:val="auto"/>
          <w:sz w:val="24"/>
          <w:highlight w:val="none"/>
        </w:rPr>
      </w:pPr>
      <w:r>
        <w:rPr>
          <w:rFonts w:hint="eastAsia" w:ascii="宋体" w:hAnsi="宋体"/>
          <w:color w:val="auto"/>
          <w:sz w:val="24"/>
          <w:highlight w:val="none"/>
        </w:rPr>
        <w:t xml:space="preserve"> 本次招标项目共</w:t>
      </w:r>
      <w:r>
        <w:rPr>
          <w:rFonts w:hint="eastAsia" w:ascii="宋体" w:hAnsi="宋体"/>
          <w:color w:val="auto"/>
          <w:sz w:val="24"/>
          <w:highlight w:val="none"/>
          <w:u w:val="single"/>
        </w:rPr>
        <w:t>1</w:t>
      </w:r>
      <w:r>
        <w:rPr>
          <w:rFonts w:hint="eastAsia" w:ascii="宋体" w:hAnsi="宋体"/>
          <w:color w:val="auto"/>
          <w:sz w:val="24"/>
          <w:highlight w:val="none"/>
        </w:rPr>
        <w:t>个标段，具体内容如下表：</w:t>
      </w:r>
    </w:p>
    <w:tbl>
      <w:tblPr>
        <w:tblStyle w:val="23"/>
        <w:tblW w:w="8437" w:type="dxa"/>
        <w:jc w:val="center"/>
        <w:tblLayout w:type="fixed"/>
        <w:tblCellMar>
          <w:top w:w="0" w:type="dxa"/>
          <w:left w:w="0" w:type="dxa"/>
          <w:bottom w:w="0" w:type="dxa"/>
          <w:right w:w="0" w:type="dxa"/>
        </w:tblCellMar>
      </w:tblPr>
      <w:tblGrid>
        <w:gridCol w:w="539"/>
        <w:gridCol w:w="2558"/>
        <w:gridCol w:w="1970"/>
        <w:gridCol w:w="1525"/>
        <w:gridCol w:w="1845"/>
      </w:tblGrid>
      <w:tr w14:paraId="06AE6C94">
        <w:tblPrEx>
          <w:tblCellMar>
            <w:top w:w="0" w:type="dxa"/>
            <w:left w:w="0" w:type="dxa"/>
            <w:bottom w:w="0" w:type="dxa"/>
            <w:right w:w="0" w:type="dxa"/>
          </w:tblCellMar>
        </w:tblPrEx>
        <w:trPr>
          <w:trHeight w:val="625" w:hRule="atLeast"/>
          <w:jc w:val="center"/>
        </w:trPr>
        <w:tc>
          <w:tcPr>
            <w:tcW w:w="5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BCEBC7">
            <w:pPr>
              <w:spacing w:line="340" w:lineRule="exact"/>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序号</w:t>
            </w:r>
          </w:p>
        </w:tc>
        <w:tc>
          <w:tcPr>
            <w:tcW w:w="25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337755">
            <w:pPr>
              <w:spacing w:line="340" w:lineRule="exact"/>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采购内容</w:t>
            </w:r>
          </w:p>
        </w:tc>
        <w:tc>
          <w:tcPr>
            <w:tcW w:w="19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970574">
            <w:pPr>
              <w:spacing w:line="340" w:lineRule="exact"/>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数量</w:t>
            </w: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373BAB">
            <w:pPr>
              <w:spacing w:line="340" w:lineRule="exact"/>
              <w:jc w:val="center"/>
              <w:rPr>
                <w:rFonts w:hint="eastAsia" w:eastAsiaTheme="minorEastAsia"/>
                <w:color w:val="auto"/>
                <w:highlight w:val="none"/>
                <w:lang w:eastAsia="zh-CN"/>
              </w:rPr>
            </w:pPr>
            <w:r>
              <w:rPr>
                <w:rFonts w:hint="eastAsia" w:asciiTheme="minorEastAsia" w:hAnsiTheme="minorEastAsia" w:eastAsiaTheme="minorEastAsia"/>
                <w:color w:val="auto"/>
                <w:kern w:val="0"/>
                <w:sz w:val="24"/>
                <w:highlight w:val="none"/>
                <w:lang w:eastAsia="zh-CN"/>
              </w:rPr>
              <w:t>预算金额</w:t>
            </w:r>
          </w:p>
        </w:tc>
        <w:tc>
          <w:tcPr>
            <w:tcW w:w="1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2DEC50">
            <w:pPr>
              <w:spacing w:line="340" w:lineRule="exact"/>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服务期</w:t>
            </w:r>
          </w:p>
        </w:tc>
      </w:tr>
      <w:tr w14:paraId="22C552DE">
        <w:tblPrEx>
          <w:tblCellMar>
            <w:top w:w="0" w:type="dxa"/>
            <w:left w:w="0" w:type="dxa"/>
            <w:bottom w:w="0" w:type="dxa"/>
            <w:right w:w="0" w:type="dxa"/>
          </w:tblCellMar>
        </w:tblPrEx>
        <w:trPr>
          <w:trHeight w:val="1070" w:hRule="atLeast"/>
          <w:jc w:val="center"/>
        </w:trPr>
        <w:tc>
          <w:tcPr>
            <w:tcW w:w="5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FC8316">
            <w:pPr>
              <w:spacing w:line="340" w:lineRule="exact"/>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w:t>
            </w:r>
          </w:p>
        </w:tc>
        <w:tc>
          <w:tcPr>
            <w:tcW w:w="25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687496">
            <w:pPr>
              <w:spacing w:line="340" w:lineRule="exact"/>
              <w:jc w:val="center"/>
              <w:rPr>
                <w:rFonts w:hint="eastAsia" w:asciiTheme="minorEastAsia" w:hAnsiTheme="minorEastAsia" w:eastAsiaTheme="minorEastAsia"/>
                <w:color w:val="auto"/>
                <w:kern w:val="0"/>
                <w:sz w:val="24"/>
                <w:highlight w:val="none"/>
                <w:lang w:eastAsia="zh-CN"/>
              </w:rPr>
            </w:pPr>
            <w:r>
              <w:rPr>
                <w:rFonts w:hint="eastAsia" w:ascii="宋体" w:hAnsi="宋体" w:cs="Times New Roman"/>
                <w:color w:val="auto"/>
                <w:sz w:val="24"/>
                <w:highlight w:val="none"/>
                <w:lang w:eastAsia="zh-CN"/>
              </w:rPr>
              <w:t>路桥区海塘排涝闸2026-2028年物业化管理项目</w:t>
            </w:r>
          </w:p>
        </w:tc>
        <w:tc>
          <w:tcPr>
            <w:tcW w:w="19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C3C616">
            <w:pPr>
              <w:spacing w:line="340" w:lineRule="exact"/>
              <w:jc w:val="center"/>
              <w:rPr>
                <w:rFonts w:ascii="宋体"/>
                <w:color w:val="auto"/>
                <w:kern w:val="0"/>
                <w:sz w:val="24"/>
                <w:highlight w:val="none"/>
              </w:rPr>
            </w:pPr>
            <w:r>
              <w:rPr>
                <w:rFonts w:hint="eastAsia" w:asciiTheme="minorEastAsia" w:hAnsiTheme="minorEastAsia" w:eastAsiaTheme="minorEastAsia"/>
                <w:color w:val="auto"/>
                <w:kern w:val="0"/>
                <w:sz w:val="24"/>
                <w:highlight w:val="none"/>
              </w:rPr>
              <w:t>1项</w:t>
            </w: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2588B">
            <w:pPr>
              <w:jc w:val="center"/>
              <w:rPr>
                <w:rFonts w:hint="eastAsia" w:asciiTheme="minorEastAsia" w:hAnsiTheme="minorEastAsia" w:eastAsiaTheme="minorEastAsia"/>
                <w:color w:val="auto"/>
                <w:kern w:val="0"/>
                <w:sz w:val="24"/>
                <w:highlight w:val="none"/>
                <w:lang w:eastAsia="zh-CN"/>
              </w:rPr>
            </w:pPr>
            <w:r>
              <w:rPr>
                <w:rFonts w:hint="eastAsia" w:ascii="宋体" w:cs="Times New Roman"/>
                <w:color w:val="auto"/>
                <w:sz w:val="24"/>
                <w:highlight w:val="none"/>
                <w:lang w:val="en-US" w:eastAsia="zh-CN"/>
              </w:rPr>
              <w:t>46.5万元/年</w:t>
            </w:r>
            <w:r>
              <w:rPr>
                <w:rFonts w:hint="default" w:ascii="Arial" w:hAnsi="Arial" w:cs="Arial"/>
                <w:color w:val="auto"/>
                <w:sz w:val="24"/>
                <w:highlight w:val="none"/>
                <w:lang w:val="en-US" w:eastAsia="zh-CN"/>
              </w:rPr>
              <w:t>×</w:t>
            </w:r>
            <w:r>
              <w:rPr>
                <w:rFonts w:hint="eastAsia" w:ascii="宋体" w:cs="Times New Roman"/>
                <w:color w:val="auto"/>
                <w:sz w:val="24"/>
                <w:highlight w:val="none"/>
                <w:lang w:val="en-US" w:eastAsia="zh-CN"/>
              </w:rPr>
              <w:t>3=139.5万元</w:t>
            </w:r>
          </w:p>
        </w:tc>
        <w:tc>
          <w:tcPr>
            <w:tcW w:w="18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D64E2">
            <w:pPr>
              <w:tabs>
                <w:tab w:val="left" w:pos="180"/>
                <w:tab w:val="left" w:pos="360"/>
                <w:tab w:val="left" w:pos="540"/>
                <w:tab w:val="left" w:pos="8280"/>
              </w:tabs>
              <w:autoSpaceDE w:val="0"/>
              <w:autoSpaceDN w:val="0"/>
              <w:adjustRightInd w:val="0"/>
              <w:ind w:right="23" w:rightChars="0"/>
              <w:jc w:val="center"/>
              <w:rPr>
                <w:rFonts w:asciiTheme="minorEastAsia" w:hAnsiTheme="minorEastAsia" w:eastAsiaTheme="minorEastAsia"/>
                <w:color w:val="auto"/>
                <w:kern w:val="0"/>
                <w:sz w:val="24"/>
                <w:highlight w:val="none"/>
              </w:rPr>
            </w:pPr>
            <w:r>
              <w:rPr>
                <w:rFonts w:hint="eastAsia" w:ascii="宋体" w:cs="Times New Roman"/>
                <w:color w:val="auto"/>
                <w:sz w:val="24"/>
                <w:highlight w:val="none"/>
                <w:lang w:val="en-US" w:eastAsia="zh-CN"/>
              </w:rPr>
              <w:t>三年（2026年-2028年），合同一年一签。</w:t>
            </w:r>
          </w:p>
        </w:tc>
      </w:tr>
    </w:tbl>
    <w:p w14:paraId="327F8599">
      <w:pPr>
        <w:tabs>
          <w:tab w:val="left" w:pos="8280"/>
        </w:tabs>
        <w:autoSpaceDE w:val="0"/>
        <w:autoSpaceDN w:val="0"/>
        <w:adjustRightInd w:val="0"/>
        <w:snapToGrid w:val="0"/>
        <w:spacing w:line="360" w:lineRule="auto"/>
        <w:ind w:right="25"/>
        <w:jc w:val="left"/>
        <w:rPr>
          <w:rFonts w:hint="eastAsia" w:ascii="宋体" w:hAnsi="宋体" w:eastAsia="宋体" w:cs="宋体"/>
          <w:b/>
          <w:color w:val="auto"/>
          <w:sz w:val="24"/>
          <w:highlight w:val="none"/>
          <w:lang w:val="en-US" w:eastAsia="zh-CN"/>
        </w:rPr>
      </w:pPr>
    </w:p>
    <w:p w14:paraId="77D366E9">
      <w:pPr>
        <w:tabs>
          <w:tab w:val="left" w:pos="8280"/>
        </w:tabs>
        <w:autoSpaceDE w:val="0"/>
        <w:autoSpaceDN w:val="0"/>
        <w:adjustRightInd w:val="0"/>
        <w:snapToGrid w:val="0"/>
        <w:spacing w:line="360" w:lineRule="auto"/>
        <w:ind w:right="25"/>
        <w:jc w:val="left"/>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二、水闸、海塘基本情况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7117"/>
      </w:tblGrid>
      <w:tr w14:paraId="5E6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9" w:type="dxa"/>
            <w:noWrap w:val="0"/>
            <w:vAlign w:val="top"/>
          </w:tcPr>
          <w:p w14:paraId="528A500F">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center"/>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名称</w:t>
            </w:r>
          </w:p>
        </w:tc>
        <w:tc>
          <w:tcPr>
            <w:tcW w:w="8023" w:type="dxa"/>
            <w:noWrap w:val="0"/>
            <w:vAlign w:val="top"/>
          </w:tcPr>
          <w:p w14:paraId="4911DEC0">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center"/>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基本情况</w:t>
            </w:r>
          </w:p>
        </w:tc>
      </w:tr>
      <w:tr w14:paraId="6A1F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FBE7528">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center"/>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五洞闸</w:t>
            </w:r>
          </w:p>
        </w:tc>
        <w:tc>
          <w:tcPr>
            <w:tcW w:w="8023" w:type="dxa"/>
            <w:noWrap w:val="0"/>
            <w:vAlign w:val="top"/>
          </w:tcPr>
          <w:p w14:paraId="630DB840">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left"/>
              <w:textAlignment w:val="baseline"/>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水闸类型：排（退）水闸，闸孔数量：5孔，闸孔总净宽：15米，所在河流水系：七条河，水闸规模：4，小型水闸，启闭机类型：螺杆式，流量：90m³/s</w:t>
            </w:r>
          </w:p>
        </w:tc>
      </w:tr>
      <w:tr w14:paraId="50DD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5078B738">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center"/>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五丰闸</w:t>
            </w:r>
          </w:p>
        </w:tc>
        <w:tc>
          <w:tcPr>
            <w:tcW w:w="8023" w:type="dxa"/>
            <w:noWrap w:val="0"/>
            <w:vAlign w:val="top"/>
          </w:tcPr>
          <w:p w14:paraId="18FF5A91">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left"/>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水闸类型：排（退）水闸，闸孔数量：3孔，闸孔总净宽：15米，所在河流水系：四条河，水闸规模：4，小型水闸，启闭机类型：卷扬式，流量：82m³/s</w:t>
            </w:r>
          </w:p>
        </w:tc>
      </w:tr>
      <w:tr w14:paraId="6F70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7138162">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center"/>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三涂闸</w:t>
            </w:r>
          </w:p>
        </w:tc>
        <w:tc>
          <w:tcPr>
            <w:tcW w:w="8023" w:type="dxa"/>
            <w:noWrap w:val="0"/>
            <w:vAlign w:val="top"/>
          </w:tcPr>
          <w:p w14:paraId="68A8EC06">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left"/>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水闸类型：排（退）水闸，闸孔数量：3孔，闸孔总净宽：9.5米，所在河流水系：三涂直落河，水闸规模：4，小型水闸，启闭机类型：螺杆式，流量：30m³/s</w:t>
            </w:r>
          </w:p>
        </w:tc>
      </w:tr>
      <w:tr w14:paraId="5C13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33228980">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center"/>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剑门港闸</w:t>
            </w:r>
          </w:p>
        </w:tc>
        <w:tc>
          <w:tcPr>
            <w:tcW w:w="8023" w:type="dxa"/>
            <w:noWrap w:val="0"/>
            <w:vAlign w:val="top"/>
          </w:tcPr>
          <w:p w14:paraId="2DC3F241">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left"/>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水闸类型：挡潮闸，闸孔数量：3孔，闸孔总净宽：9米，所在河流水系：三涂直落河，水闸规模：4，小型水闸，启闭机类型：螺杆式，流量：45m³/s</w:t>
            </w:r>
          </w:p>
        </w:tc>
      </w:tr>
      <w:tr w14:paraId="62CA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70B75546">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center"/>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环场东河闸</w:t>
            </w:r>
          </w:p>
        </w:tc>
        <w:tc>
          <w:tcPr>
            <w:tcW w:w="8023" w:type="dxa"/>
            <w:noWrap w:val="0"/>
            <w:vAlign w:val="top"/>
          </w:tcPr>
          <w:p w14:paraId="053CE124">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left"/>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水闸类型：排（退）水闸，闸孔数量：2孔，闸孔总净宽：7米，所在河流水系：三涂直落河，水闸规模：5，小型水闸，启闭机类型：螺杆式，流量：45m³/s</w:t>
            </w:r>
          </w:p>
        </w:tc>
      </w:tr>
      <w:tr w14:paraId="61FD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60322444">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ind w:left="0" w:leftChars="0" w:firstLine="0" w:firstLineChars="0"/>
              <w:jc w:val="center"/>
              <w:textAlignment w:val="baseline"/>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color w:val="auto"/>
                <w:kern w:val="0"/>
                <w:sz w:val="21"/>
                <w:szCs w:val="21"/>
                <w:highlight w:val="none"/>
                <w:lang w:val="en-US" w:eastAsia="zh-CN" w:bidi="ar-SA"/>
              </w:rPr>
              <w:t>九塘</w:t>
            </w:r>
          </w:p>
        </w:tc>
        <w:tc>
          <w:tcPr>
            <w:tcW w:w="8023" w:type="dxa"/>
            <w:noWrap w:val="0"/>
            <w:vAlign w:val="top"/>
          </w:tcPr>
          <w:p w14:paraId="6929AC7E">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left"/>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设计潮位5.31m，土石混合堤，海塘长度1744m，海塘高程6.76m，设计防潮标准：50年一遇</w:t>
            </w:r>
          </w:p>
        </w:tc>
      </w:tr>
      <w:tr w14:paraId="3275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7B23847">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ind w:left="0" w:leftChars="0" w:firstLine="0" w:firstLineChars="0"/>
              <w:jc w:val="center"/>
              <w:textAlignment w:val="baseline"/>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color w:val="auto"/>
                <w:kern w:val="0"/>
                <w:sz w:val="21"/>
                <w:szCs w:val="21"/>
                <w:highlight w:val="none"/>
                <w:lang w:val="en-US" w:eastAsia="zh-CN" w:bidi="ar-SA"/>
              </w:rPr>
              <w:t>十塘</w:t>
            </w:r>
          </w:p>
        </w:tc>
        <w:tc>
          <w:tcPr>
            <w:tcW w:w="8023" w:type="dxa"/>
            <w:noWrap w:val="0"/>
            <w:vAlign w:val="top"/>
          </w:tcPr>
          <w:p w14:paraId="603B56F8">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left"/>
              <w:textAlignment w:val="baseline"/>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设计潮位5.31m，土石混合堤，海塘长度7163m，海塘高程6.76m，设计防潮标准：50年一遇</w:t>
            </w:r>
          </w:p>
        </w:tc>
      </w:tr>
      <w:tr w14:paraId="5135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21729934">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ind w:left="0" w:leftChars="0" w:firstLine="0" w:firstLineChars="0"/>
              <w:jc w:val="center"/>
              <w:textAlignment w:val="baseline"/>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color w:val="auto"/>
                <w:kern w:val="0"/>
                <w:sz w:val="21"/>
                <w:szCs w:val="21"/>
                <w:highlight w:val="none"/>
                <w:lang w:val="en-US" w:eastAsia="zh-CN" w:bidi="ar-SA"/>
              </w:rPr>
              <w:t>王屿外堤</w:t>
            </w:r>
          </w:p>
        </w:tc>
        <w:tc>
          <w:tcPr>
            <w:tcW w:w="8023" w:type="dxa"/>
            <w:noWrap w:val="0"/>
            <w:vAlign w:val="top"/>
          </w:tcPr>
          <w:p w14:paraId="2753C971">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left"/>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设计潮位5.31m，土石混合堤，海塘长度2885m，海塘高程6.76m，设计防潮标准：50年一遇</w:t>
            </w:r>
          </w:p>
        </w:tc>
      </w:tr>
      <w:tr w14:paraId="75C2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412716F">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ind w:left="0" w:leftChars="0" w:firstLine="0" w:firstLineChars="0"/>
              <w:jc w:val="center"/>
              <w:textAlignment w:val="baseline"/>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color w:val="auto"/>
                <w:kern w:val="0"/>
                <w:sz w:val="21"/>
                <w:szCs w:val="21"/>
                <w:highlight w:val="none"/>
                <w:lang w:val="en-US" w:eastAsia="zh-CN" w:bidi="ar-SA"/>
              </w:rPr>
              <w:t>分水盐场塘</w:t>
            </w:r>
          </w:p>
        </w:tc>
        <w:tc>
          <w:tcPr>
            <w:tcW w:w="8023" w:type="dxa"/>
            <w:noWrap w:val="0"/>
            <w:vAlign w:val="top"/>
          </w:tcPr>
          <w:p w14:paraId="6DDF6645">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left"/>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设计潮位5.16m，土石混合堤，海塘长度898m，海塘高程5.6m，设计防潮标准：50年一遇。</w:t>
            </w:r>
          </w:p>
        </w:tc>
      </w:tr>
      <w:tr w14:paraId="2843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noWrap w:val="0"/>
            <w:vAlign w:val="center"/>
          </w:tcPr>
          <w:p w14:paraId="4B3140EB">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ind w:left="0" w:leftChars="0" w:firstLine="0" w:firstLineChars="0"/>
              <w:jc w:val="center"/>
              <w:textAlignment w:val="baseline"/>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白沙外堤</w:t>
            </w:r>
          </w:p>
        </w:tc>
        <w:tc>
          <w:tcPr>
            <w:tcW w:w="8023" w:type="dxa"/>
            <w:noWrap w:val="0"/>
            <w:vAlign w:val="top"/>
          </w:tcPr>
          <w:p w14:paraId="19671757">
            <w:pPr>
              <w:keepNext w:val="0"/>
              <w:keepLines w:val="0"/>
              <w:pageBreakBefore w:val="0"/>
              <w:widowControl/>
              <w:numPr>
                <w:ilvl w:val="0"/>
                <w:numId w:val="0"/>
              </w:numPr>
              <w:kinsoku/>
              <w:wordWrap/>
              <w:overflowPunct w:val="0"/>
              <w:topLinePunct w:val="0"/>
              <w:autoSpaceDE w:val="0"/>
              <w:autoSpaceDN w:val="0"/>
              <w:bidi w:val="0"/>
              <w:adjustRightInd/>
              <w:snapToGrid/>
              <w:spacing w:before="0" w:beforeLines="0" w:after="0" w:afterLines="0" w:line="240" w:lineRule="auto"/>
              <w:jc w:val="left"/>
              <w:textAlignment w:val="baseline"/>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设计潮位5.16m，土石混合堤，海塘长度716m，海塘高程5.37m，设计防潮标准：50年一遇</w:t>
            </w:r>
          </w:p>
        </w:tc>
      </w:tr>
    </w:tbl>
    <w:p w14:paraId="6555E165">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47A80A4E">
      <w:pPr>
        <w:numPr>
          <w:ilvl w:val="0"/>
          <w:numId w:val="0"/>
        </w:numPr>
        <w:tabs>
          <w:tab w:val="left" w:pos="8280"/>
        </w:tabs>
        <w:autoSpaceDE w:val="0"/>
        <w:autoSpaceDN w:val="0"/>
        <w:adjustRightInd w:val="0"/>
        <w:snapToGrid w:val="0"/>
        <w:spacing w:line="360" w:lineRule="auto"/>
        <w:ind w:right="25" w:rightChars="0"/>
        <w:jc w:val="left"/>
        <w:rPr>
          <w:rFonts w:hint="eastAsia" w:ascii="宋体" w:hAnsi="宋体" w:cs="宋体"/>
          <w:b/>
          <w:color w:val="auto"/>
          <w:sz w:val="24"/>
          <w:highlight w:val="none"/>
        </w:rPr>
      </w:pPr>
      <w:r>
        <w:rPr>
          <w:rFonts w:hint="eastAsia" w:ascii="宋体" w:hAnsi="宋体" w:cs="宋体"/>
          <w:b/>
          <w:color w:val="auto"/>
          <w:sz w:val="24"/>
          <w:highlight w:val="none"/>
        </w:rPr>
        <w:t>项目采购清单</w:t>
      </w:r>
    </w:p>
    <w:tbl>
      <w:tblPr>
        <w:tblStyle w:val="23"/>
        <w:tblW w:w="9177" w:type="dxa"/>
        <w:jc w:val="center"/>
        <w:tblLayout w:type="fixed"/>
        <w:tblCellMar>
          <w:top w:w="0" w:type="dxa"/>
          <w:left w:w="0" w:type="dxa"/>
          <w:bottom w:w="0" w:type="dxa"/>
          <w:right w:w="0" w:type="dxa"/>
        </w:tblCellMar>
      </w:tblPr>
      <w:tblGrid>
        <w:gridCol w:w="582"/>
        <w:gridCol w:w="2026"/>
        <w:gridCol w:w="957"/>
        <w:gridCol w:w="810"/>
        <w:gridCol w:w="703"/>
        <w:gridCol w:w="4099"/>
      </w:tblGrid>
      <w:tr w14:paraId="19DDCEA0">
        <w:tblPrEx>
          <w:tblCellMar>
            <w:top w:w="0" w:type="dxa"/>
            <w:left w:w="0" w:type="dxa"/>
            <w:bottom w:w="0" w:type="dxa"/>
            <w:right w:w="0" w:type="dxa"/>
          </w:tblCellMar>
        </w:tblPrEx>
        <w:trPr>
          <w:trHeight w:val="723"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C7E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序号</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394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项目名称</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8EF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3F7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数量</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425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次数</w:t>
            </w: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468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备注</w:t>
            </w:r>
          </w:p>
        </w:tc>
      </w:tr>
      <w:tr w14:paraId="6EFDDE64">
        <w:tblPrEx>
          <w:tblCellMar>
            <w:top w:w="0" w:type="dxa"/>
            <w:left w:w="0" w:type="dxa"/>
            <w:bottom w:w="0" w:type="dxa"/>
            <w:right w:w="0" w:type="dxa"/>
          </w:tblCellMar>
        </w:tblPrEx>
        <w:trPr>
          <w:trHeight w:val="1169"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5F86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一</w:t>
            </w:r>
          </w:p>
        </w:tc>
        <w:tc>
          <w:tcPr>
            <w:tcW w:w="4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2B025">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b/>
                <w:bCs/>
                <w:color w:val="auto"/>
                <w:kern w:val="0"/>
                <w:sz w:val="21"/>
                <w:szCs w:val="21"/>
                <w:highlight w:val="none"/>
                <w:lang w:eastAsia="zh-CN"/>
              </w:rPr>
              <w:t>白沙外堤、分水盐场塘标准化运行物业化管理项目</w:t>
            </w: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72E4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一线海塘</w:t>
            </w:r>
          </w:p>
        </w:tc>
      </w:tr>
      <w:tr w14:paraId="57344E1C">
        <w:tblPrEx>
          <w:tblCellMar>
            <w:top w:w="0" w:type="dxa"/>
            <w:left w:w="0" w:type="dxa"/>
            <w:bottom w:w="0" w:type="dxa"/>
            <w:right w:w="0" w:type="dxa"/>
          </w:tblCellMar>
        </w:tblPrEx>
        <w:trPr>
          <w:trHeight w:val="121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06E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6F8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巡查管理人员</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F68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人/年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2FA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0B7F8">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DA10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参类似工程项目情况测算（汛期全线巡查2天一次、非汛期巡查3天一次）</w:t>
            </w:r>
          </w:p>
        </w:tc>
      </w:tr>
      <w:tr w14:paraId="143B1993">
        <w:tblPrEx>
          <w:tblCellMar>
            <w:top w:w="0" w:type="dxa"/>
            <w:left w:w="0" w:type="dxa"/>
            <w:bottom w:w="0" w:type="dxa"/>
            <w:right w:w="0" w:type="dxa"/>
          </w:tblCellMar>
        </w:tblPrEx>
        <w:trPr>
          <w:trHeight w:val="666"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F08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A76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测绘</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0CFBF">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项</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0C105">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75BEC">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29068">
            <w:pPr>
              <w:keepNext w:val="0"/>
              <w:keepLines w:val="0"/>
              <w:pageBreakBefore w:val="0"/>
              <w:kinsoku/>
              <w:wordWrap/>
              <w:overflowPunct/>
              <w:topLinePunct w:val="0"/>
              <w:autoSpaceDE/>
              <w:autoSpaceDN/>
              <w:bidi w:val="0"/>
              <w:adjustRightInd/>
              <w:snapToGrid w:val="0"/>
              <w:jc w:val="left"/>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分水盐场塘</w:t>
            </w:r>
          </w:p>
        </w:tc>
      </w:tr>
      <w:tr w14:paraId="50F6761E">
        <w:tblPrEx>
          <w:tblCellMar>
            <w:top w:w="0" w:type="dxa"/>
            <w:left w:w="0" w:type="dxa"/>
            <w:bottom w:w="0" w:type="dxa"/>
            <w:right w:w="0" w:type="dxa"/>
          </w:tblCellMar>
        </w:tblPrEx>
        <w:trPr>
          <w:trHeight w:val="918"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4170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2.1</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ED6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沉降观测点三等水准路线联测</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D8C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组日</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6ED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0AE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w:t>
            </w: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ACAD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分水盐场塘</w:t>
            </w:r>
            <w:r>
              <w:rPr>
                <w:rFonts w:hint="eastAsia"/>
                <w:sz w:val="21"/>
                <w:szCs w:val="21"/>
                <w:highlight w:val="none"/>
              </w:rPr>
              <w:t>2次/每年</w:t>
            </w:r>
          </w:p>
        </w:tc>
      </w:tr>
      <w:tr w14:paraId="79863AB8">
        <w:tblPrEx>
          <w:tblCellMar>
            <w:top w:w="0" w:type="dxa"/>
            <w:left w:w="0" w:type="dxa"/>
            <w:bottom w:w="0" w:type="dxa"/>
            <w:right w:w="0" w:type="dxa"/>
          </w:tblCellMar>
        </w:tblPrEx>
        <w:trPr>
          <w:trHeight w:val="691"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0BB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2.2</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B7E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塘坝裂缝观测</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821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组日</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76E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82F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w:t>
            </w: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09FD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分水盐场塘</w:t>
            </w:r>
            <w:r>
              <w:rPr>
                <w:rFonts w:hint="eastAsia" w:asciiTheme="minorEastAsia" w:hAnsiTheme="minorEastAsia" w:eastAsiaTheme="minorEastAsia" w:cstheme="minorEastAsia"/>
                <w:i w:val="0"/>
                <w:color w:val="auto"/>
                <w:kern w:val="0"/>
                <w:sz w:val="21"/>
                <w:szCs w:val="21"/>
                <w:highlight w:val="none"/>
                <w:u w:val="none"/>
                <w:lang w:val="en-US" w:eastAsia="zh-CN" w:bidi="ar"/>
              </w:rPr>
              <w:t>2次/每年</w:t>
            </w:r>
          </w:p>
        </w:tc>
      </w:tr>
      <w:tr w14:paraId="38C5A5AB">
        <w:tblPrEx>
          <w:tblCellMar>
            <w:top w:w="0" w:type="dxa"/>
            <w:left w:w="0" w:type="dxa"/>
            <w:bottom w:w="0" w:type="dxa"/>
            <w:right w:w="0" w:type="dxa"/>
          </w:tblCellMar>
        </w:tblPrEx>
        <w:trPr>
          <w:trHeight w:val="133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868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55D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平台数据录入维护、资料整理、技术服务等</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183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90A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2F405">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D2DD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管理平台数据维护</w:t>
            </w:r>
          </w:p>
        </w:tc>
      </w:tr>
      <w:tr w14:paraId="749B40FB">
        <w:tblPrEx>
          <w:tblCellMar>
            <w:top w:w="0" w:type="dxa"/>
            <w:left w:w="0" w:type="dxa"/>
            <w:bottom w:w="0" w:type="dxa"/>
            <w:right w:w="0" w:type="dxa"/>
          </w:tblCellMar>
        </w:tblPrEx>
        <w:trPr>
          <w:trHeight w:val="1233"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5B2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775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绿化养护及保洁</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A99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8D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83B8E">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78C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sz w:val="21"/>
                <w:szCs w:val="21"/>
                <w:highlight w:val="none"/>
                <w:lang w:val="en-US" w:eastAsia="zh-CN"/>
              </w:rPr>
              <w:t>路桥区海塘涵闸所草坪、五丰闸外草坪养护，白沙外堤、分水盐场塘等塘顶垃圾清理</w:t>
            </w:r>
          </w:p>
        </w:tc>
      </w:tr>
      <w:tr w14:paraId="4EB47DEF">
        <w:tblPrEx>
          <w:tblCellMar>
            <w:top w:w="0" w:type="dxa"/>
            <w:left w:w="0" w:type="dxa"/>
            <w:bottom w:w="0" w:type="dxa"/>
            <w:right w:w="0" w:type="dxa"/>
          </w:tblCellMar>
        </w:tblPrEx>
        <w:trPr>
          <w:trHeight w:val="762"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33C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二</w:t>
            </w:r>
          </w:p>
        </w:tc>
        <w:tc>
          <w:tcPr>
            <w:tcW w:w="4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F1969">
            <w:pPr>
              <w:shd w:val="clear" w:color="auto" w:fill="auto"/>
              <w:spacing w:line="400" w:lineRule="exact"/>
              <w:jc w:val="center"/>
              <w:rPr>
                <w:rFonts w:hint="eastAsia" w:ascii="宋体" w:hAnsi="宋体" w:eastAsia="宋体" w:cs="Times New Roman"/>
                <w:b/>
                <w:bCs w:val="0"/>
                <w:spacing w:val="11"/>
                <w:sz w:val="21"/>
                <w:szCs w:val="21"/>
                <w:highlight w:val="none"/>
                <w:lang w:eastAsia="zh-CN"/>
              </w:rPr>
            </w:pPr>
            <w:r>
              <w:rPr>
                <w:rFonts w:hint="eastAsia" w:ascii="宋体" w:hAnsi="宋体" w:eastAsia="宋体" w:cs="Times New Roman"/>
                <w:b/>
                <w:bCs w:val="0"/>
                <w:spacing w:val="11"/>
                <w:sz w:val="21"/>
                <w:szCs w:val="21"/>
                <w:highlight w:val="none"/>
                <w:lang w:eastAsia="zh-CN"/>
              </w:rPr>
              <w:t>路桥区九塘等五条海塘、五洞闸等五座水闸物业化管理项目</w:t>
            </w:r>
          </w:p>
          <w:p w14:paraId="4BB49DDB">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1855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p>
        </w:tc>
      </w:tr>
      <w:tr w14:paraId="4315F231">
        <w:tblPrEx>
          <w:tblCellMar>
            <w:top w:w="0" w:type="dxa"/>
            <w:left w:w="0" w:type="dxa"/>
            <w:bottom w:w="0" w:type="dxa"/>
            <w:right w:w="0" w:type="dxa"/>
          </w:tblCellMar>
        </w:tblPrEx>
        <w:trPr>
          <w:trHeight w:val="921"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7F767">
            <w:pPr>
              <w:shd w:val="clear" w:color="auto" w:fill="auto"/>
              <w:spacing w:line="400" w:lineRule="exact"/>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spacing w:val="11"/>
                <w:sz w:val="21"/>
                <w:szCs w:val="21"/>
                <w:highlight w:val="none"/>
              </w:rPr>
              <w:t>1</w:t>
            </w:r>
          </w:p>
        </w:tc>
        <w:tc>
          <w:tcPr>
            <w:tcW w:w="4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FCB94">
            <w:pPr>
              <w:shd w:val="clear" w:color="auto" w:fill="auto"/>
              <w:spacing w:line="400" w:lineRule="exact"/>
              <w:jc w:val="center"/>
              <w:rPr>
                <w:rFonts w:hint="eastAsia" w:asciiTheme="minorEastAsia" w:hAnsiTheme="minorEastAsia" w:eastAsiaTheme="minorEastAsia" w:cstheme="minorEastAsia"/>
                <w:i w:val="0"/>
                <w:color w:val="auto"/>
                <w:sz w:val="21"/>
                <w:szCs w:val="21"/>
                <w:highlight w:val="none"/>
                <w:u w:val="none"/>
              </w:rPr>
            </w:pPr>
            <w:r>
              <w:rPr>
                <w:rFonts w:hint="eastAsia" w:ascii="宋体" w:hAnsi="宋体" w:eastAsia="宋体"/>
                <w:bCs/>
                <w:spacing w:val="11"/>
                <w:sz w:val="21"/>
                <w:szCs w:val="21"/>
                <w:highlight w:val="none"/>
                <w:lang w:eastAsia="zh-CN"/>
              </w:rPr>
              <w:t>五洞闸</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五丰闸</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三涂闸</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剑门港闸</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环场东河闸物业化管理服务费</w:t>
            </w: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0F76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r>
              <w:rPr>
                <w:rFonts w:hint="eastAsia" w:ascii="宋体" w:hAnsi="宋体"/>
                <w:spacing w:val="11"/>
                <w:sz w:val="21"/>
                <w:szCs w:val="21"/>
                <w:highlight w:val="none"/>
                <w:lang w:val="en-US" w:eastAsia="zh-CN"/>
              </w:rPr>
              <w:t>满足招标文件要求</w:t>
            </w:r>
          </w:p>
        </w:tc>
      </w:tr>
      <w:tr w14:paraId="45D0FC70">
        <w:tblPrEx>
          <w:tblCellMar>
            <w:top w:w="0" w:type="dxa"/>
            <w:left w:w="0" w:type="dxa"/>
            <w:bottom w:w="0" w:type="dxa"/>
            <w:right w:w="0" w:type="dxa"/>
          </w:tblCellMar>
        </w:tblPrEx>
        <w:trPr>
          <w:trHeight w:val="921"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A091B">
            <w:pPr>
              <w:shd w:val="clear" w:color="auto" w:fill="auto"/>
              <w:spacing w:line="400" w:lineRule="exact"/>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spacing w:val="11"/>
                <w:sz w:val="21"/>
                <w:szCs w:val="21"/>
                <w:highlight w:val="none"/>
                <w:lang w:val="en-US" w:eastAsia="zh-CN"/>
              </w:rPr>
              <w:t>2</w:t>
            </w:r>
          </w:p>
        </w:tc>
        <w:tc>
          <w:tcPr>
            <w:tcW w:w="4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015D5">
            <w:pPr>
              <w:shd w:val="clear" w:color="auto" w:fill="auto"/>
              <w:spacing w:line="400" w:lineRule="exact"/>
              <w:jc w:val="center"/>
              <w:rPr>
                <w:rFonts w:hint="eastAsia" w:asciiTheme="minorEastAsia" w:hAnsiTheme="minorEastAsia" w:eastAsiaTheme="minorEastAsia" w:cstheme="minorEastAsia"/>
                <w:i w:val="0"/>
                <w:color w:val="auto"/>
                <w:sz w:val="21"/>
                <w:szCs w:val="21"/>
                <w:highlight w:val="none"/>
                <w:u w:val="none"/>
              </w:rPr>
            </w:pPr>
            <w:r>
              <w:rPr>
                <w:rFonts w:hint="eastAsia" w:ascii="宋体" w:hAnsi="宋体" w:eastAsia="宋体"/>
                <w:bCs/>
                <w:spacing w:val="11"/>
                <w:sz w:val="21"/>
                <w:szCs w:val="21"/>
                <w:highlight w:val="none"/>
                <w:lang w:eastAsia="zh-CN"/>
              </w:rPr>
              <w:t>九塘</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十塘</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王屿外堤</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分水盐场塘</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白沙外堤</w:t>
            </w:r>
            <w:r>
              <w:rPr>
                <w:rFonts w:hint="eastAsia" w:ascii="宋体" w:hAnsi="宋体"/>
                <w:bCs/>
                <w:spacing w:val="11"/>
                <w:sz w:val="21"/>
                <w:szCs w:val="21"/>
                <w:highlight w:val="none"/>
                <w:lang w:eastAsia="zh-CN"/>
              </w:rPr>
              <w:t>（</w:t>
            </w:r>
            <w:r>
              <w:rPr>
                <w:rFonts w:hint="eastAsia" w:ascii="宋体" w:hAnsi="宋体"/>
                <w:bCs/>
                <w:spacing w:val="11"/>
                <w:sz w:val="21"/>
                <w:szCs w:val="21"/>
                <w:highlight w:val="none"/>
                <w:lang w:val="en-US" w:eastAsia="zh-CN"/>
              </w:rPr>
              <w:t>二线海塘</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物业化管理服务费</w:t>
            </w: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0BA1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r>
              <w:rPr>
                <w:rFonts w:hint="eastAsia" w:ascii="宋体" w:hAnsi="宋体"/>
                <w:spacing w:val="11"/>
                <w:sz w:val="21"/>
                <w:szCs w:val="21"/>
                <w:highlight w:val="none"/>
                <w:lang w:val="en-US" w:eastAsia="zh-CN"/>
              </w:rPr>
              <w:t>满足招标文件要求</w:t>
            </w:r>
          </w:p>
        </w:tc>
      </w:tr>
      <w:tr w14:paraId="79DB1F69">
        <w:tblPrEx>
          <w:tblCellMar>
            <w:top w:w="0" w:type="dxa"/>
            <w:left w:w="0" w:type="dxa"/>
            <w:bottom w:w="0" w:type="dxa"/>
            <w:right w:w="0" w:type="dxa"/>
          </w:tblCellMar>
        </w:tblPrEx>
        <w:trPr>
          <w:trHeight w:val="921"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B4578">
            <w:pPr>
              <w:shd w:val="clear" w:color="auto" w:fill="auto"/>
              <w:spacing w:line="400" w:lineRule="exact"/>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spacing w:val="11"/>
                <w:sz w:val="21"/>
                <w:szCs w:val="21"/>
                <w:highlight w:val="none"/>
                <w:lang w:val="en-US" w:eastAsia="zh-CN"/>
              </w:rPr>
              <w:t>3</w:t>
            </w:r>
          </w:p>
        </w:tc>
        <w:tc>
          <w:tcPr>
            <w:tcW w:w="4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6581E">
            <w:pPr>
              <w:shd w:val="clear" w:color="auto" w:fill="auto"/>
              <w:spacing w:line="400" w:lineRule="exact"/>
              <w:jc w:val="center"/>
              <w:rPr>
                <w:rFonts w:hint="eastAsia" w:asciiTheme="minorEastAsia" w:hAnsiTheme="minorEastAsia" w:eastAsiaTheme="minorEastAsia" w:cstheme="minorEastAsia"/>
                <w:i w:val="0"/>
                <w:color w:val="auto"/>
                <w:sz w:val="21"/>
                <w:szCs w:val="21"/>
                <w:highlight w:val="none"/>
                <w:u w:val="none"/>
              </w:rPr>
            </w:pPr>
            <w:r>
              <w:rPr>
                <w:rFonts w:hint="eastAsia" w:ascii="宋体" w:hAnsi="宋体" w:eastAsia="宋体"/>
                <w:bCs/>
                <w:spacing w:val="11"/>
                <w:sz w:val="21"/>
                <w:szCs w:val="21"/>
                <w:highlight w:val="none"/>
                <w:lang w:eastAsia="zh-CN"/>
              </w:rPr>
              <w:t>五洞闸办公场所日常卫生保洁服务费</w:t>
            </w:r>
          </w:p>
        </w:tc>
        <w:tc>
          <w:tcPr>
            <w:tcW w:w="4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A634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r>
              <w:rPr>
                <w:rFonts w:hint="eastAsia" w:ascii="宋体" w:hAnsi="宋体"/>
                <w:spacing w:val="11"/>
                <w:sz w:val="21"/>
                <w:szCs w:val="21"/>
                <w:highlight w:val="none"/>
                <w:lang w:val="en-US" w:eastAsia="zh-CN"/>
              </w:rPr>
              <w:t>满足招标文件要求</w:t>
            </w:r>
          </w:p>
        </w:tc>
      </w:tr>
    </w:tbl>
    <w:p w14:paraId="5C7437F3">
      <w:pPr>
        <w:numPr>
          <w:ilvl w:val="0"/>
          <w:numId w:val="5"/>
        </w:numPr>
        <w:tabs>
          <w:tab w:val="left" w:pos="8280"/>
        </w:tabs>
        <w:autoSpaceDE w:val="0"/>
        <w:autoSpaceDN w:val="0"/>
        <w:adjustRightInd w:val="0"/>
        <w:snapToGrid w:val="0"/>
        <w:spacing w:line="360" w:lineRule="auto"/>
        <w:ind w:right="25"/>
        <w:jc w:val="left"/>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基本要求</w:t>
      </w:r>
    </w:p>
    <w:p w14:paraId="2147E6FC">
      <w:pPr>
        <w:keepNext w:val="0"/>
        <w:keepLines w:val="0"/>
        <w:pageBreakBefore w:val="0"/>
        <w:widowControl/>
        <w:numPr>
          <w:ilvl w:val="0"/>
          <w:numId w:val="0"/>
        </w:numPr>
        <w:shd w:val="clear" w:color="auto" w:fill="auto"/>
        <w:kinsoku/>
        <w:wordWrap/>
        <w:overflowPunct w:val="0"/>
        <w:topLinePunct w:val="0"/>
        <w:autoSpaceDE w:val="0"/>
        <w:autoSpaceDN w:val="0"/>
        <w:bidi w:val="0"/>
        <w:adjustRightInd/>
        <w:snapToGrid/>
        <w:spacing w:before="0" w:beforeLines="0" w:after="0" w:afterLines="0" w:line="240" w:lineRule="auto"/>
        <w:ind w:firstLine="420" w:firstLineChars="200"/>
        <w:jc w:val="left"/>
        <w:textAlignment w:val="baseline"/>
        <w:rPr>
          <w:rFonts w:hint="default"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1、人员要求</w:t>
      </w:r>
    </w:p>
    <w:p w14:paraId="3162964B">
      <w:pPr>
        <w:keepNext w:val="0"/>
        <w:keepLines w:val="0"/>
        <w:pageBreakBefore w:val="0"/>
        <w:widowControl/>
        <w:numPr>
          <w:ilvl w:val="0"/>
          <w:numId w:val="0"/>
        </w:numPr>
        <w:shd w:val="clear" w:color="auto" w:fill="auto"/>
        <w:kinsoku/>
        <w:wordWrap/>
        <w:overflowPunct w:val="0"/>
        <w:topLinePunct w:val="0"/>
        <w:autoSpaceDE w:val="0"/>
        <w:autoSpaceDN w:val="0"/>
        <w:bidi w:val="0"/>
        <w:adjustRightInd/>
        <w:snapToGrid/>
        <w:spacing w:before="0" w:beforeLines="0" w:after="0" w:afterLines="0" w:line="240" w:lineRule="auto"/>
        <w:ind w:firstLine="420" w:firstLineChars="200"/>
        <w:jc w:val="left"/>
        <w:textAlignment w:val="baseline"/>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项目（技术）负责人：1名，负责本项目人员的管理、培训工作，落实采购人员交代的工作，协助采购人员及上级主管部门的检查。</w:t>
      </w:r>
    </w:p>
    <w:p w14:paraId="694C9B75">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工程检查和闸门运行工：5名，能熟练运行水闸，做好相关的运行管理工作。</w:t>
      </w:r>
      <w:r>
        <w:rPr>
          <w:rFonts w:hint="eastAsia" w:ascii="宋体" w:hAnsi="宋体" w:eastAsia="宋体" w:cs="宋体"/>
          <w:b w:val="0"/>
          <w:bCs/>
          <w:color w:val="auto"/>
          <w:kern w:val="0"/>
          <w:sz w:val="21"/>
          <w:szCs w:val="21"/>
          <w:highlight w:val="none"/>
          <w:lang w:val="en-US" w:eastAsia="zh-CN" w:bidi="ar-SA"/>
        </w:rPr>
        <w:br w:type="textWrapping"/>
      </w:r>
      <w:r>
        <w:rPr>
          <w:rFonts w:hint="eastAsia" w:ascii="宋体" w:hAnsi="宋体" w:eastAsia="宋体" w:cs="宋体"/>
          <w:b w:val="0"/>
          <w:bCs/>
          <w:color w:val="auto"/>
          <w:kern w:val="0"/>
          <w:sz w:val="21"/>
          <w:szCs w:val="21"/>
          <w:highlight w:val="none"/>
          <w:lang w:val="en-US" w:eastAsia="zh-CN" w:bidi="ar-SA"/>
        </w:rPr>
        <w:t xml:space="preserve">    海塘巡查人员：</w:t>
      </w:r>
      <w:r>
        <w:rPr>
          <w:rFonts w:hint="eastAsia" w:ascii="宋体" w:hAnsi="宋体" w:cs="宋体"/>
          <w:b w:val="0"/>
          <w:bCs/>
          <w:color w:val="auto"/>
          <w:kern w:val="0"/>
          <w:sz w:val="21"/>
          <w:szCs w:val="21"/>
          <w:highlight w:val="none"/>
          <w:lang w:val="en-US" w:eastAsia="zh-CN" w:bidi="ar-SA"/>
        </w:rPr>
        <w:t>5</w:t>
      </w:r>
      <w:r>
        <w:rPr>
          <w:rFonts w:hint="eastAsia" w:ascii="宋体" w:hAnsi="宋体" w:eastAsia="宋体" w:cs="宋体"/>
          <w:b w:val="0"/>
          <w:bCs/>
          <w:color w:val="auto"/>
          <w:kern w:val="0"/>
          <w:sz w:val="21"/>
          <w:szCs w:val="21"/>
          <w:highlight w:val="none"/>
          <w:lang w:val="en-US" w:eastAsia="zh-CN" w:bidi="ar-SA"/>
        </w:rPr>
        <w:t>名，经相应岗位培训合格；掌握海塘工程巡查工作内容及要求，具有发现并处理常见问题的能力；熟悉防汛物资和器材的保管、保养方法；能正确使用消防、防盗器材。掌握观测设备、仪器的操作和维护保养方法；能熟练操作各种观测设备、仪器；具有处理常见问题的能力。</w:t>
      </w:r>
      <w:r>
        <w:rPr>
          <w:rFonts w:hint="eastAsia" w:ascii="宋体" w:hAnsi="宋体" w:eastAsia="宋体" w:cs="宋体"/>
          <w:b w:val="0"/>
          <w:bCs/>
          <w:color w:val="auto"/>
          <w:kern w:val="0"/>
          <w:sz w:val="21"/>
          <w:szCs w:val="21"/>
          <w:highlight w:val="none"/>
          <w:lang w:val="en-US" w:eastAsia="zh-CN" w:bidi="ar-SA"/>
        </w:rPr>
        <w:br w:type="textWrapping"/>
      </w:r>
      <w:r>
        <w:rPr>
          <w:rFonts w:hint="eastAsia" w:ascii="宋体" w:hAnsi="宋体" w:eastAsia="宋体" w:cs="宋体"/>
          <w:b w:val="0"/>
          <w:bCs/>
          <w:color w:val="auto"/>
          <w:kern w:val="0"/>
          <w:sz w:val="21"/>
          <w:szCs w:val="21"/>
          <w:highlight w:val="none"/>
          <w:lang w:val="en-US" w:eastAsia="zh-CN" w:bidi="ar-SA"/>
        </w:rPr>
        <w:t xml:space="preserve">    甲方专项活动、防汛防台、应急服务等特殊时期必须按要求到岗，且人员安排服从甲方整体部署调派；</w:t>
      </w:r>
      <w:r>
        <w:rPr>
          <w:rFonts w:hint="eastAsia" w:ascii="宋体" w:hAnsi="宋体" w:eastAsia="宋体" w:cs="宋体"/>
          <w:b w:val="0"/>
          <w:bCs/>
          <w:color w:val="auto"/>
          <w:kern w:val="0"/>
          <w:sz w:val="21"/>
          <w:szCs w:val="21"/>
          <w:highlight w:val="none"/>
          <w:lang w:val="en-US" w:eastAsia="zh-CN" w:bidi="ar-SA"/>
        </w:rPr>
        <w:br w:type="textWrapping"/>
      </w:r>
      <w:r>
        <w:rPr>
          <w:rFonts w:hint="eastAsia" w:ascii="宋体" w:hAnsi="宋体" w:eastAsia="宋体" w:cs="宋体"/>
          <w:b w:val="0"/>
          <w:bCs/>
          <w:color w:val="auto"/>
          <w:kern w:val="0"/>
          <w:sz w:val="21"/>
          <w:szCs w:val="21"/>
          <w:highlight w:val="none"/>
          <w:lang w:val="en-US" w:eastAsia="zh-CN" w:bidi="ar-SA"/>
        </w:rPr>
        <w:t xml:space="preserve">    每个岗位应做好相关台账、计划及总结报告、档案整理等综合工作；</w:t>
      </w:r>
      <w:r>
        <w:rPr>
          <w:rFonts w:hint="eastAsia" w:ascii="宋体" w:hAnsi="宋体" w:eastAsia="宋体" w:cs="宋体"/>
          <w:b w:val="0"/>
          <w:bCs/>
          <w:color w:val="auto"/>
          <w:kern w:val="0"/>
          <w:sz w:val="21"/>
          <w:szCs w:val="21"/>
          <w:highlight w:val="none"/>
          <w:lang w:val="en-US" w:eastAsia="zh-CN" w:bidi="ar-SA"/>
        </w:rPr>
        <w:br w:type="textWrapping"/>
      </w:r>
      <w:r>
        <w:rPr>
          <w:rFonts w:hint="eastAsia" w:ascii="宋体" w:hAnsi="宋体" w:eastAsia="宋体" w:cs="宋体"/>
          <w:b w:val="0"/>
          <w:bCs/>
          <w:color w:val="auto"/>
          <w:kern w:val="0"/>
          <w:sz w:val="21"/>
          <w:szCs w:val="21"/>
          <w:highlight w:val="none"/>
          <w:lang w:val="en-US" w:eastAsia="zh-CN" w:bidi="ar-SA"/>
        </w:rPr>
        <w:t xml:space="preserve">    汛期（4月15日-10月15日）必须保证24小时有人在岗。</w:t>
      </w:r>
      <w:r>
        <w:rPr>
          <w:rFonts w:hint="eastAsia" w:ascii="宋体" w:hAnsi="宋体" w:eastAsia="宋体" w:cs="宋体"/>
          <w:b w:val="0"/>
          <w:bCs/>
          <w:color w:val="auto"/>
          <w:kern w:val="0"/>
          <w:sz w:val="21"/>
          <w:szCs w:val="21"/>
          <w:highlight w:val="none"/>
          <w:lang w:val="en-US" w:eastAsia="zh-CN" w:bidi="ar-SA"/>
        </w:rPr>
        <w:br w:type="textWrapping"/>
      </w:r>
      <w:r>
        <w:rPr>
          <w:rFonts w:hint="eastAsia" w:ascii="宋体" w:hAnsi="宋体" w:eastAsia="宋体" w:cs="宋体"/>
          <w:b w:val="0"/>
          <w:bCs/>
          <w:color w:val="auto"/>
          <w:kern w:val="0"/>
          <w:sz w:val="21"/>
          <w:szCs w:val="21"/>
          <w:highlight w:val="none"/>
          <w:lang w:val="en-US" w:eastAsia="zh-CN" w:bidi="ar-SA"/>
        </w:rPr>
        <w:t xml:space="preserve">    2、工作要求</w:t>
      </w:r>
      <w:r>
        <w:rPr>
          <w:rFonts w:hint="eastAsia" w:ascii="宋体" w:hAnsi="宋体" w:eastAsia="宋体" w:cs="宋体"/>
          <w:b w:val="0"/>
          <w:bCs/>
          <w:color w:val="auto"/>
          <w:kern w:val="0"/>
          <w:sz w:val="21"/>
          <w:szCs w:val="21"/>
          <w:highlight w:val="none"/>
          <w:lang w:val="en-US" w:eastAsia="zh-CN" w:bidi="ar-SA"/>
        </w:rPr>
        <w:br w:type="textWrapping"/>
      </w:r>
      <w:r>
        <w:rPr>
          <w:rFonts w:hint="eastAsia" w:ascii="宋体" w:hAnsi="宋体" w:eastAsia="宋体" w:cs="宋体"/>
          <w:b w:val="0"/>
          <w:bCs/>
          <w:color w:val="auto"/>
          <w:kern w:val="0"/>
          <w:sz w:val="21"/>
          <w:szCs w:val="21"/>
          <w:highlight w:val="none"/>
          <w:lang w:val="en-US" w:eastAsia="zh-CN" w:bidi="ar-SA"/>
        </w:rPr>
        <w:t xml:space="preserve">    工程日常运行维护管理行为应满足以下规范要求（以最新发布的规程规范为准但不限于）</w:t>
      </w:r>
    </w:p>
    <w:p w14:paraId="6E4F23E3">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（1）《中华人民共和国水法》</w:t>
      </w:r>
    </w:p>
    <w:p w14:paraId="532CD802">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（2）《中华人民共和国防洪法》</w:t>
      </w:r>
    </w:p>
    <w:p w14:paraId="23D5BC37">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（3）《中华人民共和国水污染防治法》</w:t>
      </w:r>
    </w:p>
    <w:p w14:paraId="751AC3E1">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（4）《中华人民共和国安全生产法》</w:t>
      </w:r>
    </w:p>
    <w:p w14:paraId="3D948922">
      <w:pPr>
        <w:keepNext w:val="0"/>
        <w:keepLines w:val="0"/>
        <w:pageBreakBefore w:val="0"/>
        <w:kinsoku/>
        <w:wordWrap/>
        <w:overflowPunct/>
        <w:topLinePunct w:val="0"/>
        <w:autoSpaceDE/>
        <w:autoSpaceDN/>
        <w:bidi w:val="0"/>
        <w:spacing w:line="312" w:lineRule="auto"/>
        <w:ind w:right="60" w:firstLine="411" w:firstLineChars="196"/>
        <w:textAlignment w:val="auto"/>
        <w:rPr>
          <w:rFonts w:hint="default" w:ascii="宋体" w:hAnsi="宋体" w:eastAsia="宋体" w:cs="宋体"/>
          <w:b w:val="0"/>
          <w:bCs/>
          <w:color w:val="auto"/>
          <w:kern w:val="0"/>
          <w:sz w:val="21"/>
          <w:szCs w:val="21"/>
          <w:highlight w:val="none"/>
          <w:lang w:val="en" w:eastAsia="zh-CN" w:bidi="ar-SA"/>
        </w:rPr>
      </w:pPr>
      <w:r>
        <w:rPr>
          <w:rFonts w:hint="eastAsia" w:ascii="宋体" w:hAnsi="宋体" w:eastAsia="宋体" w:cs="宋体"/>
          <w:b w:val="0"/>
          <w:bCs/>
          <w:color w:val="auto"/>
          <w:kern w:val="0"/>
          <w:sz w:val="21"/>
          <w:szCs w:val="21"/>
          <w:highlight w:val="none"/>
          <w:lang w:val="en-US" w:eastAsia="zh-CN" w:bidi="ar-SA"/>
        </w:rPr>
        <w:t>（5）</w:t>
      </w:r>
      <w:r>
        <w:rPr>
          <w:rFonts w:hint="default" w:ascii="宋体" w:hAnsi="宋体" w:eastAsia="宋体" w:cs="宋体"/>
          <w:b w:val="0"/>
          <w:bCs/>
          <w:color w:val="auto"/>
          <w:kern w:val="0"/>
          <w:sz w:val="21"/>
          <w:szCs w:val="21"/>
          <w:highlight w:val="none"/>
          <w:lang w:val="en" w:eastAsia="zh-CN" w:bidi="ar-SA"/>
        </w:rPr>
        <w:t>《大中型水闸运行管理规程》</w:t>
      </w:r>
    </w:p>
    <w:p w14:paraId="026C7294">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（6）《水工钢闸门和启闭机安全运行规程》</w:t>
      </w:r>
    </w:p>
    <w:p w14:paraId="14437061">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（7）《水闸安全检测技术规范》</w:t>
      </w:r>
    </w:p>
    <w:p w14:paraId="078C104D">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（8）《水闸安全评价导则》</w:t>
      </w:r>
    </w:p>
    <w:p w14:paraId="6F602639">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（9）《水工金属结构防腐蚀规范》</w:t>
      </w:r>
    </w:p>
    <w:p w14:paraId="144523BA">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（10）《水闸管理技术规程》</w:t>
      </w:r>
    </w:p>
    <w:p w14:paraId="5249B9E6">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（11）《电力安全工作规程》</w:t>
      </w:r>
    </w:p>
    <w:p w14:paraId="3BC4AE62">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（12）《浙江省水利工程安全管理条例》</w:t>
      </w:r>
    </w:p>
    <w:p w14:paraId="4C81EB59">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（13）《起重机 钢丝绳保养、维护、安装、检验和报废》</w:t>
      </w:r>
    </w:p>
    <w:p w14:paraId="78FADB61">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（14）《水位观测标准》</w:t>
      </w:r>
    </w:p>
    <w:p w14:paraId="41A21694">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（15）《浙江省海塘工程运行管理规程（试行）》</w:t>
      </w:r>
    </w:p>
    <w:p w14:paraId="39AC54F9">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（16）签署的管理合同；</w:t>
      </w:r>
    </w:p>
    <w:p w14:paraId="2A573A73">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（17）管理过程中双方共同签署的有关补充协议；</w:t>
      </w:r>
    </w:p>
    <w:p w14:paraId="4F9852D5">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（18）招标人编制的运行管理的相关制度与规程；</w:t>
      </w:r>
    </w:p>
    <w:p w14:paraId="3D45B6F6">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（19）投标文件或投标文件；</w:t>
      </w:r>
    </w:p>
    <w:p w14:paraId="323487B7">
      <w:pPr>
        <w:keepNext w:val="0"/>
        <w:keepLines w:val="0"/>
        <w:pageBreakBefore w:val="0"/>
        <w:widowControl w:val="0"/>
        <w:kinsoku/>
        <w:wordWrap/>
        <w:overflowPunct/>
        <w:topLinePunct w:val="0"/>
        <w:autoSpaceDE/>
        <w:autoSpaceDN/>
        <w:bidi w:val="0"/>
        <w:adjustRightInd w:val="0"/>
        <w:spacing w:line="312" w:lineRule="auto"/>
        <w:ind w:left="315" w:leftChars="150" w:firstLine="0" w:firstLineChars="0"/>
        <w:jc w:val="both"/>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（20）其他相关行业的规范和标准。</w:t>
      </w:r>
    </w:p>
    <w:p w14:paraId="6F52C05F">
      <w:pPr>
        <w:numPr>
          <w:ilvl w:val="0"/>
          <w:numId w:val="5"/>
        </w:numPr>
        <w:tabs>
          <w:tab w:val="left" w:pos="8280"/>
        </w:tabs>
        <w:autoSpaceDE w:val="0"/>
        <w:autoSpaceDN w:val="0"/>
        <w:adjustRightInd w:val="0"/>
        <w:snapToGrid w:val="0"/>
        <w:spacing w:line="360" w:lineRule="auto"/>
        <w:ind w:right="25"/>
        <w:jc w:val="left"/>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工作内容</w:t>
      </w:r>
    </w:p>
    <w:p w14:paraId="4E63363A">
      <w:pPr>
        <w:keepNext w:val="0"/>
        <w:keepLines w:val="0"/>
        <w:pageBreakBefore w:val="0"/>
        <w:widowControl w:val="0"/>
        <w:kinsoku/>
        <w:wordWrap/>
        <w:overflowPunct/>
        <w:topLinePunct w:val="0"/>
        <w:autoSpaceDE/>
        <w:autoSpaceDN/>
        <w:bidi w:val="0"/>
        <w:adjustRightInd w:val="0"/>
        <w:spacing w:line="312" w:lineRule="auto"/>
        <w:ind w:left="315" w:leftChars="150" w:firstLine="0" w:firstLineChars="0"/>
        <w:jc w:val="both"/>
        <w:textAlignment w:val="auto"/>
        <w:rPr>
          <w:rFonts w:hint="eastAsia" w:ascii="宋体" w:hAnsi="宋体" w:eastAsia="宋体" w:cs="宋体"/>
          <w:b/>
          <w:i w:val="0"/>
          <w:iCs w:val="0"/>
          <w:color w:val="000000"/>
          <w:kern w:val="2"/>
          <w:sz w:val="21"/>
          <w:szCs w:val="21"/>
          <w:highlight w:val="none"/>
          <w:lang w:val="en-US" w:eastAsia="zh-CN"/>
        </w:rPr>
      </w:pPr>
      <w:r>
        <w:rPr>
          <w:rFonts w:hint="eastAsia" w:ascii="宋体" w:hAnsi="宋体" w:eastAsia="宋体" w:cs="宋体"/>
          <w:b/>
          <w:i w:val="0"/>
          <w:iCs w:val="0"/>
          <w:color w:val="000000"/>
          <w:kern w:val="2"/>
          <w:sz w:val="21"/>
          <w:szCs w:val="21"/>
          <w:highlight w:val="none"/>
        </w:rPr>
        <w:t>1.</w:t>
      </w:r>
      <w:r>
        <w:rPr>
          <w:rFonts w:hint="eastAsia" w:ascii="宋体" w:hAnsi="宋体" w:eastAsia="宋体" w:cs="宋体"/>
          <w:b/>
          <w:i w:val="0"/>
          <w:iCs w:val="0"/>
          <w:color w:val="000000"/>
          <w:kern w:val="2"/>
          <w:sz w:val="21"/>
          <w:szCs w:val="21"/>
          <w:highlight w:val="none"/>
          <w:lang w:val="en-US" w:eastAsia="zh-CN"/>
        </w:rPr>
        <w:t>控制运用</w:t>
      </w:r>
    </w:p>
    <w:p w14:paraId="461B34FE">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i w:val="0"/>
          <w:iCs w:val="0"/>
          <w:color w:val="000000"/>
          <w:sz w:val="21"/>
          <w:szCs w:val="21"/>
          <w:highlight w:val="none"/>
        </w:rPr>
      </w:pPr>
      <w:r>
        <w:rPr>
          <w:rFonts w:hint="eastAsia" w:ascii="宋体" w:hAnsi="宋体" w:eastAsia="宋体" w:cs="宋体"/>
          <w:i w:val="0"/>
          <w:iCs w:val="0"/>
          <w:color w:val="000000"/>
          <w:sz w:val="21"/>
          <w:szCs w:val="21"/>
          <w:highlight w:val="none"/>
        </w:rPr>
        <w:t>（1）</w:t>
      </w:r>
      <w:r>
        <w:rPr>
          <w:rFonts w:hint="eastAsia" w:ascii="宋体" w:hAnsi="宋体" w:cs="宋体"/>
          <w:i w:val="0"/>
          <w:iCs w:val="0"/>
          <w:color w:val="000000"/>
          <w:sz w:val="21"/>
          <w:szCs w:val="21"/>
          <w:highlight w:val="none"/>
          <w:lang w:val="en-US" w:eastAsia="zh-CN"/>
        </w:rPr>
        <w:t>工程运行</w:t>
      </w:r>
      <w:r>
        <w:rPr>
          <w:rFonts w:hint="eastAsia" w:ascii="宋体" w:hAnsi="宋体" w:eastAsia="宋体" w:cs="宋体"/>
          <w:i w:val="0"/>
          <w:iCs w:val="0"/>
          <w:color w:val="000000"/>
          <w:sz w:val="21"/>
          <w:szCs w:val="21"/>
          <w:highlight w:val="none"/>
        </w:rPr>
        <w:t>。根据</w:t>
      </w:r>
      <w:r>
        <w:rPr>
          <w:rFonts w:hint="default" w:ascii="宋体" w:hAnsi="宋体" w:cs="宋体"/>
          <w:i w:val="0"/>
          <w:iCs w:val="0"/>
          <w:color w:val="000000"/>
          <w:sz w:val="21"/>
          <w:szCs w:val="21"/>
          <w:highlight w:val="none"/>
          <w:lang w:val="en"/>
        </w:rPr>
        <w:t>《大中型水闸运行管理规程》</w:t>
      </w:r>
      <w:r>
        <w:rPr>
          <w:rFonts w:hint="eastAsia" w:ascii="宋体" w:hAnsi="宋体" w:eastAsia="宋体" w:cs="宋体"/>
          <w:i w:val="0"/>
          <w:iCs w:val="0"/>
          <w:color w:val="000000"/>
          <w:sz w:val="21"/>
          <w:szCs w:val="21"/>
          <w:highlight w:val="none"/>
        </w:rPr>
        <w:t>及水闸运行操作规程</w:t>
      </w:r>
      <w:r>
        <w:rPr>
          <w:rFonts w:hint="eastAsia" w:ascii="宋体" w:hAnsi="宋体" w:cs="宋体"/>
          <w:i w:val="0"/>
          <w:iCs w:val="0"/>
          <w:color w:val="000000"/>
          <w:sz w:val="21"/>
          <w:szCs w:val="21"/>
          <w:highlight w:val="none"/>
          <w:lang w:val="en-US" w:eastAsia="zh-CN"/>
        </w:rPr>
        <w:t>运行</w:t>
      </w:r>
      <w:r>
        <w:rPr>
          <w:rFonts w:hint="eastAsia" w:ascii="宋体" w:hAnsi="宋体" w:eastAsia="宋体" w:cs="宋体"/>
          <w:i w:val="0"/>
          <w:iCs w:val="0"/>
          <w:color w:val="000000"/>
          <w:sz w:val="21"/>
          <w:szCs w:val="21"/>
          <w:highlight w:val="none"/>
        </w:rPr>
        <w:t>，并及时填写</w:t>
      </w:r>
      <w:r>
        <w:rPr>
          <w:rFonts w:hint="eastAsia" w:ascii="宋体" w:hAnsi="宋体" w:cs="宋体"/>
          <w:i w:val="0"/>
          <w:iCs w:val="0"/>
          <w:color w:val="000000"/>
          <w:sz w:val="21"/>
          <w:szCs w:val="21"/>
          <w:highlight w:val="none"/>
          <w:lang w:val="en-US" w:eastAsia="zh-CN"/>
        </w:rPr>
        <w:t>运行</w:t>
      </w:r>
      <w:r>
        <w:rPr>
          <w:rFonts w:hint="eastAsia" w:ascii="宋体" w:hAnsi="宋体" w:eastAsia="宋体" w:cs="宋体"/>
          <w:i w:val="0"/>
          <w:iCs w:val="0"/>
          <w:color w:val="000000"/>
          <w:sz w:val="21"/>
          <w:szCs w:val="21"/>
          <w:highlight w:val="none"/>
        </w:rPr>
        <w:t>记录。</w:t>
      </w:r>
    </w:p>
    <w:p w14:paraId="1A5E6A19">
      <w:pPr>
        <w:keepNext w:val="0"/>
        <w:keepLines w:val="0"/>
        <w:pageBreakBefore w:val="0"/>
        <w:kinsoku/>
        <w:wordWrap/>
        <w:overflowPunct/>
        <w:topLinePunct w:val="0"/>
        <w:autoSpaceDE/>
        <w:autoSpaceDN/>
        <w:bidi w:val="0"/>
        <w:spacing w:line="312" w:lineRule="auto"/>
        <w:ind w:right="60" w:firstLine="420" w:firstLineChars="200"/>
        <w:textAlignment w:val="auto"/>
        <w:rPr>
          <w:rFonts w:hint="eastAsia" w:ascii="宋体" w:hAnsi="宋体" w:eastAsia="宋体" w:cs="宋体"/>
          <w:i w:val="0"/>
          <w:iCs w:val="0"/>
          <w:color w:val="000000"/>
          <w:sz w:val="21"/>
          <w:szCs w:val="21"/>
          <w:highlight w:val="none"/>
        </w:rPr>
      </w:pPr>
      <w:r>
        <w:rPr>
          <w:rFonts w:hint="eastAsia" w:ascii="宋体" w:hAnsi="宋体" w:eastAsia="宋体" w:cs="宋体"/>
          <w:i w:val="0"/>
          <w:iCs w:val="0"/>
          <w:color w:val="000000"/>
          <w:sz w:val="21"/>
          <w:szCs w:val="21"/>
          <w:highlight w:val="none"/>
        </w:rPr>
        <w:t>（2）</w:t>
      </w:r>
      <w:r>
        <w:rPr>
          <w:rFonts w:hint="eastAsia" w:ascii="宋体" w:hAnsi="宋体" w:cs="宋体"/>
          <w:i w:val="0"/>
          <w:iCs w:val="0"/>
          <w:color w:val="000000"/>
          <w:sz w:val="21"/>
          <w:szCs w:val="21"/>
          <w:highlight w:val="none"/>
          <w:lang w:val="en-US" w:eastAsia="zh-CN"/>
        </w:rPr>
        <w:t>闸门运行</w:t>
      </w:r>
      <w:r>
        <w:rPr>
          <w:rFonts w:hint="eastAsia" w:ascii="宋体" w:hAnsi="宋体" w:eastAsia="宋体" w:cs="宋体"/>
          <w:i w:val="0"/>
          <w:iCs w:val="0"/>
          <w:color w:val="000000"/>
          <w:sz w:val="21"/>
          <w:szCs w:val="21"/>
          <w:highlight w:val="none"/>
        </w:rPr>
        <w:t>管理。</w:t>
      </w:r>
      <w:r>
        <w:rPr>
          <w:rFonts w:hint="eastAsia" w:ascii="宋体" w:hAnsi="宋体" w:cs="宋体"/>
          <w:i w:val="0"/>
          <w:iCs w:val="0"/>
          <w:color w:val="000000"/>
          <w:sz w:val="21"/>
          <w:szCs w:val="21"/>
          <w:highlight w:val="none"/>
          <w:lang w:val="en-US" w:eastAsia="zh-CN"/>
        </w:rPr>
        <w:t>应</w:t>
      </w:r>
      <w:r>
        <w:rPr>
          <w:rFonts w:hint="eastAsia" w:ascii="宋体" w:hAnsi="宋体" w:eastAsia="宋体" w:cs="宋体"/>
          <w:i w:val="0"/>
          <w:iCs w:val="0"/>
          <w:color w:val="000000"/>
          <w:sz w:val="21"/>
          <w:szCs w:val="21"/>
          <w:highlight w:val="none"/>
        </w:rPr>
        <w:t>根据国家有关规定</w:t>
      </w:r>
      <w:r>
        <w:rPr>
          <w:rFonts w:hint="eastAsia" w:ascii="宋体" w:hAnsi="宋体" w:cs="宋体"/>
          <w:i w:val="0"/>
          <w:iCs w:val="0"/>
          <w:color w:val="000000"/>
          <w:sz w:val="21"/>
          <w:szCs w:val="21"/>
          <w:highlight w:val="none"/>
          <w:lang w:val="en-US" w:eastAsia="zh-CN"/>
        </w:rPr>
        <w:t>及业主相关</w:t>
      </w:r>
      <w:r>
        <w:rPr>
          <w:rFonts w:hint="eastAsia" w:ascii="宋体" w:hAnsi="宋体" w:eastAsia="宋体" w:cs="宋体"/>
          <w:i w:val="0"/>
          <w:iCs w:val="0"/>
          <w:color w:val="000000"/>
          <w:sz w:val="21"/>
          <w:szCs w:val="21"/>
          <w:highlight w:val="none"/>
        </w:rPr>
        <w:t>运行操作规程</w:t>
      </w:r>
      <w:r>
        <w:rPr>
          <w:rFonts w:hint="eastAsia" w:ascii="宋体" w:hAnsi="宋体" w:cs="宋体"/>
          <w:i w:val="0"/>
          <w:iCs w:val="0"/>
          <w:color w:val="000000"/>
          <w:sz w:val="21"/>
          <w:szCs w:val="21"/>
          <w:highlight w:val="none"/>
          <w:lang w:val="en-US" w:eastAsia="zh-CN"/>
        </w:rPr>
        <w:t>运行</w:t>
      </w:r>
      <w:r>
        <w:rPr>
          <w:rFonts w:hint="eastAsia" w:ascii="宋体" w:hAnsi="宋体" w:eastAsia="宋体" w:cs="宋体"/>
          <w:i w:val="0"/>
          <w:iCs w:val="0"/>
          <w:color w:val="000000"/>
          <w:sz w:val="21"/>
          <w:szCs w:val="21"/>
          <w:highlight w:val="none"/>
        </w:rPr>
        <w:t>，并及时填写</w:t>
      </w:r>
      <w:r>
        <w:rPr>
          <w:rFonts w:hint="eastAsia" w:ascii="宋体" w:hAnsi="宋体" w:cs="宋体"/>
          <w:i w:val="0"/>
          <w:iCs w:val="0"/>
          <w:color w:val="000000"/>
          <w:sz w:val="21"/>
          <w:szCs w:val="21"/>
          <w:highlight w:val="none"/>
          <w:lang w:val="en-US" w:eastAsia="zh-CN"/>
        </w:rPr>
        <w:t>运行</w:t>
      </w:r>
      <w:r>
        <w:rPr>
          <w:rFonts w:hint="eastAsia" w:ascii="宋体" w:hAnsi="宋体" w:eastAsia="宋体" w:cs="宋体"/>
          <w:i w:val="0"/>
          <w:iCs w:val="0"/>
          <w:color w:val="000000"/>
          <w:sz w:val="21"/>
          <w:szCs w:val="21"/>
          <w:highlight w:val="none"/>
        </w:rPr>
        <w:t>记录。</w:t>
      </w:r>
    </w:p>
    <w:p w14:paraId="508F4A08">
      <w:pPr>
        <w:keepNext w:val="0"/>
        <w:keepLines w:val="0"/>
        <w:pageBreakBefore w:val="0"/>
        <w:kinsoku/>
        <w:wordWrap/>
        <w:overflowPunct/>
        <w:topLinePunct w:val="0"/>
        <w:autoSpaceDE/>
        <w:autoSpaceDN/>
        <w:bidi w:val="0"/>
        <w:spacing w:line="312" w:lineRule="auto"/>
        <w:ind w:right="60" w:firstLine="411" w:firstLineChars="196"/>
        <w:textAlignment w:val="auto"/>
        <w:rPr>
          <w:rFonts w:hint="eastAsia" w:ascii="宋体" w:hAnsi="宋体" w:eastAsia="宋体" w:cs="宋体"/>
          <w:i w:val="0"/>
          <w:iCs w:val="0"/>
          <w:color w:val="000000"/>
          <w:sz w:val="21"/>
          <w:szCs w:val="21"/>
          <w:highlight w:val="none"/>
          <w:lang w:val="en-US" w:eastAsia="zh-CN"/>
        </w:rPr>
      </w:pPr>
      <w:r>
        <w:rPr>
          <w:rFonts w:hint="eastAsia" w:ascii="宋体" w:hAnsi="宋体" w:eastAsia="宋体" w:cs="宋体"/>
          <w:i w:val="0"/>
          <w:iCs w:val="0"/>
          <w:color w:val="000000"/>
          <w:sz w:val="21"/>
          <w:szCs w:val="21"/>
          <w:highlight w:val="none"/>
          <w:lang w:val="en-US" w:eastAsia="zh-CN"/>
        </w:rPr>
        <w:t>水闸管护范围内发生任何突发状况，应第一时间向甲方汇报并协助相关部门处理。</w:t>
      </w:r>
    </w:p>
    <w:p w14:paraId="45D2BDB5">
      <w:pPr>
        <w:keepNext w:val="0"/>
        <w:keepLines w:val="0"/>
        <w:pageBreakBefore w:val="0"/>
        <w:widowControl w:val="0"/>
        <w:kinsoku/>
        <w:wordWrap/>
        <w:overflowPunct/>
        <w:topLinePunct w:val="0"/>
        <w:autoSpaceDE/>
        <w:autoSpaceDN/>
        <w:bidi w:val="0"/>
        <w:adjustRightInd w:val="0"/>
        <w:spacing w:line="312" w:lineRule="auto"/>
        <w:ind w:firstLine="422" w:firstLineChars="200"/>
        <w:jc w:val="both"/>
        <w:textAlignment w:val="auto"/>
        <w:rPr>
          <w:rFonts w:hint="eastAsia" w:ascii="宋体" w:hAnsi="宋体" w:eastAsia="宋体" w:cs="宋体"/>
          <w:b/>
          <w:i w:val="0"/>
          <w:iCs w:val="0"/>
          <w:color w:val="000000"/>
          <w:kern w:val="2"/>
          <w:sz w:val="21"/>
          <w:szCs w:val="21"/>
          <w:highlight w:val="none"/>
          <w:lang w:val="en-US" w:eastAsia="zh-CN"/>
        </w:rPr>
      </w:pPr>
      <w:r>
        <w:rPr>
          <w:rFonts w:hint="eastAsia" w:ascii="宋体" w:hAnsi="宋体" w:eastAsia="宋体" w:cs="宋体"/>
          <w:b/>
          <w:i w:val="0"/>
          <w:iCs w:val="0"/>
          <w:color w:val="000000"/>
          <w:kern w:val="2"/>
          <w:sz w:val="21"/>
          <w:szCs w:val="21"/>
          <w:highlight w:val="none"/>
          <w:lang w:val="en-US" w:eastAsia="zh-CN"/>
        </w:rPr>
        <w:t>2</w:t>
      </w:r>
      <w:r>
        <w:rPr>
          <w:rFonts w:hint="eastAsia" w:ascii="宋体" w:hAnsi="宋体" w:eastAsia="宋体" w:cs="宋体"/>
          <w:b/>
          <w:i w:val="0"/>
          <w:iCs w:val="0"/>
          <w:color w:val="000000"/>
          <w:kern w:val="2"/>
          <w:sz w:val="21"/>
          <w:szCs w:val="21"/>
          <w:highlight w:val="none"/>
        </w:rPr>
        <w:t>.</w:t>
      </w:r>
      <w:r>
        <w:rPr>
          <w:rFonts w:hint="eastAsia" w:ascii="宋体" w:hAnsi="宋体" w:eastAsia="宋体" w:cs="宋体"/>
          <w:b/>
          <w:i w:val="0"/>
          <w:iCs w:val="0"/>
          <w:color w:val="000000"/>
          <w:kern w:val="2"/>
          <w:sz w:val="21"/>
          <w:szCs w:val="21"/>
          <w:highlight w:val="none"/>
          <w:lang w:val="en-US" w:eastAsia="zh-CN"/>
        </w:rPr>
        <w:t>工程检查</w:t>
      </w:r>
    </w:p>
    <w:p w14:paraId="530A8007">
      <w:pPr>
        <w:widowControl w:val="0"/>
        <w:numPr>
          <w:ilvl w:val="0"/>
          <w:numId w:val="0"/>
        </w:numPr>
        <w:adjustRightInd w:val="0"/>
        <w:spacing w:line="400" w:lineRule="exact"/>
        <w:ind w:right="62" w:rightChars="0" w:firstLine="420" w:firstLineChars="200"/>
        <w:jc w:val="both"/>
        <w:rPr>
          <w:rFonts w:hint="eastAsia" w:ascii="宋体" w:hAnsi="宋体" w:eastAsia="宋体" w:cs="宋体"/>
          <w:b/>
          <w:bCs w:val="0"/>
          <w:i w:val="0"/>
          <w:iCs w:val="0"/>
          <w:color w:val="000000"/>
          <w:kern w:val="2"/>
          <w:sz w:val="21"/>
          <w:szCs w:val="21"/>
          <w:highlight w:val="none"/>
          <w:lang w:val="en-US" w:eastAsia="zh-CN"/>
        </w:rPr>
      </w:pPr>
      <w:r>
        <w:rPr>
          <w:rFonts w:hint="eastAsia" w:ascii="宋体" w:hAnsi="宋体" w:eastAsia="宋体" w:cs="宋体"/>
          <w:i w:val="0"/>
          <w:iCs w:val="0"/>
          <w:color w:val="000000"/>
          <w:sz w:val="21"/>
          <w:szCs w:val="21"/>
          <w:highlight w:val="none"/>
          <w:lang w:eastAsia="zh-CN"/>
        </w:rPr>
        <w:t>参照</w:t>
      </w:r>
      <w:r>
        <w:rPr>
          <w:rFonts w:hint="default" w:ascii="宋体" w:hAnsi="宋体" w:cs="宋体"/>
          <w:i w:val="0"/>
          <w:iCs w:val="0"/>
          <w:color w:val="000000"/>
          <w:sz w:val="21"/>
          <w:szCs w:val="21"/>
          <w:highlight w:val="none"/>
          <w:lang w:val="en"/>
        </w:rPr>
        <w:t>《大中型水闸运行管理规程》</w:t>
      </w:r>
      <w:r>
        <w:rPr>
          <w:rFonts w:hint="eastAsia" w:ascii="宋体" w:hAnsi="宋体" w:eastAsia="宋体" w:cs="宋体"/>
          <w:i w:val="0"/>
          <w:iCs w:val="0"/>
          <w:color w:val="000000"/>
          <w:sz w:val="21"/>
          <w:szCs w:val="21"/>
          <w:highlight w:val="none"/>
        </w:rPr>
        <w:t>及水闸</w:t>
      </w:r>
      <w:r>
        <w:rPr>
          <w:rFonts w:hint="eastAsia" w:ascii="宋体" w:hAnsi="宋体" w:eastAsia="宋体" w:cs="宋体"/>
          <w:i w:val="0"/>
          <w:iCs w:val="0"/>
          <w:color w:val="000000"/>
          <w:sz w:val="21"/>
          <w:szCs w:val="21"/>
          <w:highlight w:val="none"/>
          <w:lang w:eastAsia="zh-CN"/>
        </w:rPr>
        <w:t>检查规定，</w:t>
      </w:r>
      <w:r>
        <w:rPr>
          <w:rFonts w:hint="eastAsia" w:ascii="宋体" w:hAnsi="宋体" w:eastAsia="宋体" w:cs="宋体"/>
          <w:bCs/>
          <w:i w:val="0"/>
          <w:iCs w:val="0"/>
          <w:color w:val="000000"/>
          <w:kern w:val="2"/>
          <w:sz w:val="21"/>
          <w:szCs w:val="21"/>
          <w:highlight w:val="none"/>
        </w:rPr>
        <w:t>包括</w:t>
      </w:r>
      <w:r>
        <w:rPr>
          <w:rFonts w:hint="eastAsia" w:ascii="宋体" w:hAnsi="宋体" w:eastAsia="宋体" w:cs="宋体"/>
          <w:bCs/>
          <w:i w:val="0"/>
          <w:iCs w:val="0"/>
          <w:color w:val="000000"/>
          <w:kern w:val="2"/>
          <w:sz w:val="21"/>
          <w:szCs w:val="21"/>
          <w:highlight w:val="none"/>
          <w:lang w:eastAsia="zh-CN"/>
        </w:rPr>
        <w:t>日常</w:t>
      </w:r>
      <w:r>
        <w:rPr>
          <w:rFonts w:hint="eastAsia" w:ascii="宋体" w:hAnsi="宋体" w:eastAsia="宋体" w:cs="宋体"/>
          <w:bCs/>
          <w:i w:val="0"/>
          <w:iCs w:val="0"/>
          <w:color w:val="000000"/>
          <w:kern w:val="2"/>
          <w:sz w:val="21"/>
          <w:szCs w:val="21"/>
          <w:highlight w:val="none"/>
        </w:rPr>
        <w:t>检查、定期检查、特别检查。</w:t>
      </w:r>
      <w:r>
        <w:rPr>
          <w:rFonts w:hint="eastAsia" w:ascii="宋体" w:hAnsi="宋体" w:eastAsia="宋体" w:cs="宋体"/>
          <w:bCs/>
          <w:i w:val="0"/>
          <w:iCs w:val="0"/>
          <w:color w:val="000000"/>
          <w:kern w:val="2"/>
          <w:sz w:val="21"/>
          <w:szCs w:val="21"/>
          <w:highlight w:val="none"/>
        </w:rPr>
        <w:br w:type="textWrapping"/>
      </w:r>
      <w:r>
        <w:rPr>
          <w:rFonts w:hint="eastAsia" w:ascii="宋体" w:hAnsi="宋体" w:eastAsia="宋体" w:cs="宋体"/>
          <w:bCs/>
          <w:i w:val="0"/>
          <w:iCs w:val="0"/>
          <w:color w:val="000000"/>
          <w:kern w:val="2"/>
          <w:sz w:val="21"/>
          <w:szCs w:val="21"/>
          <w:highlight w:val="none"/>
          <w:lang w:val="en-US" w:eastAsia="zh-CN"/>
        </w:rPr>
        <w:t xml:space="preserve">    </w:t>
      </w:r>
      <w:r>
        <w:rPr>
          <w:rFonts w:hint="eastAsia" w:ascii="宋体" w:hAnsi="宋体" w:eastAsia="宋体" w:cs="宋体"/>
          <w:b/>
          <w:bCs w:val="0"/>
          <w:i w:val="0"/>
          <w:iCs w:val="0"/>
          <w:color w:val="000000"/>
          <w:kern w:val="2"/>
          <w:sz w:val="21"/>
          <w:szCs w:val="21"/>
          <w:highlight w:val="none"/>
          <w:lang w:val="en-US" w:eastAsia="zh-CN"/>
        </w:rPr>
        <w:t>3.海塘日常巡查</w:t>
      </w:r>
    </w:p>
    <w:p w14:paraId="3CA11DD2">
      <w:pPr>
        <w:widowControl w:val="0"/>
        <w:numPr>
          <w:ilvl w:val="0"/>
          <w:numId w:val="0"/>
        </w:numPr>
        <w:adjustRightInd w:val="0"/>
        <w:spacing w:line="400" w:lineRule="exact"/>
        <w:ind w:right="62" w:rightChars="0" w:firstLine="420" w:firstLineChars="200"/>
        <w:jc w:val="both"/>
        <w:rPr>
          <w:rFonts w:hint="eastAsia" w:ascii="宋体" w:hAnsi="宋体" w:eastAsia="宋体" w:cs="宋体"/>
          <w:bCs/>
          <w:i w:val="0"/>
          <w:iCs w:val="0"/>
          <w:color w:val="000000"/>
          <w:kern w:val="2"/>
          <w:sz w:val="21"/>
          <w:szCs w:val="21"/>
          <w:highlight w:val="none"/>
          <w:lang w:val="en-US" w:eastAsia="zh-CN"/>
        </w:rPr>
      </w:pPr>
      <w:r>
        <w:rPr>
          <w:rFonts w:hint="eastAsia" w:ascii="宋体" w:hAnsi="宋体" w:eastAsia="宋体" w:cs="宋体"/>
          <w:bCs/>
          <w:i w:val="0"/>
          <w:iCs w:val="0"/>
          <w:color w:val="000000"/>
          <w:kern w:val="2"/>
          <w:sz w:val="21"/>
          <w:szCs w:val="21"/>
          <w:highlight w:val="none"/>
          <w:lang w:val="en-US" w:eastAsia="zh-CN"/>
        </w:rPr>
        <w:t>汛期全线巡查2天一次，非汛期巡查3天一次。巡查须徒步检查，开启手机巡查软件，发现隐患及时上报甲方及相关部门。巡查范围包括管理范围以及保护范围（管理范围外70米，内50米为保护范围）内的所有设施，包括塘身、护塘地、护塘河、护塘设施、塘前滩地、交叉建筑物等。</w:t>
      </w:r>
      <w:r>
        <w:rPr>
          <w:rFonts w:hint="eastAsia" w:ascii="宋体" w:hAnsi="宋体" w:eastAsia="宋体" w:cs="宋体"/>
          <w:bCs/>
          <w:i w:val="0"/>
          <w:iCs w:val="0"/>
          <w:color w:val="000000"/>
          <w:kern w:val="2"/>
          <w:sz w:val="21"/>
          <w:szCs w:val="21"/>
          <w:highlight w:val="none"/>
          <w:lang w:val="en-US" w:eastAsia="zh-CN"/>
        </w:rPr>
        <w:br w:type="textWrapping"/>
      </w:r>
      <w:r>
        <w:rPr>
          <w:rFonts w:hint="eastAsia" w:ascii="宋体" w:hAnsi="宋体" w:eastAsia="宋体" w:cs="宋体"/>
          <w:bCs/>
          <w:i w:val="0"/>
          <w:iCs w:val="0"/>
          <w:color w:val="000000"/>
          <w:kern w:val="2"/>
          <w:sz w:val="21"/>
          <w:szCs w:val="21"/>
          <w:highlight w:val="none"/>
          <w:lang w:val="en-US" w:eastAsia="zh-CN"/>
        </w:rPr>
        <w:t xml:space="preserve">    遇到高潮位、台风及风暴潮前应加密巡查频次；上级部门有特殊要求时，按上级部门规定开展。</w:t>
      </w:r>
    </w:p>
    <w:p w14:paraId="69DC9FD9">
      <w:pPr>
        <w:widowControl w:val="0"/>
        <w:numPr>
          <w:ilvl w:val="0"/>
          <w:numId w:val="0"/>
        </w:numPr>
        <w:adjustRightInd w:val="0"/>
        <w:spacing w:line="400" w:lineRule="exact"/>
        <w:ind w:right="62" w:rightChars="0" w:firstLine="420" w:firstLineChars="200"/>
        <w:jc w:val="both"/>
        <w:rPr>
          <w:rFonts w:hint="eastAsia" w:ascii="宋体" w:hAnsi="宋体" w:eastAsia="宋体" w:cs="宋体"/>
          <w:bCs/>
          <w:i w:val="0"/>
          <w:iCs w:val="0"/>
          <w:color w:val="000000"/>
          <w:kern w:val="2"/>
          <w:sz w:val="21"/>
          <w:szCs w:val="21"/>
          <w:highlight w:val="none"/>
          <w:lang w:val="en-US" w:eastAsia="zh-CN"/>
        </w:rPr>
      </w:pPr>
      <w:r>
        <w:rPr>
          <w:rFonts w:hint="eastAsia" w:ascii="宋体" w:hAnsi="宋体" w:eastAsia="宋体" w:cs="宋体"/>
          <w:bCs/>
          <w:i w:val="0"/>
          <w:iCs w:val="0"/>
          <w:color w:val="000000"/>
          <w:kern w:val="2"/>
          <w:sz w:val="21"/>
          <w:szCs w:val="21"/>
          <w:highlight w:val="none"/>
          <w:lang w:val="en-US" w:eastAsia="zh-CN"/>
        </w:rPr>
        <w:t>下列情况应加强检查，每天1次：</w:t>
      </w:r>
    </w:p>
    <w:p w14:paraId="0C2EEB04">
      <w:pPr>
        <w:widowControl w:val="0"/>
        <w:numPr>
          <w:ilvl w:val="0"/>
          <w:numId w:val="0"/>
        </w:numPr>
        <w:adjustRightInd w:val="0"/>
        <w:spacing w:line="400" w:lineRule="exact"/>
        <w:ind w:right="62" w:rightChars="0" w:firstLine="420" w:firstLineChars="200"/>
        <w:jc w:val="both"/>
        <w:rPr>
          <w:rFonts w:hint="eastAsia" w:ascii="宋体" w:hAnsi="宋体" w:eastAsia="宋体" w:cs="宋体"/>
          <w:bCs/>
          <w:i w:val="0"/>
          <w:iCs w:val="0"/>
          <w:color w:val="000000"/>
          <w:kern w:val="2"/>
          <w:sz w:val="21"/>
          <w:szCs w:val="21"/>
          <w:highlight w:val="none"/>
          <w:lang w:val="en-US" w:eastAsia="zh-CN"/>
        </w:rPr>
      </w:pPr>
      <w:r>
        <w:rPr>
          <w:rFonts w:hint="eastAsia" w:ascii="宋体" w:hAnsi="宋体" w:eastAsia="宋体" w:cs="宋体"/>
          <w:bCs/>
          <w:i w:val="0"/>
          <w:iCs w:val="0"/>
          <w:color w:val="000000"/>
          <w:kern w:val="2"/>
          <w:sz w:val="21"/>
          <w:szCs w:val="21"/>
          <w:highlight w:val="none"/>
          <w:lang w:val="en-US" w:eastAsia="zh-CN"/>
        </w:rPr>
        <w:t>①新建和加固工程在运行初期由于地基沉陷等方面存在不稳定因素；</w:t>
      </w:r>
    </w:p>
    <w:p w14:paraId="04042D0C">
      <w:pPr>
        <w:widowControl w:val="0"/>
        <w:numPr>
          <w:ilvl w:val="0"/>
          <w:numId w:val="0"/>
        </w:numPr>
        <w:adjustRightInd w:val="0"/>
        <w:spacing w:line="400" w:lineRule="exact"/>
        <w:ind w:right="62" w:rightChars="0" w:firstLine="420" w:firstLineChars="200"/>
        <w:jc w:val="both"/>
        <w:rPr>
          <w:rFonts w:hint="eastAsia" w:ascii="宋体" w:hAnsi="宋体" w:eastAsia="宋体" w:cs="宋体"/>
          <w:bCs/>
          <w:i w:val="0"/>
          <w:iCs w:val="0"/>
          <w:color w:val="000000"/>
          <w:kern w:val="2"/>
          <w:sz w:val="21"/>
          <w:szCs w:val="21"/>
          <w:highlight w:val="none"/>
          <w:lang w:val="en-US" w:eastAsia="zh-CN"/>
        </w:rPr>
      </w:pPr>
      <w:r>
        <w:rPr>
          <w:rFonts w:hint="eastAsia" w:ascii="宋体" w:hAnsi="宋体" w:eastAsia="宋体" w:cs="宋体"/>
          <w:bCs/>
          <w:i w:val="0"/>
          <w:iCs w:val="0"/>
          <w:color w:val="000000"/>
          <w:kern w:val="2"/>
          <w:sz w:val="21"/>
          <w:szCs w:val="21"/>
          <w:highlight w:val="none"/>
          <w:lang w:val="en-US" w:eastAsia="zh-CN"/>
        </w:rPr>
        <w:t>②大洪水、大潮汐或是上游水位超过警戒水位期间；</w:t>
      </w:r>
    </w:p>
    <w:p w14:paraId="0A8C89A6">
      <w:pPr>
        <w:widowControl w:val="0"/>
        <w:numPr>
          <w:ilvl w:val="0"/>
          <w:numId w:val="0"/>
        </w:numPr>
        <w:adjustRightInd w:val="0"/>
        <w:spacing w:line="400" w:lineRule="exact"/>
        <w:ind w:right="62" w:rightChars="0" w:firstLine="420" w:firstLineChars="200"/>
        <w:jc w:val="both"/>
        <w:rPr>
          <w:rFonts w:hint="eastAsia" w:ascii="宋体" w:hAnsi="宋体" w:eastAsia="宋体" w:cs="宋体"/>
          <w:bCs/>
          <w:i w:val="0"/>
          <w:iCs w:val="0"/>
          <w:color w:val="000000"/>
          <w:kern w:val="2"/>
          <w:sz w:val="21"/>
          <w:szCs w:val="21"/>
          <w:highlight w:val="none"/>
          <w:lang w:val="en-US" w:eastAsia="zh-CN"/>
        </w:rPr>
      </w:pPr>
      <w:r>
        <w:rPr>
          <w:rFonts w:hint="eastAsia" w:ascii="宋体" w:hAnsi="宋体" w:eastAsia="宋体" w:cs="宋体"/>
          <w:bCs/>
          <w:i w:val="0"/>
          <w:iCs w:val="0"/>
          <w:color w:val="000000"/>
          <w:kern w:val="2"/>
          <w:sz w:val="21"/>
          <w:szCs w:val="21"/>
          <w:highlight w:val="none"/>
          <w:lang w:val="en-US" w:eastAsia="zh-CN"/>
        </w:rPr>
        <w:t>③启动防汛防台应急响应或是发布寒潮预警时；</w:t>
      </w:r>
    </w:p>
    <w:p w14:paraId="4BBF7A3E">
      <w:pPr>
        <w:widowControl w:val="0"/>
        <w:numPr>
          <w:ilvl w:val="0"/>
          <w:numId w:val="0"/>
        </w:numPr>
        <w:adjustRightInd w:val="0"/>
        <w:spacing w:line="400" w:lineRule="exact"/>
        <w:ind w:right="62" w:rightChars="0" w:firstLine="420" w:firstLineChars="200"/>
        <w:jc w:val="both"/>
        <w:rPr>
          <w:rFonts w:hint="default" w:ascii="宋体" w:hAnsi="宋体" w:eastAsia="宋体" w:cs="宋体"/>
          <w:bCs/>
          <w:i w:val="0"/>
          <w:iCs w:val="0"/>
          <w:color w:val="000000"/>
          <w:kern w:val="2"/>
          <w:sz w:val="21"/>
          <w:szCs w:val="21"/>
          <w:highlight w:val="none"/>
          <w:lang w:val="en-US" w:eastAsia="zh-CN"/>
        </w:rPr>
      </w:pPr>
      <w:r>
        <w:rPr>
          <w:rFonts w:hint="eastAsia" w:ascii="宋体" w:hAnsi="宋体" w:eastAsia="宋体" w:cs="宋体"/>
          <w:bCs/>
          <w:i w:val="0"/>
          <w:iCs w:val="0"/>
          <w:color w:val="000000"/>
          <w:kern w:val="2"/>
          <w:sz w:val="21"/>
          <w:szCs w:val="21"/>
          <w:highlight w:val="none"/>
          <w:lang w:val="en-US" w:eastAsia="zh-CN"/>
        </w:rPr>
        <w:t>④台风以及暴风雨或地震影响本区域时。</w:t>
      </w:r>
    </w:p>
    <w:p w14:paraId="5534C685">
      <w:pPr>
        <w:widowControl w:val="0"/>
        <w:numPr>
          <w:ilvl w:val="0"/>
          <w:numId w:val="0"/>
        </w:numPr>
        <w:adjustRightInd w:val="0"/>
        <w:spacing w:line="400" w:lineRule="exact"/>
        <w:ind w:right="62" w:rightChars="0" w:firstLine="422" w:firstLineChars="200"/>
        <w:jc w:val="both"/>
        <w:rPr>
          <w:rFonts w:hint="eastAsia" w:ascii="宋体" w:hAnsi="宋体" w:eastAsia="宋体" w:cs="宋体"/>
          <w:i w:val="0"/>
          <w:iCs w:val="0"/>
          <w:color w:val="000000"/>
          <w:sz w:val="21"/>
          <w:szCs w:val="21"/>
          <w:highlight w:val="none"/>
          <w:lang w:val="en-US" w:eastAsia="zh-CN"/>
        </w:rPr>
      </w:pPr>
      <w:r>
        <w:rPr>
          <w:rFonts w:hint="eastAsia" w:ascii="宋体" w:hAnsi="宋体" w:eastAsia="宋体" w:cs="宋体"/>
          <w:b/>
          <w:i w:val="0"/>
          <w:iCs w:val="0"/>
          <w:color w:val="000000"/>
          <w:kern w:val="2"/>
          <w:sz w:val="21"/>
          <w:szCs w:val="21"/>
          <w:highlight w:val="none"/>
          <w:lang w:val="en-US" w:eastAsia="zh-CN"/>
        </w:rPr>
        <w:t>4.防汛防台</w:t>
      </w:r>
      <w:r>
        <w:rPr>
          <w:rFonts w:hint="eastAsia" w:ascii="宋体" w:hAnsi="宋体" w:eastAsia="宋体" w:cs="宋体"/>
          <w:i w:val="0"/>
          <w:iCs w:val="0"/>
          <w:color w:val="000000"/>
          <w:sz w:val="21"/>
          <w:szCs w:val="21"/>
          <w:highlight w:val="none"/>
          <w:lang w:val="en-US" w:eastAsia="zh-CN"/>
        </w:rPr>
        <w:t xml:space="preserve"> </w:t>
      </w:r>
    </w:p>
    <w:p w14:paraId="277F8BA2">
      <w:pPr>
        <w:spacing w:line="400" w:lineRule="exact"/>
        <w:ind w:right="60" w:firstLine="411" w:firstLineChars="196"/>
        <w:rPr>
          <w:rFonts w:hint="eastAsia" w:ascii="宋体" w:hAnsi="宋体" w:eastAsia="宋体" w:cs="宋体"/>
          <w:i w:val="0"/>
          <w:iCs w:val="0"/>
          <w:color w:val="000000"/>
          <w:sz w:val="21"/>
          <w:szCs w:val="21"/>
          <w:highlight w:val="none"/>
          <w:lang w:val="en-US" w:eastAsia="zh-CN"/>
        </w:rPr>
      </w:pPr>
      <w:r>
        <w:rPr>
          <w:rFonts w:hint="eastAsia" w:ascii="宋体" w:hAnsi="宋体" w:eastAsia="宋体" w:cs="宋体"/>
          <w:i w:val="0"/>
          <w:iCs w:val="0"/>
          <w:color w:val="000000"/>
          <w:sz w:val="21"/>
          <w:szCs w:val="21"/>
          <w:highlight w:val="none"/>
          <w:lang w:val="en-US" w:eastAsia="zh-CN"/>
        </w:rPr>
        <w:t>根据防汛预案做好防汛防台工作，并服从招标人统一安排。</w:t>
      </w:r>
    </w:p>
    <w:p w14:paraId="002147AD">
      <w:pPr>
        <w:widowControl w:val="0"/>
        <w:adjustRightInd w:val="0"/>
        <w:spacing w:line="400" w:lineRule="exact"/>
        <w:ind w:firstLine="422" w:firstLineChars="200"/>
        <w:jc w:val="both"/>
        <w:rPr>
          <w:rFonts w:hint="eastAsia" w:ascii="宋体" w:hAnsi="宋体" w:eastAsia="宋体" w:cs="宋体"/>
          <w:b/>
          <w:i w:val="0"/>
          <w:iCs w:val="0"/>
          <w:color w:val="000000"/>
          <w:kern w:val="2"/>
          <w:sz w:val="21"/>
          <w:szCs w:val="21"/>
          <w:highlight w:val="none"/>
        </w:rPr>
      </w:pPr>
      <w:r>
        <w:rPr>
          <w:rFonts w:hint="eastAsia" w:ascii="宋体" w:hAnsi="宋体" w:eastAsia="宋体" w:cs="宋体"/>
          <w:b/>
          <w:i w:val="0"/>
          <w:iCs w:val="0"/>
          <w:color w:val="000000"/>
          <w:kern w:val="2"/>
          <w:sz w:val="21"/>
          <w:szCs w:val="21"/>
          <w:highlight w:val="none"/>
          <w:lang w:val="en-US" w:eastAsia="zh-CN"/>
        </w:rPr>
        <w:t>5</w:t>
      </w:r>
      <w:r>
        <w:rPr>
          <w:rFonts w:hint="eastAsia" w:ascii="宋体" w:hAnsi="宋体" w:eastAsia="宋体" w:cs="宋体"/>
          <w:b/>
          <w:i w:val="0"/>
          <w:iCs w:val="0"/>
          <w:color w:val="000000"/>
          <w:kern w:val="2"/>
          <w:sz w:val="21"/>
          <w:szCs w:val="21"/>
          <w:highlight w:val="none"/>
        </w:rPr>
        <w:t>.安全管理</w:t>
      </w:r>
    </w:p>
    <w:p w14:paraId="59A54888">
      <w:pPr>
        <w:widowControl w:val="0"/>
        <w:adjustRightInd w:val="0"/>
        <w:spacing w:line="400" w:lineRule="exact"/>
        <w:ind w:firstLine="420" w:firstLineChars="200"/>
        <w:jc w:val="both"/>
        <w:rPr>
          <w:rFonts w:hint="eastAsia" w:ascii="宋体" w:hAnsi="宋体" w:eastAsia="宋体" w:cs="宋体"/>
          <w:bCs/>
          <w:i w:val="0"/>
          <w:iCs w:val="0"/>
          <w:color w:val="000000"/>
          <w:kern w:val="2"/>
          <w:sz w:val="21"/>
          <w:szCs w:val="21"/>
          <w:highlight w:val="none"/>
        </w:rPr>
      </w:pPr>
      <w:r>
        <w:rPr>
          <w:rFonts w:hint="eastAsia" w:ascii="宋体" w:hAnsi="宋体" w:eastAsia="宋体" w:cs="宋体"/>
          <w:bCs/>
          <w:i w:val="0"/>
          <w:iCs w:val="0"/>
          <w:color w:val="000000"/>
          <w:kern w:val="2"/>
          <w:sz w:val="21"/>
          <w:szCs w:val="21"/>
          <w:highlight w:val="none"/>
        </w:rPr>
        <w:t>对管理范围内河道</w:t>
      </w:r>
      <w:r>
        <w:rPr>
          <w:rFonts w:hint="eastAsia" w:ascii="宋体" w:hAnsi="宋体" w:eastAsia="宋体" w:cs="宋体"/>
          <w:bCs/>
          <w:i w:val="0"/>
          <w:iCs w:val="0"/>
          <w:color w:val="000000"/>
          <w:kern w:val="2"/>
          <w:sz w:val="21"/>
          <w:szCs w:val="21"/>
          <w:highlight w:val="none"/>
          <w:lang w:eastAsia="zh-CN"/>
        </w:rPr>
        <w:t>、海塘以及管理场所</w:t>
      </w:r>
      <w:r>
        <w:rPr>
          <w:rFonts w:hint="eastAsia" w:ascii="宋体" w:hAnsi="宋体" w:eastAsia="宋体" w:cs="宋体"/>
          <w:bCs/>
          <w:i w:val="0"/>
          <w:iCs w:val="0"/>
          <w:color w:val="000000"/>
          <w:kern w:val="2"/>
          <w:sz w:val="21"/>
          <w:szCs w:val="21"/>
          <w:highlight w:val="none"/>
        </w:rPr>
        <w:t>，水工程设施及区域内的工程建设进行定期巡查，做到巡查记录，并每月整理汇总后向</w:t>
      </w:r>
      <w:r>
        <w:rPr>
          <w:rFonts w:hint="eastAsia" w:ascii="宋体" w:hAnsi="宋体" w:cs="宋体"/>
          <w:bCs/>
          <w:i w:val="0"/>
          <w:iCs w:val="0"/>
          <w:color w:val="000000"/>
          <w:kern w:val="2"/>
          <w:sz w:val="21"/>
          <w:szCs w:val="21"/>
          <w:highlight w:val="none"/>
          <w:lang w:eastAsia="zh-CN"/>
        </w:rPr>
        <w:t>甲方</w:t>
      </w:r>
      <w:r>
        <w:rPr>
          <w:rFonts w:hint="eastAsia" w:ascii="宋体" w:hAnsi="宋体" w:eastAsia="宋体" w:cs="宋体"/>
          <w:bCs/>
          <w:i w:val="0"/>
          <w:iCs w:val="0"/>
          <w:color w:val="000000"/>
          <w:kern w:val="2"/>
          <w:sz w:val="21"/>
          <w:szCs w:val="21"/>
          <w:highlight w:val="none"/>
        </w:rPr>
        <w:t>汇报，重要情况即时汇报。对汛期安全有值班、报告制度和应急预案等。对作业范围内的防火、防盗，安全用电有保证措施与检查手段。</w:t>
      </w:r>
    </w:p>
    <w:p w14:paraId="498520A8">
      <w:pPr>
        <w:widowControl w:val="0"/>
        <w:adjustRightInd w:val="0"/>
        <w:spacing w:line="400" w:lineRule="exact"/>
        <w:ind w:firstLine="422" w:firstLineChars="200"/>
        <w:jc w:val="both"/>
        <w:rPr>
          <w:rFonts w:hint="eastAsia" w:ascii="宋体" w:hAnsi="宋体" w:eastAsia="宋体" w:cs="宋体"/>
          <w:bCs/>
          <w:i w:val="0"/>
          <w:iCs w:val="0"/>
          <w:color w:val="000000"/>
          <w:kern w:val="2"/>
          <w:sz w:val="21"/>
          <w:szCs w:val="21"/>
          <w:highlight w:val="none"/>
        </w:rPr>
      </w:pPr>
      <w:r>
        <w:rPr>
          <w:rFonts w:hint="eastAsia" w:ascii="宋体" w:hAnsi="宋体" w:eastAsia="宋体" w:cs="宋体"/>
          <w:b/>
          <w:bCs/>
          <w:i w:val="0"/>
          <w:iCs w:val="0"/>
          <w:color w:val="000000"/>
          <w:kern w:val="2"/>
          <w:sz w:val="21"/>
          <w:szCs w:val="21"/>
          <w:highlight w:val="none"/>
          <w:lang w:val="en-US" w:eastAsia="zh-CN"/>
        </w:rPr>
        <w:t>6</w:t>
      </w:r>
      <w:r>
        <w:rPr>
          <w:rFonts w:hint="eastAsia" w:ascii="宋体" w:hAnsi="宋体" w:eastAsia="宋体" w:cs="宋体"/>
          <w:b/>
          <w:bCs/>
          <w:i w:val="0"/>
          <w:iCs w:val="0"/>
          <w:color w:val="000000"/>
          <w:kern w:val="2"/>
          <w:sz w:val="21"/>
          <w:szCs w:val="21"/>
          <w:highlight w:val="none"/>
        </w:rPr>
        <w:t>.</w:t>
      </w:r>
      <w:r>
        <w:rPr>
          <w:rFonts w:hint="eastAsia" w:ascii="宋体" w:hAnsi="宋体" w:eastAsia="宋体" w:cs="宋体"/>
          <w:b/>
          <w:bCs/>
          <w:i w:val="0"/>
          <w:iCs w:val="0"/>
          <w:color w:val="000000"/>
          <w:kern w:val="2"/>
          <w:sz w:val="21"/>
          <w:szCs w:val="21"/>
          <w:highlight w:val="none"/>
          <w:lang w:val="en-US" w:eastAsia="zh-CN"/>
        </w:rPr>
        <w:t>资料</w:t>
      </w:r>
      <w:r>
        <w:rPr>
          <w:rFonts w:hint="eastAsia" w:ascii="宋体" w:hAnsi="宋体" w:eastAsia="宋体" w:cs="宋体"/>
          <w:b/>
          <w:bCs/>
          <w:i w:val="0"/>
          <w:iCs w:val="0"/>
          <w:color w:val="000000"/>
          <w:kern w:val="2"/>
          <w:sz w:val="21"/>
          <w:szCs w:val="21"/>
          <w:highlight w:val="none"/>
        </w:rPr>
        <w:t>管理</w:t>
      </w:r>
    </w:p>
    <w:p w14:paraId="1BC9F397">
      <w:pPr>
        <w:widowControl w:val="0"/>
        <w:adjustRightInd w:val="0"/>
        <w:spacing w:line="400" w:lineRule="exact"/>
        <w:ind w:firstLine="420" w:firstLineChars="200"/>
        <w:jc w:val="both"/>
        <w:rPr>
          <w:rFonts w:hint="eastAsia" w:ascii="宋体" w:hAnsi="宋体" w:eastAsia="宋体" w:cs="宋体"/>
          <w:bCs/>
          <w:i w:val="0"/>
          <w:iCs w:val="0"/>
          <w:color w:val="000000"/>
          <w:kern w:val="2"/>
          <w:sz w:val="21"/>
          <w:szCs w:val="21"/>
          <w:highlight w:val="none"/>
        </w:rPr>
      </w:pPr>
      <w:r>
        <w:rPr>
          <w:rFonts w:hint="eastAsia" w:ascii="宋体" w:hAnsi="宋体" w:eastAsia="宋体" w:cs="宋体"/>
          <w:bCs/>
          <w:i w:val="0"/>
          <w:iCs w:val="0"/>
          <w:color w:val="000000"/>
          <w:kern w:val="2"/>
          <w:sz w:val="21"/>
          <w:szCs w:val="21"/>
          <w:highlight w:val="none"/>
        </w:rPr>
        <w:t>建立健全技术档案管理制度，档案设施应齐全、清洁、完好。建设信息化管理平台，应及时将水闸工程的控制运用、检查监测、维修养护、安全管理与档案资料等建立成电子化管理台帐，纳入平台管理系统内进行管理。资料整编要求考证清楚、项目齐全、方法合理、数据可靠、图表完整、说明完备；图形比例尺满足精度要求，图面线条清晰均匀、注字工整整洁；表格及文字说明端正整洁、数据上下整齐、无涂改现象。</w:t>
      </w:r>
    </w:p>
    <w:p w14:paraId="24D7B8B7">
      <w:pPr>
        <w:widowControl w:val="0"/>
        <w:adjustRightInd w:val="0"/>
        <w:spacing w:line="400" w:lineRule="exact"/>
        <w:ind w:firstLine="422" w:firstLineChars="200"/>
        <w:jc w:val="both"/>
        <w:rPr>
          <w:rFonts w:hint="eastAsia" w:ascii="宋体" w:hAnsi="宋体" w:eastAsia="宋体" w:cs="宋体"/>
          <w:b/>
          <w:i w:val="0"/>
          <w:iCs w:val="0"/>
          <w:color w:val="000000"/>
          <w:kern w:val="2"/>
          <w:sz w:val="21"/>
          <w:szCs w:val="21"/>
          <w:highlight w:val="none"/>
        </w:rPr>
      </w:pPr>
      <w:r>
        <w:rPr>
          <w:rFonts w:hint="eastAsia" w:ascii="宋体" w:hAnsi="宋体" w:eastAsia="宋体" w:cs="宋体"/>
          <w:b/>
          <w:i w:val="0"/>
          <w:iCs w:val="0"/>
          <w:color w:val="000000"/>
          <w:kern w:val="2"/>
          <w:sz w:val="21"/>
          <w:szCs w:val="21"/>
          <w:highlight w:val="none"/>
          <w:lang w:val="en-US" w:eastAsia="zh-CN"/>
        </w:rPr>
        <w:t>7</w:t>
      </w:r>
      <w:r>
        <w:rPr>
          <w:rFonts w:hint="eastAsia" w:ascii="宋体" w:hAnsi="宋体" w:eastAsia="宋体" w:cs="宋体"/>
          <w:b/>
          <w:i w:val="0"/>
          <w:iCs w:val="0"/>
          <w:color w:val="000000"/>
          <w:kern w:val="2"/>
          <w:sz w:val="21"/>
          <w:szCs w:val="21"/>
          <w:highlight w:val="none"/>
        </w:rPr>
        <w:t>.信息管理</w:t>
      </w:r>
    </w:p>
    <w:p w14:paraId="3D1BAF1F">
      <w:pPr>
        <w:widowControl w:val="0"/>
        <w:adjustRightInd w:val="0"/>
        <w:spacing w:line="400" w:lineRule="exact"/>
        <w:ind w:firstLine="420" w:firstLineChars="200"/>
        <w:jc w:val="both"/>
        <w:rPr>
          <w:rFonts w:hint="eastAsia" w:ascii="宋体" w:hAnsi="宋体" w:eastAsia="宋体" w:cs="宋体"/>
          <w:bCs/>
          <w:i w:val="0"/>
          <w:iCs w:val="0"/>
          <w:color w:val="000000"/>
          <w:kern w:val="2"/>
          <w:sz w:val="21"/>
          <w:szCs w:val="21"/>
          <w:highlight w:val="none"/>
        </w:rPr>
      </w:pPr>
      <w:r>
        <w:rPr>
          <w:rFonts w:hint="eastAsia" w:ascii="宋体" w:hAnsi="宋体" w:eastAsia="宋体" w:cs="宋体"/>
          <w:bCs/>
          <w:i w:val="0"/>
          <w:iCs w:val="0"/>
          <w:color w:val="000000"/>
          <w:kern w:val="2"/>
          <w:sz w:val="21"/>
          <w:szCs w:val="21"/>
          <w:highlight w:val="none"/>
        </w:rPr>
        <w:t>做好</w:t>
      </w:r>
      <w:r>
        <w:rPr>
          <w:rFonts w:hint="eastAsia" w:ascii="宋体" w:hAnsi="宋体" w:eastAsia="宋体" w:cs="宋体"/>
          <w:bCs/>
          <w:i w:val="0"/>
          <w:iCs w:val="0"/>
          <w:color w:val="000000"/>
          <w:kern w:val="2"/>
          <w:sz w:val="21"/>
          <w:szCs w:val="21"/>
          <w:highlight w:val="none"/>
          <w:lang w:eastAsia="zh-CN"/>
        </w:rPr>
        <w:t>信息化管理</w:t>
      </w:r>
      <w:r>
        <w:rPr>
          <w:rFonts w:hint="eastAsia" w:ascii="宋体" w:hAnsi="宋体" w:eastAsia="宋体" w:cs="宋体"/>
          <w:bCs/>
          <w:i w:val="0"/>
          <w:iCs w:val="0"/>
          <w:color w:val="000000"/>
          <w:kern w:val="2"/>
          <w:sz w:val="21"/>
          <w:szCs w:val="21"/>
          <w:highlight w:val="none"/>
        </w:rPr>
        <w:t>系统</w:t>
      </w:r>
      <w:r>
        <w:rPr>
          <w:rFonts w:hint="eastAsia" w:ascii="宋体" w:hAnsi="宋体" w:eastAsia="宋体" w:cs="宋体"/>
          <w:bCs/>
          <w:i w:val="0"/>
          <w:iCs w:val="0"/>
          <w:color w:val="000000"/>
          <w:kern w:val="2"/>
          <w:sz w:val="21"/>
          <w:szCs w:val="21"/>
          <w:highlight w:val="none"/>
          <w:lang w:val="en-US" w:eastAsia="zh-CN"/>
        </w:rPr>
        <w:t>的运行及维护工作</w:t>
      </w:r>
      <w:r>
        <w:rPr>
          <w:rFonts w:hint="eastAsia" w:ascii="宋体" w:hAnsi="宋体" w:eastAsia="宋体" w:cs="宋体"/>
          <w:bCs/>
          <w:i w:val="0"/>
          <w:iCs w:val="0"/>
          <w:color w:val="000000"/>
          <w:kern w:val="2"/>
          <w:sz w:val="21"/>
          <w:szCs w:val="21"/>
          <w:highlight w:val="none"/>
        </w:rPr>
        <w:t>。</w:t>
      </w:r>
    </w:p>
    <w:p w14:paraId="26B8017F">
      <w:pPr>
        <w:widowControl w:val="0"/>
        <w:adjustRightInd w:val="0"/>
        <w:spacing w:line="400" w:lineRule="exact"/>
        <w:ind w:firstLine="420" w:firstLineChars="200"/>
        <w:jc w:val="both"/>
        <w:rPr>
          <w:rFonts w:hint="eastAsia" w:ascii="宋体" w:hAnsi="宋体" w:eastAsia="宋体" w:cs="宋体"/>
          <w:bCs/>
          <w:i w:val="0"/>
          <w:iCs w:val="0"/>
          <w:color w:val="000000"/>
          <w:kern w:val="2"/>
          <w:sz w:val="21"/>
          <w:szCs w:val="21"/>
          <w:highlight w:val="none"/>
        </w:rPr>
      </w:pPr>
      <w:r>
        <w:rPr>
          <w:rFonts w:hint="eastAsia" w:ascii="宋体" w:hAnsi="宋体" w:eastAsia="宋体" w:cs="宋体"/>
          <w:bCs/>
          <w:i w:val="0"/>
          <w:iCs w:val="0"/>
          <w:color w:val="000000"/>
          <w:kern w:val="2"/>
          <w:sz w:val="21"/>
          <w:szCs w:val="21"/>
          <w:highlight w:val="none"/>
          <w:lang w:eastAsia="zh-CN"/>
        </w:rPr>
        <w:t>做好</w:t>
      </w:r>
      <w:r>
        <w:rPr>
          <w:rFonts w:hint="eastAsia" w:ascii="宋体" w:hAnsi="宋体" w:eastAsia="宋体" w:cs="宋体"/>
          <w:bCs/>
          <w:i w:val="0"/>
          <w:iCs w:val="0"/>
          <w:color w:val="000000"/>
          <w:kern w:val="2"/>
          <w:sz w:val="21"/>
          <w:szCs w:val="21"/>
          <w:highlight w:val="none"/>
        </w:rPr>
        <w:t>设备的除尘、清理，扫净监控设备显露的尘土，对摄像机、防护罩等部件要卸下彻底吹风除尘，防止由于机器运转、静电等因素将尘土吸入监控设备机体内，确保机器正常运行。</w:t>
      </w:r>
    </w:p>
    <w:p w14:paraId="35C1D280">
      <w:pPr>
        <w:widowControl w:val="0"/>
        <w:adjustRightInd w:val="0"/>
        <w:spacing w:line="400" w:lineRule="exact"/>
        <w:ind w:firstLine="422" w:firstLineChars="200"/>
        <w:jc w:val="both"/>
        <w:rPr>
          <w:rFonts w:hint="eastAsia" w:ascii="宋体" w:hAnsi="宋体" w:eastAsia="宋体" w:cs="宋体"/>
          <w:b/>
          <w:i w:val="0"/>
          <w:iCs w:val="0"/>
          <w:color w:val="000000"/>
          <w:kern w:val="2"/>
          <w:sz w:val="21"/>
          <w:szCs w:val="21"/>
          <w:highlight w:val="none"/>
        </w:rPr>
      </w:pPr>
      <w:r>
        <w:rPr>
          <w:rFonts w:hint="eastAsia" w:ascii="宋体" w:hAnsi="宋体" w:eastAsia="宋体" w:cs="宋体"/>
          <w:b/>
          <w:i w:val="0"/>
          <w:iCs w:val="0"/>
          <w:color w:val="000000"/>
          <w:kern w:val="2"/>
          <w:sz w:val="21"/>
          <w:szCs w:val="21"/>
          <w:highlight w:val="none"/>
          <w:lang w:val="en-US" w:eastAsia="zh-CN"/>
        </w:rPr>
        <w:t>8</w:t>
      </w:r>
      <w:r>
        <w:rPr>
          <w:rFonts w:hint="eastAsia" w:ascii="宋体" w:hAnsi="宋体" w:eastAsia="宋体" w:cs="宋体"/>
          <w:b/>
          <w:i w:val="0"/>
          <w:iCs w:val="0"/>
          <w:color w:val="000000"/>
          <w:kern w:val="2"/>
          <w:sz w:val="21"/>
          <w:szCs w:val="21"/>
          <w:highlight w:val="none"/>
        </w:rPr>
        <w:t>.</w:t>
      </w:r>
      <w:r>
        <w:rPr>
          <w:rFonts w:hint="eastAsia" w:ascii="宋体" w:hAnsi="宋体" w:eastAsia="宋体" w:cs="宋体"/>
          <w:b/>
          <w:i w:val="0"/>
          <w:iCs w:val="0"/>
          <w:color w:val="000000"/>
          <w:kern w:val="2"/>
          <w:sz w:val="21"/>
          <w:szCs w:val="21"/>
          <w:highlight w:val="none"/>
          <w:lang w:val="en-US" w:eastAsia="zh-CN"/>
        </w:rPr>
        <w:t>绿化养护及保洁</w:t>
      </w:r>
    </w:p>
    <w:p w14:paraId="5808E1A8">
      <w:pPr>
        <w:widowControl w:val="0"/>
        <w:adjustRightInd w:val="0"/>
        <w:spacing w:line="400" w:lineRule="exact"/>
        <w:ind w:firstLine="420" w:firstLineChars="200"/>
        <w:jc w:val="both"/>
        <w:rPr>
          <w:rFonts w:hint="eastAsia" w:ascii="宋体" w:hAnsi="宋体" w:eastAsia="宋体" w:cs="宋体"/>
          <w:bCs/>
          <w:i w:val="0"/>
          <w:iCs w:val="0"/>
          <w:color w:val="000000"/>
          <w:kern w:val="2"/>
          <w:sz w:val="21"/>
          <w:szCs w:val="21"/>
          <w:highlight w:val="none"/>
        </w:rPr>
      </w:pPr>
      <w:r>
        <w:rPr>
          <w:rFonts w:hint="eastAsia"/>
          <w:highlight w:val="none"/>
          <w:lang w:val="en-US" w:eastAsia="zh-CN"/>
        </w:rPr>
        <w:t>对路桥区海塘涵闸所草坪、五丰闸外草坪养护，白沙外堤、分水盐场塘等塘顶垃圾清理，</w:t>
      </w:r>
      <w:r>
        <w:rPr>
          <w:rFonts w:hint="eastAsia" w:ascii="宋体" w:hAnsi="宋体" w:eastAsia="宋体" w:cs="宋体"/>
          <w:bCs/>
          <w:i w:val="0"/>
          <w:iCs w:val="0"/>
          <w:color w:val="000000"/>
          <w:kern w:val="2"/>
          <w:sz w:val="21"/>
          <w:szCs w:val="21"/>
          <w:highlight w:val="none"/>
          <w:lang w:val="en-US" w:eastAsia="zh-CN"/>
        </w:rPr>
        <w:t>对</w:t>
      </w:r>
      <w:r>
        <w:rPr>
          <w:rFonts w:hint="eastAsia" w:ascii="宋体" w:hAnsi="宋体" w:eastAsia="宋体" w:cs="宋体"/>
          <w:bCs/>
          <w:i w:val="0"/>
          <w:iCs w:val="0"/>
          <w:color w:val="000000"/>
          <w:kern w:val="2"/>
          <w:sz w:val="21"/>
          <w:szCs w:val="21"/>
          <w:highlight w:val="none"/>
        </w:rPr>
        <w:t>设施（设备）进行常态化的保洁，做到干净、整洁</w:t>
      </w:r>
      <w:r>
        <w:rPr>
          <w:rFonts w:hint="eastAsia" w:ascii="宋体" w:hAnsi="宋体" w:eastAsia="宋体" w:cs="宋体"/>
          <w:bCs/>
          <w:i w:val="0"/>
          <w:iCs w:val="0"/>
          <w:color w:val="000000"/>
          <w:kern w:val="2"/>
          <w:sz w:val="21"/>
          <w:szCs w:val="21"/>
          <w:highlight w:val="none"/>
          <w:lang w:eastAsia="zh-CN"/>
        </w:rPr>
        <w:t>、</w:t>
      </w:r>
      <w:r>
        <w:rPr>
          <w:rFonts w:hint="eastAsia" w:ascii="宋体" w:hAnsi="宋体" w:eastAsia="宋体" w:cs="宋体"/>
          <w:bCs/>
          <w:i w:val="0"/>
          <w:iCs w:val="0"/>
          <w:color w:val="000000"/>
          <w:kern w:val="2"/>
          <w:sz w:val="21"/>
          <w:szCs w:val="21"/>
          <w:highlight w:val="none"/>
          <w:lang w:val="en-US" w:eastAsia="zh-CN"/>
        </w:rPr>
        <w:t>规范、有序</w:t>
      </w:r>
      <w:r>
        <w:rPr>
          <w:rFonts w:hint="eastAsia" w:ascii="宋体" w:hAnsi="宋体" w:eastAsia="宋体" w:cs="宋体"/>
          <w:bCs/>
          <w:i w:val="0"/>
          <w:iCs w:val="0"/>
          <w:color w:val="000000"/>
          <w:kern w:val="2"/>
          <w:sz w:val="21"/>
          <w:szCs w:val="21"/>
          <w:highlight w:val="none"/>
          <w:lang w:eastAsia="zh-CN"/>
        </w:rPr>
        <w:t>。</w:t>
      </w:r>
      <w:r>
        <w:rPr>
          <w:rFonts w:hint="eastAsia" w:ascii="宋体" w:hAnsi="宋体" w:eastAsia="宋体" w:cs="宋体"/>
          <w:bCs/>
          <w:i w:val="0"/>
          <w:iCs w:val="0"/>
          <w:color w:val="000000"/>
          <w:kern w:val="2"/>
          <w:sz w:val="21"/>
          <w:szCs w:val="21"/>
          <w:highlight w:val="none"/>
          <w:lang w:val="en-US" w:eastAsia="zh-CN"/>
        </w:rPr>
        <w:t>对管理范围</w:t>
      </w:r>
      <w:r>
        <w:rPr>
          <w:rFonts w:hint="eastAsia" w:ascii="宋体" w:hAnsi="宋体" w:eastAsia="宋体" w:cs="宋体"/>
          <w:bCs/>
          <w:i w:val="0"/>
          <w:iCs w:val="0"/>
          <w:color w:val="000000"/>
          <w:kern w:val="2"/>
          <w:sz w:val="21"/>
          <w:szCs w:val="21"/>
          <w:highlight w:val="none"/>
        </w:rPr>
        <w:t>的</w:t>
      </w:r>
      <w:r>
        <w:rPr>
          <w:rFonts w:hint="eastAsia" w:ascii="宋体" w:hAnsi="宋体" w:eastAsia="宋体" w:cs="宋体"/>
          <w:bCs/>
          <w:i w:val="0"/>
          <w:iCs w:val="0"/>
          <w:color w:val="000000"/>
          <w:kern w:val="2"/>
          <w:sz w:val="21"/>
          <w:szCs w:val="21"/>
          <w:highlight w:val="none"/>
          <w:lang w:val="en-US" w:eastAsia="zh-CN"/>
        </w:rPr>
        <w:t>室内外场地、办公</w:t>
      </w:r>
      <w:r>
        <w:rPr>
          <w:rFonts w:hint="eastAsia" w:ascii="宋体" w:hAnsi="宋体" w:cs="宋体"/>
          <w:bCs/>
          <w:i w:val="0"/>
          <w:iCs w:val="0"/>
          <w:color w:val="000000"/>
          <w:kern w:val="2"/>
          <w:sz w:val="21"/>
          <w:szCs w:val="21"/>
          <w:highlight w:val="none"/>
          <w:lang w:val="en-US" w:eastAsia="zh-CN"/>
        </w:rPr>
        <w:t>区域</w:t>
      </w:r>
      <w:r>
        <w:rPr>
          <w:rFonts w:hint="eastAsia" w:ascii="宋体" w:hAnsi="宋体" w:eastAsia="宋体" w:cs="宋体"/>
          <w:bCs/>
          <w:i w:val="0"/>
          <w:iCs w:val="0"/>
          <w:color w:val="000000"/>
          <w:kern w:val="2"/>
          <w:sz w:val="21"/>
          <w:szCs w:val="21"/>
          <w:highlight w:val="none"/>
          <w:lang w:val="en-US" w:eastAsia="zh-CN"/>
        </w:rPr>
        <w:t>进行日常保洁，</w:t>
      </w:r>
      <w:r>
        <w:rPr>
          <w:rFonts w:hint="eastAsia" w:ascii="宋体" w:hAnsi="宋体" w:eastAsia="宋体" w:cs="宋体"/>
          <w:bCs/>
          <w:i w:val="0"/>
          <w:iCs w:val="0"/>
          <w:color w:val="000000"/>
          <w:kern w:val="2"/>
          <w:sz w:val="21"/>
          <w:szCs w:val="21"/>
          <w:highlight w:val="none"/>
        </w:rPr>
        <w:t>做到干净、整洁</w:t>
      </w:r>
      <w:r>
        <w:rPr>
          <w:rFonts w:hint="eastAsia" w:ascii="宋体" w:hAnsi="宋体" w:eastAsia="宋体" w:cs="宋体"/>
          <w:bCs/>
          <w:i w:val="0"/>
          <w:iCs w:val="0"/>
          <w:color w:val="000000"/>
          <w:kern w:val="2"/>
          <w:sz w:val="21"/>
          <w:szCs w:val="21"/>
          <w:highlight w:val="none"/>
          <w:lang w:eastAsia="zh-CN"/>
        </w:rPr>
        <w:t>、</w:t>
      </w:r>
      <w:r>
        <w:rPr>
          <w:rFonts w:hint="eastAsia" w:ascii="宋体" w:hAnsi="宋体" w:eastAsia="宋体" w:cs="宋体"/>
          <w:bCs/>
          <w:i w:val="0"/>
          <w:iCs w:val="0"/>
          <w:color w:val="000000"/>
          <w:kern w:val="2"/>
          <w:sz w:val="21"/>
          <w:szCs w:val="21"/>
          <w:highlight w:val="none"/>
        </w:rPr>
        <w:t>无乱堆乱放现象，无污秽（杂）物、无卫生死角。</w:t>
      </w:r>
    </w:p>
    <w:p w14:paraId="06B40BF9">
      <w:pPr>
        <w:widowControl w:val="0"/>
        <w:adjustRightInd w:val="0"/>
        <w:spacing w:line="400" w:lineRule="exact"/>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8.1养护要求</w:t>
      </w:r>
    </w:p>
    <w:p w14:paraId="429106AE">
      <w:pPr>
        <w:widowControl w:val="0"/>
        <w:adjustRightInd w:val="0"/>
        <w:spacing w:line="400" w:lineRule="exact"/>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绿化养护内容包括绿化除草、浇水、施肥、病虫害防治、修剪和补种等工作，要求绿地内各类地被植物覆盖完好，地被植物与乔、灌木的界线清晰，线条流畅。具体要求如下： </w:t>
      </w:r>
    </w:p>
    <w:p w14:paraId="45D8DE22">
      <w:pPr>
        <w:widowControl w:val="0"/>
        <w:adjustRightInd w:val="0"/>
        <w:spacing w:line="400" w:lineRule="exact"/>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①要求不留死角，清除到位，清理的杂草必须当日清当日运。</w:t>
      </w:r>
    </w:p>
    <w:p w14:paraId="18A7F16B">
      <w:pPr>
        <w:widowControl w:val="0"/>
        <w:adjustRightInd w:val="0"/>
        <w:spacing w:line="400" w:lineRule="exact"/>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②根据气候条件及各品种绿化需求适时浇水、施肥、修剪。</w:t>
      </w:r>
    </w:p>
    <w:p w14:paraId="075082A9">
      <w:pPr>
        <w:widowControl w:val="0"/>
        <w:adjustRightInd w:val="0"/>
        <w:spacing w:line="400" w:lineRule="exact"/>
        <w:ind w:firstLine="420" w:firstLineChars="2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8.2、保洁要求</w:t>
      </w:r>
    </w:p>
    <w:p w14:paraId="372C812F">
      <w:pPr>
        <w:widowControl w:val="0"/>
        <w:adjustRightInd w:val="0"/>
        <w:spacing w:line="400" w:lineRule="exact"/>
        <w:ind w:firstLine="420" w:firstLineChars="200"/>
        <w:jc w:val="both"/>
        <w:rPr>
          <w:rFonts w:hint="default" w:ascii="宋体" w:hAnsi="宋体" w:eastAsia="宋体" w:cs="宋体"/>
          <w:b w:val="0"/>
          <w:bCs/>
          <w:color w:val="auto"/>
          <w:kern w:val="0"/>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保洁范围及内容：包括堤顶路面、背水坡、标识标牌等所有水利设施及附属物的保洁工作，负责堤防管理范围内所有的垃圾清运工作。</w:t>
      </w:r>
      <w:r>
        <w:rPr>
          <w:rFonts w:hint="eastAsia" w:ascii="宋体" w:hAnsi="宋体" w:eastAsia="宋体" w:cs="宋体"/>
          <w:bCs/>
          <w:i w:val="0"/>
          <w:iCs w:val="0"/>
          <w:color w:val="000000"/>
          <w:kern w:val="2"/>
          <w:sz w:val="21"/>
          <w:szCs w:val="21"/>
          <w:highlight w:val="none"/>
        </w:rPr>
        <w:br w:type="textWrapping"/>
      </w:r>
      <w:r>
        <w:rPr>
          <w:rFonts w:hint="eastAsia" w:ascii="宋体" w:hAnsi="宋体" w:eastAsia="宋体" w:cs="宋体"/>
          <w:b/>
          <w:i w:val="0"/>
          <w:iCs w:val="0"/>
          <w:color w:val="000000"/>
          <w:kern w:val="2"/>
          <w:sz w:val="21"/>
          <w:szCs w:val="21"/>
          <w:highlight w:val="none"/>
          <w:lang w:val="en-US" w:eastAsia="zh-CN"/>
        </w:rPr>
        <w:t xml:space="preserve">    9.测绘</w:t>
      </w:r>
      <w:r>
        <w:rPr>
          <w:rFonts w:hint="eastAsia" w:ascii="宋体" w:hAnsi="宋体" w:eastAsia="宋体" w:cs="宋体"/>
          <w:b/>
          <w:i w:val="0"/>
          <w:iCs w:val="0"/>
          <w:color w:val="000000"/>
          <w:kern w:val="2"/>
          <w:sz w:val="21"/>
          <w:szCs w:val="21"/>
          <w:highlight w:val="none"/>
          <w:lang w:val="en-US" w:eastAsia="zh-CN"/>
        </w:rPr>
        <w:br w:type="textWrapping"/>
      </w:r>
      <w:r>
        <w:rPr>
          <w:rFonts w:hint="eastAsia" w:ascii="宋体" w:hAnsi="宋体" w:eastAsia="宋体" w:cs="宋体"/>
          <w:bCs/>
          <w:i w:val="0"/>
          <w:iCs w:val="0"/>
          <w:color w:val="000000"/>
          <w:kern w:val="2"/>
          <w:sz w:val="21"/>
          <w:szCs w:val="21"/>
          <w:highlight w:val="none"/>
          <w:lang w:val="en-US" w:eastAsia="zh-CN"/>
        </w:rPr>
        <w:t xml:space="preserve">    </w:t>
      </w:r>
      <w:r>
        <w:rPr>
          <w:rFonts w:hint="eastAsia" w:ascii="宋体" w:hAnsi="宋体" w:cs="宋体"/>
          <w:bCs/>
          <w:i w:val="0"/>
          <w:iCs w:val="0"/>
          <w:color w:val="000000"/>
          <w:kern w:val="2"/>
          <w:sz w:val="21"/>
          <w:szCs w:val="21"/>
          <w:highlight w:val="none"/>
          <w:lang w:val="en-US" w:eastAsia="zh-CN"/>
        </w:rPr>
        <w:t>测绘</w:t>
      </w:r>
      <w:r>
        <w:rPr>
          <w:rFonts w:hint="eastAsia" w:ascii="宋体" w:hAnsi="宋体" w:eastAsia="宋体" w:cs="宋体"/>
          <w:i w:val="0"/>
          <w:iCs w:val="0"/>
          <w:color w:val="000000"/>
          <w:kern w:val="0"/>
          <w:sz w:val="21"/>
          <w:szCs w:val="21"/>
          <w:highlight w:val="none"/>
          <w:u w:val="none"/>
          <w:lang w:val="en-US" w:eastAsia="zh-CN" w:bidi="ar"/>
        </w:rPr>
        <w:t>包括沉降位移，海塘堤防监测项目包括沉降位移和裂缝观测，记录规范完整，数据可靠。</w:t>
      </w:r>
    </w:p>
    <w:p w14:paraId="15D7B4DA">
      <w:pPr>
        <w:widowControl w:val="0"/>
        <w:adjustRightInd w:val="0"/>
        <w:spacing w:line="400" w:lineRule="exact"/>
        <w:ind w:firstLine="422" w:firstLineChars="200"/>
        <w:jc w:val="both"/>
        <w:rPr>
          <w:rFonts w:hint="eastAsia" w:hAnsi="宋体" w:cs="宋体"/>
          <w:b/>
          <w:bCs/>
          <w:color w:val="auto"/>
          <w:sz w:val="24"/>
          <w:szCs w:val="24"/>
          <w:highlight w:val="none"/>
        </w:rPr>
      </w:pPr>
      <w:r>
        <w:rPr>
          <w:rFonts w:hint="eastAsia" w:ascii="宋体" w:hAnsi="宋体" w:cs="宋体"/>
          <w:b/>
          <w:i w:val="0"/>
          <w:iCs w:val="0"/>
          <w:color w:val="000000"/>
          <w:kern w:val="2"/>
          <w:sz w:val="21"/>
          <w:szCs w:val="21"/>
          <w:highlight w:val="none"/>
          <w:lang w:val="en-US" w:eastAsia="zh-CN"/>
        </w:rPr>
        <w:t>10.</w:t>
      </w:r>
      <w:r>
        <w:rPr>
          <w:rFonts w:hint="eastAsia" w:ascii="宋体" w:hAnsi="宋体" w:eastAsia="宋体" w:cs="宋体"/>
          <w:b/>
          <w:i w:val="0"/>
          <w:iCs w:val="0"/>
          <w:color w:val="000000"/>
          <w:kern w:val="2"/>
          <w:sz w:val="21"/>
          <w:szCs w:val="21"/>
          <w:highlight w:val="none"/>
          <w:lang w:val="en-US" w:eastAsia="zh-CN"/>
        </w:rPr>
        <w:t>管理平台数据维护</w:t>
      </w:r>
    </w:p>
    <w:p w14:paraId="2584FE77">
      <w:pPr>
        <w:widowControl/>
        <w:shd w:val="clear" w:color="auto" w:fill="FFFFFF"/>
        <w:spacing w:line="360" w:lineRule="auto"/>
        <w:ind w:firstLine="420" w:firstLineChars="200"/>
        <w:jc w:val="left"/>
        <w:rPr>
          <w:rStyle w:val="27"/>
          <w:rFonts w:hint="default" w:ascii="宋体" w:hAnsi="宋体" w:cs="宋体"/>
          <w:b/>
          <w:bCs/>
          <w:color w:val="auto"/>
          <w:sz w:val="36"/>
          <w:szCs w:val="44"/>
          <w:highlight w:val="none"/>
          <w:lang w:val="en-US"/>
        </w:rPr>
      </w:pPr>
      <w:r>
        <w:rPr>
          <w:rFonts w:hint="eastAsia" w:ascii="宋体" w:hAnsi="宋体" w:eastAsia="宋体" w:cs="Times New Roman"/>
          <w:kern w:val="2"/>
          <w:sz w:val="21"/>
          <w:szCs w:val="21"/>
          <w:highlight w:val="none"/>
          <w:lang w:val="en-US" w:eastAsia="zh-CN" w:bidi="ar-SA"/>
        </w:rPr>
        <w:t>信息平台包括矩阵平台和省市平台，如遇平台升级，承包人应按照最新平台要求录入数据。</w:t>
      </w:r>
      <w:r>
        <w:rPr>
          <w:rFonts w:hint="eastAsia" w:ascii="宋体" w:hAnsi="宋体" w:eastAsia="宋体" w:cs="Times New Roman"/>
          <w:kern w:val="2"/>
          <w:sz w:val="21"/>
          <w:szCs w:val="21"/>
          <w:highlight w:val="none"/>
          <w:lang w:val="en-US" w:eastAsia="zh-CN" w:bidi="ar-SA"/>
        </w:rPr>
        <w:br w:type="textWrapping"/>
      </w:r>
      <w:r>
        <w:rPr>
          <w:rFonts w:hint="eastAsia" w:ascii="宋体" w:hAnsi="宋体" w:cs="宋体"/>
          <w:b/>
          <w:color w:val="auto"/>
          <w:sz w:val="24"/>
          <w:highlight w:val="none"/>
          <w:lang w:val="en-US" w:eastAsia="zh-CN"/>
        </w:rPr>
        <w:t>六、商务要求</w:t>
      </w:r>
      <w:r>
        <w:rPr>
          <w:rFonts w:hint="eastAsia" w:ascii="宋体" w:hAnsi="宋体" w:cs="宋体"/>
          <w:b/>
          <w:color w:val="auto"/>
          <w:sz w:val="24"/>
          <w:highlight w:val="none"/>
          <w:lang w:val="en-US" w:eastAsia="zh-CN"/>
        </w:rPr>
        <w:br w:type="textWrapping"/>
      </w:r>
      <w:r>
        <w:rPr>
          <w:rFonts w:hint="eastAsia" w:ascii="宋体" w:hAnsi="宋体" w:cs="宋体"/>
          <w:b/>
          <w:color w:val="auto"/>
          <w:sz w:val="24"/>
          <w:highlight w:val="none"/>
          <w:lang w:val="en-US" w:eastAsia="zh-CN"/>
        </w:rPr>
        <w:t xml:space="preserve">   </w:t>
      </w:r>
      <w:r>
        <w:rPr>
          <w:rFonts w:hint="eastAsia" w:ascii="宋体" w:hAnsi="宋体" w:cs="Times New Roman"/>
          <w:kern w:val="2"/>
          <w:sz w:val="21"/>
          <w:szCs w:val="21"/>
          <w:highlight w:val="none"/>
          <w:lang w:val="en-US" w:eastAsia="zh-CN" w:bidi="ar-SA"/>
        </w:rPr>
        <w:t>付款方式：按月支付</w:t>
      </w:r>
    </w:p>
    <w:p w14:paraId="0EDDB83B">
      <w:pPr>
        <w:pStyle w:val="14"/>
        <w:keepNext w:val="0"/>
        <w:keepLines w:val="0"/>
        <w:pageBreakBefore/>
        <w:widowControl w:val="0"/>
        <w:shd w:val="clear" w:color="auto" w:fill="auto"/>
        <w:kinsoku/>
        <w:wordWrap/>
        <w:overflowPunct/>
        <w:topLinePunct w:val="0"/>
        <w:autoSpaceDE/>
        <w:autoSpaceDN/>
        <w:bidi w:val="0"/>
        <w:adjustRightInd/>
        <w:snapToGrid w:val="0"/>
        <w:spacing w:after="0" w:line="240" w:lineRule="auto"/>
        <w:textAlignment w:val="auto"/>
        <w:outlineLvl w:val="0"/>
        <w:rPr>
          <w:rFonts w:ascii="黑体" w:eastAsia="黑体"/>
          <w:b/>
          <w:color w:val="auto"/>
          <w:sz w:val="32"/>
          <w:szCs w:val="32"/>
          <w:highlight w:val="none"/>
        </w:rPr>
      </w:pPr>
      <w:r>
        <w:rPr>
          <w:rStyle w:val="27"/>
          <w:rFonts w:ascii="宋体" w:hAnsi="宋体" w:cs="宋体"/>
          <w:b/>
          <w:bCs/>
          <w:color w:val="auto"/>
          <w:sz w:val="36"/>
          <w:szCs w:val="44"/>
          <w:highlight w:val="none"/>
        </w:rPr>
        <w:t xml:space="preserve">第五章 </w:t>
      </w:r>
      <w:r>
        <w:rPr>
          <w:rFonts w:hint="eastAsia" w:ascii="宋体" w:hAnsi="Courier New" w:eastAsia="宋体" w:cs="Times New Roman"/>
          <w:b/>
          <w:kern w:val="2"/>
          <w:sz w:val="30"/>
          <w:szCs w:val="30"/>
          <w:highlight w:val="none"/>
          <w:lang w:val="en-US" w:eastAsia="zh-CN" w:bidi="ar-SA"/>
        </w:rPr>
        <w:t>合同格式</w:t>
      </w:r>
    </w:p>
    <w:p w14:paraId="355C7041">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left="0" w:leftChars="0" w:firstLine="0" w:firstLineChars="0"/>
        <w:jc w:val="center"/>
        <w:textAlignment w:val="auto"/>
        <w:outlineLvl w:val="1"/>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rPr>
        <w:t>第</w:t>
      </w:r>
      <w:r>
        <w:rPr>
          <w:rFonts w:hint="eastAsia" w:ascii="宋体" w:hAnsi="宋体" w:eastAsia="宋体" w:cs="宋体"/>
          <w:b/>
          <w:bCs/>
          <w:color w:val="000000"/>
          <w:sz w:val="28"/>
          <w:szCs w:val="28"/>
          <w:highlight w:val="none"/>
          <w:lang w:val="en-US" w:eastAsia="zh-CN"/>
        </w:rPr>
        <w:t>一</w:t>
      </w:r>
      <w:r>
        <w:rPr>
          <w:rFonts w:hint="eastAsia" w:ascii="宋体" w:hAnsi="宋体" w:eastAsia="宋体" w:cs="宋体"/>
          <w:b/>
          <w:bCs/>
          <w:color w:val="000000"/>
          <w:sz w:val="28"/>
          <w:szCs w:val="28"/>
          <w:highlight w:val="none"/>
        </w:rPr>
        <w:t xml:space="preserve">部分 </w:t>
      </w:r>
      <w:r>
        <w:rPr>
          <w:rFonts w:hint="eastAsia" w:ascii="宋体" w:hAnsi="宋体" w:eastAsia="宋体" w:cs="宋体"/>
          <w:b/>
          <w:bCs/>
          <w:color w:val="000000"/>
          <w:sz w:val="28"/>
          <w:szCs w:val="28"/>
          <w:highlight w:val="none"/>
          <w:lang w:val="en-US" w:eastAsia="zh-CN"/>
        </w:rPr>
        <w:t>合同条款</w:t>
      </w:r>
    </w:p>
    <w:p w14:paraId="453ADC4E">
      <w:pPr>
        <w:keepNext w:val="0"/>
        <w:keepLines w:val="0"/>
        <w:pageBreakBefore w:val="0"/>
        <w:widowControl w:val="0"/>
        <w:shd w:val="clear" w:color="auto" w:fill="auto"/>
        <w:kinsoku/>
        <w:wordWrap/>
        <w:overflowPunct/>
        <w:topLinePunct w:val="0"/>
        <w:autoSpaceDE/>
        <w:autoSpaceDN/>
        <w:bidi w:val="0"/>
        <w:adjustRightInd/>
        <w:snapToGrid/>
        <w:spacing w:line="324" w:lineRule="auto"/>
        <w:jc w:val="center"/>
        <w:textAlignment w:val="auto"/>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（本合同主要条款为合同样稿，最终定稿待双方协商后确定）</w:t>
      </w:r>
    </w:p>
    <w:p w14:paraId="42AAEA9B">
      <w:pPr>
        <w:keepNext w:val="0"/>
        <w:keepLines w:val="0"/>
        <w:pageBreakBefore w:val="0"/>
        <w:widowControl/>
        <w:shd w:val="clear" w:color="auto" w:fill="auto"/>
        <w:kinsoku/>
        <w:wordWrap/>
        <w:overflowPunct/>
        <w:topLinePunct w:val="0"/>
        <w:autoSpaceDE/>
        <w:autoSpaceDN/>
        <w:bidi w:val="0"/>
        <w:adjustRightInd/>
        <w:snapToGrid/>
        <w:spacing w:line="324" w:lineRule="auto"/>
        <w:textAlignment w:val="auto"/>
        <w:rPr>
          <w:rFonts w:hint="eastAsia" w:ascii="宋体" w:hAnsi="宋体" w:eastAsia="宋体" w:cs="宋体"/>
          <w:color w:val="000000"/>
          <w:kern w:val="0"/>
          <w:sz w:val="21"/>
          <w:szCs w:val="21"/>
          <w:highlight w:val="none"/>
        </w:rPr>
      </w:pPr>
    </w:p>
    <w:p w14:paraId="3D707E0E">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以下为成交后签定本项目合同的通用条款，成交供应商不得提出实质性的修改，关于专用条款将由采购人与成交供应商结合本项目具体情况协商后签订。</w:t>
      </w:r>
    </w:p>
    <w:p w14:paraId="5B08A969">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项目名称：</w:t>
      </w:r>
      <w:r>
        <w:rPr>
          <w:rFonts w:hint="eastAsia" w:ascii="宋体" w:hAnsi="宋体" w:cs="宋体"/>
          <w:color w:val="auto"/>
          <w:sz w:val="24"/>
          <w:szCs w:val="32"/>
          <w:highlight w:val="none"/>
          <w:lang w:val="en-US" w:eastAsia="zh-CN"/>
        </w:rPr>
        <w:t xml:space="preserve"> </w:t>
      </w:r>
    </w:p>
    <w:p w14:paraId="3BA55943">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项目编号：</w:t>
      </w:r>
    </w:p>
    <w:p w14:paraId="58CCFDAC">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甲方（采购人）：</w:t>
      </w:r>
      <w:r>
        <w:rPr>
          <w:rFonts w:hint="eastAsia" w:ascii="宋体" w:hAnsi="宋体" w:eastAsia="宋体" w:cs="宋体"/>
          <w:color w:val="auto"/>
          <w:sz w:val="24"/>
          <w:szCs w:val="32"/>
          <w:highlight w:val="none"/>
        </w:rPr>
        <w:t>台州市路桥区农业农村和水利局</w:t>
      </w:r>
    </w:p>
    <w:p w14:paraId="710F9E19">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 xml:space="preserve">乙方（供应商）： </w:t>
      </w:r>
    </w:p>
    <w:p w14:paraId="4AAD385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甲、乙双方根据大地工程咨询有限公司关于</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zh-CN"/>
        </w:rPr>
        <w:t>（编号为</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lang w:val="zh-CN"/>
        </w:rPr>
        <w:t>）公开招标的结果，签署本合同。</w:t>
      </w:r>
    </w:p>
    <w:p w14:paraId="3F080084">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一、合同文件：</w:t>
      </w:r>
    </w:p>
    <w:p w14:paraId="5EC4AA8E">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1.合同条款。</w:t>
      </w:r>
    </w:p>
    <w:p w14:paraId="4468BDC5">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2.中标通知书。</w:t>
      </w:r>
    </w:p>
    <w:p w14:paraId="7BA9D5D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3.更正补充文件。</w:t>
      </w:r>
    </w:p>
    <w:p w14:paraId="1A887262">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4.招标文件。</w:t>
      </w:r>
    </w:p>
    <w:p w14:paraId="68B914B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5.中标供应商投标文件。</w:t>
      </w:r>
    </w:p>
    <w:p w14:paraId="721DB75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6.其他。</w:t>
      </w:r>
    </w:p>
    <w:p w14:paraId="78F136E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上述所指合同文件应认为是互相补充和解释的，但是有模棱两可或互相矛盾之处，以其所列内容顺序为准。</w:t>
      </w:r>
    </w:p>
    <w:p w14:paraId="79AF1ED4">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二、服务内容及合同金额</w:t>
      </w:r>
    </w:p>
    <w:p w14:paraId="0C5FF76F">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（具体见项目需求）</w:t>
      </w:r>
    </w:p>
    <w:p w14:paraId="0AABC82E">
      <w:pPr>
        <w:keepNext w:val="0"/>
        <w:keepLines w:val="0"/>
        <w:pageBreakBefore w:val="0"/>
        <w:widowControl w:val="0"/>
        <w:kinsoku/>
        <w:wordWrap/>
        <w:overflowPunct/>
        <w:topLinePunct w:val="0"/>
        <w:autoSpaceDE/>
        <w:autoSpaceDN/>
        <w:bidi w:val="0"/>
        <w:adjustRightInd/>
        <w:snapToGrid/>
        <w:spacing w:line="348" w:lineRule="auto"/>
        <w:ind w:left="719" w:leftChars="228" w:hanging="240" w:hangingChars="1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 xml:space="preserve"> 本合同金额为（大写）：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lang w:val="zh-CN"/>
        </w:rPr>
        <w:t>元（</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lang w:val="zh-CN"/>
        </w:rPr>
        <w:t>元）人民币。</w:t>
      </w:r>
    </w:p>
    <w:p w14:paraId="6B1E41C0">
      <w:pPr>
        <w:pStyle w:val="2"/>
        <w:ind w:left="720" w:hanging="720" w:hangingChars="3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val="en-US" w:eastAsia="zh-CN"/>
        </w:rPr>
        <w:t xml:space="preserve">     月服务费：</w:t>
      </w:r>
      <w:r>
        <w:rPr>
          <w:rFonts w:hint="eastAsia" w:ascii="宋体" w:hAnsi="宋体" w:eastAsia="宋体" w:cs="宋体"/>
          <w:color w:val="auto"/>
          <w:kern w:val="2"/>
          <w:sz w:val="24"/>
          <w:szCs w:val="32"/>
          <w:highlight w:val="none"/>
          <w:u w:val="single"/>
          <w:lang w:val="en-US" w:eastAsia="zh-CN" w:bidi="ar-SA"/>
        </w:rPr>
        <w:t xml:space="preserve">   </w:t>
      </w:r>
      <w:r>
        <w:rPr>
          <w:rFonts w:hint="eastAsia" w:ascii="宋体" w:hAnsi="宋体" w:cs="宋体"/>
          <w:color w:val="auto"/>
          <w:sz w:val="24"/>
          <w:szCs w:val="32"/>
          <w:highlight w:val="none"/>
          <w:lang w:val="en-US" w:eastAsia="zh-CN"/>
        </w:rPr>
        <w:t>元/月。</w:t>
      </w:r>
    </w:p>
    <w:p w14:paraId="5F203D04">
      <w:pPr>
        <w:pStyle w:val="2"/>
        <w:ind w:firstLine="480" w:firstLineChars="200"/>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zh-CN" w:eastAsia="zh-CN"/>
        </w:rPr>
        <w:t>在服务期内，乙方应对出现的质量及安全问题负责处理解决并承担一切费用。</w:t>
      </w:r>
    </w:p>
    <w:p w14:paraId="5F37A97F">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三、技术资料</w:t>
      </w:r>
    </w:p>
    <w:p w14:paraId="134219FC">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1.乙方应按招标文件规定的时间向甲方提供有关技术资料。</w:t>
      </w:r>
    </w:p>
    <w:p w14:paraId="7A0E1B0E">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A417A17">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四、知识产权</w:t>
      </w:r>
    </w:p>
    <w:p w14:paraId="680FB25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乙方应保证提供服务过程中不会侵犯任何第三方的知识产权。</w:t>
      </w:r>
    </w:p>
    <w:p w14:paraId="35F35EE1">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五、履约保证金</w:t>
      </w:r>
    </w:p>
    <w:p w14:paraId="59784A80">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cs="宋体"/>
          <w:color w:val="auto"/>
          <w:sz w:val="24"/>
          <w:highlight w:val="none"/>
        </w:rPr>
        <w:t>供应商在签订合同前须交纳本项目履约保证金，金额为成交价的</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%，项目履行完毕后7日内无息退还</w:t>
      </w:r>
      <w:r>
        <w:rPr>
          <w:rFonts w:hint="eastAsia" w:ascii="宋体" w:hAnsi="宋体" w:cs="宋体"/>
          <w:color w:val="auto"/>
          <w:sz w:val="24"/>
          <w:highlight w:val="none"/>
          <w:lang w:eastAsia="zh-CN"/>
        </w:rPr>
        <w:t>或失效</w:t>
      </w:r>
      <w:r>
        <w:rPr>
          <w:rFonts w:hint="eastAsia" w:ascii="宋体" w:hAnsi="宋体" w:cs="宋体"/>
          <w:color w:val="auto"/>
          <w:sz w:val="24"/>
          <w:highlight w:val="none"/>
        </w:rPr>
        <w:t>。（履约保证金可以采用保函、担保、保险等形式）</w:t>
      </w:r>
      <w:r>
        <w:rPr>
          <w:rFonts w:hint="eastAsia" w:ascii="宋体" w:hAnsi="宋体" w:eastAsia="宋体" w:cs="宋体"/>
          <w:color w:val="auto"/>
          <w:sz w:val="24"/>
          <w:szCs w:val="32"/>
          <w:highlight w:val="none"/>
          <w:lang w:val="zh-CN"/>
        </w:rPr>
        <w:t>。</w:t>
      </w:r>
    </w:p>
    <w:p w14:paraId="5E301044">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六、转包或分包</w:t>
      </w:r>
    </w:p>
    <w:p w14:paraId="6B5918AA">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1.本合同范围的服务，应由乙方直接提供服务，不得转让他人；</w:t>
      </w:r>
    </w:p>
    <w:p w14:paraId="7ED30E4A">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2.除非得到甲方的书面同意，乙方不得将本合同范围的服务全部或部分分包给他人供应；</w:t>
      </w:r>
    </w:p>
    <w:p w14:paraId="671188AA">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3.如有转让和未经甲方同意的分包行为，甲方有权解除合同，没收履约保证金并追究乙方的违约责任。</w:t>
      </w:r>
    </w:p>
    <w:p w14:paraId="016F93CB">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七、服务期</w:t>
      </w:r>
    </w:p>
    <w:p w14:paraId="28FA8C59">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1.服务期</w:t>
      </w:r>
      <w:r>
        <w:rPr>
          <w:rFonts w:hint="eastAsia" w:ascii="宋体" w:hAnsi="宋体" w:eastAsia="宋体" w:cs="宋体"/>
          <w:color w:val="auto"/>
          <w:sz w:val="24"/>
          <w:szCs w:val="32"/>
          <w:highlight w:val="none"/>
          <w:u w:val="single"/>
          <w:lang w:val="zh-CN"/>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lang w:val="zh-CN"/>
        </w:rPr>
        <w:t>个月。（自合同签订之日起计）</w:t>
      </w:r>
    </w:p>
    <w:p w14:paraId="74C68E72">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八、合同履行时间、履行方式及履行地点</w:t>
      </w:r>
    </w:p>
    <w:p w14:paraId="2A40656A">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1.履行时间：</w:t>
      </w:r>
    </w:p>
    <w:p w14:paraId="5E2853A5">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2.履行方式：</w:t>
      </w:r>
    </w:p>
    <w:p w14:paraId="6FE28C90">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3.履行地点：</w:t>
      </w:r>
      <w:r>
        <w:rPr>
          <w:rFonts w:hint="eastAsia" w:ascii="宋体" w:hAnsi="宋体" w:eastAsia="宋体" w:cs="宋体"/>
          <w:color w:val="auto"/>
          <w:sz w:val="24"/>
          <w:szCs w:val="32"/>
          <w:highlight w:val="none"/>
          <w:lang w:val="zh-CN" w:eastAsia="zh-CN"/>
        </w:rPr>
        <w:t>路桥区</w:t>
      </w:r>
    </w:p>
    <w:p w14:paraId="1028DF70">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b/>
          <w:bCs/>
          <w:color w:val="auto"/>
          <w:sz w:val="24"/>
          <w:szCs w:val="32"/>
          <w:highlight w:val="none"/>
          <w:lang w:val="zh-CN"/>
        </w:rPr>
        <w:t>九、款项支付</w:t>
      </w:r>
      <w:r>
        <w:rPr>
          <w:rFonts w:hint="eastAsia" w:ascii="宋体" w:hAnsi="宋体" w:cs="宋体"/>
          <w:b/>
          <w:bCs/>
          <w:color w:val="auto"/>
          <w:sz w:val="24"/>
          <w:szCs w:val="32"/>
          <w:highlight w:val="none"/>
          <w:lang w:val="zh-CN"/>
        </w:rPr>
        <w:t>、</w:t>
      </w:r>
      <w:r>
        <w:rPr>
          <w:rFonts w:hint="eastAsia" w:ascii="宋体" w:hAnsi="宋体" w:cs="宋体"/>
          <w:b/>
          <w:bCs/>
          <w:color w:val="auto"/>
          <w:sz w:val="24"/>
          <w:szCs w:val="32"/>
          <w:highlight w:val="none"/>
          <w:lang w:val="en-US" w:eastAsia="zh-CN"/>
        </w:rPr>
        <w:t>考核办法</w:t>
      </w:r>
    </w:p>
    <w:p w14:paraId="3CEFB3B3">
      <w:pPr>
        <w:keepNext w:val="0"/>
        <w:keepLines w:val="0"/>
        <w:pageBreakBefore w:val="0"/>
        <w:widowControl w:val="0"/>
        <w:kinsoku/>
        <w:wordWrap/>
        <w:overflowPunct/>
        <w:topLinePunct w:val="0"/>
        <w:autoSpaceDE/>
        <w:autoSpaceDN/>
        <w:bidi w:val="0"/>
        <w:adjustRightInd/>
        <w:snapToGrid/>
        <w:spacing w:line="348" w:lineRule="auto"/>
        <w:ind w:left="720" w:leftChars="228" w:hanging="241" w:hangingChars="1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32"/>
          <w:highlight w:val="none"/>
          <w:lang w:val="zh-CN"/>
        </w:rPr>
        <w:t>付款方式：</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rPr>
        <w:t>支付。</w:t>
      </w:r>
    </w:p>
    <w:p w14:paraId="61911929">
      <w:pPr>
        <w:pStyle w:val="2"/>
        <w:ind w:left="480" w:hanging="480" w:hanging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b/>
          <w:bCs/>
          <w:color w:val="auto"/>
          <w:kern w:val="2"/>
          <w:sz w:val="24"/>
          <w:szCs w:val="32"/>
          <w:highlight w:val="none"/>
          <w:lang w:val="en-US" w:eastAsia="zh-CN" w:bidi="ar-SA"/>
        </w:rPr>
        <w:t>考核办法：</w:t>
      </w:r>
      <w:r>
        <w:rPr>
          <w:rFonts w:hint="eastAsia" w:ascii="宋体" w:hAnsi="宋体" w:cs="宋体"/>
          <w:color w:val="auto"/>
          <w:sz w:val="24"/>
          <w:szCs w:val="24"/>
          <w:highlight w:val="none"/>
          <w:lang w:val="en-US" w:eastAsia="zh-CN"/>
        </w:rPr>
        <w:t>见附件。</w:t>
      </w:r>
    </w:p>
    <w:p w14:paraId="51817693">
      <w:pPr>
        <w:pStyle w:val="2"/>
        <w:ind w:firstLine="480" w:firstLineChars="200"/>
        <w:rPr>
          <w:rFonts w:hint="default" w:eastAsia="宋体"/>
          <w:highlight w:val="none"/>
          <w:lang w:val="en-US" w:eastAsia="zh-CN"/>
        </w:rPr>
      </w:pPr>
      <w:r>
        <w:rPr>
          <w:rFonts w:hint="eastAsia" w:ascii="宋体" w:hAnsi="宋体" w:cs="宋体"/>
          <w:color w:val="auto"/>
          <w:sz w:val="24"/>
          <w:szCs w:val="24"/>
          <w:highlight w:val="none"/>
          <w:lang w:val="en-US" w:eastAsia="zh-CN"/>
        </w:rPr>
        <w:t>注：</w:t>
      </w:r>
      <w:r>
        <w:rPr>
          <w:rFonts w:hint="eastAsia" w:ascii="宋体" w:hAnsi="宋体" w:cs="宋体"/>
          <w:bCs/>
          <w:i w:val="0"/>
          <w:iCs w:val="0"/>
          <w:color w:val="auto"/>
          <w:kern w:val="2"/>
          <w:sz w:val="24"/>
          <w:szCs w:val="24"/>
          <w:highlight w:val="none"/>
          <w:lang w:val="en-US" w:eastAsia="zh-CN"/>
        </w:rPr>
        <w:t>甲方</w:t>
      </w:r>
      <w:r>
        <w:rPr>
          <w:rFonts w:hint="default" w:ascii="宋体" w:hAnsi="宋体" w:cs="宋体"/>
          <w:bCs/>
          <w:i w:val="0"/>
          <w:iCs w:val="0"/>
          <w:color w:val="auto"/>
          <w:kern w:val="2"/>
          <w:sz w:val="24"/>
          <w:szCs w:val="24"/>
          <w:highlight w:val="none"/>
          <w:lang w:eastAsia="zh-CN"/>
        </w:rPr>
        <w:t>于月度考核后</w:t>
      </w:r>
      <w:r>
        <w:rPr>
          <w:rFonts w:hint="eastAsia" w:ascii="宋体" w:hAnsi="宋体" w:cs="宋体"/>
          <w:bCs/>
          <w:i w:val="0"/>
          <w:iCs w:val="0"/>
          <w:color w:val="auto"/>
          <w:kern w:val="2"/>
          <w:sz w:val="24"/>
          <w:szCs w:val="24"/>
          <w:highlight w:val="none"/>
          <w:u w:val="single"/>
          <w:lang w:val="en-US" w:eastAsia="zh-CN"/>
        </w:rPr>
        <w:t>10</w:t>
      </w:r>
      <w:r>
        <w:rPr>
          <w:rFonts w:hint="eastAsia" w:ascii="宋体" w:hAnsi="宋体" w:cs="宋体"/>
          <w:bCs/>
          <w:i w:val="0"/>
          <w:iCs w:val="0"/>
          <w:color w:val="auto"/>
          <w:kern w:val="2"/>
          <w:sz w:val="24"/>
          <w:szCs w:val="24"/>
          <w:highlight w:val="none"/>
          <w:lang w:val="en-US" w:eastAsia="zh-CN"/>
        </w:rPr>
        <w:t>日内</w:t>
      </w:r>
      <w:r>
        <w:rPr>
          <w:rFonts w:hint="default" w:ascii="宋体" w:hAnsi="宋体" w:cs="宋体"/>
          <w:bCs/>
          <w:i w:val="0"/>
          <w:iCs w:val="0"/>
          <w:color w:val="auto"/>
          <w:kern w:val="2"/>
          <w:sz w:val="24"/>
          <w:szCs w:val="24"/>
          <w:highlight w:val="none"/>
          <w:lang w:eastAsia="zh-CN"/>
        </w:rPr>
        <w:t>根据考核情况</w:t>
      </w:r>
      <w:r>
        <w:rPr>
          <w:rFonts w:hint="eastAsia" w:ascii="宋体" w:hAnsi="宋体" w:cs="宋体"/>
          <w:bCs/>
          <w:i w:val="0"/>
          <w:iCs w:val="0"/>
          <w:color w:val="auto"/>
          <w:kern w:val="2"/>
          <w:sz w:val="24"/>
          <w:szCs w:val="24"/>
          <w:highlight w:val="none"/>
          <w:lang w:val="en-US" w:eastAsia="zh-CN"/>
        </w:rPr>
        <w:t>支付当</w:t>
      </w:r>
      <w:r>
        <w:rPr>
          <w:rFonts w:hint="default" w:ascii="宋体" w:hAnsi="宋体" w:cs="宋体"/>
          <w:bCs/>
          <w:i w:val="0"/>
          <w:iCs w:val="0"/>
          <w:color w:val="auto"/>
          <w:kern w:val="2"/>
          <w:sz w:val="24"/>
          <w:szCs w:val="24"/>
          <w:highlight w:val="none"/>
          <w:lang w:eastAsia="zh-CN"/>
        </w:rPr>
        <w:t>月</w:t>
      </w:r>
      <w:r>
        <w:rPr>
          <w:rFonts w:hint="eastAsia" w:ascii="宋体" w:hAnsi="宋体" w:cs="宋体"/>
          <w:bCs/>
          <w:i w:val="0"/>
          <w:iCs w:val="0"/>
          <w:color w:val="auto"/>
          <w:kern w:val="2"/>
          <w:sz w:val="24"/>
          <w:szCs w:val="24"/>
          <w:highlight w:val="none"/>
          <w:lang w:val="en-US" w:eastAsia="zh-CN"/>
        </w:rPr>
        <w:t>服务费，</w:t>
      </w:r>
      <w:r>
        <w:rPr>
          <w:rFonts w:hint="eastAsia" w:ascii="宋体" w:hAnsi="宋体" w:eastAsia="宋体" w:cs="宋体"/>
          <w:bCs/>
          <w:i w:val="0"/>
          <w:iCs w:val="0"/>
          <w:color w:val="auto"/>
          <w:kern w:val="2"/>
          <w:sz w:val="24"/>
          <w:szCs w:val="24"/>
          <w:highlight w:val="none"/>
          <w:lang w:val="en-US" w:eastAsia="zh-CN"/>
        </w:rPr>
        <w:t>乙方根据月度考核结果，提前向甲方提交该阶段对应金额的发票，逾期提交发票的，甲方有权顺延支付该阶段的款项，且无需承担违约责任</w:t>
      </w:r>
      <w:r>
        <w:rPr>
          <w:rFonts w:hint="eastAsia" w:ascii="宋体" w:hAnsi="宋体" w:cs="宋体"/>
          <w:bCs/>
          <w:i w:val="0"/>
          <w:iCs w:val="0"/>
          <w:color w:val="auto"/>
          <w:kern w:val="2"/>
          <w:sz w:val="24"/>
          <w:szCs w:val="24"/>
          <w:highlight w:val="none"/>
          <w:lang w:val="en-US" w:eastAsia="zh-CN"/>
        </w:rPr>
        <w:t>。</w:t>
      </w:r>
      <w:r>
        <w:rPr>
          <w:rFonts w:hint="eastAsia" w:ascii="宋体" w:hAnsi="宋体" w:cs="宋体"/>
          <w:bCs/>
          <w:i w:val="0"/>
          <w:iCs w:val="0"/>
          <w:color w:val="auto"/>
          <w:kern w:val="2"/>
          <w:sz w:val="24"/>
          <w:szCs w:val="24"/>
          <w:highlight w:val="none"/>
          <w:lang w:val="en-US" w:eastAsia="zh-CN"/>
        </w:rPr>
        <w:br w:type="textWrapping"/>
      </w:r>
      <w:r>
        <w:rPr>
          <w:rFonts w:hint="eastAsia" w:ascii="宋体" w:hAnsi="宋体" w:cs="宋体"/>
          <w:bCs/>
          <w:i w:val="0"/>
          <w:iCs w:val="0"/>
          <w:color w:val="auto"/>
          <w:kern w:val="2"/>
          <w:sz w:val="24"/>
          <w:szCs w:val="24"/>
          <w:highlight w:val="none"/>
          <w:lang w:val="en-US" w:eastAsia="zh-CN"/>
        </w:rPr>
        <w:t xml:space="preserve">    如遇特殊情况，乙方应提供服务费保函，保函金额要求等于甲方应支付的当期服务费金额，保函期限要求至少三个月。</w:t>
      </w:r>
    </w:p>
    <w:p w14:paraId="45E6F1DF">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十、税费</w:t>
      </w:r>
    </w:p>
    <w:p w14:paraId="7853F4F9">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本合同执行中相关的一切税费均由乙方负担。</w:t>
      </w:r>
    </w:p>
    <w:p w14:paraId="3AA0C766">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十一、违约责任</w:t>
      </w:r>
    </w:p>
    <w:p w14:paraId="652C5BC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1．甲方无正当理由拒收接受服务的，甲方向乙方偿付合同款项</w:t>
      </w:r>
      <w:r>
        <w:rPr>
          <w:rFonts w:hint="eastAsia" w:ascii="宋体" w:hAnsi="宋体" w:eastAsia="宋体" w:cs="宋体"/>
          <w:color w:val="auto"/>
          <w:sz w:val="24"/>
          <w:szCs w:val="32"/>
          <w:highlight w:val="none"/>
          <w:u w:val="single"/>
          <w:lang w:val="zh-CN"/>
        </w:rPr>
        <w:t>百分之五</w:t>
      </w:r>
      <w:r>
        <w:rPr>
          <w:rFonts w:hint="eastAsia" w:ascii="宋体" w:hAnsi="宋体" w:eastAsia="宋体" w:cs="宋体"/>
          <w:color w:val="auto"/>
          <w:sz w:val="24"/>
          <w:szCs w:val="32"/>
          <w:highlight w:val="none"/>
          <w:lang w:val="zh-CN"/>
        </w:rPr>
        <w:t>作为违约金。</w:t>
      </w:r>
    </w:p>
    <w:p w14:paraId="036D3B0C">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2．甲方无故逾期验收和办理款项支付手续的,甲方应按逾期付款总额</w:t>
      </w:r>
      <w:r>
        <w:rPr>
          <w:rFonts w:hint="eastAsia" w:ascii="宋体" w:hAnsi="宋体" w:eastAsia="宋体" w:cs="宋体"/>
          <w:color w:val="auto"/>
          <w:sz w:val="24"/>
          <w:szCs w:val="32"/>
          <w:highlight w:val="none"/>
          <w:u w:val="single"/>
          <w:lang w:val="zh-CN"/>
        </w:rPr>
        <w:t>每日万分之五</w:t>
      </w:r>
      <w:r>
        <w:rPr>
          <w:rFonts w:hint="eastAsia" w:ascii="宋体" w:hAnsi="宋体" w:eastAsia="宋体" w:cs="宋体"/>
          <w:color w:val="auto"/>
          <w:sz w:val="24"/>
          <w:szCs w:val="32"/>
          <w:highlight w:val="none"/>
          <w:lang w:val="zh-CN"/>
        </w:rPr>
        <w:t>向乙方支付违约金。</w:t>
      </w:r>
    </w:p>
    <w:p w14:paraId="6415551F">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3．乙方未能如期提供服务的，每日向甲方支付合同款项的</w:t>
      </w:r>
      <w:r>
        <w:rPr>
          <w:rFonts w:hint="eastAsia" w:ascii="宋体" w:hAnsi="宋体" w:eastAsia="宋体" w:cs="宋体"/>
          <w:color w:val="auto"/>
          <w:sz w:val="24"/>
          <w:szCs w:val="32"/>
          <w:highlight w:val="none"/>
          <w:u w:val="single"/>
          <w:lang w:val="zh-CN"/>
        </w:rPr>
        <w:t>千分之六</w:t>
      </w:r>
      <w:r>
        <w:rPr>
          <w:rFonts w:hint="eastAsia" w:ascii="宋体" w:hAnsi="宋体" w:eastAsia="宋体" w:cs="宋体"/>
          <w:color w:val="auto"/>
          <w:sz w:val="24"/>
          <w:szCs w:val="32"/>
          <w:highlight w:val="none"/>
          <w:lang w:val="zh-CN"/>
        </w:rPr>
        <w:t>作为违约金。乙方超过约定日期</w:t>
      </w:r>
      <w:r>
        <w:rPr>
          <w:rFonts w:hint="eastAsia" w:ascii="宋体" w:hAnsi="宋体" w:eastAsia="宋体" w:cs="宋体"/>
          <w:color w:val="auto"/>
          <w:sz w:val="24"/>
          <w:szCs w:val="32"/>
          <w:highlight w:val="none"/>
          <w:u w:val="single"/>
          <w:lang w:val="zh-CN"/>
        </w:rPr>
        <w:t>10个工作日</w:t>
      </w:r>
      <w:r>
        <w:rPr>
          <w:rFonts w:hint="eastAsia" w:ascii="宋体" w:hAnsi="宋体" w:eastAsia="宋体" w:cs="宋体"/>
          <w:color w:val="auto"/>
          <w:sz w:val="24"/>
          <w:szCs w:val="32"/>
          <w:highlight w:val="none"/>
          <w:lang w:val="zh-CN"/>
        </w:rPr>
        <w:t>仍不能提供服务的，甲方可解除本合同。乙方因未能如期提供服务或因其他违约行为导致甲方解除合同的，乙方应向甲方支付</w:t>
      </w:r>
      <w:r>
        <w:rPr>
          <w:rFonts w:hint="eastAsia" w:ascii="宋体" w:hAnsi="宋体" w:eastAsia="宋体" w:cs="宋体"/>
          <w:color w:val="auto"/>
          <w:sz w:val="24"/>
          <w:szCs w:val="32"/>
          <w:highlight w:val="none"/>
          <w:u w:val="single"/>
          <w:lang w:val="zh-CN"/>
        </w:rPr>
        <w:t>合同总值5%</w:t>
      </w:r>
      <w:r>
        <w:rPr>
          <w:rFonts w:hint="eastAsia" w:ascii="宋体" w:hAnsi="宋体" w:eastAsia="宋体" w:cs="宋体"/>
          <w:color w:val="auto"/>
          <w:sz w:val="24"/>
          <w:szCs w:val="32"/>
          <w:highlight w:val="none"/>
          <w:lang w:val="zh-CN"/>
        </w:rPr>
        <w:t xml:space="preserve">的违约金，如造成甲方损失超过违约金的，超出部分由乙方继续承担赔偿责任。 </w:t>
      </w:r>
    </w:p>
    <w:p w14:paraId="4BFA7BD7">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十二、不可抗力事件处理</w:t>
      </w:r>
    </w:p>
    <w:p w14:paraId="565A1A3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1.在合同有效期内，任何一方因不可抗力事件导致不能履行合同，则合同履行期可延长，其延长期与不可抗力影响期相同。</w:t>
      </w:r>
    </w:p>
    <w:p w14:paraId="366ABC8D">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2.不可抗力事件发生后，应立即通知对方，并寄送有关权威机构出具的证明。</w:t>
      </w:r>
    </w:p>
    <w:p w14:paraId="1C4549D2">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3.不可抗力事件延续120天以上，双方应通过友好协商，确定是否继续履行合同。</w:t>
      </w:r>
    </w:p>
    <w:p w14:paraId="30737F81">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十三、解决争议的方法</w:t>
      </w:r>
    </w:p>
    <w:p w14:paraId="70E280B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1.如双方在履行合同时发生纠纷，应协商解决；协商不成时，可提请政府采购管理部门调解；调解不成的通过</w:t>
      </w:r>
      <w:r>
        <w:rPr>
          <w:rFonts w:hint="eastAsia" w:ascii="宋体" w:hAnsi="宋体" w:cs="宋体"/>
          <w:color w:val="auto"/>
          <w:sz w:val="24"/>
          <w:szCs w:val="32"/>
          <w:highlight w:val="none"/>
          <w:u w:val="single"/>
          <w:lang w:val="en-US" w:eastAsia="zh-CN"/>
        </w:rPr>
        <w:t>(1)</w:t>
      </w:r>
      <w:r>
        <w:rPr>
          <w:rFonts w:hint="eastAsia" w:ascii="宋体" w:hAnsi="宋体" w:eastAsia="宋体" w:cs="宋体"/>
          <w:color w:val="auto"/>
          <w:sz w:val="24"/>
          <w:szCs w:val="32"/>
          <w:highlight w:val="none"/>
          <w:lang w:val="zh-CN"/>
        </w:rPr>
        <w:t>方式解决：</w:t>
      </w:r>
    </w:p>
    <w:p w14:paraId="75BF511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（1）提交</w:t>
      </w:r>
      <w:r>
        <w:rPr>
          <w:rFonts w:hint="eastAsia" w:ascii="宋体" w:hAnsi="宋体" w:eastAsia="宋体" w:cs="宋体"/>
          <w:color w:val="auto"/>
          <w:sz w:val="24"/>
          <w:szCs w:val="32"/>
          <w:highlight w:val="none"/>
          <w:u w:val="single"/>
          <w:lang w:val="zh-CN"/>
        </w:rPr>
        <w:t>台州</w:t>
      </w:r>
      <w:r>
        <w:rPr>
          <w:rFonts w:hint="eastAsia" w:ascii="宋体" w:hAnsi="宋体" w:eastAsia="宋体" w:cs="宋体"/>
          <w:color w:val="auto"/>
          <w:sz w:val="24"/>
          <w:szCs w:val="32"/>
          <w:highlight w:val="none"/>
          <w:lang w:val="zh-CN"/>
        </w:rPr>
        <w:t>仲裁委员会仲裁。</w:t>
      </w:r>
    </w:p>
    <w:p w14:paraId="13CDBA16">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 xml:space="preserve">（2）依法向人民法院提起诉讼。 </w:t>
      </w:r>
    </w:p>
    <w:p w14:paraId="4BD18B8C">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十四、合同生效及其它</w:t>
      </w:r>
      <w:r>
        <w:rPr>
          <w:rFonts w:hint="eastAsia" w:ascii="宋体" w:hAnsi="宋体" w:eastAsia="宋体" w:cs="宋体"/>
          <w:b/>
          <w:bCs/>
          <w:color w:val="auto"/>
          <w:sz w:val="24"/>
          <w:szCs w:val="32"/>
          <w:highlight w:val="none"/>
          <w:lang w:val="zh-CN"/>
        </w:rPr>
        <w:tab/>
      </w:r>
    </w:p>
    <w:p w14:paraId="34E7C670">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1.合同经双方法定代表人或授权代表签字并加盖单位公章后生效。</w:t>
      </w:r>
    </w:p>
    <w:p w14:paraId="1121E0EE">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2.本合同未尽事宜，遵照《民法典》有关条文执行。</w:t>
      </w:r>
    </w:p>
    <w:p w14:paraId="1777235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3.本合同一式六份，甲、乙双方各执三份。本项目未尽事宜以招标文件、投标文件及澄清文件等为准。</w:t>
      </w:r>
    </w:p>
    <w:p w14:paraId="7F7999EF">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lang w:val="zh-CN"/>
        </w:rPr>
      </w:pPr>
    </w:p>
    <w:p w14:paraId="0FE71E04">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甲方（公章）：                          乙方（公章）：</w:t>
      </w:r>
    </w:p>
    <w:p w14:paraId="36B9D213">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 xml:space="preserve">法定代表人或委托代理人（签字）：      </w:t>
      </w:r>
      <w:r>
        <w:rPr>
          <w:rFonts w:hint="eastAsia" w:ascii="宋体" w:hAnsi="宋体" w:eastAsia="宋体" w:cs="宋体"/>
          <w:color w:val="auto"/>
          <w:sz w:val="24"/>
          <w:szCs w:val="32"/>
          <w:highlight w:val="none"/>
        </w:rPr>
        <w:t xml:space="preserve">  </w:t>
      </w:r>
      <w:r>
        <w:rPr>
          <w:rFonts w:hint="eastAsia" w:ascii="宋体" w:hAnsi="宋体" w:eastAsia="宋体" w:cs="宋体"/>
          <w:color w:val="auto"/>
          <w:sz w:val="24"/>
          <w:szCs w:val="32"/>
          <w:highlight w:val="none"/>
          <w:lang w:val="zh-CN"/>
        </w:rPr>
        <w:t>法定代表人或委托代理人（签字）：</w:t>
      </w:r>
    </w:p>
    <w:p w14:paraId="286E90A3">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联系电话：                              联系电话：</w:t>
      </w:r>
    </w:p>
    <w:p w14:paraId="4AF7C1AF">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 xml:space="preserve">开户银行：               </w:t>
      </w:r>
      <w:r>
        <w:rPr>
          <w:rFonts w:hint="eastAsia" w:ascii="宋体" w:hAnsi="宋体" w:eastAsia="宋体" w:cs="宋体"/>
          <w:color w:val="auto"/>
          <w:sz w:val="24"/>
          <w:szCs w:val="32"/>
          <w:highlight w:val="none"/>
        </w:rPr>
        <w:t xml:space="preserve">        </w:t>
      </w:r>
      <w:r>
        <w:rPr>
          <w:rFonts w:hint="eastAsia" w:ascii="宋体" w:hAnsi="宋体" w:eastAsia="宋体" w:cs="宋体"/>
          <w:color w:val="auto"/>
          <w:sz w:val="24"/>
          <w:szCs w:val="32"/>
          <w:highlight w:val="none"/>
          <w:lang w:val="zh-CN"/>
        </w:rPr>
        <w:t xml:space="preserve">       开户银行（必填）：</w:t>
      </w:r>
    </w:p>
    <w:p w14:paraId="5DD2E892">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账</w:t>
      </w:r>
      <w:r>
        <w:rPr>
          <w:rFonts w:hint="eastAsia" w:ascii="宋体" w:hAnsi="宋体" w:eastAsia="宋体" w:cs="宋体"/>
          <w:color w:val="auto"/>
          <w:sz w:val="24"/>
          <w:szCs w:val="32"/>
          <w:highlight w:val="none"/>
        </w:rPr>
        <w:t xml:space="preserve">    </w:t>
      </w:r>
      <w:r>
        <w:rPr>
          <w:rFonts w:hint="eastAsia" w:ascii="宋体" w:hAnsi="宋体" w:eastAsia="宋体" w:cs="宋体"/>
          <w:color w:val="auto"/>
          <w:sz w:val="24"/>
          <w:szCs w:val="32"/>
          <w:highlight w:val="none"/>
          <w:lang w:val="zh-CN"/>
        </w:rPr>
        <w:t xml:space="preserve">号：                          </w:t>
      </w:r>
      <w:r>
        <w:rPr>
          <w:rFonts w:hint="eastAsia" w:ascii="宋体" w:hAnsi="宋体" w:eastAsia="宋体" w:cs="宋体"/>
          <w:color w:val="auto"/>
          <w:sz w:val="24"/>
          <w:szCs w:val="32"/>
          <w:highlight w:val="none"/>
        </w:rPr>
        <w:t xml:space="preserve">    </w:t>
      </w:r>
      <w:r>
        <w:rPr>
          <w:rFonts w:hint="eastAsia" w:ascii="宋体" w:hAnsi="宋体" w:eastAsia="宋体" w:cs="宋体"/>
          <w:color w:val="auto"/>
          <w:sz w:val="24"/>
          <w:szCs w:val="32"/>
          <w:highlight w:val="none"/>
          <w:lang w:val="zh-CN"/>
        </w:rPr>
        <w:t>账</w:t>
      </w:r>
      <w:r>
        <w:rPr>
          <w:rFonts w:hint="eastAsia" w:ascii="宋体" w:hAnsi="宋体" w:eastAsia="宋体" w:cs="宋体"/>
          <w:color w:val="auto"/>
          <w:sz w:val="24"/>
          <w:szCs w:val="32"/>
          <w:highlight w:val="none"/>
        </w:rPr>
        <w:t xml:space="preserve">    </w:t>
      </w:r>
      <w:r>
        <w:rPr>
          <w:rFonts w:hint="eastAsia" w:ascii="宋体" w:hAnsi="宋体" w:eastAsia="宋体" w:cs="宋体"/>
          <w:color w:val="auto"/>
          <w:sz w:val="24"/>
          <w:szCs w:val="32"/>
          <w:highlight w:val="none"/>
          <w:lang w:val="zh-CN"/>
        </w:rPr>
        <w:t>号（必填）：</w:t>
      </w:r>
    </w:p>
    <w:p w14:paraId="19AC7CB6">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签订时间：    年   月    日</w:t>
      </w:r>
    </w:p>
    <w:p w14:paraId="28D20AF3">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仿宋_GB2312" w:hAnsi="宋体" w:eastAsia="仿宋_GB2312" w:cs="宋体"/>
          <w:color w:val="auto"/>
          <w:sz w:val="22"/>
          <w:szCs w:val="22"/>
          <w:highlight w:val="none"/>
          <w:lang w:eastAsia="zh-CN"/>
        </w:rPr>
      </w:pPr>
      <w:r>
        <w:rPr>
          <w:rFonts w:hint="eastAsia" w:ascii="宋体" w:hAnsi="宋体" w:eastAsia="宋体" w:cs="宋体"/>
          <w:color w:val="auto"/>
          <w:sz w:val="24"/>
          <w:szCs w:val="32"/>
          <w:highlight w:val="none"/>
          <w:lang w:val="zh-CN"/>
        </w:rPr>
        <w:t>合同</w:t>
      </w:r>
      <w:r>
        <w:rPr>
          <w:rFonts w:hint="eastAsia" w:ascii="宋体" w:hAnsi="宋体" w:eastAsia="宋体" w:cs="宋体"/>
          <w:color w:val="auto"/>
          <w:sz w:val="24"/>
          <w:szCs w:val="32"/>
          <w:highlight w:val="none"/>
        </w:rPr>
        <w:t>鉴证</w:t>
      </w:r>
      <w:r>
        <w:rPr>
          <w:rFonts w:hint="eastAsia" w:ascii="宋体" w:hAnsi="宋体" w:eastAsia="宋体" w:cs="宋体"/>
          <w:color w:val="auto"/>
          <w:sz w:val="24"/>
          <w:szCs w:val="32"/>
          <w:highlight w:val="none"/>
          <w:lang w:val="zh-CN"/>
        </w:rPr>
        <w:t>方（鉴证章）</w:t>
      </w:r>
      <w:r>
        <w:rPr>
          <w:rFonts w:ascii="仿宋_GB2312" w:hAnsi="宋体" w:eastAsia="仿宋_GB2312" w:cs="宋体"/>
          <w:color w:val="auto"/>
          <w:sz w:val="22"/>
          <w:szCs w:val="22"/>
          <w:highlight w:val="none"/>
        </w:rPr>
        <w:t xml:space="preserve"> </w:t>
      </w:r>
      <w:r>
        <w:rPr>
          <w:rFonts w:hint="eastAsia" w:ascii="仿宋_GB2312" w:hAnsi="宋体" w:eastAsia="仿宋_GB2312" w:cs="宋体"/>
          <w:color w:val="auto"/>
          <w:sz w:val="22"/>
          <w:szCs w:val="22"/>
          <w:highlight w:val="none"/>
          <w:lang w:eastAsia="zh-CN"/>
        </w:rPr>
        <w:t>：</w:t>
      </w:r>
    </w:p>
    <w:p w14:paraId="6AAB4A69">
      <w:pPr>
        <w:rPr>
          <w:rFonts w:hint="eastAsia" w:ascii="仿宋_GB2312" w:hAnsi="宋体" w:eastAsia="仿宋_GB2312" w:cs="宋体"/>
          <w:color w:val="auto"/>
          <w:sz w:val="22"/>
          <w:szCs w:val="22"/>
          <w:highlight w:val="none"/>
          <w:lang w:eastAsia="zh-CN"/>
        </w:rPr>
      </w:pPr>
      <w:r>
        <w:rPr>
          <w:rFonts w:hint="eastAsia" w:ascii="仿宋_GB2312" w:hAnsi="宋体" w:eastAsia="仿宋_GB2312" w:cs="宋体"/>
          <w:color w:val="auto"/>
          <w:sz w:val="22"/>
          <w:szCs w:val="22"/>
          <w:highlight w:val="none"/>
          <w:lang w:eastAsia="zh-CN"/>
        </w:rPr>
        <w:br w:type="page"/>
      </w:r>
    </w:p>
    <w:p w14:paraId="7D59E288">
      <w:pPr>
        <w:keepNext w:val="0"/>
        <w:keepLines w:val="0"/>
        <w:pageBreakBefore w:val="0"/>
        <w:widowControl w:val="0"/>
        <w:kinsoku/>
        <w:wordWrap/>
        <w:overflowPunct/>
        <w:topLinePunct w:val="0"/>
        <w:bidi w:val="0"/>
        <w:adjustRightInd/>
        <w:snapToGrid/>
        <w:spacing w:line="312" w:lineRule="auto"/>
        <w:ind w:right="0"/>
        <w:jc w:val="both"/>
        <w:textAlignment w:val="auto"/>
        <w:rPr>
          <w:rFonts w:hint="eastAsia" w:ascii="宋体" w:hAnsi="宋体" w:eastAsia="宋体" w:cs="宋体"/>
          <w:bCs/>
          <w:i w:val="0"/>
          <w:iCs w:val="0"/>
          <w:color w:val="auto"/>
          <w:kern w:val="2"/>
          <w:sz w:val="24"/>
          <w:szCs w:val="24"/>
          <w:highlight w:val="none"/>
          <w:lang w:val="en-US" w:eastAsia="zh-CN"/>
        </w:rPr>
      </w:pPr>
      <w:r>
        <w:rPr>
          <w:rFonts w:hint="eastAsia"/>
          <w:lang w:val="en-US" w:eastAsia="zh-CN"/>
        </w:rPr>
        <w:t>附件：考核办法</w:t>
      </w:r>
      <w:r>
        <w:rPr>
          <w:rFonts w:hint="eastAsia"/>
          <w:lang w:val="en-US" w:eastAsia="zh-CN"/>
        </w:rPr>
        <w:br w:type="textWrapping"/>
      </w:r>
      <w:r>
        <w:rPr>
          <w:rFonts w:hint="eastAsia" w:ascii="宋体" w:hAnsi="宋体" w:cs="宋体"/>
          <w:bCs/>
          <w:i w:val="0"/>
          <w:iCs w:val="0"/>
          <w:color w:val="auto"/>
          <w:kern w:val="2"/>
          <w:sz w:val="24"/>
          <w:szCs w:val="24"/>
          <w:highlight w:val="none"/>
          <w:lang w:val="en-US" w:eastAsia="zh-CN"/>
        </w:rPr>
        <w:t>1、</w:t>
      </w:r>
      <w:r>
        <w:rPr>
          <w:rFonts w:hint="eastAsia" w:ascii="宋体" w:hAnsi="宋体" w:eastAsia="宋体" w:cs="宋体"/>
          <w:bCs/>
          <w:i w:val="0"/>
          <w:iCs w:val="0"/>
          <w:color w:val="auto"/>
          <w:kern w:val="2"/>
          <w:sz w:val="24"/>
          <w:szCs w:val="24"/>
          <w:highlight w:val="none"/>
        </w:rPr>
        <w:t>考核</w:t>
      </w:r>
      <w:r>
        <w:rPr>
          <w:rFonts w:hint="eastAsia" w:ascii="宋体" w:hAnsi="宋体" w:eastAsia="宋体" w:cs="宋体"/>
          <w:bCs/>
          <w:i w:val="0"/>
          <w:iCs w:val="0"/>
          <w:color w:val="auto"/>
          <w:kern w:val="2"/>
          <w:sz w:val="24"/>
          <w:szCs w:val="24"/>
          <w:highlight w:val="none"/>
          <w:lang w:val="en-US" w:eastAsia="zh-CN"/>
        </w:rPr>
        <w:t>方法</w:t>
      </w:r>
      <w:r>
        <w:rPr>
          <w:rFonts w:hint="eastAsia" w:ascii="宋体" w:hAnsi="宋体" w:eastAsia="宋体" w:cs="宋体"/>
          <w:bCs/>
          <w:i w:val="0"/>
          <w:iCs w:val="0"/>
          <w:color w:val="auto"/>
          <w:kern w:val="2"/>
          <w:sz w:val="24"/>
          <w:szCs w:val="24"/>
          <w:highlight w:val="none"/>
        </w:rPr>
        <w:t>：以</w:t>
      </w:r>
      <w:r>
        <w:rPr>
          <w:rFonts w:hint="eastAsia" w:ascii="宋体" w:hAnsi="宋体" w:eastAsia="宋体" w:cs="宋体"/>
          <w:bCs/>
          <w:i w:val="0"/>
          <w:iCs w:val="0"/>
          <w:color w:val="auto"/>
          <w:kern w:val="2"/>
          <w:sz w:val="24"/>
          <w:szCs w:val="24"/>
          <w:highlight w:val="none"/>
          <w:lang w:val="en-US" w:eastAsia="zh-CN"/>
        </w:rPr>
        <w:t>日常不定期抽查与月定期考核的方式</w:t>
      </w:r>
      <w:r>
        <w:rPr>
          <w:rFonts w:hint="eastAsia" w:ascii="宋体" w:hAnsi="宋体" w:eastAsia="宋体" w:cs="宋体"/>
          <w:bCs/>
          <w:i w:val="0"/>
          <w:iCs w:val="0"/>
          <w:color w:val="auto"/>
          <w:kern w:val="2"/>
          <w:sz w:val="24"/>
          <w:szCs w:val="24"/>
          <w:highlight w:val="none"/>
        </w:rPr>
        <w:t>进行考核</w:t>
      </w:r>
      <w:r>
        <w:rPr>
          <w:rFonts w:hint="eastAsia" w:ascii="宋体" w:hAnsi="宋体" w:eastAsia="宋体" w:cs="宋体"/>
          <w:i w:val="0"/>
          <w:iCs w:val="0"/>
          <w:color w:val="auto"/>
          <w:highlight w:val="none"/>
          <w:lang w:eastAsia="zh-CN"/>
        </w:rPr>
        <w:t>，</w:t>
      </w:r>
      <w:r>
        <w:rPr>
          <w:rFonts w:hint="eastAsia" w:ascii="宋体" w:hAnsi="宋体" w:eastAsia="宋体" w:cs="宋体"/>
          <w:bCs/>
          <w:i w:val="0"/>
          <w:iCs w:val="0"/>
          <w:color w:val="auto"/>
          <w:kern w:val="2"/>
          <w:sz w:val="24"/>
          <w:szCs w:val="24"/>
          <w:highlight w:val="none"/>
          <w:lang w:val="en-US" w:eastAsia="zh-CN"/>
        </w:rPr>
        <w:t>日常不定期抽查结果计入月考核情况</w:t>
      </w:r>
      <w:r>
        <w:rPr>
          <w:rFonts w:hint="eastAsia" w:ascii="宋体" w:hAnsi="宋体" w:cs="宋体"/>
          <w:bCs/>
          <w:i w:val="0"/>
          <w:iCs w:val="0"/>
          <w:color w:val="auto"/>
          <w:kern w:val="2"/>
          <w:sz w:val="24"/>
          <w:szCs w:val="24"/>
          <w:highlight w:val="none"/>
          <w:lang w:val="en-US" w:eastAsia="zh-CN"/>
        </w:rPr>
        <w:t>，考核时间约定为当月的中下旬，特殊情况考核时间提前至当月上旬</w:t>
      </w:r>
      <w:r>
        <w:rPr>
          <w:rFonts w:hint="eastAsia" w:ascii="宋体" w:hAnsi="宋体" w:eastAsia="宋体" w:cs="宋体"/>
          <w:bCs/>
          <w:i w:val="0"/>
          <w:iCs w:val="0"/>
          <w:color w:val="auto"/>
          <w:kern w:val="2"/>
          <w:sz w:val="24"/>
          <w:szCs w:val="24"/>
          <w:highlight w:val="none"/>
          <w:lang w:val="en-US" w:eastAsia="zh-CN"/>
        </w:rPr>
        <w:t>。</w:t>
      </w:r>
    </w:p>
    <w:p w14:paraId="6E25FE5C">
      <w:pPr>
        <w:keepNext w:val="0"/>
        <w:keepLines w:val="0"/>
        <w:pageBreakBefore w:val="0"/>
        <w:widowControl w:val="0"/>
        <w:kinsoku/>
        <w:wordWrap/>
        <w:overflowPunct/>
        <w:topLinePunct w:val="0"/>
        <w:bidi w:val="0"/>
        <w:adjustRightInd/>
        <w:snapToGrid/>
        <w:spacing w:line="312" w:lineRule="auto"/>
        <w:ind w:right="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bCs/>
          <w:i w:val="0"/>
          <w:iCs w:val="0"/>
          <w:color w:val="auto"/>
          <w:kern w:val="2"/>
          <w:sz w:val="24"/>
          <w:szCs w:val="24"/>
          <w:highlight w:val="none"/>
          <w:lang w:val="en-US" w:eastAsia="zh-CN"/>
        </w:rPr>
        <w:t>2、</w:t>
      </w:r>
      <w:r>
        <w:rPr>
          <w:rFonts w:hint="eastAsia" w:ascii="宋体" w:hAnsi="宋体" w:eastAsia="宋体" w:cs="宋体"/>
          <w:bCs/>
          <w:i w:val="0"/>
          <w:iCs w:val="0"/>
          <w:color w:val="auto"/>
          <w:kern w:val="2"/>
          <w:sz w:val="24"/>
          <w:szCs w:val="24"/>
          <w:highlight w:val="none"/>
        </w:rPr>
        <w:t>主要考核内</w:t>
      </w:r>
      <w:r>
        <w:rPr>
          <w:rFonts w:hint="eastAsia" w:ascii="宋体" w:hAnsi="宋体" w:eastAsia="宋体" w:cs="宋体"/>
          <w:i w:val="0"/>
          <w:iCs w:val="0"/>
          <w:color w:val="auto"/>
          <w:sz w:val="24"/>
          <w:szCs w:val="24"/>
          <w:highlight w:val="none"/>
          <w:lang w:val="en-US" w:eastAsia="zh-CN"/>
        </w:rPr>
        <w:t>容与办法：见下表（考核评分表）</w:t>
      </w:r>
    </w:p>
    <w:tbl>
      <w:tblPr>
        <w:tblStyle w:val="23"/>
        <w:tblW w:w="93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1342"/>
        <w:gridCol w:w="2244"/>
        <w:gridCol w:w="2725"/>
        <w:gridCol w:w="775"/>
        <w:gridCol w:w="1711"/>
      </w:tblGrid>
      <w:tr w14:paraId="2995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9382" w:type="dxa"/>
            <w:gridSpan w:val="6"/>
            <w:tcBorders>
              <w:top w:val="nil"/>
              <w:left w:val="nil"/>
              <w:bottom w:val="nil"/>
              <w:right w:val="nil"/>
            </w:tcBorders>
            <w:noWrap w:val="0"/>
            <w:vAlign w:val="center"/>
          </w:tcPr>
          <w:p w14:paraId="683A20FA">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kern w:val="0"/>
                <w:sz w:val="56"/>
                <w:szCs w:val="56"/>
                <w:highlight w:val="none"/>
                <w:u w:val="none"/>
                <w:lang w:val="en-US" w:eastAsia="zh-CN"/>
              </w:rPr>
            </w:pPr>
            <w:r>
              <w:rPr>
                <w:rFonts w:hint="eastAsia" w:ascii="方正公文黑体" w:hAnsi="方正公文黑体" w:eastAsia="方正公文黑体" w:cs="方正公文黑体"/>
                <w:i w:val="0"/>
                <w:iCs w:val="0"/>
                <w:color w:val="auto"/>
                <w:kern w:val="0"/>
                <w:sz w:val="32"/>
                <w:szCs w:val="32"/>
                <w:highlight w:val="none"/>
                <w:u w:val="none"/>
                <w:lang w:val="en-US" w:eastAsia="zh-CN"/>
              </w:rPr>
              <w:t>考核评分表</w:t>
            </w:r>
          </w:p>
        </w:tc>
      </w:tr>
      <w:tr w14:paraId="2B80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5914978">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1"/>
                <w:szCs w:val="21"/>
                <w:highlight w:val="none"/>
                <w:u w:val="none"/>
                <w:lang w:val="en-US" w:eastAsia="zh-CN"/>
              </w:rPr>
              <w:t>序号</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407E1C6B">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项目</w:t>
            </w: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127FC074">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考核标准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42F55595">
            <w:pPr>
              <w:keepNext w:val="0"/>
              <w:keepLines w:val="0"/>
              <w:widowControl/>
              <w:suppressLineNumbers w:val="0"/>
              <w:tabs>
                <w:tab w:val="left" w:pos="218"/>
              </w:tabs>
              <w:spacing w:line="240" w:lineRule="auto"/>
              <w:jc w:val="center"/>
              <w:textAlignment w:val="center"/>
              <w:rPr>
                <w:rFonts w:hint="eastAsia" w:ascii="方正公文黑体" w:hAnsi="方正公文黑体" w:eastAsia="方正公文黑体" w:cs="方正公文黑体"/>
                <w:i w:val="0"/>
                <w:iCs w:val="0"/>
                <w:color w:val="auto"/>
                <w:kern w:val="0"/>
                <w:sz w:val="22"/>
                <w:szCs w:val="22"/>
                <w:highlight w:val="none"/>
                <w:u w:val="none"/>
                <w:lang w:val="en-US" w:eastAsia="zh-CN"/>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扣分</w:t>
            </w:r>
          </w:p>
        </w:tc>
        <w:tc>
          <w:tcPr>
            <w:tcW w:w="1711" w:type="dxa"/>
            <w:tcBorders>
              <w:top w:val="single" w:color="000000" w:sz="4" w:space="0"/>
              <w:left w:val="single" w:color="auto" w:sz="4" w:space="0"/>
              <w:bottom w:val="single" w:color="000000" w:sz="4" w:space="0"/>
              <w:right w:val="single" w:color="auto" w:sz="4" w:space="0"/>
            </w:tcBorders>
            <w:noWrap w:val="0"/>
            <w:vAlign w:val="center"/>
          </w:tcPr>
          <w:p w14:paraId="51F2B0F7">
            <w:pPr>
              <w:keepNext w:val="0"/>
              <w:keepLines w:val="0"/>
              <w:widowControl/>
              <w:suppressLineNumbers w:val="0"/>
              <w:tabs>
                <w:tab w:val="left" w:pos="218"/>
              </w:tabs>
              <w:spacing w:line="240" w:lineRule="auto"/>
              <w:jc w:val="center"/>
              <w:textAlignment w:val="center"/>
              <w:rPr>
                <w:rFonts w:hint="default" w:ascii="方正公文黑体" w:hAnsi="方正公文黑体" w:eastAsia="方正公文黑体" w:cs="方正公文黑体"/>
                <w:i w:val="0"/>
                <w:iCs w:val="0"/>
                <w:color w:val="auto"/>
                <w:kern w:val="0"/>
                <w:sz w:val="22"/>
                <w:szCs w:val="22"/>
                <w:highlight w:val="none"/>
                <w:u w:val="none"/>
                <w:lang w:val="en-US" w:eastAsia="zh-CN"/>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扣分情况说明</w:t>
            </w:r>
          </w:p>
        </w:tc>
      </w:tr>
      <w:tr w14:paraId="5BC2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DDEE86">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1</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7A4D73">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组织人事</w:t>
            </w: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7281160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①</w:t>
            </w:r>
            <w:r>
              <w:rPr>
                <w:rFonts w:hint="eastAsia" w:ascii="宋体" w:hAnsi="宋体" w:eastAsia="宋体" w:cs="宋体"/>
                <w:i w:val="0"/>
                <w:iCs w:val="0"/>
                <w:color w:val="auto"/>
                <w:kern w:val="0"/>
                <w:sz w:val="21"/>
                <w:szCs w:val="21"/>
                <w:highlight w:val="none"/>
                <w:u w:val="none"/>
                <w:lang w:val="en-US" w:eastAsia="zh-CN"/>
              </w:rPr>
              <w:t>未经甲方书面同意，擅自调整或更换人员的，每人次扣</w:t>
            </w:r>
            <w:r>
              <w:rPr>
                <w:rFonts w:hint="eastAsia" w:ascii="宋体" w:hAnsi="宋体" w:cs="宋体"/>
                <w:i w:val="0"/>
                <w:iCs w:val="0"/>
                <w:color w:val="auto"/>
                <w:kern w:val="0"/>
                <w:sz w:val="21"/>
                <w:szCs w:val="21"/>
                <w:highlight w:val="none"/>
                <w:u w:val="none"/>
                <w:lang w:val="en-US" w:eastAsia="zh-CN"/>
              </w:rPr>
              <w:t>2</w:t>
            </w:r>
            <w:r>
              <w:rPr>
                <w:rFonts w:hint="eastAsia" w:ascii="宋体" w:hAnsi="宋体" w:eastAsia="宋体" w:cs="宋体"/>
                <w:i w:val="0"/>
                <w:iCs w:val="0"/>
                <w:color w:val="auto"/>
                <w:kern w:val="0"/>
                <w:sz w:val="21"/>
                <w:szCs w:val="21"/>
                <w:highlight w:val="none"/>
                <w:u w:val="none"/>
                <w:lang w:val="en-US" w:eastAsia="zh-CN"/>
              </w:rPr>
              <w:t>分；</w:t>
            </w:r>
          </w:p>
          <w:p w14:paraId="3A32147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甲方对不能胜任岗位工作的人员提出整改调整，乙方无正当理由未调整到位的，</w:t>
            </w:r>
            <w:r>
              <w:rPr>
                <w:rFonts w:hint="eastAsia" w:ascii="宋体" w:hAnsi="宋体" w:eastAsia="宋体" w:cs="宋体"/>
                <w:i w:val="0"/>
                <w:iCs w:val="0"/>
                <w:color w:val="auto"/>
                <w:kern w:val="0"/>
                <w:sz w:val="21"/>
                <w:szCs w:val="21"/>
                <w:highlight w:val="none"/>
                <w:u w:val="none"/>
                <w:lang w:val="en-US" w:eastAsia="zh-CN"/>
              </w:rPr>
              <w:t>每人次扣2分</w:t>
            </w:r>
            <w:r>
              <w:rPr>
                <w:rFonts w:hint="eastAsia" w:ascii="宋体" w:hAnsi="宋体" w:cs="宋体"/>
                <w:i w:val="0"/>
                <w:iCs w:val="0"/>
                <w:color w:val="auto"/>
                <w:kern w:val="0"/>
                <w:sz w:val="21"/>
                <w:szCs w:val="21"/>
                <w:highlight w:val="none"/>
                <w:u w:val="none"/>
                <w:lang w:val="en-US" w:eastAsia="zh-CN"/>
              </w:rPr>
              <w:t>。</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4A6AC682">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2"/>
                <w:szCs w:val="22"/>
                <w:highlight w:val="none"/>
                <w:u w:val="none"/>
                <w:lang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41C04957">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2"/>
                <w:szCs w:val="22"/>
                <w:highlight w:val="none"/>
                <w:u w:val="none"/>
                <w:lang w:eastAsia="zh-CN"/>
              </w:rPr>
            </w:pPr>
          </w:p>
        </w:tc>
      </w:tr>
      <w:tr w14:paraId="1E04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14C26">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F172A">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3E4989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②</w:t>
            </w:r>
            <w:r>
              <w:rPr>
                <w:rFonts w:hint="eastAsia" w:ascii="宋体" w:hAnsi="宋体" w:eastAsia="宋体" w:cs="宋体"/>
                <w:i w:val="0"/>
                <w:iCs w:val="0"/>
                <w:color w:val="auto"/>
                <w:kern w:val="0"/>
                <w:sz w:val="21"/>
                <w:szCs w:val="21"/>
                <w:highlight w:val="none"/>
                <w:u w:val="none"/>
                <w:lang w:val="en-US" w:eastAsia="zh-CN"/>
              </w:rPr>
              <w:t>人员规章制度不熟悉的，每人次扣1分；对本岗位工作职责、工作内容不了解、不熟悉或对责任工程、设备不熟悉的，视情况扣1-3分</w:t>
            </w:r>
            <w:r>
              <w:rPr>
                <w:rFonts w:hint="eastAsia" w:ascii="宋体" w:hAnsi="宋体" w:cs="宋体"/>
                <w:i w:val="0"/>
                <w:iCs w:val="0"/>
                <w:color w:val="auto"/>
                <w:kern w:val="0"/>
                <w:sz w:val="21"/>
                <w:szCs w:val="21"/>
                <w:highlight w:val="none"/>
                <w:u w:val="none"/>
                <w:lang w:val="en-US" w:eastAsia="zh-CN"/>
              </w:rPr>
              <w:t>。</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3880A86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6EBA13F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3E97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7D05D">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24B2A">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1971C54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③</w:t>
            </w:r>
            <w:r>
              <w:rPr>
                <w:rFonts w:hint="eastAsia" w:ascii="宋体" w:hAnsi="宋体" w:eastAsia="宋体" w:cs="宋体"/>
                <w:i w:val="0"/>
                <w:iCs w:val="0"/>
                <w:color w:val="auto"/>
                <w:kern w:val="0"/>
                <w:sz w:val="21"/>
                <w:szCs w:val="21"/>
                <w:highlight w:val="none"/>
                <w:u w:val="none"/>
                <w:lang w:val="en-US" w:eastAsia="zh-CN"/>
              </w:rPr>
              <w:t>未落实规章制度的，每次扣1分。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44FCD507">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2F59812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3B5D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AB55C">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D250D">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27E178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④</w:t>
            </w:r>
            <w:r>
              <w:rPr>
                <w:rFonts w:hint="eastAsia" w:ascii="宋体" w:hAnsi="宋体" w:eastAsia="宋体" w:cs="宋体"/>
                <w:i w:val="0"/>
                <w:iCs w:val="0"/>
                <w:color w:val="auto"/>
                <w:kern w:val="0"/>
                <w:sz w:val="21"/>
                <w:szCs w:val="21"/>
                <w:highlight w:val="none"/>
                <w:u w:val="none"/>
                <w:lang w:val="en-US" w:eastAsia="zh-CN"/>
              </w:rPr>
              <w:t>未能积极配合甲方有关专项活动、特殊时段应急抢险的，视情况扣2-10分。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5159EA2D">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7E54C5F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268C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CD1EC">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644A5">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77E11C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⑤</w:t>
            </w:r>
            <w:r>
              <w:rPr>
                <w:rFonts w:hint="eastAsia" w:ascii="宋体" w:hAnsi="宋体" w:eastAsia="宋体" w:cs="宋体"/>
                <w:i w:val="0"/>
                <w:iCs w:val="0"/>
                <w:color w:val="auto"/>
                <w:kern w:val="0"/>
                <w:sz w:val="21"/>
                <w:szCs w:val="21"/>
                <w:highlight w:val="none"/>
                <w:u w:val="none"/>
                <w:lang w:val="en-US" w:eastAsia="zh-CN"/>
              </w:rPr>
              <w:t>因私对甲方造成不良影响或影响甲方正常工作开展的，每次扣5分。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5234CBC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6A5DDEE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5F683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9B028">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D7A65">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4CAE24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⑥</w:t>
            </w:r>
            <w:r>
              <w:rPr>
                <w:rFonts w:hint="eastAsia" w:ascii="宋体" w:hAnsi="宋体" w:eastAsia="宋体" w:cs="宋体"/>
                <w:i w:val="0"/>
                <w:iCs w:val="0"/>
                <w:color w:val="auto"/>
                <w:kern w:val="0"/>
                <w:sz w:val="21"/>
                <w:szCs w:val="21"/>
                <w:highlight w:val="none"/>
                <w:u w:val="none"/>
                <w:lang w:val="en-US" w:eastAsia="zh-CN"/>
              </w:rPr>
              <w:t>未经甲方书面同意散发甲方相关门禁钥匙或工程资料的，每发现一次视情况扣1-5分。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3DFA508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161C4D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
              </w:rPr>
            </w:pPr>
          </w:p>
        </w:tc>
      </w:tr>
      <w:tr w14:paraId="138A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FBA9CE">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2</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0D53A">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安全生产</w:t>
            </w: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716D2C2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①</w:t>
            </w:r>
            <w:r>
              <w:rPr>
                <w:rFonts w:hint="eastAsia" w:ascii="宋体" w:hAnsi="宋体" w:eastAsia="宋体" w:cs="宋体"/>
                <w:i w:val="0"/>
                <w:iCs w:val="0"/>
                <w:color w:val="auto"/>
                <w:kern w:val="0"/>
                <w:sz w:val="21"/>
                <w:szCs w:val="21"/>
                <w:highlight w:val="none"/>
                <w:u w:val="none"/>
                <w:lang w:val="en-US" w:eastAsia="zh-CN"/>
              </w:rPr>
              <w:t>未发现工程存在的安全生产隐患或发现未上报的，每次扣2分；因此造成安全生产事故或设备事故的，根据情节轻重，加扣2-10分。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1F247A8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713374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auto"/>
                <w:kern w:val="0"/>
                <w:sz w:val="22"/>
                <w:szCs w:val="22"/>
                <w:highlight w:val="none"/>
                <w:u w:val="none"/>
                <w:lang w:val="en-US" w:eastAsia="zh-CN"/>
              </w:rPr>
            </w:pPr>
          </w:p>
        </w:tc>
      </w:tr>
      <w:tr w14:paraId="1F62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87F90">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0EEF9">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0148621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②因运行管理不当，产生安全生产隐患的，根据情节轻重，扣2-10分；因此造成安全生产事故或设备事故，根据情节轻重，加扣5-10分。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1B780AA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661DBC1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187D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6CE16">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40298">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1DC40FB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③因乙方原因造成群体性事件的，根据情节轻重，扣2-10分；因此造成恶劣影响或其他不良情况的，根据情节轻重，加扣5-10分。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035550C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692A64E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2F1E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B11ED">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69E8C">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25A1895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④因上述三项对甲方造成设施设备损失或其他损失的，甲方有权向乙方追偿；因上述三项造成恶劣影响或构成重大及以上安全生产事故的，甲方有权单方解除合同。</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221B0F2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5BAC8D8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5407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BD5A2">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96C5E">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3769C2D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⑤应急响应期间或其他特殊时期，违反工作纪律的，视情节轻重扣2-5分。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00C907E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7AD11A5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3556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74A0B">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916E">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1998A20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⑥违反安全用电相关规定的，每次扣2分。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54F83C9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2EFCA87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5BE3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B7A4B">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0B0F4">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1997770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⑦工程故障（或停电）未及时发现的，每次（处）扣2分。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6E119A8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52FC14E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7DEE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D86CE">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6FC15">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684F9F6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⑧其他未按规定做好的安全生产工作的，每次扣1分。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6EF6683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43070E3D">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2"/>
                <w:szCs w:val="22"/>
                <w:highlight w:val="none"/>
                <w:u w:val="none"/>
                <w:lang w:val="en-US" w:eastAsia="zh-CN"/>
              </w:rPr>
            </w:pPr>
          </w:p>
        </w:tc>
      </w:tr>
      <w:tr w14:paraId="2A5E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64568">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3</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14:paraId="2706BCDB">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工程运行</w:t>
            </w: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4D9FDC5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①未及时上交半年度工作总结（半年度运行管理报告）或年度工作总结（年度运行管理报告）的，每次扣2分；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6F488DC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07241DB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4C26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left w:val="single" w:color="000000" w:sz="4" w:space="0"/>
              <w:right w:val="single" w:color="000000" w:sz="4" w:space="0"/>
            </w:tcBorders>
            <w:noWrap w:val="0"/>
            <w:vAlign w:val="center"/>
          </w:tcPr>
          <w:p w14:paraId="6B813D6B">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kern w:val="0"/>
                <w:sz w:val="22"/>
                <w:szCs w:val="22"/>
                <w:highlight w:val="none"/>
                <w:u w:val="none"/>
                <w:lang w:val="en-US" w:eastAsia="zh-CN"/>
              </w:rPr>
            </w:pPr>
          </w:p>
        </w:tc>
        <w:tc>
          <w:tcPr>
            <w:tcW w:w="1342" w:type="dxa"/>
            <w:vMerge w:val="continue"/>
            <w:tcBorders>
              <w:left w:val="single" w:color="000000" w:sz="4" w:space="0"/>
              <w:right w:val="single" w:color="000000" w:sz="4" w:space="0"/>
            </w:tcBorders>
            <w:noWrap w:val="0"/>
            <w:vAlign w:val="center"/>
          </w:tcPr>
          <w:p w14:paraId="7017DBA2">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kern w:val="0"/>
                <w:sz w:val="22"/>
                <w:szCs w:val="22"/>
                <w:highlight w:val="none"/>
                <w:u w:val="none"/>
                <w:lang w:val="en-US" w:eastAsia="zh-CN"/>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1AE7F96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②台账记录不完整、不规范的，每处扣1分；</w:t>
            </w:r>
          </w:p>
          <w:p w14:paraId="0677162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有弄虚作假的，每次扣5分。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2052D9F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56D1EEE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2"/>
                <w:szCs w:val="22"/>
                <w:highlight w:val="none"/>
                <w:u w:val="none"/>
                <w:lang w:val="en-US" w:eastAsia="zh-CN"/>
              </w:rPr>
            </w:pPr>
          </w:p>
        </w:tc>
      </w:tr>
      <w:tr w14:paraId="457F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left w:val="single" w:color="000000" w:sz="4" w:space="0"/>
              <w:right w:val="single" w:color="000000" w:sz="4" w:space="0"/>
            </w:tcBorders>
            <w:noWrap w:val="0"/>
            <w:vAlign w:val="center"/>
          </w:tcPr>
          <w:p w14:paraId="764DEB1F">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kern w:val="0"/>
                <w:sz w:val="22"/>
                <w:szCs w:val="22"/>
                <w:highlight w:val="none"/>
                <w:u w:val="none"/>
                <w:lang w:val="en-US" w:eastAsia="zh-CN"/>
              </w:rPr>
            </w:pPr>
          </w:p>
        </w:tc>
        <w:tc>
          <w:tcPr>
            <w:tcW w:w="1342" w:type="dxa"/>
            <w:vMerge w:val="continue"/>
            <w:tcBorders>
              <w:left w:val="single" w:color="000000" w:sz="4" w:space="0"/>
              <w:right w:val="single" w:color="000000" w:sz="4" w:space="0"/>
            </w:tcBorders>
            <w:noWrap w:val="0"/>
            <w:vAlign w:val="center"/>
          </w:tcPr>
          <w:p w14:paraId="5B9B671A">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kern w:val="0"/>
                <w:sz w:val="22"/>
                <w:szCs w:val="22"/>
                <w:highlight w:val="none"/>
                <w:u w:val="none"/>
                <w:lang w:val="en-US" w:eastAsia="zh-CN"/>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4B100DD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③台账未签字或者代签字，每次扣1分。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57F1729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7B38F8D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358E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left w:val="single" w:color="000000" w:sz="4" w:space="0"/>
              <w:right w:val="single" w:color="000000" w:sz="4" w:space="0"/>
            </w:tcBorders>
            <w:noWrap w:val="0"/>
            <w:vAlign w:val="center"/>
          </w:tcPr>
          <w:p w14:paraId="29749DA8">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kern w:val="0"/>
                <w:sz w:val="22"/>
                <w:szCs w:val="22"/>
                <w:highlight w:val="none"/>
                <w:u w:val="none"/>
                <w:lang w:val="en-US" w:eastAsia="zh-CN"/>
              </w:rPr>
            </w:pPr>
          </w:p>
        </w:tc>
        <w:tc>
          <w:tcPr>
            <w:tcW w:w="1342" w:type="dxa"/>
            <w:vMerge w:val="continue"/>
            <w:tcBorders>
              <w:left w:val="single" w:color="000000" w:sz="4" w:space="0"/>
              <w:right w:val="single" w:color="000000" w:sz="4" w:space="0"/>
            </w:tcBorders>
            <w:noWrap w:val="0"/>
            <w:vAlign w:val="center"/>
          </w:tcPr>
          <w:p w14:paraId="708A763C">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kern w:val="0"/>
                <w:sz w:val="22"/>
                <w:szCs w:val="22"/>
                <w:highlight w:val="none"/>
                <w:u w:val="none"/>
                <w:lang w:val="en-US" w:eastAsia="zh-CN"/>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2DD0BA6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④未按指令（或要求）开启或关闭水闸，每次扣5分；</w:t>
            </w:r>
            <w:r>
              <w:rPr>
                <w:rFonts w:hint="eastAsia" w:ascii="微软雅黑" w:hAnsi="微软雅黑" w:eastAsia="微软雅黑" w:cs="微软雅黑"/>
                <w:i w:val="0"/>
                <w:iCs w:val="0"/>
                <w:color w:val="auto"/>
                <w:kern w:val="0"/>
                <w:sz w:val="21"/>
                <w:szCs w:val="21"/>
                <w:highlight w:val="none"/>
                <w:u w:val="none"/>
                <w:lang w:val="en-US" w:eastAsia="zh-CN"/>
              </w:rPr>
              <w:br w:type="textWrapping"/>
            </w:r>
            <w:r>
              <w:rPr>
                <w:rFonts w:hint="eastAsia" w:ascii="微软雅黑" w:hAnsi="微软雅黑" w:eastAsia="微软雅黑" w:cs="微软雅黑"/>
                <w:i w:val="0"/>
                <w:iCs w:val="0"/>
                <w:color w:val="auto"/>
                <w:kern w:val="0"/>
                <w:sz w:val="21"/>
                <w:szCs w:val="21"/>
                <w:highlight w:val="none"/>
                <w:u w:val="none"/>
                <w:lang w:val="en-US" w:eastAsia="zh-CN"/>
              </w:rPr>
              <w:t>无正当理由未及时运行的，每次扣3分。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534C410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762C4D1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3EB3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AE699">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62786">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7ABE2EB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⑤未按规定日常巡查的，每次扣1分；</w:t>
            </w:r>
            <w:r>
              <w:rPr>
                <w:rFonts w:hint="eastAsia" w:ascii="微软雅黑" w:hAnsi="微软雅黑" w:eastAsia="微软雅黑" w:cs="微软雅黑"/>
                <w:i w:val="0"/>
                <w:iCs w:val="0"/>
                <w:color w:val="auto"/>
                <w:kern w:val="0"/>
                <w:sz w:val="21"/>
                <w:szCs w:val="21"/>
                <w:highlight w:val="none"/>
                <w:u w:val="none"/>
                <w:lang w:val="en-US" w:eastAsia="zh-CN"/>
              </w:rPr>
              <w:br w:type="textWrapping"/>
            </w:r>
            <w:r>
              <w:rPr>
                <w:rFonts w:hint="eastAsia" w:ascii="微软雅黑" w:hAnsi="微软雅黑" w:eastAsia="微软雅黑" w:cs="微软雅黑"/>
                <w:i w:val="0"/>
                <w:iCs w:val="0"/>
                <w:color w:val="auto"/>
                <w:kern w:val="0"/>
                <w:sz w:val="21"/>
                <w:szCs w:val="21"/>
                <w:highlight w:val="none"/>
                <w:u w:val="none"/>
                <w:lang w:val="en-US" w:eastAsia="zh-CN"/>
              </w:rPr>
              <w:t>未按规定进行日常检查、定期检查、特别检查的，每次扣3分；</w:t>
            </w:r>
            <w:r>
              <w:rPr>
                <w:rFonts w:hint="eastAsia" w:ascii="微软雅黑" w:hAnsi="微软雅黑" w:eastAsia="微软雅黑" w:cs="微软雅黑"/>
                <w:i w:val="0"/>
                <w:iCs w:val="0"/>
                <w:color w:val="auto"/>
                <w:kern w:val="0"/>
                <w:sz w:val="21"/>
                <w:szCs w:val="21"/>
                <w:highlight w:val="none"/>
                <w:u w:val="none"/>
                <w:lang w:val="en-US" w:eastAsia="zh-CN"/>
              </w:rPr>
              <w:br w:type="textWrapping"/>
            </w:r>
            <w:r>
              <w:rPr>
                <w:rFonts w:hint="eastAsia" w:ascii="微软雅黑" w:hAnsi="微软雅黑" w:eastAsia="微软雅黑" w:cs="微软雅黑"/>
                <w:i w:val="0"/>
                <w:iCs w:val="0"/>
                <w:color w:val="auto"/>
                <w:kern w:val="0"/>
                <w:sz w:val="21"/>
                <w:szCs w:val="21"/>
                <w:highlight w:val="none"/>
                <w:u w:val="none"/>
                <w:lang w:val="en-US" w:eastAsia="zh-CN"/>
              </w:rPr>
              <w:t>检查不到位的，每处扣1分；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05DBE0B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3DE6B53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r>
      <w:tr w14:paraId="3F83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C4322">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E8214">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63E168A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⑥未按规定进行设备养护、维修的，每处扣3分；</w:t>
            </w:r>
            <w:r>
              <w:rPr>
                <w:rFonts w:hint="eastAsia" w:ascii="微软雅黑" w:hAnsi="微软雅黑" w:eastAsia="微软雅黑" w:cs="微软雅黑"/>
                <w:i w:val="0"/>
                <w:iCs w:val="0"/>
                <w:color w:val="auto"/>
                <w:kern w:val="0"/>
                <w:sz w:val="21"/>
                <w:szCs w:val="21"/>
                <w:highlight w:val="none"/>
                <w:u w:val="none"/>
                <w:lang w:val="en-US" w:eastAsia="zh-CN"/>
              </w:rPr>
              <w:br w:type="textWrapping"/>
            </w:r>
            <w:r>
              <w:rPr>
                <w:rFonts w:hint="eastAsia" w:ascii="微软雅黑" w:hAnsi="微软雅黑" w:eastAsia="微软雅黑" w:cs="微软雅黑"/>
                <w:i w:val="0"/>
                <w:iCs w:val="0"/>
                <w:color w:val="auto"/>
                <w:kern w:val="0"/>
                <w:sz w:val="21"/>
                <w:szCs w:val="21"/>
                <w:highlight w:val="none"/>
                <w:u w:val="none"/>
                <w:lang w:val="en-US" w:eastAsia="zh-CN"/>
              </w:rPr>
              <w:t>养护不到位的，每处扣1分；</w:t>
            </w:r>
          </w:p>
          <w:p w14:paraId="3D6618E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养护不规范的，每处扣1分。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269DC9A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4EBF827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0192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2F769">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0E3E0">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4704466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⑦机电设备、金属结构、电气设备及备用电源、辅助、配套设施：存在一般缺陷没有处理措施的，每发现一处扣1分；存在较大缺陷没有处理措施的，每发现一处扣2分。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56596C0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671E658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eastAsia="zh-CN"/>
              </w:rPr>
            </w:pPr>
          </w:p>
        </w:tc>
      </w:tr>
      <w:tr w14:paraId="0249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DB1C2">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B12C9">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3310CB8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⑧操作不熟练的，扣1分；违反操作规程（操作顺序颠倒、步骤缺失），根据情节轻重每次扣2-5分。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6771D48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6CC0020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r>
      <w:tr w14:paraId="7EC8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AAD39">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A58B8">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4E591FE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⑨未及时报告水情、工情及运行中问题处理情况的，每发现一处扣2分。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174EA72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2111E20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rPr>
            </w:pPr>
          </w:p>
        </w:tc>
      </w:tr>
      <w:tr w14:paraId="6BAD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61FFD7">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483C1">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241FA4B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⑩因私对甲方造成不良影响或影响甲方正常工作开展的，每次扣5分。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1010C1E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2A1001D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rPr>
            </w:pPr>
          </w:p>
        </w:tc>
      </w:tr>
      <w:tr w14:paraId="6082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0EB29">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B7627">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31743A6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⑪未及时处理有损闸容闸貌相关事务的，每次扣1分。</w:t>
            </w:r>
          </w:p>
        </w:tc>
        <w:tc>
          <w:tcPr>
            <w:tcW w:w="775" w:type="dxa"/>
            <w:tcBorders>
              <w:top w:val="single" w:color="000000" w:sz="4" w:space="0"/>
              <w:left w:val="single" w:color="000000" w:sz="4" w:space="0"/>
              <w:bottom w:val="single" w:color="auto" w:sz="4" w:space="0"/>
              <w:right w:val="single" w:color="auto" w:sz="4" w:space="0"/>
            </w:tcBorders>
            <w:noWrap w:val="0"/>
            <w:vAlign w:val="center"/>
          </w:tcPr>
          <w:p w14:paraId="60967FB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auto" w:sz="4" w:space="0"/>
              <w:right w:val="single" w:color="000000" w:sz="4" w:space="0"/>
            </w:tcBorders>
            <w:noWrap w:val="0"/>
            <w:vAlign w:val="center"/>
          </w:tcPr>
          <w:p w14:paraId="669C6BC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highlight w:val="none"/>
                <w:u w:val="none"/>
                <w:lang w:eastAsia="zh-CN"/>
              </w:rPr>
            </w:pPr>
          </w:p>
        </w:tc>
      </w:tr>
      <w:tr w14:paraId="23CC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585" w:type="dxa"/>
            <w:vMerge w:val="restart"/>
            <w:tcBorders>
              <w:top w:val="single" w:color="000000" w:sz="4" w:space="0"/>
              <w:left w:val="single" w:color="000000" w:sz="4" w:space="0"/>
              <w:right w:val="single" w:color="000000" w:sz="4" w:space="0"/>
            </w:tcBorders>
            <w:noWrap w:val="0"/>
            <w:vAlign w:val="center"/>
          </w:tcPr>
          <w:p w14:paraId="71CE6554">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4</w:t>
            </w:r>
          </w:p>
        </w:tc>
        <w:tc>
          <w:tcPr>
            <w:tcW w:w="1342" w:type="dxa"/>
            <w:vMerge w:val="restart"/>
            <w:tcBorders>
              <w:top w:val="single" w:color="000000" w:sz="4" w:space="0"/>
              <w:left w:val="single" w:color="000000" w:sz="4" w:space="0"/>
              <w:right w:val="single" w:color="000000" w:sz="4" w:space="0"/>
            </w:tcBorders>
            <w:noWrap w:val="0"/>
            <w:vAlign w:val="center"/>
          </w:tcPr>
          <w:p w14:paraId="2D699658">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管理区域运维</w:t>
            </w: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4706CC8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①卫生不符合要求的，每次扣1分。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5286B03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45077F34">
            <w:pPr>
              <w:keepNext w:val="0"/>
              <w:keepLines w:val="0"/>
              <w:widowControl/>
              <w:suppressLineNumbers w:val="0"/>
              <w:spacing w:line="240" w:lineRule="auto"/>
              <w:jc w:val="center"/>
              <w:textAlignment w:val="center"/>
              <w:rPr>
                <w:rFonts w:hint="eastAsia"/>
                <w:i w:val="0"/>
                <w:iCs w:val="0"/>
                <w:color w:val="auto"/>
                <w:sz w:val="20"/>
                <w:szCs w:val="20"/>
                <w:highlight w:val="none"/>
                <w:u w:val="none"/>
                <w:lang w:eastAsia="zh"/>
              </w:rPr>
            </w:pPr>
          </w:p>
        </w:tc>
      </w:tr>
      <w:tr w14:paraId="2404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85" w:type="dxa"/>
            <w:vMerge w:val="continue"/>
            <w:tcBorders>
              <w:left w:val="single" w:color="000000" w:sz="4" w:space="0"/>
              <w:right w:val="single" w:color="000000" w:sz="4" w:space="0"/>
            </w:tcBorders>
            <w:noWrap w:val="0"/>
            <w:vAlign w:val="center"/>
          </w:tcPr>
          <w:p w14:paraId="6A8BBF4C">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left w:val="single" w:color="000000" w:sz="4" w:space="0"/>
              <w:right w:val="single" w:color="000000" w:sz="4" w:space="0"/>
            </w:tcBorders>
            <w:noWrap w:val="0"/>
            <w:vAlign w:val="center"/>
          </w:tcPr>
          <w:p w14:paraId="3305C6C2">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55D65CD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②未做好管理区域定期打扫、清理、整理、垃圾分类、垃圾转运处理等工作的，每次扣1分。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5C59F8C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2816A50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highlight w:val="none"/>
                <w:u w:val="none"/>
                <w:lang w:val="en-US" w:eastAsia="zh-CN"/>
              </w:rPr>
            </w:pPr>
          </w:p>
        </w:tc>
      </w:tr>
      <w:tr w14:paraId="12A4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85" w:type="dxa"/>
            <w:vMerge w:val="continue"/>
            <w:tcBorders>
              <w:left w:val="single" w:color="000000" w:sz="4" w:space="0"/>
              <w:bottom w:val="single" w:color="000000" w:sz="4" w:space="0"/>
              <w:right w:val="single" w:color="000000" w:sz="4" w:space="0"/>
            </w:tcBorders>
            <w:noWrap w:val="0"/>
            <w:vAlign w:val="center"/>
          </w:tcPr>
          <w:p w14:paraId="2E039842">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left w:val="single" w:color="000000" w:sz="4" w:space="0"/>
              <w:bottom w:val="single" w:color="000000" w:sz="4" w:space="0"/>
              <w:right w:val="single" w:color="000000" w:sz="4" w:space="0"/>
            </w:tcBorders>
            <w:noWrap w:val="0"/>
            <w:vAlign w:val="center"/>
          </w:tcPr>
          <w:p w14:paraId="179DB7DE">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587ABD7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③未做好节假日（春节、五一劳动节、国庆节）及甲方因工作需要要求的管理区域卫生大扫除的，每次扣3分。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4235544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15BBA00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rPr>
            </w:pPr>
          </w:p>
        </w:tc>
      </w:tr>
      <w:tr w14:paraId="6533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A64A80">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5</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80E3EC">
            <w:pPr>
              <w:keepNext w:val="0"/>
              <w:keepLines w:val="0"/>
              <w:widowControl/>
              <w:suppressLineNumbers w:val="0"/>
              <w:spacing w:line="240" w:lineRule="auto"/>
              <w:jc w:val="both"/>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绿化养护</w:t>
            </w: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0B9E40B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①绿化种植区块有杂草、垃圾的，每处扣0.5分。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32F181B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5046AF1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rPr>
            </w:pPr>
          </w:p>
        </w:tc>
      </w:tr>
      <w:tr w14:paraId="68FA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585" w:type="dxa"/>
            <w:vMerge w:val="continue"/>
            <w:tcBorders>
              <w:left w:val="single" w:color="000000" w:sz="4" w:space="0"/>
              <w:right w:val="single" w:color="000000" w:sz="4" w:space="0"/>
            </w:tcBorders>
            <w:noWrap w:val="0"/>
            <w:vAlign w:val="center"/>
          </w:tcPr>
          <w:p w14:paraId="7B577427">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kern w:val="0"/>
                <w:sz w:val="22"/>
                <w:szCs w:val="22"/>
                <w:highlight w:val="none"/>
                <w:u w:val="none"/>
                <w:lang w:val="en-US" w:eastAsia="zh-CN"/>
              </w:rPr>
            </w:pPr>
          </w:p>
        </w:tc>
        <w:tc>
          <w:tcPr>
            <w:tcW w:w="1342" w:type="dxa"/>
            <w:vMerge w:val="continue"/>
            <w:tcBorders>
              <w:left w:val="single" w:color="000000" w:sz="4" w:space="0"/>
              <w:right w:val="single" w:color="000000" w:sz="4" w:space="0"/>
            </w:tcBorders>
            <w:noWrap w:val="0"/>
            <w:vAlign w:val="center"/>
          </w:tcPr>
          <w:p w14:paraId="42455194">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kern w:val="0"/>
                <w:sz w:val="22"/>
                <w:szCs w:val="22"/>
                <w:highlight w:val="none"/>
                <w:u w:val="none"/>
                <w:lang w:val="en-US" w:eastAsia="zh-CN"/>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7BA7B54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②苗木、草皮未定期修剪或枯枝死树未及时处理的，扣1分。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29E1F3E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58BBB8E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rPr>
            </w:pPr>
          </w:p>
        </w:tc>
      </w:tr>
      <w:tr w14:paraId="22AE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87EDE">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7C11E">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0965DB5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③由于工作不当而造成苗木、草皮有长势不良或死亡的，视情况扣1-3分。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4DBD6E0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4DEF32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0"/>
                <w:szCs w:val="20"/>
                <w:highlight w:val="none"/>
                <w:u w:val="none"/>
                <w:lang w:val="en-US" w:eastAsia="zh-CN"/>
              </w:rPr>
            </w:pPr>
          </w:p>
        </w:tc>
      </w:tr>
      <w:tr w14:paraId="665E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C70159">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6</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F51C8">
            <w:pPr>
              <w:keepNext w:val="0"/>
              <w:keepLines w:val="0"/>
              <w:widowControl/>
              <w:suppressLineNumbers w:val="0"/>
              <w:spacing w:line="240" w:lineRule="auto"/>
              <w:jc w:val="center"/>
              <w:textAlignment w:val="center"/>
              <w:rPr>
                <w:rFonts w:hint="eastAsia" w:ascii="方正公文黑体" w:hAnsi="方正公文黑体" w:eastAsia="方正公文黑体" w:cs="方正公文黑体"/>
                <w:i w:val="0"/>
                <w:iCs w:val="0"/>
                <w:color w:val="auto"/>
                <w:sz w:val="22"/>
                <w:szCs w:val="22"/>
                <w:highlight w:val="none"/>
                <w:u w:val="none"/>
              </w:rPr>
            </w:pPr>
            <w:r>
              <w:rPr>
                <w:rFonts w:hint="eastAsia" w:ascii="方正公文黑体" w:hAnsi="方正公文黑体" w:eastAsia="方正公文黑体" w:cs="方正公文黑体"/>
                <w:i w:val="0"/>
                <w:iCs w:val="0"/>
                <w:color w:val="auto"/>
                <w:kern w:val="0"/>
                <w:sz w:val="22"/>
                <w:szCs w:val="22"/>
                <w:highlight w:val="none"/>
                <w:u w:val="none"/>
                <w:lang w:val="en-US" w:eastAsia="zh-CN"/>
              </w:rPr>
              <w:t>整改落实</w:t>
            </w: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4A36470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①要求整改未及时落实整改的，每次扣5分。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3F876A9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2B1D3A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7736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FC3E8">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74783">
            <w:pPr>
              <w:spacing w:line="240" w:lineRule="auto"/>
              <w:jc w:val="center"/>
              <w:rPr>
                <w:rFonts w:hint="eastAsia" w:ascii="方正公文黑体" w:hAnsi="方正公文黑体" w:eastAsia="方正公文黑体" w:cs="方正公文黑体"/>
                <w:i w:val="0"/>
                <w:iCs w:val="0"/>
                <w:color w:val="auto"/>
                <w:sz w:val="22"/>
                <w:szCs w:val="22"/>
                <w:highlight w:val="none"/>
                <w:u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071BBA9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②同一扣分问题再次发生的，视情况加扣1-10分。</w:t>
            </w:r>
          </w:p>
        </w:tc>
        <w:tc>
          <w:tcPr>
            <w:tcW w:w="775" w:type="dxa"/>
            <w:tcBorders>
              <w:top w:val="single" w:color="000000" w:sz="4" w:space="0"/>
              <w:left w:val="single" w:color="000000" w:sz="4" w:space="0"/>
              <w:bottom w:val="single" w:color="000000" w:sz="4" w:space="0"/>
              <w:right w:val="single" w:color="auto" w:sz="4" w:space="0"/>
            </w:tcBorders>
            <w:noWrap w:val="0"/>
            <w:vAlign w:val="center"/>
          </w:tcPr>
          <w:p w14:paraId="4200640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1711" w:type="dxa"/>
            <w:tcBorders>
              <w:top w:val="single" w:color="000000" w:sz="4" w:space="0"/>
              <w:left w:val="single" w:color="auto" w:sz="4" w:space="0"/>
              <w:bottom w:val="single" w:color="000000" w:sz="4" w:space="0"/>
              <w:right w:val="single" w:color="000000" w:sz="4" w:space="0"/>
            </w:tcBorders>
            <w:noWrap w:val="0"/>
            <w:vAlign w:val="center"/>
          </w:tcPr>
          <w:p w14:paraId="1E679C3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6D1453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2" w:hRule="atLeast"/>
        </w:trPr>
        <w:tc>
          <w:tcPr>
            <w:tcW w:w="585" w:type="dxa"/>
            <w:vMerge w:val="restart"/>
            <w:tcBorders>
              <w:top w:val="single" w:color="000000" w:sz="4" w:space="0"/>
              <w:left w:val="single" w:color="000000" w:sz="4" w:space="0"/>
              <w:right w:val="single" w:color="000000" w:sz="4" w:space="0"/>
            </w:tcBorders>
            <w:noWrap w:val="0"/>
            <w:vAlign w:val="center"/>
          </w:tcPr>
          <w:p w14:paraId="638FA42F">
            <w:pPr>
              <w:spacing w:line="240" w:lineRule="auto"/>
              <w:jc w:val="center"/>
              <w:rPr>
                <w:rFonts w:ascii="方正公文黑体" w:hAnsi="方正公文黑体" w:eastAsia="方正公文黑体" w:cs="方正公文黑体"/>
                <w:color w:val="auto"/>
                <w:sz w:val="22"/>
                <w:highlight w:val="none"/>
              </w:rPr>
            </w:pPr>
            <w:r>
              <w:rPr>
                <w:rFonts w:hint="eastAsia" w:ascii="方正公文黑体" w:hAnsi="方正公文黑体" w:eastAsia="方正公文黑体" w:cs="方正公文黑体"/>
                <w:color w:val="auto"/>
                <w:sz w:val="22"/>
                <w:highlight w:val="none"/>
              </w:rPr>
              <w:t>7</w:t>
            </w:r>
          </w:p>
        </w:tc>
        <w:tc>
          <w:tcPr>
            <w:tcW w:w="1342" w:type="dxa"/>
            <w:vMerge w:val="restart"/>
            <w:tcBorders>
              <w:top w:val="single" w:color="000000" w:sz="4" w:space="0"/>
              <w:left w:val="single" w:color="000000" w:sz="4" w:space="0"/>
              <w:right w:val="single" w:color="000000" w:sz="4" w:space="0"/>
            </w:tcBorders>
            <w:noWrap w:val="0"/>
            <w:vAlign w:val="center"/>
          </w:tcPr>
          <w:p w14:paraId="6050875A">
            <w:pPr>
              <w:spacing w:line="240" w:lineRule="auto"/>
              <w:jc w:val="center"/>
              <w:rPr>
                <w:rFonts w:ascii="方正公文黑体" w:hAnsi="方正公文黑体" w:eastAsia="方正公文黑体" w:cs="方正公文黑体"/>
                <w:color w:val="auto"/>
                <w:sz w:val="22"/>
                <w:highlight w:val="none"/>
              </w:rPr>
            </w:pPr>
            <w:r>
              <w:rPr>
                <w:rFonts w:hint="eastAsia" w:ascii="方正公文黑体" w:hAnsi="方正公文黑体" w:eastAsia="方正公文黑体" w:cs="方正公文黑体"/>
                <w:color w:val="auto"/>
                <w:sz w:val="22"/>
                <w:highlight w:val="none"/>
              </w:rPr>
              <w:t>加分项</w:t>
            </w: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1CCFA42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①对工程险情进行排查，发现问题并提出针对性意见及解决方案，经甲方采纳后，加2分，相关工作经验在金清灌区事务中心推广的再加2分。</w:t>
            </w:r>
          </w:p>
        </w:tc>
        <w:tc>
          <w:tcPr>
            <w:tcW w:w="775" w:type="dxa"/>
            <w:vMerge w:val="restart"/>
            <w:tcBorders>
              <w:top w:val="single" w:color="000000" w:sz="4" w:space="0"/>
              <w:left w:val="single" w:color="000000" w:sz="4" w:space="0"/>
              <w:right w:val="single" w:color="auto" w:sz="4" w:space="0"/>
            </w:tcBorders>
            <w:noWrap w:val="0"/>
            <w:vAlign w:val="center"/>
          </w:tcPr>
          <w:p w14:paraId="67650AF3">
            <w:pPr>
              <w:keepNext w:val="0"/>
              <w:keepLines w:val="0"/>
              <w:widowControl/>
              <w:suppressLineNumbers w:val="0"/>
              <w:spacing w:line="240" w:lineRule="auto"/>
              <w:jc w:val="center"/>
              <w:textAlignment w:val="center"/>
              <w:rPr>
                <w:rFonts w:hint="eastAsia" w:ascii="宋体" w:hAnsi="宋体" w:eastAsia="宋体" w:cs="宋体"/>
                <w:color w:val="auto"/>
                <w:kern w:val="0"/>
                <w:sz w:val="22"/>
                <w:highlight w:val="none"/>
                <w:lang w:eastAsia="zh"/>
              </w:rPr>
            </w:pPr>
          </w:p>
        </w:tc>
        <w:tc>
          <w:tcPr>
            <w:tcW w:w="1711" w:type="dxa"/>
            <w:vMerge w:val="restart"/>
            <w:tcBorders>
              <w:top w:val="single" w:color="000000" w:sz="4" w:space="0"/>
              <w:left w:val="single" w:color="auto" w:sz="4" w:space="0"/>
              <w:right w:val="single" w:color="000000" w:sz="4" w:space="0"/>
            </w:tcBorders>
            <w:noWrap w:val="0"/>
            <w:vAlign w:val="center"/>
          </w:tcPr>
          <w:p w14:paraId="2F559DBB">
            <w:pPr>
              <w:keepNext w:val="0"/>
              <w:keepLines w:val="0"/>
              <w:widowControl/>
              <w:suppressLineNumbers w:val="0"/>
              <w:spacing w:line="240" w:lineRule="auto"/>
              <w:jc w:val="center"/>
              <w:textAlignment w:val="center"/>
              <w:rPr>
                <w:rFonts w:hint="eastAsia" w:ascii="宋体" w:hAnsi="宋体" w:eastAsia="宋体" w:cs="宋体"/>
                <w:color w:val="auto"/>
                <w:kern w:val="0"/>
                <w:sz w:val="22"/>
                <w:highlight w:val="none"/>
                <w:lang w:eastAsia="zh"/>
              </w:rPr>
            </w:pPr>
          </w:p>
        </w:tc>
      </w:tr>
      <w:tr w14:paraId="63AB38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2" w:hRule="atLeast"/>
        </w:trPr>
        <w:tc>
          <w:tcPr>
            <w:tcW w:w="585" w:type="dxa"/>
            <w:vMerge w:val="continue"/>
            <w:tcBorders>
              <w:left w:val="single" w:color="000000" w:sz="4" w:space="0"/>
              <w:right w:val="single" w:color="000000" w:sz="4" w:space="0"/>
            </w:tcBorders>
            <w:noWrap w:val="0"/>
            <w:vAlign w:val="center"/>
          </w:tcPr>
          <w:p w14:paraId="76C1C7C8">
            <w:pPr>
              <w:spacing w:line="240" w:lineRule="auto"/>
              <w:jc w:val="center"/>
              <w:rPr>
                <w:rFonts w:ascii="方正公文黑体" w:hAnsi="方正公文黑体" w:eastAsia="方正公文黑体" w:cs="方正公文黑体"/>
                <w:color w:val="auto"/>
                <w:sz w:val="22"/>
                <w:highlight w:val="none"/>
              </w:rPr>
            </w:pPr>
          </w:p>
        </w:tc>
        <w:tc>
          <w:tcPr>
            <w:tcW w:w="1342" w:type="dxa"/>
            <w:vMerge w:val="continue"/>
            <w:tcBorders>
              <w:left w:val="single" w:color="000000" w:sz="4" w:space="0"/>
              <w:right w:val="single" w:color="000000" w:sz="4" w:space="0"/>
            </w:tcBorders>
            <w:noWrap w:val="0"/>
            <w:vAlign w:val="center"/>
          </w:tcPr>
          <w:p w14:paraId="0FB5CA57">
            <w:pPr>
              <w:spacing w:line="240" w:lineRule="auto"/>
              <w:jc w:val="center"/>
              <w:rPr>
                <w:rFonts w:ascii="方正公文黑体" w:hAnsi="方正公文黑体" w:eastAsia="方正公文黑体" w:cs="方正公文黑体"/>
                <w:color w:val="auto"/>
                <w:sz w:val="22"/>
                <w:highlight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44BC6A0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②采用科学管理模式，有利于促进水利工程运行管理，成绩突出，被县处级部门通报表扬的，加3分；被市厅级部门通报表扬的，加5分；被省部级部门通报表扬的，加10分。相关工作经验被通报表扬部门推广的，加分翻倍。同一项加分通报表扬加分取最高分。</w:t>
            </w:r>
          </w:p>
        </w:tc>
        <w:tc>
          <w:tcPr>
            <w:tcW w:w="775" w:type="dxa"/>
            <w:vMerge w:val="continue"/>
            <w:tcBorders>
              <w:left w:val="single" w:color="000000" w:sz="4" w:space="0"/>
              <w:right w:val="single" w:color="auto" w:sz="4" w:space="0"/>
            </w:tcBorders>
            <w:noWrap w:val="0"/>
            <w:vAlign w:val="center"/>
          </w:tcPr>
          <w:p w14:paraId="58927988">
            <w:pPr>
              <w:widowControl/>
              <w:spacing w:line="240" w:lineRule="auto"/>
              <w:jc w:val="left"/>
              <w:textAlignment w:val="center"/>
              <w:rPr>
                <w:rFonts w:ascii="宋体" w:hAnsi="宋体" w:cs="宋体"/>
                <w:color w:val="auto"/>
                <w:kern w:val="0"/>
                <w:sz w:val="22"/>
                <w:highlight w:val="none"/>
              </w:rPr>
            </w:pPr>
          </w:p>
        </w:tc>
        <w:tc>
          <w:tcPr>
            <w:tcW w:w="1711" w:type="dxa"/>
            <w:vMerge w:val="continue"/>
            <w:tcBorders>
              <w:left w:val="single" w:color="auto" w:sz="4" w:space="0"/>
              <w:right w:val="single" w:color="000000" w:sz="4" w:space="0"/>
            </w:tcBorders>
            <w:noWrap w:val="0"/>
            <w:vAlign w:val="center"/>
          </w:tcPr>
          <w:p w14:paraId="6E110FA9">
            <w:pPr>
              <w:widowControl/>
              <w:spacing w:line="240" w:lineRule="auto"/>
              <w:jc w:val="left"/>
              <w:textAlignment w:val="center"/>
              <w:rPr>
                <w:rFonts w:ascii="宋体" w:hAnsi="宋体" w:cs="宋体"/>
                <w:color w:val="auto"/>
                <w:kern w:val="0"/>
                <w:sz w:val="22"/>
                <w:highlight w:val="none"/>
              </w:rPr>
            </w:pPr>
          </w:p>
        </w:tc>
      </w:tr>
      <w:tr w14:paraId="0A0307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2" w:hRule="atLeast"/>
        </w:trPr>
        <w:tc>
          <w:tcPr>
            <w:tcW w:w="585" w:type="dxa"/>
            <w:vMerge w:val="continue"/>
            <w:tcBorders>
              <w:left w:val="single" w:color="000000" w:sz="4" w:space="0"/>
              <w:bottom w:val="single" w:color="000000" w:sz="4" w:space="0"/>
              <w:right w:val="single" w:color="000000" w:sz="4" w:space="0"/>
            </w:tcBorders>
            <w:noWrap w:val="0"/>
            <w:vAlign w:val="center"/>
          </w:tcPr>
          <w:p w14:paraId="216A569A">
            <w:pPr>
              <w:spacing w:line="240" w:lineRule="auto"/>
              <w:jc w:val="center"/>
              <w:rPr>
                <w:rFonts w:ascii="方正公文黑体" w:hAnsi="方正公文黑体" w:eastAsia="方正公文黑体" w:cs="方正公文黑体"/>
                <w:color w:val="auto"/>
                <w:sz w:val="22"/>
                <w:highlight w:val="none"/>
              </w:rPr>
            </w:pPr>
          </w:p>
        </w:tc>
        <w:tc>
          <w:tcPr>
            <w:tcW w:w="1342" w:type="dxa"/>
            <w:vMerge w:val="continue"/>
            <w:tcBorders>
              <w:left w:val="single" w:color="000000" w:sz="4" w:space="0"/>
              <w:bottom w:val="single" w:color="000000" w:sz="4" w:space="0"/>
              <w:right w:val="single" w:color="000000" w:sz="4" w:space="0"/>
            </w:tcBorders>
            <w:noWrap w:val="0"/>
            <w:vAlign w:val="center"/>
          </w:tcPr>
          <w:p w14:paraId="77E09CB2">
            <w:pPr>
              <w:spacing w:line="240" w:lineRule="auto"/>
              <w:jc w:val="center"/>
              <w:rPr>
                <w:rFonts w:ascii="方正公文黑体" w:hAnsi="方正公文黑体" w:eastAsia="方正公文黑体" w:cs="方正公文黑体"/>
                <w:color w:val="auto"/>
                <w:sz w:val="22"/>
                <w:highlight w:val="none"/>
              </w:rPr>
            </w:pPr>
          </w:p>
        </w:tc>
        <w:tc>
          <w:tcPr>
            <w:tcW w:w="4969" w:type="dxa"/>
            <w:gridSpan w:val="2"/>
            <w:tcBorders>
              <w:top w:val="single" w:color="000000" w:sz="4" w:space="0"/>
              <w:left w:val="single" w:color="000000" w:sz="4" w:space="0"/>
              <w:bottom w:val="single" w:color="000000" w:sz="4" w:space="0"/>
              <w:right w:val="single" w:color="000000" w:sz="4" w:space="0"/>
            </w:tcBorders>
            <w:noWrap w:val="0"/>
            <w:vAlign w:val="center"/>
          </w:tcPr>
          <w:p w14:paraId="7A3570E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auto"/>
                <w:kern w:val="0"/>
                <w:sz w:val="21"/>
                <w:szCs w:val="21"/>
                <w:highlight w:val="none"/>
                <w:u w:val="none"/>
                <w:lang w:val="en-US" w:eastAsia="zh-CN"/>
              </w:rPr>
            </w:pPr>
            <w:r>
              <w:rPr>
                <w:rFonts w:hint="eastAsia" w:ascii="微软雅黑" w:hAnsi="微软雅黑" w:eastAsia="微软雅黑" w:cs="微软雅黑"/>
                <w:i w:val="0"/>
                <w:iCs w:val="0"/>
                <w:color w:val="auto"/>
                <w:kern w:val="0"/>
                <w:sz w:val="21"/>
                <w:szCs w:val="21"/>
                <w:highlight w:val="none"/>
                <w:u w:val="none"/>
                <w:lang w:val="en-US" w:eastAsia="zh-CN"/>
              </w:rPr>
              <w:t>③项目部人员在本项目履职期间参加各级水利职业技能竞赛获奖：获得台州市级水利技术能手的每人次加1分；获得台州市级技术能手或浙江省级水利技术能手的每人次加2分；获得浙江省级技术能手或国家水利技能大奖每人次加3分；获得国家级技术手术的每人次加5分。</w:t>
            </w:r>
          </w:p>
        </w:tc>
        <w:tc>
          <w:tcPr>
            <w:tcW w:w="775" w:type="dxa"/>
            <w:vMerge w:val="continue"/>
            <w:tcBorders>
              <w:left w:val="single" w:color="000000" w:sz="4" w:space="0"/>
              <w:bottom w:val="single" w:color="000000" w:sz="4" w:space="0"/>
              <w:right w:val="single" w:color="auto" w:sz="4" w:space="0"/>
            </w:tcBorders>
            <w:noWrap w:val="0"/>
            <w:vAlign w:val="center"/>
          </w:tcPr>
          <w:p w14:paraId="6F658794">
            <w:pPr>
              <w:widowControl/>
              <w:spacing w:line="240" w:lineRule="auto"/>
              <w:jc w:val="left"/>
              <w:textAlignment w:val="center"/>
              <w:rPr>
                <w:rFonts w:ascii="宋体" w:hAnsi="宋体" w:cs="宋体"/>
                <w:color w:val="auto"/>
                <w:kern w:val="0"/>
                <w:sz w:val="22"/>
                <w:highlight w:val="none"/>
              </w:rPr>
            </w:pPr>
          </w:p>
        </w:tc>
        <w:tc>
          <w:tcPr>
            <w:tcW w:w="1711" w:type="dxa"/>
            <w:vMerge w:val="continue"/>
            <w:tcBorders>
              <w:left w:val="single" w:color="auto" w:sz="4" w:space="0"/>
              <w:bottom w:val="single" w:color="000000" w:sz="4" w:space="0"/>
              <w:right w:val="single" w:color="000000" w:sz="4" w:space="0"/>
            </w:tcBorders>
            <w:noWrap w:val="0"/>
            <w:vAlign w:val="center"/>
          </w:tcPr>
          <w:p w14:paraId="13A63139">
            <w:pPr>
              <w:widowControl/>
              <w:spacing w:line="240" w:lineRule="auto"/>
              <w:jc w:val="left"/>
              <w:textAlignment w:val="center"/>
              <w:rPr>
                <w:rFonts w:ascii="宋体" w:hAnsi="宋体" w:cs="宋体"/>
                <w:color w:val="auto"/>
                <w:kern w:val="0"/>
                <w:sz w:val="22"/>
                <w:highlight w:val="none"/>
              </w:rPr>
            </w:pPr>
          </w:p>
        </w:tc>
      </w:tr>
      <w:tr w14:paraId="4080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171" w:type="dxa"/>
            <w:gridSpan w:val="3"/>
            <w:tcBorders>
              <w:top w:val="single" w:color="auto" w:sz="4" w:space="0"/>
              <w:left w:val="single" w:color="000000" w:sz="4" w:space="0"/>
              <w:bottom w:val="single" w:color="auto" w:sz="4" w:space="0"/>
              <w:right w:val="single" w:color="auto" w:sz="4" w:space="0"/>
            </w:tcBorders>
            <w:noWrap w:val="0"/>
            <w:vAlign w:val="center"/>
          </w:tcPr>
          <w:p w14:paraId="188102E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方正公文黑体" w:hAnsi="方正公文黑体" w:eastAsia="方正公文黑体" w:cs="方正公文黑体"/>
                <w:i w:val="0"/>
                <w:iCs w:val="0"/>
                <w:color w:val="auto"/>
                <w:sz w:val="22"/>
                <w:szCs w:val="22"/>
                <w:highlight w:val="none"/>
                <w:u w:val="none"/>
                <w:lang w:val="en-US" w:eastAsia="zh-CN"/>
              </w:rPr>
              <w:t>考核得分</w:t>
            </w:r>
          </w:p>
        </w:tc>
        <w:tc>
          <w:tcPr>
            <w:tcW w:w="5211" w:type="dxa"/>
            <w:gridSpan w:val="3"/>
            <w:tcBorders>
              <w:top w:val="single" w:color="auto" w:sz="4" w:space="0"/>
              <w:left w:val="single" w:color="auto" w:sz="4" w:space="0"/>
              <w:bottom w:val="single" w:color="auto" w:sz="4" w:space="0"/>
              <w:right w:val="single" w:color="auto" w:sz="4" w:space="0"/>
            </w:tcBorders>
            <w:noWrap w:val="0"/>
            <w:vAlign w:val="center"/>
          </w:tcPr>
          <w:p w14:paraId="6F2140FA">
            <w:pPr>
              <w:keepNext w:val="0"/>
              <w:keepLines w:val="0"/>
              <w:widowControl/>
              <w:suppressLineNumbers w:val="0"/>
              <w:spacing w:line="240" w:lineRule="auto"/>
              <w:jc w:val="center"/>
              <w:textAlignment w:val="center"/>
              <w:rPr>
                <w:rFonts w:hint="default" w:ascii="方正公文黑体" w:hAnsi="方正公文黑体" w:eastAsia="方正公文黑体" w:cs="方正公文黑体"/>
                <w:i w:val="0"/>
                <w:iCs w:val="0"/>
                <w:color w:val="auto"/>
                <w:sz w:val="22"/>
                <w:szCs w:val="22"/>
                <w:highlight w:val="none"/>
                <w:u w:val="none"/>
                <w:lang w:val="en-US" w:eastAsia="zh-CN"/>
              </w:rPr>
            </w:pPr>
          </w:p>
        </w:tc>
      </w:tr>
      <w:tr w14:paraId="3CE9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382" w:type="dxa"/>
            <w:gridSpan w:val="6"/>
            <w:tcBorders>
              <w:top w:val="single" w:color="auto" w:sz="4" w:space="0"/>
              <w:left w:val="single" w:color="000000" w:sz="4" w:space="0"/>
              <w:bottom w:val="single" w:color="auto" w:sz="4" w:space="0"/>
              <w:right w:val="single" w:color="auto" w:sz="4" w:space="0"/>
            </w:tcBorders>
            <w:noWrap w:val="0"/>
            <w:vAlign w:val="center"/>
          </w:tcPr>
          <w:p w14:paraId="278B7ED3">
            <w:pPr>
              <w:keepNext w:val="0"/>
              <w:keepLines w:val="0"/>
              <w:widowControl/>
              <w:suppressLineNumbers w:val="0"/>
              <w:spacing w:line="240" w:lineRule="auto"/>
              <w:ind w:left="210" w:hanging="210" w:hangingChars="100"/>
              <w:jc w:val="both"/>
              <w:textAlignment w:val="center"/>
              <w:rPr>
                <w:rFonts w:hint="eastAsia"/>
                <w:lang w:val="en-US" w:eastAsia="zh-CN"/>
              </w:rPr>
            </w:pPr>
            <w:r>
              <w:rPr>
                <w:rFonts w:hint="eastAsia"/>
                <w:lang w:val="en-US" w:eastAsia="zh-CN"/>
              </w:rPr>
              <w:br w:type="textWrapping"/>
            </w:r>
            <w:r>
              <w:rPr>
                <w:rFonts w:hint="eastAsia"/>
                <w:lang w:val="en-US" w:eastAsia="zh-CN"/>
              </w:rPr>
              <w:t>考核人员：</w:t>
            </w:r>
          </w:p>
          <w:p w14:paraId="3A495E21">
            <w:pPr>
              <w:pStyle w:val="2"/>
              <w:spacing w:line="240" w:lineRule="auto"/>
              <w:ind w:left="7647" w:leftChars="3432" w:hanging="440" w:hangingChars="200"/>
              <w:rPr>
                <w:rFonts w:hint="default"/>
                <w:lang w:val="en-US" w:eastAsia="zh-CN"/>
              </w:rPr>
            </w:pPr>
            <w:r>
              <w:rPr>
                <w:rFonts w:hint="eastAsia" w:ascii="方正公文黑体" w:hAnsi="方正公文黑体" w:eastAsia="方正公文黑体" w:cs="方正公文黑体"/>
                <w:i w:val="0"/>
                <w:iCs w:val="0"/>
                <w:color w:val="auto"/>
                <w:sz w:val="22"/>
                <w:szCs w:val="22"/>
                <w:highlight w:val="none"/>
                <w:u w:val="none"/>
                <w:lang w:val="en-US" w:eastAsia="zh-CN"/>
              </w:rPr>
              <w:br w:type="textWrapping"/>
            </w:r>
            <w:r>
              <w:rPr>
                <w:rFonts w:hint="eastAsia" w:ascii="方正公文黑体" w:hAnsi="方正公文黑体" w:eastAsia="方正公文黑体" w:cs="方正公文黑体"/>
                <w:i w:val="0"/>
                <w:iCs w:val="0"/>
                <w:color w:val="auto"/>
                <w:sz w:val="22"/>
                <w:szCs w:val="22"/>
                <w:highlight w:val="none"/>
                <w:u w:val="none"/>
                <w:lang w:val="en-US" w:eastAsia="zh-CN"/>
              </w:rPr>
              <w:t>年  月  日</w:t>
            </w:r>
          </w:p>
        </w:tc>
      </w:tr>
      <w:tr w14:paraId="2E13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382" w:type="dxa"/>
            <w:gridSpan w:val="6"/>
            <w:tcBorders>
              <w:top w:val="single" w:color="auto" w:sz="4" w:space="0"/>
              <w:left w:val="single" w:color="000000" w:sz="4" w:space="0"/>
              <w:bottom w:val="single" w:color="auto" w:sz="4" w:space="0"/>
              <w:right w:val="single" w:color="auto" w:sz="4" w:space="0"/>
            </w:tcBorders>
            <w:noWrap w:val="0"/>
            <w:vAlign w:val="center"/>
          </w:tcPr>
          <w:p w14:paraId="426B70F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20" w:firstLineChars="200"/>
              <w:jc w:val="left"/>
              <w:textAlignment w:val="top"/>
              <w:rPr>
                <w:rFonts w:hint="default"/>
                <w:i w:val="0"/>
                <w:iCs w:val="0"/>
                <w:color w:val="auto"/>
                <w:highlight w:val="none"/>
                <w:lang w:val="en-US" w:eastAsia="zh-CN"/>
              </w:rPr>
            </w:pPr>
            <w:r>
              <w:rPr>
                <w:rFonts w:hint="default"/>
                <w:i w:val="0"/>
                <w:iCs w:val="0"/>
                <w:color w:val="auto"/>
                <w:highlight w:val="none"/>
                <w:lang w:val="en-US" w:eastAsia="zh-CN"/>
              </w:rPr>
              <w:t>说明：</w:t>
            </w:r>
          </w:p>
          <w:p w14:paraId="041A4A6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20" w:firstLineChars="200"/>
              <w:jc w:val="left"/>
              <w:textAlignment w:val="top"/>
              <w:rPr>
                <w:rFonts w:hint="default"/>
                <w:i w:val="0"/>
                <w:iCs w:val="0"/>
                <w:color w:val="auto"/>
                <w:highlight w:val="none"/>
                <w:lang w:val="en-US" w:eastAsia="zh-CN"/>
              </w:rPr>
            </w:pPr>
            <w:r>
              <w:rPr>
                <w:rFonts w:hint="default"/>
                <w:i w:val="0"/>
                <w:iCs w:val="0"/>
                <w:color w:val="auto"/>
                <w:highlight w:val="none"/>
                <w:lang w:val="en-US" w:eastAsia="zh-CN"/>
              </w:rPr>
              <w:t>1.本考核采用扣分制，考核总分为100分。</w:t>
            </w:r>
          </w:p>
          <w:p w14:paraId="221B068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20" w:firstLineChars="200"/>
              <w:jc w:val="left"/>
              <w:textAlignment w:val="top"/>
              <w:rPr>
                <w:rFonts w:hint="default"/>
                <w:i w:val="0"/>
                <w:iCs w:val="0"/>
                <w:color w:val="auto"/>
                <w:highlight w:val="none"/>
                <w:lang w:val="en-US" w:eastAsia="zh-CN"/>
              </w:rPr>
            </w:pPr>
            <w:r>
              <w:rPr>
                <w:rFonts w:hint="default"/>
                <w:i w:val="0"/>
                <w:iCs w:val="0"/>
                <w:color w:val="auto"/>
                <w:highlight w:val="none"/>
                <w:lang w:val="en-US" w:eastAsia="zh-CN"/>
              </w:rPr>
              <w:t>2.同时触及多个扣分项的，按实际触及的所有扣分项扣分。</w:t>
            </w:r>
          </w:p>
          <w:p w14:paraId="28CDEE4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20" w:firstLineChars="200"/>
              <w:jc w:val="left"/>
              <w:textAlignment w:val="top"/>
              <w:rPr>
                <w:rFonts w:hint="default"/>
                <w:highlight w:val="none"/>
                <w:lang w:val="en-US" w:eastAsia="zh-CN"/>
              </w:rPr>
            </w:pPr>
            <w:r>
              <w:rPr>
                <w:rFonts w:hint="default"/>
                <w:i w:val="0"/>
                <w:iCs w:val="0"/>
                <w:color w:val="auto"/>
                <w:highlight w:val="none"/>
                <w:lang w:val="en-US" w:eastAsia="zh-CN"/>
              </w:rPr>
              <w:t>月度考核低于80分不得使用加分项加分；每次月度考核加分不得超过5分；当年未使用的加分，可在续签合同中月度考核使用。</w:t>
            </w:r>
          </w:p>
        </w:tc>
      </w:tr>
    </w:tbl>
    <w:p w14:paraId="0CDEDE6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bCs/>
          <w:i w:val="0"/>
          <w:iCs w:val="0"/>
          <w:color w:val="auto"/>
          <w:kern w:val="2"/>
          <w:sz w:val="24"/>
          <w:szCs w:val="24"/>
          <w:highlight w:val="none"/>
          <w:lang w:val="en-US" w:eastAsia="zh-CN"/>
        </w:rPr>
      </w:pPr>
      <w:r>
        <w:rPr>
          <w:rFonts w:hint="eastAsia" w:ascii="宋体" w:hAnsi="宋体" w:eastAsia="宋体" w:cs="宋体"/>
          <w:bCs/>
          <w:i w:val="0"/>
          <w:iCs w:val="0"/>
          <w:color w:val="auto"/>
          <w:kern w:val="2"/>
          <w:sz w:val="24"/>
          <w:szCs w:val="24"/>
          <w:highlight w:val="none"/>
          <w:lang w:val="en-US" w:eastAsia="zh-CN"/>
        </w:rPr>
        <w:t>6.3考核结果的应用</w:t>
      </w:r>
    </w:p>
    <w:p w14:paraId="77DA05DF">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bCs/>
          <w:i w:val="0"/>
          <w:iCs w:val="0"/>
          <w:color w:val="auto"/>
          <w:kern w:val="2"/>
          <w:sz w:val="24"/>
          <w:szCs w:val="24"/>
          <w:highlight w:val="none"/>
          <w:lang w:val="en-US" w:eastAsia="zh-CN"/>
        </w:rPr>
      </w:pPr>
      <w:r>
        <w:rPr>
          <w:rFonts w:hint="eastAsia" w:ascii="宋体" w:hAnsi="宋体" w:eastAsia="宋体" w:cs="宋体"/>
          <w:bCs/>
          <w:i w:val="0"/>
          <w:iCs w:val="0"/>
          <w:color w:val="auto"/>
          <w:kern w:val="2"/>
          <w:sz w:val="24"/>
          <w:szCs w:val="24"/>
          <w:highlight w:val="none"/>
          <w:lang w:val="en-US" w:eastAsia="zh-CN"/>
        </w:rPr>
        <w:t>（1）考核结果与月服务费挂钩办法：月考核结果90分（含）以上的，全额支付月服务费；90~85分（含）的，支付月服务费的95%；85~80分（含）的，支付月服务费的90%；80分以下的，不予支付该月月服务费，同时对甲方提出的整改意见进行整改。乙方拒绝整改或整改后仍存在问题的，甲方有权单方解除合同。</w:t>
      </w:r>
    </w:p>
    <w:p w14:paraId="2F25ED1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eastAsia="宋体" w:cs="宋体"/>
          <w:bCs/>
          <w:i w:val="0"/>
          <w:iCs w:val="0"/>
          <w:color w:val="auto"/>
          <w:kern w:val="2"/>
          <w:sz w:val="24"/>
          <w:szCs w:val="24"/>
          <w:highlight w:val="none"/>
          <w:lang w:val="en-US" w:eastAsia="zh-CN"/>
        </w:rPr>
      </w:pPr>
      <w:r>
        <w:rPr>
          <w:rFonts w:hint="eastAsia" w:ascii="宋体" w:hAnsi="宋体" w:eastAsia="宋体" w:cs="宋体"/>
          <w:bCs/>
          <w:i w:val="0"/>
          <w:iCs w:val="0"/>
          <w:color w:val="auto"/>
          <w:kern w:val="2"/>
          <w:sz w:val="24"/>
          <w:szCs w:val="24"/>
          <w:highlight w:val="none"/>
          <w:lang w:val="en-US" w:eastAsia="zh-CN"/>
        </w:rPr>
        <w:t>（2）月度考核结果与合同续签挂钩办法：月考核结果平均分90分以上且月考核结果均80分（含）以上的，可以续签下一年合同，续签最多不超过两次。</w:t>
      </w:r>
    </w:p>
    <w:p w14:paraId="5B21473B">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bCs/>
          <w:i w:val="0"/>
          <w:iCs w:val="0"/>
          <w:color w:val="auto"/>
          <w:kern w:val="2"/>
          <w:sz w:val="24"/>
          <w:szCs w:val="24"/>
          <w:highlight w:val="none"/>
          <w:lang w:val="en-US" w:eastAsia="zh-CN"/>
        </w:rPr>
      </w:pPr>
    </w:p>
    <w:p w14:paraId="027AE9AE">
      <w:pPr>
        <w:rPr>
          <w:rStyle w:val="27"/>
          <w:rFonts w:ascii="宋体" w:hAnsi="宋体" w:cs="宋体"/>
          <w:b/>
          <w:bCs/>
          <w:color w:val="auto"/>
          <w:sz w:val="36"/>
          <w:szCs w:val="44"/>
          <w:highlight w:val="none"/>
        </w:rPr>
      </w:pPr>
      <w:r>
        <w:rPr>
          <w:rStyle w:val="27"/>
          <w:rFonts w:ascii="宋体" w:hAnsi="宋体" w:cs="宋体"/>
          <w:b/>
          <w:bCs/>
          <w:color w:val="auto"/>
          <w:sz w:val="36"/>
          <w:szCs w:val="44"/>
          <w:highlight w:val="none"/>
        </w:rPr>
        <w:br w:type="page"/>
      </w:r>
    </w:p>
    <w:p w14:paraId="0D231E14">
      <w:pPr>
        <w:spacing w:line="360" w:lineRule="auto"/>
        <w:jc w:val="center"/>
        <w:rPr>
          <w:rStyle w:val="27"/>
          <w:rFonts w:ascii="宋体" w:hAnsi="宋体" w:cs="宋体"/>
          <w:b/>
          <w:bCs/>
          <w:color w:val="auto"/>
          <w:sz w:val="36"/>
          <w:szCs w:val="44"/>
          <w:highlight w:val="none"/>
        </w:rPr>
      </w:pPr>
      <w:r>
        <w:rPr>
          <w:rStyle w:val="27"/>
          <w:rFonts w:ascii="宋体" w:hAnsi="宋体" w:cs="宋体"/>
          <w:b/>
          <w:bCs/>
          <w:color w:val="auto"/>
          <w:sz w:val="36"/>
          <w:szCs w:val="44"/>
          <w:highlight w:val="none"/>
        </w:rPr>
        <w:t>第六章 投标文件格式附件</w:t>
      </w:r>
    </w:p>
    <w:p w14:paraId="7B76C17D">
      <w:pPr>
        <w:rPr>
          <w:rFonts w:ascii="宋体" w:hAnsi="宋体"/>
          <w:b/>
          <w:color w:val="auto"/>
          <w:kern w:val="0"/>
          <w:sz w:val="28"/>
          <w:szCs w:val="28"/>
          <w:highlight w:val="none"/>
        </w:rPr>
      </w:pPr>
      <w:r>
        <w:rPr>
          <w:rFonts w:hint="eastAsia" w:ascii="宋体" w:hAnsi="宋体"/>
          <w:b/>
          <w:color w:val="auto"/>
          <w:kern w:val="0"/>
          <w:sz w:val="28"/>
          <w:szCs w:val="28"/>
          <w:highlight w:val="none"/>
        </w:rPr>
        <w:t>附件1</w:t>
      </w:r>
      <w:r>
        <w:rPr>
          <w:rFonts w:hint="eastAsia" w:ascii="宋体" w:hAnsi="宋体"/>
          <w:color w:val="auto"/>
          <w:sz w:val="30"/>
          <w:szCs w:val="30"/>
          <w:highlight w:val="none"/>
        </w:rPr>
        <w:t xml:space="preserve"> 　　　</w:t>
      </w:r>
    </w:p>
    <w:p w14:paraId="560E4AF8">
      <w:pPr>
        <w:spacing w:line="360" w:lineRule="auto"/>
        <w:rPr>
          <w:rFonts w:asciiTheme="minorEastAsia" w:hAnsiTheme="minorEastAsia" w:eastAsiaTheme="minorEastAsia"/>
          <w:b/>
          <w:color w:val="auto"/>
          <w:sz w:val="30"/>
          <w:szCs w:val="30"/>
          <w:highlight w:val="none"/>
        </w:rPr>
      </w:pPr>
    </w:p>
    <w:p w14:paraId="651EE275">
      <w:pPr>
        <w:spacing w:line="360" w:lineRule="auto"/>
        <w:ind w:right="-110"/>
        <w:jc w:val="center"/>
        <w:rPr>
          <w:rFonts w:ascii="宋体" w:hAnsi="宋体"/>
          <w:color w:val="auto"/>
          <w:spacing w:val="40"/>
          <w:sz w:val="52"/>
          <w:szCs w:val="52"/>
          <w:highlight w:val="none"/>
        </w:rPr>
      </w:pPr>
      <w:r>
        <w:rPr>
          <w:rFonts w:hint="eastAsia" w:ascii="宋体" w:hAnsi="宋体"/>
          <w:color w:val="auto"/>
          <w:spacing w:val="40"/>
          <w:sz w:val="52"/>
          <w:szCs w:val="52"/>
          <w:highlight w:val="none"/>
        </w:rPr>
        <w:t>项目名称</w:t>
      </w:r>
    </w:p>
    <w:p w14:paraId="7473B031">
      <w:pPr>
        <w:spacing w:beforeLines="100" w:line="360" w:lineRule="auto"/>
        <w:ind w:right="-108"/>
        <w:jc w:val="center"/>
        <w:rPr>
          <w:rFonts w:ascii="宋体" w:hAnsi="宋体"/>
          <w:color w:val="auto"/>
          <w:sz w:val="36"/>
          <w:szCs w:val="36"/>
          <w:highlight w:val="none"/>
        </w:rPr>
      </w:pPr>
      <w:r>
        <w:rPr>
          <w:rFonts w:hint="eastAsia" w:ascii="宋体" w:hAnsi="宋体"/>
          <w:color w:val="auto"/>
          <w:sz w:val="36"/>
          <w:szCs w:val="36"/>
          <w:highlight w:val="none"/>
        </w:rPr>
        <w:t>项目编号：</w:t>
      </w:r>
    </w:p>
    <w:p w14:paraId="3667862B">
      <w:pPr>
        <w:autoSpaceDE w:val="0"/>
        <w:autoSpaceDN w:val="0"/>
        <w:adjustRightInd w:val="0"/>
        <w:spacing w:line="360" w:lineRule="auto"/>
        <w:jc w:val="center"/>
        <w:rPr>
          <w:rFonts w:ascii="宋体" w:hAnsi="宋体" w:cs="宋体"/>
          <w:color w:val="auto"/>
          <w:sz w:val="84"/>
          <w:szCs w:val="84"/>
          <w:highlight w:val="none"/>
          <w:lang w:val="zh-CN"/>
        </w:rPr>
      </w:pPr>
    </w:p>
    <w:p w14:paraId="67CF6842">
      <w:pPr>
        <w:autoSpaceDE w:val="0"/>
        <w:autoSpaceDN w:val="0"/>
        <w:adjustRightInd w:val="0"/>
        <w:spacing w:line="360" w:lineRule="auto"/>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投</w:t>
      </w:r>
    </w:p>
    <w:p w14:paraId="0AEDF1DD">
      <w:pPr>
        <w:autoSpaceDE w:val="0"/>
        <w:autoSpaceDN w:val="0"/>
        <w:adjustRightInd w:val="0"/>
        <w:spacing w:line="360" w:lineRule="auto"/>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标</w:t>
      </w:r>
    </w:p>
    <w:p w14:paraId="4DA6F8A6">
      <w:pPr>
        <w:autoSpaceDE w:val="0"/>
        <w:autoSpaceDN w:val="0"/>
        <w:adjustRightInd w:val="0"/>
        <w:spacing w:line="360" w:lineRule="auto"/>
        <w:jc w:val="center"/>
        <w:rPr>
          <w:rFonts w:ascii="宋体" w:hAnsi="宋体"/>
          <w:color w:val="auto"/>
          <w:sz w:val="84"/>
          <w:szCs w:val="84"/>
          <w:highlight w:val="none"/>
        </w:rPr>
      </w:pPr>
      <w:r>
        <w:rPr>
          <w:rFonts w:hint="eastAsia" w:ascii="宋体" w:hAnsi="宋体" w:cs="宋体"/>
          <w:color w:val="auto"/>
          <w:sz w:val="84"/>
          <w:szCs w:val="84"/>
          <w:highlight w:val="none"/>
          <w:lang w:val="zh-CN"/>
        </w:rPr>
        <w:t>文</w:t>
      </w:r>
    </w:p>
    <w:p w14:paraId="17411BE8">
      <w:pPr>
        <w:spacing w:after="100" w:afterAutospacing="1" w:line="360" w:lineRule="auto"/>
        <w:ind w:right="-108"/>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件</w:t>
      </w:r>
    </w:p>
    <w:p w14:paraId="1A50AF28">
      <w:pPr>
        <w:spacing w:after="100" w:afterAutospacing="1" w:line="360" w:lineRule="auto"/>
        <w:ind w:right="-108"/>
        <w:jc w:val="center"/>
        <w:rPr>
          <w:rFonts w:ascii="宋体" w:hAnsi="宋体"/>
          <w:b/>
          <w:color w:val="auto"/>
          <w:spacing w:val="40"/>
          <w:sz w:val="28"/>
          <w:szCs w:val="28"/>
          <w:highlight w:val="none"/>
        </w:rPr>
      </w:pPr>
      <w:r>
        <w:rPr>
          <w:rFonts w:hint="eastAsia" w:ascii="宋体" w:hAnsi="宋体" w:cs="宋体"/>
          <w:color w:val="auto"/>
          <w:sz w:val="28"/>
          <w:szCs w:val="28"/>
          <w:highlight w:val="none"/>
          <w:lang w:val="zh-CN"/>
        </w:rPr>
        <w:t>（</w:t>
      </w:r>
      <w:r>
        <w:rPr>
          <w:rFonts w:hint="eastAsia" w:ascii="宋体" w:hAnsi="宋体"/>
          <w:b/>
          <w:color w:val="auto"/>
          <w:spacing w:val="40"/>
          <w:sz w:val="28"/>
          <w:szCs w:val="28"/>
          <w:highlight w:val="none"/>
        </w:rPr>
        <w:t>资格证明文件）</w:t>
      </w:r>
    </w:p>
    <w:p w14:paraId="10E77A6D">
      <w:pPr>
        <w:spacing w:line="360" w:lineRule="auto"/>
        <w:ind w:right="532" w:firstLine="720" w:firstLineChars="200"/>
        <w:rPr>
          <w:rFonts w:ascii="宋体" w:hAnsi="宋体"/>
          <w:color w:val="auto"/>
          <w:sz w:val="36"/>
          <w:szCs w:val="36"/>
          <w:highlight w:val="none"/>
        </w:rPr>
      </w:pPr>
      <w:r>
        <w:rPr>
          <w:rFonts w:hint="eastAsia" w:ascii="宋体" w:hAnsi="宋体"/>
          <w:color w:val="auto"/>
          <w:sz w:val="36"/>
          <w:szCs w:val="36"/>
          <w:highlight w:val="none"/>
        </w:rPr>
        <w:t>投标人全称（公章）：</w:t>
      </w:r>
    </w:p>
    <w:p w14:paraId="643E7082">
      <w:pPr>
        <w:spacing w:line="360" w:lineRule="auto"/>
        <w:ind w:right="532" w:firstLine="720" w:firstLineChars="200"/>
        <w:rPr>
          <w:rFonts w:ascii="宋体" w:hAnsi="宋体"/>
          <w:color w:val="auto"/>
          <w:sz w:val="36"/>
          <w:szCs w:val="36"/>
          <w:highlight w:val="none"/>
        </w:rPr>
      </w:pPr>
      <w:r>
        <w:rPr>
          <w:rFonts w:hint="eastAsia" w:ascii="宋体" w:hAnsi="宋体"/>
          <w:color w:val="auto"/>
          <w:sz w:val="36"/>
          <w:szCs w:val="36"/>
          <w:highlight w:val="none"/>
        </w:rPr>
        <w:t>地    址：</w:t>
      </w:r>
    </w:p>
    <w:p w14:paraId="08A6D45E">
      <w:pPr>
        <w:spacing w:line="360" w:lineRule="auto"/>
        <w:ind w:right="532" w:firstLine="720" w:firstLineChars="200"/>
        <w:rPr>
          <w:rFonts w:ascii="宋体" w:hAnsi="宋体"/>
          <w:color w:val="auto"/>
          <w:sz w:val="36"/>
          <w:szCs w:val="36"/>
          <w:highlight w:val="none"/>
        </w:rPr>
      </w:pPr>
      <w:r>
        <w:rPr>
          <w:rFonts w:hint="eastAsia" w:ascii="宋体" w:hAnsi="宋体"/>
          <w:color w:val="auto"/>
          <w:sz w:val="36"/>
          <w:szCs w:val="36"/>
          <w:highlight w:val="none"/>
        </w:rPr>
        <w:t>时    间：</w:t>
      </w:r>
    </w:p>
    <w:p w14:paraId="53BF9CFF">
      <w:pPr>
        <w:snapToGrid w:val="0"/>
        <w:spacing w:before="50" w:after="50" w:line="360" w:lineRule="auto"/>
        <w:rPr>
          <w:rFonts w:ascii="仿宋_GB2312" w:hAnsi="宋体" w:eastAsia="仿宋_GB2312"/>
          <w:b/>
          <w:color w:val="auto"/>
          <w:sz w:val="36"/>
          <w:szCs w:val="36"/>
          <w:highlight w:val="none"/>
        </w:rPr>
      </w:pPr>
    </w:p>
    <w:p w14:paraId="46BEF43F">
      <w:pPr>
        <w:snapToGrid w:val="0"/>
        <w:spacing w:before="50" w:after="50" w:line="360" w:lineRule="auto"/>
        <w:jc w:val="center"/>
        <w:rPr>
          <w:rFonts w:ascii="仿宋_GB2312" w:hAnsi="宋体" w:eastAsia="仿宋_GB2312"/>
          <w:b/>
          <w:bCs/>
          <w:color w:val="auto"/>
          <w:sz w:val="36"/>
          <w:szCs w:val="36"/>
          <w:highlight w:val="none"/>
        </w:rPr>
      </w:pPr>
      <w:r>
        <w:rPr>
          <w:rFonts w:hint="eastAsia" w:ascii="宋体" w:hAnsi="宋体"/>
          <w:b/>
          <w:bCs/>
          <w:color w:val="auto"/>
          <w:sz w:val="36"/>
          <w:szCs w:val="36"/>
          <w:highlight w:val="none"/>
        </w:rPr>
        <w:t>资格证明文件目录</w:t>
      </w:r>
    </w:p>
    <w:p w14:paraId="63F064DF">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（1）投标声明书（附件2）；</w:t>
      </w:r>
    </w:p>
    <w:p w14:paraId="7A4B90D8">
      <w:pPr>
        <w:spacing w:line="360" w:lineRule="auto"/>
        <w:rPr>
          <w:rFonts w:ascii="宋体" w:hAnsi="宋体" w:cs="宋体"/>
          <w:color w:val="auto"/>
          <w:sz w:val="24"/>
          <w:highlight w:val="none"/>
        </w:rPr>
      </w:pPr>
      <w:r>
        <w:rPr>
          <w:rFonts w:hint="eastAsia" w:ascii="宋体" w:hAnsi="宋体" w:cs="宋体"/>
          <w:color w:val="auto"/>
          <w:sz w:val="24"/>
          <w:highlight w:val="none"/>
        </w:rPr>
        <w:t>（2）授权委托书（法定代表人亲自办理投标事宜的，则无需提交）（附件3）；</w:t>
      </w:r>
    </w:p>
    <w:p w14:paraId="548FAB1F">
      <w:pPr>
        <w:spacing w:line="360" w:lineRule="auto"/>
        <w:rPr>
          <w:rFonts w:ascii="宋体" w:hAnsi="宋体" w:cs="宋体"/>
          <w:color w:val="auto"/>
          <w:sz w:val="24"/>
          <w:highlight w:val="none"/>
        </w:rPr>
      </w:pPr>
      <w:r>
        <w:rPr>
          <w:rFonts w:hint="eastAsia" w:ascii="宋体" w:hAnsi="宋体" w:cs="宋体"/>
          <w:color w:val="auto"/>
          <w:sz w:val="24"/>
          <w:highlight w:val="none"/>
        </w:rPr>
        <w:t>（3）法人或者其他组织的营业执照等证明文件，自然人的身份证明（附件4）；</w:t>
      </w:r>
    </w:p>
    <w:p w14:paraId="1F73EA41">
      <w:pPr>
        <w:spacing w:line="360" w:lineRule="auto"/>
        <w:rPr>
          <w:rFonts w:ascii="宋体" w:hAnsi="宋体" w:cs="宋体"/>
          <w:color w:val="auto"/>
          <w:sz w:val="24"/>
          <w:highlight w:val="none"/>
        </w:rPr>
      </w:pPr>
      <w:r>
        <w:rPr>
          <w:rFonts w:hint="eastAsia" w:ascii="宋体" w:hAnsi="宋体" w:cs="宋体"/>
          <w:color w:val="auto"/>
          <w:sz w:val="24"/>
          <w:highlight w:val="none"/>
        </w:rPr>
        <w:t>（4）具有良好的商业信誉和健全的财务会计制度的承诺（附件5）；</w:t>
      </w:r>
    </w:p>
    <w:p w14:paraId="1882637C">
      <w:pPr>
        <w:spacing w:line="360" w:lineRule="auto"/>
        <w:rPr>
          <w:rFonts w:ascii="宋体" w:hAnsi="宋体" w:cs="宋体"/>
          <w:color w:val="auto"/>
          <w:sz w:val="24"/>
          <w:highlight w:val="none"/>
        </w:rPr>
      </w:pPr>
      <w:r>
        <w:rPr>
          <w:rFonts w:hint="eastAsia" w:ascii="宋体" w:hAnsi="宋体" w:cs="宋体"/>
          <w:color w:val="auto"/>
          <w:sz w:val="24"/>
          <w:highlight w:val="none"/>
        </w:rPr>
        <w:t>（5）依法缴纳税收和社会保障资金的承诺（附件6）；</w:t>
      </w:r>
    </w:p>
    <w:p w14:paraId="7396007B">
      <w:pPr>
        <w:spacing w:line="360" w:lineRule="auto"/>
        <w:rPr>
          <w:rFonts w:ascii="宋体" w:hAnsi="宋体" w:cs="宋体"/>
          <w:color w:val="auto"/>
          <w:sz w:val="24"/>
          <w:highlight w:val="none"/>
        </w:rPr>
      </w:pPr>
      <w:r>
        <w:rPr>
          <w:rFonts w:hint="eastAsia" w:ascii="宋体" w:hAnsi="宋体" w:cs="宋体"/>
          <w:color w:val="auto"/>
          <w:sz w:val="24"/>
          <w:highlight w:val="none"/>
        </w:rPr>
        <w:t>（6）参加政府采购活动前三年内，在经营活动中没有重大违法记录（附件7）；</w:t>
      </w:r>
    </w:p>
    <w:p w14:paraId="5DBD7600">
      <w:pPr>
        <w:spacing w:line="360" w:lineRule="auto"/>
        <w:rPr>
          <w:rFonts w:ascii="宋体" w:hAnsi="宋体" w:cs="宋体"/>
          <w:color w:val="auto"/>
          <w:sz w:val="24"/>
          <w:highlight w:val="none"/>
        </w:rPr>
      </w:pPr>
      <w:r>
        <w:rPr>
          <w:rFonts w:hint="eastAsia" w:ascii="宋体" w:hAnsi="宋体" w:cs="宋体"/>
          <w:color w:val="auto"/>
          <w:sz w:val="24"/>
          <w:highlight w:val="none"/>
        </w:rPr>
        <w:t>（7）提供采购公告中符合供应商特定条件的相关证明材料或需要说明的其他资料；</w:t>
      </w:r>
    </w:p>
    <w:p w14:paraId="17543EA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（8）落实政府采购政策需满足的资格要求所对应的证明材料。</w:t>
      </w:r>
    </w:p>
    <w:p w14:paraId="1E1F1217">
      <w:pPr>
        <w:spacing w:line="360" w:lineRule="auto"/>
        <w:rPr>
          <w:rFonts w:ascii="宋体" w:hAnsi="宋体"/>
          <w:b/>
          <w:color w:val="auto"/>
          <w:sz w:val="28"/>
          <w:highlight w:val="none"/>
        </w:rPr>
      </w:pPr>
    </w:p>
    <w:p w14:paraId="24B2C516">
      <w:pPr>
        <w:spacing w:line="360" w:lineRule="auto"/>
        <w:ind w:left="420"/>
        <w:rPr>
          <w:rFonts w:ascii="宋体" w:hAnsi="宋体"/>
          <w:b/>
          <w:color w:val="auto"/>
          <w:sz w:val="28"/>
          <w:highlight w:val="none"/>
        </w:rPr>
      </w:pPr>
    </w:p>
    <w:p w14:paraId="0C4A66C9">
      <w:pPr>
        <w:spacing w:line="360" w:lineRule="auto"/>
        <w:ind w:left="420"/>
        <w:rPr>
          <w:rFonts w:ascii="宋体" w:hAnsi="宋体"/>
          <w:b/>
          <w:color w:val="auto"/>
          <w:sz w:val="28"/>
          <w:highlight w:val="none"/>
        </w:rPr>
      </w:pPr>
    </w:p>
    <w:p w14:paraId="76500F01">
      <w:pPr>
        <w:spacing w:line="360" w:lineRule="auto"/>
        <w:ind w:left="420"/>
        <w:rPr>
          <w:rFonts w:ascii="宋体" w:hAnsi="宋体"/>
          <w:b/>
          <w:color w:val="auto"/>
          <w:sz w:val="28"/>
          <w:highlight w:val="none"/>
        </w:rPr>
      </w:pPr>
    </w:p>
    <w:p w14:paraId="247AB2B8">
      <w:pPr>
        <w:spacing w:line="360" w:lineRule="auto"/>
        <w:ind w:left="420"/>
        <w:rPr>
          <w:rFonts w:ascii="宋体" w:hAnsi="宋体"/>
          <w:b/>
          <w:color w:val="auto"/>
          <w:sz w:val="28"/>
          <w:highlight w:val="none"/>
        </w:rPr>
      </w:pPr>
    </w:p>
    <w:p w14:paraId="3D2EDAA1">
      <w:pPr>
        <w:spacing w:line="360" w:lineRule="auto"/>
        <w:ind w:left="420"/>
        <w:rPr>
          <w:rFonts w:ascii="宋体" w:hAnsi="宋体"/>
          <w:b/>
          <w:color w:val="auto"/>
          <w:sz w:val="28"/>
          <w:highlight w:val="none"/>
        </w:rPr>
      </w:pPr>
    </w:p>
    <w:p w14:paraId="0E2BE47A">
      <w:pPr>
        <w:spacing w:line="360" w:lineRule="auto"/>
        <w:ind w:left="420"/>
        <w:rPr>
          <w:rFonts w:ascii="宋体" w:hAnsi="宋体"/>
          <w:b/>
          <w:color w:val="auto"/>
          <w:sz w:val="28"/>
          <w:highlight w:val="none"/>
        </w:rPr>
      </w:pPr>
    </w:p>
    <w:p w14:paraId="38B4357E">
      <w:pPr>
        <w:spacing w:line="360" w:lineRule="auto"/>
        <w:ind w:left="420"/>
        <w:rPr>
          <w:rFonts w:ascii="宋体" w:hAnsi="宋体"/>
          <w:b/>
          <w:color w:val="auto"/>
          <w:sz w:val="28"/>
          <w:highlight w:val="none"/>
        </w:rPr>
      </w:pPr>
    </w:p>
    <w:p w14:paraId="36FC4B79">
      <w:pPr>
        <w:spacing w:line="360" w:lineRule="auto"/>
        <w:ind w:left="420"/>
        <w:rPr>
          <w:rFonts w:ascii="宋体" w:hAnsi="宋体"/>
          <w:b/>
          <w:color w:val="auto"/>
          <w:sz w:val="28"/>
          <w:highlight w:val="none"/>
        </w:rPr>
      </w:pPr>
    </w:p>
    <w:p w14:paraId="08167FBF">
      <w:pPr>
        <w:spacing w:line="360" w:lineRule="auto"/>
        <w:ind w:left="420"/>
        <w:rPr>
          <w:rFonts w:ascii="宋体" w:hAnsi="宋体"/>
          <w:b/>
          <w:color w:val="auto"/>
          <w:sz w:val="28"/>
          <w:highlight w:val="none"/>
        </w:rPr>
      </w:pPr>
    </w:p>
    <w:p w14:paraId="2FAF7336">
      <w:pPr>
        <w:spacing w:line="360" w:lineRule="auto"/>
        <w:ind w:left="420"/>
        <w:rPr>
          <w:rFonts w:ascii="宋体" w:hAnsi="宋体"/>
          <w:b/>
          <w:color w:val="auto"/>
          <w:sz w:val="28"/>
          <w:highlight w:val="none"/>
        </w:rPr>
      </w:pPr>
    </w:p>
    <w:p w14:paraId="7F96561F">
      <w:pPr>
        <w:spacing w:line="360" w:lineRule="auto"/>
        <w:ind w:left="420"/>
        <w:rPr>
          <w:rFonts w:ascii="宋体" w:hAnsi="宋体"/>
          <w:b/>
          <w:color w:val="auto"/>
          <w:sz w:val="28"/>
          <w:highlight w:val="none"/>
        </w:rPr>
      </w:pPr>
    </w:p>
    <w:p w14:paraId="3549383E">
      <w:pPr>
        <w:spacing w:line="360" w:lineRule="auto"/>
        <w:rPr>
          <w:rFonts w:ascii="宋体" w:hAnsi="宋体"/>
          <w:b/>
          <w:color w:val="auto"/>
          <w:sz w:val="28"/>
          <w:highlight w:val="none"/>
        </w:rPr>
      </w:pPr>
    </w:p>
    <w:p w14:paraId="02CEBE98">
      <w:pPr>
        <w:rPr>
          <w:rFonts w:ascii="宋体" w:hAnsi="宋体"/>
          <w:b/>
          <w:color w:val="auto"/>
          <w:sz w:val="28"/>
          <w:highlight w:val="none"/>
        </w:rPr>
      </w:pPr>
      <w:r>
        <w:rPr>
          <w:rFonts w:hint="eastAsia" w:ascii="宋体" w:hAnsi="宋体"/>
          <w:b/>
          <w:color w:val="auto"/>
          <w:sz w:val="28"/>
          <w:highlight w:val="none"/>
        </w:rPr>
        <w:br w:type="page"/>
      </w:r>
    </w:p>
    <w:p w14:paraId="73081292">
      <w:pPr>
        <w:spacing w:line="360" w:lineRule="auto"/>
        <w:rPr>
          <w:rFonts w:ascii="宋体" w:hAnsi="宋体"/>
          <w:b/>
          <w:color w:val="auto"/>
          <w:sz w:val="28"/>
          <w:highlight w:val="none"/>
        </w:rPr>
      </w:pPr>
      <w:r>
        <w:rPr>
          <w:rFonts w:hint="eastAsia" w:ascii="宋体" w:hAnsi="宋体"/>
          <w:b/>
          <w:color w:val="auto"/>
          <w:sz w:val="28"/>
          <w:highlight w:val="none"/>
        </w:rPr>
        <w:t>附件2</w:t>
      </w:r>
    </w:p>
    <w:p w14:paraId="3BFD8CE3">
      <w:pPr>
        <w:adjustRightInd w:val="0"/>
        <w:snapToGrid w:val="0"/>
        <w:spacing w:line="360" w:lineRule="auto"/>
        <w:ind w:right="480"/>
        <w:jc w:val="center"/>
        <w:rPr>
          <w:rFonts w:ascii="宋体" w:hAnsi="宋体"/>
          <w:b/>
          <w:color w:val="auto"/>
          <w:kern w:val="0"/>
          <w:sz w:val="32"/>
          <w:szCs w:val="32"/>
          <w:highlight w:val="none"/>
          <w:lang w:val="zh-CN"/>
        </w:rPr>
      </w:pPr>
      <w:r>
        <w:rPr>
          <w:rFonts w:hint="eastAsia" w:ascii="宋体" w:hAnsi="宋体"/>
          <w:b/>
          <w:color w:val="auto"/>
          <w:kern w:val="0"/>
          <w:sz w:val="32"/>
          <w:szCs w:val="32"/>
          <w:highlight w:val="none"/>
          <w:lang w:val="zh-CN"/>
        </w:rPr>
        <w:t>投标声明书</w:t>
      </w:r>
    </w:p>
    <w:p w14:paraId="629578E6">
      <w:pPr>
        <w:snapToGrid w:val="0"/>
        <w:spacing w:beforeLines="50" w:after="50"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（采购代理机构名称）：</w:t>
      </w:r>
    </w:p>
    <w:p w14:paraId="250D6560">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系中华人民共和国合法企业，经营地址。</w:t>
      </w:r>
    </w:p>
    <w:p w14:paraId="2ED182C6">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 w:val="24"/>
          <w:highlight w:val="none"/>
          <w:u w:val="single"/>
        </w:rPr>
        <w:t xml:space="preserve"> 姓名 </w:t>
      </w: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 xml:space="preserve"> 投标人名称 </w:t>
      </w:r>
      <w:r>
        <w:rPr>
          <w:rFonts w:hint="eastAsia" w:ascii="宋体" w:hAnsi="宋体" w:cs="宋体"/>
          <w:color w:val="auto"/>
          <w:kern w:val="0"/>
          <w:sz w:val="24"/>
          <w:highlight w:val="none"/>
        </w:rPr>
        <w:t>）的法定代表人，我公司自愿参加贵方组织的（</w:t>
      </w:r>
      <w:r>
        <w:rPr>
          <w:rFonts w:hint="eastAsia" w:ascii="宋体" w:hAnsi="宋体" w:cs="宋体"/>
          <w:color w:val="auto"/>
          <w:kern w:val="0"/>
          <w:sz w:val="24"/>
          <w:highlight w:val="none"/>
          <w:u w:val="single"/>
        </w:rPr>
        <w:t>招标项目名称</w:t>
      </w:r>
      <w:r>
        <w:rPr>
          <w:rFonts w:hint="eastAsia" w:ascii="宋体" w:hAnsi="宋体" w:cs="宋体"/>
          <w:color w:val="auto"/>
          <w:kern w:val="0"/>
          <w:sz w:val="24"/>
          <w:highlight w:val="none"/>
        </w:rPr>
        <w:t>）（编号为）的投标，为此，我公司就本次投标有关事项郑重声明如下：</w:t>
      </w:r>
    </w:p>
    <w:p w14:paraId="2E7BC1E7">
      <w:pPr>
        <w:snapToGrid w:val="0"/>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1、</w:t>
      </w:r>
      <w:r>
        <w:rPr>
          <w:rFonts w:hint="eastAsia" w:ascii="Arial" w:hAnsi="Arial" w:cs="Arial"/>
          <w:color w:val="auto"/>
          <w:sz w:val="24"/>
          <w:highlight w:val="none"/>
        </w:rPr>
        <w:t>我公司声明截止投标时间近三年以来：在政府采购领域中的项目招标、投标和合同履约期间无任何不良行为记录；无重大违法记录（重大违法记录是指供应商因违法经营受到刑事处罚或者责令停产停业、吊销许可证或者执照、较大数额罚款等行政处罚）。</w:t>
      </w:r>
    </w:p>
    <w:p w14:paraId="76D43CFF">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2、我公司</w:t>
      </w:r>
      <w:r>
        <w:rPr>
          <w:rFonts w:ascii="宋体" w:hAnsi="宋体" w:cs="宋体"/>
          <w:color w:val="auto"/>
          <w:kern w:val="0"/>
          <w:sz w:val="24"/>
          <w:highlight w:val="none"/>
        </w:rPr>
        <w:t>在参与投标前已</w:t>
      </w:r>
      <w:r>
        <w:rPr>
          <w:rFonts w:hint="eastAsia" w:ascii="宋体" w:hAnsi="宋体" w:cs="宋体"/>
          <w:color w:val="auto"/>
          <w:kern w:val="0"/>
          <w:sz w:val="24"/>
          <w:highlight w:val="none"/>
        </w:rPr>
        <w:t>详细审查</w:t>
      </w:r>
      <w:r>
        <w:rPr>
          <w:rFonts w:ascii="宋体" w:hAnsi="宋体" w:cs="宋体"/>
          <w:color w:val="auto"/>
          <w:kern w:val="0"/>
          <w:sz w:val="24"/>
          <w:highlight w:val="none"/>
        </w:rPr>
        <w:t>了招标文件和所有相关资料，我方完全明白并认为此招标文件没有倾向性，也没有存在排斥潜在投标人的内容，我方同意招标文件的相关条款，放弃对招标文件提出误解和质疑的一切权</w:t>
      </w:r>
      <w:r>
        <w:rPr>
          <w:rFonts w:hint="eastAsia" w:ascii="宋体" w:hAnsi="宋体" w:cs="宋体"/>
          <w:color w:val="auto"/>
          <w:kern w:val="0"/>
          <w:sz w:val="24"/>
          <w:highlight w:val="none"/>
        </w:rPr>
        <w:t>利。</w:t>
      </w:r>
    </w:p>
    <w:p w14:paraId="5D24F6B1">
      <w:pPr>
        <w:numPr>
          <w:ilvl w:val="255"/>
          <w:numId w:val="0"/>
        </w:num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w:t>
      </w:r>
      <w:r>
        <w:rPr>
          <w:rFonts w:hint="eastAsia" w:ascii="宋体" w:hAnsi="宋体" w:cs="仿宋_GB2312"/>
          <w:color w:val="auto"/>
          <w:kern w:val="0"/>
          <w:sz w:val="24"/>
          <w:highlight w:val="none"/>
          <w:lang w:val="zh-CN"/>
        </w:rPr>
        <w:t>公司</w:t>
      </w:r>
      <w:r>
        <w:rPr>
          <w:rFonts w:hint="eastAsia" w:ascii="宋体" w:hAnsi="宋体"/>
          <w:color w:val="auto"/>
          <w:sz w:val="24"/>
          <w:highlight w:val="none"/>
        </w:rPr>
        <w:t>不是采购人的附属机构；在获知本项目采购信息后，与采购人聘请的为此项目提供咨询服务的公司及其附属机构没有任何联系。</w:t>
      </w:r>
    </w:p>
    <w:p w14:paraId="11BADF47">
      <w:pPr>
        <w:snapToGrid w:val="0"/>
        <w:spacing w:line="360" w:lineRule="auto"/>
        <w:ind w:firstLine="480" w:firstLineChars="200"/>
        <w:rPr>
          <w:rFonts w:ascii="宋体" w:hAnsi="宋体"/>
          <w:color w:val="auto"/>
          <w:kern w:val="0"/>
          <w:sz w:val="24"/>
          <w:highlight w:val="none"/>
          <w:lang w:val="af-ZA"/>
        </w:rPr>
      </w:pPr>
      <w:r>
        <w:rPr>
          <w:rFonts w:hint="eastAsia" w:ascii="宋体" w:hAnsi="宋体"/>
          <w:color w:val="auto"/>
          <w:sz w:val="24"/>
          <w:highlight w:val="none"/>
        </w:rPr>
        <w:t>4、</w:t>
      </w:r>
      <w:r>
        <w:rPr>
          <w:rFonts w:hint="eastAsia" w:ascii="宋体" w:hAnsi="宋体" w:cs="宋体"/>
          <w:color w:val="auto"/>
          <w:kern w:val="0"/>
          <w:sz w:val="24"/>
          <w:highlight w:val="none"/>
        </w:rPr>
        <w:t>我</w:t>
      </w:r>
      <w:r>
        <w:rPr>
          <w:rFonts w:hint="eastAsia" w:ascii="宋体" w:hAnsi="宋体" w:cs="仿宋_GB2312"/>
          <w:color w:val="auto"/>
          <w:kern w:val="0"/>
          <w:sz w:val="24"/>
          <w:highlight w:val="none"/>
          <w:lang w:val="zh-CN"/>
        </w:rPr>
        <w:t>公司</w:t>
      </w:r>
      <w:r>
        <w:rPr>
          <w:rFonts w:hint="eastAsia" w:ascii="宋体" w:hAnsi="宋体" w:cs="宋体"/>
          <w:color w:val="auto"/>
          <w:kern w:val="0"/>
          <w:sz w:val="24"/>
          <w:highlight w:val="none"/>
        </w:rPr>
        <w:t>保证，</w:t>
      </w:r>
      <w:r>
        <w:rPr>
          <w:rFonts w:hint="eastAsia" w:ascii="宋体" w:hAnsi="宋体"/>
          <w:color w:val="auto"/>
          <w:kern w:val="0"/>
          <w:sz w:val="24"/>
          <w:highlight w:val="none"/>
          <w:lang w:val="af-ZA"/>
        </w:rPr>
        <w:t>采购人在中华人民共和国境内使用</w:t>
      </w:r>
      <w:r>
        <w:rPr>
          <w:rFonts w:hint="eastAsia" w:ascii="宋体" w:hAnsi="宋体" w:cs="宋体"/>
          <w:color w:val="auto"/>
          <w:kern w:val="0"/>
          <w:sz w:val="24"/>
          <w:highlight w:val="none"/>
        </w:rPr>
        <w:t>我</w:t>
      </w:r>
      <w:r>
        <w:rPr>
          <w:rFonts w:hint="eastAsia" w:ascii="宋体" w:hAnsi="宋体" w:cs="仿宋_GB2312"/>
          <w:color w:val="auto"/>
          <w:kern w:val="0"/>
          <w:sz w:val="24"/>
          <w:highlight w:val="none"/>
          <w:lang w:val="zh-CN"/>
        </w:rPr>
        <w:t>公司</w:t>
      </w:r>
      <w:r>
        <w:rPr>
          <w:rFonts w:hint="eastAsia" w:ascii="宋体" w:hAnsi="宋体"/>
          <w:color w:val="auto"/>
          <w:kern w:val="0"/>
          <w:sz w:val="24"/>
          <w:highlight w:val="none"/>
          <w:lang w:val="af-ZA"/>
        </w:rPr>
        <w:t>投标货物、资料、技术、服务或其任何一部分时，享有不受限制的无偿使用权，如有第三方向采购人提出侵犯其专利权、商标权或其它知识产权的主张，该责任由</w:t>
      </w:r>
      <w:r>
        <w:rPr>
          <w:rFonts w:hint="eastAsia" w:ascii="宋体" w:hAnsi="宋体" w:cs="宋体"/>
          <w:color w:val="auto"/>
          <w:kern w:val="0"/>
          <w:sz w:val="24"/>
          <w:highlight w:val="none"/>
          <w:lang w:val="af-ZA"/>
        </w:rPr>
        <w:t>我方</w:t>
      </w:r>
      <w:r>
        <w:rPr>
          <w:rFonts w:hint="eastAsia" w:ascii="宋体" w:hAnsi="宋体"/>
          <w:color w:val="auto"/>
          <w:kern w:val="0"/>
          <w:sz w:val="24"/>
          <w:highlight w:val="none"/>
          <w:lang w:val="af-ZA"/>
        </w:rPr>
        <w:t>承担。</w:t>
      </w:r>
      <w:r>
        <w:rPr>
          <w:rFonts w:hint="eastAsia" w:ascii="宋体" w:hAnsi="宋体" w:cs="宋体"/>
          <w:color w:val="auto"/>
          <w:kern w:val="0"/>
          <w:sz w:val="24"/>
          <w:highlight w:val="none"/>
          <w:lang w:val="af-ZA"/>
        </w:rPr>
        <w:t>我方的</w:t>
      </w:r>
      <w:r>
        <w:rPr>
          <w:rFonts w:hint="eastAsia" w:ascii="宋体" w:hAnsi="宋体"/>
          <w:color w:val="auto"/>
          <w:kern w:val="0"/>
          <w:sz w:val="24"/>
          <w:highlight w:val="none"/>
          <w:lang w:val="af-ZA"/>
        </w:rPr>
        <w:t>投标报价</w:t>
      </w:r>
      <w:r>
        <w:rPr>
          <w:rFonts w:hint="eastAsia" w:ascii="宋体" w:hAnsi="宋体" w:cs="宋体"/>
          <w:color w:val="auto"/>
          <w:kern w:val="0"/>
          <w:sz w:val="24"/>
          <w:highlight w:val="none"/>
          <w:lang w:val="af-ZA"/>
        </w:rPr>
        <w:t>已</w:t>
      </w:r>
      <w:r>
        <w:rPr>
          <w:rFonts w:hint="eastAsia" w:ascii="宋体" w:hAnsi="宋体"/>
          <w:color w:val="auto"/>
          <w:kern w:val="0"/>
          <w:sz w:val="24"/>
          <w:highlight w:val="none"/>
          <w:lang w:val="af-ZA"/>
        </w:rPr>
        <w:t>包含所有应向所有权人支付的专利权、商标权或其它知识产权的一切相关费用。</w:t>
      </w:r>
    </w:p>
    <w:p w14:paraId="7F3DC1B0">
      <w:pPr>
        <w:snapToGrid w:val="0"/>
        <w:spacing w:line="360" w:lineRule="auto"/>
        <w:ind w:firstLine="480" w:firstLineChars="200"/>
        <w:rPr>
          <w:rFonts w:ascii="仿宋_GB2312" w:hAnsi="仿宋_GB2312" w:eastAsia="仿宋_GB2312" w:cs="仿宋_GB2312"/>
          <w:color w:val="auto"/>
          <w:sz w:val="24"/>
          <w:highlight w:val="none"/>
        </w:rPr>
      </w:pPr>
      <w:r>
        <w:rPr>
          <w:rFonts w:hint="eastAsia" w:ascii="宋体" w:hAnsi="宋体" w:cs="宋体"/>
          <w:color w:val="auto"/>
          <w:kern w:val="0"/>
          <w:sz w:val="24"/>
          <w:highlight w:val="none"/>
          <w:lang w:val="af-ZA"/>
        </w:rPr>
        <w:t>5、我</w:t>
      </w:r>
      <w:r>
        <w:rPr>
          <w:rFonts w:hint="eastAsia" w:ascii="宋体" w:hAnsi="宋体" w:cs="宋体"/>
          <w:color w:val="auto"/>
          <w:kern w:val="0"/>
          <w:sz w:val="24"/>
          <w:highlight w:val="none"/>
          <w:lang w:val="zh-CN"/>
        </w:rPr>
        <w:t>公司</w:t>
      </w:r>
      <w:r>
        <w:rPr>
          <w:rFonts w:hint="eastAsia" w:ascii="宋体" w:hAnsi="宋体" w:cs="宋体"/>
          <w:color w:val="auto"/>
          <w:kern w:val="0"/>
          <w:sz w:val="24"/>
          <w:highlight w:val="none"/>
          <w:lang w:val="af-ZA"/>
        </w:rPr>
        <w:t>严格履行政府采购合同，不降低合同约定的产品质量和服务，不擅自变更、中止、终止合同，或拒绝履行合同义务；</w:t>
      </w:r>
    </w:p>
    <w:p w14:paraId="39D33B25">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6、以上事项如有虚假或隐瞒，我</w:t>
      </w:r>
      <w:r>
        <w:rPr>
          <w:rFonts w:hint="eastAsia" w:ascii="宋体" w:hAnsi="宋体" w:cs="仿宋_GB2312"/>
          <w:color w:val="auto"/>
          <w:kern w:val="0"/>
          <w:sz w:val="24"/>
          <w:highlight w:val="none"/>
          <w:lang w:val="zh-CN"/>
        </w:rPr>
        <w:t>公司</w:t>
      </w:r>
      <w:r>
        <w:rPr>
          <w:rFonts w:hint="eastAsia" w:ascii="宋体" w:hAnsi="宋体"/>
          <w:color w:val="auto"/>
          <w:sz w:val="24"/>
          <w:highlight w:val="none"/>
        </w:rPr>
        <w:t>愿意承担一切后果，并不再寻求任何旨在减轻或免除法律责任的辩解。</w:t>
      </w:r>
    </w:p>
    <w:p w14:paraId="460A88C4">
      <w:pPr>
        <w:adjustRightInd w:val="0"/>
        <w:snapToGrid w:val="0"/>
        <w:spacing w:line="360" w:lineRule="auto"/>
        <w:ind w:firstLine="480"/>
        <w:rPr>
          <w:rFonts w:ascii="宋体" w:hAnsi="宋体" w:cs="仿宋_GB2312"/>
          <w:color w:val="auto"/>
          <w:kern w:val="0"/>
          <w:sz w:val="24"/>
          <w:highlight w:val="none"/>
        </w:rPr>
      </w:pPr>
    </w:p>
    <w:p w14:paraId="361974CF">
      <w:pPr>
        <w:adjustRightInd w:val="0"/>
        <w:snapToGrid w:val="0"/>
        <w:spacing w:line="360" w:lineRule="auto"/>
        <w:ind w:firstLine="4680" w:firstLineChars="1950"/>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投标人名称(公章)：</w:t>
      </w:r>
    </w:p>
    <w:p w14:paraId="2CBB962A">
      <w:pPr>
        <w:adjustRightInd w:val="0"/>
        <w:snapToGrid w:val="0"/>
        <w:spacing w:line="360" w:lineRule="auto"/>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法定代表人或授权委托人(签字或</w:t>
      </w:r>
      <w:r>
        <w:rPr>
          <w:rFonts w:hint="eastAsia" w:ascii="宋体" w:hAnsi="宋体" w:cs="仿宋_GB2312"/>
          <w:color w:val="auto"/>
          <w:kern w:val="0"/>
          <w:sz w:val="24"/>
          <w:highlight w:val="none"/>
          <w:lang w:val="en-US" w:eastAsia="zh-CN"/>
        </w:rPr>
        <w:t>盖章</w:t>
      </w:r>
      <w:r>
        <w:rPr>
          <w:rFonts w:hint="eastAsia" w:ascii="宋体" w:hAnsi="宋体" w:cs="仿宋_GB2312"/>
          <w:color w:val="auto"/>
          <w:kern w:val="0"/>
          <w:sz w:val="24"/>
          <w:highlight w:val="none"/>
          <w:lang w:val="zh-CN"/>
        </w:rPr>
        <w:t>)：</w:t>
      </w:r>
    </w:p>
    <w:p w14:paraId="33F79746">
      <w:pPr>
        <w:adjustRightInd w:val="0"/>
        <w:snapToGrid w:val="0"/>
        <w:spacing w:line="360" w:lineRule="auto"/>
        <w:ind w:right="480"/>
        <w:jc w:val="center"/>
        <w:rPr>
          <w:rFonts w:ascii="宋体" w:hAnsi="宋体" w:cs="仿宋_GB2312"/>
          <w:color w:val="auto"/>
          <w:kern w:val="0"/>
          <w:sz w:val="24"/>
          <w:highlight w:val="none"/>
          <w:lang w:val="zh-CN"/>
        </w:rPr>
      </w:pPr>
      <w:r>
        <w:rPr>
          <w:rFonts w:hint="eastAsia" w:ascii="宋体" w:hAnsi="宋体" w:cs="仿宋_GB2312"/>
          <w:color w:val="auto"/>
          <w:kern w:val="0"/>
          <w:sz w:val="24"/>
          <w:highlight w:val="none"/>
          <w:lang w:val="zh-CN"/>
        </w:rPr>
        <w:t xml:space="preserve">                                       日期：年  月  日</w:t>
      </w:r>
    </w:p>
    <w:p w14:paraId="258837D4">
      <w:pPr>
        <w:spacing w:line="360" w:lineRule="auto"/>
        <w:rPr>
          <w:rFonts w:ascii="宋体" w:hAnsi="宋体"/>
          <w:b/>
          <w:color w:val="auto"/>
          <w:sz w:val="28"/>
          <w:highlight w:val="none"/>
        </w:rPr>
      </w:pPr>
      <w:r>
        <w:rPr>
          <w:rFonts w:hint="eastAsia" w:ascii="宋体" w:hAnsi="宋体"/>
          <w:b/>
          <w:color w:val="auto"/>
          <w:sz w:val="28"/>
          <w:highlight w:val="none"/>
        </w:rPr>
        <w:t>附件3</w:t>
      </w:r>
    </w:p>
    <w:p w14:paraId="53445F1D">
      <w:pPr>
        <w:spacing w:line="360" w:lineRule="auto"/>
        <w:ind w:firstLine="321" w:firstLineChars="100"/>
        <w:jc w:val="center"/>
        <w:rPr>
          <w:rFonts w:hAnsi="宋体"/>
          <w:b/>
          <w:color w:val="auto"/>
          <w:sz w:val="32"/>
          <w:szCs w:val="32"/>
          <w:highlight w:val="none"/>
          <w:u w:val="single"/>
        </w:rPr>
      </w:pPr>
      <w:r>
        <w:rPr>
          <w:b/>
          <w:color w:val="auto"/>
          <w:sz w:val="32"/>
          <w:szCs w:val="32"/>
          <w:highlight w:val="none"/>
        </w:rPr>
        <w:t>授权</w:t>
      </w:r>
      <w:r>
        <w:rPr>
          <w:rFonts w:hint="eastAsia"/>
          <w:b/>
          <w:color w:val="auto"/>
          <w:sz w:val="32"/>
          <w:szCs w:val="32"/>
          <w:highlight w:val="none"/>
        </w:rPr>
        <w:t>委托</w:t>
      </w:r>
      <w:r>
        <w:rPr>
          <w:b/>
          <w:color w:val="auto"/>
          <w:sz w:val="32"/>
          <w:szCs w:val="32"/>
          <w:highlight w:val="none"/>
        </w:rPr>
        <w:t>书</w:t>
      </w:r>
    </w:p>
    <w:p w14:paraId="773ABBE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（采购代理机构名称）：</w:t>
      </w:r>
    </w:p>
    <w:p w14:paraId="0BF40F98">
      <w:pPr>
        <w:pStyle w:val="11"/>
        <w:spacing w:line="500" w:lineRule="exact"/>
        <w:ind w:firstLine="480" w:firstLineChars="200"/>
        <w:rPr>
          <w:rFonts w:hAnsi="宋体"/>
          <w:color w:val="auto"/>
          <w:sz w:val="24"/>
          <w:highlight w:val="none"/>
        </w:rPr>
      </w:pPr>
      <w:r>
        <w:rPr>
          <w:rFonts w:hAnsi="宋体"/>
          <w:color w:val="auto"/>
          <w:sz w:val="24"/>
          <w:highlight w:val="none"/>
          <w:u w:val="single"/>
        </w:rPr>
        <w:t xml:space="preserve">  （投标人全称）  </w:t>
      </w:r>
      <w:r>
        <w:rPr>
          <w:rFonts w:hAnsi="宋体"/>
          <w:color w:val="auto"/>
          <w:sz w:val="24"/>
          <w:highlight w:val="none"/>
        </w:rPr>
        <w:t>法定代表人</w:t>
      </w:r>
      <w:r>
        <w:rPr>
          <w:rFonts w:hAnsi="宋体"/>
          <w:color w:val="auto"/>
          <w:sz w:val="24"/>
          <w:highlight w:val="none"/>
          <w:u w:val="single"/>
        </w:rPr>
        <w:tab/>
      </w:r>
      <w:r>
        <w:rPr>
          <w:rFonts w:hAnsi="宋体"/>
          <w:color w:val="auto"/>
          <w:sz w:val="24"/>
          <w:highlight w:val="none"/>
          <w:u w:val="single"/>
        </w:rPr>
        <w:t>（法定代表</w:t>
      </w:r>
      <w:r>
        <w:rPr>
          <w:rFonts w:hint="eastAsia" w:hAnsi="宋体"/>
          <w:color w:val="auto"/>
          <w:sz w:val="24"/>
          <w:highlight w:val="none"/>
          <w:u w:val="single"/>
        </w:rPr>
        <w:t>人</w:t>
      </w:r>
      <w:r>
        <w:rPr>
          <w:rFonts w:hAnsi="宋体"/>
          <w:color w:val="auto"/>
          <w:sz w:val="24"/>
          <w:highlight w:val="none"/>
          <w:u w:val="single"/>
        </w:rPr>
        <w:t xml:space="preserve">姓名） </w:t>
      </w:r>
      <w:r>
        <w:rPr>
          <w:rFonts w:hAnsi="宋体"/>
          <w:color w:val="auto"/>
          <w:sz w:val="24"/>
          <w:highlight w:val="none"/>
        </w:rPr>
        <w:t>授权</w:t>
      </w:r>
      <w:r>
        <w:rPr>
          <w:rFonts w:hint="eastAsia" w:hAnsi="宋体"/>
          <w:color w:val="auto"/>
          <w:sz w:val="24"/>
          <w:highlight w:val="none"/>
          <w:u w:val="single"/>
        </w:rPr>
        <w:t xml:space="preserve">   （授权代理人</w:t>
      </w:r>
      <w:r>
        <w:rPr>
          <w:rFonts w:hAnsi="宋体"/>
          <w:color w:val="auto"/>
          <w:sz w:val="24"/>
          <w:highlight w:val="none"/>
          <w:u w:val="single"/>
        </w:rPr>
        <w:t>姓名</w:t>
      </w:r>
      <w:r>
        <w:rPr>
          <w:rFonts w:hint="eastAsia" w:hAnsi="宋体"/>
          <w:color w:val="auto"/>
          <w:sz w:val="24"/>
          <w:highlight w:val="none"/>
          <w:u w:val="single"/>
        </w:rPr>
        <w:t xml:space="preserve">） </w:t>
      </w:r>
      <w:r>
        <w:rPr>
          <w:rFonts w:hAnsi="宋体"/>
          <w:color w:val="auto"/>
          <w:sz w:val="24"/>
          <w:highlight w:val="none"/>
        </w:rPr>
        <w:t>为</w:t>
      </w:r>
      <w:r>
        <w:rPr>
          <w:rFonts w:hint="eastAsia" w:hAnsi="宋体"/>
          <w:color w:val="auto"/>
          <w:sz w:val="24"/>
          <w:highlight w:val="none"/>
        </w:rPr>
        <w:t>授权代理人</w:t>
      </w:r>
      <w:r>
        <w:rPr>
          <w:rFonts w:hAnsi="宋体"/>
          <w:color w:val="auto"/>
          <w:sz w:val="24"/>
          <w:highlight w:val="none"/>
        </w:rPr>
        <w:t>，参加贵单位组织的</w:t>
      </w:r>
      <w:r>
        <w:rPr>
          <w:rFonts w:hAnsi="宋体"/>
          <w:color w:val="auto"/>
          <w:sz w:val="24"/>
          <w:highlight w:val="none"/>
          <w:u w:val="single"/>
        </w:rPr>
        <w:tab/>
      </w:r>
      <w:r>
        <w:rPr>
          <w:rFonts w:hAnsi="宋体"/>
          <w:color w:val="auto"/>
          <w:sz w:val="24"/>
          <w:highlight w:val="none"/>
        </w:rPr>
        <w:t>项目的采购活动，并代表我方全权办理针对上述项目的投标、开标、评标、签约等具体事务和签署相关文件。</w:t>
      </w:r>
      <w:r>
        <w:rPr>
          <w:rFonts w:hint="eastAsia" w:hAnsi="宋体"/>
          <w:color w:val="auto"/>
          <w:sz w:val="24"/>
          <w:highlight w:val="none"/>
        </w:rPr>
        <w:t>我方对授权代理人的签字事项负全部责任。</w:t>
      </w:r>
    </w:p>
    <w:p w14:paraId="38BA8045">
      <w:pPr>
        <w:pStyle w:val="11"/>
        <w:spacing w:line="500" w:lineRule="exact"/>
        <w:ind w:left="139" w:leftChars="66" w:firstLine="480" w:firstLineChars="200"/>
        <w:rPr>
          <w:rFonts w:hAnsi="宋体"/>
          <w:color w:val="auto"/>
          <w:sz w:val="24"/>
          <w:highlight w:val="none"/>
        </w:rPr>
      </w:pPr>
      <w:r>
        <w:rPr>
          <w:rFonts w:hint="eastAsia" w:hAnsi="宋体"/>
          <w:color w:val="auto"/>
          <w:sz w:val="24"/>
          <w:highlight w:val="none"/>
        </w:rPr>
        <w:t>在撤销授权的书面通知以前，本授权书一直有效。授权代理人在授权委托书有效期内签署的所有文件不因授权的撤销而失效。</w:t>
      </w:r>
    </w:p>
    <w:p w14:paraId="7391C343">
      <w:pPr>
        <w:pStyle w:val="11"/>
        <w:spacing w:line="500" w:lineRule="exact"/>
        <w:ind w:left="139" w:leftChars="66" w:firstLine="480" w:firstLineChars="200"/>
        <w:rPr>
          <w:b/>
          <w:bCs/>
          <w:color w:val="auto"/>
          <w:sz w:val="24"/>
          <w:highlight w:val="none"/>
        </w:rPr>
      </w:pPr>
      <w:r>
        <w:rPr>
          <w:rFonts w:hint="eastAsia" w:hAnsi="宋体"/>
          <w:color w:val="auto"/>
          <w:sz w:val="24"/>
          <w:highlight w:val="none"/>
        </w:rPr>
        <w:t>授权代理人无转委托权，特此委托。</w:t>
      </w:r>
    </w:p>
    <w:p w14:paraId="51551BD9">
      <w:pPr>
        <w:spacing w:line="360" w:lineRule="auto"/>
        <w:rPr>
          <w:color w:val="auto"/>
          <w:sz w:val="24"/>
          <w:highlight w:val="none"/>
        </w:rPr>
      </w:pPr>
      <w:r>
        <w:rPr>
          <w:rFonts w:hint="eastAsia" w:ascii="宋体"/>
          <w:color w:val="auto"/>
          <w:sz w:val="24"/>
          <w:highlight w:val="none"/>
        </w:rPr>
        <w:t>法定代表人签字或盖章：</w:t>
      </w:r>
    </w:p>
    <w:p w14:paraId="45176314">
      <w:pPr>
        <w:spacing w:line="360" w:lineRule="auto"/>
        <w:rPr>
          <w:color w:val="auto"/>
          <w:sz w:val="24"/>
          <w:highlight w:val="none"/>
        </w:rPr>
      </w:pPr>
      <w:r>
        <w:rPr>
          <w:rFonts w:hint="eastAsia" w:ascii="宋体"/>
          <w:color w:val="auto"/>
          <w:sz w:val="24"/>
          <w:highlight w:val="none"/>
        </w:rPr>
        <w:t>投标人全称（公章）：                              日期：</w:t>
      </w:r>
    </w:p>
    <w:p w14:paraId="7FAE809A">
      <w:pPr>
        <w:spacing w:line="360" w:lineRule="auto"/>
        <w:rPr>
          <w:color w:val="auto"/>
          <w:sz w:val="24"/>
          <w:highlight w:val="none"/>
        </w:rPr>
      </w:pPr>
    </w:p>
    <w:p w14:paraId="7735F9BD">
      <w:pPr>
        <w:spacing w:line="360" w:lineRule="auto"/>
        <w:rPr>
          <w:b/>
          <w:color w:val="auto"/>
          <w:sz w:val="24"/>
          <w:highlight w:val="none"/>
        </w:rPr>
      </w:pPr>
      <w:r>
        <w:rPr>
          <w:rFonts w:hint="eastAsia" w:ascii="宋体"/>
          <w:b/>
          <w:color w:val="auto"/>
          <w:sz w:val="24"/>
          <w:highlight w:val="none"/>
        </w:rPr>
        <w:t>附：</w:t>
      </w:r>
    </w:p>
    <w:tbl>
      <w:tblPr>
        <w:tblStyle w:val="23"/>
        <w:tblpPr w:leftFromText="180" w:rightFromText="180" w:vertAnchor="text" w:tblpX="4209" w:tblpY="606"/>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67DA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098EA855">
            <w:pPr>
              <w:spacing w:line="360" w:lineRule="auto"/>
              <w:rPr>
                <w:rFonts w:ascii="宋体"/>
                <w:b/>
                <w:color w:val="auto"/>
                <w:sz w:val="24"/>
                <w:highlight w:val="none"/>
              </w:rPr>
            </w:pPr>
          </w:p>
          <w:p w14:paraId="44CC33BC">
            <w:pPr>
              <w:spacing w:line="360" w:lineRule="auto"/>
              <w:ind w:firstLine="361" w:firstLineChars="150"/>
              <w:rPr>
                <w:rFonts w:ascii="宋体"/>
                <w:b/>
                <w:color w:val="auto"/>
                <w:sz w:val="24"/>
                <w:highlight w:val="none"/>
              </w:rPr>
            </w:pPr>
            <w:r>
              <w:rPr>
                <w:rFonts w:hint="eastAsia" w:ascii="宋体"/>
                <w:b/>
                <w:color w:val="auto"/>
                <w:sz w:val="24"/>
                <w:highlight w:val="none"/>
              </w:rPr>
              <w:t>法定代表身份证复印件粘帖处</w:t>
            </w:r>
          </w:p>
        </w:tc>
      </w:tr>
    </w:tbl>
    <w:p w14:paraId="4214882B">
      <w:pPr>
        <w:spacing w:line="360" w:lineRule="auto"/>
        <w:rPr>
          <w:color w:val="auto"/>
          <w:sz w:val="24"/>
          <w:highlight w:val="none"/>
        </w:rPr>
      </w:pPr>
      <w:r>
        <w:rPr>
          <w:rFonts w:hint="eastAsia" w:ascii="宋体"/>
          <w:color w:val="auto"/>
          <w:sz w:val="24"/>
          <w:highlight w:val="none"/>
        </w:rPr>
        <w:t xml:space="preserve">法定代表人姓名：                                 </w:t>
      </w:r>
    </w:p>
    <w:p w14:paraId="4FC90CF0">
      <w:pPr>
        <w:spacing w:line="360" w:lineRule="auto"/>
        <w:rPr>
          <w:color w:val="auto"/>
          <w:sz w:val="24"/>
          <w:highlight w:val="none"/>
        </w:rPr>
      </w:pPr>
      <w:r>
        <w:rPr>
          <w:rFonts w:hint="eastAsia" w:ascii="宋体"/>
          <w:color w:val="auto"/>
          <w:sz w:val="24"/>
          <w:highlight w:val="none"/>
        </w:rPr>
        <w:t>传真：</w:t>
      </w:r>
    </w:p>
    <w:p w14:paraId="0D3EDEAD">
      <w:pPr>
        <w:spacing w:line="360" w:lineRule="auto"/>
        <w:rPr>
          <w:rFonts w:ascii="宋体"/>
          <w:color w:val="auto"/>
          <w:sz w:val="24"/>
          <w:highlight w:val="none"/>
        </w:rPr>
      </w:pPr>
      <w:r>
        <w:rPr>
          <w:rFonts w:hint="eastAsia" w:ascii="宋体"/>
          <w:color w:val="auto"/>
          <w:sz w:val="24"/>
          <w:highlight w:val="none"/>
        </w:rPr>
        <w:t>电话：</w:t>
      </w:r>
    </w:p>
    <w:p w14:paraId="63B2F80B">
      <w:pPr>
        <w:spacing w:line="360" w:lineRule="auto"/>
        <w:rPr>
          <w:color w:val="auto"/>
          <w:sz w:val="24"/>
          <w:highlight w:val="none"/>
        </w:rPr>
      </w:pPr>
      <w:r>
        <w:rPr>
          <w:rFonts w:hint="eastAsia" w:ascii="宋体"/>
          <w:color w:val="auto"/>
          <w:sz w:val="24"/>
          <w:highlight w:val="none"/>
        </w:rPr>
        <w:t>详细通讯地址：</w:t>
      </w:r>
    </w:p>
    <w:p w14:paraId="6DA19958">
      <w:pPr>
        <w:spacing w:line="360" w:lineRule="auto"/>
        <w:rPr>
          <w:rFonts w:ascii="宋体"/>
          <w:color w:val="auto"/>
          <w:sz w:val="24"/>
          <w:highlight w:val="none"/>
        </w:rPr>
      </w:pPr>
      <w:r>
        <w:rPr>
          <w:rFonts w:hint="eastAsia" w:ascii="宋体"/>
          <w:color w:val="auto"/>
          <w:sz w:val="24"/>
          <w:highlight w:val="none"/>
        </w:rPr>
        <w:t>邮政编码：</w:t>
      </w:r>
    </w:p>
    <w:p w14:paraId="481EB81E">
      <w:pPr>
        <w:spacing w:line="360" w:lineRule="auto"/>
        <w:rPr>
          <w:b/>
          <w:color w:val="auto"/>
          <w:sz w:val="24"/>
          <w:highlight w:val="none"/>
        </w:rPr>
      </w:pPr>
    </w:p>
    <w:tbl>
      <w:tblPr>
        <w:tblStyle w:val="23"/>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696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26DE19EB">
            <w:pPr>
              <w:spacing w:line="360" w:lineRule="auto"/>
              <w:rPr>
                <w:rFonts w:ascii="宋体"/>
                <w:b/>
                <w:color w:val="auto"/>
                <w:sz w:val="24"/>
                <w:highlight w:val="none"/>
              </w:rPr>
            </w:pPr>
          </w:p>
          <w:p w14:paraId="6A445A36">
            <w:pPr>
              <w:spacing w:line="360" w:lineRule="auto"/>
              <w:ind w:firstLine="361" w:firstLineChars="150"/>
              <w:rPr>
                <w:rFonts w:ascii="宋体"/>
                <w:b/>
                <w:color w:val="auto"/>
                <w:sz w:val="24"/>
                <w:highlight w:val="none"/>
              </w:rPr>
            </w:pPr>
            <w:r>
              <w:rPr>
                <w:rFonts w:hint="eastAsia" w:ascii="宋体"/>
                <w:b/>
                <w:color w:val="auto"/>
                <w:sz w:val="24"/>
                <w:highlight w:val="none"/>
              </w:rPr>
              <w:t>授权代理人身份证复印件粘帖处</w:t>
            </w:r>
          </w:p>
        </w:tc>
      </w:tr>
    </w:tbl>
    <w:p w14:paraId="0F03E811">
      <w:pPr>
        <w:spacing w:line="360" w:lineRule="auto"/>
        <w:rPr>
          <w:rFonts w:ascii="宋体"/>
          <w:color w:val="auto"/>
          <w:sz w:val="24"/>
          <w:highlight w:val="none"/>
        </w:rPr>
      </w:pPr>
      <w:r>
        <w:rPr>
          <w:rFonts w:hint="eastAsia" w:ascii="宋体"/>
          <w:color w:val="auto"/>
          <w:sz w:val="24"/>
          <w:highlight w:val="none"/>
        </w:rPr>
        <w:t xml:space="preserve">授权代理人姓名：       </w:t>
      </w:r>
    </w:p>
    <w:p w14:paraId="4F1E4C39">
      <w:pPr>
        <w:spacing w:line="360" w:lineRule="auto"/>
        <w:rPr>
          <w:color w:val="auto"/>
          <w:sz w:val="24"/>
          <w:highlight w:val="none"/>
        </w:rPr>
      </w:pPr>
      <w:r>
        <w:rPr>
          <w:rFonts w:hint="eastAsia" w:ascii="宋体"/>
          <w:color w:val="auto"/>
          <w:sz w:val="24"/>
          <w:highlight w:val="none"/>
        </w:rPr>
        <w:t xml:space="preserve">职务：                           </w:t>
      </w:r>
    </w:p>
    <w:p w14:paraId="12AB5907">
      <w:pPr>
        <w:spacing w:line="360" w:lineRule="auto"/>
        <w:rPr>
          <w:color w:val="auto"/>
          <w:sz w:val="24"/>
          <w:highlight w:val="none"/>
        </w:rPr>
      </w:pPr>
      <w:r>
        <w:rPr>
          <w:rFonts w:hint="eastAsia" w:ascii="宋体"/>
          <w:color w:val="auto"/>
          <w:sz w:val="24"/>
          <w:highlight w:val="none"/>
        </w:rPr>
        <w:t>传真：</w:t>
      </w:r>
    </w:p>
    <w:p w14:paraId="631BCB88">
      <w:pPr>
        <w:spacing w:line="360" w:lineRule="auto"/>
        <w:rPr>
          <w:rFonts w:ascii="宋体"/>
          <w:color w:val="auto"/>
          <w:sz w:val="24"/>
          <w:highlight w:val="none"/>
        </w:rPr>
      </w:pPr>
      <w:r>
        <w:rPr>
          <w:rFonts w:hint="eastAsia" w:ascii="宋体"/>
          <w:color w:val="auto"/>
          <w:sz w:val="24"/>
          <w:highlight w:val="none"/>
        </w:rPr>
        <w:t>电话：</w:t>
      </w:r>
    </w:p>
    <w:p w14:paraId="2F02D214">
      <w:pPr>
        <w:spacing w:line="360" w:lineRule="auto"/>
        <w:rPr>
          <w:color w:val="auto"/>
          <w:sz w:val="24"/>
          <w:highlight w:val="none"/>
        </w:rPr>
      </w:pPr>
      <w:r>
        <w:rPr>
          <w:rFonts w:hint="eastAsia" w:ascii="宋体"/>
          <w:color w:val="auto"/>
          <w:sz w:val="24"/>
          <w:highlight w:val="none"/>
        </w:rPr>
        <w:t>详细通讯地址：</w:t>
      </w:r>
    </w:p>
    <w:p w14:paraId="21F2ED7D">
      <w:pPr>
        <w:spacing w:line="360" w:lineRule="auto"/>
        <w:rPr>
          <w:rFonts w:ascii="宋体"/>
          <w:color w:val="auto"/>
          <w:sz w:val="24"/>
          <w:highlight w:val="none"/>
        </w:rPr>
      </w:pPr>
      <w:r>
        <w:rPr>
          <w:rFonts w:hint="eastAsia" w:ascii="宋体"/>
          <w:color w:val="auto"/>
          <w:sz w:val="24"/>
          <w:highlight w:val="none"/>
        </w:rPr>
        <w:t>邮政编码：</w:t>
      </w:r>
    </w:p>
    <w:p w14:paraId="43D704C5">
      <w:pPr>
        <w:rPr>
          <w:rFonts w:ascii="宋体"/>
          <w:color w:val="auto"/>
          <w:sz w:val="24"/>
          <w:highlight w:val="none"/>
        </w:rPr>
      </w:pPr>
      <w:r>
        <w:rPr>
          <w:rFonts w:hint="eastAsia" w:ascii="宋体"/>
          <w:color w:val="auto"/>
          <w:sz w:val="24"/>
          <w:highlight w:val="none"/>
        </w:rPr>
        <w:br w:type="page"/>
      </w:r>
    </w:p>
    <w:p w14:paraId="37987819">
      <w:pPr>
        <w:pStyle w:val="15"/>
        <w:spacing w:line="360" w:lineRule="auto"/>
        <w:ind w:left="562" w:hanging="562"/>
        <w:outlineLvl w:val="2"/>
        <w:rPr>
          <w:rFonts w:ascii="宋体" w:hAnsi="宋体" w:cs="宋体"/>
          <w:b/>
          <w:color w:val="auto"/>
          <w:sz w:val="28"/>
          <w:highlight w:val="none"/>
        </w:rPr>
      </w:pPr>
      <w:r>
        <w:rPr>
          <w:rFonts w:hint="eastAsia" w:ascii="宋体" w:hAnsi="宋体"/>
          <w:b/>
          <w:color w:val="auto"/>
          <w:sz w:val="28"/>
          <w:highlight w:val="none"/>
        </w:rPr>
        <w:t>附件4</w:t>
      </w:r>
    </w:p>
    <w:p w14:paraId="65964442">
      <w:pPr>
        <w:pStyle w:val="15"/>
        <w:spacing w:line="360" w:lineRule="auto"/>
        <w:ind w:left="0" w:firstLine="0" w:firstLineChars="0"/>
        <w:jc w:val="center"/>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有效的法人或者其他组织的营业执照等证明文件（复印件），自然人的身份证明</w:t>
      </w:r>
    </w:p>
    <w:p w14:paraId="2653591D">
      <w:pPr>
        <w:pStyle w:val="15"/>
        <w:spacing w:line="360" w:lineRule="auto"/>
        <w:ind w:left="0" w:firstLine="0" w:firstLineChars="0"/>
        <w:jc w:val="center"/>
        <w:rPr>
          <w:rFonts w:ascii="宋体" w:hAnsi="宋体" w:cs="宋体"/>
          <w:b/>
          <w:color w:val="auto"/>
          <w:spacing w:val="-6"/>
          <w:sz w:val="24"/>
          <w:highlight w:val="none"/>
        </w:rPr>
      </w:pPr>
    </w:p>
    <w:p w14:paraId="6879B717">
      <w:pPr>
        <w:pStyle w:val="15"/>
        <w:spacing w:line="360" w:lineRule="auto"/>
        <w:ind w:left="0" w:firstLine="0" w:firstLineChars="0"/>
        <w:jc w:val="center"/>
        <w:rPr>
          <w:rFonts w:ascii="宋体" w:hAnsi="宋体" w:cs="宋体"/>
          <w:b/>
          <w:color w:val="auto"/>
          <w:spacing w:val="-6"/>
          <w:sz w:val="24"/>
          <w:highlight w:val="none"/>
        </w:rPr>
      </w:pPr>
    </w:p>
    <w:p w14:paraId="43CE5A20">
      <w:pPr>
        <w:pStyle w:val="15"/>
        <w:spacing w:line="360" w:lineRule="auto"/>
        <w:ind w:left="0" w:firstLine="0" w:firstLineChars="0"/>
        <w:jc w:val="center"/>
        <w:rPr>
          <w:rFonts w:ascii="宋体" w:hAnsi="宋体" w:cs="宋体"/>
          <w:b/>
          <w:color w:val="auto"/>
          <w:spacing w:val="-6"/>
          <w:sz w:val="24"/>
          <w:highlight w:val="none"/>
        </w:rPr>
      </w:pPr>
    </w:p>
    <w:p w14:paraId="2DED31A6">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说明：</w:t>
      </w:r>
    </w:p>
    <w:p w14:paraId="67FD8C4E">
      <w:pPr>
        <w:spacing w:line="360" w:lineRule="auto"/>
        <w:rPr>
          <w:rFonts w:ascii="宋体" w:hAnsi="宋体" w:cs="宋体"/>
          <w:b/>
          <w:color w:val="auto"/>
          <w:sz w:val="24"/>
          <w:highlight w:val="none"/>
        </w:rPr>
      </w:pPr>
      <w:r>
        <w:rPr>
          <w:rFonts w:hint="eastAsia" w:ascii="宋体" w:hAnsi="宋体" w:cs="宋体"/>
          <w:b/>
          <w:color w:val="auto"/>
          <w:sz w:val="24"/>
          <w:highlight w:val="none"/>
        </w:rPr>
        <w:t>1.如供应商是企业（包括合伙企业），提供在工商部门注册的有效“企业法人营业执照”或“营业执照”；</w:t>
      </w:r>
    </w:p>
    <w:p w14:paraId="7F236D56">
      <w:pPr>
        <w:spacing w:line="360" w:lineRule="auto"/>
        <w:rPr>
          <w:rFonts w:ascii="宋体" w:hAnsi="宋体" w:cs="宋体"/>
          <w:b/>
          <w:color w:val="auto"/>
          <w:sz w:val="24"/>
          <w:highlight w:val="none"/>
        </w:rPr>
      </w:pPr>
      <w:r>
        <w:rPr>
          <w:rFonts w:hint="eastAsia" w:ascii="宋体" w:hAnsi="宋体" w:cs="宋体"/>
          <w:b/>
          <w:color w:val="auto"/>
          <w:sz w:val="24"/>
          <w:highlight w:val="none"/>
        </w:rPr>
        <w:t>2.如供应商是事业单位，提供有效的“事业单位法人证书”；</w:t>
      </w:r>
    </w:p>
    <w:p w14:paraId="5F50B935">
      <w:pPr>
        <w:spacing w:line="360" w:lineRule="auto"/>
        <w:rPr>
          <w:rFonts w:ascii="宋体" w:hAnsi="宋体" w:cs="宋体"/>
          <w:b/>
          <w:color w:val="auto"/>
          <w:sz w:val="24"/>
          <w:highlight w:val="none"/>
        </w:rPr>
      </w:pPr>
      <w:r>
        <w:rPr>
          <w:rFonts w:hint="eastAsia" w:ascii="宋体" w:hAnsi="宋体" w:cs="宋体"/>
          <w:b/>
          <w:color w:val="auto"/>
          <w:sz w:val="24"/>
          <w:highlight w:val="none"/>
        </w:rPr>
        <w:t>3.如供应商是非企业专业服务机构的，提供执业许可证等证明文件；</w:t>
      </w:r>
    </w:p>
    <w:p w14:paraId="5F1BDC37">
      <w:pPr>
        <w:spacing w:line="360" w:lineRule="auto"/>
        <w:rPr>
          <w:rFonts w:ascii="宋体" w:hAnsi="宋体" w:cs="宋体"/>
          <w:b/>
          <w:color w:val="auto"/>
          <w:sz w:val="24"/>
          <w:highlight w:val="none"/>
        </w:rPr>
      </w:pPr>
      <w:r>
        <w:rPr>
          <w:rFonts w:hint="eastAsia" w:ascii="宋体" w:hAnsi="宋体" w:cs="宋体"/>
          <w:b/>
          <w:color w:val="auto"/>
          <w:sz w:val="24"/>
          <w:highlight w:val="none"/>
        </w:rPr>
        <w:t>4.如供应商是个体工商户，提供有效的“个体工商户营业执照”；</w:t>
      </w:r>
    </w:p>
    <w:p w14:paraId="7AFB6C9C">
      <w:pPr>
        <w:spacing w:line="360" w:lineRule="auto"/>
        <w:rPr>
          <w:rFonts w:ascii="宋体" w:hAnsi="宋体" w:cs="宋体"/>
          <w:b/>
          <w:color w:val="auto"/>
          <w:sz w:val="24"/>
          <w:highlight w:val="none"/>
        </w:rPr>
      </w:pPr>
      <w:r>
        <w:rPr>
          <w:rFonts w:hint="eastAsia" w:ascii="宋体" w:hAnsi="宋体" w:cs="宋体"/>
          <w:b/>
          <w:color w:val="auto"/>
          <w:sz w:val="24"/>
          <w:highlight w:val="none"/>
        </w:rPr>
        <w:t>5.如供应商是自然人，提供有效的自然人身份证明。</w:t>
      </w:r>
    </w:p>
    <w:p w14:paraId="3EF3ED64">
      <w:pPr>
        <w:rPr>
          <w:rFonts w:ascii="宋体" w:hAnsi="宋体" w:cs="宋体"/>
          <w:b/>
          <w:bCs/>
          <w:color w:val="auto"/>
          <w:sz w:val="28"/>
          <w:szCs w:val="36"/>
          <w:highlight w:val="none"/>
        </w:rPr>
      </w:pPr>
    </w:p>
    <w:p w14:paraId="46BD269F">
      <w:pPr>
        <w:rPr>
          <w:rFonts w:ascii="宋体" w:hAnsi="宋体" w:cs="宋体"/>
          <w:b/>
          <w:bCs/>
          <w:color w:val="auto"/>
          <w:sz w:val="28"/>
          <w:szCs w:val="36"/>
          <w:highlight w:val="none"/>
        </w:rPr>
      </w:pPr>
    </w:p>
    <w:p w14:paraId="0D3C424F">
      <w:pPr>
        <w:rPr>
          <w:rFonts w:ascii="宋体" w:hAnsi="宋体" w:cs="宋体"/>
          <w:b/>
          <w:bCs/>
          <w:color w:val="auto"/>
          <w:sz w:val="28"/>
          <w:szCs w:val="36"/>
          <w:highlight w:val="none"/>
        </w:rPr>
      </w:pPr>
    </w:p>
    <w:p w14:paraId="18F410A2">
      <w:pPr>
        <w:rPr>
          <w:rFonts w:ascii="宋体" w:hAnsi="宋体" w:cs="宋体"/>
          <w:b/>
          <w:bCs/>
          <w:color w:val="auto"/>
          <w:sz w:val="28"/>
          <w:szCs w:val="36"/>
          <w:highlight w:val="none"/>
        </w:rPr>
      </w:pPr>
    </w:p>
    <w:p w14:paraId="4C8F84F7">
      <w:pPr>
        <w:rPr>
          <w:rFonts w:ascii="宋体" w:hAnsi="宋体" w:cs="宋体"/>
          <w:b/>
          <w:bCs/>
          <w:color w:val="auto"/>
          <w:sz w:val="28"/>
          <w:szCs w:val="36"/>
          <w:highlight w:val="none"/>
        </w:rPr>
      </w:pPr>
    </w:p>
    <w:p w14:paraId="47427254">
      <w:pPr>
        <w:rPr>
          <w:rFonts w:ascii="宋体" w:hAnsi="宋体" w:cs="宋体"/>
          <w:b/>
          <w:bCs/>
          <w:color w:val="auto"/>
          <w:sz w:val="28"/>
          <w:szCs w:val="36"/>
          <w:highlight w:val="none"/>
        </w:rPr>
      </w:pPr>
    </w:p>
    <w:p w14:paraId="3799CED6">
      <w:pPr>
        <w:rPr>
          <w:rFonts w:ascii="宋体" w:hAnsi="宋体" w:cs="宋体"/>
          <w:b/>
          <w:bCs/>
          <w:color w:val="auto"/>
          <w:sz w:val="28"/>
          <w:szCs w:val="36"/>
          <w:highlight w:val="none"/>
        </w:rPr>
      </w:pPr>
    </w:p>
    <w:p w14:paraId="770FD11B">
      <w:pPr>
        <w:rPr>
          <w:rFonts w:ascii="宋体" w:hAnsi="宋体" w:cs="宋体"/>
          <w:b/>
          <w:bCs/>
          <w:color w:val="auto"/>
          <w:sz w:val="28"/>
          <w:szCs w:val="36"/>
          <w:highlight w:val="none"/>
        </w:rPr>
      </w:pPr>
    </w:p>
    <w:p w14:paraId="04BDC6C1">
      <w:pPr>
        <w:rPr>
          <w:rFonts w:ascii="宋体" w:hAnsi="宋体" w:cs="宋体"/>
          <w:b/>
          <w:bCs/>
          <w:color w:val="auto"/>
          <w:sz w:val="28"/>
          <w:szCs w:val="36"/>
          <w:highlight w:val="none"/>
        </w:rPr>
      </w:pPr>
    </w:p>
    <w:p w14:paraId="124F2DD6">
      <w:pPr>
        <w:rPr>
          <w:rFonts w:ascii="宋体" w:hAnsi="宋体" w:cs="宋体"/>
          <w:b/>
          <w:bCs/>
          <w:color w:val="auto"/>
          <w:sz w:val="28"/>
          <w:szCs w:val="36"/>
          <w:highlight w:val="none"/>
        </w:rPr>
      </w:pPr>
    </w:p>
    <w:p w14:paraId="568EBC39">
      <w:pPr>
        <w:rPr>
          <w:rFonts w:ascii="宋体" w:hAnsi="宋体" w:cs="宋体"/>
          <w:b/>
          <w:bCs/>
          <w:color w:val="auto"/>
          <w:sz w:val="28"/>
          <w:szCs w:val="36"/>
          <w:highlight w:val="none"/>
        </w:rPr>
      </w:pPr>
    </w:p>
    <w:p w14:paraId="201790B1">
      <w:pPr>
        <w:rPr>
          <w:b/>
          <w:bCs/>
          <w:color w:val="auto"/>
          <w:sz w:val="28"/>
          <w:szCs w:val="28"/>
          <w:highlight w:val="none"/>
        </w:rPr>
      </w:pPr>
    </w:p>
    <w:p w14:paraId="49E63346">
      <w:pPr>
        <w:rPr>
          <w:b/>
          <w:bCs/>
          <w:color w:val="auto"/>
          <w:sz w:val="28"/>
          <w:szCs w:val="28"/>
          <w:highlight w:val="none"/>
        </w:rPr>
      </w:pPr>
    </w:p>
    <w:p w14:paraId="75F01560">
      <w:pPr>
        <w:rPr>
          <w:b/>
          <w:bCs/>
          <w:color w:val="auto"/>
          <w:sz w:val="28"/>
          <w:szCs w:val="28"/>
          <w:highlight w:val="none"/>
        </w:rPr>
      </w:pPr>
      <w:r>
        <w:rPr>
          <w:rFonts w:hint="eastAsia"/>
          <w:b/>
          <w:bCs/>
          <w:color w:val="auto"/>
          <w:sz w:val="28"/>
          <w:szCs w:val="28"/>
          <w:highlight w:val="none"/>
        </w:rPr>
        <w:t>附件5</w:t>
      </w:r>
    </w:p>
    <w:p w14:paraId="155547CB">
      <w:pPr>
        <w:spacing w:afterLines="100" w:line="480" w:lineRule="auto"/>
        <w:jc w:val="center"/>
        <w:rPr>
          <w:rFonts w:ascii="宋体" w:hAnsi="宋体" w:cs="宋体"/>
          <w:color w:val="auto"/>
          <w:sz w:val="24"/>
          <w:highlight w:val="none"/>
        </w:rPr>
      </w:pPr>
      <w:r>
        <w:rPr>
          <w:rFonts w:hint="eastAsia" w:ascii="宋体" w:hAnsi="宋体" w:cs="宋体"/>
          <w:b/>
          <w:bCs/>
          <w:color w:val="auto"/>
          <w:kern w:val="0"/>
          <w:sz w:val="24"/>
          <w:highlight w:val="none"/>
          <w:lang w:val="zh-CN"/>
        </w:rPr>
        <w:t>具备良好的商业信誉和健全的财务会计制度的承诺函</w:t>
      </w:r>
    </w:p>
    <w:p w14:paraId="6B21CEB6">
      <w:pPr>
        <w:spacing w:line="600" w:lineRule="exact"/>
        <w:rPr>
          <w:rFonts w:ascii="宋体" w:hAnsi="宋体" w:cs="宋体"/>
          <w:color w:val="auto"/>
          <w:kern w:val="0"/>
          <w:sz w:val="24"/>
          <w:highlight w:val="none"/>
        </w:rPr>
      </w:pPr>
    </w:p>
    <w:p w14:paraId="341A4851">
      <w:pPr>
        <w:spacing w:line="600" w:lineRule="exact"/>
        <w:rPr>
          <w:rFonts w:ascii="宋体" w:hAnsi="宋体" w:cs="宋体"/>
          <w:color w:val="auto"/>
          <w:sz w:val="24"/>
          <w:highlight w:val="none"/>
        </w:rPr>
      </w:pPr>
      <w:r>
        <w:rPr>
          <w:rFonts w:hint="eastAsia" w:ascii="宋体" w:hAnsi="宋体" w:cs="宋体"/>
          <w:color w:val="auto"/>
          <w:kern w:val="0"/>
          <w:sz w:val="24"/>
          <w:highlight w:val="none"/>
        </w:rPr>
        <w:t>致：</w:t>
      </w:r>
      <w:r>
        <w:rPr>
          <w:rFonts w:hint="eastAsia" w:ascii="宋体" w:hAnsi="宋体" w:cs="宋体"/>
          <w:color w:val="auto"/>
          <w:sz w:val="24"/>
          <w:highlight w:val="none"/>
          <w:u w:val="single"/>
        </w:rPr>
        <w:t>大地工程咨询有限公司</w:t>
      </w:r>
    </w:p>
    <w:p w14:paraId="18CFE5EC">
      <w:pPr>
        <w:pStyle w:val="2"/>
        <w:spacing w:line="600" w:lineRule="exact"/>
        <w:ind w:firstLine="480" w:firstLineChars="200"/>
        <w:rPr>
          <w:rFonts w:ascii="宋体" w:hAnsi="宋体" w:cs="宋体"/>
          <w:color w:val="auto"/>
          <w:highlight w:val="none"/>
        </w:rPr>
      </w:pPr>
      <w:r>
        <w:rPr>
          <w:rFonts w:hint="eastAsia" w:ascii="宋体" w:hAnsi="宋体" w:cs="宋体"/>
          <w:color w:val="auto"/>
          <w:highlight w:val="none"/>
        </w:rPr>
        <w:t>我公司参加</w:t>
      </w:r>
      <w:r>
        <w:rPr>
          <w:rFonts w:hint="eastAsia" w:ascii="宋体" w:hAnsi="宋体" w:cs="宋体"/>
          <w:color w:val="auto"/>
          <w:szCs w:val="32"/>
          <w:highlight w:val="none"/>
          <w:u w:val="single"/>
          <w:lang w:eastAsia="zh-CN"/>
        </w:rPr>
        <w:t>路桥区海塘排涝闸2026-2028年物业化管理项目</w:t>
      </w:r>
      <w:r>
        <w:rPr>
          <w:rFonts w:hint="eastAsia" w:ascii="宋体" w:hAnsi="宋体" w:cs="宋体"/>
          <w:color w:val="auto"/>
          <w:highlight w:val="none"/>
          <w:u w:val="single"/>
        </w:rPr>
        <w:t>（编号为</w:t>
      </w:r>
      <w:r>
        <w:rPr>
          <w:rFonts w:hint="eastAsia" w:ascii="宋体" w:hAnsi="宋体" w:cs="宋体"/>
          <w:color w:val="auto"/>
          <w:szCs w:val="32"/>
          <w:highlight w:val="none"/>
          <w:u w:val="single"/>
          <w:lang w:eastAsia="zh-CN"/>
        </w:rPr>
        <w:t>DDTZ2025-1212</w:t>
      </w:r>
      <w:r>
        <w:rPr>
          <w:rFonts w:hint="eastAsia" w:ascii="宋体" w:hAnsi="宋体" w:cs="宋体"/>
          <w:color w:val="auto"/>
          <w:highlight w:val="none"/>
          <w:u w:val="single"/>
        </w:rPr>
        <w:t>）</w:t>
      </w:r>
      <w:r>
        <w:rPr>
          <w:rFonts w:hint="eastAsia" w:ascii="宋体" w:hAnsi="宋体" w:cs="宋体"/>
          <w:color w:val="auto"/>
          <w:highlight w:val="none"/>
        </w:rPr>
        <w:t>的投标活动，作如下承诺：</w:t>
      </w:r>
    </w:p>
    <w:p w14:paraId="49544A9C">
      <w:pPr>
        <w:pStyle w:val="2"/>
        <w:spacing w:line="600" w:lineRule="exact"/>
        <w:ind w:firstLine="480" w:firstLineChars="200"/>
        <w:rPr>
          <w:rFonts w:ascii="宋体" w:hAnsi="宋体" w:cs="宋体"/>
          <w:color w:val="auto"/>
          <w:highlight w:val="none"/>
        </w:rPr>
      </w:pPr>
      <w:r>
        <w:rPr>
          <w:rFonts w:hint="eastAsia" w:ascii="宋体" w:hAnsi="宋体" w:cs="宋体"/>
          <w:color w:val="auto"/>
          <w:highlight w:val="none"/>
        </w:rPr>
        <w:t>我公司在参加本项目政府采购活动前，</w:t>
      </w:r>
      <w:r>
        <w:rPr>
          <w:rFonts w:hint="eastAsia" w:ascii="宋体" w:hAnsi="宋体" w:cs="宋体"/>
          <w:color w:val="auto"/>
          <w:kern w:val="0"/>
          <w:highlight w:val="none"/>
        </w:rPr>
        <w:t>没有处于被责令停产、财产被接管、冻结或破产状态，具有足够的流动资金，有能力履行合同；我公司</w:t>
      </w:r>
      <w:r>
        <w:rPr>
          <w:rFonts w:hint="eastAsia" w:ascii="宋体" w:hAnsi="宋体" w:cs="宋体"/>
          <w:color w:val="auto"/>
          <w:highlight w:val="none"/>
        </w:rPr>
        <w:t>具有良好的商业信誉和健全的财务会计制度。</w:t>
      </w:r>
    </w:p>
    <w:p w14:paraId="6B351F80">
      <w:pPr>
        <w:spacing w:line="6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如违反以上承诺，本公司愿承担一切法律责任。</w:t>
      </w:r>
    </w:p>
    <w:p w14:paraId="25F22D81">
      <w:pPr>
        <w:spacing w:line="360" w:lineRule="auto"/>
        <w:rPr>
          <w:rFonts w:ascii="宋体" w:hAnsi="宋体" w:cs="宋体"/>
          <w:color w:val="auto"/>
          <w:sz w:val="24"/>
          <w:highlight w:val="none"/>
          <w:lang w:val="zh-CN"/>
        </w:rPr>
      </w:pPr>
    </w:p>
    <w:p w14:paraId="026427C2">
      <w:pPr>
        <w:pStyle w:val="2"/>
        <w:rPr>
          <w:rFonts w:ascii="宋体" w:hAnsi="宋体" w:cs="宋体"/>
          <w:color w:val="auto"/>
          <w:highlight w:val="none"/>
          <w:lang w:val="zh-CN"/>
        </w:rPr>
      </w:pPr>
    </w:p>
    <w:p w14:paraId="4CECD025">
      <w:pPr>
        <w:pStyle w:val="2"/>
        <w:rPr>
          <w:rFonts w:ascii="宋体" w:hAnsi="宋体" w:cs="宋体"/>
          <w:color w:val="auto"/>
          <w:highlight w:val="none"/>
          <w:lang w:val="zh-CN"/>
        </w:rPr>
      </w:pPr>
    </w:p>
    <w:p w14:paraId="51B7F8D3">
      <w:pPr>
        <w:pStyle w:val="2"/>
        <w:rPr>
          <w:rFonts w:ascii="宋体" w:hAnsi="宋体" w:cs="宋体"/>
          <w:color w:val="auto"/>
          <w:highlight w:val="none"/>
          <w:lang w:val="zh-CN"/>
        </w:rPr>
      </w:pPr>
    </w:p>
    <w:p w14:paraId="1CE95BE5">
      <w:pPr>
        <w:wordWrap w:val="0"/>
        <w:spacing w:line="360" w:lineRule="auto"/>
        <w:rPr>
          <w:rFonts w:ascii="宋体" w:hAnsi="宋体" w:cs="宋体"/>
          <w:color w:val="auto"/>
          <w:kern w:val="0"/>
          <w:sz w:val="24"/>
          <w:highlight w:val="none"/>
        </w:rPr>
      </w:pPr>
      <w:r>
        <w:rPr>
          <w:rFonts w:hint="eastAsia" w:ascii="宋体" w:hAnsi="宋体" w:cs="宋体"/>
          <w:color w:val="auto"/>
          <w:sz w:val="24"/>
          <w:highlight w:val="none"/>
        </w:rPr>
        <w:t>投标人名称</w:t>
      </w:r>
      <w:r>
        <w:rPr>
          <w:rFonts w:hint="eastAsia" w:ascii="宋体" w:hAnsi="宋体" w:cs="宋体"/>
          <w:color w:val="auto"/>
          <w:kern w:val="0"/>
          <w:sz w:val="24"/>
          <w:highlight w:val="none"/>
        </w:rPr>
        <w:t xml:space="preserve">(公章)：             </w:t>
      </w:r>
    </w:p>
    <w:p w14:paraId="5F8A8A9D">
      <w:pPr>
        <w:spacing w:line="360" w:lineRule="auto"/>
        <w:jc w:val="left"/>
        <w:rPr>
          <w:rFonts w:ascii="宋体" w:hAnsi="宋体" w:cs="宋体"/>
          <w:color w:val="auto"/>
          <w:kern w:val="0"/>
          <w:sz w:val="24"/>
          <w:highlight w:val="none"/>
        </w:rPr>
      </w:pPr>
    </w:p>
    <w:p w14:paraId="5997CD9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w:t>
      </w:r>
      <w:r>
        <w:rPr>
          <w:rFonts w:hint="eastAsia" w:ascii="宋体" w:hAnsi="宋体" w:cs="宋体"/>
          <w:color w:val="auto"/>
          <w:sz w:val="24"/>
          <w:szCs w:val="32"/>
          <w:highlight w:val="none"/>
        </w:rPr>
        <w:t>（单位负责人）</w:t>
      </w:r>
      <w:r>
        <w:rPr>
          <w:rFonts w:hint="eastAsia" w:ascii="宋体" w:hAnsi="宋体" w:cs="宋体"/>
          <w:color w:val="auto"/>
          <w:kern w:val="0"/>
          <w:sz w:val="24"/>
          <w:highlight w:val="none"/>
        </w:rPr>
        <w:t>或授权委托代理人(签字或盖章)：</w:t>
      </w:r>
    </w:p>
    <w:p w14:paraId="74EBAE13">
      <w:pPr>
        <w:spacing w:line="360" w:lineRule="auto"/>
        <w:jc w:val="left"/>
        <w:rPr>
          <w:rFonts w:ascii="宋体" w:hAnsi="宋体" w:cs="宋体"/>
          <w:color w:val="auto"/>
          <w:kern w:val="0"/>
          <w:sz w:val="24"/>
          <w:highlight w:val="none"/>
        </w:rPr>
      </w:pPr>
    </w:p>
    <w:p w14:paraId="24DBAC78">
      <w:pPr>
        <w:spacing w:line="360" w:lineRule="auto"/>
        <w:rPr>
          <w:rFonts w:ascii="宋体" w:hAnsi="宋体" w:cs="宋体"/>
          <w:color w:val="auto"/>
          <w:sz w:val="24"/>
          <w:highlight w:val="none"/>
        </w:rPr>
      </w:pPr>
      <w:r>
        <w:rPr>
          <w:rFonts w:hint="eastAsia" w:ascii="宋体" w:hAnsi="宋体" w:cs="宋体"/>
          <w:color w:val="auto"/>
          <w:kern w:val="0"/>
          <w:sz w:val="24"/>
          <w:highlight w:val="none"/>
        </w:rPr>
        <w:t>日期：</w:t>
      </w:r>
      <w:r>
        <w:rPr>
          <w:rFonts w:hint="eastAsia" w:ascii="宋体" w:hAnsi="宋体" w:cs="宋体"/>
          <w:color w:val="auto"/>
          <w:kern w:val="0"/>
          <w:sz w:val="24"/>
          <w:highlight w:val="none"/>
          <w:lang w:val="zh-CN"/>
        </w:rPr>
        <w:t>年月日</w:t>
      </w:r>
    </w:p>
    <w:p w14:paraId="14E6ED65">
      <w:pPr>
        <w:spacing w:line="360" w:lineRule="auto"/>
        <w:rPr>
          <w:rFonts w:ascii="宋体" w:hAnsi="宋体" w:cs="宋体"/>
          <w:b/>
          <w:bCs/>
          <w:color w:val="auto"/>
          <w:spacing w:val="-6"/>
          <w:sz w:val="24"/>
          <w:highlight w:val="none"/>
        </w:rPr>
      </w:pPr>
    </w:p>
    <w:p w14:paraId="2D0726A2">
      <w:pPr>
        <w:rPr>
          <w:rFonts w:ascii="宋体" w:hAnsi="宋体" w:cs="宋体"/>
          <w:b/>
          <w:bCs/>
          <w:color w:val="auto"/>
          <w:sz w:val="28"/>
          <w:szCs w:val="36"/>
          <w:highlight w:val="none"/>
        </w:rPr>
      </w:pPr>
    </w:p>
    <w:p w14:paraId="7D304514">
      <w:pPr>
        <w:rPr>
          <w:rFonts w:ascii="宋体" w:hAnsi="宋体" w:cs="宋体"/>
          <w:b/>
          <w:bCs/>
          <w:color w:val="auto"/>
          <w:sz w:val="28"/>
          <w:szCs w:val="36"/>
          <w:highlight w:val="none"/>
        </w:rPr>
      </w:pPr>
    </w:p>
    <w:p w14:paraId="0394C0A1">
      <w:pPr>
        <w:rPr>
          <w:rFonts w:ascii="宋体" w:hAnsi="宋体" w:cs="宋体"/>
          <w:b/>
          <w:bCs/>
          <w:color w:val="auto"/>
          <w:sz w:val="28"/>
          <w:szCs w:val="36"/>
          <w:highlight w:val="none"/>
        </w:rPr>
      </w:pPr>
    </w:p>
    <w:p w14:paraId="6C3BB6D1">
      <w:pPr>
        <w:rPr>
          <w:rFonts w:ascii="宋体" w:hAnsi="宋体" w:cs="宋体"/>
          <w:b/>
          <w:bCs/>
          <w:color w:val="auto"/>
          <w:sz w:val="28"/>
          <w:szCs w:val="36"/>
          <w:highlight w:val="none"/>
        </w:rPr>
      </w:pPr>
    </w:p>
    <w:p w14:paraId="648A2284">
      <w:pPr>
        <w:rPr>
          <w:b/>
          <w:bCs/>
          <w:color w:val="auto"/>
          <w:sz w:val="28"/>
          <w:szCs w:val="28"/>
          <w:highlight w:val="none"/>
        </w:rPr>
      </w:pPr>
    </w:p>
    <w:p w14:paraId="5041FB02">
      <w:pPr>
        <w:rPr>
          <w:rFonts w:ascii="宋体" w:hAnsi="宋体" w:cs="宋体"/>
          <w:b/>
          <w:color w:val="auto"/>
          <w:sz w:val="24"/>
          <w:highlight w:val="none"/>
        </w:rPr>
      </w:pPr>
      <w:r>
        <w:rPr>
          <w:rFonts w:hint="eastAsia"/>
          <w:b/>
          <w:bCs/>
          <w:color w:val="auto"/>
          <w:sz w:val="28"/>
          <w:szCs w:val="28"/>
          <w:highlight w:val="none"/>
        </w:rPr>
        <w:t>附件6</w:t>
      </w:r>
    </w:p>
    <w:p w14:paraId="4F733163">
      <w:pPr>
        <w:spacing w:afterLines="100" w:line="480" w:lineRule="auto"/>
        <w:jc w:val="center"/>
        <w:rPr>
          <w:rFonts w:ascii="宋体" w:hAnsi="宋体" w:cs="宋体"/>
          <w:color w:val="auto"/>
          <w:sz w:val="24"/>
          <w:highlight w:val="none"/>
        </w:rPr>
      </w:pPr>
      <w:r>
        <w:rPr>
          <w:rFonts w:hint="eastAsia" w:ascii="宋体" w:hAnsi="宋体" w:cs="宋体"/>
          <w:b/>
          <w:bCs/>
          <w:color w:val="auto"/>
          <w:kern w:val="0"/>
          <w:sz w:val="24"/>
          <w:highlight w:val="none"/>
          <w:lang w:val="zh-CN"/>
        </w:rPr>
        <w:t>无税收缴纳、社会保障等方面的失信记录的承诺函</w:t>
      </w:r>
    </w:p>
    <w:p w14:paraId="04C03E42">
      <w:pPr>
        <w:spacing w:line="600" w:lineRule="exact"/>
        <w:rPr>
          <w:rFonts w:ascii="宋体" w:hAnsi="宋体" w:cs="宋体"/>
          <w:color w:val="auto"/>
          <w:kern w:val="0"/>
          <w:sz w:val="24"/>
          <w:highlight w:val="none"/>
        </w:rPr>
      </w:pPr>
    </w:p>
    <w:p w14:paraId="4A6CFA80">
      <w:pPr>
        <w:spacing w:line="600" w:lineRule="exact"/>
        <w:rPr>
          <w:rFonts w:ascii="宋体" w:hAnsi="宋体" w:cs="宋体"/>
          <w:color w:val="auto"/>
          <w:sz w:val="24"/>
          <w:highlight w:val="none"/>
        </w:rPr>
      </w:pPr>
      <w:r>
        <w:rPr>
          <w:rFonts w:hint="eastAsia" w:ascii="宋体" w:hAnsi="宋体" w:cs="宋体"/>
          <w:color w:val="auto"/>
          <w:kern w:val="0"/>
          <w:sz w:val="24"/>
          <w:highlight w:val="none"/>
        </w:rPr>
        <w:t>致：</w:t>
      </w:r>
      <w:r>
        <w:rPr>
          <w:rFonts w:hint="eastAsia" w:ascii="宋体" w:hAnsi="宋体" w:cs="宋体"/>
          <w:color w:val="auto"/>
          <w:sz w:val="24"/>
          <w:highlight w:val="none"/>
          <w:u w:val="single"/>
        </w:rPr>
        <w:t>大地工程咨询有限公司</w:t>
      </w:r>
    </w:p>
    <w:p w14:paraId="61615D1D">
      <w:pPr>
        <w:pStyle w:val="2"/>
        <w:spacing w:line="600" w:lineRule="exact"/>
        <w:ind w:firstLine="480" w:firstLineChars="200"/>
        <w:rPr>
          <w:rFonts w:ascii="宋体" w:hAnsi="宋体" w:cs="宋体"/>
          <w:color w:val="auto"/>
          <w:highlight w:val="none"/>
        </w:rPr>
      </w:pPr>
      <w:r>
        <w:rPr>
          <w:rFonts w:hint="eastAsia" w:ascii="宋体" w:hAnsi="宋体" w:cs="宋体"/>
          <w:color w:val="auto"/>
          <w:highlight w:val="none"/>
        </w:rPr>
        <w:t>我公司参加</w:t>
      </w:r>
      <w:r>
        <w:rPr>
          <w:rFonts w:hint="eastAsia" w:ascii="宋体" w:hAnsi="宋体" w:cs="宋体"/>
          <w:color w:val="auto"/>
          <w:szCs w:val="32"/>
          <w:highlight w:val="none"/>
          <w:u w:val="single"/>
          <w:lang w:eastAsia="zh-CN"/>
        </w:rPr>
        <w:t>路桥区海塘排涝闸2026-2028年物业化管理项目</w:t>
      </w:r>
      <w:r>
        <w:rPr>
          <w:rFonts w:hint="eastAsia" w:ascii="宋体" w:hAnsi="宋体" w:cs="宋体"/>
          <w:color w:val="auto"/>
          <w:highlight w:val="none"/>
          <w:u w:val="single"/>
        </w:rPr>
        <w:t>（编号为</w:t>
      </w:r>
      <w:r>
        <w:rPr>
          <w:rFonts w:hint="eastAsia" w:ascii="宋体" w:hAnsi="宋体" w:cs="宋体"/>
          <w:color w:val="auto"/>
          <w:szCs w:val="32"/>
          <w:highlight w:val="none"/>
          <w:u w:val="single"/>
          <w:lang w:eastAsia="zh-CN"/>
        </w:rPr>
        <w:t>DDTZ2025-1212</w:t>
      </w:r>
      <w:r>
        <w:rPr>
          <w:rFonts w:hint="eastAsia" w:ascii="宋体" w:hAnsi="宋体" w:cs="宋体"/>
          <w:color w:val="auto"/>
          <w:highlight w:val="none"/>
          <w:u w:val="single"/>
        </w:rPr>
        <w:t>）</w:t>
      </w:r>
      <w:r>
        <w:rPr>
          <w:rFonts w:hint="eastAsia" w:ascii="宋体" w:hAnsi="宋体" w:cs="宋体"/>
          <w:color w:val="auto"/>
          <w:highlight w:val="none"/>
        </w:rPr>
        <w:t>的投标活动，作如下承诺：</w:t>
      </w:r>
    </w:p>
    <w:p w14:paraId="08E28FCD">
      <w:pPr>
        <w:pStyle w:val="2"/>
        <w:spacing w:line="600" w:lineRule="exact"/>
        <w:ind w:firstLine="480" w:firstLineChars="200"/>
        <w:rPr>
          <w:rFonts w:ascii="宋体" w:hAnsi="宋体" w:cs="宋体"/>
          <w:color w:val="auto"/>
          <w:highlight w:val="none"/>
        </w:rPr>
      </w:pPr>
      <w:r>
        <w:rPr>
          <w:rFonts w:hint="eastAsia" w:ascii="宋体" w:hAnsi="宋体" w:cs="宋体"/>
          <w:color w:val="auto"/>
          <w:highlight w:val="none"/>
        </w:rPr>
        <w:t>我公司在参加本项目政府采购活动前，符合参与政府采购活动的资格条件，有依法缴纳税收（享受免税政策的则无欠税）和社会保障资金的良好记录，不存在税收缴纳、社会保障等方面的失信记录。</w:t>
      </w:r>
    </w:p>
    <w:p w14:paraId="3828895A">
      <w:pPr>
        <w:spacing w:line="6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如违反以上承诺，本公司愿承担一切法律责任。</w:t>
      </w:r>
    </w:p>
    <w:p w14:paraId="376CF525">
      <w:pPr>
        <w:spacing w:line="360" w:lineRule="auto"/>
        <w:rPr>
          <w:rFonts w:ascii="宋体" w:hAnsi="宋体" w:cs="宋体"/>
          <w:color w:val="auto"/>
          <w:sz w:val="24"/>
          <w:highlight w:val="none"/>
          <w:lang w:val="zh-CN"/>
        </w:rPr>
      </w:pPr>
    </w:p>
    <w:p w14:paraId="4708B0BF">
      <w:pPr>
        <w:pStyle w:val="2"/>
        <w:rPr>
          <w:rFonts w:ascii="宋体" w:hAnsi="宋体" w:cs="宋体"/>
          <w:color w:val="auto"/>
          <w:highlight w:val="none"/>
          <w:lang w:val="zh-CN"/>
        </w:rPr>
      </w:pPr>
    </w:p>
    <w:p w14:paraId="5BF4431B">
      <w:pPr>
        <w:pStyle w:val="2"/>
        <w:rPr>
          <w:rFonts w:ascii="宋体" w:hAnsi="宋体" w:cs="宋体"/>
          <w:color w:val="auto"/>
          <w:highlight w:val="none"/>
          <w:lang w:val="zh-CN"/>
        </w:rPr>
      </w:pPr>
    </w:p>
    <w:p w14:paraId="111E26DA">
      <w:pPr>
        <w:wordWrap w:val="0"/>
        <w:spacing w:line="360" w:lineRule="auto"/>
        <w:rPr>
          <w:rFonts w:ascii="宋体" w:hAnsi="宋体" w:cs="宋体"/>
          <w:color w:val="auto"/>
          <w:kern w:val="0"/>
          <w:sz w:val="24"/>
          <w:highlight w:val="none"/>
        </w:rPr>
      </w:pPr>
      <w:r>
        <w:rPr>
          <w:rFonts w:hint="eastAsia" w:ascii="宋体" w:hAnsi="宋体" w:cs="宋体"/>
          <w:color w:val="auto"/>
          <w:sz w:val="24"/>
          <w:highlight w:val="none"/>
        </w:rPr>
        <w:t>投标人名称</w:t>
      </w:r>
      <w:r>
        <w:rPr>
          <w:rFonts w:hint="eastAsia" w:ascii="宋体" w:hAnsi="宋体" w:cs="宋体"/>
          <w:color w:val="auto"/>
          <w:kern w:val="0"/>
          <w:sz w:val="24"/>
          <w:highlight w:val="none"/>
        </w:rPr>
        <w:t xml:space="preserve">(公章)：             </w:t>
      </w:r>
    </w:p>
    <w:p w14:paraId="6D09404D">
      <w:pPr>
        <w:spacing w:line="360" w:lineRule="auto"/>
        <w:rPr>
          <w:rFonts w:hint="eastAsia" w:ascii="宋体" w:hAnsi="宋体" w:cs="宋体"/>
          <w:color w:val="auto"/>
          <w:kern w:val="0"/>
          <w:sz w:val="24"/>
          <w:highlight w:val="none"/>
        </w:rPr>
      </w:pPr>
    </w:p>
    <w:p w14:paraId="2DA1EC8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w:t>
      </w:r>
      <w:r>
        <w:rPr>
          <w:rFonts w:hint="eastAsia" w:ascii="宋体" w:hAnsi="宋体" w:cs="宋体"/>
          <w:color w:val="auto"/>
          <w:sz w:val="24"/>
          <w:szCs w:val="32"/>
          <w:highlight w:val="none"/>
        </w:rPr>
        <w:t>（单位负责人）</w:t>
      </w:r>
      <w:r>
        <w:rPr>
          <w:rFonts w:hint="eastAsia" w:ascii="宋体" w:hAnsi="宋体" w:cs="宋体"/>
          <w:color w:val="auto"/>
          <w:kern w:val="0"/>
          <w:sz w:val="24"/>
          <w:highlight w:val="none"/>
        </w:rPr>
        <w:t>或授权委托代理人(签字或盖章)：</w:t>
      </w:r>
    </w:p>
    <w:p w14:paraId="4D373A34">
      <w:pPr>
        <w:spacing w:line="360" w:lineRule="auto"/>
        <w:jc w:val="left"/>
        <w:rPr>
          <w:rFonts w:ascii="宋体" w:hAnsi="宋体" w:cs="宋体"/>
          <w:color w:val="auto"/>
          <w:kern w:val="0"/>
          <w:sz w:val="24"/>
          <w:highlight w:val="none"/>
        </w:rPr>
      </w:pPr>
    </w:p>
    <w:p w14:paraId="090EE08B">
      <w:pPr>
        <w:spacing w:line="360" w:lineRule="auto"/>
        <w:rPr>
          <w:rFonts w:ascii="宋体" w:hAnsi="宋体" w:cs="宋体"/>
          <w:color w:val="auto"/>
          <w:sz w:val="24"/>
          <w:highlight w:val="none"/>
        </w:rPr>
      </w:pPr>
      <w:r>
        <w:rPr>
          <w:rFonts w:hint="eastAsia" w:ascii="宋体" w:hAnsi="宋体" w:cs="宋体"/>
          <w:color w:val="auto"/>
          <w:kern w:val="0"/>
          <w:sz w:val="24"/>
          <w:highlight w:val="none"/>
        </w:rPr>
        <w:t>日期：</w:t>
      </w:r>
      <w:r>
        <w:rPr>
          <w:rFonts w:hint="eastAsia" w:ascii="宋体" w:hAnsi="宋体" w:cs="宋体"/>
          <w:color w:val="auto"/>
          <w:kern w:val="0"/>
          <w:sz w:val="24"/>
          <w:highlight w:val="none"/>
          <w:lang w:val="zh-CN"/>
        </w:rPr>
        <w:t>年月日</w:t>
      </w:r>
    </w:p>
    <w:p w14:paraId="7B923464">
      <w:pPr>
        <w:pStyle w:val="96"/>
        <w:shd w:val="clear" w:color="auto" w:fill="FFFFFF"/>
        <w:spacing w:before="0" w:beforeAutospacing="0" w:after="0" w:afterAutospacing="0" w:line="360" w:lineRule="auto"/>
        <w:rPr>
          <w:b/>
          <w:color w:val="auto"/>
          <w:highlight w:val="none"/>
        </w:rPr>
      </w:pPr>
    </w:p>
    <w:p w14:paraId="377DFDEC">
      <w:pPr>
        <w:spacing w:line="360" w:lineRule="auto"/>
        <w:rPr>
          <w:rFonts w:ascii="宋体" w:hAnsi="宋体" w:cs="宋体"/>
          <w:b/>
          <w:color w:val="auto"/>
          <w:sz w:val="24"/>
          <w:highlight w:val="none"/>
        </w:rPr>
      </w:pPr>
    </w:p>
    <w:p w14:paraId="4D857791">
      <w:pPr>
        <w:pStyle w:val="6"/>
        <w:rPr>
          <w:rFonts w:ascii="宋体" w:hAnsi="宋体" w:eastAsia="宋体" w:cs="宋体"/>
          <w:color w:val="auto"/>
          <w:sz w:val="24"/>
          <w:highlight w:val="none"/>
        </w:rPr>
      </w:pPr>
    </w:p>
    <w:p w14:paraId="60B006F4">
      <w:pPr>
        <w:rPr>
          <w:rFonts w:ascii="宋体" w:hAnsi="宋体" w:cs="宋体"/>
          <w:b/>
          <w:color w:val="auto"/>
          <w:sz w:val="24"/>
          <w:highlight w:val="none"/>
        </w:rPr>
      </w:pPr>
    </w:p>
    <w:p w14:paraId="5C9CD01E">
      <w:pPr>
        <w:rPr>
          <w:b/>
          <w:bCs/>
          <w:color w:val="auto"/>
          <w:sz w:val="28"/>
          <w:szCs w:val="28"/>
          <w:highlight w:val="none"/>
        </w:rPr>
      </w:pPr>
    </w:p>
    <w:p w14:paraId="17CEC225">
      <w:pPr>
        <w:rPr>
          <w:b/>
          <w:bCs/>
          <w:color w:val="auto"/>
          <w:sz w:val="28"/>
          <w:szCs w:val="28"/>
          <w:highlight w:val="none"/>
        </w:rPr>
      </w:pPr>
    </w:p>
    <w:p w14:paraId="5008DAE9">
      <w:pPr>
        <w:rPr>
          <w:b/>
          <w:bCs/>
          <w:color w:val="auto"/>
          <w:sz w:val="28"/>
          <w:szCs w:val="28"/>
          <w:highlight w:val="none"/>
        </w:rPr>
      </w:pPr>
    </w:p>
    <w:p w14:paraId="47ECABE2">
      <w:pPr>
        <w:rPr>
          <w:b/>
          <w:bCs/>
          <w:color w:val="auto"/>
          <w:sz w:val="28"/>
          <w:szCs w:val="28"/>
          <w:highlight w:val="none"/>
        </w:rPr>
      </w:pPr>
      <w:r>
        <w:rPr>
          <w:rFonts w:hint="eastAsia"/>
          <w:b/>
          <w:bCs/>
          <w:color w:val="auto"/>
          <w:sz w:val="28"/>
          <w:szCs w:val="28"/>
          <w:highlight w:val="none"/>
        </w:rPr>
        <w:t>附件7</w:t>
      </w:r>
    </w:p>
    <w:p w14:paraId="6A79D67E">
      <w:pPr>
        <w:spacing w:line="360" w:lineRule="auto"/>
        <w:jc w:val="center"/>
        <w:outlineLvl w:val="2"/>
        <w:rPr>
          <w:rFonts w:ascii="宋体" w:hAnsi="宋体" w:cs="宋体"/>
          <w:b/>
          <w:color w:val="auto"/>
          <w:spacing w:val="-6"/>
          <w:sz w:val="24"/>
          <w:highlight w:val="none"/>
        </w:rPr>
      </w:pPr>
      <w:r>
        <w:rPr>
          <w:rFonts w:hint="eastAsia" w:ascii="宋体" w:hAnsi="宋体" w:cs="宋体"/>
          <w:b/>
          <w:color w:val="auto"/>
          <w:spacing w:val="-6"/>
          <w:sz w:val="24"/>
          <w:highlight w:val="none"/>
        </w:rPr>
        <w:t>参加政府采购活动前3年内在经营活动中没有重大违法记录的书面声明</w:t>
      </w:r>
    </w:p>
    <w:p w14:paraId="5A6A6860">
      <w:pPr>
        <w:pStyle w:val="15"/>
        <w:spacing w:line="360" w:lineRule="auto"/>
        <w:ind w:left="169" w:hanging="169" w:hangingChars="74"/>
        <w:jc w:val="center"/>
        <w:rPr>
          <w:rFonts w:ascii="宋体" w:hAnsi="宋体" w:cs="宋体"/>
          <w:b/>
          <w:color w:val="auto"/>
          <w:spacing w:val="-6"/>
          <w:sz w:val="24"/>
          <w:highlight w:val="none"/>
        </w:rPr>
      </w:pPr>
      <w:r>
        <w:rPr>
          <w:rFonts w:hint="eastAsia" w:ascii="宋体" w:hAnsi="宋体" w:cs="宋体"/>
          <w:b/>
          <w:color w:val="auto"/>
          <w:spacing w:val="-6"/>
          <w:sz w:val="24"/>
          <w:highlight w:val="none"/>
        </w:rPr>
        <w:t>声明函</w:t>
      </w:r>
    </w:p>
    <w:p w14:paraId="7EF0860A">
      <w:pPr>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致：</w:t>
      </w:r>
      <w:r>
        <w:rPr>
          <w:rFonts w:hint="eastAsia" w:ascii="宋体" w:hAnsi="宋体" w:cs="宋体"/>
          <w:color w:val="auto"/>
          <w:spacing w:val="-6"/>
          <w:sz w:val="24"/>
          <w:highlight w:val="none"/>
          <w:u w:val="single"/>
        </w:rPr>
        <w:t>大地工程咨询有限公司</w:t>
      </w:r>
    </w:p>
    <w:p w14:paraId="405E7DBF">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我公司郑重承诺在参加本项目政府采购活动前三年内，在经营活动中</w:t>
      </w:r>
      <w:r>
        <w:rPr>
          <w:rFonts w:hint="eastAsia" w:ascii="宋体" w:hAnsi="宋体" w:cs="宋体"/>
          <w:b/>
          <w:color w:val="auto"/>
          <w:spacing w:val="-6"/>
          <w:sz w:val="24"/>
          <w:highlight w:val="none"/>
        </w:rPr>
        <w:t>（填写“有”或“没有”，如实填写，如不填写视同未提供本声明函）</w:t>
      </w:r>
      <w:r>
        <w:rPr>
          <w:rFonts w:hint="eastAsia" w:ascii="宋体" w:hAnsi="宋体" w:cs="宋体"/>
          <w:color w:val="auto"/>
          <w:spacing w:val="-6"/>
          <w:sz w:val="24"/>
          <w:highlight w:val="none"/>
        </w:rPr>
        <w:t>重大违法记录，重大违法记录是指供应商因违法经营受到刑事处罚或者责令停产停业、吊销许可证或者执照、较大数额罚款等行政处罚。</w:t>
      </w:r>
    </w:p>
    <w:p w14:paraId="11C31CA9">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以上事项如有虚假或隐瞒，我方愿意承担一切后果和责任。</w:t>
      </w:r>
    </w:p>
    <w:p w14:paraId="462E8293">
      <w:pPr>
        <w:spacing w:line="360" w:lineRule="auto"/>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特此声明。</w:t>
      </w:r>
    </w:p>
    <w:p w14:paraId="17C8EF25">
      <w:pPr>
        <w:spacing w:line="360" w:lineRule="auto"/>
        <w:rPr>
          <w:rFonts w:ascii="宋体" w:hAnsi="宋体" w:cs="宋体"/>
          <w:color w:val="auto"/>
          <w:spacing w:val="-6"/>
          <w:sz w:val="24"/>
          <w:highlight w:val="none"/>
        </w:rPr>
      </w:pPr>
    </w:p>
    <w:p w14:paraId="38F34623">
      <w:pPr>
        <w:pStyle w:val="33"/>
        <w:spacing w:line="360" w:lineRule="auto"/>
        <w:rPr>
          <w:rFonts w:hAnsi="宋体"/>
          <w:color w:val="auto"/>
          <w:spacing w:val="-6"/>
          <w:highlight w:val="none"/>
        </w:rPr>
      </w:pPr>
    </w:p>
    <w:p w14:paraId="1EFFEE31">
      <w:pPr>
        <w:pStyle w:val="109"/>
        <w:spacing w:line="360" w:lineRule="auto"/>
        <w:ind w:left="0"/>
        <w:rPr>
          <w:rFonts w:ascii="宋体" w:hAnsi="宋体" w:cs="宋体"/>
          <w:color w:val="auto"/>
          <w:sz w:val="24"/>
          <w:szCs w:val="24"/>
          <w:highlight w:val="none"/>
        </w:rPr>
      </w:pPr>
    </w:p>
    <w:p w14:paraId="5FFEF2CA">
      <w:pPr>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供应商名称（盖章）：</w:t>
      </w:r>
    </w:p>
    <w:p w14:paraId="0133E8D2">
      <w:pPr>
        <w:spacing w:line="360" w:lineRule="auto"/>
        <w:rPr>
          <w:rFonts w:ascii="宋体" w:hAnsi="宋体" w:cs="宋体"/>
          <w:color w:val="auto"/>
          <w:spacing w:val="-6"/>
          <w:sz w:val="24"/>
          <w:highlight w:val="none"/>
        </w:rPr>
      </w:pPr>
      <w:r>
        <w:rPr>
          <w:rFonts w:hint="eastAsia" w:ascii="宋体" w:hAnsi="宋体" w:cs="宋体"/>
          <w:color w:val="auto"/>
          <w:kern w:val="0"/>
          <w:sz w:val="24"/>
          <w:highlight w:val="none"/>
        </w:rPr>
        <w:t>法定代表人</w:t>
      </w:r>
      <w:r>
        <w:rPr>
          <w:rFonts w:hint="eastAsia" w:ascii="宋体" w:hAnsi="宋体" w:cs="宋体"/>
          <w:color w:val="auto"/>
          <w:sz w:val="24"/>
          <w:szCs w:val="32"/>
          <w:highlight w:val="none"/>
        </w:rPr>
        <w:t>（单位负责人）</w:t>
      </w:r>
      <w:r>
        <w:rPr>
          <w:rFonts w:hint="eastAsia" w:ascii="宋体" w:hAnsi="宋体" w:cs="宋体"/>
          <w:color w:val="auto"/>
          <w:kern w:val="0"/>
          <w:sz w:val="24"/>
          <w:highlight w:val="none"/>
        </w:rPr>
        <w:t>或授权委托代理人(签字或盖章)</w:t>
      </w:r>
      <w:r>
        <w:rPr>
          <w:rFonts w:hint="eastAsia" w:ascii="宋体" w:hAnsi="宋体" w:cs="宋体"/>
          <w:color w:val="auto"/>
          <w:spacing w:val="-6"/>
          <w:sz w:val="24"/>
          <w:highlight w:val="none"/>
        </w:rPr>
        <w:t>：</w:t>
      </w:r>
    </w:p>
    <w:p w14:paraId="148B6D9A">
      <w:pPr>
        <w:tabs>
          <w:tab w:val="left" w:pos="3225"/>
        </w:tabs>
        <w:spacing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日期：     年   月   日</w:t>
      </w:r>
    </w:p>
    <w:p w14:paraId="2E04FDCE">
      <w:pPr>
        <w:snapToGrid w:val="0"/>
        <w:spacing w:line="360" w:lineRule="auto"/>
        <w:ind w:firstLine="2160" w:firstLineChars="900"/>
        <w:rPr>
          <w:rFonts w:ascii="宋体" w:hAnsi="宋体" w:cs="宋体"/>
          <w:color w:val="auto"/>
          <w:sz w:val="24"/>
          <w:highlight w:val="none"/>
          <w:lang w:val="zh-CN"/>
        </w:rPr>
      </w:pPr>
    </w:p>
    <w:p w14:paraId="66189F50">
      <w:pPr>
        <w:pStyle w:val="21"/>
        <w:rPr>
          <w:color w:val="auto"/>
          <w:highlight w:val="none"/>
        </w:rPr>
      </w:pPr>
    </w:p>
    <w:p w14:paraId="51A22DF2">
      <w:pPr>
        <w:spacing w:line="360" w:lineRule="auto"/>
        <w:rPr>
          <w:rFonts w:ascii="宋体"/>
          <w:color w:val="auto"/>
          <w:sz w:val="24"/>
          <w:highlight w:val="none"/>
        </w:rPr>
      </w:pPr>
    </w:p>
    <w:p w14:paraId="2AD53E78">
      <w:pPr>
        <w:pStyle w:val="32"/>
        <w:rPr>
          <w:rFonts w:ascii="宋体"/>
          <w:color w:val="auto"/>
          <w:sz w:val="24"/>
          <w:highlight w:val="none"/>
        </w:rPr>
      </w:pPr>
    </w:p>
    <w:p w14:paraId="5A11EDCF">
      <w:pPr>
        <w:pStyle w:val="32"/>
        <w:rPr>
          <w:rFonts w:ascii="宋体"/>
          <w:color w:val="auto"/>
          <w:sz w:val="24"/>
          <w:highlight w:val="none"/>
        </w:rPr>
      </w:pPr>
    </w:p>
    <w:p w14:paraId="71A8792C">
      <w:pPr>
        <w:rPr>
          <w:rFonts w:ascii="宋体" w:hAnsi="宋体"/>
          <w:b/>
          <w:color w:val="auto"/>
          <w:sz w:val="28"/>
          <w:highlight w:val="none"/>
        </w:rPr>
      </w:pPr>
      <w:r>
        <w:rPr>
          <w:rFonts w:hint="eastAsia" w:ascii="宋体" w:hAnsi="宋体"/>
          <w:b/>
          <w:color w:val="auto"/>
          <w:sz w:val="28"/>
          <w:highlight w:val="none"/>
        </w:rPr>
        <w:br w:type="page"/>
      </w:r>
    </w:p>
    <w:p w14:paraId="2B1373C9">
      <w:pPr>
        <w:snapToGrid w:val="0"/>
        <w:spacing w:line="450" w:lineRule="exact"/>
        <w:jc w:val="center"/>
        <w:textAlignment w:val="auto"/>
        <w:rPr>
          <w:b/>
          <w:bCs/>
          <w:color w:val="auto"/>
          <w:sz w:val="32"/>
          <w:szCs w:val="40"/>
          <w:highlight w:val="none"/>
        </w:rPr>
      </w:pPr>
      <w:r>
        <w:rPr>
          <w:rFonts w:hint="eastAsia"/>
          <w:b/>
          <w:bCs/>
          <w:color w:val="auto"/>
          <w:sz w:val="32"/>
          <w:szCs w:val="40"/>
          <w:highlight w:val="none"/>
        </w:rPr>
        <w:t>落实政府采购政策需满足的资格要求所对应的证明材料</w:t>
      </w:r>
    </w:p>
    <w:p w14:paraId="77364C86">
      <w:pPr>
        <w:pStyle w:val="4"/>
        <w:numPr>
          <w:ilvl w:val="0"/>
          <w:numId w:val="0"/>
        </w:numPr>
        <w:ind w:left="615"/>
        <w:rPr>
          <w:color w:val="auto"/>
          <w:highlight w:val="none"/>
        </w:rPr>
      </w:pPr>
    </w:p>
    <w:p w14:paraId="51B4104F">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1、中小企业声明函（必须提供。格式见附件A）；</w:t>
      </w:r>
    </w:p>
    <w:p w14:paraId="5D2E7973">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 xml:space="preserve">中小企业应当按照《政府采购促进中小企业发展管理办法》规定和《中小企业划型标准规定》（工信部联企业〔2011〕300 号），如实填写并提交《中小企业声明函》。 </w:t>
      </w:r>
    </w:p>
    <w:p w14:paraId="5BF42804">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 xml:space="preserve">中小企业对其声明内容的真实性负责，声明函内容不实的，属于提供虚假材料谋取中标、成交，依照《中华人民共和国政府采购法》等国家有关规定追究相应责任。 </w:t>
      </w:r>
    </w:p>
    <w:p w14:paraId="4D2F80D6">
      <w:pPr>
        <w:spacing w:line="360" w:lineRule="auto"/>
        <w:ind w:firstLine="480" w:firstLineChars="200"/>
        <w:jc w:val="left"/>
        <w:rPr>
          <w:rFonts w:ascii="宋体" w:hAnsi="宋体" w:cs="宋体"/>
          <w:bCs/>
          <w:color w:val="auto"/>
          <w:sz w:val="24"/>
          <w:highlight w:val="none"/>
          <w:lang w:val="zh-CN"/>
        </w:rPr>
      </w:pPr>
      <w:r>
        <w:rPr>
          <w:rFonts w:hint="eastAsia" w:ascii="宋体" w:hAnsi="宋体" w:cs="宋体"/>
          <w:bCs/>
          <w:color w:val="auto"/>
          <w:sz w:val="24"/>
          <w:highlight w:val="none"/>
        </w:rPr>
        <w:t>2、投标人为监狱企业的证明文件：省级以上监狱管理局、戒毒管理局（含新疆生产建设兵团）出具。（如是需提供证明文件）</w:t>
      </w:r>
      <w:r>
        <w:rPr>
          <w:rFonts w:hint="eastAsia" w:ascii="宋体" w:hAnsi="宋体" w:cs="宋体"/>
          <w:bCs/>
          <w:color w:val="auto"/>
          <w:sz w:val="24"/>
          <w:highlight w:val="none"/>
          <w:lang w:val="zh-CN"/>
        </w:rPr>
        <w:t>。</w:t>
      </w:r>
    </w:p>
    <w:p w14:paraId="7C2C83CF">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3、投标人如符合《财政部、民政部、中国残疾人联合会关于促进残疾人就业政府采购政策的通知》 （财库〔2017〕141 号）政策规定的，须提供《残疾人福利性单位声明函》；（如是需提供，格式见附件B））</w:t>
      </w:r>
    </w:p>
    <w:p w14:paraId="4B00220B">
      <w:pPr>
        <w:rPr>
          <w:color w:val="auto"/>
          <w:highlight w:val="none"/>
        </w:rPr>
      </w:pPr>
    </w:p>
    <w:p w14:paraId="68E4AE3D">
      <w:pPr>
        <w:rPr>
          <w:color w:val="auto"/>
          <w:highlight w:val="none"/>
        </w:rPr>
      </w:pPr>
    </w:p>
    <w:p w14:paraId="2EB76B11">
      <w:pPr>
        <w:snapToGrid w:val="0"/>
        <w:spacing w:line="450" w:lineRule="exact"/>
        <w:jc w:val="center"/>
        <w:textAlignment w:val="auto"/>
        <w:rPr>
          <w:color w:val="auto"/>
          <w:sz w:val="28"/>
          <w:szCs w:val="36"/>
          <w:highlight w:val="none"/>
        </w:rPr>
      </w:pPr>
    </w:p>
    <w:p w14:paraId="7BCE9603">
      <w:pPr>
        <w:snapToGrid w:val="0"/>
        <w:spacing w:line="450" w:lineRule="exact"/>
        <w:jc w:val="center"/>
        <w:textAlignment w:val="auto"/>
        <w:rPr>
          <w:color w:val="auto"/>
          <w:sz w:val="28"/>
          <w:szCs w:val="36"/>
          <w:highlight w:val="none"/>
        </w:rPr>
      </w:pPr>
    </w:p>
    <w:p w14:paraId="319245FC">
      <w:pPr>
        <w:snapToGrid w:val="0"/>
        <w:spacing w:line="450" w:lineRule="exact"/>
        <w:jc w:val="center"/>
        <w:textAlignment w:val="auto"/>
        <w:rPr>
          <w:color w:val="auto"/>
          <w:sz w:val="28"/>
          <w:szCs w:val="36"/>
          <w:highlight w:val="none"/>
        </w:rPr>
      </w:pPr>
    </w:p>
    <w:p w14:paraId="3CE7A196">
      <w:pPr>
        <w:snapToGrid w:val="0"/>
        <w:spacing w:line="360" w:lineRule="auto"/>
        <w:rPr>
          <w:rFonts w:ascii="宋体" w:hAnsi="宋体" w:cs="宋体"/>
          <w:b/>
          <w:bCs/>
          <w:color w:val="auto"/>
          <w:sz w:val="28"/>
          <w:szCs w:val="28"/>
          <w:highlight w:val="none"/>
        </w:rPr>
      </w:pPr>
    </w:p>
    <w:p w14:paraId="3C4808D7">
      <w:pPr>
        <w:snapToGrid w:val="0"/>
        <w:spacing w:line="360" w:lineRule="auto"/>
        <w:rPr>
          <w:rFonts w:ascii="宋体" w:hAnsi="宋体" w:cs="宋体"/>
          <w:b/>
          <w:bCs/>
          <w:color w:val="auto"/>
          <w:sz w:val="28"/>
          <w:szCs w:val="28"/>
          <w:highlight w:val="none"/>
        </w:rPr>
      </w:pPr>
    </w:p>
    <w:p w14:paraId="137DD854">
      <w:pPr>
        <w:snapToGrid w:val="0"/>
        <w:spacing w:line="360" w:lineRule="auto"/>
        <w:rPr>
          <w:rFonts w:ascii="宋体" w:hAnsi="宋体" w:cs="宋体"/>
          <w:b/>
          <w:bCs/>
          <w:color w:val="auto"/>
          <w:sz w:val="28"/>
          <w:szCs w:val="28"/>
          <w:highlight w:val="none"/>
        </w:rPr>
      </w:pPr>
    </w:p>
    <w:p w14:paraId="657304E7">
      <w:pPr>
        <w:snapToGrid w:val="0"/>
        <w:spacing w:line="360" w:lineRule="auto"/>
        <w:rPr>
          <w:rFonts w:ascii="宋体" w:hAnsi="宋体" w:cs="宋体"/>
          <w:b/>
          <w:bCs/>
          <w:color w:val="auto"/>
          <w:sz w:val="28"/>
          <w:szCs w:val="28"/>
          <w:highlight w:val="none"/>
        </w:rPr>
      </w:pPr>
    </w:p>
    <w:p w14:paraId="68791E86">
      <w:pPr>
        <w:snapToGrid w:val="0"/>
        <w:spacing w:line="360" w:lineRule="auto"/>
        <w:rPr>
          <w:rFonts w:ascii="宋体" w:hAnsi="宋体" w:cs="宋体"/>
          <w:b/>
          <w:bCs/>
          <w:color w:val="auto"/>
          <w:sz w:val="28"/>
          <w:szCs w:val="28"/>
          <w:highlight w:val="none"/>
        </w:rPr>
      </w:pPr>
    </w:p>
    <w:p w14:paraId="51CCC7DA">
      <w:pPr>
        <w:snapToGrid w:val="0"/>
        <w:spacing w:line="360" w:lineRule="auto"/>
        <w:rPr>
          <w:rFonts w:ascii="宋体" w:hAnsi="宋体" w:cs="宋体"/>
          <w:b/>
          <w:bCs/>
          <w:color w:val="auto"/>
          <w:sz w:val="28"/>
          <w:szCs w:val="28"/>
          <w:highlight w:val="none"/>
        </w:rPr>
      </w:pPr>
    </w:p>
    <w:p w14:paraId="24316F14">
      <w:pPr>
        <w:snapToGrid w:val="0"/>
        <w:spacing w:line="360" w:lineRule="auto"/>
        <w:rPr>
          <w:rFonts w:ascii="宋体" w:hAnsi="宋体" w:cs="宋体"/>
          <w:b/>
          <w:bCs/>
          <w:color w:val="auto"/>
          <w:sz w:val="28"/>
          <w:szCs w:val="28"/>
          <w:highlight w:val="none"/>
        </w:rPr>
      </w:pPr>
    </w:p>
    <w:p w14:paraId="52117967">
      <w:pPr>
        <w:snapToGrid w:val="0"/>
        <w:spacing w:line="360" w:lineRule="auto"/>
        <w:rPr>
          <w:rFonts w:ascii="宋体" w:hAnsi="宋体" w:cs="宋体"/>
          <w:b/>
          <w:bCs/>
          <w:color w:val="auto"/>
          <w:sz w:val="28"/>
          <w:szCs w:val="28"/>
          <w:highlight w:val="none"/>
        </w:rPr>
      </w:pPr>
    </w:p>
    <w:p w14:paraId="12897A60">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96F810F">
      <w:pPr>
        <w:snapToGrid w:val="0"/>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附件A：</w:t>
      </w:r>
    </w:p>
    <w:p w14:paraId="73CF0EFA">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787BA2E1">
      <w:pPr>
        <w:snapToGrid w:val="0"/>
        <w:spacing w:line="312" w:lineRule="auto"/>
        <w:ind w:firstLine="480" w:firstLineChars="200"/>
        <w:rPr>
          <w:rFonts w:ascii="宋体" w:hAnsi="宋体" w:cs="宋体"/>
          <w:color w:val="auto"/>
          <w:sz w:val="24"/>
          <w:highlight w:val="none"/>
        </w:rPr>
      </w:pPr>
    </w:p>
    <w:p w14:paraId="3708AE58">
      <w:pPr>
        <w:snapToGrid w:val="0"/>
        <w:spacing w:line="5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本公司（联合体）郑重声明，根据《政府采购促进中小企业发展管理办法》（财库﹝2021﹞46 号）的规定，本公司（联合体）参加</w:t>
      </w:r>
      <w:r>
        <w:rPr>
          <w:rFonts w:hint="eastAsia" w:ascii="宋体" w:hAnsi="宋体" w:cs="宋体"/>
          <w:color w:val="auto"/>
          <w:sz w:val="24"/>
          <w:highlight w:val="none"/>
          <w:u w:val="single"/>
        </w:rPr>
        <w:t>（</w:t>
      </w:r>
      <w:r>
        <w:rPr>
          <w:rFonts w:hint="eastAsia" w:ascii="宋体" w:hAnsi="宋体"/>
          <w:color w:val="auto"/>
          <w:spacing w:val="6"/>
          <w:sz w:val="24"/>
          <w:highlight w:val="none"/>
          <w:u w:val="single"/>
        </w:rPr>
        <w:t>采购人</w:t>
      </w:r>
      <w:r>
        <w:rPr>
          <w:rFonts w:hint="eastAsia" w:ascii="宋体" w:hAnsi="宋体" w:cs="宋体"/>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1E30E771">
      <w:pPr>
        <w:snapToGrid w:val="0"/>
        <w:spacing w:line="560" w:lineRule="exact"/>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 万元</w:t>
      </w:r>
      <w:r>
        <w:rPr>
          <w:rFonts w:hint="eastAsia" w:ascii="宋体" w:hAnsi="宋体" w:cs="宋体"/>
          <w:color w:val="auto"/>
          <w:sz w:val="24"/>
          <w:highlight w:val="none"/>
          <w:vertAlign w:val="superscript"/>
        </w:rPr>
        <w:t xml:space="preserve"> 1</w:t>
      </w:r>
      <w:r>
        <w:rPr>
          <w:rFonts w:hint="eastAsia" w:ascii="宋体" w:hAnsi="宋体" w:cs="宋体"/>
          <w:color w:val="auto"/>
          <w:sz w:val="24"/>
          <w:highlight w:val="none"/>
        </w:rPr>
        <w:t xml:space="preserve">，属于（中型企业、小型企业、微型企业）； </w:t>
      </w:r>
    </w:p>
    <w:p w14:paraId="218CCD51">
      <w:pPr>
        <w:snapToGrid w:val="0"/>
        <w:spacing w:line="560" w:lineRule="exact"/>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，从业人员人，营业收入为万元，资产总额为万元，属于（中型企业、小型企业、微型企业）； </w:t>
      </w:r>
    </w:p>
    <w:p w14:paraId="6018CB1E">
      <w:pPr>
        <w:snapToGrid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 xml:space="preserve">…… </w:t>
      </w:r>
    </w:p>
    <w:p w14:paraId="67A6463B">
      <w:pPr>
        <w:snapToGrid w:val="0"/>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 xml:space="preserve">以上企业，不属于大企业的分支机构，不存在控股股东为大企业的情形，也不存在与大企业的负责人为同一人的情形。本企业对上述声明内容的真实性负责。如有虚假，将依法承担相应责任。 </w:t>
      </w:r>
    </w:p>
    <w:p w14:paraId="52FB88CA">
      <w:pPr>
        <w:ind w:left="420"/>
        <w:rPr>
          <w:rFonts w:ascii="宋体" w:hAnsi="宋体"/>
          <w:color w:val="auto"/>
          <w:sz w:val="24"/>
          <w:highlight w:val="none"/>
        </w:rPr>
      </w:pPr>
      <w:r>
        <w:rPr>
          <w:rFonts w:hint="eastAsia" w:ascii="宋体" w:hAnsi="宋体"/>
          <w:b/>
          <w:bCs/>
          <w:color w:val="auto"/>
          <w:szCs w:val="21"/>
          <w:highlight w:val="none"/>
        </w:rPr>
        <w:t>注：</w:t>
      </w:r>
      <w:r>
        <w:rPr>
          <w:rFonts w:hint="eastAsia" w:ascii="宋体" w:hAnsi="宋体" w:cs="宋体"/>
          <w:b/>
          <w:bCs/>
          <w:color w:val="auto"/>
          <w:szCs w:val="21"/>
          <w:highlight w:val="none"/>
        </w:rPr>
        <w:t>从业人员、营业收入、资产总额填报上一年度数据，无上一年度数据的新成立企业可不填报。</w:t>
      </w:r>
    </w:p>
    <w:p w14:paraId="09E2F31A">
      <w:pPr>
        <w:ind w:left="420"/>
        <w:rPr>
          <w:rFonts w:ascii="宋体" w:hAnsi="宋体"/>
          <w:color w:val="auto"/>
          <w:sz w:val="24"/>
          <w:highlight w:val="none"/>
        </w:rPr>
      </w:pPr>
    </w:p>
    <w:p w14:paraId="2C15EB65">
      <w:pPr>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企业名称（盖章）：</w:t>
      </w:r>
    </w:p>
    <w:p w14:paraId="03CBBE4B">
      <w:pPr>
        <w:spacing w:line="360" w:lineRule="auto"/>
        <w:jc w:val="left"/>
        <w:rPr>
          <w:rFonts w:ascii="宋体" w:hAnsi="宋体"/>
          <w:bCs/>
          <w:color w:val="auto"/>
          <w:sz w:val="24"/>
          <w:highlight w:val="none"/>
        </w:rPr>
      </w:pPr>
    </w:p>
    <w:p w14:paraId="44741075">
      <w:pPr>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日 期：</w:t>
      </w:r>
      <w:r>
        <w:rPr>
          <w:rFonts w:hint="eastAsia" w:ascii="宋体" w:hAnsi="宋体" w:cs="仿宋_GB2312"/>
          <w:color w:val="auto"/>
          <w:sz w:val="24"/>
          <w:highlight w:val="none"/>
        </w:rPr>
        <w:t>2025</w:t>
      </w:r>
      <w:r>
        <w:rPr>
          <w:rFonts w:hint="eastAsia" w:ascii="宋体" w:hAnsi="宋体" w:cs="仿宋_GB2312"/>
          <w:color w:val="auto"/>
          <w:sz w:val="24"/>
          <w:highlight w:val="none"/>
          <w:lang w:val="zh-CN"/>
        </w:rPr>
        <w:t>年  月   日</w:t>
      </w:r>
    </w:p>
    <w:p w14:paraId="19476552">
      <w:pPr>
        <w:spacing w:line="360" w:lineRule="auto"/>
        <w:jc w:val="left"/>
        <w:rPr>
          <w:rFonts w:ascii="宋体" w:hAnsi="宋体"/>
          <w:bCs/>
          <w:color w:val="auto"/>
          <w:sz w:val="24"/>
          <w:highlight w:val="none"/>
        </w:rPr>
      </w:pPr>
    </w:p>
    <w:p w14:paraId="33B56338">
      <w:pPr>
        <w:spacing w:line="360" w:lineRule="auto"/>
        <w:jc w:val="left"/>
        <w:rPr>
          <w:rFonts w:ascii="宋体" w:hAnsi="宋体"/>
          <w:bCs/>
          <w:color w:val="auto"/>
          <w:sz w:val="24"/>
          <w:highlight w:val="none"/>
        </w:rPr>
      </w:pPr>
    </w:p>
    <w:p w14:paraId="5FF0C7E5">
      <w:pPr>
        <w:spacing w:line="380" w:lineRule="exact"/>
        <w:rPr>
          <w:rFonts w:ascii="宋体" w:hAnsi="宋体"/>
          <w:b/>
          <w:color w:val="auto"/>
          <w:sz w:val="28"/>
          <w:highlight w:val="none"/>
        </w:rPr>
      </w:pPr>
    </w:p>
    <w:p w14:paraId="25AFC2D0">
      <w:pPr>
        <w:spacing w:line="380" w:lineRule="exact"/>
        <w:rPr>
          <w:rFonts w:ascii="仿宋_GB2312" w:hAnsi="宋体"/>
          <w:bCs/>
          <w:color w:val="auto"/>
          <w:sz w:val="30"/>
          <w:szCs w:val="30"/>
          <w:highlight w:val="none"/>
        </w:rPr>
      </w:pPr>
      <w:r>
        <w:rPr>
          <w:rFonts w:hint="eastAsia" w:ascii="宋体" w:hAnsi="宋体"/>
          <w:b/>
          <w:color w:val="auto"/>
          <w:sz w:val="28"/>
          <w:highlight w:val="none"/>
        </w:rPr>
        <w:t>附件B：</w:t>
      </w:r>
    </w:p>
    <w:p w14:paraId="57BA80C3">
      <w:pPr>
        <w:pStyle w:val="11"/>
        <w:tabs>
          <w:tab w:val="right" w:leader="dot" w:pos="8494"/>
        </w:tabs>
        <w:spacing w:line="360" w:lineRule="auto"/>
        <w:jc w:val="center"/>
        <w:outlineLvl w:val="1"/>
        <w:rPr>
          <w:rFonts w:hAnsi="宋体"/>
          <w:b/>
          <w:color w:val="auto"/>
          <w:sz w:val="32"/>
          <w:szCs w:val="32"/>
          <w:highlight w:val="none"/>
          <w:lang w:val="en-GB"/>
        </w:rPr>
      </w:pPr>
    </w:p>
    <w:p w14:paraId="431BEA42">
      <w:pPr>
        <w:pStyle w:val="11"/>
        <w:tabs>
          <w:tab w:val="right" w:leader="dot" w:pos="8494"/>
        </w:tabs>
        <w:spacing w:line="360" w:lineRule="auto"/>
        <w:jc w:val="center"/>
        <w:outlineLvl w:val="1"/>
        <w:rPr>
          <w:rFonts w:hAnsi="宋体"/>
          <w:b/>
          <w:color w:val="auto"/>
          <w:sz w:val="32"/>
          <w:szCs w:val="32"/>
          <w:highlight w:val="none"/>
          <w:lang w:val="en-GB"/>
        </w:rPr>
      </w:pPr>
      <w:r>
        <w:rPr>
          <w:rFonts w:hint="eastAsia" w:hAnsi="宋体"/>
          <w:b/>
          <w:color w:val="auto"/>
          <w:sz w:val="32"/>
          <w:szCs w:val="32"/>
          <w:highlight w:val="none"/>
          <w:lang w:val="en-GB"/>
        </w:rPr>
        <w:t>残疾人福利性单位声明函</w:t>
      </w:r>
    </w:p>
    <w:p w14:paraId="08C5E9D3">
      <w:pPr>
        <w:spacing w:line="588" w:lineRule="exact"/>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中国残疾人联合会关于促进残疾人就业政府采购政策的通知》（财库〔2017〕 141号）的规定，本单位为符合条件的残疾人福利性单位，且本单位参加的项目采购活动提供本单位制造的货物（由本单位承担工程/提供服务），或者提供其他残疾人福利性单位制造的货物（不包括使用非残疾人福利性单位注册商标的货物）。</w:t>
      </w:r>
    </w:p>
    <w:p w14:paraId="6DB118D9">
      <w:pPr>
        <w:spacing w:line="588" w:lineRule="exact"/>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3D21E1DE">
      <w:pPr>
        <w:tabs>
          <w:tab w:val="left" w:pos="4860"/>
        </w:tabs>
        <w:spacing w:line="588" w:lineRule="exact"/>
        <w:ind w:right="1560" w:firstLine="504" w:firstLineChars="200"/>
        <w:jc w:val="center"/>
        <w:rPr>
          <w:rFonts w:ascii="宋体" w:hAnsi="宋体"/>
          <w:color w:val="auto"/>
          <w:spacing w:val="6"/>
          <w:sz w:val="24"/>
          <w:highlight w:val="none"/>
        </w:rPr>
      </w:pPr>
    </w:p>
    <w:p w14:paraId="6CE8C3B4">
      <w:pPr>
        <w:tabs>
          <w:tab w:val="left" w:pos="4860"/>
        </w:tabs>
        <w:spacing w:line="588" w:lineRule="exact"/>
        <w:ind w:right="1560" w:firstLine="504" w:firstLineChars="200"/>
        <w:jc w:val="center"/>
        <w:rPr>
          <w:rFonts w:ascii="宋体" w:hAnsi="宋体"/>
          <w:color w:val="auto"/>
          <w:spacing w:val="6"/>
          <w:sz w:val="24"/>
          <w:highlight w:val="none"/>
        </w:rPr>
      </w:pPr>
    </w:p>
    <w:p w14:paraId="404CFF57">
      <w:pPr>
        <w:tabs>
          <w:tab w:val="left" w:pos="4860"/>
        </w:tabs>
        <w:spacing w:line="588" w:lineRule="exact"/>
        <w:ind w:right="1560" w:firstLine="504" w:firstLineChars="200"/>
        <w:jc w:val="center"/>
        <w:rPr>
          <w:rFonts w:ascii="宋体" w:hAnsi="宋体"/>
          <w:color w:val="auto"/>
          <w:spacing w:val="6"/>
          <w:sz w:val="24"/>
          <w:highlight w:val="none"/>
        </w:rPr>
      </w:pPr>
      <w:r>
        <w:rPr>
          <w:rFonts w:hint="eastAsia" w:ascii="宋体" w:hAnsi="宋体"/>
          <w:color w:val="auto"/>
          <w:spacing w:val="6"/>
          <w:sz w:val="24"/>
          <w:highlight w:val="none"/>
        </w:rPr>
        <w:t>单位名称（盖章）：</w:t>
      </w:r>
    </w:p>
    <w:p w14:paraId="2B87DB55">
      <w:pPr>
        <w:tabs>
          <w:tab w:val="left" w:pos="4860"/>
        </w:tabs>
        <w:spacing w:line="588" w:lineRule="exact"/>
        <w:ind w:right="1560" w:firstLine="504" w:firstLineChars="200"/>
        <w:jc w:val="center"/>
        <w:rPr>
          <w:rFonts w:ascii="宋体" w:hAnsi="宋体"/>
          <w:color w:val="auto"/>
          <w:sz w:val="24"/>
          <w:highlight w:val="none"/>
        </w:rPr>
      </w:pPr>
      <w:r>
        <w:rPr>
          <w:rFonts w:hint="eastAsia" w:ascii="宋体" w:hAnsi="宋体"/>
          <w:color w:val="auto"/>
          <w:spacing w:val="6"/>
          <w:sz w:val="24"/>
          <w:highlight w:val="none"/>
        </w:rPr>
        <w:t xml:space="preserve">                         日  期：</w:t>
      </w:r>
      <w:r>
        <w:rPr>
          <w:rFonts w:hint="eastAsia" w:ascii="宋体" w:hAnsi="宋体" w:cs="Arial"/>
          <w:color w:val="auto"/>
          <w:sz w:val="24"/>
          <w:highlight w:val="none"/>
        </w:rPr>
        <w:t>2025年月   日</w:t>
      </w:r>
    </w:p>
    <w:p w14:paraId="692BFA87">
      <w:pPr>
        <w:pStyle w:val="102"/>
        <w:spacing w:line="360" w:lineRule="auto"/>
        <w:rPr>
          <w:rFonts w:ascii="宋体" w:hAnsi="宋体"/>
          <w:b/>
          <w:color w:val="auto"/>
          <w:sz w:val="28"/>
          <w:szCs w:val="28"/>
          <w:highlight w:val="none"/>
        </w:rPr>
      </w:pPr>
    </w:p>
    <w:p w14:paraId="40D0E3A4">
      <w:pPr>
        <w:pStyle w:val="102"/>
        <w:spacing w:line="360" w:lineRule="auto"/>
        <w:rPr>
          <w:rFonts w:ascii="宋体" w:hAnsi="宋体"/>
          <w:b/>
          <w:color w:val="auto"/>
          <w:sz w:val="28"/>
          <w:szCs w:val="28"/>
          <w:highlight w:val="none"/>
        </w:rPr>
      </w:pPr>
    </w:p>
    <w:p w14:paraId="1AD16334">
      <w:pPr>
        <w:pStyle w:val="102"/>
        <w:spacing w:line="360" w:lineRule="auto"/>
        <w:rPr>
          <w:rFonts w:ascii="宋体" w:hAnsi="宋体"/>
          <w:b/>
          <w:color w:val="auto"/>
          <w:sz w:val="28"/>
          <w:szCs w:val="28"/>
          <w:highlight w:val="none"/>
        </w:rPr>
      </w:pPr>
    </w:p>
    <w:p w14:paraId="366CB86D">
      <w:pPr>
        <w:spacing w:line="440" w:lineRule="exact"/>
        <w:ind w:firstLine="482" w:firstLineChars="200"/>
        <w:rPr>
          <w:rFonts w:hAnsi="宋体"/>
          <w:b/>
          <w:color w:val="auto"/>
          <w:sz w:val="24"/>
          <w:highlight w:val="none"/>
          <w:lang w:val="en-GB"/>
        </w:rPr>
      </w:pPr>
      <w:r>
        <w:rPr>
          <w:rFonts w:hint="eastAsia" w:ascii="宋体" w:hAnsi="宋体"/>
          <w:b/>
          <w:color w:val="auto"/>
          <w:sz w:val="24"/>
          <w:highlight w:val="none"/>
        </w:rPr>
        <w:t>注：非</w:t>
      </w:r>
      <w:r>
        <w:rPr>
          <w:rFonts w:hint="eastAsia" w:hAnsi="宋体"/>
          <w:b/>
          <w:color w:val="auto"/>
          <w:sz w:val="24"/>
          <w:highlight w:val="none"/>
          <w:lang w:val="en-GB"/>
        </w:rPr>
        <w:t>残疾人福利性单位无需提供此声明函。</w:t>
      </w:r>
    </w:p>
    <w:p w14:paraId="204C7F40">
      <w:pPr>
        <w:pStyle w:val="102"/>
        <w:spacing w:line="360" w:lineRule="auto"/>
        <w:rPr>
          <w:rFonts w:ascii="宋体" w:hAnsi="宋体"/>
          <w:b/>
          <w:color w:val="auto"/>
          <w:sz w:val="28"/>
          <w:szCs w:val="28"/>
          <w:highlight w:val="none"/>
        </w:rPr>
      </w:pPr>
      <w:r>
        <w:rPr>
          <w:rFonts w:hint="eastAsia" w:hAnsi="宋体"/>
          <w:b/>
          <w:color w:val="auto"/>
          <w:sz w:val="24"/>
          <w:highlight w:val="none"/>
          <w:lang w:val="en-GB"/>
        </w:rPr>
        <w:br w:type="page"/>
      </w:r>
    </w:p>
    <w:p w14:paraId="3AE75C43">
      <w:pPr>
        <w:snapToGrid w:val="0"/>
        <w:spacing w:beforeLines="50" w:after="50" w:line="360" w:lineRule="auto"/>
        <w:rPr>
          <w:rFonts w:ascii="仿宋_GB2312" w:hAnsi="宋体" w:eastAsia="仿宋_GB2312"/>
          <w:b/>
          <w:color w:val="auto"/>
          <w:sz w:val="30"/>
          <w:szCs w:val="30"/>
          <w:highlight w:val="none"/>
        </w:rPr>
      </w:pPr>
      <w:r>
        <w:rPr>
          <w:rFonts w:hint="eastAsia" w:ascii="宋体" w:hAnsi="宋体"/>
          <w:b/>
          <w:color w:val="auto"/>
          <w:sz w:val="28"/>
          <w:highlight w:val="none"/>
        </w:rPr>
        <w:t>附件8：</w:t>
      </w:r>
    </w:p>
    <w:p w14:paraId="4B3BF145">
      <w:pPr>
        <w:snapToGrid w:val="0"/>
        <w:spacing w:beforeLines="50" w:after="50" w:line="360" w:lineRule="auto"/>
        <w:jc w:val="right"/>
        <w:rPr>
          <w:rFonts w:ascii="仿宋_GB2312" w:hAnsi="宋体" w:eastAsia="仿宋_GB2312"/>
          <w:bCs/>
          <w:color w:val="auto"/>
          <w:sz w:val="30"/>
          <w:szCs w:val="30"/>
          <w:highlight w:val="none"/>
        </w:rPr>
      </w:pPr>
    </w:p>
    <w:p w14:paraId="478346D8">
      <w:pPr>
        <w:spacing w:line="360" w:lineRule="auto"/>
        <w:ind w:right="-110"/>
        <w:jc w:val="center"/>
        <w:rPr>
          <w:rFonts w:ascii="宋体" w:hAnsi="宋体"/>
          <w:color w:val="auto"/>
          <w:spacing w:val="40"/>
          <w:sz w:val="52"/>
          <w:szCs w:val="52"/>
          <w:highlight w:val="none"/>
        </w:rPr>
      </w:pPr>
      <w:r>
        <w:rPr>
          <w:rFonts w:hint="eastAsia" w:ascii="宋体" w:hAnsi="宋体"/>
          <w:color w:val="auto"/>
          <w:spacing w:val="40"/>
          <w:sz w:val="52"/>
          <w:szCs w:val="52"/>
          <w:highlight w:val="none"/>
        </w:rPr>
        <w:t>项目名称</w:t>
      </w:r>
    </w:p>
    <w:p w14:paraId="1D6610EE">
      <w:pPr>
        <w:spacing w:beforeLines="100" w:line="360" w:lineRule="auto"/>
        <w:ind w:right="-108"/>
        <w:jc w:val="center"/>
        <w:rPr>
          <w:rFonts w:ascii="宋体" w:hAnsi="宋体"/>
          <w:color w:val="auto"/>
          <w:sz w:val="36"/>
          <w:szCs w:val="36"/>
          <w:highlight w:val="none"/>
        </w:rPr>
      </w:pPr>
      <w:r>
        <w:rPr>
          <w:rFonts w:hint="eastAsia" w:ascii="宋体" w:hAnsi="宋体"/>
          <w:color w:val="auto"/>
          <w:sz w:val="36"/>
          <w:szCs w:val="36"/>
          <w:highlight w:val="none"/>
        </w:rPr>
        <w:t>项目编号：</w:t>
      </w:r>
    </w:p>
    <w:p w14:paraId="394F40E2">
      <w:pPr>
        <w:autoSpaceDE w:val="0"/>
        <w:autoSpaceDN w:val="0"/>
        <w:adjustRightInd w:val="0"/>
        <w:spacing w:line="360" w:lineRule="auto"/>
        <w:jc w:val="center"/>
        <w:rPr>
          <w:rFonts w:ascii="宋体" w:hAnsi="宋体" w:cs="宋体"/>
          <w:color w:val="auto"/>
          <w:sz w:val="84"/>
          <w:szCs w:val="84"/>
          <w:highlight w:val="none"/>
          <w:lang w:val="zh-CN"/>
        </w:rPr>
      </w:pPr>
    </w:p>
    <w:p w14:paraId="02933E71">
      <w:pPr>
        <w:autoSpaceDE w:val="0"/>
        <w:autoSpaceDN w:val="0"/>
        <w:adjustRightInd w:val="0"/>
        <w:spacing w:line="360" w:lineRule="auto"/>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投</w:t>
      </w:r>
    </w:p>
    <w:p w14:paraId="3DC865E0">
      <w:pPr>
        <w:autoSpaceDE w:val="0"/>
        <w:autoSpaceDN w:val="0"/>
        <w:adjustRightInd w:val="0"/>
        <w:spacing w:line="360" w:lineRule="auto"/>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标</w:t>
      </w:r>
    </w:p>
    <w:p w14:paraId="43135194">
      <w:pPr>
        <w:autoSpaceDE w:val="0"/>
        <w:autoSpaceDN w:val="0"/>
        <w:adjustRightInd w:val="0"/>
        <w:spacing w:line="360" w:lineRule="auto"/>
        <w:jc w:val="center"/>
        <w:rPr>
          <w:rFonts w:ascii="宋体" w:hAnsi="宋体"/>
          <w:color w:val="auto"/>
          <w:sz w:val="84"/>
          <w:szCs w:val="84"/>
          <w:highlight w:val="none"/>
        </w:rPr>
      </w:pPr>
      <w:r>
        <w:rPr>
          <w:rFonts w:hint="eastAsia" w:ascii="宋体" w:hAnsi="宋体" w:cs="宋体"/>
          <w:color w:val="auto"/>
          <w:sz w:val="84"/>
          <w:szCs w:val="84"/>
          <w:highlight w:val="none"/>
          <w:lang w:val="zh-CN"/>
        </w:rPr>
        <w:t>文</w:t>
      </w:r>
    </w:p>
    <w:p w14:paraId="30CD881E">
      <w:pPr>
        <w:spacing w:after="100" w:afterAutospacing="1" w:line="360" w:lineRule="auto"/>
        <w:ind w:right="-108"/>
        <w:jc w:val="center"/>
        <w:rPr>
          <w:rFonts w:ascii="宋体" w:hAnsi="宋体" w:cs="宋体"/>
          <w:color w:val="auto"/>
          <w:sz w:val="84"/>
          <w:szCs w:val="84"/>
          <w:highlight w:val="none"/>
          <w:lang w:val="zh-CN"/>
        </w:rPr>
      </w:pPr>
      <w:r>
        <w:rPr>
          <w:rFonts w:hint="eastAsia" w:ascii="宋体" w:hAnsi="宋体" w:cs="宋体"/>
          <w:color w:val="auto"/>
          <w:sz w:val="84"/>
          <w:szCs w:val="84"/>
          <w:highlight w:val="none"/>
          <w:lang w:val="zh-CN"/>
        </w:rPr>
        <w:t>件</w:t>
      </w:r>
    </w:p>
    <w:p w14:paraId="7ABAFA38">
      <w:pPr>
        <w:spacing w:after="100" w:afterAutospacing="1" w:line="360" w:lineRule="auto"/>
        <w:ind w:right="-108"/>
        <w:jc w:val="center"/>
        <w:rPr>
          <w:rFonts w:ascii="宋体" w:hAnsi="宋体"/>
          <w:b/>
          <w:color w:val="auto"/>
          <w:spacing w:val="40"/>
          <w:sz w:val="28"/>
          <w:szCs w:val="28"/>
          <w:highlight w:val="none"/>
        </w:rPr>
      </w:pPr>
      <w:r>
        <w:rPr>
          <w:rFonts w:hint="eastAsia" w:ascii="宋体" w:hAnsi="宋体" w:cs="宋体"/>
          <w:color w:val="auto"/>
          <w:sz w:val="28"/>
          <w:szCs w:val="28"/>
          <w:highlight w:val="none"/>
          <w:lang w:val="zh-CN"/>
        </w:rPr>
        <w:t>（</w:t>
      </w:r>
      <w:r>
        <w:rPr>
          <w:rFonts w:hint="eastAsia" w:ascii="宋体" w:hAnsi="宋体"/>
          <w:bCs/>
          <w:color w:val="auto"/>
          <w:sz w:val="24"/>
          <w:highlight w:val="none"/>
          <w:lang w:val="zh-CN"/>
        </w:rPr>
        <w:t>商务与技术文件</w:t>
      </w:r>
      <w:r>
        <w:rPr>
          <w:rFonts w:hint="eastAsia" w:ascii="宋体" w:hAnsi="宋体"/>
          <w:b/>
          <w:color w:val="auto"/>
          <w:spacing w:val="40"/>
          <w:sz w:val="28"/>
          <w:szCs w:val="28"/>
          <w:highlight w:val="none"/>
        </w:rPr>
        <w:t>）</w:t>
      </w:r>
    </w:p>
    <w:p w14:paraId="7A79C7C6">
      <w:pPr>
        <w:spacing w:line="360" w:lineRule="auto"/>
        <w:ind w:right="532" w:firstLine="720" w:firstLineChars="200"/>
        <w:rPr>
          <w:rFonts w:ascii="宋体" w:hAnsi="宋体"/>
          <w:color w:val="auto"/>
          <w:sz w:val="36"/>
          <w:szCs w:val="36"/>
          <w:highlight w:val="none"/>
        </w:rPr>
      </w:pPr>
      <w:r>
        <w:rPr>
          <w:rFonts w:hint="eastAsia" w:ascii="宋体" w:hAnsi="宋体"/>
          <w:color w:val="auto"/>
          <w:sz w:val="36"/>
          <w:szCs w:val="36"/>
          <w:highlight w:val="none"/>
        </w:rPr>
        <w:t>投标人全称（公章）：</w:t>
      </w:r>
    </w:p>
    <w:p w14:paraId="18FEFE07">
      <w:pPr>
        <w:spacing w:line="360" w:lineRule="auto"/>
        <w:ind w:right="532" w:firstLine="720" w:firstLineChars="200"/>
        <w:rPr>
          <w:rFonts w:ascii="宋体" w:hAnsi="宋体"/>
          <w:color w:val="auto"/>
          <w:sz w:val="36"/>
          <w:szCs w:val="36"/>
          <w:highlight w:val="none"/>
        </w:rPr>
      </w:pPr>
      <w:r>
        <w:rPr>
          <w:rFonts w:hint="eastAsia" w:ascii="宋体" w:hAnsi="宋体"/>
          <w:color w:val="auto"/>
          <w:sz w:val="36"/>
          <w:szCs w:val="36"/>
          <w:highlight w:val="none"/>
        </w:rPr>
        <w:t>地    址：</w:t>
      </w:r>
    </w:p>
    <w:p w14:paraId="30C7139B">
      <w:pPr>
        <w:spacing w:line="360" w:lineRule="auto"/>
        <w:ind w:right="532" w:firstLine="720" w:firstLineChars="200"/>
        <w:rPr>
          <w:rFonts w:ascii="宋体" w:hAnsi="宋体"/>
          <w:color w:val="auto"/>
          <w:sz w:val="36"/>
          <w:szCs w:val="36"/>
          <w:highlight w:val="none"/>
        </w:rPr>
      </w:pPr>
      <w:r>
        <w:rPr>
          <w:rFonts w:hint="eastAsia" w:ascii="宋体" w:hAnsi="宋体"/>
          <w:color w:val="auto"/>
          <w:sz w:val="36"/>
          <w:szCs w:val="36"/>
          <w:highlight w:val="none"/>
        </w:rPr>
        <w:t>时    间：</w:t>
      </w:r>
    </w:p>
    <w:p w14:paraId="6DD01124">
      <w:pPr>
        <w:spacing w:line="360" w:lineRule="auto"/>
        <w:ind w:right="532" w:firstLine="720" w:firstLineChars="200"/>
        <w:rPr>
          <w:rFonts w:ascii="宋体" w:hAnsi="宋体"/>
          <w:color w:val="auto"/>
          <w:sz w:val="36"/>
          <w:szCs w:val="36"/>
          <w:highlight w:val="none"/>
        </w:rPr>
      </w:pPr>
    </w:p>
    <w:p w14:paraId="31C36C8A">
      <w:pPr>
        <w:spacing w:line="360" w:lineRule="auto"/>
        <w:ind w:right="532" w:firstLine="720" w:firstLineChars="200"/>
        <w:rPr>
          <w:rFonts w:ascii="宋体" w:hAnsi="宋体"/>
          <w:color w:val="auto"/>
          <w:sz w:val="36"/>
          <w:szCs w:val="36"/>
          <w:highlight w:val="none"/>
        </w:rPr>
      </w:pPr>
    </w:p>
    <w:p w14:paraId="0578916A">
      <w:pPr>
        <w:snapToGrid w:val="0"/>
        <w:spacing w:before="50" w:after="50"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lang w:val="zh-CN"/>
        </w:rPr>
        <w:t>商务与技术文件</w:t>
      </w:r>
      <w:r>
        <w:rPr>
          <w:rFonts w:hint="eastAsia" w:ascii="宋体" w:hAnsi="宋体"/>
          <w:b/>
          <w:bCs/>
          <w:color w:val="auto"/>
          <w:sz w:val="32"/>
          <w:szCs w:val="32"/>
          <w:highlight w:val="none"/>
        </w:rPr>
        <w:t>目录</w:t>
      </w:r>
    </w:p>
    <w:p w14:paraId="6C8248C3">
      <w:pPr>
        <w:snapToGrid w:val="0"/>
        <w:spacing w:line="360" w:lineRule="auto"/>
        <w:rPr>
          <w:rFonts w:ascii="宋体" w:hAnsi="宋体"/>
          <w:color w:val="auto"/>
          <w:sz w:val="24"/>
          <w:highlight w:val="none"/>
        </w:rPr>
      </w:pPr>
    </w:p>
    <w:p w14:paraId="34E99598">
      <w:pPr>
        <w:pStyle w:val="8"/>
        <w:adjustRightInd w:val="0"/>
        <w:snapToGrid w:val="0"/>
        <w:spacing w:line="360" w:lineRule="auto"/>
        <w:ind w:firstLine="480" w:firstLineChars="200"/>
        <w:rPr>
          <w:rFonts w:hAnsi="宋体"/>
          <w:color w:val="auto"/>
          <w:sz w:val="24"/>
          <w:highlight w:val="none"/>
        </w:rPr>
      </w:pPr>
      <w:r>
        <w:rPr>
          <w:rFonts w:hint="eastAsia" w:ascii="宋体" w:hAnsi="宋体"/>
          <w:color w:val="auto"/>
          <w:sz w:val="24"/>
          <w:highlight w:val="none"/>
        </w:rPr>
        <w:t>1、供应商情况介绍（主要产品、人员与技术力量、企业规模、经营业绩等，格式自拟）</w:t>
      </w:r>
      <w:r>
        <w:rPr>
          <w:rFonts w:hint="eastAsia" w:hAnsi="宋体"/>
          <w:color w:val="auto"/>
          <w:sz w:val="24"/>
          <w:highlight w:val="none"/>
        </w:rPr>
        <w:t>（附件9）；</w:t>
      </w:r>
    </w:p>
    <w:p w14:paraId="691AA1B4">
      <w:pPr>
        <w:pStyle w:val="8"/>
        <w:adjustRightInd w:val="0"/>
        <w:snapToGrid w:val="0"/>
        <w:spacing w:line="360" w:lineRule="auto"/>
        <w:ind w:firstLine="480" w:firstLineChars="200"/>
        <w:rPr>
          <w:rFonts w:hAnsi="宋体"/>
          <w:color w:val="auto"/>
          <w:sz w:val="24"/>
          <w:highlight w:val="none"/>
        </w:rPr>
      </w:pPr>
      <w:r>
        <w:rPr>
          <w:rFonts w:hint="eastAsia" w:hAnsi="宋体"/>
          <w:color w:val="auto"/>
          <w:sz w:val="24"/>
          <w:highlight w:val="none"/>
        </w:rPr>
        <w:t>3、项目实施人员一览表（附件10）；</w:t>
      </w:r>
    </w:p>
    <w:p w14:paraId="74AB101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4、商务响应表（附件11）；</w:t>
      </w:r>
    </w:p>
    <w:p w14:paraId="0F75E2EE">
      <w:pPr>
        <w:spacing w:line="360" w:lineRule="auto"/>
        <w:ind w:firstLine="480" w:firstLineChars="200"/>
        <w:rPr>
          <w:rFonts w:hAnsi="宋体"/>
          <w:color w:val="auto"/>
          <w:sz w:val="24"/>
          <w:highlight w:val="none"/>
        </w:rPr>
      </w:pPr>
      <w:r>
        <w:rPr>
          <w:rFonts w:hint="eastAsia" w:ascii="宋体" w:hAnsi="宋体"/>
          <w:color w:val="auto"/>
          <w:sz w:val="24"/>
          <w:highlight w:val="none"/>
        </w:rPr>
        <w:t>5、</w:t>
      </w:r>
      <w:r>
        <w:rPr>
          <w:rFonts w:hint="eastAsia" w:hAnsi="宋体" w:cs="宋体"/>
          <w:color w:val="auto"/>
          <w:kern w:val="0"/>
          <w:sz w:val="24"/>
          <w:highlight w:val="none"/>
          <w:lang w:val="zh-CN"/>
        </w:rPr>
        <w:t>技术响应表</w:t>
      </w:r>
      <w:r>
        <w:rPr>
          <w:rFonts w:hint="eastAsia" w:hAnsi="宋体"/>
          <w:color w:val="auto"/>
          <w:sz w:val="24"/>
          <w:highlight w:val="none"/>
        </w:rPr>
        <w:t>（附件12）；</w:t>
      </w:r>
    </w:p>
    <w:p w14:paraId="67DC78AB">
      <w:pPr>
        <w:snapToGrid w:val="0"/>
        <w:spacing w:line="360" w:lineRule="auto"/>
        <w:ind w:firstLine="480" w:firstLineChars="200"/>
        <w:rPr>
          <w:rFonts w:hAnsi="宋体"/>
          <w:color w:val="auto"/>
          <w:sz w:val="24"/>
          <w:highlight w:val="none"/>
        </w:rPr>
      </w:pPr>
      <w:r>
        <w:rPr>
          <w:rFonts w:hint="eastAsia" w:ascii="宋体" w:hAnsi="宋体"/>
          <w:color w:val="auto"/>
          <w:sz w:val="24"/>
          <w:highlight w:val="none"/>
        </w:rPr>
        <w:t>6、</w:t>
      </w:r>
      <w:r>
        <w:rPr>
          <w:rFonts w:hint="eastAsia" w:hAnsi="宋体"/>
          <w:color w:val="auto"/>
          <w:sz w:val="24"/>
          <w:highlight w:val="none"/>
        </w:rPr>
        <w:t>供应商认为需要提供的其他资料（包括可能影响供应商商务与技术文件评分的各类证明材料）。</w:t>
      </w:r>
      <w:r>
        <w:rPr>
          <w:rFonts w:hint="eastAsia" w:hAnsi="宋体"/>
          <w:color w:val="auto"/>
          <w:sz w:val="24"/>
          <w:highlight w:val="none"/>
        </w:rPr>
        <w:br w:type="textWrapping"/>
      </w:r>
    </w:p>
    <w:p w14:paraId="18437A74">
      <w:pPr>
        <w:pStyle w:val="32"/>
        <w:rPr>
          <w:rFonts w:hAnsi="宋体"/>
          <w:color w:val="auto"/>
          <w:sz w:val="24"/>
          <w:highlight w:val="none"/>
        </w:rPr>
      </w:pPr>
    </w:p>
    <w:p w14:paraId="0B5172DC">
      <w:pPr>
        <w:pStyle w:val="96"/>
        <w:spacing w:before="0" w:beforeAutospacing="0" w:after="0" w:afterAutospacing="0" w:line="360" w:lineRule="auto"/>
        <w:rPr>
          <w:b/>
          <w:color w:val="auto"/>
          <w:sz w:val="28"/>
          <w:highlight w:val="none"/>
        </w:rPr>
      </w:pPr>
    </w:p>
    <w:p w14:paraId="69B4174A">
      <w:pPr>
        <w:pStyle w:val="96"/>
        <w:spacing w:before="0" w:beforeAutospacing="0" w:after="0" w:afterAutospacing="0" w:line="360" w:lineRule="auto"/>
        <w:rPr>
          <w:b/>
          <w:color w:val="auto"/>
          <w:sz w:val="28"/>
          <w:highlight w:val="none"/>
        </w:rPr>
      </w:pPr>
    </w:p>
    <w:p w14:paraId="4694B401">
      <w:pPr>
        <w:pStyle w:val="96"/>
        <w:spacing w:before="0" w:beforeAutospacing="0" w:after="0" w:afterAutospacing="0" w:line="360" w:lineRule="auto"/>
        <w:rPr>
          <w:b/>
          <w:color w:val="auto"/>
          <w:sz w:val="28"/>
          <w:highlight w:val="none"/>
        </w:rPr>
      </w:pPr>
    </w:p>
    <w:p w14:paraId="1731E506">
      <w:pPr>
        <w:pStyle w:val="96"/>
        <w:spacing w:before="0" w:beforeAutospacing="0" w:after="0" w:afterAutospacing="0" w:line="360" w:lineRule="auto"/>
        <w:rPr>
          <w:b/>
          <w:color w:val="auto"/>
          <w:sz w:val="28"/>
          <w:highlight w:val="none"/>
        </w:rPr>
      </w:pPr>
    </w:p>
    <w:p w14:paraId="26EF940B">
      <w:pPr>
        <w:pStyle w:val="96"/>
        <w:spacing w:before="0" w:beforeAutospacing="0" w:after="0" w:afterAutospacing="0" w:line="360" w:lineRule="auto"/>
        <w:rPr>
          <w:b/>
          <w:color w:val="auto"/>
          <w:sz w:val="28"/>
          <w:highlight w:val="none"/>
        </w:rPr>
      </w:pPr>
    </w:p>
    <w:p w14:paraId="4FCD47E7">
      <w:pPr>
        <w:pStyle w:val="96"/>
        <w:spacing w:before="0" w:beforeAutospacing="0" w:after="0" w:afterAutospacing="0" w:line="360" w:lineRule="auto"/>
        <w:rPr>
          <w:b/>
          <w:color w:val="auto"/>
          <w:sz w:val="28"/>
          <w:highlight w:val="none"/>
        </w:rPr>
      </w:pPr>
    </w:p>
    <w:p w14:paraId="13F30436">
      <w:pPr>
        <w:pStyle w:val="96"/>
        <w:spacing w:before="0" w:beforeAutospacing="0" w:after="0" w:afterAutospacing="0" w:line="360" w:lineRule="auto"/>
        <w:rPr>
          <w:b/>
          <w:color w:val="auto"/>
          <w:sz w:val="28"/>
          <w:highlight w:val="none"/>
        </w:rPr>
      </w:pPr>
    </w:p>
    <w:p w14:paraId="6F290912">
      <w:pPr>
        <w:pStyle w:val="96"/>
        <w:spacing w:before="0" w:beforeAutospacing="0" w:after="0" w:afterAutospacing="0" w:line="360" w:lineRule="auto"/>
        <w:rPr>
          <w:b/>
          <w:color w:val="auto"/>
          <w:sz w:val="28"/>
          <w:highlight w:val="none"/>
        </w:rPr>
      </w:pPr>
    </w:p>
    <w:p w14:paraId="315044F7">
      <w:pPr>
        <w:spacing w:line="360" w:lineRule="auto"/>
        <w:rPr>
          <w:rFonts w:ascii="宋体" w:hAnsi="宋体"/>
          <w:b/>
          <w:color w:val="auto"/>
          <w:sz w:val="28"/>
          <w:highlight w:val="none"/>
          <w:lang w:val="zh-CN"/>
        </w:rPr>
      </w:pPr>
    </w:p>
    <w:p w14:paraId="63B71A8A">
      <w:pPr>
        <w:rPr>
          <w:rFonts w:ascii="宋体" w:hAnsi="宋体"/>
          <w:b/>
          <w:color w:val="auto"/>
          <w:sz w:val="28"/>
          <w:highlight w:val="none"/>
          <w:lang w:val="zh-CN"/>
        </w:rPr>
      </w:pPr>
      <w:r>
        <w:rPr>
          <w:rFonts w:hint="eastAsia" w:ascii="宋体" w:hAnsi="宋体"/>
          <w:b/>
          <w:color w:val="auto"/>
          <w:sz w:val="28"/>
          <w:highlight w:val="none"/>
          <w:lang w:val="zh-CN"/>
        </w:rPr>
        <w:br w:type="page"/>
      </w:r>
    </w:p>
    <w:p w14:paraId="11AAA228">
      <w:pPr>
        <w:spacing w:line="360" w:lineRule="auto"/>
        <w:ind w:firstLine="435"/>
        <w:rPr>
          <w:rFonts w:ascii="宋体" w:hAnsi="宋体"/>
          <w:b/>
          <w:color w:val="auto"/>
          <w:sz w:val="28"/>
          <w:highlight w:val="none"/>
          <w:lang w:val="zh-CN"/>
        </w:rPr>
      </w:pPr>
      <w:r>
        <w:rPr>
          <w:rFonts w:hint="eastAsia" w:ascii="宋体" w:hAnsi="宋体"/>
          <w:b/>
          <w:color w:val="auto"/>
          <w:sz w:val="28"/>
          <w:highlight w:val="none"/>
          <w:lang w:val="zh-CN"/>
        </w:rPr>
        <w:t>附件</w:t>
      </w:r>
      <w:r>
        <w:rPr>
          <w:rFonts w:hint="eastAsia" w:ascii="宋体" w:hAnsi="宋体"/>
          <w:b/>
          <w:color w:val="auto"/>
          <w:sz w:val="28"/>
          <w:highlight w:val="none"/>
        </w:rPr>
        <w:t>9</w:t>
      </w:r>
      <w:r>
        <w:rPr>
          <w:rFonts w:hint="eastAsia" w:ascii="宋体" w:hAnsi="宋体"/>
          <w:b/>
          <w:color w:val="auto"/>
          <w:sz w:val="28"/>
          <w:highlight w:val="none"/>
          <w:lang w:val="zh-CN"/>
        </w:rPr>
        <w:t>：</w:t>
      </w:r>
    </w:p>
    <w:p w14:paraId="0CA5A437">
      <w:pPr>
        <w:spacing w:line="360" w:lineRule="auto"/>
        <w:jc w:val="center"/>
        <w:rPr>
          <w:rFonts w:ascii="宋体"/>
          <w:b/>
          <w:bCs/>
          <w:color w:val="auto"/>
          <w:sz w:val="32"/>
          <w:szCs w:val="32"/>
          <w:highlight w:val="none"/>
          <w:lang w:val="zh-CN"/>
        </w:rPr>
      </w:pPr>
      <w:r>
        <w:rPr>
          <w:rFonts w:hint="eastAsia" w:ascii="宋体" w:hAnsi="宋体" w:cs="宋体"/>
          <w:b/>
          <w:bCs/>
          <w:color w:val="auto"/>
          <w:sz w:val="32"/>
          <w:szCs w:val="32"/>
          <w:highlight w:val="none"/>
          <w:lang w:val="zh-CN"/>
        </w:rPr>
        <w:t>投标人基本情况表</w:t>
      </w:r>
    </w:p>
    <w:p w14:paraId="25FD4D93">
      <w:pPr>
        <w:spacing w:line="360" w:lineRule="auto"/>
        <w:rPr>
          <w:rFonts w:ascii="宋体"/>
          <w:color w:val="auto"/>
          <w:sz w:val="24"/>
          <w:highlight w:val="none"/>
        </w:rPr>
      </w:pPr>
    </w:p>
    <w:tbl>
      <w:tblPr>
        <w:tblStyle w:val="23"/>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01"/>
        <w:gridCol w:w="852"/>
        <w:gridCol w:w="58"/>
        <w:gridCol w:w="1163"/>
        <w:gridCol w:w="112"/>
        <w:gridCol w:w="1093"/>
        <w:gridCol w:w="325"/>
        <w:gridCol w:w="1276"/>
        <w:gridCol w:w="400"/>
        <w:gridCol w:w="1218"/>
        <w:gridCol w:w="933"/>
      </w:tblGrid>
      <w:tr w14:paraId="26D1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6E73DCC">
            <w:pPr>
              <w:spacing w:line="360" w:lineRule="auto"/>
              <w:jc w:val="center"/>
              <w:rPr>
                <w:rFonts w:ascii="宋体"/>
                <w:color w:val="auto"/>
                <w:sz w:val="24"/>
                <w:highlight w:val="none"/>
              </w:rPr>
            </w:pPr>
            <w:r>
              <w:rPr>
                <w:rFonts w:hint="eastAsia" w:ascii="宋体" w:hAnsi="宋体" w:cs="宋体"/>
                <w:color w:val="auto"/>
                <w:sz w:val="24"/>
                <w:highlight w:val="none"/>
              </w:rPr>
              <w:t>企业名称</w:t>
            </w:r>
          </w:p>
        </w:tc>
        <w:tc>
          <w:tcPr>
            <w:tcW w:w="3979" w:type="dxa"/>
            <w:gridSpan w:val="6"/>
            <w:vAlign w:val="center"/>
          </w:tcPr>
          <w:p w14:paraId="71E9A825">
            <w:pPr>
              <w:spacing w:line="360" w:lineRule="auto"/>
              <w:jc w:val="center"/>
              <w:rPr>
                <w:rFonts w:ascii="宋体"/>
                <w:color w:val="auto"/>
                <w:sz w:val="24"/>
                <w:highlight w:val="none"/>
              </w:rPr>
            </w:pPr>
          </w:p>
        </w:tc>
        <w:tc>
          <w:tcPr>
            <w:tcW w:w="2001" w:type="dxa"/>
            <w:gridSpan w:val="3"/>
            <w:vAlign w:val="center"/>
          </w:tcPr>
          <w:p w14:paraId="3F9F44E6">
            <w:pPr>
              <w:spacing w:line="360" w:lineRule="auto"/>
              <w:jc w:val="center"/>
              <w:rPr>
                <w:rFonts w:ascii="宋体"/>
                <w:color w:val="auto"/>
                <w:sz w:val="24"/>
                <w:highlight w:val="none"/>
              </w:rPr>
            </w:pPr>
            <w:r>
              <w:rPr>
                <w:rFonts w:hint="eastAsia" w:ascii="宋体" w:hAnsi="宋体" w:cs="宋体"/>
                <w:color w:val="auto"/>
                <w:sz w:val="24"/>
                <w:highlight w:val="none"/>
              </w:rPr>
              <w:t>法人代表</w:t>
            </w:r>
          </w:p>
        </w:tc>
        <w:tc>
          <w:tcPr>
            <w:tcW w:w="2151" w:type="dxa"/>
            <w:gridSpan w:val="2"/>
            <w:vAlign w:val="center"/>
          </w:tcPr>
          <w:p w14:paraId="770B53FE">
            <w:pPr>
              <w:spacing w:line="360" w:lineRule="auto"/>
              <w:jc w:val="center"/>
              <w:rPr>
                <w:rFonts w:ascii="宋体"/>
                <w:color w:val="auto"/>
                <w:sz w:val="24"/>
                <w:highlight w:val="none"/>
              </w:rPr>
            </w:pPr>
          </w:p>
        </w:tc>
      </w:tr>
      <w:tr w14:paraId="21B2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6FBD4D97">
            <w:pPr>
              <w:spacing w:line="360" w:lineRule="auto"/>
              <w:jc w:val="center"/>
              <w:rPr>
                <w:rFonts w:ascii="宋体"/>
                <w:color w:val="auto"/>
                <w:sz w:val="24"/>
                <w:highlight w:val="none"/>
              </w:rPr>
            </w:pPr>
            <w:r>
              <w:rPr>
                <w:rFonts w:hint="eastAsia" w:ascii="宋体" w:hAnsi="宋体" w:cs="宋体"/>
                <w:color w:val="auto"/>
                <w:sz w:val="24"/>
                <w:highlight w:val="none"/>
              </w:rPr>
              <w:t>地址</w:t>
            </w:r>
          </w:p>
        </w:tc>
        <w:tc>
          <w:tcPr>
            <w:tcW w:w="3979" w:type="dxa"/>
            <w:gridSpan w:val="6"/>
            <w:vAlign w:val="center"/>
          </w:tcPr>
          <w:p w14:paraId="1D531794">
            <w:pPr>
              <w:spacing w:line="360" w:lineRule="auto"/>
              <w:jc w:val="center"/>
              <w:rPr>
                <w:rFonts w:ascii="宋体"/>
                <w:color w:val="auto"/>
                <w:sz w:val="24"/>
                <w:highlight w:val="none"/>
              </w:rPr>
            </w:pPr>
          </w:p>
        </w:tc>
        <w:tc>
          <w:tcPr>
            <w:tcW w:w="2001" w:type="dxa"/>
            <w:gridSpan w:val="3"/>
            <w:vAlign w:val="center"/>
          </w:tcPr>
          <w:p w14:paraId="14E33C13">
            <w:pPr>
              <w:spacing w:line="360" w:lineRule="auto"/>
              <w:jc w:val="center"/>
              <w:rPr>
                <w:rFonts w:ascii="宋体"/>
                <w:color w:val="auto"/>
                <w:sz w:val="24"/>
                <w:highlight w:val="none"/>
              </w:rPr>
            </w:pPr>
            <w:r>
              <w:rPr>
                <w:rFonts w:hint="eastAsia" w:ascii="宋体" w:hAnsi="宋体" w:cs="宋体"/>
                <w:color w:val="auto"/>
                <w:sz w:val="24"/>
                <w:highlight w:val="none"/>
              </w:rPr>
              <w:t>企业性质</w:t>
            </w:r>
          </w:p>
        </w:tc>
        <w:tc>
          <w:tcPr>
            <w:tcW w:w="2151" w:type="dxa"/>
            <w:gridSpan w:val="2"/>
            <w:vAlign w:val="center"/>
          </w:tcPr>
          <w:p w14:paraId="084F1949">
            <w:pPr>
              <w:spacing w:line="360" w:lineRule="auto"/>
              <w:jc w:val="center"/>
              <w:rPr>
                <w:rFonts w:ascii="宋体"/>
                <w:color w:val="auto"/>
                <w:sz w:val="24"/>
                <w:highlight w:val="none"/>
              </w:rPr>
            </w:pPr>
          </w:p>
        </w:tc>
      </w:tr>
      <w:tr w14:paraId="6100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14:paraId="5F14CB30">
            <w:pPr>
              <w:spacing w:line="360" w:lineRule="auto"/>
              <w:jc w:val="center"/>
              <w:rPr>
                <w:rFonts w:ascii="宋体"/>
                <w:color w:val="auto"/>
                <w:sz w:val="24"/>
                <w:highlight w:val="none"/>
              </w:rPr>
            </w:pPr>
            <w:r>
              <w:rPr>
                <w:rFonts w:hint="eastAsia" w:ascii="宋体" w:hAnsi="宋体" w:cs="宋体"/>
                <w:color w:val="auto"/>
                <w:sz w:val="24"/>
                <w:highlight w:val="none"/>
              </w:rPr>
              <w:t>股东姓名</w:t>
            </w:r>
          </w:p>
        </w:tc>
        <w:tc>
          <w:tcPr>
            <w:tcW w:w="701" w:type="dxa"/>
            <w:vAlign w:val="center"/>
          </w:tcPr>
          <w:p w14:paraId="310772E5">
            <w:pPr>
              <w:spacing w:line="360" w:lineRule="auto"/>
              <w:jc w:val="center"/>
              <w:rPr>
                <w:rFonts w:ascii="宋体"/>
                <w:color w:val="auto"/>
                <w:sz w:val="24"/>
                <w:highlight w:val="none"/>
              </w:rPr>
            </w:pPr>
          </w:p>
        </w:tc>
        <w:tc>
          <w:tcPr>
            <w:tcW w:w="910" w:type="dxa"/>
            <w:gridSpan w:val="2"/>
            <w:vAlign w:val="center"/>
          </w:tcPr>
          <w:p w14:paraId="70676DC9">
            <w:pPr>
              <w:spacing w:line="360" w:lineRule="auto"/>
              <w:jc w:val="center"/>
              <w:rPr>
                <w:rFonts w:ascii="宋体"/>
                <w:color w:val="auto"/>
                <w:sz w:val="24"/>
                <w:highlight w:val="none"/>
              </w:rPr>
            </w:pPr>
            <w:r>
              <w:rPr>
                <w:rFonts w:hint="eastAsia" w:ascii="宋体" w:hAnsi="宋体" w:cs="宋体"/>
                <w:color w:val="auto"/>
                <w:sz w:val="24"/>
                <w:highlight w:val="none"/>
              </w:rPr>
              <w:t>股权结构（</w:t>
            </w:r>
            <w:r>
              <w:rPr>
                <w:rFonts w:ascii="宋体" w:hAnsi="宋体" w:cs="宋体"/>
                <w:color w:val="auto"/>
                <w:sz w:val="24"/>
                <w:highlight w:val="none"/>
              </w:rPr>
              <w:t>%</w:t>
            </w:r>
            <w:r>
              <w:rPr>
                <w:rFonts w:hint="eastAsia" w:ascii="宋体" w:hAnsi="宋体" w:cs="宋体"/>
                <w:color w:val="auto"/>
                <w:sz w:val="24"/>
                <w:highlight w:val="none"/>
              </w:rPr>
              <w:t>）</w:t>
            </w:r>
          </w:p>
        </w:tc>
        <w:tc>
          <w:tcPr>
            <w:tcW w:w="2368" w:type="dxa"/>
            <w:gridSpan w:val="3"/>
            <w:vAlign w:val="center"/>
          </w:tcPr>
          <w:p w14:paraId="15ED9554">
            <w:pPr>
              <w:spacing w:line="360" w:lineRule="auto"/>
              <w:jc w:val="center"/>
              <w:rPr>
                <w:rFonts w:ascii="宋体"/>
                <w:color w:val="auto"/>
                <w:sz w:val="24"/>
                <w:highlight w:val="none"/>
              </w:rPr>
            </w:pPr>
          </w:p>
          <w:p w14:paraId="152E4EE1">
            <w:pPr>
              <w:spacing w:line="360" w:lineRule="auto"/>
              <w:jc w:val="center"/>
              <w:rPr>
                <w:rFonts w:ascii="宋体"/>
                <w:color w:val="auto"/>
                <w:sz w:val="24"/>
                <w:highlight w:val="none"/>
              </w:rPr>
            </w:pPr>
          </w:p>
        </w:tc>
        <w:tc>
          <w:tcPr>
            <w:tcW w:w="2001" w:type="dxa"/>
            <w:gridSpan w:val="3"/>
            <w:vAlign w:val="center"/>
          </w:tcPr>
          <w:p w14:paraId="72F0370F">
            <w:pPr>
              <w:spacing w:line="360" w:lineRule="auto"/>
              <w:jc w:val="center"/>
              <w:rPr>
                <w:rFonts w:ascii="宋体"/>
                <w:color w:val="auto"/>
                <w:sz w:val="24"/>
                <w:highlight w:val="none"/>
              </w:rPr>
            </w:pPr>
            <w:r>
              <w:rPr>
                <w:rFonts w:hint="eastAsia" w:ascii="宋体" w:hAnsi="宋体" w:cs="宋体"/>
                <w:color w:val="auto"/>
                <w:sz w:val="24"/>
                <w:highlight w:val="none"/>
              </w:rPr>
              <w:t>股东关系</w:t>
            </w:r>
          </w:p>
        </w:tc>
        <w:tc>
          <w:tcPr>
            <w:tcW w:w="2151" w:type="dxa"/>
            <w:gridSpan w:val="2"/>
            <w:vAlign w:val="center"/>
          </w:tcPr>
          <w:p w14:paraId="325C1663">
            <w:pPr>
              <w:spacing w:line="360" w:lineRule="auto"/>
              <w:jc w:val="center"/>
              <w:rPr>
                <w:rFonts w:ascii="宋体"/>
                <w:color w:val="auto"/>
                <w:sz w:val="24"/>
                <w:highlight w:val="none"/>
              </w:rPr>
            </w:pPr>
          </w:p>
        </w:tc>
      </w:tr>
      <w:tr w14:paraId="0C2C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14:paraId="7AB24558">
            <w:pPr>
              <w:spacing w:line="360" w:lineRule="auto"/>
              <w:jc w:val="center"/>
              <w:rPr>
                <w:rFonts w:ascii="宋体"/>
                <w:color w:val="auto"/>
                <w:sz w:val="24"/>
                <w:highlight w:val="none"/>
              </w:rPr>
            </w:pPr>
            <w:r>
              <w:rPr>
                <w:rFonts w:hint="eastAsia" w:ascii="宋体" w:hAnsi="宋体" w:cs="宋体"/>
                <w:color w:val="auto"/>
                <w:sz w:val="24"/>
                <w:highlight w:val="none"/>
              </w:rPr>
              <w:t>联系人姓名</w:t>
            </w:r>
          </w:p>
        </w:tc>
        <w:tc>
          <w:tcPr>
            <w:tcW w:w="701" w:type="dxa"/>
            <w:vMerge w:val="restart"/>
            <w:tcBorders>
              <w:top w:val="nil"/>
            </w:tcBorders>
            <w:vAlign w:val="center"/>
          </w:tcPr>
          <w:p w14:paraId="5831308C">
            <w:pPr>
              <w:spacing w:line="360" w:lineRule="auto"/>
              <w:jc w:val="center"/>
              <w:rPr>
                <w:rFonts w:ascii="宋体"/>
                <w:color w:val="auto"/>
                <w:sz w:val="24"/>
                <w:highlight w:val="none"/>
              </w:rPr>
            </w:pPr>
          </w:p>
        </w:tc>
        <w:tc>
          <w:tcPr>
            <w:tcW w:w="910" w:type="dxa"/>
            <w:gridSpan w:val="2"/>
            <w:tcBorders>
              <w:top w:val="nil"/>
            </w:tcBorders>
            <w:vAlign w:val="center"/>
          </w:tcPr>
          <w:p w14:paraId="0E9B14F1">
            <w:pPr>
              <w:spacing w:line="360" w:lineRule="auto"/>
              <w:jc w:val="center"/>
              <w:rPr>
                <w:rFonts w:ascii="宋体"/>
                <w:color w:val="auto"/>
                <w:sz w:val="24"/>
                <w:highlight w:val="none"/>
              </w:rPr>
            </w:pPr>
            <w:r>
              <w:rPr>
                <w:rFonts w:hint="eastAsia" w:ascii="宋体" w:hAnsi="宋体" w:cs="宋体"/>
                <w:color w:val="auto"/>
                <w:sz w:val="24"/>
                <w:highlight w:val="none"/>
              </w:rPr>
              <w:t>固定电话</w:t>
            </w:r>
          </w:p>
        </w:tc>
        <w:tc>
          <w:tcPr>
            <w:tcW w:w="2368" w:type="dxa"/>
            <w:gridSpan w:val="3"/>
            <w:tcBorders>
              <w:top w:val="nil"/>
            </w:tcBorders>
            <w:vAlign w:val="center"/>
          </w:tcPr>
          <w:p w14:paraId="307F4965">
            <w:pPr>
              <w:spacing w:line="360" w:lineRule="auto"/>
              <w:jc w:val="center"/>
              <w:rPr>
                <w:rFonts w:ascii="宋体"/>
                <w:color w:val="auto"/>
                <w:sz w:val="24"/>
                <w:highlight w:val="none"/>
              </w:rPr>
            </w:pPr>
          </w:p>
          <w:p w14:paraId="56719782">
            <w:pPr>
              <w:spacing w:line="360" w:lineRule="auto"/>
              <w:jc w:val="center"/>
              <w:rPr>
                <w:rFonts w:ascii="宋体"/>
                <w:color w:val="auto"/>
                <w:sz w:val="24"/>
                <w:highlight w:val="none"/>
              </w:rPr>
            </w:pPr>
          </w:p>
        </w:tc>
        <w:tc>
          <w:tcPr>
            <w:tcW w:w="2001" w:type="dxa"/>
            <w:gridSpan w:val="3"/>
            <w:vMerge w:val="restart"/>
            <w:vAlign w:val="center"/>
          </w:tcPr>
          <w:p w14:paraId="0D707E47">
            <w:pPr>
              <w:spacing w:line="360" w:lineRule="auto"/>
              <w:jc w:val="center"/>
              <w:rPr>
                <w:rFonts w:ascii="宋体"/>
                <w:color w:val="auto"/>
                <w:sz w:val="24"/>
                <w:highlight w:val="none"/>
              </w:rPr>
            </w:pPr>
            <w:r>
              <w:rPr>
                <w:rFonts w:hint="eastAsia" w:ascii="宋体" w:hAnsi="宋体" w:cs="宋体"/>
                <w:color w:val="auto"/>
                <w:sz w:val="24"/>
                <w:highlight w:val="none"/>
              </w:rPr>
              <w:t>传真</w:t>
            </w:r>
          </w:p>
        </w:tc>
        <w:tc>
          <w:tcPr>
            <w:tcW w:w="2151" w:type="dxa"/>
            <w:gridSpan w:val="2"/>
            <w:vMerge w:val="restart"/>
            <w:vAlign w:val="center"/>
          </w:tcPr>
          <w:p w14:paraId="753E957D">
            <w:pPr>
              <w:spacing w:line="360" w:lineRule="auto"/>
              <w:jc w:val="center"/>
              <w:rPr>
                <w:rFonts w:ascii="宋体"/>
                <w:color w:val="auto"/>
                <w:sz w:val="24"/>
                <w:highlight w:val="none"/>
              </w:rPr>
            </w:pPr>
          </w:p>
        </w:tc>
      </w:tr>
      <w:tr w14:paraId="7CB1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3DF255E7">
            <w:pPr>
              <w:spacing w:line="360" w:lineRule="auto"/>
              <w:jc w:val="center"/>
              <w:rPr>
                <w:rFonts w:ascii="宋体"/>
                <w:color w:val="auto"/>
                <w:sz w:val="24"/>
                <w:highlight w:val="none"/>
              </w:rPr>
            </w:pPr>
          </w:p>
        </w:tc>
        <w:tc>
          <w:tcPr>
            <w:tcW w:w="701" w:type="dxa"/>
            <w:vMerge w:val="continue"/>
            <w:vAlign w:val="center"/>
          </w:tcPr>
          <w:p w14:paraId="64F3D10B">
            <w:pPr>
              <w:spacing w:line="360" w:lineRule="auto"/>
              <w:jc w:val="center"/>
              <w:rPr>
                <w:rFonts w:ascii="宋体"/>
                <w:color w:val="auto"/>
                <w:sz w:val="24"/>
                <w:highlight w:val="none"/>
              </w:rPr>
            </w:pPr>
          </w:p>
        </w:tc>
        <w:tc>
          <w:tcPr>
            <w:tcW w:w="910" w:type="dxa"/>
            <w:gridSpan w:val="2"/>
            <w:vAlign w:val="center"/>
          </w:tcPr>
          <w:p w14:paraId="7A96FE81">
            <w:pPr>
              <w:spacing w:line="360" w:lineRule="auto"/>
              <w:jc w:val="center"/>
              <w:rPr>
                <w:rFonts w:ascii="宋体"/>
                <w:color w:val="auto"/>
                <w:sz w:val="24"/>
                <w:highlight w:val="none"/>
              </w:rPr>
            </w:pPr>
            <w:r>
              <w:rPr>
                <w:rFonts w:hint="eastAsia" w:ascii="宋体" w:hAnsi="宋体" w:cs="宋体"/>
                <w:color w:val="auto"/>
                <w:sz w:val="24"/>
                <w:highlight w:val="none"/>
              </w:rPr>
              <w:t>手机</w:t>
            </w:r>
          </w:p>
        </w:tc>
        <w:tc>
          <w:tcPr>
            <w:tcW w:w="2368" w:type="dxa"/>
            <w:gridSpan w:val="3"/>
            <w:vAlign w:val="center"/>
          </w:tcPr>
          <w:p w14:paraId="6FB6183E">
            <w:pPr>
              <w:spacing w:line="360" w:lineRule="auto"/>
              <w:jc w:val="center"/>
              <w:rPr>
                <w:rFonts w:ascii="宋体"/>
                <w:color w:val="auto"/>
                <w:sz w:val="24"/>
                <w:highlight w:val="none"/>
              </w:rPr>
            </w:pPr>
          </w:p>
        </w:tc>
        <w:tc>
          <w:tcPr>
            <w:tcW w:w="2001" w:type="dxa"/>
            <w:gridSpan w:val="3"/>
            <w:vMerge w:val="continue"/>
            <w:vAlign w:val="center"/>
          </w:tcPr>
          <w:p w14:paraId="18BF594C">
            <w:pPr>
              <w:spacing w:line="360" w:lineRule="auto"/>
              <w:jc w:val="center"/>
              <w:rPr>
                <w:rFonts w:ascii="宋体"/>
                <w:color w:val="auto"/>
                <w:sz w:val="24"/>
                <w:highlight w:val="none"/>
              </w:rPr>
            </w:pPr>
          </w:p>
        </w:tc>
        <w:tc>
          <w:tcPr>
            <w:tcW w:w="2151" w:type="dxa"/>
            <w:gridSpan w:val="2"/>
            <w:vMerge w:val="continue"/>
            <w:vAlign w:val="center"/>
          </w:tcPr>
          <w:p w14:paraId="51B84BE9">
            <w:pPr>
              <w:spacing w:line="360" w:lineRule="auto"/>
              <w:jc w:val="center"/>
              <w:rPr>
                <w:rFonts w:ascii="宋体"/>
                <w:color w:val="auto"/>
                <w:sz w:val="24"/>
                <w:highlight w:val="none"/>
              </w:rPr>
            </w:pPr>
          </w:p>
        </w:tc>
      </w:tr>
      <w:tr w14:paraId="60D9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14:paraId="0FD1CF04">
            <w:pPr>
              <w:spacing w:line="360" w:lineRule="auto"/>
              <w:jc w:val="center"/>
              <w:rPr>
                <w:rFonts w:ascii="宋体"/>
                <w:color w:val="auto"/>
                <w:sz w:val="24"/>
                <w:highlight w:val="none"/>
              </w:rPr>
            </w:pPr>
            <w:r>
              <w:rPr>
                <w:rFonts w:ascii="宋体" w:hAnsi="宋体" w:cs="宋体"/>
                <w:color w:val="auto"/>
                <w:sz w:val="24"/>
                <w:highlight w:val="none"/>
              </w:rPr>
              <w:t>1.</w:t>
            </w:r>
          </w:p>
          <w:p w14:paraId="3022A3A4">
            <w:pPr>
              <w:spacing w:line="360" w:lineRule="auto"/>
              <w:jc w:val="center"/>
              <w:rPr>
                <w:rFonts w:ascii="宋体"/>
                <w:color w:val="auto"/>
                <w:sz w:val="24"/>
                <w:highlight w:val="none"/>
              </w:rPr>
            </w:pPr>
            <w:r>
              <w:rPr>
                <w:rFonts w:hint="eastAsia" w:ascii="宋体" w:hAnsi="宋体" w:cs="宋体"/>
                <w:color w:val="auto"/>
                <w:sz w:val="24"/>
                <w:highlight w:val="none"/>
              </w:rPr>
              <w:t>企</w:t>
            </w:r>
          </w:p>
          <w:p w14:paraId="768CCB61">
            <w:pPr>
              <w:spacing w:line="360" w:lineRule="auto"/>
              <w:jc w:val="center"/>
              <w:rPr>
                <w:rFonts w:ascii="宋体"/>
                <w:color w:val="auto"/>
                <w:sz w:val="24"/>
                <w:highlight w:val="none"/>
              </w:rPr>
            </w:pPr>
            <w:r>
              <w:rPr>
                <w:rFonts w:hint="eastAsia" w:ascii="宋体" w:hAnsi="宋体" w:cs="宋体"/>
                <w:color w:val="auto"/>
                <w:sz w:val="24"/>
                <w:highlight w:val="none"/>
              </w:rPr>
              <w:t>业</w:t>
            </w:r>
          </w:p>
          <w:p w14:paraId="15CC411D">
            <w:pPr>
              <w:spacing w:line="360" w:lineRule="auto"/>
              <w:jc w:val="center"/>
              <w:rPr>
                <w:rFonts w:ascii="宋体"/>
                <w:color w:val="auto"/>
                <w:sz w:val="24"/>
                <w:highlight w:val="none"/>
              </w:rPr>
            </w:pPr>
            <w:r>
              <w:rPr>
                <w:rFonts w:hint="eastAsia" w:ascii="宋体" w:hAnsi="宋体" w:cs="宋体"/>
                <w:color w:val="auto"/>
                <w:sz w:val="24"/>
                <w:highlight w:val="none"/>
              </w:rPr>
              <w:t>概</w:t>
            </w:r>
          </w:p>
          <w:p w14:paraId="6AE98739">
            <w:pPr>
              <w:spacing w:line="360" w:lineRule="auto"/>
              <w:jc w:val="center"/>
              <w:rPr>
                <w:rFonts w:ascii="宋体"/>
                <w:color w:val="auto"/>
                <w:sz w:val="24"/>
                <w:highlight w:val="none"/>
              </w:rPr>
            </w:pPr>
            <w:r>
              <w:rPr>
                <w:rFonts w:hint="eastAsia" w:ascii="宋体" w:hAnsi="宋体" w:cs="宋体"/>
                <w:color w:val="auto"/>
                <w:sz w:val="24"/>
                <w:highlight w:val="none"/>
              </w:rPr>
              <w:t>况</w:t>
            </w:r>
          </w:p>
        </w:tc>
        <w:tc>
          <w:tcPr>
            <w:tcW w:w="701" w:type="dxa"/>
            <w:tcBorders>
              <w:top w:val="nil"/>
            </w:tcBorders>
            <w:vAlign w:val="center"/>
          </w:tcPr>
          <w:p w14:paraId="763B4993">
            <w:pPr>
              <w:spacing w:line="360" w:lineRule="auto"/>
              <w:jc w:val="center"/>
              <w:rPr>
                <w:rFonts w:ascii="宋体"/>
                <w:color w:val="auto"/>
                <w:sz w:val="24"/>
                <w:highlight w:val="none"/>
              </w:rPr>
            </w:pPr>
            <w:r>
              <w:rPr>
                <w:rFonts w:hint="eastAsia" w:ascii="宋体" w:hAnsi="宋体" w:cs="宋体"/>
                <w:color w:val="auto"/>
                <w:sz w:val="24"/>
                <w:highlight w:val="none"/>
              </w:rPr>
              <w:t>职工人数</w:t>
            </w:r>
          </w:p>
        </w:tc>
        <w:tc>
          <w:tcPr>
            <w:tcW w:w="910" w:type="dxa"/>
            <w:gridSpan w:val="2"/>
            <w:tcBorders>
              <w:top w:val="nil"/>
            </w:tcBorders>
            <w:vAlign w:val="center"/>
          </w:tcPr>
          <w:p w14:paraId="04E3C392">
            <w:pPr>
              <w:spacing w:line="360" w:lineRule="auto"/>
              <w:jc w:val="center"/>
              <w:rPr>
                <w:rFonts w:ascii="宋体"/>
                <w:color w:val="auto"/>
                <w:sz w:val="24"/>
                <w:highlight w:val="none"/>
              </w:rPr>
            </w:pPr>
          </w:p>
        </w:tc>
        <w:tc>
          <w:tcPr>
            <w:tcW w:w="1163" w:type="dxa"/>
            <w:tcBorders>
              <w:top w:val="nil"/>
            </w:tcBorders>
            <w:vAlign w:val="center"/>
          </w:tcPr>
          <w:p w14:paraId="3B3172F2">
            <w:pPr>
              <w:spacing w:line="360" w:lineRule="auto"/>
              <w:jc w:val="center"/>
              <w:rPr>
                <w:rFonts w:ascii="宋体"/>
                <w:color w:val="auto"/>
                <w:sz w:val="24"/>
                <w:highlight w:val="none"/>
              </w:rPr>
            </w:pPr>
            <w:r>
              <w:rPr>
                <w:rFonts w:hint="eastAsia" w:ascii="宋体" w:hAnsi="宋体" w:cs="宋体"/>
                <w:color w:val="auto"/>
                <w:sz w:val="24"/>
                <w:highlight w:val="none"/>
              </w:rPr>
              <w:t>具备大专以上学历人数</w:t>
            </w:r>
          </w:p>
        </w:tc>
        <w:tc>
          <w:tcPr>
            <w:tcW w:w="1205" w:type="dxa"/>
            <w:gridSpan w:val="2"/>
            <w:tcBorders>
              <w:top w:val="nil"/>
            </w:tcBorders>
            <w:vAlign w:val="center"/>
          </w:tcPr>
          <w:p w14:paraId="7A1D10B3">
            <w:pPr>
              <w:spacing w:line="360" w:lineRule="auto"/>
              <w:jc w:val="center"/>
              <w:rPr>
                <w:rFonts w:ascii="宋体"/>
                <w:color w:val="auto"/>
                <w:sz w:val="24"/>
                <w:highlight w:val="none"/>
              </w:rPr>
            </w:pPr>
          </w:p>
          <w:p w14:paraId="119F3606">
            <w:pPr>
              <w:spacing w:line="360" w:lineRule="auto"/>
              <w:jc w:val="center"/>
              <w:rPr>
                <w:rFonts w:ascii="宋体"/>
                <w:color w:val="auto"/>
                <w:sz w:val="24"/>
                <w:highlight w:val="none"/>
              </w:rPr>
            </w:pPr>
          </w:p>
          <w:p w14:paraId="47C19D05">
            <w:pPr>
              <w:spacing w:line="360" w:lineRule="auto"/>
              <w:jc w:val="center"/>
              <w:rPr>
                <w:rFonts w:ascii="宋体"/>
                <w:color w:val="auto"/>
                <w:sz w:val="24"/>
                <w:highlight w:val="none"/>
              </w:rPr>
            </w:pPr>
          </w:p>
        </w:tc>
        <w:tc>
          <w:tcPr>
            <w:tcW w:w="2001" w:type="dxa"/>
            <w:gridSpan w:val="3"/>
            <w:vAlign w:val="center"/>
          </w:tcPr>
          <w:p w14:paraId="23F8779A">
            <w:pPr>
              <w:spacing w:line="360" w:lineRule="auto"/>
              <w:jc w:val="center"/>
              <w:rPr>
                <w:rFonts w:ascii="宋体"/>
                <w:color w:val="auto"/>
                <w:sz w:val="24"/>
                <w:highlight w:val="none"/>
              </w:rPr>
            </w:pPr>
            <w:r>
              <w:rPr>
                <w:rFonts w:hint="eastAsia" w:ascii="宋体" w:hAnsi="宋体" w:cs="宋体"/>
                <w:color w:val="auto"/>
                <w:sz w:val="24"/>
                <w:highlight w:val="none"/>
              </w:rPr>
              <w:t>国家授予技术职称人数</w:t>
            </w:r>
          </w:p>
        </w:tc>
        <w:tc>
          <w:tcPr>
            <w:tcW w:w="2151" w:type="dxa"/>
            <w:gridSpan w:val="2"/>
            <w:vAlign w:val="center"/>
          </w:tcPr>
          <w:p w14:paraId="2BCD009F">
            <w:pPr>
              <w:spacing w:line="360" w:lineRule="auto"/>
              <w:jc w:val="center"/>
              <w:rPr>
                <w:rFonts w:ascii="宋体"/>
                <w:color w:val="auto"/>
                <w:sz w:val="24"/>
                <w:highlight w:val="none"/>
              </w:rPr>
            </w:pPr>
          </w:p>
          <w:p w14:paraId="134A6AD5">
            <w:pPr>
              <w:spacing w:line="360" w:lineRule="auto"/>
              <w:jc w:val="center"/>
              <w:rPr>
                <w:rFonts w:ascii="宋体"/>
                <w:color w:val="auto"/>
                <w:sz w:val="24"/>
                <w:highlight w:val="none"/>
              </w:rPr>
            </w:pPr>
          </w:p>
        </w:tc>
      </w:tr>
      <w:tr w14:paraId="0624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46D070FC">
            <w:pPr>
              <w:spacing w:line="360" w:lineRule="auto"/>
              <w:jc w:val="center"/>
              <w:rPr>
                <w:rFonts w:ascii="宋体"/>
                <w:color w:val="auto"/>
                <w:sz w:val="24"/>
                <w:highlight w:val="none"/>
              </w:rPr>
            </w:pPr>
          </w:p>
        </w:tc>
        <w:tc>
          <w:tcPr>
            <w:tcW w:w="701" w:type="dxa"/>
            <w:vAlign w:val="center"/>
          </w:tcPr>
          <w:p w14:paraId="73956890">
            <w:pPr>
              <w:spacing w:line="360" w:lineRule="auto"/>
              <w:jc w:val="center"/>
              <w:rPr>
                <w:rFonts w:ascii="宋体"/>
                <w:color w:val="auto"/>
                <w:sz w:val="24"/>
                <w:highlight w:val="none"/>
              </w:rPr>
            </w:pPr>
            <w:r>
              <w:rPr>
                <w:rFonts w:hint="eastAsia" w:ascii="宋体" w:hAnsi="宋体" w:cs="宋体"/>
                <w:color w:val="auto"/>
                <w:sz w:val="24"/>
                <w:highlight w:val="none"/>
              </w:rPr>
              <w:t>占地面积</w:t>
            </w:r>
          </w:p>
        </w:tc>
        <w:tc>
          <w:tcPr>
            <w:tcW w:w="910" w:type="dxa"/>
            <w:gridSpan w:val="2"/>
            <w:vAlign w:val="center"/>
          </w:tcPr>
          <w:p w14:paraId="5E6F2CE3">
            <w:pPr>
              <w:spacing w:line="360" w:lineRule="auto"/>
              <w:jc w:val="center"/>
              <w:rPr>
                <w:rFonts w:ascii="宋体"/>
                <w:color w:val="auto"/>
                <w:sz w:val="24"/>
                <w:highlight w:val="none"/>
              </w:rPr>
            </w:pPr>
          </w:p>
        </w:tc>
        <w:tc>
          <w:tcPr>
            <w:tcW w:w="1163" w:type="dxa"/>
            <w:vAlign w:val="center"/>
          </w:tcPr>
          <w:p w14:paraId="33C3B3FB">
            <w:pPr>
              <w:spacing w:line="360" w:lineRule="auto"/>
              <w:jc w:val="center"/>
              <w:rPr>
                <w:rFonts w:ascii="宋体"/>
                <w:color w:val="auto"/>
                <w:sz w:val="24"/>
                <w:highlight w:val="none"/>
              </w:rPr>
            </w:pPr>
            <w:r>
              <w:rPr>
                <w:rFonts w:hint="eastAsia" w:ascii="宋体" w:hAnsi="宋体" w:cs="宋体"/>
                <w:color w:val="auto"/>
                <w:sz w:val="24"/>
                <w:highlight w:val="none"/>
              </w:rPr>
              <w:t>建筑面积</w:t>
            </w:r>
          </w:p>
        </w:tc>
        <w:tc>
          <w:tcPr>
            <w:tcW w:w="1205" w:type="dxa"/>
            <w:gridSpan w:val="2"/>
            <w:vAlign w:val="center"/>
          </w:tcPr>
          <w:p w14:paraId="6053AE19">
            <w:pPr>
              <w:spacing w:line="360" w:lineRule="auto"/>
              <w:jc w:val="center"/>
              <w:rPr>
                <w:rFonts w:ascii="宋体"/>
                <w:color w:val="auto"/>
                <w:sz w:val="24"/>
                <w:highlight w:val="none"/>
              </w:rPr>
            </w:pPr>
            <w:r>
              <w:rPr>
                <w:rFonts w:hint="eastAsia" w:ascii="宋体" w:hAnsi="宋体" w:cs="宋体"/>
                <w:color w:val="auto"/>
                <w:sz w:val="24"/>
                <w:highlight w:val="none"/>
              </w:rPr>
              <w:t>平方米</w:t>
            </w:r>
          </w:p>
          <w:p w14:paraId="1378065A">
            <w:pPr>
              <w:spacing w:line="360" w:lineRule="auto"/>
              <w:jc w:val="center"/>
              <w:rPr>
                <w:rFonts w:ascii="宋体"/>
                <w:color w:val="auto"/>
                <w:sz w:val="24"/>
                <w:highlight w:val="none"/>
              </w:rPr>
            </w:pPr>
            <w:r>
              <w:rPr>
                <w:rFonts w:hint="eastAsia" w:ascii="宋体" w:hAnsi="宋体" w:cs="宋体"/>
                <w:color w:val="auto"/>
                <w:sz w:val="24"/>
                <w:highlight w:val="none"/>
              </w:rPr>
              <w:t>□自有</w:t>
            </w:r>
          </w:p>
          <w:p w14:paraId="0FE20D76">
            <w:pPr>
              <w:spacing w:line="360" w:lineRule="auto"/>
              <w:jc w:val="center"/>
              <w:rPr>
                <w:rFonts w:ascii="宋体"/>
                <w:color w:val="auto"/>
                <w:sz w:val="24"/>
                <w:highlight w:val="none"/>
              </w:rPr>
            </w:pPr>
            <w:r>
              <w:rPr>
                <w:rFonts w:hint="eastAsia" w:ascii="宋体" w:hAnsi="宋体" w:cs="宋体"/>
                <w:color w:val="auto"/>
                <w:sz w:val="24"/>
                <w:highlight w:val="none"/>
              </w:rPr>
              <w:t>□租赁</w:t>
            </w:r>
          </w:p>
        </w:tc>
        <w:tc>
          <w:tcPr>
            <w:tcW w:w="2001" w:type="dxa"/>
            <w:gridSpan w:val="3"/>
            <w:vAlign w:val="center"/>
          </w:tcPr>
          <w:p w14:paraId="309DA0B9">
            <w:pPr>
              <w:spacing w:line="360" w:lineRule="auto"/>
              <w:jc w:val="center"/>
              <w:rPr>
                <w:rFonts w:ascii="宋体"/>
                <w:color w:val="auto"/>
                <w:sz w:val="24"/>
                <w:highlight w:val="none"/>
              </w:rPr>
            </w:pPr>
            <w:r>
              <w:rPr>
                <w:rFonts w:hint="eastAsia" w:ascii="宋体" w:hAnsi="宋体" w:cs="宋体"/>
                <w:color w:val="auto"/>
                <w:sz w:val="24"/>
                <w:highlight w:val="none"/>
              </w:rPr>
              <w:t>生产经营场所及场所的设施与设备</w:t>
            </w:r>
          </w:p>
        </w:tc>
        <w:tc>
          <w:tcPr>
            <w:tcW w:w="2151" w:type="dxa"/>
            <w:gridSpan w:val="2"/>
            <w:vAlign w:val="center"/>
          </w:tcPr>
          <w:p w14:paraId="764491B6">
            <w:pPr>
              <w:spacing w:line="360" w:lineRule="auto"/>
              <w:jc w:val="center"/>
              <w:rPr>
                <w:rFonts w:ascii="宋体"/>
                <w:color w:val="auto"/>
                <w:sz w:val="24"/>
                <w:highlight w:val="none"/>
              </w:rPr>
            </w:pPr>
          </w:p>
        </w:tc>
      </w:tr>
      <w:tr w14:paraId="7217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007D6930">
            <w:pPr>
              <w:spacing w:line="360" w:lineRule="auto"/>
              <w:jc w:val="center"/>
              <w:rPr>
                <w:rFonts w:ascii="宋体"/>
                <w:color w:val="auto"/>
                <w:sz w:val="24"/>
                <w:highlight w:val="none"/>
              </w:rPr>
            </w:pPr>
          </w:p>
        </w:tc>
        <w:tc>
          <w:tcPr>
            <w:tcW w:w="701" w:type="dxa"/>
            <w:vAlign w:val="center"/>
          </w:tcPr>
          <w:p w14:paraId="71929A74">
            <w:pPr>
              <w:spacing w:line="360" w:lineRule="auto"/>
              <w:jc w:val="center"/>
              <w:rPr>
                <w:rFonts w:ascii="宋体"/>
                <w:color w:val="auto"/>
                <w:sz w:val="24"/>
                <w:highlight w:val="none"/>
              </w:rPr>
            </w:pPr>
            <w:r>
              <w:rPr>
                <w:rFonts w:hint="eastAsia" w:ascii="宋体" w:hAnsi="宋体" w:cs="宋体"/>
                <w:color w:val="auto"/>
                <w:sz w:val="24"/>
                <w:highlight w:val="none"/>
              </w:rPr>
              <w:t>注册资金</w:t>
            </w:r>
          </w:p>
        </w:tc>
        <w:tc>
          <w:tcPr>
            <w:tcW w:w="910" w:type="dxa"/>
            <w:gridSpan w:val="2"/>
            <w:vAlign w:val="center"/>
          </w:tcPr>
          <w:p w14:paraId="4EDADC2E">
            <w:pPr>
              <w:spacing w:line="360" w:lineRule="auto"/>
              <w:jc w:val="center"/>
              <w:rPr>
                <w:rFonts w:ascii="宋体"/>
                <w:color w:val="auto"/>
                <w:sz w:val="24"/>
                <w:highlight w:val="none"/>
              </w:rPr>
            </w:pPr>
          </w:p>
        </w:tc>
        <w:tc>
          <w:tcPr>
            <w:tcW w:w="1163" w:type="dxa"/>
            <w:vAlign w:val="center"/>
          </w:tcPr>
          <w:p w14:paraId="5D666B3D">
            <w:pPr>
              <w:spacing w:line="360" w:lineRule="auto"/>
              <w:jc w:val="center"/>
              <w:rPr>
                <w:rFonts w:ascii="宋体"/>
                <w:color w:val="auto"/>
                <w:sz w:val="24"/>
                <w:highlight w:val="none"/>
              </w:rPr>
            </w:pPr>
            <w:r>
              <w:rPr>
                <w:rFonts w:hint="eastAsia" w:ascii="宋体" w:hAnsi="宋体" w:cs="宋体"/>
                <w:color w:val="auto"/>
                <w:sz w:val="24"/>
                <w:highlight w:val="none"/>
              </w:rPr>
              <w:t>注册发证机关</w:t>
            </w:r>
          </w:p>
        </w:tc>
        <w:tc>
          <w:tcPr>
            <w:tcW w:w="3206" w:type="dxa"/>
            <w:gridSpan w:val="5"/>
            <w:vAlign w:val="center"/>
          </w:tcPr>
          <w:p w14:paraId="67450C23">
            <w:pPr>
              <w:spacing w:line="360" w:lineRule="auto"/>
              <w:jc w:val="center"/>
              <w:rPr>
                <w:rFonts w:ascii="宋体"/>
                <w:color w:val="auto"/>
                <w:sz w:val="24"/>
                <w:highlight w:val="none"/>
              </w:rPr>
            </w:pPr>
          </w:p>
          <w:p w14:paraId="59BF019E">
            <w:pPr>
              <w:spacing w:line="360" w:lineRule="auto"/>
              <w:jc w:val="center"/>
              <w:rPr>
                <w:rFonts w:ascii="宋体"/>
                <w:color w:val="auto"/>
                <w:sz w:val="24"/>
                <w:highlight w:val="none"/>
              </w:rPr>
            </w:pPr>
          </w:p>
        </w:tc>
        <w:tc>
          <w:tcPr>
            <w:tcW w:w="1218" w:type="dxa"/>
            <w:vAlign w:val="center"/>
          </w:tcPr>
          <w:p w14:paraId="3FBD6A25">
            <w:pPr>
              <w:spacing w:line="360" w:lineRule="auto"/>
              <w:jc w:val="center"/>
              <w:rPr>
                <w:rFonts w:ascii="宋体"/>
                <w:color w:val="auto"/>
                <w:sz w:val="24"/>
                <w:highlight w:val="none"/>
              </w:rPr>
            </w:pPr>
            <w:r>
              <w:rPr>
                <w:rFonts w:hint="eastAsia" w:ascii="宋体" w:hAnsi="宋体" w:cs="宋体"/>
                <w:color w:val="auto"/>
                <w:sz w:val="24"/>
                <w:highlight w:val="none"/>
              </w:rPr>
              <w:t>公司成立时间</w:t>
            </w:r>
          </w:p>
        </w:tc>
        <w:tc>
          <w:tcPr>
            <w:tcW w:w="933" w:type="dxa"/>
            <w:vAlign w:val="center"/>
          </w:tcPr>
          <w:p w14:paraId="3995D435">
            <w:pPr>
              <w:spacing w:line="360" w:lineRule="auto"/>
              <w:jc w:val="center"/>
              <w:rPr>
                <w:rFonts w:ascii="宋体"/>
                <w:color w:val="auto"/>
                <w:sz w:val="24"/>
                <w:highlight w:val="none"/>
              </w:rPr>
            </w:pPr>
          </w:p>
        </w:tc>
      </w:tr>
      <w:tr w14:paraId="3B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15E9F40A">
            <w:pPr>
              <w:spacing w:line="360" w:lineRule="auto"/>
              <w:jc w:val="center"/>
              <w:rPr>
                <w:rFonts w:ascii="宋体"/>
                <w:color w:val="auto"/>
                <w:sz w:val="24"/>
                <w:highlight w:val="none"/>
              </w:rPr>
            </w:pPr>
          </w:p>
        </w:tc>
        <w:tc>
          <w:tcPr>
            <w:tcW w:w="701" w:type="dxa"/>
            <w:vAlign w:val="center"/>
          </w:tcPr>
          <w:p w14:paraId="22E9DC6A">
            <w:pPr>
              <w:spacing w:line="360" w:lineRule="auto"/>
              <w:jc w:val="center"/>
              <w:rPr>
                <w:rFonts w:ascii="宋体"/>
                <w:color w:val="auto"/>
                <w:sz w:val="24"/>
                <w:highlight w:val="none"/>
              </w:rPr>
            </w:pPr>
            <w:r>
              <w:rPr>
                <w:rFonts w:hint="eastAsia" w:ascii="宋体" w:hAnsi="宋体" w:cs="宋体"/>
                <w:color w:val="auto"/>
                <w:sz w:val="24"/>
                <w:highlight w:val="none"/>
              </w:rPr>
              <w:t>核准经营范围</w:t>
            </w:r>
          </w:p>
        </w:tc>
        <w:tc>
          <w:tcPr>
            <w:tcW w:w="7430" w:type="dxa"/>
            <w:gridSpan w:val="10"/>
            <w:vAlign w:val="center"/>
          </w:tcPr>
          <w:p w14:paraId="14E2B715">
            <w:pPr>
              <w:spacing w:line="360" w:lineRule="auto"/>
              <w:jc w:val="center"/>
              <w:rPr>
                <w:rFonts w:ascii="宋体"/>
                <w:color w:val="auto"/>
                <w:sz w:val="24"/>
                <w:highlight w:val="none"/>
              </w:rPr>
            </w:pPr>
          </w:p>
        </w:tc>
      </w:tr>
      <w:tr w14:paraId="210F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38A8C0FB">
            <w:pPr>
              <w:spacing w:line="360" w:lineRule="auto"/>
              <w:jc w:val="center"/>
              <w:rPr>
                <w:rFonts w:ascii="宋体"/>
                <w:color w:val="auto"/>
                <w:sz w:val="24"/>
                <w:highlight w:val="none"/>
              </w:rPr>
            </w:pPr>
          </w:p>
        </w:tc>
        <w:tc>
          <w:tcPr>
            <w:tcW w:w="8131" w:type="dxa"/>
            <w:gridSpan w:val="11"/>
            <w:vAlign w:val="center"/>
          </w:tcPr>
          <w:p w14:paraId="054C4C14">
            <w:pPr>
              <w:spacing w:line="360" w:lineRule="auto"/>
              <w:rPr>
                <w:rFonts w:ascii="宋体"/>
                <w:color w:val="auto"/>
                <w:sz w:val="24"/>
                <w:highlight w:val="none"/>
              </w:rPr>
            </w:pPr>
            <w:r>
              <w:rPr>
                <w:rFonts w:hint="eastAsia" w:ascii="宋体" w:hAnsi="宋体" w:cs="宋体"/>
                <w:color w:val="auto"/>
                <w:sz w:val="24"/>
                <w:highlight w:val="none"/>
              </w:rPr>
              <w:t>发展历程及主要荣誉：</w:t>
            </w:r>
          </w:p>
        </w:tc>
      </w:tr>
      <w:tr w14:paraId="2EF9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14:paraId="5EEF4B63">
            <w:pPr>
              <w:spacing w:line="360" w:lineRule="auto"/>
              <w:jc w:val="center"/>
              <w:rPr>
                <w:rFonts w:ascii="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p>
          <w:p w14:paraId="4ECE66EC">
            <w:pPr>
              <w:spacing w:line="360" w:lineRule="auto"/>
              <w:jc w:val="center"/>
              <w:rPr>
                <w:rFonts w:ascii="宋体"/>
                <w:color w:val="auto"/>
                <w:sz w:val="24"/>
                <w:highlight w:val="none"/>
              </w:rPr>
            </w:pPr>
            <w:r>
              <w:rPr>
                <w:rFonts w:hint="eastAsia" w:ascii="宋体" w:hAnsi="宋体" w:cs="宋体"/>
                <w:color w:val="auto"/>
                <w:sz w:val="24"/>
                <w:highlight w:val="none"/>
              </w:rPr>
              <w:t>企业有关资质获证情况</w:t>
            </w:r>
          </w:p>
        </w:tc>
        <w:tc>
          <w:tcPr>
            <w:tcW w:w="1553" w:type="dxa"/>
            <w:gridSpan w:val="2"/>
            <w:vMerge w:val="restart"/>
            <w:vAlign w:val="center"/>
          </w:tcPr>
          <w:p w14:paraId="76045925">
            <w:pPr>
              <w:spacing w:line="360" w:lineRule="auto"/>
              <w:jc w:val="center"/>
              <w:rPr>
                <w:rFonts w:ascii="宋体"/>
                <w:color w:val="auto"/>
                <w:sz w:val="24"/>
                <w:highlight w:val="none"/>
              </w:rPr>
            </w:pPr>
            <w:r>
              <w:rPr>
                <w:rFonts w:hint="eastAsia" w:ascii="宋体" w:hAnsi="宋体" w:cs="宋体"/>
                <w:color w:val="auto"/>
                <w:sz w:val="24"/>
                <w:highlight w:val="none"/>
              </w:rPr>
              <w:t>产品生产许可证情况（对需获得生产许可证的产品要填写此栏）</w:t>
            </w:r>
          </w:p>
        </w:tc>
        <w:tc>
          <w:tcPr>
            <w:tcW w:w="1333" w:type="dxa"/>
            <w:gridSpan w:val="3"/>
            <w:vAlign w:val="center"/>
          </w:tcPr>
          <w:p w14:paraId="4291B6FB">
            <w:pPr>
              <w:spacing w:line="360" w:lineRule="auto"/>
              <w:jc w:val="center"/>
              <w:rPr>
                <w:rFonts w:ascii="宋体"/>
                <w:color w:val="auto"/>
                <w:sz w:val="24"/>
                <w:highlight w:val="none"/>
              </w:rPr>
            </w:pPr>
            <w:r>
              <w:rPr>
                <w:rFonts w:hint="eastAsia" w:ascii="宋体" w:hAnsi="宋体" w:cs="宋体"/>
                <w:color w:val="auto"/>
                <w:sz w:val="24"/>
                <w:highlight w:val="none"/>
              </w:rPr>
              <w:t>产品名称</w:t>
            </w:r>
          </w:p>
        </w:tc>
        <w:tc>
          <w:tcPr>
            <w:tcW w:w="1418" w:type="dxa"/>
            <w:gridSpan w:val="2"/>
            <w:vAlign w:val="center"/>
          </w:tcPr>
          <w:p w14:paraId="1692C391">
            <w:pPr>
              <w:spacing w:line="360" w:lineRule="auto"/>
              <w:jc w:val="center"/>
              <w:rPr>
                <w:rFonts w:ascii="宋体"/>
                <w:color w:val="auto"/>
                <w:sz w:val="24"/>
                <w:highlight w:val="none"/>
              </w:rPr>
            </w:pPr>
            <w:r>
              <w:rPr>
                <w:rFonts w:hint="eastAsia" w:ascii="宋体" w:hAnsi="宋体" w:cs="宋体"/>
                <w:color w:val="auto"/>
                <w:sz w:val="24"/>
                <w:highlight w:val="none"/>
              </w:rPr>
              <w:t>发证机关</w:t>
            </w:r>
          </w:p>
        </w:tc>
        <w:tc>
          <w:tcPr>
            <w:tcW w:w="1276" w:type="dxa"/>
            <w:vAlign w:val="center"/>
          </w:tcPr>
          <w:p w14:paraId="150039F7">
            <w:pPr>
              <w:spacing w:line="360" w:lineRule="auto"/>
              <w:jc w:val="center"/>
              <w:rPr>
                <w:rFonts w:ascii="宋体"/>
                <w:color w:val="auto"/>
                <w:sz w:val="24"/>
                <w:highlight w:val="none"/>
              </w:rPr>
            </w:pPr>
            <w:r>
              <w:rPr>
                <w:rFonts w:hint="eastAsia" w:ascii="宋体" w:hAnsi="宋体" w:cs="宋体"/>
                <w:color w:val="auto"/>
                <w:sz w:val="24"/>
                <w:highlight w:val="none"/>
              </w:rPr>
              <w:t>编号</w:t>
            </w:r>
          </w:p>
        </w:tc>
        <w:tc>
          <w:tcPr>
            <w:tcW w:w="1618" w:type="dxa"/>
            <w:gridSpan w:val="2"/>
            <w:vAlign w:val="center"/>
          </w:tcPr>
          <w:p w14:paraId="71F03351">
            <w:pPr>
              <w:spacing w:line="360" w:lineRule="auto"/>
              <w:jc w:val="center"/>
              <w:rPr>
                <w:rFonts w:ascii="宋体"/>
                <w:color w:val="auto"/>
                <w:sz w:val="24"/>
                <w:highlight w:val="none"/>
              </w:rPr>
            </w:pPr>
            <w:r>
              <w:rPr>
                <w:rFonts w:hint="eastAsia" w:ascii="宋体" w:hAnsi="宋体" w:cs="宋体"/>
                <w:color w:val="auto"/>
                <w:sz w:val="24"/>
                <w:highlight w:val="none"/>
              </w:rPr>
              <w:t>发证时间</w:t>
            </w:r>
          </w:p>
        </w:tc>
        <w:tc>
          <w:tcPr>
            <w:tcW w:w="933" w:type="dxa"/>
            <w:vAlign w:val="center"/>
          </w:tcPr>
          <w:p w14:paraId="3BBC587B">
            <w:pPr>
              <w:spacing w:line="360" w:lineRule="auto"/>
              <w:jc w:val="center"/>
              <w:rPr>
                <w:rFonts w:ascii="宋体"/>
                <w:color w:val="auto"/>
                <w:sz w:val="24"/>
                <w:highlight w:val="none"/>
              </w:rPr>
            </w:pPr>
            <w:r>
              <w:rPr>
                <w:rFonts w:hint="eastAsia" w:ascii="宋体" w:hAnsi="宋体" w:cs="宋体"/>
                <w:color w:val="auto"/>
                <w:sz w:val="24"/>
                <w:highlight w:val="none"/>
              </w:rPr>
              <w:t>期限</w:t>
            </w:r>
          </w:p>
        </w:tc>
      </w:tr>
      <w:tr w14:paraId="60D5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3B8C0300">
            <w:pPr>
              <w:spacing w:line="360" w:lineRule="auto"/>
              <w:jc w:val="center"/>
              <w:rPr>
                <w:rFonts w:ascii="宋体"/>
                <w:color w:val="auto"/>
                <w:sz w:val="24"/>
                <w:highlight w:val="none"/>
              </w:rPr>
            </w:pPr>
          </w:p>
        </w:tc>
        <w:tc>
          <w:tcPr>
            <w:tcW w:w="1553" w:type="dxa"/>
            <w:gridSpan w:val="2"/>
            <w:vMerge w:val="continue"/>
            <w:vAlign w:val="center"/>
          </w:tcPr>
          <w:p w14:paraId="2C3A84D7">
            <w:pPr>
              <w:spacing w:line="360" w:lineRule="auto"/>
              <w:jc w:val="center"/>
              <w:rPr>
                <w:rFonts w:ascii="宋体"/>
                <w:color w:val="auto"/>
                <w:sz w:val="24"/>
                <w:highlight w:val="none"/>
              </w:rPr>
            </w:pPr>
          </w:p>
        </w:tc>
        <w:tc>
          <w:tcPr>
            <w:tcW w:w="1333" w:type="dxa"/>
            <w:gridSpan w:val="3"/>
            <w:vAlign w:val="center"/>
          </w:tcPr>
          <w:p w14:paraId="5FEA08C5">
            <w:pPr>
              <w:spacing w:line="360" w:lineRule="auto"/>
              <w:jc w:val="center"/>
              <w:rPr>
                <w:rFonts w:ascii="宋体"/>
                <w:color w:val="auto"/>
                <w:sz w:val="24"/>
                <w:highlight w:val="none"/>
              </w:rPr>
            </w:pPr>
          </w:p>
        </w:tc>
        <w:tc>
          <w:tcPr>
            <w:tcW w:w="1418" w:type="dxa"/>
            <w:gridSpan w:val="2"/>
            <w:vAlign w:val="center"/>
          </w:tcPr>
          <w:p w14:paraId="6204BC69">
            <w:pPr>
              <w:spacing w:line="360" w:lineRule="auto"/>
              <w:jc w:val="center"/>
              <w:rPr>
                <w:rFonts w:ascii="宋体"/>
                <w:color w:val="auto"/>
                <w:sz w:val="24"/>
                <w:highlight w:val="none"/>
              </w:rPr>
            </w:pPr>
          </w:p>
        </w:tc>
        <w:tc>
          <w:tcPr>
            <w:tcW w:w="1276" w:type="dxa"/>
            <w:vAlign w:val="center"/>
          </w:tcPr>
          <w:p w14:paraId="66E2B114">
            <w:pPr>
              <w:spacing w:line="360" w:lineRule="auto"/>
              <w:jc w:val="center"/>
              <w:rPr>
                <w:rFonts w:ascii="宋体"/>
                <w:color w:val="auto"/>
                <w:sz w:val="24"/>
                <w:highlight w:val="none"/>
              </w:rPr>
            </w:pPr>
          </w:p>
        </w:tc>
        <w:tc>
          <w:tcPr>
            <w:tcW w:w="2551" w:type="dxa"/>
            <w:gridSpan w:val="3"/>
            <w:vAlign w:val="center"/>
          </w:tcPr>
          <w:p w14:paraId="032E6C9D">
            <w:pPr>
              <w:spacing w:line="360" w:lineRule="auto"/>
              <w:jc w:val="center"/>
              <w:rPr>
                <w:rFonts w:ascii="宋体"/>
                <w:color w:val="auto"/>
                <w:sz w:val="24"/>
                <w:highlight w:val="none"/>
              </w:rPr>
            </w:pPr>
          </w:p>
        </w:tc>
      </w:tr>
      <w:tr w14:paraId="6D24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071C561D">
            <w:pPr>
              <w:spacing w:line="360" w:lineRule="auto"/>
              <w:jc w:val="center"/>
              <w:rPr>
                <w:rFonts w:ascii="宋体"/>
                <w:color w:val="auto"/>
                <w:sz w:val="24"/>
                <w:highlight w:val="none"/>
              </w:rPr>
            </w:pPr>
          </w:p>
        </w:tc>
        <w:tc>
          <w:tcPr>
            <w:tcW w:w="1553" w:type="dxa"/>
            <w:gridSpan w:val="2"/>
            <w:vAlign w:val="center"/>
          </w:tcPr>
          <w:p w14:paraId="2E4C73F9">
            <w:pPr>
              <w:spacing w:line="360" w:lineRule="auto"/>
              <w:jc w:val="center"/>
              <w:rPr>
                <w:rFonts w:ascii="宋体"/>
                <w:color w:val="auto"/>
                <w:sz w:val="24"/>
                <w:highlight w:val="none"/>
              </w:rPr>
            </w:pPr>
            <w:r>
              <w:rPr>
                <w:rFonts w:hint="eastAsia" w:ascii="宋体" w:hAnsi="宋体" w:cs="宋体"/>
                <w:color w:val="auto"/>
                <w:sz w:val="24"/>
                <w:highlight w:val="none"/>
              </w:rPr>
              <w:t>企业通过质量体系、环保体系、计量等认证情况</w:t>
            </w:r>
          </w:p>
        </w:tc>
        <w:tc>
          <w:tcPr>
            <w:tcW w:w="6578" w:type="dxa"/>
            <w:gridSpan w:val="9"/>
            <w:vAlign w:val="center"/>
          </w:tcPr>
          <w:p w14:paraId="25D25048">
            <w:pPr>
              <w:spacing w:line="360" w:lineRule="auto"/>
              <w:jc w:val="center"/>
              <w:rPr>
                <w:rFonts w:ascii="宋体"/>
                <w:color w:val="auto"/>
                <w:sz w:val="24"/>
                <w:highlight w:val="none"/>
              </w:rPr>
            </w:pPr>
          </w:p>
        </w:tc>
      </w:tr>
      <w:tr w14:paraId="2D6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14:paraId="7DCFF985">
            <w:pPr>
              <w:spacing w:line="360" w:lineRule="auto"/>
              <w:jc w:val="center"/>
              <w:rPr>
                <w:rFonts w:ascii="宋体"/>
                <w:color w:val="auto"/>
                <w:sz w:val="24"/>
                <w:highlight w:val="none"/>
              </w:rPr>
            </w:pPr>
          </w:p>
        </w:tc>
        <w:tc>
          <w:tcPr>
            <w:tcW w:w="1553" w:type="dxa"/>
            <w:gridSpan w:val="2"/>
            <w:vAlign w:val="center"/>
          </w:tcPr>
          <w:p w14:paraId="227F8BF9">
            <w:pPr>
              <w:spacing w:line="360" w:lineRule="auto"/>
              <w:jc w:val="center"/>
              <w:rPr>
                <w:rFonts w:ascii="宋体"/>
                <w:color w:val="auto"/>
                <w:sz w:val="24"/>
                <w:highlight w:val="none"/>
              </w:rPr>
            </w:pPr>
            <w:r>
              <w:rPr>
                <w:rFonts w:hint="eastAsia" w:ascii="宋体" w:hAnsi="宋体" w:cs="宋体"/>
                <w:color w:val="auto"/>
                <w:sz w:val="24"/>
                <w:highlight w:val="none"/>
              </w:rPr>
              <w:t>企业获得专利情况</w:t>
            </w:r>
          </w:p>
        </w:tc>
        <w:tc>
          <w:tcPr>
            <w:tcW w:w="6578" w:type="dxa"/>
            <w:gridSpan w:val="9"/>
            <w:vAlign w:val="center"/>
          </w:tcPr>
          <w:p w14:paraId="108181EF">
            <w:pPr>
              <w:spacing w:line="360" w:lineRule="auto"/>
              <w:jc w:val="center"/>
              <w:rPr>
                <w:rFonts w:ascii="宋体"/>
                <w:color w:val="auto"/>
                <w:sz w:val="24"/>
                <w:highlight w:val="none"/>
              </w:rPr>
            </w:pPr>
          </w:p>
        </w:tc>
      </w:tr>
    </w:tbl>
    <w:p w14:paraId="52123896">
      <w:pPr>
        <w:spacing w:line="360" w:lineRule="auto"/>
        <w:rPr>
          <w:rFonts w:ascii="宋体"/>
          <w:color w:val="auto"/>
          <w:sz w:val="24"/>
          <w:highlight w:val="none"/>
        </w:rPr>
      </w:pPr>
    </w:p>
    <w:p w14:paraId="73805226">
      <w:pPr>
        <w:spacing w:line="360" w:lineRule="auto"/>
        <w:rPr>
          <w:rFonts w:ascii="宋体"/>
          <w:b/>
          <w:bCs/>
          <w:color w:val="auto"/>
          <w:sz w:val="24"/>
          <w:highlight w:val="none"/>
        </w:rPr>
      </w:pPr>
      <w:r>
        <w:rPr>
          <w:rFonts w:hint="eastAsia" w:ascii="宋体" w:hAnsi="宋体" w:cs="宋体"/>
          <w:b/>
          <w:bCs/>
          <w:color w:val="auto"/>
          <w:sz w:val="24"/>
          <w:highlight w:val="none"/>
        </w:rPr>
        <w:t>要求：</w:t>
      </w:r>
    </w:p>
    <w:p w14:paraId="7B39FC73">
      <w:pPr>
        <w:spacing w:line="360" w:lineRule="auto"/>
        <w:rPr>
          <w:rFonts w:ascii="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姓名栏必须将所有股东都统计在内，若非股份公司此行（第三行）无需填写；</w:t>
      </w:r>
    </w:p>
    <w:p w14:paraId="3B5931C7">
      <w:pPr>
        <w:spacing w:line="360" w:lineRule="auto"/>
        <w:rPr>
          <w:rFonts w:ascii="宋体"/>
          <w:color w:val="auto"/>
          <w:sz w:val="24"/>
          <w:highlight w:val="none"/>
        </w:rPr>
      </w:pPr>
    </w:p>
    <w:p w14:paraId="24A5FB2C">
      <w:pPr>
        <w:spacing w:line="480" w:lineRule="auto"/>
        <w:rPr>
          <w:rFonts w:ascii="宋体"/>
          <w:color w:val="auto"/>
          <w:sz w:val="24"/>
          <w:highlight w:val="none"/>
        </w:rPr>
      </w:pPr>
      <w:r>
        <w:rPr>
          <w:rFonts w:hint="eastAsia" w:ascii="宋体" w:hAnsi="宋体" w:cs="宋体"/>
          <w:color w:val="auto"/>
          <w:sz w:val="24"/>
          <w:highlight w:val="none"/>
        </w:rPr>
        <w:t>投标人名称（盖章）：</w:t>
      </w:r>
    </w:p>
    <w:p w14:paraId="0619EF41">
      <w:pPr>
        <w:spacing w:line="480" w:lineRule="auto"/>
        <w:rPr>
          <w:rFonts w:ascii="宋体"/>
          <w:color w:val="auto"/>
          <w:sz w:val="24"/>
          <w:highlight w:val="none"/>
        </w:rPr>
      </w:pPr>
      <w:r>
        <w:rPr>
          <w:rFonts w:hint="eastAsia" w:ascii="宋体" w:hAnsi="宋体" w:cs="宋体"/>
          <w:color w:val="auto"/>
          <w:sz w:val="24"/>
          <w:highlight w:val="none"/>
        </w:rPr>
        <w:t>授权委托代理人签字或盖章：</w:t>
      </w:r>
    </w:p>
    <w:p w14:paraId="3ED33E34">
      <w:pPr>
        <w:spacing w:line="480" w:lineRule="auto"/>
        <w:rPr>
          <w:rFonts w:ascii="宋体"/>
          <w:color w:val="auto"/>
          <w:sz w:val="24"/>
          <w:highlight w:val="none"/>
        </w:rPr>
      </w:pPr>
      <w:r>
        <w:rPr>
          <w:rFonts w:hint="eastAsia" w:ascii="宋体" w:hAnsi="宋体" w:cs="宋体"/>
          <w:color w:val="auto"/>
          <w:sz w:val="24"/>
          <w:highlight w:val="none"/>
        </w:rPr>
        <w:t>日期：</w:t>
      </w:r>
    </w:p>
    <w:p w14:paraId="3837821B">
      <w:pPr>
        <w:spacing w:line="360" w:lineRule="auto"/>
        <w:ind w:firstLine="435"/>
        <w:rPr>
          <w:rFonts w:ascii="宋体" w:hAnsi="宋体"/>
          <w:color w:val="auto"/>
          <w:sz w:val="24"/>
          <w:highlight w:val="none"/>
        </w:rPr>
      </w:pPr>
    </w:p>
    <w:p w14:paraId="077A3054">
      <w:pPr>
        <w:tabs>
          <w:tab w:val="left" w:pos="8280"/>
        </w:tabs>
        <w:autoSpaceDE w:val="0"/>
        <w:autoSpaceDN w:val="0"/>
        <w:adjustRightInd w:val="0"/>
        <w:spacing w:line="324" w:lineRule="auto"/>
        <w:ind w:right="23" w:firstLine="482" w:firstLineChars="200"/>
        <w:jc w:val="left"/>
        <w:rPr>
          <w:rFonts w:ascii="宋体"/>
          <w:b/>
          <w:color w:val="auto"/>
          <w:kern w:val="0"/>
          <w:sz w:val="24"/>
          <w:highlight w:val="none"/>
        </w:rPr>
      </w:pPr>
    </w:p>
    <w:p w14:paraId="7E209050">
      <w:pPr>
        <w:spacing w:line="360" w:lineRule="auto"/>
        <w:ind w:firstLine="435"/>
        <w:rPr>
          <w:rFonts w:ascii="宋体" w:hAnsi="宋体"/>
          <w:b/>
          <w:color w:val="auto"/>
          <w:sz w:val="28"/>
          <w:highlight w:val="none"/>
        </w:rPr>
      </w:pPr>
    </w:p>
    <w:p w14:paraId="41B561CE">
      <w:pPr>
        <w:rPr>
          <w:rFonts w:ascii="宋体" w:hAnsi="宋体"/>
          <w:b/>
          <w:color w:val="auto"/>
          <w:sz w:val="28"/>
          <w:highlight w:val="none"/>
        </w:rPr>
      </w:pPr>
      <w:r>
        <w:rPr>
          <w:rFonts w:hint="eastAsia" w:ascii="宋体" w:hAnsi="宋体"/>
          <w:b/>
          <w:color w:val="auto"/>
          <w:sz w:val="28"/>
          <w:highlight w:val="none"/>
        </w:rPr>
        <w:br w:type="page"/>
      </w:r>
    </w:p>
    <w:p w14:paraId="30C8E920">
      <w:pPr>
        <w:spacing w:line="360" w:lineRule="auto"/>
        <w:ind w:firstLine="435"/>
        <w:rPr>
          <w:rFonts w:ascii="宋体" w:hAnsi="宋体"/>
          <w:color w:val="auto"/>
          <w:sz w:val="24"/>
          <w:highlight w:val="none"/>
        </w:rPr>
      </w:pPr>
      <w:r>
        <w:rPr>
          <w:rFonts w:hint="eastAsia" w:ascii="宋体" w:hAnsi="宋体"/>
          <w:b/>
          <w:color w:val="auto"/>
          <w:sz w:val="28"/>
          <w:highlight w:val="none"/>
        </w:rPr>
        <w:t>附件10</w:t>
      </w:r>
    </w:p>
    <w:p w14:paraId="1AF1BD13">
      <w:pPr>
        <w:snapToGrid w:val="0"/>
        <w:spacing w:beforeLines="50" w:after="50" w:line="360" w:lineRule="auto"/>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23"/>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7"/>
        <w:gridCol w:w="1132"/>
        <w:gridCol w:w="851"/>
        <w:gridCol w:w="992"/>
        <w:gridCol w:w="1230"/>
        <w:gridCol w:w="2030"/>
        <w:gridCol w:w="2268"/>
      </w:tblGrid>
      <w:tr w14:paraId="2E14B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77" w:type="dxa"/>
            <w:tcBorders>
              <w:top w:val="single" w:color="auto" w:sz="4" w:space="0"/>
              <w:left w:val="single" w:color="auto" w:sz="4" w:space="0"/>
              <w:bottom w:val="single" w:color="auto" w:sz="4" w:space="0"/>
              <w:right w:val="single" w:color="auto" w:sz="4" w:space="0"/>
            </w:tcBorders>
            <w:vAlign w:val="center"/>
          </w:tcPr>
          <w:p w14:paraId="5C3011DC">
            <w:pPr>
              <w:snapToGrid w:val="0"/>
              <w:spacing w:beforeLines="50" w:after="50"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1132" w:type="dxa"/>
            <w:tcBorders>
              <w:top w:val="single" w:color="auto" w:sz="4" w:space="0"/>
              <w:left w:val="single" w:color="auto" w:sz="4" w:space="0"/>
              <w:bottom w:val="single" w:color="auto" w:sz="4" w:space="0"/>
              <w:right w:val="single" w:color="auto" w:sz="4" w:space="0"/>
            </w:tcBorders>
            <w:vAlign w:val="center"/>
          </w:tcPr>
          <w:p w14:paraId="7CFBC680">
            <w:pPr>
              <w:snapToGrid w:val="0"/>
              <w:spacing w:beforeLines="50" w:after="50" w:line="360" w:lineRule="auto"/>
              <w:jc w:val="center"/>
              <w:rPr>
                <w:rFonts w:ascii="宋体" w:hAnsi="宋体"/>
                <w:b/>
                <w:color w:val="auto"/>
                <w:szCs w:val="21"/>
                <w:highlight w:val="none"/>
              </w:rPr>
            </w:pPr>
            <w:r>
              <w:rPr>
                <w:rFonts w:hint="eastAsia" w:ascii="宋体" w:hAnsi="宋体"/>
                <w:b/>
                <w:color w:val="auto"/>
                <w:szCs w:val="21"/>
                <w:highlight w:val="none"/>
              </w:rPr>
              <w:t>姓名</w:t>
            </w:r>
          </w:p>
        </w:tc>
        <w:tc>
          <w:tcPr>
            <w:tcW w:w="851" w:type="dxa"/>
            <w:tcBorders>
              <w:top w:val="single" w:color="auto" w:sz="4" w:space="0"/>
              <w:left w:val="single" w:color="auto" w:sz="4" w:space="0"/>
              <w:bottom w:val="single" w:color="auto" w:sz="4" w:space="0"/>
              <w:right w:val="single" w:color="auto" w:sz="4" w:space="0"/>
            </w:tcBorders>
            <w:vAlign w:val="center"/>
          </w:tcPr>
          <w:p w14:paraId="20F36759">
            <w:pPr>
              <w:snapToGrid w:val="0"/>
              <w:spacing w:beforeLines="50" w:after="50" w:line="360" w:lineRule="auto"/>
              <w:jc w:val="center"/>
              <w:rPr>
                <w:rFonts w:ascii="宋体" w:hAnsi="宋体"/>
                <w:b/>
                <w:color w:val="auto"/>
                <w:szCs w:val="21"/>
                <w:highlight w:val="none"/>
              </w:rPr>
            </w:pPr>
            <w:r>
              <w:rPr>
                <w:rFonts w:hint="eastAsia" w:ascii="宋体" w:hAnsi="宋体"/>
                <w:b/>
                <w:color w:val="auto"/>
                <w:szCs w:val="21"/>
                <w:highlight w:val="none"/>
              </w:rPr>
              <w:t>性别</w:t>
            </w:r>
          </w:p>
        </w:tc>
        <w:tc>
          <w:tcPr>
            <w:tcW w:w="992" w:type="dxa"/>
            <w:tcBorders>
              <w:top w:val="single" w:color="auto" w:sz="4" w:space="0"/>
              <w:left w:val="single" w:color="auto" w:sz="4" w:space="0"/>
              <w:bottom w:val="single" w:color="auto" w:sz="4" w:space="0"/>
              <w:right w:val="single" w:color="auto" w:sz="4" w:space="0"/>
            </w:tcBorders>
            <w:vAlign w:val="center"/>
          </w:tcPr>
          <w:p w14:paraId="26C49BA6">
            <w:pPr>
              <w:snapToGrid w:val="0"/>
              <w:spacing w:beforeLines="50" w:after="50" w:line="360" w:lineRule="auto"/>
              <w:jc w:val="center"/>
              <w:rPr>
                <w:rFonts w:ascii="宋体" w:hAnsi="宋体"/>
                <w:b/>
                <w:color w:val="auto"/>
                <w:szCs w:val="21"/>
                <w:highlight w:val="none"/>
              </w:rPr>
            </w:pPr>
            <w:r>
              <w:rPr>
                <w:rFonts w:hint="eastAsia" w:ascii="宋体" w:hAnsi="宋体"/>
                <w:b/>
                <w:color w:val="auto"/>
                <w:szCs w:val="21"/>
                <w:highlight w:val="none"/>
              </w:rPr>
              <w:t>年龄</w:t>
            </w:r>
          </w:p>
        </w:tc>
        <w:tc>
          <w:tcPr>
            <w:tcW w:w="1230" w:type="dxa"/>
            <w:tcBorders>
              <w:top w:val="single" w:color="auto" w:sz="4" w:space="0"/>
              <w:left w:val="single" w:color="auto" w:sz="4" w:space="0"/>
              <w:bottom w:val="single" w:color="auto" w:sz="4" w:space="0"/>
              <w:right w:val="single" w:color="auto" w:sz="4" w:space="0"/>
            </w:tcBorders>
            <w:vAlign w:val="center"/>
          </w:tcPr>
          <w:p w14:paraId="7056454B">
            <w:pPr>
              <w:snapToGrid w:val="0"/>
              <w:spacing w:beforeLines="50" w:after="50" w:line="360" w:lineRule="auto"/>
              <w:jc w:val="center"/>
              <w:rPr>
                <w:rFonts w:ascii="宋体" w:hAnsi="宋体"/>
                <w:b/>
                <w:color w:val="auto"/>
                <w:szCs w:val="21"/>
                <w:highlight w:val="none"/>
              </w:rPr>
            </w:pPr>
            <w:r>
              <w:rPr>
                <w:rFonts w:hint="eastAsia" w:ascii="宋体" w:hAnsi="宋体"/>
                <w:b/>
                <w:color w:val="auto"/>
                <w:szCs w:val="21"/>
                <w:highlight w:val="none"/>
              </w:rPr>
              <w:t>职务</w:t>
            </w:r>
          </w:p>
        </w:tc>
        <w:tc>
          <w:tcPr>
            <w:tcW w:w="2030" w:type="dxa"/>
            <w:tcBorders>
              <w:top w:val="single" w:color="auto" w:sz="4" w:space="0"/>
              <w:left w:val="single" w:color="auto" w:sz="4" w:space="0"/>
              <w:bottom w:val="single" w:color="auto" w:sz="4" w:space="0"/>
              <w:right w:val="single" w:color="auto" w:sz="4" w:space="0"/>
            </w:tcBorders>
            <w:vAlign w:val="center"/>
          </w:tcPr>
          <w:p w14:paraId="66DA05C6">
            <w:pPr>
              <w:snapToGrid w:val="0"/>
              <w:spacing w:beforeLines="50" w:after="50" w:line="360" w:lineRule="auto"/>
              <w:jc w:val="center"/>
              <w:rPr>
                <w:rFonts w:ascii="宋体" w:hAnsi="宋体"/>
                <w:b/>
                <w:color w:val="auto"/>
                <w:szCs w:val="21"/>
                <w:highlight w:val="none"/>
              </w:rPr>
            </w:pPr>
            <w:r>
              <w:rPr>
                <w:rFonts w:hint="eastAsia" w:ascii="宋体" w:hAnsi="宋体"/>
                <w:b/>
                <w:color w:val="auto"/>
                <w:szCs w:val="21"/>
                <w:highlight w:val="none"/>
              </w:rPr>
              <w:t>证书编号</w:t>
            </w:r>
          </w:p>
        </w:tc>
        <w:tc>
          <w:tcPr>
            <w:tcW w:w="2268" w:type="dxa"/>
            <w:tcBorders>
              <w:top w:val="single" w:color="auto" w:sz="4" w:space="0"/>
              <w:left w:val="single" w:color="auto" w:sz="4" w:space="0"/>
              <w:bottom w:val="single" w:color="auto" w:sz="4" w:space="0"/>
              <w:right w:val="single" w:color="auto" w:sz="4" w:space="0"/>
            </w:tcBorders>
            <w:vAlign w:val="center"/>
          </w:tcPr>
          <w:p w14:paraId="52123B8B">
            <w:pPr>
              <w:snapToGrid w:val="0"/>
              <w:spacing w:beforeLines="50" w:after="50" w:line="360" w:lineRule="auto"/>
              <w:jc w:val="center"/>
              <w:rPr>
                <w:rFonts w:ascii="宋体" w:hAnsi="宋体"/>
                <w:b/>
                <w:color w:val="auto"/>
                <w:szCs w:val="21"/>
                <w:highlight w:val="none"/>
              </w:rPr>
            </w:pPr>
            <w:r>
              <w:rPr>
                <w:rFonts w:hint="eastAsia" w:ascii="宋体" w:hAnsi="宋体"/>
                <w:b/>
                <w:bCs/>
                <w:color w:val="auto"/>
                <w:szCs w:val="21"/>
                <w:highlight w:val="none"/>
              </w:rPr>
              <w:t>本项目拟担任的职务</w:t>
            </w:r>
          </w:p>
        </w:tc>
      </w:tr>
      <w:tr w14:paraId="4E666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7" w:type="dxa"/>
            <w:tcBorders>
              <w:top w:val="single" w:color="auto" w:sz="4" w:space="0"/>
              <w:left w:val="single" w:color="auto" w:sz="4" w:space="0"/>
              <w:bottom w:val="single" w:color="auto" w:sz="4" w:space="0"/>
              <w:right w:val="single" w:color="auto" w:sz="4" w:space="0"/>
            </w:tcBorders>
            <w:vAlign w:val="center"/>
          </w:tcPr>
          <w:p w14:paraId="6CD76BEE">
            <w:pPr>
              <w:snapToGrid w:val="0"/>
              <w:spacing w:beforeLines="50" w:after="50" w:line="360" w:lineRule="auto"/>
              <w:jc w:val="center"/>
              <w:rPr>
                <w:rFonts w:ascii="宋体" w:hAnsi="宋体"/>
                <w:b/>
                <w:color w:val="auto"/>
                <w:szCs w:val="21"/>
                <w:highlight w:val="none"/>
              </w:rPr>
            </w:pPr>
          </w:p>
        </w:tc>
        <w:tc>
          <w:tcPr>
            <w:tcW w:w="1132" w:type="dxa"/>
            <w:tcBorders>
              <w:top w:val="single" w:color="auto" w:sz="4" w:space="0"/>
              <w:left w:val="single" w:color="auto" w:sz="4" w:space="0"/>
              <w:bottom w:val="single" w:color="auto" w:sz="4" w:space="0"/>
              <w:right w:val="single" w:color="auto" w:sz="4" w:space="0"/>
            </w:tcBorders>
            <w:vAlign w:val="center"/>
          </w:tcPr>
          <w:p w14:paraId="5F4CF7E2">
            <w:pPr>
              <w:snapToGrid w:val="0"/>
              <w:spacing w:beforeLines="50" w:after="50" w:line="360" w:lineRule="auto"/>
              <w:jc w:val="center"/>
              <w:rPr>
                <w:rFonts w:ascii="宋体" w:hAnsi="宋体"/>
                <w:b/>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ADFF750">
            <w:pPr>
              <w:snapToGrid w:val="0"/>
              <w:spacing w:beforeLines="50" w:after="50" w:line="360" w:lineRule="auto"/>
              <w:jc w:val="center"/>
              <w:rPr>
                <w:rFonts w:ascii="宋体" w:hAnsi="宋体"/>
                <w:b/>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36A152E">
            <w:pPr>
              <w:snapToGrid w:val="0"/>
              <w:spacing w:beforeLines="50" w:after="50" w:line="360" w:lineRule="auto"/>
              <w:jc w:val="center"/>
              <w:rPr>
                <w:rFonts w:ascii="宋体" w:hAnsi="宋体"/>
                <w:b/>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4998A01F">
            <w:pPr>
              <w:snapToGrid w:val="0"/>
              <w:spacing w:beforeLines="50" w:after="50" w:line="360" w:lineRule="auto"/>
              <w:jc w:val="center"/>
              <w:rPr>
                <w:rFonts w:ascii="宋体" w:hAnsi="宋体"/>
                <w:b/>
                <w:color w:val="auto"/>
                <w:szCs w:val="21"/>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14:paraId="433062FB">
            <w:pPr>
              <w:snapToGrid w:val="0"/>
              <w:spacing w:beforeLines="50" w:after="50" w:line="360" w:lineRule="auto"/>
              <w:jc w:val="center"/>
              <w:rPr>
                <w:rFonts w:ascii="宋体" w:hAnsi="宋体"/>
                <w:b/>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E616077">
            <w:pPr>
              <w:snapToGrid w:val="0"/>
              <w:spacing w:beforeLines="50" w:after="50" w:line="360" w:lineRule="auto"/>
              <w:jc w:val="center"/>
              <w:rPr>
                <w:rFonts w:ascii="宋体" w:hAnsi="宋体"/>
                <w:b/>
                <w:bCs/>
                <w:color w:val="auto"/>
                <w:szCs w:val="21"/>
                <w:highlight w:val="none"/>
              </w:rPr>
            </w:pPr>
          </w:p>
        </w:tc>
      </w:tr>
      <w:tr w14:paraId="175D3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77" w:type="dxa"/>
            <w:tcBorders>
              <w:top w:val="single" w:color="auto" w:sz="4" w:space="0"/>
              <w:left w:val="single" w:color="auto" w:sz="4" w:space="0"/>
              <w:bottom w:val="single" w:color="auto" w:sz="4" w:space="0"/>
              <w:right w:val="single" w:color="auto" w:sz="4" w:space="0"/>
            </w:tcBorders>
          </w:tcPr>
          <w:p w14:paraId="4EA7F86B">
            <w:pPr>
              <w:snapToGrid w:val="0"/>
              <w:spacing w:beforeLines="50" w:after="50" w:line="360" w:lineRule="auto"/>
              <w:rPr>
                <w:rFonts w:ascii="宋体" w:hAnsi="宋体"/>
                <w:color w:val="auto"/>
                <w:sz w:val="24"/>
                <w:szCs w:val="20"/>
                <w:highlight w:val="none"/>
              </w:rPr>
            </w:pPr>
          </w:p>
        </w:tc>
        <w:tc>
          <w:tcPr>
            <w:tcW w:w="1132" w:type="dxa"/>
            <w:tcBorders>
              <w:top w:val="single" w:color="auto" w:sz="4" w:space="0"/>
              <w:left w:val="single" w:color="auto" w:sz="4" w:space="0"/>
              <w:bottom w:val="single" w:color="auto" w:sz="4" w:space="0"/>
              <w:right w:val="single" w:color="auto" w:sz="4" w:space="0"/>
            </w:tcBorders>
          </w:tcPr>
          <w:p w14:paraId="3012CA18">
            <w:pPr>
              <w:snapToGrid w:val="0"/>
              <w:spacing w:beforeLines="50" w:after="50" w:line="360" w:lineRule="auto"/>
              <w:rPr>
                <w:rFonts w:ascii="宋体" w:hAnsi="宋体"/>
                <w:b/>
                <w:color w:val="auto"/>
                <w:kern w:val="44"/>
                <w:sz w:val="24"/>
                <w:szCs w:val="20"/>
                <w:highlight w:val="none"/>
              </w:rPr>
            </w:pPr>
          </w:p>
        </w:tc>
        <w:tc>
          <w:tcPr>
            <w:tcW w:w="851" w:type="dxa"/>
            <w:tcBorders>
              <w:top w:val="single" w:color="auto" w:sz="4" w:space="0"/>
              <w:left w:val="single" w:color="auto" w:sz="4" w:space="0"/>
              <w:bottom w:val="single" w:color="auto" w:sz="4" w:space="0"/>
              <w:right w:val="single" w:color="auto" w:sz="4" w:space="0"/>
            </w:tcBorders>
          </w:tcPr>
          <w:p w14:paraId="058E5A3A">
            <w:pPr>
              <w:snapToGrid w:val="0"/>
              <w:spacing w:beforeLines="50" w:after="50" w:line="360" w:lineRule="auto"/>
              <w:rPr>
                <w:rFonts w:ascii="宋体" w:hAnsi="宋体"/>
                <w:b/>
                <w:color w:val="auto"/>
                <w:kern w:val="44"/>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tcPr>
          <w:p w14:paraId="3BADE6C9">
            <w:pPr>
              <w:snapToGrid w:val="0"/>
              <w:spacing w:beforeLines="50" w:after="50" w:line="360" w:lineRule="auto"/>
              <w:rPr>
                <w:rFonts w:ascii="宋体" w:hAnsi="宋体"/>
                <w:b/>
                <w:color w:val="auto"/>
                <w:kern w:val="44"/>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tcPr>
          <w:p w14:paraId="68D52644">
            <w:pPr>
              <w:snapToGrid w:val="0"/>
              <w:spacing w:beforeLines="50" w:after="50" w:line="360" w:lineRule="auto"/>
              <w:rPr>
                <w:rFonts w:ascii="宋体" w:hAnsi="宋体"/>
                <w:b/>
                <w:color w:val="auto"/>
                <w:kern w:val="44"/>
                <w:sz w:val="24"/>
                <w:szCs w:val="20"/>
                <w:highlight w:val="none"/>
              </w:rPr>
            </w:pPr>
          </w:p>
        </w:tc>
        <w:tc>
          <w:tcPr>
            <w:tcW w:w="2030" w:type="dxa"/>
            <w:tcBorders>
              <w:top w:val="single" w:color="auto" w:sz="4" w:space="0"/>
              <w:left w:val="single" w:color="auto" w:sz="4" w:space="0"/>
              <w:bottom w:val="single" w:color="auto" w:sz="4" w:space="0"/>
              <w:right w:val="single" w:color="auto" w:sz="4" w:space="0"/>
            </w:tcBorders>
          </w:tcPr>
          <w:p w14:paraId="7350992E">
            <w:pPr>
              <w:snapToGrid w:val="0"/>
              <w:spacing w:beforeLines="50" w:after="50" w:line="360" w:lineRule="auto"/>
              <w:rPr>
                <w:rFonts w:ascii="宋体" w:hAnsi="宋体"/>
                <w:b/>
                <w:color w:val="auto"/>
                <w:kern w:val="44"/>
                <w:sz w:val="24"/>
                <w:szCs w:val="20"/>
                <w:highlight w:val="none"/>
              </w:rPr>
            </w:pPr>
          </w:p>
        </w:tc>
        <w:tc>
          <w:tcPr>
            <w:tcW w:w="2268" w:type="dxa"/>
            <w:tcBorders>
              <w:top w:val="single" w:color="auto" w:sz="4" w:space="0"/>
              <w:left w:val="single" w:color="auto" w:sz="4" w:space="0"/>
              <w:bottom w:val="single" w:color="auto" w:sz="4" w:space="0"/>
              <w:right w:val="single" w:color="auto" w:sz="4" w:space="0"/>
            </w:tcBorders>
          </w:tcPr>
          <w:p w14:paraId="556F8791">
            <w:pPr>
              <w:snapToGrid w:val="0"/>
              <w:spacing w:beforeLines="50" w:after="50" w:line="360" w:lineRule="auto"/>
              <w:jc w:val="center"/>
              <w:rPr>
                <w:rFonts w:ascii="宋体" w:hAnsi="宋体"/>
                <w:b/>
                <w:bCs/>
                <w:color w:val="auto"/>
                <w:szCs w:val="21"/>
                <w:highlight w:val="none"/>
              </w:rPr>
            </w:pPr>
          </w:p>
        </w:tc>
      </w:tr>
      <w:tr w14:paraId="407FB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77" w:type="dxa"/>
            <w:tcBorders>
              <w:top w:val="single" w:color="auto" w:sz="4" w:space="0"/>
              <w:left w:val="single" w:color="auto" w:sz="4" w:space="0"/>
              <w:bottom w:val="single" w:color="auto" w:sz="4" w:space="0"/>
              <w:right w:val="single" w:color="auto" w:sz="4" w:space="0"/>
            </w:tcBorders>
          </w:tcPr>
          <w:p w14:paraId="141BBCF9">
            <w:pPr>
              <w:snapToGrid w:val="0"/>
              <w:spacing w:beforeLines="50" w:after="50" w:line="360" w:lineRule="auto"/>
              <w:rPr>
                <w:rFonts w:ascii="宋体" w:hAnsi="宋体"/>
                <w:color w:val="auto"/>
                <w:sz w:val="24"/>
                <w:szCs w:val="20"/>
                <w:highlight w:val="none"/>
              </w:rPr>
            </w:pPr>
          </w:p>
        </w:tc>
        <w:tc>
          <w:tcPr>
            <w:tcW w:w="1132" w:type="dxa"/>
            <w:tcBorders>
              <w:top w:val="single" w:color="auto" w:sz="4" w:space="0"/>
              <w:left w:val="single" w:color="auto" w:sz="4" w:space="0"/>
              <w:bottom w:val="single" w:color="auto" w:sz="4" w:space="0"/>
              <w:right w:val="single" w:color="auto" w:sz="4" w:space="0"/>
            </w:tcBorders>
          </w:tcPr>
          <w:p w14:paraId="2B63D69F">
            <w:pPr>
              <w:snapToGrid w:val="0"/>
              <w:spacing w:beforeLines="50" w:after="50" w:line="360" w:lineRule="auto"/>
              <w:rPr>
                <w:rFonts w:ascii="宋体" w:hAnsi="宋体"/>
                <w:b/>
                <w:color w:val="auto"/>
                <w:kern w:val="44"/>
                <w:sz w:val="24"/>
                <w:szCs w:val="20"/>
                <w:highlight w:val="none"/>
              </w:rPr>
            </w:pPr>
          </w:p>
        </w:tc>
        <w:tc>
          <w:tcPr>
            <w:tcW w:w="851" w:type="dxa"/>
            <w:tcBorders>
              <w:top w:val="single" w:color="auto" w:sz="4" w:space="0"/>
              <w:left w:val="single" w:color="auto" w:sz="4" w:space="0"/>
              <w:bottom w:val="single" w:color="auto" w:sz="4" w:space="0"/>
              <w:right w:val="single" w:color="auto" w:sz="4" w:space="0"/>
            </w:tcBorders>
          </w:tcPr>
          <w:p w14:paraId="5C21F8ED">
            <w:pPr>
              <w:snapToGrid w:val="0"/>
              <w:spacing w:beforeLines="50" w:after="50" w:line="360" w:lineRule="auto"/>
              <w:rPr>
                <w:rFonts w:ascii="宋体" w:hAnsi="宋体"/>
                <w:b/>
                <w:color w:val="auto"/>
                <w:kern w:val="44"/>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tcPr>
          <w:p w14:paraId="3C60D95F">
            <w:pPr>
              <w:snapToGrid w:val="0"/>
              <w:spacing w:beforeLines="50" w:after="50" w:line="360" w:lineRule="auto"/>
              <w:rPr>
                <w:rFonts w:ascii="宋体" w:hAnsi="宋体"/>
                <w:b/>
                <w:color w:val="auto"/>
                <w:kern w:val="44"/>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tcPr>
          <w:p w14:paraId="235B1E34">
            <w:pPr>
              <w:snapToGrid w:val="0"/>
              <w:spacing w:beforeLines="50" w:after="50" w:line="360" w:lineRule="auto"/>
              <w:rPr>
                <w:rFonts w:ascii="宋体" w:hAnsi="宋体"/>
                <w:b/>
                <w:color w:val="auto"/>
                <w:kern w:val="44"/>
                <w:sz w:val="24"/>
                <w:szCs w:val="20"/>
                <w:highlight w:val="none"/>
              </w:rPr>
            </w:pPr>
          </w:p>
        </w:tc>
        <w:tc>
          <w:tcPr>
            <w:tcW w:w="2030" w:type="dxa"/>
            <w:tcBorders>
              <w:top w:val="single" w:color="auto" w:sz="4" w:space="0"/>
              <w:left w:val="single" w:color="auto" w:sz="4" w:space="0"/>
              <w:bottom w:val="single" w:color="auto" w:sz="4" w:space="0"/>
              <w:right w:val="single" w:color="auto" w:sz="4" w:space="0"/>
            </w:tcBorders>
          </w:tcPr>
          <w:p w14:paraId="36137B87">
            <w:pPr>
              <w:snapToGrid w:val="0"/>
              <w:spacing w:beforeLines="50" w:after="50" w:line="360" w:lineRule="auto"/>
              <w:rPr>
                <w:rFonts w:ascii="宋体" w:hAnsi="宋体"/>
                <w:b/>
                <w:color w:val="auto"/>
                <w:kern w:val="44"/>
                <w:sz w:val="24"/>
                <w:szCs w:val="20"/>
                <w:highlight w:val="none"/>
              </w:rPr>
            </w:pPr>
          </w:p>
        </w:tc>
        <w:tc>
          <w:tcPr>
            <w:tcW w:w="2268" w:type="dxa"/>
            <w:tcBorders>
              <w:top w:val="single" w:color="auto" w:sz="4" w:space="0"/>
              <w:left w:val="single" w:color="auto" w:sz="4" w:space="0"/>
              <w:bottom w:val="single" w:color="auto" w:sz="4" w:space="0"/>
              <w:right w:val="single" w:color="auto" w:sz="4" w:space="0"/>
            </w:tcBorders>
          </w:tcPr>
          <w:p w14:paraId="5B3F6410">
            <w:pPr>
              <w:snapToGrid w:val="0"/>
              <w:spacing w:beforeLines="50" w:after="50" w:line="360" w:lineRule="auto"/>
              <w:jc w:val="center"/>
              <w:rPr>
                <w:rFonts w:ascii="宋体" w:hAnsi="宋体"/>
                <w:b/>
                <w:bCs/>
                <w:color w:val="auto"/>
                <w:szCs w:val="21"/>
                <w:highlight w:val="none"/>
              </w:rPr>
            </w:pPr>
          </w:p>
        </w:tc>
      </w:tr>
      <w:tr w14:paraId="3FAB0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77" w:type="dxa"/>
            <w:tcBorders>
              <w:top w:val="single" w:color="auto" w:sz="4" w:space="0"/>
              <w:left w:val="single" w:color="auto" w:sz="4" w:space="0"/>
              <w:bottom w:val="single" w:color="auto" w:sz="4" w:space="0"/>
              <w:right w:val="single" w:color="auto" w:sz="4" w:space="0"/>
            </w:tcBorders>
          </w:tcPr>
          <w:p w14:paraId="111DD283">
            <w:pPr>
              <w:snapToGrid w:val="0"/>
              <w:spacing w:beforeLines="50" w:after="50" w:line="360" w:lineRule="auto"/>
              <w:rPr>
                <w:rFonts w:ascii="宋体" w:hAnsi="宋体"/>
                <w:b/>
                <w:color w:val="auto"/>
                <w:kern w:val="44"/>
                <w:sz w:val="24"/>
                <w:szCs w:val="20"/>
                <w:highlight w:val="none"/>
              </w:rPr>
            </w:pPr>
          </w:p>
        </w:tc>
        <w:tc>
          <w:tcPr>
            <w:tcW w:w="1132" w:type="dxa"/>
            <w:tcBorders>
              <w:top w:val="single" w:color="auto" w:sz="4" w:space="0"/>
              <w:left w:val="single" w:color="auto" w:sz="4" w:space="0"/>
              <w:bottom w:val="single" w:color="auto" w:sz="4" w:space="0"/>
              <w:right w:val="single" w:color="auto" w:sz="4" w:space="0"/>
            </w:tcBorders>
          </w:tcPr>
          <w:p w14:paraId="4B069778">
            <w:pPr>
              <w:snapToGrid w:val="0"/>
              <w:spacing w:beforeLines="50" w:after="50" w:line="360" w:lineRule="auto"/>
              <w:rPr>
                <w:rFonts w:ascii="宋体" w:hAnsi="宋体"/>
                <w:b/>
                <w:color w:val="auto"/>
                <w:kern w:val="44"/>
                <w:sz w:val="24"/>
                <w:szCs w:val="20"/>
                <w:highlight w:val="none"/>
              </w:rPr>
            </w:pPr>
          </w:p>
        </w:tc>
        <w:tc>
          <w:tcPr>
            <w:tcW w:w="851" w:type="dxa"/>
            <w:tcBorders>
              <w:top w:val="single" w:color="auto" w:sz="4" w:space="0"/>
              <w:left w:val="single" w:color="auto" w:sz="4" w:space="0"/>
              <w:bottom w:val="single" w:color="auto" w:sz="4" w:space="0"/>
              <w:right w:val="single" w:color="auto" w:sz="4" w:space="0"/>
            </w:tcBorders>
          </w:tcPr>
          <w:p w14:paraId="246F5F10">
            <w:pPr>
              <w:snapToGrid w:val="0"/>
              <w:spacing w:beforeLines="50" w:after="50" w:line="360" w:lineRule="auto"/>
              <w:rPr>
                <w:rFonts w:ascii="宋体" w:hAnsi="宋体"/>
                <w:b/>
                <w:color w:val="auto"/>
                <w:kern w:val="44"/>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tcPr>
          <w:p w14:paraId="29F1DE85">
            <w:pPr>
              <w:snapToGrid w:val="0"/>
              <w:spacing w:beforeLines="50" w:after="50" w:line="360" w:lineRule="auto"/>
              <w:rPr>
                <w:rFonts w:ascii="宋体" w:hAnsi="宋体"/>
                <w:b/>
                <w:color w:val="auto"/>
                <w:kern w:val="44"/>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tcPr>
          <w:p w14:paraId="3C98AD6C">
            <w:pPr>
              <w:snapToGrid w:val="0"/>
              <w:spacing w:beforeLines="50" w:after="50" w:line="360" w:lineRule="auto"/>
              <w:rPr>
                <w:rFonts w:ascii="宋体" w:hAnsi="宋体"/>
                <w:b/>
                <w:color w:val="auto"/>
                <w:kern w:val="44"/>
                <w:sz w:val="24"/>
                <w:szCs w:val="20"/>
                <w:highlight w:val="none"/>
              </w:rPr>
            </w:pPr>
          </w:p>
        </w:tc>
        <w:tc>
          <w:tcPr>
            <w:tcW w:w="2030" w:type="dxa"/>
            <w:tcBorders>
              <w:top w:val="single" w:color="auto" w:sz="4" w:space="0"/>
              <w:left w:val="single" w:color="auto" w:sz="4" w:space="0"/>
              <w:bottom w:val="single" w:color="auto" w:sz="4" w:space="0"/>
              <w:right w:val="single" w:color="auto" w:sz="4" w:space="0"/>
            </w:tcBorders>
          </w:tcPr>
          <w:p w14:paraId="4FC8F945">
            <w:pPr>
              <w:snapToGrid w:val="0"/>
              <w:spacing w:beforeLines="50" w:after="50" w:line="360" w:lineRule="auto"/>
              <w:rPr>
                <w:rFonts w:ascii="宋体" w:hAnsi="宋体"/>
                <w:b/>
                <w:color w:val="auto"/>
                <w:kern w:val="44"/>
                <w:sz w:val="24"/>
                <w:szCs w:val="20"/>
                <w:highlight w:val="none"/>
              </w:rPr>
            </w:pPr>
          </w:p>
        </w:tc>
        <w:tc>
          <w:tcPr>
            <w:tcW w:w="2268" w:type="dxa"/>
            <w:tcBorders>
              <w:top w:val="single" w:color="auto" w:sz="4" w:space="0"/>
              <w:left w:val="single" w:color="auto" w:sz="4" w:space="0"/>
              <w:bottom w:val="single" w:color="auto" w:sz="4" w:space="0"/>
              <w:right w:val="single" w:color="auto" w:sz="4" w:space="0"/>
            </w:tcBorders>
          </w:tcPr>
          <w:p w14:paraId="32125463">
            <w:pPr>
              <w:snapToGrid w:val="0"/>
              <w:spacing w:beforeLines="50" w:after="50" w:line="360" w:lineRule="auto"/>
              <w:jc w:val="center"/>
              <w:rPr>
                <w:rFonts w:ascii="宋体" w:hAnsi="宋体"/>
                <w:b/>
                <w:bCs/>
                <w:color w:val="auto"/>
                <w:szCs w:val="21"/>
                <w:highlight w:val="none"/>
              </w:rPr>
            </w:pPr>
          </w:p>
        </w:tc>
      </w:tr>
      <w:tr w14:paraId="463F9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77" w:type="dxa"/>
            <w:tcBorders>
              <w:top w:val="single" w:color="auto" w:sz="4" w:space="0"/>
              <w:left w:val="single" w:color="auto" w:sz="4" w:space="0"/>
              <w:bottom w:val="single" w:color="auto" w:sz="4" w:space="0"/>
              <w:right w:val="single" w:color="auto" w:sz="4" w:space="0"/>
            </w:tcBorders>
          </w:tcPr>
          <w:p w14:paraId="6B14CE49">
            <w:pPr>
              <w:snapToGrid w:val="0"/>
              <w:spacing w:beforeLines="50" w:after="50" w:line="360" w:lineRule="auto"/>
              <w:rPr>
                <w:rFonts w:ascii="宋体" w:hAnsi="宋体"/>
                <w:b/>
                <w:color w:val="auto"/>
                <w:kern w:val="44"/>
                <w:sz w:val="24"/>
                <w:szCs w:val="20"/>
                <w:highlight w:val="none"/>
              </w:rPr>
            </w:pPr>
          </w:p>
        </w:tc>
        <w:tc>
          <w:tcPr>
            <w:tcW w:w="1132" w:type="dxa"/>
            <w:tcBorders>
              <w:top w:val="single" w:color="auto" w:sz="4" w:space="0"/>
              <w:left w:val="single" w:color="auto" w:sz="4" w:space="0"/>
              <w:bottom w:val="single" w:color="auto" w:sz="4" w:space="0"/>
              <w:right w:val="single" w:color="auto" w:sz="4" w:space="0"/>
            </w:tcBorders>
          </w:tcPr>
          <w:p w14:paraId="2B752647">
            <w:pPr>
              <w:snapToGrid w:val="0"/>
              <w:spacing w:beforeLines="50" w:after="50" w:line="360" w:lineRule="auto"/>
              <w:rPr>
                <w:rFonts w:ascii="宋体" w:hAnsi="宋体"/>
                <w:b/>
                <w:color w:val="auto"/>
                <w:kern w:val="44"/>
                <w:sz w:val="24"/>
                <w:szCs w:val="20"/>
                <w:highlight w:val="none"/>
              </w:rPr>
            </w:pPr>
          </w:p>
        </w:tc>
        <w:tc>
          <w:tcPr>
            <w:tcW w:w="851" w:type="dxa"/>
            <w:tcBorders>
              <w:top w:val="single" w:color="auto" w:sz="4" w:space="0"/>
              <w:left w:val="single" w:color="auto" w:sz="4" w:space="0"/>
              <w:bottom w:val="single" w:color="auto" w:sz="4" w:space="0"/>
              <w:right w:val="single" w:color="auto" w:sz="4" w:space="0"/>
            </w:tcBorders>
          </w:tcPr>
          <w:p w14:paraId="7F311648">
            <w:pPr>
              <w:snapToGrid w:val="0"/>
              <w:spacing w:beforeLines="50" w:after="50" w:line="360" w:lineRule="auto"/>
              <w:rPr>
                <w:rFonts w:ascii="宋体" w:hAnsi="宋体"/>
                <w:b/>
                <w:color w:val="auto"/>
                <w:kern w:val="44"/>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tcPr>
          <w:p w14:paraId="6D28717F">
            <w:pPr>
              <w:snapToGrid w:val="0"/>
              <w:spacing w:beforeLines="50" w:after="50" w:line="360" w:lineRule="auto"/>
              <w:rPr>
                <w:rFonts w:ascii="宋体" w:hAnsi="宋体"/>
                <w:b/>
                <w:color w:val="auto"/>
                <w:kern w:val="44"/>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tcPr>
          <w:p w14:paraId="203FED9D">
            <w:pPr>
              <w:snapToGrid w:val="0"/>
              <w:spacing w:beforeLines="50" w:after="50" w:line="360" w:lineRule="auto"/>
              <w:rPr>
                <w:rFonts w:ascii="宋体" w:hAnsi="宋体"/>
                <w:b/>
                <w:color w:val="auto"/>
                <w:kern w:val="44"/>
                <w:sz w:val="24"/>
                <w:szCs w:val="20"/>
                <w:highlight w:val="none"/>
              </w:rPr>
            </w:pPr>
          </w:p>
        </w:tc>
        <w:tc>
          <w:tcPr>
            <w:tcW w:w="2030" w:type="dxa"/>
            <w:tcBorders>
              <w:top w:val="single" w:color="auto" w:sz="4" w:space="0"/>
              <w:left w:val="single" w:color="auto" w:sz="4" w:space="0"/>
              <w:bottom w:val="single" w:color="auto" w:sz="4" w:space="0"/>
              <w:right w:val="single" w:color="auto" w:sz="4" w:space="0"/>
            </w:tcBorders>
          </w:tcPr>
          <w:p w14:paraId="0C9FB953">
            <w:pPr>
              <w:snapToGrid w:val="0"/>
              <w:spacing w:beforeLines="50" w:after="50" w:line="360" w:lineRule="auto"/>
              <w:rPr>
                <w:rFonts w:ascii="宋体" w:hAnsi="宋体"/>
                <w:b/>
                <w:color w:val="auto"/>
                <w:kern w:val="44"/>
                <w:sz w:val="24"/>
                <w:szCs w:val="20"/>
                <w:highlight w:val="none"/>
              </w:rPr>
            </w:pPr>
          </w:p>
        </w:tc>
        <w:tc>
          <w:tcPr>
            <w:tcW w:w="2268" w:type="dxa"/>
            <w:tcBorders>
              <w:top w:val="single" w:color="auto" w:sz="4" w:space="0"/>
              <w:left w:val="single" w:color="auto" w:sz="4" w:space="0"/>
              <w:bottom w:val="single" w:color="auto" w:sz="4" w:space="0"/>
              <w:right w:val="single" w:color="auto" w:sz="4" w:space="0"/>
            </w:tcBorders>
          </w:tcPr>
          <w:p w14:paraId="1E1A1D56">
            <w:pPr>
              <w:snapToGrid w:val="0"/>
              <w:spacing w:beforeLines="50" w:after="50" w:line="360" w:lineRule="auto"/>
              <w:jc w:val="center"/>
              <w:rPr>
                <w:rFonts w:ascii="宋体" w:hAnsi="宋体"/>
                <w:b/>
                <w:bCs/>
                <w:color w:val="auto"/>
                <w:szCs w:val="21"/>
                <w:highlight w:val="none"/>
              </w:rPr>
            </w:pPr>
          </w:p>
        </w:tc>
      </w:tr>
      <w:tr w14:paraId="6E20C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77" w:type="dxa"/>
            <w:tcBorders>
              <w:top w:val="single" w:color="auto" w:sz="4" w:space="0"/>
              <w:left w:val="single" w:color="auto" w:sz="4" w:space="0"/>
              <w:bottom w:val="single" w:color="auto" w:sz="4" w:space="0"/>
              <w:right w:val="single" w:color="auto" w:sz="4" w:space="0"/>
            </w:tcBorders>
          </w:tcPr>
          <w:p w14:paraId="32BAF17E">
            <w:pPr>
              <w:snapToGrid w:val="0"/>
              <w:spacing w:beforeLines="50" w:after="50" w:line="360" w:lineRule="auto"/>
              <w:rPr>
                <w:rFonts w:ascii="宋体" w:hAnsi="宋体"/>
                <w:b/>
                <w:color w:val="auto"/>
                <w:kern w:val="44"/>
                <w:sz w:val="24"/>
                <w:szCs w:val="20"/>
                <w:highlight w:val="none"/>
              </w:rPr>
            </w:pPr>
          </w:p>
        </w:tc>
        <w:tc>
          <w:tcPr>
            <w:tcW w:w="1132" w:type="dxa"/>
            <w:tcBorders>
              <w:top w:val="single" w:color="auto" w:sz="4" w:space="0"/>
              <w:left w:val="single" w:color="auto" w:sz="4" w:space="0"/>
              <w:bottom w:val="single" w:color="auto" w:sz="4" w:space="0"/>
              <w:right w:val="single" w:color="auto" w:sz="4" w:space="0"/>
            </w:tcBorders>
          </w:tcPr>
          <w:p w14:paraId="35E7EB1A">
            <w:pPr>
              <w:snapToGrid w:val="0"/>
              <w:spacing w:beforeLines="50" w:after="50" w:line="360" w:lineRule="auto"/>
              <w:rPr>
                <w:rFonts w:ascii="宋体" w:hAnsi="宋体"/>
                <w:b/>
                <w:color w:val="auto"/>
                <w:kern w:val="44"/>
                <w:sz w:val="24"/>
                <w:szCs w:val="20"/>
                <w:highlight w:val="none"/>
              </w:rPr>
            </w:pPr>
          </w:p>
        </w:tc>
        <w:tc>
          <w:tcPr>
            <w:tcW w:w="851" w:type="dxa"/>
            <w:tcBorders>
              <w:top w:val="single" w:color="auto" w:sz="4" w:space="0"/>
              <w:left w:val="single" w:color="auto" w:sz="4" w:space="0"/>
              <w:bottom w:val="single" w:color="auto" w:sz="4" w:space="0"/>
              <w:right w:val="single" w:color="auto" w:sz="4" w:space="0"/>
            </w:tcBorders>
          </w:tcPr>
          <w:p w14:paraId="630CA8AB">
            <w:pPr>
              <w:snapToGrid w:val="0"/>
              <w:spacing w:beforeLines="50" w:after="50" w:line="360" w:lineRule="auto"/>
              <w:rPr>
                <w:rFonts w:ascii="宋体" w:hAnsi="宋体"/>
                <w:b/>
                <w:color w:val="auto"/>
                <w:kern w:val="44"/>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tcPr>
          <w:p w14:paraId="70FD9599">
            <w:pPr>
              <w:snapToGrid w:val="0"/>
              <w:spacing w:beforeLines="50" w:after="50" w:line="360" w:lineRule="auto"/>
              <w:rPr>
                <w:rFonts w:ascii="宋体" w:hAnsi="宋体"/>
                <w:b/>
                <w:color w:val="auto"/>
                <w:kern w:val="44"/>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tcPr>
          <w:p w14:paraId="3F2DCF8D">
            <w:pPr>
              <w:snapToGrid w:val="0"/>
              <w:spacing w:beforeLines="50" w:after="50" w:line="360" w:lineRule="auto"/>
              <w:rPr>
                <w:rFonts w:ascii="宋体" w:hAnsi="宋体"/>
                <w:b/>
                <w:color w:val="auto"/>
                <w:kern w:val="44"/>
                <w:sz w:val="24"/>
                <w:szCs w:val="20"/>
                <w:highlight w:val="none"/>
              </w:rPr>
            </w:pPr>
          </w:p>
        </w:tc>
        <w:tc>
          <w:tcPr>
            <w:tcW w:w="2030" w:type="dxa"/>
            <w:tcBorders>
              <w:top w:val="single" w:color="auto" w:sz="4" w:space="0"/>
              <w:left w:val="single" w:color="auto" w:sz="4" w:space="0"/>
              <w:bottom w:val="single" w:color="auto" w:sz="4" w:space="0"/>
              <w:right w:val="single" w:color="auto" w:sz="4" w:space="0"/>
            </w:tcBorders>
          </w:tcPr>
          <w:p w14:paraId="3D71B7A2">
            <w:pPr>
              <w:snapToGrid w:val="0"/>
              <w:spacing w:beforeLines="50" w:after="50" w:line="360" w:lineRule="auto"/>
              <w:rPr>
                <w:rFonts w:ascii="宋体" w:hAnsi="宋体"/>
                <w:b/>
                <w:color w:val="auto"/>
                <w:kern w:val="44"/>
                <w:sz w:val="24"/>
                <w:szCs w:val="20"/>
                <w:highlight w:val="none"/>
              </w:rPr>
            </w:pPr>
          </w:p>
        </w:tc>
        <w:tc>
          <w:tcPr>
            <w:tcW w:w="2268" w:type="dxa"/>
            <w:tcBorders>
              <w:top w:val="single" w:color="auto" w:sz="4" w:space="0"/>
              <w:left w:val="single" w:color="auto" w:sz="4" w:space="0"/>
              <w:bottom w:val="single" w:color="auto" w:sz="4" w:space="0"/>
              <w:right w:val="single" w:color="auto" w:sz="4" w:space="0"/>
            </w:tcBorders>
          </w:tcPr>
          <w:p w14:paraId="6F7E17A8">
            <w:pPr>
              <w:snapToGrid w:val="0"/>
              <w:spacing w:beforeLines="50" w:after="50" w:line="360" w:lineRule="auto"/>
              <w:jc w:val="center"/>
              <w:rPr>
                <w:rFonts w:ascii="宋体" w:hAnsi="宋体"/>
                <w:b/>
                <w:bCs/>
                <w:color w:val="auto"/>
                <w:szCs w:val="21"/>
                <w:highlight w:val="none"/>
              </w:rPr>
            </w:pPr>
          </w:p>
        </w:tc>
      </w:tr>
      <w:tr w14:paraId="729C9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77" w:type="dxa"/>
            <w:tcBorders>
              <w:top w:val="single" w:color="auto" w:sz="4" w:space="0"/>
              <w:left w:val="single" w:color="auto" w:sz="4" w:space="0"/>
              <w:bottom w:val="single" w:color="auto" w:sz="4" w:space="0"/>
              <w:right w:val="single" w:color="auto" w:sz="4" w:space="0"/>
            </w:tcBorders>
          </w:tcPr>
          <w:p w14:paraId="63E2AD7E">
            <w:pPr>
              <w:snapToGrid w:val="0"/>
              <w:spacing w:beforeLines="50" w:after="50" w:line="360" w:lineRule="auto"/>
              <w:rPr>
                <w:rFonts w:ascii="宋体" w:hAnsi="宋体"/>
                <w:b/>
                <w:color w:val="auto"/>
                <w:kern w:val="44"/>
                <w:sz w:val="24"/>
                <w:szCs w:val="20"/>
                <w:highlight w:val="none"/>
              </w:rPr>
            </w:pPr>
          </w:p>
        </w:tc>
        <w:tc>
          <w:tcPr>
            <w:tcW w:w="1132" w:type="dxa"/>
            <w:tcBorders>
              <w:top w:val="single" w:color="auto" w:sz="4" w:space="0"/>
              <w:left w:val="single" w:color="auto" w:sz="4" w:space="0"/>
              <w:bottom w:val="single" w:color="auto" w:sz="4" w:space="0"/>
              <w:right w:val="single" w:color="auto" w:sz="4" w:space="0"/>
            </w:tcBorders>
          </w:tcPr>
          <w:p w14:paraId="69429381">
            <w:pPr>
              <w:snapToGrid w:val="0"/>
              <w:spacing w:beforeLines="50" w:after="50" w:line="360" w:lineRule="auto"/>
              <w:rPr>
                <w:rFonts w:ascii="宋体" w:hAnsi="宋体"/>
                <w:b/>
                <w:color w:val="auto"/>
                <w:kern w:val="44"/>
                <w:sz w:val="24"/>
                <w:szCs w:val="20"/>
                <w:highlight w:val="none"/>
              </w:rPr>
            </w:pPr>
          </w:p>
        </w:tc>
        <w:tc>
          <w:tcPr>
            <w:tcW w:w="851" w:type="dxa"/>
            <w:tcBorders>
              <w:top w:val="single" w:color="auto" w:sz="4" w:space="0"/>
              <w:left w:val="single" w:color="auto" w:sz="4" w:space="0"/>
              <w:bottom w:val="single" w:color="auto" w:sz="4" w:space="0"/>
              <w:right w:val="single" w:color="auto" w:sz="4" w:space="0"/>
            </w:tcBorders>
          </w:tcPr>
          <w:p w14:paraId="263E5EF3">
            <w:pPr>
              <w:snapToGrid w:val="0"/>
              <w:spacing w:beforeLines="50" w:after="50" w:line="360" w:lineRule="auto"/>
              <w:rPr>
                <w:rFonts w:ascii="宋体" w:hAnsi="宋体"/>
                <w:b/>
                <w:color w:val="auto"/>
                <w:kern w:val="44"/>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tcPr>
          <w:p w14:paraId="799DAC79">
            <w:pPr>
              <w:snapToGrid w:val="0"/>
              <w:spacing w:beforeLines="50" w:after="50" w:line="360" w:lineRule="auto"/>
              <w:rPr>
                <w:rFonts w:ascii="宋体" w:hAnsi="宋体"/>
                <w:b/>
                <w:color w:val="auto"/>
                <w:kern w:val="44"/>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tcPr>
          <w:p w14:paraId="455DC671">
            <w:pPr>
              <w:snapToGrid w:val="0"/>
              <w:spacing w:beforeLines="50" w:after="50" w:line="360" w:lineRule="auto"/>
              <w:rPr>
                <w:rFonts w:ascii="宋体" w:hAnsi="宋体"/>
                <w:b/>
                <w:color w:val="auto"/>
                <w:kern w:val="44"/>
                <w:sz w:val="24"/>
                <w:szCs w:val="20"/>
                <w:highlight w:val="none"/>
              </w:rPr>
            </w:pPr>
          </w:p>
        </w:tc>
        <w:tc>
          <w:tcPr>
            <w:tcW w:w="2030" w:type="dxa"/>
            <w:tcBorders>
              <w:top w:val="single" w:color="auto" w:sz="4" w:space="0"/>
              <w:left w:val="single" w:color="auto" w:sz="4" w:space="0"/>
              <w:bottom w:val="single" w:color="auto" w:sz="4" w:space="0"/>
              <w:right w:val="single" w:color="auto" w:sz="4" w:space="0"/>
            </w:tcBorders>
          </w:tcPr>
          <w:p w14:paraId="2C27B370">
            <w:pPr>
              <w:snapToGrid w:val="0"/>
              <w:spacing w:beforeLines="50" w:after="50" w:line="360" w:lineRule="auto"/>
              <w:rPr>
                <w:rFonts w:ascii="宋体" w:hAnsi="宋体"/>
                <w:b/>
                <w:color w:val="auto"/>
                <w:kern w:val="44"/>
                <w:sz w:val="24"/>
                <w:szCs w:val="20"/>
                <w:highlight w:val="none"/>
              </w:rPr>
            </w:pPr>
          </w:p>
        </w:tc>
        <w:tc>
          <w:tcPr>
            <w:tcW w:w="2268" w:type="dxa"/>
            <w:tcBorders>
              <w:top w:val="single" w:color="auto" w:sz="4" w:space="0"/>
              <w:left w:val="single" w:color="auto" w:sz="4" w:space="0"/>
              <w:bottom w:val="single" w:color="auto" w:sz="4" w:space="0"/>
              <w:right w:val="single" w:color="auto" w:sz="4" w:space="0"/>
            </w:tcBorders>
          </w:tcPr>
          <w:p w14:paraId="43FA70F2">
            <w:pPr>
              <w:snapToGrid w:val="0"/>
              <w:spacing w:beforeLines="50" w:after="50" w:line="360" w:lineRule="auto"/>
              <w:jc w:val="center"/>
              <w:rPr>
                <w:rFonts w:ascii="宋体" w:hAnsi="宋体"/>
                <w:b/>
                <w:bCs/>
                <w:color w:val="auto"/>
                <w:szCs w:val="21"/>
                <w:highlight w:val="none"/>
              </w:rPr>
            </w:pPr>
          </w:p>
        </w:tc>
      </w:tr>
      <w:tr w14:paraId="0E4A0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77" w:type="dxa"/>
            <w:tcBorders>
              <w:top w:val="single" w:color="auto" w:sz="4" w:space="0"/>
              <w:left w:val="single" w:color="auto" w:sz="4" w:space="0"/>
              <w:bottom w:val="single" w:color="auto" w:sz="4" w:space="0"/>
              <w:right w:val="single" w:color="auto" w:sz="4" w:space="0"/>
            </w:tcBorders>
          </w:tcPr>
          <w:p w14:paraId="2B38E875">
            <w:pPr>
              <w:snapToGrid w:val="0"/>
              <w:spacing w:beforeLines="50" w:after="50" w:line="360" w:lineRule="auto"/>
              <w:rPr>
                <w:rFonts w:ascii="宋体" w:hAnsi="宋体"/>
                <w:b/>
                <w:color w:val="auto"/>
                <w:kern w:val="44"/>
                <w:sz w:val="24"/>
                <w:szCs w:val="20"/>
                <w:highlight w:val="none"/>
              </w:rPr>
            </w:pPr>
          </w:p>
        </w:tc>
        <w:tc>
          <w:tcPr>
            <w:tcW w:w="1132" w:type="dxa"/>
            <w:tcBorders>
              <w:top w:val="single" w:color="auto" w:sz="4" w:space="0"/>
              <w:left w:val="single" w:color="auto" w:sz="4" w:space="0"/>
              <w:bottom w:val="single" w:color="auto" w:sz="4" w:space="0"/>
              <w:right w:val="single" w:color="auto" w:sz="4" w:space="0"/>
            </w:tcBorders>
          </w:tcPr>
          <w:p w14:paraId="799738B0">
            <w:pPr>
              <w:snapToGrid w:val="0"/>
              <w:spacing w:beforeLines="50" w:after="50" w:line="360" w:lineRule="auto"/>
              <w:rPr>
                <w:rFonts w:ascii="宋体" w:hAnsi="宋体"/>
                <w:b/>
                <w:color w:val="auto"/>
                <w:kern w:val="44"/>
                <w:sz w:val="24"/>
                <w:szCs w:val="20"/>
                <w:highlight w:val="none"/>
              </w:rPr>
            </w:pPr>
          </w:p>
        </w:tc>
        <w:tc>
          <w:tcPr>
            <w:tcW w:w="851" w:type="dxa"/>
            <w:tcBorders>
              <w:top w:val="single" w:color="auto" w:sz="4" w:space="0"/>
              <w:left w:val="single" w:color="auto" w:sz="4" w:space="0"/>
              <w:bottom w:val="single" w:color="auto" w:sz="4" w:space="0"/>
              <w:right w:val="single" w:color="auto" w:sz="4" w:space="0"/>
            </w:tcBorders>
          </w:tcPr>
          <w:p w14:paraId="211F96E6">
            <w:pPr>
              <w:snapToGrid w:val="0"/>
              <w:spacing w:beforeLines="50" w:after="50" w:line="360" w:lineRule="auto"/>
              <w:rPr>
                <w:rFonts w:ascii="宋体" w:hAnsi="宋体"/>
                <w:b/>
                <w:color w:val="auto"/>
                <w:kern w:val="44"/>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tcPr>
          <w:p w14:paraId="1F53A231">
            <w:pPr>
              <w:snapToGrid w:val="0"/>
              <w:spacing w:beforeLines="50" w:after="50" w:line="360" w:lineRule="auto"/>
              <w:rPr>
                <w:rFonts w:ascii="宋体" w:hAnsi="宋体"/>
                <w:b/>
                <w:color w:val="auto"/>
                <w:kern w:val="44"/>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tcPr>
          <w:p w14:paraId="6CB35C91">
            <w:pPr>
              <w:snapToGrid w:val="0"/>
              <w:spacing w:beforeLines="50" w:after="50" w:line="360" w:lineRule="auto"/>
              <w:rPr>
                <w:rFonts w:ascii="宋体" w:hAnsi="宋体"/>
                <w:b/>
                <w:color w:val="auto"/>
                <w:kern w:val="44"/>
                <w:sz w:val="24"/>
                <w:szCs w:val="20"/>
                <w:highlight w:val="none"/>
              </w:rPr>
            </w:pPr>
          </w:p>
        </w:tc>
        <w:tc>
          <w:tcPr>
            <w:tcW w:w="2030" w:type="dxa"/>
            <w:tcBorders>
              <w:top w:val="single" w:color="auto" w:sz="4" w:space="0"/>
              <w:left w:val="single" w:color="auto" w:sz="4" w:space="0"/>
              <w:bottom w:val="single" w:color="auto" w:sz="4" w:space="0"/>
              <w:right w:val="single" w:color="auto" w:sz="4" w:space="0"/>
            </w:tcBorders>
          </w:tcPr>
          <w:p w14:paraId="796EAC35">
            <w:pPr>
              <w:snapToGrid w:val="0"/>
              <w:spacing w:beforeLines="50" w:after="50" w:line="360" w:lineRule="auto"/>
              <w:rPr>
                <w:rFonts w:ascii="宋体" w:hAnsi="宋体"/>
                <w:b/>
                <w:color w:val="auto"/>
                <w:kern w:val="44"/>
                <w:sz w:val="24"/>
                <w:szCs w:val="20"/>
                <w:highlight w:val="none"/>
              </w:rPr>
            </w:pPr>
          </w:p>
        </w:tc>
        <w:tc>
          <w:tcPr>
            <w:tcW w:w="2268" w:type="dxa"/>
            <w:tcBorders>
              <w:top w:val="single" w:color="auto" w:sz="4" w:space="0"/>
              <w:left w:val="single" w:color="auto" w:sz="4" w:space="0"/>
              <w:bottom w:val="single" w:color="auto" w:sz="4" w:space="0"/>
              <w:right w:val="single" w:color="auto" w:sz="4" w:space="0"/>
            </w:tcBorders>
          </w:tcPr>
          <w:p w14:paraId="59D4A0BD">
            <w:pPr>
              <w:snapToGrid w:val="0"/>
              <w:spacing w:beforeLines="50" w:after="50" w:line="360" w:lineRule="auto"/>
              <w:jc w:val="center"/>
              <w:rPr>
                <w:rFonts w:ascii="宋体" w:hAnsi="宋体"/>
                <w:b/>
                <w:bCs/>
                <w:color w:val="auto"/>
                <w:szCs w:val="21"/>
                <w:highlight w:val="none"/>
              </w:rPr>
            </w:pPr>
          </w:p>
        </w:tc>
      </w:tr>
      <w:tr w14:paraId="42980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77" w:type="dxa"/>
            <w:tcBorders>
              <w:top w:val="single" w:color="auto" w:sz="4" w:space="0"/>
              <w:left w:val="single" w:color="auto" w:sz="4" w:space="0"/>
              <w:bottom w:val="single" w:color="auto" w:sz="4" w:space="0"/>
              <w:right w:val="single" w:color="auto" w:sz="4" w:space="0"/>
            </w:tcBorders>
          </w:tcPr>
          <w:p w14:paraId="5AD76F10">
            <w:pPr>
              <w:snapToGrid w:val="0"/>
              <w:spacing w:beforeLines="50" w:after="50" w:line="360" w:lineRule="auto"/>
              <w:rPr>
                <w:rFonts w:ascii="宋体" w:hAnsi="宋体"/>
                <w:b/>
                <w:color w:val="auto"/>
                <w:kern w:val="44"/>
                <w:sz w:val="24"/>
                <w:szCs w:val="20"/>
                <w:highlight w:val="none"/>
              </w:rPr>
            </w:pPr>
          </w:p>
        </w:tc>
        <w:tc>
          <w:tcPr>
            <w:tcW w:w="1132" w:type="dxa"/>
            <w:tcBorders>
              <w:top w:val="single" w:color="auto" w:sz="4" w:space="0"/>
              <w:left w:val="single" w:color="auto" w:sz="4" w:space="0"/>
              <w:bottom w:val="single" w:color="auto" w:sz="4" w:space="0"/>
              <w:right w:val="single" w:color="auto" w:sz="4" w:space="0"/>
            </w:tcBorders>
          </w:tcPr>
          <w:p w14:paraId="674E635F">
            <w:pPr>
              <w:snapToGrid w:val="0"/>
              <w:spacing w:beforeLines="50" w:after="50" w:line="360" w:lineRule="auto"/>
              <w:rPr>
                <w:rFonts w:ascii="宋体" w:hAnsi="宋体"/>
                <w:b/>
                <w:color w:val="auto"/>
                <w:kern w:val="44"/>
                <w:sz w:val="24"/>
                <w:szCs w:val="20"/>
                <w:highlight w:val="none"/>
              </w:rPr>
            </w:pPr>
            <w:r>
              <w:rPr>
                <w:rFonts w:hint="eastAsia" w:ascii="宋体" w:hAnsi="宋体"/>
                <w:b/>
                <w:color w:val="auto"/>
                <w:kern w:val="44"/>
                <w:sz w:val="24"/>
                <w:szCs w:val="20"/>
                <w:highlight w:val="none"/>
              </w:rPr>
              <w:t>···</w:t>
            </w:r>
          </w:p>
        </w:tc>
        <w:tc>
          <w:tcPr>
            <w:tcW w:w="851" w:type="dxa"/>
            <w:tcBorders>
              <w:top w:val="single" w:color="auto" w:sz="4" w:space="0"/>
              <w:left w:val="single" w:color="auto" w:sz="4" w:space="0"/>
              <w:bottom w:val="single" w:color="auto" w:sz="4" w:space="0"/>
              <w:right w:val="single" w:color="auto" w:sz="4" w:space="0"/>
            </w:tcBorders>
          </w:tcPr>
          <w:p w14:paraId="73B3401F">
            <w:pPr>
              <w:snapToGrid w:val="0"/>
              <w:spacing w:beforeLines="50" w:after="50" w:line="360" w:lineRule="auto"/>
              <w:rPr>
                <w:rFonts w:ascii="宋体" w:hAnsi="宋体"/>
                <w:b/>
                <w:color w:val="auto"/>
                <w:kern w:val="44"/>
                <w:sz w:val="24"/>
                <w:szCs w:val="20"/>
                <w:highlight w:val="none"/>
              </w:rPr>
            </w:pPr>
          </w:p>
        </w:tc>
        <w:tc>
          <w:tcPr>
            <w:tcW w:w="992" w:type="dxa"/>
            <w:tcBorders>
              <w:top w:val="single" w:color="auto" w:sz="4" w:space="0"/>
              <w:left w:val="single" w:color="auto" w:sz="4" w:space="0"/>
              <w:bottom w:val="single" w:color="auto" w:sz="4" w:space="0"/>
              <w:right w:val="single" w:color="auto" w:sz="4" w:space="0"/>
            </w:tcBorders>
          </w:tcPr>
          <w:p w14:paraId="0298C8BC">
            <w:pPr>
              <w:snapToGrid w:val="0"/>
              <w:spacing w:beforeLines="50" w:after="50" w:line="360" w:lineRule="auto"/>
              <w:rPr>
                <w:rFonts w:ascii="宋体" w:hAnsi="宋体"/>
                <w:b/>
                <w:color w:val="auto"/>
                <w:kern w:val="44"/>
                <w:sz w:val="24"/>
                <w:szCs w:val="20"/>
                <w:highlight w:val="none"/>
              </w:rPr>
            </w:pPr>
          </w:p>
        </w:tc>
        <w:tc>
          <w:tcPr>
            <w:tcW w:w="1230" w:type="dxa"/>
            <w:tcBorders>
              <w:top w:val="single" w:color="auto" w:sz="4" w:space="0"/>
              <w:left w:val="single" w:color="auto" w:sz="4" w:space="0"/>
              <w:bottom w:val="single" w:color="auto" w:sz="4" w:space="0"/>
              <w:right w:val="single" w:color="auto" w:sz="4" w:space="0"/>
            </w:tcBorders>
          </w:tcPr>
          <w:p w14:paraId="6260AFF6">
            <w:pPr>
              <w:snapToGrid w:val="0"/>
              <w:spacing w:beforeLines="50" w:after="50" w:line="360" w:lineRule="auto"/>
              <w:rPr>
                <w:rFonts w:ascii="宋体" w:hAnsi="宋体"/>
                <w:b/>
                <w:color w:val="auto"/>
                <w:kern w:val="44"/>
                <w:sz w:val="24"/>
                <w:szCs w:val="20"/>
                <w:highlight w:val="none"/>
              </w:rPr>
            </w:pPr>
          </w:p>
        </w:tc>
        <w:tc>
          <w:tcPr>
            <w:tcW w:w="2030" w:type="dxa"/>
            <w:tcBorders>
              <w:top w:val="single" w:color="auto" w:sz="4" w:space="0"/>
              <w:left w:val="single" w:color="auto" w:sz="4" w:space="0"/>
              <w:bottom w:val="single" w:color="auto" w:sz="4" w:space="0"/>
              <w:right w:val="single" w:color="auto" w:sz="4" w:space="0"/>
            </w:tcBorders>
          </w:tcPr>
          <w:p w14:paraId="67AAB9A8">
            <w:pPr>
              <w:snapToGrid w:val="0"/>
              <w:spacing w:beforeLines="50" w:after="50" w:line="360" w:lineRule="auto"/>
              <w:rPr>
                <w:rFonts w:ascii="宋体" w:hAnsi="宋体"/>
                <w:b/>
                <w:color w:val="auto"/>
                <w:kern w:val="44"/>
                <w:sz w:val="24"/>
                <w:szCs w:val="20"/>
                <w:highlight w:val="none"/>
              </w:rPr>
            </w:pPr>
          </w:p>
        </w:tc>
        <w:tc>
          <w:tcPr>
            <w:tcW w:w="2268" w:type="dxa"/>
            <w:tcBorders>
              <w:top w:val="single" w:color="auto" w:sz="4" w:space="0"/>
              <w:left w:val="single" w:color="auto" w:sz="4" w:space="0"/>
              <w:bottom w:val="single" w:color="auto" w:sz="4" w:space="0"/>
              <w:right w:val="single" w:color="auto" w:sz="4" w:space="0"/>
            </w:tcBorders>
          </w:tcPr>
          <w:p w14:paraId="241C69FF">
            <w:pPr>
              <w:snapToGrid w:val="0"/>
              <w:spacing w:beforeLines="50" w:after="50" w:line="360" w:lineRule="auto"/>
              <w:jc w:val="center"/>
              <w:rPr>
                <w:rFonts w:ascii="宋体" w:hAnsi="宋体"/>
                <w:b/>
                <w:bCs/>
                <w:color w:val="auto"/>
                <w:szCs w:val="21"/>
                <w:highlight w:val="none"/>
              </w:rPr>
            </w:pPr>
          </w:p>
        </w:tc>
      </w:tr>
    </w:tbl>
    <w:p w14:paraId="3648218D">
      <w:pPr>
        <w:spacing w:line="360" w:lineRule="auto"/>
        <w:rPr>
          <w:rFonts w:ascii="宋体" w:hAnsi="宋体"/>
          <w:b/>
          <w:color w:val="auto"/>
          <w:szCs w:val="21"/>
          <w:highlight w:val="none"/>
        </w:rPr>
      </w:pPr>
      <w:r>
        <w:rPr>
          <w:rFonts w:hint="eastAsia" w:ascii="宋体" w:hAnsi="宋体"/>
          <w:b/>
          <w:color w:val="auto"/>
          <w:szCs w:val="21"/>
          <w:highlight w:val="none"/>
        </w:rPr>
        <w:t>要求：</w:t>
      </w:r>
    </w:p>
    <w:p w14:paraId="1265CE8C">
      <w:pPr>
        <w:spacing w:line="360" w:lineRule="auto"/>
        <w:ind w:left="420" w:leftChars="200"/>
        <w:rPr>
          <w:rFonts w:ascii="宋体" w:hAnsi="宋体"/>
          <w:color w:val="auto"/>
          <w:szCs w:val="21"/>
          <w:highlight w:val="none"/>
        </w:rPr>
      </w:pPr>
      <w:r>
        <w:rPr>
          <w:rFonts w:hint="eastAsia" w:ascii="宋体" w:hAnsi="宋体"/>
          <w:color w:val="auto"/>
          <w:szCs w:val="21"/>
          <w:highlight w:val="none"/>
        </w:rPr>
        <w:t>1. 在填写时，如本表格不适合投标单位的实际情况，可根据本表格式自行划表填写。</w:t>
      </w:r>
      <w:r>
        <w:rPr>
          <w:rFonts w:hint="eastAsia" w:ascii="宋体" w:hAnsi="宋体"/>
          <w:color w:val="auto"/>
          <w:szCs w:val="21"/>
          <w:highlight w:val="none"/>
        </w:rPr>
        <w:br w:type="textWrapping"/>
      </w:r>
      <w:r>
        <w:rPr>
          <w:rFonts w:hint="eastAsia" w:ascii="宋体" w:hAnsi="宋体"/>
          <w:color w:val="auto"/>
          <w:szCs w:val="21"/>
          <w:highlight w:val="none"/>
        </w:rPr>
        <w:t>2、附人员证书</w:t>
      </w:r>
      <w:r>
        <w:rPr>
          <w:rFonts w:hint="eastAsia" w:ascii="宋体" w:hAnsi="宋体"/>
          <w:color w:val="auto"/>
          <w:szCs w:val="21"/>
          <w:highlight w:val="none"/>
          <w:lang w:val="en-US" w:eastAsia="zh-CN"/>
        </w:rPr>
        <w:t>扫描</w:t>
      </w:r>
      <w:r>
        <w:rPr>
          <w:rFonts w:hint="eastAsia" w:ascii="宋体" w:hAnsi="宋体"/>
          <w:color w:val="auto"/>
          <w:szCs w:val="21"/>
          <w:highlight w:val="none"/>
        </w:rPr>
        <w:t>件；</w:t>
      </w:r>
    </w:p>
    <w:p w14:paraId="0F13FB41">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 xml:space="preserve">供应商名称（盖章）：    </w:t>
      </w:r>
    </w:p>
    <w:p w14:paraId="7A22CB50">
      <w:pPr>
        <w:spacing w:line="360" w:lineRule="auto"/>
        <w:ind w:firstLine="424" w:firstLineChars="177"/>
        <w:rPr>
          <w:rFonts w:ascii="宋体" w:hAnsi="宋体" w:cs="宋体"/>
          <w:color w:val="auto"/>
          <w:sz w:val="24"/>
          <w:highlight w:val="none"/>
        </w:rPr>
      </w:pPr>
    </w:p>
    <w:p w14:paraId="1C403914">
      <w:pPr>
        <w:spacing w:line="360" w:lineRule="auto"/>
        <w:ind w:firstLine="435"/>
        <w:rPr>
          <w:rFonts w:ascii="宋体" w:hAnsi="宋体"/>
          <w:color w:val="auto"/>
          <w:sz w:val="24"/>
          <w:highlight w:val="none"/>
        </w:rPr>
      </w:pPr>
      <w:r>
        <w:rPr>
          <w:rFonts w:hint="eastAsia" w:ascii="宋体" w:hAnsi="宋体" w:cs="宋体"/>
          <w:color w:val="auto"/>
          <w:sz w:val="24"/>
          <w:highlight w:val="none"/>
        </w:rPr>
        <w:t>供应商代表签字或盖章：</w:t>
      </w:r>
    </w:p>
    <w:p w14:paraId="76E91438">
      <w:pPr>
        <w:spacing w:line="360" w:lineRule="auto"/>
        <w:ind w:firstLine="435"/>
        <w:rPr>
          <w:rFonts w:ascii="宋体" w:hAnsi="宋体"/>
          <w:color w:val="auto"/>
          <w:sz w:val="24"/>
          <w:highlight w:val="none"/>
        </w:rPr>
      </w:pPr>
    </w:p>
    <w:p w14:paraId="37106A47">
      <w:pPr>
        <w:spacing w:line="360" w:lineRule="auto"/>
        <w:ind w:firstLine="435"/>
        <w:rPr>
          <w:rFonts w:ascii="宋体" w:hAnsi="宋体"/>
          <w:color w:val="auto"/>
          <w:sz w:val="24"/>
          <w:highlight w:val="none"/>
        </w:rPr>
      </w:pPr>
      <w:r>
        <w:rPr>
          <w:rFonts w:hint="eastAsia" w:ascii="宋体" w:hAnsi="宋体"/>
          <w:color w:val="auto"/>
          <w:sz w:val="24"/>
          <w:highlight w:val="none"/>
        </w:rPr>
        <w:t>日        期：</w:t>
      </w:r>
    </w:p>
    <w:p w14:paraId="6ABF738D">
      <w:pPr>
        <w:spacing w:line="360" w:lineRule="auto"/>
        <w:rPr>
          <w:rFonts w:ascii="宋体" w:hAnsi="宋体"/>
          <w:color w:val="auto"/>
          <w:sz w:val="24"/>
          <w:highlight w:val="none"/>
        </w:rPr>
      </w:pPr>
    </w:p>
    <w:p w14:paraId="7637E638">
      <w:pPr>
        <w:rPr>
          <w:rFonts w:ascii="宋体" w:hAnsi="宋体"/>
          <w:b/>
          <w:color w:val="auto"/>
          <w:sz w:val="28"/>
          <w:highlight w:val="none"/>
        </w:rPr>
      </w:pPr>
      <w:r>
        <w:rPr>
          <w:rFonts w:hint="eastAsia" w:ascii="宋体" w:hAnsi="宋体"/>
          <w:b/>
          <w:color w:val="auto"/>
          <w:sz w:val="28"/>
          <w:highlight w:val="none"/>
        </w:rPr>
        <w:br w:type="page"/>
      </w:r>
    </w:p>
    <w:p w14:paraId="70CD90DA">
      <w:pPr>
        <w:pStyle w:val="97"/>
        <w:tabs>
          <w:tab w:val="left" w:pos="1050"/>
        </w:tabs>
        <w:spacing w:line="360" w:lineRule="auto"/>
        <w:rPr>
          <w:rFonts w:ascii="仿宋_GB2312" w:hAnsi="宋体"/>
          <w:color w:val="auto"/>
          <w:sz w:val="24"/>
          <w:highlight w:val="none"/>
        </w:rPr>
      </w:pPr>
      <w:r>
        <w:rPr>
          <w:rFonts w:hint="eastAsia" w:ascii="宋体" w:hAnsi="宋体"/>
          <w:b/>
          <w:color w:val="auto"/>
          <w:sz w:val="28"/>
          <w:highlight w:val="none"/>
        </w:rPr>
        <w:t>附件11</w:t>
      </w:r>
    </w:p>
    <w:p w14:paraId="26AF1B60">
      <w:pPr>
        <w:spacing w:line="360" w:lineRule="auto"/>
        <w:ind w:left="549" w:hanging="549" w:hangingChars="171"/>
        <w:jc w:val="center"/>
        <w:rPr>
          <w:rFonts w:ascii="宋体" w:hAnsi="宋体"/>
          <w:b/>
          <w:color w:val="auto"/>
          <w:sz w:val="32"/>
          <w:szCs w:val="32"/>
          <w:highlight w:val="none"/>
        </w:rPr>
      </w:pPr>
      <w:r>
        <w:rPr>
          <w:rFonts w:hint="eastAsia" w:ascii="宋体" w:hAnsi="宋体"/>
          <w:b/>
          <w:color w:val="auto"/>
          <w:sz w:val="32"/>
          <w:szCs w:val="32"/>
          <w:highlight w:val="none"/>
        </w:rPr>
        <w:t>商务需求响应表</w:t>
      </w:r>
    </w:p>
    <w:p w14:paraId="2787252B">
      <w:pPr>
        <w:spacing w:line="360" w:lineRule="auto"/>
        <w:ind w:left="481" w:leftChars="229" w:firstLine="813" w:firstLineChars="450"/>
        <w:rPr>
          <w:rFonts w:ascii="宋体" w:hAnsi="宋体"/>
          <w:b/>
          <w:color w:val="auto"/>
          <w:sz w:val="18"/>
          <w:szCs w:val="18"/>
          <w:highlight w:val="none"/>
        </w:rPr>
      </w:pPr>
    </w:p>
    <w:tbl>
      <w:tblPr>
        <w:tblStyle w:val="2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27"/>
        <w:gridCol w:w="2546"/>
        <w:gridCol w:w="2562"/>
        <w:gridCol w:w="1260"/>
      </w:tblGrid>
      <w:tr w14:paraId="1595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8" w:type="dxa"/>
            <w:vAlign w:val="center"/>
          </w:tcPr>
          <w:p w14:paraId="6B6D1E15">
            <w:pPr>
              <w:jc w:val="center"/>
              <w:rPr>
                <w:rFonts w:ascii="宋体" w:hAnsi="宋体"/>
                <w:color w:val="auto"/>
                <w:sz w:val="24"/>
                <w:highlight w:val="none"/>
              </w:rPr>
            </w:pPr>
            <w:r>
              <w:rPr>
                <w:rFonts w:hint="eastAsia" w:ascii="宋体" w:hAnsi="宋体"/>
                <w:color w:val="auto"/>
                <w:sz w:val="24"/>
                <w:highlight w:val="none"/>
              </w:rPr>
              <w:t>序号</w:t>
            </w:r>
          </w:p>
        </w:tc>
        <w:tc>
          <w:tcPr>
            <w:tcW w:w="1927" w:type="dxa"/>
            <w:vAlign w:val="center"/>
          </w:tcPr>
          <w:p w14:paraId="17C2CB78">
            <w:pPr>
              <w:jc w:val="center"/>
              <w:rPr>
                <w:rFonts w:ascii="宋体" w:hAnsi="宋体"/>
                <w:color w:val="auto"/>
                <w:sz w:val="24"/>
                <w:highlight w:val="none"/>
              </w:rPr>
            </w:pPr>
            <w:r>
              <w:rPr>
                <w:rFonts w:hint="eastAsia" w:ascii="宋体" w:hAnsi="宋体"/>
                <w:color w:val="auto"/>
                <w:sz w:val="24"/>
                <w:highlight w:val="none"/>
              </w:rPr>
              <w:t>类别</w:t>
            </w:r>
          </w:p>
        </w:tc>
        <w:tc>
          <w:tcPr>
            <w:tcW w:w="2546" w:type="dxa"/>
            <w:vAlign w:val="center"/>
          </w:tcPr>
          <w:p w14:paraId="0FD4F0B2">
            <w:pPr>
              <w:jc w:val="center"/>
              <w:rPr>
                <w:rFonts w:ascii="宋体" w:hAnsi="宋体"/>
                <w:color w:val="auto"/>
                <w:sz w:val="24"/>
                <w:highlight w:val="none"/>
              </w:rPr>
            </w:pPr>
            <w:r>
              <w:rPr>
                <w:rFonts w:hint="eastAsia" w:ascii="宋体" w:hAnsi="宋体"/>
                <w:color w:val="auto"/>
                <w:sz w:val="24"/>
                <w:highlight w:val="none"/>
              </w:rPr>
              <w:t>招标文件要求</w:t>
            </w:r>
          </w:p>
        </w:tc>
        <w:tc>
          <w:tcPr>
            <w:tcW w:w="2562" w:type="dxa"/>
            <w:vAlign w:val="center"/>
          </w:tcPr>
          <w:p w14:paraId="1530189E">
            <w:pPr>
              <w:jc w:val="center"/>
              <w:rPr>
                <w:rFonts w:ascii="宋体" w:hAnsi="宋体"/>
                <w:color w:val="auto"/>
                <w:sz w:val="24"/>
                <w:highlight w:val="none"/>
              </w:rPr>
            </w:pPr>
            <w:r>
              <w:rPr>
                <w:rFonts w:hint="eastAsia" w:ascii="宋体" w:hAnsi="宋体"/>
                <w:color w:val="auto"/>
                <w:sz w:val="24"/>
                <w:highlight w:val="none"/>
              </w:rPr>
              <w:t>供应商承诺</w:t>
            </w:r>
          </w:p>
        </w:tc>
        <w:tc>
          <w:tcPr>
            <w:tcW w:w="1260" w:type="dxa"/>
            <w:vAlign w:val="center"/>
          </w:tcPr>
          <w:p w14:paraId="4DF885A7">
            <w:pPr>
              <w:jc w:val="center"/>
              <w:rPr>
                <w:rFonts w:ascii="宋体" w:hAnsi="宋体"/>
                <w:color w:val="auto"/>
                <w:sz w:val="24"/>
                <w:highlight w:val="none"/>
              </w:rPr>
            </w:pPr>
            <w:r>
              <w:rPr>
                <w:rFonts w:hint="eastAsia" w:ascii="宋体" w:hAnsi="宋体"/>
                <w:color w:val="auto"/>
                <w:sz w:val="24"/>
                <w:highlight w:val="none"/>
              </w:rPr>
              <w:t>是否响应</w:t>
            </w:r>
          </w:p>
        </w:tc>
      </w:tr>
      <w:tr w14:paraId="7118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8" w:type="dxa"/>
            <w:vAlign w:val="center"/>
          </w:tcPr>
          <w:p w14:paraId="5292FE8B">
            <w:pPr>
              <w:jc w:val="center"/>
              <w:rPr>
                <w:rFonts w:ascii="宋体" w:hAnsi="宋体"/>
                <w:color w:val="auto"/>
                <w:sz w:val="24"/>
                <w:highlight w:val="none"/>
              </w:rPr>
            </w:pPr>
            <w:r>
              <w:rPr>
                <w:rFonts w:hint="eastAsia" w:ascii="宋体" w:hAnsi="宋体"/>
                <w:color w:val="auto"/>
                <w:sz w:val="24"/>
                <w:highlight w:val="none"/>
              </w:rPr>
              <w:t>1</w:t>
            </w:r>
          </w:p>
        </w:tc>
        <w:tc>
          <w:tcPr>
            <w:tcW w:w="1927" w:type="dxa"/>
            <w:vAlign w:val="center"/>
          </w:tcPr>
          <w:p w14:paraId="51FC5566">
            <w:pPr>
              <w:jc w:val="center"/>
              <w:rPr>
                <w:rFonts w:ascii="宋体" w:hAnsi="宋体"/>
                <w:color w:val="auto"/>
                <w:sz w:val="24"/>
                <w:highlight w:val="none"/>
              </w:rPr>
            </w:pPr>
            <w:r>
              <w:rPr>
                <w:rFonts w:hint="eastAsia" w:ascii="宋体" w:hAnsi="宋体"/>
                <w:color w:val="auto"/>
                <w:sz w:val="24"/>
                <w:highlight w:val="none"/>
              </w:rPr>
              <w:t>服务期</w:t>
            </w:r>
          </w:p>
        </w:tc>
        <w:tc>
          <w:tcPr>
            <w:tcW w:w="2546" w:type="dxa"/>
            <w:vAlign w:val="center"/>
          </w:tcPr>
          <w:p w14:paraId="22A8473C">
            <w:pPr>
              <w:jc w:val="center"/>
              <w:rPr>
                <w:rFonts w:ascii="宋体" w:hAnsi="宋体"/>
                <w:color w:val="auto"/>
                <w:sz w:val="24"/>
                <w:highlight w:val="none"/>
              </w:rPr>
            </w:pPr>
          </w:p>
        </w:tc>
        <w:tc>
          <w:tcPr>
            <w:tcW w:w="2562" w:type="dxa"/>
            <w:vAlign w:val="center"/>
          </w:tcPr>
          <w:p w14:paraId="6D304B0A">
            <w:pPr>
              <w:jc w:val="center"/>
              <w:rPr>
                <w:rFonts w:ascii="宋体" w:hAnsi="宋体"/>
                <w:color w:val="auto"/>
                <w:sz w:val="24"/>
                <w:highlight w:val="none"/>
              </w:rPr>
            </w:pPr>
          </w:p>
        </w:tc>
        <w:tc>
          <w:tcPr>
            <w:tcW w:w="1260" w:type="dxa"/>
            <w:vAlign w:val="center"/>
          </w:tcPr>
          <w:p w14:paraId="44FDFD2B">
            <w:pPr>
              <w:jc w:val="center"/>
              <w:rPr>
                <w:rFonts w:ascii="宋体" w:hAnsi="宋体"/>
                <w:color w:val="auto"/>
                <w:sz w:val="24"/>
                <w:highlight w:val="none"/>
              </w:rPr>
            </w:pPr>
          </w:p>
        </w:tc>
      </w:tr>
      <w:tr w14:paraId="0389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8" w:type="dxa"/>
            <w:vAlign w:val="center"/>
          </w:tcPr>
          <w:p w14:paraId="4C12D57D">
            <w:pPr>
              <w:jc w:val="center"/>
              <w:rPr>
                <w:rFonts w:ascii="宋体" w:hAnsi="宋体"/>
                <w:color w:val="auto"/>
                <w:sz w:val="24"/>
                <w:highlight w:val="none"/>
              </w:rPr>
            </w:pPr>
            <w:r>
              <w:rPr>
                <w:rFonts w:hint="eastAsia" w:ascii="宋体" w:hAnsi="宋体"/>
                <w:color w:val="auto"/>
                <w:sz w:val="24"/>
                <w:highlight w:val="none"/>
              </w:rPr>
              <w:t>2</w:t>
            </w:r>
          </w:p>
        </w:tc>
        <w:tc>
          <w:tcPr>
            <w:tcW w:w="1927" w:type="dxa"/>
            <w:vAlign w:val="center"/>
          </w:tcPr>
          <w:p w14:paraId="7133F8A5">
            <w:pPr>
              <w:jc w:val="center"/>
              <w:rPr>
                <w:rFonts w:ascii="宋体" w:hAnsi="宋体"/>
                <w:color w:val="auto"/>
                <w:sz w:val="24"/>
                <w:highlight w:val="none"/>
              </w:rPr>
            </w:pPr>
            <w:r>
              <w:rPr>
                <w:rFonts w:hint="eastAsia" w:ascii="宋体" w:hAnsi="宋体"/>
                <w:color w:val="auto"/>
                <w:sz w:val="24"/>
                <w:highlight w:val="none"/>
              </w:rPr>
              <w:t>付款方式</w:t>
            </w:r>
          </w:p>
        </w:tc>
        <w:tc>
          <w:tcPr>
            <w:tcW w:w="2546" w:type="dxa"/>
            <w:vAlign w:val="center"/>
          </w:tcPr>
          <w:p w14:paraId="328B5356">
            <w:pPr>
              <w:rPr>
                <w:rFonts w:ascii="宋体" w:hAnsi="宋体"/>
                <w:color w:val="auto"/>
                <w:sz w:val="24"/>
                <w:highlight w:val="none"/>
              </w:rPr>
            </w:pPr>
          </w:p>
        </w:tc>
        <w:tc>
          <w:tcPr>
            <w:tcW w:w="2562" w:type="dxa"/>
            <w:vAlign w:val="center"/>
          </w:tcPr>
          <w:p w14:paraId="20D97CAA">
            <w:pPr>
              <w:jc w:val="center"/>
              <w:rPr>
                <w:rFonts w:ascii="宋体" w:hAnsi="宋体"/>
                <w:color w:val="auto"/>
                <w:sz w:val="24"/>
                <w:highlight w:val="none"/>
              </w:rPr>
            </w:pPr>
          </w:p>
        </w:tc>
        <w:tc>
          <w:tcPr>
            <w:tcW w:w="1260" w:type="dxa"/>
            <w:vAlign w:val="center"/>
          </w:tcPr>
          <w:p w14:paraId="595260C1">
            <w:pPr>
              <w:jc w:val="center"/>
              <w:rPr>
                <w:rFonts w:ascii="宋体" w:hAnsi="宋体"/>
                <w:color w:val="auto"/>
                <w:sz w:val="24"/>
                <w:highlight w:val="none"/>
              </w:rPr>
            </w:pPr>
          </w:p>
        </w:tc>
      </w:tr>
      <w:tr w14:paraId="4921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8" w:type="dxa"/>
            <w:vAlign w:val="center"/>
          </w:tcPr>
          <w:p w14:paraId="182B5C8D">
            <w:pPr>
              <w:jc w:val="center"/>
              <w:rPr>
                <w:rFonts w:ascii="宋体" w:hAnsi="宋体"/>
                <w:color w:val="auto"/>
                <w:sz w:val="24"/>
                <w:highlight w:val="none"/>
              </w:rPr>
            </w:pPr>
            <w:r>
              <w:rPr>
                <w:rFonts w:hint="eastAsia" w:ascii="宋体" w:hAnsi="宋体"/>
                <w:color w:val="auto"/>
                <w:sz w:val="24"/>
                <w:highlight w:val="none"/>
              </w:rPr>
              <w:t>3</w:t>
            </w:r>
          </w:p>
        </w:tc>
        <w:tc>
          <w:tcPr>
            <w:tcW w:w="1927" w:type="dxa"/>
            <w:vAlign w:val="center"/>
          </w:tcPr>
          <w:p w14:paraId="0775D3A2">
            <w:pPr>
              <w:jc w:val="center"/>
              <w:rPr>
                <w:rFonts w:ascii="宋体" w:hAnsi="宋体"/>
                <w:color w:val="auto"/>
                <w:sz w:val="24"/>
                <w:highlight w:val="none"/>
              </w:rPr>
            </w:pPr>
            <w:r>
              <w:rPr>
                <w:rFonts w:hint="eastAsia" w:ascii="宋体" w:hAnsi="宋体"/>
                <w:color w:val="auto"/>
                <w:sz w:val="24"/>
                <w:highlight w:val="none"/>
              </w:rPr>
              <w:t>履约保证金</w:t>
            </w:r>
          </w:p>
        </w:tc>
        <w:tc>
          <w:tcPr>
            <w:tcW w:w="2546" w:type="dxa"/>
            <w:vAlign w:val="center"/>
          </w:tcPr>
          <w:p w14:paraId="0FF72DFD">
            <w:pPr>
              <w:rPr>
                <w:rFonts w:ascii="宋体" w:hAnsi="宋体"/>
                <w:color w:val="auto"/>
                <w:sz w:val="24"/>
                <w:highlight w:val="none"/>
              </w:rPr>
            </w:pPr>
          </w:p>
        </w:tc>
        <w:tc>
          <w:tcPr>
            <w:tcW w:w="2562" w:type="dxa"/>
            <w:vAlign w:val="center"/>
          </w:tcPr>
          <w:p w14:paraId="04A9526A">
            <w:pPr>
              <w:jc w:val="center"/>
              <w:rPr>
                <w:rFonts w:ascii="宋体" w:hAnsi="宋体"/>
                <w:color w:val="auto"/>
                <w:sz w:val="24"/>
                <w:highlight w:val="none"/>
              </w:rPr>
            </w:pPr>
          </w:p>
        </w:tc>
        <w:tc>
          <w:tcPr>
            <w:tcW w:w="1260" w:type="dxa"/>
            <w:vAlign w:val="center"/>
          </w:tcPr>
          <w:p w14:paraId="7E399C04">
            <w:pPr>
              <w:jc w:val="center"/>
              <w:rPr>
                <w:rFonts w:ascii="宋体" w:hAnsi="宋体"/>
                <w:color w:val="auto"/>
                <w:sz w:val="24"/>
                <w:highlight w:val="none"/>
              </w:rPr>
            </w:pPr>
          </w:p>
        </w:tc>
      </w:tr>
      <w:tr w14:paraId="04C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8" w:type="dxa"/>
            <w:vAlign w:val="center"/>
          </w:tcPr>
          <w:p w14:paraId="38F28068">
            <w:pPr>
              <w:jc w:val="center"/>
              <w:rPr>
                <w:rFonts w:ascii="宋体" w:hAnsi="宋体"/>
                <w:color w:val="auto"/>
                <w:sz w:val="24"/>
                <w:highlight w:val="none"/>
              </w:rPr>
            </w:pPr>
            <w:r>
              <w:rPr>
                <w:rFonts w:hint="eastAsia" w:ascii="宋体" w:hAnsi="宋体"/>
                <w:color w:val="auto"/>
                <w:sz w:val="24"/>
                <w:highlight w:val="none"/>
              </w:rPr>
              <w:t>4</w:t>
            </w:r>
          </w:p>
        </w:tc>
        <w:tc>
          <w:tcPr>
            <w:tcW w:w="1927" w:type="dxa"/>
            <w:vAlign w:val="center"/>
          </w:tcPr>
          <w:p w14:paraId="58F100F6">
            <w:pPr>
              <w:jc w:val="center"/>
              <w:rPr>
                <w:rFonts w:ascii="宋体" w:hAnsi="宋体"/>
                <w:color w:val="auto"/>
                <w:sz w:val="24"/>
                <w:highlight w:val="none"/>
              </w:rPr>
            </w:pPr>
          </w:p>
        </w:tc>
        <w:tc>
          <w:tcPr>
            <w:tcW w:w="2546" w:type="dxa"/>
            <w:vAlign w:val="center"/>
          </w:tcPr>
          <w:p w14:paraId="60BD6EE5">
            <w:pPr>
              <w:jc w:val="center"/>
              <w:rPr>
                <w:rFonts w:ascii="宋体" w:hAnsi="宋体"/>
                <w:color w:val="auto"/>
                <w:sz w:val="24"/>
                <w:highlight w:val="none"/>
              </w:rPr>
            </w:pPr>
          </w:p>
        </w:tc>
        <w:tc>
          <w:tcPr>
            <w:tcW w:w="2562" w:type="dxa"/>
            <w:vAlign w:val="center"/>
          </w:tcPr>
          <w:p w14:paraId="51B0B4BD">
            <w:pPr>
              <w:jc w:val="center"/>
              <w:rPr>
                <w:rFonts w:ascii="宋体" w:hAnsi="宋体"/>
                <w:color w:val="auto"/>
                <w:sz w:val="24"/>
                <w:highlight w:val="none"/>
              </w:rPr>
            </w:pPr>
          </w:p>
        </w:tc>
        <w:tc>
          <w:tcPr>
            <w:tcW w:w="1260" w:type="dxa"/>
            <w:vAlign w:val="center"/>
          </w:tcPr>
          <w:p w14:paraId="0FF2AB22">
            <w:pPr>
              <w:jc w:val="center"/>
              <w:rPr>
                <w:rFonts w:ascii="宋体" w:hAnsi="宋体"/>
                <w:color w:val="auto"/>
                <w:sz w:val="24"/>
                <w:highlight w:val="none"/>
              </w:rPr>
            </w:pPr>
          </w:p>
        </w:tc>
      </w:tr>
      <w:tr w14:paraId="4F9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8" w:type="dxa"/>
            <w:vAlign w:val="center"/>
          </w:tcPr>
          <w:p w14:paraId="7A22BDE1">
            <w:pPr>
              <w:jc w:val="center"/>
              <w:rPr>
                <w:rFonts w:ascii="宋体" w:hAnsi="宋体"/>
                <w:color w:val="auto"/>
                <w:sz w:val="24"/>
                <w:highlight w:val="none"/>
              </w:rPr>
            </w:pPr>
            <w:r>
              <w:rPr>
                <w:rFonts w:hint="eastAsia" w:ascii="宋体" w:hAnsi="宋体"/>
                <w:color w:val="auto"/>
                <w:sz w:val="24"/>
                <w:highlight w:val="none"/>
              </w:rPr>
              <w:t>5</w:t>
            </w:r>
          </w:p>
        </w:tc>
        <w:tc>
          <w:tcPr>
            <w:tcW w:w="1927" w:type="dxa"/>
            <w:vAlign w:val="center"/>
          </w:tcPr>
          <w:p w14:paraId="50318E81">
            <w:pPr>
              <w:jc w:val="center"/>
              <w:rPr>
                <w:rFonts w:ascii="宋体" w:hAnsi="宋体"/>
                <w:color w:val="auto"/>
                <w:sz w:val="24"/>
                <w:highlight w:val="none"/>
              </w:rPr>
            </w:pPr>
            <w:r>
              <w:rPr>
                <w:rFonts w:hint="eastAsia" w:ascii="宋体" w:hAnsi="宋体"/>
                <w:color w:val="auto"/>
                <w:sz w:val="24"/>
                <w:highlight w:val="none"/>
              </w:rPr>
              <w:t>……</w:t>
            </w:r>
          </w:p>
        </w:tc>
        <w:tc>
          <w:tcPr>
            <w:tcW w:w="2546" w:type="dxa"/>
            <w:vAlign w:val="center"/>
          </w:tcPr>
          <w:p w14:paraId="4920F763">
            <w:pPr>
              <w:jc w:val="center"/>
              <w:rPr>
                <w:rFonts w:ascii="宋体" w:hAnsi="宋体"/>
                <w:color w:val="auto"/>
                <w:sz w:val="24"/>
                <w:highlight w:val="none"/>
              </w:rPr>
            </w:pPr>
          </w:p>
        </w:tc>
        <w:tc>
          <w:tcPr>
            <w:tcW w:w="2562" w:type="dxa"/>
            <w:vAlign w:val="center"/>
          </w:tcPr>
          <w:p w14:paraId="593DB645">
            <w:pPr>
              <w:jc w:val="center"/>
              <w:rPr>
                <w:rFonts w:ascii="宋体" w:hAnsi="宋体"/>
                <w:color w:val="auto"/>
                <w:sz w:val="24"/>
                <w:highlight w:val="none"/>
              </w:rPr>
            </w:pPr>
          </w:p>
        </w:tc>
        <w:tc>
          <w:tcPr>
            <w:tcW w:w="1260" w:type="dxa"/>
            <w:vAlign w:val="center"/>
          </w:tcPr>
          <w:p w14:paraId="21EA48B8">
            <w:pPr>
              <w:jc w:val="center"/>
              <w:rPr>
                <w:rFonts w:ascii="宋体" w:hAnsi="宋体"/>
                <w:color w:val="auto"/>
                <w:sz w:val="24"/>
                <w:highlight w:val="none"/>
              </w:rPr>
            </w:pPr>
          </w:p>
        </w:tc>
      </w:tr>
    </w:tbl>
    <w:p w14:paraId="780BC678">
      <w:pPr>
        <w:spacing w:line="360" w:lineRule="auto"/>
        <w:rPr>
          <w:rFonts w:ascii="宋体" w:hAnsi="宋体"/>
          <w:color w:val="auto"/>
          <w:sz w:val="24"/>
          <w:highlight w:val="none"/>
        </w:rPr>
      </w:pPr>
    </w:p>
    <w:p w14:paraId="15610BC3">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 xml:space="preserve">供应商名称（盖章）：    </w:t>
      </w:r>
    </w:p>
    <w:p w14:paraId="5480E335">
      <w:pPr>
        <w:spacing w:line="360" w:lineRule="auto"/>
        <w:ind w:firstLine="424" w:firstLineChars="177"/>
        <w:rPr>
          <w:rFonts w:ascii="宋体" w:hAnsi="宋体" w:cs="宋体"/>
          <w:color w:val="auto"/>
          <w:sz w:val="24"/>
          <w:highlight w:val="none"/>
        </w:rPr>
      </w:pPr>
    </w:p>
    <w:p w14:paraId="0DF2B84D">
      <w:pPr>
        <w:spacing w:line="360" w:lineRule="auto"/>
        <w:ind w:firstLine="435"/>
        <w:rPr>
          <w:rFonts w:ascii="宋体" w:hAnsi="宋体"/>
          <w:color w:val="auto"/>
          <w:sz w:val="24"/>
          <w:highlight w:val="none"/>
        </w:rPr>
      </w:pPr>
      <w:r>
        <w:rPr>
          <w:rFonts w:hint="eastAsia" w:ascii="宋体" w:hAnsi="宋体" w:cs="宋体"/>
          <w:color w:val="auto"/>
          <w:sz w:val="24"/>
          <w:highlight w:val="none"/>
        </w:rPr>
        <w:t>供应商代表签字或盖章：</w:t>
      </w:r>
    </w:p>
    <w:p w14:paraId="31856C04">
      <w:pPr>
        <w:spacing w:line="360" w:lineRule="auto"/>
        <w:ind w:firstLine="435"/>
        <w:rPr>
          <w:rFonts w:ascii="宋体" w:hAnsi="宋体"/>
          <w:color w:val="auto"/>
          <w:sz w:val="24"/>
          <w:highlight w:val="none"/>
        </w:rPr>
      </w:pPr>
    </w:p>
    <w:p w14:paraId="21E5CE64">
      <w:pPr>
        <w:spacing w:line="360" w:lineRule="auto"/>
        <w:ind w:firstLine="435"/>
        <w:rPr>
          <w:rFonts w:ascii="宋体" w:hAnsi="宋体"/>
          <w:color w:val="auto"/>
          <w:sz w:val="24"/>
          <w:highlight w:val="none"/>
          <w:u w:val="single"/>
        </w:rPr>
      </w:pPr>
      <w:r>
        <w:rPr>
          <w:rFonts w:hint="eastAsia" w:ascii="宋体" w:hAnsi="宋体"/>
          <w:color w:val="auto"/>
          <w:sz w:val="24"/>
          <w:highlight w:val="none"/>
        </w:rPr>
        <w:t>日        期：</w:t>
      </w:r>
    </w:p>
    <w:p w14:paraId="363CA5AE">
      <w:pPr>
        <w:snapToGrid w:val="0"/>
        <w:spacing w:before="50" w:after="50" w:line="360" w:lineRule="auto"/>
        <w:rPr>
          <w:rFonts w:ascii="宋体" w:hAnsi="宋体"/>
          <w:b/>
          <w:color w:val="auto"/>
          <w:sz w:val="28"/>
          <w:highlight w:val="none"/>
        </w:rPr>
      </w:pPr>
    </w:p>
    <w:p w14:paraId="4DDAFDE5">
      <w:pPr>
        <w:snapToGrid w:val="0"/>
        <w:spacing w:before="50" w:after="50" w:line="360" w:lineRule="auto"/>
        <w:rPr>
          <w:rFonts w:ascii="宋体" w:hAnsi="宋体"/>
          <w:b/>
          <w:color w:val="auto"/>
          <w:sz w:val="28"/>
          <w:highlight w:val="none"/>
        </w:rPr>
      </w:pPr>
    </w:p>
    <w:p w14:paraId="0D628B55">
      <w:pPr>
        <w:snapToGrid w:val="0"/>
        <w:spacing w:before="50" w:after="50" w:line="360" w:lineRule="auto"/>
        <w:rPr>
          <w:rFonts w:ascii="宋体" w:hAnsi="宋体"/>
          <w:b/>
          <w:color w:val="auto"/>
          <w:sz w:val="28"/>
          <w:highlight w:val="none"/>
        </w:rPr>
      </w:pPr>
    </w:p>
    <w:p w14:paraId="1BD7484D">
      <w:pPr>
        <w:snapToGrid w:val="0"/>
        <w:spacing w:before="50" w:after="50" w:line="360" w:lineRule="auto"/>
        <w:rPr>
          <w:rFonts w:ascii="宋体" w:hAnsi="宋体"/>
          <w:b/>
          <w:color w:val="auto"/>
          <w:sz w:val="28"/>
          <w:highlight w:val="none"/>
        </w:rPr>
      </w:pPr>
    </w:p>
    <w:p w14:paraId="30511D0B">
      <w:pPr>
        <w:snapToGrid w:val="0"/>
        <w:spacing w:before="50" w:after="50" w:line="360" w:lineRule="auto"/>
        <w:rPr>
          <w:rFonts w:ascii="宋体" w:hAnsi="宋体"/>
          <w:b/>
          <w:color w:val="auto"/>
          <w:sz w:val="28"/>
          <w:highlight w:val="none"/>
        </w:rPr>
      </w:pPr>
    </w:p>
    <w:p w14:paraId="68B3F9D8">
      <w:pPr>
        <w:snapToGrid w:val="0"/>
        <w:spacing w:before="50" w:after="50" w:line="360" w:lineRule="auto"/>
        <w:rPr>
          <w:rFonts w:ascii="宋体" w:hAnsi="宋体"/>
          <w:b/>
          <w:color w:val="auto"/>
          <w:sz w:val="28"/>
          <w:highlight w:val="none"/>
        </w:rPr>
      </w:pPr>
    </w:p>
    <w:p w14:paraId="4046895F">
      <w:pPr>
        <w:snapToGrid w:val="0"/>
        <w:spacing w:before="50" w:after="50" w:line="360" w:lineRule="auto"/>
        <w:rPr>
          <w:rFonts w:ascii="宋体" w:hAnsi="宋体"/>
          <w:b/>
          <w:color w:val="auto"/>
          <w:sz w:val="28"/>
          <w:highlight w:val="none"/>
        </w:rPr>
      </w:pPr>
    </w:p>
    <w:p w14:paraId="20540726">
      <w:pPr>
        <w:snapToGrid w:val="0"/>
        <w:spacing w:before="50" w:after="50" w:line="360" w:lineRule="auto"/>
        <w:rPr>
          <w:rFonts w:ascii="宋体" w:hAnsi="宋体"/>
          <w:b/>
          <w:color w:val="auto"/>
          <w:sz w:val="28"/>
          <w:highlight w:val="none"/>
        </w:rPr>
      </w:pPr>
    </w:p>
    <w:p w14:paraId="7A109C48">
      <w:pPr>
        <w:snapToGrid w:val="0"/>
        <w:spacing w:before="50" w:after="50" w:line="360" w:lineRule="auto"/>
        <w:rPr>
          <w:rFonts w:ascii="宋体" w:hAnsi="宋体"/>
          <w:b/>
          <w:color w:val="auto"/>
          <w:sz w:val="28"/>
          <w:highlight w:val="none"/>
        </w:rPr>
      </w:pPr>
    </w:p>
    <w:p w14:paraId="3084AD07">
      <w:pPr>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8"/>
          <w:szCs w:val="28"/>
          <w:highlight w:val="none"/>
        </w:rPr>
        <w:t xml:space="preserve">附件 </w:t>
      </w:r>
      <w:r>
        <w:rPr>
          <w:rFonts w:hint="eastAsia" w:asciiTheme="minorEastAsia" w:hAnsiTheme="minorEastAsia" w:eastAsiaTheme="minorEastAsia" w:cstheme="minorEastAsia"/>
          <w:b/>
          <w:color w:val="auto"/>
          <w:sz w:val="28"/>
          <w:szCs w:val="28"/>
          <w:highlight w:val="none"/>
          <w:lang w:val="en-US" w:eastAsia="zh-CN"/>
        </w:rPr>
        <w:t>12</w:t>
      </w:r>
    </w:p>
    <w:p w14:paraId="553D3FEE">
      <w:pPr>
        <w:pStyle w:val="110"/>
        <w:widowControl w:val="0"/>
        <w:spacing w:line="360" w:lineRule="exact"/>
        <w:jc w:val="center"/>
        <w:rPr>
          <w:rFonts w:hint="default" w:hAnsi="宋体" w:cs="宋体"/>
          <w:b/>
          <w:bCs/>
          <w:color w:val="auto"/>
          <w:kern w:val="0"/>
          <w:sz w:val="28"/>
          <w:highlight w:val="none"/>
        </w:rPr>
      </w:pPr>
      <w:r>
        <w:rPr>
          <w:rFonts w:hAnsi="宋体" w:cs="宋体"/>
          <w:b/>
          <w:bCs/>
          <w:color w:val="auto"/>
          <w:sz w:val="32"/>
          <w:szCs w:val="32"/>
          <w:highlight w:val="none"/>
        </w:rPr>
        <w:t>政府采购活动现场确认声明书</w:t>
      </w:r>
    </w:p>
    <w:p w14:paraId="41BC6BEC">
      <w:pPr>
        <w:pStyle w:val="110"/>
        <w:widowControl w:val="0"/>
        <w:spacing w:line="360" w:lineRule="exact"/>
        <w:jc w:val="both"/>
        <w:rPr>
          <w:rFonts w:hint="default" w:hAnsi="宋体"/>
          <w:b/>
          <w:color w:val="auto"/>
          <w:szCs w:val="21"/>
          <w:highlight w:val="none"/>
        </w:rPr>
      </w:pPr>
      <w:r>
        <w:rPr>
          <w:rFonts w:hAnsi="宋体"/>
          <w:color w:val="auto"/>
          <w:spacing w:val="6"/>
          <w:szCs w:val="21"/>
          <w:highlight w:val="none"/>
          <w:u w:val="single"/>
        </w:rPr>
        <w:t>大地工程咨询有限公司</w:t>
      </w:r>
      <w:r>
        <w:rPr>
          <w:rFonts w:hAnsi="宋体"/>
          <w:color w:val="auto"/>
          <w:kern w:val="0"/>
          <w:szCs w:val="21"/>
          <w:highlight w:val="none"/>
        </w:rPr>
        <w:t>（采购组织机构名称）：</w:t>
      </w:r>
    </w:p>
    <w:p w14:paraId="5ED26E68">
      <w:pPr>
        <w:pStyle w:val="110"/>
        <w:widowControl w:val="0"/>
        <w:spacing w:line="360" w:lineRule="exact"/>
        <w:ind w:firstLine="444" w:firstLineChars="200"/>
        <w:jc w:val="both"/>
        <w:rPr>
          <w:rFonts w:hint="default" w:hAnsi="宋体"/>
          <w:color w:val="auto"/>
          <w:spacing w:val="6"/>
          <w:szCs w:val="21"/>
          <w:highlight w:val="none"/>
        </w:rPr>
      </w:pPr>
      <w:r>
        <w:rPr>
          <w:rFonts w:hAnsi="宋体"/>
          <w:color w:val="auto"/>
          <w:spacing w:val="6"/>
          <w:szCs w:val="21"/>
          <w:highlight w:val="none"/>
        </w:rPr>
        <w:t>本人经由负责人合法授权参加</w:t>
      </w:r>
      <w:r>
        <w:rPr>
          <w:rFonts w:hint="eastAsia" w:hAnsi="宋体"/>
          <w:color w:val="auto"/>
          <w:spacing w:val="6"/>
          <w:szCs w:val="21"/>
          <w:highlight w:val="none"/>
          <w:u w:val="single"/>
          <w:lang w:eastAsia="zh-CN"/>
        </w:rPr>
        <w:t>路桥区海塘排涝闸2026-2028年物业化管理项目</w:t>
      </w:r>
      <w:r>
        <w:rPr>
          <w:rFonts w:hAnsi="宋体"/>
          <w:color w:val="auto"/>
          <w:spacing w:val="6"/>
          <w:szCs w:val="21"/>
          <w:highlight w:val="none"/>
        </w:rPr>
        <w:t xml:space="preserve">的政府采购活动，经与本单位法定代表人（负责人）联系确认，现就有关公平竞争事项郑重声明如下： </w:t>
      </w:r>
    </w:p>
    <w:p w14:paraId="75E2CAA3">
      <w:pPr>
        <w:pStyle w:val="111"/>
        <w:widowControl/>
        <w:numPr>
          <w:ilvl w:val="0"/>
          <w:numId w:val="6"/>
        </w:numPr>
        <w:spacing w:line="360" w:lineRule="exact"/>
        <w:rPr>
          <w:rFonts w:hint="default" w:ascii="宋体" w:hAnsi="宋体"/>
          <w:color w:val="auto"/>
          <w:kern w:val="0"/>
          <w:szCs w:val="21"/>
          <w:highlight w:val="none"/>
        </w:rPr>
      </w:pPr>
      <w:r>
        <w:rPr>
          <w:rFonts w:ascii="宋体" w:hAnsi="宋体"/>
          <w:color w:val="auto"/>
          <w:kern w:val="0"/>
          <w:szCs w:val="21"/>
          <w:highlight w:val="none"/>
        </w:rPr>
        <w:t xml:space="preserve">本单位与采购人之间 </w:t>
      </w:r>
      <w:r>
        <w:rPr>
          <w:rFonts w:ascii="宋体" w:hAnsi="宋体" w:cs="宋体"/>
          <w:color w:val="auto"/>
          <w:kern w:val="0"/>
          <w:szCs w:val="21"/>
          <w:highlight w:val="none"/>
        </w:rPr>
        <w:t>□</w:t>
      </w:r>
      <w:r>
        <w:rPr>
          <w:rFonts w:ascii="宋体" w:hAnsi="宋体"/>
          <w:color w:val="auto"/>
          <w:kern w:val="0"/>
          <w:szCs w:val="21"/>
          <w:highlight w:val="none"/>
        </w:rPr>
        <w:t xml:space="preserve">不存在利害关系 </w:t>
      </w:r>
      <w:r>
        <w:rPr>
          <w:rFonts w:ascii="宋体" w:hAnsi="宋体" w:cs="宋体"/>
          <w:color w:val="auto"/>
          <w:kern w:val="0"/>
          <w:szCs w:val="21"/>
          <w:highlight w:val="none"/>
        </w:rPr>
        <w:t>□</w:t>
      </w:r>
      <w:r>
        <w:rPr>
          <w:rFonts w:ascii="宋体" w:hAnsi="宋体"/>
          <w:color w:val="auto"/>
          <w:kern w:val="0"/>
          <w:szCs w:val="21"/>
          <w:highlight w:val="none"/>
        </w:rPr>
        <w:t>存在下列利害关系：</w:t>
      </w:r>
    </w:p>
    <w:p w14:paraId="3BE071C6">
      <w:pPr>
        <w:pStyle w:val="111"/>
        <w:widowControl/>
        <w:spacing w:line="360" w:lineRule="exact"/>
        <w:rPr>
          <w:rFonts w:hint="default"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1F126FB5">
      <w:pPr>
        <w:pStyle w:val="111"/>
        <w:widowControl/>
        <w:spacing w:line="360" w:lineRule="exact"/>
        <w:rPr>
          <w:rFonts w:hint="default"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（如有，请如实说明）                 </w:t>
      </w:r>
      <w:r>
        <w:rPr>
          <w:rFonts w:ascii="宋体" w:hAnsi="宋体"/>
          <w:color w:val="auto"/>
          <w:kern w:val="0"/>
          <w:szCs w:val="21"/>
          <w:highlight w:val="none"/>
        </w:rPr>
        <w:t>。</w:t>
      </w:r>
    </w:p>
    <w:p w14:paraId="5886779C">
      <w:pPr>
        <w:pStyle w:val="111"/>
        <w:widowControl/>
        <w:spacing w:line="360" w:lineRule="exact"/>
        <w:ind w:firstLine="222" w:firstLineChars="100"/>
        <w:rPr>
          <w:rFonts w:hint="default" w:ascii="宋体" w:hAnsi="宋体"/>
          <w:color w:val="auto"/>
          <w:kern w:val="0"/>
          <w:szCs w:val="21"/>
          <w:highlight w:val="none"/>
        </w:rPr>
      </w:pPr>
      <w:r>
        <w:rPr>
          <w:rFonts w:ascii="宋体" w:hAnsi="宋体"/>
          <w:color w:val="auto"/>
          <w:spacing w:val="6"/>
          <w:szCs w:val="21"/>
          <w:highlight w:val="none"/>
        </w:rPr>
        <w:t>二、</w:t>
      </w:r>
      <w:r>
        <w:rPr>
          <w:rFonts w:ascii="宋体" w:hAnsi="宋体"/>
          <w:color w:val="auto"/>
          <w:kern w:val="0"/>
          <w:szCs w:val="21"/>
          <w:highlight w:val="none"/>
        </w:rPr>
        <w:t xml:space="preserve">现已清楚知道参加本项目采购活动的其他所有供应商名称，本单位 </w:t>
      </w:r>
      <w:r>
        <w:rPr>
          <w:rFonts w:ascii="宋体" w:hAnsi="宋体" w:cs="宋体"/>
          <w:color w:val="auto"/>
          <w:kern w:val="0"/>
          <w:szCs w:val="21"/>
          <w:highlight w:val="none"/>
        </w:rPr>
        <w:t>□与其他所有供应商之间均</w:t>
      </w:r>
      <w:r>
        <w:rPr>
          <w:rFonts w:ascii="宋体" w:hAnsi="宋体"/>
          <w:color w:val="auto"/>
          <w:kern w:val="0"/>
          <w:szCs w:val="21"/>
          <w:highlight w:val="none"/>
        </w:rPr>
        <w:t xml:space="preserve">不存在利害关系 </w:t>
      </w:r>
      <w:r>
        <w:rPr>
          <w:rFonts w:ascii="宋体" w:hAnsi="宋体" w:cs="宋体"/>
          <w:color w:val="auto"/>
          <w:kern w:val="0"/>
          <w:szCs w:val="21"/>
          <w:highlight w:val="none"/>
        </w:rPr>
        <w:t>□与</w:t>
      </w:r>
      <w:r>
        <w:rPr>
          <w:rFonts w:ascii="宋体" w:hAnsi="宋体" w:cs="宋体"/>
          <w:color w:val="auto"/>
          <w:kern w:val="0"/>
          <w:szCs w:val="21"/>
          <w:highlight w:val="none"/>
          <w:u w:val="single"/>
        </w:rPr>
        <w:t xml:space="preserve">           （供应商名称）</w:t>
      </w:r>
      <w:r>
        <w:rPr>
          <w:rFonts w:ascii="宋体" w:hAnsi="宋体" w:cs="宋体"/>
          <w:color w:val="auto"/>
          <w:kern w:val="0"/>
          <w:szCs w:val="21"/>
          <w:highlight w:val="none"/>
        </w:rPr>
        <w:t>之间</w:t>
      </w:r>
      <w:r>
        <w:rPr>
          <w:rFonts w:ascii="宋体" w:hAnsi="宋体"/>
          <w:color w:val="auto"/>
          <w:kern w:val="0"/>
          <w:szCs w:val="21"/>
          <w:highlight w:val="none"/>
        </w:rPr>
        <w:t>存在下列利害关系：</w:t>
      </w:r>
    </w:p>
    <w:p w14:paraId="4B79EC59">
      <w:pPr>
        <w:pStyle w:val="110"/>
        <w:widowControl w:val="0"/>
        <w:spacing w:line="360" w:lineRule="exact"/>
        <w:jc w:val="both"/>
        <w:rPr>
          <w:rFonts w:hint="default" w:hAnsi="宋体"/>
          <w:color w:val="auto"/>
          <w:kern w:val="0"/>
          <w:szCs w:val="21"/>
          <w:highlight w:val="none"/>
        </w:rPr>
      </w:pPr>
      <w:r>
        <w:rPr>
          <w:rFonts w:hAnsi="宋体"/>
          <w:color w:val="auto"/>
          <w:kern w:val="0"/>
          <w:szCs w:val="21"/>
          <w:highlight w:val="none"/>
        </w:rPr>
        <w:t xml:space="preserve">  A.法定代表人或负责人或实际控制人是同一人</w:t>
      </w:r>
    </w:p>
    <w:p w14:paraId="3150EC5F">
      <w:pPr>
        <w:pStyle w:val="110"/>
        <w:widowControl w:val="0"/>
        <w:spacing w:line="360" w:lineRule="exact"/>
        <w:jc w:val="both"/>
        <w:rPr>
          <w:rFonts w:hint="default" w:hAnsi="宋体"/>
          <w:color w:val="auto"/>
          <w:spacing w:val="6"/>
          <w:szCs w:val="21"/>
          <w:highlight w:val="none"/>
        </w:rPr>
      </w:pPr>
      <w:r>
        <w:rPr>
          <w:rFonts w:hAnsi="宋体"/>
          <w:color w:val="auto"/>
          <w:kern w:val="0"/>
          <w:szCs w:val="21"/>
          <w:highlight w:val="none"/>
        </w:rPr>
        <w:t xml:space="preserve">  B.法定代表人或负责人或实际控制人是夫妻关系</w:t>
      </w:r>
    </w:p>
    <w:p w14:paraId="3FF7C19C">
      <w:pPr>
        <w:pStyle w:val="110"/>
        <w:widowControl w:val="0"/>
        <w:spacing w:line="360" w:lineRule="exact"/>
        <w:jc w:val="both"/>
        <w:rPr>
          <w:rFonts w:hint="default" w:hAnsi="宋体"/>
          <w:color w:val="auto"/>
          <w:spacing w:val="6"/>
          <w:szCs w:val="21"/>
          <w:highlight w:val="none"/>
        </w:rPr>
      </w:pPr>
      <w:r>
        <w:rPr>
          <w:rFonts w:hAnsi="宋体"/>
          <w:color w:val="auto"/>
          <w:kern w:val="0"/>
          <w:szCs w:val="21"/>
          <w:highlight w:val="none"/>
        </w:rPr>
        <w:t xml:space="preserve">  C.法定代表人或负责人或实际控制人是直系血亲关系</w:t>
      </w:r>
    </w:p>
    <w:p w14:paraId="225D6CA0">
      <w:pPr>
        <w:pStyle w:val="110"/>
        <w:widowControl w:val="0"/>
        <w:spacing w:line="360" w:lineRule="exact"/>
        <w:jc w:val="both"/>
        <w:rPr>
          <w:rFonts w:hint="default" w:hAnsi="宋体"/>
          <w:color w:val="auto"/>
          <w:spacing w:val="6"/>
          <w:szCs w:val="21"/>
          <w:highlight w:val="none"/>
        </w:rPr>
      </w:pPr>
      <w:r>
        <w:rPr>
          <w:rFonts w:hAnsi="宋体"/>
          <w:color w:val="auto"/>
          <w:kern w:val="0"/>
          <w:szCs w:val="21"/>
          <w:highlight w:val="none"/>
        </w:rPr>
        <w:t xml:space="preserve">  D.法定代表人或负责人或实际控制人存在三代以内旁系血亲关系</w:t>
      </w:r>
    </w:p>
    <w:p w14:paraId="704780C7">
      <w:pPr>
        <w:pStyle w:val="110"/>
        <w:widowControl w:val="0"/>
        <w:spacing w:line="360" w:lineRule="exact"/>
        <w:jc w:val="both"/>
        <w:rPr>
          <w:rFonts w:hint="default" w:hAnsi="宋体"/>
          <w:color w:val="auto"/>
          <w:kern w:val="0"/>
          <w:szCs w:val="21"/>
          <w:highlight w:val="none"/>
        </w:rPr>
      </w:pPr>
      <w:r>
        <w:rPr>
          <w:rFonts w:hAnsi="宋体"/>
          <w:color w:val="auto"/>
          <w:kern w:val="0"/>
          <w:szCs w:val="21"/>
          <w:highlight w:val="none"/>
        </w:rPr>
        <w:t xml:space="preserve">  E.法定代表人或负责人或实际控制人存在近姻亲关系</w:t>
      </w:r>
    </w:p>
    <w:p w14:paraId="6D1DBA7D">
      <w:pPr>
        <w:pStyle w:val="110"/>
        <w:widowControl w:val="0"/>
        <w:spacing w:line="360" w:lineRule="exact"/>
        <w:jc w:val="both"/>
        <w:rPr>
          <w:rFonts w:hint="default" w:hAnsi="宋体"/>
          <w:color w:val="auto"/>
          <w:kern w:val="0"/>
          <w:szCs w:val="21"/>
          <w:highlight w:val="none"/>
        </w:rPr>
      </w:pPr>
      <w:r>
        <w:rPr>
          <w:rFonts w:hAnsi="宋体"/>
          <w:color w:val="auto"/>
          <w:kern w:val="0"/>
          <w:szCs w:val="21"/>
          <w:highlight w:val="none"/>
        </w:rPr>
        <w:t xml:space="preserve">  F.法定代表人或负责人或实际控制人存在股份控制或实际控制关系</w:t>
      </w:r>
    </w:p>
    <w:p w14:paraId="4DE299A0">
      <w:pPr>
        <w:pStyle w:val="110"/>
        <w:widowControl w:val="0"/>
        <w:spacing w:line="360" w:lineRule="exact"/>
        <w:jc w:val="both"/>
        <w:outlineLvl w:val="0"/>
        <w:rPr>
          <w:rFonts w:hint="default" w:hAnsi="宋体"/>
          <w:color w:val="auto"/>
          <w:kern w:val="0"/>
          <w:szCs w:val="21"/>
          <w:highlight w:val="none"/>
        </w:rPr>
      </w:pPr>
      <w:r>
        <w:rPr>
          <w:rFonts w:hAnsi="宋体"/>
          <w:color w:val="auto"/>
          <w:kern w:val="0"/>
          <w:szCs w:val="21"/>
          <w:highlight w:val="none"/>
        </w:rPr>
        <w:t xml:space="preserve">  G.存在共同直接或间接投资设立子公司、联营企业和合营企业情况</w:t>
      </w:r>
    </w:p>
    <w:p w14:paraId="4E93A2D7">
      <w:pPr>
        <w:pStyle w:val="110"/>
        <w:widowControl w:val="0"/>
        <w:spacing w:line="360" w:lineRule="exact"/>
        <w:jc w:val="both"/>
        <w:rPr>
          <w:rFonts w:hint="default" w:hAnsi="宋体"/>
          <w:color w:val="auto"/>
          <w:szCs w:val="21"/>
          <w:highlight w:val="none"/>
        </w:rPr>
      </w:pPr>
      <w:r>
        <w:rPr>
          <w:rFonts w:hAnsi="宋体"/>
          <w:color w:val="auto"/>
          <w:kern w:val="0"/>
          <w:szCs w:val="21"/>
          <w:highlight w:val="none"/>
        </w:rPr>
        <w:t xml:space="preserve">  H.存在分级代理或代销关系、同一生产制造商关系、</w:t>
      </w:r>
      <w:r>
        <w:rPr>
          <w:rFonts w:hAnsi="宋体"/>
          <w:color w:val="auto"/>
          <w:szCs w:val="21"/>
          <w:highlight w:val="none"/>
        </w:rPr>
        <w:t>管理关系、重要业务（占主营业务收入50%以上）或重要财务往来关系（如融资）等其他实质性控制关系</w:t>
      </w:r>
    </w:p>
    <w:p w14:paraId="605834D1">
      <w:pPr>
        <w:pStyle w:val="110"/>
        <w:widowControl w:val="0"/>
        <w:spacing w:line="360" w:lineRule="exact"/>
        <w:jc w:val="both"/>
        <w:rPr>
          <w:rFonts w:hint="default" w:hAnsi="宋体"/>
          <w:color w:val="auto"/>
          <w:spacing w:val="6"/>
          <w:szCs w:val="21"/>
          <w:highlight w:val="none"/>
        </w:rPr>
      </w:pPr>
      <w:r>
        <w:rPr>
          <w:rFonts w:hAnsi="宋体"/>
          <w:color w:val="auto"/>
          <w:szCs w:val="21"/>
          <w:highlight w:val="none"/>
        </w:rPr>
        <w:t xml:space="preserve">    I</w:t>
      </w:r>
      <w:r>
        <w:rPr>
          <w:rFonts w:hAnsi="宋体"/>
          <w:color w:val="auto"/>
          <w:kern w:val="0"/>
          <w:szCs w:val="21"/>
          <w:highlight w:val="none"/>
        </w:rPr>
        <w:t>.</w:t>
      </w:r>
      <w:r>
        <w:rPr>
          <w:rFonts w:hAnsi="宋体"/>
          <w:color w:val="auto"/>
          <w:szCs w:val="21"/>
          <w:highlight w:val="none"/>
        </w:rPr>
        <w:t>其他利害关系情况</w:t>
      </w:r>
      <w:r>
        <w:rPr>
          <w:rFonts w:hAnsi="宋体"/>
          <w:color w:val="auto"/>
          <w:kern w:val="0"/>
          <w:szCs w:val="21"/>
          <w:highlight w:val="none"/>
        </w:rPr>
        <w:t>。</w:t>
      </w:r>
    </w:p>
    <w:p w14:paraId="57B2B412">
      <w:pPr>
        <w:pStyle w:val="111"/>
        <w:widowControl/>
        <w:numPr>
          <w:ilvl w:val="0"/>
          <w:numId w:val="7"/>
        </w:numPr>
        <w:spacing w:line="360" w:lineRule="exact"/>
        <w:ind w:firstLine="396" w:firstLineChars="189"/>
        <w:rPr>
          <w:rFonts w:hint="default" w:ascii="宋体" w:hAnsi="宋体"/>
          <w:color w:val="auto"/>
          <w:kern w:val="0"/>
          <w:szCs w:val="21"/>
          <w:highlight w:val="none"/>
        </w:rPr>
      </w:pPr>
      <w:r>
        <w:rPr>
          <w:rFonts w:ascii="宋体" w:hAnsi="宋体"/>
          <w:color w:val="auto"/>
          <w:szCs w:val="21"/>
          <w:highlight w:val="none"/>
        </w:rPr>
        <w:t>现已清楚知道并</w:t>
      </w:r>
      <w:r>
        <w:rPr>
          <w:rFonts w:ascii="宋体" w:hAnsi="宋体"/>
          <w:color w:val="auto"/>
          <w:kern w:val="0"/>
          <w:szCs w:val="21"/>
          <w:highlight w:val="none"/>
        </w:rPr>
        <w:t>严格遵守政府采购法律法规和现场纪律。</w:t>
      </w:r>
    </w:p>
    <w:p w14:paraId="5CACFB1C">
      <w:pPr>
        <w:pStyle w:val="111"/>
        <w:widowControl/>
        <w:numPr>
          <w:ilvl w:val="0"/>
          <w:numId w:val="7"/>
        </w:numPr>
        <w:spacing w:line="360" w:lineRule="exact"/>
        <w:ind w:firstLine="396" w:firstLineChars="189"/>
        <w:rPr>
          <w:rFonts w:hint="default" w:ascii="宋体" w:hAnsi="宋体"/>
          <w:color w:val="auto"/>
          <w:kern w:val="0"/>
          <w:szCs w:val="21"/>
          <w:highlight w:val="none"/>
        </w:rPr>
      </w:pPr>
      <w:r>
        <w:rPr>
          <w:color w:val="auto"/>
          <w:kern w:val="0"/>
          <w:highlight w:val="none"/>
        </w:rPr>
        <w:t>我发现供应商之间存在或可能存在上述第二条第项利害关系。</w:t>
      </w:r>
    </w:p>
    <w:p w14:paraId="06E331FF">
      <w:pPr>
        <w:pStyle w:val="111"/>
        <w:widowControl/>
        <w:numPr>
          <w:ilvl w:val="0"/>
          <w:numId w:val="7"/>
        </w:numPr>
        <w:spacing w:line="360" w:lineRule="exact"/>
        <w:ind w:firstLine="396" w:firstLineChars="189"/>
        <w:rPr>
          <w:rFonts w:hint="default" w:ascii="宋体" w:hAnsi="宋体"/>
          <w:color w:val="auto"/>
          <w:kern w:val="0"/>
          <w:szCs w:val="21"/>
          <w:highlight w:val="none"/>
        </w:rPr>
      </w:pPr>
      <w:r>
        <w:rPr>
          <w:color w:val="auto"/>
          <w:kern w:val="0"/>
          <w:highlight w:val="none"/>
        </w:rPr>
        <w:t>本单位若有违反诚信投标、采购法律法规等行为，愿意按照招标文件规定接受投标担保的处理。如已中标，自动放弃中标资格；给招标人造成损失的，依法承担赔偿责任。</w:t>
      </w:r>
    </w:p>
    <w:p w14:paraId="6A31EE2B">
      <w:pPr>
        <w:pStyle w:val="111"/>
        <w:widowControl/>
        <w:spacing w:line="360" w:lineRule="exact"/>
        <w:rPr>
          <w:rFonts w:hint="default" w:ascii="宋体" w:hAnsi="宋体"/>
          <w:color w:val="auto"/>
          <w:kern w:val="0"/>
          <w:szCs w:val="21"/>
          <w:highlight w:val="none"/>
        </w:rPr>
      </w:pPr>
    </w:p>
    <w:p w14:paraId="52F59AEF">
      <w:pPr>
        <w:pStyle w:val="110"/>
        <w:widowControl w:val="0"/>
        <w:spacing w:line="360" w:lineRule="exact"/>
        <w:ind w:firstLine="420" w:firstLineChars="200"/>
        <w:jc w:val="both"/>
        <w:rPr>
          <w:rFonts w:hint="default" w:hAnsi="宋体"/>
          <w:color w:val="auto"/>
          <w:szCs w:val="21"/>
          <w:highlight w:val="none"/>
        </w:rPr>
      </w:pPr>
      <w:r>
        <w:rPr>
          <w:rFonts w:hAnsi="宋体"/>
          <w:color w:val="auto"/>
          <w:szCs w:val="21"/>
          <w:highlight w:val="none"/>
        </w:rPr>
        <w:t xml:space="preserve">                                （供应商代表签名）</w:t>
      </w:r>
    </w:p>
    <w:p w14:paraId="6ECCBE3A">
      <w:pPr>
        <w:pStyle w:val="112"/>
        <w:spacing w:line="360" w:lineRule="exact"/>
        <w:ind w:firstLine="400" w:firstLineChars="200"/>
        <w:jc w:val="right"/>
        <w:rPr>
          <w:rFonts w:hAnsi="宋体"/>
          <w:color w:val="auto"/>
          <w:szCs w:val="21"/>
          <w:highlight w:val="none"/>
        </w:rPr>
      </w:pPr>
      <w:r>
        <w:rPr>
          <w:rFonts w:hint="eastAsia" w:hAnsi="宋体"/>
          <w:color w:val="auto"/>
          <w:szCs w:val="21"/>
          <w:highlight w:val="none"/>
        </w:rPr>
        <w:t xml:space="preserve">                       年    月    日</w:t>
      </w:r>
    </w:p>
    <w:p w14:paraId="32BEF1D8">
      <w:pPr>
        <w:pStyle w:val="112"/>
        <w:spacing w:line="360" w:lineRule="exact"/>
        <w:ind w:firstLine="482" w:firstLineChars="20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(参加本项目采购活动的供应商须填写“政府采购活动现场确认声明书”，并在开标后30分钟内将扫描件发送至代理机构邮箱16459176@qq.com)</w:t>
      </w:r>
    </w:p>
    <w:p w14:paraId="537B9C1A">
      <w:pPr>
        <w:pStyle w:val="32"/>
        <w:rPr>
          <w:color w:val="auto"/>
          <w:highlight w:val="none"/>
        </w:rPr>
      </w:pPr>
    </w:p>
    <w:p w14:paraId="388CC155">
      <w:pPr>
        <w:spacing w:line="360" w:lineRule="auto"/>
        <w:ind w:firstLine="435"/>
        <w:rPr>
          <w:rFonts w:ascii="宋体" w:hAnsi="宋体"/>
          <w:color w:val="auto"/>
          <w:sz w:val="24"/>
          <w:highlight w:val="none"/>
        </w:rPr>
      </w:pPr>
    </w:p>
    <w:p w14:paraId="0433C0FF">
      <w:pPr>
        <w:spacing w:line="360" w:lineRule="auto"/>
        <w:ind w:firstLine="435"/>
        <w:rPr>
          <w:rFonts w:ascii="宋体" w:hAnsi="宋体"/>
          <w:color w:val="auto"/>
          <w:sz w:val="24"/>
          <w:highlight w:val="none"/>
        </w:rPr>
      </w:pPr>
    </w:p>
    <w:p w14:paraId="335FC020">
      <w:pPr>
        <w:pStyle w:val="32"/>
        <w:rPr>
          <w:color w:val="auto"/>
          <w:highlight w:val="none"/>
        </w:rPr>
      </w:pPr>
    </w:p>
    <w:p w14:paraId="088E2508">
      <w:pPr>
        <w:spacing w:line="360" w:lineRule="auto"/>
        <w:ind w:firstLine="435"/>
        <w:rPr>
          <w:rFonts w:ascii="宋体" w:hAnsi="宋体"/>
          <w:color w:val="auto"/>
          <w:sz w:val="24"/>
          <w:highlight w:val="none"/>
        </w:rPr>
      </w:pPr>
    </w:p>
    <w:p w14:paraId="6C3060CC">
      <w:pPr>
        <w:rPr>
          <w:rFonts w:hint="eastAsia" w:ascii="宋体" w:hAnsi="宋体"/>
          <w:b/>
          <w:color w:val="auto"/>
          <w:sz w:val="28"/>
          <w:highlight w:val="none"/>
        </w:rPr>
      </w:pPr>
      <w:r>
        <w:rPr>
          <w:rFonts w:hint="eastAsia" w:ascii="宋体" w:hAnsi="宋体"/>
          <w:b/>
          <w:color w:val="auto"/>
          <w:sz w:val="28"/>
          <w:highlight w:val="none"/>
        </w:rPr>
        <w:br w:type="page"/>
      </w:r>
    </w:p>
    <w:p w14:paraId="0E416272">
      <w:pPr>
        <w:spacing w:line="360" w:lineRule="auto"/>
        <w:ind w:right="-110"/>
        <w:jc w:val="left"/>
        <w:rPr>
          <w:rFonts w:ascii="宋体" w:hAnsi="宋体"/>
          <w:color w:val="auto"/>
          <w:spacing w:val="40"/>
          <w:sz w:val="52"/>
          <w:szCs w:val="52"/>
          <w:highlight w:val="none"/>
        </w:rPr>
      </w:pPr>
      <w:r>
        <w:rPr>
          <w:rFonts w:hint="eastAsia" w:ascii="宋体" w:hAnsi="宋体"/>
          <w:b/>
          <w:color w:val="auto"/>
          <w:sz w:val="28"/>
          <w:highlight w:val="none"/>
        </w:rPr>
        <w:t>附件13</w:t>
      </w:r>
    </w:p>
    <w:p w14:paraId="780495F6">
      <w:pPr>
        <w:spacing w:line="360" w:lineRule="auto"/>
        <w:ind w:right="-110"/>
        <w:jc w:val="center"/>
        <w:rPr>
          <w:rFonts w:ascii="宋体" w:hAnsi="宋体"/>
          <w:color w:val="auto"/>
          <w:spacing w:val="40"/>
          <w:sz w:val="52"/>
          <w:szCs w:val="52"/>
          <w:highlight w:val="none"/>
        </w:rPr>
      </w:pPr>
      <w:r>
        <w:rPr>
          <w:rFonts w:hint="eastAsia" w:ascii="宋体" w:hAnsi="宋体"/>
          <w:color w:val="auto"/>
          <w:spacing w:val="40"/>
          <w:sz w:val="52"/>
          <w:szCs w:val="52"/>
          <w:highlight w:val="none"/>
        </w:rPr>
        <w:t>项目名称</w:t>
      </w:r>
    </w:p>
    <w:p w14:paraId="341D3CEA">
      <w:pPr>
        <w:spacing w:beforeLines="100" w:line="360" w:lineRule="auto"/>
        <w:ind w:right="-108"/>
        <w:jc w:val="center"/>
        <w:rPr>
          <w:rFonts w:ascii="宋体" w:hAnsi="宋体"/>
          <w:color w:val="auto"/>
          <w:sz w:val="36"/>
          <w:szCs w:val="36"/>
          <w:highlight w:val="none"/>
        </w:rPr>
      </w:pPr>
      <w:r>
        <w:rPr>
          <w:rFonts w:hint="eastAsia" w:ascii="宋体" w:hAnsi="宋体"/>
          <w:color w:val="auto"/>
          <w:sz w:val="36"/>
          <w:szCs w:val="36"/>
          <w:highlight w:val="none"/>
        </w:rPr>
        <w:t>项目编号：</w:t>
      </w:r>
    </w:p>
    <w:p w14:paraId="46621673">
      <w:pPr>
        <w:spacing w:after="100" w:afterAutospacing="1" w:line="360" w:lineRule="auto"/>
        <w:ind w:right="-108"/>
        <w:jc w:val="center"/>
        <w:rPr>
          <w:rFonts w:ascii="宋体" w:hAnsi="宋体"/>
          <w:b/>
          <w:color w:val="auto"/>
          <w:spacing w:val="40"/>
          <w:sz w:val="84"/>
          <w:szCs w:val="84"/>
          <w:highlight w:val="none"/>
        </w:rPr>
      </w:pPr>
    </w:p>
    <w:p w14:paraId="04C02C66">
      <w:pPr>
        <w:spacing w:after="100" w:afterAutospacing="1" w:line="360" w:lineRule="auto"/>
        <w:ind w:right="-108"/>
        <w:jc w:val="center"/>
        <w:rPr>
          <w:rFonts w:ascii="宋体" w:hAnsi="宋体"/>
          <w:b/>
          <w:color w:val="auto"/>
          <w:spacing w:val="40"/>
          <w:sz w:val="84"/>
          <w:szCs w:val="84"/>
          <w:highlight w:val="none"/>
        </w:rPr>
      </w:pPr>
      <w:r>
        <w:rPr>
          <w:rFonts w:hint="eastAsia" w:ascii="宋体" w:hAnsi="宋体"/>
          <w:b/>
          <w:color w:val="auto"/>
          <w:spacing w:val="40"/>
          <w:sz w:val="84"/>
          <w:szCs w:val="84"/>
          <w:highlight w:val="none"/>
        </w:rPr>
        <w:t>报</w:t>
      </w:r>
    </w:p>
    <w:p w14:paraId="565B163F">
      <w:pPr>
        <w:spacing w:after="100" w:afterAutospacing="1" w:line="360" w:lineRule="auto"/>
        <w:ind w:right="-108"/>
        <w:jc w:val="center"/>
        <w:rPr>
          <w:rFonts w:ascii="宋体" w:hAnsi="宋体"/>
          <w:b/>
          <w:color w:val="auto"/>
          <w:spacing w:val="40"/>
          <w:sz w:val="84"/>
          <w:szCs w:val="84"/>
          <w:highlight w:val="none"/>
        </w:rPr>
      </w:pPr>
      <w:r>
        <w:rPr>
          <w:rFonts w:hint="eastAsia" w:ascii="宋体" w:hAnsi="宋体"/>
          <w:b/>
          <w:color w:val="auto"/>
          <w:spacing w:val="40"/>
          <w:sz w:val="84"/>
          <w:szCs w:val="84"/>
          <w:highlight w:val="none"/>
        </w:rPr>
        <w:t>价</w:t>
      </w:r>
    </w:p>
    <w:p w14:paraId="79A864E7">
      <w:pPr>
        <w:spacing w:after="100" w:afterAutospacing="1" w:line="360" w:lineRule="auto"/>
        <w:ind w:right="-108"/>
        <w:jc w:val="center"/>
        <w:rPr>
          <w:rFonts w:ascii="宋体" w:hAnsi="宋体"/>
          <w:b/>
          <w:color w:val="auto"/>
          <w:spacing w:val="40"/>
          <w:sz w:val="84"/>
          <w:szCs w:val="84"/>
          <w:highlight w:val="none"/>
        </w:rPr>
      </w:pPr>
      <w:r>
        <w:rPr>
          <w:rFonts w:hint="eastAsia" w:ascii="宋体" w:hAnsi="宋体"/>
          <w:b/>
          <w:color w:val="auto"/>
          <w:spacing w:val="40"/>
          <w:sz w:val="84"/>
          <w:szCs w:val="84"/>
          <w:highlight w:val="none"/>
        </w:rPr>
        <w:t>文</w:t>
      </w:r>
    </w:p>
    <w:p w14:paraId="0518D7E9">
      <w:pPr>
        <w:spacing w:after="100" w:afterAutospacing="1" w:line="360" w:lineRule="auto"/>
        <w:ind w:right="-108"/>
        <w:jc w:val="center"/>
        <w:rPr>
          <w:rFonts w:ascii="宋体" w:hAnsi="宋体"/>
          <w:b/>
          <w:color w:val="auto"/>
          <w:spacing w:val="40"/>
          <w:sz w:val="84"/>
          <w:szCs w:val="84"/>
          <w:highlight w:val="none"/>
        </w:rPr>
      </w:pPr>
      <w:r>
        <w:rPr>
          <w:rFonts w:hint="eastAsia" w:ascii="宋体" w:hAnsi="宋体"/>
          <w:b/>
          <w:color w:val="auto"/>
          <w:spacing w:val="40"/>
          <w:sz w:val="84"/>
          <w:szCs w:val="84"/>
          <w:highlight w:val="none"/>
        </w:rPr>
        <w:t>件</w:t>
      </w:r>
    </w:p>
    <w:p w14:paraId="0F7AF0AD">
      <w:pPr>
        <w:spacing w:line="360" w:lineRule="auto"/>
        <w:ind w:right="532"/>
        <w:jc w:val="center"/>
        <w:rPr>
          <w:rFonts w:ascii="宋体" w:hAnsi="宋体"/>
          <w:color w:val="auto"/>
          <w:sz w:val="36"/>
          <w:szCs w:val="36"/>
          <w:highlight w:val="none"/>
        </w:rPr>
      </w:pPr>
    </w:p>
    <w:p w14:paraId="2FE44E32">
      <w:pPr>
        <w:spacing w:line="360" w:lineRule="auto"/>
        <w:ind w:right="532"/>
        <w:rPr>
          <w:rFonts w:ascii="宋体" w:hAnsi="宋体"/>
          <w:color w:val="auto"/>
          <w:sz w:val="36"/>
          <w:szCs w:val="36"/>
          <w:highlight w:val="none"/>
        </w:rPr>
      </w:pPr>
    </w:p>
    <w:p w14:paraId="69F85741">
      <w:pPr>
        <w:spacing w:line="360" w:lineRule="auto"/>
        <w:ind w:right="532"/>
        <w:jc w:val="center"/>
        <w:rPr>
          <w:rFonts w:ascii="宋体" w:hAnsi="宋体"/>
          <w:color w:val="auto"/>
          <w:sz w:val="36"/>
          <w:szCs w:val="36"/>
          <w:highlight w:val="none"/>
        </w:rPr>
      </w:pPr>
    </w:p>
    <w:p w14:paraId="4EFFE8F7">
      <w:pPr>
        <w:spacing w:line="360" w:lineRule="auto"/>
        <w:ind w:right="532" w:firstLine="720" w:firstLineChars="200"/>
        <w:rPr>
          <w:rFonts w:ascii="宋体" w:hAnsi="宋体"/>
          <w:color w:val="auto"/>
          <w:sz w:val="36"/>
          <w:szCs w:val="36"/>
          <w:highlight w:val="none"/>
        </w:rPr>
      </w:pPr>
      <w:r>
        <w:rPr>
          <w:rFonts w:hint="eastAsia" w:ascii="宋体" w:hAnsi="宋体"/>
          <w:color w:val="auto"/>
          <w:sz w:val="36"/>
          <w:szCs w:val="36"/>
          <w:highlight w:val="none"/>
        </w:rPr>
        <w:t>供应商全称（公章）：</w:t>
      </w:r>
    </w:p>
    <w:p w14:paraId="35DEDEDF">
      <w:pPr>
        <w:spacing w:line="360" w:lineRule="auto"/>
        <w:ind w:right="-108" w:firstLine="720" w:firstLineChars="200"/>
        <w:rPr>
          <w:rFonts w:ascii="宋体" w:hAnsi="宋体"/>
          <w:color w:val="auto"/>
          <w:sz w:val="36"/>
          <w:szCs w:val="36"/>
          <w:highlight w:val="none"/>
        </w:rPr>
      </w:pPr>
      <w:r>
        <w:rPr>
          <w:rFonts w:hint="eastAsia" w:ascii="宋体" w:hAnsi="宋体"/>
          <w:color w:val="auto"/>
          <w:sz w:val="36"/>
          <w:szCs w:val="36"/>
          <w:highlight w:val="none"/>
        </w:rPr>
        <w:t>地    址：</w:t>
      </w:r>
    </w:p>
    <w:p w14:paraId="0D47D30D">
      <w:pPr>
        <w:spacing w:line="360" w:lineRule="auto"/>
        <w:ind w:right="-108" w:firstLine="720" w:firstLineChars="200"/>
        <w:rPr>
          <w:rFonts w:ascii="宋体" w:hAnsi="宋体"/>
          <w:color w:val="auto"/>
          <w:sz w:val="36"/>
          <w:szCs w:val="36"/>
          <w:highlight w:val="none"/>
        </w:rPr>
      </w:pPr>
      <w:r>
        <w:rPr>
          <w:rFonts w:hint="eastAsia" w:ascii="宋体" w:hAnsi="宋体"/>
          <w:color w:val="auto"/>
          <w:sz w:val="36"/>
          <w:szCs w:val="36"/>
          <w:highlight w:val="none"/>
        </w:rPr>
        <w:t>时    间：</w:t>
      </w:r>
    </w:p>
    <w:p w14:paraId="21C6D017">
      <w:pPr>
        <w:spacing w:line="360" w:lineRule="auto"/>
        <w:ind w:right="-108"/>
        <w:jc w:val="center"/>
        <w:rPr>
          <w:rFonts w:ascii="宋体" w:hAnsi="宋体"/>
          <w:b/>
          <w:color w:val="auto"/>
          <w:sz w:val="32"/>
          <w:szCs w:val="32"/>
          <w:highlight w:val="none"/>
        </w:rPr>
      </w:pPr>
      <w:r>
        <w:rPr>
          <w:rFonts w:hint="eastAsia" w:ascii="宋体" w:hAnsi="宋体"/>
          <w:b/>
          <w:color w:val="auto"/>
          <w:sz w:val="32"/>
          <w:szCs w:val="32"/>
          <w:highlight w:val="none"/>
        </w:rPr>
        <w:t>报价文件目录</w:t>
      </w:r>
    </w:p>
    <w:p w14:paraId="69C4C4BF">
      <w:pPr>
        <w:spacing w:line="360" w:lineRule="auto"/>
        <w:ind w:right="-108"/>
        <w:jc w:val="center"/>
        <w:rPr>
          <w:rFonts w:ascii="仿宋_GB2312" w:hAnsi="宋体" w:eastAsia="仿宋_GB2312"/>
          <w:b/>
          <w:color w:val="auto"/>
          <w:sz w:val="36"/>
          <w:szCs w:val="36"/>
          <w:highlight w:val="none"/>
        </w:rPr>
      </w:pPr>
    </w:p>
    <w:p w14:paraId="6C13F70C">
      <w:pPr>
        <w:snapToGrid w:val="0"/>
        <w:spacing w:line="360" w:lineRule="auto"/>
        <w:jc w:val="left"/>
        <w:rPr>
          <w:rFonts w:ascii="宋体" w:hAnsi="宋体"/>
          <w:color w:val="auto"/>
          <w:sz w:val="24"/>
          <w:highlight w:val="none"/>
        </w:rPr>
      </w:pPr>
      <w:r>
        <w:rPr>
          <w:rFonts w:hint="eastAsia" w:ascii="宋体" w:hAnsi="宋体"/>
          <w:color w:val="auto"/>
          <w:sz w:val="24"/>
          <w:highlight w:val="none"/>
        </w:rPr>
        <w:t>1、开标一览表（附件14）；</w:t>
      </w:r>
      <w:r>
        <w:rPr>
          <w:rFonts w:hint="eastAsia" w:ascii="宋体" w:hAnsi="宋体"/>
          <w:color w:val="auto"/>
          <w:sz w:val="24"/>
          <w:highlight w:val="none"/>
        </w:rPr>
        <w:br w:type="textWrapping"/>
      </w:r>
      <w:r>
        <w:rPr>
          <w:rFonts w:hint="eastAsia" w:ascii="宋体" w:hAnsi="宋体"/>
          <w:color w:val="auto"/>
          <w:sz w:val="24"/>
          <w:highlight w:val="none"/>
        </w:rPr>
        <w:t>2、报价明细表（附件15）；</w:t>
      </w:r>
    </w:p>
    <w:p w14:paraId="5C6ACDD1">
      <w:pPr>
        <w:spacing w:line="360" w:lineRule="auto"/>
        <w:rPr>
          <w:rFonts w:ascii="宋体" w:hAnsi="宋体"/>
          <w:b/>
          <w:color w:val="auto"/>
          <w:sz w:val="28"/>
          <w:highlight w:val="none"/>
        </w:rPr>
      </w:pPr>
    </w:p>
    <w:p w14:paraId="41D7E827">
      <w:pPr>
        <w:spacing w:line="360" w:lineRule="auto"/>
        <w:ind w:left="480"/>
        <w:rPr>
          <w:rFonts w:ascii="宋体" w:hAnsi="宋体"/>
          <w:b/>
          <w:color w:val="auto"/>
          <w:sz w:val="28"/>
          <w:highlight w:val="none"/>
        </w:rPr>
      </w:pPr>
    </w:p>
    <w:p w14:paraId="463527DE">
      <w:pPr>
        <w:spacing w:line="360" w:lineRule="auto"/>
        <w:ind w:left="480"/>
        <w:rPr>
          <w:rFonts w:ascii="宋体" w:hAnsi="宋体"/>
          <w:b/>
          <w:color w:val="auto"/>
          <w:sz w:val="28"/>
          <w:highlight w:val="none"/>
        </w:rPr>
      </w:pPr>
    </w:p>
    <w:p w14:paraId="2FC841BE">
      <w:pPr>
        <w:spacing w:line="360" w:lineRule="auto"/>
        <w:ind w:left="480"/>
        <w:rPr>
          <w:rFonts w:ascii="宋体" w:hAnsi="宋体"/>
          <w:b/>
          <w:color w:val="auto"/>
          <w:sz w:val="28"/>
          <w:highlight w:val="none"/>
        </w:rPr>
      </w:pPr>
    </w:p>
    <w:p w14:paraId="0C682A27">
      <w:pPr>
        <w:spacing w:line="360" w:lineRule="auto"/>
        <w:ind w:left="480"/>
        <w:rPr>
          <w:rFonts w:ascii="宋体" w:hAnsi="宋体"/>
          <w:b/>
          <w:color w:val="auto"/>
          <w:sz w:val="28"/>
          <w:highlight w:val="none"/>
        </w:rPr>
      </w:pPr>
    </w:p>
    <w:p w14:paraId="57719377">
      <w:pPr>
        <w:spacing w:line="360" w:lineRule="auto"/>
        <w:ind w:left="480"/>
        <w:rPr>
          <w:rFonts w:ascii="宋体" w:hAnsi="宋体"/>
          <w:b/>
          <w:color w:val="auto"/>
          <w:sz w:val="28"/>
          <w:highlight w:val="none"/>
        </w:rPr>
      </w:pPr>
    </w:p>
    <w:p w14:paraId="3C020EF9">
      <w:pPr>
        <w:spacing w:line="360" w:lineRule="auto"/>
        <w:ind w:left="480"/>
        <w:rPr>
          <w:rFonts w:ascii="宋体" w:hAnsi="宋体"/>
          <w:b/>
          <w:color w:val="auto"/>
          <w:sz w:val="28"/>
          <w:highlight w:val="none"/>
        </w:rPr>
      </w:pPr>
    </w:p>
    <w:p w14:paraId="4308BD81">
      <w:pPr>
        <w:spacing w:line="360" w:lineRule="auto"/>
        <w:ind w:left="480"/>
        <w:rPr>
          <w:rFonts w:ascii="宋体" w:hAnsi="宋体"/>
          <w:b/>
          <w:color w:val="auto"/>
          <w:sz w:val="28"/>
          <w:highlight w:val="none"/>
        </w:rPr>
      </w:pPr>
    </w:p>
    <w:p w14:paraId="0802F620">
      <w:pPr>
        <w:spacing w:line="360" w:lineRule="auto"/>
        <w:ind w:left="480"/>
        <w:rPr>
          <w:rFonts w:ascii="宋体" w:hAnsi="宋体"/>
          <w:b/>
          <w:color w:val="auto"/>
          <w:sz w:val="28"/>
          <w:highlight w:val="none"/>
        </w:rPr>
      </w:pPr>
    </w:p>
    <w:p w14:paraId="0715DDE3">
      <w:pPr>
        <w:spacing w:line="360" w:lineRule="auto"/>
        <w:ind w:left="480"/>
        <w:rPr>
          <w:rFonts w:ascii="宋体" w:hAnsi="宋体"/>
          <w:b/>
          <w:color w:val="auto"/>
          <w:sz w:val="28"/>
          <w:highlight w:val="none"/>
        </w:rPr>
      </w:pPr>
    </w:p>
    <w:p w14:paraId="7223E311">
      <w:pPr>
        <w:spacing w:line="360" w:lineRule="auto"/>
        <w:ind w:left="480"/>
        <w:rPr>
          <w:rFonts w:ascii="宋体" w:hAnsi="宋体"/>
          <w:b/>
          <w:color w:val="auto"/>
          <w:sz w:val="28"/>
          <w:highlight w:val="none"/>
        </w:rPr>
      </w:pPr>
    </w:p>
    <w:p w14:paraId="7C4FAB53">
      <w:pPr>
        <w:spacing w:line="360" w:lineRule="auto"/>
        <w:ind w:left="480"/>
        <w:rPr>
          <w:rFonts w:ascii="宋体" w:hAnsi="宋体"/>
          <w:b/>
          <w:color w:val="auto"/>
          <w:sz w:val="28"/>
          <w:highlight w:val="none"/>
        </w:rPr>
      </w:pPr>
    </w:p>
    <w:p w14:paraId="2683BEAA">
      <w:pPr>
        <w:spacing w:line="360" w:lineRule="auto"/>
        <w:ind w:left="480"/>
        <w:rPr>
          <w:rFonts w:ascii="宋体" w:hAnsi="宋体"/>
          <w:b/>
          <w:color w:val="auto"/>
          <w:sz w:val="28"/>
          <w:highlight w:val="none"/>
        </w:rPr>
      </w:pPr>
    </w:p>
    <w:p w14:paraId="182B1E4B">
      <w:pPr>
        <w:spacing w:line="360" w:lineRule="auto"/>
        <w:ind w:left="480"/>
        <w:rPr>
          <w:rFonts w:ascii="宋体" w:hAnsi="宋体"/>
          <w:b/>
          <w:color w:val="auto"/>
          <w:sz w:val="28"/>
          <w:highlight w:val="none"/>
        </w:rPr>
      </w:pPr>
    </w:p>
    <w:p w14:paraId="70A1C40B">
      <w:pPr>
        <w:spacing w:line="360" w:lineRule="auto"/>
        <w:ind w:left="480"/>
        <w:rPr>
          <w:rFonts w:ascii="宋体" w:hAnsi="宋体"/>
          <w:b/>
          <w:color w:val="auto"/>
          <w:sz w:val="28"/>
          <w:highlight w:val="none"/>
        </w:rPr>
      </w:pPr>
    </w:p>
    <w:p w14:paraId="3BCD6B25">
      <w:pPr>
        <w:spacing w:line="360" w:lineRule="auto"/>
        <w:ind w:left="480"/>
        <w:rPr>
          <w:rFonts w:ascii="宋体" w:hAnsi="宋体"/>
          <w:b/>
          <w:color w:val="auto"/>
          <w:sz w:val="28"/>
          <w:highlight w:val="none"/>
        </w:rPr>
      </w:pPr>
    </w:p>
    <w:p w14:paraId="1F75C3B3">
      <w:pPr>
        <w:rPr>
          <w:rFonts w:ascii="宋体" w:hAnsi="宋体"/>
          <w:b/>
          <w:color w:val="auto"/>
          <w:sz w:val="28"/>
          <w:highlight w:val="none"/>
        </w:rPr>
      </w:pPr>
      <w:r>
        <w:rPr>
          <w:rFonts w:hint="eastAsia" w:ascii="宋体" w:hAnsi="宋体"/>
          <w:b/>
          <w:color w:val="auto"/>
          <w:sz w:val="28"/>
          <w:highlight w:val="none"/>
        </w:rPr>
        <w:br w:type="page"/>
      </w:r>
    </w:p>
    <w:p w14:paraId="51F8AAD3">
      <w:pPr>
        <w:spacing w:line="360" w:lineRule="auto"/>
        <w:rPr>
          <w:rFonts w:ascii="宋体" w:hAnsi="宋体"/>
          <w:b/>
          <w:color w:val="auto"/>
          <w:sz w:val="28"/>
          <w:highlight w:val="none"/>
        </w:rPr>
      </w:pPr>
      <w:r>
        <w:rPr>
          <w:rFonts w:hint="eastAsia" w:ascii="宋体" w:hAnsi="宋体"/>
          <w:b/>
          <w:color w:val="auto"/>
          <w:sz w:val="28"/>
          <w:highlight w:val="none"/>
        </w:rPr>
        <w:t>附件14</w:t>
      </w:r>
    </w:p>
    <w:p w14:paraId="016E5FCA">
      <w:pPr>
        <w:spacing w:line="360" w:lineRule="auto"/>
        <w:ind w:left="-2" w:hanging="2"/>
        <w:jc w:val="center"/>
        <w:rPr>
          <w:rFonts w:ascii="宋体" w:hAnsi="宋体"/>
          <w:b/>
          <w:color w:val="auto"/>
          <w:sz w:val="32"/>
          <w:szCs w:val="32"/>
          <w:highlight w:val="none"/>
        </w:rPr>
      </w:pPr>
      <w:r>
        <w:rPr>
          <w:rFonts w:hint="eastAsia" w:ascii="宋体" w:hAnsi="宋体"/>
          <w:b/>
          <w:color w:val="auto"/>
          <w:sz w:val="32"/>
          <w:szCs w:val="32"/>
          <w:highlight w:val="none"/>
        </w:rPr>
        <w:t xml:space="preserve">开标一览表 </w:t>
      </w:r>
    </w:p>
    <w:p w14:paraId="5AE87F25">
      <w:pPr>
        <w:spacing w:line="360" w:lineRule="auto"/>
        <w:ind w:left="-2" w:hanging="2"/>
        <w:jc w:val="center"/>
        <w:rPr>
          <w:rFonts w:ascii="宋体" w:hAnsi="宋体"/>
          <w:b/>
          <w:color w:val="auto"/>
          <w:sz w:val="32"/>
          <w:szCs w:val="32"/>
          <w:highlight w:val="none"/>
        </w:rPr>
      </w:pPr>
    </w:p>
    <w:p w14:paraId="3601F477">
      <w:pPr>
        <w:pStyle w:val="11"/>
        <w:spacing w:line="320" w:lineRule="exact"/>
        <w:rPr>
          <w:rFonts w:hAnsi="宋体"/>
          <w:b/>
          <w:color w:val="auto"/>
          <w:sz w:val="24"/>
          <w:highlight w:val="none"/>
        </w:rPr>
      </w:pPr>
      <w:r>
        <w:rPr>
          <w:rFonts w:hAnsi="宋体"/>
          <w:b/>
          <w:color w:val="auto"/>
          <w:sz w:val="24"/>
          <w:highlight w:val="none"/>
        </w:rPr>
        <w:t>项目编号：</w:t>
      </w:r>
    </w:p>
    <w:p w14:paraId="1C2AE792">
      <w:pPr>
        <w:pStyle w:val="101"/>
        <w:spacing w:line="360" w:lineRule="auto"/>
        <w:ind w:right="480"/>
        <w:jc w:val="left"/>
        <w:rPr>
          <w:rFonts w:hAnsi="宋体"/>
          <w:color w:val="auto"/>
          <w:sz w:val="24"/>
          <w:highlight w:val="none"/>
        </w:rPr>
      </w:pPr>
      <w:r>
        <w:rPr>
          <w:rFonts w:hAnsi="宋体"/>
          <w:b/>
          <w:color w:val="auto"/>
          <w:sz w:val="24"/>
          <w:highlight w:val="none"/>
        </w:rPr>
        <w:t>项目名称：</w:t>
      </w:r>
      <w:r>
        <w:rPr>
          <w:rFonts w:hint="eastAsia" w:ascii="宋体" w:hAnsi="宋体"/>
          <w:color w:val="auto"/>
          <w:sz w:val="24"/>
          <w:highlight w:val="none"/>
        </w:rPr>
        <w:t xml:space="preserve">                                    [货币单位：人民币元]</w:t>
      </w:r>
    </w:p>
    <w:tbl>
      <w:tblPr>
        <w:tblStyle w:val="23"/>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5"/>
        <w:gridCol w:w="1100"/>
        <w:gridCol w:w="5056"/>
      </w:tblGrid>
      <w:tr w14:paraId="329E8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45" w:hRule="atLeast"/>
          <w:jc w:val="center"/>
        </w:trPr>
        <w:tc>
          <w:tcPr>
            <w:tcW w:w="3095" w:type="dxa"/>
            <w:vMerge w:val="restart"/>
            <w:noWrap/>
            <w:vAlign w:val="center"/>
          </w:tcPr>
          <w:p w14:paraId="4900CF8C">
            <w:pPr>
              <w:autoSpaceDE w:val="0"/>
              <w:autoSpaceDN w:val="0"/>
              <w:spacing w:line="450" w:lineRule="exact"/>
              <w:jc w:val="center"/>
              <w:rPr>
                <w:rFonts w:ascii="宋体" w:hAnsi="宋体" w:cs="Times New Roman"/>
                <w:color w:val="auto"/>
                <w:sz w:val="24"/>
                <w:highlight w:val="none"/>
              </w:rPr>
            </w:pPr>
            <w:r>
              <w:rPr>
                <w:rFonts w:hint="eastAsia" w:ascii="宋体" w:hAnsi="宋体" w:cs="Times New Roman"/>
                <w:color w:val="auto"/>
                <w:sz w:val="24"/>
                <w:highlight w:val="none"/>
              </w:rPr>
              <w:t>投标报价（元）</w:t>
            </w:r>
          </w:p>
        </w:tc>
        <w:tc>
          <w:tcPr>
            <w:tcW w:w="1100" w:type="dxa"/>
            <w:noWrap/>
            <w:vAlign w:val="center"/>
          </w:tcPr>
          <w:p w14:paraId="7BDFFE40">
            <w:pPr>
              <w:autoSpaceDE w:val="0"/>
              <w:autoSpaceDN w:val="0"/>
              <w:spacing w:line="450" w:lineRule="exact"/>
              <w:jc w:val="center"/>
              <w:rPr>
                <w:rFonts w:ascii="宋体" w:hAnsi="宋体"/>
                <w:color w:val="auto"/>
                <w:sz w:val="24"/>
                <w:highlight w:val="none"/>
              </w:rPr>
            </w:pPr>
            <w:r>
              <w:rPr>
                <w:rFonts w:hint="eastAsia" w:ascii="宋体" w:hAnsi="宋体"/>
                <w:color w:val="auto"/>
                <w:sz w:val="24"/>
                <w:highlight w:val="none"/>
              </w:rPr>
              <w:t>大写</w:t>
            </w:r>
          </w:p>
        </w:tc>
        <w:tc>
          <w:tcPr>
            <w:tcW w:w="5056" w:type="dxa"/>
            <w:noWrap/>
            <w:vAlign w:val="center"/>
          </w:tcPr>
          <w:p w14:paraId="45F5992E">
            <w:pPr>
              <w:autoSpaceDE w:val="0"/>
              <w:autoSpaceDN w:val="0"/>
              <w:spacing w:line="450" w:lineRule="exact"/>
              <w:jc w:val="center"/>
              <w:rPr>
                <w:rFonts w:ascii="宋体"/>
                <w:color w:val="auto"/>
                <w:sz w:val="24"/>
                <w:highlight w:val="none"/>
              </w:rPr>
            </w:pPr>
          </w:p>
        </w:tc>
      </w:tr>
      <w:tr w14:paraId="55DF7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45" w:hRule="atLeast"/>
          <w:jc w:val="center"/>
        </w:trPr>
        <w:tc>
          <w:tcPr>
            <w:tcW w:w="3095" w:type="dxa"/>
            <w:vMerge w:val="continue"/>
            <w:noWrap/>
            <w:vAlign w:val="center"/>
          </w:tcPr>
          <w:p w14:paraId="39ED1751">
            <w:pPr>
              <w:rPr>
                <w:rFonts w:ascii="宋体"/>
                <w:color w:val="auto"/>
                <w:sz w:val="24"/>
                <w:highlight w:val="none"/>
              </w:rPr>
            </w:pPr>
          </w:p>
        </w:tc>
        <w:tc>
          <w:tcPr>
            <w:tcW w:w="1100" w:type="dxa"/>
            <w:noWrap/>
            <w:vAlign w:val="center"/>
          </w:tcPr>
          <w:p w14:paraId="4CF2B855">
            <w:pPr>
              <w:autoSpaceDE w:val="0"/>
              <w:autoSpaceDN w:val="0"/>
              <w:spacing w:line="450" w:lineRule="exact"/>
              <w:jc w:val="center"/>
              <w:rPr>
                <w:rFonts w:ascii="宋体" w:hAnsi="宋体"/>
                <w:color w:val="auto"/>
                <w:sz w:val="24"/>
                <w:highlight w:val="none"/>
              </w:rPr>
            </w:pPr>
            <w:r>
              <w:rPr>
                <w:rFonts w:hint="eastAsia" w:ascii="宋体" w:hAnsi="宋体"/>
                <w:color w:val="auto"/>
                <w:sz w:val="24"/>
                <w:highlight w:val="none"/>
              </w:rPr>
              <w:t>小写</w:t>
            </w:r>
          </w:p>
        </w:tc>
        <w:tc>
          <w:tcPr>
            <w:tcW w:w="5056" w:type="dxa"/>
            <w:noWrap/>
            <w:vAlign w:val="center"/>
          </w:tcPr>
          <w:p w14:paraId="745E0EDD">
            <w:pPr>
              <w:autoSpaceDE w:val="0"/>
              <w:autoSpaceDN w:val="0"/>
              <w:spacing w:line="450" w:lineRule="exact"/>
              <w:jc w:val="center"/>
              <w:rPr>
                <w:rFonts w:ascii="宋体"/>
                <w:color w:val="auto"/>
                <w:sz w:val="24"/>
                <w:highlight w:val="none"/>
              </w:rPr>
            </w:pPr>
          </w:p>
        </w:tc>
      </w:tr>
    </w:tbl>
    <w:p w14:paraId="08BCB7DF">
      <w:pPr>
        <w:spacing w:line="360" w:lineRule="auto"/>
        <w:rPr>
          <w:rFonts w:ascii="宋体" w:hAnsi="宋体"/>
          <w:color w:val="auto"/>
          <w:sz w:val="24"/>
          <w:highlight w:val="none"/>
        </w:rPr>
      </w:pPr>
      <w:r>
        <w:rPr>
          <w:rFonts w:hint="eastAsia" w:ascii="宋体" w:hAnsi="宋体"/>
          <w:b/>
          <w:color w:val="auto"/>
          <w:szCs w:val="21"/>
          <w:highlight w:val="none"/>
        </w:rPr>
        <w:t>填报要求：</w:t>
      </w:r>
    </w:p>
    <w:p w14:paraId="6A4832E7">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1. </w:t>
      </w:r>
      <w:r>
        <w:rPr>
          <w:rFonts w:hint="eastAsia" w:ascii="宋体" w:hAnsi="宋体"/>
          <w:color w:val="auto"/>
          <w:kern w:val="0"/>
          <w:szCs w:val="21"/>
          <w:highlight w:val="none"/>
          <w:lang w:val="zh-CN"/>
        </w:rPr>
        <w:t>投标报价是履行合同的最终价格，即完成本项目服务内容和要求所产生的所有费用，包括所有的</w:t>
      </w:r>
      <w:r>
        <w:rPr>
          <w:rFonts w:hint="eastAsia" w:ascii="宋体" w:hAnsi="宋体"/>
          <w:color w:val="auto"/>
          <w:kern w:val="0"/>
          <w:szCs w:val="21"/>
          <w:highlight w:val="none"/>
          <w:lang w:eastAsia="zh-CN"/>
        </w:rPr>
        <w:t>人工费、设备费、材料费、附加费</w:t>
      </w:r>
      <w:r>
        <w:rPr>
          <w:rFonts w:hint="eastAsia" w:ascii="宋体" w:hAnsi="宋体"/>
          <w:color w:val="auto"/>
          <w:kern w:val="0"/>
          <w:szCs w:val="21"/>
          <w:highlight w:val="none"/>
          <w:lang w:val="zh-CN"/>
        </w:rPr>
        <w:t>（税金、运输、保险、包装、安装调试、服务、维护费）等一切费用。</w:t>
      </w:r>
      <w:r>
        <w:rPr>
          <w:rFonts w:hint="eastAsia" w:ascii="宋体" w:hAnsi="宋体"/>
          <w:color w:val="auto"/>
          <w:kern w:val="0"/>
          <w:szCs w:val="21"/>
          <w:highlight w:val="none"/>
        </w:rPr>
        <w:t>报价以人民币元计，保留整数。</w:t>
      </w:r>
      <w:r>
        <w:rPr>
          <w:rFonts w:hint="eastAsia" w:ascii="宋体" w:hAnsi="宋体"/>
          <w:color w:val="auto"/>
          <w:kern w:val="0"/>
          <w:szCs w:val="21"/>
          <w:highlight w:val="none"/>
          <w:lang w:val="zh-CN"/>
        </w:rPr>
        <w:t>全部费用已包含在开标一览表的投标报价中。</w:t>
      </w:r>
    </w:p>
    <w:p w14:paraId="37E84FD1">
      <w:pPr>
        <w:spacing w:line="360" w:lineRule="auto"/>
        <w:ind w:firstLine="420" w:firstLineChars="200"/>
        <w:rPr>
          <w:rFonts w:ascii="宋体" w:hAnsi="宋体"/>
          <w:b/>
          <w:i/>
          <w:color w:val="auto"/>
          <w:szCs w:val="21"/>
          <w:highlight w:val="none"/>
          <w:u w:val="single"/>
        </w:rPr>
      </w:pPr>
      <w:r>
        <w:rPr>
          <w:rFonts w:hint="eastAsia" w:ascii="宋体" w:hAnsi="宋体"/>
          <w:color w:val="auto"/>
          <w:kern w:val="0"/>
          <w:szCs w:val="21"/>
          <w:highlight w:val="none"/>
        </w:rPr>
        <w:t>2.报价一经涂改，应在涂改处加盖单位公章，或者由法定代表人或授权代理人签字或盖章，否则其投标作无效标处理。</w:t>
      </w:r>
    </w:p>
    <w:p w14:paraId="4E8160C2">
      <w:pPr>
        <w:spacing w:line="360" w:lineRule="auto"/>
        <w:ind w:left="420"/>
        <w:rPr>
          <w:rFonts w:ascii="宋体" w:hAnsi="宋体"/>
          <w:color w:val="auto"/>
          <w:sz w:val="24"/>
          <w:highlight w:val="none"/>
        </w:rPr>
      </w:pPr>
    </w:p>
    <w:p w14:paraId="0FD8C8E2">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 xml:space="preserve">供应商名称（盖章）：    </w:t>
      </w:r>
    </w:p>
    <w:p w14:paraId="43C560BA">
      <w:pPr>
        <w:spacing w:line="360" w:lineRule="auto"/>
        <w:ind w:firstLine="424" w:firstLineChars="177"/>
        <w:rPr>
          <w:rFonts w:ascii="宋体" w:hAnsi="宋体" w:cs="宋体"/>
          <w:color w:val="auto"/>
          <w:sz w:val="24"/>
          <w:highlight w:val="none"/>
        </w:rPr>
      </w:pPr>
    </w:p>
    <w:p w14:paraId="0BF54ACF">
      <w:pPr>
        <w:spacing w:line="360" w:lineRule="auto"/>
        <w:ind w:firstLine="435"/>
        <w:rPr>
          <w:rFonts w:ascii="宋体" w:hAnsi="宋体"/>
          <w:color w:val="auto"/>
          <w:sz w:val="24"/>
          <w:highlight w:val="none"/>
        </w:rPr>
      </w:pPr>
      <w:r>
        <w:rPr>
          <w:rFonts w:hint="eastAsia" w:ascii="宋体" w:hAnsi="宋体" w:cs="宋体"/>
          <w:color w:val="auto"/>
          <w:sz w:val="24"/>
          <w:highlight w:val="none"/>
        </w:rPr>
        <w:t>供应商代表签字或盖章：</w:t>
      </w:r>
    </w:p>
    <w:p w14:paraId="356AD500">
      <w:pPr>
        <w:spacing w:line="360" w:lineRule="auto"/>
        <w:ind w:firstLine="435"/>
        <w:rPr>
          <w:rFonts w:ascii="宋体" w:hAnsi="宋体"/>
          <w:color w:val="auto"/>
          <w:sz w:val="24"/>
          <w:highlight w:val="none"/>
        </w:rPr>
      </w:pPr>
    </w:p>
    <w:p w14:paraId="2124CF4E">
      <w:pPr>
        <w:ind w:firstLine="480" w:firstLineChars="200"/>
        <w:rPr>
          <w:rFonts w:ascii="宋体" w:hAnsi="宋体"/>
          <w:color w:val="auto"/>
          <w:sz w:val="24"/>
          <w:highlight w:val="none"/>
        </w:rPr>
      </w:pPr>
      <w:r>
        <w:rPr>
          <w:rFonts w:hint="eastAsia" w:ascii="宋体" w:hAnsi="宋体"/>
          <w:color w:val="auto"/>
          <w:sz w:val="24"/>
          <w:highlight w:val="none"/>
        </w:rPr>
        <w:t>日        期：</w:t>
      </w:r>
    </w:p>
    <w:p w14:paraId="04F5DFD4">
      <w:pPr>
        <w:pStyle w:val="32"/>
        <w:rPr>
          <w:rFonts w:ascii="宋体" w:hAnsi="宋体"/>
          <w:color w:val="auto"/>
          <w:sz w:val="24"/>
          <w:highlight w:val="none"/>
        </w:rPr>
      </w:pPr>
    </w:p>
    <w:p w14:paraId="242B2D6E">
      <w:pPr>
        <w:rPr>
          <w:rFonts w:ascii="宋体" w:hAnsi="宋体"/>
          <w:b/>
          <w:color w:val="auto"/>
          <w:sz w:val="28"/>
          <w:highlight w:val="none"/>
        </w:rPr>
      </w:pPr>
      <w:r>
        <w:rPr>
          <w:rFonts w:hint="eastAsia" w:ascii="宋体" w:hAnsi="宋体"/>
          <w:b/>
          <w:color w:val="auto"/>
          <w:sz w:val="28"/>
          <w:highlight w:val="none"/>
        </w:rPr>
        <w:br w:type="page"/>
      </w:r>
    </w:p>
    <w:p w14:paraId="4110CDCD">
      <w:pPr>
        <w:spacing w:line="360" w:lineRule="auto"/>
        <w:rPr>
          <w:rFonts w:ascii="宋体" w:hAnsi="宋体"/>
          <w:b/>
          <w:color w:val="auto"/>
          <w:sz w:val="28"/>
          <w:highlight w:val="none"/>
        </w:rPr>
      </w:pPr>
      <w:r>
        <w:rPr>
          <w:rFonts w:hint="eastAsia" w:ascii="宋体" w:hAnsi="宋体"/>
          <w:b/>
          <w:color w:val="auto"/>
          <w:sz w:val="28"/>
          <w:highlight w:val="none"/>
        </w:rPr>
        <w:t>附件15</w:t>
      </w:r>
    </w:p>
    <w:p w14:paraId="38E27B49">
      <w:pPr>
        <w:spacing w:line="360" w:lineRule="auto"/>
        <w:jc w:val="center"/>
        <w:rPr>
          <w:rFonts w:ascii="宋体" w:hAnsi="宋体"/>
          <w:b/>
          <w:color w:val="auto"/>
          <w:sz w:val="32"/>
          <w:szCs w:val="28"/>
          <w:highlight w:val="none"/>
        </w:rPr>
      </w:pPr>
      <w:r>
        <w:rPr>
          <w:rFonts w:hint="eastAsia" w:ascii="宋体" w:hAnsi="宋体"/>
          <w:b/>
          <w:color w:val="auto"/>
          <w:sz w:val="32"/>
          <w:szCs w:val="28"/>
          <w:highlight w:val="none"/>
        </w:rPr>
        <w:t>报价明细表</w:t>
      </w:r>
    </w:p>
    <w:p w14:paraId="47019E05">
      <w:pPr>
        <w:spacing w:line="360" w:lineRule="auto"/>
        <w:jc w:val="left"/>
        <w:rPr>
          <w:rFonts w:ascii="宋体" w:hAnsi="宋体"/>
          <w:color w:val="auto"/>
          <w:sz w:val="24"/>
          <w:szCs w:val="32"/>
          <w:highlight w:val="none"/>
        </w:rPr>
      </w:pPr>
      <w:r>
        <w:rPr>
          <w:rFonts w:hint="eastAsia" w:ascii="宋体" w:hAnsi="宋体"/>
          <w:color w:val="auto"/>
          <w:sz w:val="24"/>
          <w:szCs w:val="32"/>
          <w:highlight w:val="none"/>
        </w:rPr>
        <w:t>项目名称：</w:t>
      </w:r>
    </w:p>
    <w:p w14:paraId="311C9FA2">
      <w:pPr>
        <w:spacing w:line="480" w:lineRule="auto"/>
        <w:rPr>
          <w:rFonts w:hint="eastAsia" w:ascii="宋体" w:hAnsi="宋体"/>
          <w:b/>
          <w:bCs/>
          <w:color w:val="auto"/>
          <w:sz w:val="24"/>
          <w:szCs w:val="32"/>
          <w:highlight w:val="none"/>
        </w:rPr>
      </w:pPr>
      <w:r>
        <w:rPr>
          <w:rFonts w:hint="eastAsia" w:ascii="宋体" w:hAnsi="宋体"/>
          <w:color w:val="auto"/>
          <w:sz w:val="24"/>
          <w:highlight w:val="none"/>
        </w:rPr>
        <w:t>项目编号：                                      [货币单位：人民币元]</w:t>
      </w:r>
    </w:p>
    <w:tbl>
      <w:tblPr>
        <w:tblStyle w:val="23"/>
        <w:tblW w:w="9177" w:type="dxa"/>
        <w:jc w:val="center"/>
        <w:tblLayout w:type="fixed"/>
        <w:tblCellMar>
          <w:top w:w="0" w:type="dxa"/>
          <w:left w:w="0" w:type="dxa"/>
          <w:bottom w:w="0" w:type="dxa"/>
          <w:right w:w="0" w:type="dxa"/>
        </w:tblCellMar>
      </w:tblPr>
      <w:tblGrid>
        <w:gridCol w:w="582"/>
        <w:gridCol w:w="2026"/>
        <w:gridCol w:w="957"/>
        <w:gridCol w:w="810"/>
        <w:gridCol w:w="703"/>
        <w:gridCol w:w="814"/>
        <w:gridCol w:w="3285"/>
      </w:tblGrid>
      <w:tr w14:paraId="7ABC3DF0">
        <w:tblPrEx>
          <w:tblCellMar>
            <w:top w:w="0" w:type="dxa"/>
            <w:left w:w="0" w:type="dxa"/>
            <w:bottom w:w="0" w:type="dxa"/>
            <w:right w:w="0" w:type="dxa"/>
          </w:tblCellMar>
        </w:tblPrEx>
        <w:trPr>
          <w:trHeight w:val="723"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C90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序号</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74C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项目名称</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20E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3C0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数量</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991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次数</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0A0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报价</w:t>
            </w: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7AF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备注</w:t>
            </w:r>
          </w:p>
        </w:tc>
      </w:tr>
      <w:tr w14:paraId="352934AF">
        <w:tblPrEx>
          <w:tblCellMar>
            <w:top w:w="0" w:type="dxa"/>
            <w:left w:w="0" w:type="dxa"/>
            <w:bottom w:w="0" w:type="dxa"/>
            <w:right w:w="0" w:type="dxa"/>
          </w:tblCellMar>
        </w:tblPrEx>
        <w:trPr>
          <w:trHeight w:val="1169"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2A0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一</w:t>
            </w:r>
          </w:p>
        </w:tc>
        <w:tc>
          <w:tcPr>
            <w:tcW w:w="4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01E12">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b/>
                <w:bCs/>
                <w:color w:val="auto"/>
                <w:kern w:val="0"/>
                <w:sz w:val="21"/>
                <w:szCs w:val="21"/>
                <w:highlight w:val="none"/>
                <w:lang w:eastAsia="zh-CN"/>
              </w:rPr>
              <w:t>白沙外堤、分水盐场塘标准化运行物业化管理项目</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07D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F30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一线海塘</w:t>
            </w:r>
          </w:p>
        </w:tc>
      </w:tr>
      <w:tr w14:paraId="72AA4B9F">
        <w:tblPrEx>
          <w:tblCellMar>
            <w:top w:w="0" w:type="dxa"/>
            <w:left w:w="0" w:type="dxa"/>
            <w:bottom w:w="0" w:type="dxa"/>
            <w:right w:w="0" w:type="dxa"/>
          </w:tblCellMar>
        </w:tblPrEx>
        <w:trPr>
          <w:trHeight w:val="121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1CB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05D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巡查管理人员</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112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人/年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BC5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3</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4AD10">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4F7F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AD1C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参类似工程项目情况测算（汛期全线巡查2天一次、非汛期巡查3天一次）</w:t>
            </w:r>
          </w:p>
        </w:tc>
      </w:tr>
      <w:tr w14:paraId="4F7C2D1C">
        <w:tblPrEx>
          <w:tblCellMar>
            <w:top w:w="0" w:type="dxa"/>
            <w:left w:w="0" w:type="dxa"/>
            <w:bottom w:w="0" w:type="dxa"/>
            <w:right w:w="0" w:type="dxa"/>
          </w:tblCellMar>
        </w:tblPrEx>
        <w:trPr>
          <w:trHeight w:val="666"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2A3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4CF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测绘</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EA8DA">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项</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17674">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14A3E">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05F64">
            <w:pPr>
              <w:keepNext w:val="0"/>
              <w:keepLines w:val="0"/>
              <w:pageBreakBefore w:val="0"/>
              <w:kinsoku/>
              <w:wordWrap/>
              <w:overflowPunct/>
              <w:topLinePunct w:val="0"/>
              <w:autoSpaceDE/>
              <w:autoSpaceDN/>
              <w:bidi w:val="0"/>
              <w:adjustRightInd/>
              <w:snapToGrid w:val="0"/>
              <w:jc w:val="left"/>
              <w:rPr>
                <w:rFonts w:hint="eastAsia" w:asciiTheme="minorEastAsia" w:hAnsiTheme="minorEastAsia" w:eastAsiaTheme="minorEastAsia" w:cstheme="minorEastAsia"/>
                <w:i w:val="0"/>
                <w:color w:val="auto"/>
                <w:sz w:val="21"/>
                <w:szCs w:val="21"/>
                <w:highlight w:val="none"/>
                <w:u w:val="none"/>
                <w:lang w:val="en-US" w:eastAsia="zh-CN"/>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3740D">
            <w:pPr>
              <w:keepNext w:val="0"/>
              <w:keepLines w:val="0"/>
              <w:pageBreakBefore w:val="0"/>
              <w:kinsoku/>
              <w:wordWrap/>
              <w:overflowPunct/>
              <w:topLinePunct w:val="0"/>
              <w:autoSpaceDE/>
              <w:autoSpaceDN/>
              <w:bidi w:val="0"/>
              <w:adjustRightInd/>
              <w:snapToGrid w:val="0"/>
              <w:jc w:val="left"/>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分水盐场塘</w:t>
            </w:r>
          </w:p>
        </w:tc>
      </w:tr>
      <w:tr w14:paraId="6F4186D7">
        <w:tblPrEx>
          <w:tblCellMar>
            <w:top w:w="0" w:type="dxa"/>
            <w:left w:w="0" w:type="dxa"/>
            <w:bottom w:w="0" w:type="dxa"/>
            <w:right w:w="0" w:type="dxa"/>
          </w:tblCellMar>
        </w:tblPrEx>
        <w:trPr>
          <w:trHeight w:val="918"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F62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2.1</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A07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沉降观测点三等水准路线联测</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E54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组日</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31A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23B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7B0E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BC7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分水盐场塘</w:t>
            </w:r>
            <w:r>
              <w:rPr>
                <w:rFonts w:hint="eastAsia"/>
                <w:sz w:val="21"/>
                <w:szCs w:val="21"/>
                <w:highlight w:val="none"/>
              </w:rPr>
              <w:t>2次/每年</w:t>
            </w:r>
          </w:p>
        </w:tc>
      </w:tr>
      <w:tr w14:paraId="26D712F9">
        <w:tblPrEx>
          <w:tblCellMar>
            <w:top w:w="0" w:type="dxa"/>
            <w:left w:w="0" w:type="dxa"/>
            <w:bottom w:w="0" w:type="dxa"/>
            <w:right w:w="0" w:type="dxa"/>
          </w:tblCellMar>
        </w:tblPrEx>
        <w:trPr>
          <w:trHeight w:val="691"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B1E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2.2</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518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塘坝裂缝观测</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522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组日</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AD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60A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215E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17AB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分水盐场塘</w:t>
            </w:r>
            <w:r>
              <w:rPr>
                <w:rFonts w:hint="eastAsia" w:asciiTheme="minorEastAsia" w:hAnsiTheme="minorEastAsia" w:eastAsiaTheme="minorEastAsia" w:cstheme="minorEastAsia"/>
                <w:i w:val="0"/>
                <w:color w:val="auto"/>
                <w:kern w:val="0"/>
                <w:sz w:val="21"/>
                <w:szCs w:val="21"/>
                <w:highlight w:val="none"/>
                <w:u w:val="none"/>
                <w:lang w:val="en-US" w:eastAsia="zh-CN" w:bidi="ar"/>
              </w:rPr>
              <w:t>2次/每年</w:t>
            </w:r>
          </w:p>
        </w:tc>
      </w:tr>
      <w:tr w14:paraId="1925C155">
        <w:tblPrEx>
          <w:tblCellMar>
            <w:top w:w="0" w:type="dxa"/>
            <w:left w:w="0" w:type="dxa"/>
            <w:bottom w:w="0" w:type="dxa"/>
            <w:right w:w="0" w:type="dxa"/>
          </w:tblCellMar>
        </w:tblPrEx>
        <w:trPr>
          <w:trHeight w:val="133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2D2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171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平台数据录入维护、资料整理、技术服务等</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FC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5CC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6AE76">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1C76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120F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管理平台数据维护</w:t>
            </w:r>
          </w:p>
        </w:tc>
      </w:tr>
      <w:tr w14:paraId="0739D053">
        <w:tblPrEx>
          <w:tblCellMar>
            <w:top w:w="0" w:type="dxa"/>
            <w:left w:w="0" w:type="dxa"/>
            <w:bottom w:w="0" w:type="dxa"/>
            <w:right w:w="0" w:type="dxa"/>
          </w:tblCellMar>
        </w:tblPrEx>
        <w:trPr>
          <w:trHeight w:val="1233"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F37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4E4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绿化养护及保洁</w:t>
            </w:r>
          </w:p>
        </w:tc>
        <w:tc>
          <w:tcPr>
            <w:tcW w:w="9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3B5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年</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061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C09B5">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BE1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EFA5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Theme="minorEastAsia" w:hAnsiTheme="minorEastAsia" w:eastAsiaTheme="minorEastAsia" w:cstheme="minorEastAsia"/>
                <w:i w:val="0"/>
                <w:color w:val="auto"/>
                <w:sz w:val="21"/>
                <w:szCs w:val="21"/>
                <w:highlight w:val="none"/>
                <w:u w:val="none"/>
              </w:rPr>
            </w:pPr>
            <w:r>
              <w:rPr>
                <w:rFonts w:hint="eastAsia"/>
                <w:sz w:val="21"/>
                <w:szCs w:val="21"/>
                <w:highlight w:val="none"/>
                <w:lang w:val="en-US" w:eastAsia="zh-CN"/>
              </w:rPr>
              <w:t>路桥区海塘涵闸所草坪、五丰闸外草坪养护，白沙外堤、分水盐场塘等塘顶垃圾清理</w:t>
            </w:r>
          </w:p>
        </w:tc>
      </w:tr>
      <w:tr w14:paraId="2EF16AEB">
        <w:tblPrEx>
          <w:tblCellMar>
            <w:top w:w="0" w:type="dxa"/>
            <w:left w:w="0" w:type="dxa"/>
            <w:bottom w:w="0" w:type="dxa"/>
            <w:right w:w="0" w:type="dxa"/>
          </w:tblCellMar>
        </w:tblPrEx>
        <w:trPr>
          <w:trHeight w:val="762"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319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color w:val="auto"/>
                <w:kern w:val="0"/>
                <w:sz w:val="21"/>
                <w:szCs w:val="21"/>
                <w:highlight w:val="none"/>
                <w:u w:val="none"/>
                <w:lang w:val="en-US" w:eastAsia="zh-CN" w:bidi="ar"/>
              </w:rPr>
              <w:t>二</w:t>
            </w:r>
          </w:p>
        </w:tc>
        <w:tc>
          <w:tcPr>
            <w:tcW w:w="4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5A286">
            <w:pPr>
              <w:shd w:val="clear" w:color="auto" w:fill="auto"/>
              <w:spacing w:line="400" w:lineRule="exact"/>
              <w:jc w:val="center"/>
              <w:rPr>
                <w:rFonts w:hint="eastAsia" w:ascii="宋体" w:hAnsi="宋体" w:eastAsia="宋体" w:cs="Times New Roman"/>
                <w:b/>
                <w:bCs w:val="0"/>
                <w:spacing w:val="11"/>
                <w:sz w:val="21"/>
                <w:szCs w:val="21"/>
                <w:highlight w:val="none"/>
                <w:lang w:eastAsia="zh-CN"/>
              </w:rPr>
            </w:pPr>
            <w:r>
              <w:rPr>
                <w:rFonts w:hint="eastAsia" w:ascii="宋体" w:hAnsi="宋体" w:eastAsia="宋体" w:cs="Times New Roman"/>
                <w:b/>
                <w:bCs w:val="0"/>
                <w:spacing w:val="11"/>
                <w:sz w:val="21"/>
                <w:szCs w:val="21"/>
                <w:highlight w:val="none"/>
                <w:lang w:eastAsia="zh-CN"/>
              </w:rPr>
              <w:t>路桥区九塘等五条海塘、五洞闸等五座水闸物业化管理项目</w:t>
            </w:r>
          </w:p>
          <w:p w14:paraId="1684C10D">
            <w:pPr>
              <w:keepNext w:val="0"/>
              <w:keepLines w:val="0"/>
              <w:pageBreakBefore w:val="0"/>
              <w:kinsoku/>
              <w:wordWrap/>
              <w:overflowPunct/>
              <w:topLinePunct w:val="0"/>
              <w:autoSpaceDE/>
              <w:autoSpaceDN/>
              <w:bidi w:val="0"/>
              <w:adjustRightInd/>
              <w:snapToGrid w:val="0"/>
              <w:jc w:val="center"/>
              <w:rPr>
                <w:rFonts w:hint="eastAsia" w:asciiTheme="minorEastAsia" w:hAnsiTheme="minorEastAsia" w:eastAsiaTheme="minorEastAsia" w:cstheme="minorEastAsia"/>
                <w:i w:val="0"/>
                <w:color w:val="auto"/>
                <w:sz w:val="21"/>
                <w:szCs w:val="21"/>
                <w:highlight w:val="none"/>
                <w:u w:val="none"/>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656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DD1D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p>
        </w:tc>
      </w:tr>
      <w:tr w14:paraId="175F6A25">
        <w:tblPrEx>
          <w:tblCellMar>
            <w:top w:w="0" w:type="dxa"/>
            <w:left w:w="0" w:type="dxa"/>
            <w:bottom w:w="0" w:type="dxa"/>
            <w:right w:w="0" w:type="dxa"/>
          </w:tblCellMar>
        </w:tblPrEx>
        <w:trPr>
          <w:trHeight w:val="921"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01BB8">
            <w:pPr>
              <w:shd w:val="clear" w:color="auto" w:fill="auto"/>
              <w:spacing w:line="400" w:lineRule="exact"/>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spacing w:val="11"/>
                <w:sz w:val="21"/>
                <w:szCs w:val="21"/>
                <w:highlight w:val="none"/>
              </w:rPr>
              <w:t>1</w:t>
            </w:r>
          </w:p>
        </w:tc>
        <w:tc>
          <w:tcPr>
            <w:tcW w:w="4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E0798">
            <w:pPr>
              <w:shd w:val="clear" w:color="auto" w:fill="auto"/>
              <w:spacing w:line="400" w:lineRule="exact"/>
              <w:jc w:val="center"/>
              <w:rPr>
                <w:rFonts w:hint="eastAsia" w:asciiTheme="minorEastAsia" w:hAnsiTheme="minorEastAsia" w:eastAsiaTheme="minorEastAsia" w:cstheme="minorEastAsia"/>
                <w:i w:val="0"/>
                <w:color w:val="auto"/>
                <w:sz w:val="21"/>
                <w:szCs w:val="21"/>
                <w:highlight w:val="none"/>
                <w:u w:val="none"/>
              </w:rPr>
            </w:pPr>
            <w:r>
              <w:rPr>
                <w:rFonts w:hint="eastAsia" w:ascii="宋体" w:hAnsi="宋体" w:eastAsia="宋体"/>
                <w:bCs/>
                <w:spacing w:val="11"/>
                <w:sz w:val="21"/>
                <w:szCs w:val="21"/>
                <w:highlight w:val="none"/>
                <w:lang w:eastAsia="zh-CN"/>
              </w:rPr>
              <w:t>五洞闸</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五丰闸</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三涂闸</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剑门港闸</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环场东河闸物业化管理服务费</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EC66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0A2D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r>
              <w:rPr>
                <w:rFonts w:hint="eastAsia" w:ascii="宋体" w:hAnsi="宋体"/>
                <w:spacing w:val="11"/>
                <w:sz w:val="21"/>
                <w:szCs w:val="21"/>
                <w:highlight w:val="none"/>
                <w:lang w:val="en-US" w:eastAsia="zh-CN"/>
              </w:rPr>
              <w:t>满足招标文件要求</w:t>
            </w:r>
          </w:p>
        </w:tc>
      </w:tr>
      <w:tr w14:paraId="6E2FD4EA">
        <w:tblPrEx>
          <w:tblCellMar>
            <w:top w:w="0" w:type="dxa"/>
            <w:left w:w="0" w:type="dxa"/>
            <w:bottom w:w="0" w:type="dxa"/>
            <w:right w:w="0" w:type="dxa"/>
          </w:tblCellMar>
        </w:tblPrEx>
        <w:trPr>
          <w:trHeight w:val="921"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E7BD2">
            <w:pPr>
              <w:shd w:val="clear" w:color="auto" w:fill="auto"/>
              <w:spacing w:line="400" w:lineRule="exact"/>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spacing w:val="11"/>
                <w:sz w:val="21"/>
                <w:szCs w:val="21"/>
                <w:highlight w:val="none"/>
                <w:lang w:val="en-US" w:eastAsia="zh-CN"/>
              </w:rPr>
              <w:t>2</w:t>
            </w:r>
          </w:p>
        </w:tc>
        <w:tc>
          <w:tcPr>
            <w:tcW w:w="4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C3FC5">
            <w:pPr>
              <w:shd w:val="clear" w:color="auto" w:fill="auto"/>
              <w:spacing w:line="400" w:lineRule="exact"/>
              <w:jc w:val="center"/>
              <w:rPr>
                <w:rFonts w:hint="eastAsia" w:asciiTheme="minorEastAsia" w:hAnsiTheme="minorEastAsia" w:eastAsiaTheme="minorEastAsia" w:cstheme="minorEastAsia"/>
                <w:i w:val="0"/>
                <w:color w:val="auto"/>
                <w:sz w:val="21"/>
                <w:szCs w:val="21"/>
                <w:highlight w:val="none"/>
                <w:u w:val="none"/>
              </w:rPr>
            </w:pPr>
            <w:r>
              <w:rPr>
                <w:rFonts w:hint="eastAsia" w:ascii="宋体" w:hAnsi="宋体" w:eastAsia="宋体"/>
                <w:bCs/>
                <w:spacing w:val="11"/>
                <w:sz w:val="21"/>
                <w:szCs w:val="21"/>
                <w:highlight w:val="none"/>
                <w:lang w:eastAsia="zh-CN"/>
              </w:rPr>
              <w:t>九塘</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十塘</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王屿外堤</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分水盐场塘</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白沙外堤</w:t>
            </w:r>
            <w:r>
              <w:rPr>
                <w:rFonts w:hint="eastAsia" w:ascii="宋体" w:hAnsi="宋体"/>
                <w:bCs/>
                <w:spacing w:val="11"/>
                <w:sz w:val="21"/>
                <w:szCs w:val="21"/>
                <w:highlight w:val="none"/>
                <w:lang w:eastAsia="zh-CN"/>
              </w:rPr>
              <w:t>（</w:t>
            </w:r>
            <w:r>
              <w:rPr>
                <w:rFonts w:hint="eastAsia" w:ascii="宋体" w:hAnsi="宋体"/>
                <w:bCs/>
                <w:spacing w:val="11"/>
                <w:sz w:val="21"/>
                <w:szCs w:val="21"/>
                <w:highlight w:val="none"/>
                <w:lang w:val="en-US" w:eastAsia="zh-CN"/>
              </w:rPr>
              <w:t>二线海塘</w:t>
            </w:r>
            <w:r>
              <w:rPr>
                <w:rFonts w:hint="eastAsia" w:ascii="宋体" w:hAnsi="宋体"/>
                <w:bCs/>
                <w:spacing w:val="11"/>
                <w:sz w:val="21"/>
                <w:szCs w:val="21"/>
                <w:highlight w:val="none"/>
                <w:lang w:eastAsia="zh-CN"/>
              </w:rPr>
              <w:t>）</w:t>
            </w:r>
            <w:r>
              <w:rPr>
                <w:rFonts w:hint="eastAsia" w:ascii="宋体" w:hAnsi="宋体" w:eastAsia="宋体"/>
                <w:bCs/>
                <w:spacing w:val="11"/>
                <w:sz w:val="21"/>
                <w:szCs w:val="21"/>
                <w:highlight w:val="none"/>
                <w:lang w:eastAsia="zh-CN"/>
              </w:rPr>
              <w:t>物业化管理服务费</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8AD19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357B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r>
              <w:rPr>
                <w:rFonts w:hint="eastAsia" w:ascii="宋体" w:hAnsi="宋体"/>
                <w:spacing w:val="11"/>
                <w:sz w:val="21"/>
                <w:szCs w:val="21"/>
                <w:highlight w:val="none"/>
                <w:lang w:val="en-US" w:eastAsia="zh-CN"/>
              </w:rPr>
              <w:t>满足招标文件要求</w:t>
            </w:r>
          </w:p>
        </w:tc>
      </w:tr>
      <w:tr w14:paraId="12FB8F5B">
        <w:tblPrEx>
          <w:tblCellMar>
            <w:top w:w="0" w:type="dxa"/>
            <w:left w:w="0" w:type="dxa"/>
            <w:bottom w:w="0" w:type="dxa"/>
            <w:right w:w="0" w:type="dxa"/>
          </w:tblCellMar>
        </w:tblPrEx>
        <w:trPr>
          <w:trHeight w:val="921"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CE465">
            <w:pPr>
              <w:shd w:val="clear" w:color="auto" w:fill="auto"/>
              <w:spacing w:line="400" w:lineRule="exact"/>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宋体" w:hAnsi="宋体"/>
                <w:spacing w:val="11"/>
                <w:sz w:val="21"/>
                <w:szCs w:val="21"/>
                <w:highlight w:val="none"/>
                <w:lang w:val="en-US" w:eastAsia="zh-CN"/>
              </w:rPr>
              <w:t>3</w:t>
            </w:r>
          </w:p>
        </w:tc>
        <w:tc>
          <w:tcPr>
            <w:tcW w:w="4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291ED">
            <w:pPr>
              <w:shd w:val="clear" w:color="auto" w:fill="auto"/>
              <w:spacing w:line="400" w:lineRule="exact"/>
              <w:jc w:val="center"/>
              <w:rPr>
                <w:rFonts w:hint="eastAsia" w:asciiTheme="minorEastAsia" w:hAnsiTheme="minorEastAsia" w:eastAsiaTheme="minorEastAsia" w:cstheme="minorEastAsia"/>
                <w:i w:val="0"/>
                <w:color w:val="auto"/>
                <w:sz w:val="21"/>
                <w:szCs w:val="21"/>
                <w:highlight w:val="none"/>
                <w:u w:val="none"/>
              </w:rPr>
            </w:pPr>
            <w:r>
              <w:rPr>
                <w:rFonts w:hint="eastAsia" w:ascii="宋体" w:hAnsi="宋体" w:eastAsia="宋体"/>
                <w:bCs/>
                <w:spacing w:val="11"/>
                <w:sz w:val="21"/>
                <w:szCs w:val="21"/>
                <w:highlight w:val="none"/>
                <w:lang w:eastAsia="zh-CN"/>
              </w:rPr>
              <w:t>五洞闸办公场所日常卫生保洁服务费</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74F8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p>
        </w:tc>
        <w:tc>
          <w:tcPr>
            <w:tcW w:w="32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0957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sz w:val="21"/>
                <w:szCs w:val="21"/>
                <w:highlight w:val="none"/>
                <w:lang w:val="en-US" w:eastAsia="zh-CN"/>
              </w:rPr>
            </w:pPr>
            <w:r>
              <w:rPr>
                <w:rFonts w:hint="eastAsia" w:ascii="宋体" w:hAnsi="宋体"/>
                <w:spacing w:val="11"/>
                <w:sz w:val="21"/>
                <w:szCs w:val="21"/>
                <w:highlight w:val="none"/>
                <w:lang w:val="en-US" w:eastAsia="zh-CN"/>
              </w:rPr>
              <w:t>满足招标文件要求</w:t>
            </w:r>
          </w:p>
        </w:tc>
      </w:tr>
      <w:tr w14:paraId="340C11AA">
        <w:tblPrEx>
          <w:tblCellMar>
            <w:top w:w="0" w:type="dxa"/>
            <w:left w:w="0" w:type="dxa"/>
            <w:bottom w:w="0" w:type="dxa"/>
            <w:right w:w="0" w:type="dxa"/>
          </w:tblCellMar>
        </w:tblPrEx>
        <w:trPr>
          <w:trHeight w:val="953" w:hRule="atLeast"/>
          <w:jc w:val="center"/>
        </w:trPr>
        <w:tc>
          <w:tcPr>
            <w:tcW w:w="9177"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34BEC">
            <w:pPr>
              <w:keepNext w:val="0"/>
              <w:keepLines w:val="0"/>
              <w:pageBreakBefore w:val="0"/>
              <w:widowControl/>
              <w:suppressLineNumbers w:val="0"/>
              <w:kinsoku/>
              <w:wordWrap/>
              <w:overflowPunct/>
              <w:topLinePunct w:val="0"/>
              <w:autoSpaceDE/>
              <w:autoSpaceDN/>
              <w:bidi w:val="0"/>
              <w:adjustRightInd/>
              <w:snapToGrid w:val="0"/>
              <w:ind w:firstLine="464" w:firstLineChars="200"/>
              <w:jc w:val="left"/>
              <w:textAlignment w:val="center"/>
              <w:rPr>
                <w:rFonts w:hint="eastAsia"/>
                <w:sz w:val="21"/>
                <w:szCs w:val="21"/>
                <w:highlight w:val="none"/>
                <w:lang w:val="en-US" w:eastAsia="zh-CN"/>
              </w:rPr>
            </w:pPr>
            <w:r>
              <w:rPr>
                <w:rFonts w:hint="eastAsia" w:ascii="宋体" w:hAnsi="宋体"/>
                <w:spacing w:val="11"/>
                <w:sz w:val="21"/>
                <w:szCs w:val="21"/>
                <w:highlight w:val="none"/>
              </w:rPr>
              <w:t>报价大写：  拾  万  仟  佰  拾  元</w:t>
            </w:r>
          </w:p>
        </w:tc>
      </w:tr>
    </w:tbl>
    <w:p w14:paraId="6A85631D">
      <w:pPr>
        <w:spacing w:line="360" w:lineRule="auto"/>
        <w:rPr>
          <w:rFonts w:hint="eastAsia" w:ascii="宋体" w:hAnsi="宋体"/>
          <w:b/>
          <w:bCs/>
          <w:color w:val="auto"/>
          <w:sz w:val="24"/>
          <w:szCs w:val="32"/>
          <w:highlight w:val="none"/>
        </w:rPr>
      </w:pPr>
    </w:p>
    <w:p w14:paraId="1D1142B2">
      <w:pPr>
        <w:spacing w:line="360" w:lineRule="auto"/>
        <w:rPr>
          <w:rFonts w:ascii="宋体" w:hAnsi="宋体"/>
          <w:b/>
          <w:bCs/>
          <w:color w:val="auto"/>
          <w:sz w:val="24"/>
          <w:szCs w:val="32"/>
          <w:highlight w:val="none"/>
        </w:rPr>
      </w:pPr>
      <w:r>
        <w:rPr>
          <w:rFonts w:hint="eastAsia" w:ascii="宋体" w:hAnsi="宋体"/>
          <w:b/>
          <w:bCs/>
          <w:color w:val="auto"/>
          <w:sz w:val="24"/>
          <w:szCs w:val="32"/>
          <w:highlight w:val="none"/>
        </w:rPr>
        <w:t>要求：</w:t>
      </w:r>
    </w:p>
    <w:p w14:paraId="0BE5B3D1">
      <w:pPr>
        <w:spacing w:line="360" w:lineRule="auto"/>
        <w:ind w:firstLine="480" w:firstLineChars="200"/>
        <w:rPr>
          <w:rFonts w:ascii="宋体" w:hAnsi="宋体"/>
          <w:color w:val="auto"/>
          <w:sz w:val="24"/>
          <w:szCs w:val="32"/>
          <w:highlight w:val="none"/>
          <w:lang w:val="zh-CN"/>
        </w:rPr>
      </w:pPr>
      <w:r>
        <w:rPr>
          <w:rFonts w:hint="eastAsia" w:ascii="宋体" w:hAnsi="宋体"/>
          <w:color w:val="auto"/>
          <w:sz w:val="24"/>
          <w:szCs w:val="32"/>
          <w:highlight w:val="none"/>
          <w:lang w:val="zh-CN"/>
        </w:rPr>
        <w:t>1.本表为《开标一览表》的报价明细表，以上表格要求细分项目及报价，需提供费用构成明细及各岗位人工工资情况（含五险一金），设备费、附加费（税金、运输、保险、包装、安装调试、服务、维护费）等一切费用。如有缺项、漏项，视为投标报价中已包含相关费用，采购人无需另外支付任何费用。</w:t>
      </w:r>
    </w:p>
    <w:p w14:paraId="2DE92284">
      <w:pPr>
        <w:spacing w:line="360" w:lineRule="auto"/>
        <w:ind w:firstLine="480" w:firstLineChars="200"/>
        <w:rPr>
          <w:rFonts w:ascii="宋体" w:hAnsi="宋体"/>
          <w:color w:val="auto"/>
          <w:sz w:val="24"/>
          <w:szCs w:val="32"/>
          <w:highlight w:val="none"/>
          <w:lang w:val="zh-CN"/>
        </w:rPr>
      </w:pPr>
      <w:r>
        <w:rPr>
          <w:rFonts w:hint="eastAsia" w:ascii="宋体" w:hAnsi="宋体"/>
          <w:color w:val="auto"/>
          <w:sz w:val="24"/>
          <w:szCs w:val="32"/>
          <w:highlight w:val="none"/>
          <w:lang w:val="zh-CN"/>
        </w:rPr>
        <w:t>2.“报价明细表”中的报价合计应与“开标一览表”中的投标报价相一致，不一致时，以开标一览表为准。</w:t>
      </w:r>
    </w:p>
    <w:p w14:paraId="52246853">
      <w:pPr>
        <w:spacing w:line="360" w:lineRule="auto"/>
        <w:rPr>
          <w:rFonts w:ascii="宋体" w:hAnsi="宋体"/>
          <w:color w:val="auto"/>
          <w:sz w:val="24"/>
          <w:szCs w:val="32"/>
          <w:highlight w:val="none"/>
        </w:rPr>
      </w:pPr>
    </w:p>
    <w:p w14:paraId="4FCF1458">
      <w:pPr>
        <w:spacing w:line="360" w:lineRule="auto"/>
        <w:rPr>
          <w:rFonts w:ascii="宋体" w:hAnsi="宋体"/>
          <w:color w:val="auto"/>
          <w:sz w:val="24"/>
          <w:szCs w:val="32"/>
          <w:highlight w:val="none"/>
        </w:rPr>
      </w:pPr>
    </w:p>
    <w:p w14:paraId="4BC6D2AC">
      <w:pPr>
        <w:spacing w:line="480" w:lineRule="auto"/>
        <w:rPr>
          <w:rFonts w:ascii="宋体" w:hAnsi="宋体"/>
          <w:color w:val="auto"/>
          <w:sz w:val="24"/>
          <w:highlight w:val="none"/>
        </w:rPr>
      </w:pPr>
      <w:r>
        <w:rPr>
          <w:rFonts w:hint="eastAsia" w:ascii="宋体" w:hAnsi="宋体"/>
          <w:color w:val="auto"/>
          <w:sz w:val="24"/>
          <w:highlight w:val="none"/>
        </w:rPr>
        <w:t xml:space="preserve">投标人名称（盖章）：                         </w:t>
      </w:r>
    </w:p>
    <w:p w14:paraId="10F25B12">
      <w:pPr>
        <w:spacing w:line="480" w:lineRule="auto"/>
        <w:rPr>
          <w:rFonts w:ascii="宋体" w:hAnsi="宋体"/>
          <w:color w:val="auto"/>
          <w:sz w:val="24"/>
          <w:highlight w:val="none"/>
          <w:lang w:val="zh-CN"/>
        </w:rPr>
      </w:pPr>
      <w:r>
        <w:rPr>
          <w:rFonts w:hint="eastAsia" w:ascii="宋体" w:hAnsi="宋体"/>
          <w:color w:val="auto"/>
          <w:sz w:val="24"/>
          <w:highlight w:val="none"/>
          <w:lang w:val="zh-CN"/>
        </w:rPr>
        <w:t>法定代表人或授权委托</w:t>
      </w:r>
      <w:r>
        <w:rPr>
          <w:rFonts w:hint="eastAsia" w:ascii="宋体" w:hAnsi="宋体"/>
          <w:color w:val="auto"/>
          <w:sz w:val="24"/>
          <w:highlight w:val="none"/>
        </w:rPr>
        <w:t>代理</w:t>
      </w:r>
      <w:r>
        <w:rPr>
          <w:rFonts w:hint="eastAsia" w:ascii="宋体" w:hAnsi="宋体"/>
          <w:color w:val="auto"/>
          <w:sz w:val="24"/>
          <w:highlight w:val="none"/>
          <w:lang w:val="zh-CN"/>
        </w:rPr>
        <w:t>人（签字</w:t>
      </w:r>
      <w:r>
        <w:rPr>
          <w:rFonts w:hint="eastAsia" w:ascii="宋体" w:hAnsi="宋体"/>
          <w:color w:val="auto"/>
          <w:sz w:val="24"/>
          <w:highlight w:val="none"/>
        </w:rPr>
        <w:t>或盖章</w:t>
      </w:r>
      <w:r>
        <w:rPr>
          <w:rFonts w:hint="eastAsia" w:ascii="宋体" w:hAnsi="宋体"/>
          <w:color w:val="auto"/>
          <w:sz w:val="24"/>
          <w:highlight w:val="none"/>
          <w:lang w:val="zh-CN"/>
        </w:rPr>
        <w:t>）</w:t>
      </w:r>
      <w:r>
        <w:rPr>
          <w:rFonts w:hint="eastAsia" w:ascii="宋体" w:hAnsi="宋体"/>
          <w:color w:val="auto"/>
          <w:sz w:val="24"/>
          <w:highlight w:val="none"/>
        </w:rPr>
        <w:t xml:space="preserve">：                   </w:t>
      </w:r>
    </w:p>
    <w:p w14:paraId="73F4AA92">
      <w:pPr>
        <w:widowControl w:val="0"/>
        <w:spacing w:line="420" w:lineRule="exact"/>
        <w:textAlignment w:val="auto"/>
        <w:rPr>
          <w:rFonts w:ascii="宋体" w:hAnsi="宋体"/>
          <w:color w:val="auto"/>
          <w:sz w:val="24"/>
          <w:highlight w:val="none"/>
        </w:rPr>
      </w:pPr>
      <w:r>
        <w:rPr>
          <w:rFonts w:hint="eastAsia" w:ascii="宋体" w:hAnsi="宋体"/>
          <w:color w:val="auto"/>
          <w:sz w:val="24"/>
          <w:highlight w:val="none"/>
        </w:rPr>
        <w:t xml:space="preserve">日期：                        </w:t>
      </w:r>
    </w:p>
    <w:p w14:paraId="70FCDDF3">
      <w:pPr>
        <w:spacing w:line="360" w:lineRule="auto"/>
        <w:ind w:firstLine="4410" w:firstLineChars="2100"/>
        <w:rPr>
          <w:rStyle w:val="27"/>
          <w:color w:val="auto"/>
          <w:highlight w:val="none"/>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504020202030204"/>
    <w:charset w:val="00"/>
    <w:family w:val="swiss"/>
    <w:pitch w:val="default"/>
    <w:sig w:usb0="00000000" w:usb1="00000000" w:usb2="00000000" w:usb3="00000000" w:csb0="00000093" w:csb1="00000000"/>
  </w:font>
  <w:font w:name="方正书宋简体">
    <w:altName w:val="宋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公文黑体">
    <w:altName w:val="黑体"/>
    <w:panose1 w:val="020005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8D10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70C1AD">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570C1AD">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61C4">
    <w:pPr>
      <w:spacing w:line="240" w:lineRule="atLeast"/>
      <w:rPr>
        <w:rStyle w:val="27"/>
        <w:b/>
        <w:color w:val="000000"/>
        <w:sz w:val="10"/>
        <w:u w:val="single"/>
      </w:rPr>
    </w:pPr>
  </w:p>
  <w:p w14:paraId="3B6A997D">
    <w:pPr>
      <w:pStyle w:val="13"/>
      <w:pBdr>
        <w:top w:val="none" w:color="auto" w:sz="0" w:space="0"/>
        <w:left w:val="none" w:color="auto" w:sz="0" w:space="0"/>
        <w:bottom w:val="none" w:color="auto" w:sz="0" w:space="0"/>
        <w:right w:val="none" w:color="auto" w:sz="0" w:space="0"/>
      </w:pBdr>
      <w:rPr>
        <w:rStyle w:val="2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F17F7"/>
    <w:multiLevelType w:val="singleLevel"/>
    <w:tmpl w:val="8DAF17F7"/>
    <w:lvl w:ilvl="0" w:tentative="0">
      <w:start w:val="1"/>
      <w:numFmt w:val="decimal"/>
      <w:pStyle w:val="7"/>
      <w:lvlText w:val="%1."/>
      <w:lvlJc w:val="left"/>
      <w:pPr>
        <w:tabs>
          <w:tab w:val="left" w:pos="360"/>
        </w:tabs>
        <w:ind w:left="360" w:hanging="360"/>
      </w:pPr>
    </w:lvl>
  </w:abstractNum>
  <w:abstractNum w:abstractNumId="1">
    <w:nsid w:val="AE2D8F7B"/>
    <w:multiLevelType w:val="singleLevel"/>
    <w:tmpl w:val="AE2D8F7B"/>
    <w:lvl w:ilvl="0" w:tentative="0">
      <w:start w:val="1"/>
      <w:numFmt w:val="decimal"/>
      <w:pStyle w:val="43"/>
      <w:lvlText w:val="%1."/>
      <w:lvlJc w:val="left"/>
      <w:pPr>
        <w:widowControl/>
        <w:tabs>
          <w:tab w:val="left" w:pos="360"/>
        </w:tabs>
        <w:ind w:left="360" w:hanging="360"/>
        <w:textAlignment w:val="baseline"/>
      </w:pPr>
    </w:lvl>
  </w:abstractNum>
  <w:abstractNum w:abstractNumId="2">
    <w:nsid w:val="00000003"/>
    <w:multiLevelType w:val="singleLevel"/>
    <w:tmpl w:val="00000003"/>
    <w:lvl w:ilvl="0" w:tentative="0">
      <w:start w:val="1"/>
      <w:numFmt w:val="upperLetter"/>
      <w:pStyle w:val="4"/>
      <w:lvlText w:val="%1、"/>
      <w:lvlJc w:val="left"/>
      <w:pPr>
        <w:tabs>
          <w:tab w:val="left" w:pos="1335"/>
        </w:tabs>
        <w:ind w:left="1335" w:hanging="720"/>
      </w:pPr>
      <w:rPr>
        <w:rFonts w:hint="eastAsia"/>
      </w:rPr>
    </w:lvl>
  </w:abstractNum>
  <w:abstractNum w:abstractNumId="3">
    <w:nsid w:val="0053208E"/>
    <w:multiLevelType w:val="multilevel"/>
    <w:tmpl w:val="0053208E"/>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0B852B57"/>
    <w:multiLevelType w:val="multilevel"/>
    <w:tmpl w:val="0B852B57"/>
    <w:lvl w:ilvl="0" w:tentative="0">
      <w:start w:val="1"/>
      <w:numFmt w:val="japaneseCounting"/>
      <w:lvlText w:val="%1、"/>
      <w:lvlJc w:val="left"/>
      <w:pPr>
        <w:tabs>
          <w:tab w:val="left" w:pos="630"/>
        </w:tabs>
        <w:ind w:left="630" w:hanging="42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5">
    <w:nsid w:val="1084A97D"/>
    <w:multiLevelType w:val="singleLevel"/>
    <w:tmpl w:val="1084A97D"/>
    <w:lvl w:ilvl="0" w:tentative="0">
      <w:start w:val="3"/>
      <w:numFmt w:val="chineseCounting"/>
      <w:suff w:val="nothing"/>
      <w:lvlText w:val="%1、"/>
      <w:lvlJc w:val="left"/>
      <w:rPr>
        <w:rFonts w:hint="eastAsia"/>
      </w:rPr>
    </w:lvl>
  </w:abstractNum>
  <w:abstractNum w:abstractNumId="6">
    <w:nsid w:val="557FD3DA"/>
    <w:multiLevelType w:val="singleLevel"/>
    <w:tmpl w:val="557FD3DA"/>
    <w:lvl w:ilvl="0" w:tentative="0">
      <w:start w:val="3"/>
      <w:numFmt w:val="chineseCounting"/>
      <w:suff w:val="nothing"/>
      <w:lvlText w:val="%1、"/>
      <w:lvlJc w:val="left"/>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GRhMmNkZWMyNTZlOGNmNjQxMzY5MjRlOWU2MWMifQ=="/>
  </w:docVars>
  <w:rsids>
    <w:rsidRoot w:val="00C9747E"/>
    <w:rsid w:val="000123C1"/>
    <w:rsid w:val="000B2141"/>
    <w:rsid w:val="00110D14"/>
    <w:rsid w:val="00125965"/>
    <w:rsid w:val="00196F9E"/>
    <w:rsid w:val="001F0CD8"/>
    <w:rsid w:val="00215F72"/>
    <w:rsid w:val="00226A01"/>
    <w:rsid w:val="002379AC"/>
    <w:rsid w:val="002B5DFF"/>
    <w:rsid w:val="003637E4"/>
    <w:rsid w:val="00367DA3"/>
    <w:rsid w:val="00367FB0"/>
    <w:rsid w:val="004531FF"/>
    <w:rsid w:val="00577B60"/>
    <w:rsid w:val="0059678A"/>
    <w:rsid w:val="005D11EA"/>
    <w:rsid w:val="00670E0F"/>
    <w:rsid w:val="006A2B17"/>
    <w:rsid w:val="007976B3"/>
    <w:rsid w:val="008339F0"/>
    <w:rsid w:val="00845711"/>
    <w:rsid w:val="0086572F"/>
    <w:rsid w:val="008E40F9"/>
    <w:rsid w:val="0097601A"/>
    <w:rsid w:val="009A537F"/>
    <w:rsid w:val="009C1DC3"/>
    <w:rsid w:val="00A410D1"/>
    <w:rsid w:val="00A5662B"/>
    <w:rsid w:val="00A733E4"/>
    <w:rsid w:val="00B061B7"/>
    <w:rsid w:val="00B56800"/>
    <w:rsid w:val="00B87BE4"/>
    <w:rsid w:val="00C00FB2"/>
    <w:rsid w:val="00C20A2D"/>
    <w:rsid w:val="00C232E9"/>
    <w:rsid w:val="00C600A9"/>
    <w:rsid w:val="00C9747E"/>
    <w:rsid w:val="00CD3AC3"/>
    <w:rsid w:val="00D41514"/>
    <w:rsid w:val="00E25503"/>
    <w:rsid w:val="00E93059"/>
    <w:rsid w:val="00F04D91"/>
    <w:rsid w:val="010A1671"/>
    <w:rsid w:val="015D73B7"/>
    <w:rsid w:val="01F57E04"/>
    <w:rsid w:val="02582576"/>
    <w:rsid w:val="039447DF"/>
    <w:rsid w:val="03E72B61"/>
    <w:rsid w:val="04204044"/>
    <w:rsid w:val="04313670"/>
    <w:rsid w:val="04447FB3"/>
    <w:rsid w:val="04903689"/>
    <w:rsid w:val="049727D9"/>
    <w:rsid w:val="04AC4F83"/>
    <w:rsid w:val="04EA7455"/>
    <w:rsid w:val="052B1173"/>
    <w:rsid w:val="05C26BF6"/>
    <w:rsid w:val="062F78B2"/>
    <w:rsid w:val="06382740"/>
    <w:rsid w:val="06385D50"/>
    <w:rsid w:val="066165AE"/>
    <w:rsid w:val="066761DB"/>
    <w:rsid w:val="069A3EBB"/>
    <w:rsid w:val="06BD621D"/>
    <w:rsid w:val="077F1E6B"/>
    <w:rsid w:val="07B0770E"/>
    <w:rsid w:val="07C136C9"/>
    <w:rsid w:val="07E0076D"/>
    <w:rsid w:val="07ED32D1"/>
    <w:rsid w:val="08564759"/>
    <w:rsid w:val="088A7F5F"/>
    <w:rsid w:val="08EF05D7"/>
    <w:rsid w:val="091A3AFD"/>
    <w:rsid w:val="0926412B"/>
    <w:rsid w:val="09915D32"/>
    <w:rsid w:val="09D771D4"/>
    <w:rsid w:val="0A213CF4"/>
    <w:rsid w:val="0A370A23"/>
    <w:rsid w:val="0A6A0048"/>
    <w:rsid w:val="0A6D7B38"/>
    <w:rsid w:val="0ABB6983"/>
    <w:rsid w:val="0AFA4F93"/>
    <w:rsid w:val="0B0C7351"/>
    <w:rsid w:val="0B4263B8"/>
    <w:rsid w:val="0BB04180"/>
    <w:rsid w:val="0BDF6813"/>
    <w:rsid w:val="0C264442"/>
    <w:rsid w:val="0CFC11DA"/>
    <w:rsid w:val="0D097FEC"/>
    <w:rsid w:val="0D1424ED"/>
    <w:rsid w:val="0D477E86"/>
    <w:rsid w:val="0D746DA2"/>
    <w:rsid w:val="0D7E50CB"/>
    <w:rsid w:val="0DB8556E"/>
    <w:rsid w:val="0E157728"/>
    <w:rsid w:val="0E236E8B"/>
    <w:rsid w:val="0E320B8F"/>
    <w:rsid w:val="0E5B024E"/>
    <w:rsid w:val="0EEC28BD"/>
    <w:rsid w:val="0F113188"/>
    <w:rsid w:val="0F46111F"/>
    <w:rsid w:val="0FA47B58"/>
    <w:rsid w:val="0FD22917"/>
    <w:rsid w:val="0FE92B27"/>
    <w:rsid w:val="10B263A2"/>
    <w:rsid w:val="10D039E3"/>
    <w:rsid w:val="10F44B0F"/>
    <w:rsid w:val="11050ACA"/>
    <w:rsid w:val="11687684"/>
    <w:rsid w:val="11EA6A27"/>
    <w:rsid w:val="11FC3C7B"/>
    <w:rsid w:val="11FF551A"/>
    <w:rsid w:val="126D60C9"/>
    <w:rsid w:val="129A3494"/>
    <w:rsid w:val="12B5207C"/>
    <w:rsid w:val="12D76496"/>
    <w:rsid w:val="12E34E3B"/>
    <w:rsid w:val="12FB6FE8"/>
    <w:rsid w:val="13D824C6"/>
    <w:rsid w:val="13F13588"/>
    <w:rsid w:val="142C45C0"/>
    <w:rsid w:val="14B46A8F"/>
    <w:rsid w:val="14D013EF"/>
    <w:rsid w:val="14F275B8"/>
    <w:rsid w:val="15604521"/>
    <w:rsid w:val="156D3D63"/>
    <w:rsid w:val="156E30E2"/>
    <w:rsid w:val="15B0534F"/>
    <w:rsid w:val="15C53D9E"/>
    <w:rsid w:val="15F04001"/>
    <w:rsid w:val="16902443"/>
    <w:rsid w:val="16F87F51"/>
    <w:rsid w:val="170C1C1C"/>
    <w:rsid w:val="176948E0"/>
    <w:rsid w:val="17B87692"/>
    <w:rsid w:val="17C27AED"/>
    <w:rsid w:val="17EA68B9"/>
    <w:rsid w:val="18436BDD"/>
    <w:rsid w:val="184D2AAC"/>
    <w:rsid w:val="18642F1D"/>
    <w:rsid w:val="18AC7722"/>
    <w:rsid w:val="18B70F36"/>
    <w:rsid w:val="18F3727C"/>
    <w:rsid w:val="19326C04"/>
    <w:rsid w:val="196B7938"/>
    <w:rsid w:val="19EC2827"/>
    <w:rsid w:val="1A9C424D"/>
    <w:rsid w:val="1AF2595E"/>
    <w:rsid w:val="1B1C15A1"/>
    <w:rsid w:val="1B1F6C2C"/>
    <w:rsid w:val="1B4C60EF"/>
    <w:rsid w:val="1B770286"/>
    <w:rsid w:val="1C0A3092"/>
    <w:rsid w:val="1C272935"/>
    <w:rsid w:val="1C676ADD"/>
    <w:rsid w:val="1C6F2DB6"/>
    <w:rsid w:val="1C94076D"/>
    <w:rsid w:val="1D290B5E"/>
    <w:rsid w:val="1D6848BB"/>
    <w:rsid w:val="1D6B554F"/>
    <w:rsid w:val="1DDB1959"/>
    <w:rsid w:val="1E780C0D"/>
    <w:rsid w:val="1F666BD8"/>
    <w:rsid w:val="1FA140B4"/>
    <w:rsid w:val="1FB64904"/>
    <w:rsid w:val="1FE55804"/>
    <w:rsid w:val="204213F3"/>
    <w:rsid w:val="20497423"/>
    <w:rsid w:val="209B0B03"/>
    <w:rsid w:val="20C22534"/>
    <w:rsid w:val="20CB2E30"/>
    <w:rsid w:val="20F775CB"/>
    <w:rsid w:val="2100305C"/>
    <w:rsid w:val="211469DB"/>
    <w:rsid w:val="21CD2371"/>
    <w:rsid w:val="21D94A96"/>
    <w:rsid w:val="21F26B97"/>
    <w:rsid w:val="22742716"/>
    <w:rsid w:val="24C5091D"/>
    <w:rsid w:val="24E707BB"/>
    <w:rsid w:val="252A68FA"/>
    <w:rsid w:val="25C7239A"/>
    <w:rsid w:val="262D2C9D"/>
    <w:rsid w:val="266D6A9E"/>
    <w:rsid w:val="267A2285"/>
    <w:rsid w:val="269313B5"/>
    <w:rsid w:val="27066203"/>
    <w:rsid w:val="270D5A97"/>
    <w:rsid w:val="27A115B9"/>
    <w:rsid w:val="27B01338"/>
    <w:rsid w:val="2801319F"/>
    <w:rsid w:val="28033B5E"/>
    <w:rsid w:val="287C121A"/>
    <w:rsid w:val="28F62EB6"/>
    <w:rsid w:val="29D37A57"/>
    <w:rsid w:val="2A6972A7"/>
    <w:rsid w:val="2A71692E"/>
    <w:rsid w:val="2BB67139"/>
    <w:rsid w:val="2BBA71E9"/>
    <w:rsid w:val="2BD25271"/>
    <w:rsid w:val="2C2761BD"/>
    <w:rsid w:val="2C814110"/>
    <w:rsid w:val="2D0B34A1"/>
    <w:rsid w:val="2D2F4723"/>
    <w:rsid w:val="2D3A4BC3"/>
    <w:rsid w:val="2D915768"/>
    <w:rsid w:val="2E183793"/>
    <w:rsid w:val="2E1B14D5"/>
    <w:rsid w:val="2E23732D"/>
    <w:rsid w:val="2E385BE3"/>
    <w:rsid w:val="2E4E18AB"/>
    <w:rsid w:val="2E7D5CEC"/>
    <w:rsid w:val="2EE6563F"/>
    <w:rsid w:val="302C79CA"/>
    <w:rsid w:val="303F594F"/>
    <w:rsid w:val="30470774"/>
    <w:rsid w:val="3048521D"/>
    <w:rsid w:val="30954C40"/>
    <w:rsid w:val="30CC5C4E"/>
    <w:rsid w:val="30E1593E"/>
    <w:rsid w:val="32917FB8"/>
    <w:rsid w:val="33244988"/>
    <w:rsid w:val="33460DA3"/>
    <w:rsid w:val="341669C7"/>
    <w:rsid w:val="346F4C16"/>
    <w:rsid w:val="348C374A"/>
    <w:rsid w:val="34945284"/>
    <w:rsid w:val="34CE4C2F"/>
    <w:rsid w:val="35C2205D"/>
    <w:rsid w:val="35E45D57"/>
    <w:rsid w:val="3676199F"/>
    <w:rsid w:val="36E44B5A"/>
    <w:rsid w:val="36E903C3"/>
    <w:rsid w:val="374304ED"/>
    <w:rsid w:val="37B26A07"/>
    <w:rsid w:val="3812028F"/>
    <w:rsid w:val="382F5349"/>
    <w:rsid w:val="384635F3"/>
    <w:rsid w:val="3902576C"/>
    <w:rsid w:val="3930052B"/>
    <w:rsid w:val="39585596"/>
    <w:rsid w:val="3985506D"/>
    <w:rsid w:val="3A2D6380"/>
    <w:rsid w:val="3A4F49E1"/>
    <w:rsid w:val="3A814B24"/>
    <w:rsid w:val="3AB24F6F"/>
    <w:rsid w:val="3B2C087E"/>
    <w:rsid w:val="3B3F4A55"/>
    <w:rsid w:val="3B985F13"/>
    <w:rsid w:val="3BB30F9F"/>
    <w:rsid w:val="3C1D649C"/>
    <w:rsid w:val="3C406CD7"/>
    <w:rsid w:val="3CC73AC6"/>
    <w:rsid w:val="3CCB2F63"/>
    <w:rsid w:val="3D3B749E"/>
    <w:rsid w:val="3D8A3F82"/>
    <w:rsid w:val="3E293E7F"/>
    <w:rsid w:val="3E434AFB"/>
    <w:rsid w:val="3E87466D"/>
    <w:rsid w:val="3EA01CAF"/>
    <w:rsid w:val="3EFA1314"/>
    <w:rsid w:val="3F15748E"/>
    <w:rsid w:val="3F5B1501"/>
    <w:rsid w:val="3F835544"/>
    <w:rsid w:val="3FC574F3"/>
    <w:rsid w:val="3FC90D91"/>
    <w:rsid w:val="404C3770"/>
    <w:rsid w:val="40666EED"/>
    <w:rsid w:val="406C133E"/>
    <w:rsid w:val="411424E0"/>
    <w:rsid w:val="41161922"/>
    <w:rsid w:val="41265D6F"/>
    <w:rsid w:val="414C3A28"/>
    <w:rsid w:val="416F5968"/>
    <w:rsid w:val="41720FB5"/>
    <w:rsid w:val="426B6885"/>
    <w:rsid w:val="42D812EB"/>
    <w:rsid w:val="42FE0D52"/>
    <w:rsid w:val="433E608D"/>
    <w:rsid w:val="43CF0940"/>
    <w:rsid w:val="43D54BDB"/>
    <w:rsid w:val="44066626"/>
    <w:rsid w:val="4488746D"/>
    <w:rsid w:val="44DC7787"/>
    <w:rsid w:val="45322F35"/>
    <w:rsid w:val="457B2B2E"/>
    <w:rsid w:val="458377B2"/>
    <w:rsid w:val="45AF5DB7"/>
    <w:rsid w:val="46F02871"/>
    <w:rsid w:val="46FA357B"/>
    <w:rsid w:val="472674C8"/>
    <w:rsid w:val="47705F96"/>
    <w:rsid w:val="47731766"/>
    <w:rsid w:val="47C50090"/>
    <w:rsid w:val="47F439ED"/>
    <w:rsid w:val="48335942"/>
    <w:rsid w:val="48AC47F0"/>
    <w:rsid w:val="48D37D96"/>
    <w:rsid w:val="48F86243"/>
    <w:rsid w:val="49606099"/>
    <w:rsid w:val="49DF11B1"/>
    <w:rsid w:val="49FC7FB5"/>
    <w:rsid w:val="4A192915"/>
    <w:rsid w:val="4A1B043B"/>
    <w:rsid w:val="4A626B87"/>
    <w:rsid w:val="4A693DA2"/>
    <w:rsid w:val="4AFD1D0A"/>
    <w:rsid w:val="4B6F3C07"/>
    <w:rsid w:val="4B8169C4"/>
    <w:rsid w:val="4BC1048D"/>
    <w:rsid w:val="4BFC1A5A"/>
    <w:rsid w:val="4CBB7CB4"/>
    <w:rsid w:val="4D597BD3"/>
    <w:rsid w:val="4DBF76BC"/>
    <w:rsid w:val="4DDC7B9F"/>
    <w:rsid w:val="4E222439"/>
    <w:rsid w:val="4E4F6905"/>
    <w:rsid w:val="4F400944"/>
    <w:rsid w:val="4F8F06BD"/>
    <w:rsid w:val="4FCD042A"/>
    <w:rsid w:val="4FD35314"/>
    <w:rsid w:val="50027C62"/>
    <w:rsid w:val="501E4797"/>
    <w:rsid w:val="505A7D88"/>
    <w:rsid w:val="50715259"/>
    <w:rsid w:val="50A078EC"/>
    <w:rsid w:val="50BE6DEA"/>
    <w:rsid w:val="50E83041"/>
    <w:rsid w:val="510F2BA2"/>
    <w:rsid w:val="510F4034"/>
    <w:rsid w:val="51595CED"/>
    <w:rsid w:val="51987B7C"/>
    <w:rsid w:val="51E7154B"/>
    <w:rsid w:val="51F92A94"/>
    <w:rsid w:val="528B4E3C"/>
    <w:rsid w:val="52C11D9C"/>
    <w:rsid w:val="52CA3CB4"/>
    <w:rsid w:val="52EC6E19"/>
    <w:rsid w:val="53073C53"/>
    <w:rsid w:val="533E33EC"/>
    <w:rsid w:val="535F77E1"/>
    <w:rsid w:val="53A019B1"/>
    <w:rsid w:val="542D5B5F"/>
    <w:rsid w:val="54754BEC"/>
    <w:rsid w:val="55057AE5"/>
    <w:rsid w:val="55410F72"/>
    <w:rsid w:val="55993BBD"/>
    <w:rsid w:val="56220DA3"/>
    <w:rsid w:val="56D750BE"/>
    <w:rsid w:val="56FF2E93"/>
    <w:rsid w:val="5705494D"/>
    <w:rsid w:val="5717642E"/>
    <w:rsid w:val="57B42F9D"/>
    <w:rsid w:val="57BC48FF"/>
    <w:rsid w:val="580825E3"/>
    <w:rsid w:val="58254B7B"/>
    <w:rsid w:val="58A03676"/>
    <w:rsid w:val="58A93188"/>
    <w:rsid w:val="58AE4B70"/>
    <w:rsid w:val="58C22DDC"/>
    <w:rsid w:val="58D94328"/>
    <w:rsid w:val="58E01FBF"/>
    <w:rsid w:val="591E46C0"/>
    <w:rsid w:val="595A4B89"/>
    <w:rsid w:val="59625AD5"/>
    <w:rsid w:val="597964B9"/>
    <w:rsid w:val="59A10231"/>
    <w:rsid w:val="59D2635A"/>
    <w:rsid w:val="5A044953"/>
    <w:rsid w:val="5A93401E"/>
    <w:rsid w:val="5AE00227"/>
    <w:rsid w:val="5B1C630A"/>
    <w:rsid w:val="5BC80263"/>
    <w:rsid w:val="5BCB52ED"/>
    <w:rsid w:val="5BEA7C5C"/>
    <w:rsid w:val="5BF40AEC"/>
    <w:rsid w:val="5C593045"/>
    <w:rsid w:val="5D082F0C"/>
    <w:rsid w:val="5DA54B0D"/>
    <w:rsid w:val="5DB87469"/>
    <w:rsid w:val="5E3239CA"/>
    <w:rsid w:val="5EB17168"/>
    <w:rsid w:val="5ED370DF"/>
    <w:rsid w:val="5F296CFF"/>
    <w:rsid w:val="5F7E303B"/>
    <w:rsid w:val="5FE03FD9"/>
    <w:rsid w:val="604F79B7"/>
    <w:rsid w:val="60AA396B"/>
    <w:rsid w:val="60AB27A8"/>
    <w:rsid w:val="60DB04CD"/>
    <w:rsid w:val="60EC16E2"/>
    <w:rsid w:val="61565DA5"/>
    <w:rsid w:val="616C6FE3"/>
    <w:rsid w:val="61804484"/>
    <w:rsid w:val="62151563"/>
    <w:rsid w:val="621E2D67"/>
    <w:rsid w:val="62726C0F"/>
    <w:rsid w:val="628255CF"/>
    <w:rsid w:val="62862C48"/>
    <w:rsid w:val="63BE330F"/>
    <w:rsid w:val="63E90C0D"/>
    <w:rsid w:val="642F4DB7"/>
    <w:rsid w:val="64FB6CCD"/>
    <w:rsid w:val="65486764"/>
    <w:rsid w:val="6657506C"/>
    <w:rsid w:val="66BB6DD6"/>
    <w:rsid w:val="67397CFB"/>
    <w:rsid w:val="675167BC"/>
    <w:rsid w:val="676C20E8"/>
    <w:rsid w:val="681F15E7"/>
    <w:rsid w:val="684B23DC"/>
    <w:rsid w:val="684B40A8"/>
    <w:rsid w:val="68523A33"/>
    <w:rsid w:val="688D0D6A"/>
    <w:rsid w:val="68FE1EF9"/>
    <w:rsid w:val="69311C1B"/>
    <w:rsid w:val="693B5FAC"/>
    <w:rsid w:val="696D43CC"/>
    <w:rsid w:val="69852B2B"/>
    <w:rsid w:val="69A143A5"/>
    <w:rsid w:val="69C0748D"/>
    <w:rsid w:val="69DD52B6"/>
    <w:rsid w:val="69F92278"/>
    <w:rsid w:val="6A593B9F"/>
    <w:rsid w:val="6A925023"/>
    <w:rsid w:val="6AD62813"/>
    <w:rsid w:val="6ADF01F2"/>
    <w:rsid w:val="6B113937"/>
    <w:rsid w:val="6B3E37B7"/>
    <w:rsid w:val="6B6A2B79"/>
    <w:rsid w:val="6B6F4633"/>
    <w:rsid w:val="6B981494"/>
    <w:rsid w:val="6C5630FD"/>
    <w:rsid w:val="6C5E1C3F"/>
    <w:rsid w:val="6C9B16EB"/>
    <w:rsid w:val="6CCD5461"/>
    <w:rsid w:val="6DE565BE"/>
    <w:rsid w:val="6E602011"/>
    <w:rsid w:val="6E9544FD"/>
    <w:rsid w:val="6EA65318"/>
    <w:rsid w:val="6EFA4214"/>
    <w:rsid w:val="6F165398"/>
    <w:rsid w:val="6F775864"/>
    <w:rsid w:val="6F912DCA"/>
    <w:rsid w:val="6F94661F"/>
    <w:rsid w:val="6F9D5C29"/>
    <w:rsid w:val="6FD25010"/>
    <w:rsid w:val="6FDB3510"/>
    <w:rsid w:val="702F4391"/>
    <w:rsid w:val="704F014C"/>
    <w:rsid w:val="70B11DE8"/>
    <w:rsid w:val="70BF3967"/>
    <w:rsid w:val="70E62CA2"/>
    <w:rsid w:val="71BA7C8A"/>
    <w:rsid w:val="72872262"/>
    <w:rsid w:val="73012015"/>
    <w:rsid w:val="733A353A"/>
    <w:rsid w:val="735978A2"/>
    <w:rsid w:val="73BC23E0"/>
    <w:rsid w:val="73ED1296"/>
    <w:rsid w:val="7476258E"/>
    <w:rsid w:val="749B0DE4"/>
    <w:rsid w:val="74B17A6A"/>
    <w:rsid w:val="74EA0887"/>
    <w:rsid w:val="75375249"/>
    <w:rsid w:val="75874327"/>
    <w:rsid w:val="76234612"/>
    <w:rsid w:val="76CA4E14"/>
    <w:rsid w:val="76CC2949"/>
    <w:rsid w:val="77110633"/>
    <w:rsid w:val="7755292F"/>
    <w:rsid w:val="78B96EEE"/>
    <w:rsid w:val="793D18CD"/>
    <w:rsid w:val="795A2921"/>
    <w:rsid w:val="796B69CE"/>
    <w:rsid w:val="79A15350"/>
    <w:rsid w:val="79B57120"/>
    <w:rsid w:val="79C2422B"/>
    <w:rsid w:val="7AAA62CC"/>
    <w:rsid w:val="7AAF67FA"/>
    <w:rsid w:val="7AB11B64"/>
    <w:rsid w:val="7ACA197F"/>
    <w:rsid w:val="7AFB1D3C"/>
    <w:rsid w:val="7BBA50A5"/>
    <w:rsid w:val="7BBD0AA3"/>
    <w:rsid w:val="7BC40083"/>
    <w:rsid w:val="7C036DFE"/>
    <w:rsid w:val="7C103804"/>
    <w:rsid w:val="7C87365F"/>
    <w:rsid w:val="7CBE3630"/>
    <w:rsid w:val="7CE12324"/>
    <w:rsid w:val="7D7E36C1"/>
    <w:rsid w:val="7D97312D"/>
    <w:rsid w:val="7E0A1D70"/>
    <w:rsid w:val="7E5C27F5"/>
    <w:rsid w:val="7EA85A3A"/>
    <w:rsid w:val="7F2C0419"/>
    <w:rsid w:val="7F3E1E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ocked="1"/>
    <w:lsdException w:unhideWhenUsed="0" w:uiPriority="0" w:semiHidden="0" w:name="FollowedHyperlink"/>
    <w:lsdException w:qFormat="1" w:unhideWhenUsed="0" w:uiPriority="0" w:semiHidden="0" w:name="Strong" w:locked="1"/>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2"/>
    <w:basedOn w:val="1"/>
    <w:next w:val="1"/>
    <w:qFormat/>
    <w:uiPriority w:val="0"/>
    <w:pPr>
      <w:keepNext/>
      <w:widowControl w:val="0"/>
      <w:numPr>
        <w:ilvl w:val="0"/>
        <w:numId w:val="1"/>
      </w:numPr>
      <w:spacing w:line="216" w:lineRule="auto"/>
      <w:outlineLvl w:val="1"/>
    </w:pPr>
    <w:rPr>
      <w:rFonts w:ascii="宋体"/>
      <w:sz w:val="28"/>
    </w:rPr>
  </w:style>
  <w:style w:type="paragraph" w:styleId="5">
    <w:name w:val="heading 3"/>
    <w:basedOn w:val="1"/>
    <w:next w:val="1"/>
    <w:qFormat/>
    <w:uiPriority w:val="0"/>
    <w:pPr>
      <w:keepNext/>
      <w:widowControl w:val="0"/>
      <w:tabs>
        <w:tab w:val="left" w:pos="1260"/>
      </w:tabs>
      <w:spacing w:line="216" w:lineRule="auto"/>
      <w:outlineLvl w:val="2"/>
    </w:pPr>
    <w:rPr>
      <w:rFonts w:ascii="宋体"/>
      <w:b/>
      <w:bCs/>
      <w:sz w:val="28"/>
    </w:rPr>
  </w:style>
  <w:style w:type="paragraph" w:styleId="6">
    <w:name w:val="heading 4"/>
    <w:basedOn w:val="1"/>
    <w:next w:val="1"/>
    <w:qFormat/>
    <w:uiPriority w:val="0"/>
    <w:pPr>
      <w:keepNext/>
      <w:keepLines/>
      <w:numPr>
        <w:ilvl w:val="3"/>
        <w:numId w:val="2"/>
      </w:numPr>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line="360" w:lineRule="exact"/>
    </w:pPr>
    <w:rPr>
      <w:sz w:val="24"/>
    </w:rPr>
  </w:style>
  <w:style w:type="paragraph" w:styleId="3">
    <w:name w:val="Date"/>
    <w:basedOn w:val="1"/>
    <w:next w:val="1"/>
    <w:link w:val="55"/>
    <w:qFormat/>
    <w:uiPriority w:val="0"/>
    <w:pPr>
      <w:ind w:left="2500" w:leftChars="2500"/>
    </w:pPr>
    <w:rPr>
      <w:rFonts w:ascii="Calibri" w:hAnsi="Calibri" w:eastAsia="楷体_GB2312"/>
      <w:sz w:val="32"/>
      <w:szCs w:val="22"/>
    </w:rPr>
  </w:style>
  <w:style w:type="paragraph" w:styleId="7">
    <w:name w:val="List Number"/>
    <w:basedOn w:val="1"/>
    <w:qFormat/>
    <w:uiPriority w:val="0"/>
    <w:pPr>
      <w:numPr>
        <w:ilvl w:val="0"/>
        <w:numId w:val="3"/>
      </w:numPr>
    </w:p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widowControl w:val="0"/>
    </w:pPr>
  </w:style>
  <w:style w:type="paragraph" w:styleId="10">
    <w:name w:val="Body Text Indent"/>
    <w:basedOn w:val="1"/>
    <w:next w:val="1"/>
    <w:qFormat/>
    <w:uiPriority w:val="0"/>
    <w:pPr>
      <w:spacing w:after="120"/>
      <w:ind w:left="420" w:leftChars="200"/>
    </w:pPr>
  </w:style>
  <w:style w:type="paragraph" w:styleId="11">
    <w:name w:val="Plain Text"/>
    <w:basedOn w:val="1"/>
    <w:next w:val="3"/>
    <w:qFormat/>
    <w:uiPriority w:val="0"/>
    <w:rPr>
      <w:rFonts w:ascii="宋体" w:hAnsi="Courier New"/>
    </w:rPr>
  </w:style>
  <w:style w:type="paragraph" w:styleId="12">
    <w:name w:val="footer"/>
    <w:basedOn w:val="1"/>
    <w:link w:val="58"/>
    <w:qFormat/>
    <w:uiPriority w:val="0"/>
    <w:pPr>
      <w:tabs>
        <w:tab w:val="center" w:pos="4153"/>
        <w:tab w:val="right" w:pos="8306"/>
      </w:tabs>
      <w:snapToGrid w:val="0"/>
      <w:jc w:val="left"/>
    </w:pPr>
    <w:rPr>
      <w:sz w:val="18"/>
    </w:rPr>
  </w:style>
  <w:style w:type="paragraph" w:styleId="13">
    <w:name w:val="header"/>
    <w:basedOn w:val="1"/>
    <w:link w:val="59"/>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14">
    <w:name w:val="Subtitle"/>
    <w:basedOn w:val="1"/>
    <w:next w:val="1"/>
    <w:qFormat/>
    <w:uiPriority w:val="11"/>
    <w:pPr>
      <w:spacing w:after="60"/>
      <w:jc w:val="center"/>
      <w:outlineLvl w:val="1"/>
    </w:pPr>
    <w:rPr>
      <w:rFonts w:ascii="Cambria" w:hAnsi="Cambria"/>
    </w:rPr>
  </w:style>
  <w:style w:type="paragraph" w:styleId="15">
    <w:name w:val="List"/>
    <w:basedOn w:val="1"/>
    <w:qFormat/>
    <w:uiPriority w:val="0"/>
    <w:pPr>
      <w:ind w:left="200" w:hanging="200" w:hangingChars="200"/>
    </w:pPr>
  </w:style>
  <w:style w:type="paragraph" w:styleId="16">
    <w:name w:val="footnote text"/>
    <w:basedOn w:val="1"/>
    <w:semiHidden/>
    <w:qFormat/>
    <w:uiPriority w:val="99"/>
    <w:pPr>
      <w:snapToGrid w:val="0"/>
      <w:jc w:val="left"/>
    </w:pPr>
    <w:rPr>
      <w:sz w:val="18"/>
      <w:szCs w:val="18"/>
    </w:rPr>
  </w:style>
  <w:style w:type="paragraph" w:styleId="17">
    <w:name w:val="toc 6"/>
    <w:basedOn w:val="1"/>
    <w:next w:val="1"/>
    <w:semiHidden/>
    <w:qFormat/>
    <w:uiPriority w:val="99"/>
    <w:pPr>
      <w:ind w:left="1000"/>
      <w:jc w:val="left"/>
    </w:pPr>
    <w:rPr>
      <w:kern w:val="0"/>
      <w:sz w:val="18"/>
      <w:szCs w:val="18"/>
    </w:rPr>
  </w:style>
  <w:style w:type="paragraph" w:styleId="18">
    <w:name w:val="Body Text Indent 3"/>
    <w:basedOn w:val="1"/>
    <w:qFormat/>
    <w:uiPriority w:val="99"/>
    <w:pPr>
      <w:ind w:left="570"/>
    </w:pPr>
    <w:rPr>
      <w:sz w:val="24"/>
      <w:szCs w:val="24"/>
    </w:rPr>
  </w:style>
  <w:style w:type="paragraph" w:styleId="19">
    <w:name w:val="toc 2"/>
    <w:basedOn w:val="1"/>
    <w:next w:val="1"/>
    <w:qFormat/>
    <w:uiPriority w:val="0"/>
    <w:pPr>
      <w:tabs>
        <w:tab w:val="right" w:leader="dot" w:pos="8494"/>
      </w:tabs>
      <w:ind w:left="200"/>
    </w:pPr>
    <w:rPr>
      <w:smallCaps/>
      <w:sz w:val="24"/>
    </w:r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Title"/>
    <w:basedOn w:val="1"/>
    <w:next w:val="1"/>
    <w:qFormat/>
    <w:uiPriority w:val="0"/>
    <w:pPr>
      <w:autoSpaceDE w:val="0"/>
      <w:autoSpaceDN w:val="0"/>
      <w:adjustRightInd w:val="0"/>
      <w:spacing w:before="240" w:after="60"/>
      <w:jc w:val="center"/>
      <w:outlineLvl w:val="0"/>
    </w:pPr>
    <w:rPr>
      <w:rFonts w:ascii="Cambria" w:hAnsi="Cambria"/>
      <w:b/>
      <w:color w:val="000000"/>
      <w:kern w:val="0"/>
      <w:sz w:val="32"/>
      <w:szCs w:val="32"/>
    </w:rPr>
  </w:style>
  <w:style w:type="paragraph" w:styleId="22">
    <w:name w:val="Body Text First Indent"/>
    <w:basedOn w:val="2"/>
    <w:next w:val="1"/>
    <w:qFormat/>
    <w:uiPriority w:val="99"/>
    <w:pPr>
      <w:ind w:firstLine="42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7"/>
    <w:qFormat/>
    <w:locked/>
    <w:uiPriority w:val="0"/>
    <w:rPr>
      <w:b/>
    </w:rPr>
  </w:style>
  <w:style w:type="character" w:customStyle="1" w:styleId="27">
    <w:name w:val="NormalCharacter"/>
    <w:semiHidden/>
    <w:qFormat/>
    <w:uiPriority w:val="0"/>
  </w:style>
  <w:style w:type="character" w:styleId="28">
    <w:name w:val="Hyperlink"/>
    <w:basedOn w:val="27"/>
    <w:qFormat/>
    <w:locked/>
    <w:uiPriority w:val="0"/>
    <w:rPr>
      <w:color w:val="0000FF"/>
      <w:u w:val="single"/>
    </w:rPr>
  </w:style>
  <w:style w:type="character" w:styleId="29">
    <w:name w:val="footnote reference"/>
    <w:basedOn w:val="25"/>
    <w:semiHidden/>
    <w:qFormat/>
    <w:uiPriority w:val="99"/>
    <w:rPr>
      <w:vertAlign w:val="superscript"/>
    </w:rPr>
  </w:style>
  <w:style w:type="paragraph" w:customStyle="1" w:styleId="30">
    <w:name w:val="[Normal]"/>
    <w:qFormat/>
    <w:uiPriority w:val="0"/>
    <w:rPr>
      <w:rFonts w:ascii="宋体" w:hAnsi="Times New Roman" w:eastAsia="宋体" w:cs="Times New Roman"/>
      <w:sz w:val="24"/>
      <w:szCs w:val="22"/>
      <w:lang w:val="zh-CN" w:eastAsia="zh-CN" w:bidi="ar-SA"/>
    </w:rPr>
  </w:style>
  <w:style w:type="paragraph" w:customStyle="1" w:styleId="31">
    <w:name w:val="标准正文"/>
    <w:basedOn w:val="1"/>
    <w:qFormat/>
    <w:uiPriority w:val="0"/>
    <w:pPr>
      <w:spacing w:line="360" w:lineRule="auto"/>
      <w:ind w:firstLine="200" w:firstLineChars="200"/>
    </w:pPr>
    <w:rPr>
      <w:sz w:val="24"/>
      <w:szCs w:val="20"/>
    </w:rPr>
  </w:style>
  <w:style w:type="paragraph" w:customStyle="1" w:styleId="32">
    <w:name w:val="无间隔1"/>
    <w:qFormat/>
    <w:uiPriority w:val="99"/>
    <w:pPr>
      <w:adjustRightInd w:val="0"/>
      <w:snapToGrid w:val="0"/>
    </w:pPr>
    <w:rPr>
      <w:rFonts w:ascii="Tahoma" w:hAnsi="Tahoma" w:eastAsia="微软雅黑" w:cstheme="minorBidi"/>
      <w:sz w:val="22"/>
      <w:szCs w:val="22"/>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NormalIndent"/>
    <w:basedOn w:val="1"/>
    <w:next w:val="35"/>
    <w:qFormat/>
    <w:uiPriority w:val="0"/>
    <w:pPr>
      <w:ind w:firstLine="420"/>
    </w:pPr>
    <w:rPr>
      <w:szCs w:val="20"/>
    </w:rPr>
  </w:style>
  <w:style w:type="paragraph" w:customStyle="1" w:styleId="35">
    <w:name w:val="TOC2"/>
    <w:basedOn w:val="1"/>
    <w:next w:val="1"/>
    <w:qFormat/>
    <w:uiPriority w:val="0"/>
    <w:pPr>
      <w:ind w:left="420" w:leftChars="200"/>
    </w:pPr>
  </w:style>
  <w:style w:type="paragraph" w:customStyle="1" w:styleId="36">
    <w:name w:val="Heading1"/>
    <w:basedOn w:val="1"/>
    <w:next w:val="1"/>
    <w:link w:val="40"/>
    <w:qFormat/>
    <w:uiPriority w:val="0"/>
    <w:pPr>
      <w:keepNext/>
      <w:keepLines/>
      <w:spacing w:before="340" w:after="330" w:line="578" w:lineRule="auto"/>
    </w:pPr>
    <w:rPr>
      <w:rFonts w:cs="Times New Roman"/>
      <w:b/>
      <w:bCs/>
      <w:kern w:val="44"/>
      <w:sz w:val="44"/>
      <w:szCs w:val="44"/>
    </w:rPr>
  </w:style>
  <w:style w:type="paragraph" w:customStyle="1" w:styleId="37">
    <w:name w:val="Heading2"/>
    <w:basedOn w:val="1"/>
    <w:next w:val="1"/>
    <w:link w:val="41"/>
    <w:qFormat/>
    <w:uiPriority w:val="0"/>
    <w:pPr>
      <w:keepNext/>
      <w:keepLines/>
      <w:spacing w:before="260" w:after="260" w:line="416" w:lineRule="auto"/>
    </w:pPr>
    <w:rPr>
      <w:rFonts w:ascii="Calibri Light" w:hAnsi="Calibri Light" w:cs="Times New Roman"/>
      <w:b/>
      <w:bCs/>
      <w:sz w:val="32"/>
      <w:szCs w:val="32"/>
    </w:rPr>
  </w:style>
  <w:style w:type="paragraph" w:customStyle="1" w:styleId="38">
    <w:name w:val="Heading3"/>
    <w:basedOn w:val="1"/>
    <w:next w:val="1"/>
    <w:link w:val="42"/>
    <w:qFormat/>
    <w:uiPriority w:val="0"/>
    <w:pPr>
      <w:keepNext/>
      <w:keepLines/>
      <w:spacing w:before="260" w:after="260" w:line="416" w:lineRule="auto"/>
    </w:pPr>
    <w:rPr>
      <w:rFonts w:cs="Times New Roman"/>
      <w:b/>
      <w:bCs/>
      <w:sz w:val="32"/>
      <w:szCs w:val="32"/>
    </w:rPr>
  </w:style>
  <w:style w:type="table" w:customStyle="1" w:styleId="39">
    <w:name w:val="TableNormal"/>
    <w:qFormat/>
    <w:uiPriority w:val="0"/>
    <w:tblPr>
      <w:tblCellMar>
        <w:top w:w="0" w:type="dxa"/>
        <w:left w:w="0" w:type="dxa"/>
        <w:bottom w:w="0" w:type="dxa"/>
        <w:right w:w="0" w:type="dxa"/>
      </w:tblCellMar>
    </w:tblPr>
  </w:style>
  <w:style w:type="character" w:customStyle="1" w:styleId="40">
    <w:name w:val="UserStyle_0"/>
    <w:basedOn w:val="27"/>
    <w:link w:val="36"/>
    <w:qFormat/>
    <w:locked/>
    <w:uiPriority w:val="0"/>
    <w:rPr>
      <w:rFonts w:ascii="Times New Roman" w:hAnsi="Times New Roman" w:cs="Times New Roman"/>
      <w:b/>
      <w:bCs/>
      <w:kern w:val="44"/>
      <w:sz w:val="44"/>
      <w:szCs w:val="44"/>
    </w:rPr>
  </w:style>
  <w:style w:type="character" w:customStyle="1" w:styleId="41">
    <w:name w:val="UserStyle_1"/>
    <w:basedOn w:val="27"/>
    <w:link w:val="37"/>
    <w:semiHidden/>
    <w:qFormat/>
    <w:locked/>
    <w:uiPriority w:val="0"/>
    <w:rPr>
      <w:rFonts w:ascii="Cambria" w:hAnsi="Cambria" w:eastAsia="宋体" w:cs="Times New Roman"/>
      <w:b/>
      <w:bCs/>
      <w:sz w:val="32"/>
      <w:szCs w:val="32"/>
    </w:rPr>
  </w:style>
  <w:style w:type="character" w:customStyle="1" w:styleId="42">
    <w:name w:val="UserStyle_2"/>
    <w:basedOn w:val="27"/>
    <w:link w:val="38"/>
    <w:semiHidden/>
    <w:qFormat/>
    <w:locked/>
    <w:uiPriority w:val="0"/>
    <w:rPr>
      <w:rFonts w:cs="Times New Roman"/>
      <w:b/>
      <w:bCs/>
      <w:sz w:val="32"/>
      <w:szCs w:val="32"/>
    </w:rPr>
  </w:style>
  <w:style w:type="paragraph" w:customStyle="1" w:styleId="43">
    <w:name w:val="ListNumber"/>
    <w:basedOn w:val="1"/>
    <w:qFormat/>
    <w:uiPriority w:val="0"/>
    <w:pPr>
      <w:numPr>
        <w:ilvl w:val="0"/>
        <w:numId w:val="4"/>
      </w:numPr>
    </w:pPr>
  </w:style>
  <w:style w:type="paragraph" w:customStyle="1" w:styleId="44">
    <w:name w:val="AnnotationText"/>
    <w:basedOn w:val="1"/>
    <w:link w:val="45"/>
    <w:qFormat/>
    <w:uiPriority w:val="0"/>
    <w:pPr>
      <w:jc w:val="left"/>
    </w:pPr>
  </w:style>
  <w:style w:type="character" w:customStyle="1" w:styleId="45">
    <w:name w:val="UserStyle_3"/>
    <w:basedOn w:val="27"/>
    <w:link w:val="44"/>
    <w:qFormat/>
    <w:locked/>
    <w:uiPriority w:val="0"/>
    <w:rPr>
      <w:rFonts w:ascii="Times New Roman" w:hAnsi="Times New Roman" w:eastAsia="宋体"/>
      <w:kern w:val="2"/>
      <w:sz w:val="24"/>
      <w:szCs w:val="24"/>
    </w:rPr>
  </w:style>
  <w:style w:type="paragraph" w:customStyle="1" w:styleId="46">
    <w:name w:val="BodyText"/>
    <w:basedOn w:val="1"/>
    <w:next w:val="47"/>
    <w:link w:val="49"/>
    <w:qFormat/>
    <w:uiPriority w:val="0"/>
    <w:pPr>
      <w:spacing w:line="360" w:lineRule="exact"/>
    </w:pPr>
    <w:rPr>
      <w:sz w:val="24"/>
    </w:rPr>
  </w:style>
  <w:style w:type="paragraph" w:customStyle="1" w:styleId="47">
    <w:name w:val="BodyText1I"/>
    <w:basedOn w:val="46"/>
    <w:next w:val="48"/>
    <w:qFormat/>
    <w:locked/>
    <w:uiPriority w:val="0"/>
    <w:pPr>
      <w:ind w:firstLine="420"/>
    </w:pPr>
    <w:rPr>
      <w:sz w:val="21"/>
    </w:rPr>
  </w:style>
  <w:style w:type="paragraph" w:customStyle="1" w:styleId="48">
    <w:name w:val="TOC6"/>
    <w:basedOn w:val="1"/>
    <w:next w:val="1"/>
    <w:semiHidden/>
    <w:qFormat/>
    <w:locked/>
    <w:uiPriority w:val="0"/>
    <w:pPr>
      <w:ind w:left="1000"/>
      <w:jc w:val="left"/>
    </w:pPr>
    <w:rPr>
      <w:kern w:val="0"/>
      <w:sz w:val="18"/>
      <w:szCs w:val="18"/>
    </w:rPr>
  </w:style>
  <w:style w:type="character" w:customStyle="1" w:styleId="49">
    <w:name w:val="UserStyle_4"/>
    <w:basedOn w:val="27"/>
    <w:link w:val="46"/>
    <w:semiHidden/>
    <w:qFormat/>
    <w:locked/>
    <w:uiPriority w:val="0"/>
    <w:rPr>
      <w:sz w:val="24"/>
      <w:szCs w:val="24"/>
    </w:rPr>
  </w:style>
  <w:style w:type="paragraph" w:customStyle="1" w:styleId="50">
    <w:name w:val="BodyTextIndent"/>
    <w:basedOn w:val="1"/>
    <w:next w:val="1"/>
    <w:link w:val="51"/>
    <w:qFormat/>
    <w:uiPriority w:val="0"/>
    <w:pPr>
      <w:spacing w:after="120"/>
      <w:ind w:left="420" w:leftChars="200"/>
    </w:pPr>
  </w:style>
  <w:style w:type="character" w:customStyle="1" w:styleId="51">
    <w:name w:val="UserStyle_5"/>
    <w:basedOn w:val="27"/>
    <w:link w:val="50"/>
    <w:qFormat/>
    <w:locked/>
    <w:uiPriority w:val="0"/>
    <w:rPr>
      <w:kern w:val="2"/>
      <w:sz w:val="24"/>
      <w:szCs w:val="24"/>
    </w:rPr>
  </w:style>
  <w:style w:type="paragraph" w:customStyle="1" w:styleId="52">
    <w:name w:val="BlockQuote"/>
    <w:basedOn w:val="1"/>
    <w:qFormat/>
    <w:locked/>
    <w:uiPriority w:val="0"/>
    <w:pPr>
      <w:spacing w:line="300" w:lineRule="auto"/>
      <w:ind w:left="958" w:right="-120" w:rightChars="-120"/>
      <w:jc w:val="left"/>
    </w:pPr>
    <w:rPr>
      <w:rFonts w:ascii="宋体" w:hAnsi="宋体"/>
      <w:sz w:val="28"/>
    </w:rPr>
  </w:style>
  <w:style w:type="paragraph" w:customStyle="1" w:styleId="53">
    <w:name w:val="PlainText"/>
    <w:basedOn w:val="1"/>
    <w:next w:val="3"/>
    <w:link w:val="54"/>
    <w:qFormat/>
    <w:uiPriority w:val="0"/>
    <w:rPr>
      <w:rFonts w:ascii="宋体" w:hAnsi="Courier New"/>
    </w:rPr>
  </w:style>
  <w:style w:type="character" w:customStyle="1" w:styleId="54">
    <w:name w:val="UserStyle_6"/>
    <w:basedOn w:val="27"/>
    <w:link w:val="53"/>
    <w:semiHidden/>
    <w:qFormat/>
    <w:locked/>
    <w:uiPriority w:val="0"/>
    <w:rPr>
      <w:rFonts w:ascii="宋体" w:hAnsi="Courier New"/>
      <w:sz w:val="21"/>
      <w:szCs w:val="21"/>
    </w:rPr>
  </w:style>
  <w:style w:type="character" w:customStyle="1" w:styleId="55">
    <w:name w:val="日期 Char"/>
    <w:basedOn w:val="27"/>
    <w:link w:val="3"/>
    <w:semiHidden/>
    <w:qFormat/>
    <w:locked/>
    <w:uiPriority w:val="0"/>
    <w:rPr>
      <w:sz w:val="24"/>
      <w:szCs w:val="24"/>
    </w:rPr>
  </w:style>
  <w:style w:type="paragraph" w:customStyle="1" w:styleId="56">
    <w:name w:val="Acetate"/>
    <w:basedOn w:val="1"/>
    <w:link w:val="57"/>
    <w:qFormat/>
    <w:uiPriority w:val="0"/>
    <w:rPr>
      <w:sz w:val="18"/>
      <w:szCs w:val="18"/>
    </w:rPr>
  </w:style>
  <w:style w:type="character" w:customStyle="1" w:styleId="57">
    <w:name w:val="UserStyle_8"/>
    <w:basedOn w:val="27"/>
    <w:link w:val="56"/>
    <w:qFormat/>
    <w:locked/>
    <w:uiPriority w:val="0"/>
    <w:rPr>
      <w:rFonts w:ascii="Times New Roman" w:hAnsi="Times New Roman" w:eastAsia="宋体"/>
      <w:kern w:val="2"/>
      <w:sz w:val="18"/>
      <w:szCs w:val="18"/>
    </w:rPr>
  </w:style>
  <w:style w:type="character" w:customStyle="1" w:styleId="58">
    <w:name w:val="页脚 Char"/>
    <w:basedOn w:val="27"/>
    <w:link w:val="12"/>
    <w:semiHidden/>
    <w:qFormat/>
    <w:locked/>
    <w:uiPriority w:val="0"/>
    <w:rPr>
      <w:sz w:val="18"/>
      <w:szCs w:val="18"/>
    </w:rPr>
  </w:style>
  <w:style w:type="character" w:customStyle="1" w:styleId="59">
    <w:name w:val="页眉 Char"/>
    <w:basedOn w:val="27"/>
    <w:link w:val="13"/>
    <w:semiHidden/>
    <w:qFormat/>
    <w:locked/>
    <w:uiPriority w:val="0"/>
    <w:rPr>
      <w:sz w:val="18"/>
      <w:szCs w:val="18"/>
    </w:rPr>
  </w:style>
  <w:style w:type="paragraph" w:customStyle="1" w:styleId="60">
    <w:name w:val="FootnoteText"/>
    <w:basedOn w:val="1"/>
    <w:semiHidden/>
    <w:qFormat/>
    <w:locked/>
    <w:uiPriority w:val="0"/>
    <w:pPr>
      <w:snapToGrid w:val="0"/>
      <w:jc w:val="left"/>
    </w:pPr>
    <w:rPr>
      <w:sz w:val="18"/>
      <w:szCs w:val="18"/>
    </w:rPr>
  </w:style>
  <w:style w:type="paragraph" w:customStyle="1" w:styleId="61">
    <w:name w:val="HtmlNormal"/>
    <w:basedOn w:val="1"/>
    <w:next w:val="35"/>
    <w:qFormat/>
    <w:uiPriority w:val="0"/>
    <w:pPr>
      <w:spacing w:before="100" w:beforeAutospacing="1" w:after="100" w:afterAutospacing="1"/>
      <w:jc w:val="left"/>
    </w:pPr>
    <w:rPr>
      <w:rFonts w:ascii="宋体" w:hAnsi="宋体"/>
      <w:kern w:val="0"/>
      <w:sz w:val="24"/>
    </w:rPr>
  </w:style>
  <w:style w:type="paragraph" w:customStyle="1" w:styleId="62">
    <w:name w:val="AnnotationSubject"/>
    <w:basedOn w:val="44"/>
    <w:next w:val="44"/>
    <w:link w:val="63"/>
    <w:qFormat/>
    <w:uiPriority w:val="0"/>
    <w:rPr>
      <w:rFonts w:cs="Times New Roman"/>
      <w:b/>
      <w:bCs/>
    </w:rPr>
  </w:style>
  <w:style w:type="character" w:customStyle="1" w:styleId="63">
    <w:name w:val="UserStyle_11"/>
    <w:basedOn w:val="45"/>
    <w:link w:val="62"/>
    <w:qFormat/>
    <w:locked/>
    <w:uiPriority w:val="0"/>
    <w:rPr>
      <w:rFonts w:ascii="Times New Roman" w:hAnsi="Times New Roman" w:eastAsia="宋体" w:cs="Times New Roman"/>
      <w:b/>
      <w:bCs/>
      <w:kern w:val="2"/>
      <w:sz w:val="24"/>
      <w:szCs w:val="24"/>
    </w:rPr>
  </w:style>
  <w:style w:type="paragraph" w:customStyle="1" w:styleId="64">
    <w:name w:val="BodyText1I2"/>
    <w:basedOn w:val="50"/>
    <w:qFormat/>
    <w:locked/>
    <w:uiPriority w:val="0"/>
    <w:pPr>
      <w:ind w:firstLine="420"/>
      <w:textAlignment w:val="auto"/>
    </w:pPr>
  </w:style>
  <w:style w:type="table" w:customStyle="1" w:styleId="65">
    <w:name w:val="TableGrid"/>
    <w:basedOn w:val="39"/>
    <w:qFormat/>
    <w:locked/>
    <w:uiPriority w:val="0"/>
    <w:tblPr>
      <w:tblCellMar>
        <w:top w:w="0" w:type="dxa"/>
        <w:left w:w="0" w:type="dxa"/>
        <w:bottom w:w="0" w:type="dxa"/>
        <w:right w:w="0" w:type="dxa"/>
      </w:tblCellMar>
    </w:tblPr>
  </w:style>
  <w:style w:type="character" w:customStyle="1" w:styleId="66">
    <w:name w:val="AnnotationReference"/>
    <w:basedOn w:val="27"/>
    <w:qFormat/>
    <w:uiPriority w:val="0"/>
    <w:rPr>
      <w:sz w:val="21"/>
      <w:szCs w:val="21"/>
    </w:rPr>
  </w:style>
  <w:style w:type="character" w:customStyle="1" w:styleId="67">
    <w:name w:val="FootnoteReference"/>
    <w:basedOn w:val="27"/>
    <w:semiHidden/>
    <w:qFormat/>
    <w:locked/>
    <w:uiPriority w:val="0"/>
    <w:rPr>
      <w:vertAlign w:val="superscript"/>
    </w:rPr>
  </w:style>
  <w:style w:type="character" w:customStyle="1" w:styleId="68">
    <w:name w:val="UserStyle_12"/>
    <w:qFormat/>
    <w:uiPriority w:val="0"/>
    <w:rPr>
      <w:rFonts w:ascii="宋体" w:hAnsi="宋体" w:eastAsia="宋体"/>
      <w:color w:val="000000"/>
      <w:sz w:val="24"/>
      <w:szCs w:val="24"/>
    </w:rPr>
  </w:style>
  <w:style w:type="character" w:customStyle="1" w:styleId="69">
    <w:name w:val="UserStyle_13"/>
    <w:qFormat/>
    <w:uiPriority w:val="0"/>
    <w:rPr>
      <w:rFonts w:ascii="宋体" w:hAnsi="宋体" w:eastAsia="宋体"/>
      <w:color w:val="000000"/>
      <w:sz w:val="24"/>
      <w:szCs w:val="24"/>
    </w:rPr>
  </w:style>
  <w:style w:type="character" w:customStyle="1" w:styleId="70">
    <w:name w:val="UserStyle_14"/>
    <w:qFormat/>
    <w:uiPriority w:val="0"/>
    <w:rPr>
      <w:rFonts w:ascii="Times New Roman" w:hAnsi="Times New Roman"/>
      <w:color w:val="000000"/>
      <w:sz w:val="24"/>
      <w:szCs w:val="24"/>
    </w:rPr>
  </w:style>
  <w:style w:type="paragraph" w:customStyle="1" w:styleId="71">
    <w:name w:val="UserStyle_1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2">
    <w:name w:val="UserStyle_1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3">
    <w:name w:val="UserStyle_17"/>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4">
    <w:name w:val="UserStyle_18"/>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5">
    <w:name w:val="UserStyle_1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6">
    <w:name w:val="UserStyle_20"/>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7">
    <w:name w:val="UserStyle_21"/>
    <w:qFormat/>
    <w:uiPriority w:val="0"/>
    <w:pPr>
      <w:snapToGrid w:val="0"/>
      <w:textAlignment w:val="baseline"/>
    </w:pPr>
    <w:rPr>
      <w:rFonts w:ascii="Tahoma" w:hAnsi="Tahoma" w:eastAsia="微软雅黑" w:cstheme="minorBidi"/>
      <w:sz w:val="22"/>
      <w:szCs w:val="22"/>
      <w:lang w:val="en-US" w:eastAsia="zh-CN" w:bidi="ar-SA"/>
    </w:rPr>
  </w:style>
  <w:style w:type="paragraph" w:customStyle="1" w:styleId="78">
    <w:name w:val="UserStyle_22"/>
    <w:basedOn w:val="1"/>
    <w:qFormat/>
    <w:uiPriority w:val="0"/>
    <w:pPr>
      <w:ind w:firstLine="420" w:firstLineChars="200"/>
    </w:pPr>
    <w:rPr>
      <w:rFonts w:ascii="Calibri" w:hAnsi="Calibri"/>
      <w:szCs w:val="22"/>
    </w:rPr>
  </w:style>
  <w:style w:type="paragraph" w:customStyle="1" w:styleId="79">
    <w:name w:val="UserStyle_23"/>
    <w:basedOn w:val="1"/>
    <w:qFormat/>
    <w:uiPriority w:val="0"/>
    <w:pPr>
      <w:spacing w:before="100" w:beforeAutospacing="1" w:after="100" w:afterAutospacing="1"/>
      <w:jc w:val="left"/>
    </w:pPr>
    <w:rPr>
      <w:rFonts w:ascii="宋体" w:hAnsi="宋体"/>
      <w:kern w:val="0"/>
      <w:sz w:val="24"/>
    </w:rPr>
  </w:style>
  <w:style w:type="paragraph" w:customStyle="1" w:styleId="80">
    <w:name w:val="UserStyle_24"/>
    <w:basedOn w:val="73"/>
    <w:qFormat/>
    <w:uiPriority w:val="0"/>
    <w:pPr>
      <w:jc w:val="left"/>
    </w:pPr>
    <w:rPr>
      <w:rFonts w:ascii="宋体" w:hAnsi="Courier New"/>
      <w:szCs w:val="21"/>
    </w:rPr>
  </w:style>
  <w:style w:type="paragraph" w:customStyle="1" w:styleId="81">
    <w:name w:val="UserStyle_25"/>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82">
    <w:name w:val="UserStyle_26"/>
    <w:basedOn w:val="1"/>
    <w:qFormat/>
    <w:uiPriority w:val="0"/>
    <w:pPr>
      <w:ind w:firstLine="420" w:firstLineChars="200"/>
    </w:pPr>
    <w:rPr>
      <w:rFonts w:ascii="Calibri" w:hAnsi="Calibri"/>
      <w:kern w:val="0"/>
      <w:szCs w:val="20"/>
    </w:rPr>
  </w:style>
  <w:style w:type="paragraph" w:customStyle="1" w:styleId="83">
    <w:name w:val="UserStyle_27"/>
    <w:qFormat/>
    <w:uiPriority w:val="0"/>
    <w:pPr>
      <w:tabs>
        <w:tab w:val="right" w:pos="9020"/>
      </w:tabs>
      <w:textAlignment w:val="baseline"/>
    </w:pPr>
    <w:rPr>
      <w:rFonts w:ascii="Helvetica" w:hAnsi="Helvetica" w:eastAsia="宋体" w:cstheme="minorBidi"/>
      <w:color w:val="000000"/>
      <w:sz w:val="24"/>
      <w:szCs w:val="24"/>
      <w:lang w:val="en-US" w:eastAsia="zh-CN" w:bidi="ar-SA"/>
    </w:rPr>
  </w:style>
  <w:style w:type="paragraph" w:customStyle="1" w:styleId="84">
    <w:name w:val="UserStyle_28"/>
    <w:basedOn w:val="1"/>
    <w:next w:val="46"/>
    <w:qFormat/>
    <w:uiPriority w:val="0"/>
    <w:pPr>
      <w:spacing w:line="420" w:lineRule="atLeast"/>
      <w:jc w:val="left"/>
    </w:pPr>
    <w:rPr>
      <w:kern w:val="0"/>
    </w:rPr>
  </w:style>
  <w:style w:type="paragraph" w:customStyle="1" w:styleId="85">
    <w:name w:val="UserStyle_29"/>
    <w:basedOn w:val="1"/>
    <w:qFormat/>
    <w:uiPriority w:val="0"/>
    <w:pPr>
      <w:spacing w:before="30"/>
      <w:ind w:left="100" w:right="100"/>
    </w:pPr>
    <w:rPr>
      <w:rFonts w:ascii="方正书宋简体" w:hAnsi="宋体" w:eastAsia="方正书宋简体"/>
      <w:color w:val="000000"/>
      <w:kern w:val="0"/>
      <w:szCs w:val="21"/>
    </w:rPr>
  </w:style>
  <w:style w:type="paragraph" w:customStyle="1" w:styleId="86">
    <w:name w:val="UserStyle_30"/>
    <w:qFormat/>
    <w:uiPriority w:val="0"/>
    <w:pPr>
      <w:textAlignment w:val="baseline"/>
    </w:pPr>
    <w:rPr>
      <w:rFonts w:ascii="宋体" w:hAnsi="Calibri" w:eastAsia="宋体" w:cstheme="minorBidi"/>
      <w:color w:val="000000"/>
      <w:sz w:val="24"/>
      <w:szCs w:val="24"/>
      <w:lang w:val="en-US" w:eastAsia="zh-CN" w:bidi="ar-SA"/>
    </w:rPr>
  </w:style>
  <w:style w:type="paragraph" w:customStyle="1" w:styleId="87">
    <w:name w:val="UserStyle_31"/>
    <w:basedOn w:val="1"/>
    <w:qFormat/>
    <w:uiPriority w:val="0"/>
    <w:pPr>
      <w:spacing w:line="360" w:lineRule="auto"/>
      <w:ind w:firstLine="420" w:firstLineChars="200"/>
    </w:pPr>
    <w:rPr>
      <w:szCs w:val="21"/>
    </w:rPr>
  </w:style>
  <w:style w:type="paragraph" w:customStyle="1" w:styleId="88">
    <w:name w:val="UserStyle_32"/>
    <w:qFormat/>
    <w:uiPriority w:val="0"/>
    <w:pPr>
      <w:jc w:val="both"/>
      <w:textAlignment w:val="baseline"/>
    </w:pPr>
    <w:rPr>
      <w:rFonts w:ascii="Calibri" w:hAnsi="Calibri" w:eastAsia="宋体" w:cstheme="minorBidi"/>
      <w:color w:val="000000"/>
      <w:kern w:val="2"/>
      <w:sz w:val="21"/>
      <w:szCs w:val="21"/>
      <w:lang w:val="en-US" w:eastAsia="zh-CN" w:bidi="ar-SA"/>
    </w:rPr>
  </w:style>
  <w:style w:type="paragraph" w:customStyle="1" w:styleId="89">
    <w:name w:val="UserStyle_33"/>
    <w:qFormat/>
    <w:uiPriority w:val="0"/>
    <w:pPr>
      <w:snapToGrid w:val="0"/>
      <w:textAlignment w:val="baseline"/>
    </w:pPr>
    <w:rPr>
      <w:rFonts w:ascii="Tahoma" w:hAnsi="Tahoma" w:eastAsia="微软雅黑" w:cstheme="minorBidi"/>
      <w:sz w:val="22"/>
      <w:szCs w:val="22"/>
      <w:lang w:val="en-US" w:eastAsia="zh-CN" w:bidi="ar-SA"/>
    </w:rPr>
  </w:style>
  <w:style w:type="paragraph" w:customStyle="1" w:styleId="90">
    <w:name w:val="UserStyle_34"/>
    <w:basedOn w:val="1"/>
    <w:qFormat/>
    <w:uiPriority w:val="0"/>
    <w:pPr>
      <w:spacing w:before="156" w:line="360" w:lineRule="auto"/>
      <w:ind w:firstLine="510" w:firstLineChars="200"/>
    </w:pPr>
    <w:rPr>
      <w:sz w:val="24"/>
      <w:szCs w:val="20"/>
    </w:rPr>
  </w:style>
  <w:style w:type="paragraph" w:customStyle="1" w:styleId="91">
    <w:name w:val="UserStyle_3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92">
    <w:name w:val="UserStyle_36"/>
    <w:qFormat/>
    <w:uiPriority w:val="0"/>
    <w:pPr>
      <w:textAlignment w:val="baseline"/>
    </w:pPr>
    <w:rPr>
      <w:rFonts w:ascii="Times New Roman" w:hAnsi="Times New Roman" w:eastAsia="宋体" w:cstheme="minorBidi"/>
      <w:sz w:val="21"/>
      <w:szCs w:val="22"/>
      <w:lang w:val="en-US" w:eastAsia="zh-CN" w:bidi="ar-SA"/>
    </w:rPr>
  </w:style>
  <w:style w:type="paragraph" w:customStyle="1" w:styleId="93">
    <w:name w:val="UserStyle_37"/>
    <w:basedOn w:val="1"/>
    <w:qFormat/>
    <w:uiPriority w:val="0"/>
    <w:pPr>
      <w:jc w:val="left"/>
    </w:pPr>
    <w:rPr>
      <w:rFonts w:ascii="宋体" w:hAnsi="Courier New"/>
      <w:szCs w:val="21"/>
    </w:rPr>
  </w:style>
  <w:style w:type="paragraph" w:customStyle="1" w:styleId="94">
    <w:name w:val="UserStyle_38"/>
    <w:basedOn w:val="1"/>
    <w:qFormat/>
    <w:uiPriority w:val="0"/>
    <w:pPr>
      <w:spacing w:before="100" w:after="100"/>
      <w:ind w:left="360" w:right="360"/>
    </w:pPr>
    <w:rPr>
      <w:sz w:val="24"/>
    </w:rPr>
  </w:style>
  <w:style w:type="paragraph" w:customStyle="1" w:styleId="95">
    <w:name w:val="UserStyle_39"/>
    <w:basedOn w:val="1"/>
    <w:qFormat/>
    <w:uiPriority w:val="0"/>
    <w:pPr>
      <w:spacing w:before="120" w:after="120" w:line="300" w:lineRule="auto"/>
    </w:pPr>
    <w:rPr>
      <w:rFonts w:ascii="宋体" w:hAnsi="宋体"/>
      <w:b/>
      <w:sz w:val="24"/>
      <w:szCs w:val="20"/>
    </w:rPr>
  </w:style>
  <w:style w:type="paragraph" w:customStyle="1" w:styleId="96">
    <w:name w:val="reader-word-layer"/>
    <w:basedOn w:val="1"/>
    <w:qFormat/>
    <w:uiPriority w:val="0"/>
    <w:pPr>
      <w:spacing w:before="100" w:beforeAutospacing="1" w:after="100" w:afterAutospacing="1"/>
      <w:jc w:val="left"/>
    </w:pPr>
    <w:rPr>
      <w:rFonts w:ascii="宋体" w:hAnsi="宋体" w:cs="宋体"/>
      <w:kern w:val="0"/>
      <w:sz w:val="24"/>
    </w:rPr>
  </w:style>
  <w:style w:type="paragraph" w:customStyle="1" w:styleId="9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14"/>
    <w:qFormat/>
    <w:uiPriority w:val="0"/>
    <w:rPr>
      <w:rFonts w:ascii="Times New Roman" w:hAnsi="Times New Roman" w:eastAsia="宋体" w:cs="Times New Roman"/>
      <w:sz w:val="21"/>
      <w:szCs w:val="22"/>
      <w:lang w:val="en-US" w:eastAsia="zh-CN" w:bidi="ar-SA"/>
    </w:rPr>
  </w:style>
  <w:style w:type="paragraph" w:customStyle="1" w:styleId="99">
    <w:name w:val="纯文本_0_1"/>
    <w:basedOn w:val="1"/>
    <w:qFormat/>
    <w:uiPriority w:val="0"/>
    <w:pPr>
      <w:jc w:val="left"/>
    </w:pPr>
    <w:rPr>
      <w:rFonts w:ascii="宋体" w:hAnsi="Courier New" w:eastAsiaTheme="minorEastAsia"/>
      <w:szCs w:val="21"/>
    </w:rPr>
  </w:style>
  <w:style w:type="paragraph" w:customStyle="1" w:styleId="100">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Normal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zw"/>
    <w:basedOn w:val="1"/>
    <w:qFormat/>
    <w:uiPriority w:val="0"/>
    <w:pPr>
      <w:spacing w:before="30"/>
      <w:ind w:left="100" w:right="100"/>
    </w:pPr>
    <w:rPr>
      <w:rFonts w:ascii="方正书宋简体" w:hAnsi="宋体" w:eastAsia="方正书宋简体"/>
      <w:color w:val="000000"/>
      <w:szCs w:val="21"/>
    </w:rPr>
  </w:style>
  <w:style w:type="paragraph" w:customStyle="1" w:styleId="105">
    <w:name w:val="_Style 3"/>
    <w:basedOn w:val="1"/>
    <w:next w:val="1"/>
    <w:qFormat/>
    <w:uiPriority w:val="0"/>
    <w:pPr>
      <w:pBdr>
        <w:top w:val="single" w:color="auto" w:sz="6" w:space="1"/>
      </w:pBdr>
      <w:jc w:val="center"/>
    </w:pPr>
    <w:rPr>
      <w:rFonts w:ascii="Arial"/>
      <w:vanish/>
      <w:sz w:val="16"/>
    </w:rPr>
  </w:style>
  <w:style w:type="paragraph" w:customStyle="1" w:styleId="106">
    <w:name w:val="正文首行缩进1"/>
    <w:basedOn w:val="2"/>
    <w:qFormat/>
    <w:uiPriority w:val="0"/>
    <w:pPr>
      <w:ind w:firstLine="420" w:firstLineChars="100"/>
    </w:pPr>
  </w:style>
  <w:style w:type="paragraph" w:styleId="107">
    <w:name w:val="List Paragraph"/>
    <w:basedOn w:val="1"/>
    <w:qFormat/>
    <w:uiPriority w:val="0"/>
    <w:pPr>
      <w:ind w:firstLine="420" w:firstLineChars="200"/>
    </w:pPr>
    <w:rPr>
      <w:rFonts w:ascii="Calibri" w:hAnsi="Calibri" w:cs="Times New Roman"/>
    </w:rPr>
  </w:style>
  <w:style w:type="paragraph" w:customStyle="1" w:styleId="108">
    <w:name w:val="Table Paragraph"/>
    <w:basedOn w:val="1"/>
    <w:qFormat/>
    <w:uiPriority w:val="1"/>
    <w:rPr>
      <w:rFonts w:ascii="宋体" w:hAnsi="宋体" w:cs="宋体"/>
      <w:lang w:val="zh-CN" w:bidi="zh-CN"/>
    </w:rPr>
  </w:style>
  <w:style w:type="paragraph" w:customStyle="1" w:styleId="10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10">
    <w:name w:val="纯文本1"/>
    <w:basedOn w:val="111"/>
    <w:qFormat/>
    <w:uiPriority w:val="0"/>
    <w:pPr>
      <w:widowControl/>
      <w:jc w:val="left"/>
    </w:pPr>
    <w:rPr>
      <w:rFonts w:ascii="宋体" w:hAnsi="Courier New"/>
    </w:rPr>
  </w:style>
  <w:style w:type="paragraph" w:customStyle="1" w:styleId="11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2">
    <w:name w:val="纯文本11"/>
    <w:basedOn w:val="1"/>
    <w:qFormat/>
    <w:uiPriority w:val="99"/>
    <w:rPr>
      <w:rFonts w:ascii="宋体" w:hAnsi="Courier New"/>
      <w:kern w:val="0"/>
      <w:sz w:val="20"/>
      <w:szCs w:val="20"/>
    </w:rPr>
  </w:style>
  <w:style w:type="paragraph" w:customStyle="1" w:styleId="113">
    <w:name w:val="p0"/>
    <w:basedOn w:val="1"/>
    <w:qFormat/>
    <w:uiPriority w:val="99"/>
    <w:rPr>
      <w:kern w:val="0"/>
    </w:rPr>
  </w:style>
  <w:style w:type="character" w:customStyle="1" w:styleId="114">
    <w:name w:val="font21"/>
    <w:basedOn w:val="25"/>
    <w:qFormat/>
    <w:uiPriority w:val="0"/>
    <w:rPr>
      <w:rFonts w:hint="eastAsia" w:ascii="宋体" w:hAnsi="宋体" w:eastAsia="宋体" w:cs="宋体"/>
      <w:color w:val="000000"/>
      <w:sz w:val="20"/>
      <w:szCs w:val="20"/>
      <w:u w:val="none"/>
    </w:rPr>
  </w:style>
  <w:style w:type="paragraph" w:customStyle="1" w:styleId="115">
    <w:name w:val="Other|1"/>
    <w:basedOn w:val="1"/>
    <w:qFormat/>
    <w:uiPriority w:val="0"/>
    <w:pPr>
      <w:widowControl w:val="0"/>
      <w:shd w:val="clear" w:color="auto" w:fill="auto"/>
      <w:spacing w:line="302" w:lineRule="exact"/>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807641-B980-4B12-B33E-5D359E0A7B20}">
  <ds:schemaRefs/>
</ds:datastoreItem>
</file>

<file path=docProps/app.xml><?xml version="1.0" encoding="utf-8"?>
<Properties xmlns="http://schemas.openxmlformats.org/officeDocument/2006/extended-properties" xmlns:vt="http://schemas.openxmlformats.org/officeDocument/2006/docPropsVTypes">
  <Template>Normal</Template>
  <Pages>65</Pages>
  <Words>19011</Words>
  <Characters>20325</Characters>
  <Lines>190</Lines>
  <Paragraphs>53</Paragraphs>
  <TotalTime>2</TotalTime>
  <ScaleCrop>false</ScaleCrop>
  <LinksUpToDate>false</LinksUpToDate>
  <CharactersWithSpaces>20498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2025-08-06T01:03:00Z</dcterms:created>
  <dc:creator>jwl</dc:creator>
  <cp:lastModifiedBy>强壮的胖子Z</cp:lastModifiedBy>
  <cp:lastPrinted>2025-07-18T01:36:00Z</cp:lastPrinted>
  <dcterms:modified xsi:type="dcterms:W3CDTF">2025-12-12T11:00:14Z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88432C45CB7B4A99809F7B902690ECDE</vt:lpwstr>
  </property>
  <property fmtid="{D5CDD505-2E9C-101B-9397-08002B2CF9AE}" pid="4" name="KSOTemplateDocerSaveRecord">
    <vt:lpwstr>eyJoZGlkIjoiMjkyYmFiMzk3OTcyMTQ0MTlhMWRmY2RjMTFlMmJjNDAiLCJ1c2VySWQiOiIyMzI2MjY4MzMifQ==</vt:lpwstr>
  </property>
</Properties>
</file>