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46"/>
        <w:gridCol w:w="1551"/>
        <w:gridCol w:w="10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审查类别</w:t>
            </w:r>
          </w:p>
        </w:tc>
        <w:tc>
          <w:tcPr>
            <w:tcW w:w="263"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序号</w:t>
            </w:r>
          </w:p>
        </w:tc>
        <w:tc>
          <w:tcPr>
            <w:tcW w:w="547"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审查项目</w:t>
            </w:r>
          </w:p>
        </w:tc>
        <w:tc>
          <w:tcPr>
            <w:tcW w:w="3801"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88" w:type="pct"/>
            <w:vMerge w:val="restar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资格审查</w:t>
            </w: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★投标人</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报价人须是中华人民共和国境内具有独立承担民事责任能力的法人，或具备国家认可经营资格的其他组织。</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1）报价人应为中华人民共和国境内注册的独立法人单位，具有合法有效的企业法人营业执照、税务登记证及组织机构代码证或证照合一的营业执照；</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2）报价人为分公司的，应具有合法有效的营业执照、税务登记证及组织机构代码证或证照合一的营业执照和母公司合法授权书。总公司与分支机构只可一家参与报价，同时参与报价视为报价无效；</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3）报价人为事业单位的，报价人应经全国各级事业单位登记管理机关核准登记或者备案，具有合法有效的事业单位法人证书。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 投标人须是中华人民共和国境内具有独立承担民事责任能力的法人，或具备国家认可经营资格的其他组织。 （1）投标人为企业的，应具有合法有效的企业法人营业执照、税务登记证及组织机构代码证或证照合一的营业执照； （2）投标人为分公司的，应具有合法有效的营业执照、税务登记证及组织机构代码证或证照合一的营业执照和总公司合法授权书。总公司与分支机构只可一家参与投标，同时参与投标视为投标无效； （3）投标人为事业单位的，投标人应经全国各级事业单位登记管理机关核准登记或者备案，具有合法有效的事业单位法人证书。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3</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★信誉要求</w:t>
            </w:r>
          </w:p>
        </w:tc>
        <w:tc>
          <w:tcPr>
            <w:tcW w:w="3801" w:type="pct"/>
            <w:vAlign w:val="center"/>
          </w:tcPr>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 xml:space="preserve">（1）投标人不得被各级法院中列入失信被执行人名单； </w:t>
            </w:r>
          </w:p>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2）投标人自2021年1月1日（提示：由投标截止日上推3年）起至投标截止时间止，投标人或其法定代表人、拟委任的项目负责人无行贿犯罪行为的。为便于招标人复核，投标人应自行到中国裁判文书网；（http://wenshu.court.gov.cn）查询本单位及其法定代表人、拟委任的项目负责人的行贿犯罪信息，确认没有行贿犯罪的页面截图打印出来，写明“经查我单位及法定代表人、项目负责人在截至本次投标时无行贿犯罪记录”加盖其公司公章提供给招标人；</w:t>
            </w:r>
          </w:p>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（3）投标人承诺：中国海油在职员工（不含正式派出的）未有在投标人单位担任股东、法人代表、董事、监事和其他任职人员的情形。 注：（上述带网站网址的信誉要求条款，投标人请自行查询，将查询结果加盖公章后放入投标文件）。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4</w:t>
            </w:r>
          </w:p>
        </w:tc>
        <w:tc>
          <w:tcPr>
            <w:tcW w:w="547" w:type="pct"/>
            <w:vAlign w:val="center"/>
          </w:tcPr>
          <w:p>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spacing w:val="0"/>
                <w:kern w:val="2"/>
                <w:sz w:val="16"/>
                <w:szCs w:val="16"/>
                <w:highlight w:val="none"/>
              </w:rPr>
            </w:pPr>
            <w:r>
              <w:rPr>
                <w:rFonts w:hint="eastAsia" w:asciiTheme="minorEastAsia" w:hAnsiTheme="minorEastAsia" w:eastAsiaTheme="minorEastAsia" w:cstheme="minorEastAsia"/>
                <w:i w:val="0"/>
                <w:iCs w:val="0"/>
                <w:color w:val="000000"/>
                <w:sz w:val="16"/>
                <w:szCs w:val="16"/>
                <w:lang w:eastAsia="zh-CN"/>
              </w:rPr>
              <w:t>★供应商性质</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投标人应为本次投标所投产品的制造商。本次招标不接受代理商投标。投标人以自己制造的货物参与投标的，不能再将此货物同时授权给其他投标人参与投标，否则相关的所有投标将被拒绝。</w:t>
            </w:r>
          </w:p>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（1）针对本次采购项目，仅接受投标人为投标货物的制造商，不接受代理商、贸易商参与投标，不接受代加工贴牌制造。</w:t>
            </w:r>
          </w:p>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i w:val="0"/>
                <w:iCs w:val="0"/>
                <w:spacing w:val="0"/>
                <w:kern w:val="2"/>
                <w:sz w:val="16"/>
                <w:szCs w:val="16"/>
                <w:highlight w:val="none"/>
                <w:lang w:val="en-US"/>
              </w:rPr>
            </w:pPr>
            <w:r>
              <w:rPr>
                <w:rFonts w:hint="eastAsia" w:asciiTheme="minorEastAsia" w:hAnsiTheme="minorEastAsia" w:eastAsiaTheme="minorEastAsia" w:cstheme="minorEastAsia"/>
                <w:b w:val="0"/>
                <w:bCs w:val="0"/>
                <w:i w:val="0"/>
                <w:iCs w:val="0"/>
                <w:sz w:val="16"/>
                <w:szCs w:val="16"/>
                <w:lang w:val="en-US" w:eastAsia="zh-CN"/>
              </w:rPr>
              <w:t>（2）提供必要材料证明具备生产能力。1）若自有厂房提供厂房产权证或土地使用证，若租赁厂房提供租赁合同；2）投标人自有的用于生产的生产设备，提供生产设备照片和购买合同，或者生产设备照片和购买发票。以上两项资料都需提供，否则会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5</w:t>
            </w:r>
          </w:p>
        </w:tc>
        <w:tc>
          <w:tcPr>
            <w:tcW w:w="547" w:type="pct"/>
            <w:vAlign w:val="center"/>
          </w:tcPr>
          <w:p>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财务要求</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投标人须提供经会计师事务所或审计机构审计的2022-2024年度财务会计报表，包括资产负债表、现金流量表、利润表。投标人的成立时间少于规定年份的，应提供成立以来的财务会计报表。投标人为分公司的，应提供上级法人单位的经会计师事务所或审计机构审计的上述年度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6</w:t>
            </w:r>
          </w:p>
        </w:tc>
        <w:tc>
          <w:tcPr>
            <w:tcW w:w="547" w:type="pct"/>
            <w:vAlign w:val="center"/>
          </w:tcPr>
          <w:p>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w:t>
            </w:r>
            <w:r>
              <w:rPr>
                <w:rFonts w:hint="eastAsia" w:asciiTheme="minorEastAsia" w:hAnsiTheme="minorEastAsia" w:cstheme="minorEastAsia"/>
                <w:i w:val="0"/>
                <w:iCs w:val="0"/>
                <w:color w:val="000000"/>
                <w:sz w:val="16"/>
                <w:szCs w:val="16"/>
                <w:lang w:val="en-US" w:eastAsia="zh-CN"/>
              </w:rPr>
              <w:t>业绩要求</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（1）投标人在2022年1月1日-投标截止时间之前（以合同签署时间为准）至少具有并提供1个已完成的精细控压钻井设备及软件系统</w:t>
            </w:r>
            <w:bookmarkStart w:id="0" w:name="_GoBack"/>
            <w:bookmarkEnd w:id="0"/>
            <w:r>
              <w:rPr>
                <w:rFonts w:hint="eastAsia" w:asciiTheme="minorEastAsia" w:hAnsiTheme="minorEastAsia" w:eastAsiaTheme="minorEastAsia" w:cstheme="minorEastAsia"/>
                <w:b w:val="0"/>
                <w:bCs w:val="0"/>
                <w:i w:val="0"/>
                <w:iCs w:val="0"/>
                <w:sz w:val="16"/>
                <w:szCs w:val="16"/>
                <w:lang w:val="en-US" w:eastAsia="zh-CN"/>
              </w:rPr>
              <w:t>的供货业绩，并提供相应业绩证明文件。（提示：请按照招标文件要求的业绩数量逐项公开所有的业绩证明材料，未公开业绩或公开业绩数量不足的将导致废标）。 （2）投标人提供的业绩证明文件至少包括：1）合同文件 和2）服务验收材料或发票。（提示：以上2项资料，缺少任何1项都视为无效业绩，将导致废标）。 A、业绩合同应至少涵盖：合同首页、合同签署页（具有签字或盖章）、合同签署时间、合同服务内容等内容；B、服务验收材料应有甲方签字或盖章，以及确认时间。（提示：提供的业绩证明材料必须完全涵盖以上内容，否则视为无效业绩，将导致废标）。 （ 3）若业绩合同为年度协议，除提供年度协议外，还应至少提供1项已完成服务的订单委托页、及订单相应的服务验收材料或发票。同一个年协合同提供1项及以上订单的均算为1个有效业绩。（提示：提供的业绩证明材料必须完全涵盖以上内容，否则视为无效业绩，将导致废标） （ 4）未提供业绩证明文件或提供的业绩证明文件无法认定上述业绩要求的，视为无效业绩。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7</w:t>
            </w:r>
          </w:p>
        </w:tc>
        <w:tc>
          <w:tcPr>
            <w:tcW w:w="547" w:type="pct"/>
            <w:vAlign w:val="center"/>
          </w:tcPr>
          <w:p>
            <w:pPr>
              <w:keepNext w:val="0"/>
              <w:keepLines w:val="0"/>
              <w:widowControl/>
              <w:suppressLineNumbers w:val="0"/>
              <w:spacing w:before="0" w:beforeAutospacing="0" w:after="0" w:afterAutospacing="0"/>
              <w:ind w:left="0" w:leftChars="0" w:right="0" w:rightChars="0"/>
              <w:rPr>
                <w:rFonts w:hint="default" w:asciiTheme="minorEastAsia" w:hAnsiTheme="minorEastAsia" w:eastAsiaTheme="minorEastAsia" w:cstheme="minorEastAsia"/>
                <w:i w:val="0"/>
                <w:iCs w:val="0"/>
                <w:color w:val="000000"/>
                <w:sz w:val="16"/>
                <w:szCs w:val="16"/>
                <w:lang w:val="en-US" w:eastAsia="zh-CN"/>
              </w:rPr>
            </w:pPr>
            <w:r>
              <w:rPr>
                <w:rFonts w:hint="eastAsia" w:asciiTheme="minorEastAsia" w:hAnsiTheme="minorEastAsia" w:eastAsiaTheme="minorEastAsia" w:cstheme="minorEastAsia"/>
                <w:i w:val="0"/>
                <w:iCs w:val="0"/>
                <w:color w:val="000000"/>
                <w:sz w:val="16"/>
                <w:szCs w:val="16"/>
                <w:lang w:eastAsia="zh-CN"/>
              </w:rPr>
              <w:t>★</w:t>
            </w:r>
            <w:r>
              <w:rPr>
                <w:rFonts w:hint="eastAsia" w:asciiTheme="minorEastAsia" w:hAnsiTheme="minorEastAsia" w:cstheme="minorEastAsia"/>
                <w:i w:val="0"/>
                <w:iCs w:val="0"/>
                <w:color w:val="000000"/>
                <w:sz w:val="16"/>
                <w:szCs w:val="16"/>
                <w:lang w:val="en-US" w:eastAsia="zh-CN"/>
              </w:rPr>
              <w:t>体系文件要求</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投标人所投产品的制造商须同时具备有效的GB/T19001（ISO9001）质量体系认证证书、GB/T24001（ISO14001）环境管理体系认证证书、OHSAS18001或GB/T45001(ISO45001)职业健康管理体系认证证书，国内认证机构签发的证书应可在中国国家认证认可监督管理委员会网站(http://www.cnca.gov.cn/)核实。如果有国家相关部门发布的最新体系标准，以最新体系标准为准。投标时需提供原件扫描件（原件备查）。</w:t>
            </w:r>
          </w:p>
        </w:tc>
      </w:tr>
    </w:tbl>
    <w:p>
      <w:pPr>
        <w:pStyle w:val="5"/>
        <w:keepNext w:val="0"/>
        <w:keepLines w:val="0"/>
        <w:pageBreakBefore w:val="0"/>
        <w:widowControl w:val="0"/>
        <w:kinsoku/>
        <w:wordWrap/>
        <w:overflowPunct/>
        <w:topLinePunct w:val="0"/>
        <w:autoSpaceDE/>
        <w:autoSpaceDN/>
        <w:bidi w:val="0"/>
        <w:adjustRightInd/>
        <w:snapToGrid w:val="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25"/>
    <w:rsid w:val="00150136"/>
    <w:rsid w:val="0017483D"/>
    <w:rsid w:val="0019317B"/>
    <w:rsid w:val="00207FC3"/>
    <w:rsid w:val="00213AFF"/>
    <w:rsid w:val="00237507"/>
    <w:rsid w:val="002611E5"/>
    <w:rsid w:val="0026182A"/>
    <w:rsid w:val="002E5B25"/>
    <w:rsid w:val="00307D58"/>
    <w:rsid w:val="00364188"/>
    <w:rsid w:val="0037322C"/>
    <w:rsid w:val="003C6752"/>
    <w:rsid w:val="003D3D6A"/>
    <w:rsid w:val="003E5F61"/>
    <w:rsid w:val="005700FA"/>
    <w:rsid w:val="00686E7D"/>
    <w:rsid w:val="008D3406"/>
    <w:rsid w:val="00BB0A5E"/>
    <w:rsid w:val="00BD3D2A"/>
    <w:rsid w:val="00E6160C"/>
    <w:rsid w:val="00EA2CD6"/>
    <w:rsid w:val="00F56CB8"/>
    <w:rsid w:val="00FC2A59"/>
    <w:rsid w:val="00FE5822"/>
    <w:rsid w:val="02BB0C79"/>
    <w:rsid w:val="03455746"/>
    <w:rsid w:val="0584522E"/>
    <w:rsid w:val="05B568A0"/>
    <w:rsid w:val="089F331E"/>
    <w:rsid w:val="0A967CA0"/>
    <w:rsid w:val="0C764692"/>
    <w:rsid w:val="0CAF38DE"/>
    <w:rsid w:val="10477484"/>
    <w:rsid w:val="179D57D5"/>
    <w:rsid w:val="1AD308B0"/>
    <w:rsid w:val="1BDE0164"/>
    <w:rsid w:val="226627A9"/>
    <w:rsid w:val="25021FC5"/>
    <w:rsid w:val="263F35FB"/>
    <w:rsid w:val="29766043"/>
    <w:rsid w:val="29D3559B"/>
    <w:rsid w:val="29E41FCA"/>
    <w:rsid w:val="2CF501C8"/>
    <w:rsid w:val="2F9B467C"/>
    <w:rsid w:val="2FDB5A85"/>
    <w:rsid w:val="322B2AD9"/>
    <w:rsid w:val="36C62F02"/>
    <w:rsid w:val="3C4A7D34"/>
    <w:rsid w:val="3C4C0EAF"/>
    <w:rsid w:val="3D455BFE"/>
    <w:rsid w:val="400A5F7E"/>
    <w:rsid w:val="41414D4E"/>
    <w:rsid w:val="42EF3C6F"/>
    <w:rsid w:val="43295AAA"/>
    <w:rsid w:val="46F54454"/>
    <w:rsid w:val="47490068"/>
    <w:rsid w:val="47FB07A5"/>
    <w:rsid w:val="482F7ED0"/>
    <w:rsid w:val="48504504"/>
    <w:rsid w:val="49250AAD"/>
    <w:rsid w:val="49F37D98"/>
    <w:rsid w:val="4A60577E"/>
    <w:rsid w:val="4AFB7D3F"/>
    <w:rsid w:val="4F4857B5"/>
    <w:rsid w:val="521B653F"/>
    <w:rsid w:val="53964319"/>
    <w:rsid w:val="552626F9"/>
    <w:rsid w:val="560543DA"/>
    <w:rsid w:val="568F45A4"/>
    <w:rsid w:val="591C2F8C"/>
    <w:rsid w:val="5E5B2CE4"/>
    <w:rsid w:val="5FE214E7"/>
    <w:rsid w:val="62EC55D0"/>
    <w:rsid w:val="66A36FA6"/>
    <w:rsid w:val="6AB15E63"/>
    <w:rsid w:val="6DE41BBC"/>
    <w:rsid w:val="6DF4568D"/>
    <w:rsid w:val="6E113118"/>
    <w:rsid w:val="6E690FA8"/>
    <w:rsid w:val="6EE70E77"/>
    <w:rsid w:val="6FCF03AF"/>
    <w:rsid w:val="6FE76C51"/>
    <w:rsid w:val="71045202"/>
    <w:rsid w:val="77AA445B"/>
    <w:rsid w:val="77D2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420" w:firstLineChars="200"/>
      <w:jc w:val="both"/>
    </w:pPr>
    <w:rPr>
      <w:rFonts w:ascii="Times New Roman" w:hAnsi="Times New Roman" w:cs="Times New Roman"/>
      <w:kern w:val="2"/>
      <w:sz w:val="21"/>
      <w:szCs w:val="24"/>
      <w:lang w:eastAsia="zh-CN"/>
    </w:rPr>
  </w:style>
  <w:style w:type="paragraph" w:styleId="3">
    <w:name w:val="annotation text"/>
    <w:basedOn w:val="1"/>
    <w:unhideWhenUsed/>
    <w:qFormat/>
    <w:uiPriority w:val="99"/>
  </w:style>
  <w:style w:type="paragraph" w:styleId="4">
    <w:name w:val="Body Text"/>
    <w:basedOn w:val="1"/>
    <w:next w:val="1"/>
    <w:link w:val="13"/>
    <w:qFormat/>
    <w:uiPriority w:val="1"/>
    <w:pPr>
      <w:widowControl/>
      <w:overflowPunct w:val="0"/>
      <w:autoSpaceDE w:val="0"/>
      <w:autoSpaceDN w:val="0"/>
      <w:adjustRightInd w:val="0"/>
      <w:jc w:val="left"/>
      <w:textAlignment w:val="baseline"/>
    </w:pPr>
    <w:rPr>
      <w:rFonts w:ascii="楷体" w:hAnsi="Times New Roman" w:eastAsia="楷体" w:cs="Calibri"/>
      <w:i/>
      <w:iCs/>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563C1"/>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4"/>
    <w:qFormat/>
    <w:uiPriority w:val="1"/>
    <w:rPr>
      <w:rFonts w:ascii="楷体" w:hAnsi="Times New Roman" w:eastAsia="楷体" w:cs="Calibri"/>
      <w:i/>
      <w:iCs/>
    </w:rPr>
  </w:style>
  <w:style w:type="paragraph" w:customStyle="1" w:styleId="14">
    <w:name w:val="正文_1"/>
    <w:qFormat/>
    <w:uiPriority w:val="0"/>
    <w:pPr>
      <w:widowControl w:val="0"/>
      <w:ind w:right="5" w:rightChars="5"/>
    </w:pPr>
    <w:rPr>
      <w:rFonts w:ascii="Calibri" w:hAnsi="Calibri" w:eastAsia="宋体" w:cs="Calibri"/>
      <w:kern w:val="0"/>
      <w:sz w:val="22"/>
      <w:szCs w:val="22"/>
      <w:lang w:val="en-US" w:eastAsia="en-US" w:bidi="ar-SA"/>
    </w:rPr>
  </w:style>
  <w:style w:type="paragraph" w:styleId="15">
    <w:name w:val="List Paragraph"/>
    <w:basedOn w:val="1"/>
    <w:qFormat/>
    <w:uiPriority w:val="34"/>
    <w:pPr>
      <w:ind w:firstLine="420" w:firstLineChars="200"/>
    </w:pPr>
  </w:style>
  <w:style w:type="paragraph" w:customStyle="1" w:styleId="16">
    <w:name w:val="默认段落字体 Para Char"/>
    <w:basedOn w:val="1"/>
    <w:qFormat/>
    <w:uiPriority w:val="0"/>
    <w:pPr>
      <w:spacing w:before="80" w:after="80" w:line="360" w:lineRule="auto"/>
    </w:pPr>
    <w:rPr>
      <w:sz w:val="24"/>
    </w:rPr>
  </w:style>
  <w:style w:type="character" w:customStyle="1" w:styleId="17">
    <w:name w:val="comboicon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Words>
  <Characters>1209</Characters>
  <Lines>10</Lines>
  <Paragraphs>2</Paragraphs>
  <TotalTime>2</TotalTime>
  <ScaleCrop>false</ScaleCrop>
  <LinksUpToDate>false</LinksUpToDate>
  <CharactersWithSpaces>1418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2021-05-25T06:01:00Z</dcterms:created>
  <dc:creator>梁振琪/井下技术公司/工程技术公司/海油发展</dc:creator>
  <cp:lastModifiedBy>maoyue2</cp:lastModifiedBy>
  <cp:lastPrinted>2021-07-08T09:15:00Z</cp:lastPrinted>
  <dcterms:modified xsi:type="dcterms:W3CDTF">2025-08-08T08:43:07Z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749DC3A58B4548A7A2FB6C76730A65C9</vt:lpwstr>
  </property>
</Properties>
</file>