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ED8A0">
      <w:pPr>
        <w:spacing w:line="360" w:lineRule="auto"/>
        <w:jc w:val="center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40"/>
          <w:highlight w:val="none"/>
        </w:rPr>
        <w:t>材料价格波动调整办法表</w:t>
      </w:r>
    </w:p>
    <w:p w14:paraId="5E685C8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58673B3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一、调整总则</w:t>
      </w:r>
    </w:p>
    <w:p w14:paraId="70F511E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合同履行期间，除《材料价格波动调整办法表》约定的条件下可调整价差外，合同价款及单价不会因任何劳动力、货物及设备的价格、能源价格或汇率的变动而作调整。</w:t>
      </w:r>
    </w:p>
    <w:p w14:paraId="06050A49">
      <w:pPr>
        <w:adjustRightInd w:val="0"/>
        <w:snapToGrid w:val="0"/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调整基数为经发包人确认的施工图预算之工程量。本条不适用于所有设计变更及签证的价款确定，即设计变更及签证均不参与调差。设计变更及签证价款确定按照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合同条款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相关约定执行。调整计算期为合同约定工期中的相关工作施工期。若因总承包人原因导致工期延误的（含节点工期），则延误期间的人工及材料价格上涨费用不在此调整范围内，但延误期间的人工及材料价格下跌费用仍需扣除。</w:t>
      </w:r>
    </w:p>
    <w:p w14:paraId="42D2C8B4">
      <w:pPr>
        <w:numPr>
          <w:ilvl w:val="0"/>
          <w:numId w:val="1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  <w:t>主体结构土建、机电工程金属管材的调差办法：</w:t>
      </w:r>
    </w:p>
    <w:p w14:paraId="51916BD7">
      <w:pPr>
        <w:numPr>
          <w:ilvl w:val="-1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关于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人工（含机上人工）、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钢材（仅限钢筋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钢结构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、钢绞线、钢构柱）、混凝土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沥青混凝土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砂浆、水泥（均值）、不锈钢（包括管材、型材）、镀锌钢管、桥架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价格调整，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承诺：本工程按广州市建设工程造价管理站发布的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《广州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市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建设工程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信息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及有关计价办法的通知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》公布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的施工期价格的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算术平均值与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广州市建设工程造价管理站发布的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《广州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市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建设工程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信息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及有关计价办法的通知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2025年9月份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的价格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对比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进行调差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承担钢材（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仅限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钢筋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钢结构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、钢绞线、钢构柱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）、混凝土、砌体砌块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砂浆、水泥（均值）、不锈钢（包括管材、型材）、镀锌钢管、桥架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广州市建设工程造价管理站发布的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《广州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市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建设工程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信息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及有关计价办法的通知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》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2025年9月份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中相应指导价格涨跌幅±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%以内的风险损失，超过指导价涨跌幅±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%以外的部分合同有关综合单价按以下方法进行调整：</w:t>
      </w:r>
    </w:p>
    <w:p w14:paraId="7FB31B5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Q2：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广州市建设工程造价管理站发布的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《广州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市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建设工程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信息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及有关计价办法的通知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的施工期的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钢材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</w:rPr>
        <w:t>（钢筋材料单价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lang w:val="en-US" w:eastAsia="zh-CN"/>
        </w:rPr>
        <w:t>（均值）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</w:rPr>
        <w:t>按各种规格型号单价的算术平均值）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、混凝土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、水泥（均值）、不锈钢（包括管材、型材）、镀锌钢管、桥架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算术平均值</w:t>
      </w:r>
    </w:p>
    <w:p w14:paraId="14D310DB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Q1：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广州市建设工程造价管理站发布的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《广州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市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建设工程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信息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及有关计价办法的通知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》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2</w:t>
      </w:r>
      <w:r>
        <w:rPr>
          <w:rFonts w:ascii="宋体" w:hAnsi="宋体" w:eastAsia="宋体"/>
          <w:snapToGrid w:val="0"/>
          <w:color w:val="auto"/>
          <w:sz w:val="24"/>
          <w:szCs w:val="24"/>
          <w:highlight w:val="none"/>
        </w:rPr>
        <w:t>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月的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钢材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</w:rPr>
        <w:t>（钢筋材料单价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lang w:val="en-US" w:eastAsia="zh-CN"/>
        </w:rPr>
        <w:t>（均值）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</w:rPr>
        <w:t>按各种规格型号单价的算术平均值）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、混凝土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、水泥（均值）、不锈钢（包括管材、型材）、镀锌钢管、桥架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价格</w:t>
      </w:r>
    </w:p>
    <w:p w14:paraId="2755C2F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⊿Q：钢材、混凝土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、水泥（均值）、不锈钢（包括管材、型材）、镀锌钢管、桥架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材料补偿差价（其它费用不计算）</w:t>
      </w:r>
    </w:p>
    <w:p w14:paraId="5E2BA9EC">
      <w:pPr>
        <w:pStyle w:val="9"/>
        <w:numPr>
          <w:ilvl w:val="-1"/>
          <w:numId w:val="0"/>
        </w:numPr>
        <w:adjustRightInd w:val="0"/>
        <w:snapToGrid w:val="0"/>
        <w:spacing w:line="360" w:lineRule="auto"/>
        <w:ind w:left="480" w:firstLine="0" w:firstLineChars="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当Q2＞Q1×1.0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时，发包人给予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钢材、混凝土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、水泥（均值）、不锈钢（包括管材、型材）、镀锌钢管、桥架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补偿计算公式如下：⊿Q=Q2-Q1×1.0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；</w:t>
      </w:r>
    </w:p>
    <w:p w14:paraId="07A9684A">
      <w:pPr>
        <w:pStyle w:val="9"/>
        <w:numPr>
          <w:ilvl w:val="-1"/>
          <w:numId w:val="0"/>
        </w:numPr>
        <w:adjustRightInd w:val="0"/>
        <w:snapToGrid w:val="0"/>
        <w:spacing w:line="360" w:lineRule="auto"/>
        <w:ind w:left="480" w:firstLine="0" w:firstLineChars="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当Q2＜Q1×0.9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给予发包人钢材、混凝土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、砌体砌块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砂浆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均值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、水泥（均值）、不锈钢（包括管材、型材）、镀锌钢管、桥架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补偿计算公式如下：⊿Q= Q1×0.9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-Q2；</w:t>
      </w:r>
    </w:p>
    <w:p w14:paraId="497B5A1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③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当Q1×0.9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≤Q2≤Q1×1.0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双方确认的施工图预算清单主材价格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，不要求作任何调整。</w:t>
      </w:r>
    </w:p>
    <w:p w14:paraId="13C8D218">
      <w:pPr>
        <w:spacing w:line="360" w:lineRule="auto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</w:p>
    <w:p w14:paraId="70EDF2AE">
      <w:pPr>
        <w:spacing w:line="360" w:lineRule="auto"/>
        <w:rPr>
          <w:rFonts w:ascii="宋体" w:hAnsi="宋体" w:eastAsia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备注：</w:t>
      </w:r>
    </w:p>
    <w:p w14:paraId="3938823F">
      <w:pPr>
        <w:spacing w:line="360" w:lineRule="auto"/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1、可调差钢材是指土建工程中使用的钢材材料，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调差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工程量为双方确认的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施工图预算清单工程量，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不含损耗的工程量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eastAsia="zh-CN"/>
        </w:rPr>
        <w:t>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不包含合同协议书4.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款工程量计算规则约定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不能计算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的钢材；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eastAsia="zh-CN"/>
        </w:rPr>
        <w:t>。</w:t>
      </w:r>
    </w:p>
    <w:p w14:paraId="51A5E25B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2、地下室主体结构施工期是指，自发包人审批同意的地下室开工报告时间开始，至发包人审批同意的地下室主体结构封顶为止；</w:t>
      </w:r>
    </w:p>
    <w:p w14:paraId="73A2CB63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3、±0.00以上主体结构施工期间是指，自发包人审批同意的上部主体开工报告时间开始，至发包人审批同意的上部主体结构封顶为止；</w:t>
      </w:r>
    </w:p>
    <w:p w14:paraId="5017F1DE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4、经发包人确认的开工日期，如在当月15日之前（含15日），则当月钢材、混凝土单价计入施工期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算术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平均值的计算，如在当月15日之后，则当月钢材、混凝土单价不计入施工期平均值的计算；</w:t>
      </w:r>
    </w:p>
    <w:p w14:paraId="283DF245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5、经发包人确认的封顶日期，如在当月15日之前（含15日），则当月钢材、混凝土单价不计入施工期平均值的计算；如在当月15日之后，则当月钢材、混凝土单价计入施工期平均值的计算。</w:t>
      </w:r>
    </w:p>
    <w:p w14:paraId="2862F7D5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6、预制构件中的钢材、混凝土不调差。</w:t>
      </w:r>
    </w:p>
    <w:p w14:paraId="762F3659">
      <w:pPr>
        <w:spacing w:line="360" w:lineRule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地上部分每栋塔楼单独调差，除地下室部分外主体结构外墙不相连为一栋。包括高层、独立商业、独立配套。</w:t>
      </w:r>
    </w:p>
    <w:p w14:paraId="52EAC7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</w:pPr>
    </w:p>
    <w:p w14:paraId="720433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  <w:t>二、主体结构机电、消防工程、通风空调工程及智能化工程的调差办法：</w:t>
      </w:r>
    </w:p>
    <w:p w14:paraId="71432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本工程的电线电缆、母线槽为可调价材料，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其余材料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不因费率、材差、物价、人工、政策性调整、法律法规的更替等因素之升降而调整。</w:t>
      </w:r>
    </w:p>
    <w:p w14:paraId="4D817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承诺：本工程按上海有色金属网http://www.smm.cn/ 20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月15日发布的1#电解铜均价不含税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  <w:lang w:val="en-US" w:eastAsia="zh-CN"/>
        </w:rPr>
        <w:t>*****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</w:rPr>
        <w:t>元/吨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（下称铜价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）为“基期基价”与施工期间上海有色金属网http://www.smm.cn/发布的1#电解铜均价“施工期间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算术平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均价”对比，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承担电线电缆、母线槽价格按上海有色金属网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instrText xml:space="preserve"> HYPERLINK "http://www.smm.cn/2022年6月" </w:instrTex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 xml:space="preserve">http://www.smm.cn/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20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月15日发布的1#电解铜均价涨跌幅±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%以内的风险损失，超过铜价涨跌幅±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 xml:space="preserve">%以外的部分，即当 ▏（施工期间均价 / 基期基价 – 1） ▏＞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%时，铜价按每变动不含税1000元/T上下浮动补差，并在百位数按四舍五入记取，如48499元按48000元记取；48500元按49000元记取；合同有关单价按以下方法进行调整：</w:t>
      </w:r>
    </w:p>
    <w:p w14:paraId="5E56A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1）、铜价每上涨/下跌不含税1000元/T，电线价格按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双方确认的施工图预算清单主材价格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上调/下浮点数：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</w:rPr>
        <w:t xml:space="preserve">_1.5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%；</w:t>
      </w:r>
    </w:p>
    <w:p w14:paraId="5A0A0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2）、铜价每上涨/下跌不含税1000元/T，电缆价格按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双方确认的施工图预算清单主材价格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上调/下浮点数：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</w:rPr>
        <w:t xml:space="preserve">_1.5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%；</w:t>
      </w:r>
    </w:p>
    <w:p w14:paraId="38166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3）、铜价每上涨/下跌不含税1000元/T，矿物绝缘电缆价格按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双方确认的施工图预算清单主材价格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上调/下浮的点数：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</w:rPr>
        <w:t xml:space="preserve">_1.5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</w:t>
      </w:r>
    </w:p>
    <w:p w14:paraId="1EA15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4）、铜价每上涨/下跌不含税1000元/T，母线槽价格按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双方确认的施工图预算清单主材价格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上调/下浮的点数：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none"/>
        </w:rPr>
        <w:t xml:space="preserve">_1.5 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</w:t>
      </w:r>
    </w:p>
    <w:p w14:paraId="32017F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备注：</w:t>
      </w:r>
    </w:p>
    <w:p w14:paraId="2AE7D5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1、可调差材料是指机电工程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消防工程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中使用的电线电缆、母线槽，工程量为双方确认的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施工图预算清单工程量，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不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val="en-US" w:eastAsia="zh-CN"/>
        </w:rPr>
        <w:t>计算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损耗；</w:t>
      </w:r>
    </w:p>
    <w:p w14:paraId="50525C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机电工程(含智能化工程、通风空调工程、消防工程)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</w:rPr>
        <w:t>施工期间是指：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第一批次材料进场时间起至最后一批次材料进场时间止的时间周期。按每批次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</w:rPr>
        <w:t>材料进场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验收当日前30天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上海有色金属网http://www.smm.cn/发布的1#电解铜均价计算“施工期间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算术平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均价”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若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推算后的当日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无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发布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价格，则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按前一天价格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进行计算，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进行调差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每批次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  <w:u w:val="single"/>
        </w:rPr>
        <w:t>材料进场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验收时间需经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  <w:u w:val="single"/>
        </w:rPr>
        <w:t>发包人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监理、代建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管理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单位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  <w:u w:val="single"/>
        </w:rPr>
        <w:t>工程部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工程部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  <w:u w:val="single"/>
        </w:rPr>
        <w:t>需经办工程师及项目负责人签字确认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default" w:ascii="宋体" w:hAnsi="宋体" w:eastAsia="宋体"/>
          <w:snapToGrid w:val="0"/>
          <w:color w:val="auto"/>
          <w:sz w:val="24"/>
          <w:szCs w:val="24"/>
          <w:highlight w:val="none"/>
          <w:u w:val="single"/>
        </w:rPr>
        <w:t>、签字确认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u w:val="single"/>
          <w:lang w:val="en-US" w:eastAsia="zh-CN"/>
        </w:rPr>
        <w:t>。</w:t>
      </w:r>
    </w:p>
    <w:p w14:paraId="12EEDF03">
      <w:pPr>
        <w:pStyle w:val="2"/>
        <w:spacing w:line="360" w:lineRule="auto"/>
        <w:ind w:firstLine="480" w:firstLineChars="200"/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补偿计算公式如下：⊿Q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=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[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Q2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  <w:t>-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Q1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  <w:t>*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1.03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  <w:t>)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/1000]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*1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.5%*C</w:t>
      </w:r>
    </w:p>
    <w:p w14:paraId="26309477">
      <w:pPr>
        <w:pStyle w:val="2"/>
        <w:spacing w:line="360" w:lineRule="auto"/>
        <w:ind w:firstLine="480" w:firstLineChars="200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其中：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⊿Q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default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电线电缆、母线槽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补偿差价（其它费用不计算）</w:t>
      </w:r>
    </w:p>
    <w:p w14:paraId="25F92D87">
      <w:pPr>
        <w:pStyle w:val="2"/>
        <w:spacing w:line="360" w:lineRule="auto"/>
        <w:ind w:firstLine="480" w:firstLineChars="200"/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</w:pP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Q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1：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1#电解铜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“基期基价”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，</w:t>
      </w:r>
    </w:p>
    <w:p w14:paraId="63F957E1">
      <w:pPr>
        <w:pStyle w:val="2"/>
        <w:spacing w:line="360" w:lineRule="auto"/>
        <w:ind w:firstLine="480" w:firstLineChars="200"/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Q2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1#电解铜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的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“施工期间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val="en-US" w:eastAsia="zh-CN"/>
        </w:rPr>
        <w:t>算术平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均价”</w:t>
      </w:r>
    </w:p>
    <w:p w14:paraId="3BED684E">
      <w:pPr>
        <w:pStyle w:val="2"/>
        <w:spacing w:line="360" w:lineRule="auto"/>
        <w:ind w:firstLine="480" w:firstLineChars="200"/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C：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为审定认可后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val="en-US" w:eastAsia="zh-CN"/>
        </w:rPr>
        <w:t>施工图预算清单中</w:t>
      </w:r>
      <w:r>
        <w:rPr>
          <w:rFonts w:hint="default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电线电缆、母线槽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的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highlight w:val="none"/>
          <w:lang w:val="en-US" w:eastAsia="zh-CN"/>
        </w:rPr>
        <w:t>主材价</w:t>
      </w:r>
    </w:p>
    <w:p w14:paraId="0E6BC92E">
      <w:pPr>
        <w:pStyle w:val="2"/>
        <w:spacing w:line="360" w:lineRule="auto"/>
        <w:ind w:firstLine="480" w:firstLineChars="200"/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</w:pP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Q2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  <w:t>-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Q1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</w:rPr>
        <w:t>*(1+3%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eastAsia="zh-CN"/>
        </w:rPr>
        <w:t>）的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取值：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在百位数按四舍五入取</w:t>
      </w:r>
      <w:r>
        <w:rPr>
          <w:rFonts w:hint="eastAsia" w:ascii="宋体" w:hAnsi="宋体" w:eastAsia="宋体" w:cstheme="minorBidi"/>
          <w:b w:val="0"/>
          <w:bCs w:val="0"/>
          <w:snapToGrid w:val="0"/>
          <w:color w:val="auto"/>
          <w:kern w:val="2"/>
          <w:sz w:val="24"/>
          <w:highlight w:val="none"/>
          <w:lang w:val="en-US" w:eastAsia="zh-CN"/>
        </w:rPr>
        <w:t>整千值。</w:t>
      </w:r>
    </w:p>
    <w:p w14:paraId="0B2BA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8BFB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  <w:lang w:val="en-US" w:eastAsia="zh-CN"/>
        </w:rPr>
        <w:t>三、铝合金门窗、</w:t>
      </w:r>
      <w:r>
        <w:rPr>
          <w:rFonts w:hint="eastAsia" w:ascii="宋体" w:hAnsi="宋体" w:eastAsia="宋体"/>
          <w:b/>
          <w:bCs/>
          <w:snapToGrid w:val="0"/>
          <w:color w:val="auto"/>
          <w:sz w:val="24"/>
          <w:szCs w:val="24"/>
          <w:highlight w:val="none"/>
          <w:lang w:val="en-US" w:eastAsia="zh-CN"/>
        </w:rPr>
        <w:t>幕墙工程的调差办法：</w:t>
      </w:r>
    </w:p>
    <w:p w14:paraId="10396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关于铝合金型材、铝板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铝单板价格调整，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承诺：本工程20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月（若当月无15日的价格，则考虑临近15日的进行计算）的</w:t>
      </w:r>
      <w:r>
        <w:rPr>
          <w:rFonts w:hint="eastAsia" w:ascii="宋体" w:hAnsi="宋体" w:eastAsia="宋体"/>
          <w:snapToGrid w:val="0"/>
          <w:color w:val="auto"/>
          <w:spacing w:val="0"/>
          <w:sz w:val="24"/>
          <w:szCs w:val="24"/>
          <w:highlight w:val="none"/>
        </w:rPr>
        <w:t>“中国铝材信息网http://www.lvcai.com.cn”南海灵通市场(即南海有色）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公布的平均铝锭价（不含税）与施工期间所跨的每月15日（若当月无15日的价格，则考虑临近15日的进行计算）的</w:t>
      </w:r>
      <w:r>
        <w:rPr>
          <w:rFonts w:hint="eastAsia" w:ascii="宋体" w:hAnsi="宋体" w:eastAsia="宋体"/>
          <w:snapToGrid w:val="0"/>
          <w:color w:val="auto"/>
          <w:spacing w:val="0"/>
          <w:sz w:val="24"/>
          <w:szCs w:val="24"/>
          <w:highlight w:val="none"/>
        </w:rPr>
        <w:t>“中国铝材信息网http://www.lvcai.com.cn”南海灵通市场(即南海有色）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公布的平均铝锭价（不含税）的算术平均值价格对比。铝板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铝单板调差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工程量为双方确认的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施工图预算清单工程量，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不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val="en-US" w:eastAsia="zh-CN"/>
        </w:rPr>
        <w:t>计算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损耗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铝合金型材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调差工程量根据施工图纸计算的净用量（不含损耗）进行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调差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铝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密度按2700kg/m³计算。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承担铝合金型材、铝板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铝单板按上述对比值价格涨跌幅±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%（含本数）以内的风险损失，超过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价格涨跌幅±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%以外（不含本数）的部分合同有关综合单价按以下方法进行调整：</w:t>
      </w:r>
    </w:p>
    <w:p w14:paraId="5D70C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Q2：</w:t>
      </w:r>
      <w:r>
        <w:rPr>
          <w:rFonts w:hint="eastAsia" w:ascii="宋体" w:hAnsi="宋体" w:eastAsia="宋体"/>
          <w:snapToGrid w:val="0"/>
          <w:color w:val="auto"/>
          <w:spacing w:val="0"/>
          <w:sz w:val="24"/>
          <w:szCs w:val="24"/>
          <w:highlight w:val="none"/>
        </w:rPr>
        <w:t>“中国铝材信息网http://www.lvcai.com.cn”南海灵通市场(即南海有色）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公布的平均铝锭价（不含税）的施工期间的每月15日（若当月无15日的价格，则考虑临近15日的进行计算）的铝锭价格的算术平均值</w:t>
      </w:r>
    </w:p>
    <w:p w14:paraId="2BB8B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Q1：20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/>
          <w:snapToGrid w:val="0"/>
          <w:color w:val="auto"/>
          <w:spacing w:val="0"/>
          <w:sz w:val="24"/>
          <w:szCs w:val="24"/>
          <w:highlight w:val="none"/>
        </w:rPr>
        <w:t>“中国铝材信息网http://www.lvcai.com.cn”南海灵通市场(即南海有色）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公布的平均铝锭价（不含税）</w:t>
      </w:r>
    </w:p>
    <w:p w14:paraId="64BA7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⊿Q：铝型材、铝板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铝单板材料补偿差价（其它费用不计算）</w:t>
      </w:r>
    </w:p>
    <w:p w14:paraId="056D56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①当Q2＞Q1×1.0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时，发包人给予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铝型材、铝板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补偿计算公式如下：⊿Q=Q2- Q1×1.0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；</w:t>
      </w:r>
    </w:p>
    <w:p w14:paraId="21FA7C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②当Q2＜Q1×0.9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给予发包人铝型材、铝板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铝单板价格补偿（其它费用不计算），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补偿计算公式如下：⊿Q= Q1×0.9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-Q2；</w:t>
      </w:r>
    </w:p>
    <w:p w14:paraId="56C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③当Q1×0.9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≤Q2≤Q1×1.0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工程量为双方确认的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施工图预算清单主材单价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，不要求作任何调整。</w:t>
      </w:r>
    </w:p>
    <w:p w14:paraId="61D5D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举例：</w:t>
      </w:r>
    </w:p>
    <w:p w14:paraId="5740A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2025年9月份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铝锭价为20000元/吨，施工期间铝锭价的算术平均值为22000元/吨，则2.5mm厚铝板调差如下：</w:t>
      </w:r>
    </w:p>
    <w:p w14:paraId="09BC7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①22000＞20000*1.0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。</w:t>
      </w:r>
    </w:p>
    <w:p w14:paraId="5F425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②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2025年9月份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的当月2.5mm厚铝板原材料价格=20000*2.7t/m3*每平方铝板的体积0.0025m3=135元/m2，施工期间2.5mm厚铝板原材料平均价格=22000*2.7t/m3*每平方铝板体积0.0025m3=148.5元/m2。</w:t>
      </w:r>
    </w:p>
    <w:p w14:paraId="41056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③可调差部分公式=148.5元/m2-135元/m2*1.0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=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9.45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元/m2。</w:t>
      </w:r>
    </w:p>
    <w:p w14:paraId="1B14D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关于玻璃价格调整，只调整玻璃，特殊处理的镀膜(含Low-E)、彩釉及磨砂、夹胶/夹丝、中空空气层(含氩气及暖边)、钢化(弯钢化/冷弯弧形)加工、打孔、模具开模、挤压/校直、弯圆等均不考虑。本工程玻璃价格调差方式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2025年9月份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的“国家统计局”中公布的浮法平板玻璃（4.8-5mm）上、中、下旬公布的不含税价格算术平均值为依据与施工期间 “国家统计局”中公布的浮法平板玻璃（4.8-5mm）上、中、下旬公布的不含税价格算术平均值中的每月平均值的价格对比。玻璃调差工程量按照清单净用量，玻璃密度为2500kg/m3。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承担玻璃按上述对比值价格涨跌幅±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%（含本数）以内的风险损失，超过指导价涨跌幅±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%以外（不含本数）的部分合同有关综合单价按以下方法进行调整：</w:t>
      </w:r>
    </w:p>
    <w:p w14:paraId="42C95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Q2：“国家统计局”中公布的浮法平板玻璃（4.8-5mm）上、中、下旬公布的不含税价格算术平均值的施工期间的平均值</w:t>
      </w:r>
    </w:p>
    <w:p w14:paraId="66E03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Q1：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2025年9月份的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“国家统计局”中公布的浮法平板玻璃（4.8-5mm）上、中、下旬公布的不含税价格算术平均值</w:t>
      </w:r>
    </w:p>
    <w:p w14:paraId="7DA6D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⊿Q：玻璃材料补偿差价（其它费用不计算）</w:t>
      </w:r>
    </w:p>
    <w:p w14:paraId="4860E9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①当Q2＞Q1×1.0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时，发包人给予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玻璃价格补偿（其它费用不计算），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补偿计算公式如下：⊿Q=Q2- Q1×1.0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；</w:t>
      </w:r>
    </w:p>
    <w:p w14:paraId="4D581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②当Q2＜Q1×0.9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给予发包人玻璃价格补偿（其它费用不计算），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材料单价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补偿计算公式如下：⊿Q= Q1×0.9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-Q2；</w:t>
      </w:r>
    </w:p>
    <w:p w14:paraId="7A4A6F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③当Q1×0.9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≤Q2≤Q1×1.0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时，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总承包人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eastAsia="宋体"/>
          <w:snapToGrid/>
          <w:color w:val="auto"/>
          <w:sz w:val="24"/>
          <w:szCs w:val="24"/>
          <w:highlight w:val="none"/>
        </w:rPr>
        <w:t>工程量为双方确认的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施工图预算清单主材单价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</w:rPr>
        <w:t>不作任何调整。</w:t>
      </w:r>
    </w:p>
    <w:p w14:paraId="52B40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举例：</w:t>
      </w:r>
    </w:p>
    <w:p w14:paraId="7CA69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2025年9月份的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上、中、下旬玻璃平均价为1600元/吨，施工期间各月上、中、下旬玻璃平均价的各月算术平均值为1800元/吨，则6+1.14PVB+6mm厚夹胶玻璃调差如下：</w:t>
      </w:r>
    </w:p>
    <w:p w14:paraId="5BB2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①1800＞1600*1.0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。</w:t>
      </w:r>
    </w:p>
    <w:p w14:paraId="2D603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②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2025年9月份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6+1.14PVB+6mm厚夹胶玻璃原材料价格=1600*2.5t/m3*每平方玻璃的体积0.006m3*层数2=48元/m2，施工期间6+1.14PVB+6mm厚夹胶玻璃原材料平均价格=1800*2.5t/m3*每平方玻璃体积0.006m3*层数2=54元/m2。</w:t>
      </w:r>
    </w:p>
    <w:p w14:paraId="2F221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③可调差部分公式=54元/m2-48元/m2*1.0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=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4.56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元/m2。</w:t>
      </w:r>
    </w:p>
    <w:p w14:paraId="56ABF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备注：</w:t>
      </w:r>
    </w:p>
    <w:p w14:paraId="5E4B2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经发包人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监理、代建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管理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确认的开工日期，如在当月15日之前（含15日），则当月铝型材、玻璃、铝板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铝单板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单价计入施工期平均值的计算，如在当月15日之后，则当月铝型材、玻璃、铝板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铝单板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单价不计入施工期平均值的计算。</w:t>
      </w:r>
    </w:p>
    <w:p w14:paraId="55BCE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上述以外的任何材料及机械台班均不予调整。设计变更及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现场签证部分的人工、材料均不予调整。</w:t>
      </w:r>
    </w:p>
    <w:p w14:paraId="47D9B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</w:p>
    <w:p w14:paraId="3AA8A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以上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提及的</w:t>
      </w:r>
      <w:r>
        <w:rPr>
          <w:rFonts w:hint="eastAsia" w:ascii="宋体" w:hAnsi="宋体" w:eastAsia="宋体"/>
          <w:b w:val="0"/>
          <w:bCs w:val="0"/>
          <w:snapToGrid w:val="0"/>
          <w:color w:val="auto"/>
          <w:sz w:val="24"/>
          <w:szCs w:val="24"/>
          <w:highlight w:val="none"/>
          <w:lang w:val="en-US" w:eastAsia="zh-CN"/>
        </w:rPr>
        <w:t>土建、机电工程、消防、空调工程、智能化工程、铝合金门窗幕墙工程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所有可调差金额，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仅计算税金，其他费用均不计算，调差金额不参与上下浮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  <w:lang w:val="en-US" w:eastAsia="zh-CN"/>
        </w:rPr>
        <w:t>以上提及的调差的分部分项工程量不包括未实施部分工程量，如存在未实施部分的，调差时应予以扣减相应工程量。当出现工期延长时，如属于发包人责任，则按实际施工期间计算调差；如属于总承包人责任，调差金额取按合同工期和按实际工期调差的低值。以上调差均在结算中进行调差计算，进度款支付过程中不计算调差金额。当出现工期延长时，如属于发包人责任，则按实际施工期间计算调差；如属于总承包人责任，调差金额取按合同工期和按实际工期调差的低值。</w:t>
      </w:r>
    </w:p>
    <w:p w14:paraId="0BAFC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  <w:snapToGrid w:val="0"/>
          <w:color w:val="auto"/>
          <w:sz w:val="24"/>
          <w:szCs w:val="24"/>
          <w:highlight w:val="none"/>
        </w:rPr>
      </w:pPr>
    </w:p>
    <w:bookmarkEnd w:id="0"/>
    <w:sectPr>
      <w:footerReference r:id="rId3" w:type="default"/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72B62"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5444BF05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42D327"/>
    <w:multiLevelType w:val="singleLevel"/>
    <w:tmpl w:val="3542D3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03"/>
    <w:rsid w:val="000172BE"/>
    <w:rsid w:val="00121368"/>
    <w:rsid w:val="001800C7"/>
    <w:rsid w:val="001F3119"/>
    <w:rsid w:val="004154FD"/>
    <w:rsid w:val="004553C7"/>
    <w:rsid w:val="00460DB7"/>
    <w:rsid w:val="00471BC9"/>
    <w:rsid w:val="004A3CB9"/>
    <w:rsid w:val="005B2A1B"/>
    <w:rsid w:val="005B6B25"/>
    <w:rsid w:val="00620903"/>
    <w:rsid w:val="00886F0C"/>
    <w:rsid w:val="008933E3"/>
    <w:rsid w:val="008B7A4B"/>
    <w:rsid w:val="00965AAC"/>
    <w:rsid w:val="0097185B"/>
    <w:rsid w:val="00AC119B"/>
    <w:rsid w:val="00AD4EB7"/>
    <w:rsid w:val="00B854A0"/>
    <w:rsid w:val="00C61142"/>
    <w:rsid w:val="00C772C3"/>
    <w:rsid w:val="00D82BB0"/>
    <w:rsid w:val="00DD52DF"/>
    <w:rsid w:val="01BA68B2"/>
    <w:rsid w:val="020E31DD"/>
    <w:rsid w:val="046B3C65"/>
    <w:rsid w:val="04B05CCB"/>
    <w:rsid w:val="05D35DBC"/>
    <w:rsid w:val="06450847"/>
    <w:rsid w:val="07B31D5B"/>
    <w:rsid w:val="09725E7C"/>
    <w:rsid w:val="0B582596"/>
    <w:rsid w:val="0C2B3ED1"/>
    <w:rsid w:val="0C3918AC"/>
    <w:rsid w:val="0D060367"/>
    <w:rsid w:val="0D51729D"/>
    <w:rsid w:val="0DAD021E"/>
    <w:rsid w:val="0F6159BE"/>
    <w:rsid w:val="1086402A"/>
    <w:rsid w:val="11305769"/>
    <w:rsid w:val="140E7C96"/>
    <w:rsid w:val="158E0E0E"/>
    <w:rsid w:val="163B5B8B"/>
    <w:rsid w:val="164A4B46"/>
    <w:rsid w:val="17851949"/>
    <w:rsid w:val="17C67FF8"/>
    <w:rsid w:val="1B8842A1"/>
    <w:rsid w:val="1C626E14"/>
    <w:rsid w:val="1F0E4FEE"/>
    <w:rsid w:val="1F78262E"/>
    <w:rsid w:val="20AE0FA1"/>
    <w:rsid w:val="21FE20C3"/>
    <w:rsid w:val="26237E66"/>
    <w:rsid w:val="2650413E"/>
    <w:rsid w:val="2C343B49"/>
    <w:rsid w:val="2CD05F40"/>
    <w:rsid w:val="2F2919D0"/>
    <w:rsid w:val="309D61D2"/>
    <w:rsid w:val="32265EA3"/>
    <w:rsid w:val="32990D20"/>
    <w:rsid w:val="35C73CD9"/>
    <w:rsid w:val="370F76FD"/>
    <w:rsid w:val="371D0A6E"/>
    <w:rsid w:val="37377380"/>
    <w:rsid w:val="37887BDC"/>
    <w:rsid w:val="37E05570"/>
    <w:rsid w:val="38341699"/>
    <w:rsid w:val="38877B8D"/>
    <w:rsid w:val="38DE5960"/>
    <w:rsid w:val="3A36340C"/>
    <w:rsid w:val="3A8935A3"/>
    <w:rsid w:val="3CBC5E76"/>
    <w:rsid w:val="3CE416F5"/>
    <w:rsid w:val="3D892CF0"/>
    <w:rsid w:val="3DF035FD"/>
    <w:rsid w:val="418952B9"/>
    <w:rsid w:val="41AB2935"/>
    <w:rsid w:val="43F3774D"/>
    <w:rsid w:val="45086DFB"/>
    <w:rsid w:val="46AD7868"/>
    <w:rsid w:val="477041E8"/>
    <w:rsid w:val="47F941DE"/>
    <w:rsid w:val="48180D7E"/>
    <w:rsid w:val="49115B0E"/>
    <w:rsid w:val="4B35552D"/>
    <w:rsid w:val="4B5160DF"/>
    <w:rsid w:val="4BF60D72"/>
    <w:rsid w:val="4C4443B9"/>
    <w:rsid w:val="4CD754F1"/>
    <w:rsid w:val="4DD062F2"/>
    <w:rsid w:val="4E933326"/>
    <w:rsid w:val="4EF46C08"/>
    <w:rsid w:val="4F881016"/>
    <w:rsid w:val="50866E2C"/>
    <w:rsid w:val="52355AC6"/>
    <w:rsid w:val="5294522F"/>
    <w:rsid w:val="52F617B5"/>
    <w:rsid w:val="54861E6A"/>
    <w:rsid w:val="55B53F00"/>
    <w:rsid w:val="56AF0889"/>
    <w:rsid w:val="56CC74AC"/>
    <w:rsid w:val="57574A7D"/>
    <w:rsid w:val="57DB2D15"/>
    <w:rsid w:val="592F7A5F"/>
    <w:rsid w:val="596F6CE0"/>
    <w:rsid w:val="59B57B95"/>
    <w:rsid w:val="5A2E5F69"/>
    <w:rsid w:val="5BF3746A"/>
    <w:rsid w:val="5E001769"/>
    <w:rsid w:val="5E2A7350"/>
    <w:rsid w:val="604611AF"/>
    <w:rsid w:val="60F35816"/>
    <w:rsid w:val="60F577E0"/>
    <w:rsid w:val="610631D3"/>
    <w:rsid w:val="615750A3"/>
    <w:rsid w:val="65962C14"/>
    <w:rsid w:val="65AE7884"/>
    <w:rsid w:val="6A2C2D9A"/>
    <w:rsid w:val="6B147755"/>
    <w:rsid w:val="6BF30DC0"/>
    <w:rsid w:val="6C840152"/>
    <w:rsid w:val="6D761CA9"/>
    <w:rsid w:val="6E673732"/>
    <w:rsid w:val="6F2179F2"/>
    <w:rsid w:val="6F3F05DF"/>
    <w:rsid w:val="70BA2B5D"/>
    <w:rsid w:val="743933E7"/>
    <w:rsid w:val="7ABE21B8"/>
    <w:rsid w:val="7B6E0463"/>
    <w:rsid w:val="7C202174"/>
    <w:rsid w:val="7D4A6037"/>
    <w:rsid w:val="7EA22004"/>
    <w:rsid w:val="7EB7041E"/>
    <w:rsid w:val="7EBF4783"/>
    <w:rsid w:val="7F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3"/>
    <w:basedOn w:val="1"/>
    <w:next w:val="1"/>
    <w:qFormat/>
    <w:uiPriority w:val="0"/>
    <w:pPr>
      <w:widowControl/>
      <w:adjustRightInd w:val="0"/>
      <w:spacing w:line="312" w:lineRule="auto"/>
      <w:jc w:val="left"/>
      <w:outlineLvl w:val="2"/>
    </w:pPr>
    <w:rPr>
      <w:rFonts w:ascii="Calibri" w:hAnsi="Calibri" w:cs="Arial"/>
      <w:b/>
      <w:bCs/>
      <w:kern w:val="24"/>
      <w:sz w:val="28"/>
      <w:szCs w:val="24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样式1"/>
    <w:basedOn w:val="3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4545</Words>
  <Characters>5264</Characters>
  <Lines>9</Lines>
  <Paragraphs>2</Paragraphs>
  <TotalTime>8</TotalTime>
  <ScaleCrop>false</ScaleCrop>
  <LinksUpToDate>false</LinksUpToDate>
  <CharactersWithSpaces>5285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2021-09-19T13:28:00Z</dcterms:created>
  <dc:creator>李 艾斯</dc:creator>
  <cp:lastModifiedBy>广东省建筑工程监理有限公司[广东省建筑工程监理有限公司]</cp:lastModifiedBy>
  <cp:lastPrinted>2021-09-26T03:18:00Z</cp:lastPrinted>
  <dcterms:modified xsi:type="dcterms:W3CDTF">2025-08-21T02:03:43Z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73E90EDB5D0D4EF4BF2E0DC14958216E_13</vt:lpwstr>
  </property>
  <property fmtid="{D5CDD505-2E9C-101B-9397-08002B2CF9AE}" pid="4" name="KSOTemplateDocerSaveRecord">
    <vt:lpwstr>eyJoZGlkIjoiMTlhODk4NDM5OWM4YWU4MDU5ODA5ZThlMTI4ZWI3MDkiLCJ1c2VySWQiOiI0NTI0NTE4NjAifQ==</vt:lpwstr>
  </property>
</Properties>
</file>