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numPr>
          <w:ilvl w:val="0"/>
          <w:numId w:val="1"/>
        </w:numPr>
        <w:kinsoku/>
        <w:wordWrap/>
        <w:overflowPunct w:val="0"/>
        <w:topLinePunct w:val="0"/>
        <w:autoSpaceDE/>
        <w:autoSpaceDN/>
        <w:bidi w:val="0"/>
        <w:adjustRightInd/>
        <w:snapToGrid/>
        <w:spacing w:beforeLines="0" w:after="120" w:afterLines="0" w:line="360" w:lineRule="auto"/>
        <w:ind w:left="0" w:firstLine="420" w:firstLineChars="200"/>
        <w:jc w:val="both"/>
        <w:textAlignment w:val="auto"/>
        <w:outlineLvl w:val="0"/>
        <w:rPr>
          <w:rFonts w:hint="eastAsia" w:ascii="黑体" w:hAnsi="黑体" w:eastAsia="黑体" w:cs="黑体"/>
          <w:color w:val="auto"/>
          <w:sz w:val="21"/>
          <w:szCs w:val="21"/>
          <w:lang w:val="en-US" w:eastAsia="zh-CN" w:bidi="ar-SA"/>
        </w:rPr>
      </w:pPr>
      <w:bookmarkStart w:id="0" w:name="_Toc13249324"/>
      <w:bookmarkStart w:id="1" w:name="_Toc13248927"/>
      <w:bookmarkStart w:id="2" w:name="_Toc451257666"/>
      <w:r>
        <w:rPr>
          <w:rFonts w:hint="eastAsia" w:ascii="黑体" w:hAnsi="黑体" w:eastAsia="黑体" w:cs="黑体"/>
          <w:color w:val="auto"/>
          <w:sz w:val="21"/>
          <w:szCs w:val="21"/>
          <w:lang w:val="en-US" w:eastAsia="zh-CN" w:bidi="ar-SA"/>
        </w:rPr>
        <w:t>项目概况及总体要求</w:t>
      </w:r>
      <w:bookmarkEnd w:id="0"/>
      <w:bookmarkEnd w:id="1"/>
    </w:p>
    <w:p>
      <w:pPr>
        <w:widowControl w:val="0"/>
        <w:tabs>
          <w:tab w:val="right" w:leader="dot" w:pos="8296"/>
        </w:tabs>
        <w:spacing w:beforeLines="25" w:afterLines="25" w:line="300" w:lineRule="auto"/>
        <w:ind w:left="420" w:leftChars="200" w:firstLine="420" w:firstLineChars="20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t>本项目</w:t>
      </w:r>
      <w:r>
        <w:rPr>
          <w:rFonts w:hint="eastAsia" w:asciiTheme="minorEastAsia" w:hAnsiTheme="minorEastAsia" w:eastAsiaTheme="minorEastAsia" w:cstheme="minorEastAsia"/>
          <w:color w:val="auto"/>
          <w:sz w:val="21"/>
          <w:szCs w:val="21"/>
          <w:lang w:val="en-US" w:eastAsia="zh-CN"/>
        </w:rPr>
        <w:t xml:space="preserve">为外籍轮船船员上下船以及口岸联检单位登轮检验人员上下船提供海上小型交通艇接送服务，海油货代拟开展惠州地区人员上下轮船的交通艇接送服务，并按要求完成各项工作。 </w:t>
      </w:r>
    </w:p>
    <w:p>
      <w:pPr>
        <w:keepNext w:val="0"/>
        <w:keepLines w:val="0"/>
        <w:pageBreakBefore w:val="0"/>
        <w:widowControl w:val="0"/>
        <w:numPr>
          <w:ilvl w:val="0"/>
          <w:numId w:val="1"/>
        </w:numPr>
        <w:kinsoku/>
        <w:wordWrap/>
        <w:overflowPunct w:val="0"/>
        <w:topLinePunct w:val="0"/>
        <w:autoSpaceDE/>
        <w:autoSpaceDN/>
        <w:bidi w:val="0"/>
        <w:adjustRightInd/>
        <w:snapToGrid/>
        <w:spacing w:beforeLines="0" w:after="120" w:afterLines="0" w:line="360" w:lineRule="auto"/>
        <w:ind w:left="0" w:firstLine="420" w:firstLineChars="200"/>
        <w:jc w:val="both"/>
        <w:textAlignment w:val="auto"/>
        <w:outlineLvl w:val="0"/>
        <w:rPr>
          <w:rFonts w:hint="eastAsia" w:ascii="黑体" w:hAnsi="黑体" w:eastAsia="黑体" w:cs="黑体"/>
          <w:color w:val="auto"/>
          <w:sz w:val="21"/>
          <w:szCs w:val="21"/>
          <w:lang w:val="en-US" w:eastAsia="zh-CN" w:bidi="ar-SA"/>
        </w:rPr>
      </w:pPr>
      <w:r>
        <w:rPr>
          <w:rFonts w:hint="eastAsia" w:ascii="黑体" w:hAnsi="黑体" w:eastAsia="黑体" w:cs="黑体"/>
          <w:color w:val="auto"/>
          <w:sz w:val="21"/>
          <w:szCs w:val="21"/>
          <w:lang w:val="en-US" w:eastAsia="zh-CN" w:bidi="ar-SA"/>
        </w:rPr>
        <w:t>服务内容和范围</w:t>
      </w:r>
    </w:p>
    <w:p>
      <w:pPr>
        <w:widowControl w:val="0"/>
        <w:tabs>
          <w:tab w:val="right" w:leader="dot" w:pos="8296"/>
        </w:tabs>
        <w:spacing w:beforeLines="25" w:afterLines="25" w:line="300" w:lineRule="auto"/>
        <w:ind w:left="420" w:leftChars="200" w:firstLine="420" w:firstLineChars="20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lang w:val="en-US" w:eastAsia="zh-CN"/>
        </w:rPr>
        <w:t>服务内容：</w:t>
      </w:r>
    </w:p>
    <w:p>
      <w:pPr>
        <w:widowControl w:val="0"/>
        <w:numPr>
          <w:ilvl w:val="0"/>
          <w:numId w:val="2"/>
        </w:numPr>
        <w:tabs>
          <w:tab w:val="right" w:leader="dot" w:pos="8296"/>
        </w:tabs>
        <w:spacing w:beforeLines="25" w:afterLines="25" w:line="300" w:lineRule="auto"/>
        <w:ind w:left="1475" w:leftChars="0" w:hanging="425" w:firstLineChars="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按要求提供交通艇并完成人员接送服务，包括不限于白天和晚上。</w:t>
      </w:r>
    </w:p>
    <w:p>
      <w:pPr>
        <w:widowControl w:val="0"/>
        <w:numPr>
          <w:ilvl w:val="0"/>
          <w:numId w:val="2"/>
        </w:numPr>
        <w:tabs>
          <w:tab w:val="right" w:leader="dot" w:pos="8296"/>
        </w:tabs>
        <w:spacing w:beforeLines="25" w:afterLines="25" w:line="300" w:lineRule="auto"/>
        <w:ind w:left="1475" w:leftChars="0" w:hanging="425" w:firstLineChars="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交通艇，是指仅限于交通艇所有人或租赁方用于陆地码头至海上外轮停泊地点人员上下船接送服务活动的具备机械推进动力装置的船舶。</w:t>
      </w:r>
    </w:p>
    <w:p>
      <w:pPr>
        <w:widowControl w:val="0"/>
        <w:numPr>
          <w:ilvl w:val="0"/>
          <w:numId w:val="2"/>
        </w:numPr>
        <w:tabs>
          <w:tab w:val="right" w:leader="dot" w:pos="8296"/>
        </w:tabs>
        <w:spacing w:beforeLines="25" w:afterLines="25" w:line="300" w:lineRule="auto"/>
        <w:ind w:left="1475" w:leftChars="0" w:hanging="425" w:firstLineChars="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需配备两种规格交通艇：交通艇1（乘坐6人）1艘和交通艇2（乘坐10-12人）1艘。</w:t>
      </w:r>
    </w:p>
    <w:p>
      <w:pPr>
        <w:widowControl w:val="0"/>
        <w:tabs>
          <w:tab w:val="right" w:leader="dot" w:pos="8296"/>
        </w:tabs>
        <w:spacing w:beforeLines="25" w:afterLines="25" w:line="300" w:lineRule="auto"/>
        <w:ind w:left="420" w:leftChars="200" w:firstLine="420" w:firstLineChars="200"/>
        <w:jc w:val="left"/>
        <w:rPr>
          <w:rFonts w:hint="eastAsia" w:asciiTheme="minorEastAsia" w:hAnsi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t>（2）工作量清单：</w:t>
      </w:r>
    </w:p>
    <w:tbl>
      <w:tblPr>
        <w:tblStyle w:val="10"/>
        <w:tblW w:w="4905"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0"/>
        <w:gridCol w:w="1320"/>
        <w:gridCol w:w="4668"/>
        <w:gridCol w:w="1332"/>
        <w:gridCol w:w="11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4" w:hRule="atLeast"/>
          <w:jc w:val="center"/>
        </w:trPr>
        <w:tc>
          <w:tcPr>
            <w:tcW w:w="511"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702"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服务名称</w:t>
            </w:r>
          </w:p>
        </w:tc>
        <w:tc>
          <w:tcPr>
            <w:tcW w:w="248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型号/服务要求</w:t>
            </w:r>
          </w:p>
        </w:tc>
        <w:tc>
          <w:tcPr>
            <w:tcW w:w="709"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计量单位</w:t>
            </w:r>
          </w:p>
        </w:tc>
        <w:tc>
          <w:tcPr>
            <w:tcW w:w="591"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预估数量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2" w:hRule="atLeast"/>
          <w:jc w:val="center"/>
        </w:trPr>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02" w:type="pct"/>
            <w:vMerge w:val="restar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澳头—马鞭洲码头</w:t>
            </w:r>
          </w:p>
        </w:tc>
        <w:tc>
          <w:tcPr>
            <w:tcW w:w="24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交通艇1（乘坐6人）不分白天晚上</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航次</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270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4" w:hRule="atLeast"/>
          <w:jc w:val="center"/>
        </w:trPr>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02"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24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交通艇2（乘坐10-12人）白天</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航次</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702"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24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交通艇2（乘坐10-12人）晚上</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航次</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7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澳头—惠州港码头</w:t>
            </w:r>
          </w:p>
        </w:tc>
        <w:tc>
          <w:tcPr>
            <w:tcW w:w="24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交通艇1（乘坐6人）不分白天晚上</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航次</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jc w:val="center"/>
        </w:trPr>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7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24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交通艇2（乘坐10-12人）不分白天晚上</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航次</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702" w:type="pct"/>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澳头—惠州港沿海主要公共锚地</w:t>
            </w:r>
          </w:p>
        </w:tc>
        <w:tc>
          <w:tcPr>
            <w:tcW w:w="24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交通艇1（乘坐6人）不分白天晚上</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航次</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4" w:hRule="atLeast"/>
          <w:jc w:val="center"/>
        </w:trPr>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702"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交通艇2（乘坐10-12人）不分白天晚上</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航次</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6" w:hRule="atLeast"/>
          <w:jc w:val="center"/>
        </w:trPr>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7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澳头—南湾岛</w:t>
            </w:r>
          </w:p>
        </w:tc>
        <w:tc>
          <w:tcPr>
            <w:tcW w:w="24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交通艇1（乘坐6人）不分白天晚上</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航次</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6" w:hRule="atLeast"/>
          <w:jc w:val="center"/>
        </w:trPr>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7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24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交通艇2（乘坐10-12人）不分白天晚上</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航次</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jc w:val="center"/>
        </w:trPr>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7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澳头—东升岛</w:t>
            </w:r>
          </w:p>
        </w:tc>
        <w:tc>
          <w:tcPr>
            <w:tcW w:w="24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交通艇1（乘坐6人）不分白天晚上</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航次</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6" w:hRule="atLeast"/>
          <w:jc w:val="center"/>
        </w:trPr>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7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24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交通艇2（乘坐10-12人）不分白天晚上</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航次</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6" w:hRule="atLeast"/>
          <w:jc w:val="center"/>
        </w:trPr>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7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澳头—大甲岛</w:t>
            </w:r>
          </w:p>
        </w:tc>
        <w:tc>
          <w:tcPr>
            <w:tcW w:w="24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交通艇1（乘坐6人）不分白天晚上</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航次</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7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24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交通艇2（乘坐10-12人）不分白天晚上</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航次</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jc w:val="center"/>
        </w:trPr>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7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澳头—三门岛</w:t>
            </w:r>
          </w:p>
        </w:tc>
        <w:tc>
          <w:tcPr>
            <w:tcW w:w="24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交通艇1（乘坐6人）不分白天晚上</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航次</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4" w:hRule="atLeast"/>
          <w:jc w:val="center"/>
        </w:trPr>
        <w:tc>
          <w:tcPr>
            <w:tcW w:w="511" w:type="pct"/>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702" w:type="pct"/>
            <w:vMerge w:val="continue"/>
            <w:tcBorders>
              <w:top w:val="single" w:color="000000"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2485"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交通艇2（乘坐10-12人）不分白天晚上</w:t>
            </w:r>
          </w:p>
        </w:tc>
        <w:tc>
          <w:tcPr>
            <w:tcW w:w="709" w:type="pct"/>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航次</w:t>
            </w:r>
          </w:p>
        </w:tc>
        <w:tc>
          <w:tcPr>
            <w:tcW w:w="591" w:type="pct"/>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8" w:hRule="atLeast"/>
          <w:jc w:val="center"/>
        </w:trPr>
        <w:tc>
          <w:tcPr>
            <w:tcW w:w="51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702"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东联—8#锚地</w:t>
            </w:r>
          </w:p>
        </w:tc>
        <w:tc>
          <w:tcPr>
            <w:tcW w:w="2485"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交通艇1（乘坐6人）不分白天晚上</w:t>
            </w:r>
          </w:p>
        </w:tc>
        <w:tc>
          <w:tcPr>
            <w:tcW w:w="709" w:type="pct"/>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航次</w:t>
            </w:r>
          </w:p>
        </w:tc>
        <w:tc>
          <w:tcPr>
            <w:tcW w:w="591" w:type="pct"/>
            <w:tcBorders>
              <w:top w:val="single" w:color="auto" w:sz="4" w:space="0"/>
              <w:left w:val="single" w:color="000000"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2" w:hRule="atLeast"/>
          <w:jc w:val="center"/>
        </w:trPr>
        <w:tc>
          <w:tcPr>
            <w:tcW w:w="511" w:type="pct"/>
            <w:tcBorders>
              <w:top w:val="single" w:color="auto"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702"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248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交通艇2（乘坐10-12人）不分白天晚上</w:t>
            </w:r>
          </w:p>
        </w:tc>
        <w:tc>
          <w:tcPr>
            <w:tcW w:w="709" w:type="pct"/>
            <w:tcBorders>
              <w:top w:val="single" w:color="auto"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航次</w:t>
            </w:r>
          </w:p>
        </w:tc>
        <w:tc>
          <w:tcPr>
            <w:tcW w:w="591" w:type="pct"/>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jc w:val="center"/>
        </w:trPr>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702" w:type="pct"/>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东联码头—马鞭洲</w:t>
            </w:r>
          </w:p>
        </w:tc>
        <w:tc>
          <w:tcPr>
            <w:tcW w:w="2485"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交通艇1（乘坐6人）不分白天晚上</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航次</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4" w:hRule="atLeast"/>
          <w:jc w:val="center"/>
        </w:trPr>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702" w:type="pct"/>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2485"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交通艇2（乘坐10-12人）不分白天晚上</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航次</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31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等待费（交通艇1）</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小时</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jc w:val="center"/>
        </w:trPr>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31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等待费（交通艇2）</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小时</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300 </w:t>
            </w:r>
          </w:p>
        </w:tc>
      </w:tr>
    </w:tbl>
    <w:p>
      <w:pPr>
        <w:widowControl w:val="0"/>
        <w:tabs>
          <w:tab w:val="right" w:leader="dot" w:pos="8296"/>
        </w:tabs>
        <w:spacing w:beforeLines="25" w:afterLines="25" w:line="300" w:lineRule="auto"/>
        <w:ind w:left="420" w:leftChars="200" w:firstLine="422" w:firstLineChars="200"/>
        <w:jc w:val="left"/>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注：</w:t>
      </w:r>
    </w:p>
    <w:p>
      <w:pPr>
        <w:widowControl w:val="0"/>
        <w:numPr>
          <w:ilvl w:val="0"/>
          <w:numId w:val="3"/>
        </w:numPr>
        <w:tabs>
          <w:tab w:val="right" w:leader="dot" w:pos="8296"/>
        </w:tabs>
        <w:spacing w:beforeLines="25" w:afterLines="25" w:line="300" w:lineRule="auto"/>
        <w:ind w:left="1475" w:leftChars="0" w:hanging="425" w:firstLineChars="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 xml:space="preserve">航次的计算方式为：往返登艇的陆地码头计为1个航次。 </w:t>
      </w:r>
    </w:p>
    <w:p>
      <w:pPr>
        <w:widowControl w:val="0"/>
        <w:numPr>
          <w:ilvl w:val="0"/>
          <w:numId w:val="3"/>
        </w:numPr>
        <w:tabs>
          <w:tab w:val="right" w:leader="dot" w:pos="8296"/>
        </w:tabs>
        <w:spacing w:beforeLines="25" w:afterLines="25" w:line="300" w:lineRule="auto"/>
        <w:ind w:left="1475" w:leftChars="0" w:hanging="425" w:firstLineChars="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 xml:space="preserve">上述费率包括但不限于交通艇的人工、燃料、油料、淡水费用、保险、税金、管理费用等。  </w:t>
      </w:r>
    </w:p>
    <w:p>
      <w:pPr>
        <w:widowControl w:val="0"/>
        <w:numPr>
          <w:ilvl w:val="0"/>
          <w:numId w:val="3"/>
        </w:numPr>
        <w:tabs>
          <w:tab w:val="right" w:leader="dot" w:pos="8296"/>
        </w:tabs>
        <w:spacing w:beforeLines="25" w:afterLines="25" w:line="300" w:lineRule="auto"/>
        <w:ind w:left="1475" w:leftChars="0" w:hanging="425" w:firstLineChars="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白天接送时间段</w:t>
      </w:r>
      <w:r>
        <w:rPr>
          <w:rFonts w:hint="eastAsia" w:asciiTheme="minorEastAsia" w:hAnsi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lang w:val="en-US" w:eastAsia="zh-CN"/>
        </w:rPr>
        <w:t>夏天（3-11月）6:30~19:00；冬天（12-2月）7:30~18:00</w:t>
      </w:r>
    </w:p>
    <w:p>
      <w:pPr>
        <w:widowControl w:val="0"/>
        <w:numPr>
          <w:ilvl w:val="0"/>
          <w:numId w:val="3"/>
        </w:numPr>
        <w:tabs>
          <w:tab w:val="right" w:leader="dot" w:pos="8296"/>
        </w:tabs>
        <w:spacing w:beforeLines="25" w:afterLines="25" w:line="300" w:lineRule="auto"/>
        <w:ind w:left="1475" w:leftChars="0" w:hanging="425" w:firstLineChars="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接送服务作业等待时间计费参照上述等待费标准，等待时间计费方式如下：</w:t>
      </w:r>
    </w:p>
    <w:p>
      <w:pPr>
        <w:widowControl w:val="0"/>
        <w:numPr>
          <w:ilvl w:val="0"/>
          <w:numId w:val="4"/>
        </w:numPr>
        <w:tabs>
          <w:tab w:val="right" w:leader="dot" w:pos="8296"/>
        </w:tabs>
        <w:spacing w:beforeLines="25" w:afterLines="25" w:line="300" w:lineRule="auto"/>
        <w:ind w:left="1680" w:leftChars="0" w:hanging="420" w:firstLineChars="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每航次等待时间在1小时以内的免收等待费；</w:t>
      </w:r>
    </w:p>
    <w:p>
      <w:pPr>
        <w:widowControl w:val="0"/>
        <w:numPr>
          <w:ilvl w:val="0"/>
          <w:numId w:val="4"/>
        </w:numPr>
        <w:tabs>
          <w:tab w:val="right" w:leader="dot" w:pos="8296"/>
        </w:tabs>
        <w:spacing w:beforeLines="25" w:afterLines="25" w:line="300" w:lineRule="auto"/>
        <w:ind w:left="1680" w:leftChars="0" w:hanging="420" w:firstLineChars="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每航次等待时间在2小时至4小时内的，按小时收取等待费；</w:t>
      </w:r>
    </w:p>
    <w:p>
      <w:pPr>
        <w:widowControl w:val="0"/>
        <w:numPr>
          <w:ilvl w:val="0"/>
          <w:numId w:val="4"/>
        </w:numPr>
        <w:tabs>
          <w:tab w:val="right" w:leader="dot" w:pos="8296"/>
        </w:tabs>
        <w:spacing w:beforeLines="25" w:afterLines="25" w:line="300" w:lineRule="auto"/>
        <w:ind w:left="1680" w:leftChars="0" w:hanging="420" w:firstLineChars="0"/>
        <w:jc w:val="left"/>
        <w:rPr>
          <w:rFonts w:hint="eastAsia" w:ascii="宋体" w:hAnsi="宋体" w:eastAsia="宋体" w:cs="宋体"/>
          <w:sz w:val="24"/>
          <w:szCs w:val="24"/>
          <w:lang w:val="en-US" w:eastAsia="zh-CN"/>
        </w:rPr>
      </w:pPr>
      <w:r>
        <w:rPr>
          <w:rFonts w:hint="eastAsia" w:asciiTheme="minorEastAsia" w:hAnsiTheme="minorEastAsia" w:eastAsiaTheme="minorEastAsia" w:cstheme="minorEastAsia"/>
          <w:color w:val="auto"/>
          <w:sz w:val="21"/>
          <w:szCs w:val="21"/>
          <w:lang w:val="en-US" w:eastAsia="zh-CN"/>
        </w:rPr>
        <w:t>每航次等待超过4小时的交通艇应先行返航，第二次接送服务</w:t>
      </w:r>
      <w:r>
        <w:rPr>
          <w:rFonts w:hint="eastAsia" w:asciiTheme="minorEastAsia" w:hAnsiTheme="minorEastAsia" w:cstheme="minorEastAsia"/>
          <w:color w:val="auto"/>
          <w:sz w:val="21"/>
          <w:szCs w:val="21"/>
          <w:lang w:val="en-US" w:eastAsia="zh-CN"/>
        </w:rPr>
        <w:t>采购方</w:t>
      </w:r>
      <w:r>
        <w:rPr>
          <w:rFonts w:hint="eastAsia" w:asciiTheme="minorEastAsia" w:hAnsiTheme="minorEastAsia" w:eastAsiaTheme="minorEastAsia" w:cstheme="minorEastAsia"/>
          <w:color w:val="auto"/>
          <w:sz w:val="21"/>
          <w:szCs w:val="21"/>
          <w:lang w:val="en-US" w:eastAsia="zh-CN"/>
        </w:rPr>
        <w:t>另行通知。</w:t>
      </w:r>
    </w:p>
    <w:p>
      <w:pPr>
        <w:widowControl w:val="0"/>
        <w:numPr>
          <w:ilvl w:val="0"/>
          <w:numId w:val="3"/>
        </w:numPr>
        <w:tabs>
          <w:tab w:val="right" w:leader="dot" w:pos="8296"/>
        </w:tabs>
        <w:spacing w:beforeLines="25" w:afterLines="25" w:line="300" w:lineRule="auto"/>
        <w:ind w:left="1475" w:leftChars="0" w:hanging="425" w:firstLineChars="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 xml:space="preserve">惠州港锚地水域：以中华人民共和国广东海事局2010年发布《关于沿海主要公共锚地的公告》（粤海事[2001]791号附件2“惠来至电白及三百门沿海蛀牙公共锚地一览表”中惠州港锚地信息为准（详见附件一）。        </w:t>
      </w:r>
    </w:p>
    <w:p>
      <w:pPr>
        <w:widowControl w:val="0"/>
        <w:tabs>
          <w:tab w:val="right" w:leader="dot" w:pos="8296"/>
        </w:tabs>
        <w:spacing w:beforeLines="25" w:afterLines="25" w:line="300" w:lineRule="auto"/>
        <w:ind w:left="420" w:leftChars="200" w:firstLine="420" w:firstLineChars="200"/>
        <w:jc w:val="left"/>
        <w:rPr>
          <w:rFonts w:hint="eastAsia" w:asciiTheme="minorEastAsia" w:hAnsi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t>（3）服务地点：</w:t>
      </w:r>
      <w:bookmarkStart w:id="10" w:name="_GoBack"/>
      <w:r>
        <w:rPr>
          <w:rFonts w:hint="eastAsia" w:asciiTheme="minorEastAsia" w:hAnsiTheme="minorEastAsia" w:cstheme="minorEastAsia"/>
          <w:color w:val="auto"/>
          <w:sz w:val="21"/>
          <w:szCs w:val="21"/>
          <w:lang w:val="en-US" w:eastAsia="zh-CN"/>
        </w:rPr>
        <w:t>广东惠州地区</w:t>
      </w:r>
      <w:bookmarkEnd w:id="10"/>
    </w:p>
    <w:p>
      <w:pPr>
        <w:widowControl w:val="0"/>
        <w:tabs>
          <w:tab w:val="right" w:leader="dot" w:pos="8296"/>
        </w:tabs>
        <w:spacing w:beforeLines="25" w:afterLines="25" w:line="300" w:lineRule="auto"/>
        <w:ind w:left="420" w:leftChars="200" w:firstLine="420" w:firstLineChars="200"/>
        <w:jc w:val="left"/>
        <w:rPr>
          <w:rFonts w:hint="eastAsia" w:asciiTheme="minorEastAsia" w:hAnsi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t>（4）服务期限：自合同签订之日起3年（采用1+1+1模式）</w:t>
      </w:r>
    </w:p>
    <w:bookmarkEnd w:id="2"/>
    <w:p>
      <w:pPr>
        <w:widowControl w:val="0"/>
        <w:tabs>
          <w:tab w:val="right" w:leader="dot" w:pos="8296"/>
        </w:tabs>
        <w:spacing w:beforeLines="25" w:afterLines="25" w:line="300" w:lineRule="auto"/>
        <w:ind w:firstLine="420" w:firstLineChars="200"/>
        <w:jc w:val="left"/>
        <w:rPr>
          <w:rFonts w:hint="eastAsia" w:ascii="宋体" w:hAnsi="宋体" w:eastAsia="宋体" w:cs="宋体"/>
          <w:color w:val="auto"/>
          <w:sz w:val="21"/>
          <w:szCs w:val="21"/>
        </w:rPr>
      </w:pPr>
      <w:bookmarkStart w:id="3" w:name="_Toc451257668"/>
      <w:bookmarkEnd w:id="3"/>
      <w:bookmarkStart w:id="4" w:name="_Toc451244875"/>
      <w:bookmarkEnd w:id="4"/>
      <w:bookmarkStart w:id="5" w:name="_Toc451257669"/>
      <w:bookmarkEnd w:id="5"/>
      <w:bookmarkStart w:id="6" w:name="_Toc458072120"/>
      <w:bookmarkEnd w:id="6"/>
      <w:bookmarkStart w:id="7" w:name="_Toc451244957"/>
      <w:bookmarkEnd w:id="7"/>
      <w:bookmarkStart w:id="8" w:name="_Toc459621162"/>
      <w:bookmarkEnd w:id="8"/>
      <w:bookmarkStart w:id="9" w:name="_Toc453663527"/>
      <w:bookmarkEnd w:id="9"/>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 xml:space="preserve">.2 </w:t>
      </w:r>
      <w:r>
        <w:rPr>
          <w:rFonts w:hint="eastAsia" w:ascii="宋体" w:hAnsi="宋体" w:eastAsia="宋体" w:cs="宋体"/>
          <w:color w:val="auto"/>
          <w:sz w:val="21"/>
          <w:szCs w:val="21"/>
          <w:lang w:val="en-US" w:eastAsia="zh-CN"/>
        </w:rPr>
        <w:t>工作</w:t>
      </w:r>
      <w:r>
        <w:rPr>
          <w:rFonts w:hint="eastAsia" w:ascii="宋体" w:hAnsi="宋体" w:eastAsia="宋体" w:cs="宋体"/>
          <w:color w:val="auto"/>
          <w:sz w:val="21"/>
          <w:szCs w:val="21"/>
        </w:rPr>
        <w:t>要求</w:t>
      </w:r>
    </w:p>
    <w:p>
      <w:pPr>
        <w:widowControl w:val="0"/>
        <w:tabs>
          <w:tab w:val="right" w:leader="dot" w:pos="8296"/>
        </w:tabs>
        <w:spacing w:beforeLines="25" w:afterLines="25" w:line="300" w:lineRule="auto"/>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 xml:space="preserve">2.2.1 </w:t>
      </w:r>
      <w:r>
        <w:rPr>
          <w:rFonts w:hint="eastAsia" w:ascii="宋体" w:hAnsi="宋体" w:eastAsia="宋体" w:cs="宋体"/>
          <w:color w:val="auto"/>
          <w:sz w:val="21"/>
          <w:szCs w:val="21"/>
          <w:lang w:eastAsia="zh-CN"/>
        </w:rPr>
        <w:t>服务方</w:t>
      </w:r>
      <w:r>
        <w:rPr>
          <w:rFonts w:hint="eastAsia" w:ascii="宋体" w:hAnsi="宋体" w:eastAsia="宋体" w:cs="宋体"/>
          <w:color w:val="auto"/>
          <w:sz w:val="21"/>
          <w:szCs w:val="21"/>
        </w:rPr>
        <w:t>应提供合格的人员、设备和船舶。</w:t>
      </w:r>
    </w:p>
    <w:p>
      <w:pPr>
        <w:widowControl w:val="0"/>
        <w:tabs>
          <w:tab w:val="right" w:leader="dot" w:pos="8296"/>
        </w:tabs>
        <w:spacing w:beforeLines="25" w:afterLines="25" w:line="300"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2.2.2 服务方应安排专人负责保持与采购方的联系，完成船舶租赁的各项需要沟通、协调的工作。</w:t>
      </w:r>
    </w:p>
    <w:p>
      <w:pPr>
        <w:widowControl w:val="0"/>
        <w:tabs>
          <w:tab w:val="right" w:leader="dot" w:pos="8296"/>
        </w:tabs>
        <w:spacing w:beforeLines="25" w:afterLines="25" w:line="300"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2.2.3 服务方船舶和人员具备随时在航条件。在接到采购方通知后，服务方立即组织满足本次作业要求的船舶、人员、其它设备等，准时赶到采购方指定的作业区域，按照采购方的要求开展工作。</w:t>
      </w:r>
    </w:p>
    <w:p>
      <w:pPr>
        <w:widowControl w:val="0"/>
        <w:tabs>
          <w:tab w:val="right" w:leader="dot" w:pos="8296"/>
        </w:tabs>
        <w:spacing w:beforeLines="25" w:afterLines="25" w:line="300"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2.2.4 服务方在船舶服务期间，靠离码头要通报采购方，服从采购方现场负责人的管理与指挥。</w:t>
      </w:r>
    </w:p>
    <w:p>
      <w:pPr>
        <w:widowControl w:val="0"/>
        <w:tabs>
          <w:tab w:val="right" w:leader="dot" w:pos="8296"/>
        </w:tabs>
        <w:spacing w:beforeLines="25" w:afterLines="25" w:line="300"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2.2.5 服务方船舶到达目的地和值班期间要保持与现场密切联系，保证24小时畅通，服从采购方负责人的指挥，按要求完成工作任务。</w:t>
      </w:r>
    </w:p>
    <w:p>
      <w:pPr>
        <w:widowControl w:val="0"/>
        <w:tabs>
          <w:tab w:val="right" w:leader="dot" w:pos="8296"/>
        </w:tabs>
        <w:spacing w:beforeLines="25" w:afterLines="25" w:line="300"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2.2.6 由于气候、设备、人员等因素船舶需要离开现场，经过采购方现场负责人同意方能离开。</w:t>
      </w:r>
    </w:p>
    <w:p>
      <w:pPr>
        <w:widowControl w:val="0"/>
        <w:tabs>
          <w:tab w:val="right" w:leader="dot" w:pos="8296"/>
        </w:tabs>
        <w:spacing w:beforeLines="25" w:afterLines="25" w:line="300"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2.2.7 如果服务方船舶在租用期间发生故障，预计24小时不能排除时应及时通知采购方负责人，服务方接到采购方换船通知后立即派船替换该船工作，更换船只发生的费用由服务方负责。</w:t>
      </w:r>
    </w:p>
    <w:p>
      <w:pPr>
        <w:widowControl w:val="0"/>
        <w:tabs>
          <w:tab w:val="right" w:leader="dot" w:pos="8296"/>
        </w:tabs>
        <w:spacing w:beforeLines="25" w:afterLines="25" w:line="300"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2.2.8 遇有大风警报、船舶必须事先取得现场采购方负责人的允许后，方能离开现场避风，避风期间保持通讯畅通，风减弱后应立即返回现场。</w:t>
      </w:r>
    </w:p>
    <w:p>
      <w:pPr>
        <w:widowControl w:val="0"/>
        <w:tabs>
          <w:tab w:val="right" w:leader="dot" w:pos="8296"/>
        </w:tabs>
        <w:spacing w:beforeLines="25" w:afterLines="25" w:line="300"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2.2.9 船舶在作业期间，服务方人员及服务方雇用人员必须认真执行国家、地方及相关行业对环境保护所制定的法律、法规，保护环境，接受采购方健康安全环保培训并取证后方能出海作业。</w:t>
      </w:r>
    </w:p>
    <w:p>
      <w:pPr>
        <w:widowControl w:val="0"/>
        <w:tabs>
          <w:tab w:val="right" w:leader="dot" w:pos="8296"/>
        </w:tabs>
        <w:spacing w:beforeLines="25" w:afterLines="25" w:line="300"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2.2.10由于服务方原因造成海上的、陆上的任何污染的责任由服务方承担，所受到环保部门的任何罚款，均由服务方负责，不牵连采购方。</w:t>
      </w:r>
    </w:p>
    <w:p>
      <w:pPr>
        <w:widowControl w:val="0"/>
        <w:tabs>
          <w:tab w:val="right" w:leader="dot" w:pos="8296"/>
        </w:tabs>
        <w:spacing w:beforeLines="25" w:afterLines="25" w:line="300"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2.3 健康安全环保要求</w:t>
      </w:r>
    </w:p>
    <w:p>
      <w:pPr>
        <w:widowControl w:val="0"/>
        <w:tabs>
          <w:tab w:val="right" w:leader="dot" w:pos="8296"/>
        </w:tabs>
        <w:spacing w:beforeLines="25" w:afterLines="25" w:line="300"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2.3.1服务方应对全部工作和相关工作人员的健康、安全、环保负责。服务方应遵守、并确保其员工遵守本项目对健康、安全、环保的规定、相关法律法规及采购方随时发布的相关规定和指示（包括有关对工作服、面罩、护目器具及工作鞋等安全防护要求）。</w:t>
      </w:r>
    </w:p>
    <w:p>
      <w:pPr>
        <w:widowControl w:val="0"/>
        <w:tabs>
          <w:tab w:val="right" w:leader="dot" w:pos="8296"/>
        </w:tabs>
        <w:spacing w:beforeLines="25" w:afterLines="25" w:line="300"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2.3.2服务方应根据法律法规和合理审慎供应商的标准，建立并维系自身良好的健康、安全、环保体系。</w:t>
      </w:r>
    </w:p>
    <w:p>
      <w:pPr>
        <w:widowControl w:val="0"/>
        <w:tabs>
          <w:tab w:val="right" w:leader="dot" w:pos="8296"/>
        </w:tabs>
        <w:spacing w:beforeLines="25" w:afterLines="25" w:line="300"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2.3.3服务方作业时，应避免任何可能危及人身健康、财产安全的操作，采取必要的安全和健康预防措施，不定时对所有设施、设备和材料进行健康、安全、环保检查。服务方应提供工作所需的安全设施和安全指南，保存并提供法律法规及采购方要求的所有事故、伤亡和相关事项的记录、报告。</w:t>
      </w:r>
    </w:p>
    <w:p>
      <w:pPr>
        <w:widowControl w:val="0"/>
        <w:tabs>
          <w:tab w:val="right" w:leader="dot" w:pos="8296"/>
        </w:tabs>
        <w:spacing w:beforeLines="25" w:afterLines="25" w:line="300"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2.3.4服务方应采取合理措施，防止工作造成工程现场及周边发生任何人身、财产损害，该等防护措施包括但不限于防火措施、消除聚集的粉尘及烟雾、海底电缆、海底管道等。</w:t>
      </w:r>
    </w:p>
    <w:p>
      <w:pPr>
        <w:widowControl w:val="0"/>
        <w:tabs>
          <w:tab w:val="right" w:leader="dot" w:pos="8296"/>
        </w:tabs>
        <w:spacing w:beforeLines="25" w:afterLines="25" w:line="300"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2.3.5服务方应全面负责进入服务现场的工作人员的安全。如服务现场发生任何人身伤害，无论是否与工作相关，服务方应及时将受伤人员送至最近的急救中心或医院进行救助。服务方应及时向采购方汇报任何人身伤害，并对该等事故进行全面调查。</w:t>
      </w:r>
    </w:p>
    <w:p>
      <w:pPr>
        <w:widowControl w:val="0"/>
        <w:tabs>
          <w:tab w:val="right" w:leader="dot" w:pos="8296"/>
        </w:tabs>
        <w:spacing w:beforeLines="25" w:afterLines="25" w:line="300"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2.4  施工方案及施工组织要求</w:t>
      </w:r>
    </w:p>
    <w:p>
      <w:pPr>
        <w:widowControl w:val="0"/>
        <w:tabs>
          <w:tab w:val="right" w:leader="dot" w:pos="8296"/>
        </w:tabs>
        <w:spacing w:beforeLines="25" w:afterLines="25" w:line="300"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针对船舶租赁服务，安排满足采购方要求的船舶及合格的船员，组织技术良好、经验丰富的管理人员，成立项目管理班子，负责船舶租赁服务的管理工作，负责制定船舶作业的技术方案，提供专业技术支持，保证船舶作业的顺利进行。</w:t>
      </w:r>
    </w:p>
    <w:p>
      <w:pPr>
        <w:widowControl w:val="0"/>
        <w:tabs>
          <w:tab w:val="right" w:leader="dot" w:pos="8296"/>
        </w:tabs>
        <w:spacing w:beforeLines="25" w:afterLines="25" w:line="300"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2.5  风险分析与应对：</w:t>
      </w:r>
    </w:p>
    <w:p>
      <w:pPr>
        <w:widowControl w:val="0"/>
        <w:tabs>
          <w:tab w:val="right" w:leader="dot" w:pos="8296"/>
        </w:tabs>
        <w:spacing w:beforeLines="25" w:afterLines="25" w:line="300"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服务方应根据项目特点进行风险分析和识别（如海上碰撞、溢油、火灾、人员落水、大风浪等），并针对风险级别制定应对预案。</w:t>
      </w:r>
    </w:p>
    <w:p>
      <w:pPr>
        <w:widowControl w:val="0"/>
        <w:tabs>
          <w:tab w:val="right" w:leader="dot" w:pos="8296"/>
        </w:tabs>
        <w:spacing w:beforeLines="25" w:afterLines="25" w:line="300" w:lineRule="auto"/>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2.6 ★服务船舶替换要求：</w:t>
      </w:r>
    </w:p>
    <w:p>
      <w:pPr>
        <w:widowControl w:val="0"/>
        <w:tabs>
          <w:tab w:val="right" w:leader="dot" w:pos="8296"/>
        </w:tabs>
        <w:spacing w:beforeLines="25" w:afterLines="25" w:line="300" w:lineRule="auto"/>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原则上服务方应使用投标文件中的船舶为采购方提供服务，如遇特殊情况，相关船舶不能提供服务，服务方可以安排不低于招标文件要求的船舶替代服务，替代船舶必须经过采购方同意并通过采购方验收合格后方可使用。</w:t>
      </w:r>
    </w:p>
    <w:p>
      <w:pPr>
        <w:widowControl w:val="0"/>
        <w:tabs>
          <w:tab w:val="right" w:leader="dot" w:pos="8296"/>
        </w:tabs>
        <w:spacing w:beforeLines="25" w:afterLines="25" w:line="300" w:lineRule="auto"/>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2.7 ★船舶所有权要求：</w:t>
      </w:r>
    </w:p>
    <w:p>
      <w:pPr>
        <w:widowControl w:val="0"/>
        <w:tabs>
          <w:tab w:val="right" w:leader="dot" w:pos="8296"/>
        </w:tabs>
        <w:spacing w:beforeLines="25" w:afterLines="25" w:line="300"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2.7.1 若服务方是投标船舶的所有权人，服务方应提供所投船舶的：1）船舶所有权证书以证明为自有船舶，当船舶所有权证书为公司共有性质，以《船舶所有权登记证书》中“船舶共有情况”所列内容为准，如船舶存在共有情况，服务方公司持有股份应不低于51%；2）SMC证书（按照中华人民共和国船舶安全营运和防止污染管理规则的要求不纳入船舶安全管理体系管控的船舶除外）；3）DOC证书（按照中华人民共和国船舶安全营运和防止污染管理规则的要求不纳入船舶安全管理体系管控的船舶除外），DOC证书公司的名称需与船舶SMC证书中管理公司名称保持一致。</w:t>
      </w:r>
    </w:p>
    <w:p>
      <w:pPr>
        <w:widowControl w:val="0"/>
        <w:tabs>
          <w:tab w:val="right" w:leader="dot" w:pos="8296"/>
        </w:tabs>
        <w:spacing w:beforeLines="25" w:afterLines="25" w:line="300"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2.7.2 若服务方为投标船舶的光船租赁人，服务方应提供所投船舶的：1）与船舶所有权人的“光船租赁登记证明书”，“光船租赁期限”的有效期应覆盖与采购方后续签订租船协议的有效期（起始时间从投标截止日开始算起）；2）SMC证书（按照中华人民共和国船舶安全营运和防止污染管理规则的要求不纳入船舶安全管理体系管控的船舶除外）；3）DOC证书（按照中华人民共和国船舶安全营运和防止污染管理规则的要求不纳入船舶安全管理体系管控的船舶除外），DOC证书公司的名称需与船舶SMC证书中管理公司名称保持一致。</w:t>
      </w:r>
    </w:p>
    <w:p>
      <w:pPr>
        <w:widowControl w:val="0"/>
        <w:tabs>
          <w:tab w:val="right" w:leader="dot" w:pos="8296"/>
        </w:tabs>
        <w:spacing w:beforeLines="25" w:afterLines="25" w:line="300"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2.7.3 若服务方为投标船舶的租赁人，服务方应提供：1）与船舶所有权人签署的有效期内船舶租赁合同（备注：如为非船舶运营公司的自有船舶，还需要提供船东给船舶运营公司的授权），“船舶租赁合同期限”的有效期应覆盖与采购方后续签订租船协议的有效期（起始时间从投标截止日开始算起）；2）所投船舶的SMC证书（按照中华人民共和国船舶安全营运和防止污染管理规则的要求不纳入船舶安全管理体系管控的船舶除外）；3）DOC证书（按照中华人民共和国船舶安全营运和防止污染管理规则的要求不纳入船舶安全管理体系管控的船舶除外），DOC证书公司的名称需与船舶SMC证书中管理公司名称保持一致。</w:t>
      </w:r>
    </w:p>
    <w:p>
      <w:pPr>
        <w:widowControl w:val="0"/>
        <w:tabs>
          <w:tab w:val="right" w:leader="dot" w:pos="8296"/>
        </w:tabs>
        <w:spacing w:beforeLines="25" w:afterLines="25" w:line="300"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2.7.4 如投标船舶不涉及SMC证书，投标人可不提供SMC及DOC证书。</w:t>
      </w:r>
    </w:p>
    <w:p>
      <w:pPr>
        <w:widowControl w:val="0"/>
        <w:tabs>
          <w:tab w:val="right" w:leader="dot" w:pos="8296"/>
        </w:tabs>
        <w:spacing w:beforeLines="25" w:afterLines="25" w:line="300"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2.8 服务其他要求</w:t>
      </w:r>
    </w:p>
    <w:p>
      <w:pPr>
        <w:widowControl w:val="0"/>
        <w:tabs>
          <w:tab w:val="right" w:leader="dot" w:pos="8296"/>
        </w:tabs>
        <w:spacing w:beforeLines="25" w:afterLines="25" w:line="300" w:lineRule="auto"/>
        <w:ind w:firstLine="420" w:firstLineChars="200"/>
        <w:jc w:val="left"/>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2.8.1 </w:t>
      </w:r>
      <w:r>
        <w:rPr>
          <w:rFonts w:hint="default" w:ascii="宋体" w:hAnsi="宋体" w:eastAsia="宋体" w:cs="宋体"/>
          <w:color w:val="auto"/>
          <w:sz w:val="21"/>
          <w:szCs w:val="21"/>
          <w:lang w:val="en-US" w:eastAsia="zh-CN"/>
        </w:rPr>
        <w:t>作业时间：</w:t>
      </w:r>
      <w:r>
        <w:rPr>
          <w:rFonts w:hint="eastAsia" w:ascii="宋体" w:hAnsi="宋体" w:eastAsia="宋体" w:cs="宋体"/>
          <w:color w:val="auto"/>
          <w:sz w:val="21"/>
          <w:szCs w:val="21"/>
          <w:lang w:val="en-US" w:eastAsia="zh-CN"/>
        </w:rPr>
        <w:t>采购方</w:t>
      </w:r>
      <w:r>
        <w:rPr>
          <w:rFonts w:hint="default" w:ascii="宋体" w:hAnsi="宋体" w:eastAsia="宋体" w:cs="宋体"/>
          <w:color w:val="auto"/>
          <w:sz w:val="21"/>
          <w:szCs w:val="21"/>
          <w:lang w:val="en-US" w:eastAsia="zh-CN"/>
        </w:rPr>
        <w:t>作业通知要求的任何时间。</w:t>
      </w:r>
    </w:p>
    <w:p>
      <w:pPr>
        <w:widowControl w:val="0"/>
        <w:tabs>
          <w:tab w:val="right" w:leader="dot" w:pos="8296"/>
        </w:tabs>
        <w:spacing w:beforeLines="25" w:afterLines="25" w:line="300" w:lineRule="auto"/>
        <w:ind w:firstLine="420" w:firstLineChars="200"/>
        <w:jc w:val="left"/>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2.8.2 </w:t>
      </w:r>
      <w:r>
        <w:rPr>
          <w:rFonts w:hint="default" w:ascii="宋体" w:hAnsi="宋体" w:eastAsia="宋体" w:cs="宋体"/>
          <w:color w:val="auto"/>
          <w:sz w:val="21"/>
          <w:szCs w:val="21"/>
          <w:lang w:val="en-US" w:eastAsia="zh-CN"/>
        </w:rPr>
        <w:t>工作要求：</w:t>
      </w:r>
      <w:r>
        <w:rPr>
          <w:rFonts w:hint="eastAsia" w:ascii="宋体" w:hAnsi="宋体" w:eastAsia="宋体" w:cs="宋体"/>
          <w:color w:val="auto"/>
          <w:sz w:val="21"/>
          <w:szCs w:val="21"/>
          <w:lang w:val="en-US" w:eastAsia="zh-CN"/>
        </w:rPr>
        <w:t>服务方</w:t>
      </w:r>
      <w:r>
        <w:rPr>
          <w:rFonts w:hint="default" w:ascii="宋体" w:hAnsi="宋体" w:eastAsia="宋体" w:cs="宋体"/>
          <w:color w:val="auto"/>
          <w:sz w:val="21"/>
          <w:szCs w:val="21"/>
          <w:lang w:val="en-US" w:eastAsia="zh-CN"/>
        </w:rPr>
        <w:t>在接到</w:t>
      </w:r>
      <w:r>
        <w:rPr>
          <w:rFonts w:hint="eastAsia" w:ascii="宋体" w:hAnsi="宋体" w:eastAsia="宋体" w:cs="宋体"/>
          <w:color w:val="auto"/>
          <w:sz w:val="21"/>
          <w:szCs w:val="21"/>
          <w:lang w:val="en-US" w:eastAsia="zh-CN"/>
        </w:rPr>
        <w:t>采购方</w:t>
      </w:r>
      <w:r>
        <w:rPr>
          <w:rFonts w:hint="default" w:ascii="宋体" w:hAnsi="宋体" w:eastAsia="宋体" w:cs="宋体"/>
          <w:color w:val="auto"/>
          <w:sz w:val="21"/>
          <w:szCs w:val="21"/>
          <w:lang w:val="en-US" w:eastAsia="zh-CN"/>
        </w:rPr>
        <w:t>作业指令后，须按照</w:t>
      </w:r>
      <w:r>
        <w:rPr>
          <w:rFonts w:hint="eastAsia" w:ascii="宋体" w:hAnsi="宋体" w:eastAsia="宋体" w:cs="宋体"/>
          <w:color w:val="auto"/>
          <w:sz w:val="21"/>
          <w:szCs w:val="21"/>
          <w:lang w:val="en-US" w:eastAsia="zh-CN"/>
        </w:rPr>
        <w:t>采购方</w:t>
      </w:r>
      <w:r>
        <w:rPr>
          <w:rFonts w:hint="default" w:ascii="宋体" w:hAnsi="宋体" w:eastAsia="宋体" w:cs="宋体"/>
          <w:color w:val="auto"/>
          <w:sz w:val="21"/>
          <w:szCs w:val="21"/>
          <w:lang w:val="en-US" w:eastAsia="zh-CN"/>
        </w:rPr>
        <w:t>要求的作业时间，安排交通艇及驾驶员至少提前10分钟抵达指定作业地点待命。</w:t>
      </w:r>
    </w:p>
    <w:p>
      <w:pPr>
        <w:widowControl w:val="0"/>
        <w:tabs>
          <w:tab w:val="right" w:leader="dot" w:pos="8296"/>
        </w:tabs>
        <w:spacing w:beforeLines="25" w:afterLines="25" w:line="300" w:lineRule="auto"/>
        <w:ind w:firstLine="420" w:firstLineChars="200"/>
        <w:jc w:val="left"/>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2.8.3 服务方</w:t>
      </w:r>
      <w:r>
        <w:rPr>
          <w:rFonts w:hint="default" w:ascii="宋体" w:hAnsi="宋体" w:eastAsia="宋体" w:cs="宋体"/>
          <w:color w:val="auto"/>
          <w:sz w:val="21"/>
          <w:szCs w:val="21"/>
          <w:lang w:val="en-US" w:eastAsia="zh-CN"/>
        </w:rPr>
        <w:t>保证所提供的交通艇上的驾驶员、船员以及所有的机器设备，均应根据</w:t>
      </w:r>
      <w:r>
        <w:rPr>
          <w:rFonts w:hint="eastAsia" w:ascii="宋体" w:hAnsi="宋体" w:eastAsia="宋体" w:cs="宋体"/>
          <w:color w:val="auto"/>
          <w:sz w:val="21"/>
          <w:szCs w:val="21"/>
          <w:lang w:val="en-US" w:eastAsia="zh-CN"/>
        </w:rPr>
        <w:t>采购方</w:t>
      </w:r>
      <w:r>
        <w:rPr>
          <w:rFonts w:hint="default" w:ascii="宋体" w:hAnsi="宋体" w:eastAsia="宋体" w:cs="宋体"/>
          <w:color w:val="auto"/>
          <w:sz w:val="21"/>
          <w:szCs w:val="21"/>
          <w:lang w:val="en-US" w:eastAsia="zh-CN"/>
        </w:rPr>
        <w:t>的需要，按要求的时间及计划，履行其职责。</w:t>
      </w:r>
    </w:p>
    <w:p>
      <w:pPr>
        <w:widowControl w:val="0"/>
        <w:tabs>
          <w:tab w:val="right" w:leader="dot" w:pos="8296"/>
        </w:tabs>
        <w:spacing w:beforeLines="25" w:afterLines="25" w:line="300" w:lineRule="auto"/>
        <w:ind w:firstLine="420" w:firstLineChars="200"/>
        <w:jc w:val="left"/>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2.8.4 </w:t>
      </w:r>
      <w:r>
        <w:rPr>
          <w:rFonts w:hint="default" w:ascii="宋体" w:hAnsi="宋体" w:eastAsia="宋体" w:cs="宋体"/>
          <w:color w:val="auto"/>
          <w:sz w:val="21"/>
          <w:szCs w:val="21"/>
          <w:lang w:val="en-US" w:eastAsia="zh-CN"/>
        </w:rPr>
        <w:t>气象条件及措施：在惠州地区交通艇人员接送服务过程中，如遇到恶劣气象或灾难性天气，在征得</w:t>
      </w:r>
      <w:r>
        <w:rPr>
          <w:rFonts w:hint="eastAsia" w:ascii="宋体" w:hAnsi="宋体" w:eastAsia="宋体" w:cs="宋体"/>
          <w:color w:val="auto"/>
          <w:sz w:val="21"/>
          <w:szCs w:val="21"/>
          <w:lang w:val="en-US" w:eastAsia="zh-CN"/>
        </w:rPr>
        <w:t>采购方</w:t>
      </w:r>
      <w:r>
        <w:rPr>
          <w:rFonts w:hint="default" w:ascii="宋体" w:hAnsi="宋体" w:eastAsia="宋体" w:cs="宋体"/>
          <w:color w:val="auto"/>
          <w:sz w:val="21"/>
          <w:szCs w:val="21"/>
          <w:lang w:val="en-US" w:eastAsia="zh-CN"/>
        </w:rPr>
        <w:t>同意的情况下，驾驶员有权决定交通艇停航或开往避风港锚地避风。</w:t>
      </w:r>
    </w:p>
    <w:p>
      <w:pPr>
        <w:widowControl w:val="0"/>
        <w:tabs>
          <w:tab w:val="right" w:leader="dot" w:pos="8296"/>
        </w:tabs>
        <w:spacing w:beforeLines="25" w:afterLines="25" w:line="300" w:lineRule="auto"/>
        <w:ind w:firstLine="420" w:firstLineChars="200"/>
        <w:jc w:val="left"/>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2.8.5 服务方</w:t>
      </w:r>
      <w:r>
        <w:rPr>
          <w:rFonts w:hint="default" w:ascii="宋体" w:hAnsi="宋体" w:eastAsia="宋体" w:cs="宋体"/>
          <w:color w:val="auto"/>
          <w:sz w:val="21"/>
          <w:szCs w:val="21"/>
          <w:lang w:val="en-US" w:eastAsia="zh-CN"/>
        </w:rPr>
        <w:t>应执行良好的行业惯例提供优质、高效的服务。在提供服务过程中，</w:t>
      </w:r>
      <w:r>
        <w:rPr>
          <w:rFonts w:hint="eastAsia" w:ascii="宋体" w:hAnsi="宋体" w:eastAsia="宋体" w:cs="宋体"/>
          <w:color w:val="auto"/>
          <w:sz w:val="21"/>
          <w:szCs w:val="21"/>
          <w:lang w:val="en-US" w:eastAsia="zh-CN"/>
        </w:rPr>
        <w:t>服务方</w:t>
      </w:r>
      <w:r>
        <w:rPr>
          <w:rFonts w:hint="default" w:ascii="宋体" w:hAnsi="宋体" w:eastAsia="宋体" w:cs="宋体"/>
          <w:color w:val="auto"/>
          <w:sz w:val="21"/>
          <w:szCs w:val="21"/>
          <w:lang w:val="en-US" w:eastAsia="zh-CN"/>
        </w:rPr>
        <w:t>应维护</w:t>
      </w:r>
      <w:r>
        <w:rPr>
          <w:rFonts w:hint="eastAsia" w:ascii="宋体" w:hAnsi="宋体" w:eastAsia="宋体" w:cs="宋体"/>
          <w:color w:val="auto"/>
          <w:sz w:val="21"/>
          <w:szCs w:val="21"/>
          <w:lang w:val="en-US" w:eastAsia="zh-CN"/>
        </w:rPr>
        <w:t>采购方</w:t>
      </w:r>
      <w:r>
        <w:rPr>
          <w:rFonts w:hint="default" w:ascii="宋体" w:hAnsi="宋体" w:eastAsia="宋体" w:cs="宋体"/>
          <w:color w:val="auto"/>
          <w:sz w:val="21"/>
          <w:szCs w:val="21"/>
          <w:lang w:val="en-US" w:eastAsia="zh-CN"/>
        </w:rPr>
        <w:t>利益，不得实施任何违背</w:t>
      </w:r>
      <w:r>
        <w:rPr>
          <w:rFonts w:hint="eastAsia" w:ascii="宋体" w:hAnsi="宋体" w:eastAsia="宋体" w:cs="宋体"/>
          <w:color w:val="auto"/>
          <w:sz w:val="21"/>
          <w:szCs w:val="21"/>
          <w:lang w:val="en-US" w:eastAsia="zh-CN"/>
        </w:rPr>
        <w:t>采购方</w:t>
      </w:r>
      <w:r>
        <w:rPr>
          <w:rFonts w:hint="default" w:ascii="宋体" w:hAnsi="宋体" w:eastAsia="宋体" w:cs="宋体"/>
          <w:color w:val="auto"/>
          <w:sz w:val="21"/>
          <w:szCs w:val="21"/>
          <w:lang w:val="en-US" w:eastAsia="zh-CN"/>
        </w:rPr>
        <w:t>利益的行为。</w:t>
      </w:r>
    </w:p>
    <w:p>
      <w:pPr>
        <w:widowControl w:val="0"/>
        <w:tabs>
          <w:tab w:val="right" w:leader="dot" w:pos="8296"/>
        </w:tabs>
        <w:spacing w:beforeLines="25" w:afterLines="25" w:line="300" w:lineRule="auto"/>
        <w:ind w:firstLine="420" w:firstLineChars="200"/>
        <w:jc w:val="left"/>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2.8.6 服务方</w:t>
      </w:r>
      <w:r>
        <w:rPr>
          <w:rFonts w:hint="default" w:ascii="宋体" w:hAnsi="宋体" w:eastAsia="宋体" w:cs="宋体"/>
          <w:color w:val="auto"/>
          <w:sz w:val="21"/>
          <w:szCs w:val="21"/>
          <w:lang w:val="en-US" w:eastAsia="zh-CN"/>
        </w:rPr>
        <w:t>在履行合同时，应遵守中国相关法律法规及</w:t>
      </w:r>
      <w:r>
        <w:rPr>
          <w:rFonts w:hint="eastAsia" w:ascii="宋体" w:hAnsi="宋体" w:eastAsia="宋体" w:cs="宋体"/>
          <w:color w:val="auto"/>
          <w:sz w:val="21"/>
          <w:szCs w:val="21"/>
          <w:lang w:val="en-US" w:eastAsia="zh-CN"/>
        </w:rPr>
        <w:t>采购方</w:t>
      </w:r>
      <w:r>
        <w:rPr>
          <w:rFonts w:hint="default" w:ascii="宋体" w:hAnsi="宋体" w:eastAsia="宋体" w:cs="宋体"/>
          <w:color w:val="auto"/>
          <w:sz w:val="21"/>
          <w:szCs w:val="21"/>
          <w:lang w:val="en-US" w:eastAsia="zh-CN"/>
        </w:rPr>
        <w:t>关于健康、安全及环保的规定：</w:t>
      </w:r>
    </w:p>
    <w:p>
      <w:pPr>
        <w:widowControl w:val="0"/>
        <w:tabs>
          <w:tab w:val="right" w:leader="dot" w:pos="8296"/>
        </w:tabs>
        <w:spacing w:beforeLines="25" w:afterLines="25" w:line="300" w:lineRule="auto"/>
        <w:ind w:firstLine="420" w:firstLineChars="200"/>
        <w:jc w:val="left"/>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2.8.7 服务方</w:t>
      </w:r>
      <w:r>
        <w:rPr>
          <w:rFonts w:hint="default" w:ascii="宋体" w:hAnsi="宋体" w:eastAsia="宋体" w:cs="宋体"/>
          <w:color w:val="auto"/>
          <w:sz w:val="21"/>
          <w:szCs w:val="21"/>
          <w:lang w:val="en-US" w:eastAsia="zh-CN"/>
        </w:rPr>
        <w:t>中标后需按要求购买船舶旅客保险，旅客保险总额不低于100万元。</w:t>
      </w:r>
    </w:p>
    <w:p>
      <w:pPr>
        <w:widowControl w:val="0"/>
        <w:tabs>
          <w:tab w:val="right" w:leader="dot" w:pos="8296"/>
        </w:tabs>
        <w:spacing w:beforeLines="25" w:afterLines="25" w:line="300" w:lineRule="auto"/>
        <w:ind w:firstLine="420" w:firstLineChars="200"/>
        <w:jc w:val="left"/>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2.8.8 采购方</w:t>
      </w:r>
      <w:r>
        <w:rPr>
          <w:rFonts w:hint="default" w:ascii="宋体" w:hAnsi="宋体" w:eastAsia="宋体" w:cs="宋体"/>
          <w:color w:val="auto"/>
          <w:sz w:val="21"/>
          <w:szCs w:val="21"/>
          <w:lang w:val="en-US" w:eastAsia="zh-CN"/>
        </w:rPr>
        <w:t>有权根据需要修订其健康、安全及环保政策并将最新文件发给</w:t>
      </w:r>
      <w:r>
        <w:rPr>
          <w:rFonts w:hint="eastAsia" w:ascii="宋体" w:hAnsi="宋体" w:eastAsia="宋体" w:cs="宋体"/>
          <w:color w:val="auto"/>
          <w:sz w:val="21"/>
          <w:szCs w:val="21"/>
          <w:lang w:val="en-US" w:eastAsia="zh-CN"/>
        </w:rPr>
        <w:t>服务方</w:t>
      </w:r>
      <w:r>
        <w:rPr>
          <w:rFonts w:hint="default" w:ascii="宋体" w:hAnsi="宋体" w:eastAsia="宋体" w:cs="宋体"/>
          <w:color w:val="auto"/>
          <w:sz w:val="21"/>
          <w:szCs w:val="21"/>
          <w:lang w:val="en-US" w:eastAsia="zh-CN"/>
        </w:rPr>
        <w:t>以便遵照执行。</w:t>
      </w:r>
    </w:p>
    <w:p>
      <w:pPr>
        <w:widowControl w:val="0"/>
        <w:tabs>
          <w:tab w:val="right" w:leader="dot" w:pos="8296"/>
        </w:tabs>
        <w:spacing w:beforeLines="25" w:afterLines="25" w:line="300" w:lineRule="auto"/>
        <w:ind w:firstLine="420" w:firstLineChars="200"/>
        <w:jc w:val="left"/>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2.8.9 服务方</w:t>
      </w:r>
      <w:r>
        <w:rPr>
          <w:rFonts w:hint="default" w:ascii="宋体" w:hAnsi="宋体" w:eastAsia="宋体" w:cs="宋体"/>
          <w:color w:val="auto"/>
          <w:sz w:val="21"/>
          <w:szCs w:val="21"/>
          <w:lang w:val="en-US" w:eastAsia="zh-CN"/>
        </w:rPr>
        <w:t>应保证其完成工作和工作成果符合国家要求的健康、安全及环保标准。</w:t>
      </w:r>
    </w:p>
    <w:p>
      <w:pPr>
        <w:widowControl w:val="0"/>
        <w:tabs>
          <w:tab w:val="right" w:leader="dot" w:pos="8296"/>
        </w:tabs>
        <w:spacing w:beforeLines="25" w:afterLines="25" w:line="300" w:lineRule="auto"/>
        <w:ind w:firstLine="420" w:firstLineChars="200"/>
        <w:jc w:val="left"/>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2.8.10 服务方</w:t>
      </w:r>
      <w:r>
        <w:rPr>
          <w:rFonts w:hint="default" w:ascii="宋体" w:hAnsi="宋体" w:eastAsia="宋体" w:cs="宋体"/>
          <w:color w:val="auto"/>
          <w:sz w:val="21"/>
          <w:szCs w:val="21"/>
          <w:lang w:val="en-US" w:eastAsia="zh-CN"/>
        </w:rPr>
        <w:t>的燃油和水均由</w:t>
      </w:r>
      <w:r>
        <w:rPr>
          <w:rFonts w:hint="eastAsia" w:ascii="宋体" w:hAnsi="宋体" w:eastAsia="宋体" w:cs="宋体"/>
          <w:color w:val="auto"/>
          <w:sz w:val="21"/>
          <w:szCs w:val="21"/>
          <w:lang w:val="en-US" w:eastAsia="zh-CN"/>
        </w:rPr>
        <w:t>服务方</w:t>
      </w:r>
      <w:r>
        <w:rPr>
          <w:rFonts w:hint="default" w:ascii="宋体" w:hAnsi="宋体" w:eastAsia="宋体" w:cs="宋体"/>
          <w:color w:val="auto"/>
          <w:sz w:val="21"/>
          <w:szCs w:val="21"/>
          <w:lang w:val="en-US" w:eastAsia="zh-CN"/>
        </w:rPr>
        <w:t>自行提供。</w:t>
      </w:r>
    </w:p>
    <w:p>
      <w:pPr>
        <w:keepNext w:val="0"/>
        <w:keepLines w:val="0"/>
        <w:pageBreakBefore w:val="0"/>
        <w:widowControl w:val="0"/>
        <w:numPr>
          <w:ilvl w:val="0"/>
          <w:numId w:val="1"/>
        </w:numPr>
        <w:kinsoku/>
        <w:wordWrap/>
        <w:overflowPunct w:val="0"/>
        <w:topLinePunct w:val="0"/>
        <w:autoSpaceDE/>
        <w:autoSpaceDN/>
        <w:bidi w:val="0"/>
        <w:adjustRightInd/>
        <w:snapToGrid/>
        <w:spacing w:beforeLines="0" w:after="120" w:afterLines="0" w:line="360" w:lineRule="auto"/>
        <w:ind w:left="0" w:firstLine="420" w:firstLineChars="200"/>
        <w:jc w:val="both"/>
        <w:textAlignment w:val="auto"/>
        <w:outlineLvl w:val="0"/>
        <w:rPr>
          <w:rFonts w:hint="eastAsia" w:ascii="黑体" w:hAnsi="黑体" w:eastAsia="黑体" w:cs="黑体"/>
          <w:color w:val="auto"/>
          <w:sz w:val="21"/>
          <w:szCs w:val="21"/>
          <w:highlight w:val="none"/>
          <w:lang w:val="en-US" w:eastAsia="zh-CN" w:bidi="ar-SA"/>
        </w:rPr>
      </w:pPr>
      <w:r>
        <w:rPr>
          <w:rFonts w:hint="eastAsia" w:ascii="黑体" w:hAnsi="黑体" w:eastAsia="黑体" w:cs="黑体"/>
          <w:color w:val="auto"/>
          <w:sz w:val="21"/>
          <w:szCs w:val="21"/>
          <w:lang w:val="en-US" w:eastAsia="zh-CN" w:bidi="ar-SA"/>
        </w:rPr>
        <w:t>资源配</w:t>
      </w:r>
      <w:r>
        <w:rPr>
          <w:rFonts w:hint="eastAsia" w:ascii="黑体" w:hAnsi="黑体" w:eastAsia="黑体" w:cs="黑体"/>
          <w:color w:val="auto"/>
          <w:sz w:val="21"/>
          <w:szCs w:val="21"/>
          <w:highlight w:val="none"/>
          <w:lang w:val="en-US" w:eastAsia="zh-CN" w:bidi="ar-SA"/>
        </w:rPr>
        <w:t>置要求</w:t>
      </w:r>
    </w:p>
    <w:p>
      <w:pPr>
        <w:widowControl w:val="0"/>
        <w:tabs>
          <w:tab w:val="right" w:leader="dot" w:pos="8296"/>
        </w:tabs>
        <w:spacing w:beforeLines="25" w:afterLines="25" w:line="30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3.1 船舶要求（交通艇1）</w:t>
      </w:r>
    </w:p>
    <w:p>
      <w:pPr>
        <w:widowControl w:val="0"/>
        <w:tabs>
          <w:tab w:val="right" w:leader="dot" w:pos="8296"/>
        </w:tabs>
        <w:spacing w:beforeLines="25" w:afterLines="25" w:line="300" w:lineRule="auto"/>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3.1.1乘客额定人数：不少于6人。</w:t>
      </w:r>
    </w:p>
    <w:p>
      <w:pPr>
        <w:widowControl w:val="0"/>
        <w:tabs>
          <w:tab w:val="right" w:leader="dot" w:pos="8296"/>
        </w:tabs>
        <w:spacing w:beforeLines="25" w:afterLines="25" w:line="300" w:lineRule="auto"/>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3.1.3船舶主机功率：主机功率不小于80KW。</w:t>
      </w:r>
    </w:p>
    <w:p>
      <w:pPr>
        <w:widowControl w:val="0"/>
        <w:tabs>
          <w:tab w:val="right" w:leader="dot" w:pos="8296"/>
        </w:tabs>
        <w:spacing w:beforeLines="25" w:afterLines="25" w:line="30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3.2 船舶要求（交通艇2）</w:t>
      </w:r>
    </w:p>
    <w:p>
      <w:pPr>
        <w:widowControl w:val="0"/>
        <w:tabs>
          <w:tab w:val="right" w:leader="dot" w:pos="8296"/>
        </w:tabs>
        <w:spacing w:beforeLines="25" w:afterLines="25" w:line="300" w:lineRule="auto"/>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3.1.1乘客额定人数：不少于10人。</w:t>
      </w:r>
    </w:p>
    <w:p>
      <w:pPr>
        <w:widowControl w:val="0"/>
        <w:tabs>
          <w:tab w:val="right" w:leader="dot" w:pos="8296"/>
        </w:tabs>
        <w:spacing w:beforeLines="25" w:afterLines="25" w:line="300" w:lineRule="auto"/>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3.1.3船舶主机功率：主机功率不小于220KW。</w:t>
      </w:r>
    </w:p>
    <w:p>
      <w:pPr>
        <w:widowControl w:val="0"/>
        <w:tabs>
          <w:tab w:val="right" w:leader="dot" w:pos="8296"/>
        </w:tabs>
        <w:spacing w:beforeLines="25" w:afterLines="25" w:line="300" w:lineRule="auto"/>
        <w:ind w:firstLine="420" w:firstLineChars="200"/>
        <w:jc w:val="lef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 船舶其他要求</w:t>
      </w:r>
    </w:p>
    <w:p>
      <w:pPr>
        <w:widowControl w:val="0"/>
        <w:tabs>
          <w:tab w:val="right" w:leader="dot" w:pos="8296"/>
        </w:tabs>
        <w:spacing w:beforeLines="25" w:afterLines="25" w:line="300" w:lineRule="auto"/>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3.3.1船龄要求：船舶建造完成时间不早于2008年01月01日。</w:t>
      </w:r>
    </w:p>
    <w:p>
      <w:pPr>
        <w:widowControl w:val="0"/>
        <w:tabs>
          <w:tab w:val="right" w:leader="dot" w:pos="8296"/>
        </w:tabs>
        <w:spacing w:beforeLines="25" w:afterLines="25" w:line="300" w:lineRule="auto"/>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3.3.2消防、救生设备配置：按证书上要求配备。</w:t>
      </w:r>
    </w:p>
    <w:p>
      <w:pPr>
        <w:widowControl w:val="0"/>
        <w:tabs>
          <w:tab w:val="right" w:leader="dot" w:pos="8296"/>
        </w:tabs>
        <w:spacing w:beforeLines="25" w:afterLines="25" w:line="300"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3.3.3安全设施配置：必须配备乘客上下交通艇的安全设施：如护拦、扶手等。</w:t>
      </w:r>
    </w:p>
    <w:p>
      <w:pPr>
        <w:widowControl w:val="0"/>
        <w:tabs>
          <w:tab w:val="right" w:leader="dot" w:pos="8296"/>
        </w:tabs>
        <w:spacing w:beforeLines="25" w:afterLines="25" w:line="300"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3.3.4应急装置及部署：必须在交通艇醒目位置贴示应急逃生标识，标明应急须知：紧急情况下采取的重要行动；保证应急报警系统的完好可用。</w:t>
      </w:r>
    </w:p>
    <w:p>
      <w:pPr>
        <w:widowControl w:val="0"/>
        <w:tabs>
          <w:tab w:val="right" w:leader="dot" w:pos="8296"/>
        </w:tabs>
        <w:spacing w:beforeLines="25" w:afterLines="25" w:line="300"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3.3.5提供船舶相关资料至甲方备案：有效期内的船舶检验证书或适航证书，证书应包括船舶建造时间、检验有效期、功率、乘员定额、无线电设备等相关参数。</w:t>
      </w:r>
    </w:p>
    <w:p>
      <w:pPr>
        <w:widowControl w:val="0"/>
        <w:tabs>
          <w:tab w:val="right" w:leader="dot" w:pos="8296"/>
        </w:tabs>
        <w:spacing w:beforeLines="25" w:afterLines="25" w:line="300"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3.3.6 乙方应确保提供的交通艇适航，并使船壳、机器和设备处于良好工作状态，各项资质证书在有效期内，并在合同生效后提交所提供的交通艇相关资质证书到甲方处备案。</w:t>
      </w:r>
    </w:p>
    <w:p>
      <w:pPr>
        <w:widowControl w:val="0"/>
        <w:tabs>
          <w:tab w:val="right" w:leader="dot" w:pos="8296"/>
        </w:tabs>
        <w:spacing w:beforeLines="25" w:afterLines="25" w:line="300"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3.3.7 严禁使用《老旧运输船舶管理规定》已达到强制报废年限的超龄船舶。</w:t>
      </w:r>
    </w:p>
    <w:p>
      <w:pPr>
        <w:widowControl w:val="0"/>
        <w:tabs>
          <w:tab w:val="right" w:leader="dot" w:pos="8296"/>
        </w:tabs>
        <w:spacing w:beforeLines="25" w:afterLines="25" w:line="300"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3.4人员要求：</w:t>
      </w:r>
    </w:p>
    <w:p>
      <w:pPr>
        <w:widowControl w:val="0"/>
        <w:tabs>
          <w:tab w:val="right" w:leader="dot" w:pos="8296"/>
        </w:tabs>
        <w:spacing w:beforeLines="25" w:afterLines="25" w:line="300"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3.4.1 交通艇操作人员应具有相关政府、海事局或交管所等管理部门规定的工作资质及经验技能。</w:t>
      </w:r>
    </w:p>
    <w:p>
      <w:pPr>
        <w:widowControl w:val="0"/>
        <w:tabs>
          <w:tab w:val="right" w:leader="dot" w:pos="8296"/>
        </w:tabs>
        <w:spacing w:beforeLines="25" w:afterLines="25" w:line="300"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3.4.2 交通艇操作人员必须具有行政主管部门颁发的相关证书，包括并不限于《船员适认证》、《培训合格证》、《船员健康证明》。</w:t>
      </w:r>
    </w:p>
    <w:p>
      <w:pPr>
        <w:widowControl w:val="0"/>
        <w:tabs>
          <w:tab w:val="right" w:leader="dot" w:pos="8296"/>
        </w:tabs>
        <w:spacing w:beforeLines="25" w:afterLines="25" w:line="300"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3.4.3 乙方保证所提供的交通艇上的驾驶员、船员以及所有的机器设备，均应根据甲方的需要，按要求的时间及计划，履行其职责。</w:t>
      </w:r>
    </w:p>
    <w:p>
      <w:pPr>
        <w:widowControl w:val="0"/>
        <w:tabs>
          <w:tab w:val="right" w:leader="dot" w:pos="8296"/>
        </w:tabs>
        <w:spacing w:beforeLines="25" w:afterLines="25" w:line="300"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3.4.4 交通艇操作人员在任何情况下均应对交通艇安全作业和对交通艇、船员、乘客的安全负责。正常天气白天视线良好，海面风浪平稳的情况下，按最低配员配置；如遇晚上或恶劣天气下（暴雨、大雾、海面4级风以上等情况下）行驶，应增配一名安全员协助航行，确保航行安全；</w:t>
      </w:r>
    </w:p>
    <w:p>
      <w:pPr>
        <w:widowControl w:val="0"/>
        <w:tabs>
          <w:tab w:val="right" w:leader="dot" w:pos="8296"/>
        </w:tabs>
        <w:spacing w:beforeLines="25" w:afterLines="25" w:line="300" w:lineRule="auto"/>
        <w:ind w:firstLine="420" w:firstLineChars="200"/>
        <w:jc w:val="left"/>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3.4.5 交通艇操作人员应听从甲方的指示及时做好作业准备，交通艇操作人员没有正当的理由无权拒绝作业。如出现特殊用艇情况时（外轮船上人员身体健康出现问题的情形），乙方应积极配合并安排好相关人员，配备救护装备，确保甲方的用艇需求，不能拒绝出艇。但在危及交通艇、船员、乘艇人员人身安全时，驾驶员有权拒绝执行甲方下达的作业指令，但事后交通艇操作人员应向甲方详细解释拒绝执行作业的理由。</w:t>
      </w:r>
    </w:p>
    <w:p>
      <w:pPr>
        <w:widowControl w:val="0"/>
        <w:tabs>
          <w:tab w:val="right" w:leader="dot" w:pos="8296"/>
        </w:tabs>
        <w:spacing w:beforeLines="25" w:afterLines="25" w:line="300" w:lineRule="auto"/>
        <w:ind w:firstLine="420" w:firstLineChars="200"/>
        <w:jc w:val="left"/>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3.4.6 交通艇驾驶和操作人员不得酒后驾驶、疲劳驾驶；</w:t>
      </w:r>
    </w:p>
    <w:p>
      <w:pPr>
        <w:keepNext w:val="0"/>
        <w:keepLines w:val="0"/>
        <w:pageBreakBefore w:val="0"/>
        <w:widowControl w:val="0"/>
        <w:numPr>
          <w:ilvl w:val="0"/>
          <w:numId w:val="1"/>
        </w:numPr>
        <w:kinsoku/>
        <w:wordWrap/>
        <w:overflowPunct w:val="0"/>
        <w:topLinePunct w:val="0"/>
        <w:autoSpaceDE/>
        <w:autoSpaceDN/>
        <w:bidi w:val="0"/>
        <w:adjustRightInd/>
        <w:snapToGrid/>
        <w:spacing w:beforeLines="0" w:after="120" w:afterLines="0" w:line="360" w:lineRule="auto"/>
        <w:ind w:left="0" w:firstLine="420" w:firstLineChars="200"/>
        <w:jc w:val="both"/>
        <w:textAlignment w:val="auto"/>
        <w:outlineLvl w:val="0"/>
        <w:rPr>
          <w:rFonts w:hint="eastAsia" w:ascii="黑体" w:hAnsi="黑体" w:eastAsia="黑体" w:cs="黑体"/>
          <w:color w:val="auto"/>
          <w:sz w:val="21"/>
          <w:szCs w:val="21"/>
          <w:lang w:val="en-US" w:eastAsia="zh-CN" w:bidi="ar-SA"/>
        </w:rPr>
      </w:pPr>
      <w:r>
        <w:rPr>
          <w:rFonts w:hint="eastAsia" w:ascii="黑体" w:hAnsi="黑体" w:eastAsia="黑体" w:cs="黑体"/>
          <w:color w:val="auto"/>
          <w:sz w:val="21"/>
          <w:szCs w:val="21"/>
          <w:lang w:val="en-US" w:eastAsia="zh-CN" w:bidi="ar-SA"/>
        </w:rPr>
        <w:t>验收标准</w:t>
      </w:r>
    </w:p>
    <w:p>
      <w:pPr>
        <w:widowControl w:val="0"/>
        <w:tabs>
          <w:tab w:val="right" w:leader="dot" w:pos="8296"/>
        </w:tabs>
        <w:spacing w:beforeLines="25" w:afterLines="25" w:line="300" w:lineRule="auto"/>
        <w:ind w:firstLine="420" w:firstLineChars="200"/>
        <w:jc w:val="left"/>
        <w:rPr>
          <w:rFonts w:hint="default" w:asciiTheme="minorEastAsia" w:hAnsi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t>4.1 服务方船舶进场服务开始前，采购方需按照招标文件、投标文件、合同条款中约定的服务船舶技术指标，如船舶类型、船舶吨位、船舶主机功率、船龄等，对服务方提供的服务船舶开展入场前安全验收工作，并出具安全验收报告。经采购方验收合格的服务船舶方可参与现场服务工作</w:t>
      </w:r>
    </w:p>
    <w:p>
      <w:pPr>
        <w:widowControl w:val="0"/>
        <w:tabs>
          <w:tab w:val="right" w:leader="dot" w:pos="8296"/>
        </w:tabs>
        <w:spacing w:beforeLines="25" w:afterLines="25" w:line="300" w:lineRule="auto"/>
        <w:ind w:firstLine="420" w:firstLineChars="200"/>
        <w:jc w:val="left"/>
        <w:rPr>
          <w:rFonts w:hint="eastAsia" w:asciiTheme="minorEastAsia" w:hAnsi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t>4.2服务方于工作期限结束前应提供符合本项目要求的工作成果，并对工作成果的准确性、完整性负责。如验收过程发现工作存在任何缺陷、瑕疵、疏漏或不符合本项目的规定，服务方应根据采购方的要求，立即采取一切必要、合理的补救措施排除该等缺陷、瑕疵和疏漏。服务方应承担因此发生的一切费用。</w:t>
      </w:r>
    </w:p>
    <w:p>
      <w:pPr>
        <w:widowControl w:val="0"/>
        <w:tabs>
          <w:tab w:val="right" w:leader="dot" w:pos="8296"/>
        </w:tabs>
        <w:spacing w:beforeLines="25" w:afterLines="25" w:line="300" w:lineRule="auto"/>
        <w:ind w:firstLine="420" w:firstLineChars="200"/>
        <w:jc w:val="left"/>
        <w:rPr>
          <w:rFonts w:hint="default" w:asciiTheme="minorEastAsia" w:hAnsi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t>4.3 交通艇操作人员接/送甲方乘艇人员时须主动确认身份信息（公司名称、姓名、职务、健康状况），协助随船物资安置。</w:t>
      </w:r>
    </w:p>
    <w:p>
      <w:pPr>
        <w:widowControl w:val="0"/>
        <w:tabs>
          <w:tab w:val="right" w:leader="dot" w:pos="8296"/>
        </w:tabs>
        <w:spacing w:beforeLines="25" w:afterLines="25" w:line="300" w:lineRule="auto"/>
        <w:ind w:firstLine="420" w:firstLineChars="200"/>
        <w:jc w:val="left"/>
        <w:rPr>
          <w:rFonts w:hint="eastAsia" w:asciiTheme="minorEastAsia" w:hAnsi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t>4.4 交通艇操作人员掌握交通艇每次出航、返航及成员情况，并做好记录备查。</w:t>
      </w:r>
    </w:p>
    <w:p>
      <w:pPr>
        <w:widowControl w:val="0"/>
        <w:tabs>
          <w:tab w:val="right" w:leader="dot" w:pos="8296"/>
        </w:tabs>
        <w:spacing w:beforeLines="25" w:afterLines="25" w:line="300" w:lineRule="auto"/>
        <w:ind w:firstLine="420" w:firstLineChars="200"/>
        <w:jc w:val="left"/>
        <w:rPr>
          <w:rFonts w:hint="eastAsia" w:asciiTheme="minorEastAsia" w:hAnsi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t>4.5 交通艇操作人员须具备有效沟通能力，突发情况立即上报乙方公司管理人员及相关海事部门。</w:t>
      </w:r>
    </w:p>
    <w:p>
      <w:pPr>
        <w:widowControl w:val="0"/>
        <w:tabs>
          <w:tab w:val="right" w:leader="dot" w:pos="8296"/>
        </w:tabs>
        <w:spacing w:beforeLines="25" w:afterLines="25" w:line="300" w:lineRule="auto"/>
        <w:ind w:firstLine="420" w:firstLineChars="200"/>
        <w:jc w:val="left"/>
        <w:rPr>
          <w:rFonts w:hint="eastAsia" w:asciiTheme="minorEastAsia" w:hAnsi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t>4.6 交通艇操作人员行驶中严格遵守交通规则，实时观察周围海面环境，确保乘艇人员精神状态稳定。</w:t>
      </w:r>
    </w:p>
    <w:p>
      <w:pPr>
        <w:widowControl w:val="0"/>
        <w:tabs>
          <w:tab w:val="right" w:leader="dot" w:pos="8296"/>
        </w:tabs>
        <w:spacing w:beforeLines="25" w:afterLines="25" w:line="300" w:lineRule="auto"/>
        <w:ind w:firstLine="420" w:firstLineChars="200"/>
        <w:jc w:val="left"/>
        <w:rPr>
          <w:rFonts w:hint="default" w:asciiTheme="minorEastAsia" w:hAnsi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t>4.7 交通艇操作人员在服务完成后及时填写服务完工记录，确保信息闭环。</w:t>
      </w:r>
    </w:p>
    <w:p>
      <w:pPr>
        <w:keepNext w:val="0"/>
        <w:keepLines w:val="0"/>
        <w:pageBreakBefore w:val="0"/>
        <w:widowControl w:val="0"/>
        <w:numPr>
          <w:ilvl w:val="0"/>
          <w:numId w:val="1"/>
        </w:numPr>
        <w:kinsoku/>
        <w:wordWrap/>
        <w:overflowPunct w:val="0"/>
        <w:topLinePunct w:val="0"/>
        <w:autoSpaceDE/>
        <w:autoSpaceDN/>
        <w:bidi w:val="0"/>
        <w:adjustRightInd/>
        <w:snapToGrid/>
        <w:spacing w:beforeLines="0" w:after="120" w:afterLines="0" w:line="360" w:lineRule="auto"/>
        <w:ind w:left="0" w:firstLine="420" w:firstLineChars="200"/>
        <w:jc w:val="both"/>
        <w:textAlignment w:val="auto"/>
        <w:outlineLvl w:val="0"/>
        <w:rPr>
          <w:rFonts w:hint="eastAsia" w:ascii="黑体" w:hAnsi="黑体" w:eastAsia="黑体" w:cs="黑体"/>
          <w:color w:val="auto"/>
          <w:sz w:val="21"/>
          <w:szCs w:val="21"/>
          <w:lang w:val="en-US" w:eastAsia="zh-CN" w:bidi="ar-SA"/>
        </w:rPr>
      </w:pPr>
      <w:r>
        <w:rPr>
          <w:rFonts w:hint="eastAsia" w:ascii="黑体" w:hAnsi="黑体" w:eastAsia="黑体" w:cs="黑体"/>
          <w:color w:val="auto"/>
          <w:sz w:val="21"/>
          <w:szCs w:val="21"/>
          <w:lang w:val="en-US" w:eastAsia="zh-CN" w:bidi="ar-SA"/>
        </w:rPr>
        <w:t>服务进度和现场验收</w:t>
      </w:r>
    </w:p>
    <w:p>
      <w:pPr>
        <w:widowControl w:val="0"/>
        <w:tabs>
          <w:tab w:val="right" w:leader="dot" w:pos="8296"/>
        </w:tabs>
        <w:spacing w:beforeLines="25" w:afterLines="25" w:line="300" w:lineRule="auto"/>
        <w:ind w:firstLine="420" w:firstLineChars="200"/>
        <w:jc w:val="left"/>
        <w:rPr>
          <w:rFonts w:hint="eastAsia" w:asciiTheme="minorEastAsia" w:hAnsi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t>5.1 交通艇操作人员接/送甲方乘艇人员时须主动确认身份信息（公司名称、姓名、职务、健康状况），协助随船物资安置。</w:t>
      </w:r>
    </w:p>
    <w:p>
      <w:pPr>
        <w:widowControl w:val="0"/>
        <w:tabs>
          <w:tab w:val="right" w:leader="dot" w:pos="8296"/>
        </w:tabs>
        <w:spacing w:beforeLines="25" w:afterLines="25" w:line="300" w:lineRule="auto"/>
        <w:ind w:firstLine="420" w:firstLineChars="200"/>
        <w:jc w:val="left"/>
        <w:rPr>
          <w:rFonts w:hint="eastAsia" w:asciiTheme="minorEastAsia" w:hAnsiTheme="minorEastAsia" w:cstheme="minorEastAsia"/>
          <w:color w:val="auto"/>
          <w:sz w:val="21"/>
          <w:szCs w:val="21"/>
          <w:lang w:val="en-US" w:eastAsia="zh-CN"/>
        </w:rPr>
      </w:pPr>
    </w:p>
    <w:p>
      <w:pPr>
        <w:widowControl w:val="0"/>
        <w:tabs>
          <w:tab w:val="right" w:leader="dot" w:pos="8296"/>
        </w:tabs>
        <w:spacing w:beforeLines="25" w:afterLines="25" w:line="300" w:lineRule="auto"/>
        <w:ind w:firstLine="420" w:firstLineChars="200"/>
        <w:jc w:val="left"/>
        <w:rPr>
          <w:rFonts w:hint="eastAsia" w:asciiTheme="minorEastAsia" w:hAnsi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t>5.2 交通艇操作人员掌握交通艇每次出航、返航及成员情况，并做好记录备查。</w:t>
      </w:r>
    </w:p>
    <w:p>
      <w:pPr>
        <w:widowControl w:val="0"/>
        <w:tabs>
          <w:tab w:val="right" w:leader="dot" w:pos="8296"/>
        </w:tabs>
        <w:spacing w:beforeLines="25" w:afterLines="25" w:line="300" w:lineRule="auto"/>
        <w:ind w:firstLine="420" w:firstLineChars="200"/>
        <w:jc w:val="left"/>
        <w:rPr>
          <w:rFonts w:hint="eastAsia" w:asciiTheme="minorEastAsia" w:hAnsi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t>5.3 交通艇操作人员须具备有效沟通能力，突发情况立即上报乙方公司管理人员及相关海事部门。</w:t>
      </w:r>
    </w:p>
    <w:p>
      <w:pPr>
        <w:widowControl w:val="0"/>
        <w:tabs>
          <w:tab w:val="right" w:leader="dot" w:pos="8296"/>
        </w:tabs>
        <w:spacing w:beforeLines="25" w:afterLines="25" w:line="300" w:lineRule="auto"/>
        <w:ind w:firstLine="420" w:firstLineChars="200"/>
        <w:jc w:val="left"/>
        <w:rPr>
          <w:rFonts w:hint="eastAsia" w:asciiTheme="minorEastAsia" w:hAnsi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t>5.4 交通艇操作人员行驶中严格遵守交通规则，实时观察周围海面环境，确保乘艇人员精神状态稳定。</w:t>
      </w:r>
    </w:p>
    <w:p>
      <w:pPr>
        <w:widowControl w:val="0"/>
        <w:tabs>
          <w:tab w:val="right" w:leader="dot" w:pos="8296"/>
        </w:tabs>
        <w:spacing w:beforeLines="25" w:afterLines="25" w:line="300" w:lineRule="auto"/>
        <w:ind w:firstLine="420" w:firstLineChars="200"/>
        <w:jc w:val="left"/>
        <w:rPr>
          <w:rFonts w:hint="eastAsia" w:asciiTheme="minorEastAsia" w:hAnsi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t>5.5 交通艇操作人员在服务完成后及时填写服务完工记录，确保信息闭环。。</w:t>
      </w:r>
    </w:p>
    <w:p>
      <w:pPr>
        <w:keepNext w:val="0"/>
        <w:keepLines w:val="0"/>
        <w:pageBreakBefore w:val="0"/>
        <w:widowControl w:val="0"/>
        <w:numPr>
          <w:ilvl w:val="0"/>
          <w:numId w:val="1"/>
        </w:numPr>
        <w:kinsoku/>
        <w:wordWrap/>
        <w:overflowPunct w:val="0"/>
        <w:topLinePunct w:val="0"/>
        <w:autoSpaceDE/>
        <w:autoSpaceDN/>
        <w:bidi w:val="0"/>
        <w:adjustRightInd/>
        <w:snapToGrid/>
        <w:spacing w:beforeLines="0" w:after="120" w:afterLines="0" w:line="360" w:lineRule="auto"/>
        <w:ind w:left="0" w:firstLine="420" w:firstLineChars="200"/>
        <w:jc w:val="both"/>
        <w:textAlignment w:val="auto"/>
        <w:outlineLvl w:val="0"/>
        <w:rPr>
          <w:rFonts w:hint="eastAsia" w:ascii="黑体" w:hAnsi="黑体" w:eastAsia="黑体" w:cs="黑体"/>
          <w:color w:val="auto"/>
          <w:sz w:val="21"/>
          <w:szCs w:val="21"/>
          <w:lang w:val="en-US" w:eastAsia="zh-CN" w:bidi="ar-SA"/>
        </w:rPr>
      </w:pPr>
      <w:r>
        <w:rPr>
          <w:rFonts w:hint="eastAsia" w:ascii="黑体" w:hAnsi="黑体" w:eastAsia="黑体" w:cs="黑体"/>
          <w:color w:val="auto"/>
          <w:sz w:val="21"/>
          <w:szCs w:val="21"/>
          <w:lang w:val="en-US" w:eastAsia="zh-CN" w:bidi="ar-SA"/>
        </w:rPr>
        <w:t>质量保证</w:t>
      </w:r>
    </w:p>
    <w:p>
      <w:pPr>
        <w:widowControl w:val="0"/>
        <w:tabs>
          <w:tab w:val="right" w:leader="dot" w:pos="8296"/>
        </w:tabs>
        <w:spacing w:beforeLines="25" w:afterLines="25" w:line="300" w:lineRule="auto"/>
        <w:ind w:firstLine="420" w:firstLineChars="200"/>
        <w:jc w:val="left"/>
        <w:rPr>
          <w:rFonts w:hint="eastAsia" w:asciiTheme="minorEastAsia" w:hAnsi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t>6.1 交通艇作业前，必须通过甲方人员验收合格，方可投入使用。中间更换时，必须经过甲方人员的书面同意。</w:t>
      </w:r>
    </w:p>
    <w:p>
      <w:pPr>
        <w:widowControl w:val="0"/>
        <w:tabs>
          <w:tab w:val="right" w:leader="dot" w:pos="8296"/>
        </w:tabs>
        <w:spacing w:beforeLines="25" w:afterLines="25" w:line="300" w:lineRule="auto"/>
        <w:ind w:firstLine="420" w:firstLineChars="200"/>
        <w:jc w:val="left"/>
        <w:rPr>
          <w:rFonts w:hint="eastAsia" w:asciiTheme="minorEastAsia" w:hAnsi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t>6.2 甲方一般提前30分钟下达用艇指令，乙方在接到甲方用艇指令后，应提前10分钟到达指定登船地点。</w:t>
      </w:r>
    </w:p>
    <w:p>
      <w:pPr>
        <w:widowControl w:val="0"/>
        <w:tabs>
          <w:tab w:val="right" w:leader="dot" w:pos="8296"/>
        </w:tabs>
        <w:spacing w:beforeLines="25" w:afterLines="25" w:line="300" w:lineRule="auto"/>
        <w:ind w:firstLine="420" w:firstLineChars="200"/>
        <w:jc w:val="left"/>
        <w:rPr>
          <w:rFonts w:hint="eastAsia" w:asciiTheme="minorEastAsia" w:hAnsi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t>6.3 乙方需服从甲方对交通艇及驾驶员的作业安排，以保证能及时开展作业。由于乙方的原因造成交通艇无法准时到达登船地点而影响甲方业务办理而造成的业务损失，由乙方负责赔偿。</w:t>
      </w:r>
    </w:p>
    <w:p>
      <w:pPr>
        <w:widowControl w:val="0"/>
        <w:tabs>
          <w:tab w:val="right" w:leader="dot" w:pos="8296"/>
        </w:tabs>
        <w:spacing w:beforeLines="25" w:afterLines="25" w:line="300" w:lineRule="auto"/>
        <w:ind w:firstLine="420" w:firstLineChars="200"/>
        <w:jc w:val="left"/>
        <w:rPr>
          <w:rFonts w:hint="eastAsia" w:asciiTheme="minorEastAsia" w:hAnsi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t>6.4 乙方需严格遵守甲方管理方面的规定，对于作业条件不达标的情况，一律不允许船舶作业，出现的船舶停滞等风险自行承担，对于作业条件的判断应无条件服从甲方的指令。</w:t>
      </w:r>
    </w:p>
    <w:p>
      <w:pPr>
        <w:widowControl w:val="0"/>
        <w:tabs>
          <w:tab w:val="right" w:leader="dot" w:pos="8296"/>
        </w:tabs>
        <w:spacing w:beforeLines="25" w:afterLines="25" w:line="300" w:lineRule="auto"/>
        <w:ind w:firstLine="420" w:firstLineChars="200"/>
        <w:jc w:val="left"/>
        <w:rPr>
          <w:rFonts w:hint="eastAsia" w:asciiTheme="minorEastAsia" w:hAnsi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t>6.5 乙方必须按合同条款和相关规定要求，配备适宜的、充足的操作人员，且相关人员必须持证上岗，分工必须明确。</w:t>
      </w:r>
    </w:p>
    <w:p>
      <w:pPr>
        <w:widowControl w:val="0"/>
        <w:tabs>
          <w:tab w:val="right" w:leader="dot" w:pos="8296"/>
        </w:tabs>
        <w:spacing w:beforeLines="25" w:afterLines="25" w:line="300" w:lineRule="auto"/>
        <w:ind w:firstLine="420" w:firstLineChars="200"/>
        <w:jc w:val="left"/>
        <w:rPr>
          <w:rFonts w:hint="eastAsia" w:asciiTheme="minorEastAsia" w:hAnsi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t>6.6 乙方必须对船舶操作人员进行培训和考核，以验证是否满足甲方要求，并且切实贯彻落实，以确保服务质量满足要求。</w:t>
      </w:r>
    </w:p>
    <w:p>
      <w:pPr>
        <w:widowControl w:val="0"/>
        <w:tabs>
          <w:tab w:val="right" w:leader="dot" w:pos="8296"/>
        </w:tabs>
        <w:spacing w:beforeLines="25" w:afterLines="25" w:line="300" w:lineRule="auto"/>
        <w:ind w:firstLine="420" w:firstLineChars="200"/>
        <w:jc w:val="left"/>
        <w:rPr>
          <w:rFonts w:hint="eastAsia" w:asciiTheme="minorEastAsia" w:hAnsi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t>6.7 如遇晚上用艇和天气不良情况下，乙方应加派船员协助航行，以保证航行安全。</w:t>
      </w:r>
    </w:p>
    <w:p>
      <w:pPr>
        <w:widowControl w:val="0"/>
        <w:tabs>
          <w:tab w:val="right" w:leader="dot" w:pos="8296"/>
        </w:tabs>
        <w:spacing w:beforeLines="25" w:afterLines="25" w:line="300" w:lineRule="auto"/>
        <w:ind w:firstLine="420" w:firstLineChars="200"/>
        <w:jc w:val="left"/>
        <w:rPr>
          <w:rFonts w:hint="eastAsia" w:asciiTheme="minorEastAsia" w:hAnsi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t>6.8 乙方承诺，其任何工作和交付的工作成果符合合同、法律法规、行业规范、标准和良好的行业惯例的要求，不存在任何缺陷。</w:t>
      </w:r>
    </w:p>
    <w:p>
      <w:pPr>
        <w:keepNext w:val="0"/>
        <w:keepLines w:val="0"/>
        <w:pageBreakBefore w:val="0"/>
        <w:widowControl w:val="0"/>
        <w:numPr>
          <w:ilvl w:val="0"/>
          <w:numId w:val="1"/>
        </w:numPr>
        <w:kinsoku/>
        <w:wordWrap/>
        <w:overflowPunct w:val="0"/>
        <w:topLinePunct w:val="0"/>
        <w:autoSpaceDE/>
        <w:autoSpaceDN/>
        <w:bidi w:val="0"/>
        <w:adjustRightInd/>
        <w:snapToGrid/>
        <w:spacing w:beforeLines="0" w:after="120" w:afterLines="0" w:line="360" w:lineRule="auto"/>
        <w:ind w:left="0" w:firstLine="420" w:firstLineChars="200"/>
        <w:jc w:val="both"/>
        <w:textAlignment w:val="auto"/>
        <w:outlineLvl w:val="0"/>
        <w:rPr>
          <w:rFonts w:hint="eastAsia"/>
          <w:lang w:val="en-US" w:eastAsia="zh-CN"/>
        </w:rPr>
      </w:pPr>
      <w:r>
        <w:rPr>
          <w:rFonts w:hint="eastAsia" w:ascii="黑体" w:hAnsi="黑体" w:eastAsia="黑体" w:cs="黑体"/>
          <w:color w:val="auto"/>
          <w:sz w:val="21"/>
          <w:szCs w:val="21"/>
          <w:lang w:val="en-US" w:eastAsia="zh-CN" w:bidi="ar-SA"/>
        </w:rPr>
        <w:t>其他</w:t>
      </w:r>
    </w:p>
    <w:p>
      <w:pPr>
        <w:pStyle w:val="2"/>
        <w:numPr>
          <w:ilvl w:val="1"/>
          <w:numId w:val="1"/>
        </w:numPr>
        <w:spacing w:line="360" w:lineRule="auto"/>
        <w:ind w:left="360" w:leftChars="0" w:hanging="360" w:firstLineChars="0"/>
        <w:rPr>
          <w:rFonts w:hint="default"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 xml:space="preserve"> </w:t>
      </w:r>
      <w:r>
        <w:rPr>
          <w:rFonts w:hint="default" w:asciiTheme="minorEastAsia" w:hAnsiTheme="minorEastAsia" w:eastAsiaTheme="minorEastAsia" w:cstheme="minorEastAsia"/>
          <w:color w:val="auto"/>
          <w:kern w:val="2"/>
          <w:sz w:val="21"/>
          <w:szCs w:val="21"/>
          <w:lang w:val="en-US" w:eastAsia="zh-CN" w:bidi="ar-SA"/>
        </w:rPr>
        <w:t>标准应用情况概述：本需求</w:t>
      </w:r>
      <w:r>
        <w:rPr>
          <w:rFonts w:hint="eastAsia" w:asciiTheme="minorEastAsia" w:hAnsiTheme="minorEastAsia" w:eastAsiaTheme="minorEastAsia" w:cstheme="minorEastAsia"/>
          <w:color w:val="auto"/>
          <w:kern w:val="2"/>
          <w:sz w:val="21"/>
          <w:szCs w:val="21"/>
          <w:lang w:val="en-US" w:eastAsia="zh-CN" w:bidi="ar-SA"/>
        </w:rPr>
        <w:t>有补充</w:t>
      </w:r>
      <w:r>
        <w:rPr>
          <w:rFonts w:hint="default" w:asciiTheme="minorEastAsia" w:hAnsiTheme="minorEastAsia" w:eastAsiaTheme="minorEastAsia" w:cstheme="minorEastAsia"/>
          <w:color w:val="auto"/>
          <w:kern w:val="2"/>
          <w:sz w:val="21"/>
          <w:szCs w:val="21"/>
          <w:lang w:val="en-US" w:eastAsia="zh-CN" w:bidi="ar-SA"/>
        </w:rPr>
        <w:t>引用中国海洋石油集团有限公司采购标准文件</w:t>
      </w:r>
    </w:p>
    <w:p>
      <w:pPr>
        <w:pStyle w:val="2"/>
        <w:framePr w:wrap="around" w:vAnchor="margin" w:hAnchor="text" w:y="1"/>
        <w:numPr>
          <w:ilvl w:val="0"/>
          <w:numId w:val="0"/>
        </w:numPr>
        <w:spacing w:line="360" w:lineRule="auto"/>
        <w:ind w:leftChars="0"/>
        <w:rPr>
          <w:rFonts w:hint="default" w:asciiTheme="minorEastAsia" w:hAnsiTheme="minorEastAsia" w:eastAsiaTheme="minorEastAsia" w:cstheme="minorEastAsia"/>
          <w:color w:val="auto"/>
          <w:kern w:val="2"/>
          <w:sz w:val="21"/>
          <w:szCs w:val="21"/>
          <w:lang w:val="en-US" w:eastAsia="zh-CN" w:bidi="ar-SA"/>
        </w:rPr>
      </w:pPr>
      <w:r>
        <w:rPr>
          <w:rFonts w:hint="default" w:asciiTheme="minorEastAsia" w:hAnsiTheme="minorEastAsia" w:eastAsiaTheme="minorEastAsia" w:cstheme="minorEastAsia"/>
          <w:color w:val="auto"/>
          <w:kern w:val="2"/>
          <w:sz w:val="21"/>
          <w:szCs w:val="21"/>
          <w:lang w:val="en-US" w:eastAsia="zh-CN" w:bidi="ar-SA"/>
        </w:rPr>
        <w:t>采购标准</w:t>
      </w:r>
    </w:p>
    <w:p>
      <w:pPr>
        <w:pStyle w:val="2"/>
        <w:numPr>
          <w:ilvl w:val="0"/>
          <w:numId w:val="0"/>
        </w:numPr>
        <w:spacing w:line="360" w:lineRule="auto"/>
        <w:ind w:leftChars="0"/>
        <w:rPr>
          <w:rFonts w:hint="default" w:asciiTheme="minorEastAsia" w:hAnsiTheme="minorEastAsia" w:eastAsiaTheme="minorEastAsia" w:cstheme="minorEastAsia"/>
          <w:color w:val="auto"/>
          <w:kern w:val="2"/>
          <w:sz w:val="21"/>
          <w:szCs w:val="21"/>
          <w:lang w:val="en-US" w:eastAsia="zh-CN" w:bidi="ar-SA"/>
        </w:rPr>
      </w:pPr>
      <w:r>
        <w:rPr>
          <w:rFonts w:hint="default" w:asciiTheme="minorEastAsia" w:hAnsiTheme="minorEastAsia" w:eastAsiaTheme="minorEastAsia" w:cstheme="minorEastAsia"/>
          <w:color w:val="auto"/>
          <w:kern w:val="2"/>
          <w:sz w:val="21"/>
          <w:szCs w:val="21"/>
          <w:lang w:val="en-US" w:eastAsia="zh-CN" w:bidi="ar-SA"/>
        </w:rPr>
        <w:t>船舶租赁服务（CGBZ-ⅡHF0932-2025），理由：补充优化相关内容。</w:t>
      </w: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r>
        <w:rPr>
          <w:rFonts w:hint="default" w:asciiTheme="minorEastAsia" w:hAnsiTheme="minorEastAsia" w:eastAsiaTheme="minorEastAsia" w:cstheme="minorEastAsia"/>
          <w:color w:val="auto"/>
          <w:kern w:val="2"/>
          <w:sz w:val="21"/>
          <w:szCs w:val="21"/>
          <w:lang w:val="en-US" w:eastAsia="zh-CN" w:bidi="ar-SA"/>
        </w:rPr>
        <w:t>附件一</w:t>
      </w: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r>
        <w:rPr>
          <w:rFonts w:hint="default" w:asciiTheme="minorEastAsia" w:hAnsiTheme="minorEastAsia" w:eastAsiaTheme="minorEastAsia" w:cstheme="minorEastAsia"/>
          <w:color w:val="auto"/>
          <w:kern w:val="2"/>
          <w:sz w:val="21"/>
          <w:szCs w:val="21"/>
          <w:lang w:val="en-US" w:eastAsia="zh-CN" w:bidi="ar-SA"/>
        </w:rPr>
        <w:drawing>
          <wp:anchor distT="0" distB="0" distL="114300" distR="114300" simplePos="0" relativeHeight="251661312" behindDoc="0" locked="0" layoutInCell="1" allowOverlap="1">
            <wp:simplePos x="0" y="0"/>
            <wp:positionH relativeFrom="column">
              <wp:posOffset>-149860</wp:posOffset>
            </wp:positionH>
            <wp:positionV relativeFrom="paragraph">
              <wp:posOffset>4081145</wp:posOffset>
            </wp:positionV>
            <wp:extent cx="6117590" cy="2286000"/>
            <wp:effectExtent l="0" t="0" r="1651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a:stretch>
                      <a:fillRect/>
                    </a:stretch>
                  </pic:blipFill>
                  <pic:spPr>
                    <a:xfrm>
                      <a:off x="0" y="0"/>
                      <a:ext cx="6117590" cy="2286000"/>
                    </a:xfrm>
                    <a:prstGeom prst="rect">
                      <a:avLst/>
                    </a:prstGeom>
                    <a:noFill/>
                    <a:ln>
                      <a:noFill/>
                    </a:ln>
                  </pic:spPr>
                </pic:pic>
              </a:graphicData>
            </a:graphic>
          </wp:anchor>
        </w:drawing>
      </w:r>
      <w:r>
        <w:rPr>
          <w:rFonts w:hint="default" w:asciiTheme="minorEastAsia" w:hAnsiTheme="minorEastAsia" w:eastAsiaTheme="minorEastAsia" w:cstheme="minorEastAsia"/>
          <w:color w:val="auto"/>
          <w:kern w:val="2"/>
          <w:sz w:val="21"/>
          <w:szCs w:val="21"/>
          <w:lang w:val="en-US" w:eastAsia="zh-CN" w:bidi="ar-SA"/>
        </w:rPr>
        <w:drawing>
          <wp:anchor distT="0" distB="0" distL="114300" distR="114300" simplePos="0" relativeHeight="251660288" behindDoc="0" locked="0" layoutInCell="1" allowOverlap="1">
            <wp:simplePos x="0" y="0"/>
            <wp:positionH relativeFrom="column">
              <wp:posOffset>-159385</wp:posOffset>
            </wp:positionH>
            <wp:positionV relativeFrom="paragraph">
              <wp:posOffset>61595</wp:posOffset>
            </wp:positionV>
            <wp:extent cx="5941695" cy="4276725"/>
            <wp:effectExtent l="0" t="0" r="1905" b="952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referRelativeResize="0">
                      <a:picLocks noChangeAspect="1"/>
                    </pic:cNvPicPr>
                  </pic:nvPicPr>
                  <pic:blipFill>
                    <a:blip r:embed="rId6"/>
                    <a:stretch>
                      <a:fillRect/>
                    </a:stretch>
                  </pic:blipFill>
                  <pic:spPr>
                    <a:xfrm>
                      <a:off x="0" y="0"/>
                      <a:ext cx="5941695" cy="4276725"/>
                    </a:xfrm>
                    <a:prstGeom prst="rect">
                      <a:avLst/>
                    </a:prstGeom>
                    <a:noFill/>
                    <a:ln>
                      <a:noFill/>
                    </a:ln>
                  </pic:spPr>
                </pic:pic>
              </a:graphicData>
            </a:graphic>
          </wp:anchor>
        </w:drawing>
      </w: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r>
        <w:rPr>
          <w:rFonts w:hint="default" w:asciiTheme="minorEastAsia" w:hAnsiTheme="minorEastAsia" w:eastAsiaTheme="minorEastAsia" w:cstheme="minorEastAsia"/>
          <w:color w:val="auto"/>
          <w:kern w:val="2"/>
          <w:sz w:val="21"/>
          <w:szCs w:val="21"/>
          <w:lang w:val="en-US" w:eastAsia="zh-CN" w:bidi="ar-SA"/>
        </w:rPr>
        <w:drawing>
          <wp:anchor distT="0" distB="0" distL="114300" distR="114300" simplePos="0" relativeHeight="251662336" behindDoc="1" locked="0" layoutInCell="1" allowOverlap="1">
            <wp:simplePos x="0" y="0"/>
            <wp:positionH relativeFrom="column">
              <wp:posOffset>-204470</wp:posOffset>
            </wp:positionH>
            <wp:positionV relativeFrom="paragraph">
              <wp:posOffset>120015</wp:posOffset>
            </wp:positionV>
            <wp:extent cx="6619875" cy="7600950"/>
            <wp:effectExtent l="0" t="0" r="952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6619875" cy="7600950"/>
                    </a:xfrm>
                    <a:prstGeom prst="rect">
                      <a:avLst/>
                    </a:prstGeom>
                    <a:noFill/>
                    <a:ln>
                      <a:noFill/>
                    </a:ln>
                  </pic:spPr>
                </pic:pic>
              </a:graphicData>
            </a:graphic>
          </wp:anchor>
        </w:drawing>
      </w: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r>
        <w:rPr>
          <w:rFonts w:hint="default" w:asciiTheme="minorEastAsia" w:hAnsiTheme="minorEastAsia" w:eastAsiaTheme="minorEastAsia" w:cstheme="minorEastAsia"/>
          <w:color w:val="auto"/>
          <w:kern w:val="2"/>
          <w:sz w:val="21"/>
          <w:szCs w:val="21"/>
          <w:lang w:val="en-US" w:eastAsia="zh-CN" w:bidi="ar-SA"/>
        </w:rPr>
        <w:drawing>
          <wp:anchor distT="0" distB="0" distL="114300" distR="114300" simplePos="0" relativeHeight="251663360" behindDoc="1" locked="0" layoutInCell="1" allowOverlap="1">
            <wp:simplePos x="0" y="0"/>
            <wp:positionH relativeFrom="column">
              <wp:posOffset>-90170</wp:posOffset>
            </wp:positionH>
            <wp:positionV relativeFrom="paragraph">
              <wp:posOffset>-4445</wp:posOffset>
            </wp:positionV>
            <wp:extent cx="5981700" cy="7458075"/>
            <wp:effectExtent l="0" t="0" r="0" b="952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981700" cy="7458075"/>
                    </a:xfrm>
                    <a:prstGeom prst="rect">
                      <a:avLst/>
                    </a:prstGeom>
                    <a:noFill/>
                    <a:ln>
                      <a:noFill/>
                    </a:ln>
                  </pic:spPr>
                </pic:pic>
              </a:graphicData>
            </a:graphic>
          </wp:anchor>
        </w:drawing>
      </w: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p>
      <w:pPr>
        <w:pStyle w:val="2"/>
        <w:numPr>
          <w:ilvl w:val="0"/>
          <w:numId w:val="0"/>
        </w:numPr>
        <w:ind w:leftChars="0"/>
        <w:rPr>
          <w:rFonts w:hint="default" w:asciiTheme="minorEastAsia" w:hAnsiTheme="minorEastAsia" w:eastAsiaTheme="minorEastAsia" w:cstheme="minorEastAsia"/>
          <w:color w:val="auto"/>
          <w:kern w:val="2"/>
          <w:sz w:val="21"/>
          <w:szCs w:val="21"/>
          <w:lang w:val="en-US" w:eastAsia="zh-CN" w:bidi="ar-SA"/>
        </w:rPr>
      </w:pPr>
    </w:p>
    <w:sectPr>
      <w:footerReference r:id="rId3" w:type="default"/>
      <w:pgSz w:w="11906" w:h="16838"/>
      <w:pgMar w:top="1417" w:right="1134" w:bottom="1417" w:left="1417" w:header="1191" w:footer="1077" w:gutter="0"/>
      <w:pgNumType w:start="1"/>
      <w:cols w:space="0" w:num="1"/>
      <w:docGrid w:type="lines" w:linePitch="33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9264" name="文本框 92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asciiTheme="minorEastAsia" w:hAnsiTheme="minorEastAsia" w:cstheme="minorEastAsia"/>
                            </w:rPr>
                          </w:pPr>
                          <w:r>
                            <w:rPr>
                              <w:rFonts w:hint="eastAsia" w:asciiTheme="minorEastAsia" w:hAnsiTheme="minorEastAsia" w:cstheme="minorEastAsia"/>
                            </w:rPr>
                            <w:fldChar w:fldCharType="begin"/>
                          </w:r>
                          <w:r>
                            <w:rPr>
                              <w:rFonts w:hint="eastAsia" w:asciiTheme="minorEastAsia" w:hAnsiTheme="minorEastAsia" w:cstheme="minorEastAsia"/>
                            </w:rPr>
                            <w:instrText xml:space="preserve"> PAGE  \* MERGEFORMAT </w:instrText>
                          </w:r>
                          <w:r>
                            <w:rPr>
                              <w:rFonts w:hint="eastAsia" w:asciiTheme="minorEastAsia" w:hAnsiTheme="minorEastAsia" w:cstheme="minorEastAsia"/>
                            </w:rPr>
                            <w:fldChar w:fldCharType="separate"/>
                          </w:r>
                          <w:r>
                            <w:rPr>
                              <w:rFonts w:hint="eastAsia" w:asciiTheme="minorEastAsia" w:hAnsiTheme="minorEastAsia" w:cstheme="minorEastAsia"/>
                            </w:rPr>
                            <w:t>23</w:t>
                          </w:r>
                          <w:r>
                            <w:rPr>
                              <w:rFonts w:hint="eastAsia" w:asciiTheme="minorEastAsia" w:hAnsiTheme="minorEastAsia" w:cstheme="minor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IgK9j0wAgAAWwQAAA4AAAAAAAAAAQAgAAAAHwEAAGRycy9lMm9Eb2MueG1sUEsFBgAA&#10;AAAGAAYAWQEAAMEFAAAAAA==&#10;">
              <v:fill on="f" focussize="0,0"/>
              <v:stroke on="f" weight="0.5pt"/>
              <v:imagedata o:title=""/>
              <o:lock v:ext="edit" aspectratio="f"/>
              <v:textbox inset="0mm,0mm,0mm,0mm" style="mso-fit-shape-to-text:t;">
                <w:txbxContent>
                  <w:p>
                    <w:pPr>
                      <w:pStyle w:val="7"/>
                      <w:rPr>
                        <w:rFonts w:asciiTheme="minorEastAsia" w:hAnsiTheme="minorEastAsia" w:cstheme="minorEastAsia"/>
                      </w:rPr>
                    </w:pPr>
                    <w:r>
                      <w:rPr>
                        <w:rFonts w:hint="eastAsia" w:asciiTheme="minorEastAsia" w:hAnsiTheme="minorEastAsia" w:cstheme="minorEastAsia"/>
                      </w:rPr>
                      <w:fldChar w:fldCharType="begin"/>
                    </w:r>
                    <w:r>
                      <w:rPr>
                        <w:rFonts w:hint="eastAsia" w:asciiTheme="minorEastAsia" w:hAnsiTheme="minorEastAsia" w:cstheme="minorEastAsia"/>
                      </w:rPr>
                      <w:instrText xml:space="preserve"> PAGE  \* MERGEFORMAT </w:instrText>
                    </w:r>
                    <w:r>
                      <w:rPr>
                        <w:rFonts w:hint="eastAsia" w:asciiTheme="minorEastAsia" w:hAnsiTheme="minorEastAsia" w:cstheme="minorEastAsia"/>
                      </w:rPr>
                      <w:fldChar w:fldCharType="separate"/>
                    </w:r>
                    <w:r>
                      <w:rPr>
                        <w:rFonts w:hint="eastAsia" w:asciiTheme="minorEastAsia" w:hAnsiTheme="minorEastAsia" w:cstheme="minorEastAsia"/>
                      </w:rPr>
                      <w:t>23</w:t>
                    </w:r>
                    <w:r>
                      <w:rPr>
                        <w:rFonts w:hint="eastAsia" w:asciiTheme="minorEastAsia" w:hAnsiTheme="minorEastAsia" w:cstheme="minor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06C2F6"/>
    <w:multiLevelType w:val="singleLevel"/>
    <w:tmpl w:val="D406C2F6"/>
    <w:lvl w:ilvl="0" w:tentative="0">
      <w:start w:val="1"/>
      <w:numFmt w:val="bullet"/>
      <w:lvlText w:val=""/>
      <w:lvlJc w:val="left"/>
      <w:pPr>
        <w:ind w:left="1680" w:hanging="420"/>
      </w:pPr>
      <w:rPr>
        <w:rFonts w:hint="default" w:ascii="Wingdings" w:hAnsi="Wingdings"/>
      </w:rPr>
    </w:lvl>
  </w:abstractNum>
  <w:abstractNum w:abstractNumId="1">
    <w:nsid w:val="E286CE23"/>
    <w:multiLevelType w:val="singleLevel"/>
    <w:tmpl w:val="E286CE23"/>
    <w:lvl w:ilvl="0" w:tentative="0">
      <w:start w:val="1"/>
      <w:numFmt w:val="decimal"/>
      <w:lvlText w:val="%1)"/>
      <w:lvlJc w:val="left"/>
      <w:pPr>
        <w:ind w:left="1475" w:hanging="425"/>
      </w:pPr>
      <w:rPr>
        <w:rFonts w:hint="default"/>
      </w:rPr>
    </w:lvl>
  </w:abstractNum>
  <w:abstractNum w:abstractNumId="2">
    <w:nsid w:val="F6084C43"/>
    <w:multiLevelType w:val="singleLevel"/>
    <w:tmpl w:val="F6084C43"/>
    <w:lvl w:ilvl="0" w:tentative="0">
      <w:start w:val="1"/>
      <w:numFmt w:val="decimal"/>
      <w:lvlText w:val="%1)"/>
      <w:lvlJc w:val="left"/>
      <w:pPr>
        <w:ind w:left="1475" w:hanging="425"/>
      </w:pPr>
      <w:rPr>
        <w:rFonts w:hint="default"/>
      </w:rPr>
    </w:lvl>
  </w:abstractNum>
  <w:abstractNum w:abstractNumId="3">
    <w:nsid w:val="6A7E4192"/>
    <w:multiLevelType w:val="multilevel"/>
    <w:tmpl w:val="6A7E4192"/>
    <w:lvl w:ilvl="0" w:tentative="0">
      <w:start w:val="1"/>
      <w:numFmt w:val="decimal"/>
      <w:lvlText w:val="%1"/>
      <w:lvlJc w:val="left"/>
      <w:pPr>
        <w:ind w:left="420" w:hanging="420"/>
      </w:pPr>
      <w:rPr>
        <w:rFonts w:hint="eastAsia"/>
      </w:rPr>
    </w:lvl>
    <w:lvl w:ilvl="1" w:tentative="0">
      <w:start w:val="1"/>
      <w:numFmt w:val="decimal"/>
      <w:isLgl/>
      <w:lvlText w:val="%1.%2"/>
      <w:lvlJc w:val="left"/>
      <w:pPr>
        <w:ind w:left="360" w:hanging="36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VjYjk4ZDJkMDYwNTY4ZjRkYWI5MTQ4N2M1YmVjZjMifQ=="/>
  </w:docVars>
  <w:rsids>
    <w:rsidRoot w:val="53A07A2F"/>
    <w:rsid w:val="00055400"/>
    <w:rsid w:val="000F55B2"/>
    <w:rsid w:val="00113F83"/>
    <w:rsid w:val="001B3AD5"/>
    <w:rsid w:val="001C6582"/>
    <w:rsid w:val="001D7EDC"/>
    <w:rsid w:val="001E113E"/>
    <w:rsid w:val="001F7156"/>
    <w:rsid w:val="002216F4"/>
    <w:rsid w:val="002C7832"/>
    <w:rsid w:val="00326C78"/>
    <w:rsid w:val="003A2653"/>
    <w:rsid w:val="003B572A"/>
    <w:rsid w:val="003D5FF4"/>
    <w:rsid w:val="003F7BE8"/>
    <w:rsid w:val="004A7436"/>
    <w:rsid w:val="004B221D"/>
    <w:rsid w:val="004E7857"/>
    <w:rsid w:val="005518E9"/>
    <w:rsid w:val="005638E6"/>
    <w:rsid w:val="006A0A33"/>
    <w:rsid w:val="00722CA6"/>
    <w:rsid w:val="00753563"/>
    <w:rsid w:val="00753C65"/>
    <w:rsid w:val="007658EE"/>
    <w:rsid w:val="0078365B"/>
    <w:rsid w:val="008F1A0A"/>
    <w:rsid w:val="00906EC0"/>
    <w:rsid w:val="009341D4"/>
    <w:rsid w:val="00A84036"/>
    <w:rsid w:val="00A96D05"/>
    <w:rsid w:val="00BA75E8"/>
    <w:rsid w:val="00BC7F93"/>
    <w:rsid w:val="00C84D86"/>
    <w:rsid w:val="00D23E90"/>
    <w:rsid w:val="00D260D8"/>
    <w:rsid w:val="00D936C5"/>
    <w:rsid w:val="00DB5E6C"/>
    <w:rsid w:val="00DF6EBF"/>
    <w:rsid w:val="00E55A0C"/>
    <w:rsid w:val="00E648E1"/>
    <w:rsid w:val="00E86B6C"/>
    <w:rsid w:val="00E93E25"/>
    <w:rsid w:val="00ED507B"/>
    <w:rsid w:val="02000B41"/>
    <w:rsid w:val="03320AE3"/>
    <w:rsid w:val="03B37CD7"/>
    <w:rsid w:val="03DC4E03"/>
    <w:rsid w:val="05A27EB8"/>
    <w:rsid w:val="05A42E95"/>
    <w:rsid w:val="07F34E0A"/>
    <w:rsid w:val="08B25415"/>
    <w:rsid w:val="08D443D5"/>
    <w:rsid w:val="08E32F49"/>
    <w:rsid w:val="0A5C7676"/>
    <w:rsid w:val="0B5B3D13"/>
    <w:rsid w:val="0C6A4BF2"/>
    <w:rsid w:val="0DAE4B63"/>
    <w:rsid w:val="0E89473C"/>
    <w:rsid w:val="0EC60DCF"/>
    <w:rsid w:val="0F112046"/>
    <w:rsid w:val="10615778"/>
    <w:rsid w:val="112369D6"/>
    <w:rsid w:val="131F00EB"/>
    <w:rsid w:val="13C97A78"/>
    <w:rsid w:val="140E413A"/>
    <w:rsid w:val="14E51060"/>
    <w:rsid w:val="17A00C9C"/>
    <w:rsid w:val="18592901"/>
    <w:rsid w:val="19875AAC"/>
    <w:rsid w:val="21385E21"/>
    <w:rsid w:val="22431FEB"/>
    <w:rsid w:val="22AE51B6"/>
    <w:rsid w:val="24122B7E"/>
    <w:rsid w:val="24772DF7"/>
    <w:rsid w:val="249B1B7C"/>
    <w:rsid w:val="26440D0D"/>
    <w:rsid w:val="276E3D84"/>
    <w:rsid w:val="29B0618A"/>
    <w:rsid w:val="2A5A0CB1"/>
    <w:rsid w:val="2E191219"/>
    <w:rsid w:val="2F2A366B"/>
    <w:rsid w:val="31C02740"/>
    <w:rsid w:val="35FB3D65"/>
    <w:rsid w:val="398914A4"/>
    <w:rsid w:val="3B011E82"/>
    <w:rsid w:val="3D257468"/>
    <w:rsid w:val="3E766317"/>
    <w:rsid w:val="44A67539"/>
    <w:rsid w:val="478944F7"/>
    <w:rsid w:val="48004BEA"/>
    <w:rsid w:val="4BBF373F"/>
    <w:rsid w:val="4D731AF1"/>
    <w:rsid w:val="4FB427E5"/>
    <w:rsid w:val="504870C6"/>
    <w:rsid w:val="51C225B9"/>
    <w:rsid w:val="53A07A2F"/>
    <w:rsid w:val="56DA6638"/>
    <w:rsid w:val="58F36200"/>
    <w:rsid w:val="5AB246DC"/>
    <w:rsid w:val="5CD146D7"/>
    <w:rsid w:val="5FA55479"/>
    <w:rsid w:val="639578ED"/>
    <w:rsid w:val="67916447"/>
    <w:rsid w:val="68D22DB1"/>
    <w:rsid w:val="6A385B92"/>
    <w:rsid w:val="6C10176B"/>
    <w:rsid w:val="6C8718B9"/>
    <w:rsid w:val="73361363"/>
    <w:rsid w:val="747945BB"/>
    <w:rsid w:val="795A264F"/>
    <w:rsid w:val="7B9607B3"/>
    <w:rsid w:val="7C2E45E0"/>
    <w:rsid w:val="7CD063F6"/>
    <w:rsid w:val="7FF17C03"/>
    <w:rsid w:val="C6FA63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2"/>
    <w:basedOn w:val="1"/>
    <w:next w:val="1"/>
    <w:qFormat/>
    <w:uiPriority w:val="1"/>
    <w:pPr>
      <w:spacing w:line="479" w:lineRule="exact"/>
      <w:outlineLvl w:val="1"/>
    </w:pPr>
    <w:rPr>
      <w:rFonts w:ascii="Microsoft YaHei UI" w:hAnsi="Microsoft YaHei UI" w:eastAsia="Microsoft YaHei UI"/>
      <w:spacing w:val="2"/>
      <w:sz w:val="32"/>
      <w:szCs w:val="32"/>
      <w:lang w:eastAsia="zh-CN"/>
    </w:rPr>
  </w:style>
  <w:style w:type="character" w:default="1" w:styleId="11">
    <w:name w:val="Default Paragraph Font"/>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默认段落字体 Para Char"/>
    <w:basedOn w:val="3"/>
    <w:qFormat/>
    <w:uiPriority w:val="0"/>
    <w:pPr>
      <w:ind w:firstLine="720"/>
    </w:pPr>
    <w:rPr>
      <w:rFonts w:eastAsia="仿宋"/>
      <w:kern w:val="10"/>
      <w:szCs w:val="28"/>
    </w:rPr>
  </w:style>
  <w:style w:type="paragraph" w:customStyle="1" w:styleId="3">
    <w:name w:val="Normal_1"/>
    <w:next w:val="2"/>
    <w:qFormat/>
    <w:uiPriority w:val="0"/>
    <w:rPr>
      <w:rFonts w:ascii="Times New Roman" w:hAnsi="Times New Roman" w:eastAsia="Times New Roman" w:cs="Times New Roman"/>
      <w:sz w:val="24"/>
      <w:szCs w:val="24"/>
      <w:lang w:val="en-US" w:eastAsia="zh-CN" w:bidi="ar-SA"/>
    </w:rPr>
  </w:style>
  <w:style w:type="paragraph" w:styleId="5">
    <w:name w:val="annotation text"/>
    <w:basedOn w:val="1"/>
    <w:qFormat/>
    <w:uiPriority w:val="0"/>
    <w:pPr>
      <w:jc w:val="left"/>
    </w:pPr>
  </w:style>
  <w:style w:type="paragraph" w:styleId="6">
    <w:name w:val="Body Text"/>
    <w:basedOn w:val="1"/>
    <w:next w:val="1"/>
    <w:qFormat/>
    <w:uiPriority w:val="1"/>
    <w:pPr>
      <w:ind w:firstLine="200" w:firstLineChars="200"/>
      <w:jc w:val="both"/>
    </w:pPr>
    <w:rPr>
      <w:rFonts w:ascii="Microsoft YaHei UI" w:hAnsi="Microsoft YaHei UI" w:eastAsia="Microsoft YaHei UI"/>
      <w:sz w:val="21"/>
      <w:szCs w:val="21"/>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12">
    <w:name w:val="Hyperlink"/>
    <w:basedOn w:val="11"/>
    <w:qFormat/>
    <w:uiPriority w:val="0"/>
    <w:rPr>
      <w:color w:val="0563C1" w:themeColor="hyperlink"/>
      <w:u w:val="single"/>
      <w14:textFill>
        <w14:solidFill>
          <w14:schemeClr w14:val="hlink"/>
        </w14:solidFill>
      </w14:textFill>
    </w:rPr>
  </w:style>
  <w:style w:type="paragraph" w:customStyle="1" w:styleId="13">
    <w:name w:val="其他标准标志"/>
    <w:basedOn w:val="14"/>
    <w:qFormat/>
    <w:uiPriority w:val="0"/>
    <w:pPr>
      <w:framePr w:w="6101" w:wrap="around" w:vAnchor="page" w:hAnchor="page" w:x="4673" w:y="942"/>
    </w:pPr>
    <w:rPr>
      <w:w w:val="130"/>
    </w:rPr>
  </w:style>
  <w:style w:type="paragraph" w:customStyle="1" w:styleId="14">
    <w:name w:val="标准标志"/>
    <w:next w:val="1"/>
    <w:qFormat/>
    <w:uiPriority w:val="0"/>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15">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16">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17">
    <w:name w:val="封面标准代替信息"/>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18">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9">
    <w:name w:val="封面标准英文名称"/>
    <w:basedOn w:val="18"/>
    <w:qFormat/>
    <w:uiPriority w:val="0"/>
    <w:pPr>
      <w:framePr w:wrap="around"/>
      <w:spacing w:before="370" w:line="400" w:lineRule="exact"/>
    </w:pPr>
    <w:rPr>
      <w:rFonts w:ascii="Times New Roman"/>
      <w:sz w:val="28"/>
      <w:szCs w:val="28"/>
    </w:rPr>
  </w:style>
  <w:style w:type="paragraph" w:customStyle="1" w:styleId="20">
    <w:name w:val="封面一致性程度标识"/>
    <w:basedOn w:val="19"/>
    <w:qFormat/>
    <w:uiPriority w:val="0"/>
    <w:pPr>
      <w:framePr w:wrap="around"/>
      <w:spacing w:before="440"/>
    </w:pPr>
    <w:rPr>
      <w:rFonts w:ascii="宋体" w:eastAsia="宋体"/>
    </w:rPr>
  </w:style>
  <w:style w:type="paragraph" w:customStyle="1" w:styleId="21">
    <w:name w:val="封面标准文稿类别"/>
    <w:basedOn w:val="20"/>
    <w:qFormat/>
    <w:uiPriority w:val="0"/>
    <w:pPr>
      <w:framePr w:wrap="around"/>
      <w:spacing w:after="160" w:line="240" w:lineRule="auto"/>
    </w:pPr>
    <w:rPr>
      <w:sz w:val="24"/>
    </w:rPr>
  </w:style>
  <w:style w:type="paragraph" w:customStyle="1" w:styleId="22">
    <w:name w:val="封面标准文稿编辑信息"/>
    <w:basedOn w:val="21"/>
    <w:qFormat/>
    <w:uiPriority w:val="0"/>
    <w:pPr>
      <w:framePr w:wrap="around"/>
      <w:spacing w:before="180" w:line="180" w:lineRule="exact"/>
    </w:pPr>
    <w:rPr>
      <w:sz w:val="21"/>
    </w:rPr>
  </w:style>
  <w:style w:type="paragraph" w:customStyle="1" w:styleId="23">
    <w:name w:val="其他发布部门"/>
    <w:basedOn w:val="24"/>
    <w:qFormat/>
    <w:uiPriority w:val="0"/>
    <w:pPr>
      <w:framePr w:wrap="around" w:y="15310"/>
      <w:spacing w:line="0" w:lineRule="atLeast"/>
    </w:pPr>
    <w:rPr>
      <w:rFonts w:ascii="黑体" w:eastAsia="黑体"/>
      <w:b w:val="0"/>
    </w:rPr>
  </w:style>
  <w:style w:type="paragraph" w:customStyle="1" w:styleId="24">
    <w:name w:val="发布部门"/>
    <w:next w:val="25"/>
    <w:qFormat/>
    <w:uiPriority w:val="0"/>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25">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26">
    <w:name w:val="发布"/>
    <w:qFormat/>
    <w:uiPriority w:val="0"/>
    <w:rPr>
      <w:rFonts w:ascii="黑体" w:eastAsia="黑体"/>
      <w:spacing w:val="85"/>
      <w:w w:val="100"/>
      <w:position w:val="3"/>
      <w:sz w:val="28"/>
      <w:szCs w:val="28"/>
    </w:rPr>
  </w:style>
  <w:style w:type="paragraph" w:styleId="27">
    <w:name w:val="List Paragraph"/>
    <w:basedOn w:val="1"/>
    <w:unhideWhenUsed/>
    <w:qFormat/>
    <w:uiPriority w:val="99"/>
    <w:pPr>
      <w:ind w:firstLine="420" w:firstLineChars="200"/>
    </w:pPr>
  </w:style>
  <w:style w:type="character" w:customStyle="1" w:styleId="28">
    <w:name w:val="Unresolved Mention"/>
    <w:basedOn w:val="1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1864</Words>
  <Characters>1902</Characters>
  <Lines>118</Lines>
  <Paragraphs>101</Paragraphs>
  <TotalTime>2</TotalTime>
  <ScaleCrop>false</ScaleCrop>
  <LinksUpToDate>false</LinksUpToDate>
  <CharactersWithSpaces>3665</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2025-10-21T02:13:00Z</dcterms:created>
  <dc:creator>刘洁</dc:creator>
  <cp:lastModifiedBy>刘琨</cp:lastModifiedBy>
  <cp:lastPrinted>2026-01-13T03:11:00Z</cp:lastPrinted>
  <dcterms:modified xsi:type="dcterms:W3CDTF">2026-01-14T05:45:55Z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A163B403B5894BB5AEDBA1F3E5495629</vt:lpwstr>
  </property>
  <property fmtid="{D5CDD505-2E9C-101B-9397-08002B2CF9AE}" pid="4" name="MSIP_Label_48141450-2387-4aca-b41f-19cd6be9dd3c_Enabled">
    <vt:lpwstr>true</vt:lpwstr>
  </property>
  <property fmtid="{D5CDD505-2E9C-101B-9397-08002B2CF9AE}" pid="5" name="MSIP_Label_48141450-2387-4aca-b41f-19cd6be9dd3c_SetDate">
    <vt:lpwstr>2025-10-20T09:50:00Z</vt:lpwstr>
  </property>
  <property fmtid="{D5CDD505-2E9C-101B-9397-08002B2CF9AE}" pid="6" name="MSIP_Label_48141450-2387-4aca-b41f-19cd6be9dd3c_Method">
    <vt:lpwstr>Standard</vt:lpwstr>
  </property>
  <property fmtid="{D5CDD505-2E9C-101B-9397-08002B2CF9AE}" pid="7" name="MSIP_Label_48141450-2387-4aca-b41f-19cd6be9dd3c_Name">
    <vt:lpwstr>Restricted_Unprotected</vt:lpwstr>
  </property>
  <property fmtid="{D5CDD505-2E9C-101B-9397-08002B2CF9AE}" pid="8" name="MSIP_Label_48141450-2387-4aca-b41f-19cd6be9dd3c_SiteId">
    <vt:lpwstr>adf10e2b-b6e9-41d6-be2f-c12bb566019c</vt:lpwstr>
  </property>
  <property fmtid="{D5CDD505-2E9C-101B-9397-08002B2CF9AE}" pid="9" name="MSIP_Label_48141450-2387-4aca-b41f-19cd6be9dd3c_ActionId">
    <vt:lpwstr>6d0c8b50-9fee-4686-ad67-427d16709948</vt:lpwstr>
  </property>
  <property fmtid="{D5CDD505-2E9C-101B-9397-08002B2CF9AE}" pid="10" name="MSIP_Label_48141450-2387-4aca-b41f-19cd6be9dd3c_ContentBits">
    <vt:lpwstr>0</vt:lpwstr>
  </property>
  <property fmtid="{D5CDD505-2E9C-101B-9397-08002B2CF9AE}" pid="11" name="MSIP_Label_48141450-2387-4aca-b41f-19cd6be9dd3c_Tag">
    <vt:lpwstr>10, 3, 0, 1</vt:lpwstr>
  </property>
</Properties>
</file>