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C1E766">
      <w:pPr>
        <w:spacing w:line="360" w:lineRule="auto"/>
        <w:ind w:right="-110"/>
        <w:jc w:val="center"/>
        <w:rPr>
          <w:rFonts w:ascii="宋体" w:hAnsi="宋体"/>
          <w:b/>
          <w:bCs/>
          <w:color w:val="000000"/>
          <w:spacing w:val="40"/>
          <w:sz w:val="48"/>
          <w:szCs w:val="48"/>
        </w:rPr>
      </w:pPr>
      <w:bookmarkStart w:id="0" w:name="_Toc278543496"/>
    </w:p>
    <w:p w14:paraId="4BEC28BB">
      <w:pPr>
        <w:jc w:val="center"/>
        <w:rPr>
          <w:rFonts w:hint="eastAsia" w:eastAsia="宋体"/>
          <w:bCs/>
          <w:spacing w:val="-2"/>
          <w:sz w:val="56"/>
          <w:szCs w:val="56"/>
          <w:lang w:eastAsia="zh-CN"/>
        </w:rPr>
      </w:pPr>
      <w:r>
        <w:rPr>
          <w:rFonts w:hint="eastAsia" w:ascii="宋体" w:hAnsi="宋体" w:cs="宋体"/>
          <w:b/>
          <w:bCs/>
          <w:sz w:val="48"/>
          <w:szCs w:val="48"/>
          <w:lang w:eastAsia="zh-CN"/>
        </w:rPr>
        <w:t>芮城县成品油流通智慧监管平台建设项目</w:t>
      </w:r>
    </w:p>
    <w:p w14:paraId="421E8330">
      <w:pPr>
        <w:rPr>
          <w:bCs/>
          <w:spacing w:val="-2"/>
          <w:sz w:val="36"/>
          <w:szCs w:val="36"/>
        </w:rPr>
      </w:pPr>
    </w:p>
    <w:p w14:paraId="78A0885D">
      <w:pPr>
        <w:pStyle w:val="31"/>
      </w:pPr>
    </w:p>
    <w:p w14:paraId="38557EFA"/>
    <w:p w14:paraId="30896544">
      <w:pPr>
        <w:pStyle w:val="5"/>
      </w:pPr>
    </w:p>
    <w:p w14:paraId="3C417089"/>
    <w:p w14:paraId="1FCF2584">
      <w:pPr>
        <w:jc w:val="center"/>
        <w:rPr>
          <w:b/>
          <w:bCs/>
          <w:sz w:val="72"/>
          <w:szCs w:val="96"/>
        </w:rPr>
      </w:pPr>
      <w:bookmarkStart w:id="1" w:name="_Toc10816"/>
      <w:bookmarkStart w:id="2" w:name="_Toc10739"/>
      <w:r>
        <w:rPr>
          <w:b/>
          <w:bCs/>
          <w:sz w:val="72"/>
          <w:szCs w:val="96"/>
        </w:rPr>
        <w:t>竞争性磋商文件</w:t>
      </w:r>
      <w:bookmarkEnd w:id="1"/>
      <w:bookmarkEnd w:id="2"/>
    </w:p>
    <w:p w14:paraId="214C0868"/>
    <w:p w14:paraId="2D752A53">
      <w:pPr>
        <w:widowControl/>
        <w:rPr>
          <w:b/>
          <w:bCs/>
          <w:kern w:val="0"/>
          <w:sz w:val="28"/>
          <w:szCs w:val="28"/>
        </w:rPr>
      </w:pPr>
      <w:r>
        <w:rPr>
          <w:b/>
          <w:bCs/>
          <w:kern w:val="0"/>
          <w:sz w:val="28"/>
          <w:szCs w:val="28"/>
        </w:rPr>
        <w:t xml:space="preserve">              </w:t>
      </w:r>
    </w:p>
    <w:p w14:paraId="79A689E3">
      <w:pPr>
        <w:widowControl/>
        <w:rPr>
          <w:b/>
          <w:bCs/>
          <w:kern w:val="0"/>
          <w:sz w:val="28"/>
          <w:szCs w:val="28"/>
        </w:rPr>
      </w:pPr>
    </w:p>
    <w:p w14:paraId="3C385346">
      <w:pPr>
        <w:widowControl/>
        <w:ind w:firstLine="1807" w:firstLineChars="600"/>
        <w:rPr>
          <w:b/>
          <w:bCs/>
          <w:kern w:val="0"/>
          <w:sz w:val="28"/>
          <w:szCs w:val="28"/>
        </w:rPr>
      </w:pPr>
      <w:r>
        <w:rPr>
          <w:b/>
          <w:sz w:val="30"/>
          <w:szCs w:val="30"/>
        </w:rPr>
        <w:t xml:space="preserve"> </w:t>
      </w:r>
    </w:p>
    <w:p w14:paraId="5FB48DDD">
      <w:pPr>
        <w:pStyle w:val="38"/>
        <w:ind w:firstLine="640"/>
      </w:pPr>
    </w:p>
    <w:p w14:paraId="50894931">
      <w:pPr>
        <w:pStyle w:val="7"/>
        <w:rPr>
          <w:b/>
          <w:sz w:val="28"/>
          <w:szCs w:val="28"/>
          <w:u w:val="single"/>
        </w:rPr>
      </w:pPr>
      <w:r>
        <w:rPr>
          <w:rFonts w:hint="eastAsia"/>
        </w:rPr>
        <w:t xml:space="preserve">                             </w:t>
      </w:r>
    </w:p>
    <w:p w14:paraId="6AACF587">
      <w:pPr>
        <w:pStyle w:val="4"/>
      </w:pPr>
    </w:p>
    <w:p w14:paraId="681DB9B9">
      <w:pPr>
        <w:spacing w:line="360" w:lineRule="auto"/>
        <w:rPr>
          <w:b/>
          <w:sz w:val="28"/>
          <w:szCs w:val="28"/>
          <w:u w:val="single"/>
        </w:rPr>
      </w:pPr>
    </w:p>
    <w:p w14:paraId="26A180D0">
      <w:pPr>
        <w:tabs>
          <w:tab w:val="left" w:pos="1260"/>
        </w:tabs>
        <w:spacing w:line="360" w:lineRule="auto"/>
        <w:rPr>
          <w:rFonts w:hint="default" w:eastAsia="宋体"/>
          <w:b/>
          <w:sz w:val="30"/>
          <w:szCs w:val="30"/>
          <w:u w:val="single"/>
          <w:lang w:val="en-US" w:eastAsia="zh-CN"/>
        </w:rPr>
      </w:pPr>
      <w:r>
        <w:rPr>
          <w:rFonts w:hint="eastAsia"/>
          <w:b/>
          <w:bCs/>
          <w:kern w:val="0"/>
          <w:sz w:val="32"/>
          <w:szCs w:val="32"/>
        </w:rPr>
        <w:tab/>
      </w:r>
      <w:r>
        <w:rPr>
          <w:rFonts w:hint="eastAsia"/>
          <w:b/>
          <w:bCs/>
          <w:spacing w:val="80"/>
          <w:kern w:val="0"/>
          <w:sz w:val="32"/>
          <w:szCs w:val="32"/>
          <w:fitText w:val="2240" w:id="1626226896"/>
        </w:rPr>
        <w:t>项目编号</w:t>
      </w:r>
      <w:r>
        <w:rPr>
          <w:rFonts w:hint="eastAsia"/>
          <w:b/>
          <w:bCs/>
          <w:spacing w:val="0"/>
          <w:kern w:val="0"/>
          <w:sz w:val="32"/>
          <w:szCs w:val="32"/>
          <w:fitText w:val="2240" w:id="1626226896"/>
        </w:rPr>
        <w:t>：</w:t>
      </w:r>
      <w:r>
        <w:rPr>
          <w:rFonts w:hint="eastAsia"/>
          <w:b/>
          <w:sz w:val="30"/>
          <w:szCs w:val="30"/>
          <w:u w:val="single"/>
        </w:rPr>
        <w:t xml:space="preserve"> 1408302025CCS00108</w:t>
      </w:r>
      <w:r>
        <w:rPr>
          <w:rFonts w:hint="eastAsia"/>
          <w:b/>
          <w:sz w:val="30"/>
          <w:szCs w:val="30"/>
          <w:u w:val="single"/>
          <w:lang w:val="en-US" w:eastAsia="zh-CN"/>
        </w:rPr>
        <w:t xml:space="preserve">          </w:t>
      </w:r>
    </w:p>
    <w:p w14:paraId="1726F2E7">
      <w:pPr>
        <w:tabs>
          <w:tab w:val="left" w:pos="1260"/>
        </w:tabs>
        <w:spacing w:line="360" w:lineRule="auto"/>
        <w:rPr>
          <w:b/>
          <w:sz w:val="30"/>
          <w:szCs w:val="30"/>
        </w:rPr>
      </w:pPr>
      <w:r>
        <w:rPr>
          <w:b/>
          <w:sz w:val="30"/>
          <w:szCs w:val="30"/>
        </w:rPr>
        <w:t xml:space="preserve"> </w:t>
      </w:r>
      <w:r>
        <w:rPr>
          <w:rFonts w:hint="eastAsia"/>
          <w:b/>
          <w:sz w:val="30"/>
          <w:szCs w:val="30"/>
        </w:rPr>
        <w:t xml:space="preserve">            </w:t>
      </w:r>
    </w:p>
    <w:p w14:paraId="17F63306">
      <w:pPr>
        <w:tabs>
          <w:tab w:val="left" w:pos="1260"/>
        </w:tabs>
        <w:spacing w:line="360" w:lineRule="auto"/>
        <w:rPr>
          <w:b/>
          <w:sz w:val="30"/>
          <w:szCs w:val="30"/>
        </w:rPr>
      </w:pPr>
    </w:p>
    <w:p w14:paraId="2DC37ABF">
      <w:pPr>
        <w:tabs>
          <w:tab w:val="left" w:pos="1260"/>
        </w:tabs>
        <w:spacing w:line="360" w:lineRule="auto"/>
        <w:rPr>
          <w:b/>
          <w:sz w:val="30"/>
          <w:szCs w:val="30"/>
          <w:u w:val="single"/>
        </w:rPr>
      </w:pPr>
      <w:r>
        <w:rPr>
          <w:rFonts w:hint="eastAsia"/>
          <w:b/>
          <w:kern w:val="0"/>
          <w:sz w:val="30"/>
          <w:szCs w:val="30"/>
        </w:rPr>
        <w:tab/>
      </w:r>
      <w:r>
        <w:rPr>
          <w:b/>
          <w:spacing w:val="183"/>
          <w:kern w:val="0"/>
          <w:sz w:val="30"/>
          <w:szCs w:val="30"/>
          <w:fitText w:val="2100" w:id="233647029"/>
        </w:rPr>
        <w:t>采购人</w:t>
      </w:r>
      <w:r>
        <w:rPr>
          <w:b/>
          <w:spacing w:val="2"/>
          <w:kern w:val="0"/>
          <w:sz w:val="30"/>
          <w:szCs w:val="30"/>
          <w:fitText w:val="2100" w:id="233647029"/>
        </w:rPr>
        <w:t>:</w:t>
      </w:r>
      <w:r>
        <w:rPr>
          <w:b/>
          <w:sz w:val="30"/>
          <w:szCs w:val="30"/>
          <w:u w:val="single"/>
        </w:rPr>
        <w:t xml:space="preserve"> </w:t>
      </w:r>
      <w:r>
        <w:rPr>
          <w:rFonts w:hint="eastAsia"/>
          <w:b/>
          <w:sz w:val="30"/>
          <w:szCs w:val="30"/>
          <w:u w:val="single"/>
          <w:lang w:eastAsia="zh-CN"/>
        </w:rPr>
        <w:t>芮城县商务局</w:t>
      </w:r>
      <w:r>
        <w:rPr>
          <w:rFonts w:hint="eastAsia"/>
          <w:b/>
          <w:sz w:val="30"/>
          <w:szCs w:val="30"/>
          <w:u w:val="single"/>
          <w:lang w:val="en-US" w:eastAsia="zh-CN"/>
        </w:rPr>
        <w:t xml:space="preserve">                 </w:t>
      </w:r>
      <w:r>
        <w:rPr>
          <w:rFonts w:hint="eastAsia"/>
          <w:b/>
          <w:sz w:val="30"/>
          <w:szCs w:val="30"/>
          <w:u w:val="single"/>
        </w:rPr>
        <w:t xml:space="preserve"> </w:t>
      </w:r>
    </w:p>
    <w:p w14:paraId="1CEB159C">
      <w:pPr>
        <w:tabs>
          <w:tab w:val="left" w:pos="1260"/>
          <w:tab w:val="left" w:pos="3122"/>
        </w:tabs>
        <w:snapToGrid w:val="0"/>
        <w:spacing w:line="360" w:lineRule="auto"/>
        <w:rPr>
          <w:b/>
          <w:sz w:val="30"/>
          <w:szCs w:val="30"/>
          <w:u w:val="single"/>
        </w:rPr>
      </w:pPr>
    </w:p>
    <w:p w14:paraId="1800E63C">
      <w:pPr>
        <w:tabs>
          <w:tab w:val="left" w:pos="1260"/>
          <w:tab w:val="left" w:pos="3122"/>
        </w:tabs>
        <w:snapToGrid w:val="0"/>
        <w:spacing w:line="360" w:lineRule="auto"/>
        <w:rPr>
          <w:b/>
          <w:sz w:val="30"/>
          <w:szCs w:val="30"/>
          <w:u w:val="single"/>
        </w:rPr>
      </w:pPr>
    </w:p>
    <w:p w14:paraId="640FF25D">
      <w:pPr>
        <w:tabs>
          <w:tab w:val="left" w:pos="1260"/>
        </w:tabs>
        <w:snapToGrid w:val="0"/>
        <w:spacing w:line="360" w:lineRule="auto"/>
        <w:rPr>
          <w:b/>
          <w:sz w:val="30"/>
          <w:szCs w:val="30"/>
          <w:u w:val="single"/>
        </w:rPr>
      </w:pPr>
      <w:r>
        <w:rPr>
          <w:rFonts w:hint="eastAsia"/>
          <w:b/>
          <w:sz w:val="30"/>
          <w:szCs w:val="30"/>
        </w:rPr>
        <w:tab/>
      </w:r>
      <w:r>
        <w:rPr>
          <w:b/>
          <w:sz w:val="30"/>
          <w:szCs w:val="30"/>
        </w:rPr>
        <w:t>采购代理机构:</w:t>
      </w:r>
      <w:r>
        <w:rPr>
          <w:rFonts w:hint="eastAsia"/>
          <w:b/>
          <w:sz w:val="30"/>
          <w:szCs w:val="30"/>
          <w:u w:val="single"/>
        </w:rPr>
        <w:t xml:space="preserve">  </w:t>
      </w:r>
      <w:r>
        <w:rPr>
          <w:rFonts w:hint="eastAsia"/>
          <w:b/>
          <w:sz w:val="30"/>
          <w:szCs w:val="30"/>
          <w:u w:val="single"/>
          <w:lang w:eastAsia="zh-CN"/>
        </w:rPr>
        <w:t>山西冠标项目管理有限公司</w:t>
      </w:r>
      <w:r>
        <w:rPr>
          <w:rFonts w:hint="eastAsia"/>
          <w:b/>
          <w:sz w:val="30"/>
          <w:szCs w:val="30"/>
          <w:u w:val="single"/>
        </w:rPr>
        <w:t xml:space="preserve"> </w:t>
      </w:r>
      <w:r>
        <w:rPr>
          <w:rFonts w:hint="eastAsia"/>
          <w:b/>
          <w:sz w:val="30"/>
          <w:szCs w:val="30"/>
          <w:u w:val="single"/>
          <w:lang w:val="en-US" w:eastAsia="zh-CN"/>
        </w:rPr>
        <w:t xml:space="preserve">  </w:t>
      </w:r>
      <w:r>
        <w:rPr>
          <w:rFonts w:hint="eastAsia"/>
          <w:b/>
          <w:sz w:val="30"/>
          <w:szCs w:val="30"/>
          <w:u w:val="single"/>
        </w:rPr>
        <w:t xml:space="preserve">   </w:t>
      </w:r>
    </w:p>
    <w:p w14:paraId="1A930795">
      <w:pPr>
        <w:tabs>
          <w:tab w:val="left" w:pos="3122"/>
        </w:tabs>
        <w:snapToGrid w:val="0"/>
        <w:spacing w:line="360" w:lineRule="auto"/>
        <w:rPr>
          <w:b/>
          <w:sz w:val="30"/>
          <w:szCs w:val="30"/>
          <w:u w:val="single"/>
        </w:rPr>
      </w:pPr>
    </w:p>
    <w:p w14:paraId="23785D75">
      <w:pPr>
        <w:tabs>
          <w:tab w:val="left" w:pos="3122"/>
        </w:tabs>
        <w:snapToGrid w:val="0"/>
        <w:spacing w:line="360" w:lineRule="auto"/>
        <w:ind w:firstLine="590" w:firstLineChars="196"/>
        <w:rPr>
          <w:b/>
          <w:sz w:val="30"/>
          <w:szCs w:val="30"/>
        </w:rPr>
      </w:pPr>
    </w:p>
    <w:p w14:paraId="1A29144D">
      <w:pPr>
        <w:tabs>
          <w:tab w:val="left" w:pos="3122"/>
        </w:tabs>
        <w:snapToGrid w:val="0"/>
        <w:spacing w:line="360" w:lineRule="auto"/>
        <w:jc w:val="center"/>
        <w:rPr>
          <w:b/>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134" w:left="1418" w:header="850" w:footer="907" w:gutter="0"/>
          <w:pgNumType w:fmt="decimal" w:start="0"/>
          <w:cols w:space="720" w:num="1"/>
          <w:docGrid w:linePitch="271" w:charSpace="0"/>
        </w:sectPr>
      </w:pPr>
      <w:r>
        <w:rPr>
          <w:b/>
          <w:sz w:val="30"/>
          <w:szCs w:val="30"/>
        </w:rPr>
        <w:t xml:space="preserve"> 日  期：  </w:t>
      </w:r>
      <w:r>
        <w:rPr>
          <w:b/>
          <w:sz w:val="30"/>
          <w:szCs w:val="30"/>
          <w:u w:val="single"/>
        </w:rPr>
        <w:t xml:space="preserve"> </w:t>
      </w:r>
      <w:r>
        <w:rPr>
          <w:rFonts w:hint="eastAsia"/>
          <w:b/>
          <w:sz w:val="30"/>
          <w:szCs w:val="30"/>
          <w:u w:val="single"/>
          <w:lang w:eastAsia="zh-CN"/>
        </w:rPr>
        <w:t>2025</w:t>
      </w:r>
      <w:r>
        <w:rPr>
          <w:b/>
          <w:sz w:val="30"/>
          <w:szCs w:val="30"/>
        </w:rPr>
        <w:t xml:space="preserve">年 </w:t>
      </w:r>
      <w:r>
        <w:rPr>
          <w:b/>
          <w:sz w:val="30"/>
          <w:szCs w:val="30"/>
          <w:u w:val="single"/>
        </w:rPr>
        <w:t xml:space="preserve"> </w:t>
      </w:r>
      <w:r>
        <w:rPr>
          <w:rFonts w:hint="eastAsia"/>
          <w:b/>
          <w:sz w:val="30"/>
          <w:szCs w:val="30"/>
          <w:u w:val="single"/>
          <w:lang w:val="en-US" w:eastAsia="zh-CN"/>
        </w:rPr>
        <w:t xml:space="preserve">11 </w:t>
      </w:r>
      <w:r>
        <w:rPr>
          <w:b/>
          <w:sz w:val="30"/>
          <w:szCs w:val="30"/>
        </w:rPr>
        <w:t>月</w:t>
      </w:r>
    </w:p>
    <w:p w14:paraId="1B8EA4E8">
      <w:pPr>
        <w:pStyle w:val="58"/>
        <w:sectPr>
          <w:pgSz w:w="11907" w:h="16840"/>
          <w:pgMar w:top="1418" w:right="1134" w:bottom="1134" w:left="1418" w:header="850" w:footer="907" w:gutter="0"/>
          <w:pgNumType w:fmt="decimal" w:start="0"/>
          <w:cols w:space="720" w:num="1"/>
          <w:docGrid w:linePitch="271" w:charSpace="0"/>
        </w:sectPr>
      </w:pPr>
    </w:p>
    <w:p w14:paraId="373E93AB">
      <w:pPr>
        <w:pStyle w:val="27"/>
        <w:tabs>
          <w:tab w:val="right" w:leader="dot" w:pos="8620"/>
          <w:tab w:val="clear" w:pos="9061"/>
        </w:tabs>
        <w:spacing w:before="156"/>
        <w:jc w:val="center"/>
        <w:rPr>
          <w:sz w:val="32"/>
        </w:rPr>
      </w:pPr>
      <w:r>
        <w:rPr>
          <w:rFonts w:hint="eastAsia"/>
          <w:sz w:val="32"/>
        </w:rPr>
        <w:t>目   录</w:t>
      </w:r>
    </w:p>
    <w:p w14:paraId="29820DFF">
      <w:pPr>
        <w:pStyle w:val="27"/>
        <w:tabs>
          <w:tab w:val="right" w:leader="dot" w:pos="8620"/>
          <w:tab w:val="clear" w:pos="9061"/>
        </w:tabs>
        <w:spacing w:before="156"/>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TOC \o "1-3" \h \z \u </w:instrText>
      </w:r>
      <w:r>
        <w:rPr>
          <w:rFonts w:hint="eastAsia" w:ascii="仿宋" w:hAnsi="仿宋" w:eastAsia="仿宋" w:cs="仿宋"/>
          <w:sz w:val="28"/>
          <w:szCs w:val="28"/>
        </w:rPr>
        <w:fldChar w:fldCharType="separate"/>
      </w:r>
      <w:r>
        <w:fldChar w:fldCharType="begin"/>
      </w:r>
      <w:r>
        <w:instrText xml:space="preserve"> HYPERLINK \l "_Toc28585" </w:instrText>
      </w:r>
      <w:r>
        <w:fldChar w:fldCharType="separate"/>
      </w:r>
      <w:r>
        <w:rPr>
          <w:rFonts w:hint="eastAsia" w:ascii="仿宋" w:hAnsi="仿宋" w:eastAsia="仿宋" w:cs="仿宋"/>
          <w:snapToGrid w:val="0"/>
          <w:sz w:val="28"/>
          <w:szCs w:val="28"/>
        </w:rPr>
        <w:t>第一部分  磋商公告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_Toc28585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AEDD042">
      <w:pPr>
        <w:pStyle w:val="27"/>
        <w:tabs>
          <w:tab w:val="right" w:leader="dot" w:pos="8620"/>
          <w:tab w:val="clear" w:pos="9061"/>
        </w:tabs>
        <w:spacing w:before="156"/>
        <w:rPr>
          <w:rFonts w:ascii="仿宋" w:hAnsi="仿宋" w:eastAsia="仿宋" w:cs="仿宋"/>
          <w:sz w:val="28"/>
          <w:szCs w:val="28"/>
        </w:rPr>
      </w:pPr>
      <w:r>
        <w:fldChar w:fldCharType="begin"/>
      </w:r>
      <w:r>
        <w:instrText xml:space="preserve"> HYPERLINK \l "_Toc23802" </w:instrText>
      </w:r>
      <w:r>
        <w:fldChar w:fldCharType="separate"/>
      </w:r>
      <w:r>
        <w:rPr>
          <w:rFonts w:hint="eastAsia" w:ascii="仿宋" w:hAnsi="仿宋" w:eastAsia="仿宋" w:cs="仿宋"/>
          <w:sz w:val="28"/>
          <w:szCs w:val="28"/>
        </w:rPr>
        <w:t>第二部分  供应商须知前附表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_Toc23802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CE5F279">
      <w:pPr>
        <w:pStyle w:val="27"/>
        <w:tabs>
          <w:tab w:val="right" w:leader="dot" w:pos="8620"/>
          <w:tab w:val="clear" w:pos="9061"/>
        </w:tabs>
        <w:spacing w:before="156"/>
        <w:rPr>
          <w:rFonts w:ascii="仿宋" w:hAnsi="仿宋" w:eastAsia="仿宋" w:cs="仿宋"/>
          <w:sz w:val="28"/>
          <w:szCs w:val="28"/>
        </w:rPr>
      </w:pPr>
      <w:r>
        <w:fldChar w:fldCharType="begin"/>
      </w:r>
      <w:r>
        <w:instrText xml:space="preserve"> HYPERLINK \l "_Toc24155" </w:instrText>
      </w:r>
      <w:r>
        <w:fldChar w:fldCharType="separate"/>
      </w:r>
      <w:r>
        <w:rPr>
          <w:rFonts w:hint="eastAsia" w:ascii="仿宋" w:hAnsi="仿宋" w:eastAsia="仿宋" w:cs="仿宋"/>
          <w:sz w:val="28"/>
          <w:szCs w:val="28"/>
        </w:rPr>
        <w:t>电子响应须知附表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_Toc24155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B13B5E7">
      <w:pPr>
        <w:pStyle w:val="27"/>
        <w:tabs>
          <w:tab w:val="right" w:leader="dot" w:pos="8620"/>
          <w:tab w:val="clear" w:pos="9061"/>
        </w:tabs>
        <w:spacing w:before="156"/>
        <w:rPr>
          <w:rFonts w:ascii="仿宋" w:hAnsi="仿宋" w:eastAsia="仿宋" w:cs="仿宋"/>
          <w:sz w:val="28"/>
          <w:szCs w:val="28"/>
        </w:rPr>
      </w:pPr>
      <w:r>
        <w:fldChar w:fldCharType="begin"/>
      </w:r>
      <w:r>
        <w:instrText xml:space="preserve"> HYPERLINK \l "_Toc14777" </w:instrText>
      </w:r>
      <w:r>
        <w:fldChar w:fldCharType="separate"/>
      </w:r>
      <w:r>
        <w:rPr>
          <w:rFonts w:hint="eastAsia" w:ascii="仿宋" w:hAnsi="仿宋" w:eastAsia="仿宋" w:cs="仿宋"/>
          <w:snapToGrid w:val="0"/>
          <w:sz w:val="28"/>
          <w:szCs w:val="28"/>
        </w:rPr>
        <w:t>第三部分  评审标准和评定方法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_Toc14777 \h </w:instrText>
      </w:r>
      <w:r>
        <w:rPr>
          <w:rFonts w:hint="eastAsia" w:ascii="仿宋" w:hAnsi="仿宋" w:eastAsia="仿宋" w:cs="仿宋"/>
          <w:sz w:val="28"/>
          <w:szCs w:val="28"/>
        </w:rPr>
        <w:fldChar w:fldCharType="separate"/>
      </w:r>
      <w:r>
        <w:rPr>
          <w:rFonts w:hint="eastAsia" w:ascii="仿宋" w:hAnsi="仿宋" w:eastAsia="仿宋" w:cs="仿宋"/>
          <w:sz w:val="28"/>
          <w:szCs w:val="28"/>
        </w:rPr>
        <w:t>32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DF8BC7E">
      <w:pPr>
        <w:pStyle w:val="27"/>
        <w:tabs>
          <w:tab w:val="right" w:leader="dot" w:pos="8620"/>
          <w:tab w:val="clear" w:pos="9061"/>
        </w:tabs>
        <w:spacing w:before="156"/>
        <w:rPr>
          <w:rFonts w:ascii="仿宋" w:hAnsi="仿宋" w:eastAsia="仿宋" w:cs="仿宋"/>
          <w:sz w:val="28"/>
          <w:szCs w:val="28"/>
        </w:rPr>
      </w:pPr>
      <w:r>
        <w:fldChar w:fldCharType="begin"/>
      </w:r>
      <w:r>
        <w:instrText xml:space="preserve"> HYPERLINK \l "_Toc24132" </w:instrText>
      </w:r>
      <w:r>
        <w:fldChar w:fldCharType="separate"/>
      </w:r>
      <w:r>
        <w:rPr>
          <w:rFonts w:hint="eastAsia" w:ascii="仿宋" w:hAnsi="仿宋" w:eastAsia="仿宋" w:cs="仿宋"/>
          <w:bCs/>
          <w:snapToGrid w:val="0"/>
          <w:sz w:val="28"/>
          <w:szCs w:val="28"/>
        </w:rPr>
        <w:t>第四部分  商务、技术要求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_Toc24132 \h </w:instrText>
      </w:r>
      <w:r>
        <w:rPr>
          <w:rFonts w:hint="eastAsia" w:ascii="仿宋" w:hAnsi="仿宋" w:eastAsia="仿宋" w:cs="仿宋"/>
          <w:sz w:val="28"/>
          <w:szCs w:val="28"/>
        </w:rPr>
        <w:fldChar w:fldCharType="separate"/>
      </w:r>
      <w:r>
        <w:rPr>
          <w:rFonts w:hint="eastAsia" w:ascii="仿宋" w:hAnsi="仿宋" w:eastAsia="仿宋" w:cs="仿宋"/>
          <w:sz w:val="28"/>
          <w:szCs w:val="28"/>
        </w:rPr>
        <w:t>41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6F4E2E9">
      <w:pPr>
        <w:pStyle w:val="27"/>
        <w:tabs>
          <w:tab w:val="right" w:leader="dot" w:pos="8620"/>
          <w:tab w:val="clear" w:pos="9061"/>
        </w:tabs>
        <w:spacing w:before="156"/>
        <w:rPr>
          <w:rFonts w:ascii="仿宋" w:hAnsi="仿宋" w:eastAsia="仿宋" w:cs="仿宋"/>
          <w:sz w:val="28"/>
          <w:szCs w:val="28"/>
        </w:rPr>
      </w:pPr>
      <w:r>
        <w:fldChar w:fldCharType="begin"/>
      </w:r>
      <w:r>
        <w:instrText xml:space="preserve"> HYPERLINK \l "_Toc25964" </w:instrText>
      </w:r>
      <w:r>
        <w:fldChar w:fldCharType="separate"/>
      </w:r>
      <w:r>
        <w:rPr>
          <w:rFonts w:hint="eastAsia" w:ascii="仿宋" w:hAnsi="仿宋" w:eastAsia="仿宋" w:cs="仿宋"/>
          <w:kern w:val="0"/>
          <w:sz w:val="28"/>
          <w:szCs w:val="28"/>
        </w:rPr>
        <w:t>第五部分</w:t>
      </w:r>
      <w:r>
        <w:rPr>
          <w:rFonts w:hint="eastAsia" w:ascii="仿宋" w:hAnsi="仿宋" w:eastAsia="仿宋" w:cs="仿宋"/>
          <w:sz w:val="28"/>
          <w:szCs w:val="28"/>
        </w:rPr>
        <w:t xml:space="preserve">  </w:t>
      </w:r>
      <w:r>
        <w:rPr>
          <w:rFonts w:hint="eastAsia" w:ascii="仿宋" w:hAnsi="仿宋" w:eastAsia="仿宋" w:cs="仿宋"/>
          <w:spacing w:val="20"/>
          <w:sz w:val="28"/>
          <w:szCs w:val="28"/>
        </w:rPr>
        <w:t>合同范本</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_Toc25964 \h </w:instrText>
      </w:r>
      <w:r>
        <w:rPr>
          <w:rFonts w:hint="eastAsia" w:ascii="仿宋" w:hAnsi="仿宋" w:eastAsia="仿宋" w:cs="仿宋"/>
          <w:sz w:val="28"/>
          <w:szCs w:val="28"/>
        </w:rPr>
        <w:fldChar w:fldCharType="separate"/>
      </w:r>
      <w:r>
        <w:rPr>
          <w:rFonts w:hint="eastAsia" w:ascii="仿宋" w:hAnsi="仿宋" w:eastAsia="仿宋" w:cs="仿宋"/>
          <w:sz w:val="28"/>
          <w:szCs w:val="28"/>
        </w:rPr>
        <w:t>41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ECFE6D0">
      <w:pPr>
        <w:pStyle w:val="27"/>
        <w:tabs>
          <w:tab w:val="right" w:leader="dot" w:pos="8620"/>
          <w:tab w:val="clear" w:pos="9061"/>
        </w:tabs>
        <w:spacing w:before="156"/>
        <w:rPr>
          <w:rFonts w:ascii="仿宋" w:hAnsi="仿宋" w:eastAsia="仿宋" w:cs="仿宋"/>
          <w:bCs/>
          <w:sz w:val="28"/>
          <w:szCs w:val="28"/>
          <w:lang w:val="zh-CN"/>
        </w:rPr>
        <w:sectPr>
          <w:footerReference r:id="rId9" w:type="default"/>
          <w:pgSz w:w="11906" w:h="16838"/>
          <w:pgMar w:top="1440" w:right="1486" w:bottom="1440" w:left="1800" w:header="851" w:footer="992" w:gutter="0"/>
          <w:pgNumType w:fmt="decimal" w:start="1"/>
          <w:cols w:space="720" w:num="1"/>
          <w:titlePg/>
          <w:docGrid w:type="lines" w:linePitch="312" w:charSpace="0"/>
        </w:sectPr>
      </w:pPr>
      <w:r>
        <w:fldChar w:fldCharType="begin"/>
      </w:r>
      <w:r>
        <w:instrText xml:space="preserve"> HYPERLINK \l "_Toc19913" </w:instrText>
      </w:r>
      <w:r>
        <w:fldChar w:fldCharType="separate"/>
      </w:r>
      <w:r>
        <w:rPr>
          <w:rFonts w:hint="eastAsia" w:ascii="仿宋" w:hAnsi="仿宋" w:eastAsia="仿宋" w:cs="仿宋"/>
          <w:sz w:val="28"/>
          <w:szCs w:val="28"/>
        </w:rPr>
        <w:t>第六部分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_Toc19913 \h </w:instrText>
      </w:r>
      <w:r>
        <w:rPr>
          <w:rFonts w:hint="eastAsia" w:ascii="仿宋" w:hAnsi="仿宋" w:eastAsia="仿宋" w:cs="仿宋"/>
          <w:sz w:val="28"/>
          <w:szCs w:val="28"/>
        </w:rPr>
        <w:fldChar w:fldCharType="separate"/>
      </w:r>
      <w:r>
        <w:rPr>
          <w:rFonts w:hint="eastAsia" w:ascii="仿宋" w:hAnsi="仿宋" w:eastAsia="仿宋" w:cs="仿宋"/>
          <w:sz w:val="28"/>
          <w:szCs w:val="28"/>
        </w:rPr>
        <w:t>55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A05295D">
      <w:pPr>
        <w:pStyle w:val="58"/>
      </w:pPr>
    </w:p>
    <w:p w14:paraId="215B2F6B">
      <w:pPr>
        <w:pStyle w:val="27"/>
        <w:tabs>
          <w:tab w:val="right" w:leader="dot" w:pos="8620"/>
          <w:tab w:val="clear" w:pos="9061"/>
        </w:tabs>
        <w:spacing w:before="156"/>
        <w:rPr>
          <w:rFonts w:ascii="仿宋" w:hAnsi="仿宋" w:eastAsia="仿宋" w:cs="仿宋"/>
          <w:sz w:val="28"/>
          <w:szCs w:val="28"/>
        </w:rPr>
      </w:pPr>
    </w:p>
    <w:p w14:paraId="4337F26E">
      <w:pPr>
        <w:pStyle w:val="27"/>
        <w:tabs>
          <w:tab w:val="right" w:leader="dot" w:pos="8620"/>
          <w:tab w:val="clear" w:pos="9061"/>
        </w:tabs>
        <w:spacing w:before="156"/>
        <w:rPr>
          <w:rFonts w:ascii="仿宋" w:hAnsi="仿宋" w:eastAsia="仿宋" w:cs="仿宋"/>
          <w:sz w:val="28"/>
          <w:szCs w:val="28"/>
        </w:rPr>
      </w:pPr>
    </w:p>
    <w:p w14:paraId="2B895E62">
      <w:pPr>
        <w:pStyle w:val="27"/>
        <w:tabs>
          <w:tab w:val="right" w:leader="dot" w:pos="8620"/>
          <w:tab w:val="clear" w:pos="9061"/>
        </w:tabs>
        <w:spacing w:before="156"/>
        <w:rPr>
          <w:rFonts w:ascii="仿宋" w:hAnsi="仿宋" w:eastAsia="仿宋" w:cs="仿宋"/>
          <w:sz w:val="28"/>
          <w:szCs w:val="28"/>
        </w:rPr>
      </w:pPr>
    </w:p>
    <w:p w14:paraId="0829E44E">
      <w:pPr>
        <w:spacing w:line="360" w:lineRule="auto"/>
      </w:pPr>
      <w:r>
        <w:rPr>
          <w:rFonts w:hint="eastAsia" w:ascii="仿宋" w:hAnsi="仿宋" w:eastAsia="仿宋" w:cs="仿宋"/>
          <w:bCs/>
          <w:sz w:val="28"/>
          <w:szCs w:val="28"/>
          <w:lang w:val="zh-CN"/>
        </w:rPr>
        <w:fldChar w:fldCharType="end"/>
      </w:r>
    </w:p>
    <w:p w14:paraId="046270B2">
      <w:pPr>
        <w:pStyle w:val="146"/>
        <w:tabs>
          <w:tab w:val="right" w:leader="dot" w:pos="8620"/>
        </w:tabs>
        <w:spacing w:line="500" w:lineRule="exact"/>
        <w:rPr>
          <w:rFonts w:ascii="宋体" w:hAnsi="宋体" w:cs="宋体"/>
          <w:color w:val="000000"/>
          <w:sz w:val="21"/>
          <w:szCs w:val="21"/>
        </w:rPr>
      </w:pPr>
    </w:p>
    <w:p w14:paraId="1FFD03E5">
      <w:pPr>
        <w:widowControl/>
        <w:snapToGrid w:val="0"/>
        <w:spacing w:afterLines="150" w:line="360" w:lineRule="auto"/>
        <w:jc w:val="center"/>
        <w:rPr>
          <w:b/>
          <w:bCs/>
          <w:color w:val="000000"/>
          <w:kern w:val="0"/>
          <w:sz w:val="36"/>
          <w:szCs w:val="36"/>
        </w:rPr>
      </w:pPr>
    </w:p>
    <w:p w14:paraId="10FB663C">
      <w:pPr>
        <w:pStyle w:val="4"/>
        <w:rPr>
          <w:rFonts w:ascii="仿宋" w:hAnsi="仿宋" w:eastAsia="仿宋" w:cs="仿宋"/>
          <w:snapToGrid w:val="0"/>
          <w:sz w:val="24"/>
          <w:szCs w:val="24"/>
        </w:rPr>
        <w:sectPr>
          <w:pgSz w:w="11906" w:h="16838"/>
          <w:pgMar w:top="1440" w:right="1486" w:bottom="1440" w:left="1800" w:header="851" w:footer="992" w:gutter="0"/>
          <w:pgNumType w:fmt="decimal" w:start="1"/>
          <w:cols w:space="720" w:num="1"/>
          <w:titlePg/>
          <w:docGrid w:type="lines" w:linePitch="312" w:charSpace="0"/>
        </w:sectPr>
      </w:pPr>
      <w:bookmarkStart w:id="3" w:name="_Toc23341"/>
      <w:bookmarkStart w:id="4" w:name="_Toc28585"/>
      <w:bookmarkStart w:id="5" w:name="_Toc79599036"/>
      <w:bookmarkStart w:id="6" w:name="_Toc10267"/>
    </w:p>
    <w:p w14:paraId="62957DBA">
      <w:pPr>
        <w:pStyle w:val="4"/>
        <w:rPr>
          <w:rFonts w:ascii="仿宋" w:hAnsi="仿宋" w:eastAsia="仿宋" w:cs="仿宋"/>
          <w:snapToGrid w:val="0"/>
          <w:sz w:val="24"/>
          <w:szCs w:val="24"/>
        </w:rPr>
      </w:pPr>
      <w:r>
        <w:rPr>
          <w:rFonts w:hint="eastAsia" w:ascii="仿宋" w:hAnsi="仿宋" w:eastAsia="仿宋" w:cs="仿宋"/>
          <w:snapToGrid w:val="0"/>
          <w:sz w:val="24"/>
          <w:szCs w:val="24"/>
        </w:rPr>
        <w:t>第一部分  磋商公告</w:t>
      </w:r>
      <w:bookmarkEnd w:id="3"/>
      <w:bookmarkEnd w:id="4"/>
      <w:bookmarkEnd w:id="5"/>
    </w:p>
    <w:p w14:paraId="6615F1E4">
      <w:pPr>
        <w:pBdr>
          <w:top w:val="single" w:color="auto" w:sz="4" w:space="1"/>
          <w:left w:val="single" w:color="auto" w:sz="4" w:space="4"/>
          <w:bottom w:val="single" w:color="auto" w:sz="4" w:space="1"/>
          <w:right w:val="single" w:color="auto" w:sz="4" w:space="4"/>
        </w:pBdr>
        <w:spacing w:line="480" w:lineRule="auto"/>
        <w:jc w:val="center"/>
        <w:rPr>
          <w:rFonts w:ascii="仿宋" w:hAnsi="仿宋" w:eastAsia="仿宋" w:cs="仿宋"/>
          <w:sz w:val="24"/>
        </w:rPr>
      </w:pPr>
      <w:bookmarkStart w:id="7" w:name="_Toc28359012"/>
      <w:bookmarkStart w:id="8" w:name="_Toc35393798"/>
      <w:bookmarkStart w:id="9" w:name="_Toc35393629"/>
      <w:bookmarkStart w:id="10" w:name="_Toc28359089"/>
      <w:r>
        <w:rPr>
          <w:rFonts w:hint="eastAsia" w:ascii="仿宋" w:hAnsi="仿宋" w:eastAsia="仿宋" w:cs="仿宋"/>
          <w:sz w:val="24"/>
        </w:rPr>
        <w:t>项目概况</w:t>
      </w:r>
    </w:p>
    <w:p w14:paraId="0C2249FE">
      <w:pPr>
        <w:pBdr>
          <w:top w:val="single" w:color="auto" w:sz="4" w:space="1"/>
          <w:left w:val="single" w:color="auto" w:sz="4" w:space="4"/>
          <w:bottom w:val="single" w:color="auto" w:sz="4" w:space="1"/>
          <w:right w:val="single" w:color="auto" w:sz="4" w:space="4"/>
        </w:pBdr>
        <w:wordWrap w:val="0"/>
        <w:spacing w:line="480" w:lineRule="auto"/>
        <w:ind w:firstLine="480" w:firstLineChars="20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u w:val="single"/>
          <w:lang w:eastAsia="zh-CN"/>
        </w:rPr>
        <w:t>芮城县成品油流通智慧监管平台建设项目</w:t>
      </w:r>
      <w:r>
        <w:rPr>
          <w:rFonts w:hint="eastAsia" w:ascii="仿宋" w:hAnsi="仿宋" w:eastAsia="仿宋" w:cs="仿宋"/>
          <w:sz w:val="24"/>
          <w:u w:val="single"/>
        </w:rPr>
        <w:t xml:space="preserve"> </w:t>
      </w:r>
      <w:r>
        <w:rPr>
          <w:rFonts w:hint="eastAsia" w:ascii="仿宋" w:hAnsi="仿宋" w:eastAsia="仿宋" w:cs="仿宋"/>
          <w:sz w:val="24"/>
        </w:rPr>
        <w:t>的潜在供应商应通过山西省政府采购网-山西政府采购平台</w:t>
      </w:r>
      <w:r>
        <w:rPr>
          <w:rFonts w:hint="eastAsia" w:ascii="仿宋" w:hAnsi="仿宋" w:eastAsia="仿宋" w:cs="仿宋"/>
          <w:spacing w:val="10"/>
          <w:kern w:val="0"/>
          <w:sz w:val="24"/>
        </w:rPr>
        <w:t>（https://login.sxzfcg.zcygov.cn/user-login/#/login）</w:t>
      </w:r>
      <w:r>
        <w:rPr>
          <w:rFonts w:hint="eastAsia" w:ascii="仿宋" w:hAnsi="仿宋" w:eastAsia="仿宋" w:cs="仿宋"/>
          <w:sz w:val="24"/>
        </w:rPr>
        <w:t>线上获取磋商文件，并于</w:t>
      </w:r>
      <w:r>
        <w:rPr>
          <w:rFonts w:hint="eastAsia" w:ascii="仿宋" w:hAnsi="仿宋" w:eastAsia="仿宋" w:cs="仿宋"/>
          <w:sz w:val="24"/>
          <w:lang w:eastAsia="zh-CN"/>
        </w:rPr>
        <w:t>2025</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17</w:t>
      </w:r>
      <w:r>
        <w:rPr>
          <w:rFonts w:hint="eastAsia" w:ascii="仿宋" w:hAnsi="仿宋" w:eastAsia="仿宋" w:cs="仿宋"/>
          <w:sz w:val="24"/>
        </w:rPr>
        <w:t>日08点30分（北京时间）前递交响应文件。</w:t>
      </w:r>
    </w:p>
    <w:p w14:paraId="651CE4F8">
      <w:pPr>
        <w:spacing w:line="640" w:lineRule="exact"/>
        <w:rPr>
          <w:rFonts w:ascii="黑体" w:hAnsi="黑体" w:eastAsia="黑体" w:cs="黑体"/>
          <w:sz w:val="28"/>
          <w:szCs w:val="28"/>
        </w:rPr>
      </w:pPr>
      <w:r>
        <w:rPr>
          <w:rFonts w:hint="eastAsia" w:ascii="黑体" w:hAnsi="黑体" w:eastAsia="黑体" w:cs="黑体"/>
          <w:sz w:val="28"/>
          <w:szCs w:val="28"/>
        </w:rPr>
        <w:t>一、项目基本情况</w:t>
      </w:r>
    </w:p>
    <w:p w14:paraId="124D5D96">
      <w:pPr>
        <w:pStyle w:val="35"/>
        <w:spacing w:before="0" w:beforeAutospacing="0" w:after="0" w:afterAutospacing="0" w:line="640" w:lineRule="exact"/>
        <w:ind w:left="4" w:firstLine="480"/>
        <w:jc w:val="both"/>
        <w:rPr>
          <w:rFonts w:ascii="仿宋" w:hAnsi="仿宋" w:eastAsia="仿宋" w:cs="仿宋"/>
          <w:color w:val="333333"/>
        </w:rPr>
      </w:pPr>
      <w:bookmarkStart w:id="11" w:name="_Toc35393630"/>
      <w:bookmarkStart w:id="12" w:name="_Toc35393799"/>
      <w:bookmarkStart w:id="13" w:name="_Toc28359090"/>
      <w:bookmarkStart w:id="14" w:name="_Toc28359013"/>
      <w:r>
        <w:rPr>
          <w:rFonts w:hint="eastAsia" w:ascii="仿宋" w:hAnsi="仿宋" w:eastAsia="仿宋" w:cs="仿宋"/>
          <w:color w:val="333333"/>
          <w:shd w:val="clear" w:color="auto" w:fill="FFFFFF"/>
        </w:rPr>
        <w:t>1、项目编号：1408302025CCS00108</w:t>
      </w:r>
      <w:r>
        <w:rPr>
          <w:rFonts w:hint="eastAsia" w:ascii="仿宋" w:hAnsi="仿宋" w:eastAsia="仿宋" w:cs="仿宋"/>
          <w:color w:val="333333"/>
          <w:shd w:val="clear" w:color="auto" w:fill="FFFFFF"/>
          <w:lang w:eastAsia="zh-CN"/>
        </w:rPr>
        <w:t xml:space="preserve"> </w:t>
      </w:r>
      <w:r>
        <w:rPr>
          <w:rFonts w:hint="eastAsia" w:ascii="仿宋" w:hAnsi="仿宋" w:eastAsia="仿宋" w:cs="仿宋"/>
          <w:color w:val="333333"/>
          <w:shd w:val="clear" w:color="auto" w:fill="FFFFFF"/>
        </w:rPr>
        <w:t xml:space="preserve">  </w:t>
      </w:r>
    </w:p>
    <w:p w14:paraId="17D20901">
      <w:pPr>
        <w:pStyle w:val="35"/>
        <w:spacing w:before="0" w:beforeAutospacing="0" w:after="0" w:afterAutospacing="0" w:line="640" w:lineRule="exact"/>
        <w:ind w:firstLine="480" w:firstLineChars="200"/>
        <w:jc w:val="both"/>
        <w:rPr>
          <w:rFonts w:hint="eastAsia" w:ascii="仿宋" w:hAnsi="仿宋" w:eastAsia="仿宋" w:cs="仿宋"/>
          <w:color w:val="333333"/>
          <w:lang w:eastAsia="zh-CN"/>
        </w:rPr>
      </w:pPr>
      <w:r>
        <w:rPr>
          <w:rFonts w:hint="eastAsia" w:ascii="仿宋" w:hAnsi="仿宋" w:eastAsia="仿宋" w:cs="仿宋"/>
          <w:color w:val="333333"/>
          <w:shd w:val="clear" w:color="auto" w:fill="FFFFFF"/>
        </w:rPr>
        <w:t>2、项目名称：</w:t>
      </w:r>
      <w:r>
        <w:rPr>
          <w:rFonts w:hint="eastAsia" w:ascii="仿宋" w:hAnsi="仿宋" w:eastAsia="仿宋" w:cs="仿宋"/>
          <w:bCs/>
          <w:color w:val="333333"/>
          <w:shd w:val="clear" w:color="auto" w:fill="FFFFFF"/>
          <w:lang w:eastAsia="zh-CN"/>
        </w:rPr>
        <w:t>芮城县成品油流通智慧监管平台建设项目</w:t>
      </w:r>
    </w:p>
    <w:p w14:paraId="72F032B3">
      <w:pPr>
        <w:pStyle w:val="35"/>
        <w:spacing w:before="0" w:beforeAutospacing="0" w:after="0" w:afterAutospacing="0" w:line="640" w:lineRule="exact"/>
        <w:ind w:firstLine="480"/>
        <w:jc w:val="both"/>
        <w:rPr>
          <w:rFonts w:ascii="仿宋" w:hAnsi="仿宋" w:eastAsia="仿宋" w:cs="仿宋"/>
          <w:color w:val="333333"/>
          <w:shd w:val="clear" w:color="auto" w:fill="FFFFFF"/>
        </w:rPr>
      </w:pPr>
      <w:r>
        <w:rPr>
          <w:rFonts w:hint="eastAsia" w:ascii="仿宋" w:hAnsi="仿宋" w:eastAsia="仿宋" w:cs="仿宋"/>
          <w:color w:val="333333"/>
          <w:shd w:val="clear" w:color="auto" w:fill="FFFFFF"/>
        </w:rPr>
        <w:t>3、采购方式：竞争性磋商</w:t>
      </w:r>
    </w:p>
    <w:p w14:paraId="07AF7BA5">
      <w:pPr>
        <w:pStyle w:val="35"/>
        <w:spacing w:before="0" w:beforeAutospacing="0" w:after="0" w:afterAutospacing="0" w:line="640" w:lineRule="exact"/>
        <w:ind w:firstLine="480"/>
        <w:jc w:val="both"/>
        <w:rPr>
          <w:rFonts w:hint="default" w:ascii="仿宋" w:hAnsi="仿宋" w:eastAsia="仿宋" w:cs="仿宋"/>
          <w:color w:val="0000FF"/>
          <w:shd w:val="clear" w:color="auto" w:fill="FFFFFF"/>
          <w:lang w:val="en-US"/>
        </w:rPr>
      </w:pPr>
      <w:r>
        <w:rPr>
          <w:rFonts w:hint="eastAsia" w:ascii="仿宋" w:hAnsi="仿宋" w:eastAsia="仿宋" w:cs="仿宋"/>
          <w:color w:val="333333"/>
          <w:shd w:val="clear" w:color="auto" w:fill="FFFFFF"/>
        </w:rPr>
        <w:t>4、预算金额：</w:t>
      </w:r>
      <w:r>
        <w:rPr>
          <w:rFonts w:hint="eastAsia" w:ascii="仿宋" w:hAnsi="仿宋" w:eastAsia="仿宋" w:cs="仿宋"/>
          <w:color w:val="333333"/>
          <w:shd w:val="clear" w:color="auto" w:fill="FFFFFF"/>
          <w:lang w:val="en-US" w:eastAsia="zh-CN"/>
        </w:rPr>
        <w:t xml:space="preserve"> 205万元</w:t>
      </w:r>
    </w:p>
    <w:p w14:paraId="5A387BAB">
      <w:pPr>
        <w:pStyle w:val="35"/>
        <w:spacing w:before="0" w:beforeAutospacing="0" w:after="0" w:afterAutospacing="0" w:line="640" w:lineRule="exact"/>
        <w:ind w:firstLine="480" w:firstLineChars="200"/>
        <w:jc w:val="both"/>
        <w:rPr>
          <w:rFonts w:hint="eastAsia" w:ascii="仿宋" w:hAnsi="仿宋" w:eastAsia="仿宋" w:cs="仿宋"/>
          <w:spacing w:val="-3"/>
          <w:sz w:val="24"/>
          <w:szCs w:val="24"/>
          <w:lang w:val="en-US" w:eastAsia="zh-CN"/>
        </w:rPr>
      </w:pPr>
      <w:r>
        <w:rPr>
          <w:rFonts w:hint="eastAsia" w:ascii="仿宋" w:hAnsi="仿宋" w:eastAsia="仿宋" w:cs="仿宋"/>
          <w:color w:val="000000" w:themeColor="text1"/>
          <w:shd w:val="clear" w:color="auto" w:fill="FFFFFF"/>
          <w14:textFill>
            <w14:solidFill>
              <w14:schemeClr w14:val="tx1"/>
            </w14:solidFill>
          </w14:textFill>
        </w:rPr>
        <w:t>5、项目需求：</w:t>
      </w:r>
      <w:r>
        <w:rPr>
          <w:rFonts w:hint="eastAsia" w:ascii="仿宋" w:hAnsi="仿宋" w:eastAsia="仿宋" w:cs="仿宋"/>
          <w:spacing w:val="-2"/>
          <w:sz w:val="24"/>
          <w:szCs w:val="24"/>
        </w:rPr>
        <w:t>运城市芮城县成品油流通智慧监管平台建设项目覆盖全县</w:t>
      </w:r>
      <w:r>
        <w:rPr>
          <w:rFonts w:hint="eastAsia" w:ascii="仿宋" w:hAnsi="仿宋" w:eastAsia="仿宋" w:cs="仿宋"/>
          <w:spacing w:val="-48"/>
          <w:sz w:val="24"/>
          <w:szCs w:val="24"/>
        </w:rPr>
        <w:t xml:space="preserve"> </w:t>
      </w:r>
      <w:r>
        <w:rPr>
          <w:rFonts w:hint="eastAsia" w:ascii="仿宋" w:hAnsi="仿宋" w:eastAsia="仿宋" w:cs="仿宋"/>
          <w:spacing w:val="-2"/>
          <w:sz w:val="24"/>
          <w:szCs w:val="24"/>
        </w:rPr>
        <w:t>27</w:t>
      </w:r>
      <w:r>
        <w:rPr>
          <w:rFonts w:hint="eastAsia" w:ascii="仿宋" w:hAnsi="仿宋" w:eastAsia="仿宋" w:cs="仿宋"/>
          <w:spacing w:val="-49"/>
          <w:sz w:val="24"/>
          <w:szCs w:val="24"/>
        </w:rPr>
        <w:t xml:space="preserve"> </w:t>
      </w:r>
      <w:r>
        <w:rPr>
          <w:rFonts w:hint="eastAsia" w:ascii="仿宋" w:hAnsi="仿宋" w:eastAsia="仿宋" w:cs="仿宋"/>
          <w:spacing w:val="-2"/>
          <w:sz w:val="24"/>
          <w:szCs w:val="24"/>
        </w:rPr>
        <w:t>座</w:t>
      </w:r>
      <w:r>
        <w:rPr>
          <w:rFonts w:hint="eastAsia" w:ascii="仿宋" w:hAnsi="仿宋" w:eastAsia="仿宋" w:cs="仿宋"/>
          <w:spacing w:val="-3"/>
          <w:sz w:val="24"/>
          <w:szCs w:val="24"/>
        </w:rPr>
        <w:t>民营加油站</w:t>
      </w:r>
      <w:r>
        <w:rPr>
          <w:rFonts w:hint="eastAsia" w:ascii="仿宋" w:hAnsi="仿宋" w:eastAsia="仿宋" w:cs="仿宋"/>
          <w:spacing w:val="-3"/>
          <w:sz w:val="24"/>
          <w:szCs w:val="24"/>
          <w:lang w:eastAsia="zh-CN"/>
        </w:rPr>
        <w:t>，为进一步推动我省政务信息化建设,实现全省成品油流通数字化、智慧化监管,加强对山西省成品油流通智慧监管平台建设，现建设加油站物联网硬件数据采集服务包括：加油机数据采集服务、油罐液位仪数据采集服务、智能AI视联数据采集服务</w:t>
      </w:r>
      <w:r>
        <w:rPr>
          <w:rFonts w:hint="eastAsia" w:ascii="仿宋" w:hAnsi="仿宋" w:eastAsia="仿宋" w:cs="仿宋"/>
          <w:spacing w:val="-3"/>
          <w:sz w:val="24"/>
          <w:szCs w:val="24"/>
          <w:lang w:val="en-US" w:eastAsia="zh-CN"/>
        </w:rPr>
        <w:t>，具体报价范围、采购范围及所应达到的具体要求，以本磋商文件中商务、技术和服务的相应规定为准。</w:t>
      </w:r>
    </w:p>
    <w:p w14:paraId="445B1D77">
      <w:pPr>
        <w:pStyle w:val="35"/>
        <w:spacing w:before="0" w:beforeAutospacing="0" w:after="0" w:afterAutospacing="0" w:line="640" w:lineRule="exact"/>
        <w:ind w:firstLine="480" w:firstLineChars="200"/>
        <w:jc w:val="both"/>
        <w:rPr>
          <w:rFonts w:ascii="仿宋" w:hAnsi="仿宋" w:eastAsia="仿宋" w:cs="仿宋"/>
        </w:rPr>
      </w:pPr>
      <w:r>
        <w:rPr>
          <w:rFonts w:hint="eastAsia" w:ascii="仿宋" w:hAnsi="仿宋" w:eastAsia="仿宋" w:cs="仿宋"/>
        </w:rPr>
        <w:t>6、合同履行期限（服务期）：</w:t>
      </w:r>
      <w:r>
        <w:rPr>
          <w:rFonts w:hint="eastAsia" w:ascii="仿宋" w:hAnsi="仿宋" w:eastAsia="仿宋" w:cs="仿宋"/>
          <w:lang w:val="en-US" w:eastAsia="zh-CN"/>
        </w:rPr>
        <w:t>自合同签订之日起60天。</w:t>
      </w:r>
      <w:r>
        <w:rPr>
          <w:rFonts w:hint="eastAsia" w:ascii="仿宋" w:hAnsi="仿宋" w:eastAsia="仿宋" w:cs="仿宋"/>
        </w:rPr>
        <w:t xml:space="preserve"> </w:t>
      </w:r>
    </w:p>
    <w:p w14:paraId="35C38C91">
      <w:pPr>
        <w:pStyle w:val="35"/>
        <w:spacing w:before="0" w:beforeAutospacing="0" w:after="0" w:afterAutospacing="0" w:line="640" w:lineRule="exact"/>
        <w:ind w:firstLine="480"/>
        <w:jc w:val="both"/>
        <w:rPr>
          <w:rFonts w:ascii="仿宋" w:hAnsi="仿宋" w:eastAsia="仿宋" w:cs="仿宋"/>
          <w:color w:val="333333"/>
          <w:shd w:val="clear" w:color="auto" w:fill="FFFFFF"/>
        </w:rPr>
      </w:pPr>
      <w:r>
        <w:rPr>
          <w:rFonts w:hint="eastAsia" w:ascii="仿宋" w:hAnsi="仿宋" w:eastAsia="仿宋" w:cs="仿宋"/>
          <w:color w:val="333333"/>
          <w:shd w:val="clear" w:color="auto" w:fill="FFFFFF"/>
        </w:rPr>
        <w:t>7、本项目不接受联合体。</w:t>
      </w:r>
    </w:p>
    <w:p w14:paraId="6E1D550C">
      <w:pPr>
        <w:spacing w:line="640" w:lineRule="exact"/>
        <w:rPr>
          <w:rFonts w:ascii="黑体" w:hAnsi="黑体" w:eastAsia="黑体" w:cs="黑体"/>
          <w:sz w:val="28"/>
          <w:szCs w:val="28"/>
        </w:rPr>
      </w:pPr>
      <w:r>
        <w:rPr>
          <w:rFonts w:hint="eastAsia" w:ascii="黑体" w:hAnsi="黑体" w:eastAsia="黑体" w:cs="黑体"/>
          <w:sz w:val="28"/>
          <w:szCs w:val="28"/>
        </w:rPr>
        <w:t>二、申请人的资格要求</w:t>
      </w:r>
      <w:bookmarkEnd w:id="11"/>
      <w:bookmarkEnd w:id="12"/>
      <w:bookmarkEnd w:id="13"/>
      <w:bookmarkEnd w:id="14"/>
    </w:p>
    <w:p w14:paraId="42947037">
      <w:pPr>
        <w:spacing w:line="640" w:lineRule="exact"/>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63171215">
      <w:pPr>
        <w:spacing w:line="640" w:lineRule="exact"/>
        <w:ind w:firstLine="480" w:firstLineChars="200"/>
        <w:rPr>
          <w:rFonts w:ascii="仿宋" w:hAnsi="仿宋" w:eastAsia="仿宋" w:cs="仿宋"/>
          <w:sz w:val="24"/>
        </w:rPr>
      </w:pPr>
      <w:r>
        <w:rPr>
          <w:rFonts w:hint="eastAsia" w:ascii="仿宋" w:hAnsi="仿宋" w:eastAsia="仿宋" w:cs="仿宋"/>
          <w:sz w:val="24"/>
        </w:rPr>
        <w:t>2.落实政府采购政策需满足的资格要求：</w:t>
      </w:r>
      <w:r>
        <w:rPr>
          <w:rFonts w:hint="eastAsia" w:ascii="仿宋" w:hAnsi="仿宋" w:eastAsia="仿宋" w:cs="仿宋"/>
          <w:sz w:val="24"/>
          <w:lang w:val="en-US" w:eastAsia="zh-CN"/>
        </w:rPr>
        <w:t>本项目不专门面向中小企业采购。</w:t>
      </w:r>
    </w:p>
    <w:p w14:paraId="33444D02">
      <w:pPr>
        <w:snapToGrid w:val="0"/>
        <w:spacing w:line="640" w:lineRule="exact"/>
        <w:ind w:firstLine="480" w:firstLineChars="200"/>
        <w:rPr>
          <w:rFonts w:hint="eastAsia" w:ascii="仿宋" w:hAnsi="仿宋" w:eastAsia="仿宋" w:cs="仿宋"/>
          <w:sz w:val="24"/>
          <w:lang w:eastAsia="zh-CN"/>
        </w:rPr>
      </w:pPr>
      <w:bookmarkStart w:id="15" w:name="_Toc28359014"/>
      <w:bookmarkStart w:id="16" w:name="_Toc28359091"/>
      <w:r>
        <w:rPr>
          <w:rFonts w:hint="eastAsia" w:ascii="仿宋" w:hAnsi="仿宋" w:eastAsia="仿宋" w:cs="仿宋"/>
          <w:sz w:val="24"/>
        </w:rPr>
        <w:t>3.本项目的特定资格要求：</w:t>
      </w:r>
      <w:r>
        <w:rPr>
          <w:rFonts w:hint="eastAsia" w:ascii="仿宋" w:hAnsi="仿宋" w:eastAsia="仿宋" w:cs="仿宋"/>
          <w:sz w:val="24"/>
          <w:lang w:val="en-US" w:eastAsia="zh-CN"/>
        </w:rPr>
        <w:t>无</w:t>
      </w:r>
      <w:r>
        <w:rPr>
          <w:rFonts w:hint="eastAsia" w:ascii="仿宋" w:hAnsi="仿宋" w:eastAsia="仿宋" w:cs="仿宋"/>
          <w:sz w:val="24"/>
          <w:lang w:eastAsia="zh-CN"/>
        </w:rPr>
        <w:t>。</w:t>
      </w:r>
    </w:p>
    <w:p w14:paraId="5F484A4B">
      <w:pPr>
        <w:snapToGrid w:val="0"/>
        <w:spacing w:line="640" w:lineRule="exact"/>
        <w:ind w:firstLine="480" w:firstLineChars="200"/>
        <w:rPr>
          <w:rFonts w:ascii="仿宋" w:hAnsi="仿宋" w:eastAsia="仿宋" w:cs="仿宋"/>
          <w:sz w:val="24"/>
        </w:rPr>
      </w:pPr>
      <w:r>
        <w:rPr>
          <w:rFonts w:hint="eastAsia" w:ascii="仿宋" w:hAnsi="仿宋" w:eastAsia="仿宋" w:cs="仿宋"/>
          <w:sz w:val="24"/>
          <w:lang w:val="en-US" w:eastAsia="zh-CN"/>
        </w:rPr>
        <w:t>4.本项目不接受联合体投标</w:t>
      </w:r>
      <w:r>
        <w:rPr>
          <w:rFonts w:hint="eastAsia" w:ascii="仿宋" w:hAnsi="仿宋" w:eastAsia="仿宋" w:cs="仿宋"/>
          <w:sz w:val="24"/>
        </w:rPr>
        <w:t>。</w:t>
      </w:r>
    </w:p>
    <w:p w14:paraId="1B7F4B39">
      <w:pPr>
        <w:spacing w:line="640" w:lineRule="exact"/>
        <w:rPr>
          <w:rFonts w:ascii="黑体" w:hAnsi="黑体" w:eastAsia="黑体" w:cs="黑体"/>
          <w:sz w:val="28"/>
          <w:szCs w:val="28"/>
        </w:rPr>
      </w:pPr>
      <w:bookmarkStart w:id="17" w:name="_Toc35393631"/>
      <w:bookmarkStart w:id="18" w:name="_Toc35393800"/>
      <w:r>
        <w:rPr>
          <w:rFonts w:hint="eastAsia" w:ascii="黑体" w:hAnsi="黑体" w:eastAsia="黑体" w:cs="黑体"/>
          <w:sz w:val="28"/>
          <w:szCs w:val="28"/>
        </w:rPr>
        <w:t>三、获取采购文件</w:t>
      </w:r>
      <w:bookmarkEnd w:id="15"/>
      <w:bookmarkEnd w:id="16"/>
      <w:bookmarkEnd w:id="17"/>
      <w:bookmarkEnd w:id="18"/>
    </w:p>
    <w:p w14:paraId="7750B8C0">
      <w:pPr>
        <w:spacing w:line="640" w:lineRule="exact"/>
        <w:ind w:firstLine="480" w:firstLineChars="200"/>
        <w:rPr>
          <w:rFonts w:ascii="仿宋" w:hAnsi="仿宋" w:eastAsia="仿宋" w:cs="仿宋"/>
          <w:sz w:val="24"/>
        </w:rPr>
      </w:pPr>
      <w:r>
        <w:rPr>
          <w:rFonts w:hint="eastAsia" w:ascii="仿宋" w:hAnsi="仿宋" w:eastAsia="仿宋" w:cs="仿宋"/>
          <w:sz w:val="24"/>
        </w:rPr>
        <w:t>1.时间：</w:t>
      </w:r>
      <w:r>
        <w:rPr>
          <w:rFonts w:hint="eastAsia" w:ascii="仿宋" w:hAnsi="仿宋" w:eastAsia="仿宋" w:cs="仿宋"/>
          <w:sz w:val="24"/>
          <w:lang w:eastAsia="zh-CN"/>
        </w:rPr>
        <w:t>2025</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06</w:t>
      </w:r>
      <w:r>
        <w:rPr>
          <w:rFonts w:hint="eastAsia" w:ascii="仿宋" w:hAnsi="仿宋" w:eastAsia="仿宋" w:cs="仿宋"/>
          <w:sz w:val="24"/>
        </w:rPr>
        <w:t>日0</w:t>
      </w:r>
      <w:r>
        <w:rPr>
          <w:rFonts w:hint="eastAsia" w:ascii="仿宋" w:hAnsi="仿宋" w:eastAsia="仿宋" w:cs="仿宋"/>
          <w:sz w:val="24"/>
          <w:lang w:val="en-US" w:eastAsia="zh-CN"/>
        </w:rPr>
        <w:t>8</w:t>
      </w:r>
      <w:r>
        <w:rPr>
          <w:rFonts w:hint="eastAsia" w:ascii="仿宋" w:hAnsi="仿宋" w:eastAsia="仿宋" w:cs="仿宋"/>
          <w:sz w:val="24"/>
        </w:rPr>
        <w:t>时00分至</w:t>
      </w:r>
      <w:r>
        <w:rPr>
          <w:rFonts w:hint="eastAsia" w:ascii="仿宋" w:hAnsi="仿宋" w:eastAsia="仿宋" w:cs="仿宋"/>
          <w:sz w:val="24"/>
          <w:lang w:eastAsia="zh-CN"/>
        </w:rPr>
        <w:t>2025</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13</w:t>
      </w:r>
      <w:r>
        <w:rPr>
          <w:rFonts w:hint="eastAsia" w:ascii="仿宋" w:hAnsi="仿宋" w:eastAsia="仿宋" w:cs="仿宋"/>
          <w:sz w:val="24"/>
        </w:rPr>
        <w:t>日</w:t>
      </w:r>
      <w:r>
        <w:rPr>
          <w:rFonts w:hint="eastAsia" w:ascii="仿宋" w:hAnsi="仿宋" w:eastAsia="仿宋" w:cs="仿宋"/>
          <w:sz w:val="24"/>
          <w:lang w:val="en-US" w:eastAsia="zh-CN"/>
        </w:rPr>
        <w:t>23</w:t>
      </w:r>
      <w:r>
        <w:rPr>
          <w:rFonts w:hint="eastAsia" w:ascii="仿宋" w:hAnsi="仿宋" w:eastAsia="仿宋" w:cs="仿宋"/>
          <w:sz w:val="24"/>
        </w:rPr>
        <w:t>时</w:t>
      </w:r>
      <w:r>
        <w:rPr>
          <w:rFonts w:hint="eastAsia" w:ascii="仿宋" w:hAnsi="仿宋" w:eastAsia="仿宋" w:cs="仿宋"/>
          <w:sz w:val="24"/>
          <w:lang w:val="en-US" w:eastAsia="zh-CN"/>
        </w:rPr>
        <w:t>59</w:t>
      </w:r>
      <w:r>
        <w:rPr>
          <w:rFonts w:hint="eastAsia" w:ascii="仿宋" w:hAnsi="仿宋" w:eastAsia="仿宋" w:cs="仿宋"/>
          <w:sz w:val="24"/>
        </w:rPr>
        <w:t>分（北京时间 ）</w:t>
      </w:r>
    </w:p>
    <w:p w14:paraId="60D7A856">
      <w:pPr>
        <w:spacing w:line="640" w:lineRule="exact"/>
        <w:ind w:firstLine="480" w:firstLineChars="200"/>
        <w:rPr>
          <w:rFonts w:ascii="仿宋" w:hAnsi="仿宋" w:eastAsia="仿宋" w:cs="仿宋"/>
          <w:sz w:val="24"/>
        </w:rPr>
      </w:pPr>
      <w:r>
        <w:rPr>
          <w:rFonts w:hint="eastAsia" w:ascii="仿宋" w:hAnsi="仿宋" w:eastAsia="仿宋" w:cs="仿宋"/>
          <w:sz w:val="24"/>
        </w:rPr>
        <w:t>2.地点：</w:t>
      </w:r>
      <w:bookmarkStart w:id="19" w:name="PO_3000000035_PM012"/>
      <w:r>
        <w:rPr>
          <w:rFonts w:hint="eastAsia" w:ascii="仿宋" w:hAnsi="仿宋" w:eastAsia="仿宋" w:cs="仿宋"/>
          <w:sz w:val="24"/>
        </w:rPr>
        <w:t>政采云平台线上获取</w:t>
      </w:r>
      <w:bookmarkEnd w:id="19"/>
    </w:p>
    <w:p w14:paraId="27B2C4D4">
      <w:pPr>
        <w:spacing w:line="640" w:lineRule="exact"/>
        <w:ind w:firstLine="480" w:firstLineChars="200"/>
        <w:rPr>
          <w:rFonts w:ascii="仿宋" w:hAnsi="仿宋" w:eastAsia="仿宋" w:cs="仿宋"/>
          <w:sz w:val="24"/>
        </w:rPr>
      </w:pPr>
      <w:r>
        <w:rPr>
          <w:rFonts w:hint="eastAsia" w:ascii="仿宋" w:hAnsi="仿宋" w:eastAsia="仿宋" w:cs="仿宋"/>
          <w:sz w:val="24"/>
        </w:rPr>
        <w:t>3.方式：供应商登录政采云平台https://www.zcygov.cn/在线申请获取采购文件（进入“项目采购”应用，在获取采购文件菜单中选择项目，申请获取采购文件）</w:t>
      </w:r>
    </w:p>
    <w:p w14:paraId="19E0C1D1">
      <w:pPr>
        <w:spacing w:line="640" w:lineRule="exact"/>
        <w:ind w:firstLine="480" w:firstLineChars="200"/>
        <w:rPr>
          <w:rFonts w:ascii="仿宋" w:hAnsi="仿宋" w:eastAsia="仿宋" w:cs="仿宋"/>
          <w:sz w:val="24"/>
        </w:rPr>
      </w:pPr>
      <w:r>
        <w:rPr>
          <w:rFonts w:hint="eastAsia" w:ascii="仿宋" w:hAnsi="仿宋" w:eastAsia="仿宋" w:cs="仿宋"/>
          <w:sz w:val="24"/>
        </w:rPr>
        <w:t>4.售价：免费获取</w:t>
      </w:r>
    </w:p>
    <w:p w14:paraId="00746D7E">
      <w:pPr>
        <w:spacing w:line="640" w:lineRule="exact"/>
        <w:rPr>
          <w:rFonts w:ascii="黑体" w:hAnsi="黑体" w:eastAsia="黑体" w:cs="黑体"/>
          <w:sz w:val="28"/>
          <w:szCs w:val="28"/>
        </w:rPr>
      </w:pPr>
      <w:bookmarkStart w:id="20" w:name="_Toc35393632"/>
      <w:bookmarkStart w:id="21" w:name="_Toc28359092"/>
      <w:bookmarkStart w:id="22" w:name="_Toc28359015"/>
      <w:bookmarkStart w:id="23" w:name="_Toc35393801"/>
      <w:r>
        <w:rPr>
          <w:rFonts w:hint="eastAsia" w:ascii="黑体" w:hAnsi="黑体" w:eastAsia="黑体" w:cs="黑体"/>
          <w:sz w:val="28"/>
          <w:szCs w:val="28"/>
        </w:rPr>
        <w:t>四、响应文件提交</w:t>
      </w:r>
      <w:bookmarkEnd w:id="20"/>
      <w:bookmarkEnd w:id="21"/>
      <w:bookmarkEnd w:id="22"/>
      <w:bookmarkEnd w:id="23"/>
    </w:p>
    <w:p w14:paraId="766DA3C4">
      <w:pPr>
        <w:spacing w:line="640" w:lineRule="exact"/>
        <w:ind w:firstLine="480" w:firstLineChars="200"/>
        <w:rPr>
          <w:rFonts w:ascii="仿宋" w:hAnsi="仿宋" w:eastAsia="仿宋" w:cs="仿宋"/>
          <w:sz w:val="24"/>
          <w:u w:val="single"/>
        </w:rPr>
      </w:pPr>
      <w:r>
        <w:rPr>
          <w:rFonts w:hint="eastAsia" w:ascii="仿宋" w:hAnsi="仿宋" w:eastAsia="仿宋" w:cs="仿宋"/>
          <w:sz w:val="24"/>
        </w:rPr>
        <w:t>1.截止时间：</w:t>
      </w:r>
      <w:r>
        <w:rPr>
          <w:rFonts w:hint="eastAsia" w:ascii="仿宋" w:hAnsi="仿宋" w:eastAsia="仿宋" w:cs="仿宋"/>
          <w:sz w:val="24"/>
          <w:lang w:eastAsia="zh-CN"/>
        </w:rPr>
        <w:t>2025</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17</w:t>
      </w:r>
      <w:r>
        <w:rPr>
          <w:rFonts w:hint="eastAsia" w:ascii="仿宋" w:hAnsi="仿宋" w:eastAsia="仿宋" w:cs="仿宋"/>
          <w:sz w:val="24"/>
        </w:rPr>
        <w:t>日08时30分（北京时间）</w:t>
      </w:r>
    </w:p>
    <w:p w14:paraId="33ADB2EB">
      <w:pPr>
        <w:spacing w:line="480" w:lineRule="auto"/>
        <w:ind w:firstLine="480" w:firstLineChars="200"/>
        <w:rPr>
          <w:rFonts w:ascii="仿宋" w:hAnsi="仿宋" w:eastAsia="仿宋" w:cs="仿宋"/>
          <w:sz w:val="24"/>
        </w:rPr>
      </w:pPr>
      <w:r>
        <w:rPr>
          <w:rFonts w:hint="eastAsia" w:ascii="仿宋" w:hAnsi="仿宋" w:eastAsia="仿宋" w:cs="仿宋"/>
          <w:sz w:val="24"/>
        </w:rPr>
        <w:t>2、响应文件递交及格式要求：递交截止时间前在山西省政府采购网投标客户端完成递交(上传）。</w:t>
      </w:r>
    </w:p>
    <w:p w14:paraId="78EC0BAC">
      <w:pPr>
        <w:spacing w:line="480" w:lineRule="auto"/>
        <w:rPr>
          <w:rFonts w:ascii="黑体" w:hAnsi="黑体" w:eastAsia="黑体" w:cs="黑体"/>
          <w:sz w:val="28"/>
          <w:szCs w:val="28"/>
        </w:rPr>
      </w:pPr>
      <w:r>
        <w:rPr>
          <w:rFonts w:hint="eastAsia" w:ascii="黑体" w:hAnsi="黑体" w:eastAsia="黑体" w:cs="黑体"/>
          <w:sz w:val="28"/>
          <w:szCs w:val="28"/>
        </w:rPr>
        <w:t>五、响应文件开启</w:t>
      </w:r>
    </w:p>
    <w:p w14:paraId="35C82F69">
      <w:pPr>
        <w:spacing w:line="480" w:lineRule="auto"/>
        <w:ind w:firstLine="480" w:firstLineChars="200"/>
        <w:rPr>
          <w:rFonts w:ascii="仿宋" w:hAnsi="仿宋" w:eastAsia="仿宋" w:cs="仿宋"/>
          <w:sz w:val="24"/>
        </w:rPr>
      </w:pPr>
      <w:r>
        <w:rPr>
          <w:rFonts w:hint="eastAsia" w:ascii="仿宋" w:hAnsi="仿宋" w:eastAsia="仿宋" w:cs="仿宋"/>
          <w:sz w:val="24"/>
        </w:rPr>
        <w:t>1、开启时间：</w:t>
      </w:r>
      <w:r>
        <w:rPr>
          <w:rFonts w:hint="eastAsia" w:ascii="仿宋" w:hAnsi="仿宋" w:eastAsia="仿宋" w:cs="仿宋"/>
          <w:sz w:val="24"/>
          <w:lang w:eastAsia="zh-CN"/>
        </w:rPr>
        <w:t>2025</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17</w:t>
      </w:r>
      <w:r>
        <w:rPr>
          <w:rFonts w:hint="eastAsia" w:ascii="仿宋" w:hAnsi="仿宋" w:eastAsia="仿宋" w:cs="仿宋"/>
          <w:sz w:val="24"/>
        </w:rPr>
        <w:t>日08时30分（北京时间）</w:t>
      </w:r>
    </w:p>
    <w:p w14:paraId="63785F34">
      <w:pPr>
        <w:spacing w:line="640" w:lineRule="exact"/>
        <w:ind w:firstLine="480" w:firstLineChars="200"/>
        <w:rPr>
          <w:rFonts w:ascii="仿宋" w:hAnsi="仿宋" w:eastAsia="仿宋" w:cs="仿宋"/>
          <w:bCs/>
          <w:sz w:val="24"/>
          <w:u w:val="single"/>
        </w:rPr>
      </w:pPr>
      <w:r>
        <w:rPr>
          <w:rFonts w:hint="eastAsia" w:ascii="仿宋" w:hAnsi="仿宋" w:eastAsia="仿宋" w:cs="仿宋"/>
          <w:sz w:val="24"/>
        </w:rPr>
        <w:t>2、地点：政采云平台电子投标客户端（https://login.sxzfcg.zcygov.cn/user-login/#/login）线上开启。开启后，供应商在规定时间内进行响应文件解密，解密截止时间未进行解密的，视为未递交响应文件</w:t>
      </w:r>
    </w:p>
    <w:p w14:paraId="5402EDC3">
      <w:pPr>
        <w:spacing w:line="640" w:lineRule="exact"/>
        <w:rPr>
          <w:rFonts w:ascii="黑体" w:hAnsi="黑体" w:eastAsia="黑体" w:cs="黑体"/>
          <w:sz w:val="28"/>
          <w:szCs w:val="28"/>
        </w:rPr>
      </w:pPr>
      <w:bookmarkStart w:id="24" w:name="_Toc28359017"/>
      <w:bookmarkStart w:id="25" w:name="_Toc35393803"/>
      <w:bookmarkStart w:id="26" w:name="_Toc35393634"/>
      <w:bookmarkStart w:id="27" w:name="_Toc28359094"/>
      <w:r>
        <w:rPr>
          <w:rFonts w:hint="eastAsia" w:ascii="黑体" w:hAnsi="黑体" w:eastAsia="黑体" w:cs="黑体"/>
          <w:sz w:val="28"/>
          <w:szCs w:val="28"/>
        </w:rPr>
        <w:t>六、公告期限</w:t>
      </w:r>
      <w:bookmarkEnd w:id="24"/>
      <w:bookmarkEnd w:id="25"/>
      <w:bookmarkEnd w:id="26"/>
      <w:bookmarkEnd w:id="27"/>
    </w:p>
    <w:p w14:paraId="2E87490F">
      <w:pPr>
        <w:spacing w:line="640" w:lineRule="exact"/>
        <w:ind w:firstLine="480" w:firstLineChars="200"/>
        <w:rPr>
          <w:rFonts w:ascii="仿宋" w:hAnsi="仿宋" w:eastAsia="仿宋" w:cs="仿宋"/>
          <w:kern w:val="0"/>
          <w:sz w:val="24"/>
        </w:rPr>
      </w:pPr>
      <w:r>
        <w:rPr>
          <w:rFonts w:hint="eastAsia" w:ascii="仿宋" w:hAnsi="仿宋" w:eastAsia="仿宋" w:cs="仿宋"/>
          <w:kern w:val="0"/>
          <w:sz w:val="24"/>
        </w:rPr>
        <w:t>自本公告发布之日起</w:t>
      </w:r>
      <w:r>
        <w:rPr>
          <w:rFonts w:hint="eastAsia" w:ascii="仿宋" w:hAnsi="仿宋" w:eastAsia="仿宋" w:cs="仿宋"/>
          <w:kern w:val="0"/>
          <w:sz w:val="24"/>
          <w:lang w:val="en-US" w:eastAsia="zh-CN"/>
        </w:rPr>
        <w:t>3</w:t>
      </w:r>
      <w:r>
        <w:rPr>
          <w:rFonts w:hint="eastAsia" w:ascii="仿宋" w:hAnsi="仿宋" w:eastAsia="仿宋" w:cs="仿宋"/>
          <w:kern w:val="0"/>
          <w:sz w:val="24"/>
        </w:rPr>
        <w:t>个工作日。</w:t>
      </w:r>
    </w:p>
    <w:p w14:paraId="4E8FBEFF">
      <w:pPr>
        <w:spacing w:line="640" w:lineRule="exact"/>
        <w:rPr>
          <w:rFonts w:ascii="黑体" w:hAnsi="黑体" w:eastAsia="黑体" w:cs="黑体"/>
          <w:sz w:val="28"/>
          <w:szCs w:val="28"/>
        </w:rPr>
      </w:pPr>
      <w:bookmarkStart w:id="28" w:name="_Toc35393804"/>
      <w:bookmarkStart w:id="29" w:name="_Toc35393635"/>
      <w:r>
        <w:rPr>
          <w:rFonts w:hint="eastAsia" w:ascii="黑体" w:hAnsi="黑体" w:eastAsia="黑体" w:cs="黑体"/>
          <w:sz w:val="28"/>
          <w:szCs w:val="28"/>
        </w:rPr>
        <w:t>七、其他补充事宜</w:t>
      </w:r>
      <w:bookmarkEnd w:id="28"/>
      <w:bookmarkEnd w:id="29"/>
    </w:p>
    <w:p w14:paraId="39F19F91">
      <w:pPr>
        <w:spacing w:line="640" w:lineRule="exact"/>
        <w:ind w:firstLine="480" w:firstLineChars="200"/>
        <w:rPr>
          <w:rFonts w:ascii="仿宋" w:hAnsi="仿宋" w:eastAsia="仿宋" w:cs="仿宋"/>
          <w:sz w:val="24"/>
        </w:rPr>
      </w:pPr>
      <w:bookmarkStart w:id="30" w:name="_Toc28359018"/>
      <w:bookmarkStart w:id="31" w:name="_Toc35393636"/>
      <w:bookmarkStart w:id="32" w:name="_Toc35393805"/>
      <w:bookmarkStart w:id="33" w:name="_Toc28359095"/>
      <w:r>
        <w:rPr>
          <w:rFonts w:hint="eastAsia" w:ascii="仿宋" w:hAnsi="仿宋" w:eastAsia="仿宋" w:cs="仿宋"/>
          <w:sz w:val="24"/>
        </w:rPr>
        <w:t>针对本项目的质疑须在一次性提出，多次提出将不予受理。</w:t>
      </w:r>
    </w:p>
    <w:p w14:paraId="5A17D7D3">
      <w:pPr>
        <w:spacing w:line="640" w:lineRule="exact"/>
        <w:rPr>
          <w:rFonts w:ascii="黑体" w:hAnsi="黑体" w:eastAsia="黑体" w:cs="黑体"/>
          <w:sz w:val="28"/>
          <w:szCs w:val="28"/>
        </w:rPr>
      </w:pPr>
      <w:r>
        <w:rPr>
          <w:rFonts w:hint="eastAsia" w:ascii="黑体" w:hAnsi="黑体" w:eastAsia="黑体" w:cs="黑体"/>
          <w:sz w:val="28"/>
          <w:szCs w:val="28"/>
        </w:rPr>
        <w:t>八、凡对本次采购提出询问，请按以下方式联系</w:t>
      </w:r>
      <w:bookmarkEnd w:id="30"/>
      <w:bookmarkEnd w:id="31"/>
      <w:bookmarkEnd w:id="32"/>
      <w:bookmarkEnd w:id="33"/>
    </w:p>
    <w:bookmarkEnd w:id="7"/>
    <w:bookmarkEnd w:id="8"/>
    <w:bookmarkEnd w:id="9"/>
    <w:bookmarkEnd w:id="10"/>
    <w:p w14:paraId="3370ADEA">
      <w:pPr>
        <w:spacing w:line="480" w:lineRule="auto"/>
        <w:ind w:firstLine="480" w:firstLineChars="200"/>
        <w:rPr>
          <w:rFonts w:ascii="仿宋" w:hAnsi="仿宋" w:eastAsia="仿宋" w:cs="仿宋"/>
          <w:sz w:val="24"/>
        </w:rPr>
      </w:pPr>
      <w:bookmarkStart w:id="34" w:name="_Toc35393637"/>
      <w:bookmarkStart w:id="35" w:name="_Toc28359096"/>
      <w:bookmarkStart w:id="36" w:name="_Toc28359019"/>
      <w:bookmarkStart w:id="37" w:name="_Toc35393806"/>
      <w:r>
        <w:rPr>
          <w:rFonts w:hint="eastAsia" w:ascii="仿宋" w:hAnsi="仿宋" w:eastAsia="仿宋" w:cs="仿宋"/>
          <w:sz w:val="24"/>
        </w:rPr>
        <w:t>1、采购人信息</w:t>
      </w:r>
      <w:bookmarkEnd w:id="34"/>
      <w:bookmarkEnd w:id="35"/>
      <w:bookmarkEnd w:id="36"/>
      <w:bookmarkEnd w:id="37"/>
    </w:p>
    <w:p w14:paraId="004AD451">
      <w:pPr>
        <w:spacing w:line="480" w:lineRule="auto"/>
        <w:ind w:firstLine="480" w:firstLineChars="200"/>
        <w:rPr>
          <w:rFonts w:hint="eastAsia" w:ascii="仿宋" w:hAnsi="仿宋" w:eastAsia="仿宋" w:cs="仿宋"/>
          <w:sz w:val="24"/>
          <w:lang w:eastAsia="zh-CN"/>
        </w:rPr>
      </w:pPr>
      <w:r>
        <w:rPr>
          <w:rFonts w:hint="eastAsia" w:ascii="仿宋" w:hAnsi="仿宋" w:eastAsia="仿宋" w:cs="仿宋"/>
          <w:sz w:val="24"/>
        </w:rPr>
        <w:t>名    称：</w:t>
      </w:r>
      <w:r>
        <w:rPr>
          <w:rFonts w:hint="eastAsia" w:ascii="仿宋" w:hAnsi="仿宋" w:eastAsia="仿宋" w:cs="仿宋"/>
          <w:sz w:val="24"/>
          <w:lang w:eastAsia="zh-CN"/>
        </w:rPr>
        <w:t>芮城县商务局</w:t>
      </w:r>
    </w:p>
    <w:p w14:paraId="592090AC">
      <w:pPr>
        <w:spacing w:line="480" w:lineRule="auto"/>
        <w:ind w:firstLine="480" w:firstLineChars="200"/>
        <w:rPr>
          <w:rFonts w:ascii="仿宋" w:hAnsi="仿宋" w:eastAsia="仿宋" w:cs="仿宋"/>
          <w:sz w:val="24"/>
        </w:rPr>
      </w:pPr>
      <w:r>
        <w:rPr>
          <w:rFonts w:hint="eastAsia" w:ascii="仿宋" w:hAnsi="仿宋" w:eastAsia="仿宋" w:cs="仿宋"/>
          <w:sz w:val="24"/>
        </w:rPr>
        <w:t>地    址：芮城县永乐南路111号</w:t>
      </w:r>
    </w:p>
    <w:p w14:paraId="7BA62D9C">
      <w:pPr>
        <w:spacing w:line="480" w:lineRule="auto"/>
        <w:ind w:firstLine="480" w:firstLineChars="2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sz w:val="24"/>
          <w:lang w:val="en-US" w:eastAsia="zh-CN"/>
        </w:rPr>
        <w:t>马先生</w:t>
      </w:r>
      <w:r>
        <w:rPr>
          <w:rFonts w:hint="eastAsia" w:ascii="仿宋" w:hAnsi="仿宋" w:eastAsia="仿宋" w:cs="仿宋"/>
          <w:sz w:val="24"/>
        </w:rPr>
        <w:t xml:space="preserve">  </w:t>
      </w:r>
      <w:r>
        <w:rPr>
          <w:rFonts w:hint="eastAsia" w:ascii="仿宋" w:hAnsi="仿宋" w:eastAsia="仿宋" w:cs="仿宋"/>
          <w:sz w:val="24"/>
          <w:lang w:val="en-US" w:eastAsia="zh-CN"/>
        </w:rPr>
        <w:t>15364847170</w:t>
      </w:r>
      <w:r>
        <w:rPr>
          <w:rFonts w:hint="eastAsia" w:ascii="仿宋" w:hAnsi="仿宋" w:eastAsia="仿宋" w:cs="仿宋"/>
          <w:sz w:val="24"/>
        </w:rPr>
        <w:t xml:space="preserve">         　 </w:t>
      </w:r>
    </w:p>
    <w:p w14:paraId="5DE8EB01">
      <w:pPr>
        <w:spacing w:line="480" w:lineRule="auto"/>
        <w:ind w:firstLine="480" w:firstLineChars="200"/>
        <w:rPr>
          <w:rFonts w:ascii="仿宋" w:hAnsi="仿宋" w:eastAsia="仿宋" w:cs="仿宋"/>
          <w:sz w:val="24"/>
        </w:rPr>
      </w:pPr>
      <w:bookmarkStart w:id="38" w:name="_Toc35393638"/>
      <w:bookmarkStart w:id="39" w:name="_Toc28359097"/>
      <w:bookmarkStart w:id="40" w:name="_Toc28359020"/>
      <w:bookmarkStart w:id="41" w:name="_Toc35393807"/>
      <w:r>
        <w:rPr>
          <w:rFonts w:hint="eastAsia" w:ascii="仿宋" w:hAnsi="仿宋" w:eastAsia="仿宋" w:cs="仿宋"/>
          <w:sz w:val="24"/>
        </w:rPr>
        <w:t>2、采购代理机构信息</w:t>
      </w:r>
      <w:bookmarkEnd w:id="38"/>
      <w:bookmarkEnd w:id="39"/>
      <w:bookmarkEnd w:id="40"/>
      <w:bookmarkEnd w:id="41"/>
    </w:p>
    <w:p w14:paraId="4ED77BAD">
      <w:pPr>
        <w:spacing w:line="480" w:lineRule="auto"/>
        <w:ind w:firstLine="480" w:firstLineChars="200"/>
        <w:rPr>
          <w:rFonts w:hint="eastAsia" w:ascii="仿宋" w:hAnsi="仿宋" w:eastAsia="仿宋" w:cs="仿宋"/>
          <w:sz w:val="24"/>
          <w:lang w:eastAsia="zh-CN"/>
        </w:rPr>
      </w:pPr>
      <w:r>
        <w:rPr>
          <w:rFonts w:hint="eastAsia" w:ascii="仿宋" w:hAnsi="仿宋" w:eastAsia="仿宋" w:cs="仿宋"/>
          <w:sz w:val="24"/>
        </w:rPr>
        <w:t>名    称：</w:t>
      </w:r>
      <w:r>
        <w:rPr>
          <w:rFonts w:hint="eastAsia" w:ascii="仿宋" w:hAnsi="仿宋" w:eastAsia="仿宋" w:cs="仿宋"/>
          <w:sz w:val="24"/>
          <w:lang w:eastAsia="zh-CN"/>
        </w:rPr>
        <w:t>山西冠标项目管理有限公司</w:t>
      </w:r>
    </w:p>
    <w:p w14:paraId="194CE51C">
      <w:pPr>
        <w:spacing w:line="48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地　　址：</w:t>
      </w:r>
      <w:r>
        <w:rPr>
          <w:rFonts w:hint="eastAsia" w:ascii="仿宋" w:hAnsi="仿宋" w:eastAsia="仿宋" w:cs="仿宋"/>
          <w:sz w:val="24"/>
          <w:lang w:eastAsia="zh-CN"/>
        </w:rPr>
        <w:t>山西省运城市运城经济技术开发区空港南区康杰南路</w:t>
      </w:r>
      <w:r>
        <w:rPr>
          <w:rFonts w:hint="eastAsia" w:ascii="仿宋" w:hAnsi="仿宋" w:eastAsia="仿宋" w:cs="仿宋"/>
          <w:sz w:val="24"/>
          <w:lang w:val="en-US" w:eastAsia="zh-CN"/>
        </w:rPr>
        <w:t>33</w:t>
      </w:r>
      <w:r>
        <w:rPr>
          <w:rFonts w:hint="eastAsia" w:ascii="仿宋" w:hAnsi="仿宋" w:eastAsia="仿宋" w:cs="仿宋"/>
          <w:sz w:val="24"/>
          <w:lang w:eastAsia="zh-CN"/>
        </w:rPr>
        <w:t>号</w:t>
      </w:r>
    </w:p>
    <w:p w14:paraId="727F8D49">
      <w:pPr>
        <w:spacing w:line="480" w:lineRule="auto"/>
        <w:ind w:firstLine="480" w:firstLineChars="2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sz w:val="24"/>
          <w:lang w:eastAsia="zh-CN"/>
        </w:rPr>
        <w:t>杨女士</w:t>
      </w:r>
      <w:r>
        <w:rPr>
          <w:rFonts w:hint="eastAsia" w:ascii="仿宋" w:hAnsi="仿宋" w:eastAsia="仿宋" w:cs="仿宋"/>
          <w:sz w:val="24"/>
        </w:rPr>
        <w:t xml:space="preserve">  </w:t>
      </w:r>
      <w:r>
        <w:rPr>
          <w:rFonts w:hint="eastAsia" w:ascii="仿宋" w:hAnsi="仿宋" w:eastAsia="仿宋" w:cs="仿宋"/>
          <w:sz w:val="24"/>
          <w:lang w:val="en-US" w:eastAsia="zh-CN"/>
        </w:rPr>
        <w:t>13133191954</w:t>
      </w:r>
      <w:r>
        <w:rPr>
          <w:rFonts w:hint="eastAsia" w:ascii="仿宋" w:hAnsi="仿宋" w:eastAsia="仿宋" w:cs="仿宋"/>
          <w:sz w:val="24"/>
        </w:rPr>
        <w:t>　　　</w:t>
      </w:r>
    </w:p>
    <w:p w14:paraId="0C1AE825">
      <w:pPr>
        <w:spacing w:line="480" w:lineRule="auto"/>
        <w:ind w:firstLine="480" w:firstLineChars="200"/>
        <w:rPr>
          <w:rFonts w:ascii="仿宋" w:hAnsi="仿宋" w:eastAsia="仿宋" w:cs="仿宋"/>
          <w:sz w:val="24"/>
        </w:rPr>
      </w:pPr>
      <w:bookmarkStart w:id="42" w:name="_Toc28359098"/>
      <w:bookmarkStart w:id="43" w:name="_Toc28359021"/>
      <w:bookmarkStart w:id="44" w:name="_Toc35393639"/>
      <w:bookmarkStart w:id="45" w:name="_Toc35393808"/>
      <w:r>
        <w:rPr>
          <w:rFonts w:hint="eastAsia" w:ascii="仿宋" w:hAnsi="仿宋" w:eastAsia="仿宋" w:cs="仿宋"/>
          <w:sz w:val="24"/>
        </w:rPr>
        <w:t>3、项目联系方式</w:t>
      </w:r>
      <w:bookmarkEnd w:id="42"/>
      <w:bookmarkEnd w:id="43"/>
      <w:bookmarkEnd w:id="44"/>
      <w:bookmarkEnd w:id="45"/>
    </w:p>
    <w:p w14:paraId="43E1C2C3">
      <w:pPr>
        <w:spacing w:line="480" w:lineRule="auto"/>
        <w:ind w:firstLine="480" w:firstLineChars="200"/>
        <w:rPr>
          <w:rFonts w:ascii="仿宋" w:hAnsi="仿宋" w:eastAsia="仿宋" w:cs="仿宋"/>
          <w:sz w:val="24"/>
        </w:rPr>
      </w:pPr>
      <w:r>
        <w:rPr>
          <w:rFonts w:hint="eastAsia" w:ascii="仿宋" w:hAnsi="仿宋" w:eastAsia="仿宋" w:cs="仿宋"/>
          <w:sz w:val="24"/>
        </w:rPr>
        <w:t>项目联系人：</w:t>
      </w:r>
      <w:r>
        <w:rPr>
          <w:rFonts w:hint="eastAsia" w:ascii="仿宋" w:hAnsi="仿宋" w:eastAsia="仿宋" w:cs="仿宋"/>
          <w:sz w:val="24"/>
          <w:lang w:eastAsia="zh-CN"/>
        </w:rPr>
        <w:t>杨女士</w:t>
      </w:r>
      <w:r>
        <w:rPr>
          <w:rFonts w:hint="eastAsia" w:ascii="仿宋" w:hAnsi="仿宋" w:eastAsia="仿宋" w:cs="仿宋"/>
          <w:sz w:val="24"/>
        </w:rPr>
        <w:t xml:space="preserve">                </w:t>
      </w:r>
    </w:p>
    <w:p w14:paraId="680F9DC1">
      <w:pPr>
        <w:spacing w:line="480" w:lineRule="auto"/>
        <w:ind w:firstLine="480" w:firstLineChars="200"/>
        <w:rPr>
          <w:rFonts w:ascii="仿宋" w:hAnsi="仿宋" w:eastAsia="仿宋" w:cs="仿宋"/>
          <w:spacing w:val="10"/>
          <w:kern w:val="0"/>
        </w:rPr>
        <w:sectPr>
          <w:footerReference r:id="rId11" w:type="first"/>
          <w:footerReference r:id="rId10" w:type="default"/>
          <w:pgSz w:w="11906" w:h="16838"/>
          <w:pgMar w:top="1440" w:right="1486" w:bottom="1440" w:left="1800" w:header="851" w:footer="992" w:gutter="0"/>
          <w:pgNumType w:fmt="decimal" w:start="1"/>
          <w:cols w:space="720" w:num="1"/>
          <w:titlePg/>
          <w:docGrid w:type="lines" w:linePitch="312" w:charSpace="0"/>
        </w:sectPr>
      </w:pPr>
      <w:r>
        <w:rPr>
          <w:rFonts w:hint="eastAsia" w:ascii="仿宋" w:hAnsi="仿宋" w:eastAsia="仿宋" w:cs="仿宋"/>
          <w:sz w:val="24"/>
        </w:rPr>
        <w:t>电　　  话：</w:t>
      </w:r>
      <w:r>
        <w:rPr>
          <w:rFonts w:hint="eastAsia" w:ascii="仿宋" w:hAnsi="仿宋" w:eastAsia="仿宋" w:cs="仿宋"/>
          <w:sz w:val="24"/>
          <w:lang w:val="en-US" w:eastAsia="zh-CN"/>
        </w:rPr>
        <w:t>13133191954</w:t>
      </w:r>
      <w:r>
        <w:rPr>
          <w:rFonts w:hint="eastAsia" w:ascii="仿宋" w:hAnsi="仿宋" w:eastAsia="仿宋" w:cs="仿宋"/>
          <w:sz w:val="24"/>
        </w:rPr>
        <w:t>　</w:t>
      </w:r>
      <w:r>
        <w:rPr>
          <w:rFonts w:hint="eastAsia" w:ascii="仿宋" w:hAnsi="仿宋" w:eastAsia="仿宋" w:cs="仿宋"/>
          <w:spacing w:val="10"/>
          <w:kern w:val="0"/>
          <w:sz w:val="24"/>
        </w:rPr>
        <w:t>　</w:t>
      </w:r>
      <w:r>
        <w:rPr>
          <w:rFonts w:hint="eastAsia" w:ascii="仿宋" w:hAnsi="仿宋" w:eastAsia="仿宋" w:cs="仿宋"/>
          <w:spacing w:val="10"/>
          <w:kern w:val="0"/>
        </w:rPr>
        <w:t>　</w:t>
      </w:r>
    </w:p>
    <w:p w14:paraId="7221FC7C">
      <w:pPr>
        <w:pStyle w:val="4"/>
        <w:numPr>
          <w:ilvl w:val="0"/>
          <w:numId w:val="2"/>
        </w:numPr>
        <w:rPr>
          <w:rFonts w:ascii="仿宋" w:hAnsi="仿宋" w:eastAsia="仿宋" w:cs="仿宋"/>
          <w:sz w:val="36"/>
          <w:szCs w:val="36"/>
        </w:rPr>
      </w:pPr>
      <w:bookmarkStart w:id="46" w:name="_Toc23802"/>
      <w:bookmarkStart w:id="47" w:name="_Toc18938"/>
      <w:bookmarkStart w:id="48" w:name="_Toc79599037"/>
      <w:r>
        <w:rPr>
          <w:rFonts w:hint="eastAsia" w:ascii="仿宋" w:hAnsi="仿宋" w:eastAsia="仿宋" w:cs="仿宋"/>
        </w:rPr>
        <w:t xml:space="preserve"> 供应商须知</w:t>
      </w:r>
    </w:p>
    <w:p w14:paraId="519DB9A7">
      <w:pPr>
        <w:pStyle w:val="5"/>
        <w:jc w:val="center"/>
        <w:rPr>
          <w:rFonts w:ascii="仿宋" w:hAnsi="仿宋" w:eastAsia="仿宋" w:cs="仿宋"/>
          <w:color w:val="000000"/>
          <w:sz w:val="28"/>
          <w:szCs w:val="28"/>
        </w:rPr>
      </w:pPr>
      <w:r>
        <w:rPr>
          <w:rFonts w:hint="eastAsia" w:ascii="仿宋" w:hAnsi="仿宋" w:eastAsia="仿宋" w:cs="仿宋"/>
          <w:color w:val="000000"/>
          <w:sz w:val="28"/>
          <w:szCs w:val="28"/>
        </w:rPr>
        <w:t>供应商须知前附表</w:t>
      </w:r>
      <w:bookmarkEnd w:id="46"/>
      <w:bookmarkEnd w:id="47"/>
      <w:bookmarkEnd w:id="48"/>
    </w:p>
    <w:tbl>
      <w:tblPr>
        <w:tblStyle w:val="39"/>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635"/>
        <w:gridCol w:w="6619"/>
      </w:tblGrid>
      <w:tr w14:paraId="64D3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64566989">
            <w:pPr>
              <w:pStyle w:val="139"/>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2635" w:type="dxa"/>
            <w:vAlign w:val="center"/>
          </w:tcPr>
          <w:p w14:paraId="6941136F">
            <w:pPr>
              <w:pStyle w:val="139"/>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内容</w:t>
            </w:r>
          </w:p>
        </w:tc>
        <w:tc>
          <w:tcPr>
            <w:tcW w:w="6619" w:type="dxa"/>
            <w:vAlign w:val="center"/>
          </w:tcPr>
          <w:p w14:paraId="5D7A7A2D">
            <w:pPr>
              <w:pStyle w:val="139"/>
              <w:spacing w:line="360" w:lineRule="auto"/>
              <w:rPr>
                <w:rFonts w:ascii="仿宋" w:hAnsi="仿宋" w:eastAsia="仿宋" w:cs="仿宋"/>
                <w:b/>
                <w:sz w:val="24"/>
                <w:szCs w:val="24"/>
              </w:rPr>
            </w:pPr>
            <w:r>
              <w:rPr>
                <w:rFonts w:hint="eastAsia" w:ascii="仿宋" w:hAnsi="仿宋" w:eastAsia="仿宋" w:cs="仿宋"/>
                <w:b/>
                <w:sz w:val="24"/>
                <w:szCs w:val="24"/>
              </w:rPr>
              <w:t>说明与要求</w:t>
            </w:r>
          </w:p>
        </w:tc>
      </w:tr>
      <w:tr w14:paraId="6658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0586EADF">
            <w:pPr>
              <w:widowControl/>
              <w:spacing w:line="360" w:lineRule="auto"/>
              <w:jc w:val="center"/>
              <w:rPr>
                <w:rFonts w:ascii="仿宋" w:hAnsi="仿宋" w:eastAsia="仿宋" w:cs="仿宋"/>
                <w:bCs/>
                <w:sz w:val="24"/>
              </w:rPr>
            </w:pPr>
            <w:r>
              <w:rPr>
                <w:rFonts w:hint="eastAsia" w:ascii="仿宋" w:hAnsi="仿宋" w:eastAsia="仿宋" w:cs="仿宋"/>
                <w:bCs/>
                <w:sz w:val="24"/>
              </w:rPr>
              <w:t>1</w:t>
            </w:r>
          </w:p>
        </w:tc>
        <w:tc>
          <w:tcPr>
            <w:tcW w:w="2635" w:type="dxa"/>
            <w:vAlign w:val="center"/>
          </w:tcPr>
          <w:p w14:paraId="5FDE7AD3">
            <w:pPr>
              <w:widowControl/>
              <w:spacing w:line="360" w:lineRule="auto"/>
              <w:jc w:val="center"/>
              <w:rPr>
                <w:rFonts w:ascii="仿宋" w:hAnsi="仿宋" w:eastAsia="仿宋" w:cs="仿宋"/>
                <w:bCs/>
                <w:sz w:val="24"/>
              </w:rPr>
            </w:pPr>
            <w:r>
              <w:rPr>
                <w:rFonts w:hint="eastAsia" w:ascii="仿宋" w:hAnsi="仿宋" w:eastAsia="仿宋" w:cs="仿宋"/>
                <w:bCs/>
                <w:sz w:val="24"/>
              </w:rPr>
              <w:t>项目名称</w:t>
            </w:r>
          </w:p>
        </w:tc>
        <w:tc>
          <w:tcPr>
            <w:tcW w:w="6619" w:type="dxa"/>
            <w:vAlign w:val="center"/>
          </w:tcPr>
          <w:p w14:paraId="7A52979A">
            <w:pPr>
              <w:widowControl/>
              <w:spacing w:line="360" w:lineRule="auto"/>
              <w:rPr>
                <w:rFonts w:hint="eastAsia" w:ascii="仿宋" w:hAnsi="仿宋" w:eastAsia="仿宋" w:cs="仿宋"/>
                <w:bCs/>
                <w:sz w:val="24"/>
                <w:lang w:eastAsia="zh-CN"/>
              </w:rPr>
            </w:pPr>
            <w:r>
              <w:rPr>
                <w:rFonts w:hint="eastAsia" w:ascii="仿宋" w:hAnsi="仿宋" w:eastAsia="仿宋" w:cs="仿宋"/>
                <w:sz w:val="24"/>
                <w:lang w:eastAsia="zh-CN"/>
              </w:rPr>
              <w:t>芮城县成品油流通智慧监管平台建设项目</w:t>
            </w:r>
          </w:p>
        </w:tc>
      </w:tr>
      <w:tr w14:paraId="48BA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14:paraId="398EEEE9">
            <w:pPr>
              <w:widowControl/>
              <w:spacing w:line="360" w:lineRule="auto"/>
              <w:jc w:val="center"/>
              <w:rPr>
                <w:rFonts w:ascii="仿宋" w:hAnsi="仿宋" w:eastAsia="仿宋" w:cs="仿宋"/>
                <w:bCs/>
                <w:sz w:val="24"/>
              </w:rPr>
            </w:pPr>
            <w:r>
              <w:rPr>
                <w:rFonts w:hint="eastAsia" w:ascii="仿宋" w:hAnsi="仿宋" w:eastAsia="仿宋" w:cs="仿宋"/>
                <w:bCs/>
                <w:sz w:val="24"/>
              </w:rPr>
              <w:t>2</w:t>
            </w:r>
          </w:p>
        </w:tc>
        <w:tc>
          <w:tcPr>
            <w:tcW w:w="2635" w:type="dxa"/>
            <w:vAlign w:val="center"/>
          </w:tcPr>
          <w:p w14:paraId="6DEAA2A6">
            <w:pPr>
              <w:widowControl/>
              <w:spacing w:line="360" w:lineRule="auto"/>
              <w:jc w:val="center"/>
              <w:rPr>
                <w:rFonts w:ascii="仿宋" w:hAnsi="仿宋" w:eastAsia="仿宋" w:cs="仿宋"/>
                <w:bCs/>
                <w:sz w:val="24"/>
              </w:rPr>
            </w:pPr>
            <w:r>
              <w:rPr>
                <w:rFonts w:hint="eastAsia" w:ascii="仿宋" w:hAnsi="仿宋" w:eastAsia="仿宋" w:cs="仿宋"/>
                <w:bCs/>
                <w:sz w:val="24"/>
              </w:rPr>
              <w:t>项目编号</w:t>
            </w:r>
          </w:p>
        </w:tc>
        <w:tc>
          <w:tcPr>
            <w:tcW w:w="6619" w:type="dxa"/>
            <w:vAlign w:val="center"/>
          </w:tcPr>
          <w:p w14:paraId="6A7CDA6F">
            <w:pPr>
              <w:widowControl/>
              <w:spacing w:line="360" w:lineRule="auto"/>
              <w:rPr>
                <w:rFonts w:hint="eastAsia" w:ascii="仿宋" w:hAnsi="仿宋" w:eastAsia="仿宋" w:cs="仿宋"/>
                <w:bCs/>
                <w:sz w:val="24"/>
                <w:lang w:eastAsia="zh-CN"/>
              </w:rPr>
            </w:pPr>
            <w:r>
              <w:rPr>
                <w:rFonts w:ascii="仿宋" w:hAnsi="仿宋" w:eastAsia="仿宋" w:cs="仿宋"/>
                <w:bCs/>
                <w:sz w:val="24"/>
              </w:rPr>
              <w:t>1408302025CCS00108 </w:t>
            </w:r>
            <w:r>
              <w:rPr>
                <w:rFonts w:hint="eastAsia" w:ascii="仿宋" w:hAnsi="仿宋" w:eastAsia="仿宋" w:cs="仿宋"/>
                <w:bCs/>
                <w:sz w:val="24"/>
                <w:lang w:eastAsia="zh-CN"/>
              </w:rPr>
              <w:t xml:space="preserve"> </w:t>
            </w:r>
          </w:p>
        </w:tc>
      </w:tr>
      <w:tr w14:paraId="31EF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19C34C4E">
            <w:pPr>
              <w:widowControl/>
              <w:spacing w:line="360" w:lineRule="auto"/>
              <w:jc w:val="center"/>
              <w:rPr>
                <w:rFonts w:ascii="仿宋" w:hAnsi="仿宋" w:eastAsia="仿宋" w:cs="仿宋"/>
                <w:bCs/>
                <w:sz w:val="24"/>
              </w:rPr>
            </w:pPr>
            <w:r>
              <w:rPr>
                <w:rFonts w:hint="eastAsia" w:ascii="仿宋" w:hAnsi="仿宋" w:eastAsia="仿宋" w:cs="仿宋"/>
                <w:bCs/>
                <w:sz w:val="24"/>
              </w:rPr>
              <w:t>3</w:t>
            </w:r>
          </w:p>
        </w:tc>
        <w:tc>
          <w:tcPr>
            <w:tcW w:w="2635" w:type="dxa"/>
            <w:vAlign w:val="center"/>
          </w:tcPr>
          <w:p w14:paraId="1755E4AC">
            <w:pPr>
              <w:widowControl/>
              <w:spacing w:line="360" w:lineRule="auto"/>
              <w:jc w:val="center"/>
              <w:rPr>
                <w:rFonts w:ascii="仿宋" w:hAnsi="仿宋" w:eastAsia="仿宋" w:cs="仿宋"/>
                <w:bCs/>
                <w:sz w:val="24"/>
              </w:rPr>
            </w:pPr>
            <w:r>
              <w:rPr>
                <w:rFonts w:hint="eastAsia" w:ascii="仿宋" w:hAnsi="仿宋" w:eastAsia="仿宋" w:cs="仿宋"/>
                <w:bCs/>
                <w:sz w:val="24"/>
              </w:rPr>
              <w:t>服务地点</w:t>
            </w:r>
          </w:p>
        </w:tc>
        <w:tc>
          <w:tcPr>
            <w:tcW w:w="6619" w:type="dxa"/>
            <w:vAlign w:val="center"/>
          </w:tcPr>
          <w:p w14:paraId="372E24CD">
            <w:pPr>
              <w:widowControl/>
              <w:spacing w:line="360" w:lineRule="auto"/>
              <w:rPr>
                <w:rFonts w:hint="default" w:ascii="仿宋" w:hAnsi="仿宋" w:eastAsia="仿宋" w:cs="仿宋"/>
                <w:bCs/>
                <w:sz w:val="24"/>
                <w:lang w:val="en-US" w:eastAsia="zh-CN"/>
              </w:rPr>
            </w:pPr>
            <w:r>
              <w:rPr>
                <w:rFonts w:hint="eastAsia" w:ascii="仿宋" w:hAnsi="仿宋" w:eastAsia="仿宋" w:cs="仿宋"/>
                <w:bCs/>
                <w:sz w:val="24"/>
                <w:lang w:val="en-US" w:eastAsia="zh-CN"/>
              </w:rPr>
              <w:t>芮城县</w:t>
            </w:r>
          </w:p>
        </w:tc>
      </w:tr>
      <w:tr w14:paraId="5ADF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6A384CB9">
            <w:pPr>
              <w:widowControl/>
              <w:spacing w:line="360" w:lineRule="auto"/>
              <w:jc w:val="center"/>
              <w:rPr>
                <w:rFonts w:ascii="仿宋" w:hAnsi="仿宋" w:eastAsia="仿宋" w:cs="仿宋"/>
                <w:bCs/>
                <w:sz w:val="24"/>
              </w:rPr>
            </w:pPr>
            <w:r>
              <w:rPr>
                <w:rFonts w:hint="eastAsia" w:ascii="仿宋" w:hAnsi="仿宋" w:eastAsia="仿宋" w:cs="仿宋"/>
                <w:bCs/>
                <w:sz w:val="24"/>
              </w:rPr>
              <w:t>4</w:t>
            </w:r>
          </w:p>
        </w:tc>
        <w:tc>
          <w:tcPr>
            <w:tcW w:w="2635" w:type="dxa"/>
            <w:vAlign w:val="center"/>
          </w:tcPr>
          <w:p w14:paraId="6F84F737">
            <w:pPr>
              <w:widowControl/>
              <w:spacing w:line="360" w:lineRule="auto"/>
              <w:jc w:val="center"/>
              <w:rPr>
                <w:rFonts w:ascii="仿宋" w:hAnsi="仿宋" w:eastAsia="仿宋" w:cs="仿宋"/>
                <w:bCs/>
                <w:sz w:val="24"/>
              </w:rPr>
            </w:pPr>
            <w:r>
              <w:rPr>
                <w:rFonts w:hint="eastAsia" w:ascii="仿宋" w:hAnsi="仿宋" w:eastAsia="仿宋" w:cs="仿宋"/>
                <w:bCs/>
                <w:sz w:val="24"/>
              </w:rPr>
              <w:t>供应商资格条件</w:t>
            </w:r>
          </w:p>
        </w:tc>
        <w:tc>
          <w:tcPr>
            <w:tcW w:w="6619" w:type="dxa"/>
            <w:vAlign w:val="center"/>
          </w:tcPr>
          <w:p w14:paraId="78AE4445">
            <w:pPr>
              <w:widowControl/>
              <w:spacing w:line="360" w:lineRule="auto"/>
              <w:rPr>
                <w:rFonts w:ascii="仿宋" w:hAnsi="仿宋" w:eastAsia="仿宋" w:cs="仿宋"/>
                <w:sz w:val="24"/>
              </w:rPr>
            </w:pPr>
            <w:r>
              <w:rPr>
                <w:rFonts w:hint="eastAsia" w:ascii="仿宋" w:hAnsi="仿宋" w:eastAsia="仿宋" w:cs="仿宋"/>
                <w:sz w:val="24"/>
              </w:rPr>
              <w:t>1.满足《中华人民共和国政府采购法》第二十二条规定；</w:t>
            </w:r>
          </w:p>
          <w:p w14:paraId="3B6B9CDB">
            <w:pPr>
              <w:widowControl/>
              <w:spacing w:line="360" w:lineRule="auto"/>
              <w:rPr>
                <w:rFonts w:hint="eastAsia" w:ascii="仿宋" w:hAnsi="仿宋" w:eastAsia="仿宋" w:cs="仿宋"/>
                <w:sz w:val="24"/>
              </w:rPr>
            </w:pPr>
            <w:r>
              <w:rPr>
                <w:rFonts w:hint="eastAsia" w:ascii="仿宋" w:hAnsi="仿宋" w:eastAsia="仿宋" w:cs="仿宋"/>
                <w:sz w:val="24"/>
              </w:rPr>
              <w:t>2.落实政府采购政策需满足的资格要求：</w:t>
            </w:r>
            <w:r>
              <w:rPr>
                <w:rFonts w:hint="eastAsia" w:ascii="仿宋" w:hAnsi="仿宋" w:eastAsia="仿宋" w:cs="仿宋"/>
                <w:sz w:val="24"/>
                <w:lang w:val="en-US" w:eastAsia="zh-CN"/>
              </w:rPr>
              <w:t>本项目不专门面向中小企业采购</w:t>
            </w:r>
            <w:r>
              <w:rPr>
                <w:rFonts w:hint="eastAsia" w:ascii="仿宋" w:hAnsi="仿宋" w:eastAsia="仿宋" w:cs="仿宋"/>
                <w:sz w:val="24"/>
              </w:rPr>
              <w:t>。如投标人或联合体成员为中小企业的，须根据《工业和信息化部、国家统计局、国家发展和改革委员会、财政部关于印发中小企业划型标准规定的通知》（工信部联企业〔2011〕300号）规定的划分标准，准确划分企业类型提供中小企业声明函（监狱企业、残疾人福利性单位视同小微企业）。</w:t>
            </w:r>
          </w:p>
          <w:p w14:paraId="7728B0DA">
            <w:pPr>
              <w:widowControl/>
              <w:spacing w:line="360" w:lineRule="auto"/>
              <w:rPr>
                <w:rFonts w:ascii="仿宋" w:hAnsi="仿宋" w:eastAsia="仿宋" w:cs="仿宋"/>
                <w:sz w:val="24"/>
              </w:rPr>
            </w:pPr>
            <w:r>
              <w:rPr>
                <w:rFonts w:hint="eastAsia" w:ascii="仿宋" w:hAnsi="仿宋" w:eastAsia="仿宋" w:cs="仿宋"/>
                <w:sz w:val="24"/>
              </w:rPr>
              <w:t>注：中小企业声明函符合</w:t>
            </w:r>
            <w:r>
              <w:rPr>
                <w:rFonts w:hint="eastAsia" w:ascii="仿宋" w:hAnsi="仿宋" w:eastAsia="仿宋" w:cs="仿宋"/>
                <w:sz w:val="24"/>
                <w:lang w:val="en-US" w:eastAsia="zh-CN"/>
              </w:rPr>
              <w:t>磋商</w:t>
            </w:r>
            <w:r>
              <w:rPr>
                <w:rFonts w:hint="eastAsia" w:ascii="仿宋" w:hAnsi="仿宋" w:eastAsia="仿宋" w:cs="仿宋"/>
                <w:sz w:val="24"/>
              </w:rPr>
              <w:t>文件要求。</w:t>
            </w:r>
          </w:p>
          <w:p w14:paraId="3D212DC0">
            <w:pPr>
              <w:widowControl/>
              <w:spacing w:line="360" w:lineRule="auto"/>
              <w:rPr>
                <w:rFonts w:ascii="宋体" w:hAnsi="宋体" w:cs="仿宋"/>
                <w:sz w:val="28"/>
                <w:szCs w:val="28"/>
              </w:rPr>
            </w:pPr>
            <w:r>
              <w:rPr>
                <w:rFonts w:hint="eastAsia" w:ascii="仿宋" w:hAnsi="仿宋" w:eastAsia="仿宋" w:cs="仿宋"/>
                <w:sz w:val="24"/>
              </w:rPr>
              <w:t>3.本项目的特定资格要求：</w:t>
            </w:r>
            <w:r>
              <w:rPr>
                <w:rFonts w:hint="eastAsia" w:ascii="仿宋" w:hAnsi="仿宋" w:eastAsia="仿宋" w:cs="仿宋"/>
                <w:sz w:val="24"/>
                <w:lang w:val="en-US" w:eastAsia="zh-CN"/>
              </w:rPr>
              <w:t>无</w:t>
            </w:r>
            <w:r>
              <w:rPr>
                <w:rFonts w:hint="eastAsia" w:ascii="仿宋" w:hAnsi="仿宋" w:eastAsia="仿宋" w:cs="仿宋"/>
                <w:sz w:val="24"/>
              </w:rPr>
              <w:t>。</w:t>
            </w:r>
            <w:bookmarkStart w:id="177" w:name="_GoBack"/>
            <w:bookmarkEnd w:id="177"/>
          </w:p>
        </w:tc>
      </w:tr>
      <w:tr w14:paraId="4A81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6D1A8E37">
            <w:pPr>
              <w:widowControl/>
              <w:spacing w:line="360" w:lineRule="auto"/>
              <w:jc w:val="center"/>
              <w:rPr>
                <w:rFonts w:ascii="仿宋" w:hAnsi="仿宋" w:eastAsia="仿宋" w:cs="仿宋"/>
                <w:bCs/>
                <w:sz w:val="24"/>
              </w:rPr>
            </w:pPr>
            <w:r>
              <w:rPr>
                <w:rFonts w:hint="eastAsia" w:ascii="仿宋" w:hAnsi="仿宋" w:eastAsia="仿宋" w:cs="仿宋"/>
                <w:bCs/>
                <w:sz w:val="24"/>
              </w:rPr>
              <w:t>5</w:t>
            </w:r>
          </w:p>
        </w:tc>
        <w:tc>
          <w:tcPr>
            <w:tcW w:w="2635" w:type="dxa"/>
            <w:vAlign w:val="center"/>
          </w:tcPr>
          <w:p w14:paraId="43BABEB9">
            <w:pPr>
              <w:widowControl/>
              <w:spacing w:line="360" w:lineRule="auto"/>
              <w:jc w:val="center"/>
              <w:rPr>
                <w:rFonts w:ascii="仿宋" w:hAnsi="仿宋" w:eastAsia="仿宋" w:cs="仿宋"/>
                <w:bCs/>
                <w:sz w:val="24"/>
              </w:rPr>
            </w:pPr>
            <w:r>
              <w:rPr>
                <w:rFonts w:hint="eastAsia" w:ascii="仿宋" w:hAnsi="仿宋" w:eastAsia="仿宋" w:cs="仿宋"/>
                <w:sz w:val="24"/>
              </w:rPr>
              <w:t>合同履行期限（服务期）</w:t>
            </w:r>
          </w:p>
        </w:tc>
        <w:tc>
          <w:tcPr>
            <w:tcW w:w="6619" w:type="dxa"/>
            <w:vAlign w:val="center"/>
          </w:tcPr>
          <w:p w14:paraId="0A55A744">
            <w:pPr>
              <w:widowControl/>
              <w:spacing w:line="360" w:lineRule="auto"/>
              <w:rPr>
                <w:rFonts w:hint="default" w:ascii="仿宋" w:hAnsi="仿宋" w:eastAsia="仿宋" w:cs="仿宋"/>
                <w:bCs/>
                <w:sz w:val="24"/>
                <w:lang w:val="en-US"/>
              </w:rPr>
            </w:pPr>
            <w:r>
              <w:rPr>
                <w:rFonts w:hint="eastAsia" w:ascii="仿宋" w:hAnsi="仿宋" w:eastAsia="仿宋" w:cs="仿宋"/>
                <w:bCs/>
                <w:sz w:val="24"/>
                <w:lang w:val="en-US" w:eastAsia="zh-CN"/>
              </w:rPr>
              <w:t>自合同签订之日起60天</w:t>
            </w:r>
          </w:p>
        </w:tc>
      </w:tr>
      <w:tr w14:paraId="75D2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334A3BDD">
            <w:pPr>
              <w:widowControl/>
              <w:spacing w:line="360" w:lineRule="auto"/>
              <w:jc w:val="center"/>
              <w:rPr>
                <w:rFonts w:ascii="仿宋" w:hAnsi="仿宋" w:eastAsia="仿宋" w:cs="仿宋"/>
                <w:bCs/>
                <w:sz w:val="24"/>
              </w:rPr>
            </w:pPr>
            <w:r>
              <w:rPr>
                <w:rFonts w:hint="eastAsia" w:ascii="仿宋" w:hAnsi="仿宋" w:eastAsia="仿宋" w:cs="仿宋"/>
                <w:bCs/>
                <w:sz w:val="24"/>
              </w:rPr>
              <w:t>6</w:t>
            </w:r>
          </w:p>
        </w:tc>
        <w:tc>
          <w:tcPr>
            <w:tcW w:w="2635" w:type="dxa"/>
            <w:vAlign w:val="center"/>
          </w:tcPr>
          <w:p w14:paraId="6450F631">
            <w:pPr>
              <w:widowControl/>
              <w:spacing w:line="360" w:lineRule="auto"/>
              <w:jc w:val="center"/>
              <w:rPr>
                <w:rFonts w:ascii="仿宋" w:hAnsi="仿宋" w:eastAsia="仿宋" w:cs="仿宋"/>
                <w:bCs/>
                <w:sz w:val="24"/>
              </w:rPr>
            </w:pPr>
            <w:r>
              <w:rPr>
                <w:rFonts w:hint="eastAsia" w:ascii="仿宋" w:hAnsi="仿宋" w:eastAsia="仿宋" w:cs="仿宋"/>
                <w:bCs/>
                <w:sz w:val="24"/>
              </w:rPr>
              <w:t>踏勘现场</w:t>
            </w:r>
          </w:p>
        </w:tc>
        <w:tc>
          <w:tcPr>
            <w:tcW w:w="6619" w:type="dxa"/>
            <w:vAlign w:val="center"/>
          </w:tcPr>
          <w:p w14:paraId="471A29D5">
            <w:pPr>
              <w:widowControl/>
              <w:spacing w:line="360" w:lineRule="auto"/>
              <w:rPr>
                <w:rFonts w:ascii="仿宋" w:hAnsi="仿宋" w:eastAsia="仿宋" w:cs="仿宋"/>
                <w:bCs/>
                <w:sz w:val="24"/>
              </w:rPr>
            </w:pPr>
            <w:r>
              <w:rPr>
                <w:rFonts w:hint="eastAsia" w:ascii="仿宋" w:hAnsi="仿宋" w:eastAsia="仿宋" w:cs="仿宋"/>
                <w:bCs/>
                <w:sz w:val="24"/>
              </w:rPr>
              <w:t>不组织</w:t>
            </w:r>
          </w:p>
        </w:tc>
      </w:tr>
      <w:tr w14:paraId="7336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1FE6B3FE">
            <w:pPr>
              <w:widowControl/>
              <w:spacing w:line="360" w:lineRule="auto"/>
              <w:jc w:val="center"/>
              <w:rPr>
                <w:rFonts w:ascii="仿宋" w:hAnsi="仿宋" w:eastAsia="仿宋" w:cs="仿宋"/>
                <w:bCs/>
                <w:sz w:val="24"/>
              </w:rPr>
            </w:pPr>
            <w:r>
              <w:rPr>
                <w:rFonts w:hint="eastAsia" w:ascii="仿宋" w:hAnsi="仿宋" w:eastAsia="仿宋" w:cs="仿宋"/>
                <w:bCs/>
                <w:sz w:val="24"/>
              </w:rPr>
              <w:t>7</w:t>
            </w:r>
          </w:p>
        </w:tc>
        <w:tc>
          <w:tcPr>
            <w:tcW w:w="2635" w:type="dxa"/>
            <w:vAlign w:val="center"/>
          </w:tcPr>
          <w:p w14:paraId="0BBC3D94">
            <w:pPr>
              <w:widowControl/>
              <w:spacing w:line="360" w:lineRule="auto"/>
              <w:jc w:val="center"/>
              <w:rPr>
                <w:rFonts w:ascii="仿宋" w:hAnsi="仿宋" w:eastAsia="仿宋" w:cs="仿宋"/>
                <w:bCs/>
                <w:sz w:val="24"/>
              </w:rPr>
            </w:pPr>
            <w:r>
              <w:rPr>
                <w:rFonts w:hint="eastAsia" w:ascii="仿宋" w:hAnsi="仿宋" w:eastAsia="仿宋" w:cs="仿宋"/>
                <w:bCs/>
                <w:sz w:val="24"/>
                <w:shd w:val="clear" w:color="auto" w:fill="FFFFFF"/>
              </w:rPr>
              <w:t>供应商应提交的资格证明文件</w:t>
            </w:r>
          </w:p>
        </w:tc>
        <w:tc>
          <w:tcPr>
            <w:tcW w:w="6619" w:type="dxa"/>
            <w:vAlign w:val="center"/>
          </w:tcPr>
          <w:p w14:paraId="452F6EA1">
            <w:pPr>
              <w:widowControl/>
              <w:spacing w:line="360" w:lineRule="auto"/>
              <w:rPr>
                <w:rFonts w:ascii="仿宋" w:hAnsi="仿宋" w:eastAsia="仿宋" w:cs="仿宋"/>
                <w:bCs/>
                <w:sz w:val="24"/>
              </w:rPr>
            </w:pPr>
            <w:r>
              <w:rPr>
                <w:rFonts w:hint="eastAsia" w:ascii="仿宋" w:hAnsi="仿宋" w:eastAsia="仿宋" w:cs="仿宋"/>
                <w:bCs/>
                <w:sz w:val="24"/>
              </w:rPr>
              <w:t>（1）供应商代表的证明（见‘响应文件格式’）；</w:t>
            </w:r>
          </w:p>
          <w:p w14:paraId="2EF709E0">
            <w:pPr>
              <w:widowControl/>
              <w:spacing w:line="360" w:lineRule="auto"/>
              <w:rPr>
                <w:rFonts w:ascii="仿宋" w:hAnsi="仿宋" w:eastAsia="仿宋" w:cs="仿宋"/>
                <w:bCs/>
                <w:sz w:val="24"/>
              </w:rPr>
            </w:pPr>
            <w:r>
              <w:rPr>
                <w:rFonts w:hint="eastAsia" w:ascii="仿宋" w:hAnsi="仿宋" w:eastAsia="仿宋" w:cs="仿宋"/>
                <w:bCs/>
                <w:sz w:val="24"/>
              </w:rPr>
              <w:t>（2）声明书（见‘响应文件格式’）；</w:t>
            </w:r>
          </w:p>
          <w:p w14:paraId="565BB88D">
            <w:pPr>
              <w:widowControl/>
              <w:spacing w:line="360" w:lineRule="auto"/>
              <w:rPr>
                <w:rFonts w:ascii="仿宋" w:hAnsi="仿宋" w:eastAsia="仿宋" w:cs="仿宋"/>
                <w:bCs/>
                <w:sz w:val="24"/>
              </w:rPr>
            </w:pPr>
            <w:r>
              <w:rPr>
                <w:rFonts w:hint="eastAsia" w:ascii="仿宋" w:hAnsi="仿宋" w:eastAsia="仿宋" w:cs="仿宋"/>
                <w:bCs/>
                <w:sz w:val="24"/>
              </w:rPr>
              <w:t>（3）具有独立承担民事责任的能力（见‘响应文件格式’）；</w:t>
            </w:r>
          </w:p>
          <w:p w14:paraId="056C2897">
            <w:pPr>
              <w:widowControl/>
              <w:spacing w:line="360" w:lineRule="auto"/>
              <w:rPr>
                <w:rFonts w:ascii="仿宋" w:hAnsi="仿宋" w:eastAsia="仿宋" w:cs="仿宋"/>
                <w:bCs/>
                <w:sz w:val="24"/>
              </w:rPr>
            </w:pPr>
            <w:r>
              <w:rPr>
                <w:rFonts w:hint="eastAsia" w:ascii="仿宋" w:hAnsi="仿宋" w:eastAsia="仿宋" w:cs="仿宋"/>
                <w:bCs/>
                <w:sz w:val="24"/>
              </w:rPr>
              <w:t>（4）具有良好的商业信誉和健全的财务会计制度（见‘响应文件格式’）；</w:t>
            </w:r>
          </w:p>
          <w:p w14:paraId="6C61BAFA">
            <w:pPr>
              <w:widowControl/>
              <w:spacing w:line="360" w:lineRule="auto"/>
              <w:rPr>
                <w:rFonts w:ascii="仿宋" w:hAnsi="仿宋" w:eastAsia="仿宋" w:cs="仿宋"/>
                <w:bCs/>
                <w:sz w:val="24"/>
              </w:rPr>
            </w:pPr>
            <w:r>
              <w:rPr>
                <w:rFonts w:hint="eastAsia" w:ascii="仿宋" w:hAnsi="仿宋" w:eastAsia="仿宋" w:cs="仿宋"/>
                <w:bCs/>
                <w:sz w:val="24"/>
              </w:rPr>
              <w:t>（5）具有履行合同所必需的设备和专业技术能力（见‘响应文件格式’）；</w:t>
            </w:r>
          </w:p>
          <w:p w14:paraId="53143E6A">
            <w:pPr>
              <w:widowControl/>
              <w:spacing w:line="360" w:lineRule="auto"/>
              <w:rPr>
                <w:rFonts w:ascii="仿宋" w:hAnsi="仿宋" w:eastAsia="仿宋" w:cs="仿宋"/>
                <w:bCs/>
                <w:sz w:val="24"/>
              </w:rPr>
            </w:pPr>
            <w:r>
              <w:rPr>
                <w:rFonts w:hint="eastAsia" w:ascii="仿宋" w:hAnsi="仿宋" w:eastAsia="仿宋" w:cs="仿宋"/>
                <w:bCs/>
                <w:sz w:val="24"/>
              </w:rPr>
              <w:t>（6）有依法缴纳税收和社会保障资金的良好记录（见‘响应文件格式’）；</w:t>
            </w:r>
          </w:p>
          <w:p w14:paraId="19EF0B2D">
            <w:pPr>
              <w:widowControl/>
              <w:spacing w:line="360" w:lineRule="auto"/>
              <w:rPr>
                <w:rFonts w:ascii="仿宋" w:hAnsi="仿宋" w:eastAsia="仿宋" w:cs="仿宋"/>
                <w:bCs/>
                <w:sz w:val="24"/>
              </w:rPr>
            </w:pPr>
            <w:r>
              <w:rPr>
                <w:rFonts w:hint="eastAsia" w:ascii="仿宋" w:hAnsi="仿宋" w:eastAsia="仿宋" w:cs="仿宋"/>
                <w:bCs/>
                <w:sz w:val="24"/>
              </w:rPr>
              <w:t>（7）参加政府采购活动前三年内，在经营活动中没有重大违法记录（见‘响应文件格式’）；</w:t>
            </w:r>
          </w:p>
          <w:p w14:paraId="78527143">
            <w:pPr>
              <w:widowControl/>
              <w:spacing w:line="360" w:lineRule="auto"/>
              <w:rPr>
                <w:rFonts w:ascii="仿宋" w:hAnsi="仿宋" w:eastAsia="仿宋" w:cs="仿宋"/>
                <w:bCs/>
                <w:sz w:val="24"/>
              </w:rPr>
            </w:pPr>
            <w:r>
              <w:rPr>
                <w:rFonts w:hint="eastAsia" w:ascii="仿宋" w:hAnsi="仿宋" w:eastAsia="仿宋" w:cs="仿宋"/>
                <w:bCs/>
                <w:sz w:val="24"/>
              </w:rPr>
              <w:t>（8）诚信投标承诺书（见‘响应文件格式’）；</w:t>
            </w:r>
          </w:p>
          <w:p w14:paraId="5F0AC7D0">
            <w:pPr>
              <w:widowControl/>
              <w:spacing w:line="360" w:lineRule="auto"/>
              <w:rPr>
                <w:rFonts w:ascii="仿宋" w:hAnsi="仿宋" w:eastAsia="仿宋" w:cs="仿宋"/>
                <w:bCs/>
                <w:sz w:val="24"/>
              </w:rPr>
            </w:pPr>
            <w:r>
              <w:rPr>
                <w:rFonts w:hint="eastAsia" w:ascii="仿宋" w:hAnsi="仿宋" w:eastAsia="仿宋" w:cs="仿宋"/>
                <w:bCs/>
                <w:sz w:val="24"/>
              </w:rPr>
              <w:t>（9）具有独立承担民事责任能力的证明材料；</w:t>
            </w:r>
          </w:p>
          <w:p w14:paraId="31AD0C9E">
            <w:pPr>
              <w:widowControl/>
              <w:spacing w:line="360" w:lineRule="auto"/>
              <w:rPr>
                <w:rFonts w:ascii="仿宋" w:hAnsi="仿宋" w:eastAsia="仿宋" w:cs="仿宋"/>
                <w:bCs/>
                <w:sz w:val="24"/>
              </w:rPr>
            </w:pPr>
            <w:r>
              <w:rPr>
                <w:rFonts w:hint="eastAsia" w:ascii="仿宋" w:hAnsi="仿宋" w:eastAsia="仿宋" w:cs="仿宋"/>
                <w:bCs/>
                <w:sz w:val="24"/>
              </w:rPr>
              <w:t>（10）磋商保证金缴纳凭证（本项目要求供应商在磋商开启前提交磋商保证金，须提供磋商保证金汇款或转账凭证或磋商保函接收函扫描件或影印件（须加盖供应商公章））；</w:t>
            </w:r>
          </w:p>
          <w:p w14:paraId="718BF737">
            <w:pPr>
              <w:widowControl/>
              <w:spacing w:line="360" w:lineRule="auto"/>
              <w:rPr>
                <w:rFonts w:ascii="仿宋" w:hAnsi="仿宋" w:eastAsia="仿宋" w:cs="仿宋"/>
                <w:bCs/>
                <w:sz w:val="24"/>
              </w:rPr>
            </w:pPr>
            <w:r>
              <w:rPr>
                <w:rFonts w:hint="eastAsia" w:ascii="仿宋" w:hAnsi="仿宋" w:eastAsia="仿宋" w:cs="仿宋"/>
                <w:bCs/>
                <w:sz w:val="24"/>
              </w:rPr>
              <w:t>（11）落实政府采购政策需满足的资格要求；</w:t>
            </w:r>
          </w:p>
          <w:p w14:paraId="01838E2A">
            <w:pPr>
              <w:widowControl/>
              <w:spacing w:line="360" w:lineRule="auto"/>
              <w:rPr>
                <w:rFonts w:ascii="仿宋" w:hAnsi="仿宋" w:eastAsia="仿宋" w:cs="仿宋"/>
                <w:bCs/>
                <w:sz w:val="24"/>
              </w:rPr>
            </w:pPr>
            <w:r>
              <w:rPr>
                <w:rFonts w:hint="eastAsia" w:ascii="仿宋" w:hAnsi="仿宋" w:eastAsia="仿宋" w:cs="仿宋"/>
                <w:bCs/>
                <w:sz w:val="24"/>
              </w:rPr>
              <w:t>（12）信用查询证明材料；</w:t>
            </w:r>
          </w:p>
        </w:tc>
      </w:tr>
      <w:tr w14:paraId="57E6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656B887D">
            <w:pPr>
              <w:widowControl/>
              <w:spacing w:line="360" w:lineRule="auto"/>
              <w:jc w:val="center"/>
              <w:rPr>
                <w:rFonts w:ascii="仿宋" w:hAnsi="仿宋" w:eastAsia="仿宋" w:cs="仿宋"/>
                <w:bCs/>
                <w:sz w:val="24"/>
              </w:rPr>
            </w:pPr>
            <w:r>
              <w:rPr>
                <w:rFonts w:hint="eastAsia" w:ascii="仿宋" w:hAnsi="仿宋" w:eastAsia="仿宋" w:cs="仿宋"/>
                <w:bCs/>
                <w:sz w:val="24"/>
              </w:rPr>
              <w:t>8</w:t>
            </w:r>
          </w:p>
        </w:tc>
        <w:tc>
          <w:tcPr>
            <w:tcW w:w="2635" w:type="dxa"/>
            <w:vAlign w:val="center"/>
          </w:tcPr>
          <w:p w14:paraId="15F76F28">
            <w:pPr>
              <w:widowControl/>
              <w:spacing w:line="360" w:lineRule="auto"/>
              <w:jc w:val="center"/>
              <w:rPr>
                <w:rFonts w:ascii="仿宋" w:hAnsi="仿宋" w:eastAsia="仿宋" w:cs="仿宋"/>
                <w:bCs/>
                <w:sz w:val="24"/>
              </w:rPr>
            </w:pPr>
            <w:r>
              <w:rPr>
                <w:rFonts w:hint="eastAsia" w:ascii="仿宋" w:hAnsi="仿宋" w:eastAsia="仿宋" w:cs="仿宋"/>
                <w:bCs/>
                <w:sz w:val="24"/>
                <w:shd w:val="clear" w:color="auto" w:fill="FFFFFF"/>
              </w:rPr>
              <w:t>供应商应提交的商务及技术文件</w:t>
            </w:r>
          </w:p>
        </w:tc>
        <w:tc>
          <w:tcPr>
            <w:tcW w:w="6619" w:type="dxa"/>
            <w:vAlign w:val="center"/>
          </w:tcPr>
          <w:p w14:paraId="4B9C4E92">
            <w:pPr>
              <w:widowControl/>
              <w:spacing w:line="360" w:lineRule="auto"/>
              <w:rPr>
                <w:rFonts w:ascii="仿宋" w:hAnsi="仿宋" w:eastAsia="仿宋" w:cs="仿宋"/>
                <w:bCs/>
                <w:sz w:val="24"/>
              </w:rPr>
            </w:pPr>
            <w:r>
              <w:rPr>
                <w:rFonts w:hint="eastAsia" w:ascii="仿宋" w:hAnsi="仿宋" w:eastAsia="仿宋" w:cs="仿宋"/>
                <w:bCs/>
                <w:sz w:val="24"/>
              </w:rPr>
              <w:t>（1）供应商情况介绍；</w:t>
            </w:r>
          </w:p>
          <w:p w14:paraId="050FF66B">
            <w:pPr>
              <w:widowControl/>
              <w:spacing w:line="360" w:lineRule="auto"/>
              <w:rPr>
                <w:rFonts w:ascii="仿宋" w:hAnsi="仿宋" w:eastAsia="仿宋" w:cs="仿宋"/>
                <w:bCs/>
                <w:sz w:val="24"/>
              </w:rPr>
            </w:pPr>
            <w:r>
              <w:rPr>
                <w:rFonts w:hint="eastAsia" w:ascii="仿宋" w:hAnsi="仿宋" w:eastAsia="仿宋" w:cs="仿宋"/>
                <w:bCs/>
                <w:sz w:val="24"/>
              </w:rPr>
              <w:t>（2）类似成功案例的业绩证明；</w:t>
            </w:r>
          </w:p>
          <w:p w14:paraId="1A7618FC">
            <w:pPr>
              <w:widowControl/>
              <w:spacing w:line="360" w:lineRule="auto"/>
              <w:rPr>
                <w:rFonts w:ascii="仿宋" w:hAnsi="仿宋" w:eastAsia="仿宋" w:cs="仿宋"/>
                <w:bCs/>
                <w:sz w:val="24"/>
              </w:rPr>
            </w:pPr>
            <w:r>
              <w:rPr>
                <w:rFonts w:hint="eastAsia" w:ascii="仿宋" w:hAnsi="仿宋" w:eastAsia="仿宋" w:cs="仿宋"/>
                <w:bCs/>
                <w:sz w:val="24"/>
              </w:rPr>
              <w:t>（3）商务响应表；</w:t>
            </w:r>
          </w:p>
          <w:p w14:paraId="4E638766">
            <w:pPr>
              <w:widowControl/>
              <w:spacing w:line="360" w:lineRule="auto"/>
              <w:rPr>
                <w:rFonts w:ascii="仿宋" w:hAnsi="仿宋" w:eastAsia="仿宋" w:cs="仿宋"/>
                <w:bCs/>
                <w:sz w:val="24"/>
              </w:rPr>
            </w:pPr>
            <w:r>
              <w:rPr>
                <w:rFonts w:hint="eastAsia" w:ascii="仿宋" w:hAnsi="仿宋" w:eastAsia="仿宋" w:cs="仿宋"/>
                <w:bCs/>
                <w:sz w:val="24"/>
              </w:rPr>
              <w:t>（4）实施方案；</w:t>
            </w:r>
          </w:p>
          <w:p w14:paraId="60B42340">
            <w:pPr>
              <w:widowControl/>
              <w:spacing w:line="360" w:lineRule="auto"/>
              <w:rPr>
                <w:rFonts w:ascii="仿宋" w:hAnsi="仿宋" w:eastAsia="仿宋" w:cs="仿宋"/>
                <w:bCs/>
                <w:sz w:val="24"/>
              </w:rPr>
            </w:pPr>
            <w:r>
              <w:rPr>
                <w:rFonts w:hint="eastAsia" w:ascii="仿宋" w:hAnsi="仿宋" w:eastAsia="仿宋" w:cs="仿宋"/>
                <w:bCs/>
                <w:sz w:val="24"/>
              </w:rPr>
              <w:t>（5）技术响应表；</w:t>
            </w:r>
          </w:p>
          <w:p w14:paraId="73A30B02">
            <w:pPr>
              <w:widowControl/>
              <w:spacing w:line="360" w:lineRule="auto"/>
              <w:rPr>
                <w:rFonts w:ascii="仿宋" w:hAnsi="仿宋" w:eastAsia="仿宋" w:cs="仿宋"/>
                <w:bCs/>
                <w:sz w:val="24"/>
              </w:rPr>
            </w:pPr>
            <w:r>
              <w:rPr>
                <w:rFonts w:hint="eastAsia" w:ascii="仿宋" w:hAnsi="仿宋" w:eastAsia="仿宋" w:cs="仿宋"/>
                <w:bCs/>
                <w:sz w:val="24"/>
              </w:rPr>
              <w:t>（6）项目管理机构人员配备；</w:t>
            </w:r>
          </w:p>
          <w:p w14:paraId="3716B221">
            <w:pPr>
              <w:widowControl/>
              <w:spacing w:line="360" w:lineRule="auto"/>
              <w:rPr>
                <w:rFonts w:ascii="仿宋" w:hAnsi="仿宋" w:eastAsia="仿宋" w:cs="仿宋"/>
                <w:bCs/>
                <w:sz w:val="24"/>
              </w:rPr>
            </w:pPr>
            <w:r>
              <w:rPr>
                <w:rFonts w:hint="eastAsia" w:ascii="仿宋" w:hAnsi="仿宋" w:eastAsia="仿宋" w:cs="仿宋"/>
                <w:bCs/>
                <w:sz w:val="24"/>
              </w:rPr>
              <w:t>（8）服务承诺；</w:t>
            </w:r>
          </w:p>
          <w:p w14:paraId="26E0DB3B">
            <w:pPr>
              <w:widowControl/>
              <w:spacing w:line="360" w:lineRule="auto"/>
              <w:rPr>
                <w:rFonts w:ascii="仿宋" w:hAnsi="仿宋" w:eastAsia="仿宋" w:cs="仿宋"/>
                <w:bCs/>
                <w:sz w:val="24"/>
              </w:rPr>
            </w:pPr>
            <w:r>
              <w:rPr>
                <w:rFonts w:hint="eastAsia" w:ascii="仿宋" w:hAnsi="仿宋" w:eastAsia="仿宋" w:cs="仿宋"/>
                <w:bCs/>
                <w:sz w:val="24"/>
              </w:rPr>
              <w:t>（9）正版软件承诺</w:t>
            </w:r>
            <w:r>
              <w:rPr>
                <w:rFonts w:hint="eastAsia" w:ascii="仿宋" w:hAnsi="仿宋" w:eastAsia="仿宋" w:cs="仿宋"/>
                <w:sz w:val="24"/>
                <w:szCs w:val="28"/>
              </w:rPr>
              <w:t>（如不涉及，此函可不提供）</w:t>
            </w:r>
            <w:r>
              <w:rPr>
                <w:rFonts w:hint="eastAsia" w:ascii="仿宋" w:hAnsi="仿宋" w:eastAsia="仿宋" w:cs="仿宋"/>
                <w:bCs/>
                <w:sz w:val="24"/>
              </w:rPr>
              <w:t>；</w:t>
            </w:r>
          </w:p>
          <w:p w14:paraId="56C5E92B">
            <w:pPr>
              <w:widowControl/>
              <w:spacing w:line="360" w:lineRule="auto"/>
              <w:rPr>
                <w:rFonts w:ascii="仿宋" w:hAnsi="仿宋" w:eastAsia="仿宋" w:cs="仿宋"/>
                <w:bCs/>
                <w:sz w:val="24"/>
              </w:rPr>
            </w:pPr>
            <w:r>
              <w:rPr>
                <w:rFonts w:hint="eastAsia" w:ascii="仿宋" w:hAnsi="仿宋" w:eastAsia="仿宋" w:cs="仿宋"/>
                <w:bCs/>
                <w:sz w:val="24"/>
              </w:rPr>
              <w:t>（10）信息安全产品说明</w:t>
            </w:r>
            <w:r>
              <w:rPr>
                <w:rFonts w:hint="eastAsia" w:ascii="仿宋" w:hAnsi="仿宋" w:eastAsia="仿宋" w:cs="仿宋"/>
                <w:sz w:val="24"/>
                <w:szCs w:val="28"/>
              </w:rPr>
              <w:t>（如不涉及，此函可不提供）</w:t>
            </w:r>
            <w:r>
              <w:rPr>
                <w:rFonts w:hint="eastAsia" w:ascii="仿宋" w:hAnsi="仿宋" w:eastAsia="仿宋" w:cs="仿宋"/>
                <w:bCs/>
                <w:sz w:val="24"/>
              </w:rPr>
              <w:t>；</w:t>
            </w:r>
          </w:p>
          <w:p w14:paraId="00CE48F6">
            <w:pPr>
              <w:widowControl/>
              <w:spacing w:line="360" w:lineRule="auto"/>
              <w:rPr>
                <w:rFonts w:ascii="仿宋" w:hAnsi="仿宋" w:eastAsia="仿宋" w:cs="仿宋"/>
                <w:bCs/>
                <w:sz w:val="24"/>
              </w:rPr>
            </w:pPr>
            <w:r>
              <w:rPr>
                <w:rFonts w:hint="eastAsia" w:ascii="仿宋" w:hAnsi="仿宋" w:eastAsia="仿宋" w:cs="仿宋"/>
                <w:bCs/>
                <w:sz w:val="24"/>
              </w:rPr>
              <w:t>（11）商品包装和快递包装承诺</w:t>
            </w:r>
            <w:r>
              <w:rPr>
                <w:rFonts w:hint="eastAsia" w:ascii="仿宋" w:hAnsi="仿宋" w:eastAsia="仿宋" w:cs="仿宋"/>
                <w:sz w:val="24"/>
                <w:szCs w:val="28"/>
              </w:rPr>
              <w:t>（如不涉及，此函可不提供）</w:t>
            </w:r>
            <w:r>
              <w:rPr>
                <w:rFonts w:hint="eastAsia" w:ascii="仿宋" w:hAnsi="仿宋" w:eastAsia="仿宋" w:cs="仿宋"/>
                <w:bCs/>
                <w:sz w:val="24"/>
              </w:rPr>
              <w:t>；</w:t>
            </w:r>
          </w:p>
          <w:p w14:paraId="0F0BAE47">
            <w:pPr>
              <w:widowControl/>
              <w:spacing w:line="360" w:lineRule="auto"/>
              <w:rPr>
                <w:rFonts w:ascii="仿宋" w:hAnsi="仿宋" w:eastAsia="仿宋" w:cs="仿宋"/>
                <w:bCs/>
                <w:sz w:val="24"/>
              </w:rPr>
            </w:pPr>
            <w:r>
              <w:rPr>
                <w:rFonts w:hint="eastAsia" w:ascii="仿宋" w:hAnsi="仿宋" w:eastAsia="仿宋" w:cs="仿宋"/>
                <w:bCs/>
                <w:sz w:val="24"/>
              </w:rPr>
              <w:t>（12）供应商需要说明的其他文件和说明。</w:t>
            </w:r>
          </w:p>
        </w:tc>
      </w:tr>
      <w:tr w14:paraId="7F4F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12F9DD2A">
            <w:pPr>
              <w:widowControl/>
              <w:spacing w:line="360" w:lineRule="auto"/>
              <w:jc w:val="center"/>
              <w:rPr>
                <w:rFonts w:ascii="仿宋" w:hAnsi="仿宋" w:eastAsia="仿宋" w:cs="仿宋"/>
                <w:bCs/>
                <w:sz w:val="24"/>
              </w:rPr>
            </w:pPr>
            <w:r>
              <w:rPr>
                <w:rFonts w:hint="eastAsia" w:ascii="仿宋" w:hAnsi="仿宋" w:eastAsia="仿宋" w:cs="仿宋"/>
                <w:bCs/>
                <w:sz w:val="24"/>
              </w:rPr>
              <w:t>9</w:t>
            </w:r>
          </w:p>
        </w:tc>
        <w:tc>
          <w:tcPr>
            <w:tcW w:w="2635" w:type="dxa"/>
            <w:vAlign w:val="center"/>
          </w:tcPr>
          <w:p w14:paraId="69DDA24E">
            <w:pPr>
              <w:widowControl/>
              <w:spacing w:line="360" w:lineRule="auto"/>
              <w:jc w:val="center"/>
              <w:rPr>
                <w:rFonts w:ascii="仿宋" w:hAnsi="仿宋" w:eastAsia="仿宋" w:cs="仿宋"/>
                <w:bCs/>
                <w:sz w:val="24"/>
                <w:shd w:val="clear" w:color="auto" w:fill="FFFFFF"/>
              </w:rPr>
            </w:pPr>
            <w:r>
              <w:rPr>
                <w:rFonts w:hint="eastAsia" w:ascii="仿宋" w:hAnsi="仿宋" w:eastAsia="仿宋" w:cs="仿宋"/>
                <w:bCs/>
                <w:sz w:val="24"/>
                <w:shd w:val="clear" w:color="auto" w:fill="FFFFFF"/>
              </w:rPr>
              <w:t>供应商应提交的报价文件</w:t>
            </w:r>
          </w:p>
        </w:tc>
        <w:tc>
          <w:tcPr>
            <w:tcW w:w="6619" w:type="dxa"/>
            <w:vAlign w:val="center"/>
          </w:tcPr>
          <w:p w14:paraId="53F54412">
            <w:pPr>
              <w:widowControl/>
              <w:spacing w:line="360" w:lineRule="auto"/>
              <w:rPr>
                <w:rFonts w:ascii="仿宋" w:hAnsi="仿宋" w:eastAsia="仿宋" w:cs="仿宋"/>
                <w:bCs/>
                <w:sz w:val="24"/>
              </w:rPr>
            </w:pPr>
            <w:r>
              <w:rPr>
                <w:rFonts w:hint="eastAsia" w:ascii="仿宋" w:hAnsi="仿宋" w:eastAsia="仿宋" w:cs="仿宋"/>
                <w:bCs/>
                <w:sz w:val="24"/>
              </w:rPr>
              <w:t>（1）报价一览表；</w:t>
            </w:r>
          </w:p>
          <w:p w14:paraId="16E00960">
            <w:pPr>
              <w:widowControl/>
              <w:spacing w:line="360" w:lineRule="auto"/>
              <w:rPr>
                <w:rFonts w:ascii="仿宋" w:hAnsi="仿宋" w:eastAsia="仿宋" w:cs="仿宋"/>
                <w:bCs/>
                <w:sz w:val="24"/>
              </w:rPr>
            </w:pPr>
            <w:r>
              <w:rPr>
                <w:rFonts w:hint="eastAsia" w:ascii="仿宋" w:hAnsi="仿宋" w:eastAsia="仿宋" w:cs="仿宋"/>
                <w:bCs/>
                <w:sz w:val="24"/>
              </w:rPr>
              <w:t>（2）供应商认为需要的其他文件资料。</w:t>
            </w:r>
          </w:p>
        </w:tc>
      </w:tr>
      <w:tr w14:paraId="51E0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43A74FDF">
            <w:pPr>
              <w:widowControl/>
              <w:spacing w:line="360" w:lineRule="auto"/>
              <w:jc w:val="center"/>
              <w:rPr>
                <w:rFonts w:ascii="仿宋" w:hAnsi="仿宋" w:eastAsia="仿宋" w:cs="仿宋"/>
                <w:bCs/>
                <w:sz w:val="24"/>
              </w:rPr>
            </w:pPr>
            <w:r>
              <w:rPr>
                <w:rFonts w:hint="eastAsia" w:ascii="仿宋" w:hAnsi="仿宋" w:eastAsia="仿宋" w:cs="仿宋"/>
                <w:bCs/>
                <w:sz w:val="24"/>
              </w:rPr>
              <w:t>10</w:t>
            </w:r>
          </w:p>
        </w:tc>
        <w:tc>
          <w:tcPr>
            <w:tcW w:w="2635" w:type="dxa"/>
            <w:vAlign w:val="center"/>
          </w:tcPr>
          <w:p w14:paraId="32A175C9">
            <w:pPr>
              <w:widowControl/>
              <w:spacing w:line="360" w:lineRule="auto"/>
              <w:jc w:val="center"/>
              <w:rPr>
                <w:rFonts w:ascii="仿宋" w:hAnsi="仿宋" w:eastAsia="仿宋" w:cs="仿宋"/>
                <w:bCs/>
                <w:sz w:val="24"/>
              </w:rPr>
            </w:pPr>
            <w:r>
              <w:rPr>
                <w:rFonts w:hint="eastAsia" w:ascii="仿宋" w:hAnsi="仿宋" w:eastAsia="仿宋" w:cs="仿宋"/>
                <w:bCs/>
                <w:color w:val="000000"/>
                <w:sz w:val="24"/>
              </w:rPr>
              <w:t>响应文件有效期</w:t>
            </w:r>
          </w:p>
        </w:tc>
        <w:tc>
          <w:tcPr>
            <w:tcW w:w="6619" w:type="dxa"/>
            <w:vAlign w:val="center"/>
          </w:tcPr>
          <w:p w14:paraId="5F1B4001">
            <w:pPr>
              <w:widowControl/>
              <w:spacing w:line="360" w:lineRule="auto"/>
              <w:rPr>
                <w:rFonts w:ascii="仿宋" w:hAnsi="仿宋" w:eastAsia="仿宋" w:cs="仿宋"/>
                <w:bCs/>
                <w:sz w:val="24"/>
              </w:rPr>
            </w:pPr>
            <w:r>
              <w:rPr>
                <w:rFonts w:hint="eastAsia" w:ascii="仿宋" w:hAnsi="仿宋" w:eastAsia="仿宋" w:cs="仿宋"/>
                <w:bCs/>
                <w:sz w:val="24"/>
              </w:rPr>
              <w:t>90日历天（从开标日起计算）</w:t>
            </w:r>
          </w:p>
        </w:tc>
      </w:tr>
      <w:tr w14:paraId="5FAC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27A1081A">
            <w:pPr>
              <w:widowControl/>
              <w:spacing w:line="360" w:lineRule="auto"/>
              <w:jc w:val="center"/>
              <w:rPr>
                <w:rFonts w:ascii="仿宋" w:hAnsi="仿宋" w:eastAsia="仿宋" w:cs="仿宋"/>
                <w:bCs/>
                <w:sz w:val="24"/>
              </w:rPr>
            </w:pPr>
            <w:r>
              <w:rPr>
                <w:rFonts w:hint="eastAsia" w:ascii="仿宋" w:hAnsi="仿宋" w:eastAsia="仿宋" w:cs="仿宋"/>
                <w:bCs/>
                <w:sz w:val="24"/>
              </w:rPr>
              <w:t>11</w:t>
            </w:r>
          </w:p>
        </w:tc>
        <w:tc>
          <w:tcPr>
            <w:tcW w:w="2635" w:type="dxa"/>
            <w:vAlign w:val="center"/>
          </w:tcPr>
          <w:p w14:paraId="48DA1E31">
            <w:pPr>
              <w:widowControl/>
              <w:spacing w:line="360" w:lineRule="auto"/>
              <w:jc w:val="center"/>
              <w:rPr>
                <w:rFonts w:ascii="仿宋" w:hAnsi="仿宋" w:eastAsia="仿宋" w:cs="仿宋"/>
                <w:bCs/>
                <w:sz w:val="24"/>
              </w:rPr>
            </w:pPr>
            <w:r>
              <w:rPr>
                <w:rFonts w:hint="eastAsia" w:ascii="仿宋" w:hAnsi="仿宋" w:eastAsia="仿宋" w:cs="仿宋"/>
                <w:bCs/>
                <w:sz w:val="24"/>
              </w:rPr>
              <w:t>联合体投标</w:t>
            </w:r>
          </w:p>
        </w:tc>
        <w:tc>
          <w:tcPr>
            <w:tcW w:w="6619" w:type="dxa"/>
            <w:vAlign w:val="center"/>
          </w:tcPr>
          <w:p w14:paraId="1FD9EDB4">
            <w:pPr>
              <w:widowControl/>
              <w:spacing w:line="360" w:lineRule="auto"/>
              <w:rPr>
                <w:rFonts w:ascii="仿宋" w:hAnsi="仿宋" w:eastAsia="仿宋" w:cs="仿宋"/>
                <w:bCs/>
                <w:sz w:val="24"/>
              </w:rPr>
            </w:pPr>
            <w:r>
              <w:rPr>
                <w:rFonts w:hint="eastAsia" w:ascii="仿宋" w:hAnsi="仿宋" w:eastAsia="仿宋" w:cs="仿宋"/>
                <w:bCs/>
                <w:sz w:val="24"/>
              </w:rPr>
              <w:t>不接受</w:t>
            </w:r>
          </w:p>
        </w:tc>
      </w:tr>
      <w:tr w14:paraId="10D0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30491E9E">
            <w:pPr>
              <w:widowControl/>
              <w:spacing w:line="360" w:lineRule="auto"/>
              <w:jc w:val="center"/>
              <w:rPr>
                <w:rFonts w:ascii="仿宋" w:hAnsi="仿宋" w:eastAsia="仿宋" w:cs="仿宋"/>
                <w:bCs/>
                <w:sz w:val="24"/>
              </w:rPr>
            </w:pPr>
            <w:r>
              <w:rPr>
                <w:rFonts w:hint="eastAsia" w:ascii="仿宋" w:hAnsi="仿宋" w:eastAsia="仿宋" w:cs="仿宋"/>
                <w:bCs/>
                <w:sz w:val="24"/>
              </w:rPr>
              <w:t>12</w:t>
            </w:r>
          </w:p>
        </w:tc>
        <w:tc>
          <w:tcPr>
            <w:tcW w:w="2635" w:type="dxa"/>
            <w:vAlign w:val="center"/>
          </w:tcPr>
          <w:p w14:paraId="510F14C3">
            <w:pPr>
              <w:widowControl/>
              <w:spacing w:line="360" w:lineRule="auto"/>
              <w:jc w:val="center"/>
              <w:rPr>
                <w:rFonts w:ascii="仿宋" w:hAnsi="仿宋" w:eastAsia="仿宋" w:cs="仿宋"/>
                <w:bCs/>
                <w:sz w:val="24"/>
              </w:rPr>
            </w:pPr>
            <w:r>
              <w:rPr>
                <w:rFonts w:hint="eastAsia" w:ascii="仿宋" w:hAnsi="仿宋" w:eastAsia="仿宋" w:cs="仿宋"/>
                <w:bCs/>
                <w:color w:val="000000"/>
                <w:sz w:val="24"/>
              </w:rPr>
              <w:t>磋商</w:t>
            </w:r>
            <w:r>
              <w:rPr>
                <w:rFonts w:hint="eastAsia" w:ascii="仿宋" w:hAnsi="仿宋" w:eastAsia="仿宋" w:cs="仿宋"/>
                <w:bCs/>
                <w:sz w:val="24"/>
              </w:rPr>
              <w:t>保证金</w:t>
            </w:r>
          </w:p>
        </w:tc>
        <w:tc>
          <w:tcPr>
            <w:tcW w:w="6619" w:type="dxa"/>
            <w:vAlign w:val="center"/>
          </w:tcPr>
          <w:p w14:paraId="435B9EBE">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本项目需要提交</w:t>
            </w:r>
            <w:r>
              <w:rPr>
                <w:rFonts w:hint="eastAsia" w:ascii="仿宋" w:hAnsi="仿宋" w:eastAsia="仿宋" w:cs="仿宋"/>
                <w:kern w:val="0"/>
                <w:sz w:val="24"/>
                <w:lang w:val="en-US" w:eastAsia="zh-CN"/>
              </w:rPr>
              <w:t>磋商</w:t>
            </w:r>
            <w:r>
              <w:rPr>
                <w:rFonts w:hint="eastAsia" w:ascii="仿宋" w:hAnsi="仿宋" w:eastAsia="仿宋" w:cs="仿宋"/>
                <w:kern w:val="0"/>
                <w:sz w:val="24"/>
              </w:rPr>
              <w:t>保证金</w:t>
            </w:r>
          </w:p>
          <w:p w14:paraId="2594C1B5">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1.交纳方式：</w:t>
            </w:r>
            <w:r>
              <w:rPr>
                <w:rFonts w:hint="eastAsia" w:ascii="仿宋" w:hAnsi="仿宋" w:eastAsia="仿宋" w:cs="仿宋"/>
                <w:kern w:val="0"/>
                <w:sz w:val="24"/>
                <w:lang w:val="en-US" w:eastAsia="zh-CN"/>
              </w:rPr>
              <w:t>通过本单位基本银行帐户电汇、银行保函、电子保函、支票、汇票、本票或金融机构、担保机构出具的保函等非现金形式提交</w:t>
            </w:r>
            <w:r>
              <w:rPr>
                <w:rFonts w:hint="eastAsia" w:ascii="仿宋" w:hAnsi="仿宋" w:eastAsia="仿宋" w:cs="仿宋"/>
                <w:kern w:val="0"/>
                <w:sz w:val="24"/>
              </w:rPr>
              <w:t>；</w:t>
            </w:r>
          </w:p>
          <w:p w14:paraId="6E2DC74E">
            <w:pPr>
              <w:widowControl/>
              <w:shd w:val="clear"/>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2.截止时间： </w:t>
            </w:r>
            <w:r>
              <w:rPr>
                <w:rFonts w:hint="eastAsia" w:ascii="仿宋" w:hAnsi="仿宋" w:eastAsia="仿宋" w:cs="仿宋"/>
                <w:kern w:val="0"/>
                <w:sz w:val="24"/>
                <w:lang w:eastAsia="zh-CN"/>
              </w:rPr>
              <w:t>2025年</w:t>
            </w:r>
            <w:r>
              <w:rPr>
                <w:rFonts w:hint="eastAsia" w:ascii="仿宋" w:hAnsi="仿宋" w:eastAsia="仿宋" w:cs="仿宋"/>
                <w:kern w:val="0"/>
                <w:sz w:val="24"/>
                <w:lang w:val="en-US" w:eastAsia="zh-CN"/>
              </w:rPr>
              <w:t>11</w:t>
            </w:r>
            <w:r>
              <w:rPr>
                <w:rFonts w:hint="eastAsia" w:ascii="仿宋" w:hAnsi="仿宋" w:eastAsia="仿宋" w:cs="仿宋"/>
                <w:kern w:val="0"/>
                <w:sz w:val="24"/>
              </w:rPr>
              <w:t>月</w:t>
            </w:r>
            <w:r>
              <w:rPr>
                <w:rFonts w:hint="eastAsia" w:ascii="仿宋" w:hAnsi="仿宋" w:eastAsia="仿宋" w:cs="仿宋"/>
                <w:kern w:val="0"/>
                <w:sz w:val="24"/>
                <w:lang w:val="en-US" w:eastAsia="zh-CN"/>
              </w:rPr>
              <w:t>17</w:t>
            </w:r>
            <w:r>
              <w:rPr>
                <w:rFonts w:hint="eastAsia" w:ascii="仿宋" w:hAnsi="仿宋" w:eastAsia="仿宋" w:cs="仿宋"/>
                <w:kern w:val="0"/>
                <w:sz w:val="24"/>
              </w:rPr>
              <w:t>日</w:t>
            </w:r>
            <w:r>
              <w:rPr>
                <w:rFonts w:hint="eastAsia" w:ascii="仿宋" w:hAnsi="仿宋" w:eastAsia="仿宋" w:cs="仿宋"/>
                <w:kern w:val="0"/>
                <w:sz w:val="24"/>
                <w:lang w:val="en-US" w:eastAsia="zh-CN"/>
              </w:rPr>
              <w:t>08</w:t>
            </w:r>
            <w:r>
              <w:rPr>
                <w:rFonts w:hint="eastAsia" w:ascii="仿宋" w:hAnsi="仿宋" w:eastAsia="仿宋" w:cs="仿宋"/>
                <w:kern w:val="0"/>
                <w:sz w:val="24"/>
              </w:rPr>
              <w:t>点</w:t>
            </w:r>
            <w:r>
              <w:rPr>
                <w:rFonts w:hint="eastAsia" w:ascii="仿宋" w:hAnsi="仿宋" w:eastAsia="仿宋" w:cs="仿宋"/>
                <w:kern w:val="0"/>
                <w:sz w:val="24"/>
                <w:lang w:val="en-US" w:eastAsia="zh-CN"/>
              </w:rPr>
              <w:t>30</w:t>
            </w:r>
            <w:r>
              <w:rPr>
                <w:rFonts w:hint="eastAsia" w:ascii="仿宋" w:hAnsi="仿宋" w:eastAsia="仿宋" w:cs="仿宋"/>
                <w:kern w:val="0"/>
                <w:sz w:val="24"/>
              </w:rPr>
              <w:t>分止（以实际到账时间为准）。</w:t>
            </w:r>
          </w:p>
          <w:p w14:paraId="092523B0">
            <w:pPr>
              <w:widowControl/>
              <w:shd w:val="clear"/>
              <w:spacing w:line="360" w:lineRule="auto"/>
              <w:jc w:val="left"/>
              <w:rPr>
                <w:rFonts w:hint="eastAsia" w:ascii="仿宋" w:hAnsi="仿宋" w:eastAsia="仿宋" w:cs="仿宋"/>
                <w:kern w:val="0"/>
                <w:sz w:val="24"/>
              </w:rPr>
            </w:pPr>
            <w:r>
              <w:rPr>
                <w:rFonts w:hint="eastAsia" w:ascii="仿宋" w:hAnsi="仿宋" w:eastAsia="仿宋" w:cs="仿宋"/>
                <w:kern w:val="0"/>
                <w:sz w:val="24"/>
              </w:rPr>
              <w:t>3.投标保证金为人民币</w:t>
            </w:r>
            <w:r>
              <w:rPr>
                <w:rFonts w:hint="eastAsia" w:ascii="仿宋" w:hAnsi="仿宋" w:eastAsia="仿宋" w:cs="仿宋"/>
                <w:kern w:val="0"/>
                <w:sz w:val="24"/>
                <w:lang w:val="en-US" w:eastAsia="zh-CN"/>
              </w:rPr>
              <w:t>贰万元整。</w:t>
            </w:r>
            <w:r>
              <w:rPr>
                <w:rFonts w:hint="eastAsia" w:ascii="仿宋" w:hAnsi="仿宋" w:eastAsia="仿宋" w:cs="仿宋"/>
                <w:kern w:val="0"/>
                <w:sz w:val="24"/>
              </w:rPr>
              <w:t>交纳投标保证金时请在备注栏中注明项目</w:t>
            </w:r>
            <w:r>
              <w:rPr>
                <w:rFonts w:hint="eastAsia" w:ascii="仿宋" w:hAnsi="仿宋" w:eastAsia="仿宋" w:cs="仿宋"/>
                <w:kern w:val="0"/>
                <w:sz w:val="24"/>
                <w:lang w:val="en-US" w:eastAsia="zh-CN"/>
              </w:rPr>
              <w:t>编号</w:t>
            </w:r>
            <w:r>
              <w:rPr>
                <w:rFonts w:hint="eastAsia" w:ascii="仿宋" w:hAnsi="仿宋" w:eastAsia="仿宋" w:cs="仿宋"/>
                <w:kern w:val="0"/>
                <w:sz w:val="24"/>
              </w:rPr>
              <w:t xml:space="preserve">。                       </w:t>
            </w:r>
          </w:p>
          <w:p w14:paraId="5FED3E44">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4.账户信息：</w:t>
            </w:r>
          </w:p>
          <w:p w14:paraId="04F672B3">
            <w:pPr>
              <w:widowControl/>
              <w:spacing w:line="360" w:lineRule="auto"/>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开户名：山西冠标项目管理有限公司</w:t>
            </w:r>
          </w:p>
          <w:p w14:paraId="540B988E">
            <w:pPr>
              <w:widowControl/>
              <w:spacing w:line="360" w:lineRule="auto"/>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开户行：中国农业银行股份有限公司运城分行</w:t>
            </w:r>
          </w:p>
          <w:p w14:paraId="466F04FC">
            <w:pPr>
              <w:widowControl/>
              <w:spacing w:line="360" w:lineRule="auto"/>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 xml:space="preserve">账号：04500201040024613 </w:t>
            </w:r>
          </w:p>
          <w:p w14:paraId="6AFE0F28">
            <w:pPr>
              <w:widowControl/>
              <w:spacing w:line="360" w:lineRule="auto"/>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行号：103181050007</w:t>
            </w:r>
          </w:p>
          <w:p w14:paraId="4840655D">
            <w:pPr>
              <w:widowControl/>
              <w:spacing w:line="360" w:lineRule="auto"/>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5.采用银行汇款和支票，应当明确收款账号，响应文件中需附汇票存根或银行转账通知扫描件及其基本账户转出的证明。</w:t>
            </w:r>
          </w:p>
          <w:p w14:paraId="6E4779A3">
            <w:pPr>
              <w:widowControl/>
              <w:spacing w:line="360" w:lineRule="auto"/>
              <w:jc w:val="left"/>
              <w:rPr>
                <w:rFonts w:hint="eastAsia" w:ascii="仿宋" w:hAnsi="仿宋" w:eastAsia="仿宋" w:cs="仿宋"/>
                <w:kern w:val="0"/>
                <w:sz w:val="24"/>
                <w:lang w:eastAsia="zh-CN"/>
              </w:rPr>
            </w:pPr>
            <w:r>
              <w:rPr>
                <w:rFonts w:hint="eastAsia" w:ascii="仿宋" w:hAnsi="仿宋" w:eastAsia="仿宋" w:cs="仿宋"/>
                <w:kern w:val="0"/>
                <w:sz w:val="24"/>
                <w:lang w:eastAsia="zh-CN"/>
              </w:rPr>
              <w:t>采用非电汇形式缴纳的，</w:t>
            </w:r>
            <w:r>
              <w:rPr>
                <w:rFonts w:hint="eastAsia" w:ascii="仿宋" w:hAnsi="仿宋" w:eastAsia="仿宋" w:cs="仿宋"/>
                <w:kern w:val="0"/>
                <w:sz w:val="24"/>
                <w:lang w:val="en-US" w:eastAsia="zh-CN"/>
              </w:rPr>
              <w:t>应提供</w:t>
            </w:r>
            <w:r>
              <w:rPr>
                <w:rFonts w:hint="eastAsia" w:ascii="仿宋" w:hAnsi="仿宋" w:eastAsia="仿宋" w:cs="仿宋"/>
                <w:kern w:val="0"/>
                <w:sz w:val="24"/>
                <w:lang w:eastAsia="zh-CN"/>
              </w:rPr>
              <w:t>银行保函、汇票、本票或金融机构、担保机构出具的保函原件扫描件。</w:t>
            </w:r>
          </w:p>
          <w:p w14:paraId="7C712A28">
            <w:pPr>
              <w:widowControl/>
              <w:spacing w:line="360" w:lineRule="auto"/>
              <w:jc w:val="left"/>
              <w:rPr>
                <w:rFonts w:ascii="仿宋" w:hAnsi="仿宋" w:eastAsia="仿宋" w:cs="仿宋"/>
                <w:bCs/>
                <w:sz w:val="24"/>
              </w:rPr>
            </w:pPr>
            <w:r>
              <w:rPr>
                <w:rFonts w:hint="eastAsia" w:ascii="仿宋" w:hAnsi="仿宋" w:eastAsia="仿宋" w:cs="仿宋"/>
                <w:kern w:val="0"/>
                <w:sz w:val="24"/>
                <w:lang w:val="en-US" w:eastAsia="zh-CN"/>
              </w:rPr>
              <w:t>6.</w:t>
            </w:r>
            <w:r>
              <w:rPr>
                <w:rFonts w:hint="eastAsia" w:ascii="仿宋" w:hAnsi="仿宋" w:eastAsia="仿宋" w:cs="仿宋"/>
                <w:kern w:val="0"/>
                <w:sz w:val="24"/>
                <w:lang w:eastAsia="zh-CN"/>
              </w:rPr>
              <w:t>退还方式</w:t>
            </w:r>
            <w:r>
              <w:rPr>
                <w:rFonts w:hint="eastAsia" w:ascii="仿宋" w:hAnsi="仿宋" w:eastAsia="仿宋" w:cs="仿宋"/>
                <w:kern w:val="0"/>
                <w:sz w:val="24"/>
                <w:lang w:val="en-US" w:eastAsia="zh-CN"/>
              </w:rPr>
              <w:t>及时间</w:t>
            </w:r>
            <w:r>
              <w:rPr>
                <w:rFonts w:hint="eastAsia" w:ascii="仿宋" w:hAnsi="仿宋" w:eastAsia="仿宋" w:cs="仿宋"/>
                <w:kern w:val="0"/>
                <w:sz w:val="24"/>
                <w:lang w:eastAsia="zh-CN"/>
              </w:rPr>
              <w:t>：按递交方式退还，中标通知书发出之日起5个工作日内退还未中标</w:t>
            </w:r>
            <w:r>
              <w:rPr>
                <w:rFonts w:hint="eastAsia" w:ascii="仿宋" w:hAnsi="仿宋" w:eastAsia="仿宋" w:cs="仿宋"/>
                <w:kern w:val="0"/>
                <w:sz w:val="24"/>
                <w:lang w:val="en-US" w:eastAsia="zh-CN"/>
              </w:rPr>
              <w:t>投标人</w:t>
            </w:r>
            <w:r>
              <w:rPr>
                <w:rFonts w:hint="eastAsia" w:ascii="仿宋" w:hAnsi="仿宋" w:eastAsia="仿宋" w:cs="仿宋"/>
                <w:kern w:val="0"/>
                <w:sz w:val="24"/>
                <w:lang w:eastAsia="zh-CN"/>
              </w:rPr>
              <w:t>的投标保证金，自合同签订之日起5个工作日内退还中标</w:t>
            </w:r>
            <w:r>
              <w:rPr>
                <w:rFonts w:hint="eastAsia" w:ascii="仿宋" w:hAnsi="仿宋" w:eastAsia="仿宋" w:cs="仿宋"/>
                <w:kern w:val="0"/>
                <w:sz w:val="24"/>
                <w:lang w:val="en-US" w:eastAsia="zh-CN"/>
              </w:rPr>
              <w:t>人</w:t>
            </w:r>
            <w:r>
              <w:rPr>
                <w:rFonts w:hint="eastAsia" w:ascii="仿宋" w:hAnsi="仿宋" w:eastAsia="仿宋" w:cs="仿宋"/>
                <w:kern w:val="0"/>
                <w:sz w:val="24"/>
                <w:lang w:eastAsia="zh-CN"/>
              </w:rPr>
              <w:t>的投标保证金</w:t>
            </w:r>
            <w:r>
              <w:rPr>
                <w:rFonts w:hint="eastAsia" w:ascii="仿宋" w:hAnsi="仿宋" w:eastAsia="仿宋" w:cs="仿宋"/>
                <w:kern w:val="0"/>
                <w:sz w:val="24"/>
              </w:rPr>
              <w:t>。</w:t>
            </w:r>
          </w:p>
        </w:tc>
      </w:tr>
      <w:tr w14:paraId="32F4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78CC1851">
            <w:pPr>
              <w:widowControl/>
              <w:spacing w:line="360" w:lineRule="auto"/>
              <w:jc w:val="center"/>
              <w:rPr>
                <w:rFonts w:ascii="仿宋" w:hAnsi="仿宋" w:eastAsia="仿宋" w:cs="仿宋"/>
                <w:bCs/>
                <w:sz w:val="24"/>
              </w:rPr>
            </w:pPr>
            <w:r>
              <w:rPr>
                <w:rFonts w:hint="eastAsia" w:ascii="仿宋" w:hAnsi="仿宋" w:eastAsia="仿宋" w:cs="仿宋"/>
                <w:bCs/>
                <w:sz w:val="24"/>
              </w:rPr>
              <w:t>13</w:t>
            </w:r>
          </w:p>
        </w:tc>
        <w:tc>
          <w:tcPr>
            <w:tcW w:w="2635" w:type="dxa"/>
            <w:vAlign w:val="center"/>
          </w:tcPr>
          <w:p w14:paraId="5E1D9D64">
            <w:pPr>
              <w:widowControl/>
              <w:spacing w:line="360" w:lineRule="auto"/>
              <w:jc w:val="center"/>
              <w:rPr>
                <w:rFonts w:ascii="仿宋" w:hAnsi="仿宋" w:eastAsia="仿宋" w:cs="仿宋"/>
                <w:bCs/>
                <w:sz w:val="24"/>
              </w:rPr>
            </w:pPr>
            <w:r>
              <w:rPr>
                <w:rFonts w:hint="eastAsia" w:ascii="仿宋" w:hAnsi="仿宋" w:eastAsia="仿宋" w:cs="仿宋"/>
                <w:bCs/>
                <w:sz w:val="24"/>
              </w:rPr>
              <w:t>响应文件份数</w:t>
            </w:r>
          </w:p>
        </w:tc>
        <w:tc>
          <w:tcPr>
            <w:tcW w:w="6619" w:type="dxa"/>
            <w:vAlign w:val="center"/>
          </w:tcPr>
          <w:p w14:paraId="0C042E54">
            <w:pPr>
              <w:widowControl/>
              <w:shd w:val="clea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电子响应文件壹份（在线加密递交），</w:t>
            </w:r>
            <w:r>
              <w:rPr>
                <w:rFonts w:hint="eastAsia" w:ascii="仿宋" w:hAnsi="仿宋" w:eastAsia="仿宋" w:cs="仿宋"/>
                <w:sz w:val="24"/>
                <w:szCs w:val="24"/>
                <w:highlight w:val="none"/>
                <w:lang w:val="zh-CN" w:eastAsia="zh-CN"/>
              </w:rPr>
              <w:t>电子响应文件须使用系统提供的响应文件编制工具编制完成，磋商截止时间前</w:t>
            </w:r>
            <w:r>
              <w:rPr>
                <w:rFonts w:hint="eastAsia" w:ascii="仿宋" w:hAnsi="仿宋" w:eastAsia="仿宋" w:cs="仿宋"/>
                <w:sz w:val="24"/>
                <w:szCs w:val="24"/>
                <w:highlight w:val="none"/>
                <w:lang w:eastAsia="zh-CN"/>
              </w:rPr>
              <w:t>应通过山西省政府采购网-山西政府采购平台（https://login.sxzfcg.zcygov.cn/user-login/#/login）</w:t>
            </w:r>
            <w:r>
              <w:rPr>
                <w:rFonts w:hint="eastAsia" w:ascii="仿宋" w:hAnsi="仿宋" w:eastAsia="仿宋" w:cs="仿宋"/>
                <w:sz w:val="24"/>
                <w:szCs w:val="24"/>
                <w:highlight w:val="none"/>
                <w:lang w:val="zh-CN" w:eastAsia="zh-CN"/>
              </w:rPr>
              <w:t>上传经过CA签章的加密电子响应文件</w:t>
            </w:r>
            <w:r>
              <w:rPr>
                <w:rFonts w:hint="eastAsia" w:ascii="仿宋" w:hAnsi="仿宋" w:eastAsia="仿宋" w:cs="仿宋"/>
                <w:sz w:val="24"/>
                <w:szCs w:val="24"/>
                <w:highlight w:val="none"/>
                <w:lang w:eastAsia="zh-CN"/>
              </w:rPr>
              <w:t>。</w:t>
            </w:r>
          </w:p>
          <w:p w14:paraId="71254071">
            <w:pPr>
              <w:widowControl/>
              <w:shd w:val="clear"/>
              <w:spacing w:line="360" w:lineRule="auto"/>
              <w:rPr>
                <w:rFonts w:hint="eastAsia" w:ascii="仿宋" w:hAnsi="仿宋" w:eastAsia="仿宋" w:cs="仿宋"/>
                <w:bCs/>
                <w:color w:val="000000"/>
                <w:sz w:val="24"/>
                <w:highlight w:val="none"/>
                <w:lang w:val="en-US" w:eastAsia="zh-CN"/>
              </w:rPr>
            </w:pPr>
            <w:r>
              <w:rPr>
                <w:rFonts w:hint="eastAsia" w:ascii="仿宋" w:hAnsi="仿宋" w:eastAsia="仿宋" w:cs="仿宋"/>
                <w:bCs/>
                <w:color w:val="000000"/>
                <w:sz w:val="24"/>
                <w:highlight w:val="none"/>
                <w:lang w:val="en-US" w:eastAsia="zh-CN"/>
              </w:rPr>
              <w:t>2、供应商除在山西政采云投标客户端上传电子响应文件外，还须在开标后3个工作日内邮寄（或送达）递交纸质版（三份）和电子版响应文件（1份）到招标代理机构用于存档。</w:t>
            </w:r>
          </w:p>
          <w:p w14:paraId="2A3128B1">
            <w:pPr>
              <w:widowControl/>
              <w:shd w:val="clear"/>
              <w:spacing w:line="360" w:lineRule="auto"/>
              <w:rPr>
                <w:rFonts w:hint="default" w:ascii="仿宋" w:hAnsi="仿宋" w:eastAsia="仿宋" w:cs="仿宋"/>
                <w:bCs/>
                <w:color w:val="000000"/>
                <w:sz w:val="24"/>
                <w:highlight w:val="none"/>
                <w:lang w:val="en-US" w:eastAsia="zh-CN"/>
              </w:rPr>
            </w:pPr>
            <w:r>
              <w:rPr>
                <w:rFonts w:hint="eastAsia" w:ascii="仿宋" w:hAnsi="仿宋" w:eastAsia="仿宋" w:cs="仿宋"/>
                <w:bCs/>
                <w:color w:val="000000"/>
                <w:sz w:val="24"/>
                <w:highlight w:val="none"/>
                <w:lang w:val="en-US" w:eastAsia="zh-CN"/>
              </w:rPr>
              <w:t>邮寄地址：</w:t>
            </w:r>
            <w:r>
              <w:rPr>
                <w:rFonts w:hint="eastAsia" w:ascii="仿宋" w:hAnsi="仿宋" w:eastAsia="仿宋" w:cs="仿宋"/>
                <w:sz w:val="24"/>
                <w:szCs w:val="24"/>
                <w:highlight w:val="none"/>
                <w:lang w:eastAsia="zh-CN"/>
              </w:rPr>
              <w:t>山西省运城市运城经济技术开发区空港南区</w:t>
            </w:r>
            <w:r>
              <w:rPr>
                <w:rFonts w:hint="eastAsia" w:ascii="仿宋" w:hAnsi="仿宋" w:eastAsia="仿宋" w:cs="仿宋"/>
                <w:sz w:val="24"/>
                <w:szCs w:val="24"/>
                <w:highlight w:val="none"/>
                <w:lang w:val="en-US" w:eastAsia="zh-CN"/>
              </w:rPr>
              <w:t>康杰南路33号</w:t>
            </w:r>
          </w:p>
          <w:p w14:paraId="4E2ADB21">
            <w:pPr>
              <w:widowControl/>
              <w:shd w:val="clear"/>
              <w:spacing w:line="360" w:lineRule="auto"/>
            </w:pPr>
            <w:r>
              <w:rPr>
                <w:rFonts w:hint="eastAsia" w:ascii="仿宋" w:hAnsi="仿宋" w:eastAsia="仿宋" w:cs="仿宋"/>
                <w:bCs/>
                <w:color w:val="000000"/>
                <w:sz w:val="24"/>
                <w:highlight w:val="none"/>
                <w:lang w:val="en-US" w:eastAsia="zh-CN"/>
              </w:rPr>
              <w:t>联 系 人：杨女士   联系电话：</w:t>
            </w:r>
            <w:r>
              <w:rPr>
                <w:rFonts w:hint="eastAsia" w:ascii="仿宋" w:hAnsi="仿宋" w:eastAsia="仿宋" w:cs="仿宋"/>
                <w:sz w:val="24"/>
                <w:lang w:val="en-US" w:eastAsia="zh-CN"/>
              </w:rPr>
              <w:t>13133191954</w:t>
            </w:r>
          </w:p>
        </w:tc>
      </w:tr>
      <w:tr w14:paraId="082F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1BDC6782">
            <w:pPr>
              <w:widowControl/>
              <w:spacing w:line="360" w:lineRule="auto"/>
              <w:jc w:val="center"/>
              <w:rPr>
                <w:rFonts w:ascii="仿宋" w:hAnsi="仿宋" w:eastAsia="仿宋" w:cs="仿宋"/>
                <w:bCs/>
                <w:sz w:val="24"/>
              </w:rPr>
            </w:pPr>
            <w:r>
              <w:rPr>
                <w:rFonts w:hint="eastAsia" w:ascii="仿宋" w:hAnsi="仿宋" w:eastAsia="仿宋" w:cs="仿宋"/>
                <w:bCs/>
                <w:sz w:val="24"/>
              </w:rPr>
              <w:t>14</w:t>
            </w:r>
          </w:p>
        </w:tc>
        <w:tc>
          <w:tcPr>
            <w:tcW w:w="2635" w:type="dxa"/>
            <w:vAlign w:val="center"/>
          </w:tcPr>
          <w:p w14:paraId="3C399F8F">
            <w:pPr>
              <w:widowControl/>
              <w:spacing w:line="360" w:lineRule="auto"/>
              <w:jc w:val="center"/>
              <w:rPr>
                <w:rFonts w:ascii="仿宋" w:hAnsi="仿宋" w:eastAsia="仿宋" w:cs="仿宋"/>
                <w:bCs/>
                <w:sz w:val="24"/>
              </w:rPr>
            </w:pPr>
            <w:r>
              <w:rPr>
                <w:rFonts w:hint="eastAsia" w:ascii="仿宋" w:hAnsi="仿宋" w:eastAsia="仿宋" w:cs="仿宋"/>
                <w:bCs/>
                <w:sz w:val="24"/>
              </w:rPr>
              <w:t>响应文件递交时间</w:t>
            </w:r>
          </w:p>
        </w:tc>
        <w:tc>
          <w:tcPr>
            <w:tcW w:w="6619" w:type="dxa"/>
            <w:shd w:val="clear" w:color="auto" w:fill="auto"/>
            <w:vAlign w:val="center"/>
          </w:tcPr>
          <w:p w14:paraId="32E31648">
            <w:pPr>
              <w:widowControl/>
              <w:spacing w:line="360" w:lineRule="auto"/>
              <w:rPr>
                <w:rFonts w:ascii="仿宋" w:hAnsi="仿宋" w:eastAsia="仿宋" w:cs="仿宋"/>
                <w:bCs/>
                <w:sz w:val="24"/>
              </w:rPr>
            </w:pPr>
            <w:r>
              <w:rPr>
                <w:rFonts w:hint="eastAsia" w:ascii="仿宋" w:hAnsi="仿宋" w:eastAsia="仿宋" w:cs="仿宋"/>
                <w:bCs/>
                <w:sz w:val="24"/>
              </w:rPr>
              <w:t>递交截止时间：</w:t>
            </w:r>
            <w:r>
              <w:rPr>
                <w:rFonts w:hint="eastAsia" w:ascii="仿宋" w:hAnsi="仿宋" w:eastAsia="仿宋" w:cs="仿宋"/>
                <w:bCs/>
                <w:sz w:val="24"/>
                <w:lang w:eastAsia="zh-CN"/>
              </w:rPr>
              <w:t>2025</w:t>
            </w:r>
            <w:r>
              <w:rPr>
                <w:rFonts w:hint="eastAsia" w:ascii="仿宋" w:hAnsi="仿宋" w:eastAsia="仿宋" w:cs="仿宋"/>
                <w:bCs/>
                <w:sz w:val="24"/>
              </w:rPr>
              <w:t>年</w:t>
            </w:r>
            <w:r>
              <w:rPr>
                <w:rFonts w:hint="eastAsia" w:ascii="仿宋" w:hAnsi="仿宋" w:eastAsia="仿宋" w:cs="仿宋"/>
                <w:bCs/>
                <w:sz w:val="24"/>
                <w:lang w:val="en-US" w:eastAsia="zh-CN"/>
              </w:rPr>
              <w:t>11</w:t>
            </w:r>
            <w:r>
              <w:rPr>
                <w:rFonts w:hint="eastAsia" w:ascii="仿宋" w:hAnsi="仿宋" w:eastAsia="仿宋" w:cs="仿宋"/>
                <w:bCs/>
                <w:sz w:val="24"/>
              </w:rPr>
              <w:t>月</w:t>
            </w:r>
            <w:r>
              <w:rPr>
                <w:rFonts w:hint="eastAsia" w:ascii="仿宋" w:hAnsi="仿宋" w:eastAsia="仿宋" w:cs="仿宋"/>
                <w:bCs/>
                <w:sz w:val="24"/>
                <w:lang w:val="en-US" w:eastAsia="zh-CN"/>
              </w:rPr>
              <w:t>17</w:t>
            </w:r>
            <w:r>
              <w:rPr>
                <w:rFonts w:hint="eastAsia" w:ascii="仿宋" w:hAnsi="仿宋" w:eastAsia="仿宋" w:cs="仿宋"/>
                <w:bCs/>
                <w:sz w:val="24"/>
              </w:rPr>
              <w:t>日08时30分(北京时间)</w:t>
            </w:r>
          </w:p>
        </w:tc>
      </w:tr>
      <w:tr w14:paraId="31DD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655" w:type="dxa"/>
            <w:vAlign w:val="center"/>
          </w:tcPr>
          <w:p w14:paraId="02A44062">
            <w:pPr>
              <w:widowControl/>
              <w:spacing w:line="360" w:lineRule="auto"/>
              <w:jc w:val="center"/>
              <w:rPr>
                <w:rFonts w:ascii="仿宋" w:hAnsi="仿宋" w:eastAsia="仿宋" w:cs="仿宋"/>
                <w:bCs/>
                <w:sz w:val="24"/>
              </w:rPr>
            </w:pPr>
            <w:r>
              <w:rPr>
                <w:rFonts w:hint="eastAsia" w:ascii="仿宋" w:hAnsi="仿宋" w:eastAsia="仿宋" w:cs="仿宋"/>
                <w:bCs/>
                <w:sz w:val="24"/>
              </w:rPr>
              <w:t>15</w:t>
            </w:r>
          </w:p>
        </w:tc>
        <w:tc>
          <w:tcPr>
            <w:tcW w:w="2635" w:type="dxa"/>
            <w:vAlign w:val="center"/>
          </w:tcPr>
          <w:p w14:paraId="3FB3A511">
            <w:pPr>
              <w:widowControl/>
              <w:spacing w:line="360" w:lineRule="auto"/>
              <w:jc w:val="center"/>
              <w:rPr>
                <w:rFonts w:ascii="仿宋" w:hAnsi="仿宋" w:eastAsia="仿宋" w:cs="仿宋"/>
                <w:bCs/>
                <w:sz w:val="24"/>
              </w:rPr>
            </w:pPr>
            <w:r>
              <w:rPr>
                <w:rFonts w:hint="eastAsia" w:ascii="仿宋" w:hAnsi="仿宋" w:eastAsia="仿宋" w:cs="仿宋"/>
                <w:bCs/>
                <w:sz w:val="24"/>
              </w:rPr>
              <w:t>开标时间及地点</w:t>
            </w:r>
          </w:p>
        </w:tc>
        <w:tc>
          <w:tcPr>
            <w:tcW w:w="6619" w:type="dxa"/>
            <w:shd w:val="clear" w:color="auto" w:fill="auto"/>
            <w:vAlign w:val="center"/>
          </w:tcPr>
          <w:p w14:paraId="14FEF7F7">
            <w:pPr>
              <w:widowControl/>
              <w:spacing w:line="360" w:lineRule="auto"/>
              <w:rPr>
                <w:rFonts w:ascii="仿宋" w:hAnsi="仿宋" w:eastAsia="仿宋" w:cs="仿宋"/>
                <w:bCs/>
                <w:sz w:val="24"/>
              </w:rPr>
            </w:pPr>
            <w:r>
              <w:rPr>
                <w:rFonts w:hint="eastAsia" w:ascii="仿宋" w:hAnsi="仿宋" w:eastAsia="仿宋" w:cs="仿宋"/>
                <w:bCs/>
                <w:sz w:val="24"/>
              </w:rPr>
              <w:t>时间：</w:t>
            </w:r>
            <w:r>
              <w:rPr>
                <w:rFonts w:hint="eastAsia" w:ascii="仿宋" w:hAnsi="仿宋" w:eastAsia="仿宋" w:cs="仿宋"/>
                <w:kern w:val="0"/>
                <w:sz w:val="24"/>
                <w:lang w:eastAsia="zh-CN"/>
              </w:rPr>
              <w:t>2025</w:t>
            </w:r>
            <w:r>
              <w:rPr>
                <w:rFonts w:hint="eastAsia" w:ascii="仿宋" w:hAnsi="仿宋" w:eastAsia="仿宋" w:cs="仿宋"/>
                <w:kern w:val="0"/>
                <w:sz w:val="24"/>
                <w:lang w:val="en-US" w:eastAsia="zh-CN"/>
              </w:rPr>
              <w:t>年11</w:t>
            </w:r>
            <w:r>
              <w:rPr>
                <w:rFonts w:hint="eastAsia" w:ascii="仿宋" w:hAnsi="仿宋" w:eastAsia="仿宋" w:cs="仿宋"/>
                <w:kern w:val="0"/>
                <w:sz w:val="24"/>
              </w:rPr>
              <w:t>月</w:t>
            </w:r>
            <w:r>
              <w:rPr>
                <w:rFonts w:hint="eastAsia" w:ascii="仿宋" w:hAnsi="仿宋" w:eastAsia="仿宋" w:cs="仿宋"/>
                <w:kern w:val="0"/>
                <w:sz w:val="24"/>
                <w:lang w:val="en-US" w:eastAsia="zh-CN"/>
              </w:rPr>
              <w:t>17</w:t>
            </w:r>
            <w:r>
              <w:rPr>
                <w:rFonts w:hint="eastAsia" w:ascii="仿宋" w:hAnsi="仿宋" w:eastAsia="仿宋" w:cs="仿宋"/>
                <w:kern w:val="0"/>
                <w:sz w:val="24"/>
              </w:rPr>
              <w:t>日08时30 分(北京时间)</w:t>
            </w:r>
          </w:p>
          <w:p w14:paraId="0AFE0D38">
            <w:pPr>
              <w:widowControl/>
              <w:spacing w:line="360" w:lineRule="auto"/>
              <w:rPr>
                <w:rFonts w:ascii="仿宋" w:hAnsi="仿宋" w:eastAsia="仿宋" w:cs="仿宋"/>
                <w:bCs/>
                <w:sz w:val="24"/>
              </w:rPr>
            </w:pPr>
            <w:r>
              <w:rPr>
                <w:rFonts w:hint="eastAsia" w:ascii="仿宋" w:hAnsi="仿宋" w:eastAsia="仿宋" w:cs="仿宋"/>
                <w:bCs/>
                <w:sz w:val="24"/>
              </w:rPr>
              <w:t>地点：</w:t>
            </w:r>
            <w:r>
              <w:rPr>
                <w:rFonts w:hint="eastAsia" w:ascii="仿宋" w:hAnsi="仿宋" w:eastAsia="仿宋" w:cs="仿宋"/>
                <w:bCs/>
                <w:sz w:val="24"/>
                <w:highlight w:val="none"/>
                <w:lang w:eastAsia="zh-CN"/>
              </w:rPr>
              <w:t>山西省运城市运城经济技术开发区空港南区康杰南路33号</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柏园村牌楼往南300米路东</w:t>
            </w:r>
            <w:r>
              <w:rPr>
                <w:rFonts w:hint="eastAsia" w:ascii="仿宋" w:hAnsi="仿宋" w:eastAsia="仿宋" w:cs="仿宋"/>
                <w:sz w:val="24"/>
                <w:highlight w:val="none"/>
                <w:lang w:eastAsia="zh-CN"/>
              </w:rPr>
              <w:t>）</w:t>
            </w:r>
            <w:r>
              <w:rPr>
                <w:rFonts w:hint="eastAsia" w:ascii="仿宋" w:hAnsi="仿宋" w:eastAsia="仿宋" w:cs="仿宋"/>
                <w:bCs/>
                <w:sz w:val="24"/>
              </w:rPr>
              <w:t xml:space="preserve"> </w:t>
            </w:r>
          </w:p>
        </w:tc>
      </w:tr>
      <w:tr w14:paraId="3AFF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0BD5A86E">
            <w:pPr>
              <w:widowControl/>
              <w:spacing w:line="360" w:lineRule="auto"/>
              <w:jc w:val="center"/>
              <w:rPr>
                <w:rFonts w:ascii="仿宋" w:hAnsi="仿宋" w:eastAsia="仿宋" w:cs="仿宋"/>
                <w:bCs/>
                <w:sz w:val="24"/>
              </w:rPr>
            </w:pPr>
            <w:r>
              <w:rPr>
                <w:rFonts w:hint="eastAsia" w:ascii="仿宋" w:hAnsi="仿宋" w:eastAsia="仿宋" w:cs="仿宋"/>
                <w:bCs/>
                <w:sz w:val="24"/>
              </w:rPr>
              <w:t>16</w:t>
            </w:r>
          </w:p>
        </w:tc>
        <w:tc>
          <w:tcPr>
            <w:tcW w:w="2635" w:type="dxa"/>
            <w:vAlign w:val="center"/>
          </w:tcPr>
          <w:p w14:paraId="2F28B2AC">
            <w:pPr>
              <w:widowControl/>
              <w:spacing w:line="360" w:lineRule="auto"/>
              <w:jc w:val="center"/>
              <w:rPr>
                <w:rFonts w:ascii="仿宋" w:hAnsi="仿宋" w:eastAsia="仿宋" w:cs="仿宋"/>
                <w:bCs/>
                <w:sz w:val="24"/>
              </w:rPr>
            </w:pPr>
            <w:r>
              <w:rPr>
                <w:rFonts w:hint="eastAsia" w:ascii="仿宋" w:hAnsi="仿宋" w:eastAsia="仿宋" w:cs="仿宋"/>
                <w:bCs/>
                <w:sz w:val="24"/>
              </w:rPr>
              <w:t>采购方式</w:t>
            </w:r>
          </w:p>
        </w:tc>
        <w:tc>
          <w:tcPr>
            <w:tcW w:w="6619" w:type="dxa"/>
            <w:vAlign w:val="center"/>
          </w:tcPr>
          <w:p w14:paraId="7866766C">
            <w:pPr>
              <w:widowControl/>
              <w:spacing w:line="360" w:lineRule="auto"/>
              <w:rPr>
                <w:rFonts w:ascii="仿宋" w:hAnsi="仿宋" w:eastAsia="仿宋" w:cs="仿宋"/>
                <w:bCs/>
                <w:sz w:val="24"/>
              </w:rPr>
            </w:pPr>
            <w:r>
              <w:rPr>
                <w:rFonts w:hint="eastAsia" w:ascii="仿宋" w:hAnsi="仿宋" w:eastAsia="仿宋" w:cs="仿宋"/>
                <w:bCs/>
                <w:sz w:val="24"/>
              </w:rPr>
              <w:t>竞争性磋商</w:t>
            </w:r>
          </w:p>
        </w:tc>
      </w:tr>
      <w:tr w14:paraId="3C55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4BABD0AE">
            <w:pPr>
              <w:widowControl/>
              <w:spacing w:line="360" w:lineRule="auto"/>
              <w:jc w:val="center"/>
              <w:rPr>
                <w:rFonts w:ascii="仿宋" w:hAnsi="仿宋" w:eastAsia="仿宋" w:cs="仿宋"/>
                <w:bCs/>
                <w:sz w:val="24"/>
              </w:rPr>
            </w:pPr>
            <w:r>
              <w:rPr>
                <w:rFonts w:hint="eastAsia" w:ascii="仿宋" w:hAnsi="仿宋" w:eastAsia="仿宋" w:cs="仿宋"/>
                <w:bCs/>
                <w:sz w:val="24"/>
              </w:rPr>
              <w:t>17</w:t>
            </w:r>
          </w:p>
        </w:tc>
        <w:tc>
          <w:tcPr>
            <w:tcW w:w="2635" w:type="dxa"/>
            <w:vAlign w:val="center"/>
          </w:tcPr>
          <w:p w14:paraId="2C13EB33">
            <w:pPr>
              <w:widowControl/>
              <w:spacing w:line="360" w:lineRule="auto"/>
              <w:jc w:val="center"/>
              <w:rPr>
                <w:rFonts w:ascii="仿宋" w:hAnsi="仿宋" w:eastAsia="仿宋" w:cs="仿宋"/>
                <w:bCs/>
                <w:sz w:val="24"/>
              </w:rPr>
            </w:pPr>
            <w:r>
              <w:rPr>
                <w:rFonts w:hint="eastAsia" w:ascii="仿宋" w:hAnsi="仿宋" w:eastAsia="仿宋" w:cs="仿宋"/>
                <w:bCs/>
                <w:sz w:val="24"/>
              </w:rPr>
              <w:t>磋商过程中可能实质性</w:t>
            </w:r>
          </w:p>
          <w:p w14:paraId="2C9B883A">
            <w:pPr>
              <w:widowControl/>
              <w:spacing w:line="360" w:lineRule="auto"/>
              <w:jc w:val="center"/>
              <w:rPr>
                <w:rFonts w:ascii="仿宋" w:hAnsi="仿宋" w:eastAsia="仿宋" w:cs="仿宋"/>
                <w:bCs/>
                <w:sz w:val="24"/>
              </w:rPr>
            </w:pPr>
            <w:r>
              <w:rPr>
                <w:rFonts w:hint="eastAsia" w:ascii="仿宋" w:hAnsi="仿宋" w:eastAsia="仿宋" w:cs="仿宋"/>
                <w:bCs/>
                <w:sz w:val="24"/>
              </w:rPr>
              <w:t>变动内容</w:t>
            </w:r>
          </w:p>
        </w:tc>
        <w:tc>
          <w:tcPr>
            <w:tcW w:w="6619" w:type="dxa"/>
            <w:vAlign w:val="center"/>
          </w:tcPr>
          <w:p w14:paraId="1B83850D">
            <w:pPr>
              <w:widowControl/>
              <w:spacing w:line="360" w:lineRule="auto"/>
              <w:rPr>
                <w:rFonts w:ascii="仿宋" w:hAnsi="仿宋" w:eastAsia="仿宋" w:cs="仿宋"/>
                <w:bCs/>
                <w:sz w:val="24"/>
              </w:rPr>
            </w:pPr>
            <w:r>
              <w:rPr>
                <w:rFonts w:hint="eastAsia" w:ascii="仿宋" w:hAnsi="仿宋" w:eastAsia="仿宋" w:cs="仿宋"/>
                <w:bCs/>
                <w:sz w:val="24"/>
              </w:rPr>
              <w:t>磋商文件中第四部分和第五部分中的相关内容。</w:t>
            </w:r>
          </w:p>
        </w:tc>
      </w:tr>
      <w:tr w14:paraId="1066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1A3351F2">
            <w:pPr>
              <w:widowControl/>
              <w:spacing w:line="360" w:lineRule="auto"/>
              <w:jc w:val="center"/>
              <w:rPr>
                <w:rFonts w:ascii="仿宋" w:hAnsi="仿宋" w:eastAsia="仿宋" w:cs="仿宋"/>
                <w:bCs/>
                <w:sz w:val="24"/>
              </w:rPr>
            </w:pPr>
            <w:r>
              <w:rPr>
                <w:rFonts w:hint="eastAsia" w:ascii="仿宋" w:hAnsi="仿宋" w:eastAsia="仿宋" w:cs="仿宋"/>
                <w:bCs/>
                <w:sz w:val="24"/>
              </w:rPr>
              <w:t>18</w:t>
            </w:r>
          </w:p>
        </w:tc>
        <w:tc>
          <w:tcPr>
            <w:tcW w:w="2635" w:type="dxa"/>
            <w:vAlign w:val="center"/>
          </w:tcPr>
          <w:p w14:paraId="2BE9EEF8">
            <w:pPr>
              <w:widowControl/>
              <w:spacing w:line="360" w:lineRule="auto"/>
              <w:jc w:val="center"/>
              <w:rPr>
                <w:rFonts w:ascii="仿宋" w:hAnsi="仿宋" w:eastAsia="仿宋" w:cs="仿宋"/>
                <w:bCs/>
                <w:sz w:val="24"/>
              </w:rPr>
            </w:pPr>
            <w:r>
              <w:rPr>
                <w:rFonts w:hint="eastAsia" w:ascii="仿宋" w:hAnsi="仿宋" w:eastAsia="仿宋" w:cs="仿宋"/>
                <w:bCs/>
                <w:sz w:val="24"/>
              </w:rPr>
              <w:t>最高限价</w:t>
            </w:r>
          </w:p>
        </w:tc>
        <w:tc>
          <w:tcPr>
            <w:tcW w:w="6619" w:type="dxa"/>
            <w:vAlign w:val="center"/>
          </w:tcPr>
          <w:p w14:paraId="13235704">
            <w:pPr>
              <w:widowControl/>
              <w:spacing w:line="360" w:lineRule="auto"/>
              <w:rPr>
                <w:rFonts w:ascii="仿宋" w:hAnsi="仿宋" w:eastAsia="仿宋" w:cs="仿宋"/>
                <w:bCs/>
                <w:sz w:val="24"/>
              </w:rPr>
            </w:pPr>
            <w:r>
              <w:rPr>
                <w:rFonts w:hint="eastAsia" w:ascii="仿宋" w:hAnsi="仿宋" w:eastAsia="仿宋" w:cs="仿宋"/>
                <w:bCs/>
                <w:sz w:val="24"/>
              </w:rPr>
              <w:t>本项目设最高限价</w:t>
            </w:r>
            <w:r>
              <w:rPr>
                <w:rFonts w:hint="eastAsia" w:ascii="仿宋" w:hAnsi="仿宋" w:eastAsia="仿宋" w:cs="仿宋"/>
                <w:bCs/>
                <w:sz w:val="24"/>
                <w:lang w:eastAsia="zh-CN"/>
              </w:rPr>
              <w:t>：</w:t>
            </w:r>
            <w:r>
              <w:rPr>
                <w:rFonts w:hint="eastAsia" w:ascii="仿宋" w:hAnsi="仿宋" w:eastAsia="仿宋" w:cs="仿宋"/>
                <w:bCs/>
                <w:sz w:val="24"/>
                <w:lang w:val="en-US" w:eastAsia="zh-CN"/>
              </w:rPr>
              <w:t xml:space="preserve"> 205万元</w:t>
            </w:r>
            <w:r>
              <w:rPr>
                <w:rFonts w:hint="eastAsia" w:ascii="仿宋" w:hAnsi="仿宋" w:eastAsia="仿宋" w:cs="仿宋"/>
                <w:sz w:val="24"/>
                <w:szCs w:val="24"/>
                <w:lang w:val="en-US" w:eastAsia="zh-CN"/>
              </w:rPr>
              <w:t>。</w:t>
            </w:r>
          </w:p>
        </w:tc>
      </w:tr>
      <w:tr w14:paraId="3182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320A6C8B">
            <w:pPr>
              <w:widowControl/>
              <w:spacing w:line="360" w:lineRule="auto"/>
              <w:jc w:val="center"/>
              <w:rPr>
                <w:rFonts w:ascii="仿宋" w:hAnsi="仿宋" w:eastAsia="仿宋" w:cs="仿宋"/>
                <w:bCs/>
                <w:sz w:val="24"/>
              </w:rPr>
            </w:pPr>
            <w:r>
              <w:rPr>
                <w:rFonts w:hint="eastAsia" w:ascii="仿宋" w:hAnsi="仿宋" w:eastAsia="仿宋" w:cs="仿宋"/>
                <w:bCs/>
                <w:sz w:val="24"/>
              </w:rPr>
              <w:t>19</w:t>
            </w:r>
          </w:p>
        </w:tc>
        <w:tc>
          <w:tcPr>
            <w:tcW w:w="2635" w:type="dxa"/>
            <w:vAlign w:val="center"/>
          </w:tcPr>
          <w:p w14:paraId="194F4E24">
            <w:pPr>
              <w:widowControl/>
              <w:spacing w:line="360" w:lineRule="auto"/>
              <w:jc w:val="center"/>
              <w:rPr>
                <w:rFonts w:ascii="仿宋" w:hAnsi="仿宋" w:eastAsia="仿宋" w:cs="仿宋"/>
                <w:bCs/>
                <w:sz w:val="24"/>
              </w:rPr>
            </w:pPr>
            <w:r>
              <w:rPr>
                <w:rFonts w:hint="eastAsia" w:ascii="仿宋" w:hAnsi="仿宋" w:eastAsia="仿宋" w:cs="仿宋"/>
                <w:bCs/>
                <w:sz w:val="24"/>
              </w:rPr>
              <w:t>偏离情况</w:t>
            </w:r>
          </w:p>
        </w:tc>
        <w:tc>
          <w:tcPr>
            <w:tcW w:w="6619" w:type="dxa"/>
            <w:vAlign w:val="center"/>
          </w:tcPr>
          <w:p w14:paraId="5464B30F">
            <w:pPr>
              <w:widowControl/>
              <w:spacing w:line="360" w:lineRule="auto"/>
              <w:rPr>
                <w:rFonts w:ascii="仿宋" w:hAnsi="仿宋" w:eastAsia="仿宋" w:cs="仿宋"/>
                <w:bCs/>
                <w:sz w:val="24"/>
              </w:rPr>
            </w:pPr>
            <w:r>
              <w:rPr>
                <w:rFonts w:hint="eastAsia" w:ascii="仿宋" w:hAnsi="仿宋" w:eastAsia="仿宋" w:cs="仿宋"/>
                <w:bCs/>
                <w:sz w:val="24"/>
              </w:rPr>
              <w:t>不允许偏离</w:t>
            </w:r>
          </w:p>
        </w:tc>
      </w:tr>
      <w:tr w14:paraId="0F3D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42703DAF">
            <w:pPr>
              <w:widowControl/>
              <w:spacing w:line="360" w:lineRule="auto"/>
              <w:jc w:val="center"/>
              <w:rPr>
                <w:rFonts w:ascii="仿宋" w:hAnsi="仿宋" w:eastAsia="仿宋" w:cs="仿宋"/>
                <w:bCs/>
                <w:sz w:val="24"/>
              </w:rPr>
            </w:pPr>
            <w:r>
              <w:rPr>
                <w:rFonts w:hint="eastAsia" w:ascii="仿宋" w:hAnsi="仿宋" w:eastAsia="仿宋" w:cs="仿宋"/>
                <w:bCs/>
                <w:sz w:val="24"/>
              </w:rPr>
              <w:t>20</w:t>
            </w:r>
          </w:p>
        </w:tc>
        <w:tc>
          <w:tcPr>
            <w:tcW w:w="2635" w:type="dxa"/>
            <w:vAlign w:val="center"/>
          </w:tcPr>
          <w:p w14:paraId="5F42C6D6">
            <w:pPr>
              <w:widowControl/>
              <w:spacing w:line="360" w:lineRule="auto"/>
              <w:jc w:val="center"/>
              <w:rPr>
                <w:rFonts w:ascii="仿宋" w:hAnsi="仿宋" w:eastAsia="仿宋" w:cs="仿宋"/>
                <w:bCs/>
                <w:sz w:val="24"/>
              </w:rPr>
            </w:pPr>
            <w:r>
              <w:rPr>
                <w:rFonts w:hint="eastAsia" w:ascii="仿宋" w:hAnsi="仿宋" w:eastAsia="仿宋" w:cs="仿宋"/>
                <w:bCs/>
                <w:sz w:val="24"/>
              </w:rPr>
              <w:t>评标委员会人数及构成</w:t>
            </w:r>
          </w:p>
        </w:tc>
        <w:tc>
          <w:tcPr>
            <w:tcW w:w="6619" w:type="dxa"/>
            <w:vAlign w:val="center"/>
          </w:tcPr>
          <w:p w14:paraId="3F6476F5">
            <w:pPr>
              <w:spacing w:line="360" w:lineRule="auto"/>
              <w:rPr>
                <w:rFonts w:ascii="仿宋" w:hAnsi="仿宋" w:eastAsia="仿宋" w:cs="仿宋"/>
                <w:bCs/>
                <w:sz w:val="24"/>
              </w:rPr>
            </w:pPr>
            <w:r>
              <w:rPr>
                <w:rFonts w:hint="eastAsia" w:ascii="仿宋" w:hAnsi="仿宋" w:eastAsia="仿宋" w:cs="仿宋"/>
                <w:bCs/>
                <w:sz w:val="24"/>
              </w:rPr>
              <w:t>评标委员会构成：3人；其中采购人代表1人，评标专家2人。</w:t>
            </w:r>
          </w:p>
          <w:p w14:paraId="6B209471">
            <w:pPr>
              <w:spacing w:line="360" w:lineRule="auto"/>
              <w:rPr>
                <w:rFonts w:ascii="仿宋" w:hAnsi="仿宋" w:eastAsia="仿宋" w:cs="仿宋"/>
                <w:bCs/>
                <w:sz w:val="24"/>
              </w:rPr>
            </w:pPr>
            <w:r>
              <w:rPr>
                <w:rFonts w:hint="eastAsia" w:ascii="仿宋" w:hAnsi="仿宋" w:eastAsia="仿宋" w:cs="仿宋"/>
                <w:bCs/>
                <w:sz w:val="24"/>
              </w:rPr>
              <w:t>评标专家确定方式：由山西省政府采购评标专家库中随机抽取。</w:t>
            </w:r>
          </w:p>
        </w:tc>
      </w:tr>
      <w:tr w14:paraId="0754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77421CF3">
            <w:pPr>
              <w:widowControl/>
              <w:spacing w:line="360" w:lineRule="auto"/>
              <w:jc w:val="center"/>
              <w:rPr>
                <w:rFonts w:ascii="仿宋" w:hAnsi="仿宋" w:eastAsia="仿宋" w:cs="仿宋"/>
                <w:bCs/>
                <w:sz w:val="24"/>
              </w:rPr>
            </w:pPr>
            <w:r>
              <w:rPr>
                <w:rFonts w:hint="eastAsia" w:ascii="仿宋" w:hAnsi="仿宋" w:eastAsia="仿宋" w:cs="仿宋"/>
                <w:bCs/>
                <w:sz w:val="24"/>
              </w:rPr>
              <w:t>21</w:t>
            </w:r>
          </w:p>
        </w:tc>
        <w:tc>
          <w:tcPr>
            <w:tcW w:w="2635" w:type="dxa"/>
            <w:vAlign w:val="center"/>
          </w:tcPr>
          <w:p w14:paraId="3EB3CCF5">
            <w:pPr>
              <w:widowControl/>
              <w:spacing w:line="360" w:lineRule="auto"/>
              <w:jc w:val="center"/>
              <w:rPr>
                <w:rFonts w:ascii="仿宋" w:hAnsi="仿宋" w:eastAsia="仿宋" w:cs="仿宋"/>
                <w:bCs/>
                <w:sz w:val="24"/>
              </w:rPr>
            </w:pPr>
            <w:r>
              <w:rPr>
                <w:rFonts w:hint="eastAsia" w:ascii="仿宋" w:hAnsi="仿宋" w:eastAsia="仿宋" w:cs="仿宋"/>
                <w:bCs/>
                <w:sz w:val="24"/>
              </w:rPr>
              <w:t>中标人的确定</w:t>
            </w:r>
          </w:p>
        </w:tc>
        <w:tc>
          <w:tcPr>
            <w:tcW w:w="6619" w:type="dxa"/>
            <w:vAlign w:val="center"/>
          </w:tcPr>
          <w:p w14:paraId="670A2592">
            <w:pPr>
              <w:spacing w:line="360" w:lineRule="auto"/>
              <w:rPr>
                <w:rFonts w:ascii="仿宋" w:hAnsi="仿宋" w:eastAsia="仿宋" w:cs="仿宋"/>
                <w:bCs/>
                <w:sz w:val="24"/>
              </w:rPr>
            </w:pPr>
            <w:r>
              <w:rPr>
                <w:rFonts w:hint="eastAsia" w:ascii="仿宋" w:hAnsi="仿宋" w:eastAsia="仿宋" w:cs="仿宋"/>
                <w:bCs/>
                <w:sz w:val="24"/>
              </w:rPr>
              <w:t>授权评标委员会直接确定</w:t>
            </w:r>
          </w:p>
        </w:tc>
      </w:tr>
      <w:tr w14:paraId="5A40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12F71E11">
            <w:pPr>
              <w:widowControl/>
              <w:spacing w:line="360" w:lineRule="auto"/>
              <w:jc w:val="center"/>
              <w:rPr>
                <w:rFonts w:ascii="仿宋" w:hAnsi="仿宋" w:eastAsia="仿宋" w:cs="仿宋"/>
                <w:bCs/>
                <w:sz w:val="24"/>
              </w:rPr>
            </w:pPr>
            <w:r>
              <w:rPr>
                <w:rFonts w:hint="eastAsia" w:ascii="仿宋" w:hAnsi="仿宋" w:eastAsia="仿宋" w:cs="仿宋"/>
                <w:bCs/>
                <w:sz w:val="24"/>
              </w:rPr>
              <w:t>22</w:t>
            </w:r>
          </w:p>
        </w:tc>
        <w:tc>
          <w:tcPr>
            <w:tcW w:w="2635" w:type="dxa"/>
            <w:vAlign w:val="center"/>
          </w:tcPr>
          <w:p w14:paraId="045CFD27">
            <w:pPr>
              <w:widowControl/>
              <w:snapToGrid w:val="0"/>
              <w:spacing w:line="360" w:lineRule="exact"/>
              <w:jc w:val="center"/>
              <w:rPr>
                <w:rFonts w:ascii="仿宋" w:hAnsi="仿宋" w:eastAsia="仿宋" w:cs="仿宋"/>
                <w:bCs/>
                <w:sz w:val="24"/>
              </w:rPr>
            </w:pPr>
            <w:r>
              <w:rPr>
                <w:rFonts w:hint="eastAsia" w:ascii="仿宋" w:hAnsi="仿宋" w:eastAsia="仿宋" w:cs="仿宋"/>
                <w:sz w:val="24"/>
              </w:rPr>
              <w:t>其他事项</w:t>
            </w:r>
          </w:p>
        </w:tc>
        <w:tc>
          <w:tcPr>
            <w:tcW w:w="6619" w:type="dxa"/>
            <w:vAlign w:val="center"/>
          </w:tcPr>
          <w:p w14:paraId="1298D153">
            <w:pPr>
              <w:pStyle w:val="163"/>
              <w:widowControl/>
              <w:spacing w:line="360" w:lineRule="auto"/>
              <w:rPr>
                <w:rFonts w:ascii="仿宋" w:hAnsi="仿宋" w:eastAsia="仿宋" w:cs="仿宋"/>
                <w:bCs/>
                <w:szCs w:val="24"/>
              </w:rPr>
            </w:pPr>
            <w:r>
              <w:rPr>
                <w:rFonts w:hint="eastAsia" w:ascii="仿宋" w:hAnsi="仿宋" w:eastAsia="仿宋" w:cs="仿宋"/>
                <w:bCs/>
                <w:color w:val="000000"/>
                <w:szCs w:val="24"/>
              </w:rPr>
              <w:t>购买磋商文件后如对磋商文件中认为有不合理、不清楚以及有疑义并需要修正的地方，请在开标规定日期前以书面形式告知，以便统一上网公告更正，如不提交书面材料视同完全同意磋商文件所有条款。</w:t>
            </w:r>
          </w:p>
        </w:tc>
      </w:tr>
      <w:tr w14:paraId="7976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50C6E76D">
            <w:pPr>
              <w:widowControl/>
              <w:spacing w:line="360" w:lineRule="auto"/>
              <w:jc w:val="center"/>
              <w:rPr>
                <w:rFonts w:ascii="仿宋" w:hAnsi="仿宋" w:eastAsia="仿宋" w:cs="仿宋"/>
                <w:bCs/>
                <w:sz w:val="24"/>
              </w:rPr>
            </w:pPr>
            <w:r>
              <w:rPr>
                <w:rFonts w:hint="eastAsia" w:ascii="仿宋" w:hAnsi="仿宋" w:eastAsia="仿宋" w:cs="仿宋"/>
                <w:bCs/>
                <w:sz w:val="24"/>
              </w:rPr>
              <w:t>23</w:t>
            </w:r>
          </w:p>
        </w:tc>
        <w:tc>
          <w:tcPr>
            <w:tcW w:w="2635" w:type="dxa"/>
            <w:vAlign w:val="center"/>
          </w:tcPr>
          <w:p w14:paraId="6E1CD71E">
            <w:pPr>
              <w:widowControl/>
              <w:snapToGrid w:val="0"/>
              <w:spacing w:line="360" w:lineRule="exact"/>
              <w:jc w:val="center"/>
              <w:rPr>
                <w:rFonts w:ascii="仿宋" w:hAnsi="仿宋" w:eastAsia="仿宋" w:cs="仿宋"/>
                <w:sz w:val="24"/>
              </w:rPr>
            </w:pPr>
            <w:r>
              <w:rPr>
                <w:rFonts w:hint="eastAsia" w:ascii="仿宋" w:hAnsi="仿宋" w:eastAsia="仿宋" w:cs="仿宋"/>
                <w:sz w:val="24"/>
              </w:rPr>
              <w:t>政府采购</w:t>
            </w:r>
          </w:p>
          <w:p w14:paraId="60AC5743">
            <w:pPr>
              <w:widowControl/>
              <w:snapToGrid w:val="0"/>
              <w:spacing w:line="360" w:lineRule="exact"/>
              <w:jc w:val="center"/>
              <w:rPr>
                <w:rFonts w:ascii="仿宋" w:hAnsi="仿宋" w:eastAsia="仿宋" w:cs="仿宋"/>
                <w:sz w:val="24"/>
              </w:rPr>
            </w:pPr>
            <w:r>
              <w:rPr>
                <w:rFonts w:hint="eastAsia" w:ascii="仿宋" w:hAnsi="仿宋" w:eastAsia="仿宋" w:cs="仿宋"/>
                <w:sz w:val="24"/>
              </w:rPr>
              <w:t>政策</w:t>
            </w:r>
          </w:p>
        </w:tc>
        <w:tc>
          <w:tcPr>
            <w:tcW w:w="6619" w:type="dxa"/>
            <w:vAlign w:val="center"/>
          </w:tcPr>
          <w:p w14:paraId="43DB49DF">
            <w:pPr>
              <w:pStyle w:val="163"/>
              <w:widowControl/>
              <w:spacing w:line="360" w:lineRule="auto"/>
              <w:rPr>
                <w:rFonts w:hint="eastAsia" w:ascii="仿宋" w:hAnsi="仿宋" w:eastAsia="仿宋" w:cs="仿宋"/>
                <w:bCs/>
                <w:szCs w:val="24"/>
              </w:rPr>
            </w:pPr>
            <w:r>
              <w:rPr>
                <w:rFonts w:hint="eastAsia" w:ascii="仿宋" w:hAnsi="仿宋" w:eastAsia="仿宋" w:cs="仿宋"/>
                <w:bCs/>
                <w:szCs w:val="24"/>
              </w:rPr>
              <w:t>1．采购货物未特别注明“进口产品”字样的，均必须采购国产产品，即非“通过中国海关报关验放进入中国境内且产自关境外的产品”，采购产品各项技术标准必须符合国家强制性标准。</w:t>
            </w:r>
          </w:p>
          <w:p w14:paraId="4387A0D6">
            <w:pPr>
              <w:pStyle w:val="163"/>
              <w:widowControl/>
              <w:spacing w:line="360" w:lineRule="auto"/>
              <w:rPr>
                <w:rFonts w:hint="eastAsia" w:ascii="仿宋" w:hAnsi="仿宋" w:eastAsia="仿宋" w:cs="仿宋"/>
                <w:bCs/>
                <w:szCs w:val="24"/>
              </w:rPr>
            </w:pPr>
            <w:r>
              <w:rPr>
                <w:rFonts w:hint="eastAsia" w:ascii="仿宋" w:hAnsi="仿宋" w:eastAsia="仿宋" w:cs="仿宋"/>
                <w:bCs/>
                <w:szCs w:val="24"/>
              </w:rPr>
              <w:t>2．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所投产品获得国家确定的认证机构出具的、处于有效期之内的节能产品认证证书。</w:t>
            </w:r>
          </w:p>
          <w:p w14:paraId="5AE29C67">
            <w:pPr>
              <w:pStyle w:val="163"/>
              <w:widowControl/>
              <w:spacing w:line="360" w:lineRule="auto"/>
              <w:rPr>
                <w:rFonts w:hint="eastAsia" w:ascii="仿宋" w:hAnsi="仿宋" w:eastAsia="仿宋" w:cs="仿宋"/>
                <w:bCs/>
                <w:szCs w:val="24"/>
              </w:rPr>
            </w:pPr>
            <w:r>
              <w:rPr>
                <w:rFonts w:hint="eastAsia" w:ascii="仿宋" w:hAnsi="仿宋" w:eastAsia="仿宋" w:cs="仿宋"/>
                <w:bCs/>
                <w:szCs w:val="24"/>
              </w:rPr>
              <w:t>3．采购货物中如含有计算机，必须预装正版操作系统软件产品；项目中所采购的其它软件必须为正版软件。</w:t>
            </w:r>
          </w:p>
          <w:p w14:paraId="2A6265B1">
            <w:pPr>
              <w:pStyle w:val="163"/>
              <w:widowControl/>
              <w:spacing w:line="360" w:lineRule="auto"/>
              <w:rPr>
                <w:rFonts w:hint="eastAsia" w:ascii="仿宋" w:hAnsi="仿宋" w:eastAsia="仿宋" w:cs="仿宋"/>
                <w:bCs/>
                <w:szCs w:val="24"/>
              </w:rPr>
            </w:pPr>
            <w:r>
              <w:rPr>
                <w:rFonts w:hint="eastAsia" w:ascii="仿宋" w:hAnsi="仿宋" w:eastAsia="仿宋" w:cs="仿宋"/>
                <w:bCs/>
                <w:szCs w:val="24"/>
              </w:rPr>
              <w:t>4．采购货物中如含有财政部会同有关部门制定下发的《信息安全产品强制性认证目录》中的产品，须提供中国信息安全认证中心按国家标准认证颁发的有效认证证书。</w:t>
            </w:r>
          </w:p>
          <w:p w14:paraId="682A249B">
            <w:pPr>
              <w:pStyle w:val="163"/>
              <w:widowControl/>
              <w:spacing w:line="360" w:lineRule="auto"/>
              <w:rPr>
                <w:rFonts w:hint="eastAsia" w:ascii="仿宋" w:hAnsi="仿宋" w:eastAsia="仿宋" w:cs="仿宋"/>
                <w:bCs/>
                <w:szCs w:val="24"/>
              </w:rPr>
            </w:pPr>
            <w:r>
              <w:rPr>
                <w:rFonts w:hint="eastAsia" w:ascii="仿宋" w:hAnsi="仿宋" w:eastAsia="仿宋" w:cs="仿宋"/>
                <w:bCs/>
                <w:szCs w:val="24"/>
                <w:lang w:val="en-US" w:eastAsia="zh-CN"/>
              </w:rPr>
              <w:t>供应商</w:t>
            </w:r>
            <w:r>
              <w:rPr>
                <w:rFonts w:hint="eastAsia" w:ascii="仿宋" w:hAnsi="仿宋" w:eastAsia="仿宋" w:cs="仿宋"/>
                <w:bCs/>
                <w:szCs w:val="24"/>
              </w:rPr>
              <w:t>参加本次磋商活动，如涉及上述1-4项要求，均应作出实质性响应，否则将导致响应无效。</w:t>
            </w:r>
          </w:p>
          <w:p w14:paraId="11ED7A9A">
            <w:pPr>
              <w:pStyle w:val="163"/>
              <w:widowControl/>
              <w:spacing w:line="360" w:lineRule="auto"/>
              <w:rPr>
                <w:rFonts w:hint="eastAsia" w:ascii="仿宋" w:hAnsi="仿宋" w:eastAsia="仿宋" w:cs="仿宋"/>
                <w:bCs/>
                <w:szCs w:val="24"/>
              </w:rPr>
            </w:pPr>
            <w:r>
              <w:rPr>
                <w:rFonts w:hint="eastAsia" w:ascii="仿宋" w:hAnsi="仿宋" w:eastAsia="仿宋" w:cs="仿宋"/>
                <w:bCs/>
                <w:szCs w:val="24"/>
              </w:rPr>
              <w:t>5．中小企业参加本项目磋商：</w:t>
            </w:r>
          </w:p>
          <w:p w14:paraId="44C5EC16">
            <w:pPr>
              <w:pStyle w:val="163"/>
              <w:widowControl/>
              <w:spacing w:line="360" w:lineRule="auto"/>
              <w:rPr>
                <w:rFonts w:hint="eastAsia" w:ascii="仿宋" w:hAnsi="仿宋" w:eastAsia="仿宋" w:cs="仿宋"/>
                <w:bCs/>
                <w:szCs w:val="24"/>
              </w:rPr>
            </w:pPr>
            <w:r>
              <w:rPr>
                <w:rFonts w:hint="eastAsia" w:ascii="仿宋" w:hAnsi="仿宋" w:eastAsia="仿宋" w:cs="仿宋"/>
                <w:bCs/>
                <w:szCs w:val="24"/>
              </w:rPr>
              <w:t>须按照财政部、工业和信息化部发布的《关于印发&lt;政府采购促进中小企业发展管理办法&gt;的通知》(财库〔2020〕46号），并依据工信部联【2011】300号《中小企业划型标准规定》的标准，如实填写《中小企业声明函》。</w:t>
            </w:r>
          </w:p>
          <w:p w14:paraId="272FBE99">
            <w:pPr>
              <w:pStyle w:val="163"/>
              <w:widowControl/>
              <w:spacing w:line="360" w:lineRule="auto"/>
              <w:rPr>
                <w:rFonts w:hint="default" w:ascii="仿宋" w:hAnsi="仿宋" w:eastAsia="仿宋" w:cs="仿宋"/>
                <w:bCs/>
                <w:szCs w:val="24"/>
                <w:lang w:val="en-US" w:eastAsia="zh-CN"/>
              </w:rPr>
            </w:pPr>
            <w:r>
              <w:rPr>
                <w:rFonts w:hint="eastAsia" w:ascii="仿宋" w:hAnsi="仿宋" w:eastAsia="仿宋" w:cs="仿宋"/>
                <w:bCs/>
                <w:szCs w:val="24"/>
              </w:rPr>
              <w:t>本项目所属行业为：软件和信息技术服务业</w:t>
            </w:r>
          </w:p>
          <w:p w14:paraId="3E453781">
            <w:pPr>
              <w:pStyle w:val="163"/>
              <w:widowControl/>
              <w:spacing w:line="360" w:lineRule="auto"/>
              <w:rPr>
                <w:rFonts w:hint="eastAsia" w:ascii="仿宋" w:hAnsi="仿宋" w:eastAsia="仿宋" w:cs="仿宋"/>
                <w:bCs/>
                <w:szCs w:val="24"/>
              </w:rPr>
            </w:pPr>
            <w:r>
              <w:rPr>
                <w:rFonts w:hint="eastAsia" w:ascii="仿宋" w:hAnsi="仿宋" w:eastAsia="仿宋" w:cs="仿宋"/>
                <w:bCs/>
                <w:szCs w:val="24"/>
              </w:rPr>
              <w:t>依据财政部财库【2022】19号关于印发《关于进一步加大政府采购支持中小企业力度的通知》和山西省财政厅晋财购【2022】6号关于印发《山西省财政厅关于进一步加大政府采购支持中小企业力度助力扎实稳住经济的通知》，货物</w:t>
            </w:r>
            <w:r>
              <w:rPr>
                <w:rFonts w:hint="eastAsia" w:ascii="仿宋" w:hAnsi="仿宋" w:eastAsia="仿宋" w:cs="仿宋"/>
                <w:bCs/>
                <w:szCs w:val="24"/>
                <w:lang w:eastAsia="zh-CN"/>
              </w:rPr>
              <w:t>、</w:t>
            </w:r>
            <w:r>
              <w:rPr>
                <w:rFonts w:hint="eastAsia" w:ascii="仿宋" w:hAnsi="仿宋" w:eastAsia="仿宋" w:cs="仿宋"/>
                <w:bCs/>
                <w:szCs w:val="24"/>
              </w:rPr>
              <w:t>服务采购项目给予小微企业的价格扣除优惠为２０％，特殊情况的不应低于１０％，采用大中型企业与小微企业组成联合体或者大中型企业向小微企业分包采购合同的，评审优惠幅度为６％，特殊情况的不应低于４％。政府采购工程项目给予小微企业的价格扣除优惠为５％或者在原报价得分的基础上增加其价格得分的５％，采用大中型企业与小微企业组成联合体或者大中型企业向小微企业分包采购合同的，评审优惠幅度为２％或者在原报价得分的基础上增加其价格得分的２％</w:t>
            </w:r>
            <w:r>
              <w:rPr>
                <w:rFonts w:hint="eastAsia" w:ascii="仿宋" w:hAnsi="仿宋" w:eastAsia="仿宋" w:cs="仿宋"/>
                <w:bCs/>
                <w:szCs w:val="24"/>
                <w:lang w:val="en-US" w:eastAsia="zh-CN"/>
              </w:rPr>
              <w:t xml:space="preserve"> </w:t>
            </w:r>
            <w:r>
              <w:rPr>
                <w:rFonts w:hint="eastAsia" w:ascii="仿宋" w:hAnsi="仿宋" w:eastAsia="仿宋" w:cs="仿宋"/>
                <w:bCs/>
                <w:szCs w:val="24"/>
              </w:rPr>
              <w:t>。</w:t>
            </w:r>
          </w:p>
          <w:p w14:paraId="7AE5BA66">
            <w:pPr>
              <w:pStyle w:val="163"/>
              <w:widowControl/>
              <w:spacing w:line="360" w:lineRule="auto"/>
              <w:rPr>
                <w:rFonts w:hint="eastAsia" w:ascii="仿宋" w:hAnsi="仿宋" w:eastAsia="仿宋" w:cs="仿宋"/>
                <w:bCs/>
                <w:szCs w:val="24"/>
              </w:rPr>
            </w:pPr>
            <w:r>
              <w:rPr>
                <w:rFonts w:hint="eastAsia" w:ascii="仿宋" w:hAnsi="仿宋" w:eastAsia="仿宋" w:cs="仿宋"/>
                <w:bCs/>
                <w:szCs w:val="24"/>
              </w:rPr>
              <w:t>6．残疾人福利单位参加本项目磋商：</w:t>
            </w:r>
          </w:p>
          <w:p w14:paraId="63228D0E">
            <w:pPr>
              <w:pStyle w:val="163"/>
              <w:widowControl/>
              <w:spacing w:line="360" w:lineRule="auto"/>
              <w:rPr>
                <w:rFonts w:hint="eastAsia" w:ascii="仿宋" w:hAnsi="仿宋" w:eastAsia="仿宋" w:cs="仿宋"/>
                <w:bCs/>
                <w:szCs w:val="24"/>
              </w:rPr>
            </w:pPr>
            <w:r>
              <w:rPr>
                <w:rFonts w:hint="eastAsia" w:ascii="仿宋" w:hAnsi="仿宋" w:eastAsia="仿宋" w:cs="仿宋"/>
                <w:bCs/>
                <w:szCs w:val="24"/>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05640D0D">
            <w:pPr>
              <w:pStyle w:val="163"/>
              <w:widowControl/>
              <w:spacing w:line="360" w:lineRule="auto"/>
              <w:rPr>
                <w:rFonts w:hint="eastAsia" w:ascii="仿宋" w:hAnsi="仿宋" w:eastAsia="仿宋" w:cs="仿宋"/>
                <w:bCs/>
                <w:szCs w:val="24"/>
              </w:rPr>
            </w:pPr>
            <w:r>
              <w:rPr>
                <w:rFonts w:hint="eastAsia" w:ascii="仿宋" w:hAnsi="仿宋" w:eastAsia="仿宋" w:cs="仿宋"/>
                <w:bCs/>
                <w:szCs w:val="24"/>
              </w:rPr>
              <w:t>7．监狱企业参加本项目磋商：</w:t>
            </w:r>
          </w:p>
          <w:p w14:paraId="30D08B42">
            <w:pPr>
              <w:pStyle w:val="163"/>
              <w:widowControl/>
              <w:spacing w:line="360" w:lineRule="auto"/>
              <w:rPr>
                <w:rFonts w:hint="eastAsia" w:ascii="仿宋" w:hAnsi="仿宋" w:eastAsia="仿宋" w:cs="仿宋"/>
                <w:bCs/>
                <w:szCs w:val="24"/>
              </w:rPr>
            </w:pPr>
            <w:r>
              <w:rPr>
                <w:rFonts w:hint="eastAsia" w:ascii="仿宋" w:hAnsi="仿宋" w:eastAsia="仿宋" w:cs="仿宋"/>
                <w:bCs/>
                <w:szCs w:val="24"/>
              </w:rPr>
              <w:t>依据《财政部司法部关于政府采购支持监狱企业发展有关问题的通知》(财库〔2014〕68号)规定，监狱企业视同小型、微型企业，享受预留份额、评审中价格扣除等政府采购促进中小企业发展的政府采购政策。</w:t>
            </w:r>
          </w:p>
          <w:p w14:paraId="08AF4E67">
            <w:pPr>
              <w:pStyle w:val="163"/>
              <w:widowControl/>
              <w:spacing w:line="360" w:lineRule="auto"/>
              <w:rPr>
                <w:rFonts w:hint="eastAsia" w:ascii="仿宋" w:hAnsi="仿宋" w:eastAsia="仿宋" w:cs="仿宋"/>
                <w:bCs/>
                <w:szCs w:val="24"/>
              </w:rPr>
            </w:pPr>
            <w:r>
              <w:rPr>
                <w:rFonts w:hint="eastAsia" w:ascii="仿宋" w:hAnsi="仿宋" w:eastAsia="仿宋" w:cs="仿宋"/>
                <w:bCs/>
                <w:szCs w:val="24"/>
              </w:rPr>
              <w:t>8．联合体参加本项目磋商：</w:t>
            </w:r>
          </w:p>
          <w:p w14:paraId="6A025AFD">
            <w:pPr>
              <w:pStyle w:val="163"/>
              <w:widowControl/>
              <w:spacing w:line="360" w:lineRule="auto"/>
              <w:rPr>
                <w:rFonts w:hint="eastAsia" w:ascii="仿宋" w:hAnsi="仿宋" w:eastAsia="仿宋" w:cs="仿宋"/>
                <w:bCs/>
                <w:szCs w:val="24"/>
              </w:rPr>
            </w:pPr>
            <w:r>
              <w:rPr>
                <w:rFonts w:hint="eastAsia" w:ascii="仿宋" w:hAnsi="仿宋" w:eastAsia="仿宋" w:cs="仿宋"/>
                <w:bCs/>
                <w:szCs w:val="24"/>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相应的扣除。</w:t>
            </w:r>
          </w:p>
          <w:p w14:paraId="5B92E4CA">
            <w:pPr>
              <w:pStyle w:val="163"/>
              <w:widowControl/>
              <w:spacing w:line="360" w:lineRule="auto"/>
              <w:rPr>
                <w:rFonts w:hint="eastAsia" w:ascii="仿宋" w:hAnsi="仿宋" w:eastAsia="仿宋" w:cs="仿宋"/>
                <w:bCs/>
                <w:szCs w:val="24"/>
              </w:rPr>
            </w:pPr>
            <w:r>
              <w:rPr>
                <w:rFonts w:hint="eastAsia" w:ascii="仿宋" w:hAnsi="仿宋" w:eastAsia="仿宋" w:cs="仿宋"/>
                <w:bCs/>
                <w:szCs w:val="24"/>
              </w:rPr>
              <w:t>9．本项目涉及创新产品、创新服务的要求</w:t>
            </w:r>
          </w:p>
          <w:p w14:paraId="1869CB81">
            <w:pPr>
              <w:pStyle w:val="163"/>
              <w:widowControl/>
              <w:spacing w:line="360" w:lineRule="auto"/>
              <w:rPr>
                <w:rFonts w:hint="eastAsia" w:ascii="仿宋" w:hAnsi="仿宋" w:eastAsia="仿宋" w:cs="仿宋"/>
                <w:bCs/>
                <w:szCs w:val="24"/>
              </w:rPr>
            </w:pPr>
            <w:r>
              <w:rPr>
                <w:rFonts w:hint="eastAsia" w:ascii="仿宋" w:hAnsi="仿宋" w:eastAsia="仿宋" w:cs="仿宋"/>
                <w:bCs/>
                <w:szCs w:val="24"/>
              </w:rPr>
              <w:t>（1）投报产品或服务属于《山西省创新产品和服务推荐清单》中创新产品或创新服务的，在评审时，享受投报产品6%的价格折扣。</w:t>
            </w:r>
          </w:p>
          <w:p w14:paraId="26E6E1C8">
            <w:pPr>
              <w:pStyle w:val="163"/>
              <w:widowControl/>
              <w:spacing w:line="360" w:lineRule="auto"/>
              <w:rPr>
                <w:rFonts w:hint="eastAsia" w:ascii="仿宋" w:hAnsi="仿宋" w:eastAsia="仿宋" w:cs="仿宋"/>
                <w:bCs/>
                <w:szCs w:val="24"/>
              </w:rPr>
            </w:pPr>
            <w:r>
              <w:rPr>
                <w:rFonts w:hint="eastAsia" w:ascii="仿宋" w:hAnsi="仿宋" w:eastAsia="仿宋" w:cs="仿宋"/>
                <w:bCs/>
                <w:szCs w:val="24"/>
              </w:rPr>
              <w:t>（2）投报创新产品或创新服务的，需在响应文件中提供《山西省创新产品和服务推荐清单》，并填写《创新产品或创新服务明细表》。</w:t>
            </w:r>
          </w:p>
          <w:p w14:paraId="678B5FB9">
            <w:pPr>
              <w:pStyle w:val="163"/>
              <w:widowControl/>
              <w:spacing w:line="360" w:lineRule="auto"/>
              <w:rPr>
                <w:rFonts w:hint="eastAsia" w:ascii="仿宋" w:hAnsi="仿宋" w:eastAsia="仿宋" w:cs="仿宋"/>
                <w:bCs/>
                <w:szCs w:val="24"/>
              </w:rPr>
            </w:pPr>
            <w:r>
              <w:rPr>
                <w:rFonts w:hint="eastAsia" w:ascii="仿宋" w:hAnsi="仿宋" w:eastAsia="仿宋" w:cs="仿宋"/>
                <w:bCs/>
                <w:szCs w:val="24"/>
              </w:rPr>
              <w:t>（3）创新产品或创新服务的价格折扣政策可与其他政府采购政策叠加。</w:t>
            </w:r>
          </w:p>
          <w:p w14:paraId="0A29F233">
            <w:pPr>
              <w:pStyle w:val="163"/>
              <w:widowControl/>
              <w:spacing w:line="360" w:lineRule="auto"/>
              <w:rPr>
                <w:rFonts w:hint="eastAsia" w:ascii="仿宋" w:hAnsi="仿宋" w:eastAsia="仿宋" w:cs="仿宋"/>
                <w:bCs/>
                <w:szCs w:val="24"/>
              </w:rPr>
            </w:pPr>
            <w:r>
              <w:rPr>
                <w:rFonts w:hint="eastAsia" w:ascii="仿宋" w:hAnsi="仿宋" w:eastAsia="仿宋" w:cs="仿宋"/>
                <w:bCs/>
                <w:szCs w:val="24"/>
              </w:rPr>
              <w:t>10．本项目涉及商品包装和快递包装的要求</w:t>
            </w:r>
          </w:p>
          <w:p w14:paraId="4334B58C">
            <w:pPr>
              <w:pStyle w:val="163"/>
              <w:widowControl/>
              <w:spacing w:line="360" w:lineRule="auto"/>
              <w:rPr>
                <w:rFonts w:ascii="仿宋" w:hAnsi="仿宋" w:eastAsia="仿宋" w:cs="仿宋"/>
                <w:bCs/>
                <w:szCs w:val="24"/>
              </w:rPr>
            </w:pPr>
            <w:r>
              <w:rPr>
                <w:rFonts w:hint="eastAsia" w:ascii="仿宋" w:hAnsi="仿宋" w:eastAsia="仿宋" w:cs="仿宋"/>
                <w:bCs/>
                <w:szCs w:val="24"/>
              </w:rPr>
              <w:t>本文件列出商品包装和快递包装要求的，需填写商品包装和快递包装承诺函，承诺商品包装符合《商品包装政府采购需求标准（试行）》，快递包装符合《快递包装政府采购需求标准（试行）》。</w:t>
            </w:r>
          </w:p>
        </w:tc>
      </w:tr>
      <w:tr w14:paraId="6B8F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4DC3EFFD">
            <w:pPr>
              <w:widowControl/>
              <w:spacing w:line="360" w:lineRule="auto"/>
              <w:jc w:val="center"/>
              <w:rPr>
                <w:rFonts w:ascii="仿宋" w:hAnsi="仿宋" w:eastAsia="仿宋" w:cs="仿宋"/>
                <w:bCs/>
                <w:sz w:val="24"/>
              </w:rPr>
            </w:pPr>
            <w:r>
              <w:rPr>
                <w:rFonts w:hint="eastAsia" w:ascii="仿宋" w:hAnsi="仿宋" w:eastAsia="仿宋" w:cs="仿宋"/>
                <w:bCs/>
                <w:sz w:val="24"/>
              </w:rPr>
              <w:t>23</w:t>
            </w:r>
          </w:p>
        </w:tc>
        <w:tc>
          <w:tcPr>
            <w:tcW w:w="2635" w:type="dxa"/>
            <w:vAlign w:val="center"/>
          </w:tcPr>
          <w:p w14:paraId="63D13D1D">
            <w:pPr>
              <w:widowControl/>
              <w:spacing w:line="360" w:lineRule="auto"/>
              <w:jc w:val="center"/>
              <w:rPr>
                <w:rFonts w:ascii="仿宋" w:hAnsi="仿宋" w:eastAsia="仿宋" w:cs="仿宋"/>
                <w:bCs/>
                <w:sz w:val="24"/>
              </w:rPr>
            </w:pPr>
            <w:r>
              <w:rPr>
                <w:rFonts w:hint="eastAsia" w:ascii="仿宋" w:hAnsi="仿宋" w:eastAsia="仿宋" w:cs="仿宋"/>
                <w:bCs/>
                <w:sz w:val="24"/>
              </w:rPr>
              <w:t>招标代理服务费</w:t>
            </w:r>
          </w:p>
        </w:tc>
        <w:tc>
          <w:tcPr>
            <w:tcW w:w="6619" w:type="dxa"/>
            <w:vAlign w:val="center"/>
          </w:tcPr>
          <w:p w14:paraId="499BC4D7">
            <w:pPr>
              <w:widowControl/>
              <w:spacing w:line="360" w:lineRule="auto"/>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eastAsia="zh-CN"/>
              </w:rPr>
              <w:t>招标代理服务费参考原“计价格【2002】1980号、发改办价格【2003】857号、两个文件的相关规定标准以最终中标价格作为基数计算</w:t>
            </w:r>
            <w:r>
              <w:rPr>
                <w:rFonts w:hint="eastAsia" w:ascii="仿宋" w:hAnsi="仿宋" w:eastAsia="仿宋" w:cs="仿宋"/>
                <w:bCs/>
                <w:sz w:val="24"/>
                <w:lang w:val="en-US" w:eastAsia="zh-CN"/>
              </w:rPr>
              <w:t>招标代理服务费</w:t>
            </w:r>
            <w:r>
              <w:rPr>
                <w:rFonts w:hint="eastAsia" w:ascii="仿宋" w:hAnsi="仿宋" w:eastAsia="仿宋" w:cs="仿宋"/>
                <w:bCs/>
                <w:sz w:val="24"/>
              </w:rPr>
              <w:t>。</w:t>
            </w:r>
          </w:p>
          <w:p w14:paraId="7713A179">
            <w:pPr>
              <w:widowControl/>
              <w:spacing w:line="360" w:lineRule="auto"/>
              <w:rPr>
                <w:rFonts w:ascii="仿宋" w:hAnsi="仿宋" w:eastAsia="仿宋" w:cs="仿宋"/>
                <w:bCs/>
                <w:sz w:val="24"/>
              </w:rPr>
            </w:pPr>
            <w:r>
              <w:rPr>
                <w:rFonts w:hint="eastAsia" w:ascii="仿宋" w:hAnsi="仿宋" w:eastAsia="仿宋" w:cs="仿宋"/>
                <w:bCs/>
                <w:sz w:val="24"/>
                <w:lang w:val="en-US" w:eastAsia="zh-CN"/>
              </w:rPr>
              <w:t>2</w:t>
            </w:r>
            <w:r>
              <w:rPr>
                <w:rFonts w:hint="eastAsia" w:ascii="仿宋" w:hAnsi="仿宋" w:eastAsia="仿宋" w:cs="仿宋"/>
                <w:bCs/>
                <w:sz w:val="24"/>
              </w:rPr>
              <w:t>、采购代理服务费在中标人领取成交通知书时，采用现金、电汇方式一次性支付给采购代理机构。</w:t>
            </w:r>
          </w:p>
        </w:tc>
      </w:tr>
    </w:tbl>
    <w:p w14:paraId="1D2C7E51">
      <w:pPr>
        <w:pStyle w:val="5"/>
        <w:jc w:val="center"/>
        <w:rPr>
          <w:rFonts w:ascii="仿宋" w:hAnsi="仿宋" w:eastAsia="仿宋" w:cs="仿宋"/>
          <w:color w:val="000000"/>
          <w:sz w:val="28"/>
          <w:szCs w:val="28"/>
        </w:rPr>
      </w:pPr>
      <w:r>
        <w:rPr>
          <w:rFonts w:hint="eastAsia" w:ascii="仿宋" w:hAnsi="仿宋" w:eastAsia="仿宋" w:cs="仿宋"/>
          <w:snapToGrid w:val="0"/>
          <w:color w:val="000000"/>
          <w:sz w:val="32"/>
          <w:szCs w:val="32"/>
        </w:rPr>
        <w:br w:type="page"/>
      </w:r>
      <w:bookmarkStart w:id="49" w:name="_Toc24155"/>
      <w:bookmarkStart w:id="50" w:name="_Toc23880"/>
      <w:r>
        <w:rPr>
          <w:rFonts w:hint="eastAsia" w:ascii="仿宋" w:hAnsi="仿宋" w:eastAsia="仿宋" w:cs="仿宋"/>
          <w:color w:val="000000"/>
          <w:sz w:val="28"/>
          <w:szCs w:val="28"/>
        </w:rPr>
        <w:t>电子响应须知附表</w:t>
      </w:r>
      <w:bookmarkEnd w:id="49"/>
      <w:bookmarkEnd w:id="50"/>
    </w:p>
    <w:tbl>
      <w:tblPr>
        <w:tblStyle w:val="39"/>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258"/>
        <w:gridCol w:w="6788"/>
      </w:tblGrid>
      <w:tr w14:paraId="737D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vAlign w:val="center"/>
          </w:tcPr>
          <w:p w14:paraId="56084753">
            <w:pPr>
              <w:spacing w:line="360" w:lineRule="auto"/>
              <w:jc w:val="center"/>
              <w:rPr>
                <w:rFonts w:ascii="仿宋" w:hAnsi="仿宋" w:eastAsia="仿宋" w:cs="仿宋"/>
                <w:sz w:val="24"/>
              </w:rPr>
            </w:pPr>
            <w:r>
              <w:rPr>
                <w:rFonts w:hint="eastAsia" w:ascii="仿宋" w:hAnsi="仿宋" w:eastAsia="仿宋" w:cs="仿宋"/>
                <w:sz w:val="24"/>
              </w:rPr>
              <w:t>序号</w:t>
            </w:r>
          </w:p>
        </w:tc>
        <w:tc>
          <w:tcPr>
            <w:tcW w:w="1277" w:type="dxa"/>
            <w:vAlign w:val="center"/>
          </w:tcPr>
          <w:p w14:paraId="5CB48C53">
            <w:pPr>
              <w:spacing w:line="360" w:lineRule="auto"/>
              <w:jc w:val="center"/>
              <w:rPr>
                <w:rFonts w:ascii="仿宋" w:hAnsi="仿宋" w:eastAsia="仿宋" w:cs="仿宋"/>
                <w:sz w:val="24"/>
              </w:rPr>
            </w:pPr>
            <w:r>
              <w:rPr>
                <w:rFonts w:hint="eastAsia" w:ascii="仿宋" w:hAnsi="仿宋" w:eastAsia="仿宋" w:cs="仿宋"/>
                <w:sz w:val="24"/>
              </w:rPr>
              <w:t>条款名称</w:t>
            </w:r>
          </w:p>
        </w:tc>
        <w:tc>
          <w:tcPr>
            <w:tcW w:w="6929" w:type="dxa"/>
            <w:vAlign w:val="center"/>
          </w:tcPr>
          <w:p w14:paraId="59E26182">
            <w:pPr>
              <w:spacing w:line="360" w:lineRule="auto"/>
              <w:jc w:val="center"/>
              <w:rPr>
                <w:rFonts w:ascii="仿宋" w:hAnsi="仿宋" w:eastAsia="仿宋" w:cs="仿宋"/>
                <w:sz w:val="24"/>
              </w:rPr>
            </w:pPr>
            <w:r>
              <w:rPr>
                <w:rFonts w:hint="eastAsia" w:ascii="仿宋" w:hAnsi="仿宋" w:eastAsia="仿宋" w:cs="仿宋"/>
                <w:sz w:val="24"/>
              </w:rPr>
              <w:t>编列内容</w:t>
            </w:r>
          </w:p>
        </w:tc>
      </w:tr>
      <w:tr w14:paraId="23D3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vAlign w:val="center"/>
          </w:tcPr>
          <w:p w14:paraId="6A4ED1CC">
            <w:pPr>
              <w:spacing w:line="360" w:lineRule="auto"/>
              <w:jc w:val="center"/>
              <w:rPr>
                <w:rFonts w:ascii="仿宋" w:hAnsi="仿宋" w:eastAsia="仿宋" w:cs="仿宋"/>
                <w:sz w:val="24"/>
              </w:rPr>
            </w:pPr>
            <w:r>
              <w:rPr>
                <w:rFonts w:hint="eastAsia" w:ascii="仿宋" w:hAnsi="仿宋" w:eastAsia="仿宋" w:cs="仿宋"/>
                <w:sz w:val="24"/>
              </w:rPr>
              <w:t>1</w:t>
            </w:r>
          </w:p>
        </w:tc>
        <w:tc>
          <w:tcPr>
            <w:tcW w:w="1277" w:type="dxa"/>
            <w:vAlign w:val="center"/>
          </w:tcPr>
          <w:p w14:paraId="4BB57B72">
            <w:pPr>
              <w:spacing w:line="360" w:lineRule="auto"/>
              <w:jc w:val="center"/>
              <w:rPr>
                <w:rFonts w:ascii="仿宋" w:hAnsi="仿宋" w:eastAsia="仿宋" w:cs="仿宋"/>
                <w:sz w:val="24"/>
              </w:rPr>
            </w:pPr>
            <w:r>
              <w:rPr>
                <w:rFonts w:hint="eastAsia" w:ascii="仿宋" w:hAnsi="仿宋" w:eastAsia="仿宋" w:cs="仿宋"/>
                <w:sz w:val="24"/>
              </w:rPr>
              <w:t>响应文件编制</w:t>
            </w:r>
          </w:p>
        </w:tc>
        <w:tc>
          <w:tcPr>
            <w:tcW w:w="6929" w:type="dxa"/>
            <w:vAlign w:val="center"/>
          </w:tcPr>
          <w:p w14:paraId="42757D8E">
            <w:pPr>
              <w:spacing w:line="360" w:lineRule="auto"/>
              <w:jc w:val="left"/>
              <w:rPr>
                <w:rFonts w:ascii="仿宋" w:hAnsi="仿宋" w:eastAsia="仿宋" w:cs="仿宋"/>
                <w:sz w:val="24"/>
              </w:rPr>
            </w:pPr>
            <w:r>
              <w:rPr>
                <w:rFonts w:hint="eastAsia" w:ascii="仿宋" w:hAnsi="仿宋" w:eastAsia="仿宋" w:cs="仿宋"/>
                <w:sz w:val="24"/>
              </w:rPr>
              <w:t>1.1供应商应使用政采云系统的响应文件编制工具，按照操作手册编制电子响应文件，并使用数字证书（CA）按照磋商文件规定签字、签章。同时使用数字证书（CA）对响应文件进行加密。</w:t>
            </w:r>
          </w:p>
          <w:p w14:paraId="7D4460E5">
            <w:pPr>
              <w:spacing w:line="360" w:lineRule="auto"/>
              <w:jc w:val="left"/>
              <w:rPr>
                <w:rFonts w:ascii="仿宋" w:hAnsi="仿宋" w:eastAsia="仿宋" w:cs="仿宋"/>
                <w:sz w:val="24"/>
              </w:rPr>
            </w:pPr>
            <w:r>
              <w:rPr>
                <w:rFonts w:hint="eastAsia" w:ascii="仿宋" w:hAnsi="仿宋" w:eastAsia="仿宋" w:cs="仿宋"/>
                <w:sz w:val="24"/>
              </w:rPr>
              <w:t>1.2在上传电子响应文件时，需对应系统中每个模块要求，形成独立的PDF格式文件，按照指定对应模块，逐条完成上传，保存后提交。</w:t>
            </w:r>
          </w:p>
          <w:p w14:paraId="3EA1F2E7">
            <w:pPr>
              <w:spacing w:line="360" w:lineRule="auto"/>
              <w:jc w:val="left"/>
              <w:rPr>
                <w:rFonts w:ascii="仿宋" w:hAnsi="仿宋" w:eastAsia="仿宋" w:cs="仿宋"/>
                <w:sz w:val="24"/>
              </w:rPr>
            </w:pPr>
            <w:r>
              <w:rPr>
                <w:rFonts w:hint="eastAsia" w:ascii="仿宋" w:hAnsi="仿宋" w:eastAsia="仿宋" w:cs="仿宋"/>
                <w:sz w:val="24"/>
              </w:rPr>
              <w:t>1.3电子响应文件所附各类证件、证书、证明，均随响应文件统一编排页码进行上传。</w:t>
            </w:r>
          </w:p>
        </w:tc>
      </w:tr>
      <w:tr w14:paraId="65C3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vAlign w:val="center"/>
          </w:tcPr>
          <w:p w14:paraId="15AD22D7">
            <w:pPr>
              <w:spacing w:line="360" w:lineRule="auto"/>
              <w:jc w:val="center"/>
              <w:rPr>
                <w:rFonts w:ascii="仿宋" w:hAnsi="仿宋" w:eastAsia="仿宋" w:cs="仿宋"/>
                <w:sz w:val="24"/>
              </w:rPr>
            </w:pPr>
            <w:r>
              <w:rPr>
                <w:rFonts w:hint="eastAsia" w:ascii="仿宋" w:hAnsi="仿宋" w:eastAsia="仿宋" w:cs="仿宋"/>
                <w:sz w:val="24"/>
              </w:rPr>
              <w:t>2</w:t>
            </w:r>
          </w:p>
        </w:tc>
        <w:tc>
          <w:tcPr>
            <w:tcW w:w="1277" w:type="dxa"/>
            <w:vAlign w:val="center"/>
          </w:tcPr>
          <w:p w14:paraId="6E0C65CB">
            <w:pPr>
              <w:spacing w:line="360" w:lineRule="auto"/>
              <w:jc w:val="center"/>
              <w:rPr>
                <w:rFonts w:ascii="仿宋" w:hAnsi="仿宋" w:eastAsia="仿宋" w:cs="仿宋"/>
                <w:sz w:val="24"/>
              </w:rPr>
            </w:pPr>
            <w:r>
              <w:rPr>
                <w:rFonts w:hint="eastAsia" w:ascii="仿宋" w:hAnsi="仿宋" w:eastAsia="仿宋" w:cs="仿宋"/>
                <w:sz w:val="24"/>
              </w:rPr>
              <w:t>电子响应文件解密</w:t>
            </w:r>
          </w:p>
        </w:tc>
        <w:tc>
          <w:tcPr>
            <w:tcW w:w="6929" w:type="dxa"/>
            <w:vAlign w:val="center"/>
          </w:tcPr>
          <w:p w14:paraId="648C28B8">
            <w:pPr>
              <w:spacing w:line="360" w:lineRule="auto"/>
              <w:jc w:val="left"/>
              <w:rPr>
                <w:rFonts w:ascii="仿宋" w:hAnsi="仿宋" w:eastAsia="仿宋" w:cs="仿宋"/>
                <w:sz w:val="24"/>
              </w:rPr>
            </w:pPr>
            <w:r>
              <w:rPr>
                <w:rFonts w:hint="eastAsia" w:ascii="仿宋" w:hAnsi="仿宋" w:eastAsia="仿宋" w:cs="仿宋"/>
                <w:sz w:val="24"/>
              </w:rPr>
              <w:t>2.1在</w:t>
            </w:r>
            <w:r>
              <w:rPr>
                <w:rFonts w:hint="eastAsia" w:ascii="仿宋" w:hAnsi="仿宋" w:eastAsia="仿宋" w:cs="仿宋"/>
                <w:bCs/>
                <w:sz w:val="24"/>
              </w:rPr>
              <w:t>磋商</w:t>
            </w:r>
            <w:r>
              <w:rPr>
                <w:rFonts w:hint="eastAsia" w:ascii="仿宋" w:hAnsi="仿宋" w:eastAsia="仿宋" w:cs="仿宋"/>
                <w:sz w:val="24"/>
              </w:rPr>
              <w:t>文件规定的响应文件开启时间后，采购代理机构会在政采云系统发出解密指令，供应商在收到解密指令后，须使用加密响应文件时所使用的数字证书（CA）对已递交（上传）的电子响应文件进行解密</w:t>
            </w:r>
            <w:r>
              <w:rPr>
                <w:rFonts w:hint="eastAsia" w:ascii="仿宋" w:hAnsi="仿宋" w:eastAsia="仿宋" w:cs="仿宋"/>
                <w:bCs/>
                <w:kern w:val="0"/>
                <w:sz w:val="24"/>
              </w:rPr>
              <w:t>（供应商自备解密设备）</w:t>
            </w:r>
            <w:r>
              <w:rPr>
                <w:rFonts w:hint="eastAsia" w:ascii="仿宋" w:hAnsi="仿宋" w:eastAsia="仿宋" w:cs="仿宋"/>
                <w:sz w:val="24"/>
              </w:rPr>
              <w:t>。</w:t>
            </w:r>
          </w:p>
          <w:p w14:paraId="27060A02">
            <w:pPr>
              <w:spacing w:line="360" w:lineRule="auto"/>
              <w:jc w:val="left"/>
              <w:rPr>
                <w:rFonts w:ascii="仿宋" w:hAnsi="仿宋" w:eastAsia="仿宋" w:cs="仿宋"/>
                <w:sz w:val="24"/>
              </w:rPr>
            </w:pPr>
            <w:r>
              <w:rPr>
                <w:rFonts w:hint="eastAsia" w:ascii="仿宋" w:hAnsi="仿宋" w:eastAsia="仿宋" w:cs="仿宋"/>
                <w:sz w:val="24"/>
              </w:rPr>
              <w:t>2.2电子响应文件解密时间：30分钟。</w:t>
            </w:r>
          </w:p>
          <w:p w14:paraId="3630853D">
            <w:pPr>
              <w:spacing w:line="360" w:lineRule="auto"/>
              <w:jc w:val="left"/>
              <w:rPr>
                <w:rFonts w:ascii="仿宋" w:hAnsi="仿宋" w:eastAsia="仿宋" w:cs="仿宋"/>
                <w:sz w:val="24"/>
              </w:rPr>
            </w:pPr>
            <w:r>
              <w:rPr>
                <w:rFonts w:hint="eastAsia" w:ascii="仿宋" w:hAnsi="仿宋" w:eastAsia="仿宋" w:cs="仿宋"/>
                <w:sz w:val="24"/>
              </w:rPr>
              <w:t>2.3电子响应文件解密流程：使用用户名密码或电子CA登录政采云系统→项目采购→开标评标→找到对应项目→解密→输入CA密码→开始下载→解密完成。</w:t>
            </w:r>
          </w:p>
          <w:p w14:paraId="5081F149">
            <w:pPr>
              <w:spacing w:line="360" w:lineRule="auto"/>
              <w:jc w:val="left"/>
              <w:rPr>
                <w:rFonts w:ascii="仿宋" w:hAnsi="仿宋" w:eastAsia="仿宋" w:cs="仿宋"/>
                <w:sz w:val="24"/>
              </w:rPr>
            </w:pPr>
            <w:r>
              <w:rPr>
                <w:rFonts w:hint="eastAsia" w:ascii="仿宋" w:hAnsi="仿宋" w:eastAsia="仿宋" w:cs="仿宋"/>
                <w:sz w:val="24"/>
              </w:rPr>
              <w:t>2.4因供应商原因造成响应文件未解密的，视为撤销其响应文件，包括以下情形：</w:t>
            </w:r>
          </w:p>
          <w:p w14:paraId="68011151">
            <w:pPr>
              <w:spacing w:line="360" w:lineRule="auto"/>
              <w:jc w:val="left"/>
              <w:rPr>
                <w:rFonts w:ascii="仿宋" w:hAnsi="仿宋" w:eastAsia="仿宋" w:cs="仿宋"/>
                <w:sz w:val="24"/>
              </w:rPr>
            </w:pPr>
            <w:r>
              <w:rPr>
                <w:rFonts w:hint="eastAsia" w:ascii="仿宋" w:hAnsi="仿宋" w:eastAsia="仿宋" w:cs="仿宋"/>
                <w:sz w:val="24"/>
              </w:rPr>
              <w:t>（1)供应商未在规定时间内解密响应文件的；</w:t>
            </w:r>
          </w:p>
          <w:p w14:paraId="7ECB22B6">
            <w:pPr>
              <w:spacing w:line="360" w:lineRule="auto"/>
              <w:jc w:val="left"/>
              <w:rPr>
                <w:rFonts w:ascii="仿宋" w:hAnsi="仿宋" w:eastAsia="仿宋" w:cs="仿宋"/>
                <w:sz w:val="24"/>
              </w:rPr>
            </w:pPr>
            <w:r>
              <w:rPr>
                <w:rFonts w:hint="eastAsia" w:ascii="仿宋" w:hAnsi="仿宋" w:eastAsia="仿宋" w:cs="仿宋"/>
                <w:sz w:val="24"/>
              </w:rPr>
              <w:t>（2)供应商使用非本次磋商加密用CA数字证书解密的；</w:t>
            </w:r>
          </w:p>
          <w:p w14:paraId="0E773B91">
            <w:pPr>
              <w:spacing w:line="360" w:lineRule="auto"/>
              <w:jc w:val="left"/>
              <w:rPr>
                <w:rFonts w:ascii="仿宋" w:hAnsi="仿宋" w:eastAsia="仿宋" w:cs="仿宋"/>
                <w:sz w:val="24"/>
              </w:rPr>
            </w:pPr>
            <w:r>
              <w:rPr>
                <w:rFonts w:hint="eastAsia" w:ascii="仿宋" w:hAnsi="仿宋" w:eastAsia="仿宋" w:cs="仿宋"/>
                <w:sz w:val="24"/>
              </w:rPr>
              <w:t>（3)供应商使用的CA数字证书属于注销或无效或损坏的。</w:t>
            </w:r>
          </w:p>
        </w:tc>
      </w:tr>
      <w:tr w14:paraId="3CE8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3" w:type="dxa"/>
            <w:vAlign w:val="center"/>
          </w:tcPr>
          <w:p w14:paraId="4462448A">
            <w:pPr>
              <w:spacing w:line="360" w:lineRule="auto"/>
              <w:jc w:val="center"/>
              <w:rPr>
                <w:rFonts w:ascii="仿宋" w:hAnsi="仿宋" w:eastAsia="仿宋" w:cs="仿宋"/>
                <w:sz w:val="24"/>
              </w:rPr>
            </w:pPr>
            <w:r>
              <w:rPr>
                <w:rFonts w:hint="eastAsia" w:ascii="仿宋" w:hAnsi="仿宋" w:eastAsia="仿宋" w:cs="仿宋"/>
                <w:sz w:val="24"/>
              </w:rPr>
              <w:t>3</w:t>
            </w:r>
          </w:p>
        </w:tc>
        <w:tc>
          <w:tcPr>
            <w:tcW w:w="1277" w:type="dxa"/>
            <w:vAlign w:val="center"/>
          </w:tcPr>
          <w:p w14:paraId="795F2A2E">
            <w:pPr>
              <w:spacing w:line="360" w:lineRule="auto"/>
              <w:jc w:val="center"/>
              <w:rPr>
                <w:rFonts w:ascii="仿宋" w:hAnsi="仿宋" w:eastAsia="仿宋" w:cs="仿宋"/>
                <w:sz w:val="24"/>
              </w:rPr>
            </w:pPr>
            <w:r>
              <w:rPr>
                <w:rFonts w:hint="eastAsia" w:ascii="仿宋" w:hAnsi="仿宋" w:eastAsia="仿宋" w:cs="仿宋"/>
                <w:sz w:val="24"/>
              </w:rPr>
              <w:t>其他</w:t>
            </w:r>
          </w:p>
        </w:tc>
        <w:tc>
          <w:tcPr>
            <w:tcW w:w="6929" w:type="dxa"/>
            <w:vAlign w:val="center"/>
          </w:tcPr>
          <w:p w14:paraId="7ED27706">
            <w:pPr>
              <w:spacing w:line="360" w:lineRule="auto"/>
              <w:jc w:val="left"/>
              <w:rPr>
                <w:rFonts w:ascii="仿宋" w:hAnsi="仿宋" w:eastAsia="仿宋" w:cs="仿宋"/>
                <w:sz w:val="24"/>
              </w:rPr>
            </w:pPr>
            <w:r>
              <w:rPr>
                <w:rFonts w:hint="eastAsia" w:ascii="仿宋" w:hAnsi="仿宋" w:eastAsia="仿宋" w:cs="仿宋"/>
                <w:sz w:val="24"/>
              </w:rPr>
              <w:t>3.1本项目采购活动的全过程采用电子形式进行。</w:t>
            </w:r>
          </w:p>
        </w:tc>
      </w:tr>
    </w:tbl>
    <w:p w14:paraId="50A43127">
      <w:pPr>
        <w:rPr>
          <w:rFonts w:ascii="仿宋" w:hAnsi="仿宋" w:eastAsia="仿宋" w:cs="仿宋"/>
        </w:rPr>
      </w:pPr>
    </w:p>
    <w:p w14:paraId="3DE70B4B">
      <w:pPr>
        <w:pStyle w:val="5"/>
        <w:rPr>
          <w:rFonts w:ascii="仿宋" w:hAnsi="仿宋" w:eastAsia="仿宋" w:cs="仿宋"/>
          <w:sz w:val="24"/>
          <w:szCs w:val="24"/>
        </w:rPr>
      </w:pPr>
      <w:bookmarkStart w:id="51" w:name="_Toc79599052"/>
      <w:bookmarkStart w:id="52" w:name="_Toc32745"/>
      <w:bookmarkStart w:id="53" w:name="_Toc11018"/>
      <w:bookmarkStart w:id="54" w:name="_Toc29613"/>
      <w:r>
        <w:rPr>
          <w:rFonts w:hint="eastAsia" w:ascii="仿宋" w:hAnsi="仿宋" w:eastAsia="仿宋" w:cs="仿宋"/>
          <w:sz w:val="24"/>
          <w:szCs w:val="24"/>
        </w:rPr>
        <w:t>一、总则</w:t>
      </w:r>
      <w:bookmarkEnd w:id="51"/>
      <w:bookmarkEnd w:id="52"/>
      <w:bookmarkEnd w:id="53"/>
      <w:bookmarkEnd w:id="54"/>
    </w:p>
    <w:p w14:paraId="620594A4">
      <w:pPr>
        <w:snapToGrid w:val="0"/>
        <w:spacing w:line="360" w:lineRule="auto"/>
        <w:ind w:firstLine="482" w:firstLineChars="200"/>
        <w:jc w:val="left"/>
        <w:rPr>
          <w:rFonts w:ascii="仿宋" w:hAnsi="仿宋" w:eastAsia="仿宋" w:cs="仿宋"/>
          <w:b/>
          <w:color w:val="000000"/>
          <w:kern w:val="0"/>
          <w:sz w:val="24"/>
        </w:rPr>
      </w:pPr>
      <w:r>
        <w:rPr>
          <w:rFonts w:hint="eastAsia" w:ascii="仿宋" w:hAnsi="仿宋" w:eastAsia="仿宋" w:cs="仿宋"/>
          <w:b/>
          <w:color w:val="000000"/>
          <w:kern w:val="0"/>
          <w:sz w:val="24"/>
        </w:rPr>
        <w:t>1. 适用范围</w:t>
      </w:r>
    </w:p>
    <w:p w14:paraId="5338E979">
      <w:pPr>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仅适用于本次竞争性磋商文件中政府采购的项目</w:t>
      </w:r>
      <w:r>
        <w:rPr>
          <w:rFonts w:hint="eastAsia" w:ascii="仿宋" w:hAnsi="仿宋" w:eastAsia="仿宋" w:cs="仿宋"/>
          <w:color w:val="000000"/>
          <w:kern w:val="0"/>
          <w:sz w:val="24"/>
        </w:rPr>
        <w:tab/>
      </w:r>
    </w:p>
    <w:p w14:paraId="4CB8D5C1">
      <w:pPr>
        <w:tabs>
          <w:tab w:val="left" w:pos="962"/>
        </w:tabs>
        <w:snapToGrid w:val="0"/>
        <w:spacing w:line="360" w:lineRule="auto"/>
        <w:ind w:firstLine="482" w:firstLineChars="200"/>
        <w:jc w:val="left"/>
        <w:rPr>
          <w:rFonts w:ascii="仿宋" w:hAnsi="仿宋" w:eastAsia="仿宋" w:cs="仿宋"/>
          <w:b/>
          <w:color w:val="000000"/>
          <w:kern w:val="0"/>
          <w:sz w:val="24"/>
        </w:rPr>
      </w:pPr>
      <w:r>
        <w:rPr>
          <w:rFonts w:hint="eastAsia" w:ascii="仿宋" w:hAnsi="仿宋" w:eastAsia="仿宋" w:cs="仿宋"/>
          <w:b/>
          <w:color w:val="000000"/>
          <w:kern w:val="0"/>
          <w:sz w:val="24"/>
        </w:rPr>
        <w:t>2. 定义</w:t>
      </w:r>
    </w:p>
    <w:p w14:paraId="66687F7F">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2.1采购方：指进行本次磋商活动的单位。</w:t>
      </w:r>
    </w:p>
    <w:p w14:paraId="7BA28C0D">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sz w:val="24"/>
        </w:rPr>
        <w:t xml:space="preserve">2.2 </w:t>
      </w:r>
      <w:r>
        <w:rPr>
          <w:rFonts w:hint="eastAsia" w:ascii="仿宋" w:hAnsi="仿宋" w:eastAsia="仿宋" w:cs="仿宋"/>
          <w:color w:val="000000"/>
          <w:kern w:val="0"/>
          <w:sz w:val="24"/>
        </w:rPr>
        <w:t>代理机构：指在采购方委托的范围内依法开展磋商活动，组织本次磋商活动的执行机构，即“采购代理机构名称”。</w:t>
      </w:r>
    </w:p>
    <w:p w14:paraId="35721A0B">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2.3供应商：指符合本磋商文件规定向按期提供响应文件参加磋商活动的</w:t>
      </w:r>
      <w:r>
        <w:rPr>
          <w:rFonts w:hint="eastAsia" w:ascii="仿宋" w:hAnsi="仿宋" w:eastAsia="仿宋" w:cs="仿宋"/>
          <w:kern w:val="0"/>
          <w:sz w:val="24"/>
        </w:rPr>
        <w:t>法人、其他组织或者自然人。</w:t>
      </w:r>
    </w:p>
    <w:p w14:paraId="6237D776">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2.4潜在供应商：指符合本磋商文件各项规定的供应商。</w:t>
      </w:r>
    </w:p>
    <w:p w14:paraId="2F1D0595">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2.5货物：指供应商按磋商文件商务技术要求，向采购人有偿提供的各种物品及其他有关技术资料和材料。</w:t>
      </w:r>
    </w:p>
    <w:p w14:paraId="1E1550DC">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2.6服务：指磋商文件规定的供应商为完成项目所需承担的全部义务。如按要求完成服务及本磋商文件和合同中规定由供应商承担的其他义务。</w:t>
      </w:r>
    </w:p>
    <w:p w14:paraId="0E14B0C6">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2.7磋商文件：是采购代理机构根据国家相关法律法规政策和采购人采购需求制定的向潜在供应商发出并告知项目需求、磋商活动规则和合同条件等信息的要约文件，是本项目磋商活动的主要依据，对磋商活动各方均具有法律约束力。</w:t>
      </w:r>
    </w:p>
    <w:p w14:paraId="1D7968AB">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2.8响应文件：是指供应商应磋商文件的条件和要求，按规定编制并按时递交的文件。</w:t>
      </w:r>
    </w:p>
    <w:p w14:paraId="6FF2101C">
      <w:pPr>
        <w:tabs>
          <w:tab w:val="left" w:pos="567"/>
        </w:tabs>
        <w:snapToGrid w:val="0"/>
        <w:spacing w:line="360" w:lineRule="auto"/>
        <w:ind w:firstLine="482" w:firstLineChars="200"/>
        <w:rPr>
          <w:rFonts w:ascii="仿宋" w:hAnsi="仿宋" w:eastAsia="仿宋" w:cs="仿宋"/>
          <w:b/>
          <w:color w:val="000000"/>
          <w:kern w:val="0"/>
          <w:sz w:val="24"/>
        </w:rPr>
      </w:pPr>
      <w:r>
        <w:rPr>
          <w:rFonts w:hint="eastAsia" w:ascii="仿宋" w:hAnsi="仿宋" w:eastAsia="仿宋" w:cs="仿宋"/>
          <w:b/>
          <w:color w:val="000000"/>
          <w:kern w:val="0"/>
          <w:sz w:val="24"/>
        </w:rPr>
        <w:t>3. 合格供应商</w:t>
      </w:r>
    </w:p>
    <w:p w14:paraId="2DF10A28">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3.1 具有本项目要求的服务能力，符合、承认并承诺改造本磋商文件各项规定的国内供应商。</w:t>
      </w:r>
    </w:p>
    <w:p w14:paraId="182C2078">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3.2 符合《中华人民共和国政府采购法》第二十二条供应商参加政府采购活动应当具备的条件及其他有关法律、法规关于供应商的有关规定，有能力提供采购服务的供应商。</w:t>
      </w:r>
    </w:p>
    <w:p w14:paraId="69D05D4E">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3.3单位负责人为同一人或者存在直接控股、管理关系的不同供应商，不得同时参加本项目的政府采购活动。为本项目前期提供整体设计、规范编制或者项目管理、监理、检测等服务的供应商，不得再参加本项目的磋商活动。</w:t>
      </w:r>
    </w:p>
    <w:p w14:paraId="43FBFD65">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3.4关于是否允许联合体磋商（见前附表第11项）。</w:t>
      </w:r>
    </w:p>
    <w:p w14:paraId="1A78CC8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若《磋商邀请函》接受联合体参加的：</w:t>
      </w:r>
    </w:p>
    <w:p w14:paraId="37796F6A">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（1）两个以上的法人或者其他组织或自然人可以组成一个联合体，以一个供应商的身份共同参加。</w:t>
      </w:r>
    </w:p>
    <w:p w14:paraId="2EDEF60D">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联合体各方均应当符合《政府采购法》第二十二条第一款规定的条件，根据采购项目的特殊要求规定供应商特定条件的，联合体各方中至少应当有一方符合《磋商邀请函》规定的供应商资格条件（实质性要求）。</w:t>
      </w:r>
    </w:p>
    <w:p w14:paraId="605678E3">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（3）联合体各方均应当提供供应商的有效的资格证明文件。</w:t>
      </w:r>
    </w:p>
    <w:p w14:paraId="6E1E4306">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联合体各方之间应当签订共同磋商协议并在响应文件内提交，明确约定联合体主体及联合体各方承担的工作和相应的责任。联合体各方签订共同磋商协议后，不得再以自己名义单独在同一项目中参加磋商活动，也不得组成新的联合体参加同一项目的磋商。联合磋商协议格式见本磋商文件第七部分响应文件格式。</w:t>
      </w:r>
    </w:p>
    <w:p w14:paraId="53313145">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（5）下载磋商文件时，应以联合体协议中确定的主体方名义下载。</w:t>
      </w:r>
    </w:p>
    <w:p w14:paraId="4FE8C4F6">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（6）联合体参加的，应以主体方名义提交磋商保证金（如有），对联合体各方均具有约束力。</w:t>
      </w:r>
    </w:p>
    <w:p w14:paraId="016B5399">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由同一专业的单位组成的联合体，按照同一项资质等级较低的单位确定资质等级。业绩等有关打分内容根据共同磋商协议约定的各方承担的工作和相应责任，确定一方打分，不累加打分；评审标准无明确或难以明确对应哪一方的打分内容按主体方打分。</w:t>
      </w:r>
    </w:p>
    <w:p w14:paraId="2571F21A">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（8）联合体中任意一方为中小企业的，该方应提供《中小企业声明函》。</w:t>
      </w:r>
    </w:p>
    <w:p w14:paraId="1C0105FC">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（9）联合体各方应当共同与采购人签订采购合同，就采购合同约定的事项对采购人承担连带责任。</w:t>
      </w:r>
    </w:p>
    <w:p w14:paraId="4551CDFD">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3.5关于关联企业</w:t>
      </w:r>
    </w:p>
    <w:p w14:paraId="1D2134DF">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除联合体外，法定代表人或单位负责人为同一个人或者存在直接控股、管理关系的不同供应商，不得同时参加同一项目或同一子项目的磋商活动。如同时参加，则评审时将同时被拒绝。</w:t>
      </w:r>
    </w:p>
    <w:p w14:paraId="64280CCD">
      <w:pPr>
        <w:autoSpaceDE w:val="0"/>
        <w:autoSpaceDN w:val="0"/>
        <w:adjustRightInd w:val="0"/>
        <w:spacing w:line="360" w:lineRule="auto"/>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3.</w:t>
      </w:r>
      <w:r>
        <w:rPr>
          <w:rFonts w:hint="eastAsia" w:ascii="仿宋" w:hAnsi="仿宋" w:eastAsia="仿宋" w:cs="仿宋"/>
          <w:kern w:val="0"/>
          <w:sz w:val="24"/>
          <w:highlight w:val="none"/>
          <w:lang w:val="en-US" w:eastAsia="zh-CN"/>
        </w:rPr>
        <w:t>6</w:t>
      </w:r>
      <w:r>
        <w:rPr>
          <w:rFonts w:hint="eastAsia" w:ascii="仿宋" w:hAnsi="仿宋" w:eastAsia="仿宋" w:cs="仿宋"/>
          <w:kern w:val="0"/>
          <w:sz w:val="24"/>
          <w:highlight w:val="none"/>
        </w:rPr>
        <w:t>关于中小微企业参与磋商</w:t>
      </w:r>
    </w:p>
    <w:p w14:paraId="760E44D7">
      <w:pPr>
        <w:autoSpaceDE w:val="0"/>
        <w:autoSpaceDN w:val="0"/>
        <w:adjustRightInd w:val="0"/>
        <w:spacing w:line="360" w:lineRule="auto"/>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中小微企业是指符合《政府采购促进中小企业发展管理办法》（财库[2020]46号）规定的供应商。中小微企业参与磋商应提供《中小企业声明函》。</w:t>
      </w:r>
    </w:p>
    <w:p w14:paraId="6022F6E7">
      <w:pPr>
        <w:autoSpaceDE w:val="0"/>
        <w:autoSpaceDN w:val="0"/>
        <w:adjustRightInd w:val="0"/>
        <w:spacing w:line="360" w:lineRule="auto"/>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监狱企业参加时，提供由省级以上监狱管理局、戒毒管理局（含新疆生产建设兵团）出具的属于监狱企业的证明文件，不再提供《中小企业声明函》。</w:t>
      </w:r>
    </w:p>
    <w:p w14:paraId="0DE1CCEF">
      <w:pPr>
        <w:autoSpaceDE w:val="0"/>
        <w:autoSpaceDN w:val="0"/>
        <w:adjustRightInd w:val="0"/>
        <w:spacing w:line="360" w:lineRule="auto"/>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残疾人福利性单位视同为小型、微型企业。</w:t>
      </w:r>
    </w:p>
    <w:p w14:paraId="486E67F3">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highlight w:val="none"/>
        </w:rPr>
        <w:t>3.</w:t>
      </w:r>
      <w:r>
        <w:rPr>
          <w:rFonts w:hint="eastAsia" w:ascii="仿宋" w:hAnsi="仿宋" w:eastAsia="仿宋" w:cs="仿宋"/>
          <w:kern w:val="0"/>
          <w:sz w:val="24"/>
          <w:highlight w:val="none"/>
          <w:lang w:val="en-US" w:eastAsia="zh-CN"/>
        </w:rPr>
        <w:t>7</w:t>
      </w:r>
      <w:r>
        <w:rPr>
          <w:rFonts w:hint="eastAsia" w:ascii="仿宋" w:hAnsi="仿宋" w:eastAsia="仿宋" w:cs="仿宋"/>
          <w:kern w:val="0"/>
          <w:sz w:val="24"/>
        </w:rPr>
        <w:t>关于分公司参加磋商</w:t>
      </w:r>
    </w:p>
    <w:p w14:paraId="1DEAF8C8">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分公司作为供应商参与本项目政府采购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4B137FEA">
      <w:pPr>
        <w:snapToGrid w:val="0"/>
        <w:spacing w:line="360" w:lineRule="auto"/>
        <w:ind w:firstLine="482" w:firstLineChars="200"/>
        <w:jc w:val="left"/>
        <w:rPr>
          <w:rFonts w:ascii="仿宋" w:hAnsi="仿宋" w:eastAsia="仿宋" w:cs="仿宋"/>
          <w:b/>
          <w:color w:val="000000"/>
          <w:kern w:val="0"/>
          <w:sz w:val="24"/>
        </w:rPr>
      </w:pPr>
      <w:r>
        <w:rPr>
          <w:rFonts w:hint="eastAsia" w:ascii="仿宋" w:hAnsi="仿宋" w:eastAsia="仿宋" w:cs="仿宋"/>
          <w:b/>
          <w:color w:val="000000"/>
          <w:kern w:val="0"/>
          <w:sz w:val="24"/>
        </w:rPr>
        <w:t>4.合格的服务</w:t>
      </w:r>
    </w:p>
    <w:p w14:paraId="4AD2035F">
      <w:pPr>
        <w:autoSpaceDE w:val="0"/>
        <w:autoSpaceDN w:val="0"/>
        <w:adjustRightIn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供应商提供的服务应当符合磋商文件的要求，并且其服务质量完全符合国家标准、行业标准或地方标准。</w:t>
      </w:r>
    </w:p>
    <w:p w14:paraId="505FC54D">
      <w:pPr>
        <w:snapToGrid w:val="0"/>
        <w:spacing w:line="360" w:lineRule="auto"/>
        <w:ind w:firstLine="482" w:firstLineChars="200"/>
        <w:jc w:val="left"/>
        <w:rPr>
          <w:rFonts w:ascii="仿宋" w:hAnsi="仿宋" w:eastAsia="仿宋" w:cs="仿宋"/>
          <w:b/>
          <w:color w:val="000000"/>
          <w:kern w:val="0"/>
          <w:sz w:val="24"/>
        </w:rPr>
      </w:pPr>
      <w:r>
        <w:rPr>
          <w:rFonts w:hint="eastAsia" w:ascii="仿宋" w:hAnsi="仿宋" w:eastAsia="仿宋" w:cs="仿宋"/>
          <w:b/>
          <w:color w:val="000000"/>
          <w:kern w:val="0"/>
          <w:sz w:val="24"/>
        </w:rPr>
        <w:t>5. 磋商费用</w:t>
      </w:r>
    </w:p>
    <w:p w14:paraId="64FD1C80">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5.1</w:t>
      </w:r>
      <w:r>
        <w:rPr>
          <w:rFonts w:hint="eastAsia" w:ascii="仿宋" w:hAnsi="仿宋" w:eastAsia="仿宋" w:cs="仿宋"/>
          <w:kern w:val="0"/>
          <w:sz w:val="24"/>
        </w:rPr>
        <w:t>供应商应承担准备和参与磋商有关的所有费用，采购代理机构或采购人在任何情况下均无义务和责任承担这些费用。</w:t>
      </w:r>
    </w:p>
    <w:p w14:paraId="6D331FF5">
      <w:pPr>
        <w:tabs>
          <w:tab w:val="left" w:pos="567"/>
        </w:tabs>
        <w:snapToGrid w:val="0"/>
        <w:spacing w:line="360" w:lineRule="auto"/>
        <w:ind w:firstLine="482" w:firstLineChars="200"/>
        <w:rPr>
          <w:rFonts w:ascii="仿宋" w:hAnsi="仿宋" w:eastAsia="仿宋" w:cs="仿宋"/>
          <w:b/>
          <w:color w:val="000000"/>
          <w:kern w:val="0"/>
          <w:sz w:val="24"/>
        </w:rPr>
      </w:pPr>
      <w:r>
        <w:rPr>
          <w:rFonts w:hint="eastAsia" w:ascii="仿宋" w:hAnsi="仿宋" w:eastAsia="仿宋" w:cs="仿宋"/>
          <w:b/>
          <w:color w:val="000000"/>
          <w:kern w:val="0"/>
          <w:sz w:val="24"/>
        </w:rPr>
        <w:t>6 磋商要求</w:t>
      </w:r>
    </w:p>
    <w:p w14:paraId="569B000C">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6.1供应商所提供的服务被采购人采用时，成交供应商所提供的服务必须符合本《磋商文件》的要求并按要求实施，并认真履行合同规定的相关条款。</w:t>
      </w:r>
    </w:p>
    <w:p w14:paraId="19D7C9BD">
      <w:pPr>
        <w:tabs>
          <w:tab w:val="left" w:pos="567"/>
        </w:tabs>
        <w:snapToGrid w:val="0"/>
        <w:spacing w:line="360" w:lineRule="auto"/>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6.2采购代理机构或者采购人可以在磋商文件提供期限截止后，组织已获取磋商文件的潜在供应商现场勘查或者召开标前答疑会。是否组织现场勘查或者召开答疑会的，详见供应商前附表第6项。而无论采购代理机构是否安排踏勘现场，潜在供应商均应当将相关的因素作为磋商响应所应当考虑或依据的因素。</w:t>
      </w:r>
    </w:p>
    <w:p w14:paraId="1337B84A">
      <w:pPr>
        <w:tabs>
          <w:tab w:val="left" w:pos="567"/>
        </w:tabs>
        <w:snapToGrid w:val="0"/>
        <w:spacing w:line="360" w:lineRule="auto"/>
        <w:ind w:firstLine="482" w:firstLineChars="200"/>
        <w:rPr>
          <w:rFonts w:ascii="仿宋" w:hAnsi="仿宋" w:eastAsia="仿宋" w:cs="仿宋"/>
          <w:b/>
          <w:color w:val="000000"/>
          <w:kern w:val="0"/>
          <w:sz w:val="24"/>
        </w:rPr>
      </w:pPr>
      <w:r>
        <w:rPr>
          <w:rFonts w:hint="eastAsia" w:ascii="仿宋" w:hAnsi="仿宋" w:eastAsia="仿宋" w:cs="仿宋"/>
          <w:b/>
          <w:color w:val="000000"/>
          <w:kern w:val="0"/>
          <w:sz w:val="24"/>
        </w:rPr>
        <w:t>7. 通知</w:t>
      </w:r>
    </w:p>
    <w:p w14:paraId="1A717371">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7.1对与本项目有关的通知，代理机构将通过</w:t>
      </w:r>
      <w:r>
        <w:rPr>
          <w:rFonts w:hint="eastAsia" w:ascii="仿宋" w:hAnsi="仿宋" w:eastAsia="仿宋" w:cs="仿宋"/>
          <w:color w:val="000000"/>
          <w:kern w:val="0"/>
          <w:sz w:val="24"/>
          <w:u w:val="single"/>
        </w:rPr>
        <w:t>山西政府采购平台政采云系统中</w:t>
      </w:r>
      <w:r>
        <w:rPr>
          <w:rFonts w:hint="eastAsia" w:ascii="仿宋" w:hAnsi="仿宋" w:eastAsia="仿宋" w:cs="仿宋"/>
          <w:color w:val="000000"/>
          <w:kern w:val="0"/>
          <w:sz w:val="24"/>
        </w:rPr>
        <w:t>发出（视同书面通知），因线路故障导致通知延迟或无法查看，代理机构或采购方将不承担任何责任，有关的磋商活动可以继续有效地进行。</w:t>
      </w:r>
    </w:p>
    <w:p w14:paraId="347F85B3">
      <w:pPr>
        <w:snapToGrid w:val="0"/>
        <w:spacing w:line="360" w:lineRule="auto"/>
        <w:ind w:firstLine="482" w:firstLineChars="200"/>
        <w:rPr>
          <w:rFonts w:ascii="仿宋" w:hAnsi="仿宋" w:eastAsia="仿宋" w:cs="仿宋"/>
          <w:b/>
          <w:bCs/>
          <w:kern w:val="0"/>
          <w:sz w:val="24"/>
        </w:rPr>
      </w:pPr>
      <w:r>
        <w:rPr>
          <w:rFonts w:hint="eastAsia" w:ascii="仿宋" w:hAnsi="仿宋" w:eastAsia="仿宋" w:cs="仿宋"/>
          <w:b/>
          <w:bCs/>
          <w:kern w:val="0"/>
          <w:sz w:val="24"/>
        </w:rPr>
        <w:t>8.解释权</w:t>
      </w:r>
    </w:p>
    <w:p w14:paraId="432365C9">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8.1本次磋商活动的最终解释权归为采购人、采购代理机构。</w:t>
      </w:r>
    </w:p>
    <w:p w14:paraId="216250C1">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8.2当对一个问题有多种解释时以采购人、采购代理机构的解释为准。</w:t>
      </w:r>
    </w:p>
    <w:p w14:paraId="5AE6F04D">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8.3本文件未作须知明示，而又有相关法律、法规规定的，采购人、采购代理机构将依据相关法律法规的规定进行解释。</w:t>
      </w:r>
    </w:p>
    <w:p w14:paraId="5E3817F2">
      <w:pPr>
        <w:pStyle w:val="5"/>
        <w:rPr>
          <w:rFonts w:ascii="仿宋" w:hAnsi="仿宋" w:eastAsia="仿宋" w:cs="仿宋"/>
          <w:sz w:val="24"/>
          <w:szCs w:val="24"/>
        </w:rPr>
      </w:pPr>
      <w:bookmarkStart w:id="55" w:name="_Toc12605"/>
      <w:bookmarkStart w:id="56" w:name="_Toc23249"/>
      <w:bookmarkStart w:id="57" w:name="_Toc25882"/>
      <w:bookmarkStart w:id="58" w:name="_Toc79599053"/>
      <w:r>
        <w:rPr>
          <w:rFonts w:hint="eastAsia" w:ascii="仿宋" w:hAnsi="仿宋" w:eastAsia="仿宋" w:cs="仿宋"/>
          <w:sz w:val="24"/>
          <w:szCs w:val="24"/>
        </w:rPr>
        <w:t>二、磋商文件</w:t>
      </w:r>
      <w:bookmarkEnd w:id="55"/>
      <w:bookmarkEnd w:id="56"/>
      <w:bookmarkEnd w:id="57"/>
      <w:bookmarkEnd w:id="58"/>
    </w:p>
    <w:p w14:paraId="7FDA4A7E">
      <w:pPr>
        <w:snapToGrid w:val="0"/>
        <w:spacing w:line="360" w:lineRule="auto"/>
        <w:ind w:firstLine="477" w:firstLineChars="198"/>
        <w:jc w:val="left"/>
        <w:rPr>
          <w:rFonts w:ascii="仿宋" w:hAnsi="仿宋" w:eastAsia="仿宋" w:cs="仿宋"/>
          <w:b/>
          <w:color w:val="000000"/>
          <w:kern w:val="0"/>
          <w:sz w:val="24"/>
        </w:rPr>
      </w:pPr>
      <w:r>
        <w:rPr>
          <w:rFonts w:hint="eastAsia" w:ascii="仿宋" w:hAnsi="仿宋" w:eastAsia="仿宋" w:cs="仿宋"/>
          <w:b/>
          <w:color w:val="000000"/>
          <w:kern w:val="0"/>
          <w:sz w:val="24"/>
        </w:rPr>
        <w:t>9.磋商文件的内容</w:t>
      </w:r>
    </w:p>
    <w:p w14:paraId="44C6CC42">
      <w:pPr>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9.1磋商文件由下列六部分内容组成：</w:t>
      </w:r>
    </w:p>
    <w:p w14:paraId="4AC9DE6C">
      <w:pPr>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第一部分 磋商公告；</w:t>
      </w:r>
    </w:p>
    <w:p w14:paraId="60AA689A">
      <w:pPr>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第二部分 供应商须知前附表；</w:t>
      </w:r>
    </w:p>
    <w:p w14:paraId="2B96B29B">
      <w:pPr>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第三部分 评审标准和评定方法；</w:t>
      </w:r>
    </w:p>
    <w:p w14:paraId="533B35E8">
      <w:pPr>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第四部分 商务、技术要求；</w:t>
      </w:r>
    </w:p>
    <w:p w14:paraId="50F339B4">
      <w:pPr>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第五部分 合同范本；</w:t>
      </w:r>
    </w:p>
    <w:p w14:paraId="38E8EB8C">
      <w:pPr>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第六部分 响应文件格式；</w:t>
      </w:r>
    </w:p>
    <w:p w14:paraId="3E6050F2">
      <w:pPr>
        <w:pStyle w:val="152"/>
        <w:spacing w:line="360" w:lineRule="auto"/>
        <w:ind w:left="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9.2供应商应详细阅读磋商文件的全部内容。如果没有按照磋商文件要求提交全部资料或者没有对磋商文件在各方面都做出实质性响应，有可能被确定为响应无效。</w:t>
      </w:r>
    </w:p>
    <w:p w14:paraId="4C048A3A">
      <w:pPr>
        <w:pStyle w:val="152"/>
        <w:spacing w:line="360" w:lineRule="auto"/>
        <w:ind w:left="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9.3 除非特殊要求，磋商文件不单独提供本磋商项目使用地的自然环境、气候条件、公用设施等情况，供应商被视为熟悉上述与履行合同有关的一切情况。</w:t>
      </w:r>
    </w:p>
    <w:p w14:paraId="359AFAEC">
      <w:pPr>
        <w:pStyle w:val="152"/>
        <w:spacing w:line="360" w:lineRule="auto"/>
        <w:ind w:left="0" w:firstLine="482" w:firstLineChars="200"/>
        <w:jc w:val="both"/>
        <w:rPr>
          <w:rFonts w:ascii="仿宋" w:hAnsi="仿宋" w:eastAsia="仿宋" w:cs="仿宋"/>
          <w:b/>
          <w:bCs/>
          <w:color w:val="000000"/>
          <w:sz w:val="24"/>
          <w:szCs w:val="24"/>
        </w:rPr>
      </w:pPr>
      <w:r>
        <w:rPr>
          <w:rFonts w:hint="eastAsia" w:ascii="仿宋" w:hAnsi="仿宋" w:eastAsia="仿宋" w:cs="仿宋"/>
          <w:b/>
          <w:bCs/>
          <w:color w:val="000000"/>
          <w:sz w:val="24"/>
          <w:szCs w:val="24"/>
        </w:rPr>
        <w:t>10. 磋商文件的澄清和修改</w:t>
      </w:r>
    </w:p>
    <w:p w14:paraId="254767F9">
      <w:pPr>
        <w:pStyle w:val="152"/>
        <w:spacing w:line="360" w:lineRule="auto"/>
        <w:ind w:left="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10.1澄清或修改时间及处理：提交首次响应文件截止日（响应文件开启时间，下同）之前，代理机构或采购方可以对已发出的磋商文件进行必要的澄清或修改，其内容作为磋商文件的组成部分。所澄清或修改内容可能影响响应文件编制的，代理机构或采购方应当在提交首次响应文件截止时间至少5日前，以公告形式在</w:t>
      </w:r>
      <w:r>
        <w:rPr>
          <w:rFonts w:hint="eastAsia" w:ascii="仿宋" w:hAnsi="仿宋" w:eastAsia="仿宋" w:cs="仿宋"/>
          <w:color w:val="000000"/>
          <w:sz w:val="24"/>
          <w:szCs w:val="24"/>
          <w:u w:val="single"/>
        </w:rPr>
        <w:t>中国山西省政府采购网</w:t>
      </w:r>
      <w:r>
        <w:rPr>
          <w:rFonts w:hint="eastAsia" w:ascii="仿宋" w:hAnsi="仿宋" w:eastAsia="仿宋" w:cs="仿宋"/>
          <w:color w:val="000000"/>
          <w:sz w:val="24"/>
          <w:szCs w:val="24"/>
        </w:rPr>
        <w:t>发布变更公告。不足5日的，应当顺延提交首次响应文件截止时间。</w:t>
      </w:r>
    </w:p>
    <w:p w14:paraId="02EF6F63">
      <w:pPr>
        <w:pStyle w:val="152"/>
        <w:spacing w:line="360" w:lineRule="auto"/>
        <w:ind w:left="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10.2澄清修改的补充文件中包括原提出的问题及问题的说明意见，但不包括问题的来源。</w:t>
      </w:r>
    </w:p>
    <w:p w14:paraId="16B967A9">
      <w:pPr>
        <w:pStyle w:val="152"/>
        <w:spacing w:line="360" w:lineRule="auto"/>
        <w:ind w:left="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10.3供应商澄清、询问时间及方式：任何已下载了磋商文件的供应商，均应在首次提交响应文件截止时间5日前对磋商文件进行澄清、询问，并以书面形式（包括书面材料、信函、传真，下同）送达代理机构。</w:t>
      </w:r>
    </w:p>
    <w:p w14:paraId="04224B9B">
      <w:pPr>
        <w:pStyle w:val="152"/>
        <w:spacing w:line="360" w:lineRule="auto"/>
        <w:ind w:left="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10.4澄清、修改及其它答复的效力：代理机构或采购方一旦对磋商文件做出澄清或修改，即发生效力，代理机构或采购方有关的补充文件，应当作为磋商文件的组成部分，对所有供应商均具有约束力。</w:t>
      </w:r>
    </w:p>
    <w:p w14:paraId="4B5DCEC1">
      <w:pPr>
        <w:pStyle w:val="5"/>
        <w:rPr>
          <w:rFonts w:ascii="仿宋" w:hAnsi="仿宋" w:eastAsia="仿宋" w:cs="仿宋"/>
          <w:sz w:val="24"/>
          <w:szCs w:val="24"/>
        </w:rPr>
      </w:pPr>
      <w:bookmarkStart w:id="59" w:name="_Toc14249"/>
      <w:bookmarkStart w:id="60" w:name="_Toc24900"/>
      <w:bookmarkStart w:id="61" w:name="_Toc79599054"/>
      <w:bookmarkStart w:id="62" w:name="_Toc26409"/>
      <w:r>
        <w:rPr>
          <w:rFonts w:hint="eastAsia" w:ascii="仿宋" w:hAnsi="仿宋" w:eastAsia="仿宋" w:cs="仿宋"/>
          <w:sz w:val="24"/>
          <w:szCs w:val="24"/>
        </w:rPr>
        <w:t>三、响应文件</w:t>
      </w:r>
      <w:bookmarkEnd w:id="59"/>
      <w:bookmarkEnd w:id="60"/>
      <w:bookmarkEnd w:id="61"/>
      <w:bookmarkEnd w:id="62"/>
    </w:p>
    <w:p w14:paraId="7FA8F1D3">
      <w:pPr>
        <w:tabs>
          <w:tab w:val="left" w:pos="0"/>
        </w:tabs>
        <w:snapToGrid w:val="0"/>
        <w:spacing w:line="360" w:lineRule="auto"/>
        <w:ind w:firstLine="482" w:firstLineChars="200"/>
        <w:rPr>
          <w:rFonts w:ascii="仿宋" w:hAnsi="仿宋" w:eastAsia="仿宋" w:cs="仿宋"/>
          <w:b/>
          <w:color w:val="000000"/>
          <w:kern w:val="0"/>
          <w:sz w:val="24"/>
        </w:rPr>
      </w:pPr>
      <w:r>
        <w:rPr>
          <w:rFonts w:hint="eastAsia" w:ascii="仿宋" w:hAnsi="仿宋" w:eastAsia="仿宋" w:cs="仿宋"/>
          <w:b/>
          <w:color w:val="000000"/>
          <w:kern w:val="0"/>
          <w:sz w:val="24"/>
        </w:rPr>
        <w:t>11.响应文件的语言和计量单位</w:t>
      </w:r>
    </w:p>
    <w:p w14:paraId="6B65FCEF">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11.1供应商提交的响应文件（包括商务、技术文件和资料中的说明）以及供应商与代理机构就有关磋商的所有往来函均应使用中文简体字。</w:t>
      </w:r>
    </w:p>
    <w:p w14:paraId="4AEF535D">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11.2 响应文件所使用的计量单位，应使用中华人民共国法定计量单位。</w:t>
      </w:r>
    </w:p>
    <w:p w14:paraId="10FF3281">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否则，产生的不利后果由供应商承担。</w:t>
      </w:r>
    </w:p>
    <w:p w14:paraId="40D1A35A">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原版为外文的证书类、证明类文件，与供应商名称或其它实际情况不符的，供应商应当提供相关证明文件。</w:t>
      </w:r>
    </w:p>
    <w:p w14:paraId="79E6E359">
      <w:pPr>
        <w:tabs>
          <w:tab w:val="left" w:pos="0"/>
        </w:tabs>
        <w:snapToGrid w:val="0"/>
        <w:spacing w:line="360" w:lineRule="auto"/>
        <w:ind w:firstLine="482" w:firstLineChars="200"/>
        <w:rPr>
          <w:rFonts w:ascii="仿宋" w:hAnsi="仿宋" w:eastAsia="仿宋" w:cs="仿宋"/>
          <w:b/>
          <w:color w:val="000000"/>
          <w:kern w:val="0"/>
          <w:sz w:val="24"/>
        </w:rPr>
      </w:pPr>
      <w:r>
        <w:rPr>
          <w:rFonts w:hint="eastAsia" w:ascii="仿宋" w:hAnsi="仿宋" w:eastAsia="仿宋" w:cs="仿宋"/>
          <w:b/>
          <w:color w:val="000000"/>
          <w:kern w:val="0"/>
          <w:sz w:val="24"/>
        </w:rPr>
        <w:t>12. 响应文件的组成及相关要求</w:t>
      </w:r>
    </w:p>
    <w:p w14:paraId="4C5D2BFF">
      <w:pPr>
        <w:tabs>
          <w:tab w:val="left" w:pos="0"/>
        </w:tabs>
        <w:snapToGrid w:val="0"/>
        <w:spacing w:line="360" w:lineRule="auto"/>
        <w:ind w:firstLine="482" w:firstLineChars="200"/>
        <w:rPr>
          <w:rFonts w:ascii="仿宋" w:hAnsi="仿宋" w:eastAsia="仿宋" w:cs="仿宋"/>
          <w:b/>
          <w:color w:val="000000"/>
          <w:kern w:val="0"/>
          <w:sz w:val="24"/>
        </w:rPr>
      </w:pPr>
      <w:r>
        <w:rPr>
          <w:rFonts w:hint="eastAsia" w:ascii="仿宋" w:hAnsi="仿宋" w:eastAsia="仿宋" w:cs="仿宋"/>
          <w:b/>
          <w:color w:val="000000"/>
          <w:kern w:val="0"/>
          <w:sz w:val="24"/>
        </w:rPr>
        <w:t>12.1响应文件由资格文件、商务技术文件、报价文件三部分组成。</w:t>
      </w:r>
    </w:p>
    <w:p w14:paraId="4082181F">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12.1.1资格文件</w:t>
      </w:r>
    </w:p>
    <w:p w14:paraId="3EAA58B1">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（1）供应商代表的证明；</w:t>
      </w:r>
    </w:p>
    <w:p w14:paraId="62D9E1BD">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（2）声明书；</w:t>
      </w:r>
    </w:p>
    <w:p w14:paraId="3AB47016">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（3）具有独立承担民事责任的能力；</w:t>
      </w:r>
    </w:p>
    <w:p w14:paraId="6F1179A7">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（4）具有良好的商业信誉和健全的财务会计制度；</w:t>
      </w:r>
    </w:p>
    <w:p w14:paraId="4491FB10">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（5）具有履行合同所必需的设备和专业技术能力；</w:t>
      </w:r>
    </w:p>
    <w:p w14:paraId="3942312A">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（6）具有依法缴纳税收和社会保障金的良好记录；</w:t>
      </w:r>
    </w:p>
    <w:p w14:paraId="6B9FF54A">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（7）参加政府采购活动前三年内，在经营活动中没有重大违法记录；</w:t>
      </w:r>
    </w:p>
    <w:p w14:paraId="1BEF9AE6">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（8）诚信投标承诺书；</w:t>
      </w:r>
    </w:p>
    <w:p w14:paraId="00A0298D">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（9）具有独立承担民事责任能力的证明材料；</w:t>
      </w:r>
    </w:p>
    <w:p w14:paraId="2DDDC47A">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（10）磋商保证金缴纳凭证；</w:t>
      </w:r>
    </w:p>
    <w:p w14:paraId="376700D5">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（11）落实政府采购政策需满足的资格要求；</w:t>
      </w:r>
    </w:p>
    <w:p w14:paraId="5C793C89">
      <w:pPr>
        <w:snapToGrid w:val="0"/>
        <w:spacing w:line="360" w:lineRule="auto"/>
        <w:ind w:firstLine="480" w:firstLineChars="200"/>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（12）信用查询证明材料</w:t>
      </w:r>
      <w:r>
        <w:rPr>
          <w:rFonts w:hint="eastAsia" w:ascii="仿宋" w:hAnsi="仿宋" w:eastAsia="仿宋" w:cs="仿宋"/>
          <w:color w:val="000000"/>
          <w:kern w:val="0"/>
          <w:sz w:val="24"/>
          <w:lang w:eastAsia="zh-CN"/>
        </w:rPr>
        <w:t>。</w:t>
      </w:r>
    </w:p>
    <w:p w14:paraId="687B37DC">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12.1.2商务及技术文件</w:t>
      </w:r>
    </w:p>
    <w:p w14:paraId="0F5028B6">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（1）供应商情况介绍；</w:t>
      </w:r>
    </w:p>
    <w:p w14:paraId="0D57AC2B">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（2）类似成功案例的业绩证明；</w:t>
      </w:r>
    </w:p>
    <w:p w14:paraId="7D01B4BC">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（3）商务响应表；</w:t>
      </w:r>
    </w:p>
    <w:p w14:paraId="07E44A2E">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（4）实施方案；</w:t>
      </w:r>
    </w:p>
    <w:p w14:paraId="54640CBD">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（5）技术响应表；</w:t>
      </w:r>
    </w:p>
    <w:p w14:paraId="37047552">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（6）项目管理机构人员配备；</w:t>
      </w:r>
    </w:p>
    <w:p w14:paraId="0DF4C890">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（7）服务承诺；</w:t>
      </w:r>
    </w:p>
    <w:p w14:paraId="504CB587">
      <w:pPr>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（8）正版软件承诺</w:t>
      </w:r>
      <w:r>
        <w:rPr>
          <w:rFonts w:hint="eastAsia" w:ascii="仿宋" w:hAnsi="仿宋" w:eastAsia="仿宋" w:cs="仿宋"/>
          <w:color w:val="000000" w:themeColor="text1"/>
          <w:sz w:val="24"/>
          <w:szCs w:val="28"/>
          <w14:textFill>
            <w14:solidFill>
              <w14:schemeClr w14:val="tx1"/>
            </w14:solidFill>
          </w14:textFill>
        </w:rPr>
        <w:t>（如不涉及，此函可不提供）</w:t>
      </w:r>
      <w:r>
        <w:rPr>
          <w:rFonts w:hint="eastAsia" w:ascii="仿宋" w:hAnsi="仿宋" w:eastAsia="仿宋" w:cs="仿宋"/>
          <w:color w:val="000000" w:themeColor="text1"/>
          <w:kern w:val="0"/>
          <w:sz w:val="24"/>
          <w14:textFill>
            <w14:solidFill>
              <w14:schemeClr w14:val="tx1"/>
            </w14:solidFill>
          </w14:textFill>
        </w:rPr>
        <w:t>；</w:t>
      </w:r>
    </w:p>
    <w:p w14:paraId="0FC3A5C2">
      <w:pPr>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（9）信息安全产品说明</w:t>
      </w:r>
      <w:r>
        <w:rPr>
          <w:rFonts w:hint="eastAsia" w:ascii="仿宋" w:hAnsi="仿宋" w:eastAsia="仿宋" w:cs="仿宋"/>
          <w:color w:val="000000" w:themeColor="text1"/>
          <w:sz w:val="24"/>
          <w:szCs w:val="28"/>
          <w14:textFill>
            <w14:solidFill>
              <w14:schemeClr w14:val="tx1"/>
            </w14:solidFill>
          </w14:textFill>
        </w:rPr>
        <w:t>（如不涉及，此函可不提供）</w:t>
      </w:r>
      <w:r>
        <w:rPr>
          <w:rFonts w:hint="eastAsia" w:ascii="仿宋" w:hAnsi="仿宋" w:eastAsia="仿宋" w:cs="仿宋"/>
          <w:color w:val="000000" w:themeColor="text1"/>
          <w:kern w:val="0"/>
          <w:sz w:val="24"/>
          <w14:textFill>
            <w14:solidFill>
              <w14:schemeClr w14:val="tx1"/>
            </w14:solidFill>
          </w14:textFill>
        </w:rPr>
        <w:t>；</w:t>
      </w:r>
    </w:p>
    <w:p w14:paraId="6960C8D0">
      <w:pPr>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（10）商品包装和快递包装承诺</w:t>
      </w:r>
      <w:r>
        <w:rPr>
          <w:rFonts w:hint="eastAsia" w:ascii="仿宋" w:hAnsi="仿宋" w:eastAsia="仿宋" w:cs="仿宋"/>
          <w:color w:val="000000" w:themeColor="text1"/>
          <w:sz w:val="24"/>
          <w:szCs w:val="28"/>
          <w14:textFill>
            <w14:solidFill>
              <w14:schemeClr w14:val="tx1"/>
            </w14:solidFill>
          </w14:textFill>
        </w:rPr>
        <w:t>（如不涉及，此函可不提供）</w:t>
      </w:r>
      <w:r>
        <w:rPr>
          <w:rFonts w:hint="eastAsia" w:ascii="仿宋" w:hAnsi="仿宋" w:eastAsia="仿宋" w:cs="仿宋"/>
          <w:color w:val="000000" w:themeColor="text1"/>
          <w:kern w:val="0"/>
          <w:sz w:val="24"/>
          <w14:textFill>
            <w14:solidFill>
              <w14:schemeClr w14:val="tx1"/>
            </w14:solidFill>
          </w14:textFill>
        </w:rPr>
        <w:t>；</w:t>
      </w:r>
    </w:p>
    <w:p w14:paraId="23DD9D2C">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（11）供应商需要说明的其他文件和说明。</w:t>
      </w:r>
    </w:p>
    <w:p w14:paraId="25254FF3">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12.1.3报价文件</w:t>
      </w:r>
    </w:p>
    <w:p w14:paraId="588931D3">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（1）报价一览表；</w:t>
      </w:r>
    </w:p>
    <w:p w14:paraId="1ADD29DA">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（2）供应商认为需要的其他文件资料。</w:t>
      </w:r>
    </w:p>
    <w:p w14:paraId="42680B5A">
      <w:pPr>
        <w:snapToGrid w:val="0"/>
        <w:spacing w:line="360" w:lineRule="auto"/>
        <w:ind w:firstLine="482" w:firstLineChars="200"/>
        <w:rPr>
          <w:rFonts w:ascii="仿宋" w:hAnsi="仿宋" w:eastAsia="仿宋" w:cs="仿宋"/>
          <w:b/>
          <w:bCs/>
          <w:color w:val="000000"/>
          <w:kern w:val="0"/>
          <w:sz w:val="24"/>
        </w:rPr>
      </w:pPr>
      <w:r>
        <w:rPr>
          <w:rFonts w:hint="eastAsia" w:ascii="仿宋" w:hAnsi="仿宋" w:eastAsia="仿宋" w:cs="仿宋"/>
          <w:b/>
          <w:bCs/>
          <w:color w:val="000000"/>
          <w:kern w:val="0"/>
          <w:sz w:val="24"/>
        </w:rPr>
        <w:t>12.2响应文件其他要求</w:t>
      </w:r>
    </w:p>
    <w:p w14:paraId="2DE07C83">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12.2.1编排要求</w:t>
      </w:r>
    </w:p>
    <w:p w14:paraId="06F1F988">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响应文件规格幅面（A4）；按照磋商文件第六部分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14:paraId="0CE8F60A">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12.2.2格式要求</w:t>
      </w:r>
    </w:p>
    <w:p w14:paraId="2D9E990E">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本磋商文件第六部分已提供“响应文件格式”的，需按照格式要求编制和上传（供应商可以对所提供的格式进行扩展，但不得更改格式内容），没有提供格式的，供应商自拟。</w:t>
      </w:r>
    </w:p>
    <w:p w14:paraId="7D049394">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12.2.3响应文件的份数、加密及密封</w:t>
      </w:r>
    </w:p>
    <w:p w14:paraId="7C9D3CF2">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12.2.3.1响应文件的份数</w:t>
      </w:r>
    </w:p>
    <w:p w14:paraId="05C9480B">
      <w:pPr>
        <w:snapToGrid w:val="0"/>
        <w:spacing w:line="360" w:lineRule="auto"/>
        <w:ind w:firstLine="480" w:firstLineChars="200"/>
        <w:rPr>
          <w:rFonts w:ascii="仿宋" w:hAnsi="仿宋" w:eastAsia="仿宋" w:cs="仿宋"/>
          <w:kern w:val="0"/>
          <w:sz w:val="24"/>
        </w:rPr>
      </w:pPr>
      <w:r>
        <w:rPr>
          <w:rFonts w:hint="eastAsia" w:ascii="仿宋" w:hAnsi="仿宋" w:eastAsia="仿宋" w:cs="仿宋"/>
          <w:color w:val="000000"/>
          <w:kern w:val="0"/>
          <w:sz w:val="24"/>
        </w:rPr>
        <w:t>本次磋商须提交的响应文件数量详见供应商须知前附表。</w:t>
      </w:r>
    </w:p>
    <w:p w14:paraId="0DFB2064">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12.2.3.2响应文件加密及密封</w:t>
      </w:r>
    </w:p>
    <w:p w14:paraId="1B23BE23">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系统中上传的电子响应文件须使用数字电子CA进行加密，备用电子响应文件的详见供应商须知前附表第13项。</w:t>
      </w:r>
    </w:p>
    <w:p w14:paraId="31164C37">
      <w:pPr>
        <w:snapToGrid w:val="0"/>
        <w:spacing w:line="360" w:lineRule="auto"/>
        <w:ind w:firstLine="482" w:firstLineChars="200"/>
        <w:rPr>
          <w:rFonts w:ascii="仿宋" w:hAnsi="仿宋" w:eastAsia="仿宋" w:cs="仿宋"/>
          <w:b/>
          <w:bCs/>
          <w:color w:val="000000"/>
          <w:kern w:val="0"/>
          <w:sz w:val="24"/>
        </w:rPr>
      </w:pPr>
      <w:r>
        <w:rPr>
          <w:rFonts w:hint="eastAsia" w:ascii="仿宋" w:hAnsi="仿宋" w:eastAsia="仿宋" w:cs="仿宋"/>
          <w:b/>
          <w:bCs/>
          <w:color w:val="000000"/>
          <w:kern w:val="0"/>
          <w:sz w:val="24"/>
        </w:rPr>
        <w:t>12.3磋商保证金</w:t>
      </w:r>
    </w:p>
    <w:p w14:paraId="512F5DAF">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12.3.1供应商应提交的磋商保证金金额和提交方式详见前附表。未按要求交纳磋商保证金的，响应无效。</w:t>
      </w:r>
    </w:p>
    <w:p w14:paraId="1C75B023">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12.3.2供应商在响应文件开启时间前撤回已提交的响应文件的，代理机构应当自收到供应商书面撤回通知之日起5个工作日内，退还已收取的磋商保证金，但因供应商自身原因导致无法及时退还的除外。</w:t>
      </w:r>
    </w:p>
    <w:p w14:paraId="795FDFA5">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12.3.3代理机构应当自成交通知书发出之日起5个工作日内退还未成交供应商的磋商保证金，自采购合同签订之日起5个工作日内退还成交供应商的磋商保证金。但因供应商自身原因导致无法及时退还的除外。</w:t>
      </w:r>
    </w:p>
    <w:p w14:paraId="2F2A55F9">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12.3.4有下列情形之一的，磋商保证金不予退还：</w:t>
      </w:r>
    </w:p>
    <w:p w14:paraId="0E5EA6BF">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12.3.4.1供应商在响应文件中提供虚假材料的；</w:t>
      </w:r>
    </w:p>
    <w:p w14:paraId="002B38BE">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12.3.4.2除因不可抗力或磋商文件认可的情形外，成交供应商不与采购人签订合同的；</w:t>
      </w:r>
    </w:p>
    <w:p w14:paraId="1B280DEA">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12.3.4.3供应商与采购人、其他供应商或者代理机构恶意串通的；</w:t>
      </w:r>
    </w:p>
    <w:p w14:paraId="32FE6629">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12.3.4.4磋商有效期内撤回响应文件的</w:t>
      </w:r>
    </w:p>
    <w:p w14:paraId="7F990023">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12.3.4.5磋商文件规定的其他情形。</w:t>
      </w:r>
    </w:p>
    <w:p w14:paraId="39F44547">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12.3.5已提交响应文件的供应商，在提交最后报价之前，可以根据磋商情况退出报价。代理机构应当退还退出磋商的供应商的磋商保证金。</w:t>
      </w:r>
    </w:p>
    <w:p w14:paraId="261FA91E">
      <w:pPr>
        <w:snapToGrid w:val="0"/>
        <w:spacing w:line="360" w:lineRule="auto"/>
        <w:ind w:firstLine="482" w:firstLineChars="200"/>
        <w:rPr>
          <w:rFonts w:ascii="仿宋" w:hAnsi="仿宋" w:eastAsia="仿宋" w:cs="仿宋"/>
          <w:color w:val="000000"/>
          <w:kern w:val="0"/>
          <w:sz w:val="24"/>
        </w:rPr>
      </w:pPr>
      <w:r>
        <w:rPr>
          <w:rFonts w:hint="eastAsia" w:ascii="仿宋" w:hAnsi="仿宋" w:eastAsia="仿宋" w:cs="仿宋"/>
          <w:b/>
          <w:color w:val="000000"/>
          <w:sz w:val="24"/>
        </w:rPr>
        <w:t>12.4 磋商报价</w:t>
      </w:r>
    </w:p>
    <w:p w14:paraId="6C1DBFC2">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12.4.1所有磋商报价均以人民币“元”为计算单位（保留两位小数）。只要填报了一个确定数额，无论分项价格是否全部填报了相应的金额或免费字样，报价应被视为已经包含了但并不限于完成本项目所需的所有服务内容,提供承载本次服务所必要的人员、保险、培训、相关服务及相关税费等所有相关费用。在其它情况下，由于分项报价填报不完整、不清楚或存在其它任何失误，所导致的任何不利后果均应当由供应商自行承担。</w:t>
      </w:r>
    </w:p>
    <w:p w14:paraId="696015C3">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12.4.2供应商应按报价要求的内容认真填报“报价一览表”。</w:t>
      </w:r>
    </w:p>
    <w:p w14:paraId="59D91DE6">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12.4.3本次磋商不接受可选择方案的报价。</w:t>
      </w:r>
    </w:p>
    <w:p w14:paraId="39E42687">
      <w:pPr>
        <w:pStyle w:val="139"/>
        <w:snapToGrid w:val="0"/>
        <w:spacing w:line="360" w:lineRule="auto"/>
        <w:ind w:firstLine="477" w:firstLineChars="198"/>
        <w:jc w:val="both"/>
        <w:rPr>
          <w:rFonts w:ascii="仿宋" w:hAnsi="仿宋" w:eastAsia="仿宋" w:cs="仿宋"/>
          <w:b/>
          <w:color w:val="000000"/>
          <w:sz w:val="24"/>
          <w:szCs w:val="24"/>
        </w:rPr>
      </w:pPr>
      <w:r>
        <w:rPr>
          <w:rFonts w:hint="eastAsia" w:ascii="仿宋" w:hAnsi="仿宋" w:eastAsia="仿宋" w:cs="仿宋"/>
          <w:b/>
          <w:color w:val="000000"/>
          <w:sz w:val="24"/>
          <w:szCs w:val="24"/>
        </w:rPr>
        <w:t>13. 响应文件填写说明</w:t>
      </w:r>
    </w:p>
    <w:p w14:paraId="4B9F8FE7">
      <w:pPr>
        <w:pStyle w:val="139"/>
        <w:snapToGrid w:val="0"/>
        <w:spacing w:line="360" w:lineRule="auto"/>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13.1供应商应详细阅读本磋商文件的全部内容。响应文件应对本磋商文件中的内容做出实质性和完整性的响应。</w:t>
      </w:r>
    </w:p>
    <w:p w14:paraId="4EAE6640">
      <w:pPr>
        <w:pStyle w:val="139"/>
        <w:snapToGrid w:val="0"/>
        <w:spacing w:line="360" w:lineRule="auto"/>
        <w:ind w:firstLine="480" w:firstLineChars="200"/>
        <w:jc w:val="left"/>
        <w:rPr>
          <w:rFonts w:ascii="仿宋" w:hAnsi="仿宋" w:eastAsia="仿宋" w:cs="仿宋"/>
          <w:b/>
          <w:color w:val="000000"/>
          <w:sz w:val="24"/>
          <w:szCs w:val="24"/>
        </w:rPr>
      </w:pPr>
      <w:r>
        <w:rPr>
          <w:rFonts w:hint="eastAsia" w:ascii="仿宋" w:hAnsi="仿宋" w:eastAsia="仿宋" w:cs="仿宋"/>
          <w:color w:val="000000"/>
          <w:kern w:val="0"/>
          <w:sz w:val="24"/>
          <w:szCs w:val="24"/>
        </w:rPr>
        <w:t>13.2响应文件应严格按照磋商文件第六部分的要求提交，并按规定的统一格式</w:t>
      </w:r>
      <w:r>
        <w:rPr>
          <w:rFonts w:hint="eastAsia" w:ascii="仿宋" w:hAnsi="仿宋" w:eastAsia="仿宋" w:cs="仿宋"/>
          <w:color w:val="000000"/>
          <w:sz w:val="24"/>
          <w:szCs w:val="24"/>
        </w:rPr>
        <w:t>逐项填写，不准有空项、缺项；无相应内容可填的项应填写“无”、“没有相应指标”、“/”等明确的回答</w:t>
      </w:r>
      <w:r>
        <w:rPr>
          <w:rFonts w:hint="eastAsia" w:ascii="仿宋" w:hAnsi="仿宋" w:eastAsia="仿宋" w:cs="仿宋"/>
          <w:b/>
          <w:color w:val="000000"/>
          <w:sz w:val="24"/>
          <w:szCs w:val="24"/>
        </w:rPr>
        <w:t>。</w:t>
      </w:r>
      <w:r>
        <w:rPr>
          <w:rFonts w:hint="eastAsia" w:ascii="仿宋" w:hAnsi="仿宋" w:eastAsia="仿宋" w:cs="仿宋"/>
          <w:color w:val="000000"/>
          <w:sz w:val="24"/>
          <w:szCs w:val="24"/>
        </w:rPr>
        <w:t>响应文件未按规定提交或留有空项，将被视为不完整响应的响应文件，其响应文件有可能被拒绝。</w:t>
      </w:r>
    </w:p>
    <w:p w14:paraId="2B371538">
      <w:pPr>
        <w:pStyle w:val="139"/>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13.3供应商必须对响应文件所提供的全部资料的真实性可靠性负责，并接受磋商小组对其中任何资料进一步审查的要求。</w:t>
      </w:r>
    </w:p>
    <w:p w14:paraId="24F6139D">
      <w:pPr>
        <w:pStyle w:val="139"/>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color w:val="000000"/>
          <w:sz w:val="24"/>
          <w:szCs w:val="24"/>
        </w:rPr>
        <w:t>13.4</w:t>
      </w:r>
      <w:r>
        <w:rPr>
          <w:rFonts w:hint="eastAsia" w:ascii="仿宋" w:hAnsi="仿宋" w:eastAsia="仿宋" w:cs="仿宋"/>
          <w:kern w:val="0"/>
          <w:sz w:val="24"/>
          <w:szCs w:val="24"/>
        </w:rPr>
        <w:t>因响应文件字迹潦草、提交资料不清晰或表达不清楚所引起的不利后果由供应商自行承担。</w:t>
      </w:r>
    </w:p>
    <w:p w14:paraId="67BCDBFD">
      <w:pPr>
        <w:pStyle w:val="139"/>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kern w:val="0"/>
          <w:sz w:val="24"/>
          <w:szCs w:val="24"/>
        </w:rPr>
        <w:t>13.5</w:t>
      </w:r>
      <w:r>
        <w:rPr>
          <w:rFonts w:hint="eastAsia" w:ascii="仿宋" w:hAnsi="仿宋" w:eastAsia="仿宋" w:cs="仿宋"/>
          <w:color w:val="000000"/>
          <w:sz w:val="24"/>
          <w:szCs w:val="24"/>
        </w:rPr>
        <w:t>为提倡诚实信用的磋商行为，特别要求供应商应本着诚信精神，在本次响应文件中按照磋商文件要求，以审慎的态度明确、清楚地披露各项内容。</w:t>
      </w:r>
      <w:r>
        <w:rPr>
          <w:rFonts w:hint="eastAsia" w:ascii="仿宋" w:hAnsi="仿宋" w:eastAsia="仿宋" w:cs="仿宋"/>
          <w:kern w:val="0"/>
          <w:sz w:val="24"/>
          <w:szCs w:val="24"/>
        </w:rPr>
        <w:t>一旦在评审中被发现存在重大偏离或被认定为属于重大偏离，则磋商小组有权决定对该响应予以拒绝。</w:t>
      </w:r>
    </w:p>
    <w:p w14:paraId="462A218C">
      <w:pPr>
        <w:pStyle w:val="139"/>
        <w:snapToGrid w:val="0"/>
        <w:spacing w:line="360" w:lineRule="auto"/>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1</w:t>
      </w:r>
      <w:r>
        <w:rPr>
          <w:rFonts w:hint="eastAsia" w:ascii="仿宋" w:hAnsi="仿宋" w:eastAsia="仿宋" w:cs="仿宋"/>
          <w:b/>
          <w:bCs/>
          <w:color w:val="000000"/>
          <w:sz w:val="24"/>
          <w:szCs w:val="24"/>
          <w:lang w:val="en-US" w:eastAsia="zh-CN"/>
        </w:rPr>
        <w:t>4</w:t>
      </w:r>
      <w:r>
        <w:rPr>
          <w:rFonts w:hint="eastAsia" w:ascii="仿宋" w:hAnsi="仿宋" w:eastAsia="仿宋" w:cs="仿宋"/>
          <w:b/>
          <w:bCs/>
          <w:color w:val="000000"/>
          <w:sz w:val="24"/>
          <w:szCs w:val="24"/>
        </w:rPr>
        <w:t>. 响应文件的有效期</w:t>
      </w:r>
    </w:p>
    <w:p w14:paraId="1BE3F8A3">
      <w:pPr>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4</w:t>
      </w:r>
      <w:r>
        <w:rPr>
          <w:rFonts w:hint="eastAsia" w:ascii="仿宋" w:hAnsi="仿宋" w:eastAsia="仿宋" w:cs="仿宋"/>
          <w:color w:val="000000"/>
          <w:sz w:val="24"/>
        </w:rPr>
        <w:t>.1本项目响应文件的有效期详见供应商须知前附表第10条。</w:t>
      </w:r>
      <w:r>
        <w:rPr>
          <w:rFonts w:hint="eastAsia" w:ascii="仿宋" w:hAnsi="仿宋" w:eastAsia="仿宋" w:cs="仿宋"/>
          <w:kern w:val="0"/>
          <w:sz w:val="24"/>
        </w:rPr>
        <w:t>有效期短于该规定期限的响应无效。</w:t>
      </w:r>
    </w:p>
    <w:p w14:paraId="70FE14B0">
      <w:pPr>
        <w:pStyle w:val="139"/>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.2磋商有效期从提交响应文件的截止之日起算。</w:t>
      </w:r>
    </w:p>
    <w:p w14:paraId="28EA0BA6">
      <w:pPr>
        <w:pStyle w:val="139"/>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.3如果出现特殊情况，采购方可要求供应商将响应文件有效期延长一段时间，这种要求和供应商的答复以书面形式进行。供应商可以拒绝这种要求。</w:t>
      </w:r>
    </w:p>
    <w:p w14:paraId="14B630C3">
      <w:pPr>
        <w:pStyle w:val="139"/>
        <w:snapToGrid w:val="0"/>
        <w:spacing w:line="360" w:lineRule="auto"/>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1</w:t>
      </w:r>
      <w:r>
        <w:rPr>
          <w:rFonts w:hint="eastAsia" w:ascii="仿宋" w:hAnsi="仿宋" w:eastAsia="仿宋" w:cs="仿宋"/>
          <w:b/>
          <w:bCs/>
          <w:color w:val="000000"/>
          <w:sz w:val="24"/>
          <w:szCs w:val="24"/>
          <w:lang w:val="en-US" w:eastAsia="zh-CN"/>
        </w:rPr>
        <w:t>5</w:t>
      </w:r>
      <w:r>
        <w:rPr>
          <w:rFonts w:hint="eastAsia" w:ascii="仿宋" w:hAnsi="仿宋" w:eastAsia="仿宋" w:cs="仿宋"/>
          <w:b/>
          <w:bCs/>
          <w:color w:val="000000"/>
          <w:sz w:val="24"/>
          <w:szCs w:val="24"/>
        </w:rPr>
        <w:t>. 响应文件的签署及其他规定</w:t>
      </w:r>
    </w:p>
    <w:p w14:paraId="06DF14C3">
      <w:pPr>
        <w:pStyle w:val="139"/>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.1组成响应文件的各种文件均应遵守本款规定。</w:t>
      </w:r>
    </w:p>
    <w:p w14:paraId="01FE01B2">
      <w:pPr>
        <w:pStyle w:val="139"/>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2供应商在响应文件及相关文件的签订、履行、通知等事项的文件中的“单位盖章”、“印章”、“公章”等处均仅指与当事人名称全称相一致的标准公章，不得使用其它（如带有“专用章”等字样）印章，否则将按响应无效处理。网上上传的正式电子响应文件应采用单位和个人数字证书电子签章或电子签名否则按磋商无效处理。</w:t>
      </w:r>
    </w:p>
    <w:p w14:paraId="6C69C71F">
      <w:pPr>
        <w:pStyle w:val="139"/>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.3供应商应在响应文件中按照磋商文件要求，在指定的位置签字（章）、加盖公章，否则将按响应无效处理。</w:t>
      </w:r>
    </w:p>
    <w:p w14:paraId="1E6EF5A1">
      <w:pPr>
        <w:pStyle w:val="139"/>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.4响应文件应字迹清楚、内容齐全、不得涂改或增删。如有修改和增删，必须有供应商盖章或法定代表人或其授权的供应商授权代表签字。</w:t>
      </w:r>
    </w:p>
    <w:p w14:paraId="3568D9D2">
      <w:pPr>
        <w:pStyle w:val="139"/>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.5因响应文件字迹潦草或表达不清所引起的不利后果由供应商承担。</w:t>
      </w:r>
    </w:p>
    <w:p w14:paraId="059C82CD">
      <w:pPr>
        <w:pStyle w:val="5"/>
        <w:rPr>
          <w:rFonts w:ascii="仿宋" w:hAnsi="仿宋" w:eastAsia="仿宋" w:cs="仿宋"/>
          <w:sz w:val="24"/>
          <w:szCs w:val="24"/>
        </w:rPr>
      </w:pPr>
      <w:bookmarkStart w:id="63" w:name="_Toc24198"/>
      <w:bookmarkStart w:id="64" w:name="_Toc5693"/>
      <w:bookmarkStart w:id="65" w:name="_Toc79599055"/>
      <w:bookmarkStart w:id="66" w:name="_Toc21320"/>
      <w:r>
        <w:rPr>
          <w:rFonts w:hint="eastAsia" w:ascii="仿宋" w:hAnsi="仿宋" w:eastAsia="仿宋" w:cs="仿宋"/>
          <w:sz w:val="24"/>
          <w:szCs w:val="24"/>
        </w:rPr>
        <w:t>四、响应文件的退回</w:t>
      </w:r>
      <w:bookmarkEnd w:id="63"/>
      <w:bookmarkEnd w:id="64"/>
      <w:bookmarkEnd w:id="65"/>
      <w:bookmarkEnd w:id="66"/>
    </w:p>
    <w:p w14:paraId="6A50773B">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.1供应商应当在磋商文件要求的首次响应文件解密时间内，未完成解密的，或同时未提供</w:t>
      </w:r>
      <w:r>
        <w:rPr>
          <w:rFonts w:hint="eastAsia" w:ascii="仿宋" w:hAnsi="仿宋" w:eastAsia="仿宋" w:cs="仿宋"/>
          <w:sz w:val="24"/>
        </w:rPr>
        <w:t>(备份标书).bfbs格式电子标书的</w:t>
      </w:r>
      <w:r>
        <w:rPr>
          <w:rFonts w:hint="eastAsia" w:ascii="仿宋" w:hAnsi="仿宋" w:eastAsia="仿宋" w:cs="仿宋"/>
          <w:color w:val="000000"/>
          <w:kern w:val="0"/>
          <w:sz w:val="24"/>
        </w:rPr>
        <w:t>视为供应商退回响应文件。</w:t>
      </w:r>
    </w:p>
    <w:p w14:paraId="0EE2201E">
      <w:pPr>
        <w:pStyle w:val="139"/>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1</w:t>
      </w:r>
      <w:r>
        <w:rPr>
          <w:rFonts w:hint="eastAsia" w:ascii="仿宋" w:hAnsi="仿宋" w:eastAsia="仿宋" w:cs="仿宋"/>
          <w:b/>
          <w:color w:val="000000"/>
          <w:sz w:val="24"/>
          <w:szCs w:val="24"/>
          <w:lang w:val="en-US" w:eastAsia="zh-CN"/>
        </w:rPr>
        <w:t>7</w:t>
      </w:r>
      <w:r>
        <w:rPr>
          <w:rFonts w:hint="eastAsia" w:ascii="仿宋" w:hAnsi="仿宋" w:eastAsia="仿宋" w:cs="仿宋"/>
          <w:b/>
          <w:color w:val="000000"/>
          <w:sz w:val="24"/>
          <w:szCs w:val="24"/>
        </w:rPr>
        <w:t>.响应文件解密时间</w:t>
      </w:r>
    </w:p>
    <w:p w14:paraId="1A464D27">
      <w:pPr>
        <w:pStyle w:val="139"/>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.1</w:t>
      </w:r>
      <w:r>
        <w:rPr>
          <w:rFonts w:hint="eastAsia" w:ascii="仿宋" w:hAnsi="仿宋" w:eastAsia="仿宋" w:cs="仿宋"/>
          <w:kern w:val="0"/>
          <w:sz w:val="24"/>
          <w:szCs w:val="24"/>
        </w:rPr>
        <w:t>详见供应商须知前附表。</w:t>
      </w:r>
    </w:p>
    <w:p w14:paraId="6A93DC70">
      <w:pPr>
        <w:pStyle w:val="139"/>
        <w:snapToGrid w:val="0"/>
        <w:spacing w:line="360" w:lineRule="auto"/>
        <w:ind w:firstLine="482" w:firstLineChars="200"/>
        <w:jc w:val="left"/>
        <w:rPr>
          <w:rFonts w:ascii="仿宋" w:hAnsi="仿宋" w:eastAsia="仿宋" w:cs="仿宋"/>
          <w:b/>
          <w:bCs/>
          <w:kern w:val="0"/>
          <w:sz w:val="24"/>
          <w:szCs w:val="24"/>
        </w:rPr>
      </w:pPr>
      <w:r>
        <w:rPr>
          <w:rFonts w:hint="eastAsia" w:ascii="仿宋" w:hAnsi="仿宋" w:eastAsia="仿宋" w:cs="仿宋"/>
          <w:b/>
          <w:bCs/>
          <w:kern w:val="0"/>
          <w:sz w:val="24"/>
          <w:szCs w:val="24"/>
        </w:rPr>
        <w:t>1</w:t>
      </w:r>
      <w:r>
        <w:rPr>
          <w:rFonts w:hint="eastAsia" w:ascii="仿宋" w:hAnsi="仿宋" w:eastAsia="仿宋" w:cs="仿宋"/>
          <w:b/>
          <w:bCs/>
          <w:kern w:val="0"/>
          <w:sz w:val="24"/>
          <w:szCs w:val="24"/>
          <w:lang w:val="en-US" w:eastAsia="zh-CN"/>
        </w:rPr>
        <w:t>8</w:t>
      </w:r>
      <w:r>
        <w:rPr>
          <w:rFonts w:hint="eastAsia" w:ascii="仿宋" w:hAnsi="仿宋" w:eastAsia="仿宋" w:cs="仿宋"/>
          <w:b/>
          <w:bCs/>
          <w:kern w:val="0"/>
          <w:sz w:val="24"/>
          <w:szCs w:val="24"/>
        </w:rPr>
        <w:t>.解密</w:t>
      </w:r>
    </w:p>
    <w:p w14:paraId="3A6677D8">
      <w:pPr>
        <w:tabs>
          <w:tab w:val="left" w:pos="567"/>
        </w:tabs>
        <w:snapToGrid w:val="0"/>
        <w:spacing w:line="360" w:lineRule="auto"/>
        <w:ind w:firstLine="480" w:firstLineChars="200"/>
        <w:rPr>
          <w:rFonts w:ascii="仿宋" w:hAnsi="仿宋" w:eastAsia="仿宋" w:cs="仿宋"/>
          <w:bCs/>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8</w:t>
      </w:r>
      <w:r>
        <w:rPr>
          <w:rFonts w:hint="eastAsia" w:ascii="仿宋" w:hAnsi="仿宋" w:eastAsia="仿宋" w:cs="仿宋"/>
          <w:color w:val="000000"/>
          <w:kern w:val="0"/>
          <w:sz w:val="24"/>
        </w:rPr>
        <w:t>.1在采购代理机构在开启时间止发出解密指令，供应商接到解密信息后，在规定的解密时间内使用加密电子文件时的电子CA进行</w:t>
      </w:r>
      <w:r>
        <w:rPr>
          <w:rFonts w:hint="eastAsia" w:ascii="仿宋" w:hAnsi="仿宋" w:eastAsia="仿宋" w:cs="仿宋"/>
          <w:bCs/>
          <w:kern w:val="0"/>
          <w:sz w:val="24"/>
        </w:rPr>
        <w:t>解密（供应商自备解密设备）</w:t>
      </w:r>
      <w:r>
        <w:rPr>
          <w:rFonts w:hint="eastAsia" w:ascii="仿宋" w:hAnsi="仿宋" w:eastAsia="仿宋" w:cs="仿宋"/>
          <w:sz w:val="24"/>
        </w:rPr>
        <w:t>。</w:t>
      </w:r>
    </w:p>
    <w:p w14:paraId="4B6EA88B">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bCs/>
          <w:kern w:val="0"/>
          <w:sz w:val="24"/>
        </w:rPr>
        <w:t>1</w:t>
      </w:r>
      <w:r>
        <w:rPr>
          <w:rFonts w:hint="eastAsia" w:ascii="仿宋" w:hAnsi="仿宋" w:eastAsia="仿宋" w:cs="仿宋"/>
          <w:bCs/>
          <w:kern w:val="0"/>
          <w:sz w:val="24"/>
          <w:lang w:val="en-US" w:eastAsia="zh-CN"/>
        </w:rPr>
        <w:t>8</w:t>
      </w:r>
      <w:r>
        <w:rPr>
          <w:rFonts w:hint="eastAsia" w:ascii="仿宋" w:hAnsi="仿宋" w:eastAsia="仿宋" w:cs="仿宋"/>
          <w:bCs/>
          <w:kern w:val="0"/>
          <w:sz w:val="24"/>
        </w:rPr>
        <w:t>.2解密截止时间后，供应商将无法对响应文件进行解密。除特殊情形需请示财政部门采用其他方式外，代理机构不得以任何理由延期解密。</w:t>
      </w:r>
    </w:p>
    <w:p w14:paraId="4CE2BDFA">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bCs/>
          <w:color w:val="000000"/>
          <w:kern w:val="0"/>
          <w:sz w:val="24"/>
        </w:rPr>
        <w:t>1</w:t>
      </w:r>
      <w:r>
        <w:rPr>
          <w:rFonts w:hint="eastAsia" w:ascii="仿宋" w:hAnsi="仿宋" w:eastAsia="仿宋" w:cs="仿宋"/>
          <w:bCs/>
          <w:color w:val="000000"/>
          <w:kern w:val="0"/>
          <w:sz w:val="24"/>
          <w:lang w:val="en-US" w:eastAsia="zh-CN"/>
        </w:rPr>
        <w:t>8</w:t>
      </w:r>
      <w:r>
        <w:rPr>
          <w:rFonts w:hint="eastAsia" w:ascii="仿宋" w:hAnsi="仿宋" w:eastAsia="仿宋" w:cs="仿宋"/>
          <w:bCs/>
          <w:color w:val="000000"/>
          <w:kern w:val="0"/>
          <w:sz w:val="24"/>
        </w:rPr>
        <w:t>.3</w:t>
      </w:r>
      <w:r>
        <w:rPr>
          <w:rFonts w:hint="eastAsia" w:ascii="仿宋" w:hAnsi="仿宋" w:eastAsia="仿宋" w:cs="仿宋"/>
          <w:kern w:val="0"/>
          <w:sz w:val="24"/>
        </w:rPr>
        <w:t>在响应文件解密截止时间后</w:t>
      </w:r>
      <w:r>
        <w:rPr>
          <w:rFonts w:hint="eastAsia" w:ascii="仿宋" w:hAnsi="仿宋" w:eastAsia="仿宋" w:cs="仿宋"/>
          <w:bCs/>
          <w:color w:val="000000"/>
          <w:kern w:val="0"/>
          <w:sz w:val="24"/>
        </w:rPr>
        <w:t>完成解密的</w:t>
      </w:r>
      <w:r>
        <w:rPr>
          <w:rFonts w:hint="eastAsia" w:ascii="仿宋" w:hAnsi="仿宋" w:eastAsia="仿宋" w:cs="仿宋"/>
          <w:kern w:val="0"/>
          <w:sz w:val="24"/>
        </w:rPr>
        <w:t>供应商供应商不足法定磋商家数时，不得进行下一步评审程序。</w:t>
      </w:r>
    </w:p>
    <w:p w14:paraId="7E69593C">
      <w:pPr>
        <w:tabs>
          <w:tab w:val="left" w:pos="0"/>
        </w:tabs>
        <w:snapToGrid w:val="0"/>
        <w:spacing w:line="360" w:lineRule="auto"/>
        <w:ind w:firstLine="482" w:firstLineChars="200"/>
        <w:jc w:val="left"/>
        <w:rPr>
          <w:rFonts w:ascii="仿宋" w:hAnsi="仿宋" w:eastAsia="仿宋" w:cs="仿宋"/>
          <w:b/>
          <w:color w:val="000000"/>
          <w:kern w:val="0"/>
          <w:sz w:val="24"/>
        </w:rPr>
      </w:pPr>
      <w:r>
        <w:rPr>
          <w:rFonts w:hint="eastAsia" w:ascii="仿宋" w:hAnsi="仿宋" w:eastAsia="仿宋" w:cs="仿宋"/>
          <w:b/>
          <w:color w:val="000000"/>
          <w:sz w:val="24"/>
        </w:rPr>
        <w:t>1</w:t>
      </w:r>
      <w:r>
        <w:rPr>
          <w:rFonts w:hint="eastAsia" w:ascii="仿宋" w:hAnsi="仿宋" w:eastAsia="仿宋" w:cs="仿宋"/>
          <w:b/>
          <w:color w:val="000000"/>
          <w:sz w:val="24"/>
          <w:lang w:val="en-US" w:eastAsia="zh-CN"/>
        </w:rPr>
        <w:t>9</w:t>
      </w:r>
      <w:r>
        <w:rPr>
          <w:rFonts w:hint="eastAsia" w:ascii="仿宋" w:hAnsi="仿宋" w:eastAsia="仿宋" w:cs="仿宋"/>
          <w:b/>
          <w:color w:val="000000"/>
          <w:sz w:val="24"/>
        </w:rPr>
        <w:t>.</w:t>
      </w:r>
      <w:r>
        <w:rPr>
          <w:rFonts w:hint="eastAsia" w:ascii="仿宋" w:hAnsi="仿宋" w:eastAsia="仿宋" w:cs="仿宋"/>
          <w:color w:val="000000"/>
          <w:kern w:val="0"/>
          <w:sz w:val="24"/>
        </w:rPr>
        <w:t xml:space="preserve"> </w:t>
      </w:r>
      <w:r>
        <w:rPr>
          <w:rFonts w:hint="eastAsia" w:ascii="仿宋" w:hAnsi="仿宋" w:eastAsia="仿宋" w:cs="仿宋"/>
          <w:b/>
          <w:color w:val="000000"/>
          <w:kern w:val="0"/>
          <w:sz w:val="24"/>
        </w:rPr>
        <w:t>响应文件的补充、修改和撤回</w:t>
      </w:r>
    </w:p>
    <w:p w14:paraId="0AC6FB10">
      <w:pPr>
        <w:tabs>
          <w:tab w:val="left" w:pos="567"/>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9</w:t>
      </w:r>
      <w:r>
        <w:rPr>
          <w:rFonts w:hint="eastAsia" w:ascii="仿宋" w:hAnsi="仿宋" w:eastAsia="仿宋" w:cs="仿宋"/>
          <w:kern w:val="0"/>
          <w:sz w:val="24"/>
        </w:rPr>
        <w:t>.1供应商在响应文件解密截止时间前，可以对响应文件进行补充、修改，补充、修改的内容作为响应文件的组成部分。补充、修改内容需在“</w:t>
      </w:r>
      <w:r>
        <w:rPr>
          <w:rFonts w:hint="eastAsia" w:ascii="仿宋" w:hAnsi="仿宋" w:eastAsia="仿宋" w:cs="仿宋"/>
          <w:sz w:val="24"/>
        </w:rPr>
        <w:t>政采云系统</w:t>
      </w:r>
      <w:r>
        <w:rPr>
          <w:rFonts w:hint="eastAsia" w:ascii="仿宋" w:hAnsi="仿宋" w:eastAsia="仿宋" w:cs="仿宋"/>
          <w:kern w:val="0"/>
          <w:sz w:val="24"/>
        </w:rPr>
        <w:t>”中加密上传，未进行上传的补充、修改内容无效。</w:t>
      </w:r>
    </w:p>
    <w:p w14:paraId="5FF6BCE6">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9</w:t>
      </w:r>
      <w:r>
        <w:rPr>
          <w:rFonts w:hint="eastAsia" w:ascii="仿宋" w:hAnsi="仿宋" w:eastAsia="仿宋" w:cs="仿宋"/>
          <w:kern w:val="0"/>
          <w:sz w:val="24"/>
        </w:rPr>
        <w:t>.2补充、修改的内容应当按照磋商文件要求签署、盖章，否则，按无效处理。</w:t>
      </w:r>
    </w:p>
    <w:p w14:paraId="00F77345">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9</w:t>
      </w:r>
      <w:r>
        <w:rPr>
          <w:rFonts w:hint="eastAsia" w:ascii="仿宋" w:hAnsi="仿宋" w:eastAsia="仿宋" w:cs="仿宋"/>
          <w:kern w:val="0"/>
          <w:sz w:val="24"/>
        </w:rPr>
        <w:t>.3在响应文件解密截止时间之后，供应商不得对其已解密的响应文件（含补充、修改）进行撤回。</w:t>
      </w:r>
    </w:p>
    <w:p w14:paraId="1D7D4F63">
      <w:pPr>
        <w:pStyle w:val="5"/>
        <w:rPr>
          <w:rFonts w:ascii="仿宋" w:hAnsi="仿宋" w:eastAsia="仿宋" w:cs="仿宋"/>
          <w:sz w:val="24"/>
          <w:szCs w:val="24"/>
        </w:rPr>
      </w:pPr>
      <w:bookmarkStart w:id="67" w:name="_Toc2176"/>
      <w:bookmarkStart w:id="68" w:name="_Toc17894"/>
      <w:bookmarkStart w:id="69" w:name="_Toc27287"/>
      <w:r>
        <w:rPr>
          <w:rFonts w:hint="eastAsia" w:ascii="仿宋" w:hAnsi="仿宋" w:eastAsia="仿宋" w:cs="仿宋"/>
          <w:sz w:val="24"/>
          <w:szCs w:val="24"/>
        </w:rPr>
        <w:t>五、开启</w:t>
      </w:r>
      <w:bookmarkEnd w:id="67"/>
      <w:bookmarkEnd w:id="68"/>
      <w:bookmarkEnd w:id="69"/>
    </w:p>
    <w:p w14:paraId="3AC0C34A">
      <w:pPr>
        <w:tabs>
          <w:tab w:val="left" w:pos="0"/>
        </w:tabs>
        <w:snapToGrid w:val="0"/>
        <w:spacing w:line="360" w:lineRule="auto"/>
        <w:ind w:firstLine="482" w:firstLineChars="200"/>
        <w:rPr>
          <w:rFonts w:ascii="仿宋" w:hAnsi="仿宋" w:eastAsia="仿宋" w:cs="仿宋"/>
          <w:b/>
          <w:color w:val="000000"/>
          <w:kern w:val="0"/>
          <w:sz w:val="24"/>
        </w:rPr>
      </w:pPr>
      <w:r>
        <w:rPr>
          <w:rFonts w:hint="eastAsia" w:ascii="仿宋" w:hAnsi="仿宋" w:eastAsia="仿宋" w:cs="仿宋"/>
          <w:b/>
          <w:color w:val="000000"/>
          <w:kern w:val="0"/>
          <w:sz w:val="24"/>
          <w:lang w:val="en-US" w:eastAsia="zh-CN"/>
        </w:rPr>
        <w:t>20</w:t>
      </w:r>
      <w:r>
        <w:rPr>
          <w:rFonts w:hint="eastAsia" w:ascii="仿宋" w:hAnsi="仿宋" w:eastAsia="仿宋" w:cs="仿宋"/>
          <w:b/>
          <w:color w:val="000000"/>
          <w:kern w:val="0"/>
          <w:sz w:val="24"/>
        </w:rPr>
        <w:t>.响应文件开启及其有关事项</w:t>
      </w:r>
    </w:p>
    <w:p w14:paraId="0B9737C9">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lang w:val="en-US" w:eastAsia="zh-CN"/>
        </w:rPr>
        <w:t>20</w:t>
      </w:r>
      <w:r>
        <w:rPr>
          <w:rFonts w:hint="eastAsia" w:ascii="仿宋" w:hAnsi="仿宋" w:eastAsia="仿宋" w:cs="仿宋"/>
          <w:color w:val="000000"/>
          <w:kern w:val="0"/>
          <w:sz w:val="24"/>
        </w:rPr>
        <w:t>.1代理机构按磋商文件规定的响应文件开启时间、地点主持磋商文件开启会议。</w:t>
      </w:r>
      <w:r>
        <w:rPr>
          <w:rFonts w:hint="eastAsia" w:ascii="仿宋" w:hAnsi="仿宋" w:eastAsia="仿宋" w:cs="仿宋"/>
          <w:bCs/>
          <w:color w:val="000000"/>
          <w:kern w:val="0"/>
          <w:sz w:val="24"/>
        </w:rPr>
        <w:t>磋商活动现场进行全程录音录像，录音录像应当清晰可辨，音像资料作为采购文件一并存档。</w:t>
      </w:r>
    </w:p>
    <w:p w14:paraId="54D21F85">
      <w:pPr>
        <w:tabs>
          <w:tab w:val="left" w:pos="567"/>
        </w:tabs>
        <w:snapToGrid w:val="0"/>
        <w:spacing w:line="360" w:lineRule="auto"/>
        <w:ind w:firstLine="480" w:firstLineChars="200"/>
        <w:jc w:val="left"/>
        <w:rPr>
          <w:rFonts w:ascii="仿宋" w:hAnsi="仿宋" w:eastAsia="仿宋" w:cs="仿宋"/>
          <w:b/>
          <w:color w:val="000000"/>
          <w:sz w:val="24"/>
        </w:rPr>
      </w:pPr>
      <w:r>
        <w:rPr>
          <w:rFonts w:hint="eastAsia" w:ascii="仿宋" w:hAnsi="仿宋" w:eastAsia="仿宋" w:cs="仿宋"/>
          <w:color w:val="000000"/>
          <w:kern w:val="0"/>
          <w:sz w:val="24"/>
          <w:lang w:val="en-US" w:eastAsia="zh-CN"/>
        </w:rPr>
        <w:t>20</w:t>
      </w:r>
      <w:r>
        <w:rPr>
          <w:rFonts w:hint="eastAsia" w:ascii="仿宋" w:hAnsi="仿宋" w:eastAsia="仿宋" w:cs="仿宋"/>
          <w:color w:val="000000"/>
          <w:kern w:val="0"/>
          <w:sz w:val="24"/>
        </w:rPr>
        <w:t>.2参加磋商的供应商法定代表人或授权代表在供应商签到表上签到以证明其出席。</w:t>
      </w:r>
    </w:p>
    <w:p w14:paraId="3F9EC4CE">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lang w:val="en-US" w:eastAsia="zh-CN"/>
        </w:rPr>
        <w:t>20</w:t>
      </w:r>
      <w:r>
        <w:rPr>
          <w:rFonts w:hint="eastAsia" w:ascii="仿宋" w:hAnsi="仿宋" w:eastAsia="仿宋" w:cs="仿宋"/>
          <w:color w:val="000000"/>
          <w:kern w:val="0"/>
          <w:sz w:val="24"/>
        </w:rPr>
        <w:t>.3磋商小组成员和参与采购人代表不得参加磋商会议开启活动。</w:t>
      </w:r>
    </w:p>
    <w:p w14:paraId="0D5E81A8">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lang w:val="en-US" w:eastAsia="zh-CN"/>
        </w:rPr>
        <w:t>20</w:t>
      </w:r>
      <w:r>
        <w:rPr>
          <w:rFonts w:hint="eastAsia" w:ascii="仿宋" w:hAnsi="仿宋" w:eastAsia="仿宋" w:cs="仿宋"/>
          <w:color w:val="000000"/>
          <w:kern w:val="0"/>
          <w:sz w:val="24"/>
        </w:rPr>
        <w:t>.4采购代理机构在响应文件开启时间，发出响应文件解密指令。</w:t>
      </w:r>
    </w:p>
    <w:p w14:paraId="52F0CF46">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lang w:val="en-US" w:eastAsia="zh-CN"/>
        </w:rPr>
        <w:t>20</w:t>
      </w:r>
      <w:r>
        <w:rPr>
          <w:rFonts w:hint="eastAsia" w:ascii="仿宋" w:hAnsi="仿宋" w:eastAsia="仿宋" w:cs="仿宋"/>
          <w:color w:val="000000"/>
          <w:kern w:val="0"/>
          <w:sz w:val="24"/>
        </w:rPr>
        <w:t>.5本项目实行密封报价，不进行公开唱标。</w:t>
      </w:r>
    </w:p>
    <w:p w14:paraId="5AEA2073">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lang w:val="en-US" w:eastAsia="zh-CN"/>
        </w:rPr>
        <w:t>20</w:t>
      </w:r>
      <w:r>
        <w:rPr>
          <w:rFonts w:hint="eastAsia" w:ascii="仿宋" w:hAnsi="仿宋" w:eastAsia="仿宋" w:cs="仿宋"/>
          <w:color w:val="000000"/>
          <w:kern w:val="0"/>
          <w:sz w:val="24"/>
        </w:rPr>
        <w:t>.6供应商代表对开启过程和开启记录有疑义，以及认为采购人、采购代理机构相关工作人员有需要回避的情形的，应当场提出询问或者回避申请。采购人、采购代理机构对供应商代表提出的询问或者回避申请应当及时处理。</w:t>
      </w:r>
    </w:p>
    <w:p w14:paraId="5264648A">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lang w:val="en-US" w:eastAsia="zh-CN"/>
        </w:rPr>
        <w:t>20</w:t>
      </w:r>
      <w:r>
        <w:rPr>
          <w:rFonts w:hint="eastAsia" w:ascii="仿宋" w:hAnsi="仿宋" w:eastAsia="仿宋" w:cs="仿宋"/>
          <w:color w:val="000000"/>
          <w:kern w:val="0"/>
          <w:sz w:val="24"/>
        </w:rPr>
        <w:t>.7供应商未参加开启活动的，视同认可开启结果。</w:t>
      </w:r>
    </w:p>
    <w:p w14:paraId="24644ECE">
      <w:pPr>
        <w:pStyle w:val="5"/>
        <w:rPr>
          <w:rFonts w:ascii="仿宋" w:hAnsi="仿宋" w:eastAsia="仿宋" w:cs="仿宋"/>
          <w:sz w:val="24"/>
          <w:szCs w:val="24"/>
        </w:rPr>
      </w:pPr>
      <w:bookmarkStart w:id="70" w:name="_Toc3173"/>
      <w:bookmarkStart w:id="71" w:name="_Toc80"/>
      <w:bookmarkStart w:id="72" w:name="_Toc79599056"/>
      <w:bookmarkStart w:id="73" w:name="_Toc18885"/>
      <w:r>
        <w:rPr>
          <w:rFonts w:hint="eastAsia" w:ascii="仿宋" w:hAnsi="仿宋" w:eastAsia="仿宋" w:cs="仿宋"/>
          <w:sz w:val="24"/>
          <w:szCs w:val="24"/>
        </w:rPr>
        <w:t>六、磋商程序和要求</w:t>
      </w:r>
      <w:bookmarkEnd w:id="70"/>
      <w:bookmarkEnd w:id="71"/>
      <w:bookmarkEnd w:id="72"/>
      <w:bookmarkEnd w:id="73"/>
    </w:p>
    <w:p w14:paraId="4EF9292F">
      <w:pPr>
        <w:pStyle w:val="139"/>
        <w:snapToGrid w:val="0"/>
        <w:spacing w:line="360" w:lineRule="auto"/>
        <w:ind w:firstLine="472" w:firstLineChars="196"/>
        <w:jc w:val="left"/>
        <w:rPr>
          <w:rFonts w:ascii="仿宋" w:hAnsi="仿宋" w:eastAsia="仿宋" w:cs="仿宋"/>
          <w:b/>
          <w:color w:val="000000"/>
          <w:sz w:val="24"/>
          <w:szCs w:val="24"/>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lang w:val="en-US" w:eastAsia="zh-CN"/>
        </w:rPr>
        <w:t>1</w:t>
      </w:r>
      <w:r>
        <w:rPr>
          <w:rFonts w:hint="eastAsia" w:ascii="仿宋" w:hAnsi="仿宋" w:eastAsia="仿宋" w:cs="仿宋"/>
          <w:b/>
          <w:color w:val="000000"/>
          <w:sz w:val="24"/>
          <w:szCs w:val="24"/>
        </w:rPr>
        <w:t>.组建磋商小组</w:t>
      </w:r>
    </w:p>
    <w:p w14:paraId="1E836FC3">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1</w:t>
      </w:r>
      <w:r>
        <w:rPr>
          <w:rFonts w:hint="eastAsia" w:ascii="仿宋" w:hAnsi="仿宋" w:eastAsia="仿宋" w:cs="仿宋"/>
          <w:color w:val="000000"/>
          <w:sz w:val="24"/>
        </w:rPr>
        <w:t>.1</w:t>
      </w:r>
      <w:r>
        <w:rPr>
          <w:rFonts w:hint="eastAsia" w:ascii="仿宋" w:hAnsi="仿宋" w:eastAsia="仿宋" w:cs="仿宋"/>
          <w:kern w:val="0"/>
          <w:sz w:val="24"/>
        </w:rPr>
        <w:t>采购代理机构根据相关法律法规和本磋商文件的规定，结合本项目特点组建磋商小组，磋商小组由采购人代表和评审专</w:t>
      </w:r>
      <w:r>
        <w:rPr>
          <w:rFonts w:hint="eastAsia" w:ascii="仿宋" w:hAnsi="仿宋" w:eastAsia="仿宋" w:cs="仿宋"/>
          <w:color w:val="000000"/>
          <w:kern w:val="0"/>
          <w:sz w:val="24"/>
        </w:rPr>
        <w:t>家共三人以上单数组成，</w:t>
      </w:r>
      <w:r>
        <w:rPr>
          <w:rFonts w:hint="eastAsia" w:ascii="仿宋" w:hAnsi="仿宋" w:eastAsia="仿宋" w:cs="仿宋"/>
          <w:kern w:val="0"/>
          <w:sz w:val="24"/>
        </w:rPr>
        <w:t>其中评审专家不得少于成员总数的三分之二。</w:t>
      </w:r>
    </w:p>
    <w:p w14:paraId="10BD20AF">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1</w:t>
      </w:r>
      <w:r>
        <w:rPr>
          <w:rFonts w:hint="eastAsia" w:ascii="仿宋" w:hAnsi="仿宋" w:eastAsia="仿宋" w:cs="仿宋"/>
          <w:kern w:val="0"/>
          <w:sz w:val="24"/>
        </w:rPr>
        <w:t>.2评审专家对本单位的采购项目只能作为采购人代表参与评审，法律规定的情形除外。</w:t>
      </w:r>
    </w:p>
    <w:p w14:paraId="0D2B3A16">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1</w:t>
      </w:r>
      <w:r>
        <w:rPr>
          <w:rFonts w:hint="eastAsia" w:ascii="仿宋" w:hAnsi="仿宋" w:eastAsia="仿宋" w:cs="仿宋"/>
          <w:kern w:val="0"/>
          <w:sz w:val="24"/>
        </w:rPr>
        <w:t>.3采购代理机构工作人员不得参加由本机构代理的政府采购项目的评审活动。</w:t>
      </w:r>
    </w:p>
    <w:p w14:paraId="16A496FA">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1</w:t>
      </w:r>
      <w:r>
        <w:rPr>
          <w:rFonts w:hint="eastAsia" w:ascii="仿宋" w:hAnsi="仿宋" w:eastAsia="仿宋" w:cs="仿宋"/>
          <w:kern w:val="0"/>
          <w:sz w:val="24"/>
        </w:rPr>
        <w:t>.4磋商小组成员名单在评审结果公告前应当保密。</w:t>
      </w:r>
    </w:p>
    <w:p w14:paraId="41F4ABF3">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.5</w:t>
      </w:r>
      <w:r>
        <w:rPr>
          <w:rFonts w:hint="eastAsia" w:ascii="仿宋" w:hAnsi="仿宋" w:eastAsia="仿宋" w:cs="仿宋"/>
          <w:kern w:val="0"/>
          <w:sz w:val="24"/>
        </w:rPr>
        <w:t>评审专家由采购代理机构从</w:t>
      </w:r>
      <w:r>
        <w:rPr>
          <w:rFonts w:hint="eastAsia" w:ascii="仿宋" w:hAnsi="仿宋" w:eastAsia="仿宋" w:cs="仿宋"/>
          <w:kern w:val="0"/>
          <w:sz w:val="24"/>
          <w:u w:val="single"/>
        </w:rPr>
        <w:t>山西省政府采购评审专家库</w:t>
      </w:r>
      <w:r>
        <w:rPr>
          <w:rFonts w:hint="eastAsia" w:ascii="仿宋" w:hAnsi="仿宋" w:eastAsia="仿宋" w:cs="仿宋"/>
          <w:kern w:val="0"/>
          <w:sz w:val="24"/>
        </w:rPr>
        <w:t>中，通过随机抽取方式产生。对技术复杂、专业性强的采购项目，通过随机方式难以确定合适评审专家的，</w:t>
      </w:r>
      <w:r>
        <w:rPr>
          <w:rFonts w:hint="eastAsia" w:ascii="仿宋" w:hAnsi="仿宋" w:eastAsia="仿宋" w:cs="仿宋"/>
          <w:bCs/>
          <w:kern w:val="0"/>
          <w:sz w:val="24"/>
        </w:rPr>
        <w:t>经主管预算单位同意，采购人可以自行选定相应专业领域的评审专家。</w:t>
      </w:r>
    </w:p>
    <w:p w14:paraId="32D9AE21">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.6磋商中因评审专家缺席、回避或者健康等特殊原因，导致磋商小组成员组成不符合相关规定的，代理机构应当补足后继续磋商。被更换的磋商小组成员所做出的磋商意见无效。</w:t>
      </w:r>
    </w:p>
    <w:p w14:paraId="3961F8CE">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.7无法及时补足磋商小组成员时，代理机构应当停止磋商活动，封存所有响应文件及评审资料，重新组建磋商小组进行磋商。原磋商小组所做出的磋商意见无效。</w:t>
      </w:r>
    </w:p>
    <w:p w14:paraId="1B5917B7">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.8代理机构应当将变更、重新组建磋商小组的情况予以记录，并随磋商文件一并存档。</w:t>
      </w:r>
    </w:p>
    <w:p w14:paraId="0EEB8593">
      <w:pPr>
        <w:pStyle w:val="139"/>
        <w:snapToGrid w:val="0"/>
        <w:spacing w:line="360" w:lineRule="auto"/>
        <w:ind w:firstLine="472" w:firstLineChars="196"/>
        <w:jc w:val="left"/>
        <w:rPr>
          <w:rFonts w:ascii="仿宋" w:hAnsi="仿宋" w:eastAsia="仿宋" w:cs="仿宋"/>
          <w:b/>
          <w:color w:val="000000"/>
          <w:sz w:val="24"/>
          <w:szCs w:val="24"/>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lang w:val="en-US" w:eastAsia="zh-CN"/>
        </w:rPr>
        <w:t>2</w:t>
      </w:r>
      <w:r>
        <w:rPr>
          <w:rFonts w:hint="eastAsia" w:ascii="仿宋" w:hAnsi="仿宋" w:eastAsia="仿宋" w:cs="仿宋"/>
          <w:b/>
          <w:color w:val="000000"/>
          <w:sz w:val="24"/>
          <w:szCs w:val="24"/>
        </w:rPr>
        <w:t>.评审</w:t>
      </w:r>
    </w:p>
    <w:p w14:paraId="3A02348D">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.1磋商小组成员首先对磋商文件进行符合性、合理性审查，并签字确认。如磋商文件内容中存在违反国家有关强制性规定的或歧视性等条款，应当向采购代理机构说明，并停止本项目评审。</w:t>
      </w:r>
    </w:p>
    <w:p w14:paraId="78436800">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2</w:t>
      </w:r>
      <w:r>
        <w:rPr>
          <w:rFonts w:hint="eastAsia" w:ascii="仿宋" w:hAnsi="仿宋" w:eastAsia="仿宋" w:cs="仿宋"/>
          <w:color w:val="000000"/>
          <w:sz w:val="24"/>
        </w:rPr>
        <w:t>.2</w:t>
      </w:r>
      <w:r>
        <w:rPr>
          <w:rFonts w:hint="eastAsia" w:ascii="仿宋" w:hAnsi="仿宋" w:eastAsia="仿宋" w:cs="仿宋"/>
          <w:color w:val="000000"/>
          <w:kern w:val="0"/>
          <w:sz w:val="24"/>
        </w:rPr>
        <w:t>依据磋商文件中规定“评审方法和评审标准”，磋商小组成员按顺序</w:t>
      </w:r>
      <w:r>
        <w:rPr>
          <w:rFonts w:hint="eastAsia" w:ascii="仿宋" w:hAnsi="仿宋" w:eastAsia="仿宋" w:cs="仿宋"/>
          <w:color w:val="000000"/>
          <w:sz w:val="24"/>
        </w:rPr>
        <w:t>对所有参加磋商的供应商的响应文件中</w:t>
      </w:r>
      <w:r>
        <w:rPr>
          <w:rFonts w:hint="eastAsia" w:ascii="仿宋" w:hAnsi="仿宋" w:eastAsia="仿宋" w:cs="仿宋"/>
          <w:color w:val="000000"/>
          <w:kern w:val="0"/>
          <w:sz w:val="24"/>
        </w:rPr>
        <w:t>的商务技术文件的有效性、完整性、符合性进行独立审查。</w:t>
      </w:r>
    </w:p>
    <w:p w14:paraId="14749F5F">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.3根据资格性审查结果（评审意见不一致时，遵循少数服从多数的原则），确定各供应商是否具备磋商资格。</w:t>
      </w:r>
    </w:p>
    <w:p w14:paraId="3D5B9703">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.4对资格性审查合格的供应商的响应文件中商务技术文件进行审查，根据审查结果（评审意见不一致时，遵循少数服从多数的原则），以确定其是否对磋商文件的商务技术要求做出了实质性响应。</w:t>
      </w:r>
    </w:p>
    <w:p w14:paraId="25D77A1C">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5在审查过程中，除资格性审查外磋商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14:paraId="31D220CD">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.6</w:t>
      </w:r>
      <w:r>
        <w:rPr>
          <w:rFonts w:hint="eastAsia" w:ascii="仿宋" w:hAnsi="仿宋" w:eastAsia="仿宋" w:cs="仿宋"/>
          <w:kern w:val="0"/>
          <w:sz w:val="24"/>
        </w:rPr>
        <w:t>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14:paraId="5CACE6EB">
      <w:pPr>
        <w:tabs>
          <w:tab w:val="left" w:pos="567"/>
        </w:tabs>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.7实质性响应的响应文件：是指与磋商文件的主要商务技术条款、条件和要求相符，经磋商小组成员认定完全符合磋商文件要求的响应文件。</w:t>
      </w:r>
    </w:p>
    <w:p w14:paraId="724B64F1">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8未实质性响应的响应文件：是指对磋商文件的主要商务技术条款、条件和要求等未完全实质上响应或者响应不一致，存在限制了采购人或其他供应商的权利与义务，纠正这些内容将对其他实质上响应要求的供应商的竞争地位产生不公正的影响。包括但不限于：</w:t>
      </w:r>
    </w:p>
    <w:p w14:paraId="7F821172">
      <w:pPr>
        <w:tabs>
          <w:tab w:val="left" w:pos="737"/>
          <w:tab w:val="left" w:pos="1200"/>
        </w:tabs>
        <w:adjustRightInd w:val="0"/>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A．未对</w:t>
      </w:r>
      <w:r>
        <w:rPr>
          <w:rFonts w:hint="eastAsia" w:ascii="仿宋" w:hAnsi="仿宋" w:eastAsia="仿宋" w:cs="仿宋"/>
          <w:kern w:val="0"/>
          <w:sz w:val="24"/>
        </w:rPr>
        <w:t>“供应商须知前附表”第8条中带*号的商务技术文</w:t>
      </w:r>
      <w:r>
        <w:rPr>
          <w:rFonts w:hint="eastAsia" w:ascii="仿宋" w:hAnsi="仿宋" w:eastAsia="仿宋" w:cs="仿宋"/>
          <w:color w:val="000000"/>
          <w:kern w:val="0"/>
          <w:sz w:val="24"/>
        </w:rPr>
        <w:t>件作出实质上响应的；</w:t>
      </w:r>
    </w:p>
    <w:p w14:paraId="3CBCF1FD">
      <w:pPr>
        <w:tabs>
          <w:tab w:val="left" w:pos="737"/>
          <w:tab w:val="left" w:pos="1200"/>
        </w:tabs>
        <w:adjustRightInd w:val="0"/>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B．未按磋商文件的规定签署、盖章的；</w:t>
      </w:r>
    </w:p>
    <w:p w14:paraId="346B39A0">
      <w:pPr>
        <w:tabs>
          <w:tab w:val="left" w:pos="737"/>
          <w:tab w:val="left" w:pos="1200"/>
        </w:tabs>
        <w:adjustRightInd w:val="0"/>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C．响应文件有效期不足的；</w:t>
      </w:r>
    </w:p>
    <w:p w14:paraId="631F54E4">
      <w:pPr>
        <w:tabs>
          <w:tab w:val="left" w:pos="737"/>
          <w:tab w:val="left" w:pos="1200"/>
        </w:tabs>
        <w:adjustRightInd w:val="0"/>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D．未按照磋商文件规定报价的；</w:t>
      </w:r>
    </w:p>
    <w:p w14:paraId="08AF0095">
      <w:pPr>
        <w:tabs>
          <w:tab w:val="left" w:pos="737"/>
          <w:tab w:val="left" w:pos="1200"/>
        </w:tabs>
        <w:adjustRightInd w:val="0"/>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E．不符合磋商文件中有关分包、转包规定的；</w:t>
      </w:r>
    </w:p>
    <w:p w14:paraId="458B81B1">
      <w:pPr>
        <w:tabs>
          <w:tab w:val="left" w:pos="737"/>
          <w:tab w:val="left" w:pos="1200"/>
        </w:tabs>
        <w:adjustRightInd w:val="0"/>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F．响应文件附有采购人不能接受的条件的；</w:t>
      </w:r>
    </w:p>
    <w:p w14:paraId="6097A20C">
      <w:pPr>
        <w:tabs>
          <w:tab w:val="left" w:pos="737"/>
          <w:tab w:val="left" w:pos="1200"/>
        </w:tabs>
        <w:adjustRightInd w:val="0"/>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G．不符合磋商文件中规定的其他实质性要求的。</w:t>
      </w:r>
    </w:p>
    <w:p w14:paraId="3BF57BD1">
      <w:pPr>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.9如果未对磋商文件商务技术要求做出实质性响应，磋商将予以拒绝，供应商不得再对响应文件进行任何</w:t>
      </w:r>
      <w:r>
        <w:rPr>
          <w:rFonts w:hint="eastAsia" w:ascii="仿宋" w:hAnsi="仿宋" w:eastAsia="仿宋" w:cs="仿宋"/>
          <w:kern w:val="0"/>
          <w:sz w:val="24"/>
        </w:rPr>
        <w:t>澄清、说明或者更正，</w:t>
      </w:r>
      <w:r>
        <w:rPr>
          <w:rFonts w:hint="eastAsia" w:ascii="仿宋" w:hAnsi="仿宋" w:eastAsia="仿宋" w:cs="仿宋"/>
          <w:color w:val="000000"/>
          <w:kern w:val="0"/>
          <w:sz w:val="24"/>
        </w:rPr>
        <w:t xml:space="preserve">从而使其成为实质性响应的响应文件。 </w:t>
      </w:r>
    </w:p>
    <w:p w14:paraId="7F3F226E">
      <w:pPr>
        <w:tabs>
          <w:tab w:val="left" w:pos="737"/>
          <w:tab w:val="left" w:pos="1200"/>
        </w:tabs>
        <w:adjustRightInd w:val="0"/>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.10磋商小组对响应文件的判定依据供应商在“政采云系统”中提交的电子响应文件。</w:t>
      </w:r>
    </w:p>
    <w:p w14:paraId="27312174">
      <w:pPr>
        <w:tabs>
          <w:tab w:val="left" w:pos="737"/>
          <w:tab w:val="left" w:pos="1200"/>
        </w:tabs>
        <w:adjustRightInd w:val="0"/>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.11磋商小组各评审专家在资格性、符合性审查之后，应做‘评审记录’。</w:t>
      </w:r>
    </w:p>
    <w:p w14:paraId="024B9B82">
      <w:pPr>
        <w:tabs>
          <w:tab w:val="left" w:pos="737"/>
          <w:tab w:val="left" w:pos="1200"/>
        </w:tabs>
        <w:adjustRightInd w:val="0"/>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.12响应文件评审结束，对未实质上响应磋商文件的响应文件按无效响应处理，磋商小组应当告知有关供应商。</w:t>
      </w:r>
    </w:p>
    <w:p w14:paraId="388DED6D">
      <w:pPr>
        <w:pStyle w:val="139"/>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lang w:val="en-US" w:eastAsia="zh-CN"/>
        </w:rPr>
        <w:t>3</w:t>
      </w:r>
      <w:r>
        <w:rPr>
          <w:rFonts w:hint="eastAsia" w:ascii="仿宋" w:hAnsi="仿宋" w:eastAsia="仿宋" w:cs="仿宋"/>
          <w:b/>
          <w:color w:val="000000"/>
          <w:sz w:val="24"/>
          <w:szCs w:val="24"/>
        </w:rPr>
        <w:t>．磋商</w:t>
      </w:r>
    </w:p>
    <w:p w14:paraId="5C0D110F">
      <w:pPr>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sz w:val="24"/>
        </w:rPr>
        <w:t>2</w:t>
      </w:r>
      <w:r>
        <w:rPr>
          <w:rFonts w:hint="eastAsia" w:ascii="仿宋" w:hAnsi="仿宋" w:eastAsia="仿宋" w:cs="仿宋"/>
          <w:sz w:val="24"/>
          <w:lang w:val="en-US" w:eastAsia="zh-CN"/>
        </w:rPr>
        <w:t>3</w:t>
      </w:r>
      <w:r>
        <w:rPr>
          <w:rFonts w:hint="eastAsia" w:ascii="仿宋" w:hAnsi="仿宋" w:eastAsia="仿宋" w:cs="仿宋"/>
          <w:sz w:val="24"/>
        </w:rPr>
        <w:t>.1磋商小组成员与实质性响应磋商文件要求的供应商</w:t>
      </w:r>
      <w:r>
        <w:rPr>
          <w:rFonts w:hint="eastAsia" w:ascii="仿宋" w:hAnsi="仿宋" w:eastAsia="仿宋" w:cs="仿宋"/>
          <w:color w:val="000000"/>
          <w:sz w:val="24"/>
        </w:rPr>
        <w:t>就本次采购需求中的技术、服务要求以及合同草案通过“政采云系统”分别进行磋商。</w:t>
      </w:r>
    </w:p>
    <w:p w14:paraId="11C4A4D0">
      <w:pPr>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3</w:t>
      </w:r>
      <w:r>
        <w:rPr>
          <w:rFonts w:hint="eastAsia" w:ascii="仿宋" w:hAnsi="仿宋" w:eastAsia="仿宋" w:cs="仿宋"/>
          <w:color w:val="000000"/>
          <w:sz w:val="24"/>
        </w:rPr>
        <w:t>.2磋商小组可以根据磋商文件和磋商情况实质性变动采购需求中的技术、服务要求以及合同草案条款，但不得变动磋商文件中的其他内容。实质性变动的内容，需经采购人代表签字确认。</w:t>
      </w:r>
    </w:p>
    <w:p w14:paraId="3C52FC8B">
      <w:pPr>
        <w:snapToGrid w:val="0"/>
        <w:spacing w:line="360" w:lineRule="auto"/>
        <w:ind w:firstLine="480" w:firstLineChars="200"/>
        <w:jc w:val="left"/>
        <w:rPr>
          <w:rFonts w:ascii="仿宋" w:hAnsi="仿宋" w:eastAsia="仿宋" w:cs="仿宋"/>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3</w:t>
      </w:r>
      <w:r>
        <w:rPr>
          <w:rFonts w:hint="eastAsia" w:ascii="仿宋" w:hAnsi="仿宋" w:eastAsia="仿宋" w:cs="仿宋"/>
          <w:color w:val="000000"/>
          <w:sz w:val="24"/>
        </w:rPr>
        <w:t>.3在磋商过程中做出的实质性变动内容，是磋商文件的有效组成部分。磋商小组组长将实质性变动情况和磋商小组的要求通过“政采云系统”给各供应商发出询标函。各供应商在接到询标函通知后，须在规定时间内通过“政采云系统”提交加盖供应商电子CA章的对询标函所有内容作出的答复函。</w:t>
      </w:r>
    </w:p>
    <w:p w14:paraId="17C479F6">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2</w:t>
      </w:r>
      <w:r>
        <w:rPr>
          <w:rFonts w:hint="eastAsia" w:ascii="仿宋" w:hAnsi="仿宋" w:eastAsia="仿宋" w:cs="仿宋"/>
          <w:b/>
          <w:sz w:val="24"/>
          <w:lang w:val="en-US" w:eastAsia="zh-CN"/>
        </w:rPr>
        <w:t>3</w:t>
      </w:r>
      <w:r>
        <w:rPr>
          <w:rFonts w:hint="eastAsia" w:ascii="仿宋" w:hAnsi="仿宋" w:eastAsia="仿宋" w:cs="仿宋"/>
          <w:b/>
          <w:sz w:val="24"/>
        </w:rPr>
        <w:t>.4存在下列情况之一者将视为响应无效：</w:t>
      </w:r>
    </w:p>
    <w:p w14:paraId="65775FFD">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（1）未在规定时间内提交对询标函所有内容做出答复函的，</w:t>
      </w:r>
    </w:p>
    <w:p w14:paraId="6251AF08">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（2）未在答复函中由法定代表人或其授权代表签字或加盖电子CA章的；</w:t>
      </w:r>
    </w:p>
    <w:p w14:paraId="4A15E161">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（3）未按磋商小组要求对响应文件进行澄清（说明或者更正）的；</w:t>
      </w:r>
    </w:p>
    <w:p w14:paraId="673AE6E5">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（4）</w:t>
      </w:r>
      <w:r>
        <w:rPr>
          <w:rFonts w:hint="eastAsia" w:ascii="仿宋" w:hAnsi="仿宋" w:eastAsia="仿宋" w:cs="仿宋"/>
          <w:color w:val="000000"/>
          <w:sz w:val="24"/>
        </w:rPr>
        <w:t>磋商小组对答复内容经过评审后认为其没有对磋商内容作出实质性响应的；</w:t>
      </w:r>
    </w:p>
    <w:p w14:paraId="43231E5F">
      <w:pPr>
        <w:snapToGrid w:val="0"/>
        <w:spacing w:line="360" w:lineRule="auto"/>
        <w:ind w:firstLine="480" w:firstLineChars="200"/>
        <w:jc w:val="left"/>
        <w:rPr>
          <w:rFonts w:ascii="仿宋" w:hAnsi="仿宋" w:eastAsia="仿宋" w:cs="仿宋"/>
          <w:b/>
          <w:sz w:val="24"/>
        </w:rPr>
      </w:pPr>
      <w:r>
        <w:rPr>
          <w:rFonts w:hint="eastAsia" w:ascii="仿宋" w:hAnsi="仿宋" w:eastAsia="仿宋" w:cs="仿宋"/>
          <w:sz w:val="24"/>
        </w:rPr>
        <w:t>（5）存在采购人不能接受内容的等情形。</w:t>
      </w:r>
    </w:p>
    <w:p w14:paraId="2A5D44E7">
      <w:pPr>
        <w:pStyle w:val="139"/>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lang w:val="en-US" w:eastAsia="zh-CN"/>
        </w:rPr>
        <w:t>4</w:t>
      </w:r>
      <w:r>
        <w:rPr>
          <w:rFonts w:hint="eastAsia" w:ascii="仿宋" w:hAnsi="仿宋" w:eastAsia="仿宋" w:cs="仿宋"/>
          <w:b/>
          <w:color w:val="000000"/>
          <w:sz w:val="24"/>
          <w:szCs w:val="24"/>
        </w:rPr>
        <w:t>.最终报价</w:t>
      </w:r>
    </w:p>
    <w:p w14:paraId="37590662">
      <w:pPr>
        <w:spacing w:line="360" w:lineRule="auto"/>
        <w:ind w:firstLine="480" w:firstLineChars="200"/>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4</w:t>
      </w:r>
      <w:r>
        <w:rPr>
          <w:rFonts w:hint="eastAsia" w:ascii="仿宋" w:hAnsi="仿宋" w:eastAsia="仿宋" w:cs="仿宋"/>
          <w:sz w:val="24"/>
        </w:rPr>
        <w:t>.1磋商文件能够详细列明采购标的的技术要求、服务要求等的，磋商结束后，磋商小组应当向所有实质性响应磋商文件要求的供应商开启第二次报价通知，并要求其在规定时间内在“政采云系统”中提交第二次（最终）报价。提交最终报价的供应商不得少于法定人数。</w:t>
      </w:r>
    </w:p>
    <w:p w14:paraId="7D468BC2">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4</w:t>
      </w:r>
      <w:r>
        <w:rPr>
          <w:rFonts w:hint="eastAsia" w:ascii="仿宋" w:hAnsi="仿宋" w:eastAsia="仿宋" w:cs="仿宋"/>
          <w:sz w:val="24"/>
        </w:rPr>
        <w:t>.2磋商文件不能详细列明采购标的的技术要求、服务要求的，需经磋商由供应商提供最终解决方案的，磋商结束后，磋商小组应当按照少数服从多数的原则投票推荐供应商的解决方案，并要求其在规定时间内在“政采云系统”中提交最终报价函。</w:t>
      </w:r>
    </w:p>
    <w:p w14:paraId="133986D5">
      <w:pPr>
        <w:pStyle w:val="139"/>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.3已提交响应文件的供应商，在提交最终报价函之前，可以根据磋商情况退出最终报价。供应商在规定时间内未在“政采云系统”中提交最终报价函的，视为放弃最终报价。</w:t>
      </w:r>
    </w:p>
    <w:p w14:paraId="2F2EA292">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4</w:t>
      </w:r>
      <w:r>
        <w:rPr>
          <w:rFonts w:hint="eastAsia" w:ascii="仿宋" w:hAnsi="仿宋" w:eastAsia="仿宋" w:cs="仿宋"/>
          <w:sz w:val="24"/>
        </w:rPr>
        <w:t>.4提交的最终报价由其法定代表人或授权代表签字或者加盖电子CA章，并在政采云系统上传。</w:t>
      </w:r>
    </w:p>
    <w:p w14:paraId="539FB8AF">
      <w:pPr>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2</w:t>
      </w:r>
      <w:r>
        <w:rPr>
          <w:rFonts w:hint="eastAsia" w:ascii="仿宋" w:hAnsi="仿宋" w:eastAsia="仿宋" w:cs="仿宋"/>
          <w:b/>
          <w:sz w:val="24"/>
          <w:lang w:val="en-US" w:eastAsia="zh-CN"/>
        </w:rPr>
        <w:t>4</w:t>
      </w:r>
      <w:r>
        <w:rPr>
          <w:rFonts w:hint="eastAsia" w:ascii="仿宋" w:hAnsi="仿宋" w:eastAsia="仿宋" w:cs="仿宋"/>
          <w:b/>
          <w:sz w:val="24"/>
        </w:rPr>
        <w:t>.5存在下列情况之一者将视为响应无效：</w:t>
      </w:r>
    </w:p>
    <w:p w14:paraId="4AC9ADB6">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（1）未在规定时间内提交最终报价的；</w:t>
      </w:r>
    </w:p>
    <w:p w14:paraId="5B91E0F1">
      <w:pPr>
        <w:tabs>
          <w:tab w:val="left" w:pos="567"/>
        </w:tab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（2）未在最终报价函中由法定代表人或其授权代表签字或加盖电子CA章的；</w:t>
      </w:r>
    </w:p>
    <w:p w14:paraId="3F9940A4">
      <w:pPr>
        <w:pStyle w:val="14"/>
        <w:spacing w:line="360" w:lineRule="auto"/>
        <w:ind w:firstLine="480" w:firstLineChars="200"/>
        <w:rPr>
          <w:rFonts w:ascii="仿宋" w:hAnsi="仿宋" w:eastAsia="仿宋" w:cs="仿宋"/>
          <w:sz w:val="24"/>
        </w:rPr>
      </w:pPr>
      <w:r>
        <w:rPr>
          <w:rFonts w:hint="eastAsia" w:ascii="仿宋" w:hAnsi="仿宋" w:eastAsia="仿宋" w:cs="仿宋"/>
          <w:sz w:val="24"/>
        </w:rPr>
        <w:t>（3）未按最终报价函要求进行填报或最终报价函填报不完整的；</w:t>
      </w:r>
    </w:p>
    <w:p w14:paraId="32284261">
      <w:pPr>
        <w:tabs>
          <w:tab w:val="left" w:pos="567"/>
        </w:tab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4）磋商小组成员对各供应商的最终报价进行合理性审核，如磋商小组成员一致认为某个供应商的最后报价明显不合理，有降低质量、不能诚信履行的可能时，磋商小组成员有权决定是否通知供应商限期进行书面解释或提供相关证明材料。若已要求，而该供应商在规定期限内未做出解释、做出的解释不合理或不能提供证明材料的。</w:t>
      </w:r>
    </w:p>
    <w:p w14:paraId="7435C42C">
      <w:pPr>
        <w:pStyle w:val="14"/>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4</w:t>
      </w:r>
      <w:r>
        <w:rPr>
          <w:rFonts w:hint="eastAsia" w:ascii="仿宋" w:hAnsi="仿宋" w:eastAsia="仿宋" w:cs="仿宋"/>
          <w:sz w:val="24"/>
        </w:rPr>
        <w:t>.6提交最终报价的供应商家数不足法定供应商数量的，需依法重新组织磋商活动或终止磋商活动。</w:t>
      </w:r>
    </w:p>
    <w:p w14:paraId="66129644">
      <w:pPr>
        <w:pStyle w:val="139"/>
        <w:snapToGrid w:val="0"/>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lang w:val="en-US" w:eastAsia="zh-CN"/>
        </w:rPr>
        <w:t>5</w:t>
      </w:r>
      <w:r>
        <w:rPr>
          <w:rFonts w:hint="eastAsia" w:ascii="仿宋" w:hAnsi="仿宋" w:eastAsia="仿宋" w:cs="仿宋"/>
          <w:b/>
          <w:sz w:val="24"/>
          <w:szCs w:val="24"/>
        </w:rPr>
        <w:t>.综合评分、推荐成交候选供应商顺序原则</w:t>
      </w:r>
    </w:p>
    <w:p w14:paraId="73A0E218">
      <w:pPr>
        <w:pStyle w:val="139"/>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.1综合评分原则</w:t>
      </w:r>
    </w:p>
    <w:p w14:paraId="6B395F00">
      <w:pPr>
        <w:pStyle w:val="139"/>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.1.1经磋商确定最终采购需求和提交最后报价的供应商后，磋商小组各成员应当独立按照磋商文件第</w:t>
      </w:r>
      <w:r>
        <w:rPr>
          <w:rFonts w:hint="eastAsia" w:ascii="仿宋" w:hAnsi="仿宋" w:eastAsia="仿宋" w:cs="仿宋"/>
          <w:sz w:val="24"/>
          <w:szCs w:val="24"/>
          <w:lang w:val="en-US" w:eastAsia="zh-CN"/>
        </w:rPr>
        <w:t>三</w:t>
      </w:r>
      <w:r>
        <w:rPr>
          <w:rFonts w:hint="eastAsia" w:ascii="仿宋" w:hAnsi="仿宋" w:eastAsia="仿宋" w:cs="仿宋"/>
          <w:sz w:val="24"/>
          <w:szCs w:val="24"/>
        </w:rPr>
        <w:t>部分的综合评分细则对每个有效响应的文件进行评价、打分，然后汇总每个供应商每项评分因素得分。</w:t>
      </w:r>
    </w:p>
    <w:p w14:paraId="10BEBACC">
      <w:pPr>
        <w:pStyle w:val="139"/>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.1.2价格评分采用低价优先法计算，即满足磋商文件要求且最后报价最低的供应商的价格为磋商基准价，其价格分为满分。价格评审中，不得去掉最后报价的最高报价和最低报价。</w:t>
      </w:r>
    </w:p>
    <w:p w14:paraId="27326818">
      <w:pPr>
        <w:pStyle w:val="139"/>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.2推荐成交候选供应商顺序原则</w:t>
      </w:r>
    </w:p>
    <w:p w14:paraId="09F23D02">
      <w:pPr>
        <w:pStyle w:val="139"/>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.2.1磋商小组应当按照各供应商最终综合得分由高到低的顺序排名；</w:t>
      </w:r>
    </w:p>
    <w:p w14:paraId="5EAA0B49">
      <w:pPr>
        <w:pStyle w:val="139"/>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.2.2综合得分相同的，按照最后报价由低到高的顺序排名；</w:t>
      </w:r>
    </w:p>
    <w:p w14:paraId="29853153">
      <w:pPr>
        <w:pStyle w:val="139"/>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.2.3综合得分与最后报价均相同的，</w:t>
      </w:r>
      <w:r>
        <w:rPr>
          <w:rFonts w:hint="eastAsia" w:ascii="仿宋" w:hAnsi="仿宋" w:eastAsia="仿宋" w:cs="仿宋"/>
          <w:kern w:val="0"/>
          <w:sz w:val="24"/>
          <w:szCs w:val="24"/>
        </w:rPr>
        <w:t>按照技术方案得分由高到低顺序</w:t>
      </w:r>
      <w:r>
        <w:rPr>
          <w:rFonts w:hint="eastAsia" w:ascii="仿宋" w:hAnsi="仿宋" w:eastAsia="仿宋" w:cs="仿宋"/>
          <w:sz w:val="24"/>
          <w:szCs w:val="24"/>
        </w:rPr>
        <w:t>排名</w:t>
      </w:r>
      <w:r>
        <w:rPr>
          <w:rFonts w:hint="eastAsia" w:ascii="仿宋" w:hAnsi="仿宋" w:eastAsia="仿宋" w:cs="仿宋"/>
          <w:kern w:val="0"/>
          <w:sz w:val="24"/>
          <w:szCs w:val="24"/>
        </w:rPr>
        <w:t>。</w:t>
      </w:r>
    </w:p>
    <w:p w14:paraId="70097430">
      <w:pPr>
        <w:pStyle w:val="139"/>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.2.4磋商小组成员对推荐顺序有异议的，按照少数服从多数的原则推荐成交候选供应商，磋商活动继续进行。</w:t>
      </w:r>
    </w:p>
    <w:p w14:paraId="0EE4452D">
      <w:pPr>
        <w:pStyle w:val="139"/>
        <w:snapToGrid w:val="0"/>
        <w:spacing w:line="360" w:lineRule="auto"/>
        <w:ind w:firstLine="482" w:firstLineChars="200"/>
        <w:jc w:val="left"/>
        <w:rPr>
          <w:rFonts w:ascii="仿宋" w:hAnsi="仿宋" w:eastAsia="仿宋" w:cs="仿宋"/>
          <w:color w:val="000000"/>
          <w:sz w:val="24"/>
          <w:szCs w:val="24"/>
        </w:rPr>
      </w:pPr>
      <w:r>
        <w:rPr>
          <w:rFonts w:hint="eastAsia" w:ascii="仿宋" w:hAnsi="仿宋" w:eastAsia="仿宋" w:cs="仿宋"/>
          <w:b/>
          <w:bCs/>
          <w:color w:val="000000"/>
          <w:sz w:val="24"/>
          <w:szCs w:val="24"/>
        </w:rPr>
        <w:t>2</w:t>
      </w:r>
      <w:r>
        <w:rPr>
          <w:rFonts w:hint="eastAsia" w:ascii="仿宋" w:hAnsi="仿宋" w:eastAsia="仿宋" w:cs="仿宋"/>
          <w:b/>
          <w:bCs/>
          <w:color w:val="000000"/>
          <w:sz w:val="24"/>
          <w:szCs w:val="24"/>
          <w:lang w:val="en-US" w:eastAsia="zh-CN"/>
        </w:rPr>
        <w:t>6</w:t>
      </w:r>
      <w:r>
        <w:rPr>
          <w:rFonts w:hint="eastAsia" w:ascii="仿宋" w:hAnsi="仿宋" w:eastAsia="仿宋" w:cs="仿宋"/>
          <w:b/>
          <w:bCs/>
          <w:color w:val="000000"/>
          <w:sz w:val="24"/>
          <w:szCs w:val="24"/>
        </w:rPr>
        <w:t>.确定成交供应商</w:t>
      </w:r>
    </w:p>
    <w:p w14:paraId="4BAA8837">
      <w:pPr>
        <w:pStyle w:val="139"/>
        <w:snapToGrid w:val="0"/>
        <w:spacing w:line="360" w:lineRule="auto"/>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.1本次磋商项目，授权磋商小组按照成交候选供应商排序，优先直接确定排名第一的供应商为成交供应商。</w:t>
      </w:r>
    </w:p>
    <w:p w14:paraId="7976A4F7">
      <w:pPr>
        <w:pStyle w:val="139"/>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lang w:val="en-US" w:eastAsia="zh-CN"/>
        </w:rPr>
        <w:t>7</w:t>
      </w:r>
      <w:r>
        <w:rPr>
          <w:rFonts w:hint="eastAsia" w:ascii="仿宋" w:hAnsi="仿宋" w:eastAsia="仿宋" w:cs="仿宋"/>
          <w:b/>
          <w:color w:val="000000"/>
          <w:sz w:val="24"/>
          <w:szCs w:val="24"/>
        </w:rPr>
        <w:t>.编写评审报告</w:t>
      </w:r>
    </w:p>
    <w:p w14:paraId="2B60A8A3">
      <w:pPr>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7</w:t>
      </w:r>
      <w:r>
        <w:rPr>
          <w:rFonts w:hint="eastAsia" w:ascii="仿宋" w:hAnsi="仿宋" w:eastAsia="仿宋" w:cs="仿宋"/>
          <w:color w:val="000000"/>
          <w:kern w:val="0"/>
          <w:sz w:val="24"/>
        </w:rPr>
        <w:t>.1磋商小组根据磋商记录和磋商情况及评审结果编写评审报告。</w:t>
      </w:r>
    </w:p>
    <w:p w14:paraId="52706B0F">
      <w:pPr>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评审报告应当包括以下主要内容：</w:t>
      </w:r>
    </w:p>
    <w:p w14:paraId="0886FF76">
      <w:pPr>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（一）邀请供应商参加磋商活动的具体方法和相关情况；</w:t>
      </w:r>
    </w:p>
    <w:p w14:paraId="13728A91">
      <w:pPr>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（二）响应文件开启日期和地点及响应文件解密情况；</w:t>
      </w:r>
    </w:p>
    <w:p w14:paraId="0C4EEF52">
      <w:pPr>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（三）获取磋商文件的供应商名单和磋商小组成员名单；</w:t>
      </w:r>
    </w:p>
    <w:p w14:paraId="1CE62CBA">
      <w:pPr>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（四）评审情况记录和说明，包括各供应商的资格性、符合性审查情况、供应商响应文件评审情况、磋商情况、报价情况等；</w:t>
      </w:r>
    </w:p>
    <w:p w14:paraId="3FF9F1F6">
      <w:pPr>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（五）提出成交供应商的排序名单。</w:t>
      </w:r>
    </w:p>
    <w:p w14:paraId="078477FB">
      <w:pPr>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7</w:t>
      </w:r>
      <w:r>
        <w:rPr>
          <w:rFonts w:hint="eastAsia" w:ascii="仿宋" w:hAnsi="仿宋" w:eastAsia="仿宋" w:cs="仿宋"/>
          <w:color w:val="000000"/>
          <w:kern w:val="0"/>
          <w:sz w:val="24"/>
        </w:rPr>
        <w:t>.2评审报告应当由磋商小组全体人员签字认可。对评审报告有异议的磋商小组成员，应当在报告上签署不同意见并说明理由，由磋商小组书面记录相关情况。磋商小组成员拒绝在报告上签字又不出具说明其不同意见和理由的，视为同意评审报告。</w:t>
      </w:r>
    </w:p>
    <w:p w14:paraId="06F9E6D4">
      <w:pPr>
        <w:pStyle w:val="139"/>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lang w:val="en-US" w:eastAsia="zh-CN"/>
        </w:rPr>
        <w:t>8</w:t>
      </w:r>
      <w:r>
        <w:rPr>
          <w:rFonts w:hint="eastAsia" w:ascii="仿宋" w:hAnsi="仿宋" w:eastAsia="仿宋" w:cs="仿宋"/>
          <w:b/>
          <w:color w:val="000000"/>
          <w:sz w:val="24"/>
          <w:szCs w:val="24"/>
        </w:rPr>
        <w:t>.评审复核</w:t>
      </w:r>
    </w:p>
    <w:p w14:paraId="3AB0DD23">
      <w:pPr>
        <w:pStyle w:val="139"/>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.1磋商小组要对评审数据进行校对、核对。</w:t>
      </w:r>
    </w:p>
    <w:p w14:paraId="4D0863A0">
      <w:pPr>
        <w:pStyle w:val="139"/>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.2除资格性审查认定错误、分值汇总计算错误、分项评分超出评分范围、客观分评分不一致、经磋商小组一致认定畸高、畸低的情形外，代理机构或者采购方不得以任何理由组织重新评审。</w:t>
      </w:r>
    </w:p>
    <w:p w14:paraId="6D153435">
      <w:pPr>
        <w:pStyle w:val="139"/>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.3采购方、代理机构发现磋商小组未按磋商文件规定的评审标准进行评审的，应当重新开展磋商活动，并同时书面报告相关部门。</w:t>
      </w:r>
    </w:p>
    <w:p w14:paraId="093A96B0">
      <w:pPr>
        <w:pStyle w:val="139"/>
        <w:snapToGrid w:val="0"/>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lang w:val="en-US" w:eastAsia="zh-CN"/>
        </w:rPr>
        <w:t>9</w:t>
      </w:r>
      <w:r>
        <w:rPr>
          <w:rFonts w:hint="eastAsia" w:ascii="仿宋" w:hAnsi="仿宋" w:eastAsia="仿宋" w:cs="仿宋"/>
          <w:b/>
          <w:color w:val="000000"/>
          <w:sz w:val="24"/>
          <w:szCs w:val="24"/>
        </w:rPr>
        <w:t>.磋商过程保密</w:t>
      </w:r>
    </w:p>
    <w:p w14:paraId="6CBB806E">
      <w:pPr>
        <w:pStyle w:val="139"/>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.1在磋商期间，任何人不得透露与磋商有关的其他供应商的响应内容及服务方案和其他信息。</w:t>
      </w:r>
    </w:p>
    <w:p w14:paraId="004D2F6A">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9</w:t>
      </w:r>
      <w:r>
        <w:rPr>
          <w:rFonts w:hint="eastAsia" w:ascii="仿宋" w:hAnsi="仿宋" w:eastAsia="仿宋" w:cs="仿宋"/>
          <w:color w:val="000000"/>
          <w:sz w:val="24"/>
        </w:rPr>
        <w:t>.2</w:t>
      </w:r>
      <w:r>
        <w:rPr>
          <w:rFonts w:hint="eastAsia" w:ascii="仿宋" w:hAnsi="仿宋" w:eastAsia="仿宋" w:cs="仿宋"/>
          <w:color w:val="000000"/>
          <w:kern w:val="0"/>
          <w:sz w:val="24"/>
        </w:rPr>
        <w:t>采购人、代理机构应当采取必要措施，保证磋商在严格保密的情况下进行。除采购方代表、磋商现场组织人员外，采购方的其他工作人员以及与磋商工作无关的人员不得进入磋商现场。</w:t>
      </w:r>
    </w:p>
    <w:p w14:paraId="1B3FA3EB">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9</w:t>
      </w:r>
      <w:r>
        <w:rPr>
          <w:rFonts w:hint="eastAsia" w:ascii="仿宋" w:hAnsi="仿宋" w:eastAsia="仿宋" w:cs="仿宋"/>
          <w:color w:val="000000"/>
          <w:kern w:val="0"/>
          <w:sz w:val="24"/>
        </w:rPr>
        <w:t>.3磋商开始，直到授予成交供应商合同止，凡是属于审查、澄清、评价和比较磋商的有关资料等，均不得向供应商或其他与磋商无关的人员透露。</w:t>
      </w:r>
    </w:p>
    <w:p w14:paraId="5F580825">
      <w:pPr>
        <w:pStyle w:val="139"/>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.4在磋商期间，供应商企图影响代理机构或磋商小组的任何活动，将导致磋商被拒绝，并承担相应的责任。</w:t>
      </w:r>
    </w:p>
    <w:p w14:paraId="2B9A364C">
      <w:pPr>
        <w:pStyle w:val="139"/>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.5磋商结束后，参与评审的所有人员不得带走与相关规定要求违背的任何资料。</w:t>
      </w:r>
    </w:p>
    <w:p w14:paraId="046AD92D">
      <w:pPr>
        <w:pStyle w:val="139"/>
        <w:snapToGrid w:val="0"/>
        <w:spacing w:line="360" w:lineRule="auto"/>
        <w:ind w:firstLine="477" w:firstLineChars="198"/>
        <w:jc w:val="left"/>
        <w:rPr>
          <w:rFonts w:ascii="仿宋" w:hAnsi="仿宋" w:eastAsia="仿宋" w:cs="仿宋"/>
          <w:b/>
          <w:color w:val="000000"/>
          <w:sz w:val="24"/>
          <w:szCs w:val="24"/>
        </w:rPr>
      </w:pPr>
      <w:r>
        <w:rPr>
          <w:rFonts w:hint="eastAsia" w:ascii="仿宋" w:hAnsi="仿宋" w:eastAsia="仿宋" w:cs="仿宋"/>
          <w:b/>
          <w:color w:val="000000"/>
          <w:sz w:val="24"/>
          <w:szCs w:val="24"/>
          <w:lang w:val="en-US" w:eastAsia="zh-CN"/>
        </w:rPr>
        <w:t>30</w:t>
      </w:r>
      <w:r>
        <w:rPr>
          <w:rFonts w:hint="eastAsia" w:ascii="仿宋" w:hAnsi="仿宋" w:eastAsia="仿宋" w:cs="仿宋"/>
          <w:b/>
          <w:color w:val="000000"/>
          <w:sz w:val="24"/>
          <w:szCs w:val="24"/>
        </w:rPr>
        <w:t>.关于供应商瑕疵滞后发现的处理规则</w:t>
      </w:r>
    </w:p>
    <w:p w14:paraId="44605FAC">
      <w:pPr>
        <w:pStyle w:val="139"/>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lang w:val="en-US" w:eastAsia="zh-CN"/>
        </w:rPr>
        <w:t>30</w:t>
      </w:r>
      <w:r>
        <w:rPr>
          <w:rFonts w:hint="eastAsia" w:ascii="仿宋" w:hAnsi="仿宋" w:eastAsia="仿宋" w:cs="仿宋"/>
          <w:color w:val="000000"/>
          <w:sz w:val="24"/>
          <w:szCs w:val="24"/>
        </w:rPr>
        <w:t>.1无论基于何种原因，各项本应作拒绝或无效响应处理的情形，即便未被及时发现而使该供应商进入初审、磋商或其它后续程序的，包括已经签约的情形。一旦被发现，代理机构均有权采取相应的补救及纠正措施。</w:t>
      </w:r>
    </w:p>
    <w:p w14:paraId="1D6646DB">
      <w:pPr>
        <w:tabs>
          <w:tab w:val="left" w:pos="0"/>
        </w:tabs>
        <w:snapToGrid w:val="0"/>
        <w:spacing w:line="360" w:lineRule="auto"/>
        <w:ind w:firstLine="482" w:firstLineChars="200"/>
        <w:jc w:val="left"/>
        <w:rPr>
          <w:rFonts w:ascii="仿宋" w:hAnsi="仿宋" w:eastAsia="仿宋" w:cs="仿宋"/>
          <w:b/>
          <w:color w:val="000000"/>
          <w:kern w:val="0"/>
          <w:sz w:val="24"/>
        </w:rPr>
      </w:pPr>
      <w:r>
        <w:rPr>
          <w:rFonts w:hint="eastAsia" w:ascii="仿宋" w:hAnsi="仿宋" w:eastAsia="仿宋" w:cs="仿宋"/>
          <w:b/>
          <w:color w:val="000000"/>
          <w:kern w:val="0"/>
          <w:sz w:val="24"/>
        </w:rPr>
        <w:t>3</w:t>
      </w:r>
      <w:r>
        <w:rPr>
          <w:rFonts w:hint="eastAsia" w:ascii="仿宋" w:hAnsi="仿宋" w:eastAsia="仿宋" w:cs="仿宋"/>
          <w:b/>
          <w:color w:val="000000"/>
          <w:kern w:val="0"/>
          <w:sz w:val="24"/>
          <w:lang w:val="en-US" w:eastAsia="zh-CN"/>
        </w:rPr>
        <w:t>1</w:t>
      </w:r>
      <w:r>
        <w:rPr>
          <w:rFonts w:hint="eastAsia" w:ascii="仿宋" w:hAnsi="仿宋" w:eastAsia="仿宋" w:cs="仿宋"/>
          <w:b/>
          <w:color w:val="000000"/>
          <w:kern w:val="0"/>
          <w:sz w:val="24"/>
        </w:rPr>
        <w:t>.磋商项目终止</w:t>
      </w:r>
    </w:p>
    <w:p w14:paraId="68343C6C">
      <w:pPr>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val="en-US" w:eastAsia="zh-CN"/>
        </w:rPr>
        <w:t>1</w:t>
      </w:r>
      <w:r>
        <w:rPr>
          <w:rFonts w:hint="eastAsia" w:ascii="仿宋" w:hAnsi="仿宋" w:eastAsia="仿宋" w:cs="仿宋"/>
          <w:color w:val="000000"/>
          <w:sz w:val="24"/>
        </w:rPr>
        <w:t>.1出现下列情形之一的，代理机构或采购方应当终止磋商活动，发布项目终止公告并说明原因，重新开展磋商活动：</w:t>
      </w:r>
    </w:p>
    <w:p w14:paraId="76B26457">
      <w:pPr>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（一）因情况变化，不再符合规定的磋商方式适用情形的；</w:t>
      </w:r>
    </w:p>
    <w:p w14:paraId="52E96FDC">
      <w:pPr>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（二）出现影响磋商公正、公平行为的；</w:t>
      </w:r>
    </w:p>
    <w:p w14:paraId="7D2983C9">
      <w:pPr>
        <w:snapToGrid w:val="0"/>
        <w:spacing w:line="360" w:lineRule="auto"/>
        <w:ind w:firstLine="480"/>
        <w:jc w:val="left"/>
        <w:rPr>
          <w:rFonts w:ascii="仿宋" w:hAnsi="仿宋" w:eastAsia="仿宋" w:cs="仿宋"/>
          <w:color w:val="000000"/>
          <w:sz w:val="24"/>
        </w:rPr>
      </w:pPr>
      <w:r>
        <w:rPr>
          <w:rFonts w:hint="eastAsia" w:ascii="仿宋" w:hAnsi="仿宋" w:eastAsia="仿宋" w:cs="仿宋"/>
          <w:color w:val="000000"/>
          <w:sz w:val="24"/>
        </w:rPr>
        <w:t>（三）在磋商过程中符合磋商文件资格性符合性要求的供应商不足法定人数的，但技术复杂或者性质特殊，不能确定具体要求的情形除外。</w:t>
      </w:r>
    </w:p>
    <w:p w14:paraId="4118DE5F">
      <w:pPr>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val="en-US" w:eastAsia="zh-CN"/>
        </w:rPr>
        <w:t>1</w:t>
      </w:r>
      <w:r>
        <w:rPr>
          <w:rFonts w:hint="eastAsia" w:ascii="仿宋" w:hAnsi="仿宋" w:eastAsia="仿宋" w:cs="仿宋"/>
          <w:color w:val="000000"/>
          <w:sz w:val="24"/>
        </w:rPr>
        <w:t>.2在磋商活动中因重大变故，磋商任务取消的，代理机构或采购方应当终止磋商活动，通过发布终止项目公告的方式通知所有参加磋商活动的供应商，并将项目实施情况和磋商任务取消原因报送相关部门。</w:t>
      </w:r>
    </w:p>
    <w:p w14:paraId="4AEB4BBA">
      <w:pPr>
        <w:pStyle w:val="5"/>
        <w:rPr>
          <w:rFonts w:ascii="仿宋" w:hAnsi="仿宋" w:eastAsia="仿宋" w:cs="仿宋"/>
          <w:sz w:val="24"/>
          <w:szCs w:val="24"/>
        </w:rPr>
      </w:pPr>
      <w:bookmarkStart w:id="74" w:name="_Toc79599057"/>
      <w:bookmarkStart w:id="75" w:name="_Toc8277"/>
      <w:bookmarkStart w:id="76" w:name="_Toc1494"/>
      <w:bookmarkStart w:id="77" w:name="_Toc26226"/>
      <w:r>
        <w:rPr>
          <w:rFonts w:hint="eastAsia" w:ascii="仿宋" w:hAnsi="仿宋" w:eastAsia="仿宋" w:cs="仿宋"/>
          <w:sz w:val="24"/>
          <w:szCs w:val="24"/>
        </w:rPr>
        <w:t>七、签订合同</w:t>
      </w:r>
      <w:bookmarkEnd w:id="74"/>
      <w:bookmarkEnd w:id="75"/>
      <w:bookmarkEnd w:id="76"/>
      <w:bookmarkEnd w:id="77"/>
    </w:p>
    <w:p w14:paraId="7CA3107C">
      <w:pPr>
        <w:pStyle w:val="139"/>
        <w:snapToGrid w:val="0"/>
        <w:spacing w:line="360" w:lineRule="auto"/>
        <w:ind w:firstLine="477" w:firstLineChars="198"/>
        <w:jc w:val="left"/>
        <w:rPr>
          <w:rFonts w:ascii="仿宋" w:hAnsi="仿宋" w:eastAsia="仿宋" w:cs="仿宋"/>
          <w:b/>
          <w:color w:val="000000"/>
          <w:sz w:val="24"/>
          <w:szCs w:val="24"/>
        </w:rPr>
      </w:pPr>
      <w:r>
        <w:rPr>
          <w:rFonts w:hint="eastAsia" w:ascii="仿宋" w:hAnsi="仿宋" w:eastAsia="仿宋" w:cs="仿宋"/>
          <w:b/>
          <w:color w:val="000000"/>
          <w:sz w:val="24"/>
          <w:szCs w:val="24"/>
        </w:rPr>
        <w:t>3</w:t>
      </w:r>
      <w:r>
        <w:rPr>
          <w:rFonts w:hint="eastAsia" w:ascii="仿宋" w:hAnsi="仿宋" w:eastAsia="仿宋" w:cs="仿宋"/>
          <w:b/>
          <w:color w:val="000000"/>
          <w:sz w:val="24"/>
          <w:szCs w:val="24"/>
          <w:lang w:val="en-US" w:eastAsia="zh-CN"/>
        </w:rPr>
        <w:t>2</w:t>
      </w:r>
      <w:r>
        <w:rPr>
          <w:rFonts w:hint="eastAsia" w:ascii="仿宋" w:hAnsi="仿宋" w:eastAsia="仿宋" w:cs="仿宋"/>
          <w:b/>
          <w:color w:val="000000"/>
          <w:sz w:val="24"/>
          <w:szCs w:val="24"/>
        </w:rPr>
        <w:t>.成交公告与成交通知</w:t>
      </w:r>
    </w:p>
    <w:p w14:paraId="1F324F4C">
      <w:pPr>
        <w:pStyle w:val="139"/>
        <w:snapToGrid w:val="0"/>
        <w:spacing w:line="360" w:lineRule="auto"/>
        <w:ind w:firstLine="475" w:firstLineChars="198"/>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.1代理机构或采购方应当在成交供应商确定后2个工作日内，在</w:t>
      </w:r>
      <w:r>
        <w:rPr>
          <w:rFonts w:hint="eastAsia" w:ascii="仿宋" w:hAnsi="仿宋" w:eastAsia="仿宋" w:cs="仿宋"/>
          <w:color w:val="000000"/>
          <w:sz w:val="24"/>
          <w:szCs w:val="24"/>
          <w:u w:val="single"/>
        </w:rPr>
        <w:t>山西省政府采购网</w:t>
      </w:r>
      <w:r>
        <w:rPr>
          <w:rFonts w:hint="eastAsia" w:ascii="仿宋" w:hAnsi="仿宋" w:eastAsia="仿宋" w:cs="仿宋"/>
          <w:color w:val="000000"/>
          <w:sz w:val="24"/>
          <w:szCs w:val="24"/>
        </w:rPr>
        <w:t>发布成交结果</w:t>
      </w:r>
      <w:r>
        <w:rPr>
          <w:rFonts w:hint="eastAsia" w:ascii="仿宋" w:hAnsi="仿宋" w:eastAsia="仿宋" w:cs="仿宋"/>
          <w:color w:val="000000"/>
          <w:kern w:val="0"/>
          <w:sz w:val="24"/>
          <w:szCs w:val="24"/>
        </w:rPr>
        <w:t>，同时向成交供应商发出成交通知书，并将磋商文件随成交结果同时公告。成交结果公告应当包括：</w:t>
      </w:r>
    </w:p>
    <w:p w14:paraId="7076B27B">
      <w:pPr>
        <w:pStyle w:val="139"/>
        <w:snapToGrid w:val="0"/>
        <w:spacing w:line="360" w:lineRule="auto"/>
        <w:ind w:firstLine="475" w:firstLineChars="198"/>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（一）采购方和代理机构的名称、地址和联系方式；</w:t>
      </w:r>
    </w:p>
    <w:p w14:paraId="6E178E3F">
      <w:pPr>
        <w:pStyle w:val="139"/>
        <w:snapToGrid w:val="0"/>
        <w:spacing w:line="360" w:lineRule="auto"/>
        <w:ind w:firstLine="475" w:firstLineChars="198"/>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（二）项目名称和项目编号；</w:t>
      </w:r>
    </w:p>
    <w:p w14:paraId="066FC517">
      <w:pPr>
        <w:pStyle w:val="139"/>
        <w:snapToGrid w:val="0"/>
        <w:spacing w:line="360" w:lineRule="auto"/>
        <w:ind w:firstLine="475" w:firstLineChars="198"/>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（三）成交供应商名称、地址和成交金额；</w:t>
      </w:r>
    </w:p>
    <w:p w14:paraId="7FE6A20F">
      <w:pPr>
        <w:pStyle w:val="139"/>
        <w:snapToGrid w:val="0"/>
        <w:spacing w:line="360" w:lineRule="auto"/>
        <w:ind w:firstLine="475" w:firstLineChars="198"/>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（四）成交标的内容、服务期限、服务内容等要求；</w:t>
      </w:r>
    </w:p>
    <w:p w14:paraId="06AA46BF">
      <w:pPr>
        <w:pStyle w:val="139"/>
        <w:snapToGrid w:val="0"/>
        <w:spacing w:line="360" w:lineRule="auto"/>
        <w:ind w:firstLine="475" w:firstLineChars="198"/>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（五）磋商小组成员名单。</w:t>
      </w:r>
    </w:p>
    <w:p w14:paraId="17CDD202">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.2代理机构对未成交的</w:t>
      </w:r>
      <w:r>
        <w:rPr>
          <w:rFonts w:hint="eastAsia" w:ascii="仿宋" w:hAnsi="仿宋" w:eastAsia="仿宋" w:cs="仿宋"/>
          <w:color w:val="000000"/>
          <w:sz w:val="24"/>
        </w:rPr>
        <w:t>供应商</w:t>
      </w:r>
      <w:r>
        <w:rPr>
          <w:rFonts w:hint="eastAsia" w:ascii="仿宋" w:hAnsi="仿宋" w:eastAsia="仿宋" w:cs="仿宋"/>
          <w:color w:val="000000"/>
          <w:kern w:val="0"/>
          <w:sz w:val="24"/>
        </w:rPr>
        <w:t>不做未成交原因的解释。</w:t>
      </w:r>
    </w:p>
    <w:p w14:paraId="5E18D7CF">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.3成交通知书对采购方和成交供应商具有同等法律效力，是合同的组成部分。</w:t>
      </w:r>
    </w:p>
    <w:p w14:paraId="07EF56D2">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.4除不可抗力等因素外，成交通知书发出后，采购方改变成交结果，或者成交供应商拒绝签订合同的，应当承担相应的责任。</w:t>
      </w:r>
    </w:p>
    <w:p w14:paraId="52DB59A0">
      <w:pPr>
        <w:tabs>
          <w:tab w:val="left" w:pos="567"/>
        </w:tabs>
        <w:snapToGrid w:val="0"/>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.5成交供应商拒绝签订合同的，采购方可以确定其他供应商作为成交供应商，并签订合同；也可以重新开展磋商活动。拒绝签订合同的成交供应商不得参加对该项目重新开展的磋商活动。</w:t>
      </w:r>
    </w:p>
    <w:p w14:paraId="6F26304D">
      <w:pPr>
        <w:pStyle w:val="139"/>
        <w:snapToGrid w:val="0"/>
        <w:spacing w:line="360" w:lineRule="auto"/>
        <w:ind w:firstLine="477" w:firstLineChars="198"/>
        <w:jc w:val="left"/>
        <w:rPr>
          <w:rFonts w:ascii="仿宋" w:hAnsi="仿宋" w:eastAsia="仿宋" w:cs="仿宋"/>
          <w:b/>
          <w:color w:val="000000"/>
          <w:sz w:val="24"/>
          <w:szCs w:val="24"/>
        </w:rPr>
      </w:pPr>
      <w:r>
        <w:rPr>
          <w:rFonts w:hint="eastAsia" w:ascii="仿宋" w:hAnsi="仿宋" w:eastAsia="仿宋" w:cs="仿宋"/>
          <w:b/>
          <w:color w:val="000000"/>
          <w:sz w:val="24"/>
          <w:szCs w:val="24"/>
        </w:rPr>
        <w:t>3</w:t>
      </w:r>
      <w:r>
        <w:rPr>
          <w:rFonts w:hint="eastAsia" w:ascii="仿宋" w:hAnsi="仿宋" w:eastAsia="仿宋" w:cs="仿宋"/>
          <w:b/>
          <w:color w:val="000000"/>
          <w:sz w:val="24"/>
          <w:szCs w:val="24"/>
          <w:lang w:val="en-US" w:eastAsia="zh-CN"/>
        </w:rPr>
        <w:t>3</w:t>
      </w:r>
      <w:r>
        <w:rPr>
          <w:rFonts w:hint="eastAsia" w:ascii="仿宋" w:hAnsi="仿宋" w:eastAsia="仿宋" w:cs="仿宋"/>
          <w:b/>
          <w:color w:val="000000"/>
          <w:sz w:val="24"/>
          <w:szCs w:val="24"/>
        </w:rPr>
        <w:t>.成交服务费</w:t>
      </w:r>
    </w:p>
    <w:p w14:paraId="73EC5B05">
      <w:pPr>
        <w:pStyle w:val="130"/>
        <w:spacing w:line="360" w:lineRule="auto"/>
        <w:ind w:firstLine="480"/>
        <w:jc w:val="left"/>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.1采购项目成交服务费见供应商须知前附表23条规定。请供应商在测算报价时充分考虑这一因素。</w:t>
      </w:r>
    </w:p>
    <w:p w14:paraId="2DEDDC75">
      <w:pPr>
        <w:pStyle w:val="130"/>
        <w:spacing w:line="360" w:lineRule="auto"/>
        <w:ind w:firstLine="480"/>
        <w:jc w:val="left"/>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.2成交供应商在收到成交通知书时，向采购代理机构一次性付清成交服务费。</w:t>
      </w:r>
    </w:p>
    <w:p w14:paraId="39DA1E89">
      <w:pPr>
        <w:spacing w:line="360" w:lineRule="auto"/>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3</w:t>
      </w:r>
      <w:r>
        <w:rPr>
          <w:rFonts w:hint="eastAsia" w:ascii="仿宋" w:hAnsi="仿宋" w:eastAsia="仿宋" w:cs="仿宋"/>
          <w:b/>
          <w:color w:val="000000"/>
          <w:sz w:val="24"/>
          <w:lang w:val="en-US" w:eastAsia="zh-CN"/>
        </w:rPr>
        <w:t>4</w:t>
      </w:r>
      <w:r>
        <w:rPr>
          <w:rFonts w:hint="eastAsia" w:ascii="仿宋" w:hAnsi="仿宋" w:eastAsia="仿宋" w:cs="仿宋"/>
          <w:b/>
          <w:color w:val="000000"/>
          <w:sz w:val="24"/>
        </w:rPr>
        <w:t>.签订合同</w:t>
      </w:r>
    </w:p>
    <w:p w14:paraId="74ED0609">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val="en-US" w:eastAsia="zh-CN"/>
        </w:rPr>
        <w:t>4</w:t>
      </w:r>
      <w:r>
        <w:rPr>
          <w:rFonts w:hint="eastAsia" w:ascii="仿宋" w:hAnsi="仿宋" w:eastAsia="仿宋" w:cs="仿宋"/>
          <w:color w:val="000000"/>
          <w:sz w:val="24"/>
        </w:rPr>
        <w:t>.1</w:t>
      </w:r>
      <w:r>
        <w:rPr>
          <w:rFonts w:hint="eastAsia" w:ascii="仿宋" w:hAnsi="仿宋" w:eastAsia="仿宋" w:cs="仿宋"/>
          <w:color w:val="000000"/>
          <w:kern w:val="0"/>
          <w:sz w:val="24"/>
        </w:rPr>
        <w:t>采购方与成交供应商应当在成交通知书发出之日起30日内，</w:t>
      </w:r>
      <w:r>
        <w:rPr>
          <w:rFonts w:hint="eastAsia" w:ascii="仿宋" w:hAnsi="仿宋" w:eastAsia="仿宋" w:cs="仿宋"/>
          <w:color w:val="000000"/>
          <w:sz w:val="24"/>
        </w:rPr>
        <w:t>按照磋商文件确定的合同文本以及磋商内容、服务、技术要求等事项签订采购合同。</w:t>
      </w:r>
    </w:p>
    <w:p w14:paraId="371BD127">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val="en-US" w:eastAsia="zh-CN"/>
        </w:rPr>
        <w:t>4</w:t>
      </w:r>
      <w:r>
        <w:rPr>
          <w:rFonts w:hint="eastAsia" w:ascii="仿宋" w:hAnsi="仿宋" w:eastAsia="仿宋" w:cs="仿宋"/>
          <w:color w:val="000000"/>
          <w:sz w:val="24"/>
        </w:rPr>
        <w:t>.2采购方不得向成交供应商提出超出磋商文件、成交供应商响应文件及其相关承诺以外的任何要求作为签订合同的条件，不得与成交供应商订立背离磋商文件确定的合同文本以及磋商内容、服务及技术要求等实质性内容的协议。</w:t>
      </w:r>
    </w:p>
    <w:p w14:paraId="54DFF84D">
      <w:pPr>
        <w:pStyle w:val="139"/>
        <w:snapToGrid w:val="0"/>
        <w:spacing w:line="360" w:lineRule="auto"/>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.3除磋商文件要求可以转包、分包情形外，成交供应商不得转包、分包，亦不得将合同全部及任何权利、义务向第三方转让。</w:t>
      </w:r>
      <w:r>
        <w:rPr>
          <w:rFonts w:hint="eastAsia" w:ascii="仿宋" w:hAnsi="仿宋" w:eastAsia="仿宋" w:cs="仿宋"/>
          <w:color w:val="000000"/>
          <w:kern w:val="0"/>
          <w:sz w:val="24"/>
          <w:szCs w:val="24"/>
        </w:rPr>
        <w:t>代理机构或采购方有权决定按照成交供应商成交后毁标、终止或解除合同等依约处理。</w:t>
      </w:r>
    </w:p>
    <w:p w14:paraId="3436C670">
      <w:pPr>
        <w:tabs>
          <w:tab w:val="left" w:pos="567"/>
        </w:tabs>
        <w:snapToGrid w:val="0"/>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sz w:val="24"/>
        </w:rPr>
        <w:t>3</w:t>
      </w:r>
      <w:r>
        <w:rPr>
          <w:rFonts w:hint="eastAsia" w:ascii="仿宋" w:hAnsi="仿宋" w:eastAsia="仿宋" w:cs="仿宋"/>
          <w:color w:val="000000"/>
          <w:sz w:val="24"/>
          <w:lang w:val="en-US" w:eastAsia="zh-CN"/>
        </w:rPr>
        <w:t>4</w:t>
      </w:r>
      <w:r>
        <w:rPr>
          <w:rFonts w:hint="eastAsia" w:ascii="仿宋" w:hAnsi="仿宋" w:eastAsia="仿宋" w:cs="仿宋"/>
          <w:color w:val="000000"/>
          <w:sz w:val="24"/>
        </w:rPr>
        <w:t>.4</w:t>
      </w:r>
      <w:r>
        <w:rPr>
          <w:rFonts w:hint="eastAsia" w:ascii="仿宋" w:hAnsi="仿宋" w:eastAsia="仿宋" w:cs="仿宋"/>
          <w:color w:val="000000"/>
          <w:kern w:val="0"/>
          <w:sz w:val="24"/>
        </w:rPr>
        <w:t>采购方与成交供应商应当根据合同约定依法履行合同义务，否则，应承担赔偿责任。</w:t>
      </w:r>
    </w:p>
    <w:p w14:paraId="12699A4F">
      <w:pPr>
        <w:pStyle w:val="139"/>
        <w:snapToGrid w:val="0"/>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kern w:val="0"/>
          <w:sz w:val="24"/>
          <w:szCs w:val="24"/>
        </w:rPr>
        <w:t>3</w:t>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.5</w:t>
      </w:r>
      <w:r>
        <w:rPr>
          <w:rFonts w:hint="eastAsia" w:ascii="仿宋" w:hAnsi="仿宋" w:eastAsia="仿宋" w:cs="仿宋"/>
          <w:color w:val="000000"/>
          <w:sz w:val="24"/>
          <w:szCs w:val="24"/>
        </w:rPr>
        <w:t>成交供应商应当自合同或补充合同签订之日起五个工作日内将合同报代理机构备案。</w:t>
      </w:r>
    </w:p>
    <w:p w14:paraId="61BBF137">
      <w:pPr>
        <w:pStyle w:val="5"/>
        <w:rPr>
          <w:rFonts w:ascii="仿宋" w:hAnsi="仿宋" w:eastAsia="仿宋" w:cs="仿宋"/>
          <w:sz w:val="24"/>
          <w:szCs w:val="24"/>
        </w:rPr>
      </w:pPr>
      <w:bookmarkStart w:id="78" w:name="_Toc79599058"/>
      <w:bookmarkStart w:id="79" w:name="_Toc13993"/>
      <w:bookmarkStart w:id="80" w:name="_Toc976"/>
      <w:bookmarkStart w:id="81" w:name="_Toc9540"/>
      <w:r>
        <w:rPr>
          <w:rFonts w:hint="eastAsia" w:ascii="仿宋" w:hAnsi="仿宋" w:eastAsia="仿宋" w:cs="仿宋"/>
          <w:sz w:val="24"/>
          <w:szCs w:val="24"/>
        </w:rPr>
        <w:t>八、保密和披露</w:t>
      </w:r>
      <w:bookmarkEnd w:id="78"/>
      <w:bookmarkEnd w:id="79"/>
      <w:bookmarkEnd w:id="80"/>
      <w:bookmarkEnd w:id="81"/>
    </w:p>
    <w:p w14:paraId="3E5E9595">
      <w:pPr>
        <w:pStyle w:val="139"/>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.1供应商自获取磋商文件之日起，须承诺承担对本磋商项目的保密义务，不得将因本次磋商获得的信息向第三方外传。</w:t>
      </w:r>
    </w:p>
    <w:p w14:paraId="7D93B9DA">
      <w:pPr>
        <w:pStyle w:val="139"/>
        <w:spacing w:line="360" w:lineRule="auto"/>
        <w:ind w:firstLine="482" w:firstLineChars="200"/>
        <w:jc w:val="left"/>
        <w:rPr>
          <w:rFonts w:ascii="仿宋" w:hAnsi="仿宋" w:eastAsia="仿宋" w:cs="仿宋"/>
          <w:color w:val="000000"/>
          <w:sz w:val="24"/>
          <w:szCs w:val="24"/>
        </w:rPr>
      </w:pPr>
      <w:r>
        <w:rPr>
          <w:rFonts w:hint="eastAsia" w:ascii="仿宋" w:hAnsi="仿宋" w:eastAsia="仿宋" w:cs="仿宋"/>
          <w:b/>
          <w:bCs/>
          <w:color w:val="000000"/>
          <w:kern w:val="0"/>
          <w:sz w:val="24"/>
          <w:szCs w:val="24"/>
        </w:rPr>
        <w:t>3</w:t>
      </w:r>
      <w:r>
        <w:rPr>
          <w:rFonts w:hint="eastAsia" w:ascii="仿宋" w:hAnsi="仿宋" w:eastAsia="仿宋" w:cs="仿宋"/>
          <w:b/>
          <w:bCs/>
          <w:color w:val="000000"/>
          <w:kern w:val="0"/>
          <w:sz w:val="24"/>
          <w:szCs w:val="24"/>
          <w:lang w:val="en-US" w:eastAsia="zh-CN"/>
        </w:rPr>
        <w:t>5</w:t>
      </w:r>
      <w:r>
        <w:rPr>
          <w:rFonts w:hint="eastAsia" w:ascii="仿宋" w:hAnsi="仿宋" w:eastAsia="仿宋" w:cs="仿宋"/>
          <w:b/>
          <w:bCs/>
          <w:color w:val="000000"/>
          <w:kern w:val="0"/>
          <w:sz w:val="24"/>
          <w:szCs w:val="24"/>
        </w:rPr>
        <w:t>.2参加磋商过程的有关人员对磋商情况以及在磋商过程中获悉的国家秘密、商业秘密负有保密责任。</w:t>
      </w:r>
    </w:p>
    <w:p w14:paraId="02A3FDF3">
      <w:pPr>
        <w:pStyle w:val="139"/>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.3代理机构有权将供应商提供的所有资料向有关部门或评审的有关人员披露。</w:t>
      </w:r>
    </w:p>
    <w:p w14:paraId="4EF54C2B">
      <w:pPr>
        <w:pStyle w:val="139"/>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64B935CB">
      <w:pPr>
        <w:pStyle w:val="5"/>
        <w:rPr>
          <w:rFonts w:ascii="仿宋" w:hAnsi="仿宋" w:eastAsia="仿宋" w:cs="仿宋"/>
          <w:sz w:val="24"/>
          <w:szCs w:val="24"/>
        </w:rPr>
      </w:pPr>
      <w:bookmarkStart w:id="82" w:name="_Toc693"/>
      <w:bookmarkStart w:id="83" w:name="_Toc16691"/>
      <w:bookmarkStart w:id="84" w:name="_Toc7661"/>
      <w:bookmarkStart w:id="85" w:name="_Toc79599059"/>
      <w:r>
        <w:rPr>
          <w:rFonts w:hint="eastAsia" w:ascii="仿宋" w:hAnsi="仿宋" w:eastAsia="仿宋" w:cs="仿宋"/>
          <w:sz w:val="24"/>
          <w:szCs w:val="24"/>
        </w:rPr>
        <w:t>九、询问和质疑</w:t>
      </w:r>
      <w:bookmarkEnd w:id="82"/>
      <w:bookmarkEnd w:id="83"/>
      <w:bookmarkEnd w:id="84"/>
      <w:bookmarkEnd w:id="85"/>
    </w:p>
    <w:p w14:paraId="7F8AC643">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.1磋商程序受相关规定的约束，并受到严格的内部监督，以确保授予合同过程的公平公正。</w:t>
      </w:r>
    </w:p>
    <w:p w14:paraId="6BB79C4A">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.2供应商对磋商文件条款或商务、技术要求有异议的，应当在开启前通过澄清或修改程序提出。</w:t>
      </w:r>
    </w:p>
    <w:p w14:paraId="76E2E5C3">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.3供应商对磋商文件的质疑，应在质疑期内一次性提出针对同一磋商程序环节的质疑。</w:t>
      </w:r>
    </w:p>
    <w:p w14:paraId="11C22077">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.4供应商认为磋商文件、磋商过程、成交或者成交结果使自己的合法权益受到损害的，可以在知道或者应知其权益受到损害之日起7个工作日内，以书面形式向代理机构或采购方提出质疑。</w:t>
      </w:r>
    </w:p>
    <w:p w14:paraId="1EA09FB4">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.5潜在供应商已依法获取其可质疑的磋商文件的，可以对该文件提出质疑。对磋商文件提出质疑的，在获取磋商文件或者磋商公告期限届满之日起7个工作日内提出。</w:t>
      </w:r>
    </w:p>
    <w:p w14:paraId="00C4B8C8">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.6质疑应当以书面形式向代理机构提出，经法定代表人签字并加盖公章。</w:t>
      </w:r>
    </w:p>
    <w:p w14:paraId="1844BF17">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.7供应商提出质疑应当提交质疑函和必要的证明材料。质疑函应当包括以下主要内容：</w:t>
      </w:r>
    </w:p>
    <w:p w14:paraId="5C69C84C">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.7.1供应商的姓名或者名称、地址、邮编、联系人及联系电话；</w:t>
      </w:r>
    </w:p>
    <w:p w14:paraId="76D8C463">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.7.2质疑项目名称、编号；</w:t>
      </w:r>
    </w:p>
    <w:p w14:paraId="33ED4A71">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.7.3具体、明确的质疑事项和与质疑事项相关的请求；</w:t>
      </w:r>
    </w:p>
    <w:p w14:paraId="4B62B84B">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.7.4事实依据；</w:t>
      </w:r>
    </w:p>
    <w:p w14:paraId="2B3B7751">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.7.5必要的法律依据；</w:t>
      </w:r>
    </w:p>
    <w:p w14:paraId="3EC37111">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.7.6提出质疑的日期。</w:t>
      </w:r>
    </w:p>
    <w:p w14:paraId="2C200EBB">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由法定代表人或者其授权代表签字或者盖章，并加盖公章。</w:t>
      </w:r>
    </w:p>
    <w:p w14:paraId="02E7BC0C">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.8质疑应按照“谁主张、谁举证”的原则，质疑书应当附相关证明材料。质疑材料应为简体中文，一式二份。</w:t>
      </w:r>
    </w:p>
    <w:p w14:paraId="53D3BCAC">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.9有下列情形之一的，属于无效质疑，代理机构可不予受理：</w:t>
      </w:r>
    </w:p>
    <w:p w14:paraId="234E0764">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.9.1未在有效期限内提出质疑的；</w:t>
      </w:r>
    </w:p>
    <w:p w14:paraId="22584590">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.9.2质疑未以书面形式提出的；</w:t>
      </w:r>
    </w:p>
    <w:p w14:paraId="3B081ECB">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.9.3所提交材料未明示属于质疑材料的；</w:t>
      </w:r>
    </w:p>
    <w:p w14:paraId="6A58D463">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.9.4质疑书没有法定代表人签章并加盖单位公章的；质疑书由参加磋商项目的授权代表签署本人姓名或印盖本人姓名章，但没有法定代表人特别授权的；</w:t>
      </w:r>
    </w:p>
    <w:p w14:paraId="76DDDF69">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.9.5质疑书未提供有效联系人或联系方式的；</w:t>
      </w:r>
    </w:p>
    <w:p w14:paraId="1E4B101B">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.8.6质疑事项已经进入投诉或者行政复议或者诉讼程序的；</w:t>
      </w:r>
    </w:p>
    <w:p w14:paraId="685BDBEC">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.9.7质疑书未附相关证明材料，被视为无有效证据支持的；</w:t>
      </w:r>
    </w:p>
    <w:p w14:paraId="2466EF57">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.9.8供应商对磋商文件条款或技术要求有异议，未在开启前通过澄清或修改程序提出，并且供应商已经参与报价，而于开启后对磋商文件提出质疑的；</w:t>
      </w:r>
    </w:p>
    <w:p w14:paraId="248C04CB">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.9.9在提出本次质疑前半年内连续三次质疑而无事实依据的；</w:t>
      </w:r>
    </w:p>
    <w:p w14:paraId="30D2C0B4">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.9.10其它不符合受理条件的情形。</w:t>
      </w:r>
    </w:p>
    <w:p w14:paraId="58A76BBF">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.10代理机构或采购方不得拒收质疑供应商在法定质疑期内发出的质疑函，应当在收到质疑函后7个工作日内做出答复，并以书面形式通知质疑供应商和其他有关供应商。</w:t>
      </w:r>
    </w:p>
    <w:p w14:paraId="68CFAAE1">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.11供应商对磋商过程、成交结果提出质疑的，代理机构或采购方可以组织原磋商小组协助答复质疑。</w:t>
      </w:r>
    </w:p>
    <w:p w14:paraId="50150D6F">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.12质疑答复应当包含以下内容：</w:t>
      </w:r>
    </w:p>
    <w:p w14:paraId="76D77BA3">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4F8B946F">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.13采购方、代理机构认为供应商质疑不成立，或者成立但未对成交结果构成影响的，继续开展磋商活动；认为供应商质疑成立且影响或者可能影响成交结果的，按照下列情况处理：</w:t>
      </w:r>
    </w:p>
    <w:p w14:paraId="05895316">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.13.1对磋商文件提出的质疑，通过澄清或者修改可以继续开展磋商活动；否则应当修改磋商文件后重新开展活动。</w:t>
      </w:r>
    </w:p>
    <w:p w14:paraId="53FA3E3B">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.13.2对磋商过程、成交结果提出的质疑，合格供应商符合规定数量时，可以从合格的成交候选人中另行确定成交供应商的，应当另行确定成交供应商；否则应当重新开展磋商活动。</w:t>
      </w:r>
    </w:p>
    <w:p w14:paraId="2FD5757F">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质疑答复导致成交结果改变的，代理机构应当将有关情况书面报告相关部门。</w:t>
      </w:r>
    </w:p>
    <w:p w14:paraId="0A03C46D">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.14质疑供应商对采购方、代理机构的答复不满意，或者代理机构未在规定的时间内做出答复的，可以在答复期满后15个工作日内向相关部门投诉。</w:t>
      </w:r>
    </w:p>
    <w:p w14:paraId="60C95AF6">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.15接收质疑函的联系方式</w:t>
      </w:r>
    </w:p>
    <w:p w14:paraId="014546B6">
      <w:pPr>
        <w:snapToGrid w:val="0"/>
        <w:spacing w:line="360" w:lineRule="auto"/>
        <w:ind w:firstLine="480" w:firstLineChars="200"/>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联系单位：</w:t>
      </w:r>
      <w:r>
        <w:rPr>
          <w:rFonts w:hint="eastAsia" w:ascii="仿宋" w:hAnsi="仿宋" w:eastAsia="仿宋" w:cs="仿宋"/>
          <w:color w:val="000000"/>
          <w:kern w:val="0"/>
          <w:sz w:val="24"/>
          <w:lang w:eastAsia="zh-CN"/>
        </w:rPr>
        <w:t>山西冠标项目管理有限公司</w:t>
      </w:r>
    </w:p>
    <w:p w14:paraId="02C0BBB3">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地　　址：</w:t>
      </w:r>
      <w:r>
        <w:rPr>
          <w:rFonts w:hint="eastAsia" w:ascii="仿宋" w:hAnsi="仿宋" w:eastAsia="仿宋" w:cs="仿宋"/>
          <w:color w:val="000000"/>
          <w:kern w:val="0"/>
          <w:sz w:val="24"/>
          <w:lang w:eastAsia="zh-CN"/>
        </w:rPr>
        <w:t>山西省运城市运城经济技术开发区空港南区康杰南路33号</w:t>
      </w:r>
      <w:r>
        <w:rPr>
          <w:rFonts w:hint="eastAsia" w:ascii="仿宋" w:hAnsi="仿宋" w:eastAsia="仿宋" w:cs="仿宋"/>
          <w:color w:val="000000"/>
          <w:kern w:val="0"/>
          <w:sz w:val="24"/>
        </w:rPr>
        <w:t>　　　　　　　　　　　</w:t>
      </w:r>
    </w:p>
    <w:p w14:paraId="10335105">
      <w:pPr>
        <w:snapToGrid w:val="0"/>
        <w:spacing w:line="360" w:lineRule="auto"/>
        <w:ind w:firstLine="480" w:firstLineChars="200"/>
      </w:pPr>
      <w:r>
        <w:rPr>
          <w:rFonts w:hint="eastAsia" w:ascii="仿宋" w:hAnsi="仿宋" w:eastAsia="仿宋" w:cs="仿宋"/>
          <w:color w:val="000000"/>
          <w:kern w:val="0"/>
          <w:sz w:val="24"/>
        </w:rPr>
        <w:t>联系方式：</w:t>
      </w:r>
      <w:r>
        <w:rPr>
          <w:rFonts w:hint="eastAsia" w:ascii="仿宋" w:hAnsi="仿宋" w:eastAsia="仿宋" w:cs="仿宋"/>
          <w:sz w:val="24"/>
          <w:lang w:val="en-US" w:eastAsia="zh-CN"/>
        </w:rPr>
        <w:t>杨女士</w:t>
      </w:r>
      <w:r>
        <w:rPr>
          <w:rFonts w:hint="eastAsia" w:ascii="仿宋" w:hAnsi="仿宋" w:eastAsia="仿宋" w:cs="仿宋"/>
          <w:sz w:val="24"/>
        </w:rPr>
        <w:t xml:space="preserve">  </w:t>
      </w:r>
      <w:r>
        <w:rPr>
          <w:rFonts w:hint="eastAsia" w:ascii="仿宋" w:hAnsi="仿宋" w:eastAsia="仿宋" w:cs="仿宋"/>
          <w:sz w:val="24"/>
          <w:lang w:val="en-US" w:eastAsia="zh-CN"/>
        </w:rPr>
        <w:t>13133191954</w:t>
      </w:r>
      <w:r>
        <w:rPr>
          <w:rFonts w:hint="eastAsia" w:ascii="仿宋" w:hAnsi="仿宋" w:eastAsia="仿宋" w:cs="仿宋"/>
          <w:color w:val="000000"/>
          <w:kern w:val="0"/>
          <w:sz w:val="24"/>
        </w:rPr>
        <w:t>　　</w:t>
      </w:r>
      <w:r>
        <w:rPr>
          <w:rFonts w:hint="eastAsia" w:ascii="仿宋" w:hAnsi="仿宋" w:eastAsia="仿宋" w:cs="仿宋"/>
          <w:spacing w:val="10"/>
          <w:kern w:val="0"/>
          <w:sz w:val="24"/>
        </w:rPr>
        <w:t>　</w:t>
      </w:r>
    </w:p>
    <w:p w14:paraId="43194ECE">
      <w:pPr>
        <w:pStyle w:val="5"/>
        <w:rPr>
          <w:rFonts w:ascii="仿宋" w:hAnsi="仿宋" w:eastAsia="仿宋" w:cs="仿宋"/>
          <w:sz w:val="24"/>
          <w:szCs w:val="24"/>
        </w:rPr>
      </w:pPr>
      <w:bookmarkStart w:id="86" w:name="_Toc8488"/>
      <w:bookmarkStart w:id="87" w:name="_Toc24422"/>
      <w:bookmarkStart w:id="88" w:name="_Toc79599060"/>
      <w:bookmarkStart w:id="89" w:name="_Toc5220"/>
      <w:r>
        <w:rPr>
          <w:rFonts w:hint="eastAsia" w:ascii="仿宋" w:hAnsi="仿宋" w:eastAsia="仿宋" w:cs="仿宋"/>
          <w:sz w:val="24"/>
          <w:szCs w:val="24"/>
        </w:rPr>
        <w:t>十、违约处罚</w:t>
      </w:r>
      <w:bookmarkEnd w:id="86"/>
      <w:bookmarkEnd w:id="87"/>
      <w:bookmarkEnd w:id="88"/>
      <w:bookmarkEnd w:id="89"/>
    </w:p>
    <w:p w14:paraId="2AEE78FF">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7</w:t>
      </w:r>
      <w:r>
        <w:rPr>
          <w:rFonts w:hint="eastAsia" w:ascii="仿宋" w:hAnsi="仿宋" w:eastAsia="仿宋" w:cs="仿宋"/>
          <w:color w:val="000000"/>
          <w:kern w:val="0"/>
          <w:sz w:val="24"/>
        </w:rPr>
        <w:t xml:space="preserve">. 供应商发生下列情况之一的，可能被列入不良记录名单，同时代理机构将提请相关监管部门，依据相关规定作出处理。 </w:t>
      </w:r>
    </w:p>
    <w:p w14:paraId="7EE0FE39">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7</w:t>
      </w:r>
      <w:r>
        <w:rPr>
          <w:rFonts w:hint="eastAsia" w:ascii="仿宋" w:hAnsi="仿宋" w:eastAsia="仿宋" w:cs="仿宋"/>
          <w:color w:val="000000"/>
          <w:kern w:val="0"/>
          <w:sz w:val="24"/>
        </w:rPr>
        <w:t>.1开启后在响应文件有效期内，供应商撤回其响应文件；</w:t>
      </w:r>
    </w:p>
    <w:p w14:paraId="0E434D18">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7</w:t>
      </w:r>
      <w:r>
        <w:rPr>
          <w:rFonts w:hint="eastAsia" w:ascii="仿宋" w:hAnsi="仿宋" w:eastAsia="仿宋" w:cs="仿宋"/>
          <w:color w:val="000000"/>
          <w:kern w:val="0"/>
          <w:sz w:val="24"/>
        </w:rPr>
        <w:t>.2在磋商期间，供应商企图影响代理机构或磋商小组的任何活动，将导致报价被拒绝，并由其承担相应的法律责任；</w:t>
      </w:r>
    </w:p>
    <w:p w14:paraId="3EAC6F39">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7</w:t>
      </w:r>
      <w:r>
        <w:rPr>
          <w:rFonts w:hint="eastAsia" w:ascii="仿宋" w:hAnsi="仿宋" w:eastAsia="仿宋" w:cs="仿宋"/>
          <w:color w:val="000000"/>
          <w:kern w:val="0"/>
          <w:sz w:val="24"/>
        </w:rPr>
        <w:t xml:space="preserve">.3成交供应商未按本磋商文件规定签约； </w:t>
      </w:r>
    </w:p>
    <w:p w14:paraId="35D7E3BA">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7</w:t>
      </w:r>
      <w:r>
        <w:rPr>
          <w:rFonts w:hint="eastAsia" w:ascii="仿宋" w:hAnsi="仿宋" w:eastAsia="仿宋" w:cs="仿宋"/>
          <w:color w:val="000000"/>
          <w:kern w:val="0"/>
          <w:sz w:val="24"/>
        </w:rPr>
        <w:t xml:space="preserve">.4成交供应商与采购方订立背离合同实质性内容的其它协议； </w:t>
      </w:r>
    </w:p>
    <w:p w14:paraId="6073CAF2">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7</w:t>
      </w:r>
      <w:r>
        <w:rPr>
          <w:rFonts w:hint="eastAsia" w:ascii="仿宋" w:hAnsi="仿宋" w:eastAsia="仿宋" w:cs="仿宋"/>
          <w:color w:val="000000"/>
          <w:kern w:val="0"/>
          <w:sz w:val="24"/>
        </w:rPr>
        <w:t>.5成交供应商未按磋商文件规定和合同约定履行义务的。</w:t>
      </w:r>
    </w:p>
    <w:p w14:paraId="7AEFFC85">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8</w:t>
      </w:r>
      <w:r>
        <w:rPr>
          <w:rFonts w:hint="eastAsia" w:ascii="仿宋" w:hAnsi="仿宋" w:eastAsia="仿宋" w:cs="仿宋"/>
          <w:color w:val="000000"/>
          <w:kern w:val="0"/>
          <w:sz w:val="24"/>
        </w:rPr>
        <w:t>.采购方有下列情形之一的，由有关部门责令限期改正；情节严重的，给予警告：</w:t>
      </w:r>
    </w:p>
    <w:p w14:paraId="4840D495">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（一）未按照本办法的规定编制磋商需求的；</w:t>
      </w:r>
    </w:p>
    <w:p w14:paraId="3071940E">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（二）采购方向供应商索要或者接受其给予的赠品、回扣或者与磋商无关的其他商品、服务的；</w:t>
      </w:r>
    </w:p>
    <w:p w14:paraId="5355CD72">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9</w:t>
      </w:r>
      <w:r>
        <w:rPr>
          <w:rFonts w:hint="eastAsia" w:ascii="仿宋" w:hAnsi="仿宋" w:eastAsia="仿宋" w:cs="仿宋"/>
          <w:color w:val="000000"/>
          <w:kern w:val="0"/>
          <w:sz w:val="24"/>
        </w:rPr>
        <w:t>.磋商小组及其成员不得有下列行为：</w:t>
      </w:r>
    </w:p>
    <w:p w14:paraId="7B93DC67">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（一）确定参与评审至评审结束前私自接触供应商；</w:t>
      </w:r>
    </w:p>
    <w:p w14:paraId="1CDB9519">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（二）接受供应商提出的与响应文件不一致的澄清或者说明，对于响应文件中含义不明确、同类问题表述不一致或者有明显文字和计算错误的内容的情形除外；</w:t>
      </w:r>
    </w:p>
    <w:p w14:paraId="245313D6">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（三）违反评审纪律发表倾向性意见或者征询采购方的倾向性意见；</w:t>
      </w:r>
    </w:p>
    <w:p w14:paraId="69D4C7C9">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（四）对需要专业判断的主观评审因素协商评分；</w:t>
      </w:r>
    </w:p>
    <w:p w14:paraId="20257347">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（五）在评审过程中擅离职守，影响评审程序正常进行的；</w:t>
      </w:r>
    </w:p>
    <w:p w14:paraId="79BA0796">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（六）记录、复制或者带走任何评标资料；</w:t>
      </w:r>
    </w:p>
    <w:p w14:paraId="5C84EAEB">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（七）其他不遵守评标纪律的行为。</w:t>
      </w:r>
    </w:p>
    <w:p w14:paraId="735E750C">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磋商小组成员有前款第一至五项行为之一的，其评审意见无效，并不得获取评审劳务报酬和报销异地评审差旅费。</w:t>
      </w:r>
    </w:p>
    <w:p w14:paraId="2D54B9EE">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lang w:val="en-US" w:eastAsia="zh-CN"/>
        </w:rPr>
        <w:t>40</w:t>
      </w:r>
      <w:r>
        <w:rPr>
          <w:rFonts w:hint="eastAsia" w:ascii="仿宋" w:hAnsi="仿宋" w:eastAsia="仿宋" w:cs="仿宋"/>
          <w:color w:val="000000"/>
          <w:kern w:val="0"/>
          <w:sz w:val="24"/>
        </w:rPr>
        <w:t>.代理机构或采购方有下列情形之一的，由相关部门责令限期改正，情节严重的，给予警告：</w:t>
      </w:r>
    </w:p>
    <w:p w14:paraId="20452EF1">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（一）代理机构及其分支机构在所代理的磋商项目中参与磋商活动的，为所代理的磋商项目的供应商参加本项目提供咨询的；</w:t>
      </w:r>
    </w:p>
    <w:p w14:paraId="398DAD35">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（二）未按照规定进行资格预审的；</w:t>
      </w:r>
    </w:p>
    <w:p w14:paraId="3A917726">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（三）违反规定确定磋商文件售价的；</w:t>
      </w:r>
    </w:p>
    <w:p w14:paraId="68D211D2">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（四）未按规定对磋商文件、评审活动进行全程录音录像的；</w:t>
      </w:r>
    </w:p>
    <w:p w14:paraId="416A5D76">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（五）擅自终止磋商活动的；</w:t>
      </w:r>
    </w:p>
    <w:p w14:paraId="27F47CBC">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（六）未按照规定对响应文件进行解密和组织评审的；</w:t>
      </w:r>
    </w:p>
    <w:p w14:paraId="040D50B9">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（七）违反本办法规定进行重新评审或者重新组建磋商小组进行评审的；</w:t>
      </w:r>
    </w:p>
    <w:p w14:paraId="7B7985CB">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（八）开启前泄露已获取磋商文件的潜在供应商的名称、数量或者其他可能影响公平竞争的有关磋商活动情况的；</w:t>
      </w:r>
    </w:p>
    <w:p w14:paraId="4D4A75FD">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（九）未妥善保存磋商采购文件的；</w:t>
      </w:r>
    </w:p>
    <w:p w14:paraId="69789C1F">
      <w:pPr>
        <w:snapToGrid w:val="0"/>
        <w:spacing w:line="36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（十）其他违反本办法规定的情形。</w:t>
      </w:r>
    </w:p>
    <w:p w14:paraId="7D5FD2D9">
      <w:pPr>
        <w:pStyle w:val="5"/>
        <w:rPr>
          <w:rFonts w:ascii="仿宋" w:hAnsi="仿宋" w:eastAsia="仿宋" w:cs="仿宋"/>
          <w:sz w:val="24"/>
          <w:szCs w:val="24"/>
        </w:rPr>
      </w:pPr>
      <w:bookmarkStart w:id="90" w:name="_Toc28410"/>
      <w:bookmarkStart w:id="91" w:name="_Toc79599061"/>
      <w:bookmarkStart w:id="92" w:name="_Toc32059"/>
      <w:bookmarkStart w:id="93" w:name="_Toc8135"/>
      <w:r>
        <w:rPr>
          <w:rFonts w:hint="eastAsia" w:ascii="仿宋" w:hAnsi="仿宋" w:eastAsia="仿宋" w:cs="仿宋"/>
          <w:sz w:val="24"/>
          <w:szCs w:val="24"/>
        </w:rPr>
        <w:t>十一、</w:t>
      </w:r>
      <w:bookmarkStart w:id="94" w:name="_Toc466533586"/>
      <w:r>
        <w:rPr>
          <w:rFonts w:hint="eastAsia" w:ascii="仿宋" w:hAnsi="仿宋" w:eastAsia="仿宋" w:cs="仿宋"/>
          <w:sz w:val="24"/>
          <w:szCs w:val="24"/>
        </w:rPr>
        <w:t>政策性要求评审内容及标准</w:t>
      </w:r>
      <w:bookmarkEnd w:id="90"/>
      <w:bookmarkEnd w:id="91"/>
      <w:bookmarkEnd w:id="92"/>
      <w:bookmarkEnd w:id="93"/>
      <w:bookmarkEnd w:id="94"/>
    </w:p>
    <w:p w14:paraId="64B22D77">
      <w:pPr>
        <w:shd w:val="clear"/>
        <w:snapToGrid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r>
        <w:rPr>
          <w:rFonts w:hint="eastAsia" w:ascii="仿宋" w:hAnsi="仿宋" w:eastAsia="仿宋" w:cs="仿宋"/>
          <w:color w:val="000000"/>
          <w:kern w:val="0"/>
          <w:sz w:val="24"/>
          <w:highlight w:val="none"/>
          <w:lang w:val="en-US" w:eastAsia="zh-CN"/>
        </w:rPr>
        <w:t>1</w:t>
      </w:r>
      <w:r>
        <w:rPr>
          <w:rFonts w:hint="eastAsia" w:ascii="仿宋" w:hAnsi="仿宋" w:eastAsia="仿宋" w:cs="仿宋"/>
          <w:color w:val="000000"/>
          <w:kern w:val="0"/>
          <w:sz w:val="24"/>
          <w:highlight w:val="none"/>
        </w:rPr>
        <w:t>.进口货物及政府采购政策要求</w:t>
      </w:r>
    </w:p>
    <w:p w14:paraId="23C03ADB">
      <w:pPr>
        <w:shd w:val="clear"/>
        <w:snapToGrid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r>
        <w:rPr>
          <w:rFonts w:hint="eastAsia" w:ascii="仿宋" w:hAnsi="仿宋" w:eastAsia="仿宋" w:cs="仿宋"/>
          <w:color w:val="000000"/>
          <w:kern w:val="0"/>
          <w:sz w:val="24"/>
          <w:highlight w:val="none"/>
          <w:lang w:val="en-US" w:eastAsia="zh-CN"/>
        </w:rPr>
        <w:t>1</w:t>
      </w: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rPr>
        <w:t>按照财政部《政府采购进口产品管理办法》（财库[2007]119号）的有关规定，本磋商文件涉及的采购货物及软件服务，未特别标注“进口产品”字样的，均必须投报国产产品。进口产品特指“通过中国海关报关验放进入中国境内且产自关境外的产品”，报价产品各项技术标准必须符合国家强制性标准</w:t>
      </w:r>
      <w:r>
        <w:rPr>
          <w:rFonts w:hint="eastAsia" w:ascii="仿宋" w:hAnsi="仿宋" w:eastAsia="仿宋" w:cs="仿宋"/>
          <w:color w:val="000000"/>
          <w:kern w:val="0"/>
          <w:sz w:val="24"/>
          <w:highlight w:val="none"/>
        </w:rPr>
        <w:t>。</w:t>
      </w:r>
    </w:p>
    <w:p w14:paraId="46D9AF3A">
      <w:pPr>
        <w:shd w:val="clear"/>
        <w:snapToGrid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r>
        <w:rPr>
          <w:rFonts w:hint="eastAsia" w:ascii="仿宋" w:hAnsi="仿宋" w:eastAsia="仿宋" w:cs="仿宋"/>
          <w:color w:val="000000"/>
          <w:kern w:val="0"/>
          <w:sz w:val="24"/>
          <w:highlight w:val="none"/>
          <w:lang w:val="en-US" w:eastAsia="zh-CN"/>
        </w:rPr>
        <w:t>1</w:t>
      </w:r>
      <w:r>
        <w:rPr>
          <w:rFonts w:hint="eastAsia" w:ascii="仿宋" w:hAnsi="仿宋" w:eastAsia="仿宋" w:cs="仿宋"/>
          <w:color w:val="000000"/>
          <w:kern w:val="0"/>
          <w:sz w:val="24"/>
          <w:highlight w:val="none"/>
        </w:rPr>
        <w:t>.2国家强制产品</w:t>
      </w:r>
    </w:p>
    <w:p w14:paraId="5A06171F">
      <w:pPr>
        <w:shd w:val="clear"/>
        <w:snapToGrid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sz w:val="24"/>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所投产品获得国家确定的认证机构出具的、处于有效期之内的节能产品认证证书</w:t>
      </w:r>
      <w:r>
        <w:rPr>
          <w:rFonts w:hint="eastAsia" w:ascii="仿宋" w:hAnsi="仿宋" w:eastAsia="仿宋" w:cs="仿宋"/>
          <w:sz w:val="24"/>
          <w:highlight w:val="none"/>
        </w:rPr>
        <w:t>。</w:t>
      </w:r>
    </w:p>
    <w:p w14:paraId="130D67E9">
      <w:pPr>
        <w:shd w:val="clear"/>
        <w:snapToGrid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r>
        <w:rPr>
          <w:rFonts w:hint="eastAsia" w:ascii="仿宋" w:hAnsi="仿宋" w:eastAsia="仿宋" w:cs="仿宋"/>
          <w:color w:val="000000"/>
          <w:kern w:val="0"/>
          <w:sz w:val="24"/>
          <w:highlight w:val="none"/>
          <w:lang w:val="en-US" w:eastAsia="zh-CN"/>
        </w:rPr>
        <w:t>1</w:t>
      </w:r>
      <w:r>
        <w:rPr>
          <w:rFonts w:hint="eastAsia" w:ascii="仿宋" w:hAnsi="仿宋" w:eastAsia="仿宋" w:cs="仿宋"/>
          <w:color w:val="000000"/>
          <w:kern w:val="0"/>
          <w:sz w:val="24"/>
          <w:highlight w:val="none"/>
        </w:rPr>
        <w:t>.3本项目所采购的货物中如包含计算机，必须预装正版操作系统软件产品；所采购的其它软件必须为正版软件。</w:t>
      </w:r>
    </w:p>
    <w:p w14:paraId="58799B4E">
      <w:pPr>
        <w:shd w:val="clear"/>
        <w:snapToGrid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r>
        <w:rPr>
          <w:rFonts w:hint="eastAsia" w:ascii="仿宋" w:hAnsi="仿宋" w:eastAsia="仿宋" w:cs="仿宋"/>
          <w:color w:val="000000"/>
          <w:kern w:val="0"/>
          <w:sz w:val="24"/>
          <w:highlight w:val="none"/>
          <w:lang w:val="en-US" w:eastAsia="zh-CN"/>
        </w:rPr>
        <w:t>1</w:t>
      </w:r>
      <w:r>
        <w:rPr>
          <w:rFonts w:hint="eastAsia" w:ascii="仿宋" w:hAnsi="仿宋" w:eastAsia="仿宋" w:cs="仿宋"/>
          <w:color w:val="000000"/>
          <w:kern w:val="0"/>
          <w:sz w:val="24"/>
          <w:highlight w:val="none"/>
        </w:rPr>
        <w:t>.4采购货物中如含有财政部会同有关部门制定下发的《信息安全产品强制性认证目录》中的产品，须提供中国信息安全认证中心按国家标准认证颁发的有效认证证书。未附有效认证证书，将有可能导致响应文件无效。</w:t>
      </w:r>
    </w:p>
    <w:p w14:paraId="40BC57E8">
      <w:pPr>
        <w:shd w:val="clea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4</w:t>
      </w: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.依据政府采购的相关规定，如果供应商或所提供的货物满足下述要求并经磋商小组全体成员集体认定通过，予以考虑执行。</w:t>
      </w:r>
    </w:p>
    <w:p w14:paraId="7659B538">
      <w:pPr>
        <w:shd w:val="clea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4</w:t>
      </w: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.1．</w:t>
      </w:r>
      <w:r>
        <w:rPr>
          <w:rFonts w:hint="eastAsia" w:ascii="仿宋" w:hAnsi="仿宋" w:eastAsia="仿宋" w:cs="仿宋"/>
          <w:kern w:val="0"/>
          <w:sz w:val="24"/>
          <w:highlight w:val="none"/>
          <w:lang w:eastAsia="zh-CN"/>
        </w:rPr>
        <w:t>中小</w:t>
      </w:r>
      <w:r>
        <w:rPr>
          <w:rFonts w:hint="eastAsia" w:ascii="仿宋" w:hAnsi="仿宋" w:eastAsia="仿宋" w:cs="仿宋"/>
          <w:kern w:val="0"/>
          <w:sz w:val="24"/>
          <w:highlight w:val="none"/>
        </w:rPr>
        <w:t>企业参加本项目磋商：</w:t>
      </w:r>
    </w:p>
    <w:p w14:paraId="3399D2C6">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须按照财政部、工业和信息化部发布的《关于印发&lt;政府采购促进中小企业发展管理办法&gt;的通知》(财库〔2020〕46号），并依据工信部联【2011】300号《中小企业划型标准规定》的标准，如实填写《中小企业声明函》。</w:t>
      </w:r>
    </w:p>
    <w:p w14:paraId="0CA4C5C3">
      <w:pPr>
        <w:shd w:val="clea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rPr>
        <w:t>依据财政部财库【2022】19号关于印发《关于进一步加大政府采购支持中小企业力度的通知》和山西省财政厅晋财购【2022】6号关于印发《山西省财政厅关于进一步加大政府采购支持中小企业力度助力扎实稳住经济的通知》，货物服务采购项目给予小微企业的价格扣除优惠为２０％，特殊情况的不应低于１０％，采用大中型企业与小微企业组成联合体或者大中型企业向小微企业分包采购合同的，评审优惠幅度为６％，特殊情况的不应低于４％。政府采购工程项目给予小微企业的价格扣除优惠为５％或者在原报价得分的基础上增加其价格得分的５％，采用大中型企业与小微企业组成联合体或者大中型企业向小微企业分包采购合同的，评审优惠幅度为２％或者在原报价得分的基础上增加其价格得分的２％ ，用扣除后的价格参与评审</w:t>
      </w:r>
      <w:r>
        <w:rPr>
          <w:rFonts w:hint="eastAsia" w:ascii="仿宋" w:hAnsi="仿宋" w:eastAsia="仿宋" w:cs="仿宋"/>
          <w:kern w:val="0"/>
          <w:sz w:val="24"/>
          <w:highlight w:val="none"/>
        </w:rPr>
        <w:t>。</w:t>
      </w:r>
    </w:p>
    <w:p w14:paraId="171A0837">
      <w:pPr>
        <w:shd w:val="clea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4</w:t>
      </w: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.2残疾人福利单位参加本项目磋商：</w:t>
      </w:r>
    </w:p>
    <w:p w14:paraId="3C636B5C">
      <w:pPr>
        <w:shd w:val="clea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25734125">
      <w:pPr>
        <w:shd w:val="clea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4</w:t>
      </w: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.3监狱企业参加本项目磋商：</w:t>
      </w:r>
    </w:p>
    <w:p w14:paraId="00E79EBF">
      <w:pPr>
        <w:shd w:val="clea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14:paraId="6EE124A3">
      <w:pPr>
        <w:shd w:val="clea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4</w:t>
      </w: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.4联合体参加本项目磋商：</w:t>
      </w:r>
    </w:p>
    <w:p w14:paraId="45BAFFAF">
      <w:pPr>
        <w:snapToGrid w:val="0"/>
        <w:spacing w:line="360" w:lineRule="auto"/>
        <w:ind w:firstLine="480" w:firstLineChars="200"/>
        <w:rPr>
          <w:rFonts w:ascii="仿宋" w:hAnsi="仿宋" w:eastAsia="仿宋" w:cs="仿宋"/>
          <w:color w:val="000000"/>
          <w:sz w:val="24"/>
        </w:rPr>
      </w:pPr>
      <w:r>
        <w:rPr>
          <w:rFonts w:hint="eastAsia" w:ascii="仿宋" w:hAnsi="仿宋" w:eastAsia="仿宋" w:cs="仿宋"/>
          <w:kern w:val="0"/>
          <w:sz w:val="24"/>
          <w:highlight w:val="none"/>
        </w:rPr>
        <w:t>如本项目要求有联合体参加磋商的，要根据《中华人民共和国政府采购法》第二十二条和《中华人民共和国政府采购法实施条例》第十七条的规定应提供磋商联合体各方的资格。联合体协议中约定，小型、微型企业的协议合同金额占到联合体协议合同金额30%以上的，给予联合体价格扣除</w:t>
      </w:r>
      <w:r>
        <w:rPr>
          <w:rFonts w:hint="eastAsia" w:ascii="仿宋" w:hAnsi="仿宋" w:eastAsia="仿宋" w:cs="仿宋"/>
          <w:kern w:val="0"/>
          <w:sz w:val="24"/>
        </w:rPr>
        <w:t>。</w:t>
      </w:r>
    </w:p>
    <w:p w14:paraId="13EECA18">
      <w:pPr>
        <w:pStyle w:val="4"/>
        <w:rPr>
          <w:rFonts w:ascii="仿宋" w:hAnsi="仿宋" w:eastAsia="仿宋" w:cs="仿宋"/>
          <w:sz w:val="24"/>
        </w:rPr>
      </w:pPr>
      <w:r>
        <w:rPr>
          <w:rFonts w:hint="eastAsia" w:ascii="仿宋" w:hAnsi="仿宋" w:eastAsia="仿宋" w:cs="仿宋"/>
          <w:snapToGrid w:val="0"/>
          <w:sz w:val="24"/>
          <w:szCs w:val="24"/>
        </w:rPr>
        <w:br w:type="page"/>
      </w:r>
      <w:bookmarkStart w:id="95" w:name="_Toc14133"/>
      <w:bookmarkStart w:id="96" w:name="_Toc79599062"/>
      <w:bookmarkStart w:id="97" w:name="_Toc14777"/>
      <w:r>
        <w:rPr>
          <w:rFonts w:hint="eastAsia" w:ascii="仿宋" w:hAnsi="仿宋" w:eastAsia="仿宋" w:cs="仿宋"/>
          <w:snapToGrid w:val="0"/>
        </w:rPr>
        <w:t>第三部分  评审标准和评定方法</w:t>
      </w:r>
      <w:bookmarkEnd w:id="95"/>
      <w:bookmarkEnd w:id="96"/>
      <w:bookmarkEnd w:id="97"/>
    </w:p>
    <w:p w14:paraId="71D17DA9">
      <w:pPr>
        <w:pStyle w:val="5"/>
        <w:rPr>
          <w:rFonts w:ascii="仿宋" w:hAnsi="仿宋" w:eastAsia="仿宋" w:cs="仿宋"/>
          <w:sz w:val="24"/>
          <w:szCs w:val="22"/>
        </w:rPr>
      </w:pPr>
      <w:r>
        <w:rPr>
          <w:rFonts w:hint="eastAsia" w:ascii="仿宋" w:hAnsi="仿宋" w:eastAsia="仿宋" w:cs="仿宋"/>
          <w:sz w:val="24"/>
          <w:szCs w:val="22"/>
        </w:rPr>
        <w:t>一、资格审查要求</w:t>
      </w:r>
    </w:p>
    <w:p w14:paraId="6772DB96">
      <w:pPr>
        <w:rPr>
          <w:rFonts w:ascii="仿宋" w:hAnsi="仿宋" w:eastAsia="仿宋" w:cs="仿宋"/>
          <w:sz w:val="24"/>
          <w:szCs w:val="22"/>
        </w:rPr>
      </w:pPr>
    </w:p>
    <w:tbl>
      <w:tblPr>
        <w:tblStyle w:val="39"/>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441"/>
        <w:gridCol w:w="5440"/>
      </w:tblGrid>
      <w:tr w14:paraId="6EE9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gridSpan w:val="3"/>
            <w:vAlign w:val="center"/>
          </w:tcPr>
          <w:p w14:paraId="17BDD45F">
            <w:pPr>
              <w:spacing w:line="360" w:lineRule="auto"/>
              <w:jc w:val="center"/>
              <w:rPr>
                <w:rFonts w:ascii="仿宋" w:hAnsi="仿宋" w:eastAsia="仿宋" w:cs="仿宋"/>
                <w:szCs w:val="21"/>
              </w:rPr>
            </w:pPr>
            <w:r>
              <w:rPr>
                <w:rFonts w:hint="eastAsia" w:ascii="仿宋" w:hAnsi="仿宋" w:eastAsia="仿宋" w:cs="仿宋"/>
                <w:sz w:val="24"/>
              </w:rPr>
              <w:t>资格审查要求</w:t>
            </w:r>
          </w:p>
        </w:tc>
      </w:tr>
      <w:tr w14:paraId="7BDD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2EF9C80F">
            <w:pPr>
              <w:spacing w:line="360" w:lineRule="auto"/>
              <w:jc w:val="center"/>
              <w:rPr>
                <w:rFonts w:ascii="仿宋" w:hAnsi="仿宋" w:eastAsia="仿宋" w:cs="仿宋"/>
                <w:szCs w:val="21"/>
              </w:rPr>
            </w:pPr>
            <w:r>
              <w:rPr>
                <w:rFonts w:hint="eastAsia" w:ascii="仿宋" w:hAnsi="仿宋" w:eastAsia="仿宋" w:cs="仿宋"/>
                <w:szCs w:val="21"/>
              </w:rPr>
              <w:t>序号</w:t>
            </w:r>
          </w:p>
        </w:tc>
        <w:tc>
          <w:tcPr>
            <w:tcW w:w="2441" w:type="dxa"/>
            <w:vAlign w:val="center"/>
          </w:tcPr>
          <w:p w14:paraId="4AD74A9B">
            <w:pPr>
              <w:spacing w:line="360" w:lineRule="auto"/>
              <w:jc w:val="center"/>
              <w:rPr>
                <w:rFonts w:ascii="仿宋" w:hAnsi="仿宋" w:eastAsia="仿宋" w:cs="仿宋"/>
                <w:szCs w:val="21"/>
              </w:rPr>
            </w:pPr>
            <w:r>
              <w:rPr>
                <w:rFonts w:hint="eastAsia" w:ascii="仿宋" w:hAnsi="仿宋" w:eastAsia="仿宋" w:cs="仿宋"/>
                <w:szCs w:val="21"/>
              </w:rPr>
              <w:t>审查要求</w:t>
            </w:r>
          </w:p>
        </w:tc>
        <w:tc>
          <w:tcPr>
            <w:tcW w:w="5440" w:type="dxa"/>
            <w:vAlign w:val="center"/>
          </w:tcPr>
          <w:p w14:paraId="2AABB3F9">
            <w:pPr>
              <w:spacing w:line="360" w:lineRule="auto"/>
              <w:jc w:val="center"/>
              <w:rPr>
                <w:rFonts w:ascii="仿宋" w:hAnsi="仿宋" w:eastAsia="仿宋" w:cs="仿宋"/>
                <w:szCs w:val="21"/>
              </w:rPr>
            </w:pPr>
            <w:r>
              <w:rPr>
                <w:rFonts w:hint="eastAsia" w:ascii="仿宋" w:hAnsi="仿宋" w:eastAsia="仿宋" w:cs="仿宋"/>
                <w:szCs w:val="21"/>
              </w:rPr>
              <w:t>要求说明</w:t>
            </w:r>
          </w:p>
        </w:tc>
      </w:tr>
      <w:tr w14:paraId="6990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694A87AC">
            <w:pPr>
              <w:spacing w:line="360" w:lineRule="auto"/>
              <w:jc w:val="center"/>
              <w:rPr>
                <w:rFonts w:ascii="仿宋" w:hAnsi="仿宋" w:eastAsia="仿宋" w:cs="仿宋"/>
                <w:szCs w:val="21"/>
              </w:rPr>
            </w:pPr>
            <w:r>
              <w:rPr>
                <w:rFonts w:hint="eastAsia" w:ascii="仿宋" w:hAnsi="仿宋" w:eastAsia="仿宋" w:cs="仿宋"/>
                <w:szCs w:val="21"/>
              </w:rPr>
              <w:t>1</w:t>
            </w:r>
          </w:p>
        </w:tc>
        <w:tc>
          <w:tcPr>
            <w:tcW w:w="2441" w:type="dxa"/>
            <w:vAlign w:val="center"/>
          </w:tcPr>
          <w:p w14:paraId="45BA9676">
            <w:pPr>
              <w:jc w:val="center"/>
              <w:rPr>
                <w:rFonts w:ascii="仿宋" w:hAnsi="仿宋" w:eastAsia="仿宋" w:cs="仿宋"/>
                <w:szCs w:val="21"/>
              </w:rPr>
            </w:pPr>
            <w:r>
              <w:rPr>
                <w:rFonts w:hint="eastAsia" w:ascii="仿宋" w:hAnsi="仿宋" w:eastAsia="仿宋" w:cs="仿宋"/>
                <w:szCs w:val="21"/>
              </w:rPr>
              <w:t>法定代表人资格证明文件</w:t>
            </w:r>
          </w:p>
        </w:tc>
        <w:tc>
          <w:tcPr>
            <w:tcW w:w="5440" w:type="dxa"/>
          </w:tcPr>
          <w:p w14:paraId="7FC1BA7C">
            <w:pPr>
              <w:spacing w:line="500" w:lineRule="exact"/>
              <w:rPr>
                <w:rFonts w:ascii="仿宋" w:hAnsi="仿宋" w:eastAsia="仿宋" w:cs="仿宋"/>
                <w:szCs w:val="21"/>
              </w:rPr>
            </w:pPr>
            <w:r>
              <w:rPr>
                <w:rFonts w:hint="eastAsia" w:ascii="仿宋" w:hAnsi="仿宋" w:eastAsia="仿宋" w:cs="仿宋"/>
                <w:szCs w:val="21"/>
              </w:rPr>
              <w:t>供应商的法定代表人参加本项目投标时应提供法定代表人资格证明文件，法定代表人（负责人）身份证明书内容齐全，签署符合要求。</w:t>
            </w:r>
          </w:p>
        </w:tc>
      </w:tr>
      <w:tr w14:paraId="1D51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781DE411">
            <w:pPr>
              <w:spacing w:line="360" w:lineRule="auto"/>
              <w:jc w:val="center"/>
              <w:rPr>
                <w:rFonts w:ascii="仿宋" w:hAnsi="仿宋" w:eastAsia="仿宋" w:cs="仿宋"/>
                <w:szCs w:val="21"/>
              </w:rPr>
            </w:pPr>
            <w:r>
              <w:rPr>
                <w:rFonts w:hint="eastAsia" w:ascii="仿宋" w:hAnsi="仿宋" w:eastAsia="仿宋" w:cs="仿宋"/>
                <w:szCs w:val="21"/>
              </w:rPr>
              <w:t>2</w:t>
            </w:r>
          </w:p>
        </w:tc>
        <w:tc>
          <w:tcPr>
            <w:tcW w:w="2441" w:type="dxa"/>
            <w:vAlign w:val="center"/>
          </w:tcPr>
          <w:p w14:paraId="18630F58">
            <w:pPr>
              <w:jc w:val="center"/>
              <w:rPr>
                <w:rFonts w:ascii="仿宋" w:hAnsi="仿宋" w:eastAsia="仿宋" w:cs="仿宋"/>
                <w:szCs w:val="21"/>
              </w:rPr>
            </w:pPr>
            <w:r>
              <w:rPr>
                <w:rFonts w:hint="eastAsia" w:ascii="仿宋" w:hAnsi="仿宋" w:eastAsia="仿宋" w:cs="仿宋"/>
                <w:szCs w:val="21"/>
              </w:rPr>
              <w:t>授权委托书</w:t>
            </w:r>
          </w:p>
        </w:tc>
        <w:tc>
          <w:tcPr>
            <w:tcW w:w="5440" w:type="dxa"/>
          </w:tcPr>
          <w:p w14:paraId="4C3D6D1D">
            <w:pPr>
              <w:spacing w:line="500" w:lineRule="exact"/>
              <w:rPr>
                <w:rFonts w:ascii="仿宋" w:hAnsi="仿宋" w:eastAsia="仿宋" w:cs="仿宋"/>
                <w:szCs w:val="21"/>
              </w:rPr>
            </w:pPr>
            <w:r>
              <w:rPr>
                <w:rFonts w:hint="eastAsia" w:ascii="仿宋" w:hAnsi="仿宋" w:eastAsia="仿宋" w:cs="仿宋"/>
                <w:szCs w:val="21"/>
              </w:rPr>
              <w:t>供应商的非法定代表人参加本项目投标时应提供授权委托书，法定代表人（负责人）授权委托书（如有）内容齐全，签署符合要求。</w:t>
            </w:r>
          </w:p>
        </w:tc>
      </w:tr>
      <w:tr w14:paraId="3EC5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71AE3B59">
            <w:pPr>
              <w:spacing w:line="360" w:lineRule="auto"/>
              <w:jc w:val="center"/>
              <w:rPr>
                <w:rFonts w:ascii="仿宋" w:hAnsi="仿宋" w:eastAsia="仿宋" w:cs="仿宋"/>
                <w:szCs w:val="21"/>
              </w:rPr>
            </w:pPr>
            <w:r>
              <w:rPr>
                <w:rFonts w:hint="eastAsia" w:ascii="仿宋" w:hAnsi="仿宋" w:eastAsia="仿宋" w:cs="仿宋"/>
                <w:szCs w:val="21"/>
              </w:rPr>
              <w:t>3</w:t>
            </w:r>
          </w:p>
        </w:tc>
        <w:tc>
          <w:tcPr>
            <w:tcW w:w="2441" w:type="dxa"/>
            <w:vAlign w:val="center"/>
          </w:tcPr>
          <w:p w14:paraId="5C51CD34">
            <w:pPr>
              <w:spacing w:line="500" w:lineRule="exact"/>
              <w:jc w:val="center"/>
              <w:rPr>
                <w:rFonts w:ascii="仿宋" w:hAnsi="仿宋" w:eastAsia="仿宋" w:cs="仿宋"/>
                <w:szCs w:val="21"/>
              </w:rPr>
            </w:pPr>
            <w:r>
              <w:rPr>
                <w:rFonts w:hint="eastAsia" w:ascii="仿宋" w:hAnsi="仿宋" w:eastAsia="仿宋" w:cs="仿宋"/>
                <w:szCs w:val="21"/>
              </w:rPr>
              <w:t>具有独立承担民事责任的能力</w:t>
            </w:r>
          </w:p>
        </w:tc>
        <w:tc>
          <w:tcPr>
            <w:tcW w:w="5440" w:type="dxa"/>
          </w:tcPr>
          <w:p w14:paraId="39172E6C">
            <w:pPr>
              <w:spacing w:line="400" w:lineRule="exact"/>
              <w:rPr>
                <w:rFonts w:ascii="仿宋" w:hAnsi="仿宋" w:eastAsia="仿宋" w:cs="仿宋"/>
                <w:szCs w:val="21"/>
              </w:rPr>
            </w:pPr>
            <w:r>
              <w:rPr>
                <w:rFonts w:hint="eastAsia" w:ascii="仿宋" w:hAnsi="仿宋" w:eastAsia="仿宋" w:cs="仿宋"/>
                <w:szCs w:val="21"/>
              </w:rPr>
              <w:t>提供供应商信用承诺书；</w:t>
            </w:r>
          </w:p>
          <w:p w14:paraId="3224D123">
            <w:pPr>
              <w:spacing w:line="500" w:lineRule="exact"/>
              <w:rPr>
                <w:rFonts w:ascii="仿宋" w:hAnsi="仿宋" w:eastAsia="仿宋" w:cs="仿宋"/>
                <w:szCs w:val="21"/>
              </w:rPr>
            </w:pPr>
            <w:r>
              <w:rPr>
                <w:rFonts w:hint="eastAsia" w:ascii="仿宋" w:hAnsi="仿宋" w:eastAsia="仿宋" w:cs="仿宋"/>
                <w:szCs w:val="21"/>
              </w:rPr>
              <w:t>信用承诺书需符合要求、有效、完整。否则，投标无效。</w:t>
            </w:r>
          </w:p>
        </w:tc>
      </w:tr>
      <w:tr w14:paraId="1656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5337ECD1">
            <w:pPr>
              <w:spacing w:line="360" w:lineRule="auto"/>
              <w:jc w:val="center"/>
              <w:rPr>
                <w:rFonts w:ascii="仿宋" w:hAnsi="仿宋" w:eastAsia="仿宋" w:cs="仿宋"/>
                <w:szCs w:val="21"/>
              </w:rPr>
            </w:pPr>
            <w:r>
              <w:rPr>
                <w:rFonts w:hint="eastAsia" w:ascii="仿宋" w:hAnsi="仿宋" w:eastAsia="仿宋" w:cs="仿宋"/>
                <w:szCs w:val="21"/>
              </w:rPr>
              <w:t>4</w:t>
            </w:r>
          </w:p>
        </w:tc>
        <w:tc>
          <w:tcPr>
            <w:tcW w:w="2441" w:type="dxa"/>
            <w:vAlign w:val="center"/>
          </w:tcPr>
          <w:p w14:paraId="46C6B248">
            <w:pPr>
              <w:spacing w:line="500" w:lineRule="exact"/>
              <w:jc w:val="center"/>
              <w:rPr>
                <w:rFonts w:ascii="仿宋" w:hAnsi="仿宋" w:eastAsia="仿宋" w:cs="仿宋"/>
                <w:szCs w:val="21"/>
              </w:rPr>
            </w:pPr>
            <w:r>
              <w:rPr>
                <w:rFonts w:hint="eastAsia" w:ascii="仿宋" w:hAnsi="仿宋" w:eastAsia="仿宋" w:cs="仿宋"/>
                <w:szCs w:val="21"/>
              </w:rPr>
              <w:t>具有良好的商业信誉和健全的财务会计制度</w:t>
            </w:r>
          </w:p>
        </w:tc>
        <w:tc>
          <w:tcPr>
            <w:tcW w:w="5440" w:type="dxa"/>
          </w:tcPr>
          <w:p w14:paraId="0C7881ED">
            <w:pPr>
              <w:spacing w:line="400" w:lineRule="exact"/>
              <w:rPr>
                <w:rFonts w:ascii="仿宋" w:hAnsi="仿宋" w:eastAsia="仿宋" w:cs="仿宋"/>
                <w:szCs w:val="21"/>
              </w:rPr>
            </w:pPr>
            <w:r>
              <w:rPr>
                <w:rFonts w:hint="eastAsia" w:ascii="仿宋" w:hAnsi="仿宋" w:eastAsia="仿宋" w:cs="仿宋"/>
                <w:szCs w:val="21"/>
              </w:rPr>
              <w:t>提供供应商信用承诺书；</w:t>
            </w:r>
          </w:p>
          <w:p w14:paraId="46E9EE2E">
            <w:pPr>
              <w:spacing w:line="500" w:lineRule="exact"/>
              <w:rPr>
                <w:rFonts w:ascii="仿宋" w:hAnsi="仿宋" w:eastAsia="仿宋" w:cs="仿宋"/>
                <w:szCs w:val="21"/>
              </w:rPr>
            </w:pPr>
            <w:r>
              <w:rPr>
                <w:rFonts w:hint="eastAsia" w:ascii="仿宋" w:hAnsi="仿宋" w:eastAsia="仿宋" w:cs="仿宋"/>
                <w:szCs w:val="21"/>
              </w:rPr>
              <w:t>信用承诺书需符合要求、有效、完整。否则，投标无效。</w:t>
            </w:r>
          </w:p>
        </w:tc>
      </w:tr>
      <w:tr w14:paraId="348C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06FB9772">
            <w:pPr>
              <w:spacing w:line="360" w:lineRule="auto"/>
              <w:jc w:val="center"/>
              <w:rPr>
                <w:rFonts w:ascii="仿宋" w:hAnsi="仿宋" w:eastAsia="仿宋" w:cs="仿宋"/>
                <w:szCs w:val="21"/>
              </w:rPr>
            </w:pPr>
            <w:r>
              <w:rPr>
                <w:rFonts w:hint="eastAsia" w:ascii="仿宋" w:hAnsi="仿宋" w:eastAsia="仿宋" w:cs="仿宋"/>
                <w:szCs w:val="21"/>
              </w:rPr>
              <w:t>5</w:t>
            </w:r>
          </w:p>
        </w:tc>
        <w:tc>
          <w:tcPr>
            <w:tcW w:w="2441" w:type="dxa"/>
            <w:vAlign w:val="center"/>
          </w:tcPr>
          <w:p w14:paraId="3B3BFBEF">
            <w:pPr>
              <w:spacing w:line="500" w:lineRule="exact"/>
              <w:jc w:val="center"/>
              <w:rPr>
                <w:rFonts w:ascii="仿宋" w:hAnsi="仿宋" w:eastAsia="仿宋" w:cs="仿宋"/>
                <w:szCs w:val="21"/>
              </w:rPr>
            </w:pPr>
            <w:r>
              <w:rPr>
                <w:rFonts w:hint="eastAsia" w:ascii="仿宋" w:hAnsi="仿宋" w:eastAsia="仿宋" w:cs="仿宋"/>
                <w:szCs w:val="21"/>
              </w:rPr>
              <w:t>有依法缴纳税收和社会保障资金的良好记录</w:t>
            </w:r>
          </w:p>
        </w:tc>
        <w:tc>
          <w:tcPr>
            <w:tcW w:w="5440" w:type="dxa"/>
          </w:tcPr>
          <w:p w14:paraId="24A81490">
            <w:pPr>
              <w:spacing w:line="400" w:lineRule="exact"/>
              <w:rPr>
                <w:rFonts w:ascii="仿宋" w:hAnsi="仿宋" w:eastAsia="仿宋" w:cs="仿宋"/>
                <w:szCs w:val="21"/>
              </w:rPr>
            </w:pPr>
            <w:r>
              <w:rPr>
                <w:rFonts w:hint="eastAsia" w:ascii="仿宋" w:hAnsi="仿宋" w:eastAsia="仿宋" w:cs="仿宋"/>
                <w:szCs w:val="21"/>
              </w:rPr>
              <w:t>提供供应商信用承诺书；</w:t>
            </w:r>
          </w:p>
          <w:p w14:paraId="6DAD4BA0">
            <w:pPr>
              <w:spacing w:line="500" w:lineRule="exact"/>
              <w:rPr>
                <w:rFonts w:ascii="仿宋" w:hAnsi="仿宋" w:eastAsia="仿宋" w:cs="仿宋"/>
                <w:szCs w:val="21"/>
              </w:rPr>
            </w:pPr>
            <w:r>
              <w:rPr>
                <w:rFonts w:hint="eastAsia" w:ascii="仿宋" w:hAnsi="仿宋" w:eastAsia="仿宋" w:cs="仿宋"/>
                <w:szCs w:val="21"/>
              </w:rPr>
              <w:t>信用承诺书需符合要求、有效、完整。否则，投标无效。</w:t>
            </w:r>
          </w:p>
        </w:tc>
      </w:tr>
      <w:tr w14:paraId="79DC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58E9B2EF">
            <w:pPr>
              <w:spacing w:line="360" w:lineRule="auto"/>
              <w:jc w:val="center"/>
              <w:rPr>
                <w:rFonts w:ascii="仿宋" w:hAnsi="仿宋" w:eastAsia="仿宋" w:cs="仿宋"/>
                <w:szCs w:val="21"/>
              </w:rPr>
            </w:pPr>
            <w:r>
              <w:rPr>
                <w:rFonts w:hint="eastAsia" w:ascii="仿宋" w:hAnsi="仿宋" w:eastAsia="仿宋" w:cs="仿宋"/>
                <w:szCs w:val="21"/>
              </w:rPr>
              <w:t>6</w:t>
            </w:r>
          </w:p>
        </w:tc>
        <w:tc>
          <w:tcPr>
            <w:tcW w:w="2441" w:type="dxa"/>
            <w:vAlign w:val="center"/>
          </w:tcPr>
          <w:p w14:paraId="0C94AD50">
            <w:pPr>
              <w:spacing w:line="500" w:lineRule="exact"/>
              <w:jc w:val="center"/>
              <w:rPr>
                <w:rFonts w:ascii="仿宋" w:hAnsi="仿宋" w:eastAsia="仿宋" w:cs="仿宋"/>
                <w:szCs w:val="21"/>
              </w:rPr>
            </w:pPr>
            <w:r>
              <w:rPr>
                <w:rFonts w:hint="eastAsia" w:ascii="仿宋" w:hAnsi="仿宋" w:eastAsia="仿宋" w:cs="仿宋"/>
                <w:szCs w:val="21"/>
              </w:rPr>
              <w:t>具有履行合同所必需的设备和专业技术能力</w:t>
            </w:r>
          </w:p>
        </w:tc>
        <w:tc>
          <w:tcPr>
            <w:tcW w:w="5440" w:type="dxa"/>
          </w:tcPr>
          <w:p w14:paraId="00A6CE1F">
            <w:pPr>
              <w:spacing w:line="400" w:lineRule="exact"/>
              <w:rPr>
                <w:rFonts w:ascii="仿宋" w:hAnsi="仿宋" w:eastAsia="仿宋" w:cs="仿宋"/>
                <w:szCs w:val="21"/>
              </w:rPr>
            </w:pPr>
            <w:r>
              <w:rPr>
                <w:rFonts w:hint="eastAsia" w:ascii="仿宋" w:hAnsi="仿宋" w:eastAsia="仿宋" w:cs="仿宋"/>
                <w:szCs w:val="21"/>
              </w:rPr>
              <w:t>提供供应商信用承诺书；</w:t>
            </w:r>
          </w:p>
          <w:p w14:paraId="2F7A0B81">
            <w:pPr>
              <w:spacing w:line="500" w:lineRule="exact"/>
              <w:rPr>
                <w:rFonts w:ascii="仿宋" w:hAnsi="仿宋" w:eastAsia="仿宋" w:cs="仿宋"/>
                <w:szCs w:val="21"/>
              </w:rPr>
            </w:pPr>
            <w:r>
              <w:rPr>
                <w:rFonts w:hint="eastAsia" w:ascii="仿宋" w:hAnsi="仿宋" w:eastAsia="仿宋" w:cs="仿宋"/>
                <w:szCs w:val="21"/>
              </w:rPr>
              <w:t>信用承诺书需符合要求、有效、完整。否则，投标无效。</w:t>
            </w:r>
          </w:p>
        </w:tc>
      </w:tr>
      <w:tr w14:paraId="3513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64C58C63">
            <w:pPr>
              <w:spacing w:line="360" w:lineRule="auto"/>
              <w:jc w:val="center"/>
              <w:rPr>
                <w:rFonts w:ascii="仿宋" w:hAnsi="仿宋" w:eastAsia="仿宋" w:cs="仿宋"/>
                <w:szCs w:val="21"/>
              </w:rPr>
            </w:pPr>
            <w:r>
              <w:rPr>
                <w:rFonts w:hint="eastAsia" w:ascii="仿宋" w:hAnsi="仿宋" w:eastAsia="仿宋" w:cs="仿宋"/>
                <w:szCs w:val="21"/>
              </w:rPr>
              <w:t>7</w:t>
            </w:r>
          </w:p>
        </w:tc>
        <w:tc>
          <w:tcPr>
            <w:tcW w:w="2441" w:type="dxa"/>
            <w:vAlign w:val="center"/>
          </w:tcPr>
          <w:p w14:paraId="34477BEC">
            <w:pPr>
              <w:spacing w:line="500" w:lineRule="exact"/>
              <w:jc w:val="center"/>
              <w:rPr>
                <w:rFonts w:ascii="仿宋" w:hAnsi="仿宋" w:eastAsia="仿宋" w:cs="仿宋"/>
                <w:szCs w:val="21"/>
              </w:rPr>
            </w:pPr>
            <w:r>
              <w:rPr>
                <w:rFonts w:hint="eastAsia" w:ascii="仿宋" w:hAnsi="仿宋" w:eastAsia="仿宋" w:cs="仿宋"/>
                <w:szCs w:val="21"/>
              </w:rPr>
              <w:t>参加政府采购活动前三年，在经营活动中没有重大违法记录</w:t>
            </w:r>
          </w:p>
        </w:tc>
        <w:tc>
          <w:tcPr>
            <w:tcW w:w="5440" w:type="dxa"/>
          </w:tcPr>
          <w:p w14:paraId="751D9111">
            <w:pPr>
              <w:spacing w:line="400" w:lineRule="exact"/>
              <w:rPr>
                <w:rFonts w:ascii="仿宋" w:hAnsi="仿宋" w:eastAsia="仿宋" w:cs="仿宋"/>
                <w:szCs w:val="21"/>
              </w:rPr>
            </w:pPr>
            <w:r>
              <w:rPr>
                <w:rFonts w:hint="eastAsia" w:ascii="仿宋" w:hAnsi="仿宋" w:eastAsia="仿宋" w:cs="仿宋"/>
                <w:szCs w:val="21"/>
              </w:rPr>
              <w:t>提供供应商信用承诺书；</w:t>
            </w:r>
          </w:p>
          <w:p w14:paraId="0DBAF119">
            <w:pPr>
              <w:spacing w:line="500" w:lineRule="exact"/>
              <w:rPr>
                <w:rFonts w:ascii="仿宋" w:hAnsi="仿宋" w:eastAsia="仿宋" w:cs="仿宋"/>
                <w:szCs w:val="21"/>
              </w:rPr>
            </w:pPr>
            <w:r>
              <w:rPr>
                <w:rFonts w:hint="eastAsia" w:ascii="仿宋" w:hAnsi="仿宋" w:eastAsia="仿宋" w:cs="仿宋"/>
                <w:szCs w:val="21"/>
              </w:rPr>
              <w:t>信用承诺书需符合要求、有效、完整。否则，投标无效。</w:t>
            </w:r>
          </w:p>
        </w:tc>
      </w:tr>
      <w:tr w14:paraId="60D5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2597B57F">
            <w:pPr>
              <w:spacing w:line="360" w:lineRule="auto"/>
              <w:jc w:val="center"/>
              <w:rPr>
                <w:rFonts w:ascii="仿宋" w:hAnsi="仿宋" w:eastAsia="仿宋" w:cs="仿宋"/>
                <w:szCs w:val="21"/>
              </w:rPr>
            </w:pPr>
            <w:r>
              <w:rPr>
                <w:rFonts w:hint="eastAsia" w:ascii="仿宋" w:hAnsi="仿宋" w:eastAsia="仿宋" w:cs="仿宋"/>
                <w:szCs w:val="21"/>
              </w:rPr>
              <w:t>8</w:t>
            </w:r>
          </w:p>
        </w:tc>
        <w:tc>
          <w:tcPr>
            <w:tcW w:w="2441" w:type="dxa"/>
            <w:vAlign w:val="center"/>
          </w:tcPr>
          <w:p w14:paraId="30B1F8F4">
            <w:pPr>
              <w:spacing w:line="500" w:lineRule="exact"/>
              <w:jc w:val="center"/>
              <w:rPr>
                <w:rFonts w:ascii="仿宋" w:hAnsi="仿宋" w:eastAsia="仿宋" w:cs="仿宋"/>
                <w:szCs w:val="21"/>
              </w:rPr>
            </w:pPr>
            <w:r>
              <w:rPr>
                <w:rFonts w:hint="eastAsia" w:ascii="仿宋" w:hAnsi="仿宋" w:eastAsia="仿宋" w:cs="仿宋"/>
                <w:szCs w:val="21"/>
              </w:rPr>
              <w:t>具有独立承担民事责任的能力的证明材料</w:t>
            </w:r>
          </w:p>
        </w:tc>
        <w:tc>
          <w:tcPr>
            <w:tcW w:w="5440" w:type="dxa"/>
          </w:tcPr>
          <w:p w14:paraId="2D67EC41">
            <w:pPr>
              <w:spacing w:line="500" w:lineRule="exact"/>
              <w:rPr>
                <w:rFonts w:ascii="仿宋" w:hAnsi="仿宋" w:eastAsia="仿宋" w:cs="仿宋"/>
                <w:szCs w:val="21"/>
              </w:rPr>
            </w:pPr>
            <w:r>
              <w:rPr>
                <w:rFonts w:hint="eastAsia" w:ascii="仿宋" w:hAnsi="仿宋" w:eastAsia="仿宋" w:cs="仿宋"/>
                <w:szCs w:val="21"/>
              </w:rPr>
              <w:t>提供独立承担民事责任能力的证明材料；</w:t>
            </w:r>
          </w:p>
          <w:p w14:paraId="1CAE7D34">
            <w:pPr>
              <w:spacing w:line="500" w:lineRule="exact"/>
              <w:rPr>
                <w:rFonts w:ascii="仿宋" w:hAnsi="仿宋" w:eastAsia="仿宋" w:cs="仿宋"/>
                <w:szCs w:val="21"/>
              </w:rPr>
            </w:pPr>
            <w:r>
              <w:rPr>
                <w:rFonts w:hint="eastAsia" w:ascii="仿宋" w:hAnsi="仿宋" w:eastAsia="仿宋" w:cs="仿宋"/>
                <w:szCs w:val="21"/>
              </w:rPr>
              <w:t>证明材料需符合要求、有效、完整。否则，投标无效。</w:t>
            </w:r>
          </w:p>
        </w:tc>
      </w:tr>
      <w:tr w14:paraId="5E1A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289E6DB9">
            <w:pPr>
              <w:spacing w:line="360" w:lineRule="auto"/>
              <w:jc w:val="center"/>
              <w:rPr>
                <w:rFonts w:ascii="仿宋" w:hAnsi="仿宋" w:eastAsia="仿宋" w:cs="仿宋"/>
                <w:szCs w:val="21"/>
              </w:rPr>
            </w:pPr>
            <w:r>
              <w:rPr>
                <w:rFonts w:hint="eastAsia" w:ascii="仿宋" w:hAnsi="仿宋" w:eastAsia="仿宋" w:cs="仿宋"/>
                <w:szCs w:val="21"/>
              </w:rPr>
              <w:t>9</w:t>
            </w:r>
          </w:p>
        </w:tc>
        <w:tc>
          <w:tcPr>
            <w:tcW w:w="2441" w:type="dxa"/>
            <w:vAlign w:val="center"/>
          </w:tcPr>
          <w:p w14:paraId="0CF357B0">
            <w:pPr>
              <w:spacing w:line="500" w:lineRule="exact"/>
              <w:jc w:val="center"/>
              <w:rPr>
                <w:rFonts w:ascii="仿宋" w:hAnsi="仿宋" w:eastAsia="仿宋" w:cs="仿宋"/>
                <w:szCs w:val="21"/>
              </w:rPr>
            </w:pPr>
            <w:r>
              <w:rPr>
                <w:rFonts w:hint="eastAsia" w:ascii="仿宋" w:hAnsi="仿宋" w:eastAsia="仿宋" w:cs="仿宋"/>
                <w:szCs w:val="21"/>
              </w:rPr>
              <w:t>诚信投标承诺书</w:t>
            </w:r>
          </w:p>
        </w:tc>
        <w:tc>
          <w:tcPr>
            <w:tcW w:w="5440" w:type="dxa"/>
          </w:tcPr>
          <w:p w14:paraId="54A604ED">
            <w:pPr>
              <w:spacing w:line="500" w:lineRule="exact"/>
              <w:rPr>
                <w:rFonts w:ascii="仿宋" w:hAnsi="仿宋" w:eastAsia="仿宋" w:cs="仿宋"/>
                <w:szCs w:val="21"/>
              </w:rPr>
            </w:pPr>
            <w:r>
              <w:rPr>
                <w:rFonts w:hint="eastAsia" w:ascii="仿宋" w:hAnsi="仿宋" w:eastAsia="仿宋" w:cs="仿宋"/>
                <w:szCs w:val="21"/>
              </w:rPr>
              <w:t>供应商填写诚信投标承诺书；</w:t>
            </w:r>
          </w:p>
          <w:p w14:paraId="1B2E2AD2">
            <w:pPr>
              <w:spacing w:line="500" w:lineRule="exact"/>
              <w:rPr>
                <w:rFonts w:ascii="仿宋" w:hAnsi="仿宋" w:eastAsia="仿宋" w:cs="仿宋"/>
                <w:szCs w:val="21"/>
              </w:rPr>
            </w:pPr>
            <w:r>
              <w:rPr>
                <w:rFonts w:hint="eastAsia" w:ascii="仿宋" w:hAnsi="仿宋" w:eastAsia="仿宋" w:cs="仿宋"/>
                <w:szCs w:val="21"/>
              </w:rPr>
              <w:t>内容有效，签署和印章使用完整、清晰、符合要求。</w:t>
            </w:r>
          </w:p>
        </w:tc>
      </w:tr>
      <w:tr w14:paraId="7555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7175807D">
            <w:pPr>
              <w:spacing w:line="360" w:lineRule="auto"/>
              <w:jc w:val="center"/>
              <w:rPr>
                <w:rFonts w:hint="eastAsia" w:ascii="仿宋" w:hAnsi="仿宋" w:eastAsia="仿宋" w:cs="仿宋"/>
                <w:szCs w:val="21"/>
                <w:lang w:eastAsia="zh-CN"/>
              </w:rPr>
            </w:pPr>
            <w:r>
              <w:rPr>
                <w:rFonts w:hint="eastAsia" w:ascii="仿宋" w:hAnsi="仿宋" w:eastAsia="仿宋" w:cs="仿宋"/>
                <w:szCs w:val="21"/>
              </w:rPr>
              <w:t>1</w:t>
            </w:r>
            <w:r>
              <w:rPr>
                <w:rFonts w:hint="eastAsia" w:ascii="仿宋" w:hAnsi="仿宋" w:eastAsia="仿宋" w:cs="仿宋"/>
                <w:szCs w:val="21"/>
                <w:lang w:val="en-US" w:eastAsia="zh-CN"/>
              </w:rPr>
              <w:t>0</w:t>
            </w:r>
          </w:p>
        </w:tc>
        <w:tc>
          <w:tcPr>
            <w:tcW w:w="2441" w:type="dxa"/>
            <w:vAlign w:val="center"/>
          </w:tcPr>
          <w:p w14:paraId="6400F0AB">
            <w:pPr>
              <w:spacing w:line="500" w:lineRule="exact"/>
              <w:jc w:val="center"/>
              <w:rPr>
                <w:rFonts w:ascii="仿宋" w:hAnsi="仿宋" w:eastAsia="仿宋" w:cs="仿宋"/>
                <w:szCs w:val="21"/>
              </w:rPr>
            </w:pPr>
            <w:r>
              <w:rPr>
                <w:rFonts w:hint="eastAsia" w:ascii="仿宋" w:hAnsi="仿宋" w:eastAsia="仿宋" w:cs="仿宋"/>
                <w:szCs w:val="21"/>
              </w:rPr>
              <w:t>保证金的交纳</w:t>
            </w:r>
          </w:p>
        </w:tc>
        <w:tc>
          <w:tcPr>
            <w:tcW w:w="5440" w:type="dxa"/>
          </w:tcPr>
          <w:p w14:paraId="76E821DE">
            <w:pPr>
              <w:spacing w:line="500" w:lineRule="exact"/>
              <w:rPr>
                <w:rFonts w:ascii="仿宋" w:hAnsi="仿宋" w:eastAsia="仿宋" w:cs="仿宋"/>
                <w:szCs w:val="21"/>
              </w:rPr>
            </w:pPr>
            <w:r>
              <w:rPr>
                <w:rFonts w:hint="eastAsia" w:ascii="仿宋" w:hAnsi="仿宋" w:eastAsia="仿宋" w:cs="仿宋"/>
                <w:szCs w:val="21"/>
              </w:rPr>
              <w:t>响应文件中有提交投标保证金规定的，须按要求足额交纳，且提供真实有效的保证金交纳证明文件。</w:t>
            </w:r>
          </w:p>
        </w:tc>
      </w:tr>
      <w:tr w14:paraId="51DE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7BAEB79E">
            <w:pPr>
              <w:spacing w:line="360" w:lineRule="auto"/>
              <w:jc w:val="center"/>
              <w:rPr>
                <w:rFonts w:hint="eastAsia" w:ascii="仿宋" w:hAnsi="仿宋" w:eastAsia="仿宋" w:cs="仿宋"/>
                <w:szCs w:val="21"/>
                <w:lang w:eastAsia="zh-CN"/>
              </w:rPr>
            </w:pPr>
            <w:r>
              <w:rPr>
                <w:rFonts w:hint="eastAsia" w:ascii="仿宋" w:hAnsi="仿宋" w:eastAsia="仿宋" w:cs="仿宋"/>
                <w:szCs w:val="21"/>
              </w:rPr>
              <w:t>1</w:t>
            </w:r>
            <w:r>
              <w:rPr>
                <w:rFonts w:hint="eastAsia" w:ascii="仿宋" w:hAnsi="仿宋" w:eastAsia="仿宋" w:cs="仿宋"/>
                <w:szCs w:val="21"/>
                <w:lang w:val="en-US" w:eastAsia="zh-CN"/>
              </w:rPr>
              <w:t>1</w:t>
            </w:r>
          </w:p>
        </w:tc>
        <w:tc>
          <w:tcPr>
            <w:tcW w:w="2441" w:type="dxa"/>
            <w:vAlign w:val="center"/>
          </w:tcPr>
          <w:p w14:paraId="686F1455">
            <w:pPr>
              <w:spacing w:line="500" w:lineRule="exact"/>
              <w:jc w:val="center"/>
              <w:rPr>
                <w:rFonts w:ascii="仿宋" w:hAnsi="仿宋" w:eastAsia="仿宋" w:cs="仿宋"/>
                <w:szCs w:val="21"/>
              </w:rPr>
            </w:pPr>
            <w:r>
              <w:rPr>
                <w:rFonts w:hint="eastAsia" w:ascii="仿宋" w:hAnsi="仿宋" w:eastAsia="仿宋" w:cs="仿宋"/>
                <w:szCs w:val="21"/>
              </w:rPr>
              <w:t>落实政府采购政策需满足的资格要求</w:t>
            </w:r>
          </w:p>
        </w:tc>
        <w:tc>
          <w:tcPr>
            <w:tcW w:w="5440" w:type="dxa"/>
          </w:tcPr>
          <w:p w14:paraId="3F6FBF25">
            <w:pPr>
              <w:spacing w:line="360" w:lineRule="auto"/>
              <w:rPr>
                <w:rFonts w:ascii="仿宋" w:hAnsi="仿宋" w:eastAsia="仿宋" w:cs="仿宋"/>
              </w:rPr>
            </w:pPr>
            <w:r>
              <w:rPr>
                <w:rFonts w:hint="eastAsia" w:ascii="仿宋" w:hAnsi="仿宋" w:eastAsia="仿宋" w:cs="仿宋"/>
              </w:rPr>
              <w:t>本采购项目</w:t>
            </w:r>
            <w:r>
              <w:rPr>
                <w:rFonts w:hint="eastAsia" w:ascii="仿宋" w:hAnsi="仿宋" w:eastAsia="仿宋" w:cs="仿宋"/>
                <w:lang w:val="en-US" w:eastAsia="zh-CN"/>
              </w:rPr>
              <w:t>不</w:t>
            </w:r>
            <w:r>
              <w:rPr>
                <w:rFonts w:hint="eastAsia" w:ascii="仿宋" w:hAnsi="仿宋" w:eastAsia="仿宋" w:cs="仿宋"/>
              </w:rPr>
              <w:t>专门面向中小企业，供应商</w:t>
            </w:r>
            <w:r>
              <w:rPr>
                <w:rFonts w:hint="eastAsia" w:ascii="仿宋" w:hAnsi="仿宋" w:eastAsia="仿宋" w:cs="仿宋"/>
                <w:sz w:val="21"/>
                <w:szCs w:val="21"/>
                <w:highlight w:val="none"/>
                <w:lang w:val="en-US" w:eastAsia="zh-CN"/>
              </w:rPr>
              <w:t>为中小企业的，</w:t>
            </w:r>
            <w:r>
              <w:rPr>
                <w:rFonts w:hint="eastAsia" w:ascii="仿宋" w:hAnsi="仿宋" w:eastAsia="仿宋" w:cs="仿宋"/>
              </w:rPr>
              <w:t>须根据《工业和信息化部、国家统计局、国家发展和改革委员会、财政部关于印发中小企业划型标准规定的通知》（工信部联企业〔2011〕300号）规定的划分标准，准确划分企业类型。监狱企业、残疾人福利性单位视同小微企业。</w:t>
            </w:r>
          </w:p>
          <w:p w14:paraId="7D5CBFFB">
            <w:pPr>
              <w:spacing w:line="500" w:lineRule="exact"/>
              <w:rPr>
                <w:rFonts w:ascii="仿宋" w:hAnsi="仿宋" w:eastAsia="仿宋" w:cs="仿宋"/>
                <w:szCs w:val="21"/>
              </w:rPr>
            </w:pPr>
            <w:r>
              <w:rPr>
                <w:rFonts w:hint="eastAsia" w:ascii="仿宋" w:hAnsi="仿宋" w:eastAsia="仿宋" w:cs="仿宋"/>
              </w:rPr>
              <w:t>注：</w:t>
            </w:r>
            <w:r>
              <w:rPr>
                <w:rFonts w:hint="eastAsia" w:ascii="仿宋" w:hAnsi="仿宋" w:eastAsia="仿宋" w:cs="仿宋"/>
                <w:sz w:val="21"/>
                <w:szCs w:val="21"/>
                <w:highlight w:val="none"/>
                <w:lang w:val="en-US" w:eastAsia="zh-CN"/>
              </w:rPr>
              <w:t>中小企业声明函需符合磋商文件要求。</w:t>
            </w:r>
          </w:p>
        </w:tc>
      </w:tr>
      <w:tr w14:paraId="2312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67E455A9">
            <w:pPr>
              <w:spacing w:line="360" w:lineRule="auto"/>
              <w:jc w:val="center"/>
              <w:rPr>
                <w:rFonts w:hint="eastAsia" w:ascii="仿宋" w:hAnsi="仿宋" w:eastAsia="仿宋" w:cs="仿宋"/>
                <w:szCs w:val="21"/>
                <w:lang w:eastAsia="zh-CN"/>
              </w:rPr>
            </w:pPr>
            <w:r>
              <w:rPr>
                <w:rFonts w:hint="eastAsia" w:ascii="仿宋" w:hAnsi="仿宋" w:eastAsia="仿宋" w:cs="仿宋"/>
                <w:szCs w:val="21"/>
              </w:rPr>
              <w:t>1</w:t>
            </w:r>
            <w:r>
              <w:rPr>
                <w:rFonts w:hint="eastAsia" w:ascii="仿宋" w:hAnsi="仿宋" w:eastAsia="仿宋" w:cs="仿宋"/>
                <w:szCs w:val="21"/>
                <w:lang w:val="en-US" w:eastAsia="zh-CN"/>
              </w:rPr>
              <w:t>2</w:t>
            </w:r>
          </w:p>
        </w:tc>
        <w:tc>
          <w:tcPr>
            <w:tcW w:w="2441" w:type="dxa"/>
            <w:vAlign w:val="center"/>
          </w:tcPr>
          <w:p w14:paraId="4D964526">
            <w:pPr>
              <w:spacing w:line="500" w:lineRule="exact"/>
              <w:jc w:val="center"/>
              <w:rPr>
                <w:rFonts w:ascii="仿宋" w:hAnsi="仿宋" w:eastAsia="仿宋" w:cs="仿宋"/>
                <w:szCs w:val="21"/>
              </w:rPr>
            </w:pPr>
            <w:r>
              <w:rPr>
                <w:rFonts w:hint="eastAsia" w:ascii="仿宋" w:hAnsi="仿宋" w:eastAsia="仿宋" w:cs="仿宋"/>
                <w:szCs w:val="21"/>
              </w:rPr>
              <w:t>信用查询证明材料</w:t>
            </w:r>
          </w:p>
        </w:tc>
        <w:tc>
          <w:tcPr>
            <w:tcW w:w="5440" w:type="dxa"/>
          </w:tcPr>
          <w:p w14:paraId="1A99FC50">
            <w:pPr>
              <w:spacing w:line="500" w:lineRule="exact"/>
              <w:rPr>
                <w:rFonts w:ascii="仿宋" w:hAnsi="仿宋" w:eastAsia="仿宋" w:cs="仿宋"/>
                <w:szCs w:val="21"/>
              </w:rPr>
            </w:pPr>
            <w:r>
              <w:rPr>
                <w:rFonts w:hint="eastAsia" w:ascii="仿宋" w:hAnsi="仿宋" w:eastAsia="仿宋" w:cs="仿宋"/>
                <w:szCs w:val="21"/>
              </w:rPr>
              <w:t>1.查询渠道：</w:t>
            </w:r>
          </w:p>
          <w:p w14:paraId="08F33559">
            <w:pPr>
              <w:spacing w:line="500" w:lineRule="exact"/>
              <w:rPr>
                <w:rFonts w:ascii="仿宋" w:hAnsi="仿宋" w:eastAsia="仿宋" w:cs="仿宋"/>
                <w:szCs w:val="21"/>
              </w:rPr>
            </w:pPr>
            <w:r>
              <w:rPr>
                <w:rFonts w:hint="eastAsia" w:ascii="仿宋" w:hAnsi="仿宋" w:eastAsia="仿宋" w:cs="仿宋"/>
                <w:szCs w:val="21"/>
              </w:rPr>
              <w:t>信用中国网站（www.creditchina.gov.cn）</w:t>
            </w:r>
          </w:p>
          <w:p w14:paraId="67BD1379">
            <w:pPr>
              <w:spacing w:line="500" w:lineRule="exact"/>
              <w:rPr>
                <w:rFonts w:ascii="仿宋" w:hAnsi="仿宋" w:eastAsia="仿宋" w:cs="仿宋"/>
                <w:szCs w:val="21"/>
              </w:rPr>
            </w:pPr>
            <w:r>
              <w:rPr>
                <w:rFonts w:hint="eastAsia" w:ascii="仿宋" w:hAnsi="仿宋" w:eastAsia="仿宋" w:cs="仿宋"/>
                <w:szCs w:val="21"/>
              </w:rPr>
              <w:t>中国政府采购网（www.ccgp.gov.cn）</w:t>
            </w:r>
          </w:p>
          <w:p w14:paraId="6858DBE6">
            <w:pPr>
              <w:numPr>
                <w:ilvl w:val="0"/>
                <w:numId w:val="0"/>
              </w:numPr>
              <w:spacing w:line="500" w:lineRule="exact"/>
              <w:rPr>
                <w:rFonts w:hint="eastAsia"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信用信息查询</w:t>
            </w:r>
            <w:r>
              <w:rPr>
                <w:rFonts w:hint="eastAsia" w:ascii="仿宋" w:hAnsi="仿宋" w:eastAsia="仿宋" w:cs="仿宋"/>
                <w:szCs w:val="21"/>
                <w:lang w:val="en-US" w:eastAsia="zh-CN"/>
              </w:rPr>
              <w:t>内容</w:t>
            </w:r>
            <w:r>
              <w:rPr>
                <w:rFonts w:hint="eastAsia" w:ascii="仿宋" w:hAnsi="仿宋" w:eastAsia="仿宋" w:cs="仿宋"/>
                <w:szCs w:val="21"/>
              </w:rPr>
              <w:t>：</w:t>
            </w:r>
          </w:p>
          <w:p w14:paraId="188577D2">
            <w:pPr>
              <w:numPr>
                <w:ilvl w:val="0"/>
                <w:numId w:val="0"/>
              </w:numPr>
              <w:spacing w:line="500" w:lineRule="exact"/>
              <w:rPr>
                <w:rFonts w:hint="eastAsia" w:ascii="仿宋" w:hAnsi="仿宋" w:eastAsia="仿宋" w:cs="仿宋"/>
                <w:szCs w:val="21"/>
              </w:rPr>
            </w:pPr>
            <w:r>
              <w:rPr>
                <w:rFonts w:hint="eastAsia" w:ascii="仿宋" w:hAnsi="仿宋" w:eastAsia="仿宋" w:cs="仿宋"/>
                <w:szCs w:val="21"/>
                <w:lang w:val="en-US" w:eastAsia="zh-CN"/>
              </w:rPr>
              <w:t>信用中国查询：</w:t>
            </w:r>
            <w:r>
              <w:rPr>
                <w:rFonts w:hint="eastAsia" w:ascii="仿宋" w:hAnsi="仿宋" w:eastAsia="仿宋" w:cs="仿宋"/>
                <w:szCs w:val="21"/>
              </w:rPr>
              <w:t>失信被执行人、重大税收违法失信主体</w:t>
            </w:r>
            <w:r>
              <w:rPr>
                <w:rFonts w:hint="eastAsia" w:ascii="仿宋" w:hAnsi="仿宋" w:eastAsia="仿宋" w:cs="仿宋"/>
                <w:szCs w:val="21"/>
                <w:lang w:val="en-US" w:eastAsia="zh-CN"/>
              </w:rPr>
              <w:t>名单</w:t>
            </w:r>
            <w:r>
              <w:rPr>
                <w:rFonts w:hint="eastAsia" w:ascii="仿宋" w:hAnsi="仿宋" w:eastAsia="仿宋" w:cs="仿宋"/>
                <w:szCs w:val="21"/>
              </w:rPr>
              <w:t>、政府采购严重违法失信行为记录名单；</w:t>
            </w:r>
          </w:p>
          <w:p w14:paraId="01300428">
            <w:pPr>
              <w:numPr>
                <w:ilvl w:val="0"/>
                <w:numId w:val="0"/>
              </w:numPr>
              <w:spacing w:line="50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中国政府采购网查询：政府采购严重违法失信行为记录名单；</w:t>
            </w:r>
          </w:p>
          <w:p w14:paraId="2BBCA38A">
            <w:pPr>
              <w:numPr>
                <w:ilvl w:val="0"/>
                <w:numId w:val="0"/>
              </w:numPr>
              <w:spacing w:line="500" w:lineRule="exact"/>
              <w:ind w:leftChars="0"/>
              <w:rPr>
                <w:rFonts w:hint="eastAsia" w:ascii="仿宋" w:hAnsi="仿宋" w:eastAsia="仿宋" w:cs="仿宋"/>
                <w:szCs w:val="21"/>
                <w:lang w:val="en-US" w:eastAsia="zh-CN"/>
              </w:rPr>
            </w:pPr>
            <w:r>
              <w:rPr>
                <w:rFonts w:hint="eastAsia" w:ascii="仿宋" w:hAnsi="仿宋" w:eastAsia="仿宋" w:cs="仿宋"/>
                <w:szCs w:val="21"/>
                <w:lang w:val="en-US" w:eastAsia="zh-CN"/>
              </w:rPr>
              <w:t>3.查询结果：</w:t>
            </w:r>
          </w:p>
          <w:p w14:paraId="043A63B2">
            <w:pPr>
              <w:numPr>
                <w:ilvl w:val="0"/>
                <w:numId w:val="0"/>
              </w:numPr>
              <w:spacing w:line="500" w:lineRule="exact"/>
              <w:rPr>
                <w:rFonts w:ascii="仿宋" w:hAnsi="仿宋" w:eastAsia="仿宋" w:cs="仿宋"/>
                <w:szCs w:val="21"/>
              </w:rPr>
            </w:pPr>
            <w:r>
              <w:rPr>
                <w:rFonts w:hint="eastAsia" w:ascii="仿宋" w:hAnsi="仿宋" w:eastAsia="仿宋" w:cs="仿宋"/>
                <w:szCs w:val="21"/>
                <w:lang w:val="en-US" w:eastAsia="zh-CN"/>
              </w:rPr>
              <w:t>以上</w:t>
            </w:r>
            <w:r>
              <w:rPr>
                <w:rFonts w:hint="eastAsia" w:ascii="仿宋" w:hAnsi="仿宋" w:eastAsia="仿宋" w:cs="仿宋"/>
                <w:szCs w:val="21"/>
              </w:rPr>
              <w:t>查询结果</w:t>
            </w:r>
            <w:r>
              <w:rPr>
                <w:rFonts w:hint="eastAsia" w:ascii="仿宋" w:hAnsi="仿宋" w:eastAsia="仿宋" w:cs="仿宋"/>
                <w:szCs w:val="21"/>
                <w:lang w:val="en-US" w:eastAsia="zh-CN"/>
              </w:rPr>
              <w:t>均</w:t>
            </w:r>
            <w:r>
              <w:rPr>
                <w:rFonts w:hint="eastAsia" w:ascii="仿宋" w:hAnsi="仿宋" w:eastAsia="仿宋" w:cs="仿宋"/>
                <w:szCs w:val="21"/>
              </w:rPr>
              <w:t>显示“没查到您要的信息”</w:t>
            </w:r>
            <w:r>
              <w:rPr>
                <w:rFonts w:hint="eastAsia" w:ascii="仿宋" w:hAnsi="仿宋" w:eastAsia="仿宋" w:cs="仿宋"/>
                <w:szCs w:val="21"/>
                <w:lang w:val="en-US" w:eastAsia="zh-CN"/>
              </w:rPr>
              <w:t>或没有违法记录</w:t>
            </w:r>
            <w:r>
              <w:rPr>
                <w:rFonts w:hint="eastAsia" w:ascii="仿宋" w:hAnsi="仿宋" w:eastAsia="仿宋" w:cs="仿宋"/>
                <w:szCs w:val="21"/>
              </w:rPr>
              <w:t>，视为没有不良信用记录。</w:t>
            </w:r>
          </w:p>
        </w:tc>
      </w:tr>
    </w:tbl>
    <w:p w14:paraId="7C89D16F">
      <w:pPr>
        <w:pStyle w:val="34"/>
        <w:rPr>
          <w:rFonts w:ascii="仿宋" w:hAnsi="仿宋" w:eastAsia="仿宋" w:cs="仿宋"/>
          <w:color w:val="000000"/>
          <w:sz w:val="24"/>
        </w:rPr>
      </w:pPr>
      <w:r>
        <w:rPr>
          <w:rFonts w:hint="eastAsia" w:ascii="仿宋" w:hAnsi="仿宋" w:eastAsia="仿宋" w:cs="仿宋"/>
          <w:color w:val="000000"/>
          <w:sz w:val="24"/>
          <w:szCs w:val="24"/>
        </w:rPr>
        <w:t>说明：除上述内容外，供应商提供的其他材料，不作为资格审查的内容。</w:t>
      </w:r>
    </w:p>
    <w:p w14:paraId="1EB9571A">
      <w:pPr>
        <w:pStyle w:val="33"/>
        <w:rPr>
          <w:rFonts w:ascii="仿宋" w:hAnsi="仿宋" w:eastAsia="仿宋" w:cs="仿宋"/>
          <w:sz w:val="24"/>
          <w:szCs w:val="22"/>
        </w:rPr>
      </w:pPr>
    </w:p>
    <w:p w14:paraId="2DCFC048">
      <w:pPr>
        <w:pStyle w:val="5"/>
        <w:rPr>
          <w:rFonts w:ascii="仿宋" w:hAnsi="仿宋" w:eastAsia="仿宋" w:cs="仿宋"/>
          <w:sz w:val="24"/>
          <w:szCs w:val="22"/>
        </w:rPr>
      </w:pPr>
      <w:r>
        <w:rPr>
          <w:rFonts w:hint="eastAsia" w:ascii="仿宋" w:hAnsi="仿宋" w:eastAsia="仿宋" w:cs="仿宋"/>
          <w:sz w:val="24"/>
          <w:szCs w:val="22"/>
        </w:rPr>
        <w:t>二、符合性要求</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185"/>
        <w:gridCol w:w="2100"/>
        <w:gridCol w:w="4508"/>
      </w:tblGrid>
      <w:tr w14:paraId="3FBF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394" w:type="dxa"/>
            <w:gridSpan w:val="4"/>
            <w:vAlign w:val="center"/>
          </w:tcPr>
          <w:p w14:paraId="648F26F8">
            <w:pPr>
              <w:spacing w:line="360" w:lineRule="auto"/>
              <w:jc w:val="center"/>
              <w:rPr>
                <w:rFonts w:ascii="仿宋" w:hAnsi="仿宋" w:eastAsia="仿宋" w:cs="仿宋"/>
              </w:rPr>
            </w:pPr>
            <w:r>
              <w:rPr>
                <w:rFonts w:hint="eastAsia" w:ascii="仿宋" w:hAnsi="仿宋" w:eastAsia="仿宋" w:cs="仿宋"/>
              </w:rPr>
              <w:t>符合性要求</w:t>
            </w:r>
          </w:p>
        </w:tc>
      </w:tr>
      <w:tr w14:paraId="4F74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01" w:type="dxa"/>
            <w:vAlign w:val="center"/>
          </w:tcPr>
          <w:p w14:paraId="57FDAA76">
            <w:pPr>
              <w:spacing w:line="360" w:lineRule="auto"/>
              <w:jc w:val="center"/>
              <w:rPr>
                <w:rFonts w:ascii="仿宋" w:hAnsi="仿宋" w:eastAsia="仿宋" w:cs="仿宋"/>
                <w:szCs w:val="21"/>
              </w:rPr>
            </w:pPr>
            <w:r>
              <w:rPr>
                <w:rFonts w:hint="eastAsia" w:ascii="仿宋" w:hAnsi="仿宋" w:eastAsia="仿宋" w:cs="仿宋"/>
                <w:color w:val="000000"/>
                <w:szCs w:val="21"/>
              </w:rPr>
              <w:t>1</w:t>
            </w:r>
          </w:p>
        </w:tc>
        <w:tc>
          <w:tcPr>
            <w:tcW w:w="1185" w:type="dxa"/>
            <w:vAlign w:val="center"/>
          </w:tcPr>
          <w:p w14:paraId="37537A8E">
            <w:pPr>
              <w:spacing w:line="360" w:lineRule="auto"/>
              <w:jc w:val="center"/>
              <w:rPr>
                <w:rFonts w:ascii="仿宋" w:hAnsi="仿宋" w:eastAsia="仿宋" w:cs="仿宋"/>
                <w:szCs w:val="21"/>
              </w:rPr>
            </w:pPr>
            <w:r>
              <w:rPr>
                <w:rFonts w:hint="eastAsia" w:ascii="仿宋" w:hAnsi="仿宋" w:eastAsia="仿宋" w:cs="仿宋"/>
                <w:color w:val="000000"/>
                <w:kern w:val="0"/>
                <w:szCs w:val="21"/>
              </w:rPr>
              <w:t>商务资信</w:t>
            </w:r>
          </w:p>
        </w:tc>
        <w:tc>
          <w:tcPr>
            <w:tcW w:w="2100" w:type="dxa"/>
            <w:vAlign w:val="center"/>
          </w:tcPr>
          <w:p w14:paraId="7F67B90B">
            <w:pPr>
              <w:spacing w:line="360" w:lineRule="auto"/>
              <w:jc w:val="center"/>
              <w:rPr>
                <w:rFonts w:ascii="仿宋" w:hAnsi="仿宋" w:eastAsia="仿宋" w:cs="仿宋"/>
                <w:szCs w:val="21"/>
              </w:rPr>
            </w:pPr>
            <w:r>
              <w:rPr>
                <w:rFonts w:hint="eastAsia" w:ascii="仿宋" w:hAnsi="仿宋" w:eastAsia="仿宋" w:cs="仿宋"/>
                <w:color w:val="000000"/>
                <w:kern w:val="0"/>
                <w:szCs w:val="21"/>
              </w:rPr>
              <w:t>对供应商提供的法定代表人（负责人）身份证明文件的符合性、完整性进行审查。</w:t>
            </w:r>
          </w:p>
        </w:tc>
        <w:tc>
          <w:tcPr>
            <w:tcW w:w="4508" w:type="dxa"/>
            <w:vAlign w:val="center"/>
          </w:tcPr>
          <w:p w14:paraId="2B7BD445">
            <w:pPr>
              <w:tabs>
                <w:tab w:val="left" w:pos="567"/>
              </w:tabs>
              <w:snapToGrid w:val="0"/>
              <w:spacing w:line="360" w:lineRule="auto"/>
              <w:jc w:val="left"/>
              <w:rPr>
                <w:rFonts w:ascii="仿宋" w:hAnsi="仿宋" w:eastAsia="仿宋" w:cs="仿宋"/>
                <w:color w:val="000000"/>
                <w:szCs w:val="21"/>
              </w:rPr>
            </w:pPr>
            <w:r>
              <w:rPr>
                <w:rFonts w:hint="eastAsia" w:ascii="仿宋" w:hAnsi="仿宋" w:eastAsia="仿宋" w:cs="仿宋"/>
                <w:color w:val="000000"/>
                <w:kern w:val="0"/>
                <w:szCs w:val="21"/>
              </w:rPr>
              <w:t>1.提供供应商</w:t>
            </w:r>
            <w:r>
              <w:rPr>
                <w:rFonts w:hint="eastAsia" w:ascii="仿宋" w:hAnsi="仿宋" w:eastAsia="仿宋" w:cs="仿宋"/>
                <w:color w:val="000000"/>
                <w:szCs w:val="21"/>
              </w:rPr>
              <w:t>法定代表人（负责人）身份证明文件；</w:t>
            </w:r>
          </w:p>
          <w:p w14:paraId="1C1FD21A">
            <w:pPr>
              <w:tabs>
                <w:tab w:val="left" w:pos="567"/>
              </w:tabs>
              <w:snapToGrid w:val="0"/>
              <w:spacing w:line="360" w:lineRule="auto"/>
              <w:jc w:val="left"/>
              <w:rPr>
                <w:rFonts w:ascii="仿宋" w:hAnsi="仿宋" w:eastAsia="仿宋" w:cs="仿宋"/>
                <w:szCs w:val="21"/>
              </w:rPr>
            </w:pPr>
            <w:r>
              <w:rPr>
                <w:rFonts w:hint="eastAsia" w:ascii="仿宋" w:hAnsi="仿宋" w:eastAsia="仿宋" w:cs="仿宋"/>
                <w:color w:val="000000"/>
                <w:szCs w:val="21"/>
              </w:rPr>
              <w:t>2.证明文件须内容完整、签署符合要求。否则，响应无效。</w:t>
            </w:r>
          </w:p>
        </w:tc>
      </w:tr>
      <w:tr w14:paraId="753E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601" w:type="dxa"/>
            <w:vAlign w:val="center"/>
          </w:tcPr>
          <w:p w14:paraId="3BB4B50C">
            <w:pPr>
              <w:adjustRightInd w:val="0"/>
              <w:snapToGrid w:val="0"/>
              <w:spacing w:line="360" w:lineRule="auto"/>
              <w:jc w:val="center"/>
              <w:rPr>
                <w:rFonts w:ascii="仿宋" w:hAnsi="仿宋" w:eastAsia="仿宋" w:cs="仿宋"/>
                <w:szCs w:val="21"/>
              </w:rPr>
            </w:pPr>
            <w:r>
              <w:rPr>
                <w:rFonts w:hint="eastAsia" w:ascii="仿宋" w:hAnsi="仿宋" w:eastAsia="仿宋" w:cs="仿宋"/>
                <w:color w:val="000000"/>
                <w:kern w:val="0"/>
                <w:szCs w:val="21"/>
              </w:rPr>
              <w:t>2</w:t>
            </w:r>
          </w:p>
        </w:tc>
        <w:tc>
          <w:tcPr>
            <w:tcW w:w="1185" w:type="dxa"/>
            <w:vAlign w:val="center"/>
          </w:tcPr>
          <w:p w14:paraId="3A2302BE">
            <w:pPr>
              <w:spacing w:line="360" w:lineRule="auto"/>
              <w:jc w:val="center"/>
              <w:rPr>
                <w:rFonts w:ascii="仿宋" w:hAnsi="仿宋" w:eastAsia="仿宋" w:cs="仿宋"/>
                <w:szCs w:val="21"/>
              </w:rPr>
            </w:pPr>
            <w:r>
              <w:rPr>
                <w:rFonts w:hint="eastAsia" w:ascii="仿宋" w:hAnsi="仿宋" w:eastAsia="仿宋" w:cs="仿宋"/>
                <w:color w:val="000000"/>
                <w:szCs w:val="21"/>
              </w:rPr>
              <w:t>商务资信</w:t>
            </w:r>
          </w:p>
        </w:tc>
        <w:tc>
          <w:tcPr>
            <w:tcW w:w="2100" w:type="dxa"/>
            <w:vAlign w:val="center"/>
          </w:tcPr>
          <w:p w14:paraId="1BD9BD36">
            <w:pPr>
              <w:spacing w:line="360" w:lineRule="auto"/>
              <w:jc w:val="center"/>
              <w:rPr>
                <w:rFonts w:ascii="仿宋" w:hAnsi="仿宋" w:eastAsia="仿宋" w:cs="仿宋"/>
                <w:szCs w:val="21"/>
              </w:rPr>
            </w:pPr>
            <w:r>
              <w:rPr>
                <w:rFonts w:hint="eastAsia" w:ascii="仿宋" w:hAnsi="仿宋" w:eastAsia="仿宋" w:cs="仿宋"/>
                <w:color w:val="000000"/>
                <w:kern w:val="0"/>
                <w:szCs w:val="21"/>
              </w:rPr>
              <w:t>对供应商提供的法定代表人（负责人）授权委托书</w:t>
            </w:r>
            <w:r>
              <w:rPr>
                <w:rFonts w:hint="eastAsia" w:ascii="仿宋" w:hAnsi="仿宋" w:eastAsia="仿宋" w:cs="仿宋"/>
                <w:color w:val="000000"/>
                <w:szCs w:val="21"/>
              </w:rPr>
              <w:t>证明文件的符合性、完整性进行审查。</w:t>
            </w:r>
          </w:p>
        </w:tc>
        <w:tc>
          <w:tcPr>
            <w:tcW w:w="4508" w:type="dxa"/>
            <w:vAlign w:val="center"/>
          </w:tcPr>
          <w:p w14:paraId="5362D014">
            <w:pPr>
              <w:tabs>
                <w:tab w:val="left" w:pos="567"/>
              </w:tabs>
              <w:snapToGrid w:val="0"/>
              <w:spacing w:line="360" w:lineRule="auto"/>
              <w:jc w:val="left"/>
              <w:rPr>
                <w:rFonts w:ascii="仿宋" w:hAnsi="仿宋" w:eastAsia="仿宋" w:cs="仿宋"/>
                <w:color w:val="000000"/>
                <w:kern w:val="0"/>
                <w:szCs w:val="21"/>
              </w:rPr>
            </w:pPr>
            <w:r>
              <w:rPr>
                <w:rFonts w:hint="eastAsia" w:ascii="仿宋" w:hAnsi="仿宋" w:eastAsia="仿宋" w:cs="仿宋"/>
                <w:color w:val="000000"/>
                <w:kern w:val="0"/>
                <w:szCs w:val="21"/>
              </w:rPr>
              <w:t>1.提供法定代表人（负责人）授权委托书证明材料，若供应商授权代表为法定代表人的可不提供。</w:t>
            </w:r>
          </w:p>
          <w:p w14:paraId="3E9AEBCF">
            <w:pPr>
              <w:tabs>
                <w:tab w:val="left" w:pos="567"/>
              </w:tabs>
              <w:snapToGrid w:val="0"/>
              <w:spacing w:line="360" w:lineRule="auto"/>
              <w:jc w:val="left"/>
              <w:rPr>
                <w:rFonts w:ascii="仿宋" w:hAnsi="仿宋" w:eastAsia="仿宋" w:cs="仿宋"/>
                <w:szCs w:val="21"/>
              </w:rPr>
            </w:pPr>
            <w:r>
              <w:rPr>
                <w:rFonts w:hint="eastAsia" w:ascii="仿宋" w:hAnsi="仿宋" w:eastAsia="仿宋" w:cs="仿宋"/>
                <w:color w:val="000000"/>
                <w:kern w:val="0"/>
                <w:szCs w:val="21"/>
              </w:rPr>
              <w:t>2.证明文件须内容完整、有效、签署符合要求。否则，响应无效。</w:t>
            </w:r>
          </w:p>
        </w:tc>
      </w:tr>
      <w:tr w14:paraId="6538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1" w:type="dxa"/>
            <w:vAlign w:val="center"/>
          </w:tcPr>
          <w:p w14:paraId="4D61A700">
            <w:pPr>
              <w:spacing w:line="360" w:lineRule="auto"/>
              <w:jc w:val="center"/>
              <w:rPr>
                <w:rFonts w:ascii="仿宋" w:hAnsi="仿宋" w:eastAsia="仿宋" w:cs="仿宋"/>
              </w:rPr>
            </w:pPr>
            <w:r>
              <w:rPr>
                <w:rFonts w:hint="eastAsia" w:ascii="仿宋" w:hAnsi="仿宋" w:eastAsia="仿宋" w:cs="仿宋"/>
              </w:rPr>
              <w:t>3</w:t>
            </w:r>
          </w:p>
        </w:tc>
        <w:tc>
          <w:tcPr>
            <w:tcW w:w="1185" w:type="dxa"/>
            <w:vAlign w:val="center"/>
          </w:tcPr>
          <w:p w14:paraId="6EC79770">
            <w:pPr>
              <w:spacing w:line="360" w:lineRule="auto"/>
              <w:jc w:val="center"/>
              <w:rPr>
                <w:rFonts w:ascii="仿宋" w:hAnsi="仿宋" w:eastAsia="仿宋" w:cs="仿宋"/>
              </w:rPr>
            </w:pPr>
            <w:r>
              <w:rPr>
                <w:rFonts w:hint="eastAsia" w:ascii="仿宋" w:hAnsi="仿宋" w:eastAsia="仿宋" w:cs="仿宋"/>
              </w:rPr>
              <w:t>报价</w:t>
            </w:r>
          </w:p>
        </w:tc>
        <w:tc>
          <w:tcPr>
            <w:tcW w:w="2100" w:type="dxa"/>
            <w:vAlign w:val="center"/>
          </w:tcPr>
          <w:p w14:paraId="32324F44">
            <w:pPr>
              <w:spacing w:line="360" w:lineRule="auto"/>
              <w:jc w:val="center"/>
              <w:rPr>
                <w:rFonts w:ascii="仿宋" w:hAnsi="仿宋" w:eastAsia="仿宋" w:cs="仿宋"/>
              </w:rPr>
            </w:pPr>
            <w:r>
              <w:rPr>
                <w:rFonts w:hint="eastAsia" w:ascii="仿宋" w:hAnsi="仿宋" w:eastAsia="仿宋" w:cs="仿宋"/>
              </w:rPr>
              <w:t>响应文件报价审核</w:t>
            </w:r>
          </w:p>
        </w:tc>
        <w:tc>
          <w:tcPr>
            <w:tcW w:w="4508" w:type="dxa"/>
          </w:tcPr>
          <w:p w14:paraId="58CBD695">
            <w:pPr>
              <w:spacing w:line="360" w:lineRule="auto"/>
              <w:rPr>
                <w:rFonts w:ascii="仿宋" w:hAnsi="仿宋" w:eastAsia="仿宋" w:cs="仿宋"/>
              </w:rPr>
            </w:pPr>
            <w:r>
              <w:rPr>
                <w:rFonts w:hint="eastAsia" w:ascii="仿宋" w:hAnsi="仿宋" w:eastAsia="仿宋" w:cs="仿宋"/>
              </w:rPr>
              <w:t>1.审查报价一览表是否按磋商文件提供格式的内容进行填写；内容是否完整；是否按磋商文件要求对其进行了签署，授权代表的签署时间是否在授权签署时间内。全部符合，即为有效，否则，响应无效；</w:t>
            </w:r>
          </w:p>
          <w:p w14:paraId="054F96AB">
            <w:pPr>
              <w:spacing w:line="360" w:lineRule="auto"/>
              <w:rPr>
                <w:rFonts w:ascii="仿宋" w:hAnsi="仿宋" w:eastAsia="仿宋" w:cs="仿宋"/>
              </w:rPr>
            </w:pPr>
            <w:r>
              <w:rPr>
                <w:rFonts w:hint="eastAsia" w:ascii="仿宋" w:hAnsi="仿宋" w:eastAsia="仿宋" w:cs="仿宋"/>
              </w:rPr>
              <w:t>2.报价清单若存在漏项、缺项；存在有超出本项目预算金额或最高限价的报价的，响应无效；</w:t>
            </w:r>
          </w:p>
          <w:p w14:paraId="7503D221">
            <w:pPr>
              <w:spacing w:line="360" w:lineRule="auto"/>
              <w:rPr>
                <w:rFonts w:hint="eastAsia" w:ascii="仿宋" w:hAnsi="仿宋" w:eastAsia="仿宋" w:cs="仿宋"/>
                <w:lang w:eastAsia="zh-CN"/>
              </w:rPr>
            </w:pPr>
            <w:r>
              <w:rPr>
                <w:rFonts w:hint="eastAsia" w:ascii="仿宋" w:hAnsi="仿宋" w:eastAsia="仿宋" w:cs="仿宋"/>
              </w:rPr>
              <w:t>3.报价有可选择或可调整的报价的，响应无效</w:t>
            </w:r>
            <w:r>
              <w:rPr>
                <w:rFonts w:hint="eastAsia" w:ascii="仿宋" w:hAnsi="仿宋" w:eastAsia="仿宋" w:cs="仿宋"/>
                <w:lang w:eastAsia="zh-CN"/>
              </w:rPr>
              <w:t>。</w:t>
            </w:r>
          </w:p>
        </w:tc>
      </w:tr>
      <w:tr w14:paraId="33A9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1" w:type="dxa"/>
            <w:vAlign w:val="center"/>
          </w:tcPr>
          <w:p w14:paraId="6499E632">
            <w:pPr>
              <w:spacing w:line="360" w:lineRule="auto"/>
              <w:jc w:val="center"/>
              <w:rPr>
                <w:rFonts w:ascii="仿宋" w:hAnsi="仿宋" w:eastAsia="仿宋" w:cs="仿宋"/>
              </w:rPr>
            </w:pPr>
            <w:r>
              <w:rPr>
                <w:rFonts w:hint="eastAsia" w:ascii="仿宋" w:hAnsi="仿宋" w:eastAsia="仿宋" w:cs="仿宋"/>
              </w:rPr>
              <w:t>4</w:t>
            </w:r>
          </w:p>
        </w:tc>
        <w:tc>
          <w:tcPr>
            <w:tcW w:w="1185" w:type="dxa"/>
            <w:vAlign w:val="center"/>
          </w:tcPr>
          <w:p w14:paraId="147F6F58">
            <w:pPr>
              <w:spacing w:line="360" w:lineRule="auto"/>
              <w:jc w:val="center"/>
              <w:rPr>
                <w:rFonts w:ascii="仿宋" w:hAnsi="仿宋" w:eastAsia="仿宋" w:cs="仿宋"/>
              </w:rPr>
            </w:pPr>
            <w:r>
              <w:rPr>
                <w:rFonts w:hint="eastAsia" w:ascii="仿宋" w:hAnsi="仿宋" w:eastAsia="仿宋" w:cs="仿宋"/>
              </w:rPr>
              <w:t>商务资信</w:t>
            </w:r>
          </w:p>
        </w:tc>
        <w:tc>
          <w:tcPr>
            <w:tcW w:w="2100" w:type="dxa"/>
            <w:vAlign w:val="center"/>
          </w:tcPr>
          <w:p w14:paraId="4F9A908D">
            <w:pPr>
              <w:spacing w:line="360" w:lineRule="auto"/>
              <w:jc w:val="left"/>
              <w:rPr>
                <w:rFonts w:ascii="仿宋" w:hAnsi="仿宋" w:eastAsia="仿宋" w:cs="仿宋"/>
              </w:rPr>
            </w:pPr>
            <w:r>
              <w:rPr>
                <w:rFonts w:hint="eastAsia" w:ascii="仿宋" w:hAnsi="仿宋" w:eastAsia="仿宋" w:cs="仿宋"/>
              </w:rPr>
              <w:t>商务要求</w:t>
            </w:r>
            <w:r>
              <w:rPr>
                <w:rFonts w:hint="eastAsia" w:ascii="仿宋" w:hAnsi="仿宋" w:eastAsia="仿宋" w:cs="仿宋"/>
                <w:lang w:val="en-US" w:eastAsia="zh-CN"/>
              </w:rPr>
              <w:t>响应</w:t>
            </w:r>
            <w:r>
              <w:rPr>
                <w:rFonts w:hint="eastAsia" w:ascii="仿宋" w:hAnsi="仿宋" w:eastAsia="仿宋" w:cs="仿宋"/>
              </w:rPr>
              <w:t>内容的审核</w:t>
            </w:r>
          </w:p>
          <w:p w14:paraId="27DDCFAC">
            <w:pPr>
              <w:spacing w:line="360" w:lineRule="auto"/>
              <w:jc w:val="left"/>
              <w:rPr>
                <w:rFonts w:ascii="仿宋" w:hAnsi="仿宋" w:eastAsia="仿宋" w:cs="仿宋"/>
              </w:rPr>
            </w:pPr>
          </w:p>
        </w:tc>
        <w:tc>
          <w:tcPr>
            <w:tcW w:w="4508" w:type="dxa"/>
          </w:tcPr>
          <w:p w14:paraId="17E6B218">
            <w:pPr>
              <w:spacing w:line="360" w:lineRule="auto"/>
              <w:rPr>
                <w:rFonts w:ascii="仿宋" w:hAnsi="仿宋" w:eastAsia="仿宋" w:cs="仿宋"/>
              </w:rPr>
            </w:pPr>
            <w:r>
              <w:rPr>
                <w:rFonts w:hint="eastAsia" w:ascii="仿宋" w:hAnsi="仿宋" w:eastAsia="仿宋" w:cs="仿宋"/>
              </w:rPr>
              <w:t>商务要求</w:t>
            </w:r>
            <w:r>
              <w:rPr>
                <w:rFonts w:hint="eastAsia" w:ascii="仿宋" w:hAnsi="仿宋" w:eastAsia="仿宋" w:cs="仿宋"/>
                <w:lang w:val="en-US" w:eastAsia="zh-CN"/>
              </w:rPr>
              <w:t>响应</w:t>
            </w:r>
            <w:r>
              <w:rPr>
                <w:rFonts w:hint="eastAsia" w:ascii="仿宋" w:hAnsi="仿宋" w:eastAsia="仿宋" w:cs="仿宋"/>
              </w:rPr>
              <w:t>内容的审核：</w:t>
            </w:r>
          </w:p>
          <w:p w14:paraId="7DD92E87">
            <w:pPr>
              <w:spacing w:line="360" w:lineRule="auto"/>
              <w:rPr>
                <w:rFonts w:ascii="仿宋" w:hAnsi="仿宋" w:eastAsia="仿宋" w:cs="仿宋"/>
              </w:rPr>
            </w:pPr>
            <w:r>
              <w:rPr>
                <w:rFonts w:hint="eastAsia" w:ascii="仿宋" w:hAnsi="仿宋" w:eastAsia="仿宋" w:cs="仿宋"/>
              </w:rPr>
              <w:t>对照本文件项目合同履约期限、质量等和响应文件的响应情况进行审查，没有做出实质性响应的做无效响应处理。</w:t>
            </w:r>
          </w:p>
        </w:tc>
      </w:tr>
      <w:tr w14:paraId="44F6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01" w:type="dxa"/>
            <w:vAlign w:val="center"/>
          </w:tcPr>
          <w:p w14:paraId="75FC8F87">
            <w:pPr>
              <w:spacing w:line="360" w:lineRule="auto"/>
              <w:jc w:val="center"/>
              <w:rPr>
                <w:rFonts w:ascii="仿宋" w:hAnsi="仿宋" w:eastAsia="仿宋" w:cs="仿宋"/>
              </w:rPr>
            </w:pPr>
            <w:r>
              <w:rPr>
                <w:rFonts w:hint="eastAsia" w:ascii="仿宋" w:hAnsi="仿宋" w:eastAsia="仿宋" w:cs="仿宋"/>
              </w:rPr>
              <w:t>5</w:t>
            </w:r>
          </w:p>
        </w:tc>
        <w:tc>
          <w:tcPr>
            <w:tcW w:w="1185" w:type="dxa"/>
            <w:vAlign w:val="center"/>
          </w:tcPr>
          <w:p w14:paraId="6964C0E5">
            <w:pPr>
              <w:spacing w:line="360" w:lineRule="auto"/>
              <w:jc w:val="center"/>
              <w:rPr>
                <w:rFonts w:ascii="仿宋" w:hAnsi="仿宋" w:eastAsia="仿宋" w:cs="仿宋"/>
              </w:rPr>
            </w:pPr>
            <w:r>
              <w:rPr>
                <w:rFonts w:hint="eastAsia" w:ascii="仿宋" w:hAnsi="仿宋" w:eastAsia="仿宋" w:cs="仿宋"/>
              </w:rPr>
              <w:t>技术</w:t>
            </w:r>
          </w:p>
        </w:tc>
        <w:tc>
          <w:tcPr>
            <w:tcW w:w="2100" w:type="dxa"/>
            <w:vAlign w:val="center"/>
          </w:tcPr>
          <w:p w14:paraId="5D901CD2">
            <w:pPr>
              <w:spacing w:line="360" w:lineRule="auto"/>
              <w:jc w:val="center"/>
              <w:rPr>
                <w:rFonts w:ascii="仿宋" w:hAnsi="仿宋" w:eastAsia="仿宋" w:cs="仿宋"/>
              </w:rPr>
            </w:pPr>
            <w:r>
              <w:rPr>
                <w:rFonts w:hint="eastAsia" w:ascii="仿宋" w:hAnsi="仿宋" w:eastAsia="仿宋" w:cs="仿宋"/>
              </w:rPr>
              <w:t>对供应商提供的技术规范偏离表的完整性、符合性进行审查</w:t>
            </w:r>
          </w:p>
        </w:tc>
        <w:tc>
          <w:tcPr>
            <w:tcW w:w="4508" w:type="dxa"/>
          </w:tcPr>
          <w:p w14:paraId="31AE3C94">
            <w:pPr>
              <w:spacing w:line="360" w:lineRule="auto"/>
              <w:rPr>
                <w:rFonts w:ascii="仿宋" w:hAnsi="仿宋" w:eastAsia="仿宋" w:cs="仿宋"/>
              </w:rPr>
            </w:pPr>
            <w:r>
              <w:rPr>
                <w:rFonts w:hint="eastAsia" w:ascii="仿宋" w:hAnsi="仿宋" w:eastAsia="仿宋" w:cs="仿宋"/>
              </w:rPr>
              <w:t>1.提供技术规范偏离表；</w:t>
            </w:r>
          </w:p>
          <w:p w14:paraId="4C3117E3">
            <w:pPr>
              <w:spacing w:line="360" w:lineRule="auto"/>
              <w:rPr>
                <w:rFonts w:ascii="仿宋" w:hAnsi="仿宋" w:eastAsia="仿宋" w:cs="仿宋"/>
              </w:rPr>
            </w:pPr>
            <w:r>
              <w:rPr>
                <w:rFonts w:hint="eastAsia" w:ascii="仿宋" w:hAnsi="仿宋" w:eastAsia="仿宋" w:cs="仿宋"/>
              </w:rPr>
              <w:t>2.技术规范偏离表须内容完整、签署符合要求。否则，响应无效。</w:t>
            </w:r>
          </w:p>
          <w:p w14:paraId="6828BA8F">
            <w:pPr>
              <w:spacing w:line="360" w:lineRule="auto"/>
              <w:rPr>
                <w:rFonts w:ascii="仿宋" w:hAnsi="仿宋" w:eastAsia="仿宋" w:cs="仿宋"/>
              </w:rPr>
            </w:pPr>
            <w:r>
              <w:rPr>
                <w:rFonts w:hint="eastAsia" w:ascii="仿宋" w:hAnsi="仿宋" w:eastAsia="仿宋" w:cs="仿宋"/>
              </w:rPr>
              <w:t>3.对照本文件第</w:t>
            </w:r>
            <w:r>
              <w:rPr>
                <w:rFonts w:hint="eastAsia" w:ascii="仿宋" w:hAnsi="仿宋" w:eastAsia="仿宋" w:cs="仿宋"/>
                <w:lang w:val="en-US" w:eastAsia="zh-CN"/>
              </w:rPr>
              <w:t>四</w:t>
            </w:r>
            <w:r>
              <w:rPr>
                <w:rFonts w:hint="eastAsia" w:ascii="仿宋" w:hAnsi="仿宋" w:eastAsia="仿宋" w:cs="仿宋"/>
              </w:rPr>
              <w:t>部分“技术需求”中的内容和响应文件的响应情况进行审查；磋商小组共同认定属于响应文件存在重大偏离的、没有做出实质性、符合性响应的做无效投标处理。</w:t>
            </w:r>
          </w:p>
        </w:tc>
      </w:tr>
    </w:tbl>
    <w:p w14:paraId="1C221ED2">
      <w:pPr>
        <w:pStyle w:val="34"/>
        <w:rPr>
          <w:rFonts w:ascii="仿宋" w:hAnsi="仿宋" w:eastAsia="仿宋" w:cs="仿宋"/>
          <w:color w:val="000000"/>
          <w:sz w:val="24"/>
        </w:rPr>
      </w:pPr>
    </w:p>
    <w:p w14:paraId="64B427C4">
      <w:pPr>
        <w:pStyle w:val="34"/>
        <w:rPr>
          <w:rFonts w:ascii="仿宋" w:hAnsi="仿宋" w:eastAsia="仿宋" w:cs="仿宋"/>
          <w:color w:val="000000"/>
          <w:sz w:val="24"/>
          <w:szCs w:val="24"/>
        </w:rPr>
      </w:pPr>
      <w:r>
        <w:rPr>
          <w:rFonts w:hint="eastAsia" w:ascii="仿宋" w:hAnsi="仿宋" w:eastAsia="仿宋" w:cs="仿宋"/>
          <w:color w:val="000000"/>
          <w:sz w:val="24"/>
          <w:szCs w:val="24"/>
        </w:rPr>
        <w:t>说明：</w:t>
      </w:r>
    </w:p>
    <w:p w14:paraId="4ED0C8BE">
      <w:pPr>
        <w:pStyle w:val="34"/>
        <w:rPr>
          <w:rFonts w:ascii="仿宋" w:hAnsi="仿宋" w:eastAsia="仿宋" w:cs="仿宋"/>
          <w:color w:val="000000"/>
          <w:sz w:val="24"/>
          <w:szCs w:val="24"/>
        </w:rPr>
      </w:pPr>
      <w:r>
        <w:rPr>
          <w:rFonts w:hint="eastAsia" w:ascii="仿宋" w:hAnsi="仿宋" w:eastAsia="仿宋" w:cs="仿宋"/>
          <w:color w:val="000000"/>
          <w:sz w:val="24"/>
          <w:szCs w:val="24"/>
        </w:rPr>
        <w:t>1.资格性、符合性审查的内容，经磋商小组共同认定没有做出实质性响应的，将导致响应无效。</w:t>
      </w:r>
    </w:p>
    <w:p w14:paraId="1A4B81B3">
      <w:pPr>
        <w:pStyle w:val="34"/>
        <w:rPr>
          <w:rFonts w:hint="eastAsia" w:ascii="仿宋" w:hAnsi="仿宋" w:eastAsia="仿宋" w:cs="仿宋"/>
          <w:color w:val="000000"/>
          <w:sz w:val="24"/>
          <w:lang w:val="en-US" w:eastAsia="zh-CN"/>
        </w:rPr>
      </w:pPr>
      <w:r>
        <w:rPr>
          <w:rFonts w:hint="eastAsia" w:ascii="仿宋" w:hAnsi="仿宋" w:eastAsia="仿宋" w:cs="仿宋"/>
          <w:color w:val="000000"/>
          <w:sz w:val="24"/>
          <w:szCs w:val="24"/>
        </w:rPr>
        <w:t>2.响应文件中项目名称、项目编号等存在前后不一致情形的，可按照磋商文件要求做出澄清；如响应文件中所涉及内容全部与磋商文件不一致，按无效响应处理</w:t>
      </w:r>
      <w:r>
        <w:rPr>
          <w:rFonts w:hint="eastAsia" w:ascii="仿宋" w:hAnsi="仿宋" w:eastAsia="仿宋" w:cs="仿宋"/>
          <w:color w:val="000000"/>
          <w:sz w:val="24"/>
          <w:szCs w:val="24"/>
          <w:lang w:eastAsia="zh-CN"/>
        </w:rPr>
        <w:t>。</w:t>
      </w:r>
    </w:p>
    <w:p w14:paraId="4762DBC3">
      <w:pPr>
        <w:pStyle w:val="34"/>
        <w:rPr>
          <w:rFonts w:ascii="仿宋" w:hAnsi="仿宋" w:eastAsia="仿宋" w:cs="仿宋"/>
          <w:color w:val="000000"/>
          <w:sz w:val="24"/>
        </w:rPr>
      </w:pPr>
    </w:p>
    <w:p w14:paraId="37C3EA5C">
      <w:pPr>
        <w:pStyle w:val="34"/>
        <w:rPr>
          <w:rFonts w:ascii="仿宋" w:hAnsi="仿宋" w:eastAsia="仿宋" w:cs="仿宋"/>
          <w:color w:val="000000"/>
          <w:sz w:val="24"/>
        </w:rPr>
        <w:sectPr>
          <w:pgSz w:w="11906" w:h="16838"/>
          <w:pgMar w:top="1440" w:right="1486" w:bottom="1440" w:left="1800" w:header="851" w:footer="992" w:gutter="0"/>
          <w:pgNumType w:fmt="decimal"/>
          <w:cols w:space="720" w:num="1"/>
          <w:titlePg/>
          <w:docGrid w:type="lines" w:linePitch="312" w:charSpace="0"/>
        </w:sectPr>
      </w:pPr>
    </w:p>
    <w:p w14:paraId="0AAEB8C5">
      <w:pPr>
        <w:pStyle w:val="5"/>
        <w:rPr>
          <w:rFonts w:ascii="仿宋" w:hAnsi="仿宋" w:eastAsia="仿宋" w:cs="仿宋"/>
          <w:sz w:val="24"/>
          <w:szCs w:val="22"/>
        </w:rPr>
      </w:pPr>
      <w:r>
        <w:rPr>
          <w:rFonts w:hint="eastAsia" w:ascii="仿宋" w:hAnsi="仿宋" w:eastAsia="仿宋" w:cs="仿宋"/>
          <w:sz w:val="24"/>
          <w:szCs w:val="22"/>
        </w:rPr>
        <w:t>评标办法前附表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72"/>
        <w:gridCol w:w="1581"/>
        <w:gridCol w:w="4678"/>
        <w:gridCol w:w="1491"/>
      </w:tblGrid>
      <w:tr w14:paraId="57BA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72" w:type="dxa"/>
            <w:shd w:val="clear" w:color="auto" w:fill="auto"/>
            <w:vAlign w:val="center"/>
          </w:tcPr>
          <w:p w14:paraId="506F56F3">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581" w:type="dxa"/>
            <w:shd w:val="clear" w:color="auto" w:fill="auto"/>
            <w:vAlign w:val="center"/>
          </w:tcPr>
          <w:p w14:paraId="247F95CB">
            <w:pPr>
              <w:keepNext w:val="0"/>
              <w:keepLines w:val="0"/>
              <w:widowControl/>
              <w:suppressLineNumbers w:val="0"/>
              <w:jc w:val="center"/>
              <w:rPr>
                <w:rFonts w:hint="eastAsia" w:ascii="仿宋" w:hAnsi="仿宋" w:eastAsia="仿宋" w:cs="仿宋"/>
                <w:sz w:val="24"/>
                <w:szCs w:val="24"/>
                <w:highlight w:val="none"/>
                <w:vertAlign w:val="baseline"/>
              </w:rPr>
            </w:pPr>
            <w:r>
              <w:rPr>
                <w:rFonts w:hint="eastAsia" w:ascii="仿宋" w:hAnsi="仿宋" w:eastAsia="仿宋" w:cs="仿宋"/>
                <w:color w:val="000000"/>
                <w:kern w:val="0"/>
                <w:sz w:val="24"/>
                <w:szCs w:val="24"/>
                <w:highlight w:val="none"/>
                <w:lang w:val="en-US" w:eastAsia="zh-CN" w:bidi="ar"/>
              </w:rPr>
              <w:t>评审因素</w:t>
            </w:r>
          </w:p>
        </w:tc>
        <w:tc>
          <w:tcPr>
            <w:tcW w:w="4678" w:type="dxa"/>
            <w:shd w:val="clear" w:color="auto" w:fill="auto"/>
            <w:vAlign w:val="center"/>
          </w:tcPr>
          <w:p w14:paraId="088D701D">
            <w:pPr>
              <w:keepNext w:val="0"/>
              <w:keepLines w:val="0"/>
              <w:widowControl/>
              <w:suppressLineNumbers w:val="0"/>
              <w:jc w:val="center"/>
              <w:rPr>
                <w:rFonts w:hint="eastAsia" w:ascii="仿宋" w:hAnsi="仿宋" w:eastAsia="仿宋" w:cs="仿宋"/>
                <w:sz w:val="24"/>
                <w:szCs w:val="24"/>
                <w:highlight w:val="none"/>
                <w:vertAlign w:val="baseline"/>
              </w:rPr>
            </w:pPr>
            <w:r>
              <w:rPr>
                <w:rFonts w:hint="eastAsia" w:ascii="仿宋" w:hAnsi="仿宋" w:eastAsia="仿宋" w:cs="仿宋"/>
                <w:color w:val="000000"/>
                <w:kern w:val="0"/>
                <w:sz w:val="24"/>
                <w:szCs w:val="24"/>
                <w:highlight w:val="none"/>
                <w:lang w:val="en-US" w:eastAsia="zh-CN" w:bidi="ar"/>
              </w:rPr>
              <w:t>评分标准</w:t>
            </w:r>
          </w:p>
        </w:tc>
        <w:tc>
          <w:tcPr>
            <w:tcW w:w="1491" w:type="dxa"/>
            <w:shd w:val="clear" w:color="auto" w:fill="auto"/>
            <w:vAlign w:val="center"/>
          </w:tcPr>
          <w:p w14:paraId="123452CE">
            <w:pPr>
              <w:keepNext w:val="0"/>
              <w:keepLines w:val="0"/>
              <w:widowControl/>
              <w:suppressLineNumbers w:val="0"/>
              <w:jc w:val="center"/>
              <w:rPr>
                <w:rFonts w:hint="eastAsia" w:ascii="仿宋" w:hAnsi="仿宋" w:eastAsia="仿宋" w:cs="仿宋"/>
                <w:sz w:val="24"/>
                <w:szCs w:val="24"/>
                <w:highlight w:val="none"/>
                <w:vertAlign w:val="baseline"/>
              </w:rPr>
            </w:pPr>
            <w:r>
              <w:rPr>
                <w:rFonts w:hint="eastAsia" w:ascii="仿宋" w:hAnsi="仿宋" w:eastAsia="仿宋" w:cs="仿宋"/>
                <w:color w:val="000000"/>
                <w:kern w:val="0"/>
                <w:sz w:val="24"/>
                <w:szCs w:val="24"/>
                <w:highlight w:val="none"/>
                <w:lang w:val="en-US" w:eastAsia="zh-CN" w:bidi="ar"/>
              </w:rPr>
              <w:t>分值</w:t>
            </w:r>
          </w:p>
        </w:tc>
      </w:tr>
      <w:tr w14:paraId="28A2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522" w:type="dxa"/>
            <w:gridSpan w:val="4"/>
            <w:shd w:val="clear" w:color="auto" w:fill="auto"/>
            <w:vAlign w:val="center"/>
          </w:tcPr>
          <w:p w14:paraId="1A616260">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商务评分（18分）</w:t>
            </w:r>
          </w:p>
        </w:tc>
      </w:tr>
      <w:tr w14:paraId="56A2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72" w:type="dxa"/>
            <w:shd w:val="clear" w:color="auto" w:fill="auto"/>
            <w:vAlign w:val="center"/>
          </w:tcPr>
          <w:p w14:paraId="25A0B6AD">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p>
        </w:tc>
        <w:tc>
          <w:tcPr>
            <w:tcW w:w="1581" w:type="dxa"/>
            <w:shd w:val="clear" w:color="auto" w:fill="auto"/>
            <w:vAlign w:val="center"/>
          </w:tcPr>
          <w:p w14:paraId="56914C0D">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lang w:val="en-US" w:eastAsia="zh-CN"/>
              </w:rPr>
              <w:t>企业实力</w:t>
            </w:r>
          </w:p>
        </w:tc>
        <w:tc>
          <w:tcPr>
            <w:tcW w:w="4678" w:type="dxa"/>
            <w:shd w:val="clear" w:color="auto" w:fill="auto"/>
          </w:tcPr>
          <w:p w14:paraId="366BC736">
            <w:pPr>
              <w:keepNext w:val="0"/>
              <w:keepLines w:val="0"/>
              <w:widowControl/>
              <w:suppressLineNumbers w:val="0"/>
              <w:jc w:val="left"/>
              <w:rPr>
                <w:rFonts w:hint="default" w:ascii="仿宋" w:hAnsi="仿宋" w:eastAsia="仿宋" w:cs="仿宋"/>
                <w:sz w:val="24"/>
                <w:szCs w:val="24"/>
                <w:highlight w:val="none"/>
                <w:vertAlign w:val="baseline"/>
                <w:lang w:val="en-US"/>
              </w:rPr>
            </w:pPr>
            <w:r>
              <w:rPr>
                <w:rFonts w:hint="eastAsia" w:ascii="仿宋" w:hAnsi="仿宋" w:eastAsia="仿宋" w:cs="仿宋"/>
                <w:lang w:val="en-US" w:eastAsia="zh-CN"/>
              </w:rPr>
              <w:t>供应商具有信息技术服务运行维护标准符合性证书（ITSS）三级及以上、信息技术服务管理体系认证证书的，每提供一个证书复印件得2分，未提供不得分。</w:t>
            </w:r>
          </w:p>
        </w:tc>
        <w:tc>
          <w:tcPr>
            <w:tcW w:w="1491" w:type="dxa"/>
            <w:shd w:val="clear" w:color="auto" w:fill="auto"/>
            <w:vAlign w:val="center"/>
          </w:tcPr>
          <w:p w14:paraId="028838FD">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w:t>
            </w:r>
          </w:p>
        </w:tc>
      </w:tr>
      <w:tr w14:paraId="468D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72" w:type="dxa"/>
            <w:shd w:val="clear" w:color="auto" w:fill="auto"/>
            <w:vAlign w:val="center"/>
          </w:tcPr>
          <w:p w14:paraId="08AAE0E2">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1581" w:type="dxa"/>
            <w:shd w:val="clear" w:color="auto" w:fill="auto"/>
            <w:vAlign w:val="center"/>
          </w:tcPr>
          <w:p w14:paraId="1271306C">
            <w:pPr>
              <w:spacing w:line="360" w:lineRule="auto"/>
              <w:jc w:val="center"/>
              <w:rPr>
                <w:rFonts w:hint="eastAsia" w:ascii="仿宋" w:hAnsi="仿宋" w:eastAsia="仿宋" w:cs="仿宋"/>
                <w:sz w:val="24"/>
                <w:szCs w:val="24"/>
                <w:highlight w:val="none"/>
                <w:vertAlign w:val="baseline"/>
              </w:rPr>
            </w:pPr>
            <w:r>
              <w:rPr>
                <w:rFonts w:hint="eastAsia" w:ascii="仿宋" w:hAnsi="仿宋" w:eastAsia="仿宋" w:cs="仿宋"/>
                <w:lang w:val="en-US" w:eastAsia="zh-CN"/>
              </w:rPr>
              <w:t>项目人员技术能力</w:t>
            </w:r>
          </w:p>
        </w:tc>
        <w:tc>
          <w:tcPr>
            <w:tcW w:w="4678" w:type="dxa"/>
            <w:shd w:val="clear" w:color="auto" w:fill="auto"/>
          </w:tcPr>
          <w:p w14:paraId="4878E064">
            <w:pPr>
              <w:keepNext w:val="0"/>
              <w:keepLines w:val="0"/>
              <w:widowControl/>
              <w:suppressLineNumbers w:val="0"/>
              <w:jc w:val="left"/>
              <w:rPr>
                <w:rFonts w:hint="eastAsia" w:ascii="仿宋" w:hAnsi="仿宋" w:eastAsia="仿宋" w:cs="仿宋"/>
                <w:lang w:val="en-US" w:eastAsia="zh-CN"/>
              </w:rPr>
            </w:pPr>
            <w:r>
              <w:rPr>
                <w:rFonts w:hint="eastAsia" w:ascii="仿宋" w:hAnsi="仿宋" w:eastAsia="仿宋" w:cs="仿宋"/>
                <w:lang w:val="en-US" w:eastAsia="zh-CN"/>
              </w:rPr>
              <w:t xml:space="preserve">供应商拟投入本项目专业化水平、服务能力 </w:t>
            </w:r>
          </w:p>
          <w:p w14:paraId="0BF2AECD">
            <w:pPr>
              <w:keepNext w:val="0"/>
              <w:keepLines w:val="0"/>
              <w:widowControl/>
              <w:suppressLineNumbers w:val="0"/>
              <w:jc w:val="left"/>
              <w:rPr>
                <w:rFonts w:hint="eastAsia" w:ascii="仿宋" w:hAnsi="仿宋" w:eastAsia="仿宋" w:cs="仿宋"/>
                <w:lang w:val="en-US" w:eastAsia="zh-CN"/>
              </w:rPr>
            </w:pPr>
            <w:r>
              <w:rPr>
                <w:rFonts w:hint="eastAsia" w:ascii="仿宋" w:hAnsi="仿宋" w:eastAsia="仿宋" w:cs="仿宋"/>
                <w:lang w:val="en-US" w:eastAsia="zh-CN"/>
              </w:rPr>
              <w:t xml:space="preserve">（1）拟派本项目项目负责人具有信息系统项目管理师，得2分，未提供不得分； </w:t>
            </w:r>
          </w:p>
          <w:p w14:paraId="6FB02AEA">
            <w:pPr>
              <w:keepNext w:val="0"/>
              <w:keepLines w:val="0"/>
              <w:widowControl/>
              <w:suppressLineNumbers w:val="0"/>
              <w:jc w:val="left"/>
              <w:rPr>
                <w:rFonts w:hint="eastAsia" w:ascii="仿宋" w:hAnsi="仿宋" w:eastAsia="仿宋" w:cs="仿宋"/>
                <w:lang w:val="en-US" w:eastAsia="zh-CN"/>
              </w:rPr>
            </w:pPr>
            <w:r>
              <w:rPr>
                <w:rFonts w:hint="eastAsia" w:ascii="仿宋" w:hAnsi="仿宋" w:eastAsia="仿宋" w:cs="仿宋"/>
                <w:lang w:val="en-US" w:eastAsia="zh-CN"/>
              </w:rPr>
              <w:t xml:space="preserve">（2）项目团队成员：拟派本项目工作的技术人员具备以下证书，每提供一人证件得1分，最高得6分，未提供不得分； </w:t>
            </w:r>
          </w:p>
          <w:p w14:paraId="1073C6FD">
            <w:pPr>
              <w:keepNext w:val="0"/>
              <w:keepLines w:val="0"/>
              <w:widowControl/>
              <w:suppressLineNumbers w:val="0"/>
              <w:jc w:val="left"/>
              <w:rPr>
                <w:rFonts w:hint="eastAsia" w:ascii="仿宋" w:hAnsi="仿宋" w:eastAsia="仿宋" w:cs="仿宋"/>
                <w:lang w:val="en-US" w:eastAsia="zh-CN"/>
              </w:rPr>
            </w:pPr>
            <w:r>
              <w:rPr>
                <w:rFonts w:hint="eastAsia" w:ascii="仿宋" w:hAnsi="仿宋" w:eastAsia="仿宋" w:cs="仿宋"/>
                <w:lang w:val="en-US" w:eastAsia="zh-CN"/>
              </w:rPr>
              <w:t>①系统集成项目管理工程师；②网络工程</w:t>
            </w:r>
          </w:p>
          <w:p w14:paraId="604F2834">
            <w:pPr>
              <w:keepNext w:val="0"/>
              <w:keepLines w:val="0"/>
              <w:widowControl/>
              <w:suppressLineNumbers w:val="0"/>
              <w:jc w:val="left"/>
              <w:rPr>
                <w:rFonts w:hint="eastAsia" w:ascii="仿宋" w:hAnsi="仿宋" w:eastAsia="仿宋" w:cs="仿宋"/>
                <w:lang w:val="en-US" w:eastAsia="zh-CN"/>
              </w:rPr>
            </w:pPr>
            <w:r>
              <w:rPr>
                <w:rFonts w:hint="eastAsia" w:ascii="仿宋" w:hAnsi="仿宋" w:eastAsia="仿宋" w:cs="仿宋"/>
                <w:lang w:val="en-US" w:eastAsia="zh-CN"/>
              </w:rPr>
              <w:t>师；③信息安全工程师；④软件设计师；</w:t>
            </w:r>
          </w:p>
          <w:p w14:paraId="6F5B5D19">
            <w:pPr>
              <w:keepNext w:val="0"/>
              <w:keepLines w:val="0"/>
              <w:widowControl/>
              <w:suppressLineNumbers w:val="0"/>
              <w:jc w:val="left"/>
              <w:rPr>
                <w:rFonts w:hint="eastAsia" w:ascii="仿宋" w:hAnsi="仿宋" w:eastAsia="仿宋" w:cs="仿宋"/>
                <w:lang w:val="en-US" w:eastAsia="zh-CN"/>
              </w:rPr>
            </w:pPr>
            <w:r>
              <w:rPr>
                <w:rFonts w:hint="eastAsia" w:ascii="仿宋" w:hAnsi="仿宋" w:eastAsia="仿宋" w:cs="仿宋"/>
                <w:lang w:val="en-US" w:eastAsia="zh-CN"/>
              </w:rPr>
              <w:t>⑤系统分析师；⑥网络规划设计师。</w:t>
            </w:r>
          </w:p>
          <w:p w14:paraId="65DF21D4">
            <w:pPr>
              <w:keepNext w:val="0"/>
              <w:keepLines w:val="0"/>
              <w:widowControl/>
              <w:suppressLineNumbers w:val="0"/>
              <w:jc w:val="left"/>
              <w:rPr>
                <w:rFonts w:hint="eastAsia" w:ascii="仿宋" w:hAnsi="仿宋" w:eastAsia="仿宋" w:cs="仿宋"/>
                <w:sz w:val="24"/>
                <w:szCs w:val="24"/>
                <w:highlight w:val="none"/>
                <w:vertAlign w:val="baseline"/>
              </w:rPr>
            </w:pPr>
            <w:r>
              <w:rPr>
                <w:rFonts w:hint="eastAsia" w:ascii="仿宋" w:hAnsi="仿宋" w:eastAsia="仿宋" w:cs="仿宋"/>
                <w:lang w:val="en-US" w:eastAsia="zh-CN"/>
              </w:rPr>
              <w:t>一人提供多证算一项，响应文件中应附项目组成人员的职称证和社保证明的复印件，否则不予计分。</w:t>
            </w:r>
          </w:p>
        </w:tc>
        <w:tc>
          <w:tcPr>
            <w:tcW w:w="1491" w:type="dxa"/>
            <w:shd w:val="clear" w:color="auto" w:fill="auto"/>
            <w:vAlign w:val="center"/>
          </w:tcPr>
          <w:p w14:paraId="56B5C41A">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8</w:t>
            </w:r>
          </w:p>
        </w:tc>
      </w:tr>
      <w:tr w14:paraId="31BC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72" w:type="dxa"/>
            <w:shd w:val="clear" w:color="auto" w:fill="auto"/>
            <w:vAlign w:val="center"/>
          </w:tcPr>
          <w:p w14:paraId="4AEAFE6F">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w:t>
            </w:r>
          </w:p>
        </w:tc>
        <w:tc>
          <w:tcPr>
            <w:tcW w:w="1581" w:type="dxa"/>
            <w:shd w:val="clear" w:color="auto" w:fill="auto"/>
            <w:vAlign w:val="center"/>
          </w:tcPr>
          <w:p w14:paraId="0A85E592">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类似业绩</w:t>
            </w:r>
          </w:p>
          <w:p w14:paraId="6796B504">
            <w:pPr>
              <w:jc w:val="center"/>
              <w:rPr>
                <w:rFonts w:hint="eastAsia" w:ascii="仿宋" w:hAnsi="仿宋" w:eastAsia="仿宋" w:cs="仿宋"/>
                <w:sz w:val="24"/>
                <w:szCs w:val="24"/>
                <w:highlight w:val="none"/>
                <w:vertAlign w:val="baseline"/>
              </w:rPr>
            </w:pPr>
          </w:p>
        </w:tc>
        <w:tc>
          <w:tcPr>
            <w:tcW w:w="4678" w:type="dxa"/>
            <w:shd w:val="clear" w:color="auto" w:fill="auto"/>
          </w:tcPr>
          <w:p w14:paraId="143F4F53">
            <w:pPr>
              <w:keepNext w:val="0"/>
              <w:keepLines w:val="0"/>
              <w:widowControl/>
              <w:suppressLineNumbers w:val="0"/>
              <w:jc w:val="left"/>
              <w:rPr>
                <w:rFonts w:hint="eastAsia" w:ascii="仿宋" w:hAnsi="仿宋" w:eastAsia="仿宋" w:cs="仿宋"/>
                <w:sz w:val="24"/>
                <w:szCs w:val="24"/>
                <w:highlight w:val="none"/>
                <w:vertAlign w:val="baseline"/>
              </w:rPr>
            </w:pPr>
            <w:r>
              <w:rPr>
                <w:rFonts w:hint="eastAsia" w:ascii="仿宋" w:hAnsi="仿宋" w:eastAsia="仿宋" w:cs="仿宋"/>
                <w:lang w:val="en-US" w:eastAsia="zh-CN"/>
              </w:rPr>
              <w:t>近三年（2022年10月01日至今（以合同签订时间为准）供应商完成类似业绩案例（以合同和成交通知书复印件为准并加盖公章）每提供一个得2分，最高得6分。</w:t>
            </w:r>
          </w:p>
        </w:tc>
        <w:tc>
          <w:tcPr>
            <w:tcW w:w="1491" w:type="dxa"/>
            <w:shd w:val="clear" w:color="auto" w:fill="auto"/>
            <w:vAlign w:val="center"/>
          </w:tcPr>
          <w:p w14:paraId="22F612B2">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w:t>
            </w:r>
          </w:p>
        </w:tc>
      </w:tr>
      <w:tr w14:paraId="7346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522" w:type="dxa"/>
            <w:gridSpan w:val="4"/>
            <w:shd w:val="clear" w:color="auto" w:fill="auto"/>
            <w:vAlign w:val="center"/>
          </w:tcPr>
          <w:p w14:paraId="12718DDD">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技术评分（72分）</w:t>
            </w:r>
          </w:p>
        </w:tc>
      </w:tr>
      <w:tr w14:paraId="3766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72" w:type="dxa"/>
            <w:shd w:val="clear" w:color="auto" w:fill="auto"/>
            <w:vAlign w:val="center"/>
          </w:tcPr>
          <w:p w14:paraId="06405F12">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w:t>
            </w:r>
          </w:p>
        </w:tc>
        <w:tc>
          <w:tcPr>
            <w:tcW w:w="1581" w:type="dxa"/>
            <w:shd w:val="clear" w:color="auto" w:fill="auto"/>
            <w:vAlign w:val="center"/>
          </w:tcPr>
          <w:p w14:paraId="4D11C8FE">
            <w:pPr>
              <w:spacing w:line="360" w:lineRule="auto"/>
              <w:jc w:val="center"/>
              <w:rPr>
                <w:rFonts w:hint="eastAsia" w:ascii="仿宋" w:hAnsi="仿宋" w:eastAsia="仿宋" w:cs="仿宋"/>
                <w:sz w:val="24"/>
                <w:szCs w:val="24"/>
                <w:highlight w:val="none"/>
                <w:vertAlign w:val="baseline"/>
              </w:rPr>
            </w:pPr>
            <w:r>
              <w:rPr>
                <w:rFonts w:hint="eastAsia" w:ascii="仿宋" w:hAnsi="仿宋" w:eastAsia="仿宋" w:cs="仿宋"/>
                <w:lang w:val="en-US" w:eastAsia="zh-CN"/>
              </w:rPr>
              <w:t>技术</w:t>
            </w:r>
          </w:p>
        </w:tc>
        <w:tc>
          <w:tcPr>
            <w:tcW w:w="4678" w:type="dxa"/>
            <w:shd w:val="clear" w:color="auto" w:fill="auto"/>
          </w:tcPr>
          <w:p w14:paraId="08421988">
            <w:p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 xml:space="preserve">项目需求理解 0-10分 </w:t>
            </w:r>
          </w:p>
          <w:p w14:paraId="059C23E2">
            <w:p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根据提供的对本项目需求理解进行评价，包括但不限于：①对本项目的业务需求和技术要求理解；②对重点、难点把握等内容。</w:t>
            </w:r>
          </w:p>
          <w:p w14:paraId="2E79B719">
            <w:p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每提供一点且内容全面得 5 分，内容缺失或有缺陷得 3 分，共10分，未提供不得分。</w:t>
            </w:r>
          </w:p>
          <w:p w14:paraId="126C32DA">
            <w:pPr>
              <w:spacing w:line="360" w:lineRule="auto"/>
              <w:jc w:val="left"/>
              <w:rPr>
                <w:rFonts w:hint="eastAsia"/>
                <w:highlight w:val="none"/>
              </w:rPr>
            </w:pPr>
            <w:r>
              <w:rPr>
                <w:rFonts w:hint="eastAsia" w:ascii="仿宋" w:hAnsi="仿宋" w:eastAsia="仿宋" w:cs="仿宋"/>
                <w:lang w:val="en-US" w:eastAsia="zh-CN"/>
              </w:rPr>
              <w:t>（缺陷是指语言错误、存在歧义；分析内容描述不完整、过于简单；凭空捏造、与本项目无关等。）</w:t>
            </w:r>
          </w:p>
        </w:tc>
        <w:tc>
          <w:tcPr>
            <w:tcW w:w="1491" w:type="dxa"/>
            <w:shd w:val="clear" w:color="auto" w:fill="auto"/>
            <w:vAlign w:val="center"/>
          </w:tcPr>
          <w:p w14:paraId="4E047B1A">
            <w:pPr>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10</w:t>
            </w:r>
          </w:p>
        </w:tc>
      </w:tr>
      <w:tr w14:paraId="62E4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72" w:type="dxa"/>
            <w:shd w:val="clear" w:color="auto" w:fill="auto"/>
            <w:vAlign w:val="center"/>
          </w:tcPr>
          <w:p w14:paraId="6DB8A298">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w:t>
            </w:r>
          </w:p>
        </w:tc>
        <w:tc>
          <w:tcPr>
            <w:tcW w:w="1581" w:type="dxa"/>
            <w:shd w:val="clear" w:color="auto" w:fill="auto"/>
            <w:vAlign w:val="center"/>
          </w:tcPr>
          <w:p w14:paraId="3B5F5189">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实施方案</w:t>
            </w:r>
          </w:p>
          <w:p w14:paraId="1C46B9A7">
            <w:pPr>
              <w:jc w:val="center"/>
              <w:rPr>
                <w:rFonts w:hint="eastAsia" w:ascii="仿宋" w:hAnsi="仿宋" w:eastAsia="仿宋" w:cs="仿宋"/>
                <w:sz w:val="24"/>
                <w:szCs w:val="24"/>
                <w:highlight w:val="none"/>
                <w:vertAlign w:val="baseline"/>
              </w:rPr>
            </w:pPr>
          </w:p>
        </w:tc>
        <w:tc>
          <w:tcPr>
            <w:tcW w:w="4678" w:type="dxa"/>
            <w:shd w:val="clear" w:color="auto" w:fill="auto"/>
          </w:tcPr>
          <w:p w14:paraId="7B8F1E40">
            <w:p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 xml:space="preserve">实施方案 0-21分 </w:t>
            </w:r>
          </w:p>
          <w:p w14:paraId="7F7F8680">
            <w:p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 xml:space="preserve">供应商针对本项目提供实施服务方案，内容包括但不限于:①项目管理机构保障、实施进度计划、进度保障措施、质量保障措施、②安全保障措施、③运输保障措施、④沟通协 调措施、⑤数据采集服务的实施保障措施、⑥应急保障措施、⑦验收方案等内容。 </w:t>
            </w:r>
          </w:p>
          <w:p w14:paraId="77B92108">
            <w:p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每提供一点且内容全面得3分，内容缺失或有缺陷得1.5分，共 21分，未提供不得分。</w:t>
            </w:r>
          </w:p>
          <w:p w14:paraId="0BB8BDEC">
            <w:pPr>
              <w:spacing w:line="360" w:lineRule="auto"/>
              <w:jc w:val="left"/>
              <w:rPr>
                <w:rFonts w:hint="eastAsia"/>
                <w:highlight w:val="none"/>
              </w:rPr>
            </w:pPr>
            <w:r>
              <w:rPr>
                <w:rFonts w:hint="eastAsia" w:ascii="仿宋" w:hAnsi="仿宋" w:eastAsia="仿宋" w:cs="仿宋"/>
                <w:lang w:val="en-US" w:eastAsia="zh-CN"/>
              </w:rPr>
              <w:t>（缺陷是指语言错误、存在歧义；分析内容描述不完整、过于简单；凭空捏造、与本项目无关等。）</w:t>
            </w:r>
          </w:p>
        </w:tc>
        <w:tc>
          <w:tcPr>
            <w:tcW w:w="1491" w:type="dxa"/>
            <w:shd w:val="clear" w:color="auto" w:fill="auto"/>
            <w:vAlign w:val="center"/>
          </w:tcPr>
          <w:p w14:paraId="57D657E6">
            <w:pPr>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21</w:t>
            </w:r>
          </w:p>
        </w:tc>
      </w:tr>
      <w:tr w14:paraId="7F01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72" w:type="dxa"/>
            <w:shd w:val="clear" w:color="auto" w:fill="auto"/>
            <w:vAlign w:val="center"/>
          </w:tcPr>
          <w:p w14:paraId="5FB194B5">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w:t>
            </w:r>
          </w:p>
        </w:tc>
        <w:tc>
          <w:tcPr>
            <w:tcW w:w="1581" w:type="dxa"/>
            <w:shd w:val="clear" w:color="auto" w:fill="auto"/>
            <w:vAlign w:val="center"/>
          </w:tcPr>
          <w:p w14:paraId="14465356">
            <w:pPr>
              <w:spacing w:line="360" w:lineRule="auto"/>
              <w:jc w:val="center"/>
              <w:rPr>
                <w:rFonts w:hint="eastAsia" w:ascii="仿宋" w:hAnsi="仿宋" w:eastAsia="仿宋" w:cs="仿宋"/>
                <w:sz w:val="24"/>
                <w:szCs w:val="24"/>
                <w:highlight w:val="none"/>
                <w:vertAlign w:val="baseline"/>
              </w:rPr>
            </w:pPr>
            <w:r>
              <w:rPr>
                <w:rFonts w:hint="eastAsia" w:ascii="仿宋" w:hAnsi="仿宋" w:eastAsia="仿宋" w:cs="仿宋"/>
                <w:lang w:val="en-US" w:eastAsia="zh-CN"/>
              </w:rPr>
              <w:t>数据采集技术方案</w:t>
            </w:r>
          </w:p>
        </w:tc>
        <w:tc>
          <w:tcPr>
            <w:tcW w:w="4678" w:type="dxa"/>
            <w:shd w:val="clear" w:color="auto" w:fill="auto"/>
          </w:tcPr>
          <w:p w14:paraId="3089134D">
            <w:p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 xml:space="preserve">数据采集技术方案0-15分 </w:t>
            </w:r>
          </w:p>
          <w:p w14:paraId="2A8E2E89">
            <w:p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 xml:space="preserve">根据项目实际情况提供完善、详细的项目实施方案: ①与平台对接技术及对接内容；②数据采集实现原理；③硬件远程管理方案；④数据安全及保密措施；⑤与平台对接兼容 </w:t>
            </w:r>
          </w:p>
          <w:p w14:paraId="0605A711">
            <w:p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 xml:space="preserve">性及测试验证措施。 </w:t>
            </w:r>
          </w:p>
          <w:p w14:paraId="0CD02052">
            <w:p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每提供一点且内容全面得3分，内容缺失或有缺陷得1.5分，共15分，未提供不得分。</w:t>
            </w:r>
          </w:p>
          <w:p w14:paraId="79B6B0EA">
            <w:pPr>
              <w:spacing w:line="360" w:lineRule="auto"/>
              <w:jc w:val="left"/>
              <w:rPr>
                <w:rFonts w:hint="eastAsia"/>
                <w:highlight w:val="none"/>
              </w:rPr>
            </w:pPr>
            <w:r>
              <w:rPr>
                <w:rFonts w:hint="eastAsia" w:ascii="仿宋" w:hAnsi="仿宋" w:eastAsia="仿宋" w:cs="仿宋"/>
                <w:lang w:val="en-US" w:eastAsia="zh-CN"/>
              </w:rPr>
              <w:t>（缺陷是指语言错误、存在歧义；分析内容描述不完整、过于简单；凭空捏造、与本项目无关等。）</w:t>
            </w:r>
          </w:p>
        </w:tc>
        <w:tc>
          <w:tcPr>
            <w:tcW w:w="1491" w:type="dxa"/>
            <w:shd w:val="clear" w:color="auto" w:fill="auto"/>
            <w:vAlign w:val="center"/>
          </w:tcPr>
          <w:p w14:paraId="5FEE6848">
            <w:pPr>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w:t>
            </w:r>
          </w:p>
        </w:tc>
      </w:tr>
      <w:tr w14:paraId="6585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72" w:type="dxa"/>
            <w:shd w:val="clear" w:color="auto" w:fill="auto"/>
            <w:vAlign w:val="center"/>
          </w:tcPr>
          <w:p w14:paraId="43B98809">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7</w:t>
            </w:r>
          </w:p>
        </w:tc>
        <w:tc>
          <w:tcPr>
            <w:tcW w:w="1581" w:type="dxa"/>
            <w:shd w:val="clear" w:color="auto" w:fill="auto"/>
            <w:vAlign w:val="center"/>
          </w:tcPr>
          <w:p w14:paraId="77C48E8D">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售后服务方案</w:t>
            </w:r>
          </w:p>
          <w:p w14:paraId="7D5173C1">
            <w:pPr>
              <w:keepNext w:val="0"/>
              <w:keepLines w:val="0"/>
              <w:widowControl/>
              <w:suppressLineNumbers w:val="0"/>
              <w:jc w:val="center"/>
              <w:rPr>
                <w:rFonts w:hint="eastAsia" w:ascii="仿宋" w:hAnsi="仿宋" w:eastAsia="仿宋" w:cs="仿宋"/>
                <w:color w:val="000000"/>
                <w:kern w:val="0"/>
                <w:sz w:val="24"/>
                <w:szCs w:val="24"/>
                <w:highlight w:val="none"/>
                <w:lang w:val="en-US" w:eastAsia="zh-CN" w:bidi="ar"/>
              </w:rPr>
            </w:pPr>
          </w:p>
        </w:tc>
        <w:tc>
          <w:tcPr>
            <w:tcW w:w="4678" w:type="dxa"/>
            <w:shd w:val="clear" w:color="auto" w:fill="auto"/>
          </w:tcPr>
          <w:p w14:paraId="23D060E8">
            <w:p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 xml:space="preserve">售后服务方案0-16分 </w:t>
            </w:r>
          </w:p>
          <w:p w14:paraId="4D678C60">
            <w:p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 xml:space="preserve">供应商针对本项目提供售后服务方案，内容包括但不限于:①售后服务内容、②服务响应时间、③售后机构设置情况、④服务体系、⑤服务流程、⑥服务期内容及承诺、⑦平台运维保障服务内容、⑧服务期外的标准及承诺等。 </w:t>
            </w:r>
          </w:p>
          <w:p w14:paraId="2D51BC97">
            <w:p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每提供一点且内容全面得2分，内容缺失或有缺陷得1分，共16 分，未提供不得分。</w:t>
            </w:r>
          </w:p>
          <w:p w14:paraId="6BB21E0C">
            <w:pPr>
              <w:spacing w:line="360" w:lineRule="auto"/>
              <w:jc w:val="left"/>
              <w:rPr>
                <w:rFonts w:hint="eastAsia"/>
                <w:highlight w:val="none"/>
              </w:rPr>
            </w:pPr>
            <w:r>
              <w:rPr>
                <w:rFonts w:hint="eastAsia" w:ascii="仿宋" w:hAnsi="仿宋" w:eastAsia="仿宋" w:cs="仿宋"/>
                <w:lang w:val="en-US" w:eastAsia="zh-CN"/>
              </w:rPr>
              <w:t>（缺陷是指语言错误、存在歧义；分析内容描述不完整、过于简单；凭空捏造、与本项目无关等。）</w:t>
            </w:r>
          </w:p>
        </w:tc>
        <w:tc>
          <w:tcPr>
            <w:tcW w:w="1491" w:type="dxa"/>
            <w:shd w:val="clear" w:color="auto" w:fill="auto"/>
            <w:vAlign w:val="center"/>
          </w:tcPr>
          <w:p w14:paraId="42EB9AE0">
            <w:pPr>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16</w:t>
            </w:r>
          </w:p>
        </w:tc>
      </w:tr>
      <w:tr w14:paraId="3DCF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72" w:type="dxa"/>
            <w:shd w:val="clear" w:color="auto" w:fill="auto"/>
            <w:vAlign w:val="center"/>
          </w:tcPr>
          <w:p w14:paraId="3D4C13AE">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8</w:t>
            </w:r>
          </w:p>
        </w:tc>
        <w:tc>
          <w:tcPr>
            <w:tcW w:w="1581" w:type="dxa"/>
            <w:shd w:val="clear" w:color="auto" w:fill="auto"/>
            <w:vAlign w:val="center"/>
          </w:tcPr>
          <w:p w14:paraId="36A6940A">
            <w:pPr>
              <w:spacing w:line="360" w:lineRule="auto"/>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lang w:val="en-US" w:eastAsia="zh-CN"/>
              </w:rPr>
              <w:t>培训方案</w:t>
            </w:r>
          </w:p>
        </w:tc>
        <w:tc>
          <w:tcPr>
            <w:tcW w:w="4678" w:type="dxa"/>
            <w:shd w:val="clear" w:color="auto" w:fill="auto"/>
          </w:tcPr>
          <w:p w14:paraId="51DD3590">
            <w:p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 xml:space="preserve">培训方案0-10分 </w:t>
            </w:r>
          </w:p>
          <w:p w14:paraId="58A455C8">
            <w:p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 xml:space="preserve">供应商针对本项目提供培训方案，内容包括但不限于 :①培训目标、②培训方式、③培训内容及课时、④培训对象、⑤培训保障措施等。 </w:t>
            </w:r>
          </w:p>
          <w:p w14:paraId="5DC26A59">
            <w:p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每提供一点且内容全面得2分，内容缺失或有缺陷得1分，共10分，未提供不得分。</w:t>
            </w:r>
          </w:p>
          <w:p w14:paraId="6FC507C4">
            <w:pPr>
              <w:spacing w:line="360" w:lineRule="auto"/>
              <w:jc w:val="left"/>
              <w:rPr>
                <w:rFonts w:hint="eastAsia"/>
                <w:highlight w:val="none"/>
              </w:rPr>
            </w:pPr>
            <w:r>
              <w:rPr>
                <w:rFonts w:hint="eastAsia" w:ascii="仿宋" w:hAnsi="仿宋" w:eastAsia="仿宋" w:cs="仿宋"/>
                <w:lang w:val="en-US" w:eastAsia="zh-CN"/>
              </w:rPr>
              <w:t>（缺陷是指语言错误、存在歧义；分析内容描述不完整、过于简单；凭空捏造、与本项目无关等。）</w:t>
            </w:r>
          </w:p>
        </w:tc>
        <w:tc>
          <w:tcPr>
            <w:tcW w:w="1491" w:type="dxa"/>
            <w:shd w:val="clear" w:color="auto" w:fill="auto"/>
            <w:vAlign w:val="center"/>
          </w:tcPr>
          <w:p w14:paraId="63368C9F">
            <w:pPr>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10</w:t>
            </w:r>
          </w:p>
        </w:tc>
      </w:tr>
      <w:tr w14:paraId="099E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522" w:type="dxa"/>
            <w:gridSpan w:val="4"/>
            <w:shd w:val="clear" w:color="auto" w:fill="auto"/>
            <w:vAlign w:val="center"/>
          </w:tcPr>
          <w:p w14:paraId="27BC75F4">
            <w:pPr>
              <w:keepNext w:val="0"/>
              <w:keepLines w:val="0"/>
              <w:widowControl/>
              <w:suppressLineNumbers w:val="0"/>
              <w:jc w:val="center"/>
              <w:rPr>
                <w:rFonts w:hint="eastAsia" w:ascii="仿宋" w:hAnsi="仿宋" w:eastAsia="仿宋" w:cs="仿宋"/>
                <w:sz w:val="24"/>
                <w:szCs w:val="24"/>
                <w:highlight w:val="none"/>
                <w:vertAlign w:val="baseline"/>
              </w:rPr>
            </w:pPr>
            <w:r>
              <w:rPr>
                <w:rFonts w:hint="eastAsia" w:ascii="仿宋" w:hAnsi="仿宋" w:eastAsia="仿宋" w:cs="仿宋"/>
                <w:b/>
                <w:bCs/>
                <w:color w:val="000000"/>
                <w:kern w:val="0"/>
                <w:sz w:val="24"/>
                <w:szCs w:val="24"/>
                <w:highlight w:val="none"/>
                <w:lang w:val="en-US" w:eastAsia="zh-CN" w:bidi="ar"/>
              </w:rPr>
              <w:t>价格评审(10分)</w:t>
            </w:r>
          </w:p>
        </w:tc>
      </w:tr>
      <w:tr w14:paraId="123C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72" w:type="dxa"/>
            <w:shd w:val="clear" w:color="auto" w:fill="auto"/>
            <w:vAlign w:val="center"/>
          </w:tcPr>
          <w:p w14:paraId="7E72560D">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9</w:t>
            </w:r>
          </w:p>
        </w:tc>
        <w:tc>
          <w:tcPr>
            <w:tcW w:w="1581" w:type="dxa"/>
            <w:shd w:val="clear" w:color="auto" w:fill="auto"/>
            <w:vAlign w:val="center"/>
          </w:tcPr>
          <w:p w14:paraId="20A2EA12">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价格评审</w:t>
            </w:r>
          </w:p>
          <w:p w14:paraId="000393B7">
            <w:pPr>
              <w:keepNext w:val="0"/>
              <w:keepLines w:val="0"/>
              <w:widowControl/>
              <w:suppressLineNumbers w:val="0"/>
              <w:jc w:val="center"/>
              <w:rPr>
                <w:rFonts w:hint="eastAsia" w:ascii="仿宋" w:hAnsi="仿宋" w:eastAsia="仿宋" w:cs="仿宋"/>
                <w:color w:val="000000"/>
                <w:kern w:val="0"/>
                <w:sz w:val="24"/>
                <w:szCs w:val="24"/>
                <w:highlight w:val="none"/>
                <w:lang w:val="en-US" w:eastAsia="zh-CN" w:bidi="ar"/>
              </w:rPr>
            </w:pPr>
          </w:p>
        </w:tc>
        <w:tc>
          <w:tcPr>
            <w:tcW w:w="4678" w:type="dxa"/>
            <w:shd w:val="clear" w:color="auto" w:fill="auto"/>
          </w:tcPr>
          <w:p w14:paraId="663EE653">
            <w:p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价格分采用低价优先法计算，即满足磋商文件要求且投标价格最低的投标报价为评标基准价，其价格分为满分。</w:t>
            </w:r>
          </w:p>
          <w:p w14:paraId="1DF34912">
            <w:p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投标人的价格分统一按照下列公式计算（分值计算保留两位小数）：投标报价得分＝（评标基准价/投标报价）×10%×100</w:t>
            </w:r>
          </w:p>
          <w:p w14:paraId="13B26164">
            <w:p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注：本项目不专门面向中小企业，对满足招标文件要求的投标人执行中小企业价格评审优惠的扶持政策（监狱企业、残疾人企业视同小微型企业）。</w:t>
            </w:r>
          </w:p>
          <w:p w14:paraId="56CB5C2C">
            <w:p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评标委员会认为投标人的报价明显低于其他通过符合性审查投标人的报价，有可能影响服务质量或者不能诚信履约的，应当要求其在理的时间内提供书面说明，必要时提交相关证明材料；投标人不能证明其报价合理性的，评标委员会应当将其作为无效投标处理。</w:t>
            </w:r>
          </w:p>
          <w:p w14:paraId="4DD2FA24">
            <w:pPr>
              <w:spacing w:line="360" w:lineRule="auto"/>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lang w:val="en-US" w:eastAsia="zh-CN"/>
              </w:rPr>
              <w:t>投标人投报产品或服务属于《山西省创新产品和服务推荐清单》中创新产品或创新服务的，在评审时，享受投报产品6%的价格折扣，以折扣后的价格参与评审。</w:t>
            </w:r>
          </w:p>
        </w:tc>
        <w:tc>
          <w:tcPr>
            <w:tcW w:w="1491" w:type="dxa"/>
            <w:shd w:val="clear" w:color="auto" w:fill="auto"/>
            <w:vAlign w:val="center"/>
          </w:tcPr>
          <w:p w14:paraId="459FF5A7">
            <w:pPr>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10</w:t>
            </w:r>
          </w:p>
        </w:tc>
      </w:tr>
    </w:tbl>
    <w:p w14:paraId="118BAEFF">
      <w:pPr>
        <w:pStyle w:val="27"/>
        <w:spacing w:before="156"/>
      </w:pPr>
    </w:p>
    <w:p w14:paraId="5DA205E9">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根据《中华人民共和国政府采购法》、《中华人民共和国政府采购法实施条例》、《政府采购竞争性磋商采购方式管理暂行办法》等有关法律法规，结合本项目的实际需求，制定本办法。</w:t>
      </w:r>
    </w:p>
    <w:p w14:paraId="1C91B469">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1、评审方法</w:t>
      </w:r>
    </w:p>
    <w:p w14:paraId="46DEC0CB">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本次评标采用综合评分法，总分为100分。磋商小组对提交最后报价的供应商的响应文件和最后报价进行综合评分，并按得分由高到低顺序推荐成交候选供应商。得分相同的，按最后报价由低到高顺序排列。得分且最后报价相同的按技术部分得分由高到低顺序确定排名第一的成交候选供应商。</w:t>
      </w:r>
    </w:p>
    <w:p w14:paraId="415EEFD8">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2、分值构成与评审标准</w:t>
      </w:r>
    </w:p>
    <w:p w14:paraId="13CE2F7E">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2.1分值构成</w:t>
      </w:r>
    </w:p>
    <w:p w14:paraId="0E6A7E3F">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2.1.1商务资信部分：见评标办法前附表。</w:t>
      </w:r>
    </w:p>
    <w:p w14:paraId="1506BFCF">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2.1.2技术部分：见评标办法前附表。</w:t>
      </w:r>
    </w:p>
    <w:p w14:paraId="799E5887">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2.1.3磋商报价：见评标办法前附表。</w:t>
      </w:r>
    </w:p>
    <w:p w14:paraId="5FE0D306">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2.1.4其他评分因素：见评标办法前附表。</w:t>
      </w:r>
    </w:p>
    <w:p w14:paraId="3C5510AE">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2.2评分标准</w:t>
      </w:r>
    </w:p>
    <w:p w14:paraId="353AE000">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2.2.1商务资信评分标准：见评标办法前附表。</w:t>
      </w:r>
    </w:p>
    <w:p w14:paraId="34D736E6">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2.2.2技术评分标准：见评标办法前附表。</w:t>
      </w:r>
    </w:p>
    <w:p w14:paraId="0D6B1F1D">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2.2.3磋商报价评分标准：见评标办法前附表。</w:t>
      </w:r>
    </w:p>
    <w:p w14:paraId="26003106">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2.2.4其他因素评分标准：见评标办法前附表。</w:t>
      </w:r>
    </w:p>
    <w:p w14:paraId="12DAA19B">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2.3落实政府采购政策性要求的评审标准</w:t>
      </w:r>
    </w:p>
    <w:p w14:paraId="39F21CC8">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2.3.1小型、微型企业参加本项目的评审标准</w:t>
      </w:r>
    </w:p>
    <w:p w14:paraId="27CD9BCB">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2.3.1.1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14:paraId="602273F0">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2.3.1.2由中小企业提供服务的，对其报价享受10%的价格折扣，用扣除后价格参加评审。</w:t>
      </w:r>
    </w:p>
    <w:p w14:paraId="76B6CA89">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2.3.1.3联合体价格折扣：本项目若允许联合体参加，大中型企业与小型、微型企业组成联合体的，联合协议约定小型、微型企业的合同份额占到合同总金额30%以上的，对联合体的报价给予3%的扣除，用扣除后价格参加评审。</w:t>
      </w:r>
    </w:p>
    <w:p w14:paraId="38F52C9E">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2.3.1.4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p w14:paraId="2C7FFF06">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2.3.2残疾人福利性单位参加本项目的评审标准：</w:t>
      </w:r>
    </w:p>
    <w:p w14:paraId="5433B83D">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2.3.2.1须根据财库【2017】141号《关于促进残疾人就业政府采购政策的通知》的要求，如实填写残疾人福利性单位声明函，残疾人福利性单位参加本项目磋商时，享受10%的价格折扣，用扣除后的价格参与评审。</w:t>
      </w:r>
    </w:p>
    <w:p w14:paraId="350A7AB0">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2.3.2.2享受政府采购支持政策的残疾人福利性单位应当同时满足以下条件：</w:t>
      </w:r>
    </w:p>
    <w:p w14:paraId="5C99648B">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A.安置的残疾人占本单位在职职工人数的比例不低于25%（含25%），并且安置的残疾人人数不少于10人（含10人）；</w:t>
      </w:r>
    </w:p>
    <w:p w14:paraId="1095E8FA">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B.依法与安置的每位残疾人签订了一年以上（含一年）的劳动合同或服务协议；</w:t>
      </w:r>
    </w:p>
    <w:p w14:paraId="629A1643">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C.为安置的每位残疾人按月足额缴纳了基本养老保险、基本医疗保险、失业保险、工伤保险和生育保险等社会保险费；</w:t>
      </w:r>
    </w:p>
    <w:p w14:paraId="15492515">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D.通过银行等金融机构向安置的每位残疾人，按月支付了不低于单位所在区县适用的经省级人民政府批准的月最低工资标准的工资；</w:t>
      </w:r>
    </w:p>
    <w:p w14:paraId="26ECF3A0">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E．提供本单位制造的货物、承担的工程或者服务（以下简称产品），或者提供其他残疾人福利性单位制造的货物（不包括使用非残疾人福利性单位注册商标的货物）。</w:t>
      </w:r>
    </w:p>
    <w:p w14:paraId="07426BC4">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476D6B9">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2.3.2.3供应商提供的《残疾人福利性单位声明函》与事实不符的，依照《政府采购法》第七十七条第一款的规定追究法律责任。</w:t>
      </w:r>
    </w:p>
    <w:p w14:paraId="405A8D7E">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2.3.2.4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A5EEA47">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2.3.3监狱企业参加本项目磋商的要求：</w:t>
      </w:r>
    </w:p>
    <w:p w14:paraId="33809A61">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监狱企业参加磋商视同小微企业，需提供由省级以上监狱管理局或戒毒管理局出具的属于监狱企业的证明文件。</w:t>
      </w:r>
    </w:p>
    <w:p w14:paraId="614F4085">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2.3.4本项目涉及创新产品、创新服务的评审标准：</w:t>
      </w:r>
    </w:p>
    <w:p w14:paraId="70AE9F81">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2.3.4.1供应商投提供服务属于《山西省创新产品和服务推荐清单》中创新产品或创新服务的，在评审时，其报价享受6%的价格折扣，以折扣后的价格参与评审。</w:t>
      </w:r>
    </w:p>
    <w:p w14:paraId="53DB56BA">
      <w:pPr>
        <w:snapToGrid w:val="0"/>
        <w:spacing w:line="360" w:lineRule="auto"/>
        <w:ind w:firstLine="480" w:firstLineChars="200"/>
        <w:rPr>
          <w:rFonts w:ascii="仿宋" w:hAnsi="仿宋" w:eastAsia="仿宋" w:cs="仿宋"/>
          <w:kern w:val="0"/>
          <w:sz w:val="24"/>
          <w:highlight w:val="red"/>
        </w:rPr>
      </w:pPr>
      <w:r>
        <w:rPr>
          <w:rFonts w:hint="eastAsia" w:ascii="仿宋" w:hAnsi="仿宋" w:eastAsia="仿宋" w:cs="仿宋"/>
          <w:kern w:val="0"/>
          <w:sz w:val="24"/>
        </w:rPr>
        <w:t>2.3.4.2供应商提供创新服务的，应在响应文件中填写《创新服务明细表》，并提供《山西省创新产品和服务推荐清单》。</w:t>
      </w:r>
    </w:p>
    <w:p w14:paraId="1E1FB3EB">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2.3.4.3创新服务的价格折扣政策可与其他政府采购政策叠加。</w:t>
      </w:r>
    </w:p>
    <w:p w14:paraId="0D9DA57B">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3、评分结果</w:t>
      </w:r>
    </w:p>
    <w:p w14:paraId="0282A520">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3.1资信商务、服务技术及其他因素得分计算</w:t>
      </w:r>
    </w:p>
    <w:p w14:paraId="62B39A97">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按照磋商小组成员的独立评分结果汇总后的算术平均值计算。</w:t>
      </w:r>
    </w:p>
    <w:p w14:paraId="74901A9E">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3.2磋商报价得分计算</w:t>
      </w:r>
    </w:p>
    <w:p w14:paraId="45C30F6A">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3.2.1评标过程中，不得去掉报价中的最高报价和最低报价；</w:t>
      </w:r>
    </w:p>
    <w:p w14:paraId="20F5FDC9">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3.2.2因落实政府采购政策进行价格调整的，以调整后的价格计算磋商基准价和最后磋商报价。</w:t>
      </w:r>
    </w:p>
    <w:p w14:paraId="513D435A">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3.3供应商得分</w:t>
      </w:r>
    </w:p>
    <w:p w14:paraId="541A74CA">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磋商小组按本章规定的量化因素和分值进行打分，并计算出供应商得分。评分分值计算保留小数点后两位，小数点后第三位“四舍五入”。</w:t>
      </w:r>
    </w:p>
    <w:p w14:paraId="49807C86">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供应商得分=（资信商务+服务技术+其他因素）得分+磋商报价得分。</w:t>
      </w:r>
    </w:p>
    <w:p w14:paraId="505C0882">
      <w:pPr>
        <w:pStyle w:val="4"/>
        <w:rPr>
          <w:rFonts w:ascii="仿宋" w:hAnsi="仿宋" w:eastAsia="仿宋" w:cs="仿宋"/>
          <w:snapToGrid w:val="0"/>
        </w:rPr>
        <w:sectPr>
          <w:pgSz w:w="11906" w:h="16838"/>
          <w:pgMar w:top="1418" w:right="1418" w:bottom="1418" w:left="1361" w:header="936" w:footer="845" w:gutter="0"/>
          <w:pgNumType w:fmt="decimal"/>
          <w:cols w:space="720" w:num="1"/>
          <w:docGrid w:type="lines" w:linePitch="312" w:charSpace="0"/>
        </w:sectPr>
      </w:pPr>
      <w:bookmarkStart w:id="98" w:name="_Toc474"/>
      <w:bookmarkStart w:id="99" w:name="_Toc79599063"/>
      <w:bookmarkStart w:id="100" w:name="_Toc24132"/>
    </w:p>
    <w:p w14:paraId="751BCE16">
      <w:pPr>
        <w:pStyle w:val="4"/>
        <w:rPr>
          <w:rFonts w:ascii="仿宋" w:hAnsi="仿宋" w:eastAsia="仿宋" w:cs="仿宋"/>
        </w:rPr>
      </w:pPr>
      <w:r>
        <w:rPr>
          <w:rFonts w:hint="eastAsia" w:ascii="仿宋" w:hAnsi="仿宋" w:eastAsia="仿宋" w:cs="仿宋"/>
          <w:snapToGrid w:val="0"/>
        </w:rPr>
        <w:t>第四部分  商务、技术要求</w:t>
      </w:r>
      <w:bookmarkEnd w:id="98"/>
      <w:bookmarkEnd w:id="99"/>
      <w:bookmarkEnd w:id="100"/>
    </w:p>
    <w:p w14:paraId="06C27190">
      <w:pPr>
        <w:spacing w:line="360" w:lineRule="auto"/>
        <w:ind w:firstLine="472" w:firstLineChars="196"/>
        <w:jc w:val="left"/>
        <w:rPr>
          <w:rFonts w:hint="eastAsia" w:ascii="仿宋" w:hAnsi="仿宋" w:eastAsia="仿宋" w:cs="仿宋"/>
          <w:b/>
          <w:bCs/>
          <w:sz w:val="24"/>
          <w:szCs w:val="24"/>
        </w:rPr>
      </w:pPr>
      <w:bookmarkStart w:id="101" w:name="_Toc79599064"/>
      <w:bookmarkStart w:id="102" w:name="_Toc25964"/>
      <w:bookmarkStart w:id="103" w:name="_Toc20123"/>
      <w:r>
        <w:rPr>
          <w:rFonts w:hint="eastAsia" w:ascii="仿宋" w:hAnsi="仿宋" w:eastAsia="仿宋" w:cs="仿宋"/>
          <w:b/>
          <w:bCs/>
          <w:color w:val="000000"/>
          <w:sz w:val="24"/>
          <w:szCs w:val="24"/>
        </w:rPr>
        <w:t>一、项目概况</w:t>
      </w:r>
    </w:p>
    <w:p w14:paraId="0938F739">
      <w:pPr>
        <w:spacing w:line="360" w:lineRule="auto"/>
        <w:ind w:firstLine="480" w:firstLineChars="200"/>
        <w:jc w:val="left"/>
        <w:rPr>
          <w:rFonts w:hint="eastAsia" w:ascii="仿宋" w:hAnsi="仿宋" w:eastAsia="仿宋" w:cs="仿宋"/>
          <w:b/>
          <w:sz w:val="24"/>
          <w:szCs w:val="24"/>
          <w:lang w:val="en-US" w:eastAsia="zh-CN"/>
        </w:rPr>
      </w:pPr>
      <w:r>
        <w:rPr>
          <w:rFonts w:hint="eastAsia" w:ascii="仿宋" w:hAnsi="仿宋" w:eastAsia="仿宋" w:cs="仿宋"/>
          <w:sz w:val="24"/>
          <w:szCs w:val="24"/>
        </w:rPr>
        <w:t>1、项目名称：</w:t>
      </w:r>
      <w:r>
        <w:rPr>
          <w:rFonts w:hint="eastAsia" w:ascii="仿宋" w:hAnsi="仿宋" w:eastAsia="仿宋" w:cs="仿宋"/>
          <w:sz w:val="24"/>
          <w:szCs w:val="24"/>
          <w:lang w:eastAsia="zh-CN"/>
        </w:rPr>
        <w:t>芮城县成品油流通智慧监管平台建设项目</w:t>
      </w:r>
    </w:p>
    <w:p w14:paraId="2F2BC60B">
      <w:pPr>
        <w:spacing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 xml:space="preserve">项目编号：1408302025CCS00108 </w:t>
      </w:r>
    </w:p>
    <w:p w14:paraId="703023ED">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3、采购</w:t>
      </w:r>
      <w:r>
        <w:rPr>
          <w:rFonts w:hint="eastAsia" w:ascii="仿宋" w:hAnsi="仿宋" w:eastAsia="仿宋" w:cs="仿宋"/>
          <w:color w:val="000000"/>
          <w:sz w:val="24"/>
          <w:szCs w:val="24"/>
        </w:rPr>
        <w:t>单位：</w:t>
      </w:r>
      <w:r>
        <w:rPr>
          <w:rFonts w:hint="eastAsia" w:ascii="仿宋" w:hAnsi="仿宋" w:eastAsia="仿宋" w:cs="仿宋"/>
          <w:color w:val="000000"/>
          <w:sz w:val="24"/>
          <w:szCs w:val="24"/>
          <w:lang w:eastAsia="zh-CN"/>
        </w:rPr>
        <w:t>芮城县商务局</w:t>
      </w:r>
    </w:p>
    <w:p w14:paraId="3A9364D9">
      <w:pPr>
        <w:spacing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采购预算： 205万元</w:t>
      </w:r>
    </w:p>
    <w:p w14:paraId="456CD698">
      <w:pPr>
        <w:spacing w:line="36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5、项目概况：</w:t>
      </w:r>
      <w:r>
        <w:rPr>
          <w:rFonts w:hint="eastAsia" w:ascii="仿宋" w:hAnsi="仿宋" w:eastAsia="仿宋" w:cs="仿宋"/>
          <w:b w:val="0"/>
          <w:bCs w:val="0"/>
          <w:color w:val="auto"/>
          <w:kern w:val="2"/>
          <w:sz w:val="24"/>
          <w:szCs w:val="24"/>
          <w:lang w:val="en-US" w:eastAsia="zh-CN" w:bidi="ar-SA"/>
        </w:rPr>
        <w:t>为深入贯彻山西省人民政府办公厅《关于成立山西省成品油流通智慧监管平台建设应用工作专班的通知》(晋政办函[2023]143号)、山西省成品油行业专项整治工作领导小组《关于印发山西省成品油流通智慧监管平台建设应用工作方案的通知》(晋油治发[2023]1号)及《关于做好省成品油流通智慧监管平台数据接入工作的函》文件要求,进一步规范成品油流通秩序，推进成品油流通智慧监管平台(简称平台)建设应用</w:t>
      </w:r>
      <w:r>
        <w:rPr>
          <w:rFonts w:hint="eastAsia" w:ascii="仿宋" w:hAnsi="仿宋" w:eastAsia="仿宋" w:cs="仿宋"/>
          <w:color w:val="000000"/>
          <w:sz w:val="24"/>
          <w:szCs w:val="24"/>
        </w:rPr>
        <w:t>。覆盖全县 27 座民营加油站，为进一步推动我省政务信息化建设,实现全省成品油流通数字化、智慧化监管,加强对山西省成品油流通智慧监管平台建设，现建设加油站物联网硬件数据采集服务包括：加油机数据采集服务、油罐液位仪数据采集服务、智能AI视联数据采集服务</w:t>
      </w:r>
      <w:r>
        <w:rPr>
          <w:rFonts w:hint="eastAsia" w:ascii="仿宋" w:hAnsi="仿宋" w:eastAsia="仿宋" w:cs="仿宋"/>
          <w:color w:val="000000"/>
          <w:sz w:val="24"/>
          <w:szCs w:val="24"/>
          <w:lang w:eastAsia="zh-CN"/>
        </w:rPr>
        <w:t>。</w:t>
      </w:r>
    </w:p>
    <w:p w14:paraId="12ABA1A2">
      <w:pPr>
        <w:spacing w:line="360" w:lineRule="auto"/>
        <w:ind w:firstLine="482" w:firstLineChars="200"/>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rPr>
        <w:t>二、</w:t>
      </w:r>
      <w:r>
        <w:rPr>
          <w:rFonts w:hint="eastAsia" w:ascii="仿宋" w:hAnsi="仿宋" w:eastAsia="仿宋" w:cs="仿宋"/>
          <w:b/>
          <w:bCs/>
          <w:color w:val="000000"/>
          <w:sz w:val="24"/>
          <w:szCs w:val="24"/>
          <w:lang w:val="en-US" w:eastAsia="zh-CN"/>
        </w:rPr>
        <w:t>商务要求</w:t>
      </w:r>
    </w:p>
    <w:p w14:paraId="2FCA8C8D">
      <w:pPr>
        <w:spacing w:line="360" w:lineRule="auto"/>
        <w:ind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lang w:val="en-US" w:eastAsia="zh-CN"/>
        </w:rPr>
        <w:t>1、合同履行期限（服务期</w:t>
      </w:r>
      <w:r>
        <w:rPr>
          <w:rFonts w:hint="eastAsia" w:ascii="仿宋" w:hAnsi="仿宋" w:eastAsia="仿宋" w:cs="仿宋"/>
          <w:color w:val="000000"/>
          <w:sz w:val="24"/>
          <w:szCs w:val="24"/>
          <w:highlight w:val="none"/>
          <w:lang w:val="en-US" w:eastAsia="zh-CN"/>
        </w:rPr>
        <w:t>）：自合同签订之日起60天；</w:t>
      </w:r>
    </w:p>
    <w:p w14:paraId="72007877">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2、服务地点：芮城县；</w:t>
      </w:r>
    </w:p>
    <w:p w14:paraId="2B1BEDB4">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3、质量标准：符合国家或行业现行相关技术规范要求的合格标准；</w:t>
      </w:r>
    </w:p>
    <w:p w14:paraId="1C24E1C3">
      <w:pPr>
        <w:spacing w:line="360" w:lineRule="auto"/>
        <w:ind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4、付款方式：合同谈判时约定。</w:t>
      </w:r>
    </w:p>
    <w:p w14:paraId="616F73BC">
      <w:pPr>
        <w:spacing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5、履约验收：</w:t>
      </w:r>
    </w:p>
    <w:p w14:paraId="49A6516D">
      <w:pPr>
        <w:spacing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（1）项目建设完成后，由采购人按“山西省成品油流通智慧监管平台数据接入规范”进行验收。</w:t>
      </w:r>
    </w:p>
    <w:p w14:paraId="64137DF9">
      <w:pPr>
        <w:spacing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项目验收不合格，由成交供应商返工直至合格，有关返工、再行验收，以及给采购人造成的损失等费用由成交供应商承担。连续两次项目验收不合格的，采购人可终止合同，另行按规定选择其他供应商采购，由此带来的一切损失由成交供应商承担。</w:t>
      </w:r>
    </w:p>
    <w:p w14:paraId="227A4C97">
      <w:pPr>
        <w:spacing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供应商应保证针对本项目的服务（或货物）所涉及到的知识产权和所提供的相关技术资料是合法取得，并享有完整的知识产权，不会因为采购人的使用而被责令停止使用、追偿或要求赔偿损失，如出现此情况，一切经济和法律责任均由供应商承担。</w:t>
      </w:r>
    </w:p>
    <w:p w14:paraId="3E99D0BA">
      <w:pPr>
        <w:spacing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（4）为保障本项目高效开展，数据采集服务招标完成后、组织安装前需与省平台进行兼容性测试，确保采购的相关设备能按规范要求直联省平台。</w:t>
      </w:r>
    </w:p>
    <w:p w14:paraId="0284F4F2">
      <w:pPr>
        <w:spacing w:line="360" w:lineRule="auto"/>
        <w:ind w:firstLine="482" w:firstLineChars="200"/>
        <w:jc w:val="left"/>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三</w:t>
      </w:r>
      <w:r>
        <w:rPr>
          <w:rFonts w:hint="eastAsia" w:ascii="仿宋" w:hAnsi="仿宋" w:eastAsia="仿宋" w:cs="仿宋"/>
          <w:b/>
          <w:bCs/>
          <w:color w:val="000000"/>
          <w:sz w:val="24"/>
          <w:szCs w:val="24"/>
        </w:rPr>
        <w:t>、</w:t>
      </w:r>
      <w:r>
        <w:rPr>
          <w:rFonts w:hint="eastAsia" w:ascii="仿宋" w:hAnsi="仿宋" w:eastAsia="仿宋" w:cs="仿宋"/>
          <w:b/>
          <w:bCs/>
          <w:color w:val="000000"/>
          <w:sz w:val="24"/>
          <w:szCs w:val="24"/>
          <w:lang w:val="en-US" w:eastAsia="zh-CN"/>
        </w:rPr>
        <w:t>服务内容及要求</w:t>
      </w:r>
    </w:p>
    <w:p w14:paraId="115F51F7">
      <w:pPr>
        <w:pStyle w:val="178"/>
        <w:spacing w:line="360" w:lineRule="auto"/>
        <w:ind w:left="420" w:leftChars="200" w:firstLine="480" w:firstLineChars="200"/>
        <w:textAlignment w:val="auto"/>
        <w:rPr>
          <w:rStyle w:val="79"/>
          <w:rFonts w:hint="default" w:ascii="仿宋" w:hAnsi="仿宋" w:eastAsia="仿宋" w:cs="仿宋"/>
          <w:b w:val="0"/>
          <w:bCs/>
          <w:sz w:val="24"/>
          <w:lang w:val="en-US"/>
        </w:rPr>
      </w:pPr>
      <w:r>
        <w:rPr>
          <w:rStyle w:val="79"/>
          <w:rFonts w:hint="eastAsia" w:ascii="仿宋" w:hAnsi="仿宋" w:eastAsia="仿宋" w:cs="仿宋"/>
          <w:b w:val="0"/>
          <w:bCs/>
          <w:sz w:val="24"/>
          <w:lang w:val="en-US"/>
        </w:rPr>
        <w:t>3.1服务内容</w:t>
      </w:r>
    </w:p>
    <w:p w14:paraId="1F9E817C">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为进一步推动我省政务信息化建设,实现全省成品油流通数字化、智慧化监管,加强对山西省成品油流通智慧监管平台建设，现建设加油站物联网硬件数据采集服务包括：加油机数据采集服务、油罐液位仪数据采集服务、智能 AI 视联数据采集服务。</w:t>
      </w:r>
    </w:p>
    <w:p w14:paraId="52DB89C9">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（1）购置并安装数据采集服务终端。包括购置安装 27 座民营加油机数据采集服务、油罐液位仪数据采集服务、视频分析服务等数据采集服务终端用于加油站进销存数据、视频数据采集与接入。</w:t>
      </w:r>
    </w:p>
    <w:p w14:paraId="50EF5A68">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2）加油站各类数据采集服务终端，按照省成品油工作专班关于山西省成品油流通智慧监管平台数据采集技术规范的相关要求，以设备数据直连的方式接入到山西省成品油流通智慧监管平台，可以实现边安装边接入省平台。与省平台保持一站一数据同步校验以确保数据符合接入规范要求。数据不得通过任何第三方软件的方式接入省平台。</w:t>
      </w:r>
    </w:p>
    <w:p w14:paraId="385549F0">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（3）对部分非标准加油站进行整改。整改内容包括：铺设加油站通讯链路，推动加油机主板升级更新，修复液位仪通讯功能等。</w:t>
      </w:r>
    </w:p>
    <w:p w14:paraId="02C15B29">
      <w:pPr>
        <w:pStyle w:val="178"/>
        <w:spacing w:line="360" w:lineRule="auto"/>
        <w:ind w:left="420" w:leftChars="200" w:firstLine="480" w:firstLineChars="200"/>
        <w:textAlignment w:val="auto"/>
        <w:rPr>
          <w:rStyle w:val="79"/>
          <w:rFonts w:hint="default" w:ascii="仿宋" w:hAnsi="仿宋" w:eastAsia="仿宋" w:cs="仿宋"/>
          <w:b w:val="0"/>
          <w:bCs/>
          <w:sz w:val="24"/>
          <w:lang w:val="en-US"/>
        </w:rPr>
      </w:pPr>
      <w:r>
        <w:rPr>
          <w:rStyle w:val="79"/>
          <w:rFonts w:hint="eastAsia" w:ascii="仿宋" w:hAnsi="仿宋" w:eastAsia="仿宋" w:cs="仿宋"/>
          <w:b w:val="0"/>
          <w:bCs/>
          <w:sz w:val="24"/>
          <w:lang w:val="en-US"/>
        </w:rPr>
        <w:t>3.2、芮城县成品油流通智慧监管平台建设及设备运行维护项目清单</w:t>
      </w:r>
    </w:p>
    <w:tbl>
      <w:tblPr>
        <w:tblStyle w:val="39"/>
        <w:tblW w:w="97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1"/>
        <w:gridCol w:w="1237"/>
        <w:gridCol w:w="813"/>
        <w:gridCol w:w="675"/>
        <w:gridCol w:w="5715"/>
        <w:gridCol w:w="638"/>
      </w:tblGrid>
      <w:tr w14:paraId="1672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trPr>
        <w:tc>
          <w:tcPr>
            <w:tcW w:w="681" w:type="dxa"/>
            <w:shd w:val="clear" w:color="auto" w:fill="FFFFFF"/>
            <w:noWrap/>
            <w:vAlign w:val="center"/>
          </w:tcPr>
          <w:p w14:paraId="6FD6634D">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1237" w:type="dxa"/>
            <w:shd w:val="clear" w:color="auto" w:fill="FFFFFF"/>
            <w:noWrap/>
            <w:vAlign w:val="center"/>
          </w:tcPr>
          <w:p w14:paraId="3A350981">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服务名称</w:t>
            </w:r>
          </w:p>
        </w:tc>
        <w:tc>
          <w:tcPr>
            <w:tcW w:w="813" w:type="dxa"/>
            <w:shd w:val="clear" w:color="auto" w:fill="FFFFFF"/>
            <w:noWrap/>
            <w:vAlign w:val="center"/>
          </w:tcPr>
          <w:p w14:paraId="1F4FCF95">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675" w:type="dxa"/>
            <w:shd w:val="clear" w:color="auto" w:fill="FFFFFF"/>
            <w:noWrap/>
            <w:vAlign w:val="center"/>
          </w:tcPr>
          <w:p w14:paraId="34ECBD7C">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5715" w:type="dxa"/>
            <w:shd w:val="clear" w:color="auto" w:fill="FFFFFF"/>
            <w:noWrap/>
            <w:vAlign w:val="center"/>
          </w:tcPr>
          <w:p w14:paraId="14128BBE">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技术要求</w:t>
            </w:r>
          </w:p>
        </w:tc>
        <w:tc>
          <w:tcPr>
            <w:tcW w:w="638" w:type="dxa"/>
            <w:shd w:val="clear" w:color="auto" w:fill="FFFFFF"/>
            <w:noWrap/>
            <w:vAlign w:val="center"/>
          </w:tcPr>
          <w:p w14:paraId="793F964F">
            <w:pPr>
              <w:keepNext w:val="0"/>
              <w:keepLines w:val="0"/>
              <w:widowControl/>
              <w:suppressLineNumbers w:val="0"/>
              <w:spacing w:line="36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1783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5" w:hRule="atLeast"/>
        </w:trPr>
        <w:tc>
          <w:tcPr>
            <w:tcW w:w="681" w:type="dxa"/>
            <w:vMerge w:val="restart"/>
            <w:shd w:val="clear" w:color="auto" w:fill="FFFFFF"/>
            <w:noWrap/>
            <w:vAlign w:val="center"/>
          </w:tcPr>
          <w:p w14:paraId="4EB4CEF4">
            <w:pPr>
              <w:keepNext w:val="0"/>
              <w:keepLines w:val="0"/>
              <w:widowControl/>
              <w:suppressLineNumbers w:val="0"/>
              <w:spacing w:line="36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237" w:type="dxa"/>
            <w:vMerge w:val="restart"/>
            <w:shd w:val="clear" w:color="auto" w:fill="FFFFFF"/>
            <w:noWrap/>
            <w:vAlign w:val="center"/>
          </w:tcPr>
          <w:p w14:paraId="2C2D8C3E">
            <w:pPr>
              <w:keepNext w:val="0"/>
              <w:keepLines w:val="0"/>
              <w:widowControl/>
              <w:suppressLineNumbers w:val="0"/>
              <w:spacing w:line="36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加油机数据采集服务</w:t>
            </w:r>
          </w:p>
        </w:tc>
        <w:tc>
          <w:tcPr>
            <w:tcW w:w="813" w:type="dxa"/>
            <w:vMerge w:val="restart"/>
            <w:shd w:val="clear" w:color="auto" w:fill="FFFFFF"/>
            <w:noWrap/>
            <w:vAlign w:val="center"/>
          </w:tcPr>
          <w:p w14:paraId="1EF63A8B">
            <w:pPr>
              <w:keepNext w:val="0"/>
              <w:keepLines w:val="0"/>
              <w:widowControl/>
              <w:suppressLineNumbers w:val="0"/>
              <w:spacing w:line="36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75" w:type="dxa"/>
            <w:vMerge w:val="restart"/>
            <w:shd w:val="clear" w:color="auto" w:fill="auto"/>
            <w:noWrap/>
            <w:vAlign w:val="center"/>
          </w:tcPr>
          <w:p w14:paraId="76B86E96">
            <w:pPr>
              <w:keepNext w:val="0"/>
              <w:keepLines w:val="0"/>
              <w:widowControl/>
              <w:suppressLineNumbers w:val="0"/>
              <w:spacing w:line="360" w:lineRule="auto"/>
              <w:jc w:val="center"/>
              <w:textAlignment w:val="center"/>
              <w:rPr>
                <w:rFonts w:hint="eastAsia" w:ascii="仿宋" w:hAnsi="仿宋" w:eastAsia="仿宋" w:cs="仿宋"/>
                <w:i w:val="0"/>
                <w:iCs w:val="0"/>
                <w:color w:val="000000"/>
                <w:sz w:val="18"/>
                <w:szCs w:val="18"/>
                <w:u w:val="none"/>
                <w:lang w:eastAsia="zh-CN"/>
              </w:rPr>
            </w:pPr>
            <w:r>
              <w:rPr>
                <w:rFonts w:hint="eastAsia" w:ascii="仿宋" w:hAnsi="仿宋" w:eastAsia="仿宋" w:cs="仿宋"/>
                <w:i w:val="0"/>
                <w:iCs w:val="0"/>
                <w:color w:val="000000"/>
                <w:sz w:val="18"/>
                <w:szCs w:val="18"/>
                <w:u w:val="none"/>
                <w:lang w:eastAsia="zh-CN"/>
              </w:rPr>
              <w:t>项</w:t>
            </w:r>
          </w:p>
        </w:tc>
        <w:tc>
          <w:tcPr>
            <w:tcW w:w="5715" w:type="dxa"/>
            <w:shd w:val="clear" w:color="auto" w:fill="auto"/>
            <w:vAlign w:val="center"/>
          </w:tcPr>
          <w:p w14:paraId="37D69AFF">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1.数据采集内容</w:t>
            </w:r>
          </w:p>
          <w:p w14:paraId="51D5C6BD">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加油机数据采集设备需通过加油机到站房的原通信经营链路实现数据实时采集。数据采集设备以直联加油机的方式获取油机一手数据，采集设备与油机之间不得有其它设备硬件相连。采集数据包括：油站名称、交易时间、订单编号、油品类型、油枪号、单价、加油量、加油总金额、油枪升累计，油枪金额累计等。加油机数据采集设备须能够实时监测加油机的运行状况，如加油枪空闲/加油中/异常、加油机在离线情况、加油机历史泵码数据、加油机累计金额及加油机设备信息等数据。</w:t>
            </w:r>
          </w:p>
          <w:p w14:paraId="2F4A9CF9">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2.设备功能：</w:t>
            </w:r>
          </w:p>
          <w:p w14:paraId="37B2776B">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加密：支持硬件加密</w:t>
            </w:r>
          </w:p>
          <w:p w14:paraId="005AF856">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处理器主频：不小于300MHZ</w:t>
            </w:r>
          </w:p>
          <w:p w14:paraId="0757AA0A">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内存：64MB/128MB（CPU内置）</w:t>
            </w:r>
          </w:p>
          <w:p w14:paraId="3C090CB9">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电子硬盘：256MB</w:t>
            </w:r>
          </w:p>
          <w:p w14:paraId="0935669D">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油机接口：32路</w:t>
            </w:r>
          </w:p>
          <w:p w14:paraId="5BABD016">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设备RS232口：2路</w:t>
            </w:r>
          </w:p>
          <w:p w14:paraId="2CFE16AF">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调试串口：1路</w:t>
            </w:r>
          </w:p>
          <w:p w14:paraId="1B01DCE3">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10/100M以太网口：2路</w:t>
            </w:r>
          </w:p>
          <w:p w14:paraId="527963B9">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实时时钟：1路</w:t>
            </w:r>
          </w:p>
          <w:p w14:paraId="347A7CFC">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物联网卡通讯模组：支持4G/5G网络</w:t>
            </w:r>
          </w:p>
          <w:p w14:paraId="4AB1A417">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工作温度：-40℃~+85℃</w:t>
            </w:r>
          </w:p>
          <w:p w14:paraId="0F671395">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电源输入：220V±10%,50HZ</w:t>
            </w:r>
          </w:p>
          <w:p w14:paraId="7A19F876">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文件系统：YAFFS2</w:t>
            </w:r>
          </w:p>
          <w:p w14:paraId="0B0A965D">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Web服务器：Boa</w:t>
            </w:r>
          </w:p>
          <w:p w14:paraId="613FE39C">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FTP服务器：ftpd</w:t>
            </w:r>
          </w:p>
          <w:p w14:paraId="00A9434C">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Telnet服务器：telnetd</w:t>
            </w:r>
          </w:p>
          <w:p w14:paraId="4042AD9F">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Nfs服务器：支持nfs加载</w:t>
            </w:r>
          </w:p>
          <w:p w14:paraId="08B320DC">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Shell服务器：sshd</w:t>
            </w:r>
          </w:p>
          <w:p w14:paraId="4E356E1D">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TCP服务器管理程序：inetd</w:t>
            </w:r>
          </w:p>
          <w:p w14:paraId="63C4A765">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支持监管系统与用户应用程序的在线升级与更新</w:t>
            </w:r>
          </w:p>
          <w:p w14:paraId="6AAB1337">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支持USB设备热拔插操作。</w:t>
            </w:r>
          </w:p>
        </w:tc>
        <w:tc>
          <w:tcPr>
            <w:tcW w:w="638" w:type="dxa"/>
            <w:vMerge w:val="restart"/>
            <w:shd w:val="clear" w:color="auto" w:fill="FFFFFF"/>
            <w:vAlign w:val="center"/>
          </w:tcPr>
          <w:p w14:paraId="5D3FB7D9">
            <w:pPr>
              <w:spacing w:line="360" w:lineRule="auto"/>
              <w:jc w:val="left"/>
              <w:rPr>
                <w:rFonts w:hint="eastAsia" w:ascii="仿宋" w:hAnsi="仿宋" w:eastAsia="仿宋" w:cs="仿宋"/>
                <w:i w:val="0"/>
                <w:iCs w:val="0"/>
                <w:color w:val="000000"/>
                <w:sz w:val="18"/>
                <w:szCs w:val="18"/>
                <w:u w:val="none"/>
              </w:rPr>
            </w:pPr>
          </w:p>
        </w:tc>
      </w:tr>
      <w:tr w14:paraId="281E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81" w:type="dxa"/>
            <w:vMerge w:val="restart"/>
            <w:shd w:val="clear" w:color="auto" w:fill="FFFFFF"/>
            <w:noWrap/>
            <w:vAlign w:val="center"/>
          </w:tcPr>
          <w:p w14:paraId="3614CB3D">
            <w:pPr>
              <w:keepNext w:val="0"/>
              <w:keepLines w:val="0"/>
              <w:widowControl/>
              <w:suppressLineNumbers w:val="0"/>
              <w:spacing w:line="36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237" w:type="dxa"/>
            <w:vMerge w:val="restart"/>
            <w:shd w:val="clear" w:color="auto" w:fill="FFFFFF"/>
            <w:noWrap/>
            <w:vAlign w:val="center"/>
          </w:tcPr>
          <w:p w14:paraId="723DFD96">
            <w:pPr>
              <w:keepNext w:val="0"/>
              <w:keepLines w:val="0"/>
              <w:widowControl/>
              <w:suppressLineNumbers w:val="0"/>
              <w:spacing w:line="36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油罐液位仪数据采集服务</w:t>
            </w:r>
          </w:p>
        </w:tc>
        <w:tc>
          <w:tcPr>
            <w:tcW w:w="813" w:type="dxa"/>
            <w:vMerge w:val="restart"/>
            <w:shd w:val="clear" w:color="auto" w:fill="FFFFFF"/>
            <w:noWrap/>
            <w:vAlign w:val="center"/>
          </w:tcPr>
          <w:p w14:paraId="68ED1B61">
            <w:pPr>
              <w:keepNext w:val="0"/>
              <w:keepLines w:val="0"/>
              <w:widowControl/>
              <w:suppressLineNumbers w:val="0"/>
              <w:spacing w:line="36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75" w:type="dxa"/>
            <w:vMerge w:val="restart"/>
            <w:shd w:val="clear" w:color="auto" w:fill="auto"/>
            <w:noWrap/>
            <w:vAlign w:val="center"/>
          </w:tcPr>
          <w:p w14:paraId="19C27E59">
            <w:pPr>
              <w:keepNext w:val="0"/>
              <w:keepLines w:val="0"/>
              <w:widowControl/>
              <w:suppressLineNumbers w:val="0"/>
              <w:spacing w:line="36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5715" w:type="dxa"/>
            <w:shd w:val="clear" w:color="auto" w:fill="auto"/>
            <w:vAlign w:val="center"/>
          </w:tcPr>
          <w:p w14:paraId="50255E51">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1.数据采集内容</w:t>
            </w:r>
          </w:p>
          <w:p w14:paraId="660E0714">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油罐液位仪数据采集应通过VR协议与液位仪控制台的连接实现液位仪控制台进油数据和油罐库存数据的采集。油罐液位仪数据采集设备通过与液位仪控制台的连接可实时采集加油站油罐数据，包括油罐编号及对应油品型号、油位高度、油罐体积、油罐温度、油罐测漏记录等。通过对油罐油位高度的实时采集，记录油罐液位的准确变化及油罐的进油数据，包括进油时间、油品类型、油品规格、进油量、进油次数等。</w:t>
            </w:r>
          </w:p>
          <w:p w14:paraId="0CBD4121">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2.设备功能：</w:t>
            </w:r>
          </w:p>
          <w:p w14:paraId="770252B8">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加密：支持硬件加密</w:t>
            </w:r>
          </w:p>
          <w:p w14:paraId="65292FD9">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主频：不小于1.2GHz</w:t>
            </w:r>
          </w:p>
          <w:p w14:paraId="56359B39">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内存：128MB（CPU内置）</w:t>
            </w:r>
          </w:p>
          <w:p w14:paraId="6952C2EB">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电子硬盘：256MB</w:t>
            </w:r>
          </w:p>
          <w:p w14:paraId="1FE438CA">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液位仪接口：2路</w:t>
            </w:r>
          </w:p>
          <w:p w14:paraId="0A349911">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设备RS232口：2路</w:t>
            </w:r>
          </w:p>
          <w:p w14:paraId="57E80C8C">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调试串口：1路</w:t>
            </w:r>
          </w:p>
          <w:p w14:paraId="4CBF715E">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10/100M以太网口：2路</w:t>
            </w:r>
          </w:p>
          <w:p w14:paraId="656DC2D9">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实时时钟：1路</w:t>
            </w:r>
          </w:p>
          <w:p w14:paraId="2F1E7021">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物联网卡通讯模组：支持4G/5G网络</w:t>
            </w:r>
          </w:p>
          <w:p w14:paraId="5159E119">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工作温度：-40℃~+85℃</w:t>
            </w:r>
          </w:p>
          <w:p w14:paraId="2BDB1E78">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电源输入：DC12V~24V</w:t>
            </w:r>
          </w:p>
          <w:p w14:paraId="66B1509E">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文件系统：YAFFS2</w:t>
            </w:r>
          </w:p>
          <w:p w14:paraId="12E65252">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Web服务器：Boa</w:t>
            </w:r>
          </w:p>
          <w:p w14:paraId="4A523E2C">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FTP服务器：ftpd</w:t>
            </w:r>
          </w:p>
          <w:p w14:paraId="4ABA54DF">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Telnet服务器：telnetd</w:t>
            </w:r>
          </w:p>
          <w:p w14:paraId="2F9AB14E">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Nfs服务器：支持nfs加载</w:t>
            </w:r>
          </w:p>
          <w:p w14:paraId="4F33FB68">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Shell服务器：sshd</w:t>
            </w:r>
          </w:p>
          <w:p w14:paraId="163BB10F">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TCP服务器管理程序：inetd</w:t>
            </w:r>
          </w:p>
          <w:p w14:paraId="59B10126">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支持监管系统与用户应用程序的在线升级与更新</w:t>
            </w:r>
          </w:p>
          <w:p w14:paraId="37AAC9D1">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支持USB设备热拔插操作。</w:t>
            </w:r>
          </w:p>
        </w:tc>
        <w:tc>
          <w:tcPr>
            <w:tcW w:w="638" w:type="dxa"/>
            <w:vMerge w:val="restart"/>
            <w:shd w:val="clear" w:color="auto" w:fill="FFFFFF"/>
            <w:vAlign w:val="center"/>
          </w:tcPr>
          <w:p w14:paraId="44219781">
            <w:pPr>
              <w:spacing w:line="360" w:lineRule="auto"/>
              <w:jc w:val="left"/>
              <w:rPr>
                <w:rFonts w:hint="eastAsia" w:ascii="仿宋" w:hAnsi="仿宋" w:eastAsia="仿宋" w:cs="仿宋"/>
                <w:i w:val="0"/>
                <w:iCs w:val="0"/>
                <w:color w:val="000000"/>
                <w:sz w:val="18"/>
                <w:szCs w:val="18"/>
                <w:u w:val="none"/>
              </w:rPr>
            </w:pPr>
          </w:p>
        </w:tc>
      </w:tr>
      <w:tr w14:paraId="2FE8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33" w:hRule="atLeast"/>
        </w:trPr>
        <w:tc>
          <w:tcPr>
            <w:tcW w:w="681" w:type="dxa"/>
            <w:shd w:val="clear" w:color="auto" w:fill="FFFFFF"/>
            <w:noWrap/>
            <w:vAlign w:val="center"/>
          </w:tcPr>
          <w:p w14:paraId="020FAB2C">
            <w:pPr>
              <w:keepNext w:val="0"/>
              <w:keepLines w:val="0"/>
              <w:widowControl/>
              <w:suppressLineNumbers w:val="0"/>
              <w:spacing w:line="36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237" w:type="dxa"/>
            <w:shd w:val="clear" w:color="auto" w:fill="FFFFFF"/>
            <w:noWrap/>
            <w:vAlign w:val="center"/>
          </w:tcPr>
          <w:p w14:paraId="5980E9C7">
            <w:pPr>
              <w:keepNext w:val="0"/>
              <w:keepLines w:val="0"/>
              <w:widowControl/>
              <w:suppressLineNumbers w:val="0"/>
              <w:spacing w:line="36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视联终端服务</w:t>
            </w:r>
          </w:p>
        </w:tc>
        <w:tc>
          <w:tcPr>
            <w:tcW w:w="813" w:type="dxa"/>
            <w:shd w:val="clear" w:color="auto" w:fill="FFFFFF"/>
            <w:noWrap/>
            <w:vAlign w:val="center"/>
          </w:tcPr>
          <w:p w14:paraId="7DC20F28">
            <w:pPr>
              <w:keepNext w:val="0"/>
              <w:keepLines w:val="0"/>
              <w:widowControl/>
              <w:suppressLineNumbers w:val="0"/>
              <w:spacing w:line="36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75" w:type="dxa"/>
            <w:shd w:val="clear" w:color="auto" w:fill="auto"/>
            <w:noWrap/>
            <w:vAlign w:val="center"/>
          </w:tcPr>
          <w:p w14:paraId="667C7B00">
            <w:pPr>
              <w:keepNext w:val="0"/>
              <w:keepLines w:val="0"/>
              <w:widowControl/>
              <w:suppressLineNumbers w:val="0"/>
              <w:spacing w:line="36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5715" w:type="dxa"/>
            <w:shd w:val="clear" w:color="auto" w:fill="auto"/>
            <w:vAlign w:val="center"/>
          </w:tcPr>
          <w:p w14:paraId="31FF1148">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1.数据采集内容</w:t>
            </w:r>
          </w:p>
          <w:p w14:paraId="1E12BDDF">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智能AI视联设备应通过对接加油站已有网络摄像机及硬盘录像机（利旧），实时对接加油站视频，实现加油站视频监控、远程巡检和AI智能监管（各类监管事件识别等）。同时，通过链接加油机数据采集设备、油罐液位仪数据采集设备等，实现多维数据之间的相互补充和验证，实现一站一管理。采集接入数据均需要通过互联网实时上传山西省成品油监管平台，保障数据传输的安全性和可靠性。设备应具备算法可扩展性，算法应监管需要推陈出新，不断更新x算法应用从而满足监管部门的不同监管需求。</w:t>
            </w:r>
          </w:p>
          <w:p w14:paraId="5645D876">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2.设备功能：</w:t>
            </w:r>
          </w:p>
          <w:p w14:paraId="6833DC0B">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物联接口：</w:t>
            </w:r>
          </w:p>
          <w:p w14:paraId="6EA8A331">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-RS485/RS232接口：12个</w:t>
            </w:r>
          </w:p>
          <w:p w14:paraId="10BC405D">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-告警输入DI：16个</w:t>
            </w:r>
          </w:p>
          <w:p w14:paraId="3FEF6A92">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-告警输出DO：12个</w:t>
            </w:r>
          </w:p>
          <w:p w14:paraId="07E09AC4">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-模拟量输入：16个（0-5V或4-20mA）</w:t>
            </w:r>
          </w:p>
          <w:p w14:paraId="1DF5B326">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物联能力：</w:t>
            </w:r>
          </w:p>
          <w:p w14:paraId="19E00148">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-网闸：内置单向安全隔离模块</w:t>
            </w:r>
          </w:p>
          <w:p w14:paraId="1C366A87">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-对下协议：ModbusTCP，ModbusRTU，ModbusRTUoverTCP，OPCDA(2.0)</w:t>
            </w:r>
          </w:p>
          <w:p w14:paraId="464E515C">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-对上协议：ISAPI，ISUP，SDK，GB28181（视频）</w:t>
            </w:r>
          </w:p>
          <w:p w14:paraId="051B2DFB">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-站点数量：主控20个；采集板20个</w:t>
            </w:r>
          </w:p>
          <w:p w14:paraId="50D23FD2">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-整机变量：5000个</w:t>
            </w:r>
          </w:p>
          <w:p w14:paraId="0397A863">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音视频能力：</w:t>
            </w:r>
          </w:p>
          <w:p w14:paraId="778A5A84">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-网络视频输入：64路</w:t>
            </w:r>
          </w:p>
          <w:p w14:paraId="73E1ED2F">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-网络视频接入协议：ONVIF，RTSP，GB28181</w:t>
            </w:r>
          </w:p>
          <w:p w14:paraId="6D28294C">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-网络带（IN/OUT）：输入320Mbps，输出256Mbps</w:t>
            </w:r>
          </w:p>
          <w:p w14:paraId="4686640A">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-网络摄像机接入分辨率：8MP/6MP/5MP/4MP/3MP/1080p/UXGA/720p</w:t>
            </w:r>
          </w:p>
          <w:p w14:paraId="33B52126">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-智能分析算法：内置抽烟识别、接打电话识别、越界检测、区域入侵、进入区域、离开区域、烟火检测、目标识别、车牌和车型识别、油机提放枪识别等算法</w:t>
            </w:r>
          </w:p>
          <w:p w14:paraId="383AEF5A">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-音频输入：1个</w:t>
            </w:r>
          </w:p>
          <w:p w14:paraId="574A2C88">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-音频输出：1个</w:t>
            </w:r>
          </w:p>
          <w:p w14:paraId="070898FC">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-HDMI输出：1个</w:t>
            </w:r>
          </w:p>
          <w:p w14:paraId="0E80266B">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-本地输出分辨率：1280×720/60Hz,1920×1080/60Hz,4K（3840×2160）/30Hz,1280x1024/60Hz,1600x1200/60Hz,2K（2560×1440）/60Hz</w:t>
            </w:r>
          </w:p>
          <w:p w14:paraId="72A152A9">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-本地输出解码能力：16个1080P</w:t>
            </w:r>
          </w:p>
          <w:p w14:paraId="0BE1F382">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-WEB同步回放能力：16路</w:t>
            </w:r>
          </w:p>
          <w:p w14:paraId="6BAA9DB5">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通用接口：</w:t>
            </w:r>
          </w:p>
          <w:p w14:paraId="05BB1635">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-硬盘接口：2个SATA接口，单个SATA支持最大8TB</w:t>
            </w:r>
          </w:p>
          <w:p w14:paraId="46BD0CF1">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-SSD：1个，内置不小于128GB存储</w:t>
            </w:r>
          </w:p>
          <w:p w14:paraId="22B8AF68">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-网口：主控6个千兆RJ45 10M/100M/1000M自适应以太网口；采集板8个千兆RJ45 10M/100M/1000M自适应以太网口；光口1个千兆SFP光口</w:t>
            </w:r>
          </w:p>
          <w:p w14:paraId="3560409A">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-USB接口：3个</w:t>
            </w:r>
          </w:p>
          <w:p w14:paraId="124D61E0">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-对外供电接口：1个（DC12V 1A）</w:t>
            </w:r>
          </w:p>
          <w:p w14:paraId="7D25F1FD">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-RS232调试口：1个</w:t>
            </w:r>
          </w:p>
          <w:p w14:paraId="0E562083">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一般规范：</w:t>
            </w:r>
          </w:p>
          <w:p w14:paraId="1B0EA347">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-机箱：1U标准机箱</w:t>
            </w:r>
          </w:p>
          <w:p w14:paraId="0CD33F7B">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-重量：≤12kg</w:t>
            </w:r>
          </w:p>
          <w:p w14:paraId="2D478EC6">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-工作温度：-10°C--＋55°C</w:t>
            </w:r>
          </w:p>
          <w:p w14:paraId="0095C576">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-工作湿度：10％--90％</w:t>
            </w:r>
          </w:p>
          <w:p w14:paraId="2BD99963">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-供电电源：100~127VAC@3A,50/60Hz；200~240VAC@1.5A,50/60Hz(支持宽压输入)</w:t>
            </w:r>
          </w:p>
          <w:p w14:paraId="0C1A055F">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-整机功耗：≤90W</w:t>
            </w:r>
          </w:p>
        </w:tc>
        <w:tc>
          <w:tcPr>
            <w:tcW w:w="638" w:type="dxa"/>
            <w:shd w:val="clear" w:color="auto" w:fill="FFFFFF"/>
            <w:vAlign w:val="center"/>
          </w:tcPr>
          <w:p w14:paraId="7B54F7D8">
            <w:pPr>
              <w:spacing w:line="360" w:lineRule="auto"/>
              <w:jc w:val="left"/>
              <w:rPr>
                <w:rFonts w:hint="eastAsia" w:ascii="仿宋" w:hAnsi="仿宋" w:eastAsia="仿宋" w:cs="仿宋"/>
                <w:i w:val="0"/>
                <w:iCs w:val="0"/>
                <w:color w:val="000000"/>
                <w:sz w:val="18"/>
                <w:szCs w:val="18"/>
                <w:u w:val="none"/>
              </w:rPr>
            </w:pPr>
          </w:p>
        </w:tc>
      </w:tr>
      <w:tr w14:paraId="16CF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81" w:type="dxa"/>
            <w:shd w:val="clear" w:color="auto" w:fill="FFFFFF"/>
            <w:noWrap/>
            <w:vAlign w:val="center"/>
          </w:tcPr>
          <w:p w14:paraId="3E5221E2">
            <w:pPr>
              <w:keepNext w:val="0"/>
              <w:keepLines w:val="0"/>
              <w:widowControl/>
              <w:suppressLineNumbers w:val="0"/>
              <w:spacing w:line="36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237" w:type="dxa"/>
            <w:shd w:val="clear" w:color="auto" w:fill="FFFFFF"/>
            <w:noWrap/>
            <w:vAlign w:val="center"/>
          </w:tcPr>
          <w:p w14:paraId="1D5C3043">
            <w:pPr>
              <w:keepNext w:val="0"/>
              <w:keepLines w:val="0"/>
              <w:widowControl/>
              <w:suppressLineNumbers w:val="0"/>
              <w:spacing w:line="36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安装实施辅材</w:t>
            </w:r>
          </w:p>
        </w:tc>
        <w:tc>
          <w:tcPr>
            <w:tcW w:w="813" w:type="dxa"/>
            <w:shd w:val="clear" w:color="auto" w:fill="FFFFFF"/>
            <w:noWrap/>
            <w:vAlign w:val="center"/>
          </w:tcPr>
          <w:p w14:paraId="72ADE0A8">
            <w:pPr>
              <w:keepNext w:val="0"/>
              <w:keepLines w:val="0"/>
              <w:widowControl/>
              <w:suppressLineNumbers w:val="0"/>
              <w:spacing w:line="36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75" w:type="dxa"/>
            <w:shd w:val="clear" w:color="auto" w:fill="auto"/>
            <w:noWrap/>
            <w:vAlign w:val="center"/>
          </w:tcPr>
          <w:p w14:paraId="5C596202">
            <w:pPr>
              <w:keepNext w:val="0"/>
              <w:keepLines w:val="0"/>
              <w:widowControl/>
              <w:suppressLineNumbers w:val="0"/>
              <w:spacing w:line="36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715" w:type="dxa"/>
            <w:shd w:val="clear" w:color="auto" w:fill="auto"/>
            <w:vAlign w:val="center"/>
          </w:tcPr>
          <w:p w14:paraId="670A8F02">
            <w:pPr>
              <w:keepNext w:val="0"/>
              <w:keepLines w:val="0"/>
              <w:widowControl/>
              <w:suppressLineNumbers w:val="0"/>
              <w:spacing w:line="36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安装所需线材、辅材等</w:t>
            </w:r>
          </w:p>
        </w:tc>
        <w:tc>
          <w:tcPr>
            <w:tcW w:w="638" w:type="dxa"/>
            <w:shd w:val="clear" w:color="auto" w:fill="FFFFFF"/>
            <w:vAlign w:val="center"/>
          </w:tcPr>
          <w:p w14:paraId="1242EE12">
            <w:pPr>
              <w:spacing w:line="360" w:lineRule="auto"/>
              <w:jc w:val="left"/>
              <w:rPr>
                <w:rFonts w:hint="eastAsia" w:ascii="仿宋" w:hAnsi="仿宋" w:eastAsia="仿宋" w:cs="仿宋"/>
                <w:i w:val="0"/>
                <w:iCs w:val="0"/>
                <w:color w:val="000000"/>
                <w:sz w:val="18"/>
                <w:szCs w:val="18"/>
                <w:u w:val="none"/>
              </w:rPr>
            </w:pPr>
          </w:p>
        </w:tc>
      </w:tr>
      <w:tr w14:paraId="4304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81" w:type="dxa"/>
            <w:shd w:val="clear" w:color="auto" w:fill="FFFFFF"/>
            <w:noWrap/>
            <w:vAlign w:val="center"/>
          </w:tcPr>
          <w:p w14:paraId="193A4A7D">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1237" w:type="dxa"/>
            <w:shd w:val="clear" w:color="auto" w:fill="FFFFFF"/>
            <w:noWrap/>
            <w:vAlign w:val="center"/>
          </w:tcPr>
          <w:p w14:paraId="35D040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物联网卡</w:t>
            </w:r>
          </w:p>
        </w:tc>
        <w:tc>
          <w:tcPr>
            <w:tcW w:w="813" w:type="dxa"/>
            <w:shd w:val="clear" w:color="auto" w:fill="FFFFFF"/>
            <w:noWrap/>
            <w:vAlign w:val="center"/>
          </w:tcPr>
          <w:p w14:paraId="6D4C76F2">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54</w:t>
            </w:r>
          </w:p>
        </w:tc>
        <w:tc>
          <w:tcPr>
            <w:tcW w:w="675" w:type="dxa"/>
            <w:shd w:val="clear" w:color="auto" w:fill="auto"/>
            <w:noWrap/>
            <w:vAlign w:val="center"/>
          </w:tcPr>
          <w:p w14:paraId="4A37C9C7">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年/年</w:t>
            </w:r>
          </w:p>
        </w:tc>
        <w:tc>
          <w:tcPr>
            <w:tcW w:w="5715" w:type="dxa"/>
            <w:shd w:val="clear" w:color="auto" w:fill="auto"/>
            <w:vAlign w:val="center"/>
          </w:tcPr>
          <w:p w14:paraId="30F7D13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每站 2 张，用于加油机、液位仪、智能AI 视联独立接入），流量：3G/月</w:t>
            </w:r>
          </w:p>
        </w:tc>
        <w:tc>
          <w:tcPr>
            <w:tcW w:w="638" w:type="dxa"/>
            <w:shd w:val="clear" w:color="auto" w:fill="FFFFFF"/>
            <w:vAlign w:val="center"/>
          </w:tcPr>
          <w:p w14:paraId="39657970">
            <w:pPr>
              <w:spacing w:line="360" w:lineRule="auto"/>
              <w:jc w:val="left"/>
              <w:rPr>
                <w:rFonts w:hint="eastAsia" w:ascii="仿宋" w:hAnsi="仿宋" w:eastAsia="仿宋" w:cs="仿宋"/>
                <w:i w:val="0"/>
                <w:iCs w:val="0"/>
                <w:color w:val="000000"/>
                <w:sz w:val="18"/>
                <w:szCs w:val="18"/>
                <w:u w:val="none"/>
              </w:rPr>
            </w:pPr>
          </w:p>
        </w:tc>
      </w:tr>
      <w:tr w14:paraId="00A5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81" w:type="dxa"/>
            <w:shd w:val="clear" w:color="auto" w:fill="FFFFFF"/>
            <w:noWrap/>
            <w:vAlign w:val="center"/>
          </w:tcPr>
          <w:p w14:paraId="21B3C1BF">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1237" w:type="dxa"/>
            <w:shd w:val="clear" w:color="auto" w:fill="FFFFFF"/>
            <w:noWrap/>
            <w:vAlign w:val="center"/>
          </w:tcPr>
          <w:p w14:paraId="2B8A0B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网络宽带</w:t>
            </w:r>
          </w:p>
        </w:tc>
        <w:tc>
          <w:tcPr>
            <w:tcW w:w="813" w:type="dxa"/>
            <w:shd w:val="clear" w:color="auto" w:fill="FFFFFF"/>
            <w:noWrap/>
            <w:vAlign w:val="center"/>
          </w:tcPr>
          <w:p w14:paraId="37565784">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27</w:t>
            </w:r>
          </w:p>
        </w:tc>
        <w:tc>
          <w:tcPr>
            <w:tcW w:w="675" w:type="dxa"/>
            <w:shd w:val="clear" w:color="auto" w:fill="auto"/>
            <w:noWrap/>
            <w:vAlign w:val="center"/>
          </w:tcPr>
          <w:p w14:paraId="1B243149">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条/年</w:t>
            </w:r>
          </w:p>
        </w:tc>
        <w:tc>
          <w:tcPr>
            <w:tcW w:w="5715" w:type="dxa"/>
            <w:shd w:val="clear" w:color="auto" w:fill="auto"/>
            <w:vAlign w:val="center"/>
          </w:tcPr>
          <w:p w14:paraId="4576EE6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每站铺设宽带专线 1 条，满足多终端并发传输及远程监管需要，每条宽带带宽≥30M</w:t>
            </w:r>
          </w:p>
        </w:tc>
        <w:tc>
          <w:tcPr>
            <w:tcW w:w="638" w:type="dxa"/>
            <w:shd w:val="clear" w:color="auto" w:fill="FFFFFF"/>
            <w:vAlign w:val="center"/>
          </w:tcPr>
          <w:p w14:paraId="22E4210B">
            <w:pPr>
              <w:spacing w:line="360" w:lineRule="auto"/>
              <w:jc w:val="left"/>
              <w:rPr>
                <w:rFonts w:hint="eastAsia" w:ascii="仿宋" w:hAnsi="仿宋" w:eastAsia="仿宋" w:cs="仿宋"/>
                <w:i w:val="0"/>
                <w:iCs w:val="0"/>
                <w:color w:val="000000"/>
                <w:sz w:val="18"/>
                <w:szCs w:val="18"/>
                <w:u w:val="none"/>
              </w:rPr>
            </w:pPr>
          </w:p>
        </w:tc>
      </w:tr>
      <w:tr w14:paraId="37BC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81" w:type="dxa"/>
            <w:shd w:val="clear" w:color="auto" w:fill="FFFFFF"/>
            <w:noWrap/>
            <w:vAlign w:val="center"/>
          </w:tcPr>
          <w:p w14:paraId="3D8F1566">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1237" w:type="dxa"/>
            <w:shd w:val="clear" w:color="auto" w:fill="FFFFFF"/>
            <w:noWrap/>
            <w:vAlign w:val="center"/>
          </w:tcPr>
          <w:p w14:paraId="25B4E5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安装调试服务</w:t>
            </w:r>
          </w:p>
        </w:tc>
        <w:tc>
          <w:tcPr>
            <w:tcW w:w="813" w:type="dxa"/>
            <w:shd w:val="clear" w:color="auto" w:fill="FFFFFF"/>
            <w:noWrap/>
            <w:vAlign w:val="center"/>
          </w:tcPr>
          <w:p w14:paraId="36A1C86B">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75" w:type="dxa"/>
            <w:shd w:val="clear" w:color="auto" w:fill="auto"/>
            <w:noWrap/>
            <w:vAlign w:val="center"/>
          </w:tcPr>
          <w:p w14:paraId="1ED655A2">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w:t>
            </w:r>
          </w:p>
        </w:tc>
        <w:tc>
          <w:tcPr>
            <w:tcW w:w="5715" w:type="dxa"/>
            <w:shd w:val="clear" w:color="auto" w:fill="auto"/>
            <w:vAlign w:val="center"/>
          </w:tcPr>
          <w:p w14:paraId="62ED189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对加油站实地排查、现有设备检测（是否私自更换油机核心部件与相关设备是否异常的违规问题），本次项目各数据采集设备的安装、调试，确保数据准确采集、实时回传。</w:t>
            </w:r>
          </w:p>
        </w:tc>
        <w:tc>
          <w:tcPr>
            <w:tcW w:w="638" w:type="dxa"/>
            <w:shd w:val="clear" w:color="auto" w:fill="FFFFFF"/>
            <w:vAlign w:val="center"/>
          </w:tcPr>
          <w:p w14:paraId="77A4DD65">
            <w:pPr>
              <w:spacing w:line="360" w:lineRule="auto"/>
              <w:jc w:val="left"/>
              <w:rPr>
                <w:rFonts w:hint="eastAsia" w:ascii="仿宋" w:hAnsi="仿宋" w:eastAsia="仿宋" w:cs="仿宋"/>
                <w:i w:val="0"/>
                <w:iCs w:val="0"/>
                <w:color w:val="000000"/>
                <w:sz w:val="18"/>
                <w:szCs w:val="18"/>
                <w:u w:val="none"/>
              </w:rPr>
            </w:pPr>
          </w:p>
        </w:tc>
      </w:tr>
      <w:tr w14:paraId="4A4F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681" w:type="dxa"/>
            <w:shd w:val="clear" w:color="auto" w:fill="FFFFFF"/>
            <w:noWrap/>
            <w:vAlign w:val="center"/>
          </w:tcPr>
          <w:p w14:paraId="0F3AE510">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1237" w:type="dxa"/>
            <w:shd w:val="clear" w:color="auto" w:fill="FFFFFF"/>
            <w:noWrap/>
            <w:vAlign w:val="center"/>
          </w:tcPr>
          <w:p w14:paraId="06E7B8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运维管理</w:t>
            </w:r>
          </w:p>
        </w:tc>
        <w:tc>
          <w:tcPr>
            <w:tcW w:w="813" w:type="dxa"/>
            <w:shd w:val="clear" w:color="auto" w:fill="FFFFFF"/>
            <w:noWrap/>
            <w:vAlign w:val="center"/>
          </w:tcPr>
          <w:p w14:paraId="5574C035">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75" w:type="dxa"/>
            <w:shd w:val="clear" w:color="auto" w:fill="auto"/>
            <w:noWrap/>
            <w:vAlign w:val="center"/>
          </w:tcPr>
          <w:p w14:paraId="4C2B3ABA">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w:t>
            </w:r>
          </w:p>
        </w:tc>
        <w:tc>
          <w:tcPr>
            <w:tcW w:w="5715" w:type="dxa"/>
            <w:shd w:val="clear" w:color="auto" w:fill="auto"/>
            <w:vAlign w:val="center"/>
          </w:tcPr>
          <w:p w14:paraId="3115BD7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（1）日常巡检运维</w:t>
            </w:r>
          </w:p>
          <w:p w14:paraId="51E7574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芮城县成品油流通智慧监管平台建设项目通过山西省成品油流通智慧监管平台实施日常巡检运维，确保数据采集服务的稳定运行和数据安全。每日，运维团队利用平台对全县 27 座民营加油站的采集设备进行巡检，检查设备的在线状态、数据传输的完整性以及电源供给的稳定性。每周，对巡检数据进行汇总分析，发现潜在故障或异常。每月，生成巡检报告，总结设备运行状况和维护情况，为后续运维决策提供支持。</w:t>
            </w:r>
          </w:p>
          <w:p w14:paraId="52E50E2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（2）现场设备巡检</w:t>
            </w:r>
          </w:p>
          <w:p w14:paraId="19F7FE6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每季度，运维团队到加油站现场进行设备巡检，确保设备的长期稳定运行。现场巡检内容包括设备的物理状态、运行环境和工作性能。检查设备外壳是否完好，内部是否清洁，连接线缆是否牢固；确保设备安装位置合适，周围无易燃易爆物品等安全隐患；检查传感器校准、网络连接等，确保数据采集的准确性和实时性。每次现场巡检后，详细记录巡检结果，对发现的异常或潜在故障进行拍照和记录。</w:t>
            </w:r>
          </w:p>
          <w:p w14:paraId="2CFBA4F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（3）故障处理</w:t>
            </w:r>
          </w:p>
          <w:p w14:paraId="1DEA918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故障处理是运维管理的重要环节。一旦发现故障，立即通过山西省成品油流通智慧监管平台或电话向运维团队报告故障情况。运维团队在接到故障报告后，在规定时间内响应并安排维修人员进行处理。故障处理过程中，详细记录处理步骤和结果。故障恢复后，通知加油站工作人员和相关监管部门，确认故障已解决。同时，保存并分析故障记录，发现设备运行的规律和潜在故障点。</w:t>
            </w:r>
          </w:p>
          <w:p w14:paraId="69F6ADF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（4）文档记录</w:t>
            </w:r>
          </w:p>
          <w:p w14:paraId="4830D76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运维管理强调文档记录的完整性和可追溯性。建立完整的运维文档体系，包括巡检记录、故障报告、处理结果等。每次巡检和故障处理后，及时更新运维文档。定期，对运维文档进行汇总和整理，生成运维报告。运维报告总结过去一段时间运维工作，规划未来运维工作。通过文档记录，清晰了解设备的运行状况和维护情况，支持运维决策。文档记录也是审计和检查的重要依据，确保运维工作的规范性和合规性。</w:t>
            </w:r>
          </w:p>
          <w:p w14:paraId="6E3A91F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运维期限：3年。</w:t>
            </w:r>
          </w:p>
        </w:tc>
        <w:tc>
          <w:tcPr>
            <w:tcW w:w="638" w:type="dxa"/>
            <w:shd w:val="clear" w:color="auto" w:fill="FFFFFF"/>
            <w:vAlign w:val="center"/>
          </w:tcPr>
          <w:p w14:paraId="76711698">
            <w:pPr>
              <w:spacing w:line="360" w:lineRule="auto"/>
              <w:jc w:val="left"/>
              <w:rPr>
                <w:rFonts w:hint="eastAsia" w:ascii="仿宋" w:hAnsi="仿宋" w:eastAsia="仿宋" w:cs="仿宋"/>
                <w:i w:val="0"/>
                <w:iCs w:val="0"/>
                <w:color w:val="000000"/>
                <w:sz w:val="18"/>
                <w:szCs w:val="18"/>
                <w:u w:val="none"/>
              </w:rPr>
            </w:pPr>
          </w:p>
        </w:tc>
      </w:tr>
    </w:tbl>
    <w:p w14:paraId="0B7C47B5">
      <w:pPr>
        <w:pStyle w:val="178"/>
        <w:spacing w:line="360" w:lineRule="auto"/>
        <w:ind w:left="420" w:leftChars="200" w:firstLine="480" w:firstLineChars="200"/>
        <w:textAlignment w:val="auto"/>
        <w:rPr>
          <w:rStyle w:val="79"/>
          <w:rFonts w:hint="eastAsia" w:ascii="仿宋" w:hAnsi="仿宋" w:eastAsia="仿宋" w:cs="仿宋"/>
          <w:b w:val="0"/>
          <w:bCs/>
          <w:sz w:val="24"/>
        </w:rPr>
      </w:pPr>
    </w:p>
    <w:p w14:paraId="49263F52">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lang w:val="en-US"/>
        </w:rPr>
        <w:t>3.</w:t>
      </w:r>
      <w:r>
        <w:rPr>
          <w:rStyle w:val="79"/>
          <w:rFonts w:hint="eastAsia" w:ascii="仿宋" w:hAnsi="仿宋" w:eastAsia="仿宋" w:cs="仿宋"/>
          <w:b w:val="0"/>
          <w:bCs/>
          <w:sz w:val="24"/>
        </w:rPr>
        <w:t>3、技术要求：</w:t>
      </w:r>
    </w:p>
    <w:p w14:paraId="481E3CD3">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lang w:val="en-US"/>
        </w:rPr>
        <w:t>3.3.1</w:t>
      </w:r>
      <w:r>
        <w:rPr>
          <w:rStyle w:val="79"/>
          <w:rFonts w:hint="eastAsia" w:ascii="仿宋" w:hAnsi="仿宋" w:eastAsia="仿宋" w:cs="仿宋"/>
          <w:b w:val="0"/>
          <w:bCs/>
          <w:sz w:val="24"/>
        </w:rPr>
        <w:t>数据接入原则</w:t>
      </w:r>
    </w:p>
    <w:p w14:paraId="777E523B">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1、安全性</w:t>
      </w:r>
    </w:p>
    <w:p w14:paraId="1838CC22">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加油机涉及民生计量、油机整体防爆性能。加油机数据采集服务必须严格执行国家市场监督管理总局印发的《加油站计量监督管理办法》，不得破坏计量器具及其铅（签）封，不得擅自改动、拆装燃油加油机，不得使用未经批准而改动的燃油加油机，不得弄虚作假。为避免数据失真，确保数据安全，民营油库及加油站不得使用三方软件进行数据采集接入省平台。物联网数据采集服务不得安装在加油机内部，应安装部署在加油站站房的专用机柜内，确保油机数据采集安全合规。</w:t>
      </w:r>
    </w:p>
    <w:p w14:paraId="4A2B2208">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2、合规性</w:t>
      </w:r>
    </w:p>
    <w:p w14:paraId="026BB79C">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根据市场监管总局 2024 年 5 月发布实施的《燃油加油机检定规程》（JJG443-2023)相关规定，计控主版与编码器、计控主版与指示装置的连接线应完整，中间不得有破损或接插头。</w:t>
      </w:r>
    </w:p>
    <w:p w14:paraId="6B4C085E">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3、扩展性</w:t>
      </w:r>
    </w:p>
    <w:p w14:paraId="40FEC5E9">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数据采集服务应具备良好的可扩展性，需能够实时采集符合新国标（GB/T9081-2023）的加油机数据，从而满足监管部门不同的监管需求。</w:t>
      </w:r>
    </w:p>
    <w:p w14:paraId="44DBA4E0">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4、利旧原则</w:t>
      </w:r>
    </w:p>
    <w:p w14:paraId="27062EA4">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应充分考虑对加油站原有视频设备的利旧使用，如加油站已安装的视频录像机、摄像头等。</w:t>
      </w:r>
    </w:p>
    <w:p w14:paraId="70D89DAE">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3</w:t>
      </w:r>
      <w:r>
        <w:rPr>
          <w:rStyle w:val="79"/>
          <w:rFonts w:hint="eastAsia" w:ascii="仿宋" w:hAnsi="仿宋" w:eastAsia="仿宋" w:cs="仿宋"/>
          <w:b w:val="0"/>
          <w:bCs/>
          <w:sz w:val="24"/>
          <w:lang w:val="en-US"/>
        </w:rPr>
        <w:t>.3.2</w:t>
      </w:r>
      <w:r>
        <w:rPr>
          <w:rStyle w:val="79"/>
          <w:rFonts w:hint="eastAsia" w:ascii="仿宋" w:hAnsi="仿宋" w:eastAsia="仿宋" w:cs="仿宋"/>
          <w:b w:val="0"/>
          <w:bCs/>
          <w:sz w:val="24"/>
        </w:rPr>
        <w:t>加油机数据采集服务</w:t>
      </w:r>
    </w:p>
    <w:p w14:paraId="7F4DE33A">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1.数据采集内容</w:t>
      </w:r>
    </w:p>
    <w:p w14:paraId="419EA778">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加油机数据采集服务需通过加油机到站房的原通信经营链路实现数据实时采集。数据采集服务以直联加油机的方式获取油机一手数据，采集设备与油机之间不得有其它设备硬件相连。采集数据包括：油站名称、交易时间、订单编号、油品类型、油枪号、单价、加油量、加油总金额、油枪升累计，油枪金额累计等。加油机数据采集服务须能够实时监测加油机的运行状况，如加油枪空闲/加油中/异常、加油机在离线情况、加油机历史泵码数据、加油机累计金额及加油机设备信息等数据。</w:t>
      </w:r>
    </w:p>
    <w:p w14:paraId="13DB5448">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2.采集服务功能要求</w:t>
      </w:r>
    </w:p>
    <w:p w14:paraId="5990247A">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（1）通过加油机到站房的原通信经营链路以直联加油机的方式实现加油机销售订单数据的实时采集。</w:t>
      </w:r>
    </w:p>
    <w:p w14:paraId="649C90E8">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（2）支持集成 HTTP/TCP/UDP/MQTT 协议。</w:t>
      </w:r>
    </w:p>
    <w:p w14:paraId="07DC91B4">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（3）支持数据本地存储，支持本地存储不少于每把枪 2000 笔加油订单数据。</w:t>
      </w:r>
    </w:p>
    <w:p w14:paraId="4F22A201">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（4）支持断网重连（断网离线自动重拨）、断网存储（断网离线自动存储数据）、断网续传（断网期间数据本地缓存，网络恢复后数据自动续传）。</w:t>
      </w:r>
    </w:p>
    <w:p w14:paraId="4F74999D">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（5）支持断电保存（断电离线自动存储数据），断电续传（断电回电后自动续传数据）。</w:t>
      </w:r>
    </w:p>
    <w:p w14:paraId="2C3E98C0">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（6）支持心跳包获取，可实时监测设备在线状态。</w:t>
      </w:r>
    </w:p>
    <w:p w14:paraId="635C2C60">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（7）支持远程参数配置、远程重启、远程升级、远程回滚。</w:t>
      </w:r>
    </w:p>
    <w:p w14:paraId="0551C3A4">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（8）支持数据加密传输，支持国密算法。</w:t>
      </w:r>
    </w:p>
    <w:p w14:paraId="422AB37D">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（9）支持 4G/宽带/专线数据传输，支持远程配置 IP 或域名。</w:t>
      </w:r>
    </w:p>
    <w:p w14:paraId="7B127374">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（10）支持 COM 口接入/传输，支持 COM 口扩展。</w:t>
      </w:r>
    </w:p>
    <w:p w14:paraId="586EDA7A">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（11）支持运行指示灯、支持网络通讯指示灯。</w:t>
      </w:r>
    </w:p>
    <w:p w14:paraId="3DFE2372">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（12）满足静电防护要求。</w:t>
      </w:r>
    </w:p>
    <w:p w14:paraId="3B4AC7E7">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（13）支持对 GB/T9081-2023 的加油机实时数据采集，同步获取每把枪的唯一 ID，关联的核心部件主板、监控微处理器、编码器、安全装置 ID 及其变更等数据。</w:t>
      </w:r>
    </w:p>
    <w:p w14:paraId="5695CA9E">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（14）支持对 GB/T9081-2023 的加油机每把油枪的实时报警数据采集，报警信息包括油枪在离线、安全校验错、计量超差等。</w:t>
      </w:r>
    </w:p>
    <w:p w14:paraId="0A5690C3">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（15)支持 32 路设备接口，需满足三线电流环、两线电流环、RS485、RS422以及加油机厂家自定义硬件接口等接口传输。（16）支持时间校准功能，通过实时时钟芯片（RTC 芯片）与成品油监管平台的系统时间进行同步校正，确保设备始终运行在标准时间体系下。</w:t>
      </w:r>
    </w:p>
    <w:p w14:paraId="43B92300">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（17)支持断电等异常处理功能，通过后备电池或电容启动供电，保障设备在短时间内继续运行，确保数据日志、传输记录等信息及时安全存储，恢复供电后能实时补传。</w:t>
      </w:r>
    </w:p>
    <w:p w14:paraId="71E69227">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（18）支持断网等异常处理功能，保证了设备在断网的极端条件下，实现有线与 4G 信号的自动切换。保障设备在线，及时将相关异常信息进行实时上传。</w:t>
      </w:r>
    </w:p>
    <w:p w14:paraId="05EF9DC5">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4.接入省平台方式</w:t>
      </w:r>
    </w:p>
    <w:p w14:paraId="05624A4D">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为了有效保障数据传输路径的唯一性与可追溯性，极大降低数据被恶意拦截、被第三方窃取或篡改的风险，加油机数据采集服务须直连到山西省成品油流通智慧监管平台，不得通过第三方软件的方式接入省平台。</w:t>
      </w:r>
    </w:p>
    <w:p w14:paraId="528CE6F7">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3.3.3 油罐液位仪数据采集服务</w:t>
      </w:r>
    </w:p>
    <w:p w14:paraId="3F6CF638">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1.数据采集内容</w:t>
      </w:r>
    </w:p>
    <w:p w14:paraId="58AE4CA9">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油罐液位仪数据采集服务应通过 VR 协议与液位仪控制台的连接实现液位仪控制台进油数据和油罐库存数据的采集。油罐液位仪数据采集服务通过与液位仪控制台的连接可实时采集加油站油罐数据，包括油罐编号及对应油品型号、油位高度、油罐体积、油罐温度、油罐测漏记录等。通过对油罐油位高度的实时采集，记录油罐液位的准确变化及油罐的进油数据，包括进油时间、油品类型、油品规格、进油量、进油次数等。</w:t>
      </w:r>
    </w:p>
    <w:p w14:paraId="13F2BDD4">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2.采集服务功能需求</w:t>
      </w:r>
    </w:p>
    <w:p w14:paraId="264B76B5">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（1）支持液位仪通用 VR 协议，实现对市面主流型号的液位仪控制台的数据采集.</w:t>
      </w:r>
    </w:p>
    <w:p w14:paraId="4636E0F0">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（2）支持集成 TCP/UDP/MQTT 协议。</w:t>
      </w:r>
    </w:p>
    <w:p w14:paraId="6B4BCD9D">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（3）支持断网重连（断网离线自动重拨）、断网存储（断网离线自动存储数据）、断网续传（断网期间数据本地缓存，网络恢复后数据自动续传）。</w:t>
      </w:r>
    </w:p>
    <w:p w14:paraId="6B2E04B1">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（4）支持掉电保存（断电离线自动存储数据），断电续传（断电回电后自动续传数据）。</w:t>
      </w:r>
    </w:p>
    <w:p w14:paraId="7370002D">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（5）支持设备远程监控，支持心跳包监测，智能防掉线，支持信号检测，自动搜索。</w:t>
      </w:r>
    </w:p>
    <w:p w14:paraId="4370CD42">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（6）支持通过无线网络远程参数配置、远程重启、远程升级、远程回滚。</w:t>
      </w:r>
    </w:p>
    <w:p w14:paraId="7986EF4D">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（7）支持数据加密传输，支持国密算法。</w:t>
      </w:r>
    </w:p>
    <w:p w14:paraId="2A83EBCA">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（8）支持 4G 网络传输全网通。</w:t>
      </w:r>
    </w:p>
    <w:p w14:paraId="499B5705">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（9）支持电源状态指示，网络信号状态指示，运行状态指示，信号采集状</w:t>
      </w:r>
    </w:p>
    <w:p w14:paraId="76E85FBF">
      <w:pPr>
        <w:pStyle w:val="178"/>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态指示。</w:t>
      </w:r>
    </w:p>
    <w:p w14:paraId="4B689F9F">
      <w:pPr>
        <w:pStyle w:val="178"/>
        <w:numPr>
          <w:ilvl w:val="0"/>
          <w:numId w:val="3"/>
        </w:numPr>
        <w:spacing w:line="360" w:lineRule="auto"/>
        <w:ind w:left="420" w:leftChars="200" w:firstLine="480" w:firstLineChars="2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满足静电防护要求。</w:t>
      </w:r>
    </w:p>
    <w:p w14:paraId="469FF3C7">
      <w:pPr>
        <w:pStyle w:val="178"/>
        <w:numPr>
          <w:ilvl w:val="0"/>
          <w:numId w:val="0"/>
        </w:numPr>
        <w:spacing w:line="360" w:lineRule="auto"/>
        <w:ind w:leftChars="4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4.接入省平台方式</w:t>
      </w:r>
    </w:p>
    <w:p w14:paraId="61205103">
      <w:pPr>
        <w:pStyle w:val="178"/>
        <w:numPr>
          <w:ilvl w:val="0"/>
          <w:numId w:val="0"/>
        </w:numPr>
        <w:spacing w:line="360" w:lineRule="auto"/>
        <w:ind w:leftChars="4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为了有效保障数据传输路径的唯一性与可追溯性，极大降低数据被恶意拦截、</w:t>
      </w:r>
    </w:p>
    <w:p w14:paraId="52543660">
      <w:pPr>
        <w:pStyle w:val="178"/>
        <w:numPr>
          <w:ilvl w:val="0"/>
          <w:numId w:val="0"/>
        </w:numPr>
        <w:spacing w:line="360" w:lineRule="auto"/>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被第三方窃取或篡改的风险，油罐液位仪数据采集服务须直连到山西省成品油流通智慧监管平台，不得通过第三方软件的方式接入省平台。</w:t>
      </w:r>
    </w:p>
    <w:p w14:paraId="16FA813D">
      <w:pPr>
        <w:pStyle w:val="178"/>
        <w:numPr>
          <w:ilvl w:val="0"/>
          <w:numId w:val="0"/>
        </w:numPr>
        <w:spacing w:line="360" w:lineRule="auto"/>
        <w:ind w:leftChars="4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3.</w:t>
      </w:r>
      <w:r>
        <w:rPr>
          <w:rStyle w:val="79"/>
          <w:rFonts w:hint="eastAsia" w:ascii="仿宋" w:hAnsi="仿宋" w:eastAsia="仿宋" w:cs="仿宋"/>
          <w:b w:val="0"/>
          <w:bCs/>
          <w:sz w:val="24"/>
          <w:lang w:val="en-US"/>
        </w:rPr>
        <w:t>3.</w:t>
      </w:r>
      <w:r>
        <w:rPr>
          <w:rStyle w:val="79"/>
          <w:rFonts w:hint="eastAsia" w:ascii="仿宋" w:hAnsi="仿宋" w:eastAsia="仿宋" w:cs="仿宋"/>
          <w:b w:val="0"/>
          <w:bCs/>
          <w:sz w:val="24"/>
        </w:rPr>
        <w:t>4 智能 AI 视频分析服务</w:t>
      </w:r>
    </w:p>
    <w:p w14:paraId="704BC83B">
      <w:pPr>
        <w:pStyle w:val="178"/>
        <w:numPr>
          <w:ilvl w:val="0"/>
          <w:numId w:val="0"/>
        </w:numPr>
        <w:spacing w:line="360" w:lineRule="auto"/>
        <w:ind w:leftChars="4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1.数据采集内容</w:t>
      </w:r>
    </w:p>
    <w:p w14:paraId="7D8F6262">
      <w:pPr>
        <w:pStyle w:val="178"/>
        <w:numPr>
          <w:ilvl w:val="0"/>
          <w:numId w:val="0"/>
        </w:numPr>
        <w:spacing w:line="360" w:lineRule="auto"/>
        <w:ind w:leftChars="4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智能 AI 视联服务应通过对接加油站已有网络摄像机及硬盘录像机（利旧），</w:t>
      </w:r>
    </w:p>
    <w:p w14:paraId="32A4F81A">
      <w:pPr>
        <w:pStyle w:val="178"/>
        <w:numPr>
          <w:ilvl w:val="0"/>
          <w:numId w:val="0"/>
        </w:numPr>
        <w:spacing w:line="360" w:lineRule="auto"/>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实时对接加油站视频，实现加油站视频监控、远程巡检和 AI 智能监管（各类监管事件识别等）。同时，通过链接加油机数据采集服务、油罐液位仪数据采集服务等，实现多维数据之间的相互补充和验证，实现一站一管理。采集接入数据均需要通过互联网实时上传山西省成品油监管平台，保障数据传输的安全性和可靠性。设备应具备算法可扩展性，算法应监管需要推陈出新，不断更新 算法应用从而满足监管部门的不同监管需求。</w:t>
      </w:r>
    </w:p>
    <w:p w14:paraId="09B2B97B">
      <w:pPr>
        <w:pStyle w:val="178"/>
        <w:numPr>
          <w:ilvl w:val="0"/>
          <w:numId w:val="0"/>
        </w:numPr>
        <w:spacing w:line="360" w:lineRule="auto"/>
        <w:ind w:leftChars="4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2.设备功能需求</w:t>
      </w:r>
    </w:p>
    <w:p w14:paraId="4B61D567">
      <w:pPr>
        <w:pStyle w:val="178"/>
        <w:numPr>
          <w:ilvl w:val="0"/>
          <w:numId w:val="0"/>
        </w:numPr>
        <w:spacing w:line="360" w:lineRule="auto"/>
        <w:ind w:leftChars="4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（1）支持 ONVIF，RTSP，GB28181 等网络视频接入协议。</w:t>
      </w:r>
    </w:p>
    <w:p w14:paraId="5850CC10">
      <w:pPr>
        <w:pStyle w:val="178"/>
        <w:numPr>
          <w:ilvl w:val="0"/>
          <w:numId w:val="0"/>
        </w:numPr>
        <w:spacing w:line="360" w:lineRule="auto"/>
        <w:ind w:leftChars="4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（2）支持内置智能分析算法，包括车牌识别、车辆类型及颜色识别、抽烟识</w:t>
      </w:r>
    </w:p>
    <w:p w14:paraId="231F9FC9">
      <w:pPr>
        <w:pStyle w:val="178"/>
        <w:numPr>
          <w:ilvl w:val="0"/>
          <w:numId w:val="0"/>
        </w:numPr>
        <w:spacing w:line="360" w:lineRule="auto"/>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别、接打电话检测、烟火识别、消防设备识别、卸油工作流程判定等。</w:t>
      </w:r>
    </w:p>
    <w:p w14:paraId="17FEBACA">
      <w:pPr>
        <w:pStyle w:val="178"/>
        <w:numPr>
          <w:ilvl w:val="0"/>
          <w:numId w:val="0"/>
        </w:numPr>
        <w:spacing w:line="360" w:lineRule="auto"/>
        <w:ind w:leftChars="4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（3）支持远程 AI 算法模型导入、更新。</w:t>
      </w:r>
    </w:p>
    <w:p w14:paraId="17AD6C0E">
      <w:pPr>
        <w:pStyle w:val="178"/>
        <w:numPr>
          <w:ilvl w:val="0"/>
          <w:numId w:val="0"/>
        </w:numPr>
        <w:spacing w:line="360" w:lineRule="auto"/>
        <w:ind w:leftChars="4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（4）支持 OPCDA（2.0），Modbus RTU 和 TCP 接入，可实现 OPC、DCS、PLC、</w:t>
      </w:r>
    </w:p>
    <w:p w14:paraId="1B741E7C">
      <w:pPr>
        <w:pStyle w:val="178"/>
        <w:numPr>
          <w:ilvl w:val="0"/>
          <w:numId w:val="0"/>
        </w:numPr>
        <w:spacing w:line="360" w:lineRule="auto"/>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传感器对接。</w:t>
      </w:r>
    </w:p>
    <w:p w14:paraId="79F5E264">
      <w:pPr>
        <w:pStyle w:val="178"/>
        <w:numPr>
          <w:ilvl w:val="0"/>
          <w:numId w:val="4"/>
        </w:numPr>
        <w:spacing w:line="360" w:lineRule="auto"/>
        <w:ind w:leftChars="4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支持 64 路 H.265、H.264 网络摄像机接入管理，实现视频预览、存储</w:t>
      </w:r>
    </w:p>
    <w:p w14:paraId="4B596A52">
      <w:pPr>
        <w:pStyle w:val="178"/>
        <w:numPr>
          <w:ilvl w:val="0"/>
          <w:numId w:val="0"/>
        </w:numPr>
        <w:spacing w:line="360" w:lineRule="auto"/>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回放。</w:t>
      </w:r>
    </w:p>
    <w:p w14:paraId="3287475B">
      <w:pPr>
        <w:pStyle w:val="178"/>
        <w:numPr>
          <w:ilvl w:val="0"/>
          <w:numId w:val="0"/>
        </w:numPr>
        <w:spacing w:line="360" w:lineRule="auto"/>
        <w:ind w:leftChars="4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（6）支持通过宽带/专线进行数据传输。</w:t>
      </w:r>
    </w:p>
    <w:p w14:paraId="28D54BF7">
      <w:pPr>
        <w:pStyle w:val="178"/>
        <w:numPr>
          <w:ilvl w:val="0"/>
          <w:numId w:val="0"/>
        </w:numPr>
        <w:spacing w:line="360" w:lineRule="auto"/>
        <w:ind w:leftChars="4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（7）支持 GPU 扩展，可以根据实际情况增加 GPU 数量。</w:t>
      </w:r>
    </w:p>
    <w:p w14:paraId="0C66BACE">
      <w:pPr>
        <w:pStyle w:val="178"/>
        <w:numPr>
          <w:ilvl w:val="0"/>
          <w:numId w:val="0"/>
        </w:numPr>
        <w:spacing w:line="360" w:lineRule="auto"/>
        <w:ind w:leftChars="4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（8）支持 HDMI 输出，分辨率最大为 3840*2160@30Hz。</w:t>
      </w:r>
    </w:p>
    <w:p w14:paraId="5CBABA17">
      <w:pPr>
        <w:pStyle w:val="178"/>
        <w:numPr>
          <w:ilvl w:val="0"/>
          <w:numId w:val="0"/>
        </w:numPr>
        <w:spacing w:line="360" w:lineRule="auto"/>
        <w:ind w:leftChars="4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（9）支持设备远程监控，支持心跳包技术，可实时监测设备在离线情况。</w:t>
      </w:r>
    </w:p>
    <w:p w14:paraId="4F71846B">
      <w:pPr>
        <w:pStyle w:val="178"/>
        <w:numPr>
          <w:ilvl w:val="0"/>
          <w:numId w:val="0"/>
        </w:numPr>
        <w:spacing w:line="360" w:lineRule="auto"/>
        <w:ind w:leftChars="4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（10）支持运行指示灯、支持网络通讯指示灯。</w:t>
      </w:r>
    </w:p>
    <w:p w14:paraId="420B2284">
      <w:pPr>
        <w:pStyle w:val="178"/>
        <w:numPr>
          <w:ilvl w:val="0"/>
          <w:numId w:val="0"/>
        </w:numPr>
        <w:spacing w:line="360" w:lineRule="auto"/>
        <w:ind w:leftChars="4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（11）满足静电防护要求。</w:t>
      </w:r>
    </w:p>
    <w:p w14:paraId="4742B6A4">
      <w:pPr>
        <w:pStyle w:val="178"/>
        <w:numPr>
          <w:ilvl w:val="0"/>
          <w:numId w:val="0"/>
        </w:numPr>
        <w:spacing w:line="360" w:lineRule="auto"/>
        <w:ind w:leftChars="4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4.接入省平台方式</w:t>
      </w:r>
    </w:p>
    <w:p w14:paraId="2A77F760">
      <w:pPr>
        <w:pStyle w:val="178"/>
        <w:numPr>
          <w:ilvl w:val="0"/>
          <w:numId w:val="0"/>
        </w:numPr>
        <w:spacing w:line="360" w:lineRule="auto"/>
        <w:ind w:leftChars="400"/>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为了有效保障数据传输路径的唯一性与可追溯性，极大降低数据被恶意拦截、</w:t>
      </w:r>
    </w:p>
    <w:p w14:paraId="6B797F5C">
      <w:pPr>
        <w:pStyle w:val="178"/>
        <w:numPr>
          <w:ilvl w:val="0"/>
          <w:numId w:val="0"/>
        </w:numPr>
        <w:spacing w:line="360" w:lineRule="auto"/>
        <w:textAlignment w:val="auto"/>
        <w:rPr>
          <w:rStyle w:val="79"/>
          <w:rFonts w:hint="eastAsia" w:ascii="仿宋" w:hAnsi="仿宋" w:eastAsia="仿宋" w:cs="仿宋"/>
          <w:b w:val="0"/>
          <w:bCs/>
          <w:sz w:val="24"/>
        </w:rPr>
      </w:pPr>
      <w:r>
        <w:rPr>
          <w:rStyle w:val="79"/>
          <w:rFonts w:hint="eastAsia" w:ascii="仿宋" w:hAnsi="仿宋" w:eastAsia="仿宋" w:cs="仿宋"/>
          <w:b w:val="0"/>
          <w:bCs/>
          <w:sz w:val="24"/>
        </w:rPr>
        <w:t>被第三方窃取或篡改的风险，智能 AI 视频分析服务须直连到山西省成品油流通智慧监管平台，不得通过第三方软件的方式接入省平台。</w:t>
      </w:r>
    </w:p>
    <w:p w14:paraId="0563EC74">
      <w:pPr>
        <w:pStyle w:val="178"/>
        <w:spacing w:line="360" w:lineRule="auto"/>
        <w:ind w:left="420" w:leftChars="200" w:firstLine="480" w:firstLineChars="200"/>
        <w:textAlignment w:val="auto"/>
        <w:rPr>
          <w:rStyle w:val="79"/>
          <w:rFonts w:hint="eastAsia" w:ascii="仿宋" w:hAnsi="仿宋" w:eastAsia="仿宋" w:cs="仿宋"/>
          <w:b w:val="0"/>
          <w:bCs/>
          <w:sz w:val="24"/>
        </w:rPr>
      </w:pPr>
    </w:p>
    <w:p w14:paraId="654DFEFA">
      <w:pPr>
        <w:pStyle w:val="178"/>
        <w:spacing w:line="360" w:lineRule="auto"/>
        <w:ind w:left="420" w:leftChars="200" w:firstLine="480" w:firstLineChars="200"/>
        <w:textAlignment w:val="auto"/>
        <w:rPr>
          <w:rStyle w:val="79"/>
          <w:rFonts w:hint="eastAsia" w:ascii="仿宋" w:hAnsi="仿宋" w:eastAsia="仿宋" w:cs="仿宋"/>
          <w:b w:val="0"/>
          <w:bCs/>
          <w:sz w:val="24"/>
        </w:rPr>
      </w:pPr>
    </w:p>
    <w:p w14:paraId="554DDF8A">
      <w:pPr>
        <w:pStyle w:val="178"/>
        <w:spacing w:line="360" w:lineRule="auto"/>
        <w:ind w:firstLine="480" w:firstLineChars="200"/>
        <w:textAlignment w:val="auto"/>
        <w:rPr>
          <w:rStyle w:val="79"/>
          <w:rFonts w:ascii="仿宋" w:hAnsi="仿宋" w:eastAsia="仿宋" w:cs="仿宋"/>
          <w:b w:val="0"/>
          <w:bCs/>
          <w:sz w:val="24"/>
        </w:rPr>
      </w:pPr>
    </w:p>
    <w:p w14:paraId="5E383DF0">
      <w:pPr>
        <w:pStyle w:val="178"/>
        <w:spacing w:line="360" w:lineRule="auto"/>
        <w:ind w:firstLine="480" w:firstLineChars="200"/>
        <w:textAlignment w:val="auto"/>
        <w:rPr>
          <w:rStyle w:val="79"/>
          <w:rFonts w:ascii="仿宋" w:hAnsi="仿宋" w:eastAsia="仿宋" w:cs="仿宋"/>
          <w:bCs/>
          <w:sz w:val="24"/>
        </w:rPr>
        <w:sectPr>
          <w:footerReference r:id="rId12" w:type="default"/>
          <w:pgSz w:w="11920" w:h="16960"/>
          <w:pgMar w:top="1441" w:right="1577" w:bottom="1346" w:left="1569" w:header="0" w:footer="1167" w:gutter="0"/>
          <w:pgNumType w:fmt="decimal"/>
          <w:cols w:space="720" w:num="1"/>
        </w:sectPr>
      </w:pPr>
    </w:p>
    <w:p w14:paraId="49BBF333">
      <w:pPr>
        <w:pStyle w:val="4"/>
        <w:rPr>
          <w:rFonts w:ascii="仿宋" w:hAnsi="仿宋" w:eastAsia="仿宋" w:cs="仿宋"/>
          <w:spacing w:val="20"/>
        </w:rPr>
      </w:pPr>
      <w:r>
        <w:rPr>
          <w:rFonts w:hint="eastAsia" w:ascii="仿宋" w:hAnsi="仿宋" w:eastAsia="仿宋" w:cs="仿宋"/>
          <w:kern w:val="0"/>
          <w:szCs w:val="48"/>
        </w:rPr>
        <w:t>第五部分</w:t>
      </w:r>
      <w:r>
        <w:rPr>
          <w:rFonts w:hint="eastAsia" w:ascii="仿宋" w:hAnsi="仿宋" w:eastAsia="仿宋" w:cs="仿宋"/>
          <w:szCs w:val="48"/>
        </w:rPr>
        <w:t xml:space="preserve">  </w:t>
      </w:r>
      <w:r>
        <w:rPr>
          <w:rFonts w:hint="eastAsia" w:ascii="仿宋" w:hAnsi="仿宋" w:eastAsia="仿宋" w:cs="仿宋"/>
          <w:spacing w:val="20"/>
          <w:szCs w:val="48"/>
        </w:rPr>
        <w:t>合同范本</w:t>
      </w:r>
      <w:bookmarkEnd w:id="101"/>
      <w:bookmarkEnd w:id="102"/>
      <w:bookmarkEnd w:id="103"/>
    </w:p>
    <w:p w14:paraId="1593258A">
      <w:pPr>
        <w:spacing w:line="360" w:lineRule="auto"/>
        <w:rPr>
          <w:rFonts w:ascii="仿宋" w:hAnsi="仿宋" w:eastAsia="仿宋" w:cs="仿宋"/>
          <w:sz w:val="24"/>
        </w:rPr>
      </w:pPr>
    </w:p>
    <w:p w14:paraId="7FC8DB14">
      <w:pPr>
        <w:spacing w:line="400" w:lineRule="exact"/>
        <w:jc w:val="center"/>
        <w:rPr>
          <w:rFonts w:hint="eastAsia" w:ascii="仿宋" w:hAnsi="仿宋" w:eastAsia="仿宋" w:cs="仿宋"/>
          <w:sz w:val="24"/>
        </w:rPr>
      </w:pPr>
      <w:r>
        <w:rPr>
          <w:rFonts w:hint="eastAsia" w:ascii="仿宋" w:hAnsi="仿宋" w:eastAsia="仿宋" w:cs="仿宋"/>
          <w:color w:val="000000"/>
          <w:kern w:val="0"/>
          <w:sz w:val="24"/>
          <w:szCs w:val="24"/>
          <w:lang w:val="en-US" w:eastAsia="zh-CN"/>
        </w:rPr>
        <w:t xml:space="preserve"> </w:t>
      </w:r>
      <w:bookmarkStart w:id="104" w:name="_Toc1527"/>
      <w:r>
        <w:rPr>
          <w:rFonts w:hint="eastAsia" w:ascii="仿宋" w:hAnsi="仿宋" w:eastAsia="仿宋" w:cs="仿宋"/>
          <w:sz w:val="24"/>
        </w:rPr>
        <w:t>政府采购合同（范本）</w:t>
      </w:r>
      <w:bookmarkEnd w:id="104"/>
    </w:p>
    <w:p w14:paraId="396DEF7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甲方（购买主体）： </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p>
    <w:p w14:paraId="717E2F7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p>
    <w:p w14:paraId="1AAEEED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乙方（承接主体）: </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p>
    <w:p w14:paraId="40258BF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p>
    <w:p w14:paraId="445835A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民法典》《中华人民共和国政府采购法》《政府购买服务管理办法》和《山西省人民政府办公厅关于印发山西省政府购买服务实施办法的通知》和《山西省财政厅山西省市场监管局关于规范政府购买服务合同管理有关问题的通知》等相关规定，为保证政府购买服务实效，明确双方的权利义务，甲乙双方在平等、自愿、协商一致的基础上，现就</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（项目名称）达成如下合同，以兹共同遵守：</w:t>
      </w:r>
    </w:p>
    <w:p w14:paraId="0A5E753E">
      <w:pPr>
        <w:spacing w:line="400" w:lineRule="exact"/>
        <w:rPr>
          <w:rFonts w:hint="eastAsia" w:ascii="仿宋" w:hAnsi="仿宋" w:eastAsia="仿宋" w:cs="仿宋"/>
          <w:b/>
          <w:bCs/>
          <w:sz w:val="24"/>
          <w:szCs w:val="24"/>
        </w:rPr>
      </w:pPr>
      <w:bookmarkStart w:id="105" w:name="bookmark16"/>
      <w:r>
        <w:rPr>
          <w:rFonts w:hint="eastAsia" w:ascii="仿宋" w:hAnsi="仿宋" w:eastAsia="仿宋" w:cs="仿宋"/>
          <w:b/>
          <w:bCs/>
          <w:sz w:val="24"/>
          <w:szCs w:val="24"/>
        </w:rPr>
        <w:t>—、项目名称及内容</w:t>
      </w:r>
    </w:p>
    <w:p w14:paraId="5D5C0AA3">
      <w:pPr>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（一）项目名称：</w:t>
      </w:r>
      <w:r>
        <w:rPr>
          <w:rFonts w:hint="eastAsia" w:ascii="仿宋" w:hAnsi="仿宋" w:eastAsia="仿宋" w:cs="仿宋"/>
          <w:sz w:val="24"/>
          <w:szCs w:val="24"/>
          <w:lang w:val="en-US" w:eastAsia="zh-CN"/>
        </w:rPr>
        <w:t xml:space="preserve">                                         </w:t>
      </w:r>
    </w:p>
    <w:p w14:paraId="130BA5A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（二）项目内容：</w:t>
      </w:r>
      <w:r>
        <w:rPr>
          <w:rFonts w:hint="eastAsia" w:ascii="仿宋" w:hAnsi="仿宋" w:eastAsia="仿宋" w:cs="仿宋"/>
          <w:sz w:val="24"/>
          <w:szCs w:val="24"/>
          <w:lang w:val="en-US" w:eastAsia="zh-CN"/>
        </w:rPr>
        <w:t xml:space="preserve">                                 </w:t>
      </w:r>
    </w:p>
    <w:p w14:paraId="1215399C">
      <w:pPr>
        <w:spacing w:line="400" w:lineRule="exact"/>
        <w:rPr>
          <w:rFonts w:hint="eastAsia" w:ascii="仿宋" w:hAnsi="仿宋" w:eastAsia="仿宋" w:cs="仿宋"/>
          <w:b/>
          <w:bCs/>
          <w:sz w:val="24"/>
          <w:szCs w:val="24"/>
        </w:rPr>
      </w:pPr>
      <w:r>
        <w:rPr>
          <w:rFonts w:hint="eastAsia" w:ascii="仿宋" w:hAnsi="仿宋" w:eastAsia="仿宋" w:cs="仿宋"/>
          <w:b/>
          <w:bCs/>
          <w:sz w:val="24"/>
          <w:szCs w:val="24"/>
        </w:rPr>
        <w:t>二、服务项目及要求</w:t>
      </w:r>
    </w:p>
    <w:p w14:paraId="27F1456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（一）服务对象：</w:t>
      </w:r>
      <w:r>
        <w:rPr>
          <w:rFonts w:hint="eastAsia" w:ascii="仿宋" w:hAnsi="仿宋" w:eastAsia="仿宋" w:cs="仿宋"/>
          <w:sz w:val="24"/>
          <w:szCs w:val="24"/>
          <w:lang w:val="en-US" w:eastAsia="zh-CN"/>
        </w:rPr>
        <w:t xml:space="preserve">                                          </w:t>
      </w:r>
    </w:p>
    <w:p w14:paraId="134B089C">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（二）合同期限：</w:t>
      </w:r>
    </w:p>
    <w:p w14:paraId="292AAE8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合同期限</w:t>
      </w:r>
      <w:r>
        <w:rPr>
          <w:rFonts w:hint="eastAsia" w:ascii="仿宋" w:hAnsi="仿宋" w:eastAsia="仿宋" w:cs="仿宋"/>
          <w:sz w:val="24"/>
          <w:szCs w:val="24"/>
          <w:lang w:val="en-US" w:eastAsia="zh-CN"/>
        </w:rPr>
        <w:t>为     年（月/日），</w:t>
      </w:r>
      <w:r>
        <w:rPr>
          <w:rFonts w:hint="eastAsia" w:ascii="仿宋" w:hAnsi="仿宋" w:eastAsia="仿宋" w:cs="仿宋"/>
          <w:sz w:val="24"/>
          <w:szCs w:val="24"/>
        </w:rPr>
        <w:t xml:space="preserve">自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日起至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日止。</w:t>
      </w:r>
    </w:p>
    <w:p w14:paraId="72A8A83F">
      <w:pPr>
        <w:spacing w:line="400" w:lineRule="exact"/>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lang w:eastAsia="zh-CN"/>
        </w:rPr>
        <w:t>）</w:t>
      </w:r>
      <w:r>
        <w:rPr>
          <w:rFonts w:hint="eastAsia" w:ascii="仿宋" w:hAnsi="仿宋" w:eastAsia="仿宋" w:cs="仿宋"/>
          <w:b/>
          <w:bCs/>
          <w:sz w:val="24"/>
          <w:szCs w:val="24"/>
        </w:rPr>
        <w:t>服务时间：</w:t>
      </w:r>
    </w:p>
    <w:p w14:paraId="0A278140">
      <w:pPr>
        <w:spacing w:line="400" w:lineRule="exac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日起至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日止。</w:t>
      </w:r>
    </w:p>
    <w:bookmarkEnd w:id="105"/>
    <w:p w14:paraId="0F409ED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w:t>
      </w:r>
      <w:r>
        <w:rPr>
          <w:rFonts w:hint="eastAsia" w:ascii="仿宋" w:hAnsi="仿宋" w:eastAsia="仿宋" w:cs="仿宋"/>
          <w:sz w:val="24"/>
          <w:szCs w:val="24"/>
        </w:rPr>
        <w:t>服务</w:t>
      </w:r>
      <w:r>
        <w:rPr>
          <w:rFonts w:hint="eastAsia" w:ascii="仿宋" w:hAnsi="仿宋" w:eastAsia="仿宋" w:cs="仿宋"/>
          <w:sz w:val="24"/>
          <w:szCs w:val="24"/>
          <w:lang w:val="en-US" w:eastAsia="zh-CN"/>
        </w:rPr>
        <w:t>数量：</w:t>
      </w:r>
    </w:p>
    <w:p w14:paraId="7BE7EAC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（五）服务</w:t>
      </w:r>
      <w:r>
        <w:rPr>
          <w:rFonts w:hint="eastAsia" w:ascii="仿宋" w:hAnsi="仿宋" w:eastAsia="仿宋" w:cs="仿宋"/>
          <w:sz w:val="24"/>
          <w:szCs w:val="24"/>
        </w:rPr>
        <w:t>标准：</w:t>
      </w:r>
      <w:bookmarkStart w:id="106" w:name="bookmark17"/>
    </w:p>
    <w:bookmarkEnd w:id="106"/>
    <w:p w14:paraId="5A0B673C">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六</w:t>
      </w:r>
      <w:r>
        <w:rPr>
          <w:rFonts w:hint="eastAsia" w:ascii="仿宋" w:hAnsi="仿宋" w:eastAsia="仿宋" w:cs="仿宋"/>
          <w:sz w:val="24"/>
          <w:szCs w:val="24"/>
          <w:lang w:eastAsia="zh-CN"/>
        </w:rPr>
        <w:t>）</w:t>
      </w:r>
      <w:r>
        <w:rPr>
          <w:rFonts w:hint="eastAsia" w:ascii="仿宋" w:hAnsi="仿宋" w:eastAsia="仿宋" w:cs="仿宋"/>
          <w:sz w:val="24"/>
          <w:szCs w:val="24"/>
        </w:rPr>
        <w:t>提供服务的地点：</w:t>
      </w:r>
      <w:bookmarkStart w:id="107" w:name="bookmark18"/>
    </w:p>
    <w:bookmarkEnd w:id="107"/>
    <w:p w14:paraId="3F476A35">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七</w:t>
      </w:r>
      <w:r>
        <w:rPr>
          <w:rFonts w:hint="eastAsia" w:ascii="仿宋" w:hAnsi="仿宋" w:eastAsia="仿宋" w:cs="仿宋"/>
          <w:sz w:val="24"/>
          <w:szCs w:val="24"/>
          <w:lang w:eastAsia="zh-CN"/>
        </w:rPr>
        <w:t>）</w:t>
      </w:r>
      <w:r>
        <w:rPr>
          <w:rFonts w:hint="eastAsia" w:ascii="仿宋" w:hAnsi="仿宋" w:eastAsia="仿宋" w:cs="仿宋"/>
          <w:sz w:val="24"/>
          <w:szCs w:val="24"/>
        </w:rPr>
        <w:t>提供服务的形式：</w:t>
      </w:r>
    </w:p>
    <w:p w14:paraId="6FA6DB70">
      <w:pPr>
        <w:spacing w:line="400" w:lineRule="exact"/>
        <w:rPr>
          <w:rFonts w:hint="eastAsia" w:ascii="仿宋" w:hAnsi="仿宋" w:eastAsia="仿宋" w:cs="仿宋"/>
          <w:b/>
          <w:bCs/>
          <w:sz w:val="24"/>
          <w:szCs w:val="24"/>
        </w:rPr>
      </w:pPr>
      <w:bookmarkStart w:id="108" w:name="bookmark21"/>
      <w:bookmarkStart w:id="109" w:name="bookmark19"/>
      <w:bookmarkStart w:id="110" w:name="bookmark22"/>
      <w:bookmarkStart w:id="111" w:name="bookmark20"/>
      <w:r>
        <w:rPr>
          <w:rFonts w:hint="eastAsia" w:ascii="仿宋" w:hAnsi="仿宋" w:eastAsia="仿宋" w:cs="仿宋"/>
          <w:b/>
          <w:bCs/>
          <w:sz w:val="24"/>
          <w:szCs w:val="24"/>
        </w:rPr>
        <w:t>三</w:t>
      </w:r>
      <w:bookmarkEnd w:id="108"/>
      <w:r>
        <w:rPr>
          <w:rFonts w:hint="eastAsia" w:ascii="仿宋" w:hAnsi="仿宋" w:eastAsia="仿宋" w:cs="仿宋"/>
          <w:b/>
          <w:bCs/>
          <w:sz w:val="24"/>
          <w:szCs w:val="24"/>
        </w:rPr>
        <w:t>、合同金额</w:t>
      </w:r>
      <w:bookmarkEnd w:id="109"/>
      <w:bookmarkEnd w:id="110"/>
      <w:bookmarkEnd w:id="111"/>
    </w:p>
    <w:p w14:paraId="34596FE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本合同服务费总金额为人民币（大写）: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元）。</w:t>
      </w:r>
    </w:p>
    <w:p w14:paraId="5A8B1D42">
      <w:pPr>
        <w:spacing w:line="400" w:lineRule="exact"/>
        <w:rPr>
          <w:rFonts w:hint="eastAsia" w:ascii="仿宋" w:hAnsi="仿宋" w:eastAsia="仿宋" w:cs="仿宋"/>
          <w:b/>
          <w:bCs/>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付款方式</w:t>
      </w:r>
    </w:p>
    <w:p w14:paraId="6A9AAABC">
      <w:pPr>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甲乙双方协商一致，采取以下第（  ）种付款方式：</w:t>
      </w:r>
    </w:p>
    <w:p w14:paraId="3EADC964">
      <w:pPr>
        <w:spacing w:line="400" w:lineRule="exact"/>
        <w:ind w:firstLine="480" w:firstLineChars="200"/>
        <w:rPr>
          <w:rFonts w:hint="eastAsia" w:ascii="仿宋" w:hAnsi="仿宋" w:eastAsia="仿宋" w:cs="仿宋"/>
          <w:sz w:val="24"/>
          <w:szCs w:val="24"/>
          <w:lang w:val="en-US" w:eastAsia="zh-CN"/>
        </w:rPr>
      </w:pPr>
      <w:bookmarkStart w:id="112" w:name="bookmark24"/>
      <w:r>
        <w:rPr>
          <w:rFonts w:hint="eastAsia" w:ascii="仿宋" w:hAnsi="仿宋" w:eastAsia="仿宋" w:cs="仿宋"/>
          <w:sz w:val="24"/>
          <w:szCs w:val="24"/>
          <w:lang w:val="en-US" w:eastAsia="zh-CN"/>
        </w:rPr>
        <w:t>1、一次性付款：</w:t>
      </w:r>
    </w:p>
    <w:p w14:paraId="11D6430E">
      <w:pPr>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乙方履约完毕经甲方验收合格后    日内，一次性支付全部服务费。</w:t>
      </w:r>
    </w:p>
    <w:p w14:paraId="5CE4496B">
      <w:pPr>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2、分期支付：</w:t>
      </w:r>
      <w:bookmarkEnd w:id="112"/>
    </w:p>
    <w:p w14:paraId="70C08344">
      <w:pPr>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（1）按年/按季度/按月支付等额的服务费；</w:t>
      </w:r>
    </w:p>
    <w:p w14:paraId="13806047">
      <w:pPr>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（2）合同签订后      日内，甲方向乙方支付      元（或合同总额的    %）；在交成果后     日内，支付服务费总额的       %；</w:t>
      </w:r>
    </w:p>
    <w:p w14:paraId="0882D0F6">
      <w:pPr>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（3）按进度支付服务费；</w:t>
      </w:r>
    </w:p>
    <w:p w14:paraId="6D688516">
      <w:pPr>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（本条款内容可根据政府购买服务内容予以细化）</w:t>
      </w:r>
    </w:p>
    <w:p w14:paraId="37DEEEA6">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（二）支付方式：</w:t>
      </w:r>
    </w:p>
    <w:p w14:paraId="58BF4795">
      <w:pPr>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1.支付方式：银行转账。</w:t>
      </w:r>
    </w:p>
    <w:p w14:paraId="2AC3816A">
      <w:pPr>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2.乙方账户信息如下：</w:t>
      </w:r>
    </w:p>
    <w:p w14:paraId="01867B97">
      <w:pPr>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收款人名称</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p>
    <w:p w14:paraId="07BACEB8">
      <w:pPr>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开户银行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p>
    <w:p w14:paraId="1D4C4829">
      <w:pPr>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账 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p>
    <w:p w14:paraId="2F6DB315">
      <w:pPr>
        <w:spacing w:line="400" w:lineRule="exact"/>
        <w:rPr>
          <w:rFonts w:hint="eastAsia" w:ascii="仿宋" w:hAnsi="仿宋" w:eastAsia="仿宋" w:cs="仿宋"/>
          <w:b/>
          <w:bCs/>
          <w:sz w:val="24"/>
          <w:szCs w:val="24"/>
        </w:rPr>
      </w:pPr>
      <w:bookmarkStart w:id="113" w:name="bookmark34"/>
      <w:bookmarkStart w:id="114" w:name="bookmark35"/>
      <w:bookmarkStart w:id="115" w:name="bookmark32"/>
      <w:bookmarkStart w:id="116" w:name="bookmark33"/>
      <w:r>
        <w:rPr>
          <w:rFonts w:hint="eastAsia" w:ascii="仿宋" w:hAnsi="仿宋" w:eastAsia="仿宋" w:cs="仿宋"/>
          <w:b/>
          <w:bCs/>
          <w:sz w:val="24"/>
          <w:szCs w:val="24"/>
        </w:rPr>
        <w:t>五</w:t>
      </w:r>
      <w:bookmarkEnd w:id="113"/>
      <w:r>
        <w:rPr>
          <w:rFonts w:hint="eastAsia" w:ascii="仿宋" w:hAnsi="仿宋" w:eastAsia="仿宋" w:cs="仿宋"/>
          <w:b/>
          <w:bCs/>
          <w:sz w:val="24"/>
          <w:szCs w:val="24"/>
        </w:rPr>
        <w:t>、绩效评价</w:t>
      </w:r>
      <w:bookmarkEnd w:id="114"/>
    </w:p>
    <w:p w14:paraId="1731A025">
      <w:pPr>
        <w:spacing w:line="400" w:lineRule="exact"/>
        <w:ind w:firstLine="480" w:firstLineChars="200"/>
        <w:rPr>
          <w:rFonts w:hint="eastAsia" w:ascii="仿宋" w:hAnsi="仿宋" w:eastAsia="仿宋" w:cs="仿宋"/>
          <w:sz w:val="24"/>
          <w:szCs w:val="24"/>
        </w:rPr>
      </w:pPr>
      <w:bookmarkStart w:id="117" w:name="bookmark36"/>
      <w:bookmarkStart w:id="118" w:name="bookmark37"/>
      <w:r>
        <w:rPr>
          <w:rFonts w:hint="eastAsia" w:ascii="仿宋" w:hAnsi="仿宋" w:eastAsia="仿宋" w:cs="仿宋"/>
          <w:sz w:val="24"/>
          <w:szCs w:val="24"/>
        </w:rPr>
        <w:t>（</w:t>
      </w:r>
      <w:bookmarkEnd w:id="117"/>
      <w:r>
        <w:rPr>
          <w:rFonts w:hint="eastAsia" w:ascii="仿宋" w:hAnsi="仿宋" w:eastAsia="仿宋" w:cs="仿宋"/>
          <w:sz w:val="24"/>
          <w:szCs w:val="24"/>
        </w:rPr>
        <w:t>一）服务质量绩效目标</w:t>
      </w:r>
      <w:bookmarkEnd w:id="115"/>
      <w:bookmarkEnd w:id="116"/>
      <w:bookmarkEnd w:id="118"/>
    </w:p>
    <w:p w14:paraId="4767F69D">
      <w:pPr>
        <w:spacing w:line="400" w:lineRule="exact"/>
        <w:ind w:firstLine="480" w:firstLineChars="200"/>
        <w:rPr>
          <w:rFonts w:hint="eastAsia" w:ascii="仿宋" w:hAnsi="仿宋" w:eastAsia="仿宋" w:cs="仿宋"/>
          <w:sz w:val="24"/>
          <w:szCs w:val="24"/>
          <w:lang w:eastAsia="zh-CN"/>
        </w:rPr>
      </w:pPr>
      <w:bookmarkStart w:id="119" w:name="bookmark38"/>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总体目标</w:t>
      </w:r>
      <w:r>
        <w:rPr>
          <w:rFonts w:hint="eastAsia" w:ascii="仿宋" w:hAnsi="仿宋" w:eastAsia="仿宋" w:cs="仿宋"/>
          <w:sz w:val="24"/>
          <w:szCs w:val="24"/>
          <w:lang w:eastAsia="zh-CN"/>
        </w:rPr>
        <w:t>）</w:t>
      </w:r>
    </w:p>
    <w:p w14:paraId="6D6579C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bookmarkEnd w:id="119"/>
      <w:r>
        <w:rPr>
          <w:rFonts w:hint="eastAsia" w:ascii="仿宋" w:hAnsi="仿宋" w:eastAsia="仿宋" w:cs="仿宋"/>
          <w:sz w:val="24"/>
          <w:szCs w:val="24"/>
        </w:rPr>
        <w:t>二）服务质量评价指标</w:t>
      </w:r>
    </w:p>
    <w:p w14:paraId="1198C57C">
      <w:pPr>
        <w:spacing w:line="400" w:lineRule="exact"/>
        <w:ind w:firstLine="480" w:firstLineChars="200"/>
        <w:rPr>
          <w:rFonts w:hint="eastAsia" w:ascii="仿宋" w:hAnsi="仿宋" w:eastAsia="仿宋" w:cs="仿宋"/>
          <w:sz w:val="24"/>
          <w:szCs w:val="24"/>
        </w:rPr>
      </w:pPr>
      <w:bookmarkStart w:id="120" w:name="bookmark39"/>
      <w:bookmarkEnd w:id="120"/>
      <w:r>
        <w:rPr>
          <w:rFonts w:hint="eastAsia" w:ascii="仿宋" w:hAnsi="仿宋" w:eastAsia="仿宋" w:cs="仿宋"/>
          <w:sz w:val="24"/>
          <w:szCs w:val="24"/>
          <w:lang w:val="en-US" w:eastAsia="zh-CN"/>
        </w:rPr>
        <w:t>1、</w:t>
      </w:r>
      <w:r>
        <w:rPr>
          <w:rFonts w:hint="eastAsia" w:ascii="仿宋" w:hAnsi="仿宋" w:eastAsia="仿宋" w:cs="仿宋"/>
          <w:sz w:val="24"/>
          <w:szCs w:val="24"/>
        </w:rPr>
        <w:t>数量指标</w:t>
      </w:r>
    </w:p>
    <w:p w14:paraId="5A6A38F3">
      <w:pPr>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（具体指标）</w:t>
      </w:r>
    </w:p>
    <w:p w14:paraId="6A096D9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质量指标</w:t>
      </w:r>
    </w:p>
    <w:p w14:paraId="445D62B5">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（具体指标）</w:t>
      </w:r>
    </w:p>
    <w:p w14:paraId="74E2CF6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时效指标</w:t>
      </w:r>
    </w:p>
    <w:p w14:paraId="79CF71FE">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（具体指标）</w:t>
      </w:r>
    </w:p>
    <w:p w14:paraId="60FD9C4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成本指标</w:t>
      </w:r>
    </w:p>
    <w:p w14:paraId="7B70F07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（具体指标）</w:t>
      </w:r>
    </w:p>
    <w:p w14:paraId="7DEA2C6F">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满意度指标</w:t>
      </w:r>
    </w:p>
    <w:p w14:paraId="67B929E9">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具体指标</w:t>
      </w:r>
      <w:r>
        <w:rPr>
          <w:rFonts w:hint="eastAsia" w:ascii="仿宋" w:hAnsi="仿宋" w:eastAsia="仿宋" w:cs="仿宋"/>
          <w:sz w:val="24"/>
          <w:szCs w:val="24"/>
          <w:lang w:eastAsia="zh-CN"/>
        </w:rPr>
        <w:t>）</w:t>
      </w:r>
    </w:p>
    <w:p w14:paraId="6C16CF2F">
      <w:pPr>
        <w:spacing w:line="400" w:lineRule="exact"/>
        <w:rPr>
          <w:rFonts w:hint="eastAsia" w:ascii="仿宋" w:hAnsi="仿宋" w:eastAsia="仿宋" w:cs="仿宋"/>
          <w:b/>
          <w:bCs/>
          <w:sz w:val="24"/>
          <w:szCs w:val="24"/>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项目验收</w:t>
      </w:r>
      <w:bookmarkStart w:id="121" w:name="bookmark45"/>
    </w:p>
    <w:bookmarkEnd w:id="121"/>
    <w:p w14:paraId="00F55602">
      <w:pPr>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w:t>
      </w:r>
      <w:r>
        <w:rPr>
          <w:rFonts w:hint="eastAsia" w:ascii="仿宋" w:hAnsi="仿宋" w:eastAsia="仿宋" w:cs="仿宋"/>
          <w:sz w:val="24"/>
          <w:szCs w:val="24"/>
        </w:rPr>
        <w:t>验收内容</w:t>
      </w:r>
    </w:p>
    <w:p w14:paraId="1BF50747">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二</w:t>
      </w:r>
      <w:r>
        <w:rPr>
          <w:rFonts w:hint="eastAsia" w:ascii="仿宋" w:hAnsi="仿宋" w:eastAsia="仿宋" w:cs="仿宋"/>
          <w:sz w:val="24"/>
          <w:szCs w:val="24"/>
          <w:lang w:eastAsia="zh-CN"/>
        </w:rPr>
        <w:t>）</w:t>
      </w:r>
      <w:r>
        <w:rPr>
          <w:rFonts w:hint="eastAsia" w:ascii="仿宋" w:hAnsi="仿宋" w:eastAsia="仿宋" w:cs="仿宋"/>
          <w:sz w:val="24"/>
          <w:szCs w:val="24"/>
        </w:rPr>
        <w:t>结果应用</w:t>
      </w:r>
    </w:p>
    <w:p w14:paraId="66B36208">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具体载明评价指标验收结果与合同资金挂钩的约定等</w:t>
      </w:r>
      <w:r>
        <w:rPr>
          <w:rFonts w:hint="eastAsia" w:ascii="仿宋" w:hAnsi="仿宋" w:eastAsia="仿宋" w:cs="仿宋"/>
          <w:sz w:val="24"/>
          <w:szCs w:val="24"/>
          <w:lang w:eastAsia="zh-CN"/>
        </w:rPr>
        <w:t>）</w:t>
      </w:r>
    </w:p>
    <w:p w14:paraId="2ED7A261">
      <w:pPr>
        <w:spacing w:line="400" w:lineRule="exact"/>
        <w:rPr>
          <w:rFonts w:hint="eastAsia" w:ascii="仿宋" w:hAnsi="仿宋" w:eastAsia="仿宋" w:cs="仿宋"/>
          <w:b/>
          <w:bCs/>
          <w:sz w:val="24"/>
          <w:szCs w:val="24"/>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甲乙双方权责</w:t>
      </w:r>
    </w:p>
    <w:p w14:paraId="23FE418B">
      <w:pPr>
        <w:spacing w:line="400" w:lineRule="exact"/>
        <w:ind w:firstLine="480" w:firstLineChars="200"/>
        <w:rPr>
          <w:rFonts w:hint="eastAsia" w:ascii="仿宋" w:hAnsi="仿宋" w:eastAsia="仿宋" w:cs="仿宋"/>
          <w:sz w:val="24"/>
          <w:szCs w:val="24"/>
          <w:lang w:val="en-US" w:eastAsia="zh-CN"/>
        </w:rPr>
      </w:pPr>
      <w:bookmarkStart w:id="122" w:name="bookmark13"/>
      <w:r>
        <w:rPr>
          <w:rFonts w:hint="eastAsia" w:ascii="仿宋" w:hAnsi="仿宋" w:eastAsia="仿宋" w:cs="仿宋"/>
          <w:sz w:val="24"/>
          <w:szCs w:val="24"/>
          <w:lang w:val="en-US" w:eastAsia="zh-CN"/>
        </w:rPr>
        <w:t>（具体约定甲乙双方有关权责）</w:t>
      </w:r>
    </w:p>
    <w:bookmarkEnd w:id="122"/>
    <w:p w14:paraId="29037834">
      <w:pPr>
        <w:spacing w:line="400" w:lineRule="exact"/>
        <w:rPr>
          <w:rFonts w:hint="eastAsia" w:ascii="仿宋" w:hAnsi="仿宋" w:eastAsia="仿宋" w:cs="仿宋"/>
          <w:b/>
          <w:bCs/>
          <w:sz w:val="24"/>
          <w:szCs w:val="24"/>
        </w:rPr>
      </w:pP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合同的变更、终止和解除</w:t>
      </w:r>
      <w:bookmarkStart w:id="123" w:name="bookmark49"/>
    </w:p>
    <w:p w14:paraId="2815C98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bookmarkEnd w:id="123"/>
      <w:r>
        <w:rPr>
          <w:rFonts w:hint="eastAsia" w:ascii="仿宋" w:hAnsi="仿宋" w:eastAsia="仿宋" w:cs="仿宋"/>
          <w:sz w:val="24"/>
          <w:szCs w:val="24"/>
        </w:rPr>
        <w:t>一）本合同未尽事宜，经双方协商可签订补充协议，补充协议与本合同具有同等法律效力，约定不同的，以补充协议为准。</w:t>
      </w:r>
      <w:bookmarkStart w:id="124" w:name="bookmark50"/>
    </w:p>
    <w:p w14:paraId="5830E0DE">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bookmarkEnd w:id="124"/>
      <w:r>
        <w:rPr>
          <w:rFonts w:hint="eastAsia" w:ascii="仿宋" w:hAnsi="仿宋" w:eastAsia="仿宋" w:cs="仿宋"/>
          <w:sz w:val="24"/>
          <w:szCs w:val="24"/>
        </w:rPr>
        <w:t>二）因发生不可抗力等原因导致本合同无法履行或</w:t>
      </w:r>
      <w:r>
        <w:rPr>
          <w:rFonts w:hint="eastAsia" w:ascii="仿宋" w:hAnsi="仿宋" w:eastAsia="仿宋" w:cs="仿宋"/>
          <w:sz w:val="24"/>
          <w:szCs w:val="24"/>
          <w:lang w:eastAsia="zh-CN"/>
        </w:rPr>
        <w:t>无法</w:t>
      </w:r>
      <w:r>
        <w:rPr>
          <w:rFonts w:hint="eastAsia" w:ascii="仿宋" w:hAnsi="仿宋" w:eastAsia="仿宋" w:cs="仿宋"/>
          <w:sz w:val="24"/>
          <w:szCs w:val="24"/>
        </w:rPr>
        <w:t>继续履行的必要的，双方可协商解除合同且互不承担违约责任。除上述约定外，任何一方不得擅自解除本合同。</w:t>
      </w:r>
    </w:p>
    <w:p w14:paraId="6039A100">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三</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若合同存在附条件生效的条款，应予以载明</w:t>
      </w:r>
      <w:r>
        <w:rPr>
          <w:rFonts w:hint="eastAsia" w:ascii="仿宋" w:hAnsi="仿宋" w:eastAsia="仿宋" w:cs="仿宋"/>
          <w:sz w:val="24"/>
          <w:szCs w:val="24"/>
          <w:lang w:eastAsia="zh-CN"/>
        </w:rPr>
        <w:t>）</w:t>
      </w:r>
    </w:p>
    <w:p w14:paraId="344683D9">
      <w:pPr>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其他需要约定的事项）</w:t>
      </w:r>
    </w:p>
    <w:p w14:paraId="6B44B086">
      <w:pPr>
        <w:spacing w:line="400" w:lineRule="exact"/>
        <w:rPr>
          <w:rFonts w:hint="eastAsia" w:ascii="仿宋" w:hAnsi="仿宋" w:eastAsia="仿宋" w:cs="仿宋"/>
          <w:b/>
          <w:bCs/>
          <w:sz w:val="24"/>
          <w:szCs w:val="24"/>
        </w:rPr>
      </w:pPr>
      <w:bookmarkStart w:id="125" w:name="bookmark55"/>
      <w:bookmarkStart w:id="126" w:name="bookmark53"/>
      <w:bookmarkStart w:id="127" w:name="bookmark54"/>
      <w:bookmarkStart w:id="128" w:name="bookmark56"/>
      <w:r>
        <w:rPr>
          <w:rFonts w:hint="eastAsia" w:ascii="仿宋" w:hAnsi="仿宋" w:eastAsia="仿宋" w:cs="仿宋"/>
          <w:b/>
          <w:bCs/>
          <w:sz w:val="24"/>
          <w:szCs w:val="24"/>
        </w:rPr>
        <w:t>九</w:t>
      </w:r>
      <w:bookmarkEnd w:id="125"/>
      <w:r>
        <w:rPr>
          <w:rFonts w:hint="eastAsia" w:ascii="仿宋" w:hAnsi="仿宋" w:eastAsia="仿宋" w:cs="仿宋"/>
          <w:b/>
          <w:bCs/>
          <w:sz w:val="24"/>
          <w:szCs w:val="24"/>
        </w:rPr>
        <w:t>、知识产权</w:t>
      </w:r>
      <w:bookmarkEnd w:id="126"/>
      <w:bookmarkEnd w:id="127"/>
      <w:bookmarkEnd w:id="128"/>
    </w:p>
    <w:p w14:paraId="289089AC">
      <w:pPr>
        <w:spacing w:line="400" w:lineRule="exact"/>
        <w:ind w:firstLine="480" w:firstLineChars="200"/>
        <w:rPr>
          <w:rFonts w:hint="eastAsia" w:ascii="仿宋" w:hAnsi="仿宋" w:eastAsia="仿宋" w:cs="仿宋"/>
          <w:sz w:val="24"/>
          <w:szCs w:val="24"/>
        </w:rPr>
      </w:pPr>
      <w:bookmarkStart w:id="129" w:name="bookmark57"/>
      <w:r>
        <w:rPr>
          <w:rFonts w:hint="eastAsia" w:ascii="仿宋" w:hAnsi="仿宋" w:eastAsia="仿宋" w:cs="仿宋"/>
          <w:sz w:val="24"/>
          <w:szCs w:val="24"/>
        </w:rPr>
        <w:t>（</w:t>
      </w:r>
      <w:bookmarkEnd w:id="129"/>
      <w:r>
        <w:rPr>
          <w:rFonts w:hint="eastAsia" w:ascii="仿宋" w:hAnsi="仿宋" w:eastAsia="仿宋" w:cs="仿宋"/>
          <w:sz w:val="24"/>
          <w:szCs w:val="24"/>
        </w:rPr>
        <w:t>一）乙方保证甲方在使用成交服务时，不承担任何涉及知识产权法律诉讼的责任。</w:t>
      </w:r>
    </w:p>
    <w:p w14:paraId="6FF3964C">
      <w:pPr>
        <w:spacing w:line="400" w:lineRule="exact"/>
        <w:ind w:firstLine="480" w:firstLineChars="200"/>
        <w:rPr>
          <w:rFonts w:hint="eastAsia" w:ascii="仿宋" w:hAnsi="仿宋" w:eastAsia="仿宋" w:cs="仿宋"/>
          <w:sz w:val="24"/>
          <w:szCs w:val="24"/>
        </w:rPr>
      </w:pPr>
      <w:bookmarkStart w:id="130" w:name="bookmark58"/>
      <w:r>
        <w:rPr>
          <w:rFonts w:hint="eastAsia" w:ascii="仿宋" w:hAnsi="仿宋" w:eastAsia="仿宋" w:cs="仿宋"/>
          <w:sz w:val="24"/>
          <w:szCs w:val="24"/>
        </w:rPr>
        <w:t>（</w:t>
      </w:r>
      <w:bookmarkEnd w:id="130"/>
      <w:r>
        <w:rPr>
          <w:rFonts w:hint="eastAsia" w:ascii="仿宋" w:hAnsi="仿宋" w:eastAsia="仿宋" w:cs="仿宋"/>
          <w:sz w:val="24"/>
          <w:szCs w:val="24"/>
        </w:rPr>
        <w:t>二）</w:t>
      </w:r>
      <w:r>
        <w:rPr>
          <w:rFonts w:hint="eastAsia" w:ascii="仿宋" w:hAnsi="仿宋" w:eastAsia="仿宋" w:cs="仿宋"/>
          <w:sz w:val="24"/>
          <w:szCs w:val="24"/>
        </w:rPr>
        <w:tab/>
      </w:r>
      <w:r>
        <w:rPr>
          <w:rFonts w:hint="eastAsia" w:ascii="仿宋" w:hAnsi="仿宋" w:eastAsia="仿宋" w:cs="仿宋"/>
          <w:sz w:val="24"/>
          <w:szCs w:val="24"/>
        </w:rPr>
        <w:t>乙方保证其提供的内容拥有合法的知识产权或授权，其权利义务不涉及第三人，没有任何侵权，若乙方所作的设计造成任何第三方的专利权、商标权、著作权或其他受保护的权利的侵犯，则所引起的一切索赔和诉讼由乙方承担并负责支付损害赔偿、诉讼费、律师费等一切费用。若发生以上情况并给甲方造成 损失，乙方应负法律责任，甲方有权依法向乙方索赔并追究责任。</w:t>
      </w:r>
    </w:p>
    <w:p w14:paraId="6B84AD29">
      <w:pPr>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三</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其他需要约定的事项）</w:t>
      </w:r>
    </w:p>
    <w:p w14:paraId="347A1878">
      <w:pPr>
        <w:spacing w:line="400" w:lineRule="exact"/>
        <w:rPr>
          <w:rFonts w:hint="eastAsia" w:ascii="仿宋" w:hAnsi="仿宋" w:eastAsia="仿宋" w:cs="仿宋"/>
          <w:b/>
          <w:bCs/>
          <w:sz w:val="24"/>
          <w:szCs w:val="24"/>
        </w:rPr>
      </w:pPr>
      <w:bookmarkStart w:id="131" w:name="bookmark61"/>
      <w:bookmarkStart w:id="132" w:name="bookmark62"/>
      <w:bookmarkStart w:id="133" w:name="bookmark60"/>
      <w:r>
        <w:rPr>
          <w:rFonts w:hint="eastAsia" w:ascii="仿宋" w:hAnsi="仿宋" w:eastAsia="仿宋" w:cs="仿宋"/>
          <w:b/>
          <w:bCs/>
          <w:sz w:val="24"/>
          <w:szCs w:val="24"/>
        </w:rPr>
        <w:t>十、违约责任</w:t>
      </w:r>
      <w:bookmarkEnd w:id="131"/>
      <w:bookmarkEnd w:id="132"/>
      <w:bookmarkEnd w:id="133"/>
    </w:p>
    <w:p w14:paraId="02B4D3DF">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w:t>
      </w:r>
      <w:r>
        <w:rPr>
          <w:rFonts w:hint="eastAsia" w:ascii="仿宋" w:hAnsi="仿宋" w:eastAsia="仿宋" w:cs="仿宋"/>
          <w:sz w:val="24"/>
          <w:szCs w:val="24"/>
        </w:rPr>
        <w:t>依据《中华人民共和国民法典》、《中华人民共和国政府采购法》的相关条款和本合同约定，乙方未全面履行合同义务或者发生违约，甲方有权终止合同，依法向乙方进行经济索赔，并报请政府采购监督管理机关进行相应的行政处罚。甲方违约的，应当赔偿给乙方造成的经济损失。</w:t>
      </w:r>
    </w:p>
    <w:p w14:paraId="10E791E1">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其他需要约定的事项</w:t>
      </w:r>
      <w:r>
        <w:rPr>
          <w:rFonts w:hint="eastAsia" w:ascii="仿宋" w:hAnsi="仿宋" w:eastAsia="仿宋" w:cs="仿宋"/>
          <w:sz w:val="24"/>
          <w:szCs w:val="24"/>
          <w:lang w:eastAsia="zh-CN"/>
        </w:rPr>
        <w:t>）</w:t>
      </w:r>
    </w:p>
    <w:p w14:paraId="514C9CF4">
      <w:pPr>
        <w:spacing w:line="400" w:lineRule="exact"/>
        <w:rPr>
          <w:rFonts w:hint="eastAsia" w:ascii="仿宋" w:hAnsi="仿宋" w:eastAsia="仿宋" w:cs="仿宋"/>
          <w:b/>
          <w:bCs/>
          <w:sz w:val="24"/>
          <w:szCs w:val="24"/>
        </w:rPr>
      </w:pPr>
      <w:r>
        <w:rPr>
          <w:rFonts w:hint="eastAsia" w:ascii="仿宋" w:hAnsi="仿宋" w:eastAsia="仿宋" w:cs="仿宋"/>
          <w:b/>
          <w:bCs/>
          <w:sz w:val="24"/>
          <w:szCs w:val="24"/>
        </w:rPr>
        <w:t>十一、保密条款</w:t>
      </w:r>
    </w:p>
    <w:p w14:paraId="38B6146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乙方及其项目参加人员应就合同履行过程中了解到、涉及 到、搜集到甲方技术信息、经验信息以及其他尚未公开的有关信 息、资料负有保密义务，并采取相应的保密措施，如发生以上情 况，甲方有权索赔。乙方应承担的保密义务包括但不限于：</w:t>
      </w:r>
    </w:p>
    <w:p w14:paraId="3D0E3B1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（一）</w:t>
      </w:r>
      <w:r>
        <w:rPr>
          <w:rFonts w:hint="eastAsia" w:ascii="仿宋" w:hAnsi="仿宋" w:eastAsia="仿宋" w:cs="仿宋"/>
          <w:sz w:val="24"/>
          <w:szCs w:val="24"/>
        </w:rPr>
        <w:t>未经甲方书面同意，不得将上述信息、资料披露给任何第三人；</w:t>
      </w:r>
      <w:bookmarkStart w:id="134" w:name="bookmark65"/>
    </w:p>
    <w:bookmarkEnd w:id="134"/>
    <w:p w14:paraId="2E2FF23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（二）</w:t>
      </w:r>
      <w:r>
        <w:rPr>
          <w:rFonts w:hint="eastAsia" w:ascii="仿宋" w:hAnsi="仿宋" w:eastAsia="仿宋" w:cs="仿宋"/>
          <w:sz w:val="24"/>
          <w:szCs w:val="24"/>
        </w:rPr>
        <w:t>不得将上述信息、资料用于本合同以外的其他目的；</w:t>
      </w:r>
    </w:p>
    <w:p w14:paraId="72B05C2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（三）</w:t>
      </w:r>
      <w:r>
        <w:rPr>
          <w:rFonts w:hint="eastAsia" w:ascii="仿宋" w:hAnsi="仿宋" w:eastAsia="仿宋" w:cs="仿宋"/>
          <w:sz w:val="24"/>
          <w:szCs w:val="24"/>
        </w:rPr>
        <w:t>在本合同终止或解除后或按甲方要求，及时将上述信 息、资料返还甲方，或按甲方要求作适当处理。</w:t>
      </w:r>
    </w:p>
    <w:p w14:paraId="77CCB3F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（四）</w:t>
      </w:r>
      <w:r>
        <w:rPr>
          <w:rFonts w:hint="eastAsia" w:ascii="仿宋" w:hAnsi="仿宋" w:eastAsia="仿宋" w:cs="仿宋"/>
          <w:sz w:val="24"/>
          <w:szCs w:val="24"/>
        </w:rPr>
        <w:t>本合同项下的保密义务约定至相关信息、资料正式向社会公开之日或甲方书面解除乙方本合同项下保密义务之日起终止</w:t>
      </w:r>
      <w:bookmarkStart w:id="135" w:name="bookmark68"/>
      <w:r>
        <w:rPr>
          <w:rFonts w:hint="eastAsia" w:ascii="仿宋" w:hAnsi="仿宋" w:eastAsia="仿宋" w:cs="仿宋"/>
          <w:sz w:val="24"/>
          <w:szCs w:val="24"/>
          <w:lang w:eastAsia="zh-CN"/>
        </w:rPr>
        <w:t>。</w:t>
      </w:r>
    </w:p>
    <w:bookmarkEnd w:id="135"/>
    <w:p w14:paraId="7D80C27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本条约定在本合同终止后仍然继续有效</w:t>
      </w:r>
      <w:r>
        <w:rPr>
          <w:rFonts w:hint="eastAsia" w:ascii="仿宋" w:hAnsi="仿宋" w:eastAsia="仿宋" w:cs="仿宋"/>
          <w:sz w:val="24"/>
          <w:szCs w:val="24"/>
          <w:lang w:eastAsia="zh-CN"/>
        </w:rPr>
        <w:t>，</w:t>
      </w:r>
      <w:r>
        <w:rPr>
          <w:rFonts w:hint="eastAsia" w:ascii="仿宋" w:hAnsi="仿宋" w:eastAsia="仿宋" w:cs="仿宋"/>
          <w:sz w:val="24"/>
          <w:szCs w:val="24"/>
        </w:rPr>
        <w:t>且不受合同解除、终止或无效的影响。</w:t>
      </w:r>
    </w:p>
    <w:p w14:paraId="6065CD4F">
      <w:pPr>
        <w:spacing w:line="400" w:lineRule="exact"/>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六</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其他需要约定的事项</w:t>
      </w:r>
      <w:r>
        <w:rPr>
          <w:rFonts w:hint="eastAsia" w:ascii="仿宋" w:hAnsi="仿宋" w:eastAsia="仿宋" w:cs="仿宋"/>
          <w:sz w:val="24"/>
          <w:szCs w:val="24"/>
          <w:lang w:eastAsia="zh-CN"/>
        </w:rPr>
        <w:t>）</w:t>
      </w:r>
    </w:p>
    <w:p w14:paraId="1EDF1BB9">
      <w:pPr>
        <w:spacing w:line="400" w:lineRule="exact"/>
        <w:rPr>
          <w:rFonts w:hint="eastAsia" w:ascii="仿宋" w:hAnsi="仿宋" w:eastAsia="仿宋" w:cs="仿宋"/>
          <w:b/>
          <w:bCs/>
          <w:sz w:val="24"/>
          <w:szCs w:val="24"/>
        </w:rPr>
      </w:pPr>
      <w:bookmarkStart w:id="136" w:name="bookmark70"/>
      <w:bookmarkStart w:id="137" w:name="bookmark71"/>
      <w:bookmarkStart w:id="138" w:name="bookmark72"/>
      <w:r>
        <w:rPr>
          <w:rFonts w:hint="eastAsia" w:ascii="仿宋" w:hAnsi="仿宋" w:eastAsia="仿宋" w:cs="仿宋"/>
          <w:b/>
          <w:bCs/>
          <w:sz w:val="24"/>
          <w:szCs w:val="24"/>
        </w:rPr>
        <w:t>十二、不可抗力</w:t>
      </w:r>
      <w:bookmarkEnd w:id="136"/>
      <w:bookmarkEnd w:id="137"/>
      <w:bookmarkEnd w:id="138"/>
    </w:p>
    <w:p w14:paraId="3EBC186C">
      <w:pPr>
        <w:spacing w:line="400" w:lineRule="exact"/>
        <w:ind w:firstLine="480" w:firstLineChars="200"/>
        <w:rPr>
          <w:rFonts w:hint="eastAsia" w:ascii="仿宋" w:hAnsi="仿宋" w:eastAsia="仿宋" w:cs="仿宋"/>
          <w:sz w:val="24"/>
          <w:szCs w:val="24"/>
        </w:rPr>
      </w:pPr>
      <w:bookmarkStart w:id="139" w:name="bookmark73"/>
      <w:r>
        <w:rPr>
          <w:rFonts w:hint="eastAsia" w:ascii="仿宋" w:hAnsi="仿宋" w:eastAsia="仿宋" w:cs="仿宋"/>
          <w:sz w:val="24"/>
          <w:szCs w:val="24"/>
        </w:rPr>
        <w:t>（</w:t>
      </w:r>
      <w:bookmarkEnd w:id="139"/>
      <w:r>
        <w:rPr>
          <w:rFonts w:hint="eastAsia" w:ascii="仿宋" w:hAnsi="仿宋" w:eastAsia="仿宋" w:cs="仿宋"/>
          <w:sz w:val="24"/>
          <w:szCs w:val="24"/>
        </w:rPr>
        <w:t>一）当发生不可抗力事件而导致其中一方不能履行合同时， 应依据不可抗力对其造成的影响部分或全部免除责任，但因</w:t>
      </w:r>
      <w:r>
        <w:rPr>
          <w:rFonts w:hint="eastAsia" w:ascii="仿宋" w:hAnsi="仿宋" w:eastAsia="仿宋" w:cs="仿宋"/>
          <w:sz w:val="24"/>
          <w:szCs w:val="24"/>
          <w:lang w:eastAsia="zh-CN"/>
        </w:rPr>
        <w:t>迟延</w:t>
      </w:r>
      <w:r>
        <w:rPr>
          <w:rFonts w:hint="eastAsia" w:ascii="仿宋" w:hAnsi="仿宋" w:eastAsia="仿宋" w:cs="仿宋"/>
          <w:sz w:val="24"/>
          <w:szCs w:val="24"/>
        </w:rPr>
        <w:t xml:space="preserve"> 履行后发生不可抗力的除外；</w:t>
      </w:r>
    </w:p>
    <w:p w14:paraId="10E123F5">
      <w:pPr>
        <w:spacing w:line="400" w:lineRule="exact"/>
        <w:ind w:firstLine="480" w:firstLineChars="200"/>
        <w:rPr>
          <w:rFonts w:hint="eastAsia" w:ascii="仿宋" w:hAnsi="仿宋" w:eastAsia="仿宋" w:cs="仿宋"/>
          <w:sz w:val="24"/>
          <w:szCs w:val="24"/>
        </w:rPr>
      </w:pPr>
      <w:bookmarkStart w:id="140" w:name="bookmark74"/>
      <w:r>
        <w:rPr>
          <w:rFonts w:hint="eastAsia" w:ascii="仿宋" w:hAnsi="仿宋" w:eastAsia="仿宋" w:cs="仿宋"/>
          <w:sz w:val="24"/>
          <w:szCs w:val="24"/>
        </w:rPr>
        <w:t>（</w:t>
      </w:r>
      <w:bookmarkEnd w:id="140"/>
      <w:r>
        <w:rPr>
          <w:rFonts w:hint="eastAsia" w:ascii="仿宋" w:hAnsi="仿宋" w:eastAsia="仿宋" w:cs="仿宋"/>
          <w:sz w:val="24"/>
          <w:szCs w:val="24"/>
        </w:rPr>
        <w:t>二）</w:t>
      </w:r>
      <w:r>
        <w:rPr>
          <w:rFonts w:hint="eastAsia" w:ascii="仿宋" w:hAnsi="仿宋" w:eastAsia="仿宋" w:cs="仿宋"/>
          <w:sz w:val="24"/>
          <w:szCs w:val="24"/>
        </w:rPr>
        <w:tab/>
      </w:r>
      <w:r>
        <w:rPr>
          <w:rFonts w:hint="eastAsia" w:ascii="仿宋" w:hAnsi="仿宋" w:eastAsia="仿宋" w:cs="仿宋"/>
          <w:sz w:val="24"/>
          <w:szCs w:val="24"/>
        </w:rPr>
        <w:t>任何一方由于不可抗力不能履行合同的，应及时通知对方并采取有效措施防止损失扩大。遭受不可抗力的一方应在事件发生后</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日内向对方提供该不可抗力事件的详细情况，在取得有关机构的不可抗力证明或双方谅解确认后，允许延期履行或修订合同。</w:t>
      </w:r>
      <w:bookmarkStart w:id="141" w:name="bookmark75"/>
    </w:p>
    <w:p w14:paraId="06FFAAF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bookmarkEnd w:id="141"/>
      <w:r>
        <w:rPr>
          <w:rFonts w:hint="eastAsia" w:ascii="仿宋" w:hAnsi="仿宋" w:eastAsia="仿宋" w:cs="仿宋"/>
          <w:sz w:val="24"/>
          <w:szCs w:val="24"/>
        </w:rPr>
        <w:t>三）因不可抗力导致双方均发生损失的，双方各自承担损 失；不可抗力结束后，经甲乙双方协商确认合同仍有继续履行的 必要的，双方均应积极履行合同。</w:t>
      </w:r>
    </w:p>
    <w:p w14:paraId="07D8B446">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其他需要约定的事项</w:t>
      </w:r>
      <w:r>
        <w:rPr>
          <w:rFonts w:hint="eastAsia" w:ascii="仿宋" w:hAnsi="仿宋" w:eastAsia="仿宋" w:cs="仿宋"/>
          <w:sz w:val="24"/>
          <w:szCs w:val="24"/>
          <w:lang w:eastAsia="zh-CN"/>
        </w:rPr>
        <w:t>）</w:t>
      </w:r>
    </w:p>
    <w:p w14:paraId="7EA79AF5">
      <w:pPr>
        <w:spacing w:line="400" w:lineRule="exact"/>
        <w:rPr>
          <w:rFonts w:hint="eastAsia" w:ascii="仿宋" w:hAnsi="仿宋" w:eastAsia="仿宋" w:cs="仿宋"/>
          <w:b/>
          <w:bCs/>
          <w:sz w:val="24"/>
          <w:szCs w:val="24"/>
        </w:rPr>
      </w:pPr>
      <w:r>
        <w:rPr>
          <w:rFonts w:hint="eastAsia" w:ascii="仿宋" w:hAnsi="仿宋" w:eastAsia="仿宋" w:cs="仿宋"/>
          <w:b/>
          <w:bCs/>
          <w:sz w:val="24"/>
          <w:szCs w:val="24"/>
        </w:rPr>
        <w:t>十三、争议解决</w:t>
      </w:r>
    </w:p>
    <w:p w14:paraId="52D40BD0">
      <w:pPr>
        <w:spacing w:line="400" w:lineRule="exact"/>
        <w:ind w:firstLine="480" w:firstLineChars="200"/>
        <w:rPr>
          <w:rFonts w:hint="eastAsia" w:ascii="仿宋" w:hAnsi="仿宋" w:eastAsia="仿宋" w:cs="仿宋"/>
          <w:sz w:val="24"/>
          <w:szCs w:val="24"/>
        </w:rPr>
      </w:pPr>
      <w:bookmarkStart w:id="142" w:name="bookmark77"/>
      <w:r>
        <w:rPr>
          <w:rFonts w:hint="eastAsia" w:ascii="仿宋" w:hAnsi="仿宋" w:eastAsia="仿宋" w:cs="仿宋"/>
          <w:sz w:val="24"/>
          <w:szCs w:val="24"/>
        </w:rPr>
        <w:t>（</w:t>
      </w:r>
      <w:bookmarkEnd w:id="142"/>
      <w:r>
        <w:rPr>
          <w:rFonts w:hint="eastAsia" w:ascii="仿宋" w:hAnsi="仿宋" w:eastAsia="仿宋" w:cs="仿宋"/>
          <w:sz w:val="24"/>
          <w:szCs w:val="24"/>
        </w:rPr>
        <w:t>一）当履行本合同发生争议时，双方应友好协商解决。无法协商达成一致的，任何一方均可向</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人民法院提起诉讼。</w:t>
      </w:r>
    </w:p>
    <w:p w14:paraId="785A3626">
      <w:pPr>
        <w:spacing w:line="400" w:lineRule="exact"/>
        <w:ind w:firstLine="480" w:firstLineChars="200"/>
        <w:rPr>
          <w:rFonts w:hint="eastAsia" w:ascii="仿宋" w:hAnsi="仿宋" w:eastAsia="仿宋" w:cs="仿宋"/>
          <w:sz w:val="24"/>
          <w:szCs w:val="24"/>
        </w:rPr>
      </w:pPr>
      <w:bookmarkStart w:id="143" w:name="bookmark78"/>
      <w:r>
        <w:rPr>
          <w:rFonts w:hint="eastAsia" w:ascii="仿宋" w:hAnsi="仿宋" w:eastAsia="仿宋" w:cs="仿宋"/>
          <w:sz w:val="24"/>
          <w:szCs w:val="24"/>
        </w:rPr>
        <w:t>（</w:t>
      </w:r>
      <w:bookmarkEnd w:id="143"/>
      <w:r>
        <w:rPr>
          <w:rFonts w:hint="eastAsia" w:ascii="仿宋" w:hAnsi="仿宋" w:eastAsia="仿宋" w:cs="仿宋"/>
          <w:sz w:val="24"/>
          <w:szCs w:val="24"/>
        </w:rPr>
        <w:t>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其他需要约定的事项</w:t>
      </w:r>
      <w:r>
        <w:rPr>
          <w:rFonts w:hint="eastAsia" w:ascii="仿宋" w:hAnsi="仿宋" w:eastAsia="仿宋" w:cs="仿宋"/>
          <w:sz w:val="24"/>
          <w:szCs w:val="24"/>
          <w:lang w:eastAsia="zh-CN"/>
        </w:rPr>
        <w:t>）</w:t>
      </w:r>
      <w:r>
        <w:rPr>
          <w:rFonts w:hint="eastAsia" w:ascii="仿宋" w:hAnsi="仿宋" w:eastAsia="仿宋" w:cs="仿宋"/>
          <w:sz w:val="24"/>
          <w:szCs w:val="24"/>
        </w:rPr>
        <w:t>。</w:t>
      </w:r>
    </w:p>
    <w:p w14:paraId="400CB7B8">
      <w:pPr>
        <w:spacing w:line="400" w:lineRule="exact"/>
        <w:rPr>
          <w:rFonts w:hint="eastAsia" w:ascii="仿宋" w:hAnsi="仿宋" w:eastAsia="仿宋" w:cs="仿宋"/>
          <w:b/>
          <w:bCs/>
          <w:sz w:val="24"/>
          <w:szCs w:val="24"/>
        </w:rPr>
      </w:pPr>
      <w:bookmarkStart w:id="144" w:name="bookmark79"/>
      <w:bookmarkStart w:id="145" w:name="bookmark81"/>
      <w:bookmarkStart w:id="146" w:name="bookmark80"/>
      <w:r>
        <w:rPr>
          <w:rFonts w:hint="eastAsia" w:ascii="仿宋" w:hAnsi="仿宋" w:eastAsia="仿宋" w:cs="仿宋"/>
          <w:b/>
          <w:bCs/>
          <w:sz w:val="24"/>
          <w:szCs w:val="24"/>
        </w:rPr>
        <w:t>十四、其他</w:t>
      </w:r>
      <w:bookmarkEnd w:id="144"/>
      <w:bookmarkEnd w:id="145"/>
      <w:bookmarkEnd w:id="146"/>
    </w:p>
    <w:p w14:paraId="12E599A8">
      <w:pPr>
        <w:spacing w:line="400" w:lineRule="exact"/>
        <w:ind w:firstLine="480" w:firstLineChars="200"/>
        <w:rPr>
          <w:rFonts w:hint="eastAsia" w:ascii="仿宋" w:hAnsi="仿宋" w:eastAsia="仿宋" w:cs="仿宋"/>
          <w:sz w:val="24"/>
          <w:szCs w:val="24"/>
        </w:rPr>
      </w:pPr>
      <w:bookmarkStart w:id="147" w:name="bookmark82"/>
      <w:r>
        <w:rPr>
          <w:rFonts w:hint="eastAsia" w:ascii="仿宋" w:hAnsi="仿宋" w:eastAsia="仿宋" w:cs="仿宋"/>
          <w:sz w:val="24"/>
          <w:szCs w:val="24"/>
        </w:rPr>
        <w:t>（</w:t>
      </w:r>
      <w:bookmarkEnd w:id="147"/>
      <w:r>
        <w:rPr>
          <w:rFonts w:hint="eastAsia" w:ascii="仿宋" w:hAnsi="仿宋" w:eastAsia="仿宋" w:cs="仿宋"/>
          <w:sz w:val="24"/>
          <w:szCs w:val="24"/>
        </w:rPr>
        <w:t>一）</w:t>
      </w:r>
      <w:r>
        <w:rPr>
          <w:rFonts w:hint="eastAsia" w:ascii="仿宋" w:hAnsi="仿宋" w:eastAsia="仿宋" w:cs="仿宋"/>
          <w:sz w:val="24"/>
          <w:szCs w:val="24"/>
        </w:rPr>
        <w:tab/>
      </w:r>
      <w:r>
        <w:rPr>
          <w:rFonts w:hint="eastAsia" w:ascii="仿宋" w:hAnsi="仿宋" w:eastAsia="仿宋" w:cs="仿宋"/>
          <w:sz w:val="24"/>
          <w:szCs w:val="24"/>
        </w:rPr>
        <w:t>本合同中的保密条款、知识产权条款、争议解决条款长期有效，不随本合同的终止、无效、被撤销而失效。</w:t>
      </w:r>
    </w:p>
    <w:p w14:paraId="6FAA331C">
      <w:pPr>
        <w:spacing w:line="400" w:lineRule="exact"/>
        <w:ind w:firstLine="480" w:firstLineChars="200"/>
        <w:rPr>
          <w:rFonts w:hint="eastAsia" w:ascii="仿宋" w:hAnsi="仿宋" w:eastAsia="仿宋" w:cs="仿宋"/>
          <w:sz w:val="24"/>
          <w:szCs w:val="24"/>
        </w:rPr>
      </w:pPr>
      <w:bookmarkStart w:id="148" w:name="bookmark83"/>
      <w:r>
        <w:rPr>
          <w:rFonts w:hint="eastAsia" w:ascii="仿宋" w:hAnsi="仿宋" w:eastAsia="仿宋" w:cs="仿宋"/>
          <w:sz w:val="24"/>
          <w:szCs w:val="24"/>
        </w:rPr>
        <w:t>（</w:t>
      </w:r>
      <w:bookmarkEnd w:id="148"/>
      <w:r>
        <w:rPr>
          <w:rFonts w:hint="eastAsia" w:ascii="仿宋" w:hAnsi="仿宋" w:eastAsia="仿宋" w:cs="仿宋"/>
          <w:sz w:val="24"/>
          <w:szCs w:val="24"/>
        </w:rPr>
        <w:t>二）</w:t>
      </w:r>
      <w:r>
        <w:rPr>
          <w:rFonts w:hint="eastAsia" w:ascii="仿宋" w:hAnsi="仿宋" w:eastAsia="仿宋" w:cs="仿宋"/>
          <w:sz w:val="24"/>
          <w:szCs w:val="24"/>
        </w:rPr>
        <w:tab/>
      </w:r>
      <w:r>
        <w:rPr>
          <w:rFonts w:hint="eastAsia" w:ascii="仿宋" w:hAnsi="仿宋" w:eastAsia="仿宋" w:cs="仿宋"/>
          <w:sz w:val="24"/>
          <w:szCs w:val="24"/>
        </w:rPr>
        <w:t>本合同所有附件及政府采购文件均为合同的有效组成部分，与本合同具有同等法律效力。</w:t>
      </w:r>
    </w:p>
    <w:p w14:paraId="5AEC6DAC">
      <w:pPr>
        <w:spacing w:line="400" w:lineRule="exact"/>
        <w:ind w:firstLine="480" w:firstLineChars="200"/>
        <w:rPr>
          <w:rFonts w:hint="eastAsia" w:ascii="仿宋" w:hAnsi="仿宋" w:eastAsia="仿宋" w:cs="仿宋"/>
          <w:sz w:val="24"/>
          <w:szCs w:val="24"/>
          <w:lang w:val="en-US" w:eastAsia="zh-CN"/>
        </w:rPr>
      </w:pPr>
      <w:bookmarkStart w:id="149" w:name="bookmark84"/>
      <w:r>
        <w:rPr>
          <w:rFonts w:hint="eastAsia" w:ascii="仿宋" w:hAnsi="仿宋" w:eastAsia="仿宋" w:cs="仿宋"/>
          <w:sz w:val="24"/>
          <w:szCs w:val="24"/>
        </w:rPr>
        <w:t>（</w:t>
      </w:r>
      <w:bookmarkEnd w:id="149"/>
      <w:r>
        <w:rPr>
          <w:rFonts w:hint="eastAsia" w:ascii="仿宋" w:hAnsi="仿宋" w:eastAsia="仿宋" w:cs="仿宋"/>
          <w:sz w:val="24"/>
          <w:szCs w:val="24"/>
        </w:rPr>
        <w:t>三）</w:t>
      </w:r>
      <w:r>
        <w:rPr>
          <w:rFonts w:hint="eastAsia" w:ascii="仿宋" w:hAnsi="仿宋" w:eastAsia="仿宋" w:cs="仿宋"/>
          <w:sz w:val="24"/>
          <w:szCs w:val="24"/>
        </w:rPr>
        <w:tab/>
      </w:r>
      <w:r>
        <w:rPr>
          <w:rFonts w:hint="eastAsia" w:ascii="仿宋" w:hAnsi="仿宋" w:eastAsia="仿宋" w:cs="仿宋"/>
          <w:sz w:val="24"/>
          <w:szCs w:val="24"/>
        </w:rPr>
        <w:t>本合同自甲乙双方法人代表或其授权代表签字盖章后</w:t>
      </w:r>
      <w:r>
        <w:rPr>
          <w:rFonts w:hint="eastAsia" w:ascii="仿宋" w:hAnsi="仿宋" w:eastAsia="仿宋" w:cs="仿宋"/>
          <w:sz w:val="24"/>
          <w:szCs w:val="24"/>
          <w:lang w:val="en-US" w:eastAsia="zh-CN"/>
        </w:rPr>
        <w:t>生效。</w:t>
      </w:r>
    </w:p>
    <w:p w14:paraId="561779DF">
      <w:pPr>
        <w:spacing w:line="400" w:lineRule="exact"/>
        <w:ind w:firstLine="480" w:firstLineChars="200"/>
        <w:rPr>
          <w:rFonts w:hint="eastAsia" w:ascii="仿宋" w:hAnsi="仿宋" w:eastAsia="仿宋" w:cs="仿宋"/>
          <w:sz w:val="24"/>
          <w:szCs w:val="24"/>
        </w:rPr>
      </w:pPr>
      <w:bookmarkStart w:id="150" w:name="bookmark85"/>
      <w:r>
        <w:rPr>
          <w:rFonts w:hint="eastAsia" w:ascii="仿宋" w:hAnsi="仿宋" w:eastAsia="仿宋" w:cs="仿宋"/>
          <w:sz w:val="24"/>
          <w:szCs w:val="24"/>
        </w:rPr>
        <w:t>（</w:t>
      </w:r>
      <w:bookmarkEnd w:id="150"/>
      <w:r>
        <w:rPr>
          <w:rFonts w:hint="eastAsia" w:ascii="仿宋" w:hAnsi="仿宋" w:eastAsia="仿宋" w:cs="仿宋"/>
          <w:sz w:val="24"/>
          <w:szCs w:val="24"/>
        </w:rPr>
        <w:t>四）</w:t>
      </w:r>
      <w:r>
        <w:rPr>
          <w:rFonts w:hint="eastAsia" w:ascii="仿宋" w:hAnsi="仿宋" w:eastAsia="仿宋" w:cs="仿宋"/>
          <w:sz w:val="24"/>
          <w:szCs w:val="24"/>
        </w:rPr>
        <w:tab/>
      </w:r>
      <w:r>
        <w:rPr>
          <w:rFonts w:hint="eastAsia" w:ascii="仿宋" w:hAnsi="仿宋" w:eastAsia="仿宋" w:cs="仿宋"/>
          <w:sz w:val="24"/>
          <w:szCs w:val="24"/>
        </w:rPr>
        <w:t>本合同一式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份，</w:t>
      </w:r>
      <w:r>
        <w:rPr>
          <w:rFonts w:hint="eastAsia" w:ascii="仿宋" w:hAnsi="仿宋" w:eastAsia="仿宋" w:cs="仿宋"/>
          <w:sz w:val="24"/>
          <w:szCs w:val="24"/>
          <w:lang w:val="en-US" w:eastAsia="zh-CN"/>
        </w:rPr>
        <w:t>其中，甲方执    份，乙方执    份，具有同等法律效力</w:t>
      </w:r>
      <w:r>
        <w:rPr>
          <w:rFonts w:hint="eastAsia" w:ascii="仿宋" w:hAnsi="仿宋" w:eastAsia="仿宋" w:cs="仿宋"/>
          <w:sz w:val="24"/>
          <w:szCs w:val="24"/>
        </w:rPr>
        <w:t>。</w:t>
      </w:r>
    </w:p>
    <w:p w14:paraId="01AE3087">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其他需要约定的事项</w:t>
      </w:r>
      <w:r>
        <w:rPr>
          <w:rFonts w:hint="eastAsia" w:ascii="仿宋" w:hAnsi="仿宋" w:eastAsia="仿宋" w:cs="仿宋"/>
          <w:sz w:val="24"/>
          <w:szCs w:val="24"/>
          <w:lang w:eastAsia="zh-CN"/>
        </w:rPr>
        <w:t>）</w:t>
      </w:r>
    </w:p>
    <w:p w14:paraId="7AA2FA3E">
      <w:pPr>
        <w:spacing w:line="400" w:lineRule="exact"/>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十五、合同附件</w:t>
      </w:r>
      <w:r>
        <w:rPr>
          <w:rFonts w:hint="eastAsia" w:ascii="仿宋" w:hAnsi="仿宋" w:eastAsia="仿宋" w:cs="仿宋"/>
          <w:sz w:val="24"/>
          <w:szCs w:val="24"/>
          <w:lang w:val="en-US" w:eastAsia="zh-CN"/>
        </w:rPr>
        <w:t>（若有附件应注明，并注明附件名）</w:t>
      </w:r>
    </w:p>
    <w:p w14:paraId="504083FD">
      <w:pPr>
        <w:spacing w:line="400" w:lineRule="exact"/>
        <w:rPr>
          <w:rFonts w:hint="eastAsia" w:ascii="仿宋" w:hAnsi="仿宋" w:eastAsia="仿宋" w:cs="仿宋"/>
          <w:sz w:val="24"/>
          <w:szCs w:val="24"/>
          <w:lang w:val="en-US" w:eastAsia="zh-CN"/>
        </w:rPr>
      </w:pPr>
    </w:p>
    <w:p w14:paraId="1015A4F7">
      <w:pPr>
        <w:spacing w:line="400" w:lineRule="exact"/>
        <w:rPr>
          <w:rFonts w:hint="eastAsia" w:ascii="仿宋" w:hAnsi="仿宋" w:eastAsia="仿宋" w:cs="仿宋"/>
          <w:sz w:val="24"/>
          <w:szCs w:val="24"/>
        </w:rPr>
      </w:pPr>
      <w:r>
        <w:rPr>
          <w:rFonts w:hint="eastAsia" w:ascii="仿宋" w:hAnsi="仿宋" w:eastAsia="仿宋" w:cs="仿宋"/>
          <w:sz w:val="24"/>
          <w:szCs w:val="24"/>
        </w:rPr>
        <w:t>甲方（公章）：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乙方（公章）：</w:t>
      </w:r>
    </w:p>
    <w:p w14:paraId="0579CFC7">
      <w:pPr>
        <w:spacing w:line="400" w:lineRule="exact"/>
        <w:rPr>
          <w:rFonts w:hint="eastAsia" w:ascii="仿宋" w:hAnsi="仿宋" w:eastAsia="仿宋" w:cs="仿宋"/>
          <w:sz w:val="24"/>
          <w:szCs w:val="24"/>
        </w:rPr>
      </w:pPr>
      <w:r>
        <w:rPr>
          <w:rFonts w:hint="eastAsia" w:ascii="仿宋" w:hAnsi="仿宋" w:eastAsia="仿宋" w:cs="仿宋"/>
          <w:sz w:val="24"/>
          <w:szCs w:val="24"/>
        </w:rPr>
        <w:t>单位名称：</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单位名称：</w:t>
      </w:r>
    </w:p>
    <w:p w14:paraId="54A8BAFA">
      <w:pPr>
        <w:spacing w:line="400" w:lineRule="exact"/>
        <w:rPr>
          <w:rFonts w:hint="eastAsia" w:ascii="仿宋" w:hAnsi="仿宋" w:eastAsia="仿宋" w:cs="仿宋"/>
          <w:sz w:val="24"/>
          <w:szCs w:val="24"/>
        </w:rPr>
      </w:pPr>
      <w:r>
        <w:rPr>
          <w:rFonts w:hint="eastAsia" w:ascii="仿宋" w:hAnsi="仿宋" w:eastAsia="仿宋" w:cs="仿宋"/>
          <w:sz w:val="24"/>
          <w:szCs w:val="24"/>
        </w:rPr>
        <w:t>法定代表人或授权代表：</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法定代表人或授权代表：</w:t>
      </w:r>
    </w:p>
    <w:p w14:paraId="3F86566E">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联系方式：</w:t>
      </w:r>
    </w:p>
    <w:p w14:paraId="2923ACB4">
      <w:pPr>
        <w:spacing w:line="400" w:lineRule="exact"/>
        <w:rPr>
          <w:rFonts w:hint="eastAsia" w:ascii="仿宋" w:hAnsi="仿宋" w:eastAsia="仿宋" w:cs="仿宋"/>
          <w:sz w:val="24"/>
          <w:szCs w:val="24"/>
        </w:rPr>
      </w:pPr>
    </w:p>
    <w:p w14:paraId="6A0389FF">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rPr>
        <w:t>签约日期</w:t>
      </w:r>
      <w:r>
        <w:rPr>
          <w:rFonts w:hint="eastAsia" w:ascii="仿宋" w:hAnsi="仿宋" w:eastAsia="仿宋" w:cs="仿宋"/>
          <w:sz w:val="24"/>
          <w:szCs w:val="24"/>
          <w:lang w:eastAsia="zh-CN"/>
        </w:rPr>
        <w:t>：</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月 </w:t>
      </w:r>
    </w:p>
    <w:p w14:paraId="2399818E">
      <w:pPr>
        <w:pStyle w:val="52"/>
        <w:rPr>
          <w:rFonts w:hint="eastAsia" w:ascii="仿宋" w:hAnsi="仿宋" w:eastAsia="仿宋" w:cs="仿宋"/>
          <w:sz w:val="24"/>
          <w:szCs w:val="24"/>
          <w:lang w:val="en-US" w:eastAsia="zh-CN"/>
        </w:rPr>
      </w:pPr>
    </w:p>
    <w:p w14:paraId="016FE4C3">
      <w:pPr>
        <w:pStyle w:val="52"/>
        <w:rPr>
          <w:rFonts w:hint="eastAsia" w:ascii="仿宋" w:hAnsi="仿宋" w:eastAsia="仿宋" w:cs="仿宋"/>
          <w:sz w:val="24"/>
          <w:szCs w:val="24"/>
          <w:lang w:val="en-US" w:eastAsia="zh-CN"/>
        </w:rPr>
      </w:pPr>
    </w:p>
    <w:p w14:paraId="63B32B80">
      <w:pPr>
        <w:pStyle w:val="52"/>
        <w:rPr>
          <w:rFonts w:hint="eastAsia" w:ascii="仿宋" w:hAnsi="仿宋" w:eastAsia="仿宋" w:cs="仿宋"/>
          <w:sz w:val="24"/>
          <w:szCs w:val="24"/>
          <w:lang w:val="en-US" w:eastAsia="zh-CN"/>
        </w:rPr>
      </w:pPr>
    </w:p>
    <w:p w14:paraId="0C900DE9">
      <w:pPr>
        <w:spacing w:line="360" w:lineRule="auto"/>
        <w:ind w:firstLine="451" w:firstLineChars="187"/>
        <w:rPr>
          <w:rFonts w:hint="eastAsia" w:ascii="仿宋" w:hAnsi="仿宋" w:eastAsia="仿宋" w:cs="仿宋"/>
          <w:color w:val="000000"/>
          <w:sz w:val="24"/>
          <w:szCs w:val="24"/>
        </w:rPr>
      </w:pPr>
      <w:r>
        <w:rPr>
          <w:rFonts w:hint="eastAsia" w:ascii="仿宋" w:hAnsi="仿宋" w:eastAsia="仿宋" w:cs="仿宋"/>
          <w:b/>
          <w:bCs w:val="0"/>
          <w:sz w:val="24"/>
          <w:szCs w:val="24"/>
        </w:rPr>
        <w:t>注：本</w:t>
      </w:r>
      <w:r>
        <w:rPr>
          <w:rFonts w:hint="eastAsia" w:ascii="仿宋" w:hAnsi="仿宋" w:eastAsia="仿宋" w:cs="仿宋"/>
          <w:b/>
          <w:bCs w:val="0"/>
          <w:sz w:val="24"/>
          <w:szCs w:val="24"/>
          <w:lang w:eastAsia="zh-CN"/>
        </w:rPr>
        <w:t>磋商文件</w:t>
      </w:r>
      <w:r>
        <w:rPr>
          <w:rFonts w:hint="eastAsia" w:ascii="仿宋" w:hAnsi="仿宋" w:eastAsia="仿宋" w:cs="仿宋"/>
          <w:b/>
          <w:bCs w:val="0"/>
          <w:sz w:val="24"/>
          <w:szCs w:val="24"/>
        </w:rPr>
        <w:t>提供的合同仅为范本，采购方和中标方可根据项目实际情况在不违背相关法律法规和</w:t>
      </w:r>
      <w:r>
        <w:rPr>
          <w:rFonts w:hint="eastAsia" w:ascii="仿宋" w:hAnsi="仿宋" w:eastAsia="仿宋" w:cs="仿宋"/>
          <w:b/>
          <w:bCs w:val="0"/>
          <w:sz w:val="24"/>
          <w:szCs w:val="24"/>
          <w:lang w:eastAsia="zh-CN"/>
        </w:rPr>
        <w:t>磋商文件</w:t>
      </w:r>
      <w:r>
        <w:rPr>
          <w:rFonts w:hint="eastAsia" w:ascii="仿宋" w:hAnsi="仿宋" w:eastAsia="仿宋" w:cs="仿宋"/>
          <w:b/>
          <w:bCs w:val="0"/>
          <w:sz w:val="24"/>
          <w:szCs w:val="24"/>
        </w:rPr>
        <w:t>等的前提下具体商定详细条款</w:t>
      </w:r>
      <w:r>
        <w:rPr>
          <w:rFonts w:hint="eastAsia" w:ascii="仿宋" w:hAnsi="仿宋" w:eastAsia="仿宋" w:cs="仿宋"/>
          <w:b w:val="0"/>
          <w:bCs/>
          <w:sz w:val="24"/>
          <w:szCs w:val="24"/>
        </w:rPr>
        <w:t>。</w:t>
      </w:r>
    </w:p>
    <w:p w14:paraId="7A6152F9">
      <w:pPr>
        <w:pStyle w:val="52"/>
        <w:rPr>
          <w:rFonts w:hint="eastAsia" w:ascii="仿宋" w:hAnsi="仿宋" w:eastAsia="仿宋" w:cs="仿宋"/>
          <w:sz w:val="24"/>
          <w:szCs w:val="24"/>
          <w:lang w:val="en-US" w:eastAsia="zh-CN"/>
        </w:rPr>
        <w:sectPr>
          <w:footerReference r:id="rId13" w:type="default"/>
          <w:footnotePr>
            <w:numFmt w:val="decimal"/>
          </w:footnotePr>
          <w:pgSz w:w="11900" w:h="16840"/>
          <w:pgMar w:top="1440" w:right="1440" w:bottom="1440" w:left="1440" w:header="1134" w:footer="1134" w:gutter="0"/>
          <w:pgNumType w:fmt="decimal"/>
          <w:cols w:space="720" w:num="1"/>
          <w:rtlGutter w:val="0"/>
          <w:docGrid w:linePitch="360" w:charSpace="0"/>
        </w:sectPr>
      </w:pPr>
    </w:p>
    <w:p w14:paraId="68B64989">
      <w:pPr>
        <w:pStyle w:val="4"/>
        <w:rPr>
          <w:rFonts w:ascii="仿宋" w:hAnsi="仿宋" w:eastAsia="仿宋" w:cs="仿宋"/>
          <w:kern w:val="0"/>
        </w:rPr>
      </w:pPr>
      <w:bookmarkStart w:id="151" w:name="_Toc79599065"/>
      <w:bookmarkStart w:id="152" w:name="_Toc19913"/>
      <w:bookmarkStart w:id="153" w:name="_Toc24126"/>
      <w:r>
        <w:rPr>
          <w:rFonts w:hint="eastAsia" w:ascii="仿宋" w:hAnsi="仿宋" w:eastAsia="仿宋" w:cs="仿宋"/>
          <w:kern w:val="0"/>
        </w:rPr>
        <w:t>第六部分  响应文件格式</w:t>
      </w:r>
      <w:bookmarkEnd w:id="151"/>
      <w:bookmarkEnd w:id="152"/>
      <w:bookmarkEnd w:id="153"/>
    </w:p>
    <w:p w14:paraId="587D2904">
      <w:pPr>
        <w:spacing w:line="480" w:lineRule="auto"/>
        <w:rPr>
          <w:rFonts w:ascii="仿宋" w:hAnsi="仿宋" w:eastAsia="仿宋" w:cs="仿宋"/>
          <w:sz w:val="24"/>
        </w:rPr>
      </w:pPr>
      <w:r>
        <w:rPr>
          <w:rFonts w:hint="eastAsia" w:ascii="仿宋" w:hAnsi="仿宋" w:eastAsia="仿宋" w:cs="仿宋"/>
          <w:sz w:val="24"/>
        </w:rPr>
        <w:t>一、供应商提交文件须知</w:t>
      </w:r>
    </w:p>
    <w:p w14:paraId="05F1C8C9">
      <w:pPr>
        <w:spacing w:line="480" w:lineRule="auto"/>
        <w:ind w:firstLine="480" w:firstLineChars="200"/>
        <w:jc w:val="left"/>
        <w:rPr>
          <w:rFonts w:ascii="仿宋" w:hAnsi="仿宋" w:eastAsia="仿宋" w:cs="仿宋"/>
          <w:sz w:val="24"/>
        </w:rPr>
      </w:pPr>
      <w:r>
        <w:rPr>
          <w:rFonts w:hint="eastAsia" w:ascii="仿宋" w:hAnsi="仿宋" w:eastAsia="仿宋" w:cs="仿宋"/>
          <w:sz w:val="24"/>
        </w:rPr>
        <w:t>1、供应商应严格按照本磋商文件的相关要求编制及提交响应文件，未按要求编制及提交响应文件的，其响应文件将有可能被按无效处理，并须承担由此带来的相应后果。</w:t>
      </w:r>
    </w:p>
    <w:p w14:paraId="0905E613">
      <w:pPr>
        <w:pStyle w:val="139"/>
        <w:snapToGrid w:val="0"/>
        <w:spacing w:line="48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2、所附表格中要求回答的全部问题和信息都必须正面回答。</w:t>
      </w:r>
    </w:p>
    <w:p w14:paraId="241771AD">
      <w:pPr>
        <w:pStyle w:val="139"/>
        <w:snapToGrid w:val="0"/>
        <w:spacing w:line="48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3、签字人应保证全部声明和问题的回答及所附材料是真实的、准确的和完整的。</w:t>
      </w:r>
    </w:p>
    <w:p w14:paraId="67E4915C">
      <w:pPr>
        <w:pStyle w:val="139"/>
        <w:snapToGrid w:val="0"/>
        <w:spacing w:line="48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4、评标委员会将应用供应商提交的技术说明文件等资料并根据自己的判断，决定供应商履行合同的合格性及能力。</w:t>
      </w:r>
    </w:p>
    <w:p w14:paraId="65A3B2AC">
      <w:pPr>
        <w:pStyle w:val="139"/>
        <w:snapToGrid w:val="0"/>
        <w:spacing w:line="48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5、供应商提交的材料将被妥善保存，但不退还。</w:t>
      </w:r>
    </w:p>
    <w:p w14:paraId="607CC1B0">
      <w:pPr>
        <w:pStyle w:val="139"/>
        <w:snapToGrid w:val="0"/>
        <w:spacing w:line="48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6、全部文件应按供应商须知中规定的中文简体字和份数提交。</w:t>
      </w:r>
    </w:p>
    <w:p w14:paraId="1EB12322">
      <w:pPr>
        <w:spacing w:line="480" w:lineRule="auto"/>
        <w:rPr>
          <w:rFonts w:ascii="仿宋" w:hAnsi="仿宋" w:eastAsia="仿宋" w:cs="仿宋"/>
          <w:sz w:val="24"/>
        </w:rPr>
      </w:pPr>
      <w:bookmarkStart w:id="154" w:name="_Toc326251063"/>
      <w:r>
        <w:rPr>
          <w:rFonts w:hint="eastAsia" w:ascii="仿宋" w:hAnsi="仿宋" w:eastAsia="仿宋" w:cs="仿宋"/>
          <w:sz w:val="24"/>
        </w:rPr>
        <w:t>二、响应文件格式及编排顺序</w:t>
      </w:r>
      <w:bookmarkEnd w:id="154"/>
    </w:p>
    <w:p w14:paraId="19AD19AA">
      <w:pPr>
        <w:pStyle w:val="139"/>
        <w:snapToGrid w:val="0"/>
        <w:spacing w:line="48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响应文件的排序须按供应商须知前附表中供应商应提交的资格证明文件和商务、技术文件内容及顺序排列。为方便评标，供应商应按照磋商文件中的提供的格式进行编制响应文件，供应商可以对所提供的格式进行扩展，但不得更改格式内容，没有提供格式的，供应商自拟。</w:t>
      </w:r>
    </w:p>
    <w:p w14:paraId="1C7F7241">
      <w:pPr>
        <w:pStyle w:val="139"/>
        <w:snapToGrid w:val="0"/>
        <w:spacing w:line="480" w:lineRule="auto"/>
        <w:ind w:firstLine="480" w:firstLineChars="200"/>
        <w:jc w:val="left"/>
        <w:rPr>
          <w:rFonts w:ascii="仿宋" w:hAnsi="仿宋" w:eastAsia="仿宋" w:cs="仿宋"/>
          <w:sz w:val="24"/>
          <w:szCs w:val="24"/>
        </w:rPr>
        <w:sectPr>
          <w:pgSz w:w="11906" w:h="16838"/>
          <w:pgMar w:top="1440" w:right="1486" w:bottom="1440" w:left="1800" w:header="851" w:footer="992" w:gutter="0"/>
          <w:pgNumType w:fmt="decimal"/>
          <w:cols w:space="720" w:num="1"/>
          <w:titlePg/>
          <w:docGrid w:type="lines" w:linePitch="312" w:charSpace="0"/>
        </w:sectPr>
      </w:pPr>
    </w:p>
    <w:p w14:paraId="5C6D5B0F">
      <w:pPr>
        <w:jc w:val="left"/>
        <w:rPr>
          <w:b/>
          <w:sz w:val="32"/>
          <w:szCs w:val="44"/>
        </w:rPr>
      </w:pPr>
      <w:r>
        <w:rPr>
          <w:rFonts w:hint="eastAsia"/>
          <w:b/>
          <w:sz w:val="32"/>
          <w:szCs w:val="44"/>
        </w:rPr>
        <w:t>响应文件格式</w:t>
      </w:r>
    </w:p>
    <w:p w14:paraId="625E4EA7">
      <w:pPr>
        <w:ind w:right="-110"/>
        <w:jc w:val="center"/>
        <w:rPr>
          <w:rFonts w:ascii="宋体" w:hAnsi="宋体" w:cs="宋体"/>
          <w:spacing w:val="40"/>
          <w:sz w:val="52"/>
          <w:szCs w:val="52"/>
        </w:rPr>
      </w:pPr>
    </w:p>
    <w:p w14:paraId="5DC572FF">
      <w:pPr>
        <w:ind w:right="-110"/>
        <w:jc w:val="center"/>
        <w:rPr>
          <w:rFonts w:ascii="宋体" w:hAnsi="宋体" w:cs="宋体"/>
          <w:spacing w:val="40"/>
          <w:sz w:val="52"/>
          <w:szCs w:val="52"/>
        </w:rPr>
      </w:pPr>
      <w:r>
        <w:rPr>
          <w:rFonts w:hint="eastAsia" w:ascii="宋体" w:hAnsi="宋体" w:cs="宋体"/>
          <w:spacing w:val="40"/>
          <w:sz w:val="52"/>
          <w:szCs w:val="52"/>
        </w:rPr>
        <w:t>（项目名称）</w:t>
      </w:r>
    </w:p>
    <w:p w14:paraId="115C713D">
      <w:pPr>
        <w:spacing w:after="100" w:afterAutospacing="1" w:line="800" w:lineRule="exact"/>
        <w:ind w:right="-108"/>
        <w:jc w:val="center"/>
        <w:rPr>
          <w:rFonts w:ascii="宋体" w:hAnsi="宋体" w:cs="宋体"/>
          <w:b/>
          <w:spacing w:val="40"/>
          <w:sz w:val="84"/>
          <w:szCs w:val="84"/>
        </w:rPr>
      </w:pPr>
    </w:p>
    <w:p w14:paraId="1532BF73">
      <w:pPr>
        <w:pBdr>
          <w:top w:val="none" w:color="auto" w:sz="0" w:space="1"/>
          <w:left w:val="none" w:color="auto" w:sz="0" w:space="4"/>
          <w:bottom w:val="none" w:color="auto" w:sz="0" w:space="1"/>
          <w:right w:val="none" w:color="auto" w:sz="0" w:space="4"/>
        </w:pBdr>
        <w:jc w:val="center"/>
        <w:rPr>
          <w:rFonts w:ascii="宋体" w:hAnsi="宋体" w:cs="宋体"/>
          <w:b/>
          <w:spacing w:val="40"/>
          <w:sz w:val="84"/>
          <w:szCs w:val="84"/>
        </w:rPr>
      </w:pPr>
      <w:r>
        <w:rPr>
          <w:rFonts w:hint="eastAsia" w:ascii="宋体" w:hAnsi="宋体" w:cs="宋体"/>
          <w:b/>
          <w:spacing w:val="40"/>
          <w:sz w:val="84"/>
          <w:szCs w:val="84"/>
        </w:rPr>
        <w:t>响</w:t>
      </w:r>
    </w:p>
    <w:p w14:paraId="79BB844E">
      <w:pPr>
        <w:pBdr>
          <w:top w:val="none" w:color="auto" w:sz="0" w:space="1"/>
          <w:left w:val="none" w:color="auto" w:sz="0" w:space="4"/>
          <w:bottom w:val="none" w:color="auto" w:sz="0" w:space="1"/>
          <w:right w:val="none" w:color="auto" w:sz="0" w:space="4"/>
        </w:pBdr>
        <w:jc w:val="center"/>
        <w:rPr>
          <w:rFonts w:ascii="宋体" w:hAnsi="宋体" w:cs="宋体"/>
          <w:b/>
          <w:spacing w:val="40"/>
          <w:sz w:val="84"/>
          <w:szCs w:val="84"/>
        </w:rPr>
      </w:pPr>
      <w:r>
        <w:rPr>
          <w:rFonts w:hint="eastAsia" w:ascii="宋体" w:hAnsi="宋体" w:cs="宋体"/>
          <w:b/>
          <w:spacing w:val="40"/>
          <w:sz w:val="84"/>
          <w:szCs w:val="84"/>
        </w:rPr>
        <w:t>应</w:t>
      </w:r>
    </w:p>
    <w:p w14:paraId="1ED5AFEC">
      <w:pPr>
        <w:pBdr>
          <w:top w:val="none" w:color="auto" w:sz="0" w:space="1"/>
          <w:left w:val="none" w:color="auto" w:sz="0" w:space="4"/>
          <w:bottom w:val="none" w:color="auto" w:sz="0" w:space="1"/>
          <w:right w:val="none" w:color="auto" w:sz="0" w:space="4"/>
        </w:pBdr>
        <w:jc w:val="center"/>
        <w:rPr>
          <w:rFonts w:ascii="宋体" w:hAnsi="宋体" w:cs="宋体"/>
          <w:b/>
          <w:spacing w:val="40"/>
          <w:sz w:val="84"/>
          <w:szCs w:val="84"/>
        </w:rPr>
      </w:pPr>
      <w:r>
        <w:rPr>
          <w:rFonts w:hint="eastAsia" w:ascii="宋体" w:hAnsi="宋体" w:cs="宋体"/>
          <w:b/>
          <w:spacing w:val="40"/>
          <w:sz w:val="84"/>
          <w:szCs w:val="84"/>
        </w:rPr>
        <w:t>文</w:t>
      </w:r>
    </w:p>
    <w:p w14:paraId="5BB739A7">
      <w:pPr>
        <w:jc w:val="center"/>
        <w:rPr>
          <w:rFonts w:ascii="宋体" w:hAnsi="宋体" w:cs="宋体"/>
          <w:b/>
          <w:spacing w:val="40"/>
          <w:sz w:val="84"/>
          <w:szCs w:val="84"/>
        </w:rPr>
      </w:pPr>
      <w:r>
        <w:rPr>
          <w:rFonts w:hint="eastAsia" w:ascii="宋体" w:hAnsi="宋体" w:cs="宋体"/>
          <w:b/>
          <w:spacing w:val="40"/>
          <w:sz w:val="84"/>
          <w:szCs w:val="84"/>
        </w:rPr>
        <w:t>件</w:t>
      </w:r>
    </w:p>
    <w:p w14:paraId="7B2ADAD9"/>
    <w:p w14:paraId="3EE718B8"/>
    <w:p w14:paraId="60D35281"/>
    <w:p w14:paraId="75D0CDB8">
      <w:pPr>
        <w:spacing w:line="720" w:lineRule="auto"/>
        <w:ind w:firstLine="1680" w:firstLineChars="600"/>
        <w:rPr>
          <w:sz w:val="28"/>
          <w:szCs w:val="28"/>
        </w:rPr>
      </w:pPr>
      <w:bookmarkStart w:id="155" w:name="_Toc25617"/>
      <w:bookmarkStart w:id="156" w:name="_Toc12199"/>
      <w:bookmarkStart w:id="157" w:name="_Toc10643"/>
      <w:bookmarkStart w:id="158" w:name="_Toc12012"/>
      <w:r>
        <w:rPr>
          <w:sz w:val="28"/>
          <w:szCs w:val="28"/>
        </w:rPr>
        <w:t>项</w:t>
      </w:r>
      <w:r>
        <w:rPr>
          <w:rFonts w:hint="eastAsia"/>
          <w:sz w:val="28"/>
          <w:szCs w:val="28"/>
        </w:rPr>
        <w:t xml:space="preserve"> </w:t>
      </w:r>
      <w:r>
        <w:rPr>
          <w:sz w:val="28"/>
          <w:szCs w:val="28"/>
        </w:rPr>
        <w:t>目</w:t>
      </w:r>
      <w:r>
        <w:rPr>
          <w:rFonts w:hint="eastAsia"/>
          <w:sz w:val="28"/>
          <w:szCs w:val="28"/>
        </w:rPr>
        <w:t xml:space="preserve"> </w:t>
      </w:r>
      <w:r>
        <w:rPr>
          <w:sz w:val="28"/>
          <w:szCs w:val="28"/>
        </w:rPr>
        <w:t>编号：</w:t>
      </w:r>
      <w:bookmarkEnd w:id="155"/>
      <w:bookmarkEnd w:id="156"/>
      <w:bookmarkEnd w:id="157"/>
      <w:bookmarkEnd w:id="158"/>
      <w:r>
        <w:rPr>
          <w:rFonts w:hint="eastAsia"/>
          <w:sz w:val="28"/>
          <w:szCs w:val="28"/>
          <w:u w:val="single"/>
        </w:rPr>
        <w:t xml:space="preserve">                      </w:t>
      </w:r>
      <w:r>
        <w:rPr>
          <w:rFonts w:hint="eastAsia"/>
          <w:sz w:val="28"/>
          <w:szCs w:val="28"/>
        </w:rPr>
        <w:t xml:space="preserve"> </w:t>
      </w:r>
    </w:p>
    <w:p w14:paraId="56A54730">
      <w:pPr>
        <w:spacing w:line="720" w:lineRule="auto"/>
        <w:ind w:firstLine="1680" w:firstLineChars="600"/>
        <w:rPr>
          <w:sz w:val="28"/>
          <w:szCs w:val="28"/>
        </w:rPr>
      </w:pPr>
      <w:bookmarkStart w:id="159" w:name="_Toc32477"/>
      <w:bookmarkStart w:id="160" w:name="_Toc20754"/>
      <w:bookmarkStart w:id="161" w:name="_Toc18443"/>
      <w:bookmarkStart w:id="162" w:name="_Toc20434"/>
      <w:r>
        <w:rPr>
          <w:sz w:val="28"/>
          <w:szCs w:val="28"/>
        </w:rPr>
        <w:t>供应商名称：</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w:t>
      </w:r>
      <w:r>
        <w:rPr>
          <w:rFonts w:hint="eastAsia"/>
          <w:sz w:val="28"/>
          <w:szCs w:val="28"/>
        </w:rPr>
        <w:t>盖单位章</w:t>
      </w:r>
      <w:r>
        <w:rPr>
          <w:sz w:val="28"/>
          <w:szCs w:val="28"/>
        </w:rPr>
        <w:t>）</w:t>
      </w:r>
      <w:bookmarkEnd w:id="159"/>
      <w:bookmarkEnd w:id="160"/>
      <w:bookmarkEnd w:id="161"/>
      <w:bookmarkEnd w:id="162"/>
    </w:p>
    <w:p w14:paraId="25B3008F">
      <w:pPr>
        <w:spacing w:line="720" w:lineRule="auto"/>
        <w:ind w:firstLine="1120" w:firstLineChars="400"/>
        <w:rPr>
          <w:sz w:val="28"/>
          <w:szCs w:val="28"/>
        </w:rPr>
      </w:pPr>
      <w:bookmarkStart w:id="163" w:name="_Toc18525"/>
      <w:bookmarkStart w:id="164" w:name="_Toc8072"/>
      <w:bookmarkStart w:id="165" w:name="_Toc26499"/>
      <w:bookmarkStart w:id="166" w:name="_Toc20620"/>
      <w:r>
        <w:rPr>
          <w:sz w:val="28"/>
          <w:szCs w:val="28"/>
        </w:rPr>
        <w:t>法定代表人</w:t>
      </w:r>
      <w:bookmarkEnd w:id="163"/>
      <w:bookmarkEnd w:id="164"/>
      <w:bookmarkEnd w:id="165"/>
      <w:bookmarkStart w:id="167" w:name="_Toc32368"/>
      <w:bookmarkStart w:id="168" w:name="_Toc4953"/>
      <w:bookmarkStart w:id="169" w:name="_Toc29477"/>
      <w:r>
        <w:rPr>
          <w:sz w:val="28"/>
          <w:szCs w:val="28"/>
        </w:rPr>
        <w:t>或其授权委托代理人：</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（签字或签章）</w:t>
      </w:r>
      <w:bookmarkEnd w:id="166"/>
      <w:bookmarkEnd w:id="167"/>
      <w:bookmarkEnd w:id="168"/>
      <w:bookmarkEnd w:id="169"/>
    </w:p>
    <w:p w14:paraId="1F406153">
      <w:pPr>
        <w:spacing w:line="720" w:lineRule="auto"/>
        <w:jc w:val="center"/>
        <w:rPr>
          <w:rFonts w:ascii="宋体" w:hAnsi="宋体"/>
          <w:color w:val="000000"/>
          <w:sz w:val="30"/>
          <w:szCs w:val="30"/>
        </w:rPr>
      </w:pPr>
      <w:r>
        <w:rPr>
          <w:sz w:val="28"/>
          <w:szCs w:val="28"/>
        </w:rPr>
        <w:t>日期：</w:t>
      </w:r>
      <w:r>
        <w:rPr>
          <w:sz w:val="28"/>
          <w:szCs w:val="28"/>
          <w:u w:val="single"/>
        </w:rPr>
        <w:t xml:space="preserve">     </w:t>
      </w:r>
      <w:r>
        <w:rPr>
          <w:sz w:val="28"/>
          <w:szCs w:val="28"/>
        </w:rPr>
        <w:t xml:space="preserve"> 年</w:t>
      </w:r>
      <w:r>
        <w:rPr>
          <w:sz w:val="28"/>
          <w:szCs w:val="28"/>
          <w:u w:val="single"/>
        </w:rPr>
        <w:t xml:space="preserve">   </w:t>
      </w:r>
      <w:r>
        <w:rPr>
          <w:sz w:val="28"/>
          <w:szCs w:val="28"/>
        </w:rPr>
        <w:t>月</w:t>
      </w:r>
      <w:r>
        <w:rPr>
          <w:sz w:val="28"/>
          <w:szCs w:val="28"/>
          <w:u w:val="single"/>
        </w:rPr>
        <w:t xml:space="preserve">   </w:t>
      </w:r>
      <w:r>
        <w:rPr>
          <w:sz w:val="28"/>
          <w:szCs w:val="28"/>
        </w:rPr>
        <w:t>日</w:t>
      </w:r>
      <w:r>
        <w:rPr>
          <w:sz w:val="32"/>
          <w:szCs w:val="36"/>
          <w:u w:val="single"/>
        </w:rPr>
        <w:br w:type="page"/>
      </w:r>
    </w:p>
    <w:p w14:paraId="1B1F7877">
      <w:pPr>
        <w:jc w:val="center"/>
        <w:rPr>
          <w:rFonts w:ascii="宋体" w:hAnsi="宋体" w:cs="宋体"/>
          <w:b/>
          <w:bCs/>
          <w:sz w:val="36"/>
          <w:szCs w:val="44"/>
        </w:rPr>
      </w:pPr>
      <w:r>
        <w:rPr>
          <w:rFonts w:hint="eastAsia" w:ascii="宋体" w:hAnsi="宋体" w:cs="宋体"/>
          <w:b/>
          <w:bCs/>
          <w:sz w:val="36"/>
          <w:szCs w:val="44"/>
        </w:rPr>
        <w:t>目  录</w:t>
      </w:r>
    </w:p>
    <w:p w14:paraId="07C92D13"/>
    <w:p w14:paraId="453B9263">
      <w:pPr>
        <w:spacing w:line="480" w:lineRule="auto"/>
        <w:ind w:firstLine="3373" w:firstLineChars="1600"/>
        <w:rPr>
          <w:rFonts w:ascii="仿宋" w:hAnsi="仿宋" w:eastAsia="仿宋" w:cs="仿宋"/>
          <w:b/>
          <w:bCs/>
        </w:rPr>
      </w:pPr>
      <w:r>
        <w:rPr>
          <w:rFonts w:hint="eastAsia" w:ascii="仿宋" w:hAnsi="仿宋" w:eastAsia="仿宋" w:cs="仿宋"/>
          <w:b/>
          <w:bCs/>
        </w:rPr>
        <w:t>资格证明文件部分</w:t>
      </w:r>
    </w:p>
    <w:p w14:paraId="699C67ED">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sz w:val="24"/>
          <w:szCs w:val="28"/>
        </w:rPr>
        <w:t>（一）供应商代表的证明</w:t>
      </w:r>
    </w:p>
    <w:p w14:paraId="734D83C8">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sz w:val="24"/>
          <w:szCs w:val="28"/>
        </w:rPr>
        <w:t>（二）声明书</w:t>
      </w:r>
    </w:p>
    <w:p w14:paraId="3531904A">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sz w:val="24"/>
          <w:szCs w:val="28"/>
        </w:rPr>
        <w:t>（三）具有独立承担民事责任的能力</w:t>
      </w:r>
    </w:p>
    <w:p w14:paraId="09E3DFCB">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sz w:val="24"/>
          <w:szCs w:val="28"/>
        </w:rPr>
        <w:t>（四）具有良好的商业信誉和健全的财务会计制度</w:t>
      </w:r>
    </w:p>
    <w:p w14:paraId="371FE242">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sz w:val="24"/>
          <w:szCs w:val="28"/>
        </w:rPr>
        <w:t>（五）具有履行合同所必需的设备和专业技术能力</w:t>
      </w:r>
    </w:p>
    <w:p w14:paraId="4DB2924F">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sz w:val="24"/>
          <w:szCs w:val="28"/>
        </w:rPr>
        <w:t>（六）具有依法缴纳税收和社会保障金的良好记录</w:t>
      </w:r>
    </w:p>
    <w:p w14:paraId="6A9F792A">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sz w:val="24"/>
          <w:szCs w:val="28"/>
        </w:rPr>
        <w:t>（七）参加政府采购活动前三年内，在经营活动中没有重大违法记录</w:t>
      </w:r>
    </w:p>
    <w:p w14:paraId="7D0750CC">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sz w:val="24"/>
          <w:szCs w:val="28"/>
        </w:rPr>
        <w:t>（八）诚信投标承诺书</w:t>
      </w:r>
    </w:p>
    <w:p w14:paraId="52CC705B">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sz w:val="24"/>
          <w:szCs w:val="28"/>
        </w:rPr>
        <w:t>（九）</w:t>
      </w:r>
      <w:r>
        <w:rPr>
          <w:rFonts w:hint="eastAsia" w:ascii="仿宋" w:hAnsi="仿宋" w:eastAsia="仿宋" w:cs="仿宋"/>
          <w:bCs/>
          <w:sz w:val="24"/>
        </w:rPr>
        <w:t>具有独立承担民事责任能力的证明材料</w:t>
      </w:r>
    </w:p>
    <w:p w14:paraId="327F459A">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bCs/>
          <w:sz w:val="24"/>
        </w:rPr>
        <w:t>（十）磋商保证金缴纳凭证</w:t>
      </w:r>
    </w:p>
    <w:p w14:paraId="3581545E">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sz w:val="24"/>
          <w:szCs w:val="28"/>
        </w:rPr>
        <w:t>（十一）落实政府采购政策需满足的资格要求</w:t>
      </w:r>
    </w:p>
    <w:p w14:paraId="292D5F93">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ascii="仿宋" w:hAnsi="仿宋" w:eastAsia="仿宋" w:cs="仿宋"/>
          <w:sz w:val="24"/>
          <w:szCs w:val="28"/>
        </w:rPr>
      </w:pPr>
      <w:r>
        <w:rPr>
          <w:rFonts w:hint="eastAsia" w:ascii="仿宋" w:hAnsi="仿宋" w:eastAsia="仿宋" w:cs="仿宋"/>
          <w:sz w:val="24"/>
          <w:szCs w:val="28"/>
        </w:rPr>
        <w:t>（十二）</w:t>
      </w:r>
      <w:r>
        <w:rPr>
          <w:rFonts w:hint="eastAsia" w:ascii="仿宋" w:hAnsi="仿宋" w:eastAsia="仿宋" w:cs="仿宋"/>
          <w:bCs/>
          <w:sz w:val="24"/>
        </w:rPr>
        <w:t>信用查询证明材料</w:t>
      </w:r>
    </w:p>
    <w:p w14:paraId="0F8EBA2F"/>
    <w:p w14:paraId="30959DD7">
      <w:pPr>
        <w:pBdr>
          <w:top w:val="none" w:color="auto" w:sz="0" w:space="1"/>
          <w:left w:val="none" w:color="auto" w:sz="0" w:space="4"/>
          <w:bottom w:val="none" w:color="auto" w:sz="0" w:space="1"/>
          <w:right w:val="none" w:color="auto" w:sz="0" w:space="4"/>
        </w:pBdr>
        <w:snapToGrid w:val="0"/>
        <w:spacing w:line="480" w:lineRule="auto"/>
        <w:ind w:firstLine="472" w:firstLineChars="196"/>
        <w:jc w:val="center"/>
        <w:rPr>
          <w:rFonts w:ascii="仿宋" w:hAnsi="仿宋" w:eastAsia="仿宋" w:cs="仿宋"/>
          <w:b/>
          <w:bCs/>
          <w:sz w:val="24"/>
          <w:szCs w:val="28"/>
        </w:rPr>
      </w:pPr>
      <w:r>
        <w:rPr>
          <w:rFonts w:hint="eastAsia" w:ascii="仿宋" w:hAnsi="仿宋" w:eastAsia="仿宋" w:cs="仿宋"/>
          <w:b/>
          <w:bCs/>
          <w:sz w:val="24"/>
          <w:szCs w:val="28"/>
        </w:rPr>
        <w:t>商务及技术文件部分</w:t>
      </w:r>
    </w:p>
    <w:p w14:paraId="3631FFD9">
      <w:pPr>
        <w:spacing w:line="480" w:lineRule="auto"/>
        <w:ind w:firstLine="480" w:firstLineChars="200"/>
        <w:rPr>
          <w:rFonts w:ascii="仿宋" w:hAnsi="仿宋" w:eastAsia="仿宋" w:cs="仿宋"/>
          <w:sz w:val="24"/>
          <w:szCs w:val="28"/>
        </w:rPr>
      </w:pPr>
      <w:r>
        <w:rPr>
          <w:rFonts w:hint="eastAsia" w:ascii="仿宋" w:hAnsi="仿宋" w:eastAsia="仿宋" w:cs="仿宋"/>
          <w:sz w:val="24"/>
          <w:szCs w:val="28"/>
        </w:rPr>
        <w:t>（一）供应商情况介绍</w:t>
      </w:r>
    </w:p>
    <w:p w14:paraId="2EDA9022">
      <w:pPr>
        <w:spacing w:line="480" w:lineRule="auto"/>
        <w:ind w:firstLine="480" w:firstLineChars="200"/>
        <w:rPr>
          <w:rFonts w:ascii="仿宋" w:hAnsi="仿宋" w:eastAsia="仿宋" w:cs="仿宋"/>
          <w:sz w:val="24"/>
          <w:szCs w:val="28"/>
        </w:rPr>
      </w:pPr>
      <w:r>
        <w:rPr>
          <w:rFonts w:hint="eastAsia" w:ascii="仿宋" w:hAnsi="仿宋" w:eastAsia="仿宋" w:cs="仿宋"/>
          <w:sz w:val="24"/>
          <w:szCs w:val="28"/>
        </w:rPr>
        <w:t>（二）类似成功案例的业绩证明</w:t>
      </w:r>
    </w:p>
    <w:p w14:paraId="191537B7">
      <w:pPr>
        <w:spacing w:line="480" w:lineRule="auto"/>
        <w:ind w:firstLine="480" w:firstLineChars="200"/>
        <w:rPr>
          <w:rFonts w:ascii="仿宋" w:hAnsi="仿宋" w:eastAsia="仿宋" w:cs="仿宋"/>
          <w:sz w:val="24"/>
          <w:szCs w:val="28"/>
        </w:rPr>
      </w:pPr>
      <w:r>
        <w:rPr>
          <w:rFonts w:hint="eastAsia" w:ascii="仿宋" w:hAnsi="仿宋" w:eastAsia="仿宋" w:cs="仿宋"/>
          <w:sz w:val="24"/>
          <w:szCs w:val="28"/>
        </w:rPr>
        <w:t>（三）商务响应表</w:t>
      </w:r>
    </w:p>
    <w:p w14:paraId="0F1A04C3">
      <w:pPr>
        <w:spacing w:line="480" w:lineRule="auto"/>
        <w:ind w:firstLine="480" w:firstLineChars="200"/>
        <w:rPr>
          <w:rFonts w:ascii="仿宋" w:hAnsi="仿宋" w:eastAsia="仿宋" w:cs="仿宋"/>
          <w:sz w:val="24"/>
          <w:szCs w:val="28"/>
        </w:rPr>
      </w:pPr>
      <w:r>
        <w:rPr>
          <w:rFonts w:hint="eastAsia" w:ascii="仿宋" w:hAnsi="仿宋" w:eastAsia="仿宋" w:cs="仿宋"/>
          <w:sz w:val="24"/>
          <w:szCs w:val="28"/>
        </w:rPr>
        <w:t>（四）实施方案</w:t>
      </w:r>
    </w:p>
    <w:p w14:paraId="32D040A2">
      <w:pPr>
        <w:spacing w:line="480" w:lineRule="auto"/>
        <w:ind w:firstLine="480" w:firstLineChars="200"/>
        <w:rPr>
          <w:rFonts w:ascii="仿宋" w:hAnsi="仿宋" w:eastAsia="仿宋" w:cs="仿宋"/>
          <w:sz w:val="24"/>
          <w:szCs w:val="28"/>
        </w:rPr>
      </w:pPr>
      <w:r>
        <w:rPr>
          <w:rFonts w:hint="eastAsia" w:ascii="仿宋" w:hAnsi="仿宋" w:eastAsia="仿宋" w:cs="仿宋"/>
          <w:sz w:val="24"/>
          <w:szCs w:val="28"/>
        </w:rPr>
        <w:t>（五）技术响应表</w:t>
      </w:r>
    </w:p>
    <w:p w14:paraId="59C48075">
      <w:pPr>
        <w:spacing w:line="480" w:lineRule="auto"/>
        <w:ind w:firstLine="480" w:firstLineChars="200"/>
        <w:rPr>
          <w:rFonts w:ascii="仿宋" w:hAnsi="仿宋" w:eastAsia="仿宋" w:cs="仿宋"/>
          <w:sz w:val="24"/>
          <w:szCs w:val="28"/>
        </w:rPr>
      </w:pPr>
      <w:r>
        <w:rPr>
          <w:rFonts w:hint="eastAsia" w:ascii="仿宋" w:hAnsi="仿宋" w:eastAsia="仿宋" w:cs="仿宋"/>
          <w:sz w:val="24"/>
          <w:szCs w:val="28"/>
        </w:rPr>
        <w:t>（六）项目管理机构人员配备</w:t>
      </w:r>
    </w:p>
    <w:p w14:paraId="5E6574A0">
      <w:pPr>
        <w:spacing w:line="480" w:lineRule="auto"/>
        <w:ind w:firstLine="480" w:firstLineChars="200"/>
        <w:rPr>
          <w:rFonts w:ascii="仿宋" w:hAnsi="仿宋" w:eastAsia="仿宋" w:cs="仿宋"/>
          <w:sz w:val="24"/>
          <w:szCs w:val="28"/>
        </w:rPr>
      </w:pPr>
      <w:r>
        <w:rPr>
          <w:rFonts w:hint="eastAsia" w:ascii="仿宋" w:hAnsi="仿宋" w:eastAsia="仿宋" w:cs="仿宋"/>
          <w:sz w:val="24"/>
          <w:szCs w:val="28"/>
        </w:rPr>
        <w:t>（七）服务承诺</w:t>
      </w:r>
    </w:p>
    <w:p w14:paraId="42EFA1E2">
      <w:pPr>
        <w:spacing w:line="480" w:lineRule="auto"/>
        <w:ind w:firstLine="480" w:firstLineChars="200"/>
        <w:rPr>
          <w:rFonts w:ascii="仿宋" w:hAnsi="仿宋" w:eastAsia="仿宋" w:cs="仿宋"/>
          <w:sz w:val="24"/>
          <w:szCs w:val="28"/>
        </w:rPr>
      </w:pPr>
      <w:r>
        <w:rPr>
          <w:rFonts w:hint="eastAsia" w:ascii="仿宋" w:hAnsi="仿宋" w:eastAsia="仿宋" w:cs="仿宋"/>
          <w:sz w:val="24"/>
          <w:szCs w:val="28"/>
        </w:rPr>
        <w:t>（八）正版软件承诺</w:t>
      </w:r>
    </w:p>
    <w:p w14:paraId="78004F80">
      <w:pPr>
        <w:spacing w:line="480" w:lineRule="auto"/>
        <w:ind w:firstLine="480" w:firstLineChars="200"/>
        <w:rPr>
          <w:rFonts w:ascii="仿宋" w:hAnsi="仿宋" w:eastAsia="仿宋" w:cs="仿宋"/>
          <w:sz w:val="24"/>
          <w:szCs w:val="28"/>
        </w:rPr>
      </w:pPr>
      <w:r>
        <w:rPr>
          <w:rFonts w:hint="eastAsia" w:ascii="仿宋" w:hAnsi="仿宋" w:eastAsia="仿宋" w:cs="仿宋"/>
          <w:sz w:val="24"/>
          <w:szCs w:val="28"/>
        </w:rPr>
        <w:t>（九）信息安全产品说明</w:t>
      </w:r>
    </w:p>
    <w:p w14:paraId="39B301F4">
      <w:pPr>
        <w:spacing w:line="480" w:lineRule="auto"/>
        <w:ind w:firstLine="480" w:firstLineChars="200"/>
        <w:rPr>
          <w:rFonts w:ascii="仿宋" w:hAnsi="仿宋" w:eastAsia="仿宋" w:cs="仿宋"/>
          <w:sz w:val="24"/>
          <w:szCs w:val="28"/>
        </w:rPr>
      </w:pPr>
      <w:r>
        <w:rPr>
          <w:rFonts w:hint="eastAsia" w:ascii="仿宋" w:hAnsi="仿宋" w:eastAsia="仿宋" w:cs="仿宋"/>
          <w:sz w:val="24"/>
          <w:szCs w:val="28"/>
        </w:rPr>
        <w:t>（十）商品包装和快递包装承诺</w:t>
      </w:r>
    </w:p>
    <w:p w14:paraId="62B25E52">
      <w:pPr>
        <w:tabs>
          <w:tab w:val="left" w:pos="3789"/>
        </w:tabs>
        <w:spacing w:line="480" w:lineRule="auto"/>
        <w:ind w:firstLine="480" w:firstLineChars="200"/>
        <w:jc w:val="left"/>
        <w:rPr>
          <w:rFonts w:ascii="仿宋" w:hAnsi="仿宋" w:eastAsia="仿宋" w:cs="仿宋"/>
          <w:sz w:val="24"/>
          <w:szCs w:val="28"/>
        </w:rPr>
      </w:pPr>
      <w:r>
        <w:rPr>
          <w:rFonts w:hint="eastAsia" w:ascii="仿宋" w:hAnsi="仿宋" w:eastAsia="仿宋" w:cs="仿宋"/>
          <w:sz w:val="24"/>
          <w:szCs w:val="28"/>
        </w:rPr>
        <w:t>（十一）供应商需要说明的其他文件和说明</w:t>
      </w:r>
    </w:p>
    <w:p w14:paraId="2570EC56">
      <w:pPr>
        <w:tabs>
          <w:tab w:val="left" w:pos="3789"/>
        </w:tabs>
        <w:spacing w:line="480" w:lineRule="auto"/>
        <w:ind w:firstLine="480" w:firstLineChars="200"/>
        <w:jc w:val="left"/>
        <w:rPr>
          <w:rFonts w:ascii="仿宋" w:hAnsi="仿宋" w:eastAsia="仿宋" w:cs="仿宋"/>
          <w:sz w:val="24"/>
          <w:szCs w:val="28"/>
        </w:rPr>
      </w:pPr>
    </w:p>
    <w:p w14:paraId="4D295D29">
      <w:pPr>
        <w:tabs>
          <w:tab w:val="left" w:pos="3789"/>
        </w:tabs>
        <w:spacing w:line="480" w:lineRule="auto"/>
        <w:ind w:firstLine="420" w:firstLineChars="200"/>
        <w:jc w:val="left"/>
        <w:rPr>
          <w:rFonts w:ascii="仿宋" w:hAnsi="仿宋" w:eastAsia="仿宋" w:cs="仿宋"/>
          <w:b/>
          <w:bCs/>
          <w:sz w:val="24"/>
          <w:szCs w:val="28"/>
        </w:rPr>
      </w:pPr>
      <w:r>
        <w:rPr>
          <w:rFonts w:hint="eastAsia" w:ascii="仿宋" w:hAnsi="仿宋" w:eastAsia="仿宋" w:cs="仿宋"/>
        </w:rPr>
        <w:tab/>
      </w:r>
      <w:r>
        <w:rPr>
          <w:rFonts w:hint="eastAsia" w:ascii="仿宋" w:hAnsi="仿宋" w:eastAsia="仿宋" w:cs="仿宋"/>
          <w:b/>
          <w:bCs/>
          <w:sz w:val="24"/>
          <w:szCs w:val="28"/>
        </w:rPr>
        <w:t>报价文件</w:t>
      </w:r>
    </w:p>
    <w:p w14:paraId="4FB4D7C7">
      <w:pPr>
        <w:spacing w:line="480" w:lineRule="auto"/>
        <w:ind w:firstLine="480" w:firstLineChars="200"/>
        <w:rPr>
          <w:rFonts w:ascii="仿宋" w:hAnsi="仿宋" w:eastAsia="仿宋" w:cs="仿宋"/>
          <w:sz w:val="24"/>
          <w:szCs w:val="28"/>
        </w:rPr>
      </w:pPr>
      <w:r>
        <w:rPr>
          <w:rFonts w:hint="eastAsia" w:ascii="仿宋" w:hAnsi="仿宋" w:eastAsia="仿宋" w:cs="仿宋"/>
          <w:sz w:val="24"/>
          <w:szCs w:val="28"/>
        </w:rPr>
        <w:t>（一）报价一览表</w:t>
      </w:r>
    </w:p>
    <w:p w14:paraId="6F98F0D5">
      <w:pPr>
        <w:tabs>
          <w:tab w:val="left" w:pos="3303"/>
        </w:tabs>
        <w:spacing w:line="480" w:lineRule="auto"/>
        <w:ind w:firstLine="480" w:firstLineChars="200"/>
        <w:jc w:val="left"/>
        <w:rPr>
          <w:rFonts w:ascii="仿宋" w:hAnsi="仿宋" w:eastAsia="仿宋" w:cs="仿宋"/>
        </w:rPr>
      </w:pPr>
      <w:r>
        <w:rPr>
          <w:rFonts w:hint="eastAsia" w:ascii="仿宋" w:hAnsi="仿宋" w:eastAsia="仿宋" w:cs="仿宋"/>
          <w:sz w:val="24"/>
          <w:szCs w:val="28"/>
        </w:rPr>
        <w:t>（二）供应商认为需要的其他文件资料</w:t>
      </w:r>
    </w:p>
    <w:p w14:paraId="7396E8E5">
      <w:pPr>
        <w:rPr>
          <w:rFonts w:ascii="宋体" w:hAnsi="宋体"/>
          <w:color w:val="000000"/>
          <w:sz w:val="30"/>
          <w:szCs w:val="30"/>
        </w:rPr>
        <w:sectPr>
          <w:pgSz w:w="11906" w:h="16838"/>
          <w:pgMar w:top="1440" w:right="1486" w:bottom="1440" w:left="1800" w:header="851" w:footer="992" w:gutter="0"/>
          <w:pgNumType w:fmt="decimal"/>
          <w:cols w:space="720" w:num="1"/>
          <w:titlePg/>
          <w:docGrid w:type="lines" w:linePitch="312" w:charSpace="0"/>
        </w:sectPr>
      </w:pPr>
    </w:p>
    <w:p w14:paraId="1B651165">
      <w:pPr>
        <w:jc w:val="center"/>
        <w:rPr>
          <w:b/>
          <w:bCs/>
          <w:sz w:val="28"/>
          <w:szCs w:val="36"/>
        </w:rPr>
      </w:pPr>
      <w:r>
        <w:rPr>
          <w:rFonts w:hint="eastAsia"/>
          <w:b/>
          <w:bCs/>
          <w:sz w:val="28"/>
          <w:szCs w:val="36"/>
        </w:rPr>
        <w:t>资格证明文件部分</w:t>
      </w:r>
    </w:p>
    <w:p w14:paraId="730B726F">
      <w:pPr>
        <w:jc w:val="center"/>
        <w:rPr>
          <w:rFonts w:ascii="宋体" w:hAnsi="宋体" w:cs="仿宋"/>
          <w:szCs w:val="28"/>
        </w:rPr>
      </w:pPr>
      <w:r>
        <w:rPr>
          <w:rFonts w:hint="eastAsia" w:ascii="宋体" w:hAnsi="宋体" w:cs="仿宋"/>
          <w:szCs w:val="28"/>
        </w:rPr>
        <w:t xml:space="preserve">（一）供应商代表的证明格式 </w:t>
      </w:r>
    </w:p>
    <w:p w14:paraId="18988C24">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宋体" w:hAnsi="宋体" w:cs="仿宋"/>
          <w:b/>
          <w:spacing w:val="6"/>
          <w:sz w:val="24"/>
          <w:szCs w:val="28"/>
        </w:rPr>
      </w:pPr>
      <w:r>
        <w:rPr>
          <w:rFonts w:hint="eastAsia" w:ascii="宋体" w:hAnsi="宋体" w:cs="仿宋"/>
          <w:b/>
          <w:bCs/>
          <w:spacing w:val="20"/>
          <w:sz w:val="24"/>
          <w:szCs w:val="28"/>
        </w:rPr>
        <w:t>法定代表人（负责人）身份证明书</w:t>
      </w:r>
    </w:p>
    <w:p w14:paraId="10188CA9">
      <w:pPr>
        <w:pBdr>
          <w:top w:val="none" w:color="auto" w:sz="0" w:space="1"/>
          <w:left w:val="none" w:color="auto" w:sz="0" w:space="4"/>
          <w:bottom w:val="none" w:color="auto" w:sz="0" w:space="1"/>
          <w:right w:val="none" w:color="auto" w:sz="0" w:space="4"/>
        </w:pBdr>
        <w:spacing w:line="560" w:lineRule="exact"/>
        <w:rPr>
          <w:rFonts w:ascii="仿宋" w:hAnsi="仿宋" w:eastAsia="仿宋" w:cs="仿宋"/>
          <w:spacing w:val="6"/>
          <w:sz w:val="24"/>
          <w:szCs w:val="28"/>
        </w:rPr>
      </w:pPr>
      <w:r>
        <w:rPr>
          <w:rFonts w:hint="eastAsia" w:ascii="仿宋" w:hAnsi="仿宋" w:eastAsia="仿宋" w:cs="仿宋"/>
          <w:spacing w:val="6"/>
          <w:sz w:val="24"/>
          <w:szCs w:val="28"/>
        </w:rPr>
        <w:t>单位名称：</w:t>
      </w:r>
    </w:p>
    <w:p w14:paraId="13534462">
      <w:pPr>
        <w:pBdr>
          <w:top w:val="none" w:color="auto" w:sz="0" w:space="1"/>
          <w:left w:val="none" w:color="auto" w:sz="0" w:space="4"/>
          <w:bottom w:val="none" w:color="auto" w:sz="0" w:space="1"/>
          <w:right w:val="none" w:color="auto" w:sz="0" w:space="4"/>
        </w:pBdr>
        <w:spacing w:line="560" w:lineRule="exact"/>
        <w:rPr>
          <w:rFonts w:ascii="仿宋" w:hAnsi="仿宋" w:eastAsia="仿宋" w:cs="仿宋"/>
          <w:spacing w:val="6"/>
          <w:sz w:val="24"/>
          <w:szCs w:val="28"/>
        </w:rPr>
      </w:pPr>
      <w:r>
        <w:rPr>
          <w:rFonts w:hint="eastAsia" w:ascii="仿宋" w:hAnsi="仿宋" w:eastAsia="仿宋" w:cs="仿宋"/>
          <w:spacing w:val="6"/>
          <w:sz w:val="24"/>
          <w:szCs w:val="28"/>
        </w:rPr>
        <w:t>单位性质：</w:t>
      </w:r>
    </w:p>
    <w:p w14:paraId="70010C87">
      <w:pPr>
        <w:pBdr>
          <w:top w:val="none" w:color="auto" w:sz="0" w:space="1"/>
          <w:left w:val="none" w:color="auto" w:sz="0" w:space="4"/>
          <w:bottom w:val="none" w:color="auto" w:sz="0" w:space="1"/>
          <w:right w:val="none" w:color="auto" w:sz="0" w:space="4"/>
        </w:pBdr>
        <w:spacing w:line="560" w:lineRule="exact"/>
        <w:rPr>
          <w:rFonts w:ascii="仿宋" w:hAnsi="仿宋" w:eastAsia="仿宋" w:cs="仿宋"/>
          <w:spacing w:val="6"/>
          <w:sz w:val="24"/>
          <w:szCs w:val="28"/>
        </w:rPr>
      </w:pPr>
      <w:r>
        <w:rPr>
          <w:rFonts w:hint="eastAsia" w:ascii="仿宋" w:hAnsi="仿宋" w:eastAsia="仿宋" w:cs="仿宋"/>
          <w:spacing w:val="6"/>
          <w:sz w:val="24"/>
          <w:szCs w:val="28"/>
        </w:rPr>
        <w:t>地    址：</w:t>
      </w:r>
    </w:p>
    <w:p w14:paraId="44A2E28E">
      <w:pPr>
        <w:pBdr>
          <w:top w:val="none" w:color="auto" w:sz="0" w:space="1"/>
          <w:left w:val="none" w:color="auto" w:sz="0" w:space="4"/>
          <w:bottom w:val="none" w:color="auto" w:sz="0" w:space="1"/>
          <w:right w:val="none" w:color="auto" w:sz="0" w:space="4"/>
        </w:pBdr>
        <w:spacing w:line="560" w:lineRule="exact"/>
        <w:rPr>
          <w:rFonts w:ascii="仿宋" w:hAnsi="仿宋" w:eastAsia="仿宋" w:cs="仿宋"/>
          <w:spacing w:val="6"/>
          <w:sz w:val="24"/>
          <w:szCs w:val="28"/>
        </w:rPr>
      </w:pPr>
      <w:r>
        <w:rPr>
          <w:rFonts w:hint="eastAsia" w:ascii="仿宋" w:hAnsi="仿宋" w:eastAsia="仿宋" w:cs="仿宋"/>
          <w:spacing w:val="6"/>
          <w:sz w:val="24"/>
          <w:szCs w:val="28"/>
        </w:rPr>
        <w:t>成立时间：    年    月    日</w:t>
      </w:r>
    </w:p>
    <w:p w14:paraId="7469582E">
      <w:pPr>
        <w:pBdr>
          <w:top w:val="none" w:color="auto" w:sz="0" w:space="1"/>
          <w:left w:val="none" w:color="auto" w:sz="0" w:space="4"/>
          <w:bottom w:val="none" w:color="auto" w:sz="0" w:space="1"/>
          <w:right w:val="none" w:color="auto" w:sz="0" w:space="4"/>
        </w:pBdr>
        <w:spacing w:line="560" w:lineRule="exact"/>
        <w:rPr>
          <w:rFonts w:ascii="仿宋" w:hAnsi="仿宋" w:eastAsia="仿宋" w:cs="仿宋"/>
          <w:spacing w:val="6"/>
          <w:sz w:val="24"/>
          <w:szCs w:val="28"/>
        </w:rPr>
      </w:pPr>
      <w:r>
        <w:rPr>
          <w:rFonts w:hint="eastAsia" w:ascii="仿宋" w:hAnsi="仿宋" w:eastAsia="仿宋" w:cs="仿宋"/>
          <w:spacing w:val="6"/>
          <w:sz w:val="24"/>
          <w:szCs w:val="28"/>
        </w:rPr>
        <w:t>经营期限：</w:t>
      </w:r>
    </w:p>
    <w:p w14:paraId="1CD1AAB4">
      <w:pPr>
        <w:pBdr>
          <w:top w:val="none" w:color="auto" w:sz="0" w:space="1"/>
          <w:left w:val="none" w:color="auto" w:sz="0" w:space="4"/>
          <w:bottom w:val="none" w:color="auto" w:sz="0" w:space="1"/>
          <w:right w:val="none" w:color="auto" w:sz="0" w:space="4"/>
        </w:pBdr>
        <w:spacing w:line="560" w:lineRule="exact"/>
        <w:rPr>
          <w:rFonts w:ascii="仿宋" w:hAnsi="仿宋" w:eastAsia="仿宋" w:cs="仿宋"/>
          <w:spacing w:val="6"/>
          <w:sz w:val="24"/>
          <w:szCs w:val="28"/>
        </w:rPr>
      </w:pPr>
      <w:r>
        <w:rPr>
          <w:rFonts w:hint="eastAsia" w:ascii="仿宋" w:hAnsi="仿宋" w:eastAsia="仿宋" w:cs="仿宋"/>
          <w:spacing w:val="6"/>
          <w:sz w:val="24"/>
          <w:szCs w:val="28"/>
        </w:rPr>
        <w:t>姓    名：                        性  别：</w:t>
      </w:r>
    </w:p>
    <w:p w14:paraId="4DC35BB3">
      <w:pPr>
        <w:pBdr>
          <w:top w:val="none" w:color="auto" w:sz="0" w:space="1"/>
          <w:left w:val="none" w:color="auto" w:sz="0" w:space="4"/>
          <w:bottom w:val="none" w:color="auto" w:sz="0" w:space="1"/>
          <w:right w:val="none" w:color="auto" w:sz="0" w:space="4"/>
        </w:pBdr>
        <w:spacing w:line="560" w:lineRule="exact"/>
        <w:rPr>
          <w:rFonts w:ascii="仿宋" w:hAnsi="仿宋" w:eastAsia="仿宋" w:cs="仿宋"/>
          <w:spacing w:val="6"/>
          <w:sz w:val="24"/>
          <w:szCs w:val="28"/>
        </w:rPr>
      </w:pPr>
      <w:r>
        <w:rPr>
          <w:rFonts w:hint="eastAsia" w:ascii="仿宋" w:hAnsi="仿宋" w:eastAsia="仿宋" w:cs="仿宋"/>
          <w:spacing w:val="6"/>
          <w:sz w:val="24"/>
          <w:szCs w:val="28"/>
        </w:rPr>
        <w:t xml:space="preserve">身份证号：                        职  务： </w:t>
      </w:r>
    </w:p>
    <w:p w14:paraId="13996160">
      <w:pPr>
        <w:pBdr>
          <w:top w:val="none" w:color="auto" w:sz="0" w:space="1"/>
          <w:left w:val="none" w:color="auto" w:sz="0" w:space="4"/>
          <w:bottom w:val="none" w:color="auto" w:sz="0" w:space="1"/>
          <w:right w:val="none" w:color="auto" w:sz="0" w:space="4"/>
        </w:pBdr>
        <w:spacing w:line="560" w:lineRule="exact"/>
        <w:rPr>
          <w:rFonts w:ascii="仿宋" w:hAnsi="仿宋" w:eastAsia="仿宋" w:cs="仿宋"/>
          <w:spacing w:val="6"/>
          <w:sz w:val="24"/>
          <w:szCs w:val="28"/>
        </w:rPr>
      </w:pPr>
      <w:r>
        <w:rPr>
          <w:rFonts w:hint="eastAsia" w:ascii="仿宋" w:hAnsi="仿宋" w:eastAsia="仿宋" w:cs="仿宋"/>
          <w:spacing w:val="6"/>
          <w:sz w:val="24"/>
          <w:szCs w:val="28"/>
        </w:rPr>
        <w:t>系</w:t>
      </w:r>
      <w:r>
        <w:rPr>
          <w:rFonts w:hint="eastAsia" w:ascii="仿宋" w:hAnsi="仿宋" w:eastAsia="仿宋" w:cs="仿宋"/>
          <w:spacing w:val="6"/>
          <w:sz w:val="24"/>
          <w:szCs w:val="28"/>
          <w:u w:val="single"/>
        </w:rPr>
        <w:t xml:space="preserve">       （供应商名称）         </w:t>
      </w:r>
      <w:r>
        <w:rPr>
          <w:rFonts w:hint="eastAsia" w:ascii="仿宋" w:hAnsi="仿宋" w:eastAsia="仿宋" w:cs="仿宋"/>
          <w:spacing w:val="6"/>
          <w:sz w:val="24"/>
          <w:szCs w:val="28"/>
        </w:rPr>
        <w:t xml:space="preserve"> 的法定代表人（负责人）。 </w:t>
      </w:r>
    </w:p>
    <w:p w14:paraId="7D71ADE5">
      <w:pPr>
        <w:pBdr>
          <w:top w:val="none" w:color="auto" w:sz="0" w:space="1"/>
          <w:left w:val="none" w:color="auto" w:sz="0" w:space="4"/>
          <w:bottom w:val="none" w:color="auto" w:sz="0" w:space="1"/>
          <w:right w:val="none" w:color="auto" w:sz="0" w:space="4"/>
        </w:pBdr>
        <w:spacing w:line="560" w:lineRule="exact"/>
        <w:ind w:firstLine="504" w:firstLineChars="200"/>
        <w:rPr>
          <w:rFonts w:ascii="仿宋" w:hAnsi="仿宋" w:eastAsia="仿宋" w:cs="仿宋"/>
          <w:spacing w:val="6"/>
          <w:sz w:val="24"/>
          <w:szCs w:val="28"/>
        </w:rPr>
      </w:pPr>
      <w:r>
        <w:rPr>
          <w:rFonts w:hint="eastAsia" w:ascii="仿宋" w:hAnsi="仿宋" w:eastAsia="仿宋" w:cs="仿宋"/>
          <w:spacing w:val="6"/>
          <w:sz w:val="24"/>
          <w:szCs w:val="28"/>
        </w:rPr>
        <w:t>特此证明。</w:t>
      </w:r>
    </w:p>
    <w:p w14:paraId="3B00CC2C">
      <w:pPr>
        <w:pBdr>
          <w:top w:val="none" w:color="auto" w:sz="0" w:space="1"/>
          <w:left w:val="none" w:color="auto" w:sz="0" w:space="4"/>
          <w:bottom w:val="none" w:color="auto" w:sz="0" w:space="1"/>
          <w:right w:val="none" w:color="auto" w:sz="0" w:space="4"/>
        </w:pBdr>
        <w:tabs>
          <w:tab w:val="left" w:pos="4000"/>
        </w:tabs>
        <w:spacing w:beforeLines="200" w:line="560" w:lineRule="exact"/>
        <w:ind w:firstLine="2240" w:firstLineChars="800"/>
        <w:jc w:val="right"/>
        <w:rPr>
          <w:rFonts w:ascii="仿宋" w:hAnsi="仿宋" w:eastAsia="仿宋" w:cs="仿宋"/>
          <w:spacing w:val="20"/>
          <w:sz w:val="24"/>
          <w:szCs w:val="28"/>
        </w:rPr>
      </w:pPr>
      <w:r>
        <w:rPr>
          <w:rFonts w:hint="eastAsia" w:ascii="仿宋" w:hAnsi="仿宋" w:eastAsia="仿宋" w:cs="仿宋"/>
          <w:spacing w:val="20"/>
          <w:sz w:val="24"/>
          <w:szCs w:val="28"/>
        </w:rPr>
        <w:t>供应商全称</w:t>
      </w:r>
      <w:r>
        <w:rPr>
          <w:rFonts w:hint="eastAsia" w:ascii="仿宋" w:hAnsi="仿宋" w:eastAsia="仿宋" w:cs="仿宋"/>
          <w:sz w:val="24"/>
          <w:szCs w:val="28"/>
        </w:rPr>
        <w:t>（盖单位章）</w:t>
      </w:r>
      <w:r>
        <w:rPr>
          <w:rFonts w:hint="eastAsia" w:ascii="仿宋" w:hAnsi="仿宋" w:eastAsia="仿宋" w:cs="仿宋"/>
          <w:spacing w:val="20"/>
          <w:sz w:val="24"/>
          <w:szCs w:val="28"/>
        </w:rPr>
        <w:t xml:space="preserve">： </w:t>
      </w:r>
    </w:p>
    <w:p w14:paraId="67981158">
      <w:pPr>
        <w:pBdr>
          <w:top w:val="none" w:color="auto" w:sz="0" w:space="1"/>
          <w:left w:val="none" w:color="auto" w:sz="0" w:space="4"/>
          <w:bottom w:val="none" w:color="auto" w:sz="0" w:space="1"/>
          <w:right w:val="none" w:color="auto" w:sz="0" w:space="4"/>
        </w:pBdr>
        <w:tabs>
          <w:tab w:val="left" w:pos="4490"/>
        </w:tabs>
        <w:spacing w:line="560" w:lineRule="exact"/>
        <w:jc w:val="right"/>
        <w:rPr>
          <w:rFonts w:ascii="仿宋" w:hAnsi="仿宋" w:eastAsia="仿宋" w:cs="仿宋"/>
          <w:spacing w:val="20"/>
          <w:sz w:val="24"/>
          <w:szCs w:val="28"/>
        </w:rPr>
      </w:pPr>
      <w:r>
        <w:rPr>
          <w:rFonts w:hint="eastAsia" w:ascii="仿宋" w:hAnsi="仿宋" w:eastAsia="仿宋" w:cs="仿宋"/>
          <w:sz w:val="24"/>
          <w:szCs w:val="28"/>
        </w:rPr>
        <w:t>法定代表人（负责人）：（签字或盖章）</w:t>
      </w:r>
      <w:r>
        <w:rPr>
          <w:rFonts w:hint="eastAsia" w:ascii="仿宋" w:hAnsi="仿宋" w:eastAsia="仿宋" w:cs="仿宋"/>
          <w:spacing w:val="20"/>
          <w:sz w:val="24"/>
          <w:szCs w:val="28"/>
        </w:rPr>
        <w:tab/>
      </w:r>
    </w:p>
    <w:p w14:paraId="165D1ACF">
      <w:pPr>
        <w:pBdr>
          <w:top w:val="none" w:color="auto" w:sz="0" w:space="1"/>
          <w:left w:val="none" w:color="auto" w:sz="0" w:space="4"/>
          <w:bottom w:val="none" w:color="auto" w:sz="0" w:space="1"/>
          <w:right w:val="none" w:color="auto" w:sz="0" w:space="4"/>
        </w:pBdr>
        <w:tabs>
          <w:tab w:val="left" w:pos="4490"/>
        </w:tabs>
        <w:spacing w:line="560" w:lineRule="exact"/>
        <w:jc w:val="right"/>
        <w:rPr>
          <w:rFonts w:ascii="仿宋" w:hAnsi="仿宋" w:eastAsia="仿宋" w:cs="仿宋"/>
          <w:spacing w:val="20"/>
          <w:sz w:val="24"/>
          <w:szCs w:val="28"/>
        </w:rPr>
      </w:pPr>
      <w:r>
        <w:rPr>
          <w:rFonts w:hint="eastAsia" w:ascii="仿宋" w:hAnsi="仿宋" w:eastAsia="仿宋" w:cs="仿宋"/>
          <w:spacing w:val="20"/>
          <w:sz w:val="24"/>
          <w:szCs w:val="28"/>
        </w:rPr>
        <w:t>年   月   日</w:t>
      </w:r>
    </w:p>
    <w:p w14:paraId="034FF694">
      <w:pPr>
        <w:pBdr>
          <w:top w:val="none" w:color="auto" w:sz="0" w:space="1"/>
          <w:left w:val="none" w:color="auto" w:sz="0" w:space="4"/>
          <w:bottom w:val="none" w:color="auto" w:sz="0" w:space="1"/>
          <w:right w:val="none" w:color="auto" w:sz="0" w:space="4"/>
        </w:pBdr>
        <w:tabs>
          <w:tab w:val="left" w:pos="4490"/>
        </w:tabs>
        <w:spacing w:beforeLines="100" w:line="560" w:lineRule="exact"/>
        <w:rPr>
          <w:rFonts w:ascii="仿宋" w:hAnsi="仿宋" w:eastAsia="仿宋" w:cs="仿宋"/>
          <w:spacing w:val="20"/>
          <w:sz w:val="24"/>
          <w:szCs w:val="28"/>
        </w:rPr>
      </w:pPr>
      <w:r>
        <w:rPr>
          <w:rFonts w:hint="eastAsia" w:ascii="仿宋" w:hAnsi="仿宋" w:eastAsia="仿宋" w:cs="仿宋"/>
          <w:b/>
          <w:sz w:val="24"/>
          <w:szCs w:val="28"/>
        </w:rPr>
        <w:t>附法定代表人有效的身份证正反两面扫描件</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395"/>
      </w:tblGrid>
      <w:tr w14:paraId="2B8B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4077" w:type="dxa"/>
            <w:tcBorders>
              <w:top w:val="single" w:color="auto" w:sz="4" w:space="0"/>
              <w:left w:val="single" w:color="auto" w:sz="4" w:space="0"/>
              <w:bottom w:val="single" w:color="auto" w:sz="4" w:space="0"/>
              <w:right w:val="single" w:color="auto" w:sz="4" w:space="0"/>
            </w:tcBorders>
          </w:tcPr>
          <w:p w14:paraId="008123D2">
            <w:pPr>
              <w:pBdr>
                <w:top w:val="none" w:color="auto" w:sz="0" w:space="1"/>
                <w:left w:val="none" w:color="auto" w:sz="0" w:space="4"/>
                <w:bottom w:val="none" w:color="auto" w:sz="0" w:space="1"/>
                <w:right w:val="none" w:color="auto" w:sz="0" w:space="4"/>
              </w:pBdr>
              <w:spacing w:line="560" w:lineRule="exact"/>
              <w:rPr>
                <w:rFonts w:ascii="宋体" w:hAnsi="宋体" w:cs="仿宋"/>
                <w:b/>
                <w:sz w:val="30"/>
                <w:szCs w:val="30"/>
              </w:rPr>
            </w:pPr>
          </w:p>
        </w:tc>
        <w:tc>
          <w:tcPr>
            <w:tcW w:w="4395" w:type="dxa"/>
            <w:tcBorders>
              <w:top w:val="single" w:color="auto" w:sz="4" w:space="0"/>
              <w:left w:val="single" w:color="auto" w:sz="4" w:space="0"/>
              <w:bottom w:val="single" w:color="auto" w:sz="4" w:space="0"/>
              <w:right w:val="single" w:color="auto" w:sz="4" w:space="0"/>
            </w:tcBorders>
          </w:tcPr>
          <w:p w14:paraId="459D2924">
            <w:pPr>
              <w:pBdr>
                <w:top w:val="none" w:color="auto" w:sz="0" w:space="1"/>
                <w:left w:val="none" w:color="auto" w:sz="0" w:space="4"/>
                <w:bottom w:val="none" w:color="auto" w:sz="0" w:space="1"/>
                <w:right w:val="none" w:color="auto" w:sz="0" w:space="4"/>
              </w:pBdr>
              <w:spacing w:line="560" w:lineRule="exact"/>
              <w:rPr>
                <w:rFonts w:ascii="宋体" w:hAnsi="宋体" w:cs="仿宋"/>
                <w:b/>
                <w:sz w:val="30"/>
                <w:szCs w:val="30"/>
              </w:rPr>
            </w:pPr>
          </w:p>
        </w:tc>
      </w:tr>
    </w:tbl>
    <w:p w14:paraId="7260AB83">
      <w:pPr>
        <w:pBdr>
          <w:top w:val="none" w:color="auto" w:sz="0" w:space="1"/>
          <w:left w:val="none" w:color="auto" w:sz="0" w:space="4"/>
          <w:bottom w:val="none" w:color="auto" w:sz="0" w:space="1"/>
          <w:right w:val="none" w:color="auto" w:sz="0" w:space="4"/>
        </w:pBdr>
        <w:spacing w:line="560" w:lineRule="exact"/>
        <w:rPr>
          <w:rFonts w:ascii="宋体" w:hAnsi="宋体" w:cs="仿宋"/>
          <w:b/>
          <w:bCs/>
          <w:sz w:val="30"/>
          <w:szCs w:val="30"/>
        </w:rPr>
      </w:pPr>
    </w:p>
    <w:p w14:paraId="676893B5">
      <w:pPr>
        <w:pageBreakBefore/>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宋体" w:hAnsi="宋体" w:cs="仿宋"/>
          <w:b/>
          <w:bCs/>
          <w:spacing w:val="20"/>
          <w:sz w:val="24"/>
          <w:szCs w:val="28"/>
        </w:rPr>
      </w:pPr>
      <w:r>
        <w:rPr>
          <w:rFonts w:hint="eastAsia" w:ascii="宋体" w:hAnsi="宋体" w:cs="仿宋"/>
          <w:b/>
          <w:bCs/>
          <w:spacing w:val="20"/>
          <w:sz w:val="24"/>
          <w:szCs w:val="28"/>
        </w:rPr>
        <w:t>法定代表人（负责人）授权委托书 （如有）</w:t>
      </w:r>
    </w:p>
    <w:p w14:paraId="590C98C7">
      <w:pPr>
        <w:pBdr>
          <w:top w:val="none" w:color="auto" w:sz="0" w:space="1"/>
          <w:left w:val="none" w:color="auto" w:sz="0" w:space="4"/>
          <w:bottom w:val="none" w:color="auto" w:sz="0" w:space="1"/>
          <w:right w:val="none" w:color="auto" w:sz="0" w:space="4"/>
        </w:pBdr>
        <w:spacing w:line="560" w:lineRule="exact"/>
        <w:rPr>
          <w:rFonts w:ascii="仿宋" w:hAnsi="仿宋" w:eastAsia="仿宋" w:cs="仿宋"/>
          <w:b/>
          <w:sz w:val="24"/>
          <w:szCs w:val="28"/>
        </w:rPr>
      </w:pPr>
      <w:r>
        <w:rPr>
          <w:rFonts w:hint="eastAsia" w:ascii="仿宋" w:hAnsi="仿宋" w:eastAsia="仿宋" w:cs="仿宋"/>
          <w:sz w:val="24"/>
          <w:szCs w:val="28"/>
          <w:lang w:eastAsia="zh-CN"/>
        </w:rPr>
        <w:t>山西冠标项目管理有限公司</w:t>
      </w:r>
      <w:r>
        <w:rPr>
          <w:rFonts w:hint="eastAsia" w:ascii="仿宋" w:hAnsi="仿宋" w:eastAsia="仿宋" w:cs="仿宋"/>
          <w:b/>
          <w:sz w:val="24"/>
          <w:szCs w:val="28"/>
        </w:rPr>
        <w:t>：</w:t>
      </w:r>
    </w:p>
    <w:p w14:paraId="2C38BE76">
      <w:pPr>
        <w:pBdr>
          <w:top w:val="none" w:color="auto" w:sz="0" w:space="1"/>
          <w:left w:val="none" w:color="auto" w:sz="0" w:space="4"/>
          <w:bottom w:val="none" w:color="auto" w:sz="0" w:space="1"/>
          <w:right w:val="none" w:color="auto" w:sz="0" w:space="4"/>
        </w:pBdr>
        <w:spacing w:line="560" w:lineRule="exact"/>
        <w:ind w:firstLine="420"/>
        <w:rPr>
          <w:rFonts w:ascii="仿宋" w:hAnsi="仿宋" w:eastAsia="仿宋" w:cs="仿宋"/>
          <w:sz w:val="24"/>
          <w:szCs w:val="28"/>
        </w:rPr>
      </w:pPr>
      <w:r>
        <w:rPr>
          <w:rFonts w:hint="eastAsia" w:ascii="仿宋" w:hAnsi="仿宋" w:eastAsia="仿宋" w:cs="仿宋"/>
          <w:sz w:val="24"/>
          <w:szCs w:val="28"/>
        </w:rPr>
        <w:t>本授权委托书声明：注册于</w:t>
      </w:r>
      <w:r>
        <w:rPr>
          <w:rFonts w:hint="eastAsia" w:ascii="仿宋" w:hAnsi="仿宋" w:eastAsia="仿宋" w:cs="仿宋"/>
          <w:sz w:val="24"/>
          <w:szCs w:val="28"/>
          <w:u w:val="single"/>
        </w:rPr>
        <w:t>（供应商住址）</w:t>
      </w:r>
      <w:r>
        <w:rPr>
          <w:rFonts w:hint="eastAsia" w:ascii="仿宋" w:hAnsi="仿宋" w:eastAsia="仿宋" w:cs="仿宋"/>
          <w:sz w:val="24"/>
          <w:szCs w:val="28"/>
        </w:rPr>
        <w:t>的</w:t>
      </w:r>
      <w:r>
        <w:rPr>
          <w:rFonts w:hint="eastAsia" w:ascii="仿宋" w:hAnsi="仿宋" w:eastAsia="仿宋" w:cs="仿宋"/>
          <w:sz w:val="24"/>
          <w:szCs w:val="28"/>
          <w:u w:val="single"/>
        </w:rPr>
        <w:t>（供应商名称）</w:t>
      </w:r>
      <w:r>
        <w:rPr>
          <w:rFonts w:hint="eastAsia" w:ascii="仿宋" w:hAnsi="仿宋" w:eastAsia="仿宋" w:cs="仿宋"/>
          <w:sz w:val="24"/>
          <w:szCs w:val="28"/>
        </w:rPr>
        <w:t>法定代表人</w:t>
      </w:r>
      <w:r>
        <w:rPr>
          <w:rFonts w:hint="eastAsia" w:ascii="仿宋" w:hAnsi="仿宋" w:eastAsia="仿宋" w:cs="仿宋"/>
          <w:sz w:val="24"/>
          <w:szCs w:val="28"/>
          <w:u w:val="single"/>
        </w:rPr>
        <w:t>（法定代表人姓名、职务、身份证号）</w:t>
      </w:r>
      <w:r>
        <w:rPr>
          <w:rFonts w:hint="eastAsia" w:ascii="仿宋" w:hAnsi="仿宋" w:eastAsia="仿宋" w:cs="仿宋"/>
          <w:sz w:val="24"/>
          <w:szCs w:val="28"/>
        </w:rPr>
        <w:t>代表本公司授权</w:t>
      </w:r>
      <w:r>
        <w:rPr>
          <w:rFonts w:hint="eastAsia" w:ascii="仿宋" w:hAnsi="仿宋" w:eastAsia="仿宋" w:cs="仿宋"/>
          <w:sz w:val="24"/>
          <w:szCs w:val="28"/>
          <w:u w:val="single"/>
        </w:rPr>
        <w:t>（供应商代表姓名、职务、身份证号）</w:t>
      </w:r>
      <w:r>
        <w:rPr>
          <w:rFonts w:hint="eastAsia" w:ascii="仿宋" w:hAnsi="仿宋" w:eastAsia="仿宋" w:cs="仿宋"/>
          <w:sz w:val="24"/>
          <w:szCs w:val="28"/>
        </w:rPr>
        <w:t>为本公司的合法代理人，就贵方组织的</w:t>
      </w:r>
      <w:r>
        <w:rPr>
          <w:rFonts w:hint="eastAsia" w:ascii="仿宋" w:hAnsi="仿宋" w:eastAsia="仿宋" w:cs="仿宋"/>
          <w:spacing w:val="6"/>
          <w:sz w:val="24"/>
          <w:szCs w:val="28"/>
          <w:u w:val="single"/>
        </w:rPr>
        <w:t>（项目名称、项目编号）</w:t>
      </w:r>
      <w:r>
        <w:rPr>
          <w:rFonts w:hint="eastAsia" w:ascii="仿宋" w:hAnsi="仿宋" w:eastAsia="仿宋" w:cs="仿宋"/>
          <w:sz w:val="24"/>
          <w:szCs w:val="28"/>
        </w:rPr>
        <w:t>项目，以本公司名义处理一切与之有关的事务。</w:t>
      </w:r>
    </w:p>
    <w:p w14:paraId="662EACE9">
      <w:pPr>
        <w:pBdr>
          <w:top w:val="none" w:color="auto" w:sz="0" w:space="1"/>
          <w:left w:val="none" w:color="auto" w:sz="0" w:space="4"/>
          <w:bottom w:val="none" w:color="auto" w:sz="0" w:space="1"/>
          <w:right w:val="none" w:color="auto" w:sz="0" w:space="4"/>
        </w:pBd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 xml:space="preserve">本授权书于    年  月  日生效，特此声明。                </w:t>
      </w:r>
    </w:p>
    <w:p w14:paraId="461EFE1F">
      <w:pPr>
        <w:pBdr>
          <w:top w:val="none" w:color="auto" w:sz="0" w:space="1"/>
          <w:left w:val="none" w:color="auto" w:sz="0" w:space="4"/>
          <w:bottom w:val="none" w:color="auto" w:sz="0" w:space="1"/>
          <w:right w:val="none" w:color="auto" w:sz="0" w:space="4"/>
        </w:pBdr>
        <w:spacing w:beforeLines="100" w:line="560" w:lineRule="exact"/>
        <w:jc w:val="right"/>
        <w:rPr>
          <w:rFonts w:ascii="仿宋" w:hAnsi="仿宋" w:eastAsia="仿宋" w:cs="仿宋"/>
          <w:sz w:val="24"/>
          <w:szCs w:val="28"/>
        </w:rPr>
      </w:pPr>
      <w:r>
        <w:rPr>
          <w:rFonts w:hint="eastAsia" w:ascii="仿宋" w:hAnsi="仿宋" w:eastAsia="仿宋" w:cs="仿宋"/>
          <w:sz w:val="24"/>
          <w:szCs w:val="28"/>
        </w:rPr>
        <w:t xml:space="preserve">                            供应商全称（盖单位章）：</w:t>
      </w:r>
    </w:p>
    <w:p w14:paraId="342F90FD">
      <w:pPr>
        <w:pBdr>
          <w:top w:val="none" w:color="auto" w:sz="0" w:space="1"/>
          <w:left w:val="none" w:color="auto" w:sz="0" w:space="4"/>
          <w:bottom w:val="none" w:color="auto" w:sz="0" w:space="1"/>
          <w:right w:val="none" w:color="auto" w:sz="0" w:space="4"/>
        </w:pBdr>
        <w:spacing w:line="560" w:lineRule="exact"/>
        <w:ind w:left="5040" w:hanging="5040" w:hangingChars="2100"/>
        <w:jc w:val="right"/>
        <w:rPr>
          <w:rFonts w:ascii="仿宋" w:hAnsi="仿宋" w:eastAsia="仿宋" w:cs="仿宋"/>
          <w:sz w:val="24"/>
          <w:szCs w:val="28"/>
        </w:rPr>
      </w:pPr>
      <w:r>
        <w:rPr>
          <w:rFonts w:hint="eastAsia" w:ascii="仿宋" w:hAnsi="仿宋" w:eastAsia="仿宋" w:cs="仿宋"/>
          <w:sz w:val="24"/>
          <w:szCs w:val="28"/>
        </w:rPr>
        <w:t xml:space="preserve">                法定代表人（负责人）：（签字或盖章）  </w:t>
      </w:r>
    </w:p>
    <w:p w14:paraId="69110E19">
      <w:pPr>
        <w:pBdr>
          <w:top w:val="none" w:color="auto" w:sz="0" w:space="1"/>
          <w:left w:val="none" w:color="auto" w:sz="0" w:space="4"/>
          <w:bottom w:val="none" w:color="auto" w:sz="0" w:space="1"/>
          <w:right w:val="none" w:color="auto" w:sz="0" w:space="4"/>
        </w:pBdr>
        <w:spacing w:line="560" w:lineRule="exact"/>
        <w:ind w:left="5040" w:hanging="5040" w:hangingChars="2100"/>
        <w:jc w:val="right"/>
        <w:rPr>
          <w:rFonts w:ascii="仿宋" w:hAnsi="仿宋" w:eastAsia="仿宋" w:cs="仿宋"/>
          <w:sz w:val="24"/>
          <w:szCs w:val="28"/>
        </w:rPr>
      </w:pPr>
      <w:r>
        <w:rPr>
          <w:rFonts w:hint="eastAsia" w:ascii="仿宋" w:hAnsi="仿宋" w:eastAsia="仿宋" w:cs="仿宋"/>
          <w:sz w:val="24"/>
          <w:szCs w:val="28"/>
        </w:rPr>
        <w:t xml:space="preserve">                                           年  月  日</w:t>
      </w:r>
    </w:p>
    <w:p w14:paraId="031F6EB6">
      <w:pPr>
        <w:pBdr>
          <w:top w:val="none" w:color="auto" w:sz="0" w:space="1"/>
          <w:left w:val="none" w:color="auto" w:sz="0" w:space="4"/>
          <w:bottom w:val="none" w:color="auto" w:sz="0" w:space="1"/>
          <w:right w:val="none" w:color="auto" w:sz="0" w:space="4"/>
        </w:pBdr>
        <w:spacing w:afterLines="100" w:line="560" w:lineRule="exact"/>
        <w:rPr>
          <w:rFonts w:ascii="仿宋" w:hAnsi="仿宋" w:eastAsia="仿宋" w:cs="仿宋"/>
          <w:b/>
          <w:sz w:val="24"/>
          <w:szCs w:val="28"/>
        </w:rPr>
      </w:pPr>
      <w:r>
        <w:rPr>
          <w:rFonts w:hint="eastAsia" w:ascii="仿宋" w:hAnsi="仿宋" w:eastAsia="仿宋" w:cs="仿宋"/>
          <w:b/>
          <w:sz w:val="24"/>
          <w:szCs w:val="28"/>
        </w:rPr>
        <w:t>附供应商代表有效的身份证正反两面扫描件</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4252"/>
      </w:tblGrid>
      <w:tr w14:paraId="4FA9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4361" w:type="dxa"/>
            <w:tcBorders>
              <w:top w:val="single" w:color="auto" w:sz="4" w:space="0"/>
              <w:left w:val="single" w:color="auto" w:sz="4" w:space="0"/>
              <w:bottom w:val="single" w:color="auto" w:sz="4" w:space="0"/>
              <w:right w:val="single" w:color="auto" w:sz="4" w:space="0"/>
            </w:tcBorders>
          </w:tcPr>
          <w:p w14:paraId="3BC47741">
            <w:pPr>
              <w:pBdr>
                <w:top w:val="none" w:color="auto" w:sz="0" w:space="1"/>
                <w:left w:val="none" w:color="auto" w:sz="0" w:space="4"/>
                <w:bottom w:val="none" w:color="auto" w:sz="0" w:space="1"/>
                <w:right w:val="none" w:color="auto" w:sz="0" w:space="4"/>
              </w:pBdr>
              <w:spacing w:line="560" w:lineRule="exact"/>
              <w:rPr>
                <w:rFonts w:ascii="宋体" w:hAnsi="宋体" w:cs="仿宋"/>
                <w:b/>
                <w:sz w:val="30"/>
                <w:szCs w:val="30"/>
              </w:rPr>
            </w:pPr>
          </w:p>
        </w:tc>
        <w:tc>
          <w:tcPr>
            <w:tcW w:w="4252" w:type="dxa"/>
            <w:tcBorders>
              <w:top w:val="single" w:color="auto" w:sz="4" w:space="0"/>
              <w:left w:val="single" w:color="auto" w:sz="4" w:space="0"/>
              <w:bottom w:val="single" w:color="auto" w:sz="4" w:space="0"/>
              <w:right w:val="single" w:color="auto" w:sz="4" w:space="0"/>
            </w:tcBorders>
          </w:tcPr>
          <w:p w14:paraId="4021A669">
            <w:pPr>
              <w:pBdr>
                <w:top w:val="none" w:color="auto" w:sz="0" w:space="1"/>
                <w:left w:val="none" w:color="auto" w:sz="0" w:space="4"/>
                <w:bottom w:val="none" w:color="auto" w:sz="0" w:space="1"/>
                <w:right w:val="none" w:color="auto" w:sz="0" w:space="4"/>
              </w:pBdr>
              <w:spacing w:line="560" w:lineRule="exact"/>
              <w:rPr>
                <w:rFonts w:ascii="宋体" w:hAnsi="宋体" w:cs="仿宋"/>
                <w:b/>
                <w:sz w:val="30"/>
                <w:szCs w:val="30"/>
              </w:rPr>
            </w:pPr>
          </w:p>
        </w:tc>
      </w:tr>
    </w:tbl>
    <w:p w14:paraId="729DF5B0">
      <w:pPr>
        <w:spacing w:line="560" w:lineRule="exact"/>
        <w:rPr>
          <w:rFonts w:ascii="宋体" w:hAnsi="宋体" w:cs="仿宋"/>
          <w:b/>
          <w:sz w:val="30"/>
          <w:szCs w:val="30"/>
        </w:rPr>
      </w:pPr>
    </w:p>
    <w:p w14:paraId="783F8CE0">
      <w:pPr>
        <w:rPr>
          <w:rFonts w:ascii="宋体" w:hAnsi="宋体" w:cs="仿宋"/>
          <w:sz w:val="30"/>
          <w:szCs w:val="30"/>
        </w:rPr>
      </w:pPr>
    </w:p>
    <w:p w14:paraId="76B09529">
      <w:pPr>
        <w:rPr>
          <w:rFonts w:ascii="宋体" w:hAnsi="宋体" w:cs="仿宋"/>
          <w:sz w:val="30"/>
          <w:szCs w:val="30"/>
        </w:rPr>
      </w:pPr>
    </w:p>
    <w:p w14:paraId="2B4DE1D4">
      <w:pPr>
        <w:rPr>
          <w:rFonts w:ascii="宋体" w:hAnsi="宋体" w:cs="仿宋"/>
          <w:sz w:val="30"/>
          <w:szCs w:val="30"/>
        </w:rPr>
      </w:pPr>
    </w:p>
    <w:p w14:paraId="5FCD722B">
      <w:pPr>
        <w:pStyle w:val="6"/>
        <w:keepNext w:val="0"/>
        <w:keepLines w:val="0"/>
        <w:pageBreakBefore/>
        <w:spacing w:line="240" w:lineRule="exact"/>
        <w:rPr>
          <w:rFonts w:ascii="宋体" w:hAnsi="宋体" w:cs="仿宋"/>
          <w:b w:val="0"/>
          <w:szCs w:val="28"/>
        </w:rPr>
      </w:pPr>
      <w:r>
        <w:rPr>
          <w:rFonts w:hint="eastAsia" w:ascii="宋体" w:hAnsi="宋体" w:cs="仿宋"/>
          <w:b w:val="0"/>
          <w:szCs w:val="28"/>
        </w:rPr>
        <w:t>（二）声明书格式</w:t>
      </w:r>
    </w:p>
    <w:p w14:paraId="56985E15">
      <w:pPr>
        <w:pBdr>
          <w:top w:val="none" w:color="auto" w:sz="0" w:space="1"/>
          <w:left w:val="none" w:color="auto" w:sz="0" w:space="4"/>
          <w:bottom w:val="none" w:color="auto" w:sz="0" w:space="1"/>
          <w:right w:val="none" w:color="auto" w:sz="0" w:space="4"/>
        </w:pBdr>
        <w:spacing w:beforeLines="100" w:afterLines="100" w:line="240" w:lineRule="exact"/>
        <w:ind w:left="562" w:hanging="562" w:hangingChars="200"/>
        <w:jc w:val="center"/>
        <w:rPr>
          <w:rFonts w:ascii="宋体" w:hAnsi="宋体" w:cs="仿宋"/>
          <w:b/>
          <w:bCs/>
          <w:spacing w:val="20"/>
          <w:sz w:val="24"/>
          <w:szCs w:val="28"/>
        </w:rPr>
      </w:pPr>
      <w:r>
        <w:rPr>
          <w:rFonts w:hint="eastAsia" w:ascii="宋体" w:hAnsi="宋体" w:cs="仿宋"/>
          <w:b/>
          <w:bCs/>
          <w:spacing w:val="20"/>
          <w:sz w:val="24"/>
          <w:szCs w:val="28"/>
        </w:rPr>
        <w:t>声 明 书</w:t>
      </w:r>
    </w:p>
    <w:p w14:paraId="7A56F3C6">
      <w:pPr>
        <w:snapToGrid w:val="0"/>
        <w:spacing w:line="240" w:lineRule="exact"/>
        <w:rPr>
          <w:rFonts w:ascii="仿宋" w:hAnsi="仿宋" w:eastAsia="仿宋" w:cs="仿宋"/>
          <w:sz w:val="24"/>
          <w:szCs w:val="28"/>
        </w:rPr>
      </w:pPr>
      <w:r>
        <w:rPr>
          <w:rFonts w:hint="eastAsia" w:ascii="仿宋" w:hAnsi="仿宋" w:eastAsia="仿宋" w:cs="仿宋"/>
          <w:sz w:val="24"/>
          <w:szCs w:val="28"/>
          <w:lang w:eastAsia="zh-CN"/>
        </w:rPr>
        <w:t>山西冠标项目管理有限公司</w:t>
      </w:r>
      <w:r>
        <w:rPr>
          <w:rFonts w:hint="eastAsia" w:ascii="仿宋" w:hAnsi="仿宋" w:eastAsia="仿宋" w:cs="仿宋"/>
          <w:sz w:val="24"/>
          <w:szCs w:val="28"/>
        </w:rPr>
        <w:t>：</w:t>
      </w:r>
    </w:p>
    <w:p w14:paraId="57BD6700">
      <w:pPr>
        <w:snapToGrid w:val="0"/>
        <w:spacing w:beforeLines="100" w:line="560" w:lineRule="exact"/>
        <w:ind w:firstLine="480" w:firstLineChars="200"/>
        <w:rPr>
          <w:rFonts w:ascii="仿宋" w:hAnsi="仿宋" w:eastAsia="仿宋" w:cs="仿宋"/>
          <w:sz w:val="24"/>
          <w:szCs w:val="28"/>
        </w:rPr>
      </w:pPr>
      <w:r>
        <w:rPr>
          <w:rFonts w:hint="eastAsia" w:ascii="仿宋" w:hAnsi="仿宋" w:eastAsia="仿宋" w:cs="仿宋"/>
          <w:sz w:val="24"/>
          <w:szCs w:val="28"/>
          <w:u w:val="single"/>
        </w:rPr>
        <w:t xml:space="preserve">     （供应商名称）</w:t>
      </w:r>
      <w:r>
        <w:rPr>
          <w:rFonts w:hint="eastAsia" w:ascii="仿宋" w:hAnsi="仿宋" w:eastAsia="仿宋" w:cs="仿宋"/>
          <w:sz w:val="24"/>
          <w:szCs w:val="28"/>
        </w:rPr>
        <w:t>系中华人民共和国合法企业，经营地址</w:t>
      </w:r>
      <w:r>
        <w:rPr>
          <w:rFonts w:hint="eastAsia" w:ascii="仿宋" w:hAnsi="仿宋" w:eastAsia="仿宋" w:cs="仿宋"/>
          <w:sz w:val="24"/>
          <w:szCs w:val="28"/>
          <w:u w:val="single"/>
        </w:rPr>
        <w:t xml:space="preserve">                            </w:t>
      </w:r>
      <w:r>
        <w:rPr>
          <w:rFonts w:hint="eastAsia" w:ascii="仿宋" w:hAnsi="仿宋" w:eastAsia="仿宋" w:cs="仿宋"/>
          <w:sz w:val="24"/>
          <w:szCs w:val="28"/>
        </w:rPr>
        <w:t>。</w:t>
      </w:r>
    </w:p>
    <w:p w14:paraId="0ADB3E5B">
      <w:pPr>
        <w:snapToGrid w:val="0"/>
        <w:spacing w:line="560" w:lineRule="exact"/>
        <w:ind w:left="239" w:leftChars="114" w:firstLine="240" w:firstLineChars="100"/>
        <w:rPr>
          <w:rFonts w:ascii="仿宋" w:hAnsi="仿宋" w:eastAsia="仿宋" w:cs="仿宋"/>
          <w:sz w:val="24"/>
          <w:szCs w:val="28"/>
        </w:rPr>
      </w:pPr>
      <w:r>
        <w:rPr>
          <w:rFonts w:hint="eastAsia" w:ascii="仿宋" w:hAnsi="仿宋" w:eastAsia="仿宋" w:cs="仿宋"/>
          <w:sz w:val="24"/>
          <w:szCs w:val="28"/>
        </w:rPr>
        <w:t>我</w:t>
      </w:r>
      <w:r>
        <w:rPr>
          <w:rFonts w:hint="eastAsia" w:ascii="仿宋" w:hAnsi="仿宋" w:eastAsia="仿宋" w:cs="仿宋"/>
          <w:sz w:val="24"/>
          <w:szCs w:val="28"/>
          <w:u w:val="single"/>
        </w:rPr>
        <w:t>（姓名）</w:t>
      </w:r>
      <w:r>
        <w:rPr>
          <w:rFonts w:hint="eastAsia" w:ascii="仿宋" w:hAnsi="仿宋" w:eastAsia="仿宋" w:cs="仿宋"/>
          <w:sz w:val="24"/>
          <w:szCs w:val="28"/>
        </w:rPr>
        <w:t>系</w:t>
      </w:r>
      <w:r>
        <w:rPr>
          <w:rFonts w:hint="eastAsia" w:ascii="仿宋" w:hAnsi="仿宋" w:eastAsia="仿宋" w:cs="仿宋"/>
          <w:sz w:val="24"/>
          <w:szCs w:val="28"/>
          <w:u w:val="single"/>
        </w:rPr>
        <w:t>（供应商名称）</w:t>
      </w:r>
      <w:r>
        <w:rPr>
          <w:rFonts w:hint="eastAsia" w:ascii="仿宋" w:hAnsi="仿宋" w:eastAsia="仿宋" w:cs="仿宋"/>
          <w:sz w:val="24"/>
          <w:szCs w:val="28"/>
        </w:rPr>
        <w:t>的法定代表人，我方愿意参加贵方组织的</w:t>
      </w:r>
      <w:r>
        <w:rPr>
          <w:rFonts w:hint="eastAsia" w:ascii="仿宋" w:hAnsi="仿宋" w:eastAsia="仿宋" w:cs="仿宋"/>
          <w:sz w:val="24"/>
          <w:szCs w:val="28"/>
          <w:u w:val="single"/>
        </w:rPr>
        <w:t>（项目名称）（项目编号）</w:t>
      </w:r>
      <w:r>
        <w:rPr>
          <w:rFonts w:hint="eastAsia" w:ascii="仿宋" w:hAnsi="仿宋" w:eastAsia="仿宋" w:cs="仿宋"/>
          <w:sz w:val="24"/>
          <w:szCs w:val="28"/>
        </w:rPr>
        <w:t>的磋商，为此，我方就本次磋商有关事项郑重声明如下：</w:t>
      </w:r>
    </w:p>
    <w:p w14:paraId="46D63EB1">
      <w:pPr>
        <w:snapToGrid w:val="0"/>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1、我方已详细审查全部磋商文件，同意采购文件的各项要求。</w:t>
      </w:r>
    </w:p>
    <w:p w14:paraId="15A5C576">
      <w:pPr>
        <w:snapToGrid w:val="0"/>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2、我方向贵方提交的所有响应文件、资料都是准确的和真实的。</w:t>
      </w:r>
    </w:p>
    <w:p w14:paraId="46BEC74B">
      <w:pPr>
        <w:snapToGrid w:val="0"/>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3、若中标，我方将按磋商文件规定履行合同责任和义务。</w:t>
      </w:r>
    </w:p>
    <w:p w14:paraId="4F6957A0">
      <w:pPr>
        <w:snapToGrid w:val="0"/>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4、我方不是采购人的附属机构；在获知本项目采购信息后，与采购人聘请的为此项目提供咨询服务的公司及其附属机构没有任何联系。</w:t>
      </w:r>
    </w:p>
    <w:p w14:paraId="48CD1759">
      <w:pPr>
        <w:snapToGrid w:val="0"/>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5、响应文件自磋商日起有效期为</w:t>
      </w:r>
      <w:bookmarkStart w:id="170" w:name="PO_3000000033_PM046_1"/>
      <w:r>
        <w:rPr>
          <w:rFonts w:hint="eastAsia" w:ascii="仿宋" w:hAnsi="仿宋" w:eastAsia="仿宋" w:cs="仿宋"/>
          <w:sz w:val="24"/>
          <w:szCs w:val="28"/>
          <w:u w:val="single"/>
        </w:rPr>
        <w:t xml:space="preserve">      </w:t>
      </w:r>
      <w:r>
        <w:rPr>
          <w:rFonts w:hint="eastAsia" w:ascii="仿宋" w:hAnsi="仿宋" w:eastAsia="仿宋" w:cs="仿宋"/>
          <w:sz w:val="24"/>
          <w:szCs w:val="28"/>
        </w:rPr>
        <w:t>日历天</w:t>
      </w:r>
      <w:bookmarkEnd w:id="170"/>
      <w:r>
        <w:rPr>
          <w:rFonts w:hint="eastAsia" w:ascii="仿宋" w:hAnsi="仿宋" w:eastAsia="仿宋" w:cs="仿宋"/>
          <w:sz w:val="24"/>
          <w:szCs w:val="28"/>
        </w:rPr>
        <w:t>。</w:t>
      </w:r>
    </w:p>
    <w:p w14:paraId="69ED1E50">
      <w:pPr>
        <w:snapToGrid w:val="0"/>
        <w:spacing w:line="560" w:lineRule="exact"/>
        <w:ind w:firstLine="472" w:firstLineChars="196"/>
        <w:jc w:val="left"/>
        <w:rPr>
          <w:rFonts w:ascii="仿宋" w:hAnsi="仿宋" w:eastAsia="仿宋" w:cs="仿宋"/>
          <w:b/>
          <w:sz w:val="24"/>
          <w:szCs w:val="28"/>
        </w:rPr>
      </w:pPr>
      <w:r>
        <w:rPr>
          <w:rFonts w:hint="eastAsia" w:ascii="仿宋" w:hAnsi="仿宋" w:eastAsia="仿宋" w:cs="仿宋"/>
          <w:b/>
          <w:sz w:val="24"/>
          <w:szCs w:val="28"/>
        </w:rPr>
        <w:t>6、我方参与本项目前3年内的经营活动中没有重大违法记录；</w:t>
      </w:r>
    </w:p>
    <w:p w14:paraId="66C40338">
      <w:pPr>
        <w:snapToGrid w:val="0"/>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7、我方通过“信用中国”网站（www.creditchina.gov.cn）、中国政府采购网（www.ccgp.gov.cn）查询，未被列入失信被执行人和税重大税收违法失信主体、政府采购严重违法失信行为记录名单。</w:t>
      </w:r>
    </w:p>
    <w:p w14:paraId="515D853A">
      <w:pPr>
        <w:snapToGrid w:val="0"/>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8、以上事项如有虚假或隐瞒，我方愿意承担一切后果，并不再寻求任何旨在减轻或免除法律责任的辩解。</w:t>
      </w:r>
    </w:p>
    <w:p w14:paraId="6F5374DA">
      <w:pPr>
        <w:snapToGrid w:val="0"/>
        <w:spacing w:line="560" w:lineRule="exact"/>
        <w:ind w:firstLine="1920" w:firstLineChars="800"/>
        <w:rPr>
          <w:rFonts w:ascii="仿宋" w:hAnsi="仿宋" w:eastAsia="仿宋" w:cs="仿宋"/>
          <w:sz w:val="24"/>
          <w:szCs w:val="28"/>
          <w:u w:val="single"/>
        </w:rPr>
      </w:pPr>
      <w:r>
        <w:rPr>
          <w:rFonts w:hint="eastAsia" w:ascii="仿宋" w:hAnsi="仿宋" w:eastAsia="仿宋" w:cs="仿宋"/>
          <w:sz w:val="24"/>
          <w:szCs w:val="28"/>
        </w:rPr>
        <w:t xml:space="preserve">法定代表人（负责人）（签字或盖章）：  </w:t>
      </w:r>
      <w:r>
        <w:rPr>
          <w:rFonts w:hint="eastAsia" w:ascii="仿宋" w:hAnsi="仿宋" w:eastAsia="仿宋" w:cs="仿宋"/>
          <w:sz w:val="24"/>
          <w:szCs w:val="28"/>
          <w:u w:val="single"/>
        </w:rPr>
        <w:t xml:space="preserve">      </w:t>
      </w:r>
    </w:p>
    <w:p w14:paraId="1C06CD75">
      <w:pPr>
        <w:pBdr>
          <w:top w:val="none" w:color="auto" w:sz="0" w:space="1"/>
          <w:left w:val="none" w:color="auto" w:sz="0" w:space="4"/>
          <w:bottom w:val="none" w:color="auto" w:sz="0" w:space="1"/>
          <w:right w:val="none" w:color="auto" w:sz="0" w:space="4"/>
        </w:pBdr>
        <w:spacing w:beforeLines="100" w:line="560" w:lineRule="exact"/>
        <w:ind w:right="960" w:firstLine="1920" w:firstLineChars="800"/>
        <w:rPr>
          <w:rFonts w:ascii="仿宋" w:hAnsi="仿宋" w:eastAsia="仿宋" w:cs="仿宋"/>
          <w:sz w:val="24"/>
          <w:szCs w:val="28"/>
        </w:rPr>
      </w:pPr>
      <w:r>
        <w:rPr>
          <w:rFonts w:hint="eastAsia" w:ascii="仿宋" w:hAnsi="仿宋" w:eastAsia="仿宋" w:cs="仿宋"/>
          <w:sz w:val="24"/>
          <w:szCs w:val="28"/>
        </w:rPr>
        <w:t>供应商全称（盖单位章）：</w:t>
      </w:r>
      <w:r>
        <w:rPr>
          <w:rFonts w:hint="eastAsia" w:ascii="仿宋" w:hAnsi="仿宋" w:eastAsia="仿宋" w:cs="仿宋"/>
          <w:sz w:val="24"/>
          <w:szCs w:val="28"/>
          <w:u w:val="single"/>
        </w:rPr>
        <w:t xml:space="preserve">                 </w:t>
      </w:r>
      <w:r>
        <w:rPr>
          <w:rFonts w:hint="eastAsia" w:ascii="仿宋" w:hAnsi="仿宋" w:eastAsia="仿宋" w:cs="仿宋"/>
          <w:sz w:val="24"/>
          <w:szCs w:val="28"/>
        </w:rPr>
        <w:t xml:space="preserve"> </w:t>
      </w:r>
    </w:p>
    <w:p w14:paraId="7C55CF05">
      <w:pPr>
        <w:pBdr>
          <w:top w:val="none" w:color="auto" w:sz="0" w:space="1"/>
          <w:left w:val="none" w:color="auto" w:sz="0" w:space="4"/>
          <w:bottom w:val="none" w:color="auto" w:sz="0" w:space="1"/>
          <w:right w:val="none" w:color="auto" w:sz="0" w:space="4"/>
        </w:pBdr>
        <w:spacing w:beforeLines="100" w:line="560" w:lineRule="exact"/>
        <w:ind w:right="960" w:firstLine="1920" w:firstLineChars="800"/>
        <w:rPr>
          <w:rFonts w:ascii="仿宋" w:hAnsi="仿宋" w:eastAsia="仿宋" w:cs="仿宋"/>
          <w:sz w:val="24"/>
          <w:szCs w:val="28"/>
        </w:rPr>
      </w:pPr>
      <w:r>
        <w:rPr>
          <w:rFonts w:hint="eastAsia" w:ascii="仿宋" w:hAnsi="仿宋" w:eastAsia="仿宋" w:cs="仿宋"/>
          <w:sz w:val="24"/>
          <w:szCs w:val="28"/>
        </w:rPr>
        <w:t>日 期：</w:t>
      </w:r>
      <w:r>
        <w:rPr>
          <w:rFonts w:hint="eastAsia" w:ascii="仿宋" w:hAnsi="仿宋" w:eastAsia="仿宋" w:cs="仿宋"/>
          <w:sz w:val="24"/>
          <w:szCs w:val="28"/>
          <w:u w:val="single"/>
        </w:rPr>
        <w:t xml:space="preserve">             </w:t>
      </w:r>
    </w:p>
    <w:p w14:paraId="496D1C6C">
      <w:pPr>
        <w:pStyle w:val="6"/>
        <w:keepNext w:val="0"/>
        <w:keepLines w:val="0"/>
        <w:pageBreakBefore/>
        <w:spacing w:line="415" w:lineRule="auto"/>
        <w:rPr>
          <w:rFonts w:ascii="宋体" w:hAnsi="宋体" w:cs="仿宋"/>
          <w:b w:val="0"/>
          <w:szCs w:val="28"/>
        </w:rPr>
      </w:pPr>
      <w:r>
        <w:rPr>
          <w:rFonts w:hint="eastAsia" w:ascii="宋体" w:hAnsi="宋体" w:cs="仿宋"/>
          <w:b w:val="0"/>
          <w:szCs w:val="28"/>
        </w:rPr>
        <w:t>（三）具有独立承担民事责任的能力</w:t>
      </w:r>
    </w:p>
    <w:p w14:paraId="2D96779B">
      <w:pPr>
        <w:snapToGrid w:val="0"/>
        <w:spacing w:line="360" w:lineRule="auto"/>
        <w:jc w:val="center"/>
        <w:rPr>
          <w:rFonts w:ascii="仿宋" w:hAnsi="仿宋" w:eastAsia="仿宋" w:cs="仿宋"/>
          <w:sz w:val="24"/>
          <w:u w:val="single"/>
        </w:rPr>
      </w:pPr>
      <w:r>
        <w:rPr>
          <w:rFonts w:hint="eastAsia" w:ascii="仿宋" w:hAnsi="仿宋" w:eastAsia="仿宋" w:cs="仿宋"/>
          <w:b/>
          <w:kern w:val="0"/>
          <w:sz w:val="24"/>
        </w:rPr>
        <w:t>具有独立承担民事责任的能力的信用承诺书</w:t>
      </w:r>
    </w:p>
    <w:p w14:paraId="31FE9CEA">
      <w:pPr>
        <w:spacing w:beforeLines="100" w:line="480" w:lineRule="auto"/>
        <w:ind w:firstLine="480" w:firstLineChars="200"/>
        <w:rPr>
          <w:rFonts w:ascii="仿宋" w:hAnsi="仿宋" w:eastAsia="仿宋" w:cs="仿宋"/>
          <w:sz w:val="24"/>
        </w:rPr>
      </w:pPr>
      <w:r>
        <w:rPr>
          <w:rFonts w:hint="eastAsia" w:ascii="仿宋" w:hAnsi="仿宋" w:eastAsia="仿宋" w:cs="仿宋"/>
          <w:sz w:val="24"/>
          <w:u w:val="none"/>
        </w:rPr>
        <w:t>*********</w:t>
      </w:r>
      <w:r>
        <w:rPr>
          <w:rFonts w:hint="eastAsia" w:ascii="仿宋" w:hAnsi="仿宋" w:eastAsia="仿宋" w:cs="仿宋"/>
          <w:sz w:val="24"/>
        </w:rPr>
        <w:t>（采购人）：</w:t>
      </w:r>
    </w:p>
    <w:p w14:paraId="10C2A9AD">
      <w:pPr>
        <w:snapToGrid w:val="0"/>
        <w:spacing w:line="480" w:lineRule="auto"/>
        <w:ind w:firstLine="480" w:firstLineChars="200"/>
        <w:rPr>
          <w:rFonts w:ascii="仿宋" w:hAnsi="仿宋" w:eastAsia="仿宋" w:cs="仿宋"/>
          <w:sz w:val="24"/>
        </w:rPr>
      </w:pPr>
      <w:r>
        <w:rPr>
          <w:rFonts w:hint="eastAsia" w:ascii="仿宋" w:hAnsi="仿宋" w:eastAsia="仿宋" w:cs="仿宋"/>
          <w:bCs/>
          <w:sz w:val="24"/>
          <w:szCs w:val="28"/>
        </w:rPr>
        <w:t>我方参加</w:t>
      </w:r>
      <w:r>
        <w:rPr>
          <w:rFonts w:hint="eastAsia" w:ascii="仿宋" w:hAnsi="仿宋" w:eastAsia="仿宋" w:cs="仿宋"/>
          <w:bCs/>
          <w:sz w:val="24"/>
          <w:szCs w:val="28"/>
          <w:u w:val="single"/>
        </w:rPr>
        <w:t xml:space="preserve">                      （项目名称）   </w:t>
      </w:r>
      <w:r>
        <w:rPr>
          <w:rFonts w:hint="eastAsia" w:ascii="仿宋" w:hAnsi="仿宋" w:eastAsia="仿宋" w:cs="仿宋"/>
          <w:bCs/>
          <w:sz w:val="24"/>
          <w:szCs w:val="28"/>
        </w:rPr>
        <w:t>的政府采购活动</w:t>
      </w:r>
      <w:r>
        <w:rPr>
          <w:rFonts w:hint="eastAsia" w:ascii="仿宋" w:hAnsi="仿宋" w:eastAsia="仿宋" w:cs="仿宋"/>
          <w:sz w:val="24"/>
        </w:rPr>
        <w:t>，依据磋商文件相关规定，郑重承诺：我公司具有独立承担民事责任的能力，符合本项目磋商文件规定的供应商资格要求。</w:t>
      </w:r>
    </w:p>
    <w:p w14:paraId="05A21174">
      <w:pPr>
        <w:pStyle w:val="176"/>
        <w:spacing w:line="480" w:lineRule="auto"/>
        <w:rPr>
          <w:rFonts w:ascii="仿宋" w:hAnsi="仿宋" w:eastAsia="仿宋" w:cs="仿宋"/>
          <w:lang w:val="en-US"/>
        </w:rPr>
      </w:pPr>
      <w:r>
        <w:rPr>
          <w:rFonts w:hint="eastAsia" w:ascii="仿宋" w:hAnsi="仿宋" w:eastAsia="仿宋" w:cs="仿宋"/>
          <w:lang w:val="en-US"/>
        </w:rPr>
        <w:t>如有虚假或隐瞒，我方愿意承担一切后果，并不再寻求任何旨在减轻或免除法律责任的辩解。</w:t>
      </w:r>
    </w:p>
    <w:p w14:paraId="2C8E6287">
      <w:pPr>
        <w:snapToGrid w:val="0"/>
        <w:spacing w:line="480" w:lineRule="auto"/>
        <w:ind w:firstLine="480" w:firstLineChars="200"/>
        <w:rPr>
          <w:rFonts w:ascii="仿宋" w:hAnsi="仿宋" w:eastAsia="仿宋" w:cs="仿宋"/>
          <w:sz w:val="24"/>
        </w:rPr>
      </w:pPr>
      <w:r>
        <w:rPr>
          <w:rFonts w:hint="eastAsia" w:ascii="仿宋" w:hAnsi="仿宋" w:eastAsia="仿宋" w:cs="仿宋"/>
          <w:sz w:val="24"/>
        </w:rPr>
        <w:t>特此承诺。</w:t>
      </w:r>
    </w:p>
    <w:p w14:paraId="26FA72FC">
      <w:pPr>
        <w:snapToGrid w:val="0"/>
        <w:spacing w:line="360" w:lineRule="auto"/>
        <w:ind w:firstLine="4440" w:firstLineChars="1850"/>
        <w:rPr>
          <w:rFonts w:ascii="仿宋" w:hAnsi="仿宋" w:eastAsia="仿宋" w:cs="仿宋"/>
          <w:sz w:val="24"/>
        </w:rPr>
      </w:pPr>
    </w:p>
    <w:p w14:paraId="703683BF">
      <w:pPr>
        <w:snapToGrid w:val="0"/>
        <w:spacing w:line="360" w:lineRule="auto"/>
        <w:ind w:firstLine="4440" w:firstLineChars="1850"/>
        <w:rPr>
          <w:rFonts w:ascii="仿宋" w:hAnsi="仿宋" w:eastAsia="仿宋" w:cs="仿宋"/>
          <w:sz w:val="24"/>
        </w:rPr>
      </w:pPr>
    </w:p>
    <w:p w14:paraId="3A725ED3">
      <w:pPr>
        <w:pBdr>
          <w:top w:val="none" w:color="auto" w:sz="0" w:space="1"/>
          <w:left w:val="none" w:color="auto" w:sz="0" w:space="4"/>
          <w:bottom w:val="none" w:color="auto" w:sz="0" w:space="1"/>
          <w:right w:val="none" w:color="auto" w:sz="0" w:space="4"/>
        </w:pBdr>
        <w:spacing w:beforeLines="100" w:line="560" w:lineRule="exact"/>
        <w:ind w:right="960" w:firstLine="3120" w:firstLineChars="1300"/>
        <w:rPr>
          <w:rFonts w:ascii="仿宋" w:hAnsi="仿宋" w:eastAsia="仿宋" w:cs="仿宋"/>
          <w:sz w:val="24"/>
          <w:szCs w:val="28"/>
        </w:rPr>
      </w:pPr>
      <w:r>
        <w:rPr>
          <w:rFonts w:hint="eastAsia" w:ascii="仿宋" w:hAnsi="仿宋" w:eastAsia="仿宋" w:cs="仿宋"/>
          <w:sz w:val="24"/>
          <w:szCs w:val="28"/>
        </w:rPr>
        <w:t>供应商全称（盖单位章）：</w:t>
      </w:r>
    </w:p>
    <w:p w14:paraId="1C8EED7C">
      <w:pPr>
        <w:spacing w:line="560" w:lineRule="exact"/>
        <w:ind w:firstLine="4560" w:firstLineChars="1900"/>
        <w:rPr>
          <w:rFonts w:ascii="仿宋" w:hAnsi="仿宋" w:eastAsia="仿宋" w:cs="仿宋"/>
          <w:sz w:val="24"/>
        </w:rPr>
      </w:pPr>
    </w:p>
    <w:p w14:paraId="531C01B7">
      <w:pPr>
        <w:pBdr>
          <w:top w:val="none" w:color="auto" w:sz="0" w:space="1"/>
          <w:left w:val="none" w:color="auto" w:sz="0" w:space="4"/>
          <w:bottom w:val="none" w:color="auto" w:sz="0" w:space="1"/>
          <w:right w:val="none" w:color="auto" w:sz="0" w:space="4"/>
        </w:pBd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 xml:space="preserve">                              年    月   日</w:t>
      </w:r>
    </w:p>
    <w:p w14:paraId="27392432">
      <w:pPr>
        <w:pStyle w:val="6"/>
        <w:keepNext w:val="0"/>
        <w:keepLines w:val="0"/>
        <w:pageBreakBefore/>
        <w:spacing w:line="415" w:lineRule="auto"/>
        <w:rPr>
          <w:rFonts w:ascii="宋体" w:hAnsi="宋体" w:cs="仿宋"/>
          <w:b w:val="0"/>
          <w:szCs w:val="28"/>
        </w:rPr>
      </w:pPr>
      <w:r>
        <w:rPr>
          <w:rFonts w:hint="eastAsia" w:ascii="宋体" w:hAnsi="宋体" w:cs="仿宋"/>
          <w:b w:val="0"/>
          <w:szCs w:val="28"/>
        </w:rPr>
        <w:t>（四）具有良好的商业信誉和健全的财务会计制度</w:t>
      </w:r>
    </w:p>
    <w:p w14:paraId="5E0FC2D9">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仿宋" w:hAnsi="仿宋" w:eastAsia="仿宋" w:cs="仿宋"/>
          <w:b/>
          <w:bCs/>
          <w:spacing w:val="20"/>
          <w:sz w:val="24"/>
          <w:szCs w:val="28"/>
        </w:rPr>
      </w:pPr>
      <w:r>
        <w:rPr>
          <w:rFonts w:hint="eastAsia" w:ascii="仿宋" w:hAnsi="仿宋" w:eastAsia="仿宋" w:cs="仿宋"/>
          <w:b/>
          <w:bCs/>
          <w:spacing w:val="20"/>
          <w:sz w:val="24"/>
          <w:szCs w:val="28"/>
        </w:rPr>
        <w:t>具有良好的商业信誉和健全的财务会计制度的承诺函</w:t>
      </w:r>
    </w:p>
    <w:p w14:paraId="166627AD">
      <w:pPr>
        <w:spacing w:beforeLines="100" w:line="480" w:lineRule="auto"/>
        <w:ind w:firstLine="480" w:firstLineChars="200"/>
        <w:rPr>
          <w:rFonts w:ascii="仿宋" w:hAnsi="仿宋" w:eastAsia="仿宋" w:cs="仿宋"/>
          <w:sz w:val="24"/>
        </w:rPr>
      </w:pPr>
      <w:r>
        <w:rPr>
          <w:rFonts w:hint="eastAsia" w:ascii="仿宋" w:hAnsi="仿宋" w:eastAsia="仿宋" w:cs="仿宋"/>
          <w:sz w:val="24"/>
        </w:rPr>
        <w:t>*********（采购人）：</w:t>
      </w:r>
    </w:p>
    <w:p w14:paraId="7B7D390A">
      <w:pPr>
        <w:spacing w:beforeLines="100" w:line="480" w:lineRule="auto"/>
        <w:ind w:firstLine="480" w:firstLineChars="200"/>
        <w:rPr>
          <w:rFonts w:ascii="仿宋" w:hAnsi="仿宋" w:eastAsia="仿宋" w:cs="仿宋"/>
          <w:bCs/>
          <w:sz w:val="24"/>
          <w:szCs w:val="28"/>
        </w:rPr>
      </w:pPr>
      <w:r>
        <w:rPr>
          <w:rFonts w:hint="eastAsia" w:ascii="仿宋" w:hAnsi="仿宋" w:eastAsia="仿宋" w:cs="仿宋"/>
          <w:bCs/>
          <w:sz w:val="24"/>
          <w:szCs w:val="28"/>
        </w:rPr>
        <w:t>我方参加</w:t>
      </w:r>
      <w:r>
        <w:rPr>
          <w:rFonts w:hint="eastAsia" w:ascii="仿宋" w:hAnsi="仿宋" w:eastAsia="仿宋" w:cs="仿宋"/>
          <w:bCs/>
          <w:sz w:val="24"/>
          <w:szCs w:val="28"/>
          <w:u w:val="single"/>
        </w:rPr>
        <w:t xml:space="preserve">                        （项目名称）   </w:t>
      </w:r>
      <w:r>
        <w:rPr>
          <w:rFonts w:hint="eastAsia" w:ascii="仿宋" w:hAnsi="仿宋" w:eastAsia="仿宋" w:cs="仿宋"/>
          <w:bCs/>
          <w:sz w:val="24"/>
          <w:szCs w:val="28"/>
        </w:rPr>
        <w:t>的政府采购活动，依据磋商文件相关规定，郑重承诺：我方具有良好的商业信誉和健全的财务会计制度，符合本项目磋商文件规定的供应商资格要求。</w:t>
      </w:r>
    </w:p>
    <w:p w14:paraId="22335DE6">
      <w:pPr>
        <w:spacing w:beforeLines="100" w:line="480" w:lineRule="auto"/>
        <w:ind w:firstLine="480" w:firstLineChars="200"/>
        <w:rPr>
          <w:rFonts w:ascii="仿宋" w:hAnsi="仿宋" w:eastAsia="仿宋" w:cs="仿宋"/>
          <w:bCs/>
          <w:sz w:val="24"/>
          <w:szCs w:val="28"/>
        </w:rPr>
      </w:pPr>
      <w:r>
        <w:rPr>
          <w:rFonts w:hint="eastAsia" w:ascii="仿宋" w:hAnsi="仿宋" w:eastAsia="仿宋" w:cs="仿宋"/>
          <w:bCs/>
          <w:sz w:val="24"/>
          <w:szCs w:val="28"/>
        </w:rPr>
        <w:t>如有虚假或隐瞒，我方愿意承担一切后果，并不再寻求任何旨在减轻或免除法律责任的辩解。</w:t>
      </w:r>
    </w:p>
    <w:p w14:paraId="08170A27">
      <w:pPr>
        <w:spacing w:line="560" w:lineRule="exact"/>
        <w:ind w:firstLine="480" w:firstLineChars="200"/>
        <w:rPr>
          <w:rFonts w:ascii="仿宋" w:hAnsi="仿宋" w:eastAsia="仿宋" w:cs="仿宋"/>
          <w:bCs/>
          <w:sz w:val="24"/>
          <w:szCs w:val="28"/>
        </w:rPr>
      </w:pPr>
      <w:r>
        <w:rPr>
          <w:rFonts w:hint="eastAsia" w:ascii="仿宋" w:hAnsi="仿宋" w:eastAsia="仿宋" w:cs="仿宋"/>
          <w:bCs/>
          <w:sz w:val="24"/>
          <w:szCs w:val="28"/>
        </w:rPr>
        <w:t>特此承诺。</w:t>
      </w:r>
    </w:p>
    <w:p w14:paraId="25D07F75">
      <w:pPr>
        <w:spacing w:beforeLines="100" w:line="560" w:lineRule="exact"/>
        <w:ind w:firstLine="4418" w:firstLineChars="1841"/>
        <w:jc w:val="left"/>
        <w:rPr>
          <w:rFonts w:ascii="仿宋" w:hAnsi="仿宋" w:eastAsia="仿宋" w:cs="仿宋"/>
          <w:sz w:val="24"/>
          <w:szCs w:val="28"/>
          <w:u w:val="single"/>
        </w:rPr>
      </w:pPr>
      <w:r>
        <w:rPr>
          <w:rFonts w:hint="eastAsia" w:ascii="仿宋" w:hAnsi="仿宋" w:eastAsia="仿宋" w:cs="仿宋"/>
          <w:sz w:val="24"/>
          <w:szCs w:val="28"/>
        </w:rPr>
        <w:t>供应商全称（盖单位章）：</w:t>
      </w:r>
    </w:p>
    <w:p w14:paraId="5BF02B77">
      <w:pPr>
        <w:spacing w:line="560" w:lineRule="exact"/>
        <w:ind w:firstLine="4418" w:firstLineChars="1841"/>
        <w:jc w:val="left"/>
        <w:rPr>
          <w:rFonts w:ascii="仿宋" w:hAnsi="仿宋" w:eastAsia="仿宋" w:cs="仿宋"/>
          <w:sz w:val="24"/>
          <w:szCs w:val="28"/>
        </w:rPr>
      </w:pPr>
      <w:r>
        <w:rPr>
          <w:rFonts w:hint="eastAsia" w:ascii="仿宋" w:hAnsi="仿宋" w:eastAsia="仿宋" w:cs="仿宋"/>
          <w:sz w:val="24"/>
          <w:szCs w:val="28"/>
        </w:rPr>
        <w:t xml:space="preserve">      年    月   日</w:t>
      </w:r>
    </w:p>
    <w:p w14:paraId="13644C02">
      <w:pPr>
        <w:pStyle w:val="6"/>
        <w:keepNext w:val="0"/>
        <w:keepLines w:val="0"/>
        <w:pageBreakBefore/>
        <w:spacing w:line="415" w:lineRule="auto"/>
        <w:rPr>
          <w:rFonts w:ascii="宋体" w:hAnsi="宋体" w:cs="仿宋"/>
          <w:b w:val="0"/>
          <w:szCs w:val="28"/>
        </w:rPr>
      </w:pPr>
      <w:r>
        <w:rPr>
          <w:rFonts w:hint="eastAsia" w:ascii="宋体" w:hAnsi="宋体" w:cs="仿宋"/>
          <w:b w:val="0"/>
          <w:szCs w:val="28"/>
        </w:rPr>
        <w:t>（五）具有履行合同所必需的设备和专业技术能力</w:t>
      </w:r>
    </w:p>
    <w:p w14:paraId="5905F1B1">
      <w:pPr>
        <w:spacing w:beforeLines="100" w:line="560" w:lineRule="exact"/>
        <w:ind w:firstLine="482" w:firstLineChars="200"/>
        <w:jc w:val="center"/>
        <w:rPr>
          <w:rFonts w:ascii="仿宋" w:hAnsi="仿宋" w:eastAsia="仿宋" w:cs="仿宋"/>
          <w:sz w:val="24"/>
        </w:rPr>
      </w:pPr>
      <w:r>
        <w:rPr>
          <w:rFonts w:hint="eastAsia" w:ascii="仿宋" w:hAnsi="仿宋" w:eastAsia="仿宋" w:cs="仿宋"/>
          <w:b/>
          <w:kern w:val="0"/>
          <w:sz w:val="24"/>
        </w:rPr>
        <w:t>具有履行合同所必需的设备和专业技术能力的信用承诺书</w:t>
      </w:r>
    </w:p>
    <w:p w14:paraId="6628FB07">
      <w:pPr>
        <w:spacing w:beforeLines="100" w:line="480" w:lineRule="auto"/>
        <w:ind w:firstLine="480" w:firstLineChars="200"/>
        <w:rPr>
          <w:rFonts w:ascii="仿宋" w:hAnsi="仿宋" w:eastAsia="仿宋" w:cs="仿宋"/>
          <w:sz w:val="24"/>
        </w:rPr>
      </w:pPr>
      <w:r>
        <w:rPr>
          <w:rFonts w:hint="eastAsia" w:ascii="仿宋" w:hAnsi="仿宋" w:eastAsia="仿宋" w:cs="仿宋"/>
          <w:sz w:val="24"/>
        </w:rPr>
        <w:t>*********（采购人）：</w:t>
      </w:r>
    </w:p>
    <w:p w14:paraId="2EF60A59">
      <w:pPr>
        <w:snapToGrid w:val="0"/>
        <w:spacing w:line="480" w:lineRule="auto"/>
        <w:ind w:firstLine="480" w:firstLineChars="200"/>
        <w:rPr>
          <w:rFonts w:ascii="仿宋" w:hAnsi="仿宋" w:eastAsia="仿宋" w:cs="仿宋"/>
          <w:sz w:val="24"/>
        </w:rPr>
      </w:pPr>
      <w:r>
        <w:rPr>
          <w:rFonts w:hint="eastAsia" w:ascii="仿宋" w:hAnsi="仿宋" w:eastAsia="仿宋" w:cs="仿宋"/>
          <w:bCs/>
          <w:sz w:val="24"/>
          <w:szCs w:val="28"/>
        </w:rPr>
        <w:t>我方参加</w:t>
      </w:r>
      <w:r>
        <w:rPr>
          <w:rFonts w:hint="eastAsia" w:ascii="仿宋" w:hAnsi="仿宋" w:eastAsia="仿宋" w:cs="仿宋"/>
          <w:bCs/>
          <w:sz w:val="24"/>
          <w:szCs w:val="28"/>
          <w:u w:val="single"/>
        </w:rPr>
        <w:t xml:space="preserve">                        （项目名称）   </w:t>
      </w:r>
      <w:r>
        <w:rPr>
          <w:rFonts w:hint="eastAsia" w:ascii="仿宋" w:hAnsi="仿宋" w:eastAsia="仿宋" w:cs="仿宋"/>
          <w:bCs/>
          <w:sz w:val="24"/>
          <w:szCs w:val="28"/>
        </w:rPr>
        <w:t>的政府采购活动</w:t>
      </w:r>
      <w:r>
        <w:rPr>
          <w:rFonts w:hint="eastAsia" w:ascii="仿宋" w:hAnsi="仿宋" w:eastAsia="仿宋" w:cs="仿宋"/>
          <w:sz w:val="24"/>
        </w:rPr>
        <w:t>，依据磋商文件相关规定，郑重承诺：我公司具有履行合同所必需的设备和专业技术能力，符合本项目磋商文件规定的供应商资格要求。</w:t>
      </w:r>
    </w:p>
    <w:p w14:paraId="340A1B10">
      <w:pPr>
        <w:pStyle w:val="176"/>
        <w:spacing w:line="480" w:lineRule="auto"/>
        <w:rPr>
          <w:rFonts w:ascii="仿宋" w:hAnsi="仿宋" w:eastAsia="仿宋" w:cs="仿宋"/>
          <w:lang w:val="en-US"/>
        </w:rPr>
      </w:pPr>
      <w:r>
        <w:rPr>
          <w:rFonts w:hint="eastAsia" w:ascii="仿宋" w:hAnsi="仿宋" w:eastAsia="仿宋" w:cs="仿宋"/>
          <w:lang w:val="en-US"/>
        </w:rPr>
        <w:t>如有虚假或隐瞒，我方愿意承担一切后果，并不再寻求任何旨在减轻或免除法律责任的辩解。</w:t>
      </w:r>
    </w:p>
    <w:p w14:paraId="0A447470">
      <w:pPr>
        <w:spacing w:line="560" w:lineRule="exact"/>
        <w:ind w:firstLine="480" w:firstLineChars="200"/>
        <w:rPr>
          <w:rFonts w:ascii="仿宋" w:hAnsi="仿宋" w:eastAsia="仿宋" w:cs="仿宋"/>
          <w:sz w:val="24"/>
          <w:szCs w:val="28"/>
        </w:rPr>
      </w:pPr>
      <w:r>
        <w:rPr>
          <w:rFonts w:hint="eastAsia" w:ascii="仿宋" w:hAnsi="仿宋" w:eastAsia="仿宋" w:cs="仿宋"/>
          <w:sz w:val="24"/>
        </w:rPr>
        <w:t>特此承诺</w:t>
      </w:r>
      <w:r>
        <w:rPr>
          <w:rFonts w:hint="eastAsia" w:ascii="仿宋" w:hAnsi="仿宋" w:eastAsia="仿宋" w:cs="仿宋"/>
          <w:sz w:val="24"/>
          <w:szCs w:val="28"/>
        </w:rPr>
        <w:t>。</w:t>
      </w:r>
    </w:p>
    <w:p w14:paraId="569E6D85">
      <w:pPr>
        <w:spacing w:beforeLines="100" w:line="560" w:lineRule="exact"/>
        <w:ind w:firstLine="5258" w:firstLineChars="2191"/>
        <w:jc w:val="left"/>
        <w:rPr>
          <w:rFonts w:ascii="仿宋" w:hAnsi="仿宋" w:eastAsia="仿宋" w:cs="仿宋"/>
          <w:sz w:val="24"/>
          <w:szCs w:val="28"/>
          <w:u w:val="single"/>
        </w:rPr>
      </w:pPr>
      <w:r>
        <w:rPr>
          <w:rFonts w:hint="eastAsia" w:ascii="仿宋" w:hAnsi="仿宋" w:eastAsia="仿宋" w:cs="仿宋"/>
          <w:sz w:val="24"/>
          <w:szCs w:val="28"/>
        </w:rPr>
        <w:t>供应商全称（盖单位章）：</w:t>
      </w:r>
    </w:p>
    <w:p w14:paraId="6FEB3740">
      <w:pPr>
        <w:spacing w:line="560" w:lineRule="exact"/>
        <w:ind w:firstLine="5971" w:firstLineChars="2488"/>
        <w:jc w:val="left"/>
        <w:rPr>
          <w:rFonts w:ascii="宋体" w:hAnsi="宋体"/>
          <w:sz w:val="24"/>
          <w:szCs w:val="28"/>
        </w:rPr>
      </w:pPr>
      <w:r>
        <w:rPr>
          <w:rFonts w:hint="eastAsia" w:ascii="仿宋" w:hAnsi="仿宋" w:eastAsia="仿宋" w:cs="仿宋"/>
          <w:sz w:val="24"/>
          <w:szCs w:val="28"/>
        </w:rPr>
        <w:t xml:space="preserve"> 年    月   日</w:t>
      </w:r>
    </w:p>
    <w:p w14:paraId="26D392BF">
      <w:pPr>
        <w:pStyle w:val="6"/>
        <w:keepNext w:val="0"/>
        <w:keepLines w:val="0"/>
        <w:pageBreakBefore/>
        <w:spacing w:line="415" w:lineRule="auto"/>
        <w:rPr>
          <w:rFonts w:ascii="宋体" w:hAnsi="宋体" w:cs="仿宋"/>
          <w:b w:val="0"/>
          <w:szCs w:val="28"/>
        </w:rPr>
      </w:pPr>
      <w:r>
        <w:rPr>
          <w:rFonts w:hint="eastAsia" w:ascii="宋体" w:hAnsi="宋体" w:cs="仿宋"/>
          <w:b w:val="0"/>
          <w:szCs w:val="28"/>
        </w:rPr>
        <w:t>（六）有依法缴纳税收和社会保障金的良好记录</w:t>
      </w:r>
    </w:p>
    <w:p w14:paraId="69722CA3">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仿宋" w:hAnsi="仿宋" w:eastAsia="仿宋" w:cs="仿宋"/>
          <w:b/>
          <w:bCs/>
          <w:spacing w:val="20"/>
          <w:sz w:val="24"/>
          <w:szCs w:val="28"/>
        </w:rPr>
      </w:pPr>
      <w:r>
        <w:rPr>
          <w:rFonts w:hint="eastAsia" w:ascii="仿宋" w:hAnsi="仿宋" w:eastAsia="仿宋" w:cs="仿宋"/>
          <w:b/>
          <w:bCs/>
          <w:spacing w:val="20"/>
          <w:sz w:val="24"/>
          <w:szCs w:val="28"/>
        </w:rPr>
        <w:t>有依法缴纳税收和社会保障资金的良好记录的</w:t>
      </w:r>
      <w:r>
        <w:rPr>
          <w:rFonts w:hint="eastAsia" w:ascii="仿宋" w:hAnsi="仿宋" w:eastAsia="仿宋" w:cs="仿宋"/>
          <w:b/>
          <w:kern w:val="0"/>
          <w:sz w:val="24"/>
        </w:rPr>
        <w:t>信用承诺书</w:t>
      </w:r>
    </w:p>
    <w:p w14:paraId="14F9CEFA">
      <w:pPr>
        <w:spacing w:beforeLines="100" w:line="480" w:lineRule="auto"/>
        <w:ind w:firstLine="480" w:firstLineChars="200"/>
        <w:rPr>
          <w:rFonts w:ascii="仿宋" w:hAnsi="仿宋" w:eastAsia="仿宋" w:cs="仿宋"/>
          <w:sz w:val="24"/>
        </w:rPr>
      </w:pPr>
      <w:r>
        <w:rPr>
          <w:rFonts w:hint="eastAsia" w:ascii="仿宋" w:hAnsi="仿宋" w:eastAsia="仿宋" w:cs="仿宋"/>
          <w:sz w:val="24"/>
        </w:rPr>
        <w:t>*********（采购人）：</w:t>
      </w:r>
    </w:p>
    <w:p w14:paraId="179DC5F7">
      <w:pPr>
        <w:snapToGrid w:val="0"/>
        <w:spacing w:line="480" w:lineRule="auto"/>
        <w:ind w:firstLine="480" w:firstLineChars="200"/>
        <w:rPr>
          <w:rFonts w:ascii="仿宋" w:hAnsi="仿宋" w:eastAsia="仿宋" w:cs="仿宋"/>
          <w:sz w:val="24"/>
        </w:rPr>
      </w:pPr>
      <w:r>
        <w:rPr>
          <w:rFonts w:hint="eastAsia" w:ascii="仿宋" w:hAnsi="仿宋" w:eastAsia="仿宋" w:cs="仿宋"/>
          <w:bCs/>
          <w:sz w:val="24"/>
          <w:szCs w:val="28"/>
        </w:rPr>
        <w:t>我方参加</w:t>
      </w:r>
      <w:r>
        <w:rPr>
          <w:rFonts w:hint="eastAsia" w:ascii="仿宋" w:hAnsi="仿宋" w:eastAsia="仿宋" w:cs="仿宋"/>
          <w:bCs/>
          <w:sz w:val="24"/>
          <w:szCs w:val="28"/>
          <w:u w:val="single"/>
        </w:rPr>
        <w:t xml:space="preserve">                        （项目名称）    </w:t>
      </w:r>
      <w:r>
        <w:rPr>
          <w:rFonts w:hint="eastAsia" w:ascii="仿宋" w:hAnsi="仿宋" w:eastAsia="仿宋" w:cs="仿宋"/>
          <w:bCs/>
          <w:sz w:val="24"/>
          <w:szCs w:val="28"/>
        </w:rPr>
        <w:t>的政府采购活动</w:t>
      </w:r>
      <w:r>
        <w:rPr>
          <w:rFonts w:hint="eastAsia" w:ascii="仿宋" w:hAnsi="仿宋" w:eastAsia="仿宋" w:cs="仿宋"/>
          <w:sz w:val="24"/>
        </w:rPr>
        <w:t>，依据磋商文件相关规定，郑重承诺：我公司在参加本项目招标前严格依法缴纳税收和给单位职工缴纳社会保障金，有依法缴纳税收和社会保障资金的良好记录，符合本项目磋商文件规定的供应商资格要求。</w:t>
      </w:r>
    </w:p>
    <w:p w14:paraId="4FC5CC2B">
      <w:pPr>
        <w:pStyle w:val="176"/>
        <w:spacing w:line="480" w:lineRule="auto"/>
        <w:rPr>
          <w:rFonts w:ascii="仿宋" w:hAnsi="仿宋" w:eastAsia="仿宋" w:cs="仿宋"/>
          <w:lang w:val="en-US"/>
        </w:rPr>
      </w:pPr>
      <w:r>
        <w:rPr>
          <w:rFonts w:hint="eastAsia" w:ascii="仿宋" w:hAnsi="仿宋" w:eastAsia="仿宋" w:cs="仿宋"/>
          <w:lang w:val="en-US"/>
        </w:rPr>
        <w:t>如有虚假或隐瞒，我方愿意承担一切后果，并不再寻求任何旨在减轻或免除法律责任的辩解。</w:t>
      </w:r>
    </w:p>
    <w:p w14:paraId="029E7153">
      <w:pPr>
        <w:spacing w:beforeLines="100" w:line="560" w:lineRule="exact"/>
        <w:ind w:firstLine="480" w:firstLineChars="200"/>
        <w:rPr>
          <w:rFonts w:ascii="仿宋" w:hAnsi="仿宋" w:eastAsia="仿宋" w:cs="仿宋"/>
          <w:sz w:val="24"/>
          <w:szCs w:val="28"/>
        </w:rPr>
      </w:pPr>
      <w:r>
        <w:rPr>
          <w:rFonts w:hint="eastAsia" w:ascii="仿宋" w:hAnsi="仿宋" w:eastAsia="仿宋" w:cs="仿宋"/>
          <w:sz w:val="24"/>
        </w:rPr>
        <w:t>特此承诺。</w:t>
      </w:r>
    </w:p>
    <w:p w14:paraId="1CAF6C47">
      <w:pPr>
        <w:spacing w:beforeLines="100" w:line="560" w:lineRule="exact"/>
        <w:ind w:firstLine="4200" w:firstLineChars="1750"/>
        <w:jc w:val="left"/>
        <w:rPr>
          <w:rFonts w:ascii="仿宋" w:hAnsi="仿宋" w:eastAsia="仿宋" w:cs="仿宋"/>
          <w:sz w:val="24"/>
          <w:szCs w:val="28"/>
          <w:u w:val="single"/>
        </w:rPr>
      </w:pPr>
      <w:r>
        <w:rPr>
          <w:rFonts w:hint="eastAsia" w:ascii="仿宋" w:hAnsi="仿宋" w:eastAsia="仿宋" w:cs="仿宋"/>
          <w:sz w:val="24"/>
          <w:szCs w:val="28"/>
        </w:rPr>
        <w:t>供应商全称（盖单位章）：</w:t>
      </w:r>
    </w:p>
    <w:p w14:paraId="56AD8AE7">
      <w:pPr>
        <w:spacing w:line="560" w:lineRule="exact"/>
        <w:ind w:firstLine="4200" w:firstLineChars="1750"/>
        <w:jc w:val="left"/>
        <w:rPr>
          <w:rFonts w:ascii="仿宋" w:hAnsi="仿宋" w:eastAsia="仿宋" w:cs="仿宋"/>
          <w:sz w:val="24"/>
          <w:szCs w:val="28"/>
        </w:rPr>
      </w:pPr>
      <w:r>
        <w:rPr>
          <w:rFonts w:hint="eastAsia" w:ascii="仿宋" w:hAnsi="仿宋" w:eastAsia="仿宋" w:cs="仿宋"/>
          <w:sz w:val="24"/>
          <w:szCs w:val="28"/>
        </w:rPr>
        <w:t xml:space="preserve">     年    月   日</w:t>
      </w:r>
    </w:p>
    <w:p w14:paraId="0988A3F9">
      <w:pPr>
        <w:rPr>
          <w:rFonts w:ascii="宋体" w:hAnsi="宋体" w:cs="仿宋"/>
          <w:b/>
          <w:sz w:val="30"/>
          <w:szCs w:val="30"/>
        </w:rPr>
      </w:pPr>
    </w:p>
    <w:p w14:paraId="68F6F069">
      <w:pPr>
        <w:pStyle w:val="6"/>
        <w:keepNext w:val="0"/>
        <w:keepLines w:val="0"/>
        <w:pageBreakBefore/>
        <w:spacing w:line="415" w:lineRule="auto"/>
        <w:rPr>
          <w:rFonts w:ascii="宋体" w:hAnsi="宋体" w:cs="仿宋"/>
          <w:b w:val="0"/>
          <w:szCs w:val="28"/>
        </w:rPr>
      </w:pPr>
      <w:r>
        <w:rPr>
          <w:rFonts w:hint="eastAsia" w:ascii="宋体" w:hAnsi="宋体" w:cs="仿宋"/>
          <w:b w:val="0"/>
          <w:szCs w:val="28"/>
        </w:rPr>
        <w:t>（七）参加政府采购活动前三年内，在经营活动中没有重大违法记录格式</w:t>
      </w:r>
    </w:p>
    <w:p w14:paraId="5CF6260E">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仿宋" w:hAnsi="仿宋" w:eastAsia="仿宋" w:cs="仿宋"/>
          <w:b/>
          <w:bCs/>
          <w:spacing w:val="20"/>
          <w:sz w:val="24"/>
          <w:szCs w:val="28"/>
        </w:rPr>
      </w:pPr>
      <w:r>
        <w:rPr>
          <w:rFonts w:hint="eastAsia" w:ascii="仿宋" w:hAnsi="仿宋" w:eastAsia="仿宋" w:cs="仿宋"/>
          <w:b/>
          <w:bCs/>
          <w:spacing w:val="20"/>
          <w:sz w:val="24"/>
          <w:szCs w:val="28"/>
        </w:rPr>
        <w:t>参加政府采购活动前三年内，在经营活动中没有重大违法记录的</w:t>
      </w:r>
    </w:p>
    <w:p w14:paraId="25539795">
      <w:pPr>
        <w:pBdr>
          <w:top w:val="none" w:color="auto" w:sz="0" w:space="1"/>
          <w:left w:val="none" w:color="auto" w:sz="0" w:space="4"/>
          <w:bottom w:val="none" w:color="auto" w:sz="0" w:space="1"/>
          <w:right w:val="none" w:color="auto" w:sz="0" w:space="4"/>
        </w:pBdr>
        <w:spacing w:beforeLines="100" w:afterLines="100" w:line="560" w:lineRule="exact"/>
        <w:ind w:left="482" w:hanging="482" w:hangingChars="200"/>
        <w:jc w:val="center"/>
        <w:rPr>
          <w:rFonts w:ascii="仿宋" w:hAnsi="仿宋" w:eastAsia="仿宋" w:cs="仿宋"/>
          <w:b/>
          <w:bCs/>
          <w:spacing w:val="20"/>
          <w:sz w:val="24"/>
          <w:szCs w:val="28"/>
        </w:rPr>
      </w:pPr>
      <w:r>
        <w:rPr>
          <w:rFonts w:hint="eastAsia" w:ascii="仿宋" w:hAnsi="仿宋" w:eastAsia="仿宋" w:cs="仿宋"/>
          <w:b/>
          <w:kern w:val="0"/>
          <w:sz w:val="24"/>
        </w:rPr>
        <w:t>信用承诺书</w:t>
      </w:r>
    </w:p>
    <w:p w14:paraId="5AAF086B">
      <w:pPr>
        <w:spacing w:beforeLines="100" w:line="480" w:lineRule="auto"/>
        <w:ind w:firstLine="480" w:firstLineChars="200"/>
        <w:rPr>
          <w:rFonts w:ascii="仿宋" w:hAnsi="仿宋" w:eastAsia="仿宋" w:cs="仿宋"/>
          <w:sz w:val="24"/>
        </w:rPr>
      </w:pPr>
      <w:r>
        <w:rPr>
          <w:rFonts w:hint="eastAsia" w:ascii="仿宋" w:hAnsi="仿宋" w:eastAsia="仿宋" w:cs="仿宋"/>
          <w:sz w:val="24"/>
        </w:rPr>
        <w:t>*********（采购人）：</w:t>
      </w:r>
    </w:p>
    <w:p w14:paraId="3979B7DC">
      <w:pPr>
        <w:pStyle w:val="35"/>
        <w:adjustRightInd w:val="0"/>
        <w:snapToGrid w:val="0"/>
        <w:spacing w:before="0" w:beforeAutospacing="0" w:after="0" w:afterAutospacing="0" w:line="480" w:lineRule="auto"/>
        <w:ind w:firstLine="480" w:firstLineChars="200"/>
        <w:jc w:val="both"/>
        <w:rPr>
          <w:rFonts w:ascii="仿宋" w:hAnsi="仿宋" w:eastAsia="仿宋" w:cs="仿宋"/>
        </w:rPr>
      </w:pPr>
      <w:r>
        <w:rPr>
          <w:rFonts w:hint="eastAsia" w:ascii="仿宋" w:hAnsi="仿宋" w:eastAsia="仿宋" w:cs="仿宋"/>
          <w:bCs/>
          <w:szCs w:val="28"/>
        </w:rPr>
        <w:t>我方参加</w:t>
      </w:r>
      <w:r>
        <w:rPr>
          <w:rFonts w:hint="eastAsia" w:ascii="仿宋" w:hAnsi="仿宋" w:eastAsia="仿宋" w:cs="仿宋"/>
          <w:bCs/>
          <w:szCs w:val="28"/>
          <w:u w:val="single"/>
        </w:rPr>
        <w:t xml:space="preserve">                          （项目名称）   </w:t>
      </w:r>
      <w:r>
        <w:rPr>
          <w:rFonts w:hint="eastAsia" w:ascii="仿宋" w:hAnsi="仿宋" w:eastAsia="仿宋" w:cs="仿宋"/>
          <w:bCs/>
          <w:szCs w:val="28"/>
        </w:rPr>
        <w:t>的政府采购活动</w:t>
      </w:r>
      <w:r>
        <w:rPr>
          <w:rFonts w:hint="eastAsia" w:ascii="仿宋" w:hAnsi="仿宋" w:eastAsia="仿宋" w:cs="仿宋"/>
        </w:rPr>
        <w:t>，依据磋商文件相关规定，郑重承诺：我公司在参加本次政府采购活动前三年内，在经营活动中没有重大违法记录；在投标前查询了本公司</w:t>
      </w:r>
      <w:r>
        <w:rPr>
          <w:rFonts w:hint="eastAsia" w:ascii="仿宋" w:hAnsi="仿宋" w:eastAsia="仿宋" w:cs="仿宋"/>
          <w:szCs w:val="28"/>
        </w:rPr>
        <w:t>信用中国网（http://www.creditchina.gov.cn）中的信用信息，本公司未列入失信被执行人、重大税收违法失信主体名单；查询了在中国政府采购网（http://www.ccgp.gov.cn）中的政府采购严重违法失信行为信息，本公司未列入政府采购严重违法失信行为记录名单</w:t>
      </w:r>
      <w:r>
        <w:rPr>
          <w:rFonts w:hint="eastAsia" w:ascii="仿宋" w:hAnsi="仿宋" w:eastAsia="仿宋" w:cs="仿宋"/>
        </w:rPr>
        <w:t>。</w:t>
      </w:r>
    </w:p>
    <w:p w14:paraId="27CA3A27">
      <w:pPr>
        <w:pStyle w:val="176"/>
        <w:spacing w:line="480" w:lineRule="auto"/>
        <w:rPr>
          <w:rFonts w:ascii="仿宋" w:hAnsi="仿宋" w:eastAsia="仿宋" w:cs="仿宋"/>
          <w:lang w:val="en-US"/>
        </w:rPr>
      </w:pPr>
      <w:r>
        <w:rPr>
          <w:rFonts w:hint="eastAsia" w:ascii="仿宋" w:hAnsi="仿宋" w:eastAsia="仿宋" w:cs="仿宋"/>
          <w:szCs w:val="24"/>
        </w:rPr>
        <w:t>如上述声明不真实，愿意按照政府采购有关法律法规的规定接受处罚</w:t>
      </w:r>
      <w:r>
        <w:rPr>
          <w:rFonts w:hint="eastAsia" w:ascii="仿宋" w:hAnsi="仿宋" w:eastAsia="仿宋" w:cs="仿宋"/>
          <w:lang w:val="en-US"/>
        </w:rPr>
        <w:t>。</w:t>
      </w:r>
    </w:p>
    <w:p w14:paraId="307EE3BA">
      <w:pPr>
        <w:spacing w:line="560" w:lineRule="exact"/>
        <w:ind w:firstLine="480" w:firstLineChars="200"/>
        <w:rPr>
          <w:rFonts w:ascii="仿宋" w:hAnsi="仿宋" w:eastAsia="仿宋" w:cs="仿宋"/>
          <w:sz w:val="24"/>
          <w:szCs w:val="28"/>
        </w:rPr>
      </w:pPr>
      <w:r>
        <w:rPr>
          <w:rFonts w:hint="eastAsia" w:ascii="仿宋" w:hAnsi="仿宋" w:eastAsia="仿宋" w:cs="仿宋"/>
          <w:sz w:val="24"/>
        </w:rPr>
        <w:t>特此承诺</w:t>
      </w:r>
      <w:r>
        <w:rPr>
          <w:rFonts w:hint="eastAsia" w:ascii="仿宋" w:hAnsi="仿宋" w:eastAsia="仿宋" w:cs="仿宋"/>
          <w:sz w:val="24"/>
          <w:szCs w:val="28"/>
        </w:rPr>
        <w:t>。</w:t>
      </w:r>
    </w:p>
    <w:p w14:paraId="7A758111">
      <w:pPr>
        <w:spacing w:line="560" w:lineRule="exact"/>
        <w:ind w:firstLine="4620" w:firstLineChars="1925"/>
        <w:jc w:val="left"/>
        <w:rPr>
          <w:rFonts w:ascii="仿宋" w:hAnsi="仿宋" w:eastAsia="仿宋" w:cs="仿宋"/>
          <w:sz w:val="24"/>
          <w:szCs w:val="28"/>
        </w:rPr>
      </w:pPr>
      <w:r>
        <w:rPr>
          <w:rFonts w:hint="eastAsia" w:ascii="仿宋" w:hAnsi="仿宋" w:eastAsia="仿宋" w:cs="仿宋"/>
          <w:sz w:val="24"/>
          <w:szCs w:val="28"/>
        </w:rPr>
        <w:t>供应商全称（盖单位章）：</w:t>
      </w:r>
    </w:p>
    <w:p w14:paraId="798BF200">
      <w:pPr>
        <w:spacing w:line="560" w:lineRule="exact"/>
        <w:ind w:firstLine="5580" w:firstLineChars="2325"/>
        <w:jc w:val="left"/>
        <w:rPr>
          <w:rFonts w:ascii="仿宋" w:hAnsi="仿宋" w:eastAsia="仿宋" w:cs="仿宋"/>
          <w:sz w:val="24"/>
          <w:szCs w:val="28"/>
        </w:rPr>
      </w:pPr>
      <w:r>
        <w:rPr>
          <w:rFonts w:hint="eastAsia" w:ascii="仿宋" w:hAnsi="仿宋" w:eastAsia="仿宋" w:cs="仿宋"/>
          <w:sz w:val="24"/>
          <w:szCs w:val="28"/>
        </w:rPr>
        <w:t>年  月  日</w:t>
      </w:r>
    </w:p>
    <w:p w14:paraId="34BE2A7E">
      <w:pPr>
        <w:pStyle w:val="6"/>
        <w:keepNext w:val="0"/>
        <w:keepLines w:val="0"/>
        <w:pageBreakBefore/>
        <w:spacing w:line="415" w:lineRule="auto"/>
        <w:rPr>
          <w:rFonts w:ascii="宋体" w:hAnsi="宋体" w:cs="仿宋"/>
          <w:b w:val="0"/>
          <w:szCs w:val="28"/>
        </w:rPr>
      </w:pPr>
      <w:r>
        <w:rPr>
          <w:rFonts w:hint="eastAsia" w:ascii="宋体" w:hAnsi="宋体" w:cs="仿宋"/>
          <w:b w:val="0"/>
          <w:szCs w:val="28"/>
        </w:rPr>
        <w:t>（八）诚信投标承诺书</w:t>
      </w:r>
    </w:p>
    <w:p w14:paraId="1FF3903F">
      <w:pPr>
        <w:jc w:val="center"/>
        <w:rPr>
          <w:rFonts w:ascii="仿宋" w:hAnsi="仿宋" w:eastAsia="仿宋" w:cs="仿宋"/>
          <w:b/>
          <w:bCs/>
          <w:sz w:val="24"/>
        </w:rPr>
      </w:pPr>
      <w:r>
        <w:rPr>
          <w:rFonts w:hint="eastAsia"/>
        </w:rPr>
        <w:tab/>
      </w:r>
      <w:bookmarkStart w:id="171" w:name="_Toc16761"/>
      <w:r>
        <w:rPr>
          <w:rFonts w:hint="eastAsia" w:ascii="仿宋" w:hAnsi="仿宋" w:eastAsia="仿宋" w:cs="仿宋"/>
          <w:b/>
          <w:bCs/>
          <w:sz w:val="24"/>
        </w:rPr>
        <w:t>诚信承诺书</w:t>
      </w:r>
      <w:bookmarkEnd w:id="171"/>
    </w:p>
    <w:p w14:paraId="7808A8D1">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本人以企业法定代表人的身份郑重承诺：</w:t>
      </w:r>
    </w:p>
    <w:p w14:paraId="4CC4ED72">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 xml:space="preserve">一、将遵循公开、公正和诚实信用的原则自愿参加 </w:t>
      </w:r>
      <w:r>
        <w:rPr>
          <w:rFonts w:hint="eastAsia" w:ascii="仿宋" w:hAnsi="仿宋" w:eastAsia="仿宋" w:cs="仿宋"/>
          <w:sz w:val="24"/>
          <w:u w:val="single"/>
        </w:rPr>
        <w:t xml:space="preserve"> （项目名称）  </w:t>
      </w:r>
      <w:r>
        <w:rPr>
          <w:rFonts w:hint="eastAsia" w:ascii="仿宋" w:hAnsi="仿宋" w:eastAsia="仿宋" w:cs="仿宋"/>
          <w:color w:val="000000"/>
          <w:sz w:val="24"/>
        </w:rPr>
        <w:t>项目的竞争性磋商；</w:t>
      </w:r>
    </w:p>
    <w:p w14:paraId="6AB1BC78">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二、所提供的一切材料都是真实、有效、合法的；</w:t>
      </w:r>
    </w:p>
    <w:p w14:paraId="561C94A5">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三、不出借、转让资质证书，不让他人挂靠投标，不以他人名义投标或者以其他方式弄虚作假，骗取中标；</w:t>
      </w:r>
    </w:p>
    <w:p w14:paraId="30308ADE">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四、不与其他供应商相互串通报价，不排挤其他供应商的公平竞争、损害招采购人的合法权益；</w:t>
      </w:r>
    </w:p>
    <w:p w14:paraId="1A054C18">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五、不与采购人、采购代理机构或其他供应商串通，损害国家利益、社会公共利益或者他人的合法权益；</w:t>
      </w:r>
    </w:p>
    <w:p w14:paraId="6D2F448D">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六、严格遵守开标现场纪律，服从监管人员管理；</w:t>
      </w:r>
    </w:p>
    <w:p w14:paraId="53D1DD87">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七、保证成交后不转包，若有分包征得采购单位同意；</w:t>
      </w:r>
    </w:p>
    <w:p w14:paraId="09E7864F">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八、保证成交之后，按照响应文件承诺履约，如有违反，同意接受采购单位违约处罚；</w:t>
      </w:r>
    </w:p>
    <w:p w14:paraId="10B2E25A">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九、保证企业及所属相关人员在本次磋商中无行贿等犯罪行为</w:t>
      </w:r>
    </w:p>
    <w:p w14:paraId="49EC78C1">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十、如在磋商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14:paraId="217F2908">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以上内容我已仔细阅读，本公司若有违反承诺内容的行为，自愿依法接受取消投标资格、记入信用档案、取消成交资格、没收保证金等有关处理，愿意承担法律责任，给采购人造成损失的，依法承担赔偿责任。</w:t>
      </w:r>
    </w:p>
    <w:p w14:paraId="1989C021">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 xml:space="preserve">   </w:t>
      </w:r>
    </w:p>
    <w:p w14:paraId="2D4BDF7D">
      <w:pPr>
        <w:adjustRightInd w:val="0"/>
        <w:snapToGrid w:val="0"/>
        <w:spacing w:line="460" w:lineRule="exact"/>
        <w:rPr>
          <w:rFonts w:ascii="仿宋" w:hAnsi="仿宋" w:eastAsia="仿宋" w:cs="仿宋"/>
          <w:color w:val="000000"/>
          <w:sz w:val="24"/>
        </w:rPr>
      </w:pPr>
      <w:r>
        <w:rPr>
          <w:rFonts w:hint="eastAsia" w:ascii="仿宋" w:hAnsi="仿宋" w:eastAsia="仿宋" w:cs="仿宋"/>
          <w:color w:val="000000"/>
          <w:sz w:val="24"/>
        </w:rPr>
        <w:t xml:space="preserve">  </w:t>
      </w:r>
      <w:r>
        <w:rPr>
          <w:rFonts w:hint="eastAsia" w:ascii="仿宋" w:hAnsi="仿宋" w:eastAsia="仿宋" w:cs="仿宋"/>
          <w:sz w:val="24"/>
          <w:szCs w:val="28"/>
        </w:rPr>
        <w:t>供应商全称（盖单位章）</w:t>
      </w:r>
      <w:r>
        <w:rPr>
          <w:rFonts w:hint="eastAsia" w:ascii="仿宋" w:hAnsi="仿宋" w:eastAsia="仿宋" w:cs="仿宋"/>
          <w:color w:val="000000"/>
          <w:sz w:val="24"/>
        </w:rPr>
        <w:t>：             法定代表人（负责人）（签字或盖章）：</w:t>
      </w:r>
    </w:p>
    <w:p w14:paraId="35A43BD6">
      <w:pPr>
        <w:adjustRightInd w:val="0"/>
        <w:snapToGrid w:val="0"/>
        <w:spacing w:line="460" w:lineRule="exact"/>
        <w:rPr>
          <w:rFonts w:ascii="仿宋" w:hAnsi="仿宋" w:eastAsia="仿宋" w:cs="仿宋"/>
          <w:color w:val="000000"/>
          <w:sz w:val="24"/>
        </w:rPr>
        <w:sectPr>
          <w:pgSz w:w="11906" w:h="16838"/>
          <w:pgMar w:top="1440" w:right="1486" w:bottom="1440" w:left="1800" w:header="851" w:footer="992" w:gutter="0"/>
          <w:pgNumType w:fmt="decimal"/>
          <w:cols w:space="720" w:num="1"/>
          <w:titlePg/>
          <w:docGrid w:type="lines" w:linePitch="312" w:charSpace="0"/>
        </w:sectPr>
      </w:pPr>
      <w:r>
        <w:rPr>
          <w:rFonts w:hint="eastAsia" w:ascii="仿宋" w:hAnsi="仿宋" w:eastAsia="仿宋" w:cs="仿宋"/>
          <w:color w:val="000000"/>
          <w:sz w:val="24"/>
        </w:rPr>
        <w:t xml:space="preserve">                                            日   期：  年   月   日</w:t>
      </w:r>
    </w:p>
    <w:p w14:paraId="6331CDF9">
      <w:pPr>
        <w:spacing w:line="360" w:lineRule="exact"/>
        <w:ind w:left="360" w:hanging="360" w:hangingChars="150"/>
        <w:jc w:val="left"/>
        <w:rPr>
          <w:b/>
          <w:kern w:val="0"/>
          <w:sz w:val="24"/>
        </w:rPr>
      </w:pPr>
      <w:r>
        <w:rPr>
          <w:rFonts w:hint="eastAsia"/>
          <w:sz w:val="24"/>
          <w:szCs w:val="32"/>
        </w:rPr>
        <w:t>（九）具有独立承担民事责任能力的证明材料</w:t>
      </w:r>
    </w:p>
    <w:p w14:paraId="3FDE4865">
      <w:pPr>
        <w:jc w:val="center"/>
        <w:rPr>
          <w:b/>
          <w:spacing w:val="20"/>
          <w:sz w:val="24"/>
        </w:rPr>
      </w:pPr>
    </w:p>
    <w:p w14:paraId="7F33F98D"/>
    <w:p w14:paraId="5DB4C108">
      <w:pPr>
        <w:spacing w:line="360" w:lineRule="auto"/>
        <w:ind w:left="479" w:leftChars="228" w:firstLine="120" w:firstLineChars="50"/>
        <w:rPr>
          <w:rFonts w:ascii="仿宋" w:hAnsi="仿宋" w:eastAsia="仿宋" w:cs="仿宋"/>
          <w:sz w:val="24"/>
          <w:szCs w:val="28"/>
        </w:rPr>
      </w:pPr>
      <w:r>
        <w:rPr>
          <w:rFonts w:hint="eastAsia" w:ascii="仿宋" w:hAnsi="仿宋" w:eastAsia="仿宋" w:cs="仿宋"/>
          <w:sz w:val="24"/>
          <w:szCs w:val="28"/>
        </w:rPr>
        <w:t>提供供应商有效的营业执照，或事业单位法人证书，或自然人身份证明，或</w:t>
      </w:r>
    </w:p>
    <w:p w14:paraId="1D295D4B">
      <w:pPr>
        <w:spacing w:line="360" w:lineRule="auto"/>
        <w:rPr>
          <w:rFonts w:ascii="仿宋" w:hAnsi="仿宋" w:eastAsia="仿宋" w:cs="仿宋"/>
          <w:bCs/>
          <w:sz w:val="24"/>
          <w:szCs w:val="28"/>
        </w:rPr>
      </w:pPr>
      <w:r>
        <w:rPr>
          <w:rFonts w:hint="eastAsia" w:ascii="仿宋" w:hAnsi="仿宋" w:eastAsia="仿宋" w:cs="仿宋"/>
          <w:sz w:val="24"/>
          <w:szCs w:val="28"/>
        </w:rPr>
        <w:t>其他非企业组织证明独立承担民事责任能力的文件</w:t>
      </w:r>
      <w:r>
        <w:rPr>
          <w:rFonts w:hint="eastAsia" w:ascii="仿宋" w:hAnsi="仿宋" w:eastAsia="仿宋" w:cs="仿宋"/>
          <w:bCs/>
          <w:sz w:val="24"/>
          <w:szCs w:val="28"/>
        </w:rPr>
        <w:t>扫描件；</w:t>
      </w:r>
    </w:p>
    <w:p w14:paraId="63BCA708">
      <w:pPr>
        <w:spacing w:line="360" w:lineRule="auto"/>
        <w:ind w:firstLine="480" w:firstLineChars="200"/>
        <w:rPr>
          <w:sz w:val="24"/>
          <w:szCs w:val="32"/>
        </w:rPr>
        <w:sectPr>
          <w:pgSz w:w="11906" w:h="16838"/>
          <w:pgMar w:top="1440" w:right="1486" w:bottom="1440" w:left="1800" w:header="851" w:footer="992" w:gutter="0"/>
          <w:pgNumType w:fmt="decimal"/>
          <w:cols w:space="720" w:num="1"/>
          <w:titlePg/>
          <w:docGrid w:type="lines" w:linePitch="312" w:charSpace="0"/>
        </w:sectPr>
      </w:pPr>
      <w:r>
        <w:rPr>
          <w:rFonts w:hint="eastAsia" w:ascii="仿宋" w:hAnsi="仿宋" w:eastAsia="仿宋" w:cs="仿宋"/>
          <w:bCs/>
          <w:sz w:val="24"/>
          <w:szCs w:val="28"/>
        </w:rPr>
        <w:t>提供供应商基本户开户许可证或基本存款账户信息</w:t>
      </w:r>
      <w:r>
        <w:rPr>
          <w:rFonts w:hint="eastAsia"/>
          <w:sz w:val="24"/>
          <w:szCs w:val="32"/>
        </w:rPr>
        <w:t>。</w:t>
      </w:r>
    </w:p>
    <w:p w14:paraId="197EE58D">
      <w:pPr>
        <w:spacing w:line="480" w:lineRule="auto"/>
        <w:rPr>
          <w:rFonts w:ascii="宋体" w:hAnsi="宋体" w:cs="仿宋"/>
          <w:szCs w:val="28"/>
        </w:rPr>
      </w:pPr>
      <w:r>
        <w:rPr>
          <w:rFonts w:hint="eastAsia"/>
          <w:sz w:val="24"/>
          <w:szCs w:val="32"/>
        </w:rPr>
        <w:t>（十）磋商保证金缴纳凭证</w:t>
      </w:r>
    </w:p>
    <w:p w14:paraId="2F078AF5">
      <w:pPr>
        <w:spacing w:line="480" w:lineRule="auto"/>
        <w:rPr>
          <w:rFonts w:ascii="仿宋" w:hAnsi="仿宋" w:eastAsia="仿宋" w:cs="仿宋"/>
          <w:sz w:val="24"/>
          <w:szCs w:val="36"/>
        </w:rPr>
      </w:pPr>
      <w:r>
        <w:rPr>
          <w:rFonts w:hint="eastAsia" w:ascii="仿宋" w:hAnsi="仿宋" w:eastAsia="仿宋" w:cs="仿宋"/>
          <w:sz w:val="24"/>
          <w:szCs w:val="36"/>
        </w:rPr>
        <w:t>提供磋商保证金缴纳凭证扫描件或影印件（须加盖供应商公章）；</w:t>
      </w:r>
    </w:p>
    <w:p w14:paraId="371098B7">
      <w:pPr>
        <w:pStyle w:val="6"/>
        <w:keepNext w:val="0"/>
        <w:keepLines w:val="0"/>
        <w:pageBreakBefore/>
        <w:spacing w:line="415" w:lineRule="auto"/>
        <w:rPr>
          <w:rFonts w:ascii="宋体" w:hAnsi="宋体" w:cs="仿宋"/>
          <w:b w:val="0"/>
          <w:szCs w:val="28"/>
        </w:rPr>
      </w:pPr>
      <w:r>
        <w:rPr>
          <w:rFonts w:hint="eastAsia" w:ascii="宋体" w:hAnsi="宋体" w:cs="仿宋"/>
          <w:b w:val="0"/>
          <w:szCs w:val="28"/>
        </w:rPr>
        <w:t>（十一）落实政府采购政策需满足的资格要求</w:t>
      </w:r>
    </w:p>
    <w:p w14:paraId="468757A9">
      <w:pPr>
        <w:tabs>
          <w:tab w:val="left" w:pos="1680"/>
        </w:tabs>
        <w:snapToGrid w:val="0"/>
        <w:spacing w:line="360" w:lineRule="auto"/>
        <w:ind w:firstLine="480" w:firstLineChars="200"/>
        <w:rPr>
          <w:rFonts w:ascii="华文中宋" w:hAnsi="华文中宋" w:eastAsia="华文中宋" w:cs="华文中宋"/>
          <w:b/>
          <w:color w:val="000000"/>
          <w:sz w:val="24"/>
          <w:highlight w:val="red"/>
        </w:rPr>
        <w:sectPr>
          <w:pgSz w:w="11906" w:h="16838"/>
          <w:pgMar w:top="1440" w:right="1486" w:bottom="1440" w:left="1800" w:header="851" w:footer="992" w:gutter="0"/>
          <w:pgNumType w:fmt="decimal"/>
          <w:cols w:space="720" w:num="1"/>
          <w:titlePg/>
          <w:docGrid w:type="lines" w:linePitch="312" w:charSpace="0"/>
        </w:sectPr>
      </w:pPr>
      <w:r>
        <w:rPr>
          <w:rFonts w:hint="eastAsia" w:ascii="仿宋" w:hAnsi="仿宋" w:eastAsia="仿宋" w:cs="仿宋"/>
          <w:sz w:val="24"/>
          <w:szCs w:val="30"/>
        </w:rPr>
        <w:t>按照本文件第二章“落实政府采购政策需满足的资格要求”规定提交相关证明文件（格式后附）；</w:t>
      </w:r>
    </w:p>
    <w:p w14:paraId="16B36E77">
      <w:pPr>
        <w:tabs>
          <w:tab w:val="left" w:pos="1680"/>
        </w:tabs>
        <w:snapToGrid w:val="0"/>
        <w:spacing w:line="360" w:lineRule="auto"/>
        <w:ind w:firstLine="480" w:firstLineChars="200"/>
        <w:rPr>
          <w:rFonts w:ascii="华文中宋" w:hAnsi="华文中宋" w:eastAsia="华文中宋" w:cs="华文中宋"/>
          <w:b/>
          <w:color w:val="000000"/>
          <w:sz w:val="24"/>
        </w:rPr>
      </w:pPr>
      <w:r>
        <w:rPr>
          <w:rFonts w:hint="eastAsia" w:ascii="华文中宋" w:hAnsi="华文中宋" w:eastAsia="华文中宋" w:cs="华文中宋"/>
          <w:b/>
          <w:color w:val="000000"/>
          <w:sz w:val="24"/>
        </w:rPr>
        <w:t>11.1中小企业声明函格式（如不涉及，此函可不提供）</w:t>
      </w:r>
    </w:p>
    <w:p w14:paraId="1CA44BDC">
      <w:pPr>
        <w:tabs>
          <w:tab w:val="left" w:pos="1680"/>
        </w:tabs>
        <w:snapToGrid w:val="0"/>
        <w:spacing w:line="360" w:lineRule="auto"/>
        <w:jc w:val="center"/>
        <w:rPr>
          <w:rFonts w:ascii="仿宋" w:hAnsi="仿宋" w:eastAsia="仿宋" w:cs="仿宋"/>
          <w:b/>
          <w:color w:val="000000"/>
          <w:sz w:val="24"/>
        </w:rPr>
      </w:pPr>
      <w:r>
        <w:rPr>
          <w:rFonts w:hint="eastAsia" w:ascii="仿宋" w:hAnsi="仿宋" w:eastAsia="仿宋" w:cs="仿宋"/>
          <w:b/>
          <w:color w:val="000000"/>
          <w:sz w:val="24"/>
        </w:rPr>
        <w:t>中小企业声明函（服务）</w:t>
      </w:r>
    </w:p>
    <w:p w14:paraId="1322E3CE">
      <w:pPr>
        <w:spacing w:line="560" w:lineRule="exact"/>
        <w:ind w:firstLine="480" w:firstLineChars="200"/>
        <w:rPr>
          <w:rFonts w:ascii="仿宋" w:hAnsi="仿宋" w:eastAsia="仿宋" w:cs="仿宋"/>
          <w:kern w:val="0"/>
          <w:sz w:val="24"/>
          <w:szCs w:val="30"/>
        </w:rPr>
      </w:pPr>
      <w:r>
        <w:rPr>
          <w:rFonts w:hint="eastAsia" w:ascii="仿宋" w:hAnsi="仿宋" w:eastAsia="仿宋" w:cs="仿宋"/>
          <w:kern w:val="0"/>
          <w:sz w:val="24"/>
          <w:szCs w:val="30"/>
        </w:rPr>
        <w:t>本公司（联合体）郑重声明，根据《政府采购促进中小企业发展管理办法》（财库﹝2020﹞46 号）的规定，本公司（联合体）参加</w:t>
      </w:r>
      <w:r>
        <w:rPr>
          <w:rFonts w:hint="eastAsia" w:ascii="仿宋" w:hAnsi="仿宋" w:eastAsia="仿宋" w:cs="仿宋"/>
          <w:kern w:val="0"/>
          <w:sz w:val="24"/>
          <w:szCs w:val="30"/>
          <w:u w:val="single"/>
        </w:rPr>
        <w:t xml:space="preserve">  （单位名称）</w:t>
      </w:r>
      <w:r>
        <w:rPr>
          <w:rFonts w:hint="eastAsia" w:ascii="仿宋" w:hAnsi="仿宋" w:eastAsia="仿宋" w:cs="仿宋"/>
          <w:kern w:val="0"/>
          <w:sz w:val="24"/>
          <w:szCs w:val="30"/>
        </w:rPr>
        <w:t>的</w:t>
      </w:r>
      <w:r>
        <w:rPr>
          <w:rFonts w:hint="eastAsia" w:ascii="仿宋" w:hAnsi="仿宋" w:eastAsia="仿宋" w:cs="仿宋"/>
          <w:kern w:val="0"/>
          <w:sz w:val="24"/>
          <w:szCs w:val="30"/>
          <w:u w:val="single"/>
        </w:rPr>
        <w:t xml:space="preserve">  （项目名称） </w:t>
      </w:r>
      <w:r>
        <w:rPr>
          <w:rFonts w:hint="eastAsia" w:ascii="仿宋" w:hAnsi="仿宋" w:eastAsia="仿宋" w:cs="仿宋"/>
          <w:kern w:val="0"/>
          <w:sz w:val="24"/>
          <w:szCs w:val="30"/>
        </w:rPr>
        <w:t>采购活动，工程的施工单位全部为符合政策要求的中小企业（或者∶服务全部由符合政策要求的中小企业承接）。相关企业（含联合体中的中小企业、签订分包意向协议的中小企业）的具体情况如下：</w:t>
      </w:r>
    </w:p>
    <w:p w14:paraId="4DAC6EC0">
      <w:pPr>
        <w:spacing w:line="560" w:lineRule="exact"/>
        <w:ind w:firstLine="480" w:firstLineChars="200"/>
        <w:rPr>
          <w:rFonts w:ascii="仿宋" w:hAnsi="仿宋" w:eastAsia="仿宋" w:cs="仿宋"/>
          <w:kern w:val="0"/>
          <w:sz w:val="24"/>
          <w:szCs w:val="30"/>
        </w:rPr>
      </w:pPr>
      <w:r>
        <w:rPr>
          <w:rFonts w:hint="eastAsia" w:ascii="仿宋" w:hAnsi="仿宋" w:eastAsia="仿宋" w:cs="仿宋"/>
          <w:kern w:val="0"/>
          <w:sz w:val="24"/>
          <w:szCs w:val="30"/>
          <w:u w:val="single"/>
        </w:rPr>
        <w:t>1.   （标的名称）</w:t>
      </w:r>
      <w:r>
        <w:rPr>
          <w:rFonts w:hint="eastAsia" w:ascii="仿宋" w:hAnsi="仿宋" w:eastAsia="仿宋" w:cs="仿宋"/>
          <w:kern w:val="0"/>
          <w:sz w:val="24"/>
          <w:szCs w:val="30"/>
        </w:rPr>
        <w:t>，属于</w:t>
      </w:r>
      <w:r>
        <w:rPr>
          <w:rFonts w:hint="eastAsia" w:ascii="仿宋" w:hAnsi="仿宋" w:eastAsia="仿宋" w:cs="仿宋"/>
          <w:kern w:val="0"/>
          <w:sz w:val="24"/>
          <w:szCs w:val="30"/>
          <w:u w:val="single"/>
        </w:rPr>
        <w:t xml:space="preserve"> 软件和信息技术服务业（采购文件中明确的所属行业）</w:t>
      </w:r>
      <w:r>
        <w:rPr>
          <w:rFonts w:hint="eastAsia" w:ascii="仿宋" w:hAnsi="仿宋" w:eastAsia="仿宋" w:cs="仿宋"/>
          <w:kern w:val="0"/>
          <w:sz w:val="24"/>
          <w:szCs w:val="30"/>
        </w:rPr>
        <w:t>；承建（承接）企业为</w:t>
      </w:r>
      <w:r>
        <w:rPr>
          <w:rFonts w:hint="eastAsia" w:ascii="仿宋" w:hAnsi="仿宋" w:eastAsia="仿宋" w:cs="仿宋"/>
          <w:kern w:val="0"/>
          <w:sz w:val="24"/>
          <w:szCs w:val="30"/>
          <w:u w:val="single"/>
        </w:rPr>
        <w:t xml:space="preserve">    （企业名称）</w:t>
      </w:r>
      <w:r>
        <w:rPr>
          <w:rFonts w:hint="eastAsia" w:ascii="仿宋" w:hAnsi="仿宋" w:eastAsia="仿宋" w:cs="仿宋"/>
          <w:kern w:val="0"/>
          <w:sz w:val="24"/>
          <w:szCs w:val="30"/>
        </w:rPr>
        <w:t>，从业人员</w:t>
      </w:r>
      <w:r>
        <w:rPr>
          <w:rFonts w:hint="eastAsia" w:ascii="仿宋" w:hAnsi="仿宋" w:eastAsia="仿宋" w:cs="仿宋"/>
          <w:kern w:val="0"/>
          <w:sz w:val="24"/>
          <w:szCs w:val="30"/>
          <w:u w:val="single"/>
        </w:rPr>
        <w:t xml:space="preserve">    </w:t>
      </w:r>
      <w:r>
        <w:rPr>
          <w:rFonts w:hint="eastAsia" w:ascii="仿宋" w:hAnsi="仿宋" w:eastAsia="仿宋" w:cs="仿宋"/>
          <w:kern w:val="0"/>
          <w:sz w:val="24"/>
          <w:szCs w:val="30"/>
        </w:rPr>
        <w:t>人，营业收入为</w:t>
      </w:r>
      <w:r>
        <w:rPr>
          <w:rFonts w:hint="eastAsia" w:ascii="仿宋" w:hAnsi="仿宋" w:eastAsia="仿宋" w:cs="仿宋"/>
          <w:kern w:val="0"/>
          <w:sz w:val="24"/>
          <w:szCs w:val="30"/>
          <w:u w:val="single"/>
        </w:rPr>
        <w:t xml:space="preserve">    </w:t>
      </w:r>
      <w:r>
        <w:rPr>
          <w:rFonts w:hint="eastAsia" w:ascii="仿宋" w:hAnsi="仿宋" w:eastAsia="仿宋" w:cs="仿宋"/>
          <w:kern w:val="0"/>
          <w:sz w:val="24"/>
          <w:szCs w:val="30"/>
        </w:rPr>
        <w:t>万元，资产总额为</w:t>
      </w:r>
      <w:r>
        <w:rPr>
          <w:rFonts w:hint="eastAsia" w:ascii="仿宋" w:hAnsi="仿宋" w:eastAsia="仿宋" w:cs="仿宋"/>
          <w:kern w:val="0"/>
          <w:sz w:val="24"/>
          <w:szCs w:val="30"/>
          <w:u w:val="single"/>
        </w:rPr>
        <w:t xml:space="preserve">    </w:t>
      </w:r>
      <w:r>
        <w:rPr>
          <w:rFonts w:hint="eastAsia" w:ascii="仿宋" w:hAnsi="仿宋" w:eastAsia="仿宋" w:cs="仿宋"/>
          <w:kern w:val="0"/>
          <w:sz w:val="24"/>
          <w:szCs w:val="30"/>
        </w:rPr>
        <w:t>万元，属于</w:t>
      </w:r>
      <w:r>
        <w:rPr>
          <w:rFonts w:hint="eastAsia" w:ascii="仿宋" w:hAnsi="仿宋" w:eastAsia="仿宋" w:cs="仿宋"/>
          <w:kern w:val="0"/>
          <w:sz w:val="24"/>
          <w:szCs w:val="30"/>
          <w:u w:val="single"/>
        </w:rPr>
        <w:t xml:space="preserve">     （中型企业、小型企业、微型企业）</w:t>
      </w:r>
      <w:r>
        <w:rPr>
          <w:rFonts w:hint="eastAsia" w:ascii="仿宋" w:hAnsi="仿宋" w:eastAsia="仿宋" w:cs="仿宋"/>
          <w:kern w:val="0"/>
          <w:sz w:val="24"/>
          <w:szCs w:val="30"/>
        </w:rPr>
        <w:t>；</w:t>
      </w:r>
    </w:p>
    <w:p w14:paraId="30F7B459">
      <w:pPr>
        <w:spacing w:line="560" w:lineRule="exact"/>
        <w:ind w:firstLine="480" w:firstLineChars="200"/>
        <w:rPr>
          <w:rFonts w:ascii="仿宋" w:hAnsi="仿宋" w:eastAsia="仿宋" w:cs="仿宋"/>
          <w:kern w:val="0"/>
          <w:sz w:val="24"/>
          <w:szCs w:val="30"/>
        </w:rPr>
      </w:pPr>
      <w:r>
        <w:rPr>
          <w:rFonts w:hint="eastAsia" w:ascii="仿宋" w:hAnsi="仿宋" w:eastAsia="仿宋" w:cs="仿宋"/>
          <w:kern w:val="0"/>
          <w:sz w:val="24"/>
          <w:szCs w:val="30"/>
        </w:rPr>
        <w:t>2.</w:t>
      </w:r>
      <w:r>
        <w:rPr>
          <w:rFonts w:hint="eastAsia" w:ascii="仿宋" w:hAnsi="仿宋" w:eastAsia="仿宋" w:cs="仿宋"/>
          <w:kern w:val="0"/>
          <w:sz w:val="24"/>
          <w:szCs w:val="30"/>
          <w:u w:val="single"/>
        </w:rPr>
        <w:t xml:space="preserve">     （标的名称）</w:t>
      </w:r>
      <w:r>
        <w:rPr>
          <w:rFonts w:hint="eastAsia" w:ascii="仿宋" w:hAnsi="仿宋" w:eastAsia="仿宋" w:cs="仿宋"/>
          <w:kern w:val="0"/>
          <w:sz w:val="24"/>
          <w:szCs w:val="30"/>
        </w:rPr>
        <w:t>，属于</w:t>
      </w:r>
      <w:r>
        <w:rPr>
          <w:rFonts w:hint="eastAsia" w:ascii="仿宋" w:hAnsi="仿宋" w:eastAsia="仿宋" w:cs="仿宋"/>
          <w:kern w:val="0"/>
          <w:sz w:val="24"/>
          <w:szCs w:val="30"/>
          <w:u w:val="single"/>
        </w:rPr>
        <w:t xml:space="preserve"> 软件和信息技术服务业（采购文件中明确的所属行业）</w:t>
      </w:r>
      <w:r>
        <w:rPr>
          <w:rFonts w:hint="eastAsia" w:ascii="仿宋" w:hAnsi="仿宋" w:eastAsia="仿宋" w:cs="仿宋"/>
          <w:kern w:val="0"/>
          <w:sz w:val="24"/>
          <w:szCs w:val="30"/>
        </w:rPr>
        <w:t>；承建（承接）企业为</w:t>
      </w:r>
      <w:r>
        <w:rPr>
          <w:rFonts w:hint="eastAsia" w:ascii="仿宋" w:hAnsi="仿宋" w:eastAsia="仿宋" w:cs="仿宋"/>
          <w:kern w:val="0"/>
          <w:sz w:val="24"/>
          <w:szCs w:val="30"/>
          <w:u w:val="single"/>
        </w:rPr>
        <w:t xml:space="preserve">    （企业名称）</w:t>
      </w:r>
      <w:r>
        <w:rPr>
          <w:rFonts w:hint="eastAsia" w:ascii="仿宋" w:hAnsi="仿宋" w:eastAsia="仿宋" w:cs="仿宋"/>
          <w:kern w:val="0"/>
          <w:sz w:val="24"/>
          <w:szCs w:val="30"/>
        </w:rPr>
        <w:t>，从业人员</w:t>
      </w:r>
      <w:r>
        <w:rPr>
          <w:rFonts w:hint="eastAsia" w:ascii="仿宋" w:hAnsi="仿宋" w:eastAsia="仿宋" w:cs="仿宋"/>
          <w:kern w:val="0"/>
          <w:sz w:val="24"/>
          <w:szCs w:val="30"/>
          <w:u w:val="single"/>
        </w:rPr>
        <w:t xml:space="preserve">    </w:t>
      </w:r>
      <w:r>
        <w:rPr>
          <w:rFonts w:hint="eastAsia" w:ascii="仿宋" w:hAnsi="仿宋" w:eastAsia="仿宋" w:cs="仿宋"/>
          <w:kern w:val="0"/>
          <w:sz w:val="24"/>
          <w:szCs w:val="30"/>
        </w:rPr>
        <w:t>人，营业收入为</w:t>
      </w:r>
      <w:r>
        <w:rPr>
          <w:rFonts w:hint="eastAsia" w:ascii="仿宋" w:hAnsi="仿宋" w:eastAsia="仿宋" w:cs="仿宋"/>
          <w:kern w:val="0"/>
          <w:sz w:val="24"/>
          <w:szCs w:val="30"/>
          <w:u w:val="single"/>
        </w:rPr>
        <w:t xml:space="preserve">    </w:t>
      </w:r>
      <w:r>
        <w:rPr>
          <w:rFonts w:hint="eastAsia" w:ascii="仿宋" w:hAnsi="仿宋" w:eastAsia="仿宋" w:cs="仿宋"/>
          <w:kern w:val="0"/>
          <w:sz w:val="24"/>
          <w:szCs w:val="30"/>
        </w:rPr>
        <w:t>万元，资产总额为</w:t>
      </w:r>
      <w:r>
        <w:rPr>
          <w:rFonts w:hint="eastAsia" w:ascii="仿宋" w:hAnsi="仿宋" w:eastAsia="仿宋" w:cs="仿宋"/>
          <w:kern w:val="0"/>
          <w:sz w:val="24"/>
          <w:szCs w:val="30"/>
          <w:u w:val="single"/>
        </w:rPr>
        <w:t xml:space="preserve">    </w:t>
      </w:r>
      <w:r>
        <w:rPr>
          <w:rFonts w:hint="eastAsia" w:ascii="仿宋" w:hAnsi="仿宋" w:eastAsia="仿宋" w:cs="仿宋"/>
          <w:kern w:val="0"/>
          <w:sz w:val="24"/>
          <w:szCs w:val="30"/>
        </w:rPr>
        <w:t>万元，属于</w:t>
      </w:r>
      <w:r>
        <w:rPr>
          <w:rFonts w:hint="eastAsia" w:ascii="仿宋" w:hAnsi="仿宋" w:eastAsia="仿宋" w:cs="仿宋"/>
          <w:kern w:val="0"/>
          <w:sz w:val="24"/>
          <w:szCs w:val="30"/>
          <w:u w:val="single"/>
        </w:rPr>
        <w:t xml:space="preserve">     （中型企业、小型企业、微型企业）</w:t>
      </w:r>
      <w:r>
        <w:rPr>
          <w:rFonts w:hint="eastAsia" w:ascii="仿宋" w:hAnsi="仿宋" w:eastAsia="仿宋" w:cs="仿宋"/>
          <w:kern w:val="0"/>
          <w:sz w:val="24"/>
          <w:szCs w:val="30"/>
        </w:rPr>
        <w:t>；</w:t>
      </w:r>
    </w:p>
    <w:p w14:paraId="7E85E522">
      <w:pPr>
        <w:spacing w:line="560" w:lineRule="exact"/>
        <w:ind w:firstLine="480" w:firstLineChars="200"/>
        <w:rPr>
          <w:rFonts w:ascii="仿宋" w:hAnsi="仿宋" w:eastAsia="仿宋" w:cs="仿宋"/>
          <w:kern w:val="0"/>
          <w:sz w:val="24"/>
          <w:szCs w:val="30"/>
        </w:rPr>
      </w:pPr>
      <w:r>
        <w:rPr>
          <w:rFonts w:hint="eastAsia" w:ascii="仿宋" w:hAnsi="仿宋" w:eastAsia="仿宋" w:cs="仿宋"/>
          <w:kern w:val="0"/>
          <w:sz w:val="24"/>
          <w:szCs w:val="30"/>
        </w:rPr>
        <w:t>……</w:t>
      </w:r>
    </w:p>
    <w:p w14:paraId="02341F95">
      <w:pPr>
        <w:spacing w:line="560" w:lineRule="exact"/>
        <w:ind w:firstLine="480" w:firstLineChars="200"/>
        <w:rPr>
          <w:rFonts w:ascii="仿宋" w:hAnsi="仿宋" w:eastAsia="仿宋" w:cs="仿宋"/>
          <w:kern w:val="0"/>
          <w:sz w:val="24"/>
          <w:szCs w:val="30"/>
        </w:rPr>
      </w:pPr>
      <w:r>
        <w:rPr>
          <w:rFonts w:hint="eastAsia" w:ascii="仿宋" w:hAnsi="仿宋" w:eastAsia="仿宋" w:cs="仿宋"/>
          <w:kern w:val="0"/>
          <w:sz w:val="24"/>
          <w:szCs w:val="30"/>
        </w:rPr>
        <w:t>以上企业，不属于大企业的分支机构，不存在控股股东为大企业的情形，也不存在与大企业的负责人为同一人的情形。</w:t>
      </w:r>
    </w:p>
    <w:p w14:paraId="0BC326DB">
      <w:pPr>
        <w:spacing w:line="560" w:lineRule="exact"/>
        <w:ind w:firstLine="480" w:firstLineChars="200"/>
        <w:rPr>
          <w:rFonts w:ascii="仿宋" w:hAnsi="仿宋" w:eastAsia="仿宋" w:cs="仿宋"/>
          <w:kern w:val="0"/>
          <w:sz w:val="24"/>
          <w:szCs w:val="30"/>
        </w:rPr>
      </w:pPr>
      <w:r>
        <w:rPr>
          <w:rFonts w:hint="eastAsia" w:ascii="仿宋" w:hAnsi="仿宋" w:eastAsia="仿宋" w:cs="仿宋"/>
          <w:kern w:val="0"/>
          <w:sz w:val="24"/>
          <w:szCs w:val="30"/>
        </w:rPr>
        <w:t>本企业对上述声明内容的真实性负责。如有虚假，将依法承担相应责任。  </w:t>
      </w:r>
    </w:p>
    <w:p w14:paraId="0CF19A39">
      <w:pPr>
        <w:spacing w:line="560" w:lineRule="exact"/>
        <w:ind w:firstLine="480" w:firstLineChars="200"/>
        <w:rPr>
          <w:rFonts w:ascii="仿宋" w:hAnsi="仿宋" w:eastAsia="仿宋" w:cs="仿宋"/>
          <w:kern w:val="0"/>
          <w:sz w:val="24"/>
          <w:szCs w:val="30"/>
        </w:rPr>
      </w:pPr>
      <w:r>
        <w:rPr>
          <w:rFonts w:hint="eastAsia" w:ascii="仿宋" w:hAnsi="仿宋" w:eastAsia="仿宋" w:cs="仿宋"/>
          <w:sz w:val="24"/>
          <w:szCs w:val="30"/>
        </w:rPr>
        <w:t>供应商全称（盖单位章）</w:t>
      </w:r>
      <w:r>
        <w:rPr>
          <w:rFonts w:hint="eastAsia" w:ascii="仿宋" w:hAnsi="仿宋" w:eastAsia="仿宋" w:cs="仿宋"/>
          <w:kern w:val="0"/>
          <w:sz w:val="24"/>
          <w:szCs w:val="30"/>
        </w:rPr>
        <w:t>： </w:t>
      </w:r>
    </w:p>
    <w:p w14:paraId="1A43A2DF">
      <w:pPr>
        <w:spacing w:line="560" w:lineRule="exact"/>
        <w:ind w:firstLine="480" w:firstLineChars="200"/>
        <w:rPr>
          <w:rFonts w:ascii="仿宋" w:hAnsi="仿宋" w:eastAsia="仿宋" w:cs="仿宋"/>
          <w:kern w:val="0"/>
          <w:sz w:val="24"/>
          <w:szCs w:val="30"/>
        </w:rPr>
      </w:pPr>
      <w:r>
        <w:rPr>
          <w:rFonts w:hint="eastAsia" w:ascii="仿宋" w:hAnsi="仿宋" w:eastAsia="仿宋" w:cs="仿宋"/>
          <w:kern w:val="0"/>
          <w:sz w:val="24"/>
          <w:szCs w:val="30"/>
        </w:rPr>
        <w:t>日 期：</w:t>
      </w:r>
    </w:p>
    <w:p w14:paraId="2DDDCB2D">
      <w:pPr>
        <w:rPr>
          <w:rFonts w:ascii="仿宋" w:hAnsi="仿宋" w:eastAsia="仿宋" w:cs="仿宋"/>
          <w:kern w:val="0"/>
          <w:sz w:val="24"/>
          <w:szCs w:val="30"/>
          <w:vertAlign w:val="superscript"/>
        </w:rPr>
      </w:pPr>
    </w:p>
    <w:p w14:paraId="19606DAA">
      <w:pPr>
        <w:spacing w:line="360" w:lineRule="auto"/>
        <w:ind w:firstLine="504" w:firstLineChars="200"/>
        <w:rPr>
          <w:rFonts w:ascii="仿宋" w:hAnsi="仿宋" w:eastAsia="仿宋" w:cs="仿宋"/>
          <w:color w:val="000000"/>
          <w:spacing w:val="6"/>
          <w:sz w:val="24"/>
        </w:rPr>
      </w:pPr>
      <w:r>
        <w:rPr>
          <w:rFonts w:hint="eastAsia" w:ascii="仿宋" w:hAnsi="仿宋" w:eastAsia="仿宋" w:cs="仿宋"/>
          <w:color w:val="000000"/>
          <w:spacing w:val="6"/>
          <w:sz w:val="24"/>
        </w:rPr>
        <w:t>注：从业人员、营业收入、资产总额填报上一年度数据,无一年度数据的新成立企业可不填报。</w:t>
      </w:r>
    </w:p>
    <w:p w14:paraId="0BA5B7B3">
      <w:pPr>
        <w:pStyle w:val="35"/>
        <w:widowControl w:val="0"/>
        <w:adjustRightInd w:val="0"/>
        <w:snapToGrid w:val="0"/>
        <w:spacing w:before="0" w:beforeAutospacing="0" w:after="0" w:afterAutospacing="0" w:line="360" w:lineRule="auto"/>
        <w:ind w:firstLine="482" w:firstLineChars="200"/>
        <w:jc w:val="both"/>
        <w:rPr>
          <w:rFonts w:ascii="仿宋" w:hAnsi="仿宋" w:eastAsia="仿宋" w:cs="仿宋"/>
          <w:b/>
          <w:bCs/>
          <w:color w:val="000000"/>
        </w:rPr>
        <w:sectPr>
          <w:pgSz w:w="11906" w:h="16838"/>
          <w:pgMar w:top="1440" w:right="1486" w:bottom="1440" w:left="1800" w:header="851" w:footer="992" w:gutter="0"/>
          <w:pgNumType w:fmt="decimal"/>
          <w:cols w:space="720" w:num="1"/>
          <w:titlePg/>
          <w:docGrid w:type="lines" w:linePitch="312" w:charSpace="0"/>
        </w:sectPr>
      </w:pPr>
    </w:p>
    <w:p w14:paraId="50053FF7">
      <w:pPr>
        <w:pStyle w:val="35"/>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b/>
          <w:bCs/>
          <w:color w:val="000000"/>
        </w:rPr>
      </w:pPr>
      <w:r>
        <w:rPr>
          <w:rFonts w:hint="eastAsia" w:ascii="华文中宋" w:hAnsi="华文中宋" w:eastAsia="华文中宋" w:cs="华文中宋"/>
          <w:b/>
          <w:bCs/>
          <w:color w:val="000000"/>
        </w:rPr>
        <w:t>11.2监狱企业证明文件</w:t>
      </w:r>
      <w:r>
        <w:rPr>
          <w:rFonts w:hint="eastAsia" w:ascii="华文中宋" w:hAnsi="华文中宋" w:eastAsia="华文中宋" w:cs="华文中宋"/>
          <w:b/>
          <w:color w:val="000000"/>
        </w:rPr>
        <w:t>（如不涉及，此函可不提供）</w:t>
      </w:r>
    </w:p>
    <w:p w14:paraId="29B0E6D0">
      <w:pPr>
        <w:spacing w:line="480" w:lineRule="auto"/>
        <w:ind w:right="640"/>
        <w:jc w:val="center"/>
        <w:rPr>
          <w:rFonts w:ascii="仿宋" w:hAnsi="仿宋" w:eastAsia="仿宋" w:cs="仿宋"/>
          <w:b/>
          <w:bCs/>
          <w:spacing w:val="10"/>
          <w:sz w:val="24"/>
        </w:rPr>
      </w:pPr>
      <w:r>
        <w:rPr>
          <w:rFonts w:hint="eastAsia" w:ascii="仿宋" w:hAnsi="仿宋" w:eastAsia="仿宋" w:cs="仿宋"/>
          <w:b/>
          <w:bCs/>
          <w:spacing w:val="10"/>
          <w:sz w:val="24"/>
        </w:rPr>
        <w:t>监狱企业证明文件</w:t>
      </w:r>
      <w:r>
        <w:rPr>
          <w:rFonts w:hint="eastAsia" w:ascii="仿宋" w:hAnsi="仿宋" w:eastAsia="仿宋" w:cs="仿宋"/>
          <w:b/>
          <w:bCs/>
          <w:sz w:val="24"/>
        </w:rPr>
        <w:t>（格式）</w:t>
      </w:r>
    </w:p>
    <w:p w14:paraId="5CCAE8BF">
      <w:pPr>
        <w:spacing w:line="480" w:lineRule="auto"/>
        <w:rPr>
          <w:rFonts w:ascii="仿宋" w:hAnsi="仿宋" w:eastAsia="仿宋" w:cs="仿宋"/>
          <w:sz w:val="24"/>
        </w:rPr>
      </w:pPr>
    </w:p>
    <w:p w14:paraId="7202A96D">
      <w:pPr>
        <w:spacing w:line="480" w:lineRule="auto"/>
        <w:ind w:firstLine="480" w:firstLineChars="200"/>
        <w:rPr>
          <w:rFonts w:ascii="仿宋" w:hAnsi="仿宋" w:eastAsia="仿宋" w:cs="仿宋"/>
          <w:sz w:val="24"/>
        </w:rPr>
      </w:pPr>
      <w:r>
        <w:rPr>
          <w:rFonts w:hint="eastAsia" w:ascii="仿宋" w:hAnsi="仿宋" w:eastAsia="仿宋" w:cs="仿宋"/>
          <w:sz w:val="24"/>
        </w:rPr>
        <w:t>本单位郑重声明，根据《财政部司法部关于政府采购支持监狱企业发展有关问题的通知》（财库〔2014〕 68号）的规定，本单位为符合条件的监狱企业，且本单位参加</w:t>
      </w:r>
      <w:r>
        <w:rPr>
          <w:rFonts w:hint="eastAsia" w:ascii="仿宋" w:hAnsi="仿宋" w:eastAsia="仿宋" w:cs="仿宋"/>
          <w:sz w:val="24"/>
          <w:u w:val="single"/>
        </w:rPr>
        <w:t xml:space="preserve">       </w:t>
      </w:r>
      <w:r>
        <w:rPr>
          <w:rFonts w:hint="eastAsia" w:ascii="仿宋" w:hAnsi="仿宋" w:eastAsia="仿宋" w:cs="仿宋"/>
          <w:sz w:val="24"/>
        </w:rPr>
        <w:t>单位的</w:t>
      </w:r>
      <w:r>
        <w:rPr>
          <w:rFonts w:hint="eastAsia" w:ascii="仿宋" w:hAnsi="仿宋" w:eastAsia="仿宋" w:cs="仿宋"/>
          <w:sz w:val="24"/>
          <w:u w:val="single"/>
        </w:rPr>
        <w:t xml:space="preserve">      </w:t>
      </w:r>
      <w:r>
        <w:rPr>
          <w:rFonts w:hint="eastAsia" w:ascii="仿宋" w:hAnsi="仿宋" w:eastAsia="仿宋" w:cs="仿宋"/>
          <w:sz w:val="24"/>
        </w:rPr>
        <w:t>项目采购活动提供本单位提供的服务，或者提供其他监狱企业的服务。</w:t>
      </w:r>
    </w:p>
    <w:p w14:paraId="17CBB4D3">
      <w:pPr>
        <w:spacing w:line="480" w:lineRule="auto"/>
        <w:ind w:firstLine="480" w:firstLineChars="200"/>
        <w:rPr>
          <w:rFonts w:ascii="仿宋" w:hAnsi="仿宋" w:eastAsia="仿宋" w:cs="仿宋"/>
          <w:sz w:val="24"/>
        </w:rPr>
      </w:pPr>
      <w:r>
        <w:rPr>
          <w:rFonts w:hint="eastAsia" w:ascii="仿宋" w:hAnsi="仿宋" w:eastAsia="仿宋" w:cs="仿宋"/>
          <w:sz w:val="24"/>
        </w:rPr>
        <w:t>附：监狱企业证明文件</w:t>
      </w:r>
    </w:p>
    <w:p w14:paraId="761D80CB">
      <w:pPr>
        <w:spacing w:line="480" w:lineRule="auto"/>
        <w:ind w:firstLine="480" w:firstLineChars="200"/>
        <w:rPr>
          <w:rFonts w:ascii="仿宋" w:hAnsi="仿宋" w:eastAsia="仿宋" w:cs="仿宋"/>
          <w:sz w:val="24"/>
        </w:rPr>
      </w:pPr>
    </w:p>
    <w:p w14:paraId="32C9DE1B">
      <w:pPr>
        <w:spacing w:line="480" w:lineRule="auto"/>
        <w:ind w:firstLine="480" w:firstLineChars="200"/>
        <w:rPr>
          <w:rFonts w:ascii="仿宋" w:hAnsi="仿宋" w:eastAsia="仿宋" w:cs="仿宋"/>
          <w:sz w:val="24"/>
        </w:rPr>
      </w:pPr>
      <w:r>
        <w:rPr>
          <w:rFonts w:hint="eastAsia" w:ascii="仿宋" w:hAnsi="仿宋" w:eastAsia="仿宋" w:cs="仿宋"/>
          <w:sz w:val="24"/>
        </w:rPr>
        <w:t>本单位对上述声明的真实性负责。如有虚假，将依法承担相应责任。</w:t>
      </w:r>
    </w:p>
    <w:p w14:paraId="7060494E">
      <w:pPr>
        <w:spacing w:line="480" w:lineRule="auto"/>
        <w:ind w:firstLine="480" w:firstLineChars="200"/>
        <w:rPr>
          <w:rFonts w:ascii="仿宋" w:hAnsi="仿宋" w:eastAsia="仿宋" w:cs="仿宋"/>
          <w:sz w:val="24"/>
        </w:rPr>
      </w:pPr>
    </w:p>
    <w:p w14:paraId="4D420338">
      <w:pPr>
        <w:spacing w:line="480" w:lineRule="auto"/>
        <w:ind w:firstLine="480" w:firstLineChars="200"/>
        <w:rPr>
          <w:rFonts w:ascii="仿宋" w:hAnsi="仿宋" w:eastAsia="仿宋" w:cs="仿宋"/>
          <w:sz w:val="24"/>
        </w:rPr>
      </w:pPr>
    </w:p>
    <w:p w14:paraId="3DFF8234">
      <w:pPr>
        <w:tabs>
          <w:tab w:val="left" w:pos="4860"/>
        </w:tabs>
        <w:spacing w:line="480" w:lineRule="auto"/>
        <w:ind w:right="1560"/>
        <w:rPr>
          <w:rFonts w:ascii="仿宋" w:hAnsi="仿宋" w:eastAsia="仿宋" w:cs="仿宋"/>
          <w:sz w:val="24"/>
        </w:rPr>
      </w:pPr>
      <w:r>
        <w:rPr>
          <w:rFonts w:hint="eastAsia" w:ascii="仿宋" w:hAnsi="仿宋" w:eastAsia="仿宋" w:cs="仿宋"/>
          <w:sz w:val="24"/>
        </w:rPr>
        <w:t xml:space="preserve">         </w:t>
      </w:r>
    </w:p>
    <w:p w14:paraId="2346AACC">
      <w:pPr>
        <w:tabs>
          <w:tab w:val="left" w:pos="4860"/>
        </w:tabs>
        <w:spacing w:line="480" w:lineRule="auto"/>
        <w:ind w:right="1560" w:firstLine="480" w:firstLineChars="200"/>
        <w:jc w:val="center"/>
        <w:rPr>
          <w:rFonts w:ascii="仿宋" w:hAnsi="仿宋" w:eastAsia="仿宋" w:cs="仿宋"/>
          <w:sz w:val="24"/>
        </w:rPr>
      </w:pPr>
    </w:p>
    <w:p w14:paraId="33C6E8EF">
      <w:pPr>
        <w:rPr>
          <w:rFonts w:ascii="仿宋" w:hAnsi="仿宋" w:eastAsia="仿宋" w:cs="仿宋"/>
        </w:rPr>
      </w:pPr>
    </w:p>
    <w:p w14:paraId="338316F4">
      <w:pPr>
        <w:tabs>
          <w:tab w:val="left" w:pos="4860"/>
        </w:tabs>
        <w:spacing w:line="480" w:lineRule="auto"/>
        <w:ind w:right="1560" w:firstLine="480" w:firstLineChars="200"/>
        <w:jc w:val="center"/>
        <w:rPr>
          <w:rFonts w:ascii="仿宋" w:hAnsi="仿宋" w:eastAsia="仿宋" w:cs="仿宋"/>
          <w:spacing w:val="6"/>
          <w:sz w:val="24"/>
        </w:rPr>
      </w:pPr>
      <w:r>
        <w:rPr>
          <w:rFonts w:hint="eastAsia" w:ascii="仿宋" w:hAnsi="仿宋" w:eastAsia="仿宋" w:cs="仿宋"/>
          <w:sz w:val="24"/>
        </w:rPr>
        <w:t xml:space="preserve">               </w:t>
      </w:r>
      <w:r>
        <w:rPr>
          <w:rFonts w:hint="eastAsia" w:ascii="仿宋" w:hAnsi="仿宋" w:eastAsia="仿宋" w:cs="仿宋"/>
          <w:spacing w:val="6"/>
          <w:sz w:val="24"/>
        </w:rPr>
        <w:t xml:space="preserve">    </w:t>
      </w:r>
      <w:r>
        <w:rPr>
          <w:rFonts w:hint="eastAsia" w:ascii="仿宋" w:hAnsi="仿宋" w:eastAsia="仿宋" w:cs="仿宋"/>
          <w:sz w:val="24"/>
        </w:rPr>
        <w:t>企业名称</w:t>
      </w:r>
      <w:r>
        <w:rPr>
          <w:rFonts w:hint="eastAsia" w:ascii="仿宋" w:hAnsi="仿宋" w:eastAsia="仿宋" w:cs="仿宋"/>
          <w:spacing w:val="6"/>
          <w:sz w:val="24"/>
        </w:rPr>
        <w:t>（盖单位公章）：</w:t>
      </w:r>
    </w:p>
    <w:p w14:paraId="264C4D56">
      <w:pPr>
        <w:tabs>
          <w:tab w:val="left" w:pos="4860"/>
        </w:tabs>
        <w:spacing w:line="480" w:lineRule="auto"/>
        <w:ind w:right="1560" w:firstLine="504" w:firstLineChars="200"/>
        <w:jc w:val="center"/>
        <w:rPr>
          <w:rFonts w:ascii="仿宋" w:hAnsi="仿宋" w:eastAsia="仿宋" w:cs="仿宋"/>
          <w:spacing w:val="6"/>
          <w:sz w:val="24"/>
        </w:rPr>
      </w:pPr>
    </w:p>
    <w:p w14:paraId="423BB4B0">
      <w:pPr>
        <w:spacing w:line="480" w:lineRule="auto"/>
        <w:ind w:right="640" w:firstLine="3528" w:firstLineChars="1400"/>
        <w:rPr>
          <w:rFonts w:ascii="仿宋" w:hAnsi="仿宋" w:eastAsia="仿宋" w:cs="仿宋"/>
          <w:spacing w:val="6"/>
          <w:sz w:val="24"/>
        </w:rPr>
      </w:pPr>
      <w:r>
        <w:rPr>
          <w:rFonts w:hint="eastAsia" w:ascii="仿宋" w:hAnsi="仿宋" w:eastAsia="仿宋" w:cs="仿宋"/>
          <w:spacing w:val="6"/>
          <w:sz w:val="24"/>
        </w:rPr>
        <w:t>日  期：</w:t>
      </w:r>
    </w:p>
    <w:p w14:paraId="013055B9">
      <w:pPr>
        <w:spacing w:line="360" w:lineRule="auto"/>
        <w:ind w:firstLine="506" w:firstLineChars="200"/>
        <w:jc w:val="left"/>
        <w:rPr>
          <w:rFonts w:ascii="仿宋" w:hAnsi="仿宋" w:eastAsia="仿宋" w:cs="仿宋"/>
          <w:b/>
          <w:color w:val="000000"/>
          <w:spacing w:val="6"/>
          <w:sz w:val="24"/>
        </w:rPr>
        <w:sectPr>
          <w:pgSz w:w="11906" w:h="16838"/>
          <w:pgMar w:top="1440" w:right="1486" w:bottom="1440" w:left="1800" w:header="851" w:footer="992" w:gutter="0"/>
          <w:pgNumType w:fmt="decimal"/>
          <w:cols w:space="720" w:num="1"/>
          <w:titlePg/>
          <w:docGrid w:type="lines" w:linePitch="312" w:charSpace="0"/>
        </w:sectPr>
      </w:pPr>
    </w:p>
    <w:p w14:paraId="08498761">
      <w:pPr>
        <w:spacing w:line="360" w:lineRule="auto"/>
        <w:jc w:val="left"/>
        <w:rPr>
          <w:rFonts w:ascii="华文中宋" w:hAnsi="华文中宋" w:eastAsia="华文中宋" w:cs="华文中宋"/>
          <w:b/>
          <w:color w:val="000000"/>
          <w:spacing w:val="6"/>
          <w:sz w:val="24"/>
        </w:rPr>
      </w:pPr>
      <w:r>
        <w:rPr>
          <w:rFonts w:hint="eastAsia" w:ascii="华文中宋" w:hAnsi="华文中宋" w:eastAsia="华文中宋" w:cs="华文中宋"/>
          <w:b/>
          <w:color w:val="000000"/>
          <w:spacing w:val="6"/>
          <w:sz w:val="24"/>
        </w:rPr>
        <w:t>11.3残疾人福利性单位声明函</w:t>
      </w:r>
      <w:r>
        <w:rPr>
          <w:rFonts w:hint="eastAsia" w:ascii="华文中宋" w:hAnsi="华文中宋" w:eastAsia="华文中宋" w:cs="华文中宋"/>
          <w:b/>
          <w:color w:val="000000"/>
          <w:sz w:val="24"/>
        </w:rPr>
        <w:t>格式（如不涉及，此函可不提供）</w:t>
      </w:r>
    </w:p>
    <w:p w14:paraId="5E4F50CC">
      <w:pPr>
        <w:spacing w:line="360" w:lineRule="auto"/>
        <w:jc w:val="center"/>
        <w:rPr>
          <w:rFonts w:ascii="仿宋" w:hAnsi="仿宋" w:eastAsia="仿宋" w:cs="仿宋"/>
          <w:b/>
          <w:color w:val="000000"/>
          <w:sz w:val="24"/>
        </w:rPr>
      </w:pPr>
      <w:r>
        <w:rPr>
          <w:rFonts w:hint="eastAsia" w:ascii="仿宋" w:hAnsi="仿宋" w:eastAsia="仿宋" w:cs="仿宋"/>
          <w:b/>
          <w:color w:val="000000"/>
          <w:spacing w:val="6"/>
          <w:sz w:val="24"/>
        </w:rPr>
        <w:t>残疾人福利性单位声明函</w:t>
      </w:r>
    </w:p>
    <w:p w14:paraId="6FE36434">
      <w:pPr>
        <w:spacing w:line="360" w:lineRule="auto"/>
        <w:ind w:firstLine="504" w:firstLineChars="200"/>
        <w:rPr>
          <w:rFonts w:ascii="仿宋" w:hAnsi="仿宋" w:eastAsia="仿宋" w:cs="仿宋"/>
          <w:color w:val="000000"/>
          <w:spacing w:val="6"/>
          <w:sz w:val="24"/>
        </w:rPr>
      </w:pPr>
    </w:p>
    <w:p w14:paraId="6F1C4840">
      <w:pPr>
        <w:spacing w:line="360" w:lineRule="auto"/>
        <w:ind w:firstLine="504" w:firstLineChars="200"/>
        <w:rPr>
          <w:rFonts w:ascii="仿宋" w:hAnsi="仿宋" w:eastAsia="仿宋" w:cs="仿宋"/>
          <w:color w:val="000000"/>
          <w:spacing w:val="6"/>
          <w:sz w:val="24"/>
        </w:rPr>
      </w:pPr>
      <w:r>
        <w:rPr>
          <w:rFonts w:hint="eastAsia" w:ascii="仿宋" w:hAnsi="仿宋" w:eastAsia="仿宋" w:cs="仿宋"/>
          <w:color w:val="000000"/>
          <w:spacing w:val="6"/>
          <w:sz w:val="24"/>
        </w:rPr>
        <w:t>本单位郑重声明，根据《财政部 民政部 中国残疾人联合会关于促进残疾人就业政府采购政策的通知》（财库</w:t>
      </w:r>
      <w:r>
        <w:rPr>
          <w:rFonts w:hint="eastAsia" w:ascii="仿宋" w:hAnsi="仿宋" w:eastAsia="仿宋" w:cs="仿宋"/>
          <w:color w:val="000000"/>
          <w:sz w:val="24"/>
        </w:rPr>
        <w:t>〔2017〕 141</w:t>
      </w:r>
      <w:r>
        <w:rPr>
          <w:rFonts w:hint="eastAsia" w:ascii="仿宋" w:hAnsi="仿宋" w:eastAsia="仿宋" w:cs="仿宋"/>
          <w:color w:val="000000"/>
          <w:spacing w:val="6"/>
          <w:sz w:val="24"/>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25AC9CA9">
      <w:pPr>
        <w:spacing w:line="360" w:lineRule="auto"/>
        <w:ind w:firstLine="504" w:firstLineChars="200"/>
        <w:rPr>
          <w:rFonts w:ascii="仿宋" w:hAnsi="仿宋" w:eastAsia="仿宋" w:cs="仿宋"/>
          <w:color w:val="000000"/>
          <w:spacing w:val="6"/>
          <w:sz w:val="24"/>
        </w:rPr>
      </w:pPr>
      <w:r>
        <w:rPr>
          <w:rFonts w:hint="eastAsia" w:ascii="仿宋" w:hAnsi="仿宋" w:eastAsia="仿宋" w:cs="仿宋"/>
          <w:color w:val="000000"/>
          <w:spacing w:val="6"/>
          <w:sz w:val="24"/>
        </w:rPr>
        <w:t>本单位对上述声明的真实性负责。如有虚假，将依法承担相应责任。</w:t>
      </w:r>
    </w:p>
    <w:p w14:paraId="48F21D7D">
      <w:pPr>
        <w:tabs>
          <w:tab w:val="left" w:pos="4860"/>
        </w:tabs>
        <w:spacing w:line="360" w:lineRule="auto"/>
        <w:ind w:firstLine="504" w:firstLineChars="200"/>
        <w:jc w:val="center"/>
        <w:outlineLvl w:val="0"/>
        <w:rPr>
          <w:rFonts w:ascii="仿宋" w:hAnsi="仿宋" w:eastAsia="仿宋" w:cs="仿宋"/>
          <w:color w:val="000000"/>
          <w:spacing w:val="6"/>
          <w:sz w:val="24"/>
        </w:rPr>
      </w:pPr>
      <w:r>
        <w:rPr>
          <w:rFonts w:hint="eastAsia" w:ascii="仿宋" w:hAnsi="仿宋" w:eastAsia="仿宋" w:cs="仿宋"/>
          <w:color w:val="000000"/>
          <w:spacing w:val="6"/>
          <w:sz w:val="24"/>
        </w:rPr>
        <w:t xml:space="preserve">　　　　　　　　　　　　 </w:t>
      </w:r>
      <w:bookmarkStart w:id="172" w:name="_Toc11577"/>
      <w:r>
        <w:rPr>
          <w:rFonts w:hint="eastAsia" w:ascii="仿宋" w:hAnsi="仿宋" w:eastAsia="仿宋" w:cs="仿宋"/>
          <w:color w:val="000000"/>
          <w:spacing w:val="6"/>
          <w:sz w:val="24"/>
        </w:rPr>
        <w:t>单位名称（</w:t>
      </w:r>
      <w:r>
        <w:rPr>
          <w:rFonts w:hint="eastAsia" w:ascii="仿宋" w:hAnsi="仿宋" w:eastAsia="仿宋" w:cs="仿宋"/>
          <w:color w:val="000000"/>
          <w:spacing w:val="20"/>
          <w:sz w:val="24"/>
        </w:rPr>
        <w:t>盖章</w:t>
      </w:r>
      <w:r>
        <w:rPr>
          <w:rFonts w:hint="eastAsia" w:ascii="仿宋" w:hAnsi="仿宋" w:eastAsia="仿宋" w:cs="仿宋"/>
          <w:color w:val="000000"/>
          <w:spacing w:val="6"/>
          <w:sz w:val="24"/>
        </w:rPr>
        <w:t>）：</w:t>
      </w:r>
      <w:bookmarkEnd w:id="172"/>
    </w:p>
    <w:p w14:paraId="551BFC49">
      <w:pPr>
        <w:tabs>
          <w:tab w:val="left" w:pos="4860"/>
        </w:tabs>
        <w:spacing w:line="360" w:lineRule="auto"/>
        <w:ind w:firstLine="504" w:firstLineChars="200"/>
        <w:jc w:val="center"/>
        <w:outlineLvl w:val="0"/>
        <w:rPr>
          <w:rFonts w:ascii="仿宋" w:hAnsi="仿宋" w:eastAsia="仿宋" w:cs="仿宋"/>
          <w:b/>
          <w:color w:val="000000"/>
          <w:sz w:val="24"/>
        </w:rPr>
      </w:pPr>
      <w:r>
        <w:rPr>
          <w:rFonts w:hint="eastAsia" w:ascii="仿宋" w:hAnsi="仿宋" w:eastAsia="仿宋" w:cs="仿宋"/>
          <w:color w:val="000000"/>
          <w:spacing w:val="6"/>
          <w:sz w:val="24"/>
        </w:rPr>
        <w:t xml:space="preserve">　　　　　　　　　　　　　　　　　 </w:t>
      </w:r>
      <w:bookmarkStart w:id="173" w:name="_Toc12762"/>
      <w:r>
        <w:rPr>
          <w:rFonts w:hint="eastAsia" w:ascii="仿宋" w:hAnsi="仿宋" w:eastAsia="仿宋" w:cs="仿宋"/>
          <w:color w:val="000000"/>
          <w:spacing w:val="6"/>
          <w:sz w:val="24"/>
        </w:rPr>
        <w:t>日  期：</w:t>
      </w:r>
      <w:bookmarkEnd w:id="173"/>
    </w:p>
    <w:p w14:paraId="7721E5ED">
      <w:pPr>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注：中标供应商为残疾人福利性单位的，采购代理机构随中标结果同时公告其《残疾人福利性单位声明函》</w:t>
      </w:r>
    </w:p>
    <w:p w14:paraId="031FB3FC">
      <w:pPr>
        <w:spacing w:line="360" w:lineRule="auto"/>
        <w:ind w:firstLine="480" w:firstLineChars="200"/>
        <w:rPr>
          <w:rFonts w:ascii="华文中宋" w:hAnsi="华文中宋" w:eastAsia="华文中宋" w:cs="华文中宋"/>
          <w:b/>
          <w:color w:val="000000"/>
          <w:sz w:val="24"/>
        </w:rPr>
        <w:sectPr>
          <w:pgSz w:w="11906" w:h="16838"/>
          <w:pgMar w:top="1440" w:right="1486" w:bottom="1440" w:left="1800" w:header="851" w:footer="992" w:gutter="0"/>
          <w:pgNumType w:fmt="decimal"/>
          <w:cols w:space="720" w:num="1"/>
          <w:titlePg/>
          <w:docGrid w:type="lines" w:linePitch="312" w:charSpace="0"/>
        </w:sectPr>
      </w:pPr>
    </w:p>
    <w:p w14:paraId="07C0DEA4">
      <w:pPr>
        <w:spacing w:line="360" w:lineRule="auto"/>
        <w:jc w:val="left"/>
        <w:rPr>
          <w:rFonts w:ascii="华文中宋" w:hAnsi="华文中宋" w:eastAsia="华文中宋" w:cs="华文中宋"/>
          <w:b/>
          <w:color w:val="000000"/>
          <w:sz w:val="24"/>
        </w:rPr>
      </w:pPr>
      <w:r>
        <w:rPr>
          <w:rFonts w:hint="eastAsia" w:ascii="华文中宋" w:hAnsi="华文中宋" w:eastAsia="华文中宋" w:cs="华文中宋"/>
          <w:b/>
          <w:color w:val="000000"/>
          <w:sz w:val="24"/>
        </w:rPr>
        <w:t>11.4创新产品或创新服务明细表格式（如不涉及，此函可不提供）</w:t>
      </w:r>
    </w:p>
    <w:p w14:paraId="732934E5">
      <w:pPr>
        <w:spacing w:line="360" w:lineRule="auto"/>
        <w:jc w:val="center"/>
        <w:outlineLvl w:val="0"/>
        <w:rPr>
          <w:rFonts w:ascii="仿宋" w:hAnsi="仿宋" w:eastAsia="仿宋" w:cs="仿宋"/>
          <w:color w:val="000000"/>
          <w:sz w:val="24"/>
        </w:rPr>
      </w:pPr>
      <w:bookmarkStart w:id="174" w:name="_Toc11098"/>
      <w:r>
        <w:rPr>
          <w:rFonts w:hint="eastAsia" w:ascii="仿宋" w:hAnsi="仿宋" w:eastAsia="仿宋" w:cs="仿宋"/>
          <w:color w:val="000000"/>
          <w:sz w:val="24"/>
        </w:rPr>
        <w:t>创新产品或创新服务明细表</w:t>
      </w:r>
      <w:bookmarkEnd w:id="174"/>
    </w:p>
    <w:p w14:paraId="4D9D3FC9">
      <w:pPr>
        <w:spacing w:line="360" w:lineRule="auto"/>
        <w:rPr>
          <w:rFonts w:ascii="仿宋" w:hAnsi="仿宋" w:eastAsia="仿宋" w:cs="仿宋"/>
          <w:color w:val="000000"/>
          <w:sz w:val="24"/>
          <w:u w:val="single"/>
        </w:rPr>
      </w:pPr>
      <w:r>
        <w:rPr>
          <w:rFonts w:hint="eastAsia" w:ascii="仿宋" w:hAnsi="仿宋" w:eastAsia="仿宋" w:cs="仿宋"/>
          <w:color w:val="000000"/>
          <w:sz w:val="24"/>
        </w:rPr>
        <w:t>项目名称：</w:t>
      </w:r>
      <w:r>
        <w:rPr>
          <w:rFonts w:hint="eastAsia" w:ascii="仿宋" w:hAnsi="仿宋" w:eastAsia="仿宋" w:cs="仿宋"/>
          <w:color w:val="000000"/>
          <w:sz w:val="24"/>
          <w:u w:val="single"/>
        </w:rPr>
        <w:t xml:space="preserve">                </w:t>
      </w:r>
    </w:p>
    <w:p w14:paraId="6AEB4FF6">
      <w:pPr>
        <w:spacing w:line="360" w:lineRule="auto"/>
        <w:rPr>
          <w:rFonts w:ascii="仿宋" w:hAnsi="仿宋" w:eastAsia="仿宋" w:cs="仿宋"/>
          <w:color w:val="000000"/>
          <w:sz w:val="24"/>
          <w:u w:val="single"/>
        </w:rPr>
      </w:pPr>
      <w:r>
        <w:rPr>
          <w:rFonts w:hint="eastAsia" w:ascii="仿宋" w:hAnsi="仿宋" w:eastAsia="仿宋" w:cs="仿宋"/>
          <w:color w:val="000000"/>
          <w:sz w:val="24"/>
        </w:rPr>
        <w:t>项目编号：</w:t>
      </w:r>
      <w:r>
        <w:rPr>
          <w:rFonts w:hint="eastAsia" w:ascii="仿宋" w:hAnsi="仿宋" w:eastAsia="仿宋" w:cs="仿宋"/>
          <w:color w:val="000000"/>
          <w:sz w:val="24"/>
          <w:u w:val="single"/>
        </w:rPr>
        <w:t xml:space="preserve">                </w:t>
      </w:r>
    </w:p>
    <w:p w14:paraId="72E850A6">
      <w:pPr>
        <w:spacing w:line="360" w:lineRule="auto"/>
        <w:rPr>
          <w:rFonts w:ascii="仿宋" w:hAnsi="仿宋" w:eastAsia="仿宋" w:cs="仿宋"/>
          <w:color w:val="000000"/>
          <w:sz w:val="24"/>
        </w:rPr>
      </w:pPr>
      <w:r>
        <w:rPr>
          <w:rFonts w:hint="eastAsia" w:ascii="仿宋" w:hAnsi="仿宋" w:eastAsia="仿宋" w:cs="仿宋"/>
          <w:color w:val="000000"/>
          <w:sz w:val="24"/>
        </w:rPr>
        <w:t>供应商名称：</w:t>
      </w:r>
      <w:r>
        <w:rPr>
          <w:rFonts w:hint="eastAsia" w:ascii="仿宋" w:hAnsi="仿宋" w:eastAsia="仿宋" w:cs="仿宋"/>
          <w:color w:val="000000"/>
          <w:sz w:val="24"/>
          <w:u w:val="single"/>
        </w:rPr>
        <w:t xml:space="preserve">              </w:t>
      </w:r>
    </w:p>
    <w:p w14:paraId="18F757E1">
      <w:pPr>
        <w:spacing w:line="360" w:lineRule="auto"/>
        <w:ind w:left="8397" w:leftChars="570" w:hanging="7200" w:hangingChars="3000"/>
        <w:jc w:val="left"/>
        <w:rPr>
          <w:rFonts w:ascii="仿宋" w:hAnsi="仿宋" w:eastAsia="仿宋" w:cs="仿宋"/>
          <w:color w:val="000000"/>
          <w:sz w:val="24"/>
        </w:rPr>
      </w:pPr>
      <w:r>
        <w:rPr>
          <w:rFonts w:hint="eastAsia" w:ascii="仿宋" w:hAnsi="仿宋" w:eastAsia="仿宋" w:cs="仿宋"/>
          <w:color w:val="000000"/>
          <w:sz w:val="24"/>
        </w:rPr>
        <w:t xml:space="preserve">       　　　　　　　　　　　　　　　　　　　  货币：人民币/元</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38"/>
        <w:gridCol w:w="1054"/>
        <w:gridCol w:w="1205"/>
        <w:gridCol w:w="1358"/>
        <w:gridCol w:w="752"/>
        <w:gridCol w:w="1205"/>
        <w:gridCol w:w="1743"/>
      </w:tblGrid>
      <w:tr w14:paraId="0681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0" w:type="dxa"/>
            <w:vAlign w:val="center"/>
          </w:tcPr>
          <w:p w14:paraId="5DA1AB56">
            <w:pPr>
              <w:jc w:val="center"/>
              <w:rPr>
                <w:rFonts w:ascii="仿宋" w:hAnsi="仿宋" w:eastAsia="仿宋" w:cs="仿宋"/>
                <w:bCs/>
                <w:color w:val="000000"/>
                <w:sz w:val="24"/>
              </w:rPr>
            </w:pPr>
            <w:r>
              <w:rPr>
                <w:rFonts w:hint="eastAsia" w:ascii="仿宋" w:hAnsi="仿宋" w:eastAsia="仿宋" w:cs="仿宋"/>
                <w:bCs/>
                <w:color w:val="000000"/>
                <w:sz w:val="24"/>
              </w:rPr>
              <w:t>序号</w:t>
            </w:r>
          </w:p>
        </w:tc>
        <w:tc>
          <w:tcPr>
            <w:tcW w:w="1538" w:type="dxa"/>
            <w:vAlign w:val="center"/>
          </w:tcPr>
          <w:p w14:paraId="56976795">
            <w:pPr>
              <w:jc w:val="center"/>
              <w:rPr>
                <w:rFonts w:ascii="仿宋" w:hAnsi="仿宋" w:eastAsia="仿宋" w:cs="仿宋"/>
                <w:bCs/>
                <w:color w:val="000000"/>
                <w:sz w:val="24"/>
              </w:rPr>
            </w:pPr>
            <w:r>
              <w:rPr>
                <w:rFonts w:hint="eastAsia" w:ascii="仿宋" w:hAnsi="仿宋" w:eastAsia="仿宋" w:cs="仿宋"/>
                <w:bCs/>
                <w:color w:val="000000"/>
                <w:sz w:val="24"/>
              </w:rPr>
              <w:t>货物名称</w:t>
            </w:r>
          </w:p>
        </w:tc>
        <w:tc>
          <w:tcPr>
            <w:tcW w:w="1054" w:type="dxa"/>
            <w:vAlign w:val="center"/>
          </w:tcPr>
          <w:p w14:paraId="67D31D74">
            <w:pPr>
              <w:jc w:val="center"/>
              <w:rPr>
                <w:rFonts w:ascii="仿宋" w:hAnsi="仿宋" w:eastAsia="仿宋" w:cs="仿宋"/>
                <w:bCs/>
                <w:color w:val="000000"/>
                <w:sz w:val="24"/>
              </w:rPr>
            </w:pPr>
            <w:r>
              <w:rPr>
                <w:rFonts w:hint="eastAsia" w:ascii="仿宋" w:hAnsi="仿宋" w:eastAsia="仿宋" w:cs="仿宋"/>
                <w:bCs/>
                <w:color w:val="000000"/>
                <w:sz w:val="24"/>
              </w:rPr>
              <w:t>品牌</w:t>
            </w:r>
          </w:p>
        </w:tc>
        <w:tc>
          <w:tcPr>
            <w:tcW w:w="1205" w:type="dxa"/>
            <w:tcBorders>
              <w:bottom w:val="single" w:color="auto" w:sz="4" w:space="0"/>
            </w:tcBorders>
            <w:vAlign w:val="center"/>
          </w:tcPr>
          <w:p w14:paraId="6DCB6394">
            <w:pPr>
              <w:jc w:val="center"/>
              <w:rPr>
                <w:rFonts w:ascii="仿宋" w:hAnsi="仿宋" w:eastAsia="仿宋" w:cs="仿宋"/>
                <w:bCs/>
                <w:color w:val="000000"/>
                <w:sz w:val="24"/>
              </w:rPr>
            </w:pPr>
            <w:r>
              <w:rPr>
                <w:rFonts w:hint="eastAsia" w:ascii="仿宋" w:hAnsi="仿宋" w:eastAsia="仿宋" w:cs="仿宋"/>
                <w:bCs/>
                <w:color w:val="000000"/>
                <w:sz w:val="24"/>
              </w:rPr>
              <w:t>规格型号</w:t>
            </w:r>
          </w:p>
        </w:tc>
        <w:tc>
          <w:tcPr>
            <w:tcW w:w="1358" w:type="dxa"/>
            <w:tcBorders>
              <w:bottom w:val="single" w:color="auto" w:sz="4" w:space="0"/>
            </w:tcBorders>
            <w:vAlign w:val="center"/>
          </w:tcPr>
          <w:p w14:paraId="32A6928F">
            <w:pPr>
              <w:jc w:val="center"/>
              <w:rPr>
                <w:rFonts w:ascii="仿宋" w:hAnsi="仿宋" w:eastAsia="仿宋" w:cs="仿宋"/>
                <w:bCs/>
                <w:color w:val="000000"/>
                <w:sz w:val="24"/>
              </w:rPr>
            </w:pPr>
            <w:r>
              <w:rPr>
                <w:rFonts w:hint="eastAsia" w:ascii="仿宋" w:hAnsi="仿宋" w:eastAsia="仿宋" w:cs="仿宋"/>
                <w:bCs/>
                <w:color w:val="000000"/>
                <w:sz w:val="24"/>
              </w:rPr>
              <w:t>产地及厂家</w:t>
            </w:r>
          </w:p>
        </w:tc>
        <w:tc>
          <w:tcPr>
            <w:tcW w:w="752" w:type="dxa"/>
            <w:tcBorders>
              <w:bottom w:val="single" w:color="auto" w:sz="4" w:space="0"/>
            </w:tcBorders>
            <w:vAlign w:val="center"/>
          </w:tcPr>
          <w:p w14:paraId="0040B7B8">
            <w:pPr>
              <w:jc w:val="center"/>
              <w:rPr>
                <w:rFonts w:ascii="仿宋" w:hAnsi="仿宋" w:eastAsia="仿宋" w:cs="仿宋"/>
                <w:bCs/>
                <w:color w:val="000000"/>
                <w:sz w:val="24"/>
              </w:rPr>
            </w:pPr>
            <w:r>
              <w:rPr>
                <w:rFonts w:hint="eastAsia" w:ascii="仿宋" w:hAnsi="仿宋" w:eastAsia="仿宋" w:cs="仿宋"/>
                <w:bCs/>
                <w:color w:val="000000"/>
                <w:sz w:val="24"/>
              </w:rPr>
              <w:t>数量</w:t>
            </w:r>
          </w:p>
        </w:tc>
        <w:tc>
          <w:tcPr>
            <w:tcW w:w="1205" w:type="dxa"/>
            <w:tcBorders>
              <w:bottom w:val="single" w:color="auto" w:sz="4" w:space="0"/>
            </w:tcBorders>
            <w:vAlign w:val="center"/>
          </w:tcPr>
          <w:p w14:paraId="32D7E017">
            <w:pPr>
              <w:jc w:val="center"/>
              <w:rPr>
                <w:rFonts w:ascii="仿宋" w:hAnsi="仿宋" w:eastAsia="仿宋" w:cs="仿宋"/>
                <w:bCs/>
                <w:color w:val="000000"/>
                <w:sz w:val="24"/>
              </w:rPr>
            </w:pPr>
            <w:r>
              <w:rPr>
                <w:rFonts w:hint="eastAsia" w:ascii="仿宋" w:hAnsi="仿宋" w:eastAsia="仿宋" w:cs="仿宋"/>
                <w:bCs/>
                <w:color w:val="000000"/>
                <w:sz w:val="24"/>
              </w:rPr>
              <w:t>单价</w:t>
            </w:r>
          </w:p>
        </w:tc>
        <w:tc>
          <w:tcPr>
            <w:tcW w:w="1743" w:type="dxa"/>
            <w:tcBorders>
              <w:bottom w:val="single" w:color="auto" w:sz="4" w:space="0"/>
            </w:tcBorders>
            <w:vAlign w:val="center"/>
          </w:tcPr>
          <w:p w14:paraId="355379BB">
            <w:pPr>
              <w:jc w:val="center"/>
              <w:rPr>
                <w:rFonts w:ascii="仿宋" w:hAnsi="仿宋" w:eastAsia="仿宋" w:cs="仿宋"/>
                <w:bCs/>
                <w:color w:val="000000"/>
                <w:sz w:val="24"/>
              </w:rPr>
            </w:pPr>
            <w:r>
              <w:rPr>
                <w:rFonts w:hint="eastAsia" w:ascii="仿宋" w:hAnsi="仿宋" w:eastAsia="仿宋" w:cs="仿宋"/>
                <w:bCs/>
                <w:color w:val="000000"/>
                <w:sz w:val="24"/>
              </w:rPr>
              <w:t>总价</w:t>
            </w:r>
          </w:p>
        </w:tc>
      </w:tr>
      <w:tr w14:paraId="2485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0" w:type="dxa"/>
            <w:vAlign w:val="center"/>
          </w:tcPr>
          <w:p w14:paraId="04890BFC">
            <w:pPr>
              <w:jc w:val="center"/>
              <w:rPr>
                <w:rFonts w:ascii="仿宋" w:hAnsi="仿宋" w:eastAsia="仿宋" w:cs="仿宋"/>
                <w:bCs/>
                <w:color w:val="000000"/>
                <w:sz w:val="24"/>
              </w:rPr>
            </w:pPr>
          </w:p>
        </w:tc>
        <w:tc>
          <w:tcPr>
            <w:tcW w:w="1538" w:type="dxa"/>
            <w:vAlign w:val="center"/>
          </w:tcPr>
          <w:p w14:paraId="6A7B203A">
            <w:pPr>
              <w:jc w:val="center"/>
              <w:rPr>
                <w:rFonts w:ascii="仿宋" w:hAnsi="仿宋" w:eastAsia="仿宋" w:cs="仿宋"/>
                <w:bCs/>
                <w:color w:val="000000"/>
                <w:sz w:val="24"/>
              </w:rPr>
            </w:pPr>
          </w:p>
        </w:tc>
        <w:tc>
          <w:tcPr>
            <w:tcW w:w="1054" w:type="dxa"/>
            <w:vAlign w:val="center"/>
          </w:tcPr>
          <w:p w14:paraId="7B9507FE">
            <w:pPr>
              <w:jc w:val="center"/>
              <w:rPr>
                <w:rFonts w:ascii="仿宋" w:hAnsi="仿宋" w:eastAsia="仿宋" w:cs="仿宋"/>
                <w:bCs/>
                <w:color w:val="000000"/>
                <w:sz w:val="24"/>
              </w:rPr>
            </w:pPr>
          </w:p>
        </w:tc>
        <w:tc>
          <w:tcPr>
            <w:tcW w:w="1205" w:type="dxa"/>
            <w:tcBorders>
              <w:top w:val="single" w:color="auto" w:sz="4" w:space="0"/>
              <w:bottom w:val="single" w:color="auto" w:sz="4" w:space="0"/>
            </w:tcBorders>
            <w:vAlign w:val="center"/>
          </w:tcPr>
          <w:p w14:paraId="102C0B56">
            <w:pPr>
              <w:jc w:val="center"/>
              <w:rPr>
                <w:rFonts w:ascii="仿宋" w:hAnsi="仿宋" w:eastAsia="仿宋" w:cs="仿宋"/>
                <w:bCs/>
                <w:color w:val="000000"/>
                <w:sz w:val="24"/>
                <w:vertAlign w:val="superscript"/>
              </w:rPr>
            </w:pPr>
          </w:p>
        </w:tc>
        <w:tc>
          <w:tcPr>
            <w:tcW w:w="1358" w:type="dxa"/>
            <w:tcBorders>
              <w:top w:val="single" w:color="auto" w:sz="4" w:space="0"/>
              <w:bottom w:val="single" w:color="auto" w:sz="4" w:space="0"/>
            </w:tcBorders>
            <w:vAlign w:val="center"/>
          </w:tcPr>
          <w:p w14:paraId="0A34F495">
            <w:pPr>
              <w:jc w:val="center"/>
              <w:rPr>
                <w:rFonts w:ascii="仿宋" w:hAnsi="仿宋" w:eastAsia="仿宋" w:cs="仿宋"/>
                <w:bCs/>
                <w:color w:val="000000"/>
                <w:sz w:val="24"/>
                <w:vertAlign w:val="superscript"/>
              </w:rPr>
            </w:pPr>
          </w:p>
        </w:tc>
        <w:tc>
          <w:tcPr>
            <w:tcW w:w="752" w:type="dxa"/>
            <w:tcBorders>
              <w:top w:val="single" w:color="auto" w:sz="4" w:space="0"/>
            </w:tcBorders>
            <w:vAlign w:val="center"/>
          </w:tcPr>
          <w:p w14:paraId="489CAADE">
            <w:pPr>
              <w:jc w:val="center"/>
              <w:rPr>
                <w:rFonts w:ascii="仿宋" w:hAnsi="仿宋" w:eastAsia="仿宋" w:cs="仿宋"/>
                <w:bCs/>
                <w:color w:val="000000"/>
                <w:sz w:val="24"/>
              </w:rPr>
            </w:pPr>
          </w:p>
        </w:tc>
        <w:tc>
          <w:tcPr>
            <w:tcW w:w="1205" w:type="dxa"/>
            <w:tcBorders>
              <w:top w:val="single" w:color="auto" w:sz="4" w:space="0"/>
            </w:tcBorders>
            <w:vAlign w:val="center"/>
          </w:tcPr>
          <w:p w14:paraId="59E98EA7">
            <w:pPr>
              <w:jc w:val="center"/>
              <w:rPr>
                <w:rFonts w:ascii="仿宋" w:hAnsi="仿宋" w:eastAsia="仿宋" w:cs="仿宋"/>
                <w:bCs/>
                <w:color w:val="000000"/>
                <w:sz w:val="24"/>
              </w:rPr>
            </w:pPr>
          </w:p>
        </w:tc>
        <w:tc>
          <w:tcPr>
            <w:tcW w:w="1743" w:type="dxa"/>
            <w:tcBorders>
              <w:top w:val="single" w:color="auto" w:sz="4" w:space="0"/>
            </w:tcBorders>
            <w:vAlign w:val="center"/>
          </w:tcPr>
          <w:p w14:paraId="52400CBF">
            <w:pPr>
              <w:jc w:val="center"/>
              <w:rPr>
                <w:rFonts w:ascii="仿宋" w:hAnsi="仿宋" w:eastAsia="仿宋" w:cs="仿宋"/>
                <w:bCs/>
                <w:color w:val="000000"/>
                <w:sz w:val="24"/>
              </w:rPr>
            </w:pPr>
          </w:p>
        </w:tc>
      </w:tr>
      <w:tr w14:paraId="0448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0" w:type="dxa"/>
            <w:vAlign w:val="center"/>
          </w:tcPr>
          <w:p w14:paraId="32F23BD0">
            <w:pPr>
              <w:jc w:val="center"/>
              <w:rPr>
                <w:rFonts w:ascii="仿宋" w:hAnsi="仿宋" w:eastAsia="仿宋" w:cs="仿宋"/>
                <w:bCs/>
                <w:color w:val="000000"/>
                <w:sz w:val="24"/>
              </w:rPr>
            </w:pPr>
          </w:p>
        </w:tc>
        <w:tc>
          <w:tcPr>
            <w:tcW w:w="1538" w:type="dxa"/>
            <w:vAlign w:val="center"/>
          </w:tcPr>
          <w:p w14:paraId="5E6EC613">
            <w:pPr>
              <w:jc w:val="center"/>
              <w:rPr>
                <w:rFonts w:ascii="仿宋" w:hAnsi="仿宋" w:eastAsia="仿宋" w:cs="仿宋"/>
                <w:bCs/>
                <w:color w:val="000000"/>
                <w:sz w:val="24"/>
              </w:rPr>
            </w:pPr>
          </w:p>
        </w:tc>
        <w:tc>
          <w:tcPr>
            <w:tcW w:w="1054" w:type="dxa"/>
            <w:vAlign w:val="center"/>
          </w:tcPr>
          <w:p w14:paraId="2A2B5317">
            <w:pPr>
              <w:jc w:val="center"/>
              <w:rPr>
                <w:rFonts w:ascii="仿宋" w:hAnsi="仿宋" w:eastAsia="仿宋" w:cs="仿宋"/>
                <w:bCs/>
                <w:color w:val="000000"/>
                <w:sz w:val="24"/>
              </w:rPr>
            </w:pPr>
          </w:p>
        </w:tc>
        <w:tc>
          <w:tcPr>
            <w:tcW w:w="1205" w:type="dxa"/>
            <w:tcBorders>
              <w:top w:val="single" w:color="auto" w:sz="4" w:space="0"/>
              <w:bottom w:val="single" w:color="auto" w:sz="4" w:space="0"/>
            </w:tcBorders>
            <w:vAlign w:val="center"/>
          </w:tcPr>
          <w:p w14:paraId="34ABE605">
            <w:pPr>
              <w:jc w:val="center"/>
              <w:rPr>
                <w:rFonts w:ascii="仿宋" w:hAnsi="仿宋" w:eastAsia="仿宋" w:cs="仿宋"/>
                <w:bCs/>
                <w:color w:val="000000"/>
                <w:sz w:val="24"/>
                <w:vertAlign w:val="superscript"/>
              </w:rPr>
            </w:pPr>
          </w:p>
        </w:tc>
        <w:tc>
          <w:tcPr>
            <w:tcW w:w="1358" w:type="dxa"/>
            <w:tcBorders>
              <w:top w:val="single" w:color="auto" w:sz="4" w:space="0"/>
              <w:bottom w:val="single" w:color="auto" w:sz="4" w:space="0"/>
            </w:tcBorders>
            <w:vAlign w:val="center"/>
          </w:tcPr>
          <w:p w14:paraId="194AF9A3">
            <w:pPr>
              <w:jc w:val="center"/>
              <w:rPr>
                <w:rFonts w:ascii="仿宋" w:hAnsi="仿宋" w:eastAsia="仿宋" w:cs="仿宋"/>
                <w:bCs/>
                <w:color w:val="000000"/>
                <w:sz w:val="24"/>
                <w:vertAlign w:val="superscript"/>
              </w:rPr>
            </w:pPr>
          </w:p>
        </w:tc>
        <w:tc>
          <w:tcPr>
            <w:tcW w:w="752" w:type="dxa"/>
            <w:tcBorders>
              <w:top w:val="single" w:color="auto" w:sz="4" w:space="0"/>
            </w:tcBorders>
            <w:vAlign w:val="center"/>
          </w:tcPr>
          <w:p w14:paraId="047540D8">
            <w:pPr>
              <w:jc w:val="center"/>
              <w:rPr>
                <w:rFonts w:ascii="仿宋" w:hAnsi="仿宋" w:eastAsia="仿宋" w:cs="仿宋"/>
                <w:bCs/>
                <w:color w:val="000000"/>
                <w:sz w:val="24"/>
              </w:rPr>
            </w:pPr>
          </w:p>
        </w:tc>
        <w:tc>
          <w:tcPr>
            <w:tcW w:w="1205" w:type="dxa"/>
            <w:tcBorders>
              <w:top w:val="single" w:color="auto" w:sz="4" w:space="0"/>
            </w:tcBorders>
            <w:vAlign w:val="center"/>
          </w:tcPr>
          <w:p w14:paraId="16BBFA1A">
            <w:pPr>
              <w:jc w:val="center"/>
              <w:rPr>
                <w:rFonts w:ascii="仿宋" w:hAnsi="仿宋" w:eastAsia="仿宋" w:cs="仿宋"/>
                <w:bCs/>
                <w:color w:val="000000"/>
                <w:sz w:val="24"/>
              </w:rPr>
            </w:pPr>
          </w:p>
        </w:tc>
        <w:tc>
          <w:tcPr>
            <w:tcW w:w="1743" w:type="dxa"/>
            <w:tcBorders>
              <w:top w:val="single" w:color="auto" w:sz="4" w:space="0"/>
            </w:tcBorders>
            <w:vAlign w:val="center"/>
          </w:tcPr>
          <w:p w14:paraId="0D502F6C">
            <w:pPr>
              <w:jc w:val="center"/>
              <w:rPr>
                <w:rFonts w:ascii="仿宋" w:hAnsi="仿宋" w:eastAsia="仿宋" w:cs="仿宋"/>
                <w:bCs/>
                <w:color w:val="000000"/>
                <w:sz w:val="24"/>
              </w:rPr>
            </w:pPr>
          </w:p>
        </w:tc>
      </w:tr>
      <w:tr w14:paraId="7180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65" w:type="dxa"/>
            <w:gridSpan w:val="8"/>
            <w:vAlign w:val="center"/>
          </w:tcPr>
          <w:p w14:paraId="31482B9C">
            <w:pPr>
              <w:rPr>
                <w:rFonts w:ascii="仿宋" w:hAnsi="仿宋" w:eastAsia="仿宋" w:cs="仿宋"/>
                <w:bCs/>
                <w:color w:val="000000"/>
                <w:sz w:val="24"/>
              </w:rPr>
            </w:pPr>
            <w:r>
              <w:rPr>
                <w:rFonts w:hint="eastAsia" w:ascii="仿宋" w:hAnsi="仿宋" w:eastAsia="仿宋" w:cs="仿宋"/>
                <w:bCs/>
                <w:color w:val="000000"/>
                <w:sz w:val="24"/>
              </w:rPr>
              <w:t>创新产品或创新服务价格合计：</w:t>
            </w:r>
          </w:p>
        </w:tc>
      </w:tr>
    </w:tbl>
    <w:p w14:paraId="6CB4E11D">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 xml:space="preserve">说明： </w:t>
      </w:r>
    </w:p>
    <w:p w14:paraId="5E966AD1">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（1）响应人如实填写表格，无相应内容可填的，填写“无”、“未测试”、“没有相应指标”等明确的回答文字，或用“/”来表示。</w:t>
      </w:r>
    </w:p>
    <w:p w14:paraId="1CBF8D0C">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（2）响应人响应产品包含创新产品或创新服务，需填写此表后，提供《山西省创新产品和服务推荐清单》。</w:t>
      </w:r>
    </w:p>
    <w:p w14:paraId="1B4E5CB7">
      <w:pPr>
        <w:spacing w:line="560" w:lineRule="exact"/>
        <w:jc w:val="right"/>
        <w:rPr>
          <w:rFonts w:ascii="仿宋" w:hAnsi="仿宋" w:eastAsia="仿宋" w:cs="仿宋"/>
          <w:sz w:val="24"/>
          <w:szCs w:val="28"/>
        </w:rPr>
      </w:pPr>
      <w:r>
        <w:rPr>
          <w:rFonts w:hint="eastAsia" w:ascii="仿宋" w:hAnsi="仿宋" w:eastAsia="仿宋" w:cs="仿宋"/>
          <w:sz w:val="24"/>
          <w:szCs w:val="28"/>
        </w:rPr>
        <w:t>供应商全称（盖单位章）：</w:t>
      </w:r>
    </w:p>
    <w:p w14:paraId="738BA413">
      <w:pPr>
        <w:pStyle w:val="23"/>
        <w:jc w:val="right"/>
        <w:rPr>
          <w:rFonts w:ascii="仿宋" w:hAnsi="仿宋" w:eastAsia="仿宋" w:cs="仿宋"/>
          <w:szCs w:val="28"/>
        </w:rPr>
        <w:sectPr>
          <w:pgSz w:w="11906" w:h="16838"/>
          <w:pgMar w:top="1440" w:right="1486" w:bottom="1440" w:left="1800" w:header="851" w:footer="992" w:gutter="0"/>
          <w:pgNumType w:fmt="decimal"/>
          <w:cols w:space="720" w:num="1"/>
          <w:titlePg/>
          <w:docGrid w:type="lines" w:linePitch="312" w:charSpace="0"/>
        </w:sectPr>
      </w:pPr>
      <w:r>
        <w:rPr>
          <w:rFonts w:hint="eastAsia" w:ascii="仿宋" w:hAnsi="仿宋" w:eastAsia="仿宋" w:cs="仿宋"/>
          <w:szCs w:val="28"/>
        </w:rPr>
        <w:t>年  月  日</w:t>
      </w:r>
    </w:p>
    <w:p w14:paraId="4D8E1476">
      <w:pPr>
        <w:rPr>
          <w:rFonts w:ascii="宋体" w:hAnsi="宋体" w:cs="宋体"/>
          <w:sz w:val="24"/>
        </w:rPr>
      </w:pPr>
      <w:r>
        <w:rPr>
          <w:rFonts w:hint="eastAsia" w:ascii="宋体" w:hAnsi="宋体" w:cs="宋体"/>
          <w:sz w:val="24"/>
        </w:rPr>
        <w:t>（十二）信用查询证明材料（格式）</w:t>
      </w:r>
    </w:p>
    <w:p w14:paraId="0CB8B9E7">
      <w:pPr>
        <w:pStyle w:val="34"/>
      </w:pPr>
    </w:p>
    <w:p w14:paraId="60B97AEF">
      <w:pPr>
        <w:spacing w:line="360" w:lineRule="auto"/>
        <w:rPr>
          <w:rFonts w:ascii="仿宋" w:hAnsi="仿宋" w:eastAsia="仿宋" w:cs="仿宋"/>
          <w:sz w:val="24"/>
        </w:rPr>
      </w:pPr>
      <w:r>
        <w:rPr>
          <w:rFonts w:hint="eastAsia" w:ascii="仿宋" w:hAnsi="仿宋" w:eastAsia="仿宋" w:cs="仿宋"/>
          <w:sz w:val="24"/>
        </w:rPr>
        <w:t>1.查询渠道：</w:t>
      </w:r>
    </w:p>
    <w:p w14:paraId="06CF2B6F">
      <w:pPr>
        <w:spacing w:line="360" w:lineRule="auto"/>
        <w:rPr>
          <w:rFonts w:ascii="仿宋" w:hAnsi="仿宋" w:eastAsia="仿宋" w:cs="仿宋"/>
          <w:sz w:val="24"/>
        </w:rPr>
      </w:pPr>
      <w:r>
        <w:rPr>
          <w:rFonts w:hint="eastAsia" w:ascii="仿宋" w:hAnsi="仿宋" w:eastAsia="仿宋" w:cs="仿宋"/>
          <w:sz w:val="24"/>
        </w:rPr>
        <w:t>信用中国网站（www.creditchina.gov.cn）</w:t>
      </w:r>
    </w:p>
    <w:p w14:paraId="531314D2">
      <w:pPr>
        <w:spacing w:line="360" w:lineRule="auto"/>
        <w:rPr>
          <w:rFonts w:ascii="仿宋" w:hAnsi="仿宋" w:eastAsia="仿宋" w:cs="仿宋"/>
          <w:sz w:val="24"/>
        </w:rPr>
      </w:pPr>
      <w:r>
        <w:rPr>
          <w:rFonts w:hint="eastAsia" w:ascii="仿宋" w:hAnsi="仿宋" w:eastAsia="仿宋" w:cs="仿宋"/>
          <w:sz w:val="24"/>
        </w:rPr>
        <w:t>中国政府采购网（www.ccgp.gov.cn）</w:t>
      </w:r>
    </w:p>
    <w:p w14:paraId="0972A4F1">
      <w:pPr>
        <w:pStyle w:val="34"/>
        <w:spacing w:line="360" w:lineRule="auto"/>
        <w:rPr>
          <w:rFonts w:hint="eastAsia" w:ascii="仿宋" w:hAnsi="仿宋" w:eastAsia="仿宋" w:cs="仿宋"/>
          <w:sz w:val="24"/>
        </w:rPr>
      </w:pPr>
      <w:r>
        <w:rPr>
          <w:rFonts w:hint="eastAsia" w:ascii="仿宋" w:hAnsi="仿宋" w:eastAsia="仿宋" w:cs="仿宋"/>
          <w:sz w:val="24"/>
        </w:rPr>
        <w:t>2.查询内容：</w:t>
      </w:r>
    </w:p>
    <w:p w14:paraId="577A3657">
      <w:pPr>
        <w:pStyle w:val="34"/>
        <w:spacing w:line="360" w:lineRule="auto"/>
        <w:ind w:firstLine="480" w:firstLineChars="200"/>
        <w:rPr>
          <w:rFonts w:hint="eastAsia" w:ascii="仿宋" w:hAnsi="仿宋" w:eastAsia="仿宋" w:cs="仿宋"/>
          <w:sz w:val="24"/>
        </w:rPr>
      </w:pPr>
      <w:r>
        <w:rPr>
          <w:rFonts w:hint="eastAsia" w:ascii="仿宋" w:hAnsi="仿宋" w:eastAsia="仿宋" w:cs="仿宋"/>
          <w:sz w:val="24"/>
        </w:rPr>
        <w:t>信用中国查询：失信被执行人、重大税收违法失信主体名单、政府采购严重违法失信行为记录名单；</w:t>
      </w:r>
    </w:p>
    <w:p w14:paraId="47C384B8">
      <w:pPr>
        <w:pStyle w:val="34"/>
        <w:spacing w:line="360" w:lineRule="auto"/>
        <w:ind w:firstLine="480" w:firstLineChars="200"/>
        <w:rPr>
          <w:rFonts w:hint="eastAsia" w:ascii="仿宋" w:hAnsi="仿宋" w:eastAsia="仿宋" w:cs="仿宋"/>
          <w:sz w:val="24"/>
        </w:rPr>
      </w:pPr>
      <w:r>
        <w:rPr>
          <w:rFonts w:hint="eastAsia" w:ascii="仿宋" w:hAnsi="仿宋" w:eastAsia="仿宋" w:cs="仿宋"/>
          <w:sz w:val="24"/>
        </w:rPr>
        <w:t>中国政府采购网查询：政府采购严重违法失信行为记录名单；</w:t>
      </w:r>
    </w:p>
    <w:p w14:paraId="48755B6D">
      <w:pPr>
        <w:pStyle w:val="34"/>
        <w:spacing w:line="360" w:lineRule="auto"/>
        <w:rPr>
          <w:rFonts w:hint="eastAsia" w:ascii="仿宋" w:hAnsi="仿宋" w:eastAsia="仿宋" w:cs="仿宋"/>
          <w:sz w:val="24"/>
        </w:rPr>
      </w:pPr>
      <w:r>
        <w:rPr>
          <w:rFonts w:hint="eastAsia" w:ascii="仿宋" w:hAnsi="仿宋" w:eastAsia="仿宋" w:cs="仿宋"/>
          <w:sz w:val="24"/>
        </w:rPr>
        <w:t>3.查询结果：</w:t>
      </w:r>
    </w:p>
    <w:p w14:paraId="1EAC7564">
      <w:pPr>
        <w:pStyle w:val="34"/>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rPr>
        <w:t>以上查询结果均显示“没查到您要的信息”或没有违法记录，视为没有不良信用记录。</w:t>
      </w:r>
    </w:p>
    <w:p w14:paraId="6AA1F8A1">
      <w:pPr>
        <w:pStyle w:val="34"/>
        <w:spacing w:line="360" w:lineRule="auto"/>
        <w:rPr>
          <w:sz w:val="24"/>
          <w:szCs w:val="24"/>
        </w:rPr>
        <w:sectPr>
          <w:pgSz w:w="11906" w:h="16838"/>
          <w:pgMar w:top="1134" w:right="1417" w:bottom="1134" w:left="1417" w:header="907" w:footer="935" w:gutter="0"/>
          <w:pgNumType w:fmt="decimal"/>
          <w:cols w:space="720" w:num="1"/>
          <w:docGrid w:linePitch="317" w:charSpace="0"/>
        </w:sectPr>
      </w:pPr>
      <w:r>
        <w:rPr>
          <w:rFonts w:hint="eastAsia" w:ascii="仿宋" w:hAnsi="仿宋" w:eastAsia="仿宋" w:cs="仿宋"/>
          <w:sz w:val="24"/>
          <w:szCs w:val="24"/>
        </w:rPr>
        <w:t>注：如接受联合体投标，联合体成员存在不良信用记录的，视同联合体存在不良信用记录。</w:t>
      </w:r>
    </w:p>
    <w:p w14:paraId="4AFD49C2">
      <w:pPr>
        <w:jc w:val="center"/>
        <w:rPr>
          <w:b/>
          <w:bCs/>
          <w:sz w:val="28"/>
          <w:szCs w:val="36"/>
        </w:rPr>
      </w:pPr>
      <w:r>
        <w:rPr>
          <w:rFonts w:hint="eastAsia"/>
          <w:b/>
          <w:bCs/>
          <w:sz w:val="28"/>
          <w:szCs w:val="36"/>
        </w:rPr>
        <w:t>商务、技术文件部分</w:t>
      </w:r>
    </w:p>
    <w:p w14:paraId="5C1FFE6F">
      <w:pPr>
        <w:rPr>
          <w:rFonts w:ascii="仿宋" w:hAnsi="仿宋" w:eastAsia="仿宋" w:cs="仿宋"/>
          <w:sz w:val="24"/>
        </w:rPr>
      </w:pPr>
      <w:r>
        <w:rPr>
          <w:rFonts w:hint="eastAsia" w:ascii="仿宋" w:hAnsi="仿宋" w:eastAsia="仿宋" w:cs="仿宋"/>
          <w:sz w:val="24"/>
        </w:rPr>
        <w:t>（一）供应商情况介绍</w:t>
      </w:r>
    </w:p>
    <w:p w14:paraId="06385BFD">
      <w:pPr>
        <w:spacing w:line="560" w:lineRule="exact"/>
        <w:ind w:firstLine="480" w:firstLineChars="200"/>
        <w:rPr>
          <w:rFonts w:ascii="仿宋" w:hAnsi="仿宋" w:eastAsia="仿宋" w:cs="仿宋"/>
          <w:sz w:val="24"/>
          <w:szCs w:val="28"/>
        </w:rPr>
      </w:pPr>
      <w:r>
        <w:rPr>
          <w:rFonts w:hint="eastAsia" w:ascii="仿宋" w:hAnsi="仿宋" w:eastAsia="仿宋" w:cs="仿宋"/>
          <w:sz w:val="24"/>
          <w:szCs w:val="28"/>
        </w:rPr>
        <w:t>包括但不限于供应商技术力量、经营业绩等。格式自拟</w:t>
      </w:r>
    </w:p>
    <w:p w14:paraId="65B4CDDA">
      <w:pPr>
        <w:rPr>
          <w:rFonts w:ascii="宋体" w:hAnsi="宋体" w:cs="仿宋"/>
          <w:sz w:val="30"/>
          <w:szCs w:val="30"/>
          <w:u w:val="single"/>
        </w:rPr>
      </w:pPr>
    </w:p>
    <w:p w14:paraId="50E53C6A">
      <w:pPr>
        <w:pStyle w:val="6"/>
        <w:keepNext w:val="0"/>
        <w:keepLines w:val="0"/>
        <w:pageBreakBefore/>
        <w:spacing w:line="415" w:lineRule="auto"/>
        <w:rPr>
          <w:rFonts w:ascii="宋体" w:hAnsi="宋体" w:cs="仿宋"/>
          <w:b w:val="0"/>
          <w:szCs w:val="28"/>
        </w:rPr>
      </w:pPr>
      <w:r>
        <w:rPr>
          <w:rFonts w:hint="eastAsia" w:ascii="宋体" w:hAnsi="宋体" w:cs="仿宋"/>
          <w:b w:val="0"/>
          <w:szCs w:val="28"/>
        </w:rPr>
        <w:t>（二）类似成功案例的业绩证明</w:t>
      </w:r>
    </w:p>
    <w:p w14:paraId="6FE6EB70">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仿宋" w:hAnsi="仿宋" w:eastAsia="仿宋" w:cs="仿宋"/>
          <w:b/>
          <w:bCs/>
          <w:spacing w:val="20"/>
          <w:sz w:val="24"/>
          <w:szCs w:val="28"/>
        </w:rPr>
      </w:pPr>
      <w:r>
        <w:rPr>
          <w:rFonts w:hint="eastAsia" w:ascii="仿宋" w:hAnsi="仿宋" w:eastAsia="仿宋" w:cs="仿宋"/>
          <w:b/>
          <w:bCs/>
          <w:spacing w:val="20"/>
          <w:sz w:val="24"/>
          <w:szCs w:val="28"/>
        </w:rPr>
        <w:t>供应商同类项目实施情况表</w:t>
      </w:r>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32"/>
        <w:gridCol w:w="6654"/>
      </w:tblGrid>
      <w:tr w14:paraId="1573B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66E54D52">
            <w:pPr>
              <w:wordWrap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6E220B80">
            <w:pPr>
              <w:wordWrap w:val="0"/>
              <w:snapToGrid w:val="0"/>
              <w:spacing w:line="360" w:lineRule="auto"/>
              <w:jc w:val="center"/>
              <w:rPr>
                <w:rFonts w:hint="eastAsia" w:ascii="仿宋" w:hAnsi="仿宋" w:eastAsia="仿宋" w:cs="仿宋"/>
                <w:sz w:val="24"/>
                <w:szCs w:val="24"/>
                <w:highlight w:val="none"/>
              </w:rPr>
            </w:pPr>
          </w:p>
        </w:tc>
      </w:tr>
      <w:tr w14:paraId="06A17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450845D">
            <w:pPr>
              <w:wordWrap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项目所在地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6E7EDA3D">
            <w:pPr>
              <w:wordWrap w:val="0"/>
              <w:snapToGrid w:val="0"/>
              <w:spacing w:line="360" w:lineRule="auto"/>
              <w:jc w:val="center"/>
              <w:rPr>
                <w:rFonts w:hint="eastAsia" w:ascii="仿宋" w:hAnsi="仿宋" w:eastAsia="仿宋" w:cs="仿宋"/>
                <w:sz w:val="24"/>
                <w:szCs w:val="24"/>
                <w:highlight w:val="none"/>
              </w:rPr>
            </w:pPr>
          </w:p>
        </w:tc>
      </w:tr>
      <w:tr w14:paraId="6663A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5755AE22">
            <w:pPr>
              <w:wordWrap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名称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091D4E6">
            <w:pPr>
              <w:wordWrap w:val="0"/>
              <w:snapToGrid w:val="0"/>
              <w:spacing w:line="360" w:lineRule="auto"/>
              <w:jc w:val="center"/>
              <w:rPr>
                <w:rFonts w:hint="eastAsia" w:ascii="仿宋" w:hAnsi="仿宋" w:eastAsia="仿宋" w:cs="仿宋"/>
                <w:sz w:val="24"/>
                <w:szCs w:val="24"/>
                <w:highlight w:val="none"/>
              </w:rPr>
            </w:pPr>
          </w:p>
        </w:tc>
      </w:tr>
      <w:tr w14:paraId="41B12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1A010D8A">
            <w:pPr>
              <w:wordWrap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人地址</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3C90B00">
            <w:pPr>
              <w:wordWrap w:val="0"/>
              <w:snapToGrid w:val="0"/>
              <w:spacing w:line="360" w:lineRule="auto"/>
              <w:jc w:val="center"/>
              <w:rPr>
                <w:rFonts w:hint="eastAsia" w:ascii="仿宋" w:hAnsi="仿宋" w:eastAsia="仿宋" w:cs="仿宋"/>
                <w:sz w:val="24"/>
                <w:szCs w:val="24"/>
                <w:highlight w:val="none"/>
              </w:rPr>
            </w:pPr>
          </w:p>
        </w:tc>
      </w:tr>
      <w:tr w14:paraId="1CDB8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7211D3F8">
            <w:pPr>
              <w:wordWrap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采购人联系人及电话</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E1F2095">
            <w:pPr>
              <w:wordWrap w:val="0"/>
              <w:snapToGrid w:val="0"/>
              <w:spacing w:line="360" w:lineRule="auto"/>
              <w:jc w:val="center"/>
              <w:rPr>
                <w:rFonts w:hint="eastAsia" w:ascii="仿宋" w:hAnsi="仿宋" w:eastAsia="仿宋" w:cs="仿宋"/>
                <w:sz w:val="24"/>
                <w:szCs w:val="24"/>
                <w:highlight w:val="none"/>
              </w:rPr>
            </w:pPr>
          </w:p>
        </w:tc>
      </w:tr>
      <w:tr w14:paraId="48E8C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76A8FF30">
            <w:pPr>
              <w:wordWrap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合同签订日期</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3B415D1D">
            <w:pPr>
              <w:wordWrap w:val="0"/>
              <w:snapToGrid w:val="0"/>
              <w:spacing w:line="360" w:lineRule="auto"/>
              <w:jc w:val="center"/>
              <w:rPr>
                <w:rFonts w:hint="eastAsia" w:ascii="仿宋" w:hAnsi="仿宋" w:eastAsia="仿宋" w:cs="仿宋"/>
                <w:sz w:val="24"/>
                <w:szCs w:val="24"/>
                <w:highlight w:val="none"/>
              </w:rPr>
            </w:pPr>
          </w:p>
        </w:tc>
      </w:tr>
      <w:tr w14:paraId="2667C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44E45480">
            <w:pPr>
              <w:wordWrap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合同价格</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F599B61">
            <w:pPr>
              <w:wordWrap w:val="0"/>
              <w:snapToGrid w:val="0"/>
              <w:spacing w:line="360" w:lineRule="auto"/>
              <w:jc w:val="center"/>
              <w:rPr>
                <w:rFonts w:hint="eastAsia" w:ascii="仿宋" w:hAnsi="仿宋" w:eastAsia="仿宋" w:cs="仿宋"/>
                <w:sz w:val="24"/>
                <w:szCs w:val="24"/>
                <w:highlight w:val="none"/>
              </w:rPr>
            </w:pPr>
          </w:p>
        </w:tc>
      </w:tr>
      <w:tr w14:paraId="47566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1A3D7C9C">
            <w:pPr>
              <w:wordWrap w:val="0"/>
              <w:snapToGrid w:val="0"/>
              <w:spacing w:line="360" w:lineRule="auto"/>
              <w:jc w:val="center"/>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服务期限</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0A487DD">
            <w:pPr>
              <w:wordWrap w:val="0"/>
              <w:snapToGrid w:val="0"/>
              <w:spacing w:line="360" w:lineRule="auto"/>
              <w:jc w:val="center"/>
              <w:rPr>
                <w:rFonts w:hint="eastAsia" w:ascii="仿宋" w:hAnsi="仿宋" w:eastAsia="仿宋" w:cs="仿宋"/>
                <w:sz w:val="24"/>
                <w:szCs w:val="24"/>
                <w:highlight w:val="none"/>
              </w:rPr>
            </w:pPr>
          </w:p>
        </w:tc>
      </w:tr>
      <w:tr w14:paraId="20123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3248C7F4">
            <w:pPr>
              <w:wordWrap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内容</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228E4DB">
            <w:pPr>
              <w:wordWrap w:val="0"/>
              <w:snapToGrid w:val="0"/>
              <w:spacing w:line="360" w:lineRule="auto"/>
              <w:jc w:val="center"/>
              <w:rPr>
                <w:rFonts w:hint="eastAsia" w:ascii="仿宋" w:hAnsi="仿宋" w:eastAsia="仿宋" w:cs="仿宋"/>
                <w:sz w:val="24"/>
                <w:szCs w:val="24"/>
                <w:highlight w:val="none"/>
              </w:rPr>
            </w:pPr>
          </w:p>
        </w:tc>
      </w:tr>
      <w:tr w14:paraId="6840A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6C7E02A6">
            <w:pPr>
              <w:wordWrap w:val="0"/>
              <w:snapToGrid w:val="0"/>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项目负责人</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667200D5">
            <w:pPr>
              <w:wordWrap w:val="0"/>
              <w:snapToGrid w:val="0"/>
              <w:spacing w:line="360" w:lineRule="auto"/>
              <w:jc w:val="center"/>
              <w:rPr>
                <w:rFonts w:hint="eastAsia" w:ascii="仿宋" w:hAnsi="仿宋" w:eastAsia="仿宋" w:cs="仿宋"/>
                <w:sz w:val="24"/>
                <w:szCs w:val="24"/>
                <w:highlight w:val="none"/>
              </w:rPr>
            </w:pPr>
          </w:p>
        </w:tc>
      </w:tr>
      <w:tr w14:paraId="1CFC7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6DB713F3">
            <w:pPr>
              <w:wordWrap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1F22E17E">
            <w:pPr>
              <w:wordWrap w:val="0"/>
              <w:snapToGrid w:val="0"/>
              <w:spacing w:line="360" w:lineRule="auto"/>
              <w:jc w:val="center"/>
              <w:rPr>
                <w:rFonts w:hint="eastAsia" w:ascii="仿宋" w:hAnsi="仿宋" w:eastAsia="仿宋" w:cs="仿宋"/>
                <w:sz w:val="24"/>
                <w:szCs w:val="24"/>
                <w:highlight w:val="none"/>
              </w:rPr>
            </w:pPr>
          </w:p>
        </w:tc>
      </w:tr>
    </w:tbl>
    <w:p w14:paraId="7485948A">
      <w:pPr>
        <w:rPr>
          <w:rFonts w:ascii="仿宋" w:hAnsi="仿宋" w:eastAsia="仿宋" w:cs="仿宋"/>
          <w:sz w:val="30"/>
          <w:szCs w:val="30"/>
        </w:rPr>
      </w:pPr>
      <w:r>
        <w:rPr>
          <w:rFonts w:hint="eastAsia" w:ascii="仿宋" w:hAnsi="仿宋" w:eastAsia="仿宋" w:cs="仿宋"/>
          <w:sz w:val="22"/>
          <w:szCs w:val="22"/>
        </w:rPr>
        <w:t>备注：本表后附相关业绩证明资料扫描件，每张表格只填写一个项目，并标明序号</w:t>
      </w:r>
    </w:p>
    <w:p w14:paraId="18013966">
      <w:pPr>
        <w:rPr>
          <w:rFonts w:hint="eastAsia" w:ascii="仿宋" w:hAnsi="仿宋" w:eastAsia="仿宋" w:cs="仿宋"/>
          <w:sz w:val="24"/>
          <w:szCs w:val="30"/>
        </w:rPr>
      </w:pPr>
    </w:p>
    <w:p w14:paraId="5C00AD79">
      <w:pPr>
        <w:rPr>
          <w:rFonts w:hint="eastAsia" w:ascii="仿宋" w:hAnsi="仿宋" w:eastAsia="仿宋" w:cs="仿宋"/>
          <w:sz w:val="24"/>
          <w:szCs w:val="30"/>
        </w:rPr>
      </w:pPr>
    </w:p>
    <w:p w14:paraId="7877028F">
      <w:pPr>
        <w:rPr>
          <w:rFonts w:ascii="仿宋" w:hAnsi="仿宋" w:eastAsia="仿宋" w:cs="仿宋"/>
          <w:sz w:val="28"/>
          <w:szCs w:val="30"/>
          <w:u w:val="single"/>
        </w:rPr>
      </w:pPr>
      <w:r>
        <w:rPr>
          <w:rFonts w:hint="eastAsia" w:ascii="仿宋" w:hAnsi="仿宋" w:eastAsia="仿宋" w:cs="仿宋"/>
          <w:sz w:val="24"/>
          <w:szCs w:val="30"/>
        </w:rPr>
        <w:t>供应商全称（盖单位章）：</w:t>
      </w:r>
      <w:r>
        <w:rPr>
          <w:rFonts w:hint="eastAsia" w:ascii="仿宋" w:hAnsi="仿宋" w:eastAsia="仿宋" w:cs="仿宋"/>
          <w:sz w:val="24"/>
          <w:szCs w:val="30"/>
          <w:u w:val="single"/>
        </w:rPr>
        <w:t xml:space="preserve">          </w:t>
      </w:r>
      <w:r>
        <w:rPr>
          <w:rFonts w:hint="eastAsia" w:ascii="仿宋" w:hAnsi="仿宋" w:eastAsia="仿宋" w:cs="仿宋"/>
          <w:sz w:val="24"/>
          <w:szCs w:val="30"/>
        </w:rPr>
        <w:t xml:space="preserve">    日期：</w:t>
      </w:r>
      <w:r>
        <w:rPr>
          <w:rFonts w:hint="eastAsia" w:ascii="仿宋" w:hAnsi="仿宋" w:eastAsia="仿宋" w:cs="仿宋"/>
          <w:sz w:val="24"/>
          <w:szCs w:val="30"/>
          <w:u w:val="single"/>
        </w:rPr>
        <w:t xml:space="preserve"> </w:t>
      </w:r>
      <w:r>
        <w:rPr>
          <w:rFonts w:hint="eastAsia" w:ascii="仿宋" w:hAnsi="仿宋" w:eastAsia="仿宋" w:cs="仿宋"/>
          <w:sz w:val="28"/>
          <w:szCs w:val="30"/>
          <w:u w:val="single"/>
        </w:rPr>
        <w:t xml:space="preserve">       </w:t>
      </w:r>
    </w:p>
    <w:p w14:paraId="584DB04D">
      <w:pPr>
        <w:pStyle w:val="6"/>
        <w:keepNext w:val="0"/>
        <w:keepLines w:val="0"/>
        <w:pageBreakBefore/>
        <w:spacing w:line="415" w:lineRule="auto"/>
        <w:rPr>
          <w:rFonts w:ascii="宋体" w:hAnsi="宋体" w:cs="仿宋"/>
          <w:b w:val="0"/>
          <w:szCs w:val="28"/>
        </w:rPr>
      </w:pPr>
      <w:r>
        <w:rPr>
          <w:rFonts w:hint="eastAsia" w:ascii="宋体" w:hAnsi="宋体" w:cs="仿宋"/>
          <w:b w:val="0"/>
          <w:szCs w:val="28"/>
        </w:rPr>
        <w:t>（三）商务响应表</w:t>
      </w:r>
    </w:p>
    <w:p w14:paraId="3044CB0D">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仿宋" w:hAnsi="仿宋" w:eastAsia="仿宋" w:cs="仿宋"/>
          <w:b/>
          <w:bCs/>
          <w:spacing w:val="20"/>
          <w:sz w:val="24"/>
          <w:szCs w:val="28"/>
        </w:rPr>
      </w:pPr>
      <w:r>
        <w:rPr>
          <w:rFonts w:hint="eastAsia" w:ascii="仿宋" w:hAnsi="仿宋" w:eastAsia="仿宋" w:cs="仿宋"/>
          <w:b/>
          <w:bCs/>
          <w:spacing w:val="20"/>
          <w:sz w:val="24"/>
          <w:szCs w:val="28"/>
        </w:rPr>
        <w:t>商务响应表</w:t>
      </w:r>
    </w:p>
    <w:p w14:paraId="083F84D8">
      <w:pPr>
        <w:widowControl/>
        <w:wordWrap w:val="0"/>
        <w:topLinePunct/>
        <w:spacing w:line="360" w:lineRule="auto"/>
        <w:rPr>
          <w:rFonts w:ascii="仿宋" w:hAnsi="仿宋" w:eastAsia="仿宋" w:cs="仿宋"/>
          <w:sz w:val="28"/>
          <w:szCs w:val="28"/>
        </w:rPr>
      </w:pPr>
      <w:r>
        <w:rPr>
          <w:rFonts w:hint="eastAsia" w:ascii="仿宋" w:hAnsi="仿宋" w:eastAsia="仿宋" w:cs="仿宋"/>
          <w:sz w:val="28"/>
          <w:szCs w:val="28"/>
        </w:rPr>
        <w:t xml:space="preserve">项目名称： </w:t>
      </w:r>
      <w:r>
        <w:rPr>
          <w:rFonts w:hint="eastAsia" w:ascii="仿宋" w:hAnsi="仿宋" w:eastAsia="仿宋" w:cs="仿宋"/>
          <w:sz w:val="28"/>
          <w:szCs w:val="28"/>
          <w:u w:val="single"/>
        </w:rPr>
        <w:t xml:space="preserve">                                      </w:t>
      </w:r>
    </w:p>
    <w:p w14:paraId="4506C8FC">
      <w:pPr>
        <w:widowControl/>
        <w:wordWrap w:val="0"/>
        <w:topLinePunct/>
        <w:spacing w:line="360" w:lineRule="auto"/>
        <w:rPr>
          <w:rFonts w:ascii="仿宋" w:hAnsi="仿宋" w:eastAsia="仿宋" w:cs="仿宋"/>
          <w:sz w:val="28"/>
          <w:szCs w:val="28"/>
          <w:u w:val="single"/>
        </w:rPr>
      </w:pPr>
      <w:r>
        <w:rPr>
          <w:rFonts w:hint="eastAsia" w:ascii="仿宋" w:hAnsi="仿宋" w:eastAsia="仿宋" w:cs="仿宋"/>
          <w:sz w:val="28"/>
          <w:szCs w:val="28"/>
        </w:rPr>
        <w:t xml:space="preserve">项目编号： </w:t>
      </w:r>
      <w:r>
        <w:rPr>
          <w:rFonts w:hint="eastAsia" w:ascii="仿宋" w:hAnsi="仿宋" w:eastAsia="仿宋" w:cs="仿宋"/>
          <w:sz w:val="28"/>
          <w:szCs w:val="28"/>
          <w:u w:val="single"/>
        </w:rPr>
        <w:t xml:space="preserve">                                      </w:t>
      </w:r>
    </w:p>
    <w:p w14:paraId="5403CC59">
      <w:pPr>
        <w:pStyle w:val="5"/>
        <w:rPr>
          <w:rFonts w:ascii="仿宋" w:hAnsi="仿宋" w:eastAsia="仿宋" w:cs="仿宋"/>
          <w:sz w:val="28"/>
          <w:szCs w:val="28"/>
          <w:u w:val="single"/>
        </w:rPr>
      </w:pPr>
      <w:r>
        <w:rPr>
          <w:rFonts w:hint="eastAsia" w:ascii="仿宋" w:hAnsi="仿宋" w:eastAsia="仿宋" w:cs="仿宋"/>
          <w:b w:val="0"/>
          <w:bCs/>
          <w:sz w:val="28"/>
          <w:szCs w:val="28"/>
        </w:rPr>
        <w:t>供应商名称：</w:t>
      </w:r>
      <w:r>
        <w:rPr>
          <w:rFonts w:hint="eastAsia" w:ascii="仿宋" w:hAnsi="仿宋" w:eastAsia="仿宋" w:cs="仿宋"/>
          <w:sz w:val="28"/>
          <w:szCs w:val="28"/>
          <w:u w:val="single"/>
        </w:rPr>
        <w:t xml:space="preserve">                                     </w:t>
      </w:r>
    </w:p>
    <w:p w14:paraId="220EF7CB">
      <w:pPr>
        <w:rPr>
          <w:rFonts w:ascii="仿宋" w:hAnsi="仿宋" w:eastAsia="仿宋" w:cs="仿宋"/>
        </w:rPr>
      </w:pPr>
    </w:p>
    <w:tbl>
      <w:tblPr>
        <w:tblStyle w:val="3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4"/>
        <w:gridCol w:w="2700"/>
        <w:gridCol w:w="1260"/>
        <w:gridCol w:w="3020"/>
      </w:tblGrid>
      <w:tr w14:paraId="55F9E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4" w:type="dxa"/>
            <w:tcBorders>
              <w:top w:val="single" w:color="auto" w:sz="4" w:space="0"/>
              <w:left w:val="single" w:color="auto" w:sz="4" w:space="0"/>
              <w:bottom w:val="single" w:color="auto" w:sz="4" w:space="0"/>
              <w:right w:val="single" w:color="auto" w:sz="4" w:space="0"/>
            </w:tcBorders>
            <w:vAlign w:val="center"/>
          </w:tcPr>
          <w:p w14:paraId="00F339AF">
            <w:pPr>
              <w:rPr>
                <w:rFonts w:ascii="仿宋" w:hAnsi="仿宋" w:eastAsia="仿宋" w:cs="仿宋"/>
                <w:sz w:val="24"/>
                <w:szCs w:val="30"/>
              </w:rPr>
            </w:pPr>
            <w:r>
              <w:rPr>
                <w:rFonts w:hint="eastAsia" w:ascii="仿宋" w:hAnsi="仿宋" w:eastAsia="仿宋" w:cs="仿宋"/>
                <w:sz w:val="24"/>
                <w:szCs w:val="30"/>
              </w:rPr>
              <w:t>项目</w:t>
            </w:r>
          </w:p>
        </w:tc>
        <w:tc>
          <w:tcPr>
            <w:tcW w:w="2700" w:type="dxa"/>
            <w:tcBorders>
              <w:top w:val="single" w:color="auto" w:sz="4" w:space="0"/>
              <w:left w:val="single" w:color="auto" w:sz="4" w:space="0"/>
              <w:bottom w:val="single" w:color="auto" w:sz="4" w:space="0"/>
              <w:right w:val="single" w:color="auto" w:sz="4" w:space="0"/>
            </w:tcBorders>
            <w:vAlign w:val="center"/>
          </w:tcPr>
          <w:p w14:paraId="2E51A7B2">
            <w:pPr>
              <w:rPr>
                <w:rFonts w:ascii="仿宋" w:hAnsi="仿宋" w:eastAsia="仿宋" w:cs="仿宋"/>
                <w:sz w:val="24"/>
                <w:szCs w:val="30"/>
              </w:rPr>
            </w:pPr>
            <w:r>
              <w:rPr>
                <w:rFonts w:hint="eastAsia" w:ascii="仿宋" w:hAnsi="仿宋" w:eastAsia="仿宋" w:cs="仿宋"/>
                <w:sz w:val="24"/>
                <w:szCs w:val="30"/>
              </w:rPr>
              <w:t>磋商文件要求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36609123">
            <w:pPr>
              <w:rPr>
                <w:rFonts w:ascii="仿宋" w:hAnsi="仿宋" w:eastAsia="仿宋" w:cs="仿宋"/>
                <w:sz w:val="24"/>
                <w:szCs w:val="30"/>
              </w:rPr>
            </w:pPr>
            <w:r>
              <w:rPr>
                <w:rFonts w:hint="eastAsia" w:ascii="仿宋" w:hAnsi="仿宋" w:eastAsia="仿宋" w:cs="仿宋"/>
                <w:sz w:val="24"/>
                <w:szCs w:val="30"/>
              </w:rPr>
              <w:t>是否响应</w:t>
            </w:r>
          </w:p>
        </w:tc>
        <w:tc>
          <w:tcPr>
            <w:tcW w:w="3020" w:type="dxa"/>
            <w:tcBorders>
              <w:top w:val="single" w:color="auto" w:sz="4" w:space="0"/>
              <w:left w:val="single" w:color="auto" w:sz="4" w:space="0"/>
              <w:bottom w:val="single" w:color="auto" w:sz="4" w:space="0"/>
              <w:right w:val="single" w:color="auto" w:sz="4" w:space="0"/>
            </w:tcBorders>
            <w:vAlign w:val="center"/>
          </w:tcPr>
          <w:p w14:paraId="47001B78">
            <w:pPr>
              <w:rPr>
                <w:rFonts w:ascii="仿宋" w:hAnsi="仿宋" w:eastAsia="仿宋" w:cs="仿宋"/>
                <w:sz w:val="24"/>
                <w:szCs w:val="30"/>
              </w:rPr>
            </w:pPr>
            <w:r>
              <w:rPr>
                <w:rFonts w:hint="eastAsia" w:ascii="仿宋" w:hAnsi="仿宋" w:eastAsia="仿宋" w:cs="仿宋"/>
                <w:sz w:val="24"/>
                <w:szCs w:val="30"/>
              </w:rPr>
              <w:t>供应商的承诺或说明</w:t>
            </w:r>
          </w:p>
        </w:tc>
      </w:tr>
      <w:tr w14:paraId="08545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071BFBBE">
            <w:pPr>
              <w:rPr>
                <w:rFonts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03876DD9">
            <w:pPr>
              <w:rPr>
                <w:rFonts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06D4AA2A">
            <w:pPr>
              <w:rPr>
                <w:rFonts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4F948152">
            <w:pPr>
              <w:rPr>
                <w:rFonts w:ascii="仿宋" w:hAnsi="仿宋" w:eastAsia="仿宋" w:cs="仿宋"/>
                <w:sz w:val="24"/>
                <w:szCs w:val="30"/>
              </w:rPr>
            </w:pPr>
          </w:p>
        </w:tc>
      </w:tr>
      <w:tr w14:paraId="441138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4771D3D0">
            <w:pPr>
              <w:rPr>
                <w:rFonts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3D79CB54">
            <w:pPr>
              <w:rPr>
                <w:rFonts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3A807724">
            <w:pPr>
              <w:rPr>
                <w:rFonts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4E87EDC8">
            <w:pPr>
              <w:rPr>
                <w:rFonts w:ascii="仿宋" w:hAnsi="仿宋" w:eastAsia="仿宋" w:cs="仿宋"/>
                <w:sz w:val="24"/>
                <w:szCs w:val="30"/>
              </w:rPr>
            </w:pPr>
          </w:p>
        </w:tc>
      </w:tr>
      <w:tr w14:paraId="1BC5D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49DAD4ED">
            <w:pPr>
              <w:rPr>
                <w:rFonts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2DBC0931">
            <w:pPr>
              <w:rPr>
                <w:rFonts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0683DD80">
            <w:pPr>
              <w:rPr>
                <w:rFonts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257967DE">
            <w:pPr>
              <w:rPr>
                <w:rFonts w:ascii="仿宋" w:hAnsi="仿宋" w:eastAsia="仿宋" w:cs="仿宋"/>
                <w:sz w:val="24"/>
                <w:szCs w:val="30"/>
              </w:rPr>
            </w:pPr>
          </w:p>
        </w:tc>
      </w:tr>
      <w:tr w14:paraId="6BDF1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79CAFF89">
            <w:pPr>
              <w:rPr>
                <w:rFonts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1D2ADED4">
            <w:pPr>
              <w:rPr>
                <w:rFonts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48A89EB9">
            <w:pPr>
              <w:rPr>
                <w:rFonts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6907DA0E">
            <w:pPr>
              <w:rPr>
                <w:rFonts w:ascii="仿宋" w:hAnsi="仿宋" w:eastAsia="仿宋" w:cs="仿宋"/>
                <w:sz w:val="24"/>
                <w:szCs w:val="30"/>
              </w:rPr>
            </w:pPr>
          </w:p>
        </w:tc>
      </w:tr>
      <w:tr w14:paraId="3A1FA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0C0AB78F">
            <w:pPr>
              <w:rPr>
                <w:rFonts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4CCBAA15">
            <w:pPr>
              <w:rPr>
                <w:rFonts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538091B7">
            <w:pPr>
              <w:rPr>
                <w:rFonts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1C4A846F">
            <w:pPr>
              <w:rPr>
                <w:rFonts w:ascii="仿宋" w:hAnsi="仿宋" w:eastAsia="仿宋" w:cs="仿宋"/>
                <w:sz w:val="24"/>
                <w:szCs w:val="30"/>
              </w:rPr>
            </w:pPr>
          </w:p>
        </w:tc>
      </w:tr>
      <w:tr w14:paraId="4604D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151B035F">
            <w:pPr>
              <w:rPr>
                <w:rFonts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26F31795">
            <w:pPr>
              <w:rPr>
                <w:rFonts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09723744">
            <w:pPr>
              <w:rPr>
                <w:rFonts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1BEE8844">
            <w:pPr>
              <w:rPr>
                <w:rFonts w:ascii="仿宋" w:hAnsi="仿宋" w:eastAsia="仿宋" w:cs="仿宋"/>
                <w:sz w:val="24"/>
                <w:szCs w:val="30"/>
              </w:rPr>
            </w:pPr>
          </w:p>
        </w:tc>
      </w:tr>
      <w:tr w14:paraId="31B8B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5D38E10A">
            <w:pPr>
              <w:rPr>
                <w:rFonts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4C6F3F8B">
            <w:pPr>
              <w:rPr>
                <w:rFonts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2AC3BF30">
            <w:pPr>
              <w:rPr>
                <w:rFonts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5B8DD2E0">
            <w:pPr>
              <w:rPr>
                <w:rFonts w:ascii="仿宋" w:hAnsi="仿宋" w:eastAsia="仿宋" w:cs="仿宋"/>
                <w:sz w:val="24"/>
                <w:szCs w:val="30"/>
              </w:rPr>
            </w:pPr>
          </w:p>
        </w:tc>
      </w:tr>
      <w:tr w14:paraId="04264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0276CDB6">
            <w:pPr>
              <w:rPr>
                <w:rFonts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16C37182">
            <w:pPr>
              <w:rPr>
                <w:rFonts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4C632DAD">
            <w:pPr>
              <w:rPr>
                <w:rFonts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2E143A46">
            <w:pPr>
              <w:rPr>
                <w:rFonts w:ascii="仿宋" w:hAnsi="仿宋" w:eastAsia="仿宋" w:cs="仿宋"/>
                <w:sz w:val="24"/>
                <w:szCs w:val="30"/>
              </w:rPr>
            </w:pPr>
          </w:p>
        </w:tc>
      </w:tr>
      <w:tr w14:paraId="5B6DD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7C1E09F2">
            <w:pPr>
              <w:rPr>
                <w:rFonts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7EF9BEBA">
            <w:pPr>
              <w:rPr>
                <w:rFonts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7690FDBA">
            <w:pPr>
              <w:rPr>
                <w:rFonts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48A19732">
            <w:pPr>
              <w:rPr>
                <w:rFonts w:ascii="仿宋" w:hAnsi="仿宋" w:eastAsia="仿宋" w:cs="仿宋"/>
                <w:sz w:val="24"/>
                <w:szCs w:val="30"/>
              </w:rPr>
            </w:pPr>
          </w:p>
        </w:tc>
      </w:tr>
      <w:tr w14:paraId="031A1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37929028">
            <w:pPr>
              <w:rPr>
                <w:rFonts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324D2B88">
            <w:pPr>
              <w:rPr>
                <w:rFonts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26584A1E">
            <w:pPr>
              <w:rPr>
                <w:rFonts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4E4D7F6E">
            <w:pPr>
              <w:rPr>
                <w:rFonts w:ascii="仿宋" w:hAnsi="仿宋" w:eastAsia="仿宋" w:cs="仿宋"/>
                <w:sz w:val="24"/>
                <w:szCs w:val="30"/>
              </w:rPr>
            </w:pPr>
          </w:p>
        </w:tc>
      </w:tr>
    </w:tbl>
    <w:p w14:paraId="6F34F57C">
      <w:pPr>
        <w:rPr>
          <w:rFonts w:ascii="仿宋" w:hAnsi="仿宋" w:eastAsia="仿宋" w:cs="仿宋"/>
          <w:sz w:val="24"/>
          <w:szCs w:val="30"/>
        </w:rPr>
      </w:pPr>
    </w:p>
    <w:p w14:paraId="4760AF73">
      <w:pPr>
        <w:rPr>
          <w:rFonts w:ascii="仿宋" w:hAnsi="仿宋" w:eastAsia="仿宋" w:cs="仿宋"/>
          <w:sz w:val="28"/>
          <w:szCs w:val="30"/>
          <w:u w:val="single"/>
        </w:rPr>
      </w:pPr>
      <w:r>
        <w:rPr>
          <w:rFonts w:hint="eastAsia" w:ascii="仿宋" w:hAnsi="仿宋" w:eastAsia="仿宋" w:cs="仿宋"/>
          <w:sz w:val="24"/>
          <w:szCs w:val="30"/>
        </w:rPr>
        <w:t>供应商全称（盖单位章）：</w:t>
      </w:r>
      <w:r>
        <w:rPr>
          <w:rFonts w:hint="eastAsia" w:ascii="仿宋" w:hAnsi="仿宋" w:eastAsia="仿宋" w:cs="仿宋"/>
          <w:sz w:val="24"/>
          <w:szCs w:val="30"/>
          <w:u w:val="single"/>
        </w:rPr>
        <w:t xml:space="preserve">        </w:t>
      </w:r>
      <w:r>
        <w:rPr>
          <w:rFonts w:hint="eastAsia" w:ascii="仿宋" w:hAnsi="仿宋" w:eastAsia="仿宋" w:cs="仿宋"/>
          <w:sz w:val="24"/>
          <w:szCs w:val="30"/>
        </w:rPr>
        <w:t xml:space="preserve">    日  期：</w:t>
      </w:r>
      <w:r>
        <w:rPr>
          <w:rFonts w:hint="eastAsia" w:ascii="仿宋" w:hAnsi="仿宋" w:eastAsia="仿宋" w:cs="仿宋"/>
          <w:sz w:val="24"/>
          <w:szCs w:val="30"/>
          <w:u w:val="single"/>
        </w:rPr>
        <w:t xml:space="preserve">        </w:t>
      </w:r>
      <w:r>
        <w:rPr>
          <w:rFonts w:hint="eastAsia" w:ascii="仿宋" w:hAnsi="仿宋" w:eastAsia="仿宋" w:cs="仿宋"/>
          <w:sz w:val="28"/>
          <w:szCs w:val="30"/>
          <w:u w:val="single"/>
        </w:rPr>
        <w:t xml:space="preserve"> </w:t>
      </w:r>
    </w:p>
    <w:p w14:paraId="26DEDFB1">
      <w:pPr>
        <w:rPr>
          <w:rFonts w:ascii="宋体" w:hAnsi="宋体" w:cs="仿宋"/>
          <w:b/>
          <w:bCs/>
          <w:sz w:val="30"/>
          <w:szCs w:val="30"/>
        </w:rPr>
      </w:pPr>
    </w:p>
    <w:p w14:paraId="53D1E650">
      <w:pPr>
        <w:rPr>
          <w:rFonts w:ascii="宋体" w:hAnsi="宋体" w:cs="仿宋"/>
          <w:b/>
          <w:bCs/>
          <w:sz w:val="30"/>
          <w:szCs w:val="30"/>
        </w:rPr>
      </w:pPr>
    </w:p>
    <w:p w14:paraId="0C90A7C1">
      <w:pPr>
        <w:rPr>
          <w:rFonts w:ascii="宋体" w:hAnsi="宋体" w:cs="仿宋"/>
          <w:b/>
          <w:bCs/>
          <w:sz w:val="30"/>
          <w:szCs w:val="30"/>
        </w:rPr>
      </w:pPr>
    </w:p>
    <w:p w14:paraId="6C633C13">
      <w:pPr>
        <w:pStyle w:val="6"/>
        <w:keepNext w:val="0"/>
        <w:keepLines w:val="0"/>
        <w:pageBreakBefore/>
        <w:spacing w:line="415" w:lineRule="auto"/>
        <w:rPr>
          <w:rFonts w:ascii="宋体" w:hAnsi="宋体" w:cs="仿宋"/>
          <w:b w:val="0"/>
          <w:szCs w:val="28"/>
        </w:rPr>
      </w:pPr>
      <w:r>
        <w:rPr>
          <w:rFonts w:hint="eastAsia" w:ascii="宋体" w:hAnsi="宋体" w:cs="仿宋"/>
          <w:b w:val="0"/>
          <w:szCs w:val="28"/>
        </w:rPr>
        <w:t>（四）实施方案；</w:t>
      </w:r>
    </w:p>
    <w:p w14:paraId="3105715F">
      <w:pPr>
        <w:spacing w:line="480" w:lineRule="auto"/>
        <w:ind w:firstLine="480" w:firstLineChars="200"/>
        <w:rPr>
          <w:rFonts w:ascii="仿宋" w:hAnsi="仿宋" w:eastAsia="仿宋" w:cs="仿宋"/>
          <w:kern w:val="0"/>
          <w:sz w:val="24"/>
        </w:rPr>
      </w:pPr>
      <w:r>
        <w:rPr>
          <w:rFonts w:hint="eastAsia" w:ascii="仿宋" w:hAnsi="仿宋" w:eastAsia="仿宋" w:cs="仿宋"/>
          <w:sz w:val="24"/>
          <w:szCs w:val="32"/>
        </w:rPr>
        <w:t>根据评分标准和商务技术要求编写，格式自拟</w:t>
      </w:r>
      <w:r>
        <w:rPr>
          <w:rFonts w:hint="eastAsia" w:ascii="仿宋" w:hAnsi="仿宋" w:eastAsia="仿宋" w:cs="仿宋"/>
          <w:kern w:val="0"/>
          <w:sz w:val="24"/>
        </w:rPr>
        <w:t>。</w:t>
      </w:r>
    </w:p>
    <w:p w14:paraId="011F429D">
      <w:pPr>
        <w:pStyle w:val="15"/>
        <w:tabs>
          <w:tab w:val="left" w:pos="2625"/>
        </w:tabs>
        <w:spacing w:line="480" w:lineRule="auto"/>
        <w:ind w:left="4410"/>
        <w:rPr>
          <w:rFonts w:ascii="仿宋" w:hAnsi="仿宋" w:eastAsia="仿宋" w:cs="仿宋"/>
          <w:bCs/>
          <w:color w:val="000000"/>
          <w:sz w:val="24"/>
        </w:rPr>
        <w:sectPr>
          <w:pgSz w:w="11906" w:h="16838"/>
          <w:pgMar w:top="1418" w:right="1418" w:bottom="1418" w:left="1361" w:header="936" w:footer="845" w:gutter="0"/>
          <w:pgNumType w:fmt="decimal"/>
          <w:cols w:space="720" w:num="1"/>
          <w:docGrid w:type="lines" w:linePitch="312" w:charSpace="0"/>
        </w:sectPr>
      </w:pPr>
    </w:p>
    <w:p w14:paraId="7CD70206">
      <w:pPr>
        <w:pStyle w:val="6"/>
        <w:keepNext w:val="0"/>
        <w:keepLines w:val="0"/>
        <w:pageBreakBefore/>
        <w:spacing w:line="415" w:lineRule="auto"/>
        <w:rPr>
          <w:rFonts w:ascii="宋体" w:hAnsi="宋体" w:cs="仿宋"/>
          <w:b w:val="0"/>
          <w:szCs w:val="28"/>
        </w:rPr>
      </w:pPr>
      <w:r>
        <w:rPr>
          <w:rFonts w:hint="eastAsia" w:ascii="宋体" w:hAnsi="宋体" w:cs="仿宋"/>
          <w:b w:val="0"/>
          <w:szCs w:val="28"/>
        </w:rPr>
        <w:t>（五）技术响应表</w:t>
      </w:r>
    </w:p>
    <w:p w14:paraId="54691675">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仿宋" w:hAnsi="仿宋" w:eastAsia="仿宋" w:cs="仿宋"/>
          <w:b/>
          <w:bCs/>
          <w:spacing w:val="20"/>
          <w:sz w:val="24"/>
        </w:rPr>
      </w:pPr>
      <w:r>
        <w:rPr>
          <w:rFonts w:hint="eastAsia" w:ascii="仿宋" w:hAnsi="仿宋" w:eastAsia="仿宋" w:cs="仿宋"/>
          <w:b/>
          <w:bCs/>
          <w:spacing w:val="20"/>
          <w:sz w:val="24"/>
        </w:rPr>
        <w:t>技 术 响 应 表</w:t>
      </w:r>
    </w:p>
    <w:p w14:paraId="3A9E6C4B">
      <w:pPr>
        <w:widowControl/>
        <w:wordWrap w:val="0"/>
        <w:topLinePunct/>
        <w:spacing w:line="360" w:lineRule="auto"/>
        <w:rPr>
          <w:rFonts w:ascii="仿宋" w:hAnsi="仿宋" w:eastAsia="仿宋" w:cs="仿宋"/>
          <w:sz w:val="24"/>
        </w:rPr>
      </w:pPr>
      <w:r>
        <w:rPr>
          <w:rFonts w:hint="eastAsia" w:ascii="仿宋" w:hAnsi="仿宋" w:eastAsia="仿宋" w:cs="仿宋"/>
          <w:sz w:val="24"/>
        </w:rPr>
        <w:t xml:space="preserve">项目名称： </w:t>
      </w:r>
      <w:r>
        <w:rPr>
          <w:rFonts w:hint="eastAsia" w:ascii="仿宋" w:hAnsi="仿宋" w:eastAsia="仿宋" w:cs="仿宋"/>
          <w:sz w:val="24"/>
          <w:u w:val="single"/>
        </w:rPr>
        <w:t xml:space="preserve">                                      </w:t>
      </w:r>
    </w:p>
    <w:p w14:paraId="5689A4BA">
      <w:pPr>
        <w:widowControl/>
        <w:wordWrap w:val="0"/>
        <w:topLinePunct/>
        <w:spacing w:line="360" w:lineRule="auto"/>
        <w:rPr>
          <w:rFonts w:ascii="仿宋" w:hAnsi="仿宋" w:eastAsia="仿宋" w:cs="仿宋"/>
          <w:sz w:val="24"/>
          <w:u w:val="single"/>
        </w:rPr>
      </w:pPr>
      <w:r>
        <w:rPr>
          <w:rFonts w:hint="eastAsia" w:ascii="仿宋" w:hAnsi="仿宋" w:eastAsia="仿宋" w:cs="仿宋"/>
          <w:sz w:val="24"/>
        </w:rPr>
        <w:t xml:space="preserve">项目编号： </w:t>
      </w:r>
      <w:r>
        <w:rPr>
          <w:rFonts w:hint="eastAsia" w:ascii="仿宋" w:hAnsi="仿宋" w:eastAsia="仿宋" w:cs="仿宋"/>
          <w:sz w:val="24"/>
          <w:u w:val="single"/>
        </w:rPr>
        <w:t xml:space="preserve">                                      </w:t>
      </w:r>
    </w:p>
    <w:p w14:paraId="36C060CB">
      <w:pPr>
        <w:widowControl/>
        <w:wordWrap w:val="0"/>
        <w:topLinePunct/>
        <w:spacing w:line="360" w:lineRule="auto"/>
        <w:rPr>
          <w:rFonts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p>
    <w:p w14:paraId="7227023A">
      <w:pPr>
        <w:jc w:val="left"/>
        <w:rPr>
          <w:rFonts w:ascii="仿宋" w:hAnsi="仿宋" w:eastAsia="仿宋" w:cs="仿宋"/>
          <w:sz w:val="24"/>
          <w:u w:val="single"/>
        </w:rPr>
      </w:pPr>
    </w:p>
    <w:tbl>
      <w:tblPr>
        <w:tblStyle w:val="3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356"/>
        <w:gridCol w:w="2970"/>
        <w:gridCol w:w="2510"/>
      </w:tblGrid>
      <w:tr w14:paraId="468D6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1899" w:type="pct"/>
            <w:tcBorders>
              <w:top w:val="single" w:color="auto" w:sz="4" w:space="0"/>
              <w:left w:val="single" w:color="auto" w:sz="4" w:space="0"/>
              <w:bottom w:val="single" w:color="auto" w:sz="4" w:space="0"/>
              <w:right w:val="single" w:color="auto" w:sz="4" w:space="0"/>
            </w:tcBorders>
            <w:vAlign w:val="center"/>
          </w:tcPr>
          <w:p w14:paraId="52CD9FCC">
            <w:pPr>
              <w:jc w:val="center"/>
              <w:rPr>
                <w:rFonts w:ascii="仿宋" w:hAnsi="仿宋" w:eastAsia="仿宋" w:cs="仿宋"/>
                <w:sz w:val="24"/>
              </w:rPr>
            </w:pPr>
            <w:r>
              <w:rPr>
                <w:rFonts w:hint="eastAsia" w:ascii="仿宋" w:hAnsi="仿宋" w:eastAsia="仿宋" w:cs="仿宋"/>
                <w:sz w:val="24"/>
              </w:rPr>
              <w:t>磋商文件要求</w:t>
            </w:r>
          </w:p>
        </w:tc>
        <w:tc>
          <w:tcPr>
            <w:tcW w:w="1680" w:type="pct"/>
            <w:tcBorders>
              <w:top w:val="single" w:color="auto" w:sz="4" w:space="0"/>
              <w:left w:val="single" w:color="auto" w:sz="4" w:space="0"/>
              <w:bottom w:val="single" w:color="auto" w:sz="4" w:space="0"/>
              <w:right w:val="single" w:color="auto" w:sz="4" w:space="0"/>
            </w:tcBorders>
            <w:vAlign w:val="center"/>
          </w:tcPr>
          <w:p w14:paraId="603A744E">
            <w:pPr>
              <w:jc w:val="center"/>
              <w:rPr>
                <w:rFonts w:ascii="仿宋" w:hAnsi="仿宋" w:eastAsia="仿宋" w:cs="仿宋"/>
                <w:sz w:val="24"/>
              </w:rPr>
            </w:pPr>
            <w:r>
              <w:rPr>
                <w:rFonts w:hint="eastAsia" w:ascii="仿宋" w:hAnsi="仿宋" w:eastAsia="仿宋" w:cs="仿宋"/>
                <w:sz w:val="24"/>
              </w:rPr>
              <w:t>响应文件响应</w:t>
            </w:r>
          </w:p>
        </w:tc>
        <w:tc>
          <w:tcPr>
            <w:tcW w:w="1420" w:type="pct"/>
            <w:tcBorders>
              <w:top w:val="single" w:color="auto" w:sz="4" w:space="0"/>
              <w:left w:val="single" w:color="auto" w:sz="4" w:space="0"/>
              <w:bottom w:val="single" w:color="auto" w:sz="4" w:space="0"/>
              <w:right w:val="single" w:color="auto" w:sz="4" w:space="0"/>
            </w:tcBorders>
            <w:vAlign w:val="center"/>
          </w:tcPr>
          <w:p w14:paraId="1AAB2073">
            <w:pPr>
              <w:jc w:val="center"/>
              <w:rPr>
                <w:rFonts w:ascii="仿宋" w:hAnsi="仿宋" w:eastAsia="仿宋" w:cs="仿宋"/>
                <w:sz w:val="24"/>
              </w:rPr>
            </w:pPr>
            <w:r>
              <w:rPr>
                <w:rFonts w:hint="eastAsia" w:ascii="仿宋" w:hAnsi="仿宋" w:eastAsia="仿宋" w:cs="仿宋"/>
                <w:sz w:val="24"/>
              </w:rPr>
              <w:t>偏离情况</w:t>
            </w:r>
          </w:p>
        </w:tc>
      </w:tr>
      <w:tr w14:paraId="09D6F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1899" w:type="pct"/>
            <w:tcBorders>
              <w:top w:val="single" w:color="auto" w:sz="4" w:space="0"/>
              <w:left w:val="single" w:color="auto" w:sz="4" w:space="0"/>
              <w:bottom w:val="single" w:color="auto" w:sz="4" w:space="0"/>
              <w:right w:val="single" w:color="auto" w:sz="4" w:space="0"/>
            </w:tcBorders>
            <w:vAlign w:val="center"/>
          </w:tcPr>
          <w:p w14:paraId="474BAE8C">
            <w:pPr>
              <w:rPr>
                <w:rFonts w:ascii="仿宋" w:hAnsi="仿宋" w:eastAsia="仿宋" w:cs="仿宋"/>
                <w:sz w:val="24"/>
              </w:rPr>
            </w:pPr>
          </w:p>
        </w:tc>
        <w:tc>
          <w:tcPr>
            <w:tcW w:w="1680" w:type="pct"/>
            <w:tcBorders>
              <w:top w:val="single" w:color="auto" w:sz="4" w:space="0"/>
              <w:left w:val="single" w:color="auto" w:sz="4" w:space="0"/>
              <w:bottom w:val="single" w:color="auto" w:sz="4" w:space="0"/>
              <w:right w:val="single" w:color="auto" w:sz="4" w:space="0"/>
            </w:tcBorders>
          </w:tcPr>
          <w:p w14:paraId="61BCCE2B">
            <w:pPr>
              <w:rPr>
                <w:rFonts w:ascii="仿宋" w:hAnsi="仿宋" w:eastAsia="仿宋" w:cs="仿宋"/>
                <w:sz w:val="24"/>
              </w:rPr>
            </w:pPr>
          </w:p>
        </w:tc>
        <w:tc>
          <w:tcPr>
            <w:tcW w:w="1420" w:type="pct"/>
            <w:tcBorders>
              <w:top w:val="single" w:color="auto" w:sz="4" w:space="0"/>
              <w:left w:val="single" w:color="auto" w:sz="4" w:space="0"/>
              <w:right w:val="single" w:color="auto" w:sz="4" w:space="0"/>
            </w:tcBorders>
          </w:tcPr>
          <w:p w14:paraId="1168AE1E">
            <w:pPr>
              <w:rPr>
                <w:rFonts w:ascii="仿宋" w:hAnsi="仿宋" w:eastAsia="仿宋" w:cs="仿宋"/>
                <w:sz w:val="24"/>
              </w:rPr>
            </w:pPr>
          </w:p>
        </w:tc>
      </w:tr>
      <w:tr w14:paraId="3DEA9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1899" w:type="pct"/>
            <w:tcBorders>
              <w:top w:val="single" w:color="auto" w:sz="4" w:space="0"/>
              <w:left w:val="single" w:color="auto" w:sz="4" w:space="0"/>
              <w:bottom w:val="single" w:color="auto" w:sz="4" w:space="0"/>
              <w:right w:val="single" w:color="auto" w:sz="4" w:space="0"/>
            </w:tcBorders>
            <w:vAlign w:val="center"/>
          </w:tcPr>
          <w:p w14:paraId="0440B546">
            <w:pPr>
              <w:rPr>
                <w:rFonts w:ascii="仿宋" w:hAnsi="仿宋" w:eastAsia="仿宋" w:cs="仿宋"/>
                <w:sz w:val="24"/>
              </w:rPr>
            </w:pPr>
          </w:p>
        </w:tc>
        <w:tc>
          <w:tcPr>
            <w:tcW w:w="1680" w:type="pct"/>
            <w:tcBorders>
              <w:top w:val="single" w:color="auto" w:sz="4" w:space="0"/>
              <w:left w:val="single" w:color="auto" w:sz="4" w:space="0"/>
              <w:bottom w:val="single" w:color="auto" w:sz="4" w:space="0"/>
              <w:right w:val="single" w:color="auto" w:sz="4" w:space="0"/>
            </w:tcBorders>
          </w:tcPr>
          <w:p w14:paraId="5C04545D">
            <w:pPr>
              <w:rPr>
                <w:rFonts w:ascii="仿宋" w:hAnsi="仿宋" w:eastAsia="仿宋" w:cs="仿宋"/>
                <w:sz w:val="24"/>
              </w:rPr>
            </w:pPr>
          </w:p>
        </w:tc>
        <w:tc>
          <w:tcPr>
            <w:tcW w:w="1420" w:type="pct"/>
            <w:tcBorders>
              <w:top w:val="single" w:color="auto" w:sz="4" w:space="0"/>
              <w:left w:val="single" w:color="auto" w:sz="4" w:space="0"/>
              <w:right w:val="single" w:color="auto" w:sz="4" w:space="0"/>
            </w:tcBorders>
          </w:tcPr>
          <w:p w14:paraId="00517072">
            <w:pPr>
              <w:rPr>
                <w:rFonts w:ascii="仿宋" w:hAnsi="仿宋" w:eastAsia="仿宋" w:cs="仿宋"/>
                <w:sz w:val="24"/>
              </w:rPr>
            </w:pPr>
          </w:p>
        </w:tc>
      </w:tr>
      <w:tr w14:paraId="61955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1899" w:type="pct"/>
            <w:tcBorders>
              <w:top w:val="single" w:color="auto" w:sz="4" w:space="0"/>
              <w:left w:val="single" w:color="auto" w:sz="4" w:space="0"/>
              <w:bottom w:val="single" w:color="auto" w:sz="4" w:space="0"/>
              <w:right w:val="single" w:color="auto" w:sz="4" w:space="0"/>
            </w:tcBorders>
            <w:vAlign w:val="center"/>
          </w:tcPr>
          <w:p w14:paraId="2B54508C">
            <w:pPr>
              <w:rPr>
                <w:rFonts w:ascii="仿宋" w:hAnsi="仿宋" w:eastAsia="仿宋" w:cs="仿宋"/>
                <w:sz w:val="24"/>
              </w:rPr>
            </w:pPr>
          </w:p>
        </w:tc>
        <w:tc>
          <w:tcPr>
            <w:tcW w:w="1680" w:type="pct"/>
            <w:tcBorders>
              <w:top w:val="single" w:color="auto" w:sz="4" w:space="0"/>
              <w:left w:val="single" w:color="auto" w:sz="4" w:space="0"/>
              <w:bottom w:val="single" w:color="auto" w:sz="4" w:space="0"/>
              <w:right w:val="single" w:color="auto" w:sz="4" w:space="0"/>
            </w:tcBorders>
          </w:tcPr>
          <w:p w14:paraId="7C64778C">
            <w:pPr>
              <w:rPr>
                <w:rFonts w:ascii="仿宋" w:hAnsi="仿宋" w:eastAsia="仿宋" w:cs="仿宋"/>
                <w:sz w:val="24"/>
              </w:rPr>
            </w:pPr>
          </w:p>
        </w:tc>
        <w:tc>
          <w:tcPr>
            <w:tcW w:w="1420" w:type="pct"/>
            <w:tcBorders>
              <w:top w:val="single" w:color="auto" w:sz="4" w:space="0"/>
              <w:left w:val="single" w:color="auto" w:sz="4" w:space="0"/>
              <w:right w:val="single" w:color="auto" w:sz="4" w:space="0"/>
            </w:tcBorders>
          </w:tcPr>
          <w:p w14:paraId="0BDFADD0">
            <w:pPr>
              <w:rPr>
                <w:rFonts w:ascii="仿宋" w:hAnsi="仿宋" w:eastAsia="仿宋" w:cs="仿宋"/>
                <w:sz w:val="24"/>
              </w:rPr>
            </w:pPr>
          </w:p>
        </w:tc>
      </w:tr>
      <w:tr w14:paraId="7AA39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1899" w:type="pct"/>
            <w:tcBorders>
              <w:top w:val="single" w:color="auto" w:sz="4" w:space="0"/>
              <w:left w:val="single" w:color="auto" w:sz="4" w:space="0"/>
              <w:bottom w:val="single" w:color="auto" w:sz="4" w:space="0"/>
              <w:right w:val="single" w:color="auto" w:sz="4" w:space="0"/>
            </w:tcBorders>
            <w:vAlign w:val="center"/>
          </w:tcPr>
          <w:p w14:paraId="44D373CE">
            <w:pPr>
              <w:rPr>
                <w:rFonts w:ascii="仿宋" w:hAnsi="仿宋" w:eastAsia="仿宋" w:cs="仿宋"/>
                <w:sz w:val="24"/>
              </w:rPr>
            </w:pPr>
          </w:p>
        </w:tc>
        <w:tc>
          <w:tcPr>
            <w:tcW w:w="1680" w:type="pct"/>
            <w:tcBorders>
              <w:top w:val="single" w:color="auto" w:sz="4" w:space="0"/>
              <w:left w:val="single" w:color="auto" w:sz="4" w:space="0"/>
              <w:bottom w:val="single" w:color="auto" w:sz="4" w:space="0"/>
              <w:right w:val="single" w:color="auto" w:sz="4" w:space="0"/>
            </w:tcBorders>
          </w:tcPr>
          <w:p w14:paraId="50ECE9B4">
            <w:pPr>
              <w:rPr>
                <w:rFonts w:ascii="仿宋" w:hAnsi="仿宋" w:eastAsia="仿宋" w:cs="仿宋"/>
                <w:sz w:val="24"/>
              </w:rPr>
            </w:pPr>
          </w:p>
        </w:tc>
        <w:tc>
          <w:tcPr>
            <w:tcW w:w="1420" w:type="pct"/>
            <w:tcBorders>
              <w:top w:val="single" w:color="auto" w:sz="4" w:space="0"/>
              <w:left w:val="single" w:color="auto" w:sz="4" w:space="0"/>
              <w:right w:val="single" w:color="auto" w:sz="4" w:space="0"/>
            </w:tcBorders>
          </w:tcPr>
          <w:p w14:paraId="5617580E">
            <w:pPr>
              <w:rPr>
                <w:rFonts w:ascii="仿宋" w:hAnsi="仿宋" w:eastAsia="仿宋" w:cs="仿宋"/>
                <w:sz w:val="24"/>
              </w:rPr>
            </w:pPr>
          </w:p>
        </w:tc>
      </w:tr>
      <w:tr w14:paraId="16737F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1899" w:type="pct"/>
            <w:tcBorders>
              <w:top w:val="single" w:color="auto" w:sz="4" w:space="0"/>
              <w:left w:val="single" w:color="auto" w:sz="4" w:space="0"/>
              <w:bottom w:val="single" w:color="auto" w:sz="4" w:space="0"/>
              <w:right w:val="single" w:color="auto" w:sz="4" w:space="0"/>
            </w:tcBorders>
            <w:vAlign w:val="center"/>
          </w:tcPr>
          <w:p w14:paraId="0DFE2AF4">
            <w:pPr>
              <w:rPr>
                <w:rFonts w:ascii="仿宋" w:hAnsi="仿宋" w:eastAsia="仿宋" w:cs="仿宋"/>
                <w:sz w:val="24"/>
              </w:rPr>
            </w:pPr>
          </w:p>
        </w:tc>
        <w:tc>
          <w:tcPr>
            <w:tcW w:w="1680" w:type="pct"/>
            <w:tcBorders>
              <w:top w:val="single" w:color="auto" w:sz="4" w:space="0"/>
              <w:left w:val="single" w:color="auto" w:sz="4" w:space="0"/>
              <w:bottom w:val="single" w:color="auto" w:sz="4" w:space="0"/>
              <w:right w:val="single" w:color="auto" w:sz="4" w:space="0"/>
            </w:tcBorders>
          </w:tcPr>
          <w:p w14:paraId="7C2D9260">
            <w:pPr>
              <w:rPr>
                <w:rFonts w:ascii="仿宋" w:hAnsi="仿宋" w:eastAsia="仿宋" w:cs="仿宋"/>
                <w:sz w:val="24"/>
              </w:rPr>
            </w:pPr>
          </w:p>
        </w:tc>
        <w:tc>
          <w:tcPr>
            <w:tcW w:w="1420" w:type="pct"/>
            <w:tcBorders>
              <w:top w:val="single" w:color="auto" w:sz="4" w:space="0"/>
              <w:left w:val="single" w:color="auto" w:sz="4" w:space="0"/>
              <w:right w:val="single" w:color="auto" w:sz="4" w:space="0"/>
            </w:tcBorders>
          </w:tcPr>
          <w:p w14:paraId="1D184F74">
            <w:pPr>
              <w:rPr>
                <w:rFonts w:ascii="仿宋" w:hAnsi="仿宋" w:eastAsia="仿宋" w:cs="仿宋"/>
                <w:sz w:val="24"/>
              </w:rPr>
            </w:pPr>
          </w:p>
        </w:tc>
      </w:tr>
    </w:tbl>
    <w:p w14:paraId="3ABEC13D">
      <w:pPr>
        <w:rPr>
          <w:rFonts w:ascii="仿宋" w:hAnsi="仿宋" w:eastAsia="仿宋" w:cs="仿宋"/>
          <w:sz w:val="24"/>
        </w:rPr>
      </w:pPr>
    </w:p>
    <w:p w14:paraId="404EE2B3">
      <w:pPr>
        <w:rPr>
          <w:rFonts w:ascii="仿宋" w:hAnsi="仿宋" w:eastAsia="仿宋" w:cs="仿宋"/>
          <w:spacing w:val="20"/>
          <w:sz w:val="24"/>
        </w:rPr>
      </w:pPr>
      <w:r>
        <w:rPr>
          <w:rFonts w:hint="eastAsia" w:ascii="仿宋" w:hAnsi="仿宋" w:eastAsia="仿宋" w:cs="仿宋"/>
          <w:sz w:val="24"/>
        </w:rPr>
        <w:t>注：在“偏离情况”栏注明“正偏离”、“负偏离”或“无偏离”。</w:t>
      </w:r>
    </w:p>
    <w:p w14:paraId="05663525">
      <w:pPr>
        <w:rPr>
          <w:rFonts w:ascii="仿宋" w:hAnsi="仿宋" w:eastAsia="仿宋" w:cs="仿宋"/>
          <w:spacing w:val="20"/>
          <w:sz w:val="24"/>
        </w:rPr>
      </w:pPr>
    </w:p>
    <w:p w14:paraId="31A2C615">
      <w:pPr>
        <w:rPr>
          <w:rFonts w:ascii="仿宋" w:hAnsi="仿宋" w:eastAsia="仿宋" w:cs="仿宋"/>
          <w:spacing w:val="20"/>
          <w:sz w:val="24"/>
          <w:u w:val="single"/>
        </w:rPr>
      </w:pPr>
      <w:r>
        <w:rPr>
          <w:rFonts w:hint="eastAsia" w:ascii="仿宋" w:hAnsi="仿宋" w:eastAsia="仿宋" w:cs="仿宋"/>
          <w:spacing w:val="20"/>
          <w:sz w:val="24"/>
        </w:rPr>
        <w:t>供应商全称</w:t>
      </w:r>
      <w:r>
        <w:rPr>
          <w:rFonts w:hint="eastAsia" w:ascii="仿宋" w:hAnsi="仿宋" w:eastAsia="仿宋" w:cs="仿宋"/>
          <w:sz w:val="24"/>
        </w:rPr>
        <w:t>（盖单位章）</w:t>
      </w:r>
      <w:r>
        <w:rPr>
          <w:rFonts w:hint="eastAsia" w:ascii="仿宋" w:hAnsi="仿宋" w:eastAsia="仿宋" w:cs="仿宋"/>
          <w:spacing w:val="20"/>
          <w:sz w:val="24"/>
        </w:rPr>
        <w:t>：</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日 期：</w:t>
      </w:r>
      <w:r>
        <w:rPr>
          <w:rFonts w:hint="eastAsia" w:ascii="仿宋" w:hAnsi="仿宋" w:eastAsia="仿宋" w:cs="仿宋"/>
          <w:spacing w:val="20"/>
          <w:sz w:val="24"/>
          <w:u w:val="single"/>
        </w:rPr>
        <w:t xml:space="preserve">        </w:t>
      </w:r>
    </w:p>
    <w:p w14:paraId="7B339B6A">
      <w:pPr>
        <w:pStyle w:val="6"/>
        <w:keepNext w:val="0"/>
        <w:keepLines w:val="0"/>
        <w:pageBreakBefore/>
        <w:spacing w:line="415" w:lineRule="auto"/>
        <w:rPr>
          <w:rFonts w:ascii="宋体" w:hAnsi="宋体" w:cs="仿宋"/>
          <w:b w:val="0"/>
          <w:szCs w:val="24"/>
        </w:rPr>
      </w:pPr>
      <w:r>
        <w:rPr>
          <w:rFonts w:hint="eastAsia" w:ascii="宋体" w:hAnsi="宋体" w:cs="仿宋"/>
          <w:b w:val="0"/>
          <w:szCs w:val="24"/>
        </w:rPr>
        <w:t>（六）项目管理机构人员配备</w:t>
      </w:r>
    </w:p>
    <w:p w14:paraId="3BCD09A1">
      <w:pPr>
        <w:keepNext w:val="0"/>
        <w:keepLines w:val="0"/>
        <w:pageBreakBefore w:val="0"/>
        <w:widowControl/>
        <w:kinsoku/>
        <w:wordWrap w:val="0"/>
        <w:overflowPunct/>
        <w:topLinePunct/>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项目名称： </w:t>
      </w:r>
      <w:r>
        <w:rPr>
          <w:rFonts w:hint="eastAsia" w:ascii="仿宋" w:hAnsi="仿宋" w:eastAsia="仿宋" w:cs="仿宋"/>
          <w:sz w:val="24"/>
          <w:szCs w:val="24"/>
          <w:u w:val="single"/>
        </w:rPr>
        <w:t xml:space="preserve">                                      </w:t>
      </w:r>
    </w:p>
    <w:p w14:paraId="71D4CEB7">
      <w:pPr>
        <w:keepNext w:val="0"/>
        <w:keepLines w:val="0"/>
        <w:pageBreakBefore w:val="0"/>
        <w:widowControl/>
        <w:kinsoku/>
        <w:wordWrap w:val="0"/>
        <w:overflowPunct/>
        <w:topLinePunct/>
        <w:autoSpaceDE/>
        <w:autoSpaceDN/>
        <w:bidi w:val="0"/>
        <w:adjustRightInd/>
        <w:snapToGrid/>
        <w:spacing w:line="360" w:lineRule="auto"/>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 xml:space="preserve">项目编号： </w:t>
      </w:r>
      <w:r>
        <w:rPr>
          <w:rFonts w:hint="eastAsia" w:ascii="仿宋" w:hAnsi="仿宋" w:eastAsia="仿宋" w:cs="仿宋"/>
          <w:sz w:val="24"/>
          <w:szCs w:val="24"/>
          <w:u w:val="single"/>
        </w:rPr>
        <w:t xml:space="preserve">                                      </w:t>
      </w:r>
    </w:p>
    <w:p w14:paraId="1CA0EF9D">
      <w:pPr>
        <w:keepNext w:val="0"/>
        <w:keepLines w:val="0"/>
        <w:pageBreakBefore w:val="0"/>
        <w:kinsoku/>
        <w:overflowPunct/>
        <w:autoSpaceDE/>
        <w:autoSpaceDN/>
        <w:bidi w:val="0"/>
        <w:adjustRightInd/>
        <w:snapToGrid/>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lang w:val="en-US" w:eastAsia="zh-CN"/>
        </w:rPr>
        <w:t>供应商</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p>
    <w:p w14:paraId="7DC8C0A9">
      <w:pPr>
        <w:pStyle w:val="6"/>
        <w:rPr>
          <w:rFonts w:hint="eastAsia"/>
        </w:rPr>
      </w:pP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3"/>
        <w:gridCol w:w="1073"/>
        <w:gridCol w:w="1778"/>
        <w:gridCol w:w="1347"/>
        <w:gridCol w:w="2705"/>
      </w:tblGrid>
      <w:tr w14:paraId="01843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3" w:type="dxa"/>
            <w:tcBorders>
              <w:top w:val="single" w:color="auto" w:sz="4" w:space="0"/>
              <w:left w:val="single" w:color="auto" w:sz="4" w:space="0"/>
              <w:bottom w:val="single" w:color="auto" w:sz="4" w:space="0"/>
              <w:right w:val="single" w:color="auto" w:sz="4" w:space="0"/>
            </w:tcBorders>
            <w:noWrap w:val="0"/>
            <w:vAlign w:val="center"/>
          </w:tcPr>
          <w:p w14:paraId="2885172E">
            <w:pPr>
              <w:rPr>
                <w:rFonts w:hint="eastAsia" w:ascii="仿宋" w:hAnsi="仿宋" w:eastAsia="仿宋" w:cs="仿宋"/>
                <w:sz w:val="24"/>
                <w:szCs w:val="24"/>
              </w:rPr>
            </w:pPr>
            <w:r>
              <w:rPr>
                <w:rFonts w:hint="eastAsia" w:ascii="仿宋" w:hAnsi="仿宋" w:eastAsia="仿宋" w:cs="仿宋"/>
                <w:sz w:val="24"/>
                <w:szCs w:val="24"/>
              </w:rPr>
              <w:t>姓名</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4DD5C377">
            <w:pPr>
              <w:rPr>
                <w:rFonts w:hint="eastAsia" w:ascii="仿宋" w:hAnsi="仿宋" w:eastAsia="仿宋" w:cs="仿宋"/>
                <w:sz w:val="24"/>
                <w:szCs w:val="24"/>
              </w:rPr>
            </w:pPr>
            <w:r>
              <w:rPr>
                <w:rFonts w:hint="eastAsia" w:ascii="仿宋" w:hAnsi="仿宋" w:eastAsia="仿宋" w:cs="仿宋"/>
                <w:sz w:val="24"/>
                <w:szCs w:val="24"/>
              </w:rPr>
              <w:t>职务</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3B1DF9A8">
            <w:pPr>
              <w:rPr>
                <w:rFonts w:hint="eastAsia" w:ascii="仿宋" w:hAnsi="仿宋" w:eastAsia="仿宋" w:cs="仿宋"/>
                <w:sz w:val="24"/>
                <w:szCs w:val="24"/>
              </w:rPr>
            </w:pPr>
            <w:r>
              <w:rPr>
                <w:rFonts w:hint="eastAsia" w:ascii="仿宋" w:hAnsi="仿宋" w:eastAsia="仿宋" w:cs="仿宋"/>
                <w:sz w:val="24"/>
                <w:szCs w:val="24"/>
              </w:rPr>
              <w:t>专业技术资格</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371F8C9C">
            <w:pPr>
              <w:rPr>
                <w:rFonts w:hint="eastAsia" w:ascii="仿宋" w:hAnsi="仿宋" w:eastAsia="仿宋" w:cs="仿宋"/>
                <w:sz w:val="24"/>
                <w:szCs w:val="24"/>
              </w:rPr>
            </w:pPr>
            <w:r>
              <w:rPr>
                <w:rFonts w:hint="eastAsia" w:ascii="仿宋" w:hAnsi="仿宋" w:eastAsia="仿宋" w:cs="仿宋"/>
                <w:sz w:val="24"/>
                <w:szCs w:val="24"/>
              </w:rPr>
              <w:t>证书编号</w:t>
            </w:r>
          </w:p>
        </w:tc>
        <w:tc>
          <w:tcPr>
            <w:tcW w:w="2705" w:type="dxa"/>
            <w:tcBorders>
              <w:top w:val="single" w:color="auto" w:sz="4" w:space="0"/>
              <w:left w:val="single" w:color="auto" w:sz="4" w:space="0"/>
              <w:bottom w:val="single" w:color="auto" w:sz="4" w:space="0"/>
              <w:right w:val="single" w:color="auto" w:sz="4" w:space="0"/>
            </w:tcBorders>
            <w:noWrap w:val="0"/>
            <w:vAlign w:val="center"/>
          </w:tcPr>
          <w:p w14:paraId="43FC8094">
            <w:pPr>
              <w:rPr>
                <w:rFonts w:hint="eastAsia" w:ascii="仿宋" w:hAnsi="仿宋" w:eastAsia="仿宋" w:cs="仿宋"/>
                <w:bCs/>
                <w:sz w:val="24"/>
                <w:szCs w:val="24"/>
              </w:rPr>
            </w:pPr>
            <w:r>
              <w:rPr>
                <w:rFonts w:hint="eastAsia" w:ascii="仿宋" w:hAnsi="仿宋" w:eastAsia="仿宋" w:cs="仿宋"/>
                <w:bCs/>
                <w:sz w:val="24"/>
                <w:szCs w:val="24"/>
              </w:rPr>
              <w:t>参加本单位工作时间</w:t>
            </w:r>
          </w:p>
        </w:tc>
      </w:tr>
      <w:tr w14:paraId="571EC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3" w:type="dxa"/>
            <w:tcBorders>
              <w:top w:val="single" w:color="auto" w:sz="4" w:space="0"/>
              <w:left w:val="single" w:color="auto" w:sz="4" w:space="0"/>
              <w:bottom w:val="single" w:color="auto" w:sz="4" w:space="0"/>
              <w:right w:val="single" w:color="auto" w:sz="4" w:space="0"/>
            </w:tcBorders>
            <w:noWrap w:val="0"/>
            <w:vAlign w:val="top"/>
          </w:tcPr>
          <w:p w14:paraId="763E3D3E">
            <w:pPr>
              <w:rPr>
                <w:rFonts w:hint="eastAsia" w:ascii="仿宋" w:hAnsi="仿宋" w:eastAsia="仿宋" w:cs="仿宋"/>
                <w:sz w:val="24"/>
                <w:szCs w:val="24"/>
              </w:rPr>
            </w:pPr>
          </w:p>
        </w:tc>
        <w:tc>
          <w:tcPr>
            <w:tcW w:w="1073" w:type="dxa"/>
            <w:tcBorders>
              <w:top w:val="single" w:color="auto" w:sz="4" w:space="0"/>
              <w:left w:val="single" w:color="auto" w:sz="4" w:space="0"/>
              <w:bottom w:val="single" w:color="auto" w:sz="4" w:space="0"/>
              <w:right w:val="single" w:color="auto" w:sz="4" w:space="0"/>
            </w:tcBorders>
            <w:noWrap w:val="0"/>
            <w:vAlign w:val="top"/>
          </w:tcPr>
          <w:p w14:paraId="22E2FB10">
            <w:pPr>
              <w:rPr>
                <w:rFonts w:hint="eastAsia" w:ascii="仿宋" w:hAnsi="仿宋" w:eastAsia="仿宋" w:cs="仿宋"/>
                <w:sz w:val="24"/>
                <w:szCs w:val="24"/>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61FAA541">
            <w:pPr>
              <w:rPr>
                <w:rFonts w:hint="eastAsia" w:ascii="仿宋" w:hAnsi="仿宋" w:eastAsia="仿宋" w:cs="仿宋"/>
                <w:sz w:val="24"/>
                <w:szCs w:val="24"/>
              </w:rPr>
            </w:pPr>
          </w:p>
        </w:tc>
        <w:tc>
          <w:tcPr>
            <w:tcW w:w="1347" w:type="dxa"/>
            <w:tcBorders>
              <w:top w:val="single" w:color="auto" w:sz="4" w:space="0"/>
              <w:left w:val="single" w:color="auto" w:sz="4" w:space="0"/>
              <w:bottom w:val="single" w:color="auto" w:sz="4" w:space="0"/>
              <w:right w:val="single" w:color="auto" w:sz="4" w:space="0"/>
            </w:tcBorders>
            <w:noWrap w:val="0"/>
            <w:vAlign w:val="top"/>
          </w:tcPr>
          <w:p w14:paraId="402F788E">
            <w:pPr>
              <w:rPr>
                <w:rFonts w:hint="eastAsia" w:ascii="仿宋" w:hAnsi="仿宋" w:eastAsia="仿宋" w:cs="仿宋"/>
                <w:sz w:val="24"/>
                <w:szCs w:val="24"/>
              </w:rPr>
            </w:pPr>
          </w:p>
        </w:tc>
        <w:tc>
          <w:tcPr>
            <w:tcW w:w="2705" w:type="dxa"/>
            <w:tcBorders>
              <w:top w:val="single" w:color="auto" w:sz="4" w:space="0"/>
              <w:left w:val="single" w:color="auto" w:sz="4" w:space="0"/>
              <w:bottom w:val="single" w:color="auto" w:sz="4" w:space="0"/>
              <w:right w:val="single" w:color="auto" w:sz="4" w:space="0"/>
            </w:tcBorders>
            <w:noWrap w:val="0"/>
            <w:vAlign w:val="top"/>
          </w:tcPr>
          <w:p w14:paraId="5854FDD6">
            <w:pPr>
              <w:rPr>
                <w:rFonts w:hint="eastAsia" w:ascii="仿宋" w:hAnsi="仿宋" w:eastAsia="仿宋" w:cs="仿宋"/>
                <w:sz w:val="24"/>
                <w:szCs w:val="24"/>
              </w:rPr>
            </w:pPr>
          </w:p>
        </w:tc>
      </w:tr>
      <w:tr w14:paraId="550FF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3" w:type="dxa"/>
            <w:tcBorders>
              <w:top w:val="single" w:color="auto" w:sz="4" w:space="0"/>
              <w:left w:val="single" w:color="auto" w:sz="4" w:space="0"/>
              <w:bottom w:val="single" w:color="auto" w:sz="4" w:space="0"/>
              <w:right w:val="single" w:color="auto" w:sz="4" w:space="0"/>
            </w:tcBorders>
            <w:noWrap w:val="0"/>
            <w:vAlign w:val="top"/>
          </w:tcPr>
          <w:p w14:paraId="7988D701">
            <w:pPr>
              <w:rPr>
                <w:rFonts w:hint="eastAsia" w:ascii="仿宋" w:hAnsi="仿宋" w:eastAsia="仿宋" w:cs="仿宋"/>
                <w:sz w:val="24"/>
                <w:szCs w:val="24"/>
              </w:rPr>
            </w:pPr>
          </w:p>
        </w:tc>
        <w:tc>
          <w:tcPr>
            <w:tcW w:w="1073" w:type="dxa"/>
            <w:tcBorders>
              <w:top w:val="single" w:color="auto" w:sz="4" w:space="0"/>
              <w:left w:val="single" w:color="auto" w:sz="4" w:space="0"/>
              <w:bottom w:val="single" w:color="auto" w:sz="4" w:space="0"/>
              <w:right w:val="single" w:color="auto" w:sz="4" w:space="0"/>
            </w:tcBorders>
            <w:noWrap w:val="0"/>
            <w:vAlign w:val="top"/>
          </w:tcPr>
          <w:p w14:paraId="33B64E07">
            <w:pPr>
              <w:rPr>
                <w:rFonts w:hint="eastAsia" w:ascii="仿宋" w:hAnsi="仿宋" w:eastAsia="仿宋" w:cs="仿宋"/>
                <w:sz w:val="24"/>
                <w:szCs w:val="24"/>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30403BE3">
            <w:pPr>
              <w:rPr>
                <w:rFonts w:hint="eastAsia" w:ascii="仿宋" w:hAnsi="仿宋" w:eastAsia="仿宋" w:cs="仿宋"/>
                <w:sz w:val="24"/>
                <w:szCs w:val="24"/>
              </w:rPr>
            </w:pPr>
          </w:p>
        </w:tc>
        <w:tc>
          <w:tcPr>
            <w:tcW w:w="1347" w:type="dxa"/>
            <w:tcBorders>
              <w:top w:val="single" w:color="auto" w:sz="4" w:space="0"/>
              <w:left w:val="single" w:color="auto" w:sz="4" w:space="0"/>
              <w:bottom w:val="single" w:color="auto" w:sz="4" w:space="0"/>
              <w:right w:val="single" w:color="auto" w:sz="4" w:space="0"/>
            </w:tcBorders>
            <w:noWrap w:val="0"/>
            <w:vAlign w:val="top"/>
          </w:tcPr>
          <w:p w14:paraId="1FB574F5">
            <w:pPr>
              <w:rPr>
                <w:rFonts w:hint="eastAsia" w:ascii="仿宋" w:hAnsi="仿宋" w:eastAsia="仿宋" w:cs="仿宋"/>
                <w:sz w:val="24"/>
                <w:szCs w:val="24"/>
              </w:rPr>
            </w:pPr>
          </w:p>
        </w:tc>
        <w:tc>
          <w:tcPr>
            <w:tcW w:w="2705" w:type="dxa"/>
            <w:tcBorders>
              <w:top w:val="single" w:color="auto" w:sz="4" w:space="0"/>
              <w:left w:val="single" w:color="auto" w:sz="4" w:space="0"/>
              <w:bottom w:val="single" w:color="auto" w:sz="4" w:space="0"/>
              <w:right w:val="single" w:color="auto" w:sz="4" w:space="0"/>
            </w:tcBorders>
            <w:noWrap w:val="0"/>
            <w:vAlign w:val="top"/>
          </w:tcPr>
          <w:p w14:paraId="3ADD586F">
            <w:pPr>
              <w:rPr>
                <w:rFonts w:hint="eastAsia" w:ascii="仿宋" w:hAnsi="仿宋" w:eastAsia="仿宋" w:cs="仿宋"/>
                <w:sz w:val="24"/>
                <w:szCs w:val="24"/>
              </w:rPr>
            </w:pPr>
          </w:p>
        </w:tc>
      </w:tr>
      <w:tr w14:paraId="673B0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3" w:type="dxa"/>
            <w:tcBorders>
              <w:top w:val="single" w:color="auto" w:sz="4" w:space="0"/>
              <w:left w:val="single" w:color="auto" w:sz="4" w:space="0"/>
              <w:bottom w:val="single" w:color="auto" w:sz="4" w:space="0"/>
              <w:right w:val="single" w:color="auto" w:sz="4" w:space="0"/>
            </w:tcBorders>
            <w:noWrap w:val="0"/>
            <w:vAlign w:val="top"/>
          </w:tcPr>
          <w:p w14:paraId="0B4302BD">
            <w:pPr>
              <w:rPr>
                <w:rFonts w:hint="eastAsia" w:ascii="仿宋" w:hAnsi="仿宋" w:eastAsia="仿宋" w:cs="仿宋"/>
                <w:sz w:val="24"/>
                <w:szCs w:val="24"/>
              </w:rPr>
            </w:pPr>
          </w:p>
        </w:tc>
        <w:tc>
          <w:tcPr>
            <w:tcW w:w="1073" w:type="dxa"/>
            <w:tcBorders>
              <w:top w:val="single" w:color="auto" w:sz="4" w:space="0"/>
              <w:left w:val="single" w:color="auto" w:sz="4" w:space="0"/>
              <w:bottom w:val="single" w:color="auto" w:sz="4" w:space="0"/>
              <w:right w:val="single" w:color="auto" w:sz="4" w:space="0"/>
            </w:tcBorders>
            <w:noWrap w:val="0"/>
            <w:vAlign w:val="top"/>
          </w:tcPr>
          <w:p w14:paraId="0BC7BD84">
            <w:pPr>
              <w:rPr>
                <w:rFonts w:hint="eastAsia" w:ascii="仿宋" w:hAnsi="仿宋" w:eastAsia="仿宋" w:cs="仿宋"/>
                <w:sz w:val="24"/>
                <w:szCs w:val="24"/>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5E9DE74D">
            <w:pPr>
              <w:rPr>
                <w:rFonts w:hint="eastAsia" w:ascii="仿宋" w:hAnsi="仿宋" w:eastAsia="仿宋" w:cs="仿宋"/>
                <w:sz w:val="24"/>
                <w:szCs w:val="24"/>
              </w:rPr>
            </w:pPr>
          </w:p>
        </w:tc>
        <w:tc>
          <w:tcPr>
            <w:tcW w:w="1347" w:type="dxa"/>
            <w:tcBorders>
              <w:top w:val="single" w:color="auto" w:sz="4" w:space="0"/>
              <w:left w:val="single" w:color="auto" w:sz="4" w:space="0"/>
              <w:bottom w:val="single" w:color="auto" w:sz="4" w:space="0"/>
              <w:right w:val="single" w:color="auto" w:sz="4" w:space="0"/>
            </w:tcBorders>
            <w:noWrap w:val="0"/>
            <w:vAlign w:val="top"/>
          </w:tcPr>
          <w:p w14:paraId="436A26EA">
            <w:pPr>
              <w:rPr>
                <w:rFonts w:hint="eastAsia" w:ascii="仿宋" w:hAnsi="仿宋" w:eastAsia="仿宋" w:cs="仿宋"/>
                <w:sz w:val="24"/>
                <w:szCs w:val="24"/>
              </w:rPr>
            </w:pPr>
          </w:p>
        </w:tc>
        <w:tc>
          <w:tcPr>
            <w:tcW w:w="2705" w:type="dxa"/>
            <w:tcBorders>
              <w:top w:val="single" w:color="auto" w:sz="4" w:space="0"/>
              <w:left w:val="single" w:color="auto" w:sz="4" w:space="0"/>
              <w:bottom w:val="single" w:color="auto" w:sz="4" w:space="0"/>
              <w:right w:val="single" w:color="auto" w:sz="4" w:space="0"/>
            </w:tcBorders>
            <w:noWrap w:val="0"/>
            <w:vAlign w:val="top"/>
          </w:tcPr>
          <w:p w14:paraId="72827ED4">
            <w:pPr>
              <w:rPr>
                <w:rFonts w:hint="eastAsia" w:ascii="仿宋" w:hAnsi="仿宋" w:eastAsia="仿宋" w:cs="仿宋"/>
                <w:sz w:val="24"/>
                <w:szCs w:val="24"/>
              </w:rPr>
            </w:pPr>
          </w:p>
        </w:tc>
      </w:tr>
      <w:tr w14:paraId="647B1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3" w:type="dxa"/>
            <w:tcBorders>
              <w:top w:val="single" w:color="auto" w:sz="4" w:space="0"/>
              <w:left w:val="single" w:color="auto" w:sz="4" w:space="0"/>
              <w:bottom w:val="single" w:color="auto" w:sz="4" w:space="0"/>
              <w:right w:val="single" w:color="auto" w:sz="4" w:space="0"/>
            </w:tcBorders>
            <w:noWrap w:val="0"/>
            <w:vAlign w:val="top"/>
          </w:tcPr>
          <w:p w14:paraId="1D4892D4">
            <w:pPr>
              <w:rPr>
                <w:rFonts w:hint="eastAsia" w:ascii="仿宋" w:hAnsi="仿宋" w:eastAsia="仿宋" w:cs="仿宋"/>
                <w:sz w:val="24"/>
                <w:szCs w:val="24"/>
              </w:rPr>
            </w:pPr>
          </w:p>
        </w:tc>
        <w:tc>
          <w:tcPr>
            <w:tcW w:w="1073" w:type="dxa"/>
            <w:tcBorders>
              <w:top w:val="single" w:color="auto" w:sz="4" w:space="0"/>
              <w:left w:val="single" w:color="auto" w:sz="4" w:space="0"/>
              <w:bottom w:val="single" w:color="auto" w:sz="4" w:space="0"/>
              <w:right w:val="single" w:color="auto" w:sz="4" w:space="0"/>
            </w:tcBorders>
            <w:noWrap w:val="0"/>
            <w:vAlign w:val="top"/>
          </w:tcPr>
          <w:p w14:paraId="6F8BF376">
            <w:pPr>
              <w:rPr>
                <w:rFonts w:hint="eastAsia" w:ascii="仿宋" w:hAnsi="仿宋" w:eastAsia="仿宋" w:cs="仿宋"/>
                <w:sz w:val="24"/>
                <w:szCs w:val="24"/>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0CE8CDE9">
            <w:pPr>
              <w:rPr>
                <w:rFonts w:hint="eastAsia" w:ascii="仿宋" w:hAnsi="仿宋" w:eastAsia="仿宋" w:cs="仿宋"/>
                <w:sz w:val="24"/>
                <w:szCs w:val="24"/>
              </w:rPr>
            </w:pPr>
          </w:p>
        </w:tc>
        <w:tc>
          <w:tcPr>
            <w:tcW w:w="1347" w:type="dxa"/>
            <w:tcBorders>
              <w:top w:val="single" w:color="auto" w:sz="4" w:space="0"/>
              <w:left w:val="single" w:color="auto" w:sz="4" w:space="0"/>
              <w:bottom w:val="single" w:color="auto" w:sz="4" w:space="0"/>
              <w:right w:val="single" w:color="auto" w:sz="4" w:space="0"/>
            </w:tcBorders>
            <w:noWrap w:val="0"/>
            <w:vAlign w:val="top"/>
          </w:tcPr>
          <w:p w14:paraId="7FC3F233">
            <w:pPr>
              <w:rPr>
                <w:rFonts w:hint="eastAsia" w:ascii="仿宋" w:hAnsi="仿宋" w:eastAsia="仿宋" w:cs="仿宋"/>
                <w:sz w:val="24"/>
                <w:szCs w:val="24"/>
              </w:rPr>
            </w:pPr>
          </w:p>
        </w:tc>
        <w:tc>
          <w:tcPr>
            <w:tcW w:w="2705" w:type="dxa"/>
            <w:tcBorders>
              <w:top w:val="single" w:color="auto" w:sz="4" w:space="0"/>
              <w:left w:val="single" w:color="auto" w:sz="4" w:space="0"/>
              <w:bottom w:val="single" w:color="auto" w:sz="4" w:space="0"/>
              <w:right w:val="single" w:color="auto" w:sz="4" w:space="0"/>
            </w:tcBorders>
            <w:noWrap w:val="0"/>
            <w:vAlign w:val="top"/>
          </w:tcPr>
          <w:p w14:paraId="3F8265D8">
            <w:pPr>
              <w:rPr>
                <w:rFonts w:hint="eastAsia" w:ascii="仿宋" w:hAnsi="仿宋" w:eastAsia="仿宋" w:cs="仿宋"/>
                <w:sz w:val="24"/>
                <w:szCs w:val="24"/>
              </w:rPr>
            </w:pPr>
          </w:p>
        </w:tc>
      </w:tr>
      <w:tr w14:paraId="6ADDE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3" w:type="dxa"/>
            <w:tcBorders>
              <w:top w:val="single" w:color="auto" w:sz="4" w:space="0"/>
              <w:left w:val="single" w:color="auto" w:sz="4" w:space="0"/>
              <w:bottom w:val="single" w:color="auto" w:sz="4" w:space="0"/>
              <w:right w:val="single" w:color="auto" w:sz="4" w:space="0"/>
            </w:tcBorders>
            <w:noWrap w:val="0"/>
            <w:vAlign w:val="top"/>
          </w:tcPr>
          <w:p w14:paraId="2AADDA63">
            <w:pPr>
              <w:rPr>
                <w:rFonts w:hint="eastAsia" w:ascii="仿宋" w:hAnsi="仿宋" w:eastAsia="仿宋" w:cs="仿宋"/>
                <w:sz w:val="24"/>
                <w:szCs w:val="24"/>
              </w:rPr>
            </w:pPr>
          </w:p>
        </w:tc>
        <w:tc>
          <w:tcPr>
            <w:tcW w:w="1073" w:type="dxa"/>
            <w:tcBorders>
              <w:top w:val="single" w:color="auto" w:sz="4" w:space="0"/>
              <w:left w:val="single" w:color="auto" w:sz="4" w:space="0"/>
              <w:bottom w:val="single" w:color="auto" w:sz="4" w:space="0"/>
              <w:right w:val="single" w:color="auto" w:sz="4" w:space="0"/>
            </w:tcBorders>
            <w:noWrap w:val="0"/>
            <w:vAlign w:val="top"/>
          </w:tcPr>
          <w:p w14:paraId="1E6B60D9">
            <w:pPr>
              <w:rPr>
                <w:rFonts w:hint="eastAsia" w:ascii="仿宋" w:hAnsi="仿宋" w:eastAsia="仿宋" w:cs="仿宋"/>
                <w:sz w:val="24"/>
                <w:szCs w:val="24"/>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6A1E98FE">
            <w:pPr>
              <w:rPr>
                <w:rFonts w:hint="eastAsia" w:ascii="仿宋" w:hAnsi="仿宋" w:eastAsia="仿宋" w:cs="仿宋"/>
                <w:sz w:val="24"/>
                <w:szCs w:val="24"/>
              </w:rPr>
            </w:pPr>
          </w:p>
        </w:tc>
        <w:tc>
          <w:tcPr>
            <w:tcW w:w="1347" w:type="dxa"/>
            <w:tcBorders>
              <w:top w:val="single" w:color="auto" w:sz="4" w:space="0"/>
              <w:left w:val="single" w:color="auto" w:sz="4" w:space="0"/>
              <w:bottom w:val="single" w:color="auto" w:sz="4" w:space="0"/>
              <w:right w:val="single" w:color="auto" w:sz="4" w:space="0"/>
            </w:tcBorders>
            <w:noWrap w:val="0"/>
            <w:vAlign w:val="top"/>
          </w:tcPr>
          <w:p w14:paraId="19F5C1F1">
            <w:pPr>
              <w:rPr>
                <w:rFonts w:hint="eastAsia" w:ascii="仿宋" w:hAnsi="仿宋" w:eastAsia="仿宋" w:cs="仿宋"/>
                <w:sz w:val="24"/>
                <w:szCs w:val="24"/>
              </w:rPr>
            </w:pPr>
          </w:p>
        </w:tc>
        <w:tc>
          <w:tcPr>
            <w:tcW w:w="2705" w:type="dxa"/>
            <w:tcBorders>
              <w:top w:val="single" w:color="auto" w:sz="4" w:space="0"/>
              <w:left w:val="single" w:color="auto" w:sz="4" w:space="0"/>
              <w:bottom w:val="single" w:color="auto" w:sz="4" w:space="0"/>
              <w:right w:val="single" w:color="auto" w:sz="4" w:space="0"/>
            </w:tcBorders>
            <w:noWrap w:val="0"/>
            <w:vAlign w:val="top"/>
          </w:tcPr>
          <w:p w14:paraId="4869247C">
            <w:pPr>
              <w:rPr>
                <w:rFonts w:hint="eastAsia" w:ascii="仿宋" w:hAnsi="仿宋" w:eastAsia="仿宋" w:cs="仿宋"/>
                <w:sz w:val="24"/>
                <w:szCs w:val="24"/>
              </w:rPr>
            </w:pPr>
          </w:p>
        </w:tc>
      </w:tr>
      <w:tr w14:paraId="0B9E1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3" w:type="dxa"/>
            <w:tcBorders>
              <w:top w:val="single" w:color="auto" w:sz="4" w:space="0"/>
              <w:left w:val="single" w:color="auto" w:sz="4" w:space="0"/>
              <w:bottom w:val="single" w:color="auto" w:sz="4" w:space="0"/>
              <w:right w:val="single" w:color="auto" w:sz="4" w:space="0"/>
            </w:tcBorders>
            <w:noWrap w:val="0"/>
            <w:vAlign w:val="top"/>
          </w:tcPr>
          <w:p w14:paraId="44841211">
            <w:pPr>
              <w:rPr>
                <w:rFonts w:hint="eastAsia" w:ascii="仿宋" w:hAnsi="仿宋" w:eastAsia="仿宋" w:cs="仿宋"/>
                <w:sz w:val="24"/>
                <w:szCs w:val="24"/>
              </w:rPr>
            </w:pPr>
          </w:p>
        </w:tc>
        <w:tc>
          <w:tcPr>
            <w:tcW w:w="1073" w:type="dxa"/>
            <w:tcBorders>
              <w:top w:val="single" w:color="auto" w:sz="4" w:space="0"/>
              <w:left w:val="single" w:color="auto" w:sz="4" w:space="0"/>
              <w:bottom w:val="single" w:color="auto" w:sz="4" w:space="0"/>
              <w:right w:val="single" w:color="auto" w:sz="4" w:space="0"/>
            </w:tcBorders>
            <w:noWrap w:val="0"/>
            <w:vAlign w:val="top"/>
          </w:tcPr>
          <w:p w14:paraId="38A7581C">
            <w:pPr>
              <w:rPr>
                <w:rFonts w:hint="eastAsia" w:ascii="仿宋" w:hAnsi="仿宋" w:eastAsia="仿宋" w:cs="仿宋"/>
                <w:sz w:val="24"/>
                <w:szCs w:val="24"/>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5C5E8218">
            <w:pPr>
              <w:rPr>
                <w:rFonts w:hint="eastAsia" w:ascii="仿宋" w:hAnsi="仿宋" w:eastAsia="仿宋" w:cs="仿宋"/>
                <w:sz w:val="24"/>
                <w:szCs w:val="24"/>
              </w:rPr>
            </w:pPr>
          </w:p>
        </w:tc>
        <w:tc>
          <w:tcPr>
            <w:tcW w:w="1347" w:type="dxa"/>
            <w:tcBorders>
              <w:top w:val="single" w:color="auto" w:sz="4" w:space="0"/>
              <w:left w:val="single" w:color="auto" w:sz="4" w:space="0"/>
              <w:bottom w:val="single" w:color="auto" w:sz="4" w:space="0"/>
              <w:right w:val="single" w:color="auto" w:sz="4" w:space="0"/>
            </w:tcBorders>
            <w:noWrap w:val="0"/>
            <w:vAlign w:val="top"/>
          </w:tcPr>
          <w:p w14:paraId="5BDFEB1A">
            <w:pPr>
              <w:rPr>
                <w:rFonts w:hint="eastAsia" w:ascii="仿宋" w:hAnsi="仿宋" w:eastAsia="仿宋" w:cs="仿宋"/>
                <w:sz w:val="24"/>
                <w:szCs w:val="24"/>
              </w:rPr>
            </w:pPr>
          </w:p>
        </w:tc>
        <w:tc>
          <w:tcPr>
            <w:tcW w:w="2705" w:type="dxa"/>
            <w:tcBorders>
              <w:top w:val="single" w:color="auto" w:sz="4" w:space="0"/>
              <w:left w:val="single" w:color="auto" w:sz="4" w:space="0"/>
              <w:bottom w:val="single" w:color="auto" w:sz="4" w:space="0"/>
              <w:right w:val="single" w:color="auto" w:sz="4" w:space="0"/>
            </w:tcBorders>
            <w:noWrap w:val="0"/>
            <w:vAlign w:val="top"/>
          </w:tcPr>
          <w:p w14:paraId="14E4CB44">
            <w:pPr>
              <w:rPr>
                <w:rFonts w:hint="eastAsia" w:ascii="仿宋" w:hAnsi="仿宋" w:eastAsia="仿宋" w:cs="仿宋"/>
                <w:sz w:val="24"/>
                <w:szCs w:val="24"/>
              </w:rPr>
            </w:pPr>
          </w:p>
        </w:tc>
      </w:tr>
      <w:tr w14:paraId="6E84F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3" w:type="dxa"/>
            <w:tcBorders>
              <w:top w:val="single" w:color="auto" w:sz="4" w:space="0"/>
              <w:left w:val="single" w:color="auto" w:sz="4" w:space="0"/>
              <w:bottom w:val="single" w:color="auto" w:sz="4" w:space="0"/>
              <w:right w:val="single" w:color="auto" w:sz="4" w:space="0"/>
            </w:tcBorders>
            <w:noWrap w:val="0"/>
            <w:vAlign w:val="top"/>
          </w:tcPr>
          <w:p w14:paraId="3D6B6BDC">
            <w:pPr>
              <w:rPr>
                <w:rFonts w:hint="eastAsia" w:ascii="仿宋" w:hAnsi="仿宋" w:eastAsia="仿宋" w:cs="仿宋"/>
                <w:sz w:val="24"/>
                <w:szCs w:val="24"/>
              </w:rPr>
            </w:pPr>
          </w:p>
        </w:tc>
        <w:tc>
          <w:tcPr>
            <w:tcW w:w="1073" w:type="dxa"/>
            <w:tcBorders>
              <w:top w:val="single" w:color="auto" w:sz="4" w:space="0"/>
              <w:left w:val="single" w:color="auto" w:sz="4" w:space="0"/>
              <w:bottom w:val="single" w:color="auto" w:sz="4" w:space="0"/>
              <w:right w:val="single" w:color="auto" w:sz="4" w:space="0"/>
            </w:tcBorders>
            <w:noWrap w:val="0"/>
            <w:vAlign w:val="top"/>
          </w:tcPr>
          <w:p w14:paraId="64D77472">
            <w:pPr>
              <w:rPr>
                <w:rFonts w:hint="eastAsia" w:ascii="仿宋" w:hAnsi="仿宋" w:eastAsia="仿宋" w:cs="仿宋"/>
                <w:sz w:val="24"/>
                <w:szCs w:val="24"/>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5678F584">
            <w:pPr>
              <w:rPr>
                <w:rFonts w:hint="eastAsia" w:ascii="仿宋" w:hAnsi="仿宋" w:eastAsia="仿宋" w:cs="仿宋"/>
                <w:sz w:val="24"/>
                <w:szCs w:val="24"/>
              </w:rPr>
            </w:pPr>
          </w:p>
        </w:tc>
        <w:tc>
          <w:tcPr>
            <w:tcW w:w="1347" w:type="dxa"/>
            <w:tcBorders>
              <w:top w:val="single" w:color="auto" w:sz="4" w:space="0"/>
              <w:left w:val="single" w:color="auto" w:sz="4" w:space="0"/>
              <w:bottom w:val="single" w:color="auto" w:sz="4" w:space="0"/>
              <w:right w:val="single" w:color="auto" w:sz="4" w:space="0"/>
            </w:tcBorders>
            <w:noWrap w:val="0"/>
            <w:vAlign w:val="top"/>
          </w:tcPr>
          <w:p w14:paraId="66606F89">
            <w:pPr>
              <w:rPr>
                <w:rFonts w:hint="eastAsia" w:ascii="仿宋" w:hAnsi="仿宋" w:eastAsia="仿宋" w:cs="仿宋"/>
                <w:sz w:val="24"/>
                <w:szCs w:val="24"/>
              </w:rPr>
            </w:pPr>
          </w:p>
        </w:tc>
        <w:tc>
          <w:tcPr>
            <w:tcW w:w="2705" w:type="dxa"/>
            <w:tcBorders>
              <w:top w:val="single" w:color="auto" w:sz="4" w:space="0"/>
              <w:left w:val="single" w:color="auto" w:sz="4" w:space="0"/>
              <w:bottom w:val="single" w:color="auto" w:sz="4" w:space="0"/>
              <w:right w:val="single" w:color="auto" w:sz="4" w:space="0"/>
            </w:tcBorders>
            <w:noWrap w:val="0"/>
            <w:vAlign w:val="top"/>
          </w:tcPr>
          <w:p w14:paraId="6791A612">
            <w:pPr>
              <w:rPr>
                <w:rFonts w:hint="eastAsia" w:ascii="仿宋" w:hAnsi="仿宋" w:eastAsia="仿宋" w:cs="仿宋"/>
                <w:sz w:val="24"/>
                <w:szCs w:val="24"/>
              </w:rPr>
            </w:pPr>
          </w:p>
        </w:tc>
      </w:tr>
      <w:tr w14:paraId="17A82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73" w:type="dxa"/>
            <w:tcBorders>
              <w:top w:val="single" w:color="auto" w:sz="4" w:space="0"/>
              <w:left w:val="single" w:color="auto" w:sz="4" w:space="0"/>
              <w:bottom w:val="single" w:color="auto" w:sz="4" w:space="0"/>
              <w:right w:val="single" w:color="auto" w:sz="4" w:space="0"/>
            </w:tcBorders>
            <w:noWrap w:val="0"/>
            <w:vAlign w:val="top"/>
          </w:tcPr>
          <w:p w14:paraId="3E434B37">
            <w:pPr>
              <w:rPr>
                <w:rFonts w:hint="eastAsia" w:ascii="仿宋" w:hAnsi="仿宋" w:eastAsia="仿宋" w:cs="仿宋"/>
                <w:sz w:val="24"/>
                <w:szCs w:val="24"/>
              </w:rPr>
            </w:pPr>
          </w:p>
        </w:tc>
        <w:tc>
          <w:tcPr>
            <w:tcW w:w="1073" w:type="dxa"/>
            <w:tcBorders>
              <w:top w:val="single" w:color="auto" w:sz="4" w:space="0"/>
              <w:left w:val="single" w:color="auto" w:sz="4" w:space="0"/>
              <w:bottom w:val="single" w:color="auto" w:sz="4" w:space="0"/>
              <w:right w:val="single" w:color="auto" w:sz="4" w:space="0"/>
            </w:tcBorders>
            <w:noWrap w:val="0"/>
            <w:vAlign w:val="top"/>
          </w:tcPr>
          <w:p w14:paraId="6D5C61EE">
            <w:pPr>
              <w:rPr>
                <w:rFonts w:hint="eastAsia" w:ascii="仿宋" w:hAnsi="仿宋" w:eastAsia="仿宋" w:cs="仿宋"/>
                <w:sz w:val="24"/>
                <w:szCs w:val="24"/>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024A00F3">
            <w:pPr>
              <w:rPr>
                <w:rFonts w:hint="eastAsia" w:ascii="仿宋" w:hAnsi="仿宋" w:eastAsia="仿宋" w:cs="仿宋"/>
                <w:sz w:val="24"/>
                <w:szCs w:val="24"/>
              </w:rPr>
            </w:pPr>
          </w:p>
        </w:tc>
        <w:tc>
          <w:tcPr>
            <w:tcW w:w="1347" w:type="dxa"/>
            <w:tcBorders>
              <w:top w:val="single" w:color="auto" w:sz="4" w:space="0"/>
              <w:left w:val="single" w:color="auto" w:sz="4" w:space="0"/>
              <w:bottom w:val="single" w:color="auto" w:sz="4" w:space="0"/>
              <w:right w:val="single" w:color="auto" w:sz="4" w:space="0"/>
            </w:tcBorders>
            <w:noWrap w:val="0"/>
            <w:vAlign w:val="top"/>
          </w:tcPr>
          <w:p w14:paraId="26A97CE8">
            <w:pPr>
              <w:rPr>
                <w:rFonts w:hint="eastAsia" w:ascii="仿宋" w:hAnsi="仿宋" w:eastAsia="仿宋" w:cs="仿宋"/>
                <w:sz w:val="24"/>
                <w:szCs w:val="24"/>
              </w:rPr>
            </w:pPr>
          </w:p>
        </w:tc>
        <w:tc>
          <w:tcPr>
            <w:tcW w:w="2705" w:type="dxa"/>
            <w:tcBorders>
              <w:top w:val="single" w:color="auto" w:sz="4" w:space="0"/>
              <w:left w:val="single" w:color="auto" w:sz="4" w:space="0"/>
              <w:bottom w:val="single" w:color="auto" w:sz="4" w:space="0"/>
              <w:right w:val="single" w:color="auto" w:sz="4" w:space="0"/>
            </w:tcBorders>
            <w:noWrap w:val="0"/>
            <w:vAlign w:val="top"/>
          </w:tcPr>
          <w:p w14:paraId="18DF44CF">
            <w:pPr>
              <w:rPr>
                <w:rFonts w:hint="eastAsia" w:ascii="仿宋" w:hAnsi="仿宋" w:eastAsia="仿宋" w:cs="仿宋"/>
                <w:sz w:val="24"/>
                <w:szCs w:val="24"/>
              </w:rPr>
            </w:pPr>
          </w:p>
        </w:tc>
      </w:tr>
      <w:tr w14:paraId="727CA4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073" w:type="dxa"/>
            <w:tcBorders>
              <w:top w:val="single" w:color="auto" w:sz="4" w:space="0"/>
              <w:left w:val="single" w:color="auto" w:sz="4" w:space="0"/>
              <w:bottom w:val="single" w:color="auto" w:sz="4" w:space="0"/>
              <w:right w:val="single" w:color="auto" w:sz="4" w:space="0"/>
            </w:tcBorders>
            <w:noWrap w:val="0"/>
            <w:vAlign w:val="top"/>
          </w:tcPr>
          <w:p w14:paraId="2CDCD807">
            <w:pPr>
              <w:rPr>
                <w:rFonts w:hint="eastAsia" w:ascii="仿宋" w:hAnsi="仿宋" w:eastAsia="仿宋" w:cs="仿宋"/>
                <w:sz w:val="24"/>
                <w:szCs w:val="24"/>
              </w:rPr>
            </w:pPr>
          </w:p>
        </w:tc>
        <w:tc>
          <w:tcPr>
            <w:tcW w:w="1073" w:type="dxa"/>
            <w:tcBorders>
              <w:top w:val="single" w:color="auto" w:sz="4" w:space="0"/>
              <w:left w:val="single" w:color="auto" w:sz="4" w:space="0"/>
              <w:bottom w:val="single" w:color="auto" w:sz="4" w:space="0"/>
              <w:right w:val="single" w:color="auto" w:sz="4" w:space="0"/>
            </w:tcBorders>
            <w:noWrap w:val="0"/>
            <w:vAlign w:val="top"/>
          </w:tcPr>
          <w:p w14:paraId="3B825EA8">
            <w:pPr>
              <w:rPr>
                <w:rFonts w:hint="eastAsia" w:ascii="仿宋" w:hAnsi="仿宋" w:eastAsia="仿宋" w:cs="仿宋"/>
                <w:sz w:val="24"/>
                <w:szCs w:val="24"/>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4C2A0C69">
            <w:pPr>
              <w:rPr>
                <w:rFonts w:hint="eastAsia" w:ascii="仿宋" w:hAnsi="仿宋" w:eastAsia="仿宋" w:cs="仿宋"/>
                <w:sz w:val="24"/>
                <w:szCs w:val="24"/>
              </w:rPr>
            </w:pPr>
          </w:p>
        </w:tc>
        <w:tc>
          <w:tcPr>
            <w:tcW w:w="1347" w:type="dxa"/>
            <w:tcBorders>
              <w:top w:val="single" w:color="auto" w:sz="4" w:space="0"/>
              <w:left w:val="single" w:color="auto" w:sz="4" w:space="0"/>
              <w:bottom w:val="single" w:color="auto" w:sz="4" w:space="0"/>
              <w:right w:val="single" w:color="auto" w:sz="4" w:space="0"/>
            </w:tcBorders>
            <w:noWrap w:val="0"/>
            <w:vAlign w:val="top"/>
          </w:tcPr>
          <w:p w14:paraId="5040CE39">
            <w:pPr>
              <w:rPr>
                <w:rFonts w:hint="eastAsia" w:ascii="仿宋" w:hAnsi="仿宋" w:eastAsia="仿宋" w:cs="仿宋"/>
                <w:sz w:val="24"/>
                <w:szCs w:val="24"/>
              </w:rPr>
            </w:pPr>
          </w:p>
        </w:tc>
        <w:tc>
          <w:tcPr>
            <w:tcW w:w="2705" w:type="dxa"/>
            <w:tcBorders>
              <w:top w:val="single" w:color="auto" w:sz="4" w:space="0"/>
              <w:left w:val="single" w:color="auto" w:sz="4" w:space="0"/>
              <w:bottom w:val="single" w:color="auto" w:sz="4" w:space="0"/>
              <w:right w:val="single" w:color="auto" w:sz="4" w:space="0"/>
            </w:tcBorders>
            <w:noWrap w:val="0"/>
            <w:vAlign w:val="top"/>
          </w:tcPr>
          <w:p w14:paraId="4081D562">
            <w:pPr>
              <w:rPr>
                <w:rFonts w:hint="eastAsia" w:ascii="仿宋" w:hAnsi="仿宋" w:eastAsia="仿宋" w:cs="仿宋"/>
                <w:sz w:val="24"/>
                <w:szCs w:val="24"/>
              </w:rPr>
            </w:pPr>
          </w:p>
        </w:tc>
      </w:tr>
    </w:tbl>
    <w:p w14:paraId="37B2CB7B">
      <w:pPr>
        <w:rPr>
          <w:rFonts w:hint="eastAsia" w:ascii="仿宋" w:hAnsi="仿宋" w:eastAsia="仿宋" w:cs="仿宋"/>
          <w:sz w:val="24"/>
          <w:szCs w:val="24"/>
        </w:rPr>
      </w:pPr>
    </w:p>
    <w:p w14:paraId="2F58478C">
      <w:pPr>
        <w:rPr>
          <w:rFonts w:hint="eastAsia" w:ascii="仿宋" w:hAnsi="仿宋" w:eastAsia="仿宋" w:cs="仿宋"/>
          <w:sz w:val="24"/>
          <w:szCs w:val="24"/>
        </w:rPr>
      </w:pPr>
      <w:r>
        <w:rPr>
          <w:rFonts w:hint="eastAsia" w:ascii="仿宋" w:hAnsi="仿宋" w:eastAsia="仿宋" w:cs="仿宋"/>
          <w:sz w:val="24"/>
          <w:szCs w:val="24"/>
        </w:rPr>
        <w:t xml:space="preserve">注：在填写时，如本表格不适合供应商的实际情况，可根据本表格式自行划表填写。 </w:t>
      </w:r>
    </w:p>
    <w:p w14:paraId="694401EE">
      <w:pPr>
        <w:rPr>
          <w:rFonts w:hint="eastAsia" w:ascii="仿宋" w:hAnsi="仿宋" w:eastAsia="仿宋" w:cs="仿宋"/>
          <w:sz w:val="24"/>
          <w:szCs w:val="24"/>
        </w:rPr>
      </w:pPr>
    </w:p>
    <w:p w14:paraId="7EB7BDAE">
      <w:pPr>
        <w:rPr>
          <w:rFonts w:hint="eastAsia" w:ascii="仿宋" w:hAnsi="仿宋" w:eastAsia="仿宋" w:cs="仿宋"/>
          <w:spacing w:val="20"/>
          <w:sz w:val="24"/>
          <w:szCs w:val="24"/>
          <w:u w:val="single"/>
        </w:rPr>
      </w:pPr>
      <w:r>
        <w:rPr>
          <w:rFonts w:hint="eastAsia" w:ascii="仿宋" w:hAnsi="仿宋" w:eastAsia="仿宋" w:cs="仿宋"/>
          <w:spacing w:val="20"/>
          <w:sz w:val="24"/>
          <w:szCs w:val="24"/>
        </w:rPr>
        <w:t>供应商全称</w:t>
      </w:r>
      <w:r>
        <w:rPr>
          <w:rFonts w:hint="eastAsia" w:ascii="仿宋" w:hAnsi="仿宋" w:eastAsia="仿宋" w:cs="仿宋"/>
          <w:sz w:val="24"/>
          <w:szCs w:val="24"/>
        </w:rPr>
        <w:t>（</w:t>
      </w:r>
      <w:r>
        <w:rPr>
          <w:rFonts w:hint="eastAsia" w:ascii="仿宋" w:hAnsi="仿宋" w:eastAsia="仿宋" w:cs="仿宋"/>
          <w:sz w:val="24"/>
          <w:szCs w:val="24"/>
          <w:lang w:eastAsia="zh-CN"/>
        </w:rPr>
        <w:t>盖单位章</w:t>
      </w:r>
      <w:r>
        <w:rPr>
          <w:rFonts w:hint="eastAsia" w:ascii="仿宋" w:hAnsi="仿宋" w:eastAsia="仿宋" w:cs="仿宋"/>
          <w:sz w:val="24"/>
          <w:szCs w:val="24"/>
        </w:rPr>
        <w:t>）</w:t>
      </w:r>
      <w:r>
        <w:rPr>
          <w:rFonts w:hint="eastAsia" w:ascii="仿宋" w:hAnsi="仿宋" w:eastAsia="仿宋" w:cs="仿宋"/>
          <w:spacing w:val="20"/>
          <w:sz w:val="24"/>
          <w:szCs w:val="24"/>
        </w:rPr>
        <w:t>：</w:t>
      </w:r>
      <w:r>
        <w:rPr>
          <w:rFonts w:hint="eastAsia" w:ascii="仿宋" w:hAnsi="仿宋" w:eastAsia="仿宋" w:cs="仿宋"/>
          <w:spacing w:val="20"/>
          <w:sz w:val="24"/>
          <w:szCs w:val="24"/>
          <w:u w:val="single"/>
        </w:rPr>
        <w:t xml:space="preserve">  </w:t>
      </w:r>
      <w:r>
        <w:rPr>
          <w:rFonts w:hint="eastAsia" w:ascii="仿宋" w:hAnsi="仿宋" w:eastAsia="仿宋" w:cs="仿宋"/>
          <w:spacing w:val="20"/>
          <w:sz w:val="24"/>
          <w:szCs w:val="24"/>
          <w:u w:val="single"/>
          <w:lang w:val="en-US" w:eastAsia="zh-CN"/>
        </w:rPr>
        <w:t xml:space="preserve">     </w:t>
      </w:r>
      <w:r>
        <w:rPr>
          <w:rFonts w:hint="eastAsia" w:ascii="仿宋" w:hAnsi="仿宋" w:eastAsia="仿宋" w:cs="仿宋"/>
          <w:spacing w:val="20"/>
          <w:sz w:val="24"/>
          <w:szCs w:val="24"/>
          <w:u w:val="single"/>
        </w:rPr>
        <w:t xml:space="preserve">  </w:t>
      </w:r>
      <w:r>
        <w:rPr>
          <w:rFonts w:hint="eastAsia" w:ascii="仿宋" w:hAnsi="仿宋" w:eastAsia="仿宋" w:cs="仿宋"/>
          <w:spacing w:val="20"/>
          <w:sz w:val="24"/>
          <w:szCs w:val="24"/>
        </w:rPr>
        <w:t xml:space="preserve">   日 期：</w:t>
      </w:r>
      <w:r>
        <w:rPr>
          <w:rFonts w:hint="eastAsia" w:ascii="仿宋" w:hAnsi="仿宋" w:eastAsia="仿宋" w:cs="仿宋"/>
          <w:spacing w:val="20"/>
          <w:sz w:val="24"/>
          <w:szCs w:val="24"/>
          <w:u w:val="single"/>
        </w:rPr>
        <w:t xml:space="preserve">   </w:t>
      </w:r>
      <w:r>
        <w:rPr>
          <w:rFonts w:hint="eastAsia" w:ascii="仿宋" w:hAnsi="仿宋" w:eastAsia="仿宋" w:cs="仿宋"/>
          <w:spacing w:val="20"/>
          <w:sz w:val="24"/>
          <w:szCs w:val="24"/>
          <w:u w:val="single"/>
          <w:lang w:val="en-US" w:eastAsia="zh-CN"/>
        </w:rPr>
        <w:t xml:space="preserve">    </w:t>
      </w:r>
      <w:r>
        <w:rPr>
          <w:rFonts w:hint="eastAsia" w:ascii="仿宋" w:hAnsi="仿宋" w:eastAsia="仿宋" w:cs="仿宋"/>
          <w:spacing w:val="20"/>
          <w:sz w:val="24"/>
          <w:szCs w:val="24"/>
          <w:u w:val="single"/>
        </w:rPr>
        <w:t xml:space="preserve">  </w:t>
      </w:r>
    </w:p>
    <w:p w14:paraId="028672F4">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04648F0B">
      <w:pPr>
        <w:rPr>
          <w:rFonts w:ascii="仿宋" w:hAnsi="仿宋" w:eastAsia="仿宋" w:cs="仿宋"/>
          <w:sz w:val="24"/>
        </w:rPr>
      </w:pPr>
    </w:p>
    <w:p w14:paraId="678494A9">
      <w:pPr>
        <w:pStyle w:val="6"/>
        <w:keepNext w:val="0"/>
        <w:keepLines w:val="0"/>
        <w:pageBreakBefore/>
        <w:spacing w:line="415" w:lineRule="auto"/>
        <w:rPr>
          <w:rFonts w:ascii="宋体" w:hAnsi="宋体" w:cs="仿宋"/>
          <w:b w:val="0"/>
          <w:szCs w:val="28"/>
        </w:rPr>
      </w:pPr>
      <w:r>
        <w:rPr>
          <w:rFonts w:hint="eastAsia" w:ascii="宋体" w:hAnsi="宋体" w:cs="仿宋"/>
          <w:b w:val="0"/>
          <w:szCs w:val="28"/>
        </w:rPr>
        <w:t>（七）服务承诺（格式自拟）</w:t>
      </w:r>
    </w:p>
    <w:p w14:paraId="6D61049C">
      <w:pPr>
        <w:pStyle w:val="6"/>
        <w:keepNext w:val="0"/>
        <w:keepLines w:val="0"/>
        <w:pageBreakBefore/>
        <w:spacing w:line="415" w:lineRule="auto"/>
        <w:rPr>
          <w:rFonts w:ascii="宋体" w:hAnsi="宋体" w:cs="仿宋"/>
          <w:b w:val="0"/>
          <w:szCs w:val="32"/>
        </w:rPr>
      </w:pPr>
      <w:r>
        <w:rPr>
          <w:rFonts w:hint="eastAsia" w:ascii="宋体" w:hAnsi="宋体" w:cs="仿宋"/>
          <w:b w:val="0"/>
          <w:szCs w:val="32"/>
        </w:rPr>
        <w:t>（八）正版软件承诺（</w:t>
      </w:r>
      <w:r>
        <w:rPr>
          <w:rFonts w:hint="eastAsia" w:ascii="宋体" w:hAnsi="宋体" w:cs="宋体"/>
          <w:b w:val="0"/>
          <w:color w:val="000000"/>
          <w:szCs w:val="24"/>
        </w:rPr>
        <w:t>如不涉及，此函可不提供</w:t>
      </w:r>
      <w:r>
        <w:rPr>
          <w:rFonts w:hint="eastAsia" w:ascii="宋体" w:hAnsi="宋体" w:cs="仿宋"/>
          <w:b w:val="0"/>
          <w:szCs w:val="32"/>
        </w:rPr>
        <w:t>）</w:t>
      </w:r>
    </w:p>
    <w:p w14:paraId="4ECA796C">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仿宋" w:hAnsi="仿宋" w:eastAsia="仿宋" w:cs="仿宋"/>
          <w:b/>
          <w:bCs/>
          <w:spacing w:val="20"/>
          <w:sz w:val="24"/>
        </w:rPr>
      </w:pPr>
      <w:r>
        <w:rPr>
          <w:rFonts w:hint="eastAsia" w:ascii="仿宋" w:hAnsi="仿宋" w:eastAsia="仿宋" w:cs="仿宋"/>
          <w:b/>
          <w:bCs/>
          <w:spacing w:val="20"/>
          <w:sz w:val="24"/>
        </w:rPr>
        <w:t>正版软件承诺</w:t>
      </w:r>
    </w:p>
    <w:p w14:paraId="70DC3F05">
      <w:pPr>
        <w:spacing w:line="560" w:lineRule="exact"/>
        <w:ind w:firstLine="480" w:firstLineChars="200"/>
        <w:rPr>
          <w:rFonts w:ascii="仿宋" w:hAnsi="仿宋" w:eastAsia="仿宋" w:cs="仿宋"/>
          <w:sz w:val="24"/>
        </w:rPr>
      </w:pPr>
      <w:r>
        <w:rPr>
          <w:rFonts w:hint="eastAsia" w:ascii="仿宋" w:hAnsi="仿宋" w:eastAsia="仿宋" w:cs="仿宋"/>
          <w:sz w:val="24"/>
        </w:rPr>
        <w:t>本供应商现参与</w:t>
      </w:r>
      <w:r>
        <w:rPr>
          <w:rFonts w:hint="eastAsia" w:ascii="仿宋" w:hAnsi="仿宋" w:eastAsia="仿宋" w:cs="仿宋"/>
          <w:sz w:val="24"/>
          <w:u w:val="single"/>
        </w:rPr>
        <w:t xml:space="preserve">  （项目名称）（项目编号）      </w:t>
      </w:r>
      <w:r>
        <w:rPr>
          <w:rFonts w:hint="eastAsia" w:ascii="仿宋" w:hAnsi="仿宋" w:eastAsia="仿宋" w:cs="仿宋"/>
          <w:sz w:val="24"/>
        </w:rPr>
        <w:t>的磋商活动，本公司承诺投报的计算机产品预装正版操作系统，投报的硬件产品内的预装软件为正版软件。</w:t>
      </w:r>
    </w:p>
    <w:p w14:paraId="34BF3495">
      <w:pPr>
        <w:spacing w:line="560" w:lineRule="exact"/>
        <w:ind w:firstLine="480" w:firstLineChars="200"/>
        <w:rPr>
          <w:rFonts w:ascii="仿宋" w:hAnsi="仿宋" w:eastAsia="仿宋" w:cs="仿宋"/>
          <w:sz w:val="24"/>
        </w:rPr>
      </w:pPr>
      <w:r>
        <w:rPr>
          <w:rFonts w:hint="eastAsia" w:ascii="仿宋" w:hAnsi="仿宋" w:eastAsia="仿宋" w:cs="仿宋"/>
          <w:sz w:val="24"/>
        </w:rPr>
        <w:t>如上述声明不真实，愿意按照政府采购有关法律法规的规定接受处罚。</w:t>
      </w:r>
    </w:p>
    <w:p w14:paraId="5DDF9511">
      <w:pPr>
        <w:pBdr>
          <w:top w:val="none" w:color="auto" w:sz="0" w:space="1"/>
          <w:left w:val="none" w:color="auto" w:sz="0" w:space="4"/>
          <w:bottom w:val="none" w:color="auto" w:sz="0" w:space="1"/>
          <w:right w:val="none" w:color="auto" w:sz="0" w:space="4"/>
        </w:pBdr>
        <w:ind w:right="-110" w:firstLine="480" w:firstLineChars="200"/>
        <w:rPr>
          <w:rFonts w:ascii="仿宋" w:hAnsi="仿宋" w:eastAsia="仿宋" w:cs="仿宋"/>
          <w:sz w:val="24"/>
        </w:rPr>
      </w:pPr>
      <w:r>
        <w:rPr>
          <w:rFonts w:hint="eastAsia" w:ascii="仿宋" w:hAnsi="仿宋" w:eastAsia="仿宋" w:cs="仿宋"/>
          <w:sz w:val="24"/>
        </w:rPr>
        <w:t>特此声明。</w:t>
      </w:r>
    </w:p>
    <w:p w14:paraId="420D1C3C">
      <w:pPr>
        <w:spacing w:beforeLines="100" w:line="560" w:lineRule="exact"/>
        <w:jc w:val="right"/>
        <w:rPr>
          <w:rFonts w:ascii="仿宋" w:hAnsi="仿宋" w:eastAsia="仿宋" w:cs="仿宋"/>
          <w:sz w:val="24"/>
        </w:rPr>
      </w:pPr>
      <w:r>
        <w:rPr>
          <w:rFonts w:hint="eastAsia" w:ascii="仿宋" w:hAnsi="仿宋" w:eastAsia="仿宋" w:cs="仿宋"/>
          <w:sz w:val="24"/>
        </w:rPr>
        <w:t xml:space="preserve"> 供应商全称（盖单位章）：</w:t>
      </w:r>
    </w:p>
    <w:p w14:paraId="5B622013">
      <w:pPr>
        <w:spacing w:beforeLines="100" w:line="560" w:lineRule="exact"/>
        <w:jc w:val="right"/>
        <w:rPr>
          <w:rFonts w:ascii="宋体" w:hAnsi="宋体" w:cs="仿宋"/>
          <w:sz w:val="24"/>
          <w:szCs w:val="30"/>
        </w:rPr>
      </w:pPr>
      <w:r>
        <w:rPr>
          <w:rFonts w:hint="eastAsia" w:ascii="仿宋" w:hAnsi="仿宋" w:eastAsia="仿宋" w:cs="仿宋"/>
          <w:sz w:val="24"/>
        </w:rPr>
        <w:t xml:space="preserve">                  </w:t>
      </w:r>
      <w:bookmarkStart w:id="175" w:name="_Toc27984"/>
      <w:bookmarkStart w:id="176" w:name="_Toc10565"/>
      <w:r>
        <w:rPr>
          <w:rFonts w:hint="eastAsia" w:ascii="仿宋" w:hAnsi="仿宋" w:eastAsia="仿宋" w:cs="仿宋"/>
          <w:sz w:val="24"/>
        </w:rPr>
        <w:t>日  期：</w:t>
      </w:r>
      <w:bookmarkEnd w:id="175"/>
      <w:bookmarkEnd w:id="176"/>
    </w:p>
    <w:p w14:paraId="3B82E4FB">
      <w:pPr>
        <w:spacing w:beforeLines="100" w:line="560" w:lineRule="exact"/>
        <w:jc w:val="right"/>
        <w:rPr>
          <w:rFonts w:ascii="宋体" w:hAnsi="宋体" w:cs="仿宋"/>
          <w:sz w:val="28"/>
          <w:szCs w:val="30"/>
        </w:rPr>
      </w:pPr>
    </w:p>
    <w:p w14:paraId="20FC7175">
      <w:pPr>
        <w:pStyle w:val="6"/>
        <w:keepNext w:val="0"/>
        <w:keepLines w:val="0"/>
        <w:pageBreakBefore/>
        <w:spacing w:line="415" w:lineRule="auto"/>
        <w:rPr>
          <w:rFonts w:ascii="宋体" w:hAnsi="宋体" w:cs="仿宋"/>
          <w:b w:val="0"/>
          <w:szCs w:val="32"/>
        </w:rPr>
      </w:pPr>
      <w:r>
        <w:rPr>
          <w:rFonts w:hint="eastAsia" w:ascii="宋体" w:hAnsi="宋体" w:cs="仿宋"/>
          <w:b w:val="0"/>
          <w:szCs w:val="32"/>
        </w:rPr>
        <w:t>（九）信息安全产品说明（</w:t>
      </w:r>
      <w:r>
        <w:rPr>
          <w:rFonts w:hint="eastAsia" w:ascii="宋体" w:hAnsi="宋体" w:cs="宋体"/>
          <w:b w:val="0"/>
          <w:color w:val="000000"/>
          <w:szCs w:val="24"/>
        </w:rPr>
        <w:t>如不涉及，此函可不提供</w:t>
      </w:r>
      <w:r>
        <w:rPr>
          <w:rFonts w:hint="eastAsia" w:ascii="宋体" w:hAnsi="宋体" w:cs="仿宋"/>
          <w:b w:val="0"/>
          <w:szCs w:val="32"/>
        </w:rPr>
        <w:t>）</w:t>
      </w:r>
    </w:p>
    <w:p w14:paraId="657526E4">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仿宋" w:hAnsi="仿宋" w:eastAsia="仿宋" w:cs="仿宋"/>
          <w:b/>
          <w:bCs/>
          <w:spacing w:val="20"/>
          <w:sz w:val="24"/>
        </w:rPr>
      </w:pPr>
      <w:r>
        <w:rPr>
          <w:rFonts w:hint="eastAsia" w:ascii="仿宋" w:hAnsi="仿宋" w:eastAsia="仿宋" w:cs="仿宋"/>
          <w:b/>
          <w:bCs/>
          <w:spacing w:val="20"/>
          <w:sz w:val="24"/>
        </w:rPr>
        <w:t>信息安全产品说明</w:t>
      </w:r>
    </w:p>
    <w:p w14:paraId="49656AD4">
      <w:pPr>
        <w:spacing w:line="560" w:lineRule="exact"/>
        <w:ind w:firstLine="480" w:firstLineChars="200"/>
        <w:rPr>
          <w:rFonts w:ascii="仿宋" w:hAnsi="仿宋" w:eastAsia="仿宋" w:cs="仿宋"/>
          <w:sz w:val="24"/>
        </w:rPr>
      </w:pPr>
      <w:r>
        <w:rPr>
          <w:rFonts w:hint="eastAsia" w:ascii="仿宋" w:hAnsi="仿宋" w:eastAsia="仿宋" w:cs="仿宋"/>
          <w:sz w:val="24"/>
        </w:rPr>
        <w:t>如产品为信息安全产品，响应文件中须提供有效认证证书彩色扫描件；</w:t>
      </w:r>
    </w:p>
    <w:p w14:paraId="27539069">
      <w:pPr>
        <w:rPr>
          <w:rFonts w:ascii="仿宋" w:hAnsi="仿宋" w:eastAsia="仿宋" w:cs="仿宋"/>
          <w:sz w:val="24"/>
        </w:rPr>
      </w:pPr>
    </w:p>
    <w:p w14:paraId="63ACCE40">
      <w:pPr>
        <w:rPr>
          <w:rFonts w:ascii="宋体" w:hAnsi="宋体" w:cs="仿宋"/>
          <w:sz w:val="24"/>
          <w:szCs w:val="30"/>
        </w:rPr>
      </w:pPr>
    </w:p>
    <w:p w14:paraId="63E4F825">
      <w:pPr>
        <w:pStyle w:val="6"/>
        <w:keepNext w:val="0"/>
        <w:keepLines w:val="0"/>
        <w:pageBreakBefore/>
        <w:spacing w:line="415" w:lineRule="auto"/>
        <w:rPr>
          <w:rFonts w:ascii="宋体" w:hAnsi="宋体" w:cs="仿宋"/>
          <w:b w:val="0"/>
          <w:szCs w:val="32"/>
        </w:rPr>
      </w:pPr>
      <w:r>
        <w:rPr>
          <w:rFonts w:hint="eastAsia" w:ascii="宋体" w:hAnsi="宋体" w:cs="仿宋"/>
          <w:b w:val="0"/>
          <w:szCs w:val="32"/>
        </w:rPr>
        <w:t>（十）商品包装和快递包装承诺（</w:t>
      </w:r>
      <w:r>
        <w:rPr>
          <w:rFonts w:hint="eastAsia" w:ascii="宋体" w:hAnsi="宋体" w:cs="宋体"/>
          <w:b w:val="0"/>
          <w:color w:val="000000"/>
          <w:szCs w:val="24"/>
        </w:rPr>
        <w:t>如不涉及，此函可不提供</w:t>
      </w:r>
      <w:r>
        <w:rPr>
          <w:rFonts w:hint="eastAsia" w:ascii="宋体" w:hAnsi="宋体" w:cs="仿宋"/>
          <w:b w:val="0"/>
          <w:szCs w:val="32"/>
        </w:rPr>
        <w:t>）</w:t>
      </w:r>
    </w:p>
    <w:p w14:paraId="41E2FDCB">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仿宋" w:hAnsi="仿宋" w:eastAsia="仿宋" w:cs="仿宋"/>
          <w:b/>
          <w:bCs/>
          <w:spacing w:val="20"/>
          <w:sz w:val="24"/>
        </w:rPr>
      </w:pPr>
      <w:r>
        <w:rPr>
          <w:rFonts w:hint="eastAsia" w:ascii="仿宋" w:hAnsi="仿宋" w:eastAsia="仿宋" w:cs="仿宋"/>
          <w:b/>
          <w:bCs/>
          <w:spacing w:val="20"/>
          <w:sz w:val="24"/>
        </w:rPr>
        <w:t>商品包装和快递包装承诺</w:t>
      </w:r>
    </w:p>
    <w:p w14:paraId="31A5B4D2">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本供应商现参与</w:t>
      </w:r>
      <w:r>
        <w:rPr>
          <w:rFonts w:hint="eastAsia" w:ascii="仿宋" w:hAnsi="仿宋" w:eastAsia="仿宋" w:cs="仿宋"/>
          <w:sz w:val="24"/>
          <w:u w:val="single"/>
        </w:rPr>
        <w:t xml:space="preserve">  （项目名称）（项目编号）      </w:t>
      </w:r>
      <w:r>
        <w:rPr>
          <w:rFonts w:hint="eastAsia" w:ascii="仿宋" w:hAnsi="仿宋" w:eastAsia="仿宋" w:cs="仿宋"/>
          <w:kern w:val="0"/>
          <w:sz w:val="24"/>
        </w:rPr>
        <w:t>的采购活动，本公司承诺所供商品包装符合《商品包装政府采购需求标准（试行）》，快递包装符合《快递包装政府采购需求标准（试行）》。</w:t>
      </w:r>
    </w:p>
    <w:p w14:paraId="044902EF">
      <w:pPr>
        <w:spacing w:line="560" w:lineRule="exact"/>
        <w:ind w:firstLine="480" w:firstLineChars="200"/>
        <w:rPr>
          <w:rFonts w:ascii="仿宋" w:hAnsi="仿宋" w:eastAsia="仿宋" w:cs="仿宋"/>
          <w:sz w:val="24"/>
        </w:rPr>
      </w:pPr>
      <w:r>
        <w:rPr>
          <w:rFonts w:hint="eastAsia" w:ascii="仿宋" w:hAnsi="仿宋" w:eastAsia="仿宋" w:cs="仿宋"/>
          <w:sz w:val="24"/>
        </w:rPr>
        <w:t>如上述声明不真实，愿意按照政府采购有关法律法规的规定接受处罚。</w:t>
      </w:r>
    </w:p>
    <w:p w14:paraId="04FBC881">
      <w:pPr>
        <w:spacing w:line="560" w:lineRule="exact"/>
        <w:ind w:firstLine="480" w:firstLineChars="200"/>
        <w:rPr>
          <w:rFonts w:ascii="仿宋" w:hAnsi="仿宋" w:eastAsia="仿宋" w:cs="仿宋"/>
          <w:sz w:val="24"/>
        </w:rPr>
      </w:pPr>
      <w:r>
        <w:rPr>
          <w:rFonts w:hint="eastAsia" w:ascii="仿宋" w:hAnsi="仿宋" w:eastAsia="仿宋" w:cs="仿宋"/>
          <w:sz w:val="24"/>
        </w:rPr>
        <w:t xml:space="preserve">特此声明。 </w:t>
      </w:r>
    </w:p>
    <w:p w14:paraId="5FF338AE">
      <w:pPr>
        <w:spacing w:beforeLines="100" w:line="560" w:lineRule="exact"/>
        <w:ind w:firstLine="480" w:firstLineChars="200"/>
        <w:jc w:val="right"/>
        <w:rPr>
          <w:rFonts w:ascii="仿宋" w:hAnsi="仿宋" w:eastAsia="仿宋" w:cs="仿宋"/>
          <w:sz w:val="24"/>
        </w:rPr>
      </w:pPr>
      <w:r>
        <w:rPr>
          <w:rFonts w:hint="eastAsia" w:ascii="仿宋" w:hAnsi="仿宋" w:eastAsia="仿宋" w:cs="仿宋"/>
          <w:sz w:val="24"/>
        </w:rPr>
        <w:t>供应商全称（盖单位章）：</w:t>
      </w:r>
    </w:p>
    <w:p w14:paraId="5F740B8C">
      <w:pPr>
        <w:spacing w:beforeLines="100" w:line="560" w:lineRule="exact"/>
        <w:ind w:firstLine="480" w:firstLineChars="200"/>
        <w:jc w:val="right"/>
        <w:rPr>
          <w:rFonts w:ascii="仿宋" w:hAnsi="仿宋" w:eastAsia="仿宋" w:cs="仿宋"/>
          <w:sz w:val="24"/>
        </w:rPr>
      </w:pPr>
      <w:r>
        <w:rPr>
          <w:rFonts w:hint="eastAsia" w:ascii="仿宋" w:hAnsi="仿宋" w:eastAsia="仿宋" w:cs="仿宋"/>
          <w:kern w:val="0"/>
          <w:sz w:val="24"/>
        </w:rPr>
        <w:t xml:space="preserve">                            </w:t>
      </w:r>
      <w:r>
        <w:rPr>
          <w:rFonts w:hint="eastAsia" w:ascii="仿宋" w:hAnsi="仿宋" w:eastAsia="仿宋" w:cs="仿宋"/>
          <w:sz w:val="24"/>
        </w:rPr>
        <w:t xml:space="preserve"> 日  期：</w:t>
      </w:r>
    </w:p>
    <w:p w14:paraId="70E89A4F">
      <w:pPr>
        <w:rPr>
          <w:rFonts w:ascii="宋体" w:hAnsi="宋体" w:cs="仿宋"/>
          <w:b/>
          <w:bCs/>
          <w:sz w:val="24"/>
          <w:szCs w:val="30"/>
        </w:rPr>
      </w:pPr>
    </w:p>
    <w:p w14:paraId="5DE1DA4C">
      <w:pPr>
        <w:pStyle w:val="6"/>
        <w:keepNext w:val="0"/>
        <w:keepLines w:val="0"/>
        <w:pageBreakBefore/>
        <w:spacing w:line="415" w:lineRule="auto"/>
        <w:rPr>
          <w:rFonts w:ascii="宋体" w:hAnsi="宋体" w:cs="仿宋"/>
          <w:b w:val="0"/>
          <w:szCs w:val="28"/>
        </w:rPr>
      </w:pPr>
      <w:r>
        <w:rPr>
          <w:rFonts w:hint="eastAsia" w:ascii="宋体" w:hAnsi="宋体" w:cs="仿宋"/>
          <w:b w:val="0"/>
          <w:szCs w:val="28"/>
        </w:rPr>
        <w:t>（十一）供应商需要说明的其他文件和说明（格式自拟）。</w:t>
      </w:r>
    </w:p>
    <w:p w14:paraId="305A70A7">
      <w:pPr>
        <w:rPr>
          <w:rFonts w:ascii="宋体" w:hAnsi="宋体" w:cs="仿宋"/>
          <w:sz w:val="28"/>
          <w:szCs w:val="30"/>
        </w:rPr>
      </w:pPr>
    </w:p>
    <w:p w14:paraId="649182CA">
      <w:pPr>
        <w:pStyle w:val="5"/>
        <w:keepNext w:val="0"/>
        <w:keepLines w:val="0"/>
        <w:pageBreakBefore/>
        <w:spacing w:line="415" w:lineRule="auto"/>
        <w:jc w:val="center"/>
        <w:rPr>
          <w:rFonts w:ascii="宋体" w:hAnsi="宋体" w:cs="宋体"/>
          <w:b w:val="0"/>
          <w:sz w:val="30"/>
          <w:szCs w:val="30"/>
        </w:rPr>
      </w:pPr>
      <w:r>
        <w:rPr>
          <w:rFonts w:hint="eastAsia" w:ascii="宋体" w:hAnsi="宋体"/>
          <w:color w:val="000000"/>
          <w:sz w:val="30"/>
          <w:szCs w:val="30"/>
        </w:rPr>
        <w:t>报价文件</w:t>
      </w:r>
      <w:r>
        <w:rPr>
          <w:rFonts w:hint="eastAsia" w:ascii="宋体" w:hAnsi="宋体" w:cs="宋体"/>
          <w:sz w:val="30"/>
          <w:szCs w:val="30"/>
        </w:rPr>
        <w:t>部分</w:t>
      </w:r>
    </w:p>
    <w:p w14:paraId="5BF6E2CB">
      <w:pPr>
        <w:rPr>
          <w:sz w:val="24"/>
          <w:szCs w:val="32"/>
        </w:rPr>
      </w:pPr>
      <w:r>
        <w:rPr>
          <w:rFonts w:hint="eastAsia"/>
          <w:sz w:val="24"/>
          <w:szCs w:val="32"/>
        </w:rPr>
        <w:t>（一）报价一览表</w:t>
      </w:r>
    </w:p>
    <w:p w14:paraId="20D9E772">
      <w:pPr>
        <w:pBdr>
          <w:top w:val="none" w:color="auto" w:sz="0" w:space="1"/>
          <w:left w:val="none" w:color="auto" w:sz="0" w:space="4"/>
          <w:bottom w:val="none" w:color="auto" w:sz="0" w:space="1"/>
          <w:right w:val="none" w:color="auto" w:sz="0" w:space="4"/>
        </w:pBdr>
        <w:spacing w:beforeLines="100" w:afterLines="100" w:line="560" w:lineRule="exact"/>
        <w:ind w:left="562" w:hanging="562" w:hangingChars="200"/>
        <w:jc w:val="center"/>
        <w:rPr>
          <w:rFonts w:ascii="仿宋" w:hAnsi="仿宋" w:eastAsia="仿宋" w:cs="仿宋"/>
          <w:b/>
          <w:bCs/>
          <w:spacing w:val="20"/>
          <w:sz w:val="24"/>
          <w:szCs w:val="30"/>
        </w:rPr>
      </w:pPr>
      <w:r>
        <w:rPr>
          <w:rFonts w:hint="eastAsia" w:ascii="仿宋" w:hAnsi="仿宋" w:eastAsia="仿宋" w:cs="仿宋"/>
          <w:b/>
          <w:bCs/>
          <w:spacing w:val="20"/>
          <w:sz w:val="24"/>
          <w:szCs w:val="30"/>
        </w:rPr>
        <w:t>报 价 一 览 表</w:t>
      </w:r>
    </w:p>
    <w:p w14:paraId="352F9CA6">
      <w:pPr>
        <w:pStyle w:val="55"/>
        <w:ind w:firstLine="562"/>
        <w:rPr>
          <w:rFonts w:eastAsia="仿宋"/>
        </w:rPr>
      </w:pPr>
      <w:r>
        <w:rPr>
          <w:rFonts w:hint="eastAsia" w:ascii="仿宋" w:hAnsi="仿宋" w:eastAsia="仿宋" w:cs="仿宋"/>
          <w:b/>
          <w:bCs/>
          <w:spacing w:val="20"/>
          <w:szCs w:val="30"/>
        </w:rPr>
        <w:t xml:space="preserve">                                      </w:t>
      </w:r>
      <w:r>
        <w:rPr>
          <w:rFonts w:hint="eastAsia" w:ascii="仿宋" w:hAnsi="仿宋" w:eastAsia="仿宋" w:cs="仿宋"/>
          <w:b/>
          <w:bCs/>
          <w:spacing w:val="20"/>
          <w:szCs w:val="30"/>
          <w:lang w:val="en-US" w:eastAsia="zh-CN"/>
        </w:rPr>
        <w:t>人民币/元</w:t>
      </w:r>
      <w:r>
        <w:rPr>
          <w:rFonts w:hint="eastAsia" w:ascii="仿宋" w:hAnsi="仿宋" w:eastAsia="仿宋" w:cs="仿宋"/>
          <w:spacing w:val="20"/>
          <w:szCs w:val="30"/>
        </w:rPr>
        <w:t xml:space="preserve"> </w:t>
      </w:r>
    </w:p>
    <w:tbl>
      <w:tblPr>
        <w:tblStyle w:val="39"/>
        <w:tblW w:w="0" w:type="auto"/>
        <w:jc w:val="center"/>
        <w:tblLayout w:type="fixed"/>
        <w:tblCellMar>
          <w:top w:w="0" w:type="dxa"/>
          <w:left w:w="0" w:type="dxa"/>
          <w:bottom w:w="0" w:type="dxa"/>
          <w:right w:w="0" w:type="dxa"/>
        </w:tblCellMar>
      </w:tblPr>
      <w:tblGrid>
        <w:gridCol w:w="1643"/>
        <w:gridCol w:w="6927"/>
      </w:tblGrid>
      <w:tr w14:paraId="17396A3C">
        <w:tblPrEx>
          <w:tblCellMar>
            <w:top w:w="0" w:type="dxa"/>
            <w:left w:w="0" w:type="dxa"/>
            <w:bottom w:w="0" w:type="dxa"/>
            <w:right w:w="0" w:type="dxa"/>
          </w:tblCellMar>
        </w:tblPrEx>
        <w:trPr>
          <w:trHeight w:val="748" w:hRule="exac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36BC4EBA">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项目名称</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5828C2BF">
            <w:pPr>
              <w:jc w:val="center"/>
              <w:rPr>
                <w:rFonts w:hint="eastAsia" w:ascii="仿宋" w:hAnsi="仿宋" w:eastAsia="仿宋" w:cs="仿宋"/>
                <w:color w:val="000000"/>
                <w:sz w:val="22"/>
                <w:szCs w:val="22"/>
              </w:rPr>
            </w:pPr>
          </w:p>
        </w:tc>
      </w:tr>
      <w:tr w14:paraId="522EDE6D">
        <w:tblPrEx>
          <w:tblCellMar>
            <w:top w:w="0" w:type="dxa"/>
            <w:left w:w="0" w:type="dxa"/>
            <w:bottom w:w="0" w:type="dxa"/>
            <w:right w:w="0" w:type="dxa"/>
          </w:tblCellMar>
        </w:tblPrEx>
        <w:trPr>
          <w:trHeight w:val="772" w:hRule="exact"/>
          <w:jc w:val="center"/>
        </w:trPr>
        <w:tc>
          <w:tcPr>
            <w:tcW w:w="1643" w:type="dxa"/>
            <w:vMerge w:val="restart"/>
            <w:tcBorders>
              <w:top w:val="single" w:color="auto" w:sz="4" w:space="0"/>
              <w:left w:val="single" w:color="auto" w:sz="4" w:space="0"/>
              <w:bottom w:val="single" w:color="auto" w:sz="4" w:space="0"/>
              <w:right w:val="single" w:color="auto" w:sz="4" w:space="0"/>
            </w:tcBorders>
            <w:noWrap w:val="0"/>
            <w:vAlign w:val="center"/>
          </w:tcPr>
          <w:p w14:paraId="10FC8B03">
            <w:pPr>
              <w:jc w:val="center"/>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投标</w:t>
            </w:r>
            <w:r>
              <w:rPr>
                <w:rFonts w:hint="eastAsia" w:ascii="仿宋" w:hAnsi="仿宋" w:eastAsia="仿宋" w:cs="仿宋"/>
                <w:color w:val="000000"/>
                <w:sz w:val="22"/>
                <w:szCs w:val="22"/>
              </w:rPr>
              <w:t xml:space="preserve">报价  </w:t>
            </w:r>
          </w:p>
          <w:p w14:paraId="64B4E5BB">
            <w:pPr>
              <w:jc w:val="center"/>
              <w:rPr>
                <w:rFonts w:hint="eastAsia" w:ascii="仿宋" w:hAnsi="仿宋" w:eastAsia="仿宋" w:cs="仿宋"/>
                <w:color w:val="000000"/>
                <w:sz w:val="22"/>
                <w:szCs w:val="22"/>
              </w:rPr>
            </w:pPr>
          </w:p>
        </w:tc>
        <w:tc>
          <w:tcPr>
            <w:tcW w:w="6927" w:type="dxa"/>
            <w:tcBorders>
              <w:top w:val="single" w:color="auto" w:sz="4" w:space="0"/>
              <w:left w:val="single" w:color="auto" w:sz="4" w:space="0"/>
              <w:bottom w:val="single" w:color="auto" w:sz="4" w:space="0"/>
              <w:right w:val="single" w:color="auto" w:sz="4" w:space="0"/>
            </w:tcBorders>
            <w:noWrap w:val="0"/>
            <w:vAlign w:val="center"/>
          </w:tcPr>
          <w:p w14:paraId="73EA3945">
            <w:pPr>
              <w:ind w:right="210"/>
              <w:jc w:val="right"/>
              <w:rPr>
                <w:rFonts w:hint="eastAsia" w:ascii="仿宋" w:hAnsi="仿宋" w:eastAsia="仿宋" w:cs="仿宋"/>
                <w:color w:val="000000"/>
                <w:sz w:val="22"/>
                <w:szCs w:val="22"/>
              </w:rPr>
            </w:pPr>
            <w:r>
              <w:rPr>
                <w:rFonts w:hint="eastAsia" w:ascii="仿宋" w:hAnsi="仿宋" w:eastAsia="仿宋" w:cs="仿宋"/>
                <w:color w:val="000000"/>
                <w:sz w:val="22"/>
                <w:szCs w:val="22"/>
              </w:rPr>
              <w:t>（大写）</w:t>
            </w:r>
          </w:p>
        </w:tc>
      </w:tr>
      <w:tr w14:paraId="5365C7E2">
        <w:tblPrEx>
          <w:tblCellMar>
            <w:top w:w="0" w:type="dxa"/>
            <w:left w:w="0" w:type="dxa"/>
            <w:bottom w:w="0" w:type="dxa"/>
            <w:right w:w="0" w:type="dxa"/>
          </w:tblCellMar>
        </w:tblPrEx>
        <w:trPr>
          <w:trHeight w:val="723" w:hRule="exact"/>
          <w:jc w:val="center"/>
        </w:trPr>
        <w:tc>
          <w:tcPr>
            <w:tcW w:w="1643" w:type="dxa"/>
            <w:vMerge w:val="continue"/>
            <w:tcBorders>
              <w:top w:val="single" w:color="auto" w:sz="4" w:space="0"/>
              <w:left w:val="single" w:color="auto" w:sz="4" w:space="0"/>
              <w:bottom w:val="single" w:color="auto" w:sz="4" w:space="0"/>
              <w:right w:val="single" w:color="auto" w:sz="4" w:space="0"/>
            </w:tcBorders>
            <w:noWrap w:val="0"/>
            <w:vAlign w:val="center"/>
          </w:tcPr>
          <w:p w14:paraId="3DC6910A">
            <w:pPr>
              <w:jc w:val="center"/>
              <w:rPr>
                <w:rFonts w:hint="eastAsia" w:ascii="仿宋" w:hAnsi="仿宋" w:eastAsia="仿宋" w:cs="仿宋"/>
                <w:color w:val="000000"/>
                <w:sz w:val="22"/>
                <w:szCs w:val="22"/>
              </w:rPr>
            </w:pPr>
          </w:p>
        </w:tc>
        <w:tc>
          <w:tcPr>
            <w:tcW w:w="6927" w:type="dxa"/>
            <w:tcBorders>
              <w:top w:val="single" w:color="auto" w:sz="4" w:space="0"/>
              <w:left w:val="single" w:color="auto" w:sz="4" w:space="0"/>
              <w:bottom w:val="single" w:color="auto" w:sz="4" w:space="0"/>
              <w:right w:val="single" w:color="auto" w:sz="4" w:space="0"/>
            </w:tcBorders>
            <w:noWrap w:val="0"/>
            <w:vAlign w:val="center"/>
          </w:tcPr>
          <w:p w14:paraId="5E2C6BB6">
            <w:pPr>
              <w:ind w:right="210"/>
              <w:jc w:val="right"/>
              <w:rPr>
                <w:rFonts w:hint="eastAsia" w:ascii="仿宋" w:hAnsi="仿宋" w:eastAsia="仿宋" w:cs="仿宋"/>
                <w:color w:val="000000"/>
                <w:sz w:val="22"/>
                <w:szCs w:val="22"/>
              </w:rPr>
            </w:pPr>
            <w:r>
              <w:rPr>
                <w:rFonts w:hint="eastAsia" w:ascii="仿宋" w:hAnsi="仿宋" w:eastAsia="仿宋" w:cs="仿宋"/>
                <w:color w:val="000000"/>
                <w:sz w:val="22"/>
                <w:szCs w:val="22"/>
              </w:rPr>
              <w:t>（小写）</w:t>
            </w:r>
          </w:p>
        </w:tc>
      </w:tr>
      <w:tr w14:paraId="76AA9E0F">
        <w:tblPrEx>
          <w:tblCellMar>
            <w:top w:w="0" w:type="dxa"/>
            <w:left w:w="0" w:type="dxa"/>
            <w:bottom w:w="0" w:type="dxa"/>
            <w:right w:w="0" w:type="dxa"/>
          </w:tblCellMar>
        </w:tblPrEx>
        <w:trPr>
          <w:trHeight w:val="797" w:hRule="exac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2677EB95">
            <w:pPr>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服务期</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2904B10A">
            <w:pPr>
              <w:jc w:val="center"/>
              <w:rPr>
                <w:rFonts w:hint="eastAsia" w:ascii="仿宋" w:hAnsi="仿宋" w:eastAsia="仿宋" w:cs="仿宋"/>
                <w:color w:val="000000"/>
                <w:sz w:val="22"/>
                <w:szCs w:val="22"/>
              </w:rPr>
            </w:pPr>
          </w:p>
        </w:tc>
      </w:tr>
      <w:tr w14:paraId="0B0C34B5">
        <w:tblPrEx>
          <w:tblCellMar>
            <w:top w:w="0" w:type="dxa"/>
            <w:left w:w="0" w:type="dxa"/>
            <w:bottom w:w="0" w:type="dxa"/>
            <w:right w:w="0" w:type="dxa"/>
          </w:tblCellMar>
        </w:tblPrEx>
        <w:trPr>
          <w:trHeight w:val="772" w:hRule="exac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1CA65A18">
            <w:pPr>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质量</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20F6D5CB">
            <w:pPr>
              <w:jc w:val="center"/>
              <w:rPr>
                <w:rFonts w:hint="eastAsia" w:ascii="仿宋" w:hAnsi="仿宋" w:eastAsia="仿宋" w:cs="仿宋"/>
                <w:sz w:val="22"/>
                <w:szCs w:val="22"/>
              </w:rPr>
            </w:pPr>
          </w:p>
        </w:tc>
      </w:tr>
      <w:tr w14:paraId="0A578735">
        <w:tblPrEx>
          <w:tblCellMar>
            <w:top w:w="0" w:type="dxa"/>
            <w:left w:w="0" w:type="dxa"/>
            <w:bottom w:w="0" w:type="dxa"/>
            <w:right w:w="0" w:type="dxa"/>
          </w:tblCellMar>
        </w:tblPrEx>
        <w:trPr>
          <w:trHeight w:val="772" w:hRule="exac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054AA46F">
            <w:pPr>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备注</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71D6DF2B">
            <w:pPr>
              <w:jc w:val="center"/>
              <w:rPr>
                <w:rFonts w:hint="eastAsia" w:ascii="仿宋" w:hAnsi="仿宋" w:eastAsia="仿宋" w:cs="仿宋"/>
                <w:sz w:val="22"/>
                <w:szCs w:val="22"/>
              </w:rPr>
            </w:pPr>
          </w:p>
        </w:tc>
      </w:tr>
    </w:tbl>
    <w:p w14:paraId="55A329CA">
      <w:pPr>
        <w:spacing w:line="360" w:lineRule="auto"/>
        <w:ind w:firstLine="480" w:firstLineChars="200"/>
        <w:rPr>
          <w:rFonts w:ascii="仿宋" w:hAnsi="仿宋" w:eastAsia="仿宋" w:cs="仿宋"/>
          <w:sz w:val="24"/>
        </w:rPr>
      </w:pPr>
    </w:p>
    <w:p w14:paraId="1DA82885">
      <w:pPr>
        <w:spacing w:line="360" w:lineRule="auto"/>
        <w:rPr>
          <w:rFonts w:hint="eastAsia" w:ascii="仿宋" w:hAnsi="仿宋" w:eastAsia="仿宋" w:cs="仿宋"/>
          <w:sz w:val="24"/>
          <w:lang w:eastAsia="zh-CN"/>
        </w:rPr>
      </w:pPr>
      <w:r>
        <w:rPr>
          <w:rFonts w:hint="eastAsia" w:ascii="仿宋" w:hAnsi="仿宋" w:eastAsia="仿宋" w:cs="仿宋"/>
          <w:sz w:val="24"/>
        </w:rPr>
        <w:t>注：1、投标报价包括</w:t>
      </w:r>
      <w:r>
        <w:rPr>
          <w:rFonts w:hint="eastAsia" w:ascii="仿宋" w:hAnsi="仿宋" w:eastAsia="仿宋" w:cs="仿宋"/>
          <w:sz w:val="24"/>
          <w:lang w:val="en-US" w:eastAsia="zh-CN"/>
        </w:rPr>
        <w:t>人员、劳务</w:t>
      </w:r>
      <w:r>
        <w:rPr>
          <w:rFonts w:hint="eastAsia" w:ascii="仿宋" w:hAnsi="仿宋" w:eastAsia="仿宋" w:cs="仿宋"/>
          <w:sz w:val="24"/>
        </w:rPr>
        <w:t>、差旅费、</w:t>
      </w:r>
      <w:r>
        <w:rPr>
          <w:rFonts w:hint="eastAsia" w:ascii="仿宋" w:hAnsi="仿宋" w:eastAsia="仿宋" w:cs="仿宋"/>
          <w:sz w:val="24"/>
          <w:lang w:val="en-US" w:eastAsia="zh-CN"/>
        </w:rPr>
        <w:t>售后、费税</w:t>
      </w:r>
      <w:r>
        <w:rPr>
          <w:rFonts w:hint="eastAsia" w:ascii="仿宋" w:hAnsi="仿宋" w:eastAsia="仿宋" w:cs="仿宋"/>
          <w:sz w:val="24"/>
        </w:rPr>
        <w:t>等可预计或不可预见的所有费用</w:t>
      </w:r>
      <w:r>
        <w:rPr>
          <w:rFonts w:hint="eastAsia" w:ascii="仿宋" w:hAnsi="仿宋" w:eastAsia="仿宋" w:cs="仿宋"/>
          <w:sz w:val="24"/>
          <w:lang w:eastAsia="zh-CN"/>
        </w:rPr>
        <w:t>。</w:t>
      </w:r>
    </w:p>
    <w:p w14:paraId="0F0CF6CF">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2、本表后附报价明细表，格式自拟</w:t>
      </w:r>
      <w:r>
        <w:rPr>
          <w:rFonts w:hint="eastAsia" w:ascii="仿宋" w:hAnsi="仿宋" w:eastAsia="仿宋" w:cs="仿宋"/>
          <w:color w:val="000000" w:themeColor="text1"/>
          <w:sz w:val="24"/>
          <w14:textFill>
            <w14:solidFill>
              <w14:schemeClr w14:val="tx1"/>
            </w14:solidFill>
          </w14:textFill>
        </w:rPr>
        <w:t>。</w:t>
      </w:r>
    </w:p>
    <w:p w14:paraId="1AD3EA58">
      <w:pPr>
        <w:spacing w:beforeLines="100" w:line="560" w:lineRule="exact"/>
        <w:ind w:firstLine="480" w:firstLineChars="200"/>
        <w:jc w:val="right"/>
        <w:rPr>
          <w:rFonts w:ascii="仿宋" w:hAnsi="仿宋" w:eastAsia="仿宋" w:cs="仿宋"/>
          <w:sz w:val="24"/>
          <w:szCs w:val="30"/>
        </w:rPr>
      </w:pPr>
      <w:r>
        <w:rPr>
          <w:rFonts w:hint="eastAsia" w:ascii="仿宋" w:hAnsi="仿宋" w:eastAsia="仿宋" w:cs="仿宋"/>
          <w:sz w:val="24"/>
          <w:szCs w:val="30"/>
        </w:rPr>
        <w:t xml:space="preserve">供应商全称（盖单位章）：                             </w:t>
      </w:r>
    </w:p>
    <w:p w14:paraId="63F28529">
      <w:pPr>
        <w:spacing w:beforeLines="100" w:line="560" w:lineRule="exact"/>
        <w:ind w:firstLine="480" w:firstLineChars="200"/>
        <w:jc w:val="right"/>
        <w:rPr>
          <w:rFonts w:ascii="宋体" w:hAnsi="宋体" w:cs="仿宋"/>
          <w:sz w:val="24"/>
          <w:szCs w:val="30"/>
        </w:rPr>
      </w:pPr>
      <w:r>
        <w:rPr>
          <w:rFonts w:hint="eastAsia" w:ascii="仿宋" w:hAnsi="仿宋" w:eastAsia="仿宋" w:cs="仿宋"/>
          <w:sz w:val="24"/>
          <w:szCs w:val="30"/>
        </w:rPr>
        <w:t xml:space="preserve"> 日  期：</w:t>
      </w:r>
      <w:r>
        <w:rPr>
          <w:rFonts w:hint="eastAsia" w:ascii="宋体" w:hAnsi="宋体" w:cs="仿宋"/>
          <w:sz w:val="24"/>
          <w:szCs w:val="30"/>
        </w:rPr>
        <w:t xml:space="preserve"> </w:t>
      </w:r>
    </w:p>
    <w:p w14:paraId="458E44F6">
      <w:pPr>
        <w:pStyle w:val="6"/>
        <w:keepNext w:val="0"/>
        <w:keepLines w:val="0"/>
        <w:pageBreakBefore/>
        <w:spacing w:line="415" w:lineRule="auto"/>
        <w:rPr>
          <w:rFonts w:hint="eastAsia" w:ascii="宋体" w:hAnsi="宋体" w:cs="仿宋"/>
          <w:b w:val="0"/>
          <w:szCs w:val="30"/>
        </w:rPr>
        <w:sectPr>
          <w:pgSz w:w="11906" w:h="16838"/>
          <w:pgMar w:top="1440" w:right="1486" w:bottom="1440" w:left="1800" w:header="851" w:footer="992" w:gutter="0"/>
          <w:pgNumType w:fmt="decimal"/>
          <w:cols w:space="720" w:num="1"/>
          <w:titlePg/>
          <w:docGrid w:type="lines" w:linePitch="312" w:charSpace="0"/>
        </w:sectPr>
      </w:pPr>
    </w:p>
    <w:p w14:paraId="1D70ECB9">
      <w:pPr>
        <w:pStyle w:val="6"/>
        <w:keepNext w:val="0"/>
        <w:keepLines w:val="0"/>
        <w:pageBreakBefore/>
        <w:spacing w:line="415" w:lineRule="auto"/>
        <w:rPr>
          <w:rFonts w:ascii="宋体" w:hAnsi="宋体" w:cs="仿宋"/>
          <w:b w:val="0"/>
          <w:szCs w:val="30"/>
        </w:rPr>
      </w:pPr>
      <w:r>
        <w:rPr>
          <w:rFonts w:hint="eastAsia" w:ascii="宋体" w:hAnsi="宋体" w:cs="仿宋"/>
          <w:b w:val="0"/>
          <w:szCs w:val="30"/>
        </w:rPr>
        <w:t>（二）供应商认为需要的其他文件资料</w:t>
      </w:r>
    </w:p>
    <w:p w14:paraId="22107EAF">
      <w:pPr>
        <w:snapToGrid w:val="0"/>
        <w:spacing w:line="360" w:lineRule="auto"/>
        <w:rPr>
          <w:rFonts w:ascii="宋体" w:hAnsi="宋体" w:cs="仿宋"/>
          <w:spacing w:val="20"/>
          <w:sz w:val="24"/>
          <w:szCs w:val="30"/>
        </w:rPr>
      </w:pPr>
    </w:p>
    <w:p w14:paraId="54C4D83E">
      <w:pPr>
        <w:snapToGrid w:val="0"/>
        <w:spacing w:line="360" w:lineRule="auto"/>
        <w:rPr>
          <w:rFonts w:ascii="仿宋" w:hAnsi="仿宋" w:eastAsia="仿宋" w:cs="仿宋"/>
          <w:color w:val="000000"/>
          <w:kern w:val="0"/>
          <w:sz w:val="24"/>
          <w:szCs w:val="28"/>
        </w:rPr>
      </w:pPr>
    </w:p>
    <w:p w14:paraId="4C5C1ABA">
      <w:pPr>
        <w:ind w:right="-13" w:rightChars="-6"/>
        <w:rPr>
          <w:rFonts w:ascii="仿宋" w:hAnsi="仿宋" w:eastAsia="仿宋" w:cs="仿宋"/>
          <w:b/>
          <w:bCs/>
          <w:color w:val="000000"/>
          <w:kern w:val="0"/>
          <w:sz w:val="28"/>
          <w:szCs w:val="32"/>
        </w:rPr>
      </w:pPr>
    </w:p>
    <w:p w14:paraId="5295DFBC">
      <w:pPr>
        <w:ind w:right="-13" w:rightChars="-6"/>
        <w:rPr>
          <w:rFonts w:ascii="仿宋" w:hAnsi="仿宋" w:eastAsia="仿宋" w:cs="仿宋"/>
          <w:b/>
          <w:bCs/>
          <w:color w:val="000000"/>
          <w:kern w:val="0"/>
          <w:sz w:val="28"/>
          <w:szCs w:val="32"/>
        </w:rPr>
      </w:pPr>
    </w:p>
    <w:p w14:paraId="244AC47D">
      <w:pPr>
        <w:ind w:right="-13" w:rightChars="-6"/>
        <w:rPr>
          <w:rFonts w:ascii="仿宋" w:hAnsi="仿宋" w:eastAsia="仿宋" w:cs="仿宋"/>
          <w:b/>
          <w:bCs/>
          <w:color w:val="000000"/>
          <w:kern w:val="0"/>
          <w:sz w:val="32"/>
          <w:szCs w:val="32"/>
        </w:rPr>
      </w:pPr>
    </w:p>
    <w:p w14:paraId="51E8772A">
      <w:pPr>
        <w:ind w:right="-13" w:rightChars="-6"/>
        <w:rPr>
          <w:rFonts w:ascii="仿宋" w:hAnsi="仿宋" w:eastAsia="仿宋" w:cs="仿宋"/>
          <w:b/>
          <w:bCs/>
          <w:color w:val="000000"/>
          <w:kern w:val="0"/>
          <w:sz w:val="32"/>
          <w:szCs w:val="32"/>
        </w:rPr>
      </w:pPr>
    </w:p>
    <w:p w14:paraId="30BF1BD8">
      <w:pPr>
        <w:ind w:right="-13" w:rightChars="-6"/>
        <w:rPr>
          <w:rFonts w:ascii="仿宋" w:hAnsi="仿宋" w:eastAsia="仿宋" w:cs="仿宋"/>
          <w:b/>
          <w:bCs/>
          <w:color w:val="000000"/>
          <w:kern w:val="0"/>
          <w:sz w:val="32"/>
          <w:szCs w:val="32"/>
        </w:rPr>
      </w:pPr>
    </w:p>
    <w:p w14:paraId="6B3D2FD0">
      <w:pPr>
        <w:ind w:right="-13" w:rightChars="-6"/>
        <w:rPr>
          <w:rFonts w:ascii="仿宋" w:hAnsi="仿宋" w:eastAsia="仿宋" w:cs="仿宋"/>
          <w:b/>
          <w:bCs/>
          <w:color w:val="000000"/>
          <w:kern w:val="0"/>
          <w:sz w:val="32"/>
          <w:szCs w:val="32"/>
        </w:rPr>
      </w:pPr>
    </w:p>
    <w:p w14:paraId="20A1C155">
      <w:pPr>
        <w:ind w:right="-13" w:rightChars="-6"/>
        <w:rPr>
          <w:rFonts w:ascii="仿宋" w:hAnsi="仿宋" w:eastAsia="仿宋" w:cs="仿宋"/>
          <w:b/>
          <w:bCs/>
          <w:color w:val="000000"/>
          <w:kern w:val="0"/>
          <w:sz w:val="32"/>
          <w:szCs w:val="32"/>
        </w:rPr>
      </w:pPr>
    </w:p>
    <w:p w14:paraId="2B76A3F1">
      <w:pPr>
        <w:pStyle w:val="2"/>
        <w:rPr>
          <w:rFonts w:ascii="仿宋" w:hAnsi="仿宋" w:eastAsia="仿宋" w:cs="仿宋"/>
          <w:b/>
          <w:bCs/>
          <w:color w:val="000000"/>
          <w:sz w:val="32"/>
          <w:szCs w:val="32"/>
        </w:rPr>
      </w:pPr>
    </w:p>
    <w:p w14:paraId="1082449A"/>
    <w:p w14:paraId="2EE826FE">
      <w:pPr>
        <w:ind w:right="-13" w:rightChars="-6"/>
        <w:rPr>
          <w:rFonts w:ascii="仿宋" w:hAnsi="仿宋" w:eastAsia="仿宋" w:cs="仿宋"/>
          <w:b/>
          <w:bCs/>
          <w:color w:val="000000"/>
          <w:kern w:val="0"/>
          <w:sz w:val="32"/>
          <w:szCs w:val="32"/>
        </w:rPr>
      </w:pPr>
    </w:p>
    <w:p w14:paraId="4F23B129">
      <w:pPr>
        <w:ind w:right="-13" w:rightChars="-6"/>
        <w:rPr>
          <w:rFonts w:ascii="仿宋" w:hAnsi="仿宋" w:eastAsia="仿宋" w:cs="仿宋"/>
          <w:b/>
          <w:bCs/>
          <w:color w:val="000000"/>
          <w:kern w:val="0"/>
          <w:sz w:val="32"/>
          <w:szCs w:val="32"/>
        </w:rPr>
      </w:pPr>
    </w:p>
    <w:bookmarkEnd w:id="0"/>
    <w:bookmarkEnd w:id="6"/>
    <w:p w14:paraId="0F8DFF23">
      <w:pPr>
        <w:widowControl/>
        <w:tabs>
          <w:tab w:val="left" w:pos="730"/>
        </w:tabs>
        <w:snapToGrid w:val="0"/>
        <w:spacing w:line="360" w:lineRule="auto"/>
        <w:jc w:val="left"/>
        <w:textAlignment w:val="baseline"/>
        <w:rPr>
          <w:rStyle w:val="79"/>
          <w:rFonts w:ascii="仿宋" w:hAnsi="仿宋" w:eastAsia="仿宋" w:cs="仿宋"/>
          <w:color w:val="000000"/>
          <w:sz w:val="24"/>
        </w:rPr>
      </w:pPr>
    </w:p>
    <w:sectPr>
      <w:pgSz w:w="11906" w:h="16838"/>
      <w:pgMar w:top="1440" w:right="1486"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48E452-1C92-47F8-A06D-10DF179C2E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51C17A2-7A2D-43C3-8E6D-A221C260B1C5}"/>
  </w:font>
  <w:font w:name="Microsoft JhengHei">
    <w:panose1 w:val="020B0604030504040204"/>
    <w:charset w:val="88"/>
    <w:family w:val="swiss"/>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embedRegular r:id="rId3" w:fontKey="{02131B23-5B45-4874-8719-6DD1563EE669}"/>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FE3E9">
    <w:pPr>
      <w:pStyle w:val="2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A2B7D">
    <w:pPr>
      <w:pStyle w:val="25"/>
      <w:framePr w:wrap="around" w:vAnchor="text" w:hAnchor="margin" w:xAlign="right" w:y="1"/>
      <w:rPr>
        <w:rStyle w:val="43"/>
      </w:rPr>
    </w:pPr>
    <w:r>
      <w:fldChar w:fldCharType="begin"/>
    </w:r>
    <w:r>
      <w:rPr>
        <w:rStyle w:val="43"/>
      </w:rPr>
      <w:instrText xml:space="preserve">PAGE  </w:instrText>
    </w:r>
    <w:r>
      <w:fldChar w:fldCharType="separate"/>
    </w:r>
    <w:r>
      <w:rPr>
        <w:rStyle w:val="43"/>
      </w:rPr>
      <w:t>0</w:t>
    </w:r>
    <w:r>
      <w:fldChar w:fldCharType="end"/>
    </w:r>
  </w:p>
  <w:p w14:paraId="7A9A806C">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58C68">
    <w:pPr>
      <w:pStyle w:val="25"/>
      <w:framePr w:wrap="around" w:vAnchor="text" w:hAnchor="margin" w:xAlign="center" w:y="1"/>
      <w:rPr>
        <w:rStyle w:val="4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20F05">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DFD86">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34B6BC">
                          <w:pPr>
                            <w:pStyle w:val="2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KUg8sg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gRLHLQ788v3b5cevy8+vZFm9&#10;LAr1AWpMfAiYmoY3fsjZqFz2Azoz8UFFm79IiWAc9T1f9ZVDIiI/Wq/W6wpDAmPzBXHY7XmIkN5K&#10;b0k2GhpxgEVXfnoPaUydU3I15++1MWWIxv3lQMzsYbces5WG/TA1vvftGfn0OPuGOlx1Ssw7h9Lm&#10;NZmNOBv72TiGqA9d2aNcD8LrY8ImSm+5wgg7FcahFXbTguWt+PNesm4/1f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ylIPLIAQAAnAMAAA4AAAAAAAAAAQAgAAAAHgEAAGRycy9lMm9Eb2Mu&#10;eG1sUEsFBgAAAAAGAAYAWQEAAFgFAAAAAA==&#10;">
              <v:fill on="f" focussize="0,0"/>
              <v:stroke on="f"/>
              <v:imagedata o:title=""/>
              <o:lock v:ext="edit" aspectratio="f"/>
              <v:textbox inset="0mm,0mm,0mm,0mm" style="mso-fit-shape-to-text:t;">
                <w:txbxContent>
                  <w:p w14:paraId="0734B6BC">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2315F">
    <w:pPr>
      <w:pStyle w:val="25"/>
      <w:rPr>
        <w:rStyle w:val="43"/>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842543">
                          <w:pPr>
                            <w:pStyle w:val="2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T9axMo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RZ&#10;vV5mhfoANSY+BExNw50fcG9mP6AzEx9UtPmLlAjGUd/zVV85JCLyo/Vqva4wJDA2XxCfPT4PEdJb&#10;6S3JRkMjDrDoyk/vIY2pc0qu5vy9NqYM0bi/HIiZPSz3PvaYrTTsh4nQ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T9axMoBAACcAwAADgAAAAAAAAABACAAAAAeAQAAZHJzL2Uyb0Rv&#10;Yy54bWxQSwUGAAAAAAYABgBZAQAAWgUAAAAA&#10;">
              <v:fill on="f" focussize="0,0"/>
              <v:stroke on="f"/>
              <v:imagedata o:title=""/>
              <o:lock v:ext="edit" aspectratio="f"/>
              <v:textbox inset="0mm,0mm,0mm,0mm" style="mso-fit-shape-to-text:t;">
                <w:txbxContent>
                  <w:p w14:paraId="48842543">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60F42">
    <w:pPr>
      <w:spacing w:line="183" w:lineRule="auto"/>
      <w:ind w:left="4300"/>
      <w:rPr>
        <w:rFonts w:ascii="宋体" w:hAnsi="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FF8C82">
                          <w:pPr>
                            <w:pStyle w:val="25"/>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hnRM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l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m4Z0TLAQAAnAMAAA4AAAAAAAAAAQAgAAAAHgEAAGRycy9lMm9E&#10;b2MueG1sUEsFBgAAAAAGAAYAWQEAAFsFAAAAAA==&#10;">
              <v:fill on="f" focussize="0,0"/>
              <v:stroke on="f"/>
              <v:imagedata o:title=""/>
              <o:lock v:ext="edit" aspectratio="f"/>
              <v:textbox inset="0mm,0mm,0mm,0mm" style="mso-fit-shape-to-text:t;">
                <w:txbxContent>
                  <w:p w14:paraId="02FF8C82">
                    <w:pPr>
                      <w:pStyle w:val="2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2EA55">
    <w:pPr>
      <w:spacing w:before="0" w:after="0"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C0A648">
                          <w:pPr>
                            <w:pStyle w:val="2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0C0A648">
                    <w:pPr>
                      <w:pStyle w:val="2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A2495">
    <w:pPr>
      <w:pStyle w:val="26"/>
      <w:pBdr>
        <w:bottom w:val="none" w:color="auto" w:sz="0" w:space="1"/>
      </w:pBdr>
      <w:jc w:val="both"/>
    </w:pPr>
  </w:p>
  <w:p w14:paraId="183224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FFE24">
    <w:pPr>
      <w:pStyle w:val="26"/>
      <w:framePr w:wrap="around" w:vAnchor="text" w:hAnchor="margin" w:xAlign="right" w:y="1"/>
      <w:rPr>
        <w:rStyle w:val="43"/>
      </w:rPr>
    </w:pPr>
    <w:r>
      <w:fldChar w:fldCharType="begin"/>
    </w:r>
    <w:r>
      <w:rPr>
        <w:rStyle w:val="43"/>
      </w:rPr>
      <w:instrText xml:space="preserve">PAGE  </w:instrText>
    </w:r>
    <w:r>
      <w:fldChar w:fldCharType="separate"/>
    </w:r>
    <w:r>
      <w:rPr>
        <w:rStyle w:val="43"/>
      </w:rPr>
      <w:t>0</w:t>
    </w:r>
    <w:r>
      <w:fldChar w:fldCharType="end"/>
    </w:r>
  </w:p>
  <w:p w14:paraId="51C7E562">
    <w:pPr>
      <w:pStyle w:val="2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B980D"/>
  <w:p w14:paraId="533A3B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8FFC8"/>
    <w:multiLevelType w:val="singleLevel"/>
    <w:tmpl w:val="0268FFC8"/>
    <w:lvl w:ilvl="0" w:tentative="0">
      <w:start w:val="2"/>
      <w:numFmt w:val="chineseCounting"/>
      <w:suff w:val="space"/>
      <w:lvlText w:val="第%1部分"/>
      <w:lvlJc w:val="left"/>
      <w:rPr>
        <w:rFonts w:hint="eastAsia"/>
      </w:rPr>
    </w:lvl>
  </w:abstractNum>
  <w:abstractNum w:abstractNumId="1">
    <w:nsid w:val="0544A3CC"/>
    <w:multiLevelType w:val="singleLevel"/>
    <w:tmpl w:val="0544A3CC"/>
    <w:lvl w:ilvl="0" w:tentative="0">
      <w:start w:val="5"/>
      <w:numFmt w:val="decimal"/>
      <w:suff w:val="nothing"/>
      <w:lvlText w:val="（%1）"/>
      <w:lvlJc w:val="left"/>
    </w:lvl>
  </w:abstractNum>
  <w:abstractNum w:abstractNumId="2">
    <w:nsid w:val="2C5F507C"/>
    <w:multiLevelType w:val="singleLevel"/>
    <w:tmpl w:val="2C5F507C"/>
    <w:lvl w:ilvl="0" w:tentative="0">
      <w:start w:val="10"/>
      <w:numFmt w:val="decimal"/>
      <w:suff w:val="nothing"/>
      <w:lvlText w:val="（%1）"/>
      <w:lvlJc w:val="left"/>
    </w:lvl>
  </w:abstractNum>
  <w:abstractNum w:abstractNumId="3">
    <w:nsid w:val="566685C3"/>
    <w:multiLevelType w:val="singleLevel"/>
    <w:tmpl w:val="566685C3"/>
    <w:lvl w:ilvl="0" w:tentative="0">
      <w:start w:val="1"/>
      <w:numFmt w:val="decimal"/>
      <w:pStyle w:val="117"/>
      <w:lvlText w:val="图%1. "/>
      <w:lvlJc w:val="left"/>
      <w:pPr>
        <w:tabs>
          <w:tab w:val="left" w:pos="777"/>
        </w:tabs>
        <w:ind w:left="777"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MDhiZjZlNTA4NzMzZjIyNmU1YmY0ZThkMjg3ZGUifQ=="/>
  </w:docVars>
  <w:rsids>
    <w:rsidRoot w:val="00EB1951"/>
    <w:rsid w:val="00000746"/>
    <w:rsid w:val="00002497"/>
    <w:rsid w:val="00007FD1"/>
    <w:rsid w:val="00013DAC"/>
    <w:rsid w:val="000163A3"/>
    <w:rsid w:val="00016A84"/>
    <w:rsid w:val="000210DA"/>
    <w:rsid w:val="00026739"/>
    <w:rsid w:val="00026752"/>
    <w:rsid w:val="000300A7"/>
    <w:rsid w:val="00032D19"/>
    <w:rsid w:val="00033FF7"/>
    <w:rsid w:val="000358BD"/>
    <w:rsid w:val="00044319"/>
    <w:rsid w:val="0004742A"/>
    <w:rsid w:val="000475DD"/>
    <w:rsid w:val="000500CE"/>
    <w:rsid w:val="0005124A"/>
    <w:rsid w:val="000525C3"/>
    <w:rsid w:val="0005354A"/>
    <w:rsid w:val="00056072"/>
    <w:rsid w:val="000608B5"/>
    <w:rsid w:val="00063C01"/>
    <w:rsid w:val="0006479D"/>
    <w:rsid w:val="000657A3"/>
    <w:rsid w:val="00066793"/>
    <w:rsid w:val="00066A60"/>
    <w:rsid w:val="00072A83"/>
    <w:rsid w:val="0007442B"/>
    <w:rsid w:val="0007736D"/>
    <w:rsid w:val="00083E87"/>
    <w:rsid w:val="00086640"/>
    <w:rsid w:val="00086F85"/>
    <w:rsid w:val="00094176"/>
    <w:rsid w:val="000944A8"/>
    <w:rsid w:val="000951D8"/>
    <w:rsid w:val="000A3B83"/>
    <w:rsid w:val="000A6C71"/>
    <w:rsid w:val="000B3012"/>
    <w:rsid w:val="000B3762"/>
    <w:rsid w:val="000B687A"/>
    <w:rsid w:val="000B72D5"/>
    <w:rsid w:val="000C0417"/>
    <w:rsid w:val="000C5122"/>
    <w:rsid w:val="000C63E2"/>
    <w:rsid w:val="000C67AA"/>
    <w:rsid w:val="000D1379"/>
    <w:rsid w:val="000D1A64"/>
    <w:rsid w:val="000D2DCB"/>
    <w:rsid w:val="000E4615"/>
    <w:rsid w:val="000E6CA6"/>
    <w:rsid w:val="000F1BE7"/>
    <w:rsid w:val="000F405E"/>
    <w:rsid w:val="000F7642"/>
    <w:rsid w:val="001009C7"/>
    <w:rsid w:val="00102DCE"/>
    <w:rsid w:val="00103CB0"/>
    <w:rsid w:val="001053BC"/>
    <w:rsid w:val="00107E3C"/>
    <w:rsid w:val="0011029A"/>
    <w:rsid w:val="00120FAB"/>
    <w:rsid w:val="00122968"/>
    <w:rsid w:val="00122B7D"/>
    <w:rsid w:val="00127875"/>
    <w:rsid w:val="00130265"/>
    <w:rsid w:val="0013069D"/>
    <w:rsid w:val="00132F39"/>
    <w:rsid w:val="00137469"/>
    <w:rsid w:val="00140886"/>
    <w:rsid w:val="00140DA9"/>
    <w:rsid w:val="00140E2C"/>
    <w:rsid w:val="00144F56"/>
    <w:rsid w:val="001555BF"/>
    <w:rsid w:val="00160A65"/>
    <w:rsid w:val="00161E4B"/>
    <w:rsid w:val="00162109"/>
    <w:rsid w:val="00163743"/>
    <w:rsid w:val="00165AD1"/>
    <w:rsid w:val="00165E27"/>
    <w:rsid w:val="001669A9"/>
    <w:rsid w:val="001678D8"/>
    <w:rsid w:val="001764B1"/>
    <w:rsid w:val="00176EB0"/>
    <w:rsid w:val="001770A1"/>
    <w:rsid w:val="00180B88"/>
    <w:rsid w:val="001817D6"/>
    <w:rsid w:val="001822ED"/>
    <w:rsid w:val="00182318"/>
    <w:rsid w:val="00194BF2"/>
    <w:rsid w:val="001A0F7E"/>
    <w:rsid w:val="001A1C8A"/>
    <w:rsid w:val="001A4AA5"/>
    <w:rsid w:val="001A6C96"/>
    <w:rsid w:val="001A7FA1"/>
    <w:rsid w:val="001B17AC"/>
    <w:rsid w:val="001B3E09"/>
    <w:rsid w:val="001B4D57"/>
    <w:rsid w:val="001C329B"/>
    <w:rsid w:val="001C3A57"/>
    <w:rsid w:val="001C4233"/>
    <w:rsid w:val="001C434B"/>
    <w:rsid w:val="001C568F"/>
    <w:rsid w:val="001C58B9"/>
    <w:rsid w:val="001D3D87"/>
    <w:rsid w:val="001D4F2A"/>
    <w:rsid w:val="001D50CD"/>
    <w:rsid w:val="001E26B2"/>
    <w:rsid w:val="001E5FBC"/>
    <w:rsid w:val="001E7172"/>
    <w:rsid w:val="001F14BA"/>
    <w:rsid w:val="001F2CE4"/>
    <w:rsid w:val="001F71B6"/>
    <w:rsid w:val="00200CD0"/>
    <w:rsid w:val="002013FA"/>
    <w:rsid w:val="0020545A"/>
    <w:rsid w:val="00205586"/>
    <w:rsid w:val="00205F43"/>
    <w:rsid w:val="00212291"/>
    <w:rsid w:val="00213D36"/>
    <w:rsid w:val="00216B71"/>
    <w:rsid w:val="00216B88"/>
    <w:rsid w:val="002241C0"/>
    <w:rsid w:val="002269B0"/>
    <w:rsid w:val="00232C27"/>
    <w:rsid w:val="00236783"/>
    <w:rsid w:val="00241BD4"/>
    <w:rsid w:val="00253105"/>
    <w:rsid w:val="002548A9"/>
    <w:rsid w:val="0025519A"/>
    <w:rsid w:val="00257222"/>
    <w:rsid w:val="002628F8"/>
    <w:rsid w:val="00262B38"/>
    <w:rsid w:val="00266664"/>
    <w:rsid w:val="002676B8"/>
    <w:rsid w:val="00271849"/>
    <w:rsid w:val="00272F55"/>
    <w:rsid w:val="00273B6D"/>
    <w:rsid w:val="00290860"/>
    <w:rsid w:val="00290C90"/>
    <w:rsid w:val="00291AB3"/>
    <w:rsid w:val="00292C28"/>
    <w:rsid w:val="00293254"/>
    <w:rsid w:val="00296B19"/>
    <w:rsid w:val="002A497A"/>
    <w:rsid w:val="002A4F70"/>
    <w:rsid w:val="002B027B"/>
    <w:rsid w:val="002B1439"/>
    <w:rsid w:val="002B2E49"/>
    <w:rsid w:val="002B6765"/>
    <w:rsid w:val="002B751F"/>
    <w:rsid w:val="002C08B4"/>
    <w:rsid w:val="002C0E7F"/>
    <w:rsid w:val="002C105A"/>
    <w:rsid w:val="002C24BA"/>
    <w:rsid w:val="002D5DCC"/>
    <w:rsid w:val="002D7AB9"/>
    <w:rsid w:val="002D7AFE"/>
    <w:rsid w:val="002E01B4"/>
    <w:rsid w:val="002E3375"/>
    <w:rsid w:val="002F0BE2"/>
    <w:rsid w:val="002F1106"/>
    <w:rsid w:val="002F1EF7"/>
    <w:rsid w:val="002F2D8E"/>
    <w:rsid w:val="0030243E"/>
    <w:rsid w:val="00302684"/>
    <w:rsid w:val="00303016"/>
    <w:rsid w:val="00303499"/>
    <w:rsid w:val="00303820"/>
    <w:rsid w:val="003101D2"/>
    <w:rsid w:val="003115A0"/>
    <w:rsid w:val="00312CC2"/>
    <w:rsid w:val="003134D3"/>
    <w:rsid w:val="00313D5D"/>
    <w:rsid w:val="00314FA0"/>
    <w:rsid w:val="00316C79"/>
    <w:rsid w:val="003214E6"/>
    <w:rsid w:val="00323167"/>
    <w:rsid w:val="003232DA"/>
    <w:rsid w:val="00333224"/>
    <w:rsid w:val="00336658"/>
    <w:rsid w:val="00336B0A"/>
    <w:rsid w:val="0033746B"/>
    <w:rsid w:val="00342E38"/>
    <w:rsid w:val="003431E0"/>
    <w:rsid w:val="00345E65"/>
    <w:rsid w:val="00346827"/>
    <w:rsid w:val="0035037F"/>
    <w:rsid w:val="0035262F"/>
    <w:rsid w:val="0035455B"/>
    <w:rsid w:val="003557D7"/>
    <w:rsid w:val="003569E7"/>
    <w:rsid w:val="00357162"/>
    <w:rsid w:val="00361240"/>
    <w:rsid w:val="003673B7"/>
    <w:rsid w:val="00371540"/>
    <w:rsid w:val="003731EB"/>
    <w:rsid w:val="00374BFB"/>
    <w:rsid w:val="00380A0B"/>
    <w:rsid w:val="003925A9"/>
    <w:rsid w:val="00396068"/>
    <w:rsid w:val="00397238"/>
    <w:rsid w:val="00397DF5"/>
    <w:rsid w:val="003A0D1D"/>
    <w:rsid w:val="003A4D68"/>
    <w:rsid w:val="003B2432"/>
    <w:rsid w:val="003B5259"/>
    <w:rsid w:val="003B5295"/>
    <w:rsid w:val="003B7311"/>
    <w:rsid w:val="003D520C"/>
    <w:rsid w:val="003D70A6"/>
    <w:rsid w:val="003D7ECF"/>
    <w:rsid w:val="003D7F65"/>
    <w:rsid w:val="003E04AA"/>
    <w:rsid w:val="003E21E1"/>
    <w:rsid w:val="003E4681"/>
    <w:rsid w:val="003E7E32"/>
    <w:rsid w:val="003F0F39"/>
    <w:rsid w:val="003F12AB"/>
    <w:rsid w:val="003F1B1F"/>
    <w:rsid w:val="003F5352"/>
    <w:rsid w:val="003F6022"/>
    <w:rsid w:val="003F6E5F"/>
    <w:rsid w:val="0040427A"/>
    <w:rsid w:val="00405FCB"/>
    <w:rsid w:val="00412FBD"/>
    <w:rsid w:val="00413AE2"/>
    <w:rsid w:val="00424728"/>
    <w:rsid w:val="0043053A"/>
    <w:rsid w:val="00430755"/>
    <w:rsid w:val="004319E7"/>
    <w:rsid w:val="00433F27"/>
    <w:rsid w:val="0043729B"/>
    <w:rsid w:val="00443547"/>
    <w:rsid w:val="00443BB6"/>
    <w:rsid w:val="004471E3"/>
    <w:rsid w:val="00451472"/>
    <w:rsid w:val="00451FDB"/>
    <w:rsid w:val="00454D7F"/>
    <w:rsid w:val="0045585C"/>
    <w:rsid w:val="00457584"/>
    <w:rsid w:val="00460944"/>
    <w:rsid w:val="00463CB3"/>
    <w:rsid w:val="004656BE"/>
    <w:rsid w:val="004723C7"/>
    <w:rsid w:val="004743BC"/>
    <w:rsid w:val="00476E9C"/>
    <w:rsid w:val="004825E5"/>
    <w:rsid w:val="004826D1"/>
    <w:rsid w:val="00485A75"/>
    <w:rsid w:val="00487056"/>
    <w:rsid w:val="00492BC3"/>
    <w:rsid w:val="0049381B"/>
    <w:rsid w:val="00494BC5"/>
    <w:rsid w:val="00495248"/>
    <w:rsid w:val="004A25EB"/>
    <w:rsid w:val="004A295F"/>
    <w:rsid w:val="004A64C3"/>
    <w:rsid w:val="004A6672"/>
    <w:rsid w:val="004A73D8"/>
    <w:rsid w:val="004A7973"/>
    <w:rsid w:val="004B0B38"/>
    <w:rsid w:val="004B1FC4"/>
    <w:rsid w:val="004B3D83"/>
    <w:rsid w:val="004B47F9"/>
    <w:rsid w:val="004B7BB6"/>
    <w:rsid w:val="004C11CD"/>
    <w:rsid w:val="004C33FA"/>
    <w:rsid w:val="004C5654"/>
    <w:rsid w:val="004C5A3B"/>
    <w:rsid w:val="004C630A"/>
    <w:rsid w:val="004D1EE7"/>
    <w:rsid w:val="004D2502"/>
    <w:rsid w:val="004D4CDA"/>
    <w:rsid w:val="004D5DA2"/>
    <w:rsid w:val="004E1D8A"/>
    <w:rsid w:val="004E3870"/>
    <w:rsid w:val="004E4711"/>
    <w:rsid w:val="004E76BD"/>
    <w:rsid w:val="004F0C65"/>
    <w:rsid w:val="004F1AF7"/>
    <w:rsid w:val="004F550D"/>
    <w:rsid w:val="004F7F83"/>
    <w:rsid w:val="005024EB"/>
    <w:rsid w:val="00505065"/>
    <w:rsid w:val="00505A1A"/>
    <w:rsid w:val="00506FB7"/>
    <w:rsid w:val="00506FBB"/>
    <w:rsid w:val="00510F7A"/>
    <w:rsid w:val="00511800"/>
    <w:rsid w:val="00512039"/>
    <w:rsid w:val="005224CE"/>
    <w:rsid w:val="00524B84"/>
    <w:rsid w:val="005311F3"/>
    <w:rsid w:val="005330A2"/>
    <w:rsid w:val="0053330C"/>
    <w:rsid w:val="0053595B"/>
    <w:rsid w:val="00541BDC"/>
    <w:rsid w:val="00541FF4"/>
    <w:rsid w:val="00543BAE"/>
    <w:rsid w:val="005442C5"/>
    <w:rsid w:val="00546ABA"/>
    <w:rsid w:val="00547754"/>
    <w:rsid w:val="00552790"/>
    <w:rsid w:val="005662C1"/>
    <w:rsid w:val="0056691C"/>
    <w:rsid w:val="0057281B"/>
    <w:rsid w:val="00576E20"/>
    <w:rsid w:val="0058071E"/>
    <w:rsid w:val="0058113E"/>
    <w:rsid w:val="005831A2"/>
    <w:rsid w:val="00585F02"/>
    <w:rsid w:val="005875A3"/>
    <w:rsid w:val="00590167"/>
    <w:rsid w:val="005913DD"/>
    <w:rsid w:val="005976FB"/>
    <w:rsid w:val="005A0D61"/>
    <w:rsid w:val="005A1C9E"/>
    <w:rsid w:val="005B0FA8"/>
    <w:rsid w:val="005B325A"/>
    <w:rsid w:val="005B4EB9"/>
    <w:rsid w:val="005C227D"/>
    <w:rsid w:val="005C2CA7"/>
    <w:rsid w:val="005C6A64"/>
    <w:rsid w:val="005C74D7"/>
    <w:rsid w:val="005D11FB"/>
    <w:rsid w:val="005D268E"/>
    <w:rsid w:val="005D4003"/>
    <w:rsid w:val="005D4803"/>
    <w:rsid w:val="005D5F11"/>
    <w:rsid w:val="005D648A"/>
    <w:rsid w:val="005E1D77"/>
    <w:rsid w:val="005E39A6"/>
    <w:rsid w:val="005E5055"/>
    <w:rsid w:val="005E6340"/>
    <w:rsid w:val="005E7EEA"/>
    <w:rsid w:val="005F1A34"/>
    <w:rsid w:val="005F2C40"/>
    <w:rsid w:val="0060282F"/>
    <w:rsid w:val="00602D04"/>
    <w:rsid w:val="00604D03"/>
    <w:rsid w:val="00612792"/>
    <w:rsid w:val="00613894"/>
    <w:rsid w:val="006142FD"/>
    <w:rsid w:val="00615EB0"/>
    <w:rsid w:val="00617579"/>
    <w:rsid w:val="00617580"/>
    <w:rsid w:val="006200BD"/>
    <w:rsid w:val="006204AF"/>
    <w:rsid w:val="00620AEB"/>
    <w:rsid w:val="00622842"/>
    <w:rsid w:val="00622F38"/>
    <w:rsid w:val="00623C9C"/>
    <w:rsid w:val="006319A2"/>
    <w:rsid w:val="006331C3"/>
    <w:rsid w:val="0063334B"/>
    <w:rsid w:val="0063732E"/>
    <w:rsid w:val="006407E1"/>
    <w:rsid w:val="00653244"/>
    <w:rsid w:val="00654CB1"/>
    <w:rsid w:val="00655C79"/>
    <w:rsid w:val="006579E7"/>
    <w:rsid w:val="0066034B"/>
    <w:rsid w:val="00660590"/>
    <w:rsid w:val="00662F7C"/>
    <w:rsid w:val="00667ABB"/>
    <w:rsid w:val="006701BB"/>
    <w:rsid w:val="00672B01"/>
    <w:rsid w:val="006759FC"/>
    <w:rsid w:val="00675CB6"/>
    <w:rsid w:val="00676B1D"/>
    <w:rsid w:val="00684CCB"/>
    <w:rsid w:val="00685016"/>
    <w:rsid w:val="00686325"/>
    <w:rsid w:val="0068669E"/>
    <w:rsid w:val="00686C02"/>
    <w:rsid w:val="00692EDF"/>
    <w:rsid w:val="00693233"/>
    <w:rsid w:val="006938E6"/>
    <w:rsid w:val="00696B94"/>
    <w:rsid w:val="006A216D"/>
    <w:rsid w:val="006A2E79"/>
    <w:rsid w:val="006A2F55"/>
    <w:rsid w:val="006A3167"/>
    <w:rsid w:val="006A595E"/>
    <w:rsid w:val="006A66B1"/>
    <w:rsid w:val="006B3353"/>
    <w:rsid w:val="006B7974"/>
    <w:rsid w:val="006C2B25"/>
    <w:rsid w:val="006C446C"/>
    <w:rsid w:val="006C7C07"/>
    <w:rsid w:val="006D1ECC"/>
    <w:rsid w:val="006D2446"/>
    <w:rsid w:val="006D478F"/>
    <w:rsid w:val="006D65AB"/>
    <w:rsid w:val="006F30E3"/>
    <w:rsid w:val="006F4666"/>
    <w:rsid w:val="007008F4"/>
    <w:rsid w:val="007016DA"/>
    <w:rsid w:val="0070782D"/>
    <w:rsid w:val="007111D5"/>
    <w:rsid w:val="00711C41"/>
    <w:rsid w:val="00712A8E"/>
    <w:rsid w:val="00713426"/>
    <w:rsid w:val="00714377"/>
    <w:rsid w:val="00720725"/>
    <w:rsid w:val="00720D9A"/>
    <w:rsid w:val="00721AE2"/>
    <w:rsid w:val="007261B1"/>
    <w:rsid w:val="00727511"/>
    <w:rsid w:val="00736290"/>
    <w:rsid w:val="007374D2"/>
    <w:rsid w:val="00741152"/>
    <w:rsid w:val="00742B63"/>
    <w:rsid w:val="007431A4"/>
    <w:rsid w:val="0074410C"/>
    <w:rsid w:val="0074416C"/>
    <w:rsid w:val="007445D3"/>
    <w:rsid w:val="00751397"/>
    <w:rsid w:val="00752DE1"/>
    <w:rsid w:val="007550EF"/>
    <w:rsid w:val="00761AA0"/>
    <w:rsid w:val="00762848"/>
    <w:rsid w:val="00764423"/>
    <w:rsid w:val="00764E18"/>
    <w:rsid w:val="00766E4A"/>
    <w:rsid w:val="0077188E"/>
    <w:rsid w:val="0077197C"/>
    <w:rsid w:val="007731FC"/>
    <w:rsid w:val="0077348D"/>
    <w:rsid w:val="0077417E"/>
    <w:rsid w:val="007749DA"/>
    <w:rsid w:val="007759B8"/>
    <w:rsid w:val="00781594"/>
    <w:rsid w:val="0078768E"/>
    <w:rsid w:val="00787A50"/>
    <w:rsid w:val="00791F72"/>
    <w:rsid w:val="00794D49"/>
    <w:rsid w:val="00797D43"/>
    <w:rsid w:val="007A14AA"/>
    <w:rsid w:val="007A19BE"/>
    <w:rsid w:val="007A2D6A"/>
    <w:rsid w:val="007B5F25"/>
    <w:rsid w:val="007B6130"/>
    <w:rsid w:val="007B6606"/>
    <w:rsid w:val="007B745E"/>
    <w:rsid w:val="007C3964"/>
    <w:rsid w:val="007C4BD0"/>
    <w:rsid w:val="007C5B68"/>
    <w:rsid w:val="007C65FB"/>
    <w:rsid w:val="007D0472"/>
    <w:rsid w:val="007D272A"/>
    <w:rsid w:val="007D4855"/>
    <w:rsid w:val="007E179D"/>
    <w:rsid w:val="007E4272"/>
    <w:rsid w:val="007F6318"/>
    <w:rsid w:val="00800606"/>
    <w:rsid w:val="0080541A"/>
    <w:rsid w:val="008063A0"/>
    <w:rsid w:val="008067AF"/>
    <w:rsid w:val="00807DB3"/>
    <w:rsid w:val="008107ED"/>
    <w:rsid w:val="008167EC"/>
    <w:rsid w:val="00817ABD"/>
    <w:rsid w:val="00820B7A"/>
    <w:rsid w:val="00820D62"/>
    <w:rsid w:val="00821BDB"/>
    <w:rsid w:val="00822AB7"/>
    <w:rsid w:val="0082329D"/>
    <w:rsid w:val="0082437D"/>
    <w:rsid w:val="00824A85"/>
    <w:rsid w:val="00824E70"/>
    <w:rsid w:val="00825495"/>
    <w:rsid w:val="00827567"/>
    <w:rsid w:val="00841342"/>
    <w:rsid w:val="00843B0A"/>
    <w:rsid w:val="0084400A"/>
    <w:rsid w:val="008527E9"/>
    <w:rsid w:val="00852B09"/>
    <w:rsid w:val="008638A8"/>
    <w:rsid w:val="008657A8"/>
    <w:rsid w:val="00871405"/>
    <w:rsid w:val="008746A1"/>
    <w:rsid w:val="00883151"/>
    <w:rsid w:val="00887530"/>
    <w:rsid w:val="00887F43"/>
    <w:rsid w:val="00895A99"/>
    <w:rsid w:val="00896C01"/>
    <w:rsid w:val="008A044A"/>
    <w:rsid w:val="008A2E35"/>
    <w:rsid w:val="008A4BBB"/>
    <w:rsid w:val="008B0F3C"/>
    <w:rsid w:val="008B1422"/>
    <w:rsid w:val="008B1BC9"/>
    <w:rsid w:val="008C49B0"/>
    <w:rsid w:val="008D0060"/>
    <w:rsid w:val="008D19C4"/>
    <w:rsid w:val="008F074D"/>
    <w:rsid w:val="008F24E0"/>
    <w:rsid w:val="00901050"/>
    <w:rsid w:val="00902A11"/>
    <w:rsid w:val="009034D4"/>
    <w:rsid w:val="00905498"/>
    <w:rsid w:val="00912D5A"/>
    <w:rsid w:val="00913935"/>
    <w:rsid w:val="0091404A"/>
    <w:rsid w:val="009142C7"/>
    <w:rsid w:val="00922B9B"/>
    <w:rsid w:val="00923A59"/>
    <w:rsid w:val="009263CF"/>
    <w:rsid w:val="00930410"/>
    <w:rsid w:val="00932F73"/>
    <w:rsid w:val="0093664E"/>
    <w:rsid w:val="00940173"/>
    <w:rsid w:val="00940F26"/>
    <w:rsid w:val="009417DB"/>
    <w:rsid w:val="00942E08"/>
    <w:rsid w:val="0094423F"/>
    <w:rsid w:val="0094732E"/>
    <w:rsid w:val="0094750C"/>
    <w:rsid w:val="00952033"/>
    <w:rsid w:val="009531B7"/>
    <w:rsid w:val="00953341"/>
    <w:rsid w:val="00955BB0"/>
    <w:rsid w:val="00960DA4"/>
    <w:rsid w:val="00961A0D"/>
    <w:rsid w:val="00962111"/>
    <w:rsid w:val="00975CE1"/>
    <w:rsid w:val="00976BF1"/>
    <w:rsid w:val="00977181"/>
    <w:rsid w:val="00977217"/>
    <w:rsid w:val="00980E36"/>
    <w:rsid w:val="009846C4"/>
    <w:rsid w:val="009914A7"/>
    <w:rsid w:val="009928C5"/>
    <w:rsid w:val="0099695D"/>
    <w:rsid w:val="00996F35"/>
    <w:rsid w:val="009A4100"/>
    <w:rsid w:val="009A44D7"/>
    <w:rsid w:val="009A6D1C"/>
    <w:rsid w:val="009B15C2"/>
    <w:rsid w:val="009B3C68"/>
    <w:rsid w:val="009B474D"/>
    <w:rsid w:val="009B4CA2"/>
    <w:rsid w:val="009B5800"/>
    <w:rsid w:val="009B79EB"/>
    <w:rsid w:val="009B7ED8"/>
    <w:rsid w:val="009C0A5D"/>
    <w:rsid w:val="009C3874"/>
    <w:rsid w:val="009C425E"/>
    <w:rsid w:val="009C572B"/>
    <w:rsid w:val="009D1B8C"/>
    <w:rsid w:val="009D4625"/>
    <w:rsid w:val="009D7C87"/>
    <w:rsid w:val="009E4241"/>
    <w:rsid w:val="009E6646"/>
    <w:rsid w:val="009E68BB"/>
    <w:rsid w:val="009F0882"/>
    <w:rsid w:val="009F0D0A"/>
    <w:rsid w:val="009F1B75"/>
    <w:rsid w:val="009F4B2F"/>
    <w:rsid w:val="00A046AC"/>
    <w:rsid w:val="00A055D7"/>
    <w:rsid w:val="00A070FD"/>
    <w:rsid w:val="00A07508"/>
    <w:rsid w:val="00A116FA"/>
    <w:rsid w:val="00A11C44"/>
    <w:rsid w:val="00A1496A"/>
    <w:rsid w:val="00A161B8"/>
    <w:rsid w:val="00A20984"/>
    <w:rsid w:val="00A214DB"/>
    <w:rsid w:val="00A215B8"/>
    <w:rsid w:val="00A21D81"/>
    <w:rsid w:val="00A2467C"/>
    <w:rsid w:val="00A30906"/>
    <w:rsid w:val="00A31985"/>
    <w:rsid w:val="00A33C8C"/>
    <w:rsid w:val="00A344C3"/>
    <w:rsid w:val="00A37062"/>
    <w:rsid w:val="00A46D0A"/>
    <w:rsid w:val="00A52E43"/>
    <w:rsid w:val="00A54D53"/>
    <w:rsid w:val="00A60111"/>
    <w:rsid w:val="00A60E03"/>
    <w:rsid w:val="00A61900"/>
    <w:rsid w:val="00A649DE"/>
    <w:rsid w:val="00A67A9E"/>
    <w:rsid w:val="00A67FAB"/>
    <w:rsid w:val="00A726F7"/>
    <w:rsid w:val="00A775A6"/>
    <w:rsid w:val="00A80929"/>
    <w:rsid w:val="00A81014"/>
    <w:rsid w:val="00A8207A"/>
    <w:rsid w:val="00A822CC"/>
    <w:rsid w:val="00A8242B"/>
    <w:rsid w:val="00A867E6"/>
    <w:rsid w:val="00A87F1E"/>
    <w:rsid w:val="00A91B40"/>
    <w:rsid w:val="00A91C02"/>
    <w:rsid w:val="00A942EF"/>
    <w:rsid w:val="00A9669C"/>
    <w:rsid w:val="00A96C5E"/>
    <w:rsid w:val="00A970C4"/>
    <w:rsid w:val="00AA1C1C"/>
    <w:rsid w:val="00AA40DB"/>
    <w:rsid w:val="00AA53A0"/>
    <w:rsid w:val="00AA6157"/>
    <w:rsid w:val="00AA6264"/>
    <w:rsid w:val="00AA730D"/>
    <w:rsid w:val="00AB2D85"/>
    <w:rsid w:val="00AB40E7"/>
    <w:rsid w:val="00AB43DC"/>
    <w:rsid w:val="00AC1668"/>
    <w:rsid w:val="00AC1E3A"/>
    <w:rsid w:val="00AC7238"/>
    <w:rsid w:val="00AC7D6E"/>
    <w:rsid w:val="00AD31EB"/>
    <w:rsid w:val="00AD3534"/>
    <w:rsid w:val="00AD3936"/>
    <w:rsid w:val="00AD5056"/>
    <w:rsid w:val="00AE0E82"/>
    <w:rsid w:val="00AE1031"/>
    <w:rsid w:val="00AE11A5"/>
    <w:rsid w:val="00AE2073"/>
    <w:rsid w:val="00AE3077"/>
    <w:rsid w:val="00B036FE"/>
    <w:rsid w:val="00B11E36"/>
    <w:rsid w:val="00B13995"/>
    <w:rsid w:val="00B13DC7"/>
    <w:rsid w:val="00B15434"/>
    <w:rsid w:val="00B17169"/>
    <w:rsid w:val="00B17173"/>
    <w:rsid w:val="00B22FAD"/>
    <w:rsid w:val="00B2317C"/>
    <w:rsid w:val="00B231B0"/>
    <w:rsid w:val="00B304CA"/>
    <w:rsid w:val="00B32F7F"/>
    <w:rsid w:val="00B40533"/>
    <w:rsid w:val="00B40D94"/>
    <w:rsid w:val="00B4220F"/>
    <w:rsid w:val="00B42B60"/>
    <w:rsid w:val="00B4421F"/>
    <w:rsid w:val="00B461E6"/>
    <w:rsid w:val="00B47B12"/>
    <w:rsid w:val="00B52ACF"/>
    <w:rsid w:val="00B53024"/>
    <w:rsid w:val="00B55A6A"/>
    <w:rsid w:val="00B639AB"/>
    <w:rsid w:val="00B711B7"/>
    <w:rsid w:val="00B71C80"/>
    <w:rsid w:val="00B7724D"/>
    <w:rsid w:val="00B773A3"/>
    <w:rsid w:val="00B808DB"/>
    <w:rsid w:val="00B81C22"/>
    <w:rsid w:val="00B8266E"/>
    <w:rsid w:val="00B82C74"/>
    <w:rsid w:val="00B90CE9"/>
    <w:rsid w:val="00B93A4D"/>
    <w:rsid w:val="00B946D6"/>
    <w:rsid w:val="00BA1800"/>
    <w:rsid w:val="00BA4954"/>
    <w:rsid w:val="00BB0642"/>
    <w:rsid w:val="00BB0D06"/>
    <w:rsid w:val="00BB2092"/>
    <w:rsid w:val="00BB4156"/>
    <w:rsid w:val="00BC09F9"/>
    <w:rsid w:val="00BC1D76"/>
    <w:rsid w:val="00BD217C"/>
    <w:rsid w:val="00BD30AE"/>
    <w:rsid w:val="00BD4FD2"/>
    <w:rsid w:val="00BD6016"/>
    <w:rsid w:val="00BD6ADF"/>
    <w:rsid w:val="00BD7ABC"/>
    <w:rsid w:val="00BE6F6A"/>
    <w:rsid w:val="00BE72B2"/>
    <w:rsid w:val="00BF108B"/>
    <w:rsid w:val="00BF61A0"/>
    <w:rsid w:val="00BF76DB"/>
    <w:rsid w:val="00C04440"/>
    <w:rsid w:val="00C04C58"/>
    <w:rsid w:val="00C10468"/>
    <w:rsid w:val="00C10685"/>
    <w:rsid w:val="00C11099"/>
    <w:rsid w:val="00C14E8C"/>
    <w:rsid w:val="00C14F0E"/>
    <w:rsid w:val="00C1593B"/>
    <w:rsid w:val="00C22C69"/>
    <w:rsid w:val="00C25888"/>
    <w:rsid w:val="00C25A2C"/>
    <w:rsid w:val="00C25D0D"/>
    <w:rsid w:val="00C305EF"/>
    <w:rsid w:val="00C32E21"/>
    <w:rsid w:val="00C34866"/>
    <w:rsid w:val="00C44854"/>
    <w:rsid w:val="00C4513D"/>
    <w:rsid w:val="00C466CF"/>
    <w:rsid w:val="00C51417"/>
    <w:rsid w:val="00C525DB"/>
    <w:rsid w:val="00C52E3A"/>
    <w:rsid w:val="00C54820"/>
    <w:rsid w:val="00C60D2E"/>
    <w:rsid w:val="00C6170C"/>
    <w:rsid w:val="00C61D08"/>
    <w:rsid w:val="00C62CCD"/>
    <w:rsid w:val="00C62CE3"/>
    <w:rsid w:val="00C642CE"/>
    <w:rsid w:val="00C654C0"/>
    <w:rsid w:val="00C71037"/>
    <w:rsid w:val="00C72949"/>
    <w:rsid w:val="00C72C68"/>
    <w:rsid w:val="00C757DE"/>
    <w:rsid w:val="00C76FE1"/>
    <w:rsid w:val="00C8545A"/>
    <w:rsid w:val="00C9320B"/>
    <w:rsid w:val="00C93782"/>
    <w:rsid w:val="00C973ED"/>
    <w:rsid w:val="00CA365B"/>
    <w:rsid w:val="00CA5C30"/>
    <w:rsid w:val="00CA61EA"/>
    <w:rsid w:val="00CB380A"/>
    <w:rsid w:val="00CB3D73"/>
    <w:rsid w:val="00CB5703"/>
    <w:rsid w:val="00CB6BD6"/>
    <w:rsid w:val="00CD0408"/>
    <w:rsid w:val="00CD1D98"/>
    <w:rsid w:val="00CD2BBA"/>
    <w:rsid w:val="00CD5656"/>
    <w:rsid w:val="00CD6B63"/>
    <w:rsid w:val="00CD7783"/>
    <w:rsid w:val="00CD7D52"/>
    <w:rsid w:val="00CE707A"/>
    <w:rsid w:val="00CE7AE4"/>
    <w:rsid w:val="00CF1025"/>
    <w:rsid w:val="00CF193B"/>
    <w:rsid w:val="00CF2F1F"/>
    <w:rsid w:val="00CF360A"/>
    <w:rsid w:val="00CF435F"/>
    <w:rsid w:val="00CF5521"/>
    <w:rsid w:val="00D00B89"/>
    <w:rsid w:val="00D05698"/>
    <w:rsid w:val="00D05ECA"/>
    <w:rsid w:val="00D10329"/>
    <w:rsid w:val="00D1079D"/>
    <w:rsid w:val="00D130A3"/>
    <w:rsid w:val="00D13A0C"/>
    <w:rsid w:val="00D162CF"/>
    <w:rsid w:val="00D218F3"/>
    <w:rsid w:val="00D236E9"/>
    <w:rsid w:val="00D24715"/>
    <w:rsid w:val="00D24D56"/>
    <w:rsid w:val="00D266BD"/>
    <w:rsid w:val="00D34496"/>
    <w:rsid w:val="00D34742"/>
    <w:rsid w:val="00D36CED"/>
    <w:rsid w:val="00D40D25"/>
    <w:rsid w:val="00D41EB4"/>
    <w:rsid w:val="00D42346"/>
    <w:rsid w:val="00D519D3"/>
    <w:rsid w:val="00D53B5E"/>
    <w:rsid w:val="00D54E6D"/>
    <w:rsid w:val="00D623E1"/>
    <w:rsid w:val="00D64572"/>
    <w:rsid w:val="00D64582"/>
    <w:rsid w:val="00D66E56"/>
    <w:rsid w:val="00D67804"/>
    <w:rsid w:val="00D70358"/>
    <w:rsid w:val="00D7714B"/>
    <w:rsid w:val="00D7735C"/>
    <w:rsid w:val="00D776D4"/>
    <w:rsid w:val="00D8522D"/>
    <w:rsid w:val="00D916EE"/>
    <w:rsid w:val="00D91E94"/>
    <w:rsid w:val="00D94CD6"/>
    <w:rsid w:val="00D95134"/>
    <w:rsid w:val="00DA40D9"/>
    <w:rsid w:val="00DA6A52"/>
    <w:rsid w:val="00DB0537"/>
    <w:rsid w:val="00DC3337"/>
    <w:rsid w:val="00DD2CE9"/>
    <w:rsid w:val="00DD6D4C"/>
    <w:rsid w:val="00DE5DA1"/>
    <w:rsid w:val="00DF2C67"/>
    <w:rsid w:val="00DF2E31"/>
    <w:rsid w:val="00DF3230"/>
    <w:rsid w:val="00DF3633"/>
    <w:rsid w:val="00DF6381"/>
    <w:rsid w:val="00DF69D1"/>
    <w:rsid w:val="00E041B4"/>
    <w:rsid w:val="00E04B5A"/>
    <w:rsid w:val="00E05F23"/>
    <w:rsid w:val="00E12A86"/>
    <w:rsid w:val="00E14DED"/>
    <w:rsid w:val="00E17236"/>
    <w:rsid w:val="00E17459"/>
    <w:rsid w:val="00E21383"/>
    <w:rsid w:val="00E224A1"/>
    <w:rsid w:val="00E2329F"/>
    <w:rsid w:val="00E3175A"/>
    <w:rsid w:val="00E3195A"/>
    <w:rsid w:val="00E353D1"/>
    <w:rsid w:val="00E401E1"/>
    <w:rsid w:val="00E424FD"/>
    <w:rsid w:val="00E43F8B"/>
    <w:rsid w:val="00E44616"/>
    <w:rsid w:val="00E45731"/>
    <w:rsid w:val="00E508A9"/>
    <w:rsid w:val="00E50F1E"/>
    <w:rsid w:val="00E5357C"/>
    <w:rsid w:val="00E56BCD"/>
    <w:rsid w:val="00E56D36"/>
    <w:rsid w:val="00E56D74"/>
    <w:rsid w:val="00E603E1"/>
    <w:rsid w:val="00E60FDA"/>
    <w:rsid w:val="00E61B27"/>
    <w:rsid w:val="00E621F7"/>
    <w:rsid w:val="00E62717"/>
    <w:rsid w:val="00E667D8"/>
    <w:rsid w:val="00E70C24"/>
    <w:rsid w:val="00E74741"/>
    <w:rsid w:val="00E74D14"/>
    <w:rsid w:val="00E76CC5"/>
    <w:rsid w:val="00E772F0"/>
    <w:rsid w:val="00E81EA1"/>
    <w:rsid w:val="00E82149"/>
    <w:rsid w:val="00E83794"/>
    <w:rsid w:val="00E87C2F"/>
    <w:rsid w:val="00E91362"/>
    <w:rsid w:val="00E917A8"/>
    <w:rsid w:val="00E91F99"/>
    <w:rsid w:val="00E921F4"/>
    <w:rsid w:val="00E92F01"/>
    <w:rsid w:val="00E94FFC"/>
    <w:rsid w:val="00EA1DA1"/>
    <w:rsid w:val="00EA3843"/>
    <w:rsid w:val="00EA4C0F"/>
    <w:rsid w:val="00EA4C7E"/>
    <w:rsid w:val="00EB1951"/>
    <w:rsid w:val="00EB290B"/>
    <w:rsid w:val="00EB312D"/>
    <w:rsid w:val="00EB3F95"/>
    <w:rsid w:val="00EB6B2B"/>
    <w:rsid w:val="00EC19E4"/>
    <w:rsid w:val="00ED1855"/>
    <w:rsid w:val="00ED22F5"/>
    <w:rsid w:val="00EE389F"/>
    <w:rsid w:val="00EE5E2A"/>
    <w:rsid w:val="00EE6186"/>
    <w:rsid w:val="00EF33AB"/>
    <w:rsid w:val="00EF5378"/>
    <w:rsid w:val="00F0180E"/>
    <w:rsid w:val="00F02B78"/>
    <w:rsid w:val="00F0363B"/>
    <w:rsid w:val="00F03807"/>
    <w:rsid w:val="00F11C8E"/>
    <w:rsid w:val="00F12FA6"/>
    <w:rsid w:val="00F14C63"/>
    <w:rsid w:val="00F15BEE"/>
    <w:rsid w:val="00F23203"/>
    <w:rsid w:val="00F25BFE"/>
    <w:rsid w:val="00F36BDD"/>
    <w:rsid w:val="00F3721A"/>
    <w:rsid w:val="00F50198"/>
    <w:rsid w:val="00F502BD"/>
    <w:rsid w:val="00F50817"/>
    <w:rsid w:val="00F51E59"/>
    <w:rsid w:val="00F52869"/>
    <w:rsid w:val="00F61A7D"/>
    <w:rsid w:val="00F669F1"/>
    <w:rsid w:val="00F676A8"/>
    <w:rsid w:val="00F6784D"/>
    <w:rsid w:val="00F70BC0"/>
    <w:rsid w:val="00F75FBB"/>
    <w:rsid w:val="00F83D54"/>
    <w:rsid w:val="00F85206"/>
    <w:rsid w:val="00F87187"/>
    <w:rsid w:val="00F87764"/>
    <w:rsid w:val="00F9156A"/>
    <w:rsid w:val="00F945C5"/>
    <w:rsid w:val="00F95BCB"/>
    <w:rsid w:val="00FA49F6"/>
    <w:rsid w:val="00FB1C5C"/>
    <w:rsid w:val="00FB2C01"/>
    <w:rsid w:val="00FB4706"/>
    <w:rsid w:val="00FB62A8"/>
    <w:rsid w:val="00FC2251"/>
    <w:rsid w:val="00FC478A"/>
    <w:rsid w:val="00FD682B"/>
    <w:rsid w:val="00FD6994"/>
    <w:rsid w:val="00FD6CDF"/>
    <w:rsid w:val="00FD6D7A"/>
    <w:rsid w:val="00FE12F0"/>
    <w:rsid w:val="00FE2089"/>
    <w:rsid w:val="00FE22FF"/>
    <w:rsid w:val="00FE4F0C"/>
    <w:rsid w:val="00FE60B8"/>
    <w:rsid w:val="00FE64FB"/>
    <w:rsid w:val="00FF5C11"/>
    <w:rsid w:val="00FF6F04"/>
    <w:rsid w:val="013F0C8A"/>
    <w:rsid w:val="01423E5D"/>
    <w:rsid w:val="014F7F5C"/>
    <w:rsid w:val="01576E88"/>
    <w:rsid w:val="016236B6"/>
    <w:rsid w:val="01696231"/>
    <w:rsid w:val="016A1414"/>
    <w:rsid w:val="016D1F28"/>
    <w:rsid w:val="016F6E13"/>
    <w:rsid w:val="017A7DB4"/>
    <w:rsid w:val="01867627"/>
    <w:rsid w:val="019E57E5"/>
    <w:rsid w:val="01A71DD0"/>
    <w:rsid w:val="01B41D1F"/>
    <w:rsid w:val="01B86F9C"/>
    <w:rsid w:val="01BF4099"/>
    <w:rsid w:val="01C0675A"/>
    <w:rsid w:val="01C14E17"/>
    <w:rsid w:val="01CB0BA8"/>
    <w:rsid w:val="01CD435F"/>
    <w:rsid w:val="01EC7EC2"/>
    <w:rsid w:val="01F778E3"/>
    <w:rsid w:val="01FA4689"/>
    <w:rsid w:val="02142EF3"/>
    <w:rsid w:val="02185D8E"/>
    <w:rsid w:val="02195E53"/>
    <w:rsid w:val="022774EB"/>
    <w:rsid w:val="022F4339"/>
    <w:rsid w:val="02337E3D"/>
    <w:rsid w:val="023B7BEA"/>
    <w:rsid w:val="026A4D30"/>
    <w:rsid w:val="026A4FE5"/>
    <w:rsid w:val="027F10C0"/>
    <w:rsid w:val="027F7B83"/>
    <w:rsid w:val="02883B50"/>
    <w:rsid w:val="02BF2BB1"/>
    <w:rsid w:val="02CA7B78"/>
    <w:rsid w:val="02E00930"/>
    <w:rsid w:val="02FC708C"/>
    <w:rsid w:val="030630E1"/>
    <w:rsid w:val="03071135"/>
    <w:rsid w:val="03134A35"/>
    <w:rsid w:val="032064E7"/>
    <w:rsid w:val="032F4E00"/>
    <w:rsid w:val="033B421C"/>
    <w:rsid w:val="03560D3D"/>
    <w:rsid w:val="035B1DCC"/>
    <w:rsid w:val="035D0093"/>
    <w:rsid w:val="035F4CA2"/>
    <w:rsid w:val="038D5330"/>
    <w:rsid w:val="03926C7A"/>
    <w:rsid w:val="03AC4A7F"/>
    <w:rsid w:val="03BA205D"/>
    <w:rsid w:val="03C51805"/>
    <w:rsid w:val="03C51BFA"/>
    <w:rsid w:val="03D07AF8"/>
    <w:rsid w:val="03DD3AB5"/>
    <w:rsid w:val="03E752C7"/>
    <w:rsid w:val="042079AA"/>
    <w:rsid w:val="04241E6B"/>
    <w:rsid w:val="04334CDC"/>
    <w:rsid w:val="04346093"/>
    <w:rsid w:val="044406F7"/>
    <w:rsid w:val="046C24F8"/>
    <w:rsid w:val="04721DCF"/>
    <w:rsid w:val="047A0ACE"/>
    <w:rsid w:val="047D73B7"/>
    <w:rsid w:val="04842015"/>
    <w:rsid w:val="04903EE6"/>
    <w:rsid w:val="04943B46"/>
    <w:rsid w:val="04AC3F54"/>
    <w:rsid w:val="04B62E8D"/>
    <w:rsid w:val="04CB580D"/>
    <w:rsid w:val="04E37DF1"/>
    <w:rsid w:val="04F44850"/>
    <w:rsid w:val="04FE6F03"/>
    <w:rsid w:val="052244D2"/>
    <w:rsid w:val="05233238"/>
    <w:rsid w:val="052E2878"/>
    <w:rsid w:val="054128B3"/>
    <w:rsid w:val="055F15BC"/>
    <w:rsid w:val="05687987"/>
    <w:rsid w:val="056F7AB7"/>
    <w:rsid w:val="057E4FDB"/>
    <w:rsid w:val="05807942"/>
    <w:rsid w:val="05904979"/>
    <w:rsid w:val="05A1066B"/>
    <w:rsid w:val="05A82AAB"/>
    <w:rsid w:val="05AB6C8D"/>
    <w:rsid w:val="05B819F5"/>
    <w:rsid w:val="05B83F96"/>
    <w:rsid w:val="05CA1E72"/>
    <w:rsid w:val="05DE159A"/>
    <w:rsid w:val="05DF5004"/>
    <w:rsid w:val="05E23E82"/>
    <w:rsid w:val="05E76E48"/>
    <w:rsid w:val="05ED017B"/>
    <w:rsid w:val="06007CB5"/>
    <w:rsid w:val="06077D18"/>
    <w:rsid w:val="061D7FB7"/>
    <w:rsid w:val="06266733"/>
    <w:rsid w:val="062948E2"/>
    <w:rsid w:val="06295A0F"/>
    <w:rsid w:val="06432B56"/>
    <w:rsid w:val="06452979"/>
    <w:rsid w:val="064E5FFC"/>
    <w:rsid w:val="06515DF8"/>
    <w:rsid w:val="06573666"/>
    <w:rsid w:val="0669224C"/>
    <w:rsid w:val="06852E23"/>
    <w:rsid w:val="068C19AE"/>
    <w:rsid w:val="06B139D5"/>
    <w:rsid w:val="06BA644A"/>
    <w:rsid w:val="06BA6960"/>
    <w:rsid w:val="06C30B97"/>
    <w:rsid w:val="06C539FA"/>
    <w:rsid w:val="06C93A28"/>
    <w:rsid w:val="06D04128"/>
    <w:rsid w:val="06DA2116"/>
    <w:rsid w:val="06DA59A3"/>
    <w:rsid w:val="06F9314A"/>
    <w:rsid w:val="070441B5"/>
    <w:rsid w:val="076D02F7"/>
    <w:rsid w:val="07714C07"/>
    <w:rsid w:val="07740CA0"/>
    <w:rsid w:val="07751E71"/>
    <w:rsid w:val="07A236AB"/>
    <w:rsid w:val="07B07034"/>
    <w:rsid w:val="07C27FB6"/>
    <w:rsid w:val="07C70F2F"/>
    <w:rsid w:val="07CB7A97"/>
    <w:rsid w:val="07DA0120"/>
    <w:rsid w:val="082A1A98"/>
    <w:rsid w:val="082A3F60"/>
    <w:rsid w:val="08346E96"/>
    <w:rsid w:val="08354AE4"/>
    <w:rsid w:val="084D26E6"/>
    <w:rsid w:val="085E53BC"/>
    <w:rsid w:val="088475D0"/>
    <w:rsid w:val="08A110EA"/>
    <w:rsid w:val="08A94E46"/>
    <w:rsid w:val="08AB3ED7"/>
    <w:rsid w:val="08AB7D6F"/>
    <w:rsid w:val="08BE553F"/>
    <w:rsid w:val="08C23218"/>
    <w:rsid w:val="08D46499"/>
    <w:rsid w:val="08DA386B"/>
    <w:rsid w:val="08E23DAC"/>
    <w:rsid w:val="08E45D51"/>
    <w:rsid w:val="08F55BDC"/>
    <w:rsid w:val="08F74CF5"/>
    <w:rsid w:val="09462C83"/>
    <w:rsid w:val="095A091D"/>
    <w:rsid w:val="095C1A79"/>
    <w:rsid w:val="09634145"/>
    <w:rsid w:val="09661CF5"/>
    <w:rsid w:val="09673123"/>
    <w:rsid w:val="097653C0"/>
    <w:rsid w:val="09777232"/>
    <w:rsid w:val="09831EC5"/>
    <w:rsid w:val="099466CD"/>
    <w:rsid w:val="099D19D4"/>
    <w:rsid w:val="099F02E2"/>
    <w:rsid w:val="09A84333"/>
    <w:rsid w:val="09C12CCE"/>
    <w:rsid w:val="0A116B8A"/>
    <w:rsid w:val="0A140A10"/>
    <w:rsid w:val="0A1B2526"/>
    <w:rsid w:val="0A1C108A"/>
    <w:rsid w:val="0A3E13A6"/>
    <w:rsid w:val="0A544DC0"/>
    <w:rsid w:val="0A5B410A"/>
    <w:rsid w:val="0A5B4E02"/>
    <w:rsid w:val="0A6752E5"/>
    <w:rsid w:val="0A751CC7"/>
    <w:rsid w:val="0A8263DE"/>
    <w:rsid w:val="0A862CD2"/>
    <w:rsid w:val="0A9463CD"/>
    <w:rsid w:val="0AA202BE"/>
    <w:rsid w:val="0AA7696C"/>
    <w:rsid w:val="0AB24496"/>
    <w:rsid w:val="0AB757DA"/>
    <w:rsid w:val="0AC864D3"/>
    <w:rsid w:val="0ADB2441"/>
    <w:rsid w:val="0AFD54C1"/>
    <w:rsid w:val="0B043FF8"/>
    <w:rsid w:val="0B1B0B51"/>
    <w:rsid w:val="0B2E74EE"/>
    <w:rsid w:val="0B3E4252"/>
    <w:rsid w:val="0B455CB5"/>
    <w:rsid w:val="0B5670B1"/>
    <w:rsid w:val="0B5E7DD8"/>
    <w:rsid w:val="0B5F1131"/>
    <w:rsid w:val="0B5F20F4"/>
    <w:rsid w:val="0B724F56"/>
    <w:rsid w:val="0B8C3A82"/>
    <w:rsid w:val="0B9863DC"/>
    <w:rsid w:val="0B9D1269"/>
    <w:rsid w:val="0BA10113"/>
    <w:rsid w:val="0BB3050A"/>
    <w:rsid w:val="0BB329B5"/>
    <w:rsid w:val="0BB810E0"/>
    <w:rsid w:val="0BBA2359"/>
    <w:rsid w:val="0BBD1D28"/>
    <w:rsid w:val="0BBD26D8"/>
    <w:rsid w:val="0BDC0615"/>
    <w:rsid w:val="0BE14CA1"/>
    <w:rsid w:val="0BEC3D32"/>
    <w:rsid w:val="0BEE2235"/>
    <w:rsid w:val="0BFC68BC"/>
    <w:rsid w:val="0C0034E6"/>
    <w:rsid w:val="0C035DC9"/>
    <w:rsid w:val="0C065030"/>
    <w:rsid w:val="0C0A6A27"/>
    <w:rsid w:val="0C114E11"/>
    <w:rsid w:val="0C274DCE"/>
    <w:rsid w:val="0C46607E"/>
    <w:rsid w:val="0C5548A9"/>
    <w:rsid w:val="0C7B6E46"/>
    <w:rsid w:val="0CA914B2"/>
    <w:rsid w:val="0CAE2AC6"/>
    <w:rsid w:val="0CAF0C7F"/>
    <w:rsid w:val="0CC254EF"/>
    <w:rsid w:val="0CC66451"/>
    <w:rsid w:val="0CD3159D"/>
    <w:rsid w:val="0CE92E4A"/>
    <w:rsid w:val="0CF06885"/>
    <w:rsid w:val="0CF55AE9"/>
    <w:rsid w:val="0D21285D"/>
    <w:rsid w:val="0D405EDD"/>
    <w:rsid w:val="0D4F1B22"/>
    <w:rsid w:val="0D594CA9"/>
    <w:rsid w:val="0D5F7C0C"/>
    <w:rsid w:val="0D6B3760"/>
    <w:rsid w:val="0D6B4EEA"/>
    <w:rsid w:val="0D701983"/>
    <w:rsid w:val="0D8A5AB3"/>
    <w:rsid w:val="0DAD2D22"/>
    <w:rsid w:val="0DBF61BF"/>
    <w:rsid w:val="0DCA5914"/>
    <w:rsid w:val="0DD0098F"/>
    <w:rsid w:val="0DDE50B5"/>
    <w:rsid w:val="0DEE6BC9"/>
    <w:rsid w:val="0DEF4F76"/>
    <w:rsid w:val="0DF3248B"/>
    <w:rsid w:val="0DF54CB4"/>
    <w:rsid w:val="0DFA028E"/>
    <w:rsid w:val="0E1E00DB"/>
    <w:rsid w:val="0E2749CA"/>
    <w:rsid w:val="0E4B0373"/>
    <w:rsid w:val="0E4E358F"/>
    <w:rsid w:val="0E5F3788"/>
    <w:rsid w:val="0E814AC2"/>
    <w:rsid w:val="0E8B1A7A"/>
    <w:rsid w:val="0E9F3CE0"/>
    <w:rsid w:val="0EB10D42"/>
    <w:rsid w:val="0EB12F48"/>
    <w:rsid w:val="0EBA0F90"/>
    <w:rsid w:val="0EC92AC2"/>
    <w:rsid w:val="0ED81E7B"/>
    <w:rsid w:val="0EF22070"/>
    <w:rsid w:val="0EF97F24"/>
    <w:rsid w:val="0EFC78C7"/>
    <w:rsid w:val="0EFF4172"/>
    <w:rsid w:val="0F150CBF"/>
    <w:rsid w:val="0F1A6A9A"/>
    <w:rsid w:val="0F1B228F"/>
    <w:rsid w:val="0F1D17B9"/>
    <w:rsid w:val="0F1E4BA4"/>
    <w:rsid w:val="0F596F11"/>
    <w:rsid w:val="0F693E64"/>
    <w:rsid w:val="0F6B012B"/>
    <w:rsid w:val="0F7A4074"/>
    <w:rsid w:val="0F830A0B"/>
    <w:rsid w:val="0F844A1D"/>
    <w:rsid w:val="0F881D49"/>
    <w:rsid w:val="0FA147D2"/>
    <w:rsid w:val="0FAB2CAE"/>
    <w:rsid w:val="0FC21792"/>
    <w:rsid w:val="100A4CF4"/>
    <w:rsid w:val="10102516"/>
    <w:rsid w:val="1019168E"/>
    <w:rsid w:val="10277530"/>
    <w:rsid w:val="1030763E"/>
    <w:rsid w:val="10491B9E"/>
    <w:rsid w:val="104B261C"/>
    <w:rsid w:val="105F6456"/>
    <w:rsid w:val="10671C97"/>
    <w:rsid w:val="107E2A9F"/>
    <w:rsid w:val="108161A6"/>
    <w:rsid w:val="10911399"/>
    <w:rsid w:val="10940F58"/>
    <w:rsid w:val="10A35813"/>
    <w:rsid w:val="10BE18E1"/>
    <w:rsid w:val="10BE2681"/>
    <w:rsid w:val="10C413AC"/>
    <w:rsid w:val="10CC7CB9"/>
    <w:rsid w:val="10D635E2"/>
    <w:rsid w:val="10F301AB"/>
    <w:rsid w:val="11084703"/>
    <w:rsid w:val="110872AC"/>
    <w:rsid w:val="1149082D"/>
    <w:rsid w:val="116352C6"/>
    <w:rsid w:val="11835237"/>
    <w:rsid w:val="118D4B17"/>
    <w:rsid w:val="11911CFF"/>
    <w:rsid w:val="11A73024"/>
    <w:rsid w:val="11AF0658"/>
    <w:rsid w:val="11B2197B"/>
    <w:rsid w:val="11D87871"/>
    <w:rsid w:val="11E37594"/>
    <w:rsid w:val="11EC0FAD"/>
    <w:rsid w:val="11F76931"/>
    <w:rsid w:val="11FD0ED4"/>
    <w:rsid w:val="120F3255"/>
    <w:rsid w:val="12137694"/>
    <w:rsid w:val="122409CA"/>
    <w:rsid w:val="12305068"/>
    <w:rsid w:val="12390166"/>
    <w:rsid w:val="123D60DE"/>
    <w:rsid w:val="124D3856"/>
    <w:rsid w:val="12555FAC"/>
    <w:rsid w:val="128E60CC"/>
    <w:rsid w:val="129C32B8"/>
    <w:rsid w:val="12A75880"/>
    <w:rsid w:val="12A9616E"/>
    <w:rsid w:val="12B84553"/>
    <w:rsid w:val="12C25781"/>
    <w:rsid w:val="12D578D1"/>
    <w:rsid w:val="12F57FA6"/>
    <w:rsid w:val="12F84E17"/>
    <w:rsid w:val="130104E0"/>
    <w:rsid w:val="132C0B2A"/>
    <w:rsid w:val="133F3E7F"/>
    <w:rsid w:val="134043C9"/>
    <w:rsid w:val="1348446B"/>
    <w:rsid w:val="135D29DA"/>
    <w:rsid w:val="13606F15"/>
    <w:rsid w:val="136125AA"/>
    <w:rsid w:val="136F2421"/>
    <w:rsid w:val="13716116"/>
    <w:rsid w:val="1383022E"/>
    <w:rsid w:val="13860B95"/>
    <w:rsid w:val="1390534E"/>
    <w:rsid w:val="13940C3A"/>
    <w:rsid w:val="139F1234"/>
    <w:rsid w:val="13C41ACB"/>
    <w:rsid w:val="13D10F57"/>
    <w:rsid w:val="13D34413"/>
    <w:rsid w:val="13D41B21"/>
    <w:rsid w:val="13D87D61"/>
    <w:rsid w:val="13DC3066"/>
    <w:rsid w:val="13FD7DCA"/>
    <w:rsid w:val="140464E6"/>
    <w:rsid w:val="140E44FE"/>
    <w:rsid w:val="14117786"/>
    <w:rsid w:val="14146B9E"/>
    <w:rsid w:val="142D01F1"/>
    <w:rsid w:val="143240A3"/>
    <w:rsid w:val="143251C4"/>
    <w:rsid w:val="143B0CDB"/>
    <w:rsid w:val="143F4529"/>
    <w:rsid w:val="144172C2"/>
    <w:rsid w:val="1443377F"/>
    <w:rsid w:val="144B14ED"/>
    <w:rsid w:val="14532C24"/>
    <w:rsid w:val="1459086F"/>
    <w:rsid w:val="14625840"/>
    <w:rsid w:val="14737B7E"/>
    <w:rsid w:val="1476059A"/>
    <w:rsid w:val="14787805"/>
    <w:rsid w:val="14922675"/>
    <w:rsid w:val="14A07DD7"/>
    <w:rsid w:val="14A70D57"/>
    <w:rsid w:val="14AE62DF"/>
    <w:rsid w:val="14B230D8"/>
    <w:rsid w:val="14B7549C"/>
    <w:rsid w:val="14BA6F9C"/>
    <w:rsid w:val="14CC10C7"/>
    <w:rsid w:val="15057B34"/>
    <w:rsid w:val="151915EB"/>
    <w:rsid w:val="151C22E7"/>
    <w:rsid w:val="152327F1"/>
    <w:rsid w:val="1539636E"/>
    <w:rsid w:val="15673D36"/>
    <w:rsid w:val="159B7CAF"/>
    <w:rsid w:val="15A22F07"/>
    <w:rsid w:val="15BB5BFB"/>
    <w:rsid w:val="15D42430"/>
    <w:rsid w:val="15D728FD"/>
    <w:rsid w:val="15EB4B64"/>
    <w:rsid w:val="15F67012"/>
    <w:rsid w:val="160504A4"/>
    <w:rsid w:val="160C1048"/>
    <w:rsid w:val="16161084"/>
    <w:rsid w:val="163158B3"/>
    <w:rsid w:val="165110B5"/>
    <w:rsid w:val="16567FC8"/>
    <w:rsid w:val="1663620B"/>
    <w:rsid w:val="166A12CD"/>
    <w:rsid w:val="166B3977"/>
    <w:rsid w:val="167E75CC"/>
    <w:rsid w:val="16A36C4C"/>
    <w:rsid w:val="16A400DD"/>
    <w:rsid w:val="16A417C8"/>
    <w:rsid w:val="16A5181F"/>
    <w:rsid w:val="16A96CAD"/>
    <w:rsid w:val="16BE60D0"/>
    <w:rsid w:val="16C62043"/>
    <w:rsid w:val="16D05280"/>
    <w:rsid w:val="16D24731"/>
    <w:rsid w:val="16D91566"/>
    <w:rsid w:val="170A1912"/>
    <w:rsid w:val="170C2100"/>
    <w:rsid w:val="172B6DB1"/>
    <w:rsid w:val="17491FFB"/>
    <w:rsid w:val="174A2477"/>
    <w:rsid w:val="17504DAC"/>
    <w:rsid w:val="17615087"/>
    <w:rsid w:val="176B77AA"/>
    <w:rsid w:val="1785392A"/>
    <w:rsid w:val="17865ECB"/>
    <w:rsid w:val="178E6D8E"/>
    <w:rsid w:val="17910EDC"/>
    <w:rsid w:val="17A11B4E"/>
    <w:rsid w:val="17A17716"/>
    <w:rsid w:val="17B60618"/>
    <w:rsid w:val="17E80C04"/>
    <w:rsid w:val="17E82972"/>
    <w:rsid w:val="17F00269"/>
    <w:rsid w:val="17F41CBA"/>
    <w:rsid w:val="181D33B8"/>
    <w:rsid w:val="18207B06"/>
    <w:rsid w:val="18241E46"/>
    <w:rsid w:val="182513DA"/>
    <w:rsid w:val="18373DB9"/>
    <w:rsid w:val="184E506A"/>
    <w:rsid w:val="18750CD3"/>
    <w:rsid w:val="1885124F"/>
    <w:rsid w:val="18855377"/>
    <w:rsid w:val="188A571E"/>
    <w:rsid w:val="1892587B"/>
    <w:rsid w:val="18A30C02"/>
    <w:rsid w:val="18C02C4C"/>
    <w:rsid w:val="18D4004C"/>
    <w:rsid w:val="18DB14E5"/>
    <w:rsid w:val="18E57559"/>
    <w:rsid w:val="18EF076E"/>
    <w:rsid w:val="19064E0D"/>
    <w:rsid w:val="1914013E"/>
    <w:rsid w:val="192813CB"/>
    <w:rsid w:val="19295104"/>
    <w:rsid w:val="193D1BDC"/>
    <w:rsid w:val="194123F2"/>
    <w:rsid w:val="194C13BF"/>
    <w:rsid w:val="19691470"/>
    <w:rsid w:val="197F7C83"/>
    <w:rsid w:val="199E2404"/>
    <w:rsid w:val="19A570A0"/>
    <w:rsid w:val="19B3135A"/>
    <w:rsid w:val="19C06477"/>
    <w:rsid w:val="19CF596B"/>
    <w:rsid w:val="19D30994"/>
    <w:rsid w:val="19EA566C"/>
    <w:rsid w:val="19F13777"/>
    <w:rsid w:val="19F34064"/>
    <w:rsid w:val="19F91830"/>
    <w:rsid w:val="1A172818"/>
    <w:rsid w:val="1A211A0F"/>
    <w:rsid w:val="1A2A1716"/>
    <w:rsid w:val="1A324E43"/>
    <w:rsid w:val="1A4B173C"/>
    <w:rsid w:val="1A5168C1"/>
    <w:rsid w:val="1A605518"/>
    <w:rsid w:val="1A6C1BBA"/>
    <w:rsid w:val="1A731652"/>
    <w:rsid w:val="1A733B5A"/>
    <w:rsid w:val="1A762108"/>
    <w:rsid w:val="1A830457"/>
    <w:rsid w:val="1A9133CF"/>
    <w:rsid w:val="1AB34123"/>
    <w:rsid w:val="1AB50CCE"/>
    <w:rsid w:val="1AB94417"/>
    <w:rsid w:val="1ABF1CEA"/>
    <w:rsid w:val="1AD926B7"/>
    <w:rsid w:val="1ADA0BE2"/>
    <w:rsid w:val="1AE172C8"/>
    <w:rsid w:val="1AF6285F"/>
    <w:rsid w:val="1B0A4E28"/>
    <w:rsid w:val="1B31183C"/>
    <w:rsid w:val="1B34728D"/>
    <w:rsid w:val="1B433206"/>
    <w:rsid w:val="1B444E20"/>
    <w:rsid w:val="1B7C5E2D"/>
    <w:rsid w:val="1B845B60"/>
    <w:rsid w:val="1BA218CD"/>
    <w:rsid w:val="1BB6133F"/>
    <w:rsid w:val="1BB67C2B"/>
    <w:rsid w:val="1BC936EA"/>
    <w:rsid w:val="1BF41BC1"/>
    <w:rsid w:val="1BF71672"/>
    <w:rsid w:val="1BF818DE"/>
    <w:rsid w:val="1BF914BA"/>
    <w:rsid w:val="1BFA1C6D"/>
    <w:rsid w:val="1C1C2D15"/>
    <w:rsid w:val="1C1C3D1B"/>
    <w:rsid w:val="1C2F353E"/>
    <w:rsid w:val="1C345F49"/>
    <w:rsid w:val="1C36064E"/>
    <w:rsid w:val="1C4D6F6D"/>
    <w:rsid w:val="1C566D93"/>
    <w:rsid w:val="1C642685"/>
    <w:rsid w:val="1C741C4A"/>
    <w:rsid w:val="1C790C21"/>
    <w:rsid w:val="1C7C536C"/>
    <w:rsid w:val="1C9D16D9"/>
    <w:rsid w:val="1C9E4662"/>
    <w:rsid w:val="1CA3601B"/>
    <w:rsid w:val="1CA760F9"/>
    <w:rsid w:val="1CB6082B"/>
    <w:rsid w:val="1CD221A8"/>
    <w:rsid w:val="1CD24707"/>
    <w:rsid w:val="1CE03091"/>
    <w:rsid w:val="1CF63540"/>
    <w:rsid w:val="1CF7445F"/>
    <w:rsid w:val="1D006C9E"/>
    <w:rsid w:val="1D2104FF"/>
    <w:rsid w:val="1D35158E"/>
    <w:rsid w:val="1D490807"/>
    <w:rsid w:val="1D8232BF"/>
    <w:rsid w:val="1D9A3A9C"/>
    <w:rsid w:val="1DD76C4A"/>
    <w:rsid w:val="1E1D621F"/>
    <w:rsid w:val="1E4E2046"/>
    <w:rsid w:val="1E542CE6"/>
    <w:rsid w:val="1E5D02A3"/>
    <w:rsid w:val="1E98285E"/>
    <w:rsid w:val="1EB606F1"/>
    <w:rsid w:val="1EB853A6"/>
    <w:rsid w:val="1EBB0EE5"/>
    <w:rsid w:val="1ECA3304"/>
    <w:rsid w:val="1F046AF5"/>
    <w:rsid w:val="1F087761"/>
    <w:rsid w:val="1F156A91"/>
    <w:rsid w:val="1F2812F9"/>
    <w:rsid w:val="1F594DB9"/>
    <w:rsid w:val="1F640D6A"/>
    <w:rsid w:val="1F6E3CDF"/>
    <w:rsid w:val="1F7004B6"/>
    <w:rsid w:val="1F8D1F0C"/>
    <w:rsid w:val="1F91697C"/>
    <w:rsid w:val="1FCF341B"/>
    <w:rsid w:val="1FD223CC"/>
    <w:rsid w:val="1FD91978"/>
    <w:rsid w:val="1FDB3601"/>
    <w:rsid w:val="1FF20A3D"/>
    <w:rsid w:val="200306C1"/>
    <w:rsid w:val="200822A9"/>
    <w:rsid w:val="200A3CB9"/>
    <w:rsid w:val="20231F1D"/>
    <w:rsid w:val="20275C3B"/>
    <w:rsid w:val="202A223A"/>
    <w:rsid w:val="203E357E"/>
    <w:rsid w:val="20444074"/>
    <w:rsid w:val="204D6DBD"/>
    <w:rsid w:val="20537965"/>
    <w:rsid w:val="206804E0"/>
    <w:rsid w:val="207312A1"/>
    <w:rsid w:val="208B0796"/>
    <w:rsid w:val="20947338"/>
    <w:rsid w:val="209D3B47"/>
    <w:rsid w:val="20C31470"/>
    <w:rsid w:val="20EB6E90"/>
    <w:rsid w:val="21020728"/>
    <w:rsid w:val="212D00FC"/>
    <w:rsid w:val="213F3143"/>
    <w:rsid w:val="214C7AE4"/>
    <w:rsid w:val="215D233E"/>
    <w:rsid w:val="215E1B43"/>
    <w:rsid w:val="216040F6"/>
    <w:rsid w:val="21611C79"/>
    <w:rsid w:val="21684497"/>
    <w:rsid w:val="21716E21"/>
    <w:rsid w:val="217D0AF0"/>
    <w:rsid w:val="21831B6E"/>
    <w:rsid w:val="21842E27"/>
    <w:rsid w:val="219911A6"/>
    <w:rsid w:val="21A34113"/>
    <w:rsid w:val="21A92F1A"/>
    <w:rsid w:val="21C8332B"/>
    <w:rsid w:val="21D74A79"/>
    <w:rsid w:val="22052D36"/>
    <w:rsid w:val="220E1916"/>
    <w:rsid w:val="220F79FB"/>
    <w:rsid w:val="223034CD"/>
    <w:rsid w:val="223664CB"/>
    <w:rsid w:val="22376329"/>
    <w:rsid w:val="223C1E72"/>
    <w:rsid w:val="224B14A9"/>
    <w:rsid w:val="22585DC2"/>
    <w:rsid w:val="225E2D0D"/>
    <w:rsid w:val="22781750"/>
    <w:rsid w:val="228608D2"/>
    <w:rsid w:val="22975FF9"/>
    <w:rsid w:val="22A86F1F"/>
    <w:rsid w:val="22AC18C3"/>
    <w:rsid w:val="22B833DD"/>
    <w:rsid w:val="22CD304D"/>
    <w:rsid w:val="22D03523"/>
    <w:rsid w:val="22D336DA"/>
    <w:rsid w:val="22D51B13"/>
    <w:rsid w:val="22D64270"/>
    <w:rsid w:val="22E937A0"/>
    <w:rsid w:val="22EC6D11"/>
    <w:rsid w:val="22F36D55"/>
    <w:rsid w:val="230F55FD"/>
    <w:rsid w:val="233A26D6"/>
    <w:rsid w:val="233A51D6"/>
    <w:rsid w:val="234E60FE"/>
    <w:rsid w:val="23682737"/>
    <w:rsid w:val="23757D3B"/>
    <w:rsid w:val="23764185"/>
    <w:rsid w:val="238816F3"/>
    <w:rsid w:val="23CF396C"/>
    <w:rsid w:val="23D33853"/>
    <w:rsid w:val="23D762F6"/>
    <w:rsid w:val="23E2297A"/>
    <w:rsid w:val="23FA49B5"/>
    <w:rsid w:val="240A5181"/>
    <w:rsid w:val="241648EC"/>
    <w:rsid w:val="243A226C"/>
    <w:rsid w:val="244D480A"/>
    <w:rsid w:val="24594F73"/>
    <w:rsid w:val="245F7590"/>
    <w:rsid w:val="24785517"/>
    <w:rsid w:val="24872001"/>
    <w:rsid w:val="24961D0D"/>
    <w:rsid w:val="24B574D7"/>
    <w:rsid w:val="24B765CC"/>
    <w:rsid w:val="24B81D65"/>
    <w:rsid w:val="24CA5217"/>
    <w:rsid w:val="24D5113B"/>
    <w:rsid w:val="24D56E85"/>
    <w:rsid w:val="24DE2601"/>
    <w:rsid w:val="24FC1555"/>
    <w:rsid w:val="25030237"/>
    <w:rsid w:val="25154C96"/>
    <w:rsid w:val="25326339"/>
    <w:rsid w:val="25427F6D"/>
    <w:rsid w:val="25470319"/>
    <w:rsid w:val="25761B3F"/>
    <w:rsid w:val="257B3305"/>
    <w:rsid w:val="259D314D"/>
    <w:rsid w:val="259F0103"/>
    <w:rsid w:val="25BA6FAE"/>
    <w:rsid w:val="25C1250D"/>
    <w:rsid w:val="25E23ACA"/>
    <w:rsid w:val="25F04EBA"/>
    <w:rsid w:val="25F07496"/>
    <w:rsid w:val="260723BB"/>
    <w:rsid w:val="260770CA"/>
    <w:rsid w:val="260A5198"/>
    <w:rsid w:val="260B6605"/>
    <w:rsid w:val="26181FCB"/>
    <w:rsid w:val="262320D6"/>
    <w:rsid w:val="263016B8"/>
    <w:rsid w:val="26842299"/>
    <w:rsid w:val="26870688"/>
    <w:rsid w:val="26A31741"/>
    <w:rsid w:val="26AC3A6A"/>
    <w:rsid w:val="26B65177"/>
    <w:rsid w:val="26CA3EF0"/>
    <w:rsid w:val="26DA66A5"/>
    <w:rsid w:val="26F254F3"/>
    <w:rsid w:val="26F51F02"/>
    <w:rsid w:val="26F67C1E"/>
    <w:rsid w:val="27055E4D"/>
    <w:rsid w:val="2707406D"/>
    <w:rsid w:val="270A23EE"/>
    <w:rsid w:val="27107456"/>
    <w:rsid w:val="271C608E"/>
    <w:rsid w:val="271E3733"/>
    <w:rsid w:val="27502994"/>
    <w:rsid w:val="27571307"/>
    <w:rsid w:val="27592458"/>
    <w:rsid w:val="2763650E"/>
    <w:rsid w:val="276514C0"/>
    <w:rsid w:val="277D3B03"/>
    <w:rsid w:val="279F494D"/>
    <w:rsid w:val="27DD6B49"/>
    <w:rsid w:val="27DF6684"/>
    <w:rsid w:val="27E44895"/>
    <w:rsid w:val="27F94EF0"/>
    <w:rsid w:val="27F956BA"/>
    <w:rsid w:val="28095657"/>
    <w:rsid w:val="280F280D"/>
    <w:rsid w:val="28150960"/>
    <w:rsid w:val="281A5A62"/>
    <w:rsid w:val="281C077C"/>
    <w:rsid w:val="282B73F2"/>
    <w:rsid w:val="2836526E"/>
    <w:rsid w:val="28502791"/>
    <w:rsid w:val="285A1027"/>
    <w:rsid w:val="285F5A84"/>
    <w:rsid w:val="286F1F45"/>
    <w:rsid w:val="28906A22"/>
    <w:rsid w:val="289134BD"/>
    <w:rsid w:val="289E1222"/>
    <w:rsid w:val="28AF39C7"/>
    <w:rsid w:val="28B02EE9"/>
    <w:rsid w:val="28DB240F"/>
    <w:rsid w:val="28F74C7C"/>
    <w:rsid w:val="28FB72BE"/>
    <w:rsid w:val="291D7D57"/>
    <w:rsid w:val="291F213C"/>
    <w:rsid w:val="29244A4C"/>
    <w:rsid w:val="294361DC"/>
    <w:rsid w:val="2944603F"/>
    <w:rsid w:val="2985325F"/>
    <w:rsid w:val="29966622"/>
    <w:rsid w:val="299D6F2A"/>
    <w:rsid w:val="299F1D6F"/>
    <w:rsid w:val="299F4C73"/>
    <w:rsid w:val="29A6760D"/>
    <w:rsid w:val="29AA3EF2"/>
    <w:rsid w:val="29AE1244"/>
    <w:rsid w:val="29B2563F"/>
    <w:rsid w:val="29BE366D"/>
    <w:rsid w:val="29D26A6F"/>
    <w:rsid w:val="29F721E7"/>
    <w:rsid w:val="2A0B6B20"/>
    <w:rsid w:val="2A1E41F0"/>
    <w:rsid w:val="2A222102"/>
    <w:rsid w:val="2A222295"/>
    <w:rsid w:val="2A3859A2"/>
    <w:rsid w:val="2A495BEF"/>
    <w:rsid w:val="2A4B3E78"/>
    <w:rsid w:val="2A4D0D63"/>
    <w:rsid w:val="2A583412"/>
    <w:rsid w:val="2A5F15EA"/>
    <w:rsid w:val="2A632D14"/>
    <w:rsid w:val="2A810DF9"/>
    <w:rsid w:val="2A8B08D3"/>
    <w:rsid w:val="2A8C6DFE"/>
    <w:rsid w:val="2A94785F"/>
    <w:rsid w:val="2AAD1397"/>
    <w:rsid w:val="2AAF7EC2"/>
    <w:rsid w:val="2ABC2E13"/>
    <w:rsid w:val="2ACC4969"/>
    <w:rsid w:val="2AD021DE"/>
    <w:rsid w:val="2AD72ECE"/>
    <w:rsid w:val="2AE008A0"/>
    <w:rsid w:val="2AE13469"/>
    <w:rsid w:val="2AE1726A"/>
    <w:rsid w:val="2AE17A5A"/>
    <w:rsid w:val="2AF1233F"/>
    <w:rsid w:val="2AF524B8"/>
    <w:rsid w:val="2AF76001"/>
    <w:rsid w:val="2B066F4B"/>
    <w:rsid w:val="2B187016"/>
    <w:rsid w:val="2B194A69"/>
    <w:rsid w:val="2B1C6552"/>
    <w:rsid w:val="2B217FDB"/>
    <w:rsid w:val="2B2558B1"/>
    <w:rsid w:val="2B2A4A35"/>
    <w:rsid w:val="2B2A5090"/>
    <w:rsid w:val="2B2D0EF2"/>
    <w:rsid w:val="2B355335"/>
    <w:rsid w:val="2B392C00"/>
    <w:rsid w:val="2B4A6823"/>
    <w:rsid w:val="2B5B259F"/>
    <w:rsid w:val="2B5C0678"/>
    <w:rsid w:val="2B622D38"/>
    <w:rsid w:val="2BA9637C"/>
    <w:rsid w:val="2BBE1D45"/>
    <w:rsid w:val="2BBF1858"/>
    <w:rsid w:val="2BC91706"/>
    <w:rsid w:val="2BDC1BE5"/>
    <w:rsid w:val="2BDD601E"/>
    <w:rsid w:val="2BF57163"/>
    <w:rsid w:val="2C0676E9"/>
    <w:rsid w:val="2C0A4015"/>
    <w:rsid w:val="2C1160C8"/>
    <w:rsid w:val="2C1267C7"/>
    <w:rsid w:val="2C2C1647"/>
    <w:rsid w:val="2C2C2449"/>
    <w:rsid w:val="2C475230"/>
    <w:rsid w:val="2C532427"/>
    <w:rsid w:val="2C626634"/>
    <w:rsid w:val="2C70239B"/>
    <w:rsid w:val="2C7C3B77"/>
    <w:rsid w:val="2C973FBA"/>
    <w:rsid w:val="2C9A6AE5"/>
    <w:rsid w:val="2CA32CB5"/>
    <w:rsid w:val="2CAD3CDB"/>
    <w:rsid w:val="2CCD158E"/>
    <w:rsid w:val="2CD45F3F"/>
    <w:rsid w:val="2CD52537"/>
    <w:rsid w:val="2CD9778E"/>
    <w:rsid w:val="2CDD6663"/>
    <w:rsid w:val="2CF45EA7"/>
    <w:rsid w:val="2CFC6B5F"/>
    <w:rsid w:val="2CFE0D67"/>
    <w:rsid w:val="2D0910DD"/>
    <w:rsid w:val="2D281971"/>
    <w:rsid w:val="2D4F0725"/>
    <w:rsid w:val="2D765249"/>
    <w:rsid w:val="2D9F5F69"/>
    <w:rsid w:val="2DB13887"/>
    <w:rsid w:val="2DCE5470"/>
    <w:rsid w:val="2DCF0FC0"/>
    <w:rsid w:val="2DDD0F1B"/>
    <w:rsid w:val="2DE018B7"/>
    <w:rsid w:val="2DEF2E22"/>
    <w:rsid w:val="2E0903B5"/>
    <w:rsid w:val="2E1351A1"/>
    <w:rsid w:val="2E151F9E"/>
    <w:rsid w:val="2E1D22A5"/>
    <w:rsid w:val="2E295242"/>
    <w:rsid w:val="2E2F36FE"/>
    <w:rsid w:val="2E340188"/>
    <w:rsid w:val="2E5F4C07"/>
    <w:rsid w:val="2E8C6F30"/>
    <w:rsid w:val="2E904CC8"/>
    <w:rsid w:val="2EA428CB"/>
    <w:rsid w:val="2ECD6EB1"/>
    <w:rsid w:val="2ECE6F73"/>
    <w:rsid w:val="2ECF45C2"/>
    <w:rsid w:val="2ED85E31"/>
    <w:rsid w:val="2EE42E67"/>
    <w:rsid w:val="2EF100EE"/>
    <w:rsid w:val="2EF27956"/>
    <w:rsid w:val="2EF52623"/>
    <w:rsid w:val="2F0E6E69"/>
    <w:rsid w:val="2F1608F5"/>
    <w:rsid w:val="2F1C20A0"/>
    <w:rsid w:val="2F1F2F0D"/>
    <w:rsid w:val="2F2271E4"/>
    <w:rsid w:val="2F37233F"/>
    <w:rsid w:val="2F3E4B63"/>
    <w:rsid w:val="2F440C38"/>
    <w:rsid w:val="2F4D7598"/>
    <w:rsid w:val="2F527BB8"/>
    <w:rsid w:val="2F59642B"/>
    <w:rsid w:val="2F596BED"/>
    <w:rsid w:val="2F7F4F70"/>
    <w:rsid w:val="2F85342B"/>
    <w:rsid w:val="2F9B6DD0"/>
    <w:rsid w:val="2FA13C7D"/>
    <w:rsid w:val="2FA17100"/>
    <w:rsid w:val="2FA64CDA"/>
    <w:rsid w:val="2FB55056"/>
    <w:rsid w:val="2FCF5E3F"/>
    <w:rsid w:val="2FD5259C"/>
    <w:rsid w:val="2FE508DF"/>
    <w:rsid w:val="2FEC7EE9"/>
    <w:rsid w:val="2FFA60F1"/>
    <w:rsid w:val="30000E8B"/>
    <w:rsid w:val="3002199C"/>
    <w:rsid w:val="30052AD8"/>
    <w:rsid w:val="300E3493"/>
    <w:rsid w:val="3031223E"/>
    <w:rsid w:val="30454052"/>
    <w:rsid w:val="304F3298"/>
    <w:rsid w:val="30553B52"/>
    <w:rsid w:val="305853BF"/>
    <w:rsid w:val="30590093"/>
    <w:rsid w:val="30637280"/>
    <w:rsid w:val="306B04F2"/>
    <w:rsid w:val="30724FBA"/>
    <w:rsid w:val="307561B4"/>
    <w:rsid w:val="307E23AE"/>
    <w:rsid w:val="308E659E"/>
    <w:rsid w:val="309159EE"/>
    <w:rsid w:val="30930A9B"/>
    <w:rsid w:val="3097524D"/>
    <w:rsid w:val="30997E21"/>
    <w:rsid w:val="30A348B4"/>
    <w:rsid w:val="30AA4F46"/>
    <w:rsid w:val="30C23E8A"/>
    <w:rsid w:val="30CE4322"/>
    <w:rsid w:val="30DB07C9"/>
    <w:rsid w:val="30DC1321"/>
    <w:rsid w:val="30EB254E"/>
    <w:rsid w:val="30F03E57"/>
    <w:rsid w:val="30F076B5"/>
    <w:rsid w:val="30FB7CA3"/>
    <w:rsid w:val="310061F3"/>
    <w:rsid w:val="31084B15"/>
    <w:rsid w:val="31111920"/>
    <w:rsid w:val="312471BF"/>
    <w:rsid w:val="312E7F36"/>
    <w:rsid w:val="313962E7"/>
    <w:rsid w:val="31432B26"/>
    <w:rsid w:val="315640CE"/>
    <w:rsid w:val="31647755"/>
    <w:rsid w:val="316A3890"/>
    <w:rsid w:val="317C5486"/>
    <w:rsid w:val="319A03C4"/>
    <w:rsid w:val="31AF6778"/>
    <w:rsid w:val="31BD7164"/>
    <w:rsid w:val="31D22D8A"/>
    <w:rsid w:val="31DD1910"/>
    <w:rsid w:val="320D7ABE"/>
    <w:rsid w:val="3214150F"/>
    <w:rsid w:val="32165638"/>
    <w:rsid w:val="32565F56"/>
    <w:rsid w:val="32642F06"/>
    <w:rsid w:val="326673F3"/>
    <w:rsid w:val="32A70330"/>
    <w:rsid w:val="32BD25FF"/>
    <w:rsid w:val="32DC52F6"/>
    <w:rsid w:val="32E320FF"/>
    <w:rsid w:val="32E661F0"/>
    <w:rsid w:val="330627BA"/>
    <w:rsid w:val="331000DD"/>
    <w:rsid w:val="331B7BC4"/>
    <w:rsid w:val="33324454"/>
    <w:rsid w:val="335A6627"/>
    <w:rsid w:val="335C2A33"/>
    <w:rsid w:val="335F6460"/>
    <w:rsid w:val="33640566"/>
    <w:rsid w:val="336477C1"/>
    <w:rsid w:val="336F30D7"/>
    <w:rsid w:val="33703F2A"/>
    <w:rsid w:val="33771BF8"/>
    <w:rsid w:val="33787492"/>
    <w:rsid w:val="33921573"/>
    <w:rsid w:val="33940DAA"/>
    <w:rsid w:val="3399686E"/>
    <w:rsid w:val="339A6815"/>
    <w:rsid w:val="33A764A6"/>
    <w:rsid w:val="33B22C96"/>
    <w:rsid w:val="33D5378C"/>
    <w:rsid w:val="33D62E34"/>
    <w:rsid w:val="33E118EB"/>
    <w:rsid w:val="33E732A6"/>
    <w:rsid w:val="340A0783"/>
    <w:rsid w:val="34103ED2"/>
    <w:rsid w:val="3422544F"/>
    <w:rsid w:val="342876AB"/>
    <w:rsid w:val="3429036F"/>
    <w:rsid w:val="343A4D6E"/>
    <w:rsid w:val="34512184"/>
    <w:rsid w:val="34621846"/>
    <w:rsid w:val="34641FD3"/>
    <w:rsid w:val="34735BC7"/>
    <w:rsid w:val="34966D17"/>
    <w:rsid w:val="34BB0590"/>
    <w:rsid w:val="34CC7122"/>
    <w:rsid w:val="34E15227"/>
    <w:rsid w:val="34E24ED4"/>
    <w:rsid w:val="34EE3225"/>
    <w:rsid w:val="34F00132"/>
    <w:rsid w:val="34FF7986"/>
    <w:rsid w:val="350034C2"/>
    <w:rsid w:val="35114C39"/>
    <w:rsid w:val="351A4295"/>
    <w:rsid w:val="352207CD"/>
    <w:rsid w:val="35335357"/>
    <w:rsid w:val="35474F9A"/>
    <w:rsid w:val="35536ABC"/>
    <w:rsid w:val="35747AC1"/>
    <w:rsid w:val="35B77E4B"/>
    <w:rsid w:val="35BE377F"/>
    <w:rsid w:val="35CE5853"/>
    <w:rsid w:val="35D40867"/>
    <w:rsid w:val="35DD0948"/>
    <w:rsid w:val="35E14DB3"/>
    <w:rsid w:val="35F52DE5"/>
    <w:rsid w:val="35FF51B6"/>
    <w:rsid w:val="361B2EDF"/>
    <w:rsid w:val="36224E8C"/>
    <w:rsid w:val="36344A13"/>
    <w:rsid w:val="36374023"/>
    <w:rsid w:val="363E322F"/>
    <w:rsid w:val="367D3306"/>
    <w:rsid w:val="3684218C"/>
    <w:rsid w:val="36857DF2"/>
    <w:rsid w:val="368E130B"/>
    <w:rsid w:val="36914775"/>
    <w:rsid w:val="3691496A"/>
    <w:rsid w:val="36950F5B"/>
    <w:rsid w:val="369D3B9D"/>
    <w:rsid w:val="369F0656"/>
    <w:rsid w:val="36B667BF"/>
    <w:rsid w:val="36BF3C07"/>
    <w:rsid w:val="36CB0519"/>
    <w:rsid w:val="36CB118D"/>
    <w:rsid w:val="36D718AE"/>
    <w:rsid w:val="37144F80"/>
    <w:rsid w:val="371B3AEA"/>
    <w:rsid w:val="37381826"/>
    <w:rsid w:val="373E5A60"/>
    <w:rsid w:val="37432CF5"/>
    <w:rsid w:val="37440580"/>
    <w:rsid w:val="37456064"/>
    <w:rsid w:val="375901E0"/>
    <w:rsid w:val="375E3EA0"/>
    <w:rsid w:val="37623CBA"/>
    <w:rsid w:val="376557EC"/>
    <w:rsid w:val="377C61DA"/>
    <w:rsid w:val="377D09E1"/>
    <w:rsid w:val="37832FE7"/>
    <w:rsid w:val="378412F3"/>
    <w:rsid w:val="37870141"/>
    <w:rsid w:val="37904A2E"/>
    <w:rsid w:val="379425DE"/>
    <w:rsid w:val="37A851C8"/>
    <w:rsid w:val="37AE42C7"/>
    <w:rsid w:val="37B46FC0"/>
    <w:rsid w:val="37D309F1"/>
    <w:rsid w:val="37DF17C6"/>
    <w:rsid w:val="37E23E96"/>
    <w:rsid w:val="37F0180F"/>
    <w:rsid w:val="38016A94"/>
    <w:rsid w:val="380A3C20"/>
    <w:rsid w:val="38352ED1"/>
    <w:rsid w:val="3838056E"/>
    <w:rsid w:val="3838690F"/>
    <w:rsid w:val="383A223B"/>
    <w:rsid w:val="38507D0B"/>
    <w:rsid w:val="385F3394"/>
    <w:rsid w:val="3860039D"/>
    <w:rsid w:val="3861037A"/>
    <w:rsid w:val="386C056B"/>
    <w:rsid w:val="38865F9F"/>
    <w:rsid w:val="389D1A4C"/>
    <w:rsid w:val="38B60050"/>
    <w:rsid w:val="38BD06FF"/>
    <w:rsid w:val="38C5276A"/>
    <w:rsid w:val="38C8157A"/>
    <w:rsid w:val="38DA0686"/>
    <w:rsid w:val="38E04980"/>
    <w:rsid w:val="38E549DD"/>
    <w:rsid w:val="39033759"/>
    <w:rsid w:val="39115BB5"/>
    <w:rsid w:val="39143EFA"/>
    <w:rsid w:val="39152F3D"/>
    <w:rsid w:val="39192B25"/>
    <w:rsid w:val="391A7B5A"/>
    <w:rsid w:val="394160DD"/>
    <w:rsid w:val="394764D6"/>
    <w:rsid w:val="39751A39"/>
    <w:rsid w:val="39772BFE"/>
    <w:rsid w:val="39787BA5"/>
    <w:rsid w:val="399D5494"/>
    <w:rsid w:val="39A213E7"/>
    <w:rsid w:val="39AE0B4E"/>
    <w:rsid w:val="39B72D5C"/>
    <w:rsid w:val="39BA2A00"/>
    <w:rsid w:val="39CD537F"/>
    <w:rsid w:val="39DF3829"/>
    <w:rsid w:val="39E26049"/>
    <w:rsid w:val="39EF71E5"/>
    <w:rsid w:val="3A193F22"/>
    <w:rsid w:val="3A205CA4"/>
    <w:rsid w:val="3A25480C"/>
    <w:rsid w:val="3A3F169A"/>
    <w:rsid w:val="3A4220E8"/>
    <w:rsid w:val="3A4356CA"/>
    <w:rsid w:val="3A442FC4"/>
    <w:rsid w:val="3A5108E8"/>
    <w:rsid w:val="3A59192B"/>
    <w:rsid w:val="3A8C138C"/>
    <w:rsid w:val="3A9D7BC6"/>
    <w:rsid w:val="3ACE5FF1"/>
    <w:rsid w:val="3AED001E"/>
    <w:rsid w:val="3B0C16BC"/>
    <w:rsid w:val="3B132235"/>
    <w:rsid w:val="3B174FE4"/>
    <w:rsid w:val="3B4B68FC"/>
    <w:rsid w:val="3B5155A9"/>
    <w:rsid w:val="3B8128D4"/>
    <w:rsid w:val="3B815B43"/>
    <w:rsid w:val="3B847728"/>
    <w:rsid w:val="3B8839E4"/>
    <w:rsid w:val="3BA06EE2"/>
    <w:rsid w:val="3BA539AE"/>
    <w:rsid w:val="3BAA1FFC"/>
    <w:rsid w:val="3BAA3175"/>
    <w:rsid w:val="3BAD35A4"/>
    <w:rsid w:val="3BE9218A"/>
    <w:rsid w:val="3BEE7243"/>
    <w:rsid w:val="3BF65A18"/>
    <w:rsid w:val="3C106524"/>
    <w:rsid w:val="3C120E2B"/>
    <w:rsid w:val="3C122D1E"/>
    <w:rsid w:val="3C1F4862"/>
    <w:rsid w:val="3C214D7E"/>
    <w:rsid w:val="3C3154F5"/>
    <w:rsid w:val="3C3B61ED"/>
    <w:rsid w:val="3C4A137C"/>
    <w:rsid w:val="3C4F62B4"/>
    <w:rsid w:val="3C5B26EF"/>
    <w:rsid w:val="3C716920"/>
    <w:rsid w:val="3C7500AF"/>
    <w:rsid w:val="3C7B17EA"/>
    <w:rsid w:val="3C801FE9"/>
    <w:rsid w:val="3C862CE9"/>
    <w:rsid w:val="3C874ED1"/>
    <w:rsid w:val="3C89540D"/>
    <w:rsid w:val="3C9C7C85"/>
    <w:rsid w:val="3CAF7D73"/>
    <w:rsid w:val="3CC830CE"/>
    <w:rsid w:val="3CD03CE6"/>
    <w:rsid w:val="3CDD654C"/>
    <w:rsid w:val="3CFA013B"/>
    <w:rsid w:val="3CFA6A40"/>
    <w:rsid w:val="3D0F5271"/>
    <w:rsid w:val="3D1045CE"/>
    <w:rsid w:val="3D131C11"/>
    <w:rsid w:val="3D184748"/>
    <w:rsid w:val="3D3E1E24"/>
    <w:rsid w:val="3D49671A"/>
    <w:rsid w:val="3D4B12FF"/>
    <w:rsid w:val="3D5C3D28"/>
    <w:rsid w:val="3D69336C"/>
    <w:rsid w:val="3D6D5298"/>
    <w:rsid w:val="3D8F157A"/>
    <w:rsid w:val="3DA94D72"/>
    <w:rsid w:val="3DC915E2"/>
    <w:rsid w:val="3DCD7D82"/>
    <w:rsid w:val="3DD82B91"/>
    <w:rsid w:val="3DFD4390"/>
    <w:rsid w:val="3E034B91"/>
    <w:rsid w:val="3E0C1899"/>
    <w:rsid w:val="3E1D00DA"/>
    <w:rsid w:val="3E243645"/>
    <w:rsid w:val="3E2E4B4B"/>
    <w:rsid w:val="3E360810"/>
    <w:rsid w:val="3E43514A"/>
    <w:rsid w:val="3E520FFB"/>
    <w:rsid w:val="3E6A3464"/>
    <w:rsid w:val="3E6C4C38"/>
    <w:rsid w:val="3E744DD5"/>
    <w:rsid w:val="3E8876A9"/>
    <w:rsid w:val="3EA846BF"/>
    <w:rsid w:val="3EAD7F28"/>
    <w:rsid w:val="3EB251E1"/>
    <w:rsid w:val="3EB374F3"/>
    <w:rsid w:val="3EB47B21"/>
    <w:rsid w:val="3EBD646C"/>
    <w:rsid w:val="3EC033AD"/>
    <w:rsid w:val="3ED43691"/>
    <w:rsid w:val="3EF367B4"/>
    <w:rsid w:val="3F052EC1"/>
    <w:rsid w:val="3F0F7E15"/>
    <w:rsid w:val="3F12565B"/>
    <w:rsid w:val="3F1349A2"/>
    <w:rsid w:val="3F227D84"/>
    <w:rsid w:val="3F246F20"/>
    <w:rsid w:val="3F255785"/>
    <w:rsid w:val="3F3B508A"/>
    <w:rsid w:val="3F8B2A44"/>
    <w:rsid w:val="3F9666BA"/>
    <w:rsid w:val="3F981BF4"/>
    <w:rsid w:val="3FA24D81"/>
    <w:rsid w:val="3FA36B07"/>
    <w:rsid w:val="3FA7111C"/>
    <w:rsid w:val="3FA9234B"/>
    <w:rsid w:val="3FA956B6"/>
    <w:rsid w:val="3FB34064"/>
    <w:rsid w:val="3FBF5061"/>
    <w:rsid w:val="3FD6525C"/>
    <w:rsid w:val="3FD674A3"/>
    <w:rsid w:val="3FDB7C7B"/>
    <w:rsid w:val="3FE6385B"/>
    <w:rsid w:val="40292467"/>
    <w:rsid w:val="40342157"/>
    <w:rsid w:val="405C7E57"/>
    <w:rsid w:val="40640ABA"/>
    <w:rsid w:val="4073629E"/>
    <w:rsid w:val="407E431D"/>
    <w:rsid w:val="409D1B4C"/>
    <w:rsid w:val="40B66BE2"/>
    <w:rsid w:val="40C03E2E"/>
    <w:rsid w:val="40C07A91"/>
    <w:rsid w:val="40CC1B34"/>
    <w:rsid w:val="40EF5CFD"/>
    <w:rsid w:val="40F071D8"/>
    <w:rsid w:val="41041F04"/>
    <w:rsid w:val="41045F07"/>
    <w:rsid w:val="410C45D5"/>
    <w:rsid w:val="41107AAC"/>
    <w:rsid w:val="411C7A18"/>
    <w:rsid w:val="411D5696"/>
    <w:rsid w:val="41202BFF"/>
    <w:rsid w:val="4141580D"/>
    <w:rsid w:val="41433C48"/>
    <w:rsid w:val="415F0818"/>
    <w:rsid w:val="416D2471"/>
    <w:rsid w:val="41A25322"/>
    <w:rsid w:val="41AA0F0C"/>
    <w:rsid w:val="41BC7637"/>
    <w:rsid w:val="41BD0129"/>
    <w:rsid w:val="41C061C4"/>
    <w:rsid w:val="41C4649F"/>
    <w:rsid w:val="41E15D6F"/>
    <w:rsid w:val="41F13390"/>
    <w:rsid w:val="423954B4"/>
    <w:rsid w:val="424663F2"/>
    <w:rsid w:val="42591AE9"/>
    <w:rsid w:val="42604FAD"/>
    <w:rsid w:val="4268256A"/>
    <w:rsid w:val="426D74C6"/>
    <w:rsid w:val="42853741"/>
    <w:rsid w:val="42B07FBF"/>
    <w:rsid w:val="42D21FD1"/>
    <w:rsid w:val="42D4430F"/>
    <w:rsid w:val="42DF267A"/>
    <w:rsid w:val="431C1918"/>
    <w:rsid w:val="4323065F"/>
    <w:rsid w:val="432B7E32"/>
    <w:rsid w:val="43554343"/>
    <w:rsid w:val="43566DE0"/>
    <w:rsid w:val="435A43E0"/>
    <w:rsid w:val="435E5C94"/>
    <w:rsid w:val="4364594E"/>
    <w:rsid w:val="436547FA"/>
    <w:rsid w:val="43701198"/>
    <w:rsid w:val="437422AF"/>
    <w:rsid w:val="4380059F"/>
    <w:rsid w:val="43823DE1"/>
    <w:rsid w:val="43AA2776"/>
    <w:rsid w:val="43D30BE7"/>
    <w:rsid w:val="43DE3ACF"/>
    <w:rsid w:val="43EF7F77"/>
    <w:rsid w:val="4419187F"/>
    <w:rsid w:val="4437003B"/>
    <w:rsid w:val="44376BFC"/>
    <w:rsid w:val="44386F8F"/>
    <w:rsid w:val="443F215E"/>
    <w:rsid w:val="44530349"/>
    <w:rsid w:val="44544BC7"/>
    <w:rsid w:val="4480696D"/>
    <w:rsid w:val="44A41847"/>
    <w:rsid w:val="44AA15D6"/>
    <w:rsid w:val="44B024B9"/>
    <w:rsid w:val="44C41AAC"/>
    <w:rsid w:val="44FD2AE6"/>
    <w:rsid w:val="44FE1A28"/>
    <w:rsid w:val="4501349E"/>
    <w:rsid w:val="4503512F"/>
    <w:rsid w:val="45060392"/>
    <w:rsid w:val="450F0D54"/>
    <w:rsid w:val="452179CD"/>
    <w:rsid w:val="45273940"/>
    <w:rsid w:val="45282E8A"/>
    <w:rsid w:val="453255E7"/>
    <w:rsid w:val="4537640B"/>
    <w:rsid w:val="455709BD"/>
    <w:rsid w:val="458470E0"/>
    <w:rsid w:val="45A90E82"/>
    <w:rsid w:val="45A933F8"/>
    <w:rsid w:val="45AB28E0"/>
    <w:rsid w:val="45AD12E1"/>
    <w:rsid w:val="45CB095B"/>
    <w:rsid w:val="45D05EEC"/>
    <w:rsid w:val="45D340A4"/>
    <w:rsid w:val="45D718EF"/>
    <w:rsid w:val="45D8477C"/>
    <w:rsid w:val="45D96140"/>
    <w:rsid w:val="45EF68F7"/>
    <w:rsid w:val="45F72D18"/>
    <w:rsid w:val="45FD2EDB"/>
    <w:rsid w:val="460A2378"/>
    <w:rsid w:val="46657FFF"/>
    <w:rsid w:val="46897D8E"/>
    <w:rsid w:val="468C4838"/>
    <w:rsid w:val="46932667"/>
    <w:rsid w:val="46A161A2"/>
    <w:rsid w:val="46BA5BFB"/>
    <w:rsid w:val="46BB78DE"/>
    <w:rsid w:val="46CA1450"/>
    <w:rsid w:val="46D267A3"/>
    <w:rsid w:val="47104813"/>
    <w:rsid w:val="471335D1"/>
    <w:rsid w:val="4729778F"/>
    <w:rsid w:val="473110DC"/>
    <w:rsid w:val="474776C4"/>
    <w:rsid w:val="47532164"/>
    <w:rsid w:val="475B3CBC"/>
    <w:rsid w:val="476016C9"/>
    <w:rsid w:val="476759D9"/>
    <w:rsid w:val="477C1BFA"/>
    <w:rsid w:val="477E3F35"/>
    <w:rsid w:val="477F421B"/>
    <w:rsid w:val="47885E65"/>
    <w:rsid w:val="479F3E52"/>
    <w:rsid w:val="47B02F9D"/>
    <w:rsid w:val="47B20B32"/>
    <w:rsid w:val="47C32CB4"/>
    <w:rsid w:val="47C823C8"/>
    <w:rsid w:val="47D02AEA"/>
    <w:rsid w:val="47E816A5"/>
    <w:rsid w:val="47F24C46"/>
    <w:rsid w:val="47F25130"/>
    <w:rsid w:val="47F25FE2"/>
    <w:rsid w:val="480E601F"/>
    <w:rsid w:val="4824005B"/>
    <w:rsid w:val="482C324F"/>
    <w:rsid w:val="483E7EA5"/>
    <w:rsid w:val="48404C8A"/>
    <w:rsid w:val="484B2B7C"/>
    <w:rsid w:val="48522993"/>
    <w:rsid w:val="487023A7"/>
    <w:rsid w:val="48760693"/>
    <w:rsid w:val="48884357"/>
    <w:rsid w:val="48B82140"/>
    <w:rsid w:val="48C8444F"/>
    <w:rsid w:val="48C86FDB"/>
    <w:rsid w:val="48DA58FE"/>
    <w:rsid w:val="48F4330A"/>
    <w:rsid w:val="48F71047"/>
    <w:rsid w:val="490F35CE"/>
    <w:rsid w:val="491B40AB"/>
    <w:rsid w:val="491E28A0"/>
    <w:rsid w:val="49227F34"/>
    <w:rsid w:val="492C131D"/>
    <w:rsid w:val="492D4DF1"/>
    <w:rsid w:val="49320189"/>
    <w:rsid w:val="49363C4C"/>
    <w:rsid w:val="493C4382"/>
    <w:rsid w:val="494468DB"/>
    <w:rsid w:val="49486C39"/>
    <w:rsid w:val="494E5AF4"/>
    <w:rsid w:val="4952431A"/>
    <w:rsid w:val="495722B4"/>
    <w:rsid w:val="49583DC3"/>
    <w:rsid w:val="495C2B59"/>
    <w:rsid w:val="4971089D"/>
    <w:rsid w:val="497A72F2"/>
    <w:rsid w:val="497B4A59"/>
    <w:rsid w:val="497D6CB5"/>
    <w:rsid w:val="49871020"/>
    <w:rsid w:val="499A6163"/>
    <w:rsid w:val="499F3CC2"/>
    <w:rsid w:val="49A07481"/>
    <w:rsid w:val="49BC54C3"/>
    <w:rsid w:val="49D05114"/>
    <w:rsid w:val="49DD676E"/>
    <w:rsid w:val="49DE5070"/>
    <w:rsid w:val="49E3044C"/>
    <w:rsid w:val="49F11987"/>
    <w:rsid w:val="4A0C77D5"/>
    <w:rsid w:val="4A0D040E"/>
    <w:rsid w:val="4A0F4D24"/>
    <w:rsid w:val="4A107B70"/>
    <w:rsid w:val="4A1109C2"/>
    <w:rsid w:val="4A157CAA"/>
    <w:rsid w:val="4A317A07"/>
    <w:rsid w:val="4A376C0B"/>
    <w:rsid w:val="4A415589"/>
    <w:rsid w:val="4A463254"/>
    <w:rsid w:val="4A53054D"/>
    <w:rsid w:val="4A5C4911"/>
    <w:rsid w:val="4A6655DE"/>
    <w:rsid w:val="4A685442"/>
    <w:rsid w:val="4A707340"/>
    <w:rsid w:val="4A7C04CE"/>
    <w:rsid w:val="4A92068D"/>
    <w:rsid w:val="4A9A10DE"/>
    <w:rsid w:val="4A9A6616"/>
    <w:rsid w:val="4A9D0CF7"/>
    <w:rsid w:val="4AA276CC"/>
    <w:rsid w:val="4AB366A6"/>
    <w:rsid w:val="4ACD2BCD"/>
    <w:rsid w:val="4ADC532E"/>
    <w:rsid w:val="4AE10A28"/>
    <w:rsid w:val="4AE514D5"/>
    <w:rsid w:val="4B0235C9"/>
    <w:rsid w:val="4B1F607D"/>
    <w:rsid w:val="4B227759"/>
    <w:rsid w:val="4B2300F9"/>
    <w:rsid w:val="4B32364D"/>
    <w:rsid w:val="4B352F1E"/>
    <w:rsid w:val="4B3978B9"/>
    <w:rsid w:val="4B433FFC"/>
    <w:rsid w:val="4B4C7CE0"/>
    <w:rsid w:val="4B603AEF"/>
    <w:rsid w:val="4B6709B3"/>
    <w:rsid w:val="4B676EF5"/>
    <w:rsid w:val="4B695D60"/>
    <w:rsid w:val="4B774789"/>
    <w:rsid w:val="4B92269A"/>
    <w:rsid w:val="4B925CCE"/>
    <w:rsid w:val="4B9A7A86"/>
    <w:rsid w:val="4BB21EC3"/>
    <w:rsid w:val="4BB40E37"/>
    <w:rsid w:val="4BC66ACD"/>
    <w:rsid w:val="4BC67541"/>
    <w:rsid w:val="4BC94807"/>
    <w:rsid w:val="4BCE2452"/>
    <w:rsid w:val="4BD81F99"/>
    <w:rsid w:val="4BD95327"/>
    <w:rsid w:val="4BDB63B4"/>
    <w:rsid w:val="4BE00653"/>
    <w:rsid w:val="4BE1505C"/>
    <w:rsid w:val="4BF54CBC"/>
    <w:rsid w:val="4BF929FE"/>
    <w:rsid w:val="4BFA6D6B"/>
    <w:rsid w:val="4C0D64AA"/>
    <w:rsid w:val="4C133305"/>
    <w:rsid w:val="4C143297"/>
    <w:rsid w:val="4C4A4231"/>
    <w:rsid w:val="4C6360CA"/>
    <w:rsid w:val="4C691027"/>
    <w:rsid w:val="4C7030C2"/>
    <w:rsid w:val="4C780B54"/>
    <w:rsid w:val="4C7C272B"/>
    <w:rsid w:val="4C7D6E7A"/>
    <w:rsid w:val="4C7F4278"/>
    <w:rsid w:val="4C8C459D"/>
    <w:rsid w:val="4C9505E2"/>
    <w:rsid w:val="4C986615"/>
    <w:rsid w:val="4C992370"/>
    <w:rsid w:val="4CDC69BE"/>
    <w:rsid w:val="4CED3278"/>
    <w:rsid w:val="4CEE1EBB"/>
    <w:rsid w:val="4CFD6F45"/>
    <w:rsid w:val="4D11496B"/>
    <w:rsid w:val="4D145ABE"/>
    <w:rsid w:val="4D1C7B15"/>
    <w:rsid w:val="4D202615"/>
    <w:rsid w:val="4D207466"/>
    <w:rsid w:val="4D323F2E"/>
    <w:rsid w:val="4D3C2D0F"/>
    <w:rsid w:val="4D474CBA"/>
    <w:rsid w:val="4D4E1D01"/>
    <w:rsid w:val="4D5337B3"/>
    <w:rsid w:val="4D7A1193"/>
    <w:rsid w:val="4D810EFD"/>
    <w:rsid w:val="4D8415F5"/>
    <w:rsid w:val="4D8644E7"/>
    <w:rsid w:val="4D953EA9"/>
    <w:rsid w:val="4DA42E3E"/>
    <w:rsid w:val="4DB43081"/>
    <w:rsid w:val="4DB50A3D"/>
    <w:rsid w:val="4DD56CDD"/>
    <w:rsid w:val="4DDD0E3C"/>
    <w:rsid w:val="4DE62553"/>
    <w:rsid w:val="4E137967"/>
    <w:rsid w:val="4E137A06"/>
    <w:rsid w:val="4E1A3BBD"/>
    <w:rsid w:val="4E1C2CE6"/>
    <w:rsid w:val="4E1F5083"/>
    <w:rsid w:val="4E2A34FA"/>
    <w:rsid w:val="4E594503"/>
    <w:rsid w:val="4E5F3C0E"/>
    <w:rsid w:val="4E6B5F56"/>
    <w:rsid w:val="4E7D4F73"/>
    <w:rsid w:val="4E8401CC"/>
    <w:rsid w:val="4E9A318D"/>
    <w:rsid w:val="4EA1128F"/>
    <w:rsid w:val="4EAC63C2"/>
    <w:rsid w:val="4EAD7AD0"/>
    <w:rsid w:val="4EBA6D0C"/>
    <w:rsid w:val="4EBB1E2C"/>
    <w:rsid w:val="4EBE0CD4"/>
    <w:rsid w:val="4EC533FC"/>
    <w:rsid w:val="4EDC5567"/>
    <w:rsid w:val="4EDD77E6"/>
    <w:rsid w:val="4EFE6F75"/>
    <w:rsid w:val="4F104B17"/>
    <w:rsid w:val="4F1A1F77"/>
    <w:rsid w:val="4F1D324D"/>
    <w:rsid w:val="4F2C19CA"/>
    <w:rsid w:val="4F454A30"/>
    <w:rsid w:val="4F4C4795"/>
    <w:rsid w:val="4F4C72E9"/>
    <w:rsid w:val="4F7649C6"/>
    <w:rsid w:val="4F780B20"/>
    <w:rsid w:val="4F7A725D"/>
    <w:rsid w:val="4F8C6B1C"/>
    <w:rsid w:val="4F9732E3"/>
    <w:rsid w:val="4FBB7E0E"/>
    <w:rsid w:val="4FBE0C2C"/>
    <w:rsid w:val="4FE7195D"/>
    <w:rsid w:val="4FE8753F"/>
    <w:rsid w:val="4FEC4CEB"/>
    <w:rsid w:val="4FF777CE"/>
    <w:rsid w:val="4FFB4594"/>
    <w:rsid w:val="500D1AB0"/>
    <w:rsid w:val="50275637"/>
    <w:rsid w:val="502D4654"/>
    <w:rsid w:val="50424BA4"/>
    <w:rsid w:val="50453083"/>
    <w:rsid w:val="50471C77"/>
    <w:rsid w:val="507063C7"/>
    <w:rsid w:val="50767826"/>
    <w:rsid w:val="508934B4"/>
    <w:rsid w:val="50DD56F5"/>
    <w:rsid w:val="50E630E6"/>
    <w:rsid w:val="50F63F3C"/>
    <w:rsid w:val="50F94497"/>
    <w:rsid w:val="50FE5BDB"/>
    <w:rsid w:val="51176CD2"/>
    <w:rsid w:val="5125662C"/>
    <w:rsid w:val="514647C4"/>
    <w:rsid w:val="51482EBC"/>
    <w:rsid w:val="51552BCA"/>
    <w:rsid w:val="515A3F3F"/>
    <w:rsid w:val="515F6310"/>
    <w:rsid w:val="51691EE8"/>
    <w:rsid w:val="516C1B00"/>
    <w:rsid w:val="51742A7C"/>
    <w:rsid w:val="519B7DDB"/>
    <w:rsid w:val="51AD0FF6"/>
    <w:rsid w:val="51CA6B6D"/>
    <w:rsid w:val="51D75590"/>
    <w:rsid w:val="51D82A76"/>
    <w:rsid w:val="51E05DF7"/>
    <w:rsid w:val="51EF575C"/>
    <w:rsid w:val="51F021D8"/>
    <w:rsid w:val="51F37F7D"/>
    <w:rsid w:val="5211175A"/>
    <w:rsid w:val="52235F2E"/>
    <w:rsid w:val="522620B1"/>
    <w:rsid w:val="52265FBA"/>
    <w:rsid w:val="522A7287"/>
    <w:rsid w:val="523D347E"/>
    <w:rsid w:val="52496079"/>
    <w:rsid w:val="524C447E"/>
    <w:rsid w:val="52703ECF"/>
    <w:rsid w:val="52773B0F"/>
    <w:rsid w:val="527860C5"/>
    <w:rsid w:val="528148AE"/>
    <w:rsid w:val="52916568"/>
    <w:rsid w:val="52BB4D40"/>
    <w:rsid w:val="52CD7B4F"/>
    <w:rsid w:val="52CF6607"/>
    <w:rsid w:val="52E23ED7"/>
    <w:rsid w:val="52E54407"/>
    <w:rsid w:val="533A1041"/>
    <w:rsid w:val="533D58C6"/>
    <w:rsid w:val="53480EBC"/>
    <w:rsid w:val="53552F76"/>
    <w:rsid w:val="5360066A"/>
    <w:rsid w:val="537231EE"/>
    <w:rsid w:val="53A235B0"/>
    <w:rsid w:val="53A45945"/>
    <w:rsid w:val="53A54D55"/>
    <w:rsid w:val="53AD2E61"/>
    <w:rsid w:val="53B0514F"/>
    <w:rsid w:val="53E77615"/>
    <w:rsid w:val="53F005F3"/>
    <w:rsid w:val="53F75EDC"/>
    <w:rsid w:val="53F87760"/>
    <w:rsid w:val="540B0DA8"/>
    <w:rsid w:val="540C4D41"/>
    <w:rsid w:val="54271E31"/>
    <w:rsid w:val="542D6F0A"/>
    <w:rsid w:val="54352F71"/>
    <w:rsid w:val="543F16F8"/>
    <w:rsid w:val="54422235"/>
    <w:rsid w:val="544362C4"/>
    <w:rsid w:val="544D38E7"/>
    <w:rsid w:val="54710D30"/>
    <w:rsid w:val="5476381C"/>
    <w:rsid w:val="54804FF1"/>
    <w:rsid w:val="54896FBA"/>
    <w:rsid w:val="5494096F"/>
    <w:rsid w:val="54A14E6F"/>
    <w:rsid w:val="54A246BC"/>
    <w:rsid w:val="54B40981"/>
    <w:rsid w:val="54CE7219"/>
    <w:rsid w:val="54D9161F"/>
    <w:rsid w:val="54DC32F5"/>
    <w:rsid w:val="54F458C7"/>
    <w:rsid w:val="550D0146"/>
    <w:rsid w:val="553327FD"/>
    <w:rsid w:val="55365CBA"/>
    <w:rsid w:val="553C2D5D"/>
    <w:rsid w:val="555542B9"/>
    <w:rsid w:val="55564A1D"/>
    <w:rsid w:val="5578540C"/>
    <w:rsid w:val="558C7CF1"/>
    <w:rsid w:val="558D2F8A"/>
    <w:rsid w:val="559A0B82"/>
    <w:rsid w:val="55A5435D"/>
    <w:rsid w:val="55BB4F44"/>
    <w:rsid w:val="55C649A1"/>
    <w:rsid w:val="55CD2AD1"/>
    <w:rsid w:val="55E57759"/>
    <w:rsid w:val="55F126EF"/>
    <w:rsid w:val="56225975"/>
    <w:rsid w:val="562C6DCC"/>
    <w:rsid w:val="562D1854"/>
    <w:rsid w:val="562D6C01"/>
    <w:rsid w:val="564672A2"/>
    <w:rsid w:val="56535D36"/>
    <w:rsid w:val="56542DF4"/>
    <w:rsid w:val="566E6955"/>
    <w:rsid w:val="567B7D71"/>
    <w:rsid w:val="56850BD8"/>
    <w:rsid w:val="56AB3A07"/>
    <w:rsid w:val="56B67AAC"/>
    <w:rsid w:val="56B9271B"/>
    <w:rsid w:val="56DF5E39"/>
    <w:rsid w:val="56ED6B4D"/>
    <w:rsid w:val="56EF512A"/>
    <w:rsid w:val="5704341D"/>
    <w:rsid w:val="570F1DCA"/>
    <w:rsid w:val="57292DA4"/>
    <w:rsid w:val="572D7AB5"/>
    <w:rsid w:val="57362E52"/>
    <w:rsid w:val="57415E59"/>
    <w:rsid w:val="5756623A"/>
    <w:rsid w:val="57587ADA"/>
    <w:rsid w:val="576069FC"/>
    <w:rsid w:val="57692BC2"/>
    <w:rsid w:val="576F626A"/>
    <w:rsid w:val="57700813"/>
    <w:rsid w:val="577426C5"/>
    <w:rsid w:val="57744FCF"/>
    <w:rsid w:val="57751211"/>
    <w:rsid w:val="578730E0"/>
    <w:rsid w:val="578F2813"/>
    <w:rsid w:val="57960179"/>
    <w:rsid w:val="579853FF"/>
    <w:rsid w:val="579C4636"/>
    <w:rsid w:val="579D7D23"/>
    <w:rsid w:val="57AA3350"/>
    <w:rsid w:val="57B23579"/>
    <w:rsid w:val="57D47188"/>
    <w:rsid w:val="57E27A16"/>
    <w:rsid w:val="57E30688"/>
    <w:rsid w:val="57ED4063"/>
    <w:rsid w:val="57FF139C"/>
    <w:rsid w:val="581125D0"/>
    <w:rsid w:val="581D7E8D"/>
    <w:rsid w:val="58302A2D"/>
    <w:rsid w:val="583077A8"/>
    <w:rsid w:val="58355A1A"/>
    <w:rsid w:val="583E5701"/>
    <w:rsid w:val="584B51AF"/>
    <w:rsid w:val="584C1E00"/>
    <w:rsid w:val="585C73D1"/>
    <w:rsid w:val="58B32187"/>
    <w:rsid w:val="58B42B52"/>
    <w:rsid w:val="58B70237"/>
    <w:rsid w:val="58C86066"/>
    <w:rsid w:val="58CF4FA5"/>
    <w:rsid w:val="591A794F"/>
    <w:rsid w:val="592076F9"/>
    <w:rsid w:val="5921200E"/>
    <w:rsid w:val="59214282"/>
    <w:rsid w:val="5925478E"/>
    <w:rsid w:val="59402CF7"/>
    <w:rsid w:val="59485F23"/>
    <w:rsid w:val="594A43BB"/>
    <w:rsid w:val="596C2FAF"/>
    <w:rsid w:val="5970791E"/>
    <w:rsid w:val="5971468D"/>
    <w:rsid w:val="597B0F3D"/>
    <w:rsid w:val="59861898"/>
    <w:rsid w:val="598C4EB2"/>
    <w:rsid w:val="59970011"/>
    <w:rsid w:val="59DA7F65"/>
    <w:rsid w:val="59F037E5"/>
    <w:rsid w:val="5A146C55"/>
    <w:rsid w:val="5A275AF4"/>
    <w:rsid w:val="5A2F098D"/>
    <w:rsid w:val="5A350FBA"/>
    <w:rsid w:val="5A353E66"/>
    <w:rsid w:val="5A417C33"/>
    <w:rsid w:val="5A4412E8"/>
    <w:rsid w:val="5A4A6CAA"/>
    <w:rsid w:val="5A50656F"/>
    <w:rsid w:val="5A6E53CE"/>
    <w:rsid w:val="5A74048D"/>
    <w:rsid w:val="5A747476"/>
    <w:rsid w:val="5A8351B5"/>
    <w:rsid w:val="5A8823EB"/>
    <w:rsid w:val="5A9E20A4"/>
    <w:rsid w:val="5AA31872"/>
    <w:rsid w:val="5AA458C5"/>
    <w:rsid w:val="5AA91A93"/>
    <w:rsid w:val="5AAB010C"/>
    <w:rsid w:val="5AC405C3"/>
    <w:rsid w:val="5AC4067B"/>
    <w:rsid w:val="5AC67FF3"/>
    <w:rsid w:val="5ACB47AD"/>
    <w:rsid w:val="5ACE5A33"/>
    <w:rsid w:val="5B143B83"/>
    <w:rsid w:val="5B230F45"/>
    <w:rsid w:val="5B294E57"/>
    <w:rsid w:val="5B3716FA"/>
    <w:rsid w:val="5B3823B7"/>
    <w:rsid w:val="5B3955A3"/>
    <w:rsid w:val="5B4661F0"/>
    <w:rsid w:val="5B486978"/>
    <w:rsid w:val="5B526733"/>
    <w:rsid w:val="5B5F6406"/>
    <w:rsid w:val="5B666426"/>
    <w:rsid w:val="5B720D75"/>
    <w:rsid w:val="5B8A7B52"/>
    <w:rsid w:val="5B986F53"/>
    <w:rsid w:val="5BBB5E91"/>
    <w:rsid w:val="5BC20698"/>
    <w:rsid w:val="5BC75EC1"/>
    <w:rsid w:val="5BDB2E1C"/>
    <w:rsid w:val="5C3420F0"/>
    <w:rsid w:val="5C3426CD"/>
    <w:rsid w:val="5C462116"/>
    <w:rsid w:val="5C7D31D8"/>
    <w:rsid w:val="5C802E74"/>
    <w:rsid w:val="5CA0710F"/>
    <w:rsid w:val="5CB14E2D"/>
    <w:rsid w:val="5CD27100"/>
    <w:rsid w:val="5CE47403"/>
    <w:rsid w:val="5CFB2159"/>
    <w:rsid w:val="5CFE17AD"/>
    <w:rsid w:val="5D065E59"/>
    <w:rsid w:val="5D066354"/>
    <w:rsid w:val="5D15241D"/>
    <w:rsid w:val="5D1A0A26"/>
    <w:rsid w:val="5D1C479E"/>
    <w:rsid w:val="5D236FD7"/>
    <w:rsid w:val="5D3870E9"/>
    <w:rsid w:val="5D3A63BF"/>
    <w:rsid w:val="5D571309"/>
    <w:rsid w:val="5D57436A"/>
    <w:rsid w:val="5D616655"/>
    <w:rsid w:val="5D7040E7"/>
    <w:rsid w:val="5D770706"/>
    <w:rsid w:val="5D784E08"/>
    <w:rsid w:val="5D791089"/>
    <w:rsid w:val="5D7F04A6"/>
    <w:rsid w:val="5D89672C"/>
    <w:rsid w:val="5D8A2491"/>
    <w:rsid w:val="5D9E1FC6"/>
    <w:rsid w:val="5DAC1EF0"/>
    <w:rsid w:val="5DB200FE"/>
    <w:rsid w:val="5DBB5D65"/>
    <w:rsid w:val="5DBD3D1B"/>
    <w:rsid w:val="5DED732E"/>
    <w:rsid w:val="5DF11B7B"/>
    <w:rsid w:val="5E04179E"/>
    <w:rsid w:val="5E0D29CF"/>
    <w:rsid w:val="5E0F7B42"/>
    <w:rsid w:val="5E110479"/>
    <w:rsid w:val="5E205A9F"/>
    <w:rsid w:val="5E221E79"/>
    <w:rsid w:val="5E542795"/>
    <w:rsid w:val="5E5A095D"/>
    <w:rsid w:val="5E5D5C6E"/>
    <w:rsid w:val="5E662172"/>
    <w:rsid w:val="5E7352D9"/>
    <w:rsid w:val="5E7C575D"/>
    <w:rsid w:val="5E7F546E"/>
    <w:rsid w:val="5E8455EC"/>
    <w:rsid w:val="5EB13E13"/>
    <w:rsid w:val="5EF84BF2"/>
    <w:rsid w:val="5EFB3585"/>
    <w:rsid w:val="5F01690D"/>
    <w:rsid w:val="5F027AD6"/>
    <w:rsid w:val="5F075F62"/>
    <w:rsid w:val="5F0C44C1"/>
    <w:rsid w:val="5F116103"/>
    <w:rsid w:val="5F1277DF"/>
    <w:rsid w:val="5F432B9B"/>
    <w:rsid w:val="5F436FFC"/>
    <w:rsid w:val="5F67600A"/>
    <w:rsid w:val="5F685A79"/>
    <w:rsid w:val="5F7469AC"/>
    <w:rsid w:val="5F851BFD"/>
    <w:rsid w:val="5FAC31D0"/>
    <w:rsid w:val="5FAD14D8"/>
    <w:rsid w:val="5FC545A1"/>
    <w:rsid w:val="5FD01870"/>
    <w:rsid w:val="5FD163BD"/>
    <w:rsid w:val="5FD36A9E"/>
    <w:rsid w:val="5FDC33F4"/>
    <w:rsid w:val="5FF36036"/>
    <w:rsid w:val="5FF408FE"/>
    <w:rsid w:val="602E4F4A"/>
    <w:rsid w:val="60337058"/>
    <w:rsid w:val="60397008"/>
    <w:rsid w:val="603D0C9F"/>
    <w:rsid w:val="604F4E8B"/>
    <w:rsid w:val="60501D16"/>
    <w:rsid w:val="60553791"/>
    <w:rsid w:val="6068545D"/>
    <w:rsid w:val="606A3A73"/>
    <w:rsid w:val="606D1AFD"/>
    <w:rsid w:val="607757D2"/>
    <w:rsid w:val="607D64E0"/>
    <w:rsid w:val="60827C72"/>
    <w:rsid w:val="60BB5B66"/>
    <w:rsid w:val="60D97A2B"/>
    <w:rsid w:val="60DB2826"/>
    <w:rsid w:val="60F547CB"/>
    <w:rsid w:val="610749A5"/>
    <w:rsid w:val="610B7004"/>
    <w:rsid w:val="6115369D"/>
    <w:rsid w:val="6127483A"/>
    <w:rsid w:val="613C3B46"/>
    <w:rsid w:val="61565FDE"/>
    <w:rsid w:val="616A57A1"/>
    <w:rsid w:val="618F5533"/>
    <w:rsid w:val="61AD249A"/>
    <w:rsid w:val="61B63144"/>
    <w:rsid w:val="61B75100"/>
    <w:rsid w:val="61BC2215"/>
    <w:rsid w:val="61C47D27"/>
    <w:rsid w:val="61C64B34"/>
    <w:rsid w:val="61DF23E2"/>
    <w:rsid w:val="61E115B4"/>
    <w:rsid w:val="61E62B9F"/>
    <w:rsid w:val="61E72071"/>
    <w:rsid w:val="62034CA4"/>
    <w:rsid w:val="62182F9D"/>
    <w:rsid w:val="62224D3E"/>
    <w:rsid w:val="622710AF"/>
    <w:rsid w:val="622F535F"/>
    <w:rsid w:val="62436D76"/>
    <w:rsid w:val="62487433"/>
    <w:rsid w:val="624E30EC"/>
    <w:rsid w:val="6257590F"/>
    <w:rsid w:val="62685C9E"/>
    <w:rsid w:val="626D04E8"/>
    <w:rsid w:val="628B776E"/>
    <w:rsid w:val="62B0002C"/>
    <w:rsid w:val="62B471C6"/>
    <w:rsid w:val="62B7213F"/>
    <w:rsid w:val="62CE3322"/>
    <w:rsid w:val="62D442BD"/>
    <w:rsid w:val="62E76981"/>
    <w:rsid w:val="62F41A14"/>
    <w:rsid w:val="63026EEE"/>
    <w:rsid w:val="630F0DC3"/>
    <w:rsid w:val="631B3FD5"/>
    <w:rsid w:val="63490425"/>
    <w:rsid w:val="6355186C"/>
    <w:rsid w:val="636A7EBA"/>
    <w:rsid w:val="636D56F4"/>
    <w:rsid w:val="637D586B"/>
    <w:rsid w:val="63831332"/>
    <w:rsid w:val="6398181F"/>
    <w:rsid w:val="639E22CE"/>
    <w:rsid w:val="63A47E58"/>
    <w:rsid w:val="63B909BE"/>
    <w:rsid w:val="63C11BFC"/>
    <w:rsid w:val="63C46DE2"/>
    <w:rsid w:val="63DB6B44"/>
    <w:rsid w:val="63FA4639"/>
    <w:rsid w:val="640225F8"/>
    <w:rsid w:val="64142ABF"/>
    <w:rsid w:val="64234161"/>
    <w:rsid w:val="642F7CBB"/>
    <w:rsid w:val="64337342"/>
    <w:rsid w:val="643E14BD"/>
    <w:rsid w:val="64426791"/>
    <w:rsid w:val="64544572"/>
    <w:rsid w:val="645E744B"/>
    <w:rsid w:val="6477217F"/>
    <w:rsid w:val="647977F7"/>
    <w:rsid w:val="648762BD"/>
    <w:rsid w:val="64A22908"/>
    <w:rsid w:val="64A75904"/>
    <w:rsid w:val="64A82C8F"/>
    <w:rsid w:val="64B247C2"/>
    <w:rsid w:val="64B25195"/>
    <w:rsid w:val="64B74246"/>
    <w:rsid w:val="64BD2B26"/>
    <w:rsid w:val="64D059DB"/>
    <w:rsid w:val="64F426B5"/>
    <w:rsid w:val="64FF2087"/>
    <w:rsid w:val="650641E4"/>
    <w:rsid w:val="65143317"/>
    <w:rsid w:val="65162443"/>
    <w:rsid w:val="651670B3"/>
    <w:rsid w:val="65262602"/>
    <w:rsid w:val="653008B7"/>
    <w:rsid w:val="65603C28"/>
    <w:rsid w:val="657458BB"/>
    <w:rsid w:val="65796927"/>
    <w:rsid w:val="658A42E8"/>
    <w:rsid w:val="658F2701"/>
    <w:rsid w:val="65922A6B"/>
    <w:rsid w:val="659670CE"/>
    <w:rsid w:val="65990691"/>
    <w:rsid w:val="65C54440"/>
    <w:rsid w:val="65CE1B16"/>
    <w:rsid w:val="65E067B2"/>
    <w:rsid w:val="66065FEC"/>
    <w:rsid w:val="660F25F8"/>
    <w:rsid w:val="660F5E32"/>
    <w:rsid w:val="66130061"/>
    <w:rsid w:val="662F1A16"/>
    <w:rsid w:val="66323898"/>
    <w:rsid w:val="66410E9E"/>
    <w:rsid w:val="664F3C0E"/>
    <w:rsid w:val="6658290C"/>
    <w:rsid w:val="665D1D8A"/>
    <w:rsid w:val="6670017A"/>
    <w:rsid w:val="667976C3"/>
    <w:rsid w:val="668459BA"/>
    <w:rsid w:val="66C31A47"/>
    <w:rsid w:val="66EF694D"/>
    <w:rsid w:val="67324D00"/>
    <w:rsid w:val="67345C63"/>
    <w:rsid w:val="67397B35"/>
    <w:rsid w:val="673D32F5"/>
    <w:rsid w:val="67410A8B"/>
    <w:rsid w:val="67435E8A"/>
    <w:rsid w:val="67500089"/>
    <w:rsid w:val="675B63FB"/>
    <w:rsid w:val="676B4F15"/>
    <w:rsid w:val="677C23FB"/>
    <w:rsid w:val="678C1EB9"/>
    <w:rsid w:val="679503C8"/>
    <w:rsid w:val="67A26FCA"/>
    <w:rsid w:val="67B333ED"/>
    <w:rsid w:val="67D07518"/>
    <w:rsid w:val="67E46F3F"/>
    <w:rsid w:val="67F52607"/>
    <w:rsid w:val="67FD4761"/>
    <w:rsid w:val="684255C8"/>
    <w:rsid w:val="68461633"/>
    <w:rsid w:val="68534A64"/>
    <w:rsid w:val="6871774C"/>
    <w:rsid w:val="68724939"/>
    <w:rsid w:val="68773D84"/>
    <w:rsid w:val="687B1BAE"/>
    <w:rsid w:val="689B3412"/>
    <w:rsid w:val="68A83FA0"/>
    <w:rsid w:val="68AA35A6"/>
    <w:rsid w:val="68AB0534"/>
    <w:rsid w:val="68AE5E2B"/>
    <w:rsid w:val="68B0477B"/>
    <w:rsid w:val="68B90C01"/>
    <w:rsid w:val="68CF6309"/>
    <w:rsid w:val="68D0332F"/>
    <w:rsid w:val="68D76D89"/>
    <w:rsid w:val="68E43DF7"/>
    <w:rsid w:val="690F0855"/>
    <w:rsid w:val="690F3CFE"/>
    <w:rsid w:val="69123B81"/>
    <w:rsid w:val="6920358E"/>
    <w:rsid w:val="69240166"/>
    <w:rsid w:val="69891419"/>
    <w:rsid w:val="698A0CE2"/>
    <w:rsid w:val="699B6250"/>
    <w:rsid w:val="699C47B8"/>
    <w:rsid w:val="699D437B"/>
    <w:rsid w:val="69B66F7C"/>
    <w:rsid w:val="69CB7D62"/>
    <w:rsid w:val="69DB7E1F"/>
    <w:rsid w:val="69F20580"/>
    <w:rsid w:val="6A002D52"/>
    <w:rsid w:val="6A0452B4"/>
    <w:rsid w:val="6A082A5F"/>
    <w:rsid w:val="6A2C3B47"/>
    <w:rsid w:val="6A2D2B5F"/>
    <w:rsid w:val="6A303421"/>
    <w:rsid w:val="6A3265C5"/>
    <w:rsid w:val="6A56388A"/>
    <w:rsid w:val="6A5C4586"/>
    <w:rsid w:val="6A647BEA"/>
    <w:rsid w:val="6A6D2036"/>
    <w:rsid w:val="6A731776"/>
    <w:rsid w:val="6A7C13BC"/>
    <w:rsid w:val="6A833842"/>
    <w:rsid w:val="6A83625A"/>
    <w:rsid w:val="6A8C1112"/>
    <w:rsid w:val="6ABE47D2"/>
    <w:rsid w:val="6AC064A8"/>
    <w:rsid w:val="6AC33C0E"/>
    <w:rsid w:val="6AD167ED"/>
    <w:rsid w:val="6AD4543B"/>
    <w:rsid w:val="6ADC731B"/>
    <w:rsid w:val="6AE34248"/>
    <w:rsid w:val="6AFB4068"/>
    <w:rsid w:val="6B013977"/>
    <w:rsid w:val="6B076875"/>
    <w:rsid w:val="6B175069"/>
    <w:rsid w:val="6B2209B8"/>
    <w:rsid w:val="6B263627"/>
    <w:rsid w:val="6B3001FD"/>
    <w:rsid w:val="6B3028DF"/>
    <w:rsid w:val="6B543355"/>
    <w:rsid w:val="6B5E5C36"/>
    <w:rsid w:val="6B6042BE"/>
    <w:rsid w:val="6B60563D"/>
    <w:rsid w:val="6B7F6D95"/>
    <w:rsid w:val="6B867EF2"/>
    <w:rsid w:val="6B932783"/>
    <w:rsid w:val="6BA91FE8"/>
    <w:rsid w:val="6BA95681"/>
    <w:rsid w:val="6BCD5551"/>
    <w:rsid w:val="6BD954AC"/>
    <w:rsid w:val="6BDC1113"/>
    <w:rsid w:val="6BEB2649"/>
    <w:rsid w:val="6BF3601B"/>
    <w:rsid w:val="6C037AAE"/>
    <w:rsid w:val="6C0A1567"/>
    <w:rsid w:val="6C151358"/>
    <w:rsid w:val="6C175ECD"/>
    <w:rsid w:val="6C1C34A2"/>
    <w:rsid w:val="6C2C7E2E"/>
    <w:rsid w:val="6C2E3BA6"/>
    <w:rsid w:val="6C35406D"/>
    <w:rsid w:val="6C4213FF"/>
    <w:rsid w:val="6C476F10"/>
    <w:rsid w:val="6C477D1E"/>
    <w:rsid w:val="6C515264"/>
    <w:rsid w:val="6C516D2E"/>
    <w:rsid w:val="6C52703B"/>
    <w:rsid w:val="6C536932"/>
    <w:rsid w:val="6C56625E"/>
    <w:rsid w:val="6C5C373D"/>
    <w:rsid w:val="6C6422F0"/>
    <w:rsid w:val="6C6D3885"/>
    <w:rsid w:val="6C76320B"/>
    <w:rsid w:val="6C77613D"/>
    <w:rsid w:val="6C822ABB"/>
    <w:rsid w:val="6C845330"/>
    <w:rsid w:val="6C8518FB"/>
    <w:rsid w:val="6C8E4B2D"/>
    <w:rsid w:val="6C9E6DF2"/>
    <w:rsid w:val="6CBC2ADE"/>
    <w:rsid w:val="6CC06D8E"/>
    <w:rsid w:val="6CD470DA"/>
    <w:rsid w:val="6CDB1F80"/>
    <w:rsid w:val="6CDE4271"/>
    <w:rsid w:val="6D012BE3"/>
    <w:rsid w:val="6D13040E"/>
    <w:rsid w:val="6D163C0D"/>
    <w:rsid w:val="6D5459CA"/>
    <w:rsid w:val="6D6A0C01"/>
    <w:rsid w:val="6D6C298D"/>
    <w:rsid w:val="6D6F2A16"/>
    <w:rsid w:val="6D703EBA"/>
    <w:rsid w:val="6D845D01"/>
    <w:rsid w:val="6D890366"/>
    <w:rsid w:val="6D9B671E"/>
    <w:rsid w:val="6DAC0372"/>
    <w:rsid w:val="6DC04684"/>
    <w:rsid w:val="6DDA6C9C"/>
    <w:rsid w:val="6DE51EC1"/>
    <w:rsid w:val="6DFE7431"/>
    <w:rsid w:val="6E075659"/>
    <w:rsid w:val="6E0A5677"/>
    <w:rsid w:val="6E0F1569"/>
    <w:rsid w:val="6E1A6D91"/>
    <w:rsid w:val="6E2F2E5B"/>
    <w:rsid w:val="6E3C6B08"/>
    <w:rsid w:val="6E3D12E3"/>
    <w:rsid w:val="6E413567"/>
    <w:rsid w:val="6E441B47"/>
    <w:rsid w:val="6E453F5D"/>
    <w:rsid w:val="6E5421EA"/>
    <w:rsid w:val="6E5A44DB"/>
    <w:rsid w:val="6E612B09"/>
    <w:rsid w:val="6E725396"/>
    <w:rsid w:val="6E7757DF"/>
    <w:rsid w:val="6E7A11C2"/>
    <w:rsid w:val="6E8364CE"/>
    <w:rsid w:val="6E8F792D"/>
    <w:rsid w:val="6E915C39"/>
    <w:rsid w:val="6E9D69C6"/>
    <w:rsid w:val="6EA0640C"/>
    <w:rsid w:val="6EAA3AC0"/>
    <w:rsid w:val="6EAC21FF"/>
    <w:rsid w:val="6EC42C69"/>
    <w:rsid w:val="6EC65406"/>
    <w:rsid w:val="6ECA70DA"/>
    <w:rsid w:val="6EF7632B"/>
    <w:rsid w:val="6F0575FF"/>
    <w:rsid w:val="6F2367E0"/>
    <w:rsid w:val="6F295434"/>
    <w:rsid w:val="6F305E87"/>
    <w:rsid w:val="6F3C2505"/>
    <w:rsid w:val="6F3E0559"/>
    <w:rsid w:val="6F5B4ADC"/>
    <w:rsid w:val="6F60207D"/>
    <w:rsid w:val="6F7854BD"/>
    <w:rsid w:val="6F942D95"/>
    <w:rsid w:val="6F975876"/>
    <w:rsid w:val="6FA23E77"/>
    <w:rsid w:val="6FAA7066"/>
    <w:rsid w:val="6FAB4645"/>
    <w:rsid w:val="6FF017DD"/>
    <w:rsid w:val="6FF22845"/>
    <w:rsid w:val="6FF969CC"/>
    <w:rsid w:val="70060AD7"/>
    <w:rsid w:val="700A03E0"/>
    <w:rsid w:val="70115B72"/>
    <w:rsid w:val="70147401"/>
    <w:rsid w:val="702A79F9"/>
    <w:rsid w:val="702D2F8B"/>
    <w:rsid w:val="703C1B89"/>
    <w:rsid w:val="704B11CB"/>
    <w:rsid w:val="705C7800"/>
    <w:rsid w:val="7069352E"/>
    <w:rsid w:val="706D528F"/>
    <w:rsid w:val="707A09B2"/>
    <w:rsid w:val="707A2FF4"/>
    <w:rsid w:val="707A619D"/>
    <w:rsid w:val="70815550"/>
    <w:rsid w:val="708650FD"/>
    <w:rsid w:val="70980188"/>
    <w:rsid w:val="709B1240"/>
    <w:rsid w:val="70E84C6C"/>
    <w:rsid w:val="70EF1651"/>
    <w:rsid w:val="70F53E40"/>
    <w:rsid w:val="70FA3DCC"/>
    <w:rsid w:val="710C413B"/>
    <w:rsid w:val="710D4DB6"/>
    <w:rsid w:val="71193079"/>
    <w:rsid w:val="712F1461"/>
    <w:rsid w:val="713C7869"/>
    <w:rsid w:val="713E2ADE"/>
    <w:rsid w:val="7141612A"/>
    <w:rsid w:val="71546C19"/>
    <w:rsid w:val="715B0E0B"/>
    <w:rsid w:val="71B923DD"/>
    <w:rsid w:val="71C91C30"/>
    <w:rsid w:val="71D02B5F"/>
    <w:rsid w:val="71EB552E"/>
    <w:rsid w:val="7205474C"/>
    <w:rsid w:val="720C5839"/>
    <w:rsid w:val="721C3464"/>
    <w:rsid w:val="722F2426"/>
    <w:rsid w:val="72330474"/>
    <w:rsid w:val="7238355A"/>
    <w:rsid w:val="724C37F9"/>
    <w:rsid w:val="72576F60"/>
    <w:rsid w:val="72593B18"/>
    <w:rsid w:val="726A199F"/>
    <w:rsid w:val="7278568D"/>
    <w:rsid w:val="727E14BF"/>
    <w:rsid w:val="727F300D"/>
    <w:rsid w:val="729F135A"/>
    <w:rsid w:val="72AC2313"/>
    <w:rsid w:val="72BF01E5"/>
    <w:rsid w:val="72D059B7"/>
    <w:rsid w:val="72D26138"/>
    <w:rsid w:val="72D7378F"/>
    <w:rsid w:val="72D74A1A"/>
    <w:rsid w:val="72EE3A34"/>
    <w:rsid w:val="730C3744"/>
    <w:rsid w:val="730F27D1"/>
    <w:rsid w:val="7317702C"/>
    <w:rsid w:val="73251C34"/>
    <w:rsid w:val="73270C9E"/>
    <w:rsid w:val="734671F6"/>
    <w:rsid w:val="734B3F41"/>
    <w:rsid w:val="73557B3E"/>
    <w:rsid w:val="73634AC1"/>
    <w:rsid w:val="73697950"/>
    <w:rsid w:val="736A3EA5"/>
    <w:rsid w:val="737F0690"/>
    <w:rsid w:val="73A203CF"/>
    <w:rsid w:val="73AE1E08"/>
    <w:rsid w:val="73B726D3"/>
    <w:rsid w:val="73C117A4"/>
    <w:rsid w:val="73CF1694"/>
    <w:rsid w:val="73E73DBC"/>
    <w:rsid w:val="73FE5B77"/>
    <w:rsid w:val="74116EA3"/>
    <w:rsid w:val="74594DBE"/>
    <w:rsid w:val="74757EB3"/>
    <w:rsid w:val="74780B72"/>
    <w:rsid w:val="7480205F"/>
    <w:rsid w:val="74944921"/>
    <w:rsid w:val="749A2E3E"/>
    <w:rsid w:val="749D5CE3"/>
    <w:rsid w:val="74B823BF"/>
    <w:rsid w:val="74DB3F53"/>
    <w:rsid w:val="74FE77AB"/>
    <w:rsid w:val="75271F09"/>
    <w:rsid w:val="753E5E4B"/>
    <w:rsid w:val="75691DD5"/>
    <w:rsid w:val="75733F57"/>
    <w:rsid w:val="757C3B39"/>
    <w:rsid w:val="75975576"/>
    <w:rsid w:val="75A841DE"/>
    <w:rsid w:val="75CA7CFF"/>
    <w:rsid w:val="76165DD7"/>
    <w:rsid w:val="76201D23"/>
    <w:rsid w:val="76220433"/>
    <w:rsid w:val="763B6F6A"/>
    <w:rsid w:val="763C0060"/>
    <w:rsid w:val="763E2413"/>
    <w:rsid w:val="765F7F3E"/>
    <w:rsid w:val="76703E63"/>
    <w:rsid w:val="76794470"/>
    <w:rsid w:val="76802C08"/>
    <w:rsid w:val="76877BBB"/>
    <w:rsid w:val="768954EE"/>
    <w:rsid w:val="769C7484"/>
    <w:rsid w:val="76A532DE"/>
    <w:rsid w:val="76B80F6D"/>
    <w:rsid w:val="76DE213A"/>
    <w:rsid w:val="76E32CA6"/>
    <w:rsid w:val="76E3678B"/>
    <w:rsid w:val="76FB2A44"/>
    <w:rsid w:val="76FE2598"/>
    <w:rsid w:val="77346593"/>
    <w:rsid w:val="77470212"/>
    <w:rsid w:val="77544DFB"/>
    <w:rsid w:val="77654885"/>
    <w:rsid w:val="779B51D1"/>
    <w:rsid w:val="77A568D9"/>
    <w:rsid w:val="77AB3CC0"/>
    <w:rsid w:val="77B148CB"/>
    <w:rsid w:val="77B5238D"/>
    <w:rsid w:val="77C061FC"/>
    <w:rsid w:val="77C07E62"/>
    <w:rsid w:val="77C651FE"/>
    <w:rsid w:val="77D01E5A"/>
    <w:rsid w:val="77D53779"/>
    <w:rsid w:val="77DA4BE2"/>
    <w:rsid w:val="77E34BBF"/>
    <w:rsid w:val="77FB576D"/>
    <w:rsid w:val="7803238B"/>
    <w:rsid w:val="78044AA5"/>
    <w:rsid w:val="780B4B39"/>
    <w:rsid w:val="781D6824"/>
    <w:rsid w:val="783A1D29"/>
    <w:rsid w:val="78450BF6"/>
    <w:rsid w:val="78537123"/>
    <w:rsid w:val="786E5350"/>
    <w:rsid w:val="787A3B4F"/>
    <w:rsid w:val="7899532B"/>
    <w:rsid w:val="789B7D51"/>
    <w:rsid w:val="78A60C9D"/>
    <w:rsid w:val="78AA55C3"/>
    <w:rsid w:val="78AD3DA8"/>
    <w:rsid w:val="78B41DA4"/>
    <w:rsid w:val="78B67752"/>
    <w:rsid w:val="78BB2005"/>
    <w:rsid w:val="78E174A0"/>
    <w:rsid w:val="78EF0E65"/>
    <w:rsid w:val="790A599B"/>
    <w:rsid w:val="79142E45"/>
    <w:rsid w:val="791E69F3"/>
    <w:rsid w:val="79282EC8"/>
    <w:rsid w:val="792A60AC"/>
    <w:rsid w:val="792A7C9E"/>
    <w:rsid w:val="7935446A"/>
    <w:rsid w:val="793941EF"/>
    <w:rsid w:val="794227C9"/>
    <w:rsid w:val="7950464B"/>
    <w:rsid w:val="795D6255"/>
    <w:rsid w:val="795E602F"/>
    <w:rsid w:val="796322DB"/>
    <w:rsid w:val="79674EC3"/>
    <w:rsid w:val="798149FE"/>
    <w:rsid w:val="798B3692"/>
    <w:rsid w:val="799612FF"/>
    <w:rsid w:val="799F7317"/>
    <w:rsid w:val="79B01CAA"/>
    <w:rsid w:val="79D95E19"/>
    <w:rsid w:val="79E12616"/>
    <w:rsid w:val="79E838B0"/>
    <w:rsid w:val="79EC7434"/>
    <w:rsid w:val="7A041D3D"/>
    <w:rsid w:val="7A04504C"/>
    <w:rsid w:val="7A150387"/>
    <w:rsid w:val="7A174616"/>
    <w:rsid w:val="7A212F9C"/>
    <w:rsid w:val="7A226ED7"/>
    <w:rsid w:val="7A297F06"/>
    <w:rsid w:val="7A3367AD"/>
    <w:rsid w:val="7A3909AC"/>
    <w:rsid w:val="7A3C1B84"/>
    <w:rsid w:val="7A4E6872"/>
    <w:rsid w:val="7A7604B4"/>
    <w:rsid w:val="7A7D7422"/>
    <w:rsid w:val="7A822BDE"/>
    <w:rsid w:val="7AAA42BF"/>
    <w:rsid w:val="7AB73ADB"/>
    <w:rsid w:val="7AC55253"/>
    <w:rsid w:val="7AD8539E"/>
    <w:rsid w:val="7B0C4963"/>
    <w:rsid w:val="7B0E68BA"/>
    <w:rsid w:val="7B114B62"/>
    <w:rsid w:val="7B2E0F6A"/>
    <w:rsid w:val="7B4E54EE"/>
    <w:rsid w:val="7B6F3122"/>
    <w:rsid w:val="7BB06386"/>
    <w:rsid w:val="7BB3231A"/>
    <w:rsid w:val="7BB66ED3"/>
    <w:rsid w:val="7BB942BC"/>
    <w:rsid w:val="7BC462D5"/>
    <w:rsid w:val="7BC62168"/>
    <w:rsid w:val="7BD07B0D"/>
    <w:rsid w:val="7BD346E8"/>
    <w:rsid w:val="7BD9357E"/>
    <w:rsid w:val="7BE47E99"/>
    <w:rsid w:val="7BE57095"/>
    <w:rsid w:val="7BF00E78"/>
    <w:rsid w:val="7BF841F7"/>
    <w:rsid w:val="7C04595F"/>
    <w:rsid w:val="7C0954EE"/>
    <w:rsid w:val="7C0F3EEB"/>
    <w:rsid w:val="7C1E2FC9"/>
    <w:rsid w:val="7C201D60"/>
    <w:rsid w:val="7C2056B4"/>
    <w:rsid w:val="7C22164F"/>
    <w:rsid w:val="7C2D1102"/>
    <w:rsid w:val="7C5B282A"/>
    <w:rsid w:val="7C891ADF"/>
    <w:rsid w:val="7CA11609"/>
    <w:rsid w:val="7CCA171C"/>
    <w:rsid w:val="7CCD5005"/>
    <w:rsid w:val="7CCE4433"/>
    <w:rsid w:val="7CEA1583"/>
    <w:rsid w:val="7D001E2E"/>
    <w:rsid w:val="7D0618DE"/>
    <w:rsid w:val="7D125F97"/>
    <w:rsid w:val="7D2B5692"/>
    <w:rsid w:val="7D303BC9"/>
    <w:rsid w:val="7D4144EC"/>
    <w:rsid w:val="7D50202E"/>
    <w:rsid w:val="7D721C99"/>
    <w:rsid w:val="7D7C458C"/>
    <w:rsid w:val="7D872F52"/>
    <w:rsid w:val="7D9D1214"/>
    <w:rsid w:val="7DA53F92"/>
    <w:rsid w:val="7DC412E7"/>
    <w:rsid w:val="7DC7750D"/>
    <w:rsid w:val="7E111C11"/>
    <w:rsid w:val="7E122132"/>
    <w:rsid w:val="7E253C4B"/>
    <w:rsid w:val="7E276C0A"/>
    <w:rsid w:val="7E347F9D"/>
    <w:rsid w:val="7E451D84"/>
    <w:rsid w:val="7E4A4AEE"/>
    <w:rsid w:val="7E4B4B1D"/>
    <w:rsid w:val="7E6D6DA6"/>
    <w:rsid w:val="7E7D23C0"/>
    <w:rsid w:val="7E8D384B"/>
    <w:rsid w:val="7EA83DD7"/>
    <w:rsid w:val="7ECA0D69"/>
    <w:rsid w:val="7ECC6809"/>
    <w:rsid w:val="7EF2520D"/>
    <w:rsid w:val="7EF57B33"/>
    <w:rsid w:val="7F0C6A8A"/>
    <w:rsid w:val="7F13766E"/>
    <w:rsid w:val="7F2946C0"/>
    <w:rsid w:val="7F58401B"/>
    <w:rsid w:val="7F6407D8"/>
    <w:rsid w:val="7F710BE2"/>
    <w:rsid w:val="7F8042C1"/>
    <w:rsid w:val="7F8A4272"/>
    <w:rsid w:val="7F8F2F20"/>
    <w:rsid w:val="7FA145D5"/>
    <w:rsid w:val="7FAA081A"/>
    <w:rsid w:val="7FB21C9D"/>
    <w:rsid w:val="7FB7766D"/>
    <w:rsid w:val="7FC30B5C"/>
    <w:rsid w:val="7FD20763"/>
    <w:rsid w:val="7FD72402"/>
    <w:rsid w:val="7FFB5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99" w:semiHidden="0"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semiHidden="0" w:name="Body Text"/>
    <w:lsdException w:qFormat="1" w:uiPriority="0"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qFormat="1" w:uiPriority="99" w:semiHidden="0" w:name="Body Text 2"/>
    <w:lsdException w:uiPriority="99" w:name="Body Text 3"/>
    <w:lsdException w:qFormat="1" w:unhideWhenUsed="0" w:uiPriority="99" w:semiHidden="0" w:name="Body Text Indent 2"/>
    <w:lsdException w:qFormat="1" w:uiPriority="99"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9"/>
    <w:qFormat/>
    <w:uiPriority w:val="9"/>
    <w:pPr>
      <w:keepNext/>
      <w:keepLines/>
      <w:spacing w:before="120" w:after="120" w:line="360" w:lineRule="auto"/>
      <w:jc w:val="center"/>
      <w:outlineLvl w:val="0"/>
    </w:pPr>
    <w:rPr>
      <w:b/>
      <w:bCs/>
      <w:kern w:val="44"/>
      <w:sz w:val="32"/>
      <w:szCs w:val="44"/>
    </w:rPr>
  </w:style>
  <w:style w:type="paragraph" w:styleId="5">
    <w:name w:val="heading 2"/>
    <w:basedOn w:val="1"/>
    <w:next w:val="1"/>
    <w:link w:val="53"/>
    <w:qFormat/>
    <w:uiPriority w:val="9"/>
    <w:pPr>
      <w:keepNext/>
      <w:keepLines/>
      <w:spacing w:line="360" w:lineRule="auto"/>
      <w:outlineLvl w:val="1"/>
    </w:pPr>
    <w:rPr>
      <w:rFonts w:ascii="Arial" w:hAnsi="Arial"/>
      <w:b/>
      <w:kern w:val="0"/>
      <w:szCs w:val="20"/>
    </w:rPr>
  </w:style>
  <w:style w:type="paragraph" w:styleId="6">
    <w:name w:val="heading 3"/>
    <w:basedOn w:val="1"/>
    <w:next w:val="1"/>
    <w:link w:val="50"/>
    <w:qFormat/>
    <w:uiPriority w:val="9"/>
    <w:pPr>
      <w:keepNext/>
      <w:keepLines/>
      <w:adjustRightInd w:val="0"/>
      <w:spacing w:before="260" w:after="260" w:line="416" w:lineRule="atLeast"/>
      <w:outlineLvl w:val="2"/>
    </w:pPr>
    <w:rPr>
      <w:b/>
      <w:kern w:val="0"/>
      <w:sz w:val="24"/>
      <w:szCs w:val="20"/>
    </w:rPr>
  </w:style>
  <w:style w:type="paragraph" w:styleId="7">
    <w:name w:val="heading 4"/>
    <w:basedOn w:val="1"/>
    <w:next w:val="1"/>
    <w:qFormat/>
    <w:uiPriority w:val="0"/>
    <w:pPr>
      <w:keepNext/>
      <w:keepLines/>
      <w:spacing w:after="120" w:line="480" w:lineRule="auto"/>
      <w:outlineLvl w:val="3"/>
    </w:pPr>
    <w:rPr>
      <w:rFonts w:ascii="Cambria" w:hAnsi="Cambria" w:eastAsia="黑体"/>
      <w:b/>
      <w:bCs/>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4"/>
    <w:unhideWhenUsed/>
    <w:qFormat/>
    <w:uiPriority w:val="99"/>
    <w:pPr>
      <w:spacing w:after="120"/>
    </w:pPr>
    <w:rPr>
      <w:kern w:val="0"/>
      <w:sz w:val="20"/>
    </w:rPr>
  </w:style>
  <w:style w:type="paragraph" w:styleId="3">
    <w:name w:val="Body Text First Indent"/>
    <w:basedOn w:val="2"/>
    <w:next w:val="1"/>
    <w:link w:val="78"/>
    <w:unhideWhenUsed/>
    <w:qFormat/>
    <w:uiPriority w:val="99"/>
    <w:pPr>
      <w:ind w:firstLine="420" w:firstLineChars="100"/>
    </w:pPr>
    <w:rPr>
      <w:rFonts w:ascii="仿宋_GB2312" w:eastAsia="仿宋_GB2312"/>
      <w:kern w:val="2"/>
      <w:sz w:val="21"/>
    </w:rPr>
  </w:style>
  <w:style w:type="paragraph" w:styleId="9">
    <w:name w:val="table of authorities"/>
    <w:basedOn w:val="1"/>
    <w:next w:val="1"/>
    <w:qFormat/>
    <w:uiPriority w:val="0"/>
    <w:pPr>
      <w:ind w:left="420" w:leftChars="200"/>
    </w:pPr>
    <w:rPr>
      <w:rFonts w:ascii="Calibri" w:hAnsi="Calibri"/>
      <w:szCs w:val="22"/>
    </w:rPr>
  </w:style>
  <w:style w:type="paragraph" w:styleId="10">
    <w:name w:val="Note Heading"/>
    <w:basedOn w:val="1"/>
    <w:next w:val="1"/>
    <w:link w:val="61"/>
    <w:qFormat/>
    <w:uiPriority w:val="0"/>
    <w:pPr>
      <w:jc w:val="center"/>
    </w:pPr>
    <w:rPr>
      <w:szCs w:val="20"/>
    </w:rPr>
  </w:style>
  <w:style w:type="paragraph" w:styleId="11">
    <w:name w:val="Normal Indent"/>
    <w:basedOn w:val="1"/>
    <w:next w:val="1"/>
    <w:link w:val="60"/>
    <w:unhideWhenUsed/>
    <w:qFormat/>
    <w:uiPriority w:val="99"/>
    <w:pPr>
      <w:ind w:firstLine="420" w:firstLineChars="200"/>
    </w:pPr>
    <w:rPr>
      <w:kern w:val="0"/>
      <w:sz w:val="20"/>
    </w:rPr>
  </w:style>
  <w:style w:type="paragraph" w:styleId="12">
    <w:name w:val="Document Map"/>
    <w:basedOn w:val="1"/>
    <w:link w:val="62"/>
    <w:unhideWhenUsed/>
    <w:qFormat/>
    <w:uiPriority w:val="0"/>
    <w:rPr>
      <w:rFonts w:ascii="宋体"/>
      <w:kern w:val="0"/>
      <w:sz w:val="18"/>
      <w:szCs w:val="18"/>
    </w:rPr>
  </w:style>
  <w:style w:type="paragraph" w:styleId="13">
    <w:name w:val="toa heading"/>
    <w:basedOn w:val="1"/>
    <w:next w:val="1"/>
    <w:qFormat/>
    <w:uiPriority w:val="99"/>
    <w:pPr>
      <w:spacing w:before="120"/>
    </w:pPr>
    <w:rPr>
      <w:rFonts w:ascii="Arial" w:hAnsi="Arial" w:cs="Arial"/>
      <w:sz w:val="24"/>
    </w:rPr>
  </w:style>
  <w:style w:type="paragraph" w:styleId="14">
    <w:name w:val="annotation text"/>
    <w:basedOn w:val="1"/>
    <w:next w:val="1"/>
    <w:link w:val="63"/>
    <w:unhideWhenUsed/>
    <w:qFormat/>
    <w:uiPriority w:val="0"/>
    <w:pPr>
      <w:jc w:val="left"/>
    </w:pPr>
    <w:rPr>
      <w:kern w:val="0"/>
      <w:sz w:val="20"/>
    </w:rPr>
  </w:style>
  <w:style w:type="paragraph" w:styleId="15">
    <w:name w:val="Closing"/>
    <w:basedOn w:val="1"/>
    <w:qFormat/>
    <w:uiPriority w:val="0"/>
    <w:pPr>
      <w:ind w:left="100" w:leftChars="2100"/>
    </w:pPr>
  </w:style>
  <w:style w:type="paragraph" w:styleId="16">
    <w:name w:val="Body Text Indent"/>
    <w:basedOn w:val="1"/>
    <w:next w:val="17"/>
    <w:link w:val="65"/>
    <w:unhideWhenUsed/>
    <w:qFormat/>
    <w:uiPriority w:val="0"/>
    <w:pPr>
      <w:ind w:left="199" w:leftChars="95"/>
    </w:pPr>
    <w:rPr>
      <w:kern w:val="0"/>
      <w:sz w:val="32"/>
    </w:rPr>
  </w:style>
  <w:style w:type="paragraph" w:styleId="17">
    <w:name w:val="envelope return"/>
    <w:basedOn w:val="1"/>
    <w:unhideWhenUsed/>
    <w:qFormat/>
    <w:uiPriority w:val="99"/>
    <w:pPr>
      <w:snapToGrid w:val="0"/>
    </w:pPr>
    <w:rPr>
      <w:rFonts w:ascii="Arial" w:hAnsi="Arial"/>
    </w:rPr>
  </w:style>
  <w:style w:type="paragraph" w:styleId="18">
    <w:name w:val="List Continue"/>
    <w:basedOn w:val="1"/>
    <w:qFormat/>
    <w:uiPriority w:val="99"/>
    <w:pPr>
      <w:widowControl/>
      <w:spacing w:after="119" w:line="351" w:lineRule="atLeast"/>
      <w:ind w:firstLine="419"/>
    </w:pPr>
    <w:rPr>
      <w:rFonts w:ascii="仿宋_GB2312" w:eastAsia="仿宋_GB2312"/>
      <w:color w:val="000000"/>
      <w:sz w:val="28"/>
      <w:u w:color="000000"/>
    </w:rPr>
  </w:style>
  <w:style w:type="paragraph" w:styleId="19">
    <w:name w:val="Block Text"/>
    <w:basedOn w:val="1"/>
    <w:unhideWhenUsed/>
    <w:qFormat/>
    <w:uiPriority w:val="0"/>
    <w:pPr>
      <w:adjustRightInd w:val="0"/>
      <w:ind w:left="420" w:right="33"/>
      <w:jc w:val="left"/>
    </w:pPr>
    <w:rPr>
      <w:kern w:val="0"/>
      <w:sz w:val="24"/>
      <w:szCs w:val="20"/>
    </w:rPr>
  </w:style>
  <w:style w:type="paragraph" w:styleId="20">
    <w:name w:val="toc 3"/>
    <w:basedOn w:val="1"/>
    <w:next w:val="1"/>
    <w:unhideWhenUsed/>
    <w:qFormat/>
    <w:uiPriority w:val="39"/>
    <w:pPr>
      <w:ind w:left="840" w:leftChars="400"/>
    </w:pPr>
  </w:style>
  <w:style w:type="paragraph" w:styleId="21">
    <w:name w:val="Plain Text"/>
    <w:basedOn w:val="1"/>
    <w:link w:val="66"/>
    <w:unhideWhenUsed/>
    <w:qFormat/>
    <w:uiPriority w:val="0"/>
    <w:rPr>
      <w:rFonts w:ascii="宋体" w:hAnsi="Courier New"/>
      <w:kern w:val="0"/>
      <w:sz w:val="20"/>
      <w:szCs w:val="21"/>
    </w:rPr>
  </w:style>
  <w:style w:type="paragraph" w:styleId="22">
    <w:name w:val="Date"/>
    <w:basedOn w:val="1"/>
    <w:next w:val="1"/>
    <w:link w:val="67"/>
    <w:qFormat/>
    <w:uiPriority w:val="0"/>
  </w:style>
  <w:style w:type="paragraph" w:styleId="23">
    <w:name w:val="Body Text Indent 2"/>
    <w:basedOn w:val="1"/>
    <w:link w:val="68"/>
    <w:qFormat/>
    <w:uiPriority w:val="99"/>
    <w:pPr>
      <w:widowControl/>
      <w:spacing w:before="100" w:beforeAutospacing="1" w:after="100" w:afterAutospacing="1"/>
      <w:jc w:val="left"/>
    </w:pPr>
    <w:rPr>
      <w:rFonts w:ascii="宋体" w:hAnsi="宋体"/>
      <w:kern w:val="0"/>
      <w:sz w:val="24"/>
    </w:rPr>
  </w:style>
  <w:style w:type="paragraph" w:styleId="24">
    <w:name w:val="Balloon Text"/>
    <w:basedOn w:val="1"/>
    <w:link w:val="69"/>
    <w:unhideWhenUsed/>
    <w:qFormat/>
    <w:uiPriority w:val="99"/>
    <w:rPr>
      <w:kern w:val="0"/>
      <w:sz w:val="18"/>
      <w:szCs w:val="18"/>
    </w:rPr>
  </w:style>
  <w:style w:type="paragraph" w:styleId="25">
    <w:name w:val="footer"/>
    <w:basedOn w:val="1"/>
    <w:link w:val="70"/>
    <w:unhideWhenUsed/>
    <w:qFormat/>
    <w:uiPriority w:val="99"/>
    <w:pPr>
      <w:tabs>
        <w:tab w:val="center" w:pos="4153"/>
        <w:tab w:val="right" w:pos="8306"/>
      </w:tabs>
      <w:snapToGrid w:val="0"/>
      <w:jc w:val="left"/>
    </w:pPr>
    <w:rPr>
      <w:kern w:val="0"/>
      <w:sz w:val="18"/>
      <w:szCs w:val="18"/>
    </w:rPr>
  </w:style>
  <w:style w:type="paragraph" w:styleId="26">
    <w:name w:val="header"/>
    <w:basedOn w:val="1"/>
    <w:link w:val="7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7">
    <w:name w:val="toc 1"/>
    <w:basedOn w:val="28"/>
    <w:next w:val="1"/>
    <w:unhideWhenUsed/>
    <w:qFormat/>
    <w:uiPriority w:val="39"/>
    <w:pPr>
      <w:keepNext/>
      <w:tabs>
        <w:tab w:val="right" w:leader="dot" w:pos="9061"/>
      </w:tabs>
      <w:adjustRightInd w:val="0"/>
      <w:snapToGrid w:val="0"/>
      <w:spacing w:beforeLines="50" w:line="480" w:lineRule="auto"/>
    </w:pPr>
  </w:style>
  <w:style w:type="paragraph" w:styleId="28">
    <w:name w:val="index 1"/>
    <w:basedOn w:val="1"/>
    <w:next w:val="1"/>
    <w:semiHidden/>
    <w:qFormat/>
    <w:uiPriority w:val="0"/>
  </w:style>
  <w:style w:type="paragraph" w:styleId="29">
    <w:name w:val="Subtitle"/>
    <w:basedOn w:val="1"/>
    <w:next w:val="1"/>
    <w:link w:val="72"/>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30">
    <w:name w:val="Body Text Indent 3"/>
    <w:basedOn w:val="1"/>
    <w:link w:val="73"/>
    <w:unhideWhenUsed/>
    <w:qFormat/>
    <w:uiPriority w:val="99"/>
    <w:pPr>
      <w:spacing w:after="120"/>
      <w:ind w:left="420" w:leftChars="200"/>
    </w:pPr>
    <w:rPr>
      <w:kern w:val="0"/>
      <w:sz w:val="16"/>
      <w:szCs w:val="16"/>
    </w:rPr>
  </w:style>
  <w:style w:type="paragraph" w:styleId="31">
    <w:name w:val="toc 2"/>
    <w:basedOn w:val="1"/>
    <w:next w:val="1"/>
    <w:unhideWhenUsed/>
    <w:qFormat/>
    <w:uiPriority w:val="39"/>
    <w:pPr>
      <w:ind w:left="420" w:leftChars="200"/>
    </w:pPr>
  </w:style>
  <w:style w:type="paragraph" w:styleId="32">
    <w:name w:val="toc 9"/>
    <w:basedOn w:val="1"/>
    <w:next w:val="1"/>
    <w:qFormat/>
    <w:uiPriority w:val="99"/>
    <w:pPr>
      <w:widowControl/>
      <w:ind w:left="3400"/>
    </w:pPr>
    <w:rPr>
      <w:kern w:val="0"/>
      <w:szCs w:val="21"/>
    </w:rPr>
  </w:style>
  <w:style w:type="paragraph" w:styleId="33">
    <w:name w:val="Body Text 2"/>
    <w:basedOn w:val="1"/>
    <w:link w:val="74"/>
    <w:unhideWhenUsed/>
    <w:qFormat/>
    <w:uiPriority w:val="99"/>
    <w:pPr>
      <w:spacing w:after="120" w:line="480" w:lineRule="auto"/>
    </w:pPr>
  </w:style>
  <w:style w:type="paragraph" w:styleId="34">
    <w:name w:val="HTML Preformatted"/>
    <w:basedOn w:val="1"/>
    <w:link w:val="7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35">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76"/>
    <w:qFormat/>
    <w:uiPriority w:val="10"/>
    <w:pPr>
      <w:spacing w:before="240" w:after="60"/>
      <w:jc w:val="center"/>
      <w:outlineLvl w:val="0"/>
    </w:pPr>
    <w:rPr>
      <w:rFonts w:ascii="Cambria" w:hAnsi="Cambria"/>
      <w:b/>
      <w:bCs/>
      <w:sz w:val="32"/>
      <w:szCs w:val="32"/>
    </w:rPr>
  </w:style>
  <w:style w:type="paragraph" w:styleId="37">
    <w:name w:val="annotation subject"/>
    <w:basedOn w:val="14"/>
    <w:next w:val="14"/>
    <w:link w:val="77"/>
    <w:unhideWhenUsed/>
    <w:qFormat/>
    <w:uiPriority w:val="99"/>
    <w:rPr>
      <w:b/>
      <w:bCs/>
    </w:rPr>
  </w:style>
  <w:style w:type="paragraph" w:styleId="38">
    <w:name w:val="Body Text First Indent 2"/>
    <w:basedOn w:val="16"/>
    <w:next w:val="1"/>
    <w:qFormat/>
    <w:uiPriority w:val="0"/>
    <w:pPr>
      <w:ind w:firstLine="420" w:firstLineChars="200"/>
    </w:pPr>
  </w:style>
  <w:style w:type="table" w:styleId="40">
    <w:name w:val="Table Grid"/>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22"/>
    <w:rPr>
      <w:b/>
      <w:bCs/>
      <w:kern w:val="0"/>
    </w:rPr>
  </w:style>
  <w:style w:type="character" w:styleId="43">
    <w:name w:val="page number"/>
    <w:qFormat/>
    <w:uiPriority w:val="0"/>
  </w:style>
  <w:style w:type="character" w:styleId="44">
    <w:name w:val="FollowedHyperlink"/>
    <w:unhideWhenUsed/>
    <w:qFormat/>
    <w:uiPriority w:val="99"/>
    <w:rPr>
      <w:color w:val="156356"/>
      <w:u w:val="none"/>
    </w:rPr>
  </w:style>
  <w:style w:type="character" w:styleId="45">
    <w:name w:val="Emphasis"/>
    <w:qFormat/>
    <w:uiPriority w:val="20"/>
    <w:rPr>
      <w:color w:val="CC0000"/>
    </w:rPr>
  </w:style>
  <w:style w:type="character" w:styleId="46">
    <w:name w:val="Hyperlink"/>
    <w:unhideWhenUsed/>
    <w:qFormat/>
    <w:uiPriority w:val="99"/>
    <w:rPr>
      <w:color w:val="156356"/>
      <w:u w:val="none"/>
    </w:rPr>
  </w:style>
  <w:style w:type="character" w:styleId="47">
    <w:name w:val="annotation reference"/>
    <w:unhideWhenUsed/>
    <w:qFormat/>
    <w:uiPriority w:val="0"/>
    <w:rPr>
      <w:sz w:val="21"/>
      <w:szCs w:val="21"/>
    </w:rPr>
  </w:style>
  <w:style w:type="character" w:styleId="48">
    <w:name w:val="HTML Sample"/>
    <w:basedOn w:val="41"/>
    <w:semiHidden/>
    <w:unhideWhenUsed/>
    <w:qFormat/>
    <w:uiPriority w:val="99"/>
    <w:rPr>
      <w:rFonts w:ascii="Courier New" w:hAnsi="Courier New"/>
    </w:rPr>
  </w:style>
  <w:style w:type="character" w:customStyle="1" w:styleId="49">
    <w:name w:val="标题 1 Char"/>
    <w:link w:val="4"/>
    <w:qFormat/>
    <w:uiPriority w:val="9"/>
    <w:rPr>
      <w:b/>
      <w:bCs/>
      <w:kern w:val="44"/>
      <w:sz w:val="32"/>
      <w:szCs w:val="44"/>
    </w:rPr>
  </w:style>
  <w:style w:type="character" w:customStyle="1" w:styleId="50">
    <w:name w:val="标题 3 Char"/>
    <w:link w:val="6"/>
    <w:qFormat/>
    <w:uiPriority w:val="9"/>
    <w:rPr>
      <w:rFonts w:ascii="Times New Roman" w:hAnsi="Times New Roman" w:eastAsia="宋体" w:cs="Times New Roman"/>
      <w:b/>
      <w:kern w:val="0"/>
      <w:sz w:val="24"/>
      <w:szCs w:val="20"/>
    </w:rPr>
  </w:style>
  <w:style w:type="character" w:customStyle="1" w:styleId="51">
    <w:name w:val="页脚 Char"/>
    <w:qFormat/>
    <w:uiPriority w:val="0"/>
    <w:rPr>
      <w:kern w:val="2"/>
      <w:sz w:val="18"/>
      <w:szCs w:val="18"/>
    </w:rPr>
  </w:style>
  <w:style w:type="paragraph" w:styleId="52">
    <w:name w:val="List Paragraph"/>
    <w:basedOn w:val="1"/>
    <w:qFormat/>
    <w:uiPriority w:val="99"/>
    <w:pPr>
      <w:ind w:firstLine="420" w:firstLineChars="200"/>
    </w:pPr>
    <w:rPr>
      <w:szCs w:val="22"/>
    </w:rPr>
  </w:style>
  <w:style w:type="character" w:customStyle="1" w:styleId="53">
    <w:name w:val="标题 2 Char"/>
    <w:link w:val="5"/>
    <w:qFormat/>
    <w:uiPriority w:val="9"/>
    <w:rPr>
      <w:rFonts w:ascii="Arial" w:hAnsi="Arial"/>
      <w:b/>
      <w:sz w:val="21"/>
    </w:rPr>
  </w:style>
  <w:style w:type="paragraph" w:customStyle="1" w:styleId="54">
    <w:name w:val="Default"/>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5">
    <w:name w:val="正文首行缩进 21"/>
    <w:basedOn w:val="56"/>
    <w:qFormat/>
    <w:uiPriority w:val="0"/>
    <w:pPr>
      <w:ind w:left="420" w:firstLine="420" w:firstLineChars="200"/>
    </w:pPr>
  </w:style>
  <w:style w:type="paragraph" w:customStyle="1" w:styleId="56">
    <w:name w:val="正文文本缩进1"/>
    <w:basedOn w:val="1"/>
    <w:next w:val="57"/>
    <w:qFormat/>
    <w:uiPriority w:val="0"/>
    <w:pPr>
      <w:spacing w:before="100" w:beforeAutospacing="1" w:after="100" w:afterAutospacing="1"/>
    </w:pPr>
    <w:rPr>
      <w:rFonts w:ascii="宋体" w:hAnsi="宋体"/>
      <w:sz w:val="24"/>
    </w:rPr>
  </w:style>
  <w:style w:type="paragraph" w:customStyle="1" w:styleId="57">
    <w:name w:val="寄信人地址1"/>
    <w:basedOn w:val="1"/>
    <w:qFormat/>
    <w:uiPriority w:val="0"/>
    <w:pPr>
      <w:snapToGrid w:val="0"/>
    </w:pPr>
    <w:rPr>
      <w:rFonts w:ascii="Arial" w:hAnsi="Arial"/>
    </w:rPr>
  </w:style>
  <w:style w:type="paragraph" w:customStyle="1" w:styleId="58">
    <w:name w:val="Body Text 21"/>
    <w:basedOn w:val="1"/>
    <w:qFormat/>
    <w:uiPriority w:val="0"/>
    <w:pPr>
      <w:spacing w:line="480" w:lineRule="auto"/>
    </w:pPr>
    <w:rPr>
      <w:sz w:val="20"/>
    </w:rPr>
  </w:style>
  <w:style w:type="paragraph" w:customStyle="1" w:styleId="59">
    <w:name w:val="引用1"/>
    <w:basedOn w:val="1"/>
    <w:next w:val="1"/>
    <w:qFormat/>
    <w:uiPriority w:val="0"/>
    <w:rPr>
      <w:rFonts w:ascii="Calibri" w:hAnsi="Calibri"/>
      <w:i/>
    </w:rPr>
  </w:style>
  <w:style w:type="character" w:customStyle="1" w:styleId="60">
    <w:name w:val="正文缩进 Char"/>
    <w:link w:val="11"/>
    <w:semiHidden/>
    <w:qFormat/>
    <w:locked/>
    <w:uiPriority w:val="99"/>
    <w:rPr>
      <w:rFonts w:ascii="Times New Roman" w:hAnsi="Times New Roman" w:eastAsia="宋体" w:cs="Times New Roman"/>
      <w:szCs w:val="24"/>
    </w:rPr>
  </w:style>
  <w:style w:type="character" w:customStyle="1" w:styleId="61">
    <w:name w:val="注释标题 Char"/>
    <w:link w:val="10"/>
    <w:qFormat/>
    <w:uiPriority w:val="0"/>
    <w:rPr>
      <w:rFonts w:ascii="Times New Roman" w:hAnsi="Times New Roman"/>
      <w:kern w:val="2"/>
      <w:sz w:val="21"/>
    </w:rPr>
  </w:style>
  <w:style w:type="character" w:customStyle="1" w:styleId="62">
    <w:name w:val="文档结构图 Char"/>
    <w:link w:val="12"/>
    <w:qFormat/>
    <w:uiPriority w:val="0"/>
    <w:rPr>
      <w:rFonts w:ascii="宋体" w:hAnsi="Times New Roman" w:eastAsia="宋体" w:cs="Times New Roman"/>
      <w:sz w:val="18"/>
      <w:szCs w:val="18"/>
    </w:rPr>
  </w:style>
  <w:style w:type="character" w:customStyle="1" w:styleId="63">
    <w:name w:val="批注文字 Char"/>
    <w:link w:val="14"/>
    <w:qFormat/>
    <w:uiPriority w:val="0"/>
    <w:rPr>
      <w:rFonts w:ascii="Times New Roman" w:hAnsi="Times New Roman" w:eastAsia="宋体" w:cs="Times New Roman"/>
      <w:szCs w:val="24"/>
    </w:rPr>
  </w:style>
  <w:style w:type="character" w:customStyle="1" w:styleId="64">
    <w:name w:val="正文文本 Char1"/>
    <w:link w:val="2"/>
    <w:qFormat/>
    <w:uiPriority w:val="99"/>
    <w:rPr>
      <w:rFonts w:ascii="Times New Roman" w:hAnsi="Times New Roman" w:eastAsia="宋体" w:cs="Times New Roman"/>
      <w:szCs w:val="24"/>
    </w:rPr>
  </w:style>
  <w:style w:type="character" w:customStyle="1" w:styleId="65">
    <w:name w:val="正文文本缩进 Char"/>
    <w:link w:val="16"/>
    <w:qFormat/>
    <w:uiPriority w:val="0"/>
    <w:rPr>
      <w:rFonts w:ascii="Times New Roman" w:hAnsi="Times New Roman" w:eastAsia="宋体" w:cs="Times New Roman"/>
      <w:sz w:val="32"/>
      <w:szCs w:val="24"/>
    </w:rPr>
  </w:style>
  <w:style w:type="character" w:customStyle="1" w:styleId="66">
    <w:name w:val="纯文本 Char"/>
    <w:link w:val="21"/>
    <w:qFormat/>
    <w:uiPriority w:val="0"/>
    <w:rPr>
      <w:rFonts w:ascii="宋体" w:hAnsi="Courier New" w:eastAsia="宋体" w:cs="Courier New"/>
      <w:szCs w:val="21"/>
    </w:rPr>
  </w:style>
  <w:style w:type="character" w:customStyle="1" w:styleId="67">
    <w:name w:val="日期 Char"/>
    <w:link w:val="22"/>
    <w:qFormat/>
    <w:uiPriority w:val="0"/>
    <w:rPr>
      <w:kern w:val="2"/>
      <w:sz w:val="21"/>
      <w:szCs w:val="24"/>
    </w:rPr>
  </w:style>
  <w:style w:type="character" w:customStyle="1" w:styleId="68">
    <w:name w:val="正文文本缩进 2 Char"/>
    <w:link w:val="23"/>
    <w:qFormat/>
    <w:uiPriority w:val="99"/>
    <w:rPr>
      <w:rFonts w:ascii="宋体" w:hAnsi="宋体" w:cs="宋体"/>
      <w:sz w:val="24"/>
      <w:szCs w:val="24"/>
    </w:rPr>
  </w:style>
  <w:style w:type="character" w:customStyle="1" w:styleId="69">
    <w:name w:val="批注框文本 Char"/>
    <w:link w:val="24"/>
    <w:qFormat/>
    <w:uiPriority w:val="99"/>
    <w:rPr>
      <w:rFonts w:ascii="Times New Roman" w:hAnsi="Times New Roman" w:eastAsia="宋体" w:cs="Times New Roman"/>
      <w:sz w:val="18"/>
      <w:szCs w:val="18"/>
    </w:rPr>
  </w:style>
  <w:style w:type="character" w:customStyle="1" w:styleId="70">
    <w:name w:val="页脚 Char2"/>
    <w:link w:val="25"/>
    <w:qFormat/>
    <w:uiPriority w:val="99"/>
    <w:rPr>
      <w:rFonts w:ascii="Times New Roman" w:hAnsi="Times New Roman" w:eastAsia="宋体" w:cs="Times New Roman"/>
      <w:sz w:val="18"/>
      <w:szCs w:val="18"/>
    </w:rPr>
  </w:style>
  <w:style w:type="character" w:customStyle="1" w:styleId="71">
    <w:name w:val="页眉 Char"/>
    <w:link w:val="26"/>
    <w:qFormat/>
    <w:uiPriority w:val="99"/>
    <w:rPr>
      <w:rFonts w:ascii="Times New Roman" w:hAnsi="Times New Roman" w:eastAsia="宋体" w:cs="Times New Roman"/>
      <w:sz w:val="18"/>
      <w:szCs w:val="18"/>
    </w:rPr>
  </w:style>
  <w:style w:type="character" w:customStyle="1" w:styleId="72">
    <w:name w:val="副标题 Char"/>
    <w:link w:val="29"/>
    <w:qFormat/>
    <w:uiPriority w:val="11"/>
    <w:rPr>
      <w:rFonts w:ascii="Cambria" w:hAnsi="Cambria"/>
      <w:b/>
      <w:bCs/>
      <w:kern w:val="28"/>
      <w:sz w:val="28"/>
      <w:szCs w:val="32"/>
    </w:rPr>
  </w:style>
  <w:style w:type="character" w:customStyle="1" w:styleId="73">
    <w:name w:val="正文文本缩进 3 Char"/>
    <w:link w:val="30"/>
    <w:qFormat/>
    <w:uiPriority w:val="99"/>
    <w:rPr>
      <w:rFonts w:ascii="Times New Roman" w:hAnsi="Times New Roman" w:eastAsia="宋体" w:cs="Times New Roman"/>
      <w:sz w:val="16"/>
      <w:szCs w:val="16"/>
    </w:rPr>
  </w:style>
  <w:style w:type="character" w:customStyle="1" w:styleId="74">
    <w:name w:val="正文文本 2 Char"/>
    <w:link w:val="33"/>
    <w:qFormat/>
    <w:uiPriority w:val="99"/>
    <w:rPr>
      <w:kern w:val="2"/>
      <w:sz w:val="21"/>
      <w:szCs w:val="24"/>
    </w:rPr>
  </w:style>
  <w:style w:type="character" w:customStyle="1" w:styleId="75">
    <w:name w:val="HTML 预设格式 Char"/>
    <w:link w:val="34"/>
    <w:qFormat/>
    <w:uiPriority w:val="99"/>
    <w:rPr>
      <w:rFonts w:ascii="Arial" w:hAnsi="Arial" w:cs="Arial"/>
      <w:sz w:val="21"/>
      <w:szCs w:val="21"/>
    </w:rPr>
  </w:style>
  <w:style w:type="character" w:customStyle="1" w:styleId="76">
    <w:name w:val="标题 Char"/>
    <w:link w:val="36"/>
    <w:qFormat/>
    <w:uiPriority w:val="10"/>
    <w:rPr>
      <w:rFonts w:ascii="Cambria" w:hAnsi="Cambria"/>
      <w:b/>
      <w:bCs/>
      <w:kern w:val="2"/>
      <w:sz w:val="32"/>
      <w:szCs w:val="32"/>
    </w:rPr>
  </w:style>
  <w:style w:type="character" w:customStyle="1" w:styleId="77">
    <w:name w:val="批注主题 Char"/>
    <w:link w:val="37"/>
    <w:semiHidden/>
    <w:qFormat/>
    <w:uiPriority w:val="99"/>
    <w:rPr>
      <w:rFonts w:ascii="Times New Roman" w:hAnsi="Times New Roman" w:eastAsia="宋体" w:cs="Times New Roman"/>
      <w:b/>
      <w:bCs/>
      <w:szCs w:val="24"/>
    </w:rPr>
  </w:style>
  <w:style w:type="character" w:customStyle="1" w:styleId="78">
    <w:name w:val="正文首行缩进 Char"/>
    <w:link w:val="3"/>
    <w:qFormat/>
    <w:uiPriority w:val="99"/>
    <w:rPr>
      <w:rFonts w:ascii="仿宋_GB2312" w:eastAsia="仿宋_GB2312"/>
      <w:kern w:val="2"/>
      <w:sz w:val="21"/>
      <w:szCs w:val="24"/>
    </w:rPr>
  </w:style>
  <w:style w:type="character" w:customStyle="1" w:styleId="79">
    <w:name w:val="NormalCharacter"/>
    <w:basedOn w:val="41"/>
    <w:qFormat/>
    <w:uiPriority w:val="0"/>
    <w:rPr>
      <w:kern w:val="2"/>
      <w:sz w:val="21"/>
      <w:szCs w:val="24"/>
      <w:lang w:val="en-US" w:eastAsia="zh-CN" w:bidi="ar-SA"/>
    </w:rPr>
  </w:style>
  <w:style w:type="character" w:customStyle="1" w:styleId="80">
    <w:name w:val="正文文本缩进 3 Char1"/>
    <w:semiHidden/>
    <w:qFormat/>
    <w:uiPriority w:val="99"/>
    <w:rPr>
      <w:kern w:val="2"/>
      <w:sz w:val="16"/>
      <w:szCs w:val="16"/>
    </w:rPr>
  </w:style>
  <w:style w:type="character" w:customStyle="1" w:styleId="81">
    <w:name w:val="标题 字符1"/>
    <w:qFormat/>
    <w:uiPriority w:val="10"/>
    <w:rPr>
      <w:rFonts w:ascii="等线 Light" w:hAnsi="等线 Light" w:cs="Times New Roman"/>
      <w:b/>
      <w:bCs/>
      <w:kern w:val="2"/>
      <w:sz w:val="32"/>
      <w:szCs w:val="32"/>
    </w:rPr>
  </w:style>
  <w:style w:type="character" w:customStyle="1" w:styleId="82">
    <w:name w:val="文档结构图 Char1"/>
    <w:semiHidden/>
    <w:qFormat/>
    <w:uiPriority w:val="99"/>
    <w:rPr>
      <w:rFonts w:hint="eastAsia" w:ascii="宋体" w:hAnsi="宋体" w:eastAsia="宋体"/>
      <w:kern w:val="2"/>
      <w:sz w:val="18"/>
      <w:szCs w:val="18"/>
    </w:rPr>
  </w:style>
  <w:style w:type="character" w:customStyle="1" w:styleId="83">
    <w:name w:val="px10"/>
    <w:qFormat/>
    <w:uiPriority w:val="0"/>
  </w:style>
  <w:style w:type="character" w:customStyle="1" w:styleId="84">
    <w:name w:val="环小四1.1（二级） Char"/>
    <w:link w:val="85"/>
    <w:qFormat/>
    <w:locked/>
    <w:uiPriority w:val="0"/>
    <w:rPr>
      <w:rFonts w:ascii="宋体" w:hAnsi="宋体"/>
      <w:b/>
      <w:bCs/>
      <w:kern w:val="24"/>
      <w:sz w:val="24"/>
      <w:szCs w:val="24"/>
      <w:lang w:val="en-US" w:eastAsia="zh-CN" w:bidi="ar-SA"/>
    </w:rPr>
  </w:style>
  <w:style w:type="paragraph" w:customStyle="1" w:styleId="85">
    <w:name w:val="环小四1.1（二级）"/>
    <w:link w:val="84"/>
    <w:qFormat/>
    <w:uiPriority w:val="0"/>
    <w:pPr>
      <w:widowControl w:val="0"/>
      <w:jc w:val="both"/>
      <w:outlineLvl w:val="1"/>
    </w:pPr>
    <w:rPr>
      <w:rFonts w:ascii="宋体" w:hAnsi="宋体" w:eastAsia="宋体" w:cs="Times New Roman"/>
      <w:b/>
      <w:bCs/>
      <w:kern w:val="24"/>
      <w:sz w:val="24"/>
      <w:szCs w:val="24"/>
      <w:lang w:val="en-US" w:eastAsia="zh-CN" w:bidi="ar-SA"/>
    </w:rPr>
  </w:style>
  <w:style w:type="character" w:customStyle="1" w:styleId="86">
    <w:name w:val="环小四1.1.1（三级） Char"/>
    <w:link w:val="87"/>
    <w:qFormat/>
    <w:locked/>
    <w:uiPriority w:val="0"/>
    <w:rPr>
      <w:rFonts w:ascii="宋体" w:hAnsi="宋体" w:eastAsia="楷体_GB2312"/>
      <w:b/>
      <w:bCs/>
      <w:kern w:val="44"/>
      <w:sz w:val="24"/>
      <w:szCs w:val="24"/>
      <w:lang w:val="en-US" w:eastAsia="zh-CN" w:bidi="ar-SA"/>
    </w:rPr>
  </w:style>
  <w:style w:type="paragraph" w:customStyle="1" w:styleId="87">
    <w:name w:val="环小四1.1.1（三级）"/>
    <w:link w:val="86"/>
    <w:qFormat/>
    <w:uiPriority w:val="0"/>
    <w:pPr>
      <w:widowControl w:val="0"/>
      <w:snapToGrid w:val="0"/>
      <w:spacing w:line="500" w:lineRule="exact"/>
      <w:outlineLvl w:val="2"/>
    </w:pPr>
    <w:rPr>
      <w:rFonts w:ascii="宋体" w:hAnsi="宋体" w:eastAsia="楷体_GB2312" w:cs="Times New Roman"/>
      <w:b/>
      <w:bCs/>
      <w:kern w:val="44"/>
      <w:sz w:val="24"/>
      <w:szCs w:val="24"/>
      <w:lang w:val="en-US" w:eastAsia="zh-CN" w:bidi="ar-SA"/>
    </w:rPr>
  </w:style>
  <w:style w:type="character" w:customStyle="1" w:styleId="88">
    <w:name w:val="apple-style-span"/>
    <w:qFormat/>
    <w:uiPriority w:val="0"/>
  </w:style>
  <w:style w:type="character" w:customStyle="1" w:styleId="89">
    <w:name w:val="样式11 Char"/>
    <w:link w:val="90"/>
    <w:qFormat/>
    <w:locked/>
    <w:uiPriority w:val="0"/>
    <w:rPr>
      <w:sz w:val="28"/>
      <w:szCs w:val="28"/>
    </w:rPr>
  </w:style>
  <w:style w:type="paragraph" w:customStyle="1" w:styleId="90">
    <w:name w:val="样式11"/>
    <w:basedOn w:val="1"/>
    <w:link w:val="89"/>
    <w:qFormat/>
    <w:uiPriority w:val="0"/>
    <w:pPr>
      <w:ind w:firstLine="200" w:firstLineChars="200"/>
    </w:pPr>
    <w:rPr>
      <w:kern w:val="0"/>
      <w:sz w:val="28"/>
      <w:szCs w:val="28"/>
    </w:rPr>
  </w:style>
  <w:style w:type="character" w:customStyle="1" w:styleId="91">
    <w:name w:val="页脚 Char1"/>
    <w:semiHidden/>
    <w:qFormat/>
    <w:uiPriority w:val="99"/>
    <w:rPr>
      <w:kern w:val="2"/>
      <w:sz w:val="18"/>
      <w:szCs w:val="18"/>
    </w:rPr>
  </w:style>
  <w:style w:type="character" w:customStyle="1" w:styleId="92">
    <w:name w:val="日期 字符1"/>
    <w:semiHidden/>
    <w:qFormat/>
    <w:uiPriority w:val="99"/>
    <w:rPr>
      <w:kern w:val="2"/>
      <w:sz w:val="21"/>
      <w:szCs w:val="24"/>
    </w:rPr>
  </w:style>
  <w:style w:type="character" w:customStyle="1" w:styleId="93">
    <w:name w:val="15"/>
    <w:qFormat/>
    <w:uiPriority w:val="0"/>
  </w:style>
  <w:style w:type="character" w:customStyle="1" w:styleId="94">
    <w:name w:val="副标题 字符1"/>
    <w:qFormat/>
    <w:uiPriority w:val="11"/>
    <w:rPr>
      <w:rFonts w:ascii="等线 Light" w:hAnsi="等线 Light" w:cs="Times New Roman"/>
      <w:b/>
      <w:bCs/>
      <w:kern w:val="28"/>
      <w:sz w:val="32"/>
      <w:szCs w:val="32"/>
    </w:rPr>
  </w:style>
  <w:style w:type="character" w:customStyle="1" w:styleId="95">
    <w:name w:val="纯文本 Char2"/>
    <w:semiHidden/>
    <w:qFormat/>
    <w:uiPriority w:val="99"/>
    <w:rPr>
      <w:rFonts w:hint="eastAsia" w:ascii="宋体" w:hAnsi="Courier New" w:eastAsia="宋体" w:cs="Courier New"/>
      <w:kern w:val="2"/>
      <w:sz w:val="21"/>
      <w:szCs w:val="21"/>
    </w:rPr>
  </w:style>
  <w:style w:type="character" w:customStyle="1" w:styleId="96">
    <w:name w:val="环小四文中说明 Char"/>
    <w:link w:val="97"/>
    <w:qFormat/>
    <w:locked/>
    <w:uiPriority w:val="0"/>
    <w:rPr>
      <w:rFonts w:ascii="宋体" w:hAnsi="宋体"/>
      <w:kern w:val="2"/>
      <w:sz w:val="24"/>
      <w:szCs w:val="24"/>
      <w:lang w:val="en-US" w:eastAsia="zh-CN" w:bidi="ar-SA"/>
    </w:rPr>
  </w:style>
  <w:style w:type="paragraph" w:customStyle="1" w:styleId="97">
    <w:name w:val="环小四文中说明"/>
    <w:link w:val="96"/>
    <w:qFormat/>
    <w:uiPriority w:val="0"/>
    <w:pPr>
      <w:widowControl w:val="0"/>
      <w:ind w:firstLine="200" w:firstLineChars="200"/>
      <w:jc w:val="both"/>
    </w:pPr>
    <w:rPr>
      <w:rFonts w:ascii="宋体" w:hAnsi="宋体" w:eastAsia="宋体" w:cs="Times New Roman"/>
      <w:kern w:val="2"/>
      <w:sz w:val="24"/>
      <w:szCs w:val="24"/>
      <w:lang w:val="en-US" w:eastAsia="zh-CN" w:bidi="ar-SA"/>
    </w:rPr>
  </w:style>
  <w:style w:type="character" w:customStyle="1" w:styleId="98">
    <w:name w:val="title"/>
    <w:qFormat/>
    <w:uiPriority w:val="0"/>
  </w:style>
  <w:style w:type="character" w:customStyle="1" w:styleId="99">
    <w:name w:val="批注文字 Char1"/>
    <w:qFormat/>
    <w:uiPriority w:val="99"/>
    <w:rPr>
      <w:kern w:val="2"/>
      <w:sz w:val="21"/>
      <w:szCs w:val="24"/>
    </w:rPr>
  </w:style>
  <w:style w:type="character" w:customStyle="1" w:styleId="100">
    <w:name w:val="zizicopy1"/>
    <w:qFormat/>
    <w:uiPriority w:val="0"/>
    <w:rPr>
      <w:color w:val="E8E8E8"/>
      <w:spacing w:val="14"/>
      <w:sz w:val="18"/>
      <w:szCs w:val="18"/>
    </w:rPr>
  </w:style>
  <w:style w:type="character" w:customStyle="1" w:styleId="101">
    <w:name w:val="纯文本 Char1"/>
    <w:qFormat/>
    <w:locked/>
    <w:uiPriority w:val="0"/>
    <w:rPr>
      <w:rFonts w:hint="eastAsia" w:ascii="宋体" w:hAnsi="Courier New" w:eastAsia="宋体" w:cs="Courier New"/>
      <w:kern w:val="2"/>
      <w:sz w:val="21"/>
      <w:szCs w:val="21"/>
    </w:rPr>
  </w:style>
  <w:style w:type="character" w:customStyle="1" w:styleId="102">
    <w:name w:val="环小四12345 Char"/>
    <w:link w:val="103"/>
    <w:qFormat/>
    <w:locked/>
    <w:uiPriority w:val="0"/>
    <w:rPr>
      <w:rFonts w:ascii="宋体" w:hAnsi="宋体"/>
      <w:b/>
      <w:kern w:val="2"/>
      <w:sz w:val="24"/>
      <w:szCs w:val="24"/>
      <w:lang w:val="en-US" w:eastAsia="zh-CN" w:bidi="ar-SA"/>
    </w:rPr>
  </w:style>
  <w:style w:type="paragraph" w:customStyle="1" w:styleId="103">
    <w:name w:val="环小四12345"/>
    <w:link w:val="102"/>
    <w:qFormat/>
    <w:uiPriority w:val="0"/>
    <w:pPr>
      <w:widowControl w:val="0"/>
      <w:snapToGrid w:val="0"/>
      <w:ind w:firstLine="200" w:firstLineChars="200"/>
    </w:pPr>
    <w:rPr>
      <w:rFonts w:ascii="宋体" w:hAnsi="宋体" w:eastAsia="宋体" w:cs="Times New Roman"/>
      <w:b/>
      <w:kern w:val="2"/>
      <w:sz w:val="24"/>
      <w:szCs w:val="24"/>
      <w:lang w:val="en-US" w:eastAsia="zh-CN" w:bidi="ar-SA"/>
    </w:rPr>
  </w:style>
  <w:style w:type="character" w:customStyle="1" w:styleId="104">
    <w:name w:val="正文文本首行缩进 字符1"/>
    <w:semiHidden/>
    <w:qFormat/>
    <w:uiPriority w:val="99"/>
    <w:rPr>
      <w:rFonts w:ascii="Times New Roman" w:hAnsi="Times New Roman" w:eastAsia="宋体" w:cs="Times New Roman"/>
      <w:kern w:val="2"/>
      <w:sz w:val="21"/>
      <w:szCs w:val="24"/>
    </w:rPr>
  </w:style>
  <w:style w:type="character" w:customStyle="1" w:styleId="105">
    <w:name w:val="apple-converted-space"/>
    <w:qFormat/>
    <w:uiPriority w:val="0"/>
  </w:style>
  <w:style w:type="character" w:customStyle="1" w:styleId="106">
    <w:name w:val="环小四内容 Char Char"/>
    <w:link w:val="107"/>
    <w:qFormat/>
    <w:locked/>
    <w:uiPriority w:val="0"/>
    <w:rPr>
      <w:rFonts w:ascii="宋体" w:hAnsi="Calibri" w:eastAsia="宋体"/>
      <w:sz w:val="24"/>
      <w:szCs w:val="24"/>
    </w:rPr>
  </w:style>
  <w:style w:type="paragraph" w:customStyle="1" w:styleId="107">
    <w:name w:val="环小四内容"/>
    <w:basedOn w:val="1"/>
    <w:link w:val="106"/>
    <w:qFormat/>
    <w:uiPriority w:val="0"/>
    <w:pPr>
      <w:ind w:firstLine="200" w:firstLineChars="200"/>
      <w:jc w:val="left"/>
    </w:pPr>
    <w:rPr>
      <w:rFonts w:ascii="宋体" w:hAnsi="Calibri"/>
      <w:kern w:val="0"/>
      <w:sz w:val="24"/>
    </w:rPr>
  </w:style>
  <w:style w:type="character" w:customStyle="1" w:styleId="108">
    <w:name w:val="正文文本缩进 2 字符1"/>
    <w:semiHidden/>
    <w:qFormat/>
    <w:uiPriority w:val="99"/>
    <w:rPr>
      <w:kern w:val="2"/>
      <w:sz w:val="21"/>
      <w:szCs w:val="24"/>
    </w:rPr>
  </w:style>
  <w:style w:type="character" w:customStyle="1" w:styleId="109">
    <w:name w:val="正文文本 2 字符1"/>
    <w:semiHidden/>
    <w:qFormat/>
    <w:uiPriority w:val="99"/>
    <w:rPr>
      <w:kern w:val="2"/>
      <w:sz w:val="21"/>
      <w:szCs w:val="24"/>
    </w:rPr>
  </w:style>
  <w:style w:type="character" w:customStyle="1" w:styleId="110">
    <w:name w:val="font11"/>
    <w:qFormat/>
    <w:uiPriority w:val="0"/>
    <w:rPr>
      <w:rFonts w:hint="eastAsia" w:ascii="宋体" w:hAnsi="宋体" w:eastAsia="宋体" w:cs="宋体"/>
      <w:color w:val="000000"/>
      <w:kern w:val="0"/>
      <w:sz w:val="18"/>
      <w:szCs w:val="18"/>
      <w:u w:val="none"/>
    </w:rPr>
  </w:style>
  <w:style w:type="character" w:customStyle="1" w:styleId="111">
    <w:name w:val="font01"/>
    <w:qFormat/>
    <w:uiPriority w:val="0"/>
    <w:rPr>
      <w:rFonts w:hint="eastAsia" w:ascii="宋体" w:hAnsi="宋体" w:eastAsia="宋体" w:cs="宋体"/>
      <w:color w:val="FF0000"/>
      <w:kern w:val="0"/>
      <w:sz w:val="18"/>
      <w:szCs w:val="18"/>
      <w:u w:val="none"/>
    </w:rPr>
  </w:style>
  <w:style w:type="character" w:customStyle="1" w:styleId="112">
    <w:name w:val="px_10"/>
    <w:qFormat/>
    <w:uiPriority w:val="0"/>
  </w:style>
  <w:style w:type="character" w:customStyle="1" w:styleId="113">
    <w:name w:val="正文文本 Char"/>
    <w:qFormat/>
    <w:uiPriority w:val="99"/>
    <w:rPr>
      <w:kern w:val="2"/>
      <w:sz w:val="21"/>
      <w:szCs w:val="24"/>
    </w:rPr>
  </w:style>
  <w:style w:type="paragraph" w:customStyle="1" w:styleId="114">
    <w:name w:val="Char"/>
    <w:basedOn w:val="1"/>
    <w:qFormat/>
    <w:uiPriority w:val="0"/>
    <w:rPr>
      <w:rFonts w:ascii="Tahoma" w:hAnsi="Tahoma"/>
      <w:sz w:val="24"/>
      <w:szCs w:val="20"/>
    </w:rPr>
  </w:style>
  <w:style w:type="paragraph" w:customStyle="1" w:styleId="115">
    <w:name w:val="112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xl23"/>
    <w:basedOn w:val="1"/>
    <w:qFormat/>
    <w:uiPriority w:val="99"/>
    <w:pPr>
      <w:widowControl/>
      <w:spacing w:before="100" w:beforeAutospacing="1" w:after="100" w:afterAutospacing="1" w:line="360" w:lineRule="auto"/>
    </w:pPr>
    <w:rPr>
      <w:kern w:val="0"/>
      <w:sz w:val="24"/>
    </w:rPr>
  </w:style>
  <w:style w:type="paragraph" w:customStyle="1" w:styleId="117">
    <w:name w:val="图1"/>
    <w:basedOn w:val="1"/>
    <w:next w:val="1"/>
    <w:qFormat/>
    <w:uiPriority w:val="99"/>
    <w:pPr>
      <w:numPr>
        <w:ilvl w:val="0"/>
        <w:numId w:val="1"/>
      </w:numPr>
      <w:spacing w:beforeLines="50" w:line="360" w:lineRule="auto"/>
      <w:ind w:left="4420" w:hanging="748"/>
      <w:jc w:val="center"/>
    </w:pPr>
    <w:rPr>
      <w:kern w:val="0"/>
      <w:sz w:val="24"/>
    </w:rPr>
  </w:style>
  <w:style w:type="paragraph" w:customStyle="1" w:styleId="118">
    <w:name w:val="正文－恩普"/>
    <w:basedOn w:val="11"/>
    <w:qFormat/>
    <w:uiPriority w:val="0"/>
    <w:pPr>
      <w:widowControl/>
      <w:spacing w:afterLines="50" w:line="360" w:lineRule="auto"/>
      <w:ind w:firstLine="480"/>
      <w:jc w:val="left"/>
    </w:pPr>
    <w:rPr>
      <w:sz w:val="24"/>
      <w:szCs w:val="20"/>
    </w:rPr>
  </w:style>
  <w:style w:type="paragraph" w:customStyle="1" w:styleId="119">
    <w:name w:val="样式 标题 2 + 宋体 五号 非加粗 黑色"/>
    <w:basedOn w:val="5"/>
    <w:qFormat/>
    <w:uiPriority w:val="0"/>
    <w:pPr>
      <w:spacing w:line="416" w:lineRule="atLeast"/>
    </w:pPr>
    <w:rPr>
      <w:rFonts w:ascii="宋体" w:hAnsi="宋体"/>
      <w:b w:val="0"/>
      <w:color w:val="000000"/>
      <w:kern w:val="2"/>
      <w:szCs w:val="32"/>
    </w:rPr>
  </w:style>
  <w:style w:type="paragraph" w:customStyle="1" w:styleId="120">
    <w:name w:val="Body Text Indent 21"/>
    <w:basedOn w:val="1"/>
    <w:qFormat/>
    <w:uiPriority w:val="99"/>
    <w:pPr>
      <w:spacing w:before="120" w:after="120"/>
      <w:ind w:left="540"/>
    </w:pPr>
    <w:rPr>
      <w:sz w:val="24"/>
      <w:szCs w:val="22"/>
    </w:rPr>
  </w:style>
  <w:style w:type="paragraph" w:customStyle="1" w:styleId="12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2">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样式 标题 1 + 四号 居中 段前: 12 磅 段后: 12 磅 行距: 单倍行距"/>
    <w:basedOn w:val="4"/>
    <w:qFormat/>
    <w:uiPriority w:val="0"/>
    <w:pPr>
      <w:spacing w:before="240" w:after="240" w:line="240" w:lineRule="auto"/>
    </w:pPr>
    <w:rPr>
      <w:rFonts w:cs="宋体"/>
      <w:sz w:val="28"/>
      <w:szCs w:val="20"/>
    </w:rPr>
  </w:style>
  <w:style w:type="paragraph" w:customStyle="1" w:styleId="124">
    <w:name w:val="Agilent Doc Title"/>
    <w:next w:val="1"/>
    <w:qFormat/>
    <w:uiPriority w:val="0"/>
    <w:pPr>
      <w:widowControl w:val="0"/>
      <w:adjustRightInd w:val="0"/>
      <w:snapToGrid w:val="0"/>
      <w:spacing w:line="276" w:lineRule="auto"/>
      <w:jc w:val="both"/>
    </w:pPr>
    <w:rPr>
      <w:rFonts w:ascii="宋体" w:hAnsi="宋体" w:eastAsia="宋体" w:cs="Times New Roman"/>
      <w:b/>
      <w:sz w:val="24"/>
      <w:szCs w:val="24"/>
      <w:lang w:val="en-US" w:eastAsia="zh-CN" w:bidi="ar-SA"/>
    </w:rPr>
  </w:style>
  <w:style w:type="paragraph" w:customStyle="1" w:styleId="125">
    <w:name w:val="List Paragraph1"/>
    <w:basedOn w:val="1"/>
    <w:qFormat/>
    <w:uiPriority w:val="0"/>
    <w:pPr>
      <w:ind w:firstLine="420" w:firstLineChars="200"/>
    </w:pPr>
  </w:style>
  <w:style w:type="paragraph" w:customStyle="1" w:styleId="12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11"/>
    <w:basedOn w:val="1"/>
    <w:qFormat/>
    <w:uiPriority w:val="99"/>
    <w:pPr>
      <w:widowControl/>
      <w:spacing w:after="160" w:line="240" w:lineRule="exact"/>
      <w:jc w:val="left"/>
    </w:pPr>
    <w:rPr>
      <w:rFonts w:ascii="Verdana" w:hAnsi="Verdana" w:eastAsia="楷体_GB2312"/>
      <w:kern w:val="0"/>
      <w:sz w:val="18"/>
      <w:szCs w:val="20"/>
      <w:lang w:eastAsia="en-US"/>
    </w:rPr>
  </w:style>
  <w:style w:type="paragraph" w:customStyle="1" w:styleId="128">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129">
    <w:name w:val="Char Char"/>
    <w:basedOn w:val="1"/>
    <w:qFormat/>
    <w:uiPriority w:val="0"/>
    <w:rPr>
      <w:rFonts w:eastAsia="Times New Roman"/>
      <w:kern w:val="0"/>
      <w:sz w:val="20"/>
      <w:szCs w:val="20"/>
    </w:rPr>
  </w:style>
  <w:style w:type="paragraph" w:customStyle="1" w:styleId="130">
    <w:name w:val="_Style 1"/>
    <w:basedOn w:val="1"/>
    <w:qFormat/>
    <w:uiPriority w:val="0"/>
    <w:pPr>
      <w:ind w:firstLine="420" w:firstLineChars="200"/>
    </w:pPr>
  </w:style>
  <w:style w:type="paragraph" w:customStyle="1" w:styleId="131">
    <w:name w:val="列出段落1"/>
    <w:basedOn w:val="1"/>
    <w:qFormat/>
    <w:uiPriority w:val="0"/>
    <w:pPr>
      <w:ind w:firstLine="420" w:firstLineChars="200"/>
    </w:pPr>
  </w:style>
  <w:style w:type="paragraph" w:customStyle="1" w:styleId="13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Char Char Char Char"/>
    <w:basedOn w:val="1"/>
    <w:qFormat/>
    <w:uiPriority w:val="0"/>
    <w:rPr>
      <w:szCs w:val="20"/>
    </w:rPr>
  </w:style>
  <w:style w:type="paragraph" w:customStyle="1" w:styleId="134">
    <w:name w:val="列出段落11"/>
    <w:basedOn w:val="1"/>
    <w:qFormat/>
    <w:uiPriority w:val="0"/>
    <w:pPr>
      <w:ind w:firstLine="420" w:firstLineChars="200"/>
    </w:pPr>
    <w:rPr>
      <w:szCs w:val="22"/>
    </w:rPr>
  </w:style>
  <w:style w:type="paragraph" w:customStyle="1" w:styleId="135">
    <w:name w:val="型号"/>
    <w:basedOn w:val="1"/>
    <w:qFormat/>
    <w:uiPriority w:val="0"/>
    <w:pPr>
      <w:ind w:left="357"/>
      <w:jc w:val="left"/>
    </w:pPr>
    <w:rPr>
      <w:rFonts w:ascii="宋体" w:hAnsi="宋体"/>
      <w:sz w:val="18"/>
      <w:szCs w:val="18"/>
    </w:rPr>
  </w:style>
  <w:style w:type="paragraph" w:customStyle="1" w:styleId="136">
    <w:name w:val="默认段落字体 Para Char Char Char Char Char Char Char"/>
    <w:basedOn w:val="1"/>
    <w:qFormat/>
    <w:uiPriority w:val="0"/>
    <w:pPr>
      <w:adjustRightInd w:val="0"/>
      <w:spacing w:line="360" w:lineRule="auto"/>
      <w:ind w:left="200" w:hanging="200" w:hangingChars="200"/>
    </w:pPr>
  </w:style>
  <w:style w:type="paragraph" w:customStyle="1" w:styleId="137">
    <w:name w:val="_Style 2"/>
    <w:basedOn w:val="1"/>
    <w:qFormat/>
    <w:uiPriority w:val="34"/>
    <w:pPr>
      <w:ind w:firstLine="420" w:firstLineChars="200"/>
    </w:pPr>
  </w:style>
  <w:style w:type="paragraph" w:customStyle="1" w:styleId="138">
    <w:name w:val="样式 标题 3h3H3sect1.2.3 + 五号 段前: 6 磅 段后: 6 磅 行距: 单倍行距"/>
    <w:basedOn w:val="6"/>
    <w:qFormat/>
    <w:uiPriority w:val="0"/>
    <w:pPr>
      <w:adjustRightInd/>
      <w:spacing w:before="120" w:after="120" w:line="240" w:lineRule="auto"/>
    </w:pPr>
    <w:rPr>
      <w:bCs/>
      <w:kern w:val="2"/>
      <w:sz w:val="21"/>
    </w:rPr>
  </w:style>
  <w:style w:type="paragraph" w:customStyle="1" w:styleId="139">
    <w:name w:val="样式1"/>
    <w:basedOn w:val="1"/>
    <w:qFormat/>
    <w:uiPriority w:val="0"/>
    <w:pPr>
      <w:jc w:val="center"/>
    </w:pPr>
    <w:rPr>
      <w:rFonts w:ascii="宋体" w:hAnsi="宋体"/>
      <w:sz w:val="30"/>
      <w:szCs w:val="28"/>
    </w:rPr>
  </w:style>
  <w:style w:type="paragraph" w:customStyle="1" w:styleId="140">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arialblack10"/>
    <w:basedOn w:val="1"/>
    <w:qFormat/>
    <w:uiPriority w:val="99"/>
    <w:pPr>
      <w:widowControl/>
      <w:spacing w:before="100" w:beforeAutospacing="1" w:after="100" w:afterAutospacing="1"/>
      <w:jc w:val="left"/>
    </w:pPr>
    <w:rPr>
      <w:rFonts w:ascii="Arial" w:hAnsi="Arial" w:cs="Arial"/>
      <w:color w:val="000000"/>
      <w:kern w:val="0"/>
      <w:sz w:val="17"/>
      <w:szCs w:val="17"/>
    </w:rPr>
  </w:style>
  <w:style w:type="paragraph" w:customStyle="1" w:styleId="142">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143">
    <w:name w:val="Char2"/>
    <w:basedOn w:val="1"/>
    <w:qFormat/>
    <w:uiPriority w:val="99"/>
    <w:rPr>
      <w:sz w:val="24"/>
      <w:szCs w:val="20"/>
    </w:rPr>
  </w:style>
  <w:style w:type="paragraph" w:customStyle="1" w:styleId="144">
    <w:name w:val="列出段落2"/>
    <w:basedOn w:val="1"/>
    <w:qFormat/>
    <w:uiPriority w:val="0"/>
    <w:pPr>
      <w:ind w:firstLine="420" w:firstLineChars="200"/>
    </w:pPr>
  </w:style>
  <w:style w:type="paragraph" w:customStyle="1" w:styleId="145">
    <w:name w:val="Char Char1"/>
    <w:basedOn w:val="1"/>
    <w:qFormat/>
    <w:uiPriority w:val="99"/>
    <w:rPr>
      <w:szCs w:val="21"/>
    </w:rPr>
  </w:style>
  <w:style w:type="paragraph" w:customStyle="1" w:styleId="146">
    <w:name w:val="WPSOffice手动目录 1"/>
    <w:qFormat/>
    <w:uiPriority w:val="0"/>
    <w:rPr>
      <w:rFonts w:ascii="Times New Roman" w:hAnsi="Times New Roman" w:eastAsia="宋体" w:cs="Times New Roman"/>
      <w:lang w:val="en-US" w:eastAsia="zh-CN" w:bidi="ar-SA"/>
    </w:rPr>
  </w:style>
  <w:style w:type="paragraph" w:customStyle="1" w:styleId="147">
    <w:name w:val="Char12"/>
    <w:basedOn w:val="1"/>
    <w:qFormat/>
    <w:uiPriority w:val="99"/>
    <w:pPr>
      <w:widowControl/>
      <w:spacing w:after="160" w:line="240" w:lineRule="exact"/>
      <w:jc w:val="left"/>
    </w:pPr>
    <w:rPr>
      <w:kern w:val="0"/>
      <w:sz w:val="24"/>
    </w:rPr>
  </w:style>
  <w:style w:type="paragraph" w:customStyle="1" w:styleId="148">
    <w:name w:val="正文2"/>
    <w:basedOn w:val="1"/>
    <w:qFormat/>
    <w:uiPriority w:val="99"/>
    <w:pPr>
      <w:widowControl/>
      <w:snapToGrid w:val="0"/>
      <w:spacing w:line="500" w:lineRule="atLeast"/>
      <w:ind w:firstLine="200" w:firstLineChars="200"/>
      <w:jc w:val="left"/>
    </w:pPr>
    <w:rPr>
      <w:sz w:val="24"/>
      <w:szCs w:val="20"/>
    </w:rPr>
  </w:style>
  <w:style w:type="paragraph" w:customStyle="1" w:styleId="149">
    <w:name w:val="font0"/>
    <w:basedOn w:val="1"/>
    <w:qFormat/>
    <w:uiPriority w:val="0"/>
    <w:pPr>
      <w:widowControl/>
      <w:spacing w:before="100" w:beforeAutospacing="1" w:after="100" w:afterAutospacing="1"/>
      <w:jc w:val="left"/>
    </w:pPr>
    <w:rPr>
      <w:rFonts w:hint="eastAsia" w:ascii="宋体" w:hAnsi="宋体" w:cs="黑体"/>
      <w:kern w:val="0"/>
      <w:sz w:val="24"/>
      <w:lang w:bidi="bo-CN"/>
    </w:rPr>
  </w:style>
  <w:style w:type="paragraph" w:customStyle="1" w:styleId="150">
    <w:name w:val="普通(网站)2"/>
    <w:basedOn w:val="1"/>
    <w:qFormat/>
    <w:uiPriority w:val="0"/>
    <w:pPr>
      <w:widowControl/>
      <w:spacing w:before="100" w:beforeAutospacing="1" w:after="100" w:afterAutospacing="1"/>
      <w:jc w:val="left"/>
    </w:pPr>
    <w:rPr>
      <w:rFonts w:hint="eastAsia" w:ascii="宋体" w:hAnsi="宋体"/>
      <w:sz w:val="24"/>
      <w:szCs w:val="20"/>
    </w:rPr>
  </w:style>
  <w:style w:type="paragraph" w:styleId="15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2级正文"/>
    <w:basedOn w:val="1"/>
    <w:qFormat/>
    <w:uiPriority w:val="0"/>
    <w:pPr>
      <w:ind w:left="721" w:hanging="420"/>
      <w:jc w:val="left"/>
    </w:pPr>
    <w:rPr>
      <w:rFonts w:ascii="宋体" w:hAnsi="宋体" w:cs="宋体"/>
      <w:szCs w:val="21"/>
    </w:rPr>
  </w:style>
  <w:style w:type="paragraph" w:customStyle="1" w:styleId="153">
    <w:name w:val="Char Char Char Char1"/>
    <w:basedOn w:val="1"/>
    <w:qFormat/>
    <w:uiPriority w:val="0"/>
    <w:rPr>
      <w:rFonts w:ascii="Tahoma" w:hAnsi="Tahoma"/>
      <w:sz w:val="24"/>
      <w:szCs w:val="20"/>
    </w:rPr>
  </w:style>
  <w:style w:type="paragraph" w:customStyle="1" w:styleId="154">
    <w:name w:val="Char Char Char2 Char Char Char Char"/>
    <w:basedOn w:val="1"/>
    <w:qFormat/>
    <w:uiPriority w:val="99"/>
    <w:pPr>
      <w:spacing w:line="360" w:lineRule="auto"/>
      <w:ind w:firstLine="200" w:firstLineChars="200"/>
    </w:pPr>
    <w:rPr>
      <w:rFonts w:ascii="宋体" w:hAnsi="宋体" w:cs="宋体"/>
      <w:sz w:val="24"/>
    </w:rPr>
  </w:style>
  <w:style w:type="paragraph" w:customStyle="1" w:styleId="155">
    <w:name w:val="正文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56">
    <w:name w:val="label"/>
    <w:qFormat/>
    <w:uiPriority w:val="0"/>
    <w:rPr>
      <w:color w:val="999999"/>
    </w:rPr>
  </w:style>
  <w:style w:type="character" w:customStyle="1" w:styleId="157">
    <w:name w:val="layui-laypage-curr"/>
    <w:qFormat/>
    <w:uiPriority w:val="0"/>
  </w:style>
  <w:style w:type="character" w:customStyle="1" w:styleId="158">
    <w:name w:val="1正文 Char"/>
    <w:link w:val="159"/>
    <w:qFormat/>
    <w:uiPriority w:val="0"/>
    <w:rPr>
      <w:rFonts w:ascii="宋体" w:hAnsi="宋体"/>
      <w:kern w:val="2"/>
      <w:sz w:val="24"/>
      <w:szCs w:val="22"/>
    </w:rPr>
  </w:style>
  <w:style w:type="paragraph" w:customStyle="1" w:styleId="159">
    <w:name w:val="1正文"/>
    <w:basedOn w:val="1"/>
    <w:link w:val="158"/>
    <w:qFormat/>
    <w:uiPriority w:val="0"/>
    <w:pPr>
      <w:spacing w:line="360" w:lineRule="auto"/>
      <w:ind w:firstLine="480" w:firstLineChars="200"/>
    </w:pPr>
    <w:rPr>
      <w:rFonts w:ascii="宋体" w:hAnsi="宋体"/>
      <w:sz w:val="24"/>
      <w:szCs w:val="22"/>
    </w:rPr>
  </w:style>
  <w:style w:type="paragraph" w:customStyle="1" w:styleId="160">
    <w:name w:val="样式 标题 3 + (中文) 黑体 小四 非加粗 段前: 7.8 磅 段后: 0 磅 行距: 固定值 20 磅"/>
    <w:basedOn w:val="6"/>
    <w:qFormat/>
    <w:uiPriority w:val="0"/>
    <w:pPr>
      <w:adjustRightInd/>
      <w:spacing w:before="0" w:after="0" w:line="400" w:lineRule="exact"/>
    </w:pPr>
    <w:rPr>
      <w:rFonts w:eastAsia="黑体" w:cs="宋体"/>
      <w:b w:val="0"/>
      <w:kern w:val="2"/>
    </w:rPr>
  </w:style>
  <w:style w:type="character" w:customStyle="1" w:styleId="161">
    <w:name w:val="纯文本 字符1"/>
    <w:qFormat/>
    <w:locked/>
    <w:uiPriority w:val="0"/>
    <w:rPr>
      <w:rFonts w:ascii="宋体" w:hAnsi="Courier New" w:cs="Courier New"/>
      <w:kern w:val="2"/>
      <w:sz w:val="21"/>
      <w:szCs w:val="21"/>
    </w:rPr>
  </w:style>
  <w:style w:type="paragraph" w:customStyle="1" w:styleId="162">
    <w:name w:val="_Style 148"/>
    <w:basedOn w:val="4"/>
    <w:next w:val="1"/>
    <w:qFormat/>
    <w:uiPriority w:val="39"/>
    <w:pPr>
      <w:widowControl/>
      <w:spacing w:before="240" w:after="0" w:line="259" w:lineRule="auto"/>
      <w:jc w:val="left"/>
      <w:outlineLvl w:val="9"/>
    </w:pPr>
    <w:rPr>
      <w:rFonts w:ascii="等线 Light" w:hAnsi="等线 Light" w:eastAsia="等线 Light"/>
      <w:b w:val="0"/>
      <w:bCs w:val="0"/>
      <w:color w:val="2F5496"/>
      <w:kern w:val="0"/>
      <w:szCs w:val="32"/>
    </w:rPr>
  </w:style>
  <w:style w:type="paragraph" w:customStyle="1" w:styleId="163">
    <w:name w:val="Char Char Char"/>
    <w:basedOn w:val="1"/>
    <w:qFormat/>
    <w:uiPriority w:val="0"/>
    <w:rPr>
      <w:rFonts w:ascii="Tahoma" w:hAnsi="Tahoma"/>
      <w:sz w:val="24"/>
      <w:szCs w:val="20"/>
    </w:rPr>
  </w:style>
  <w:style w:type="paragraph" w:customStyle="1" w:styleId="164">
    <w:name w:val="UserStyle_35"/>
    <w:qFormat/>
    <w:uiPriority w:val="0"/>
    <w:pPr>
      <w:textAlignment w:val="baseline"/>
    </w:pPr>
    <w:rPr>
      <w:rFonts w:ascii="华文中宋" w:hAnsi="Times New Roman" w:eastAsia="华文中宋" w:cs="Times New Roman"/>
      <w:color w:val="000000"/>
      <w:sz w:val="24"/>
      <w:szCs w:val="24"/>
      <w:lang w:val="en-US" w:eastAsia="zh-CN" w:bidi="ar-SA"/>
    </w:rPr>
  </w:style>
  <w:style w:type="paragraph" w:customStyle="1" w:styleId="165">
    <w:name w:val="UserStyle_28"/>
    <w:basedOn w:val="1"/>
    <w:qFormat/>
    <w:uiPriority w:val="0"/>
    <w:pPr>
      <w:textAlignment w:val="baseline"/>
    </w:pPr>
    <w:rPr>
      <w:rFonts w:ascii="宋体" w:hAnsi="宋体"/>
      <w:kern w:val="0"/>
      <w:szCs w:val="21"/>
    </w:rPr>
  </w:style>
  <w:style w:type="character" w:customStyle="1" w:styleId="166">
    <w:name w:val="font51"/>
    <w:qFormat/>
    <w:uiPriority w:val="0"/>
    <w:rPr>
      <w:rFonts w:hint="default" w:ascii="Arial" w:hAnsi="Arial" w:cs="Arial"/>
      <w:color w:val="000000"/>
      <w:sz w:val="12"/>
      <w:szCs w:val="12"/>
      <w:u w:val="none"/>
    </w:rPr>
  </w:style>
  <w:style w:type="character" w:customStyle="1" w:styleId="167">
    <w:name w:val="font81"/>
    <w:qFormat/>
    <w:uiPriority w:val="0"/>
    <w:rPr>
      <w:rFonts w:hint="eastAsia" w:ascii="宋体" w:hAnsi="宋体" w:eastAsia="宋体" w:cs="宋体"/>
      <w:color w:val="000000"/>
      <w:sz w:val="12"/>
      <w:szCs w:val="12"/>
      <w:u w:val="none"/>
    </w:rPr>
  </w:style>
  <w:style w:type="paragraph" w:customStyle="1" w:styleId="168">
    <w:name w:val="Table Paragraph"/>
    <w:basedOn w:val="1"/>
    <w:qFormat/>
    <w:uiPriority w:val="1"/>
    <w:rPr>
      <w:rFonts w:ascii="宋体" w:hAnsi="宋体" w:cs="宋体"/>
    </w:rPr>
  </w:style>
  <w:style w:type="character" w:customStyle="1" w:styleId="169">
    <w:name w:val="纯文本 字符"/>
    <w:qFormat/>
    <w:uiPriority w:val="0"/>
    <w:rPr>
      <w:rFonts w:ascii="宋体" w:hAnsi="Courier New"/>
      <w:kern w:val="2"/>
      <w:sz w:val="24"/>
      <w:szCs w:val="24"/>
    </w:rPr>
  </w:style>
  <w:style w:type="character" w:customStyle="1" w:styleId="170">
    <w:name w:val="数据小节格式"/>
    <w:qFormat/>
    <w:uiPriority w:val="0"/>
    <w:rPr>
      <w:rFonts w:ascii="新宋体" w:hAnsi="新宋体" w:eastAsia="华文中宋"/>
      <w:b/>
      <w:bCs/>
      <w:sz w:val="27"/>
      <w:szCs w:val="26"/>
      <w:shd w:val="clear" w:color="auto" w:fill="auto"/>
    </w:rPr>
  </w:style>
  <w:style w:type="character" w:customStyle="1" w:styleId="171">
    <w:name w:val="批注文字 字符"/>
    <w:qFormat/>
    <w:uiPriority w:val="0"/>
    <w:rPr>
      <w:kern w:val="2"/>
      <w:sz w:val="21"/>
      <w:szCs w:val="22"/>
    </w:rPr>
  </w:style>
  <w:style w:type="character" w:customStyle="1" w:styleId="172">
    <w:name w:val="正文 首行缩进:  2 字符 Char"/>
    <w:link w:val="173"/>
    <w:qFormat/>
    <w:uiPriority w:val="0"/>
    <w:rPr>
      <w:rFonts w:cs="宋体"/>
      <w:sz w:val="24"/>
    </w:rPr>
  </w:style>
  <w:style w:type="paragraph" w:customStyle="1" w:styleId="173">
    <w:name w:val="正文 首行缩进:  2 字符"/>
    <w:basedOn w:val="1"/>
    <w:next w:val="1"/>
    <w:link w:val="172"/>
    <w:qFormat/>
    <w:uiPriority w:val="0"/>
    <w:pPr>
      <w:spacing w:line="360" w:lineRule="auto"/>
      <w:ind w:firstLine="480" w:firstLineChars="200"/>
      <w:jc w:val="left"/>
    </w:pPr>
    <w:rPr>
      <w:rFonts w:cs="宋体"/>
      <w:kern w:val="0"/>
      <w:sz w:val="24"/>
      <w:szCs w:val="20"/>
    </w:rPr>
  </w:style>
  <w:style w:type="character" w:customStyle="1" w:styleId="174">
    <w:name w:val="font61"/>
    <w:basedOn w:val="41"/>
    <w:qFormat/>
    <w:uiPriority w:val="0"/>
    <w:rPr>
      <w:rFonts w:hint="default" w:ascii="楷体_GB2312" w:eastAsia="楷体_GB2312" w:cs="楷体_GB2312"/>
      <w:b/>
      <w:color w:val="000000"/>
      <w:sz w:val="36"/>
      <w:szCs w:val="36"/>
      <w:u w:val="none"/>
    </w:rPr>
  </w:style>
  <w:style w:type="paragraph" w:customStyle="1" w:styleId="175">
    <w:name w:val="正文1"/>
    <w:basedOn w:val="12"/>
    <w:next w:val="1"/>
    <w:link w:val="179"/>
    <w:qFormat/>
    <w:uiPriority w:val="0"/>
    <w:rPr>
      <w:rFonts w:ascii="仿宋" w:hAnsi="仿宋" w:eastAsia="仿宋"/>
      <w:sz w:val="28"/>
      <w:szCs w:val="20"/>
    </w:rPr>
  </w:style>
  <w:style w:type="paragraph" w:customStyle="1" w:styleId="176">
    <w:name w:val="首行缩进"/>
    <w:next w:val="1"/>
    <w:qFormat/>
    <w:uiPriority w:val="0"/>
    <w:pPr>
      <w:ind w:firstLine="480" w:firstLineChars="200"/>
    </w:pPr>
    <w:rPr>
      <w:rFonts w:ascii="Calibri" w:hAnsi="Calibri" w:eastAsia="华文中宋" w:cs="Times New Roman"/>
      <w:sz w:val="24"/>
      <w:lang w:val="zh-CN" w:eastAsia="zh-CN" w:bidi="ar-SA"/>
    </w:rPr>
  </w:style>
  <w:style w:type="paragraph" w:customStyle="1" w:styleId="17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178">
    <w:name w:val="UserStyle_7"/>
    <w:basedOn w:val="1"/>
    <w:qFormat/>
    <w:uiPriority w:val="0"/>
    <w:pPr>
      <w:textAlignment w:val="baseline"/>
    </w:pPr>
    <w:rPr>
      <w:rFonts w:ascii="宋体" w:hAnsi="宋体"/>
      <w:kern w:val="0"/>
      <w:szCs w:val="21"/>
    </w:rPr>
  </w:style>
  <w:style w:type="character" w:customStyle="1" w:styleId="179">
    <w:name w:val="正文1 字符"/>
    <w:basedOn w:val="41"/>
    <w:link w:val="175"/>
    <w:qFormat/>
    <w:uiPriority w:val="0"/>
    <w:rPr>
      <w:rFonts w:ascii="仿宋" w:hAnsi="仿宋" w:eastAsia="仿宋"/>
      <w:sz w:val="28"/>
    </w:rPr>
  </w:style>
  <w:style w:type="paragraph" w:customStyle="1" w:styleId="180">
    <w:name w:val="Style1"/>
    <w:basedOn w:val="11"/>
    <w:qFormat/>
    <w:uiPriority w:val="99"/>
    <w:pPr>
      <w:tabs>
        <w:tab w:val="left" w:pos="-720"/>
      </w:tabs>
      <w:spacing w:after="120"/>
    </w:pPr>
    <w:rPr>
      <w:spacing w:val="-3"/>
      <w:sz w:val="24"/>
      <w:szCs w:val="20"/>
      <w:lang w:val="en-AU" w:eastAsia="en-US"/>
    </w:rPr>
  </w:style>
  <w:style w:type="character" w:customStyle="1" w:styleId="181">
    <w:name w:val="font171"/>
    <w:basedOn w:val="41"/>
    <w:qFormat/>
    <w:uiPriority w:val="0"/>
    <w:rPr>
      <w:rFonts w:hint="eastAsia" w:ascii="微软雅黑" w:hAnsi="微软雅黑" w:eastAsia="微软雅黑" w:cs="微软雅黑"/>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4861</Words>
  <Characters>5331</Characters>
  <Lines>284</Lines>
  <Paragraphs>80</Paragraphs>
  <TotalTime>8</TotalTime>
  <ScaleCrop>false</ScaleCrop>
  <LinksUpToDate>false</LinksUpToDate>
  <CharactersWithSpaces>5564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2023-11-22T01:09:00Z</dcterms:created>
  <dc:creator>asd</dc:creator>
  <cp:lastModifiedBy>123</cp:lastModifiedBy>
  <cp:lastPrinted>2021-07-26T02:56:00Z</cp:lastPrinted>
  <dcterms:modified xsi:type="dcterms:W3CDTF">2025-11-06T02:15:41Z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D901DF3A6E3549C7B71F42BCD24BF832_13</vt:lpwstr>
  </property>
  <property fmtid="{D5CDD505-2E9C-101B-9397-08002B2CF9AE}" pid="4" name="KSOTemplateDocerSaveRecord">
    <vt:lpwstr>eyJoZGlkIjoiYjk1NWRlZGY5ZGM2Nzc0NzE4NTk5YjlhYWNmMjdkMjkiLCJ1c2VySWQiOiIyNDUwNzc1ODMifQ==</vt:lpwstr>
  </property>
</Properties>
</file>