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2379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3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黑体" w:hAnsi="黑体" w:eastAsia="黑体" w:cs="Arial"/>
                <w:color w:val="000000"/>
                <w:kern w:val="0"/>
                <w:sz w:val="36"/>
                <w:szCs w:val="36"/>
              </w:rPr>
            </w:pPr>
          </w:p>
        </w:tc>
      </w:tr>
    </w:tbl>
    <w:p>
      <w:pPr>
        <w:pStyle w:val="7"/>
        <w:spacing w:after="0" w:line="360" w:lineRule="auto"/>
        <w:ind w:firstLine="0" w:firstLineChars="0"/>
        <w:jc w:val="center"/>
        <w:outlineLvl w:val="2"/>
        <w:rPr>
          <w:rFonts w:eastAsia="黑体"/>
          <w:sz w:val="36"/>
          <w:szCs w:val="30"/>
        </w:rPr>
      </w:pPr>
      <w:r>
        <w:rPr>
          <w:rFonts w:hint="eastAsia" w:eastAsia="黑体"/>
          <w:sz w:val="36"/>
          <w:szCs w:val="30"/>
        </w:rPr>
        <w:t>编制说明</w:t>
      </w:r>
    </w:p>
    <w:p>
      <w:pPr>
        <w:pStyle w:val="7"/>
        <w:spacing w:after="0" w:line="360" w:lineRule="auto"/>
        <w:ind w:firstLine="0" w:firstLineChars="0"/>
        <w:outlineLvl w:val="2"/>
        <w:rPr>
          <w:rFonts w:eastAsia="黑体"/>
          <w:sz w:val="30"/>
          <w:szCs w:val="30"/>
        </w:rPr>
      </w:pPr>
      <w:r>
        <w:rPr>
          <w:rFonts w:hint="eastAsia" w:eastAsia="黑体"/>
          <w:sz w:val="30"/>
          <w:szCs w:val="30"/>
        </w:rPr>
        <w:t>1、</w:t>
      </w:r>
      <w:r>
        <w:rPr>
          <w:rFonts w:eastAsia="黑体"/>
          <w:sz w:val="30"/>
          <w:szCs w:val="30"/>
        </w:rPr>
        <w:t>编制</w:t>
      </w:r>
      <w:r>
        <w:rPr>
          <w:rFonts w:hint="eastAsia" w:eastAsia="黑体"/>
          <w:sz w:val="30"/>
          <w:szCs w:val="30"/>
        </w:rPr>
        <w:t>原则及</w:t>
      </w:r>
      <w:r>
        <w:rPr>
          <w:rFonts w:eastAsia="黑体"/>
          <w:sz w:val="30"/>
          <w:szCs w:val="30"/>
        </w:rPr>
        <w:t>依据</w:t>
      </w:r>
    </w:p>
    <w:p>
      <w:pPr>
        <w:adjustRightInd w:val="0"/>
        <w:snapToGrid w:val="0"/>
        <w:spacing w:line="360" w:lineRule="auto"/>
        <w:ind w:firstLine="425" w:firstLineChars="152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（1）水利部水总〔2014〕429号文《水利工程设计概（估）算编制规定》；</w:t>
      </w:r>
    </w:p>
    <w:p>
      <w:pPr>
        <w:adjustRightInd w:val="0"/>
        <w:snapToGrid w:val="0"/>
        <w:spacing w:line="360" w:lineRule="auto"/>
        <w:ind w:firstLine="425" w:firstLineChars="152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（2）水利部办水总〔2016〕132号《水利工程营业税改征增值税计价依据调整办法》；</w:t>
      </w:r>
    </w:p>
    <w:p>
      <w:pPr>
        <w:adjustRightInd w:val="0"/>
        <w:snapToGrid w:val="0"/>
        <w:spacing w:line="360" w:lineRule="auto"/>
        <w:ind w:firstLine="425" w:firstLineChars="152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（3）水利部办财务函〔2019〕448号《关于调整水利工程计价依据增值税计算标准的通知》；</w:t>
      </w:r>
    </w:p>
    <w:p>
      <w:pPr>
        <w:adjustRightInd w:val="0"/>
        <w:snapToGrid w:val="0"/>
        <w:spacing w:line="360" w:lineRule="auto"/>
        <w:ind w:firstLine="425" w:firstLineChars="152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（4）水利部水总〔2002〕116号《水利建筑工程概算定额》；</w:t>
      </w:r>
    </w:p>
    <w:p>
      <w:pPr>
        <w:adjustRightInd w:val="0"/>
        <w:snapToGrid w:val="0"/>
        <w:spacing w:line="360" w:lineRule="auto"/>
        <w:ind w:firstLine="425" w:firstLineChars="152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（5）水利部水总〔2005〕389号《水利工程概预算补充定额》；</w:t>
      </w:r>
    </w:p>
    <w:p>
      <w:pPr>
        <w:adjustRightInd w:val="0"/>
        <w:snapToGrid w:val="0"/>
        <w:spacing w:line="360" w:lineRule="auto"/>
        <w:ind w:firstLine="425" w:firstLineChars="152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（6）水利部水建管〔1999〕523号《水利水电设备安装工程概算定额》；</w:t>
      </w:r>
    </w:p>
    <w:p>
      <w:pPr>
        <w:adjustRightInd w:val="0"/>
        <w:snapToGrid w:val="0"/>
        <w:spacing w:line="360" w:lineRule="auto"/>
        <w:ind w:firstLine="425" w:firstLineChars="152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（7）水利部水总〔2002〕116号文《水利工程施工机械台时费定额》；</w:t>
      </w:r>
    </w:p>
    <w:p>
      <w:pPr>
        <w:adjustRightInd w:val="0"/>
        <w:snapToGrid w:val="0"/>
        <w:spacing w:line="360" w:lineRule="auto"/>
        <w:ind w:firstLine="425" w:firstLineChars="152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（8）水利部海河水利委员会〔2009〕80号《水利工程概预算补充定额》；</w:t>
      </w:r>
    </w:p>
    <w:p>
      <w:pPr>
        <w:adjustRightInd w:val="0"/>
        <w:snapToGrid w:val="0"/>
        <w:spacing w:line="360" w:lineRule="auto"/>
        <w:ind w:firstLine="425" w:firstLineChars="152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（9）发改价格〔2015〕299号《国家发展改革委关于进一步放开建设项目专业服务价格的通知》；</w:t>
      </w:r>
    </w:p>
    <w:p>
      <w:pPr>
        <w:adjustRightInd w:val="0"/>
        <w:snapToGrid w:val="0"/>
        <w:spacing w:line="360" w:lineRule="auto"/>
        <w:ind w:firstLine="425" w:firstLineChars="152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（10）发改价格〔2006〕1352号《国家发展改革委、建设部关于印发&lt;水利、水电、电力建设项目前期工作工程勘察收费暂行规定&gt;的通知》；</w:t>
      </w:r>
    </w:p>
    <w:p>
      <w:pPr>
        <w:adjustRightInd w:val="0"/>
        <w:snapToGrid w:val="0"/>
        <w:spacing w:line="360" w:lineRule="auto"/>
        <w:ind w:firstLine="425" w:firstLineChars="152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（11）内蒙古自治区发展和改革委员会内蒙古自治区水利厅、内蒙古自治区卫生厅文件：内发改农字〔2010〕1566号关于下发《内蒙古自治区农村牧区饮水安全项目建设管理实施细则》的通知、《内蒙古自治区农村牧区饮水安全工程实施方案编制大纲》；</w:t>
      </w:r>
    </w:p>
    <w:p>
      <w:pPr>
        <w:adjustRightInd w:val="0"/>
        <w:snapToGrid w:val="0"/>
        <w:spacing w:line="360" w:lineRule="auto"/>
        <w:ind w:firstLine="425" w:firstLineChars="152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（12） 不足部分，根据工程实际情况及施工经验，采用类似定额；</w:t>
      </w:r>
    </w:p>
    <w:p>
      <w:pPr>
        <w:adjustRightInd w:val="0"/>
        <w:snapToGrid w:val="0"/>
        <w:spacing w:line="360" w:lineRule="auto"/>
        <w:ind w:firstLine="425" w:firstLineChars="152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（13）工程概算依据设计部门提供的工程量及施工组织设计编制。</w:t>
      </w:r>
    </w:p>
    <w:p>
      <w:pPr>
        <w:adjustRightInd w:val="0"/>
        <w:snapToGrid w:val="0"/>
        <w:spacing w:line="360" w:lineRule="auto"/>
        <w:ind w:firstLine="425" w:firstLineChars="152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（14）内蒙古自治区交通运输厅内发交〔2019〕338号《内蒙古自治区交通运输厅关于执行交通运输部2018年第86号公告的通知》。</w:t>
      </w:r>
    </w:p>
    <w:p>
      <w:pPr>
        <w:pStyle w:val="7"/>
        <w:spacing w:after="0" w:line="360" w:lineRule="auto"/>
        <w:ind w:firstLine="0" w:firstLineChars="0"/>
        <w:outlineLvl w:val="2"/>
        <w:rPr>
          <w:rFonts w:eastAsia="黑体"/>
          <w:sz w:val="30"/>
          <w:szCs w:val="30"/>
        </w:rPr>
      </w:pPr>
      <w:r>
        <w:rPr>
          <w:rFonts w:hint="eastAsia" w:eastAsia="黑体"/>
          <w:sz w:val="30"/>
          <w:szCs w:val="30"/>
        </w:rPr>
        <w:t>2、</w:t>
      </w:r>
      <w:r>
        <w:rPr>
          <w:rFonts w:eastAsia="黑体"/>
          <w:sz w:val="30"/>
          <w:szCs w:val="30"/>
        </w:rPr>
        <w:t>编制</w:t>
      </w:r>
      <w:r>
        <w:rPr>
          <w:rFonts w:hint="eastAsia" w:eastAsia="黑体"/>
          <w:sz w:val="30"/>
          <w:szCs w:val="30"/>
        </w:rPr>
        <w:t>办</w:t>
      </w:r>
      <w:r>
        <w:rPr>
          <w:rFonts w:eastAsia="黑体"/>
          <w:sz w:val="30"/>
          <w:szCs w:val="30"/>
        </w:rPr>
        <w:t>法</w:t>
      </w:r>
    </w:p>
    <w:p>
      <w:pPr>
        <w:pStyle w:val="7"/>
        <w:spacing w:after="0" w:line="360" w:lineRule="auto"/>
        <w:ind w:firstLine="0" w:firstLineChars="0"/>
        <w:outlineLvl w:val="2"/>
        <w:rPr>
          <w:rFonts w:eastAsia="黑体"/>
          <w:sz w:val="30"/>
          <w:szCs w:val="30"/>
        </w:rPr>
      </w:pPr>
      <w:r>
        <w:rPr>
          <w:rFonts w:hint="eastAsia" w:eastAsia="黑体"/>
          <w:sz w:val="30"/>
          <w:szCs w:val="30"/>
        </w:rPr>
        <w:t>2.1基础单价编制</w:t>
      </w:r>
    </w:p>
    <w:p>
      <w:pPr>
        <w:adjustRightInd w:val="0"/>
        <w:snapToGrid w:val="0"/>
        <w:spacing w:line="360" w:lineRule="auto"/>
        <w:rPr>
          <w:rFonts w:ascii="宋体" w:hAnsi="Calibri"/>
          <w:bCs/>
          <w:snapToGrid w:val="0"/>
          <w:kern w:val="32"/>
          <w:sz w:val="28"/>
          <w:szCs w:val="28"/>
        </w:rPr>
      </w:pPr>
      <w:r>
        <w:rPr>
          <w:rFonts w:ascii="宋体" w:hAnsi="Calibri"/>
          <w:bCs/>
          <w:snapToGrid w:val="0"/>
          <w:kern w:val="32"/>
          <w:sz w:val="28"/>
          <w:szCs w:val="28"/>
        </w:rPr>
        <w:t>（1）人工</w:t>
      </w:r>
      <w:r>
        <w:rPr>
          <w:rFonts w:hint="eastAsia" w:ascii="宋体" w:hAnsi="Calibri"/>
          <w:bCs/>
          <w:snapToGrid w:val="0"/>
          <w:kern w:val="32"/>
          <w:sz w:val="28"/>
          <w:szCs w:val="28"/>
        </w:rPr>
        <w:t>预算单价</w:t>
      </w:r>
    </w:p>
    <w:p>
      <w:pPr>
        <w:pStyle w:val="7"/>
        <w:spacing w:after="0" w:line="360" w:lineRule="auto"/>
        <w:ind w:firstLine="0" w:firstLineChars="0"/>
        <w:outlineLvl w:val="2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人工预算单价依据水利部水总（2014）429号文发布的《水利工程设计概（估）算编制规定》，人工工资按引水工程</w:t>
      </w:r>
      <w:bookmarkStart w:id="0" w:name="_GoBack"/>
      <w:bookmarkEnd w:id="0"/>
      <w:r>
        <w:rPr>
          <w:rFonts w:hint="eastAsia" w:ascii="宋体" w:hAnsi="宋体"/>
          <w:sz w:val="28"/>
          <w:szCs w:val="28"/>
        </w:rPr>
        <w:t>二类区计算。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BiNjc2ZDcyOGE5ZDVlZDU2Y2JkODBhZmQ0ODlhN2QifQ=="/>
  </w:docVars>
  <w:rsids>
    <w:rsidRoot w:val="00715AC8"/>
    <w:rsid w:val="000614A5"/>
    <w:rsid w:val="00697C9B"/>
    <w:rsid w:val="006F0508"/>
    <w:rsid w:val="0071268D"/>
    <w:rsid w:val="00715AC8"/>
    <w:rsid w:val="00791E77"/>
    <w:rsid w:val="00A50D29"/>
    <w:rsid w:val="00BD3E6A"/>
    <w:rsid w:val="00CD11CF"/>
    <w:rsid w:val="00D67492"/>
    <w:rsid w:val="25C54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qFormat="1" w:unhideWhenUsed="0" w:uiPriority="99" w:semiHidden="0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节1"/>
    <w:basedOn w:val="1"/>
    <w:next w:val="1"/>
    <w:qFormat/>
    <w:uiPriority w:val="0"/>
    <w:pPr>
      <w:adjustRightInd w:val="0"/>
      <w:snapToGrid w:val="0"/>
      <w:spacing w:line="600" w:lineRule="exact"/>
      <w:ind w:firstLine="643"/>
      <w:jc w:val="center"/>
      <w:outlineLvl w:val="2"/>
    </w:pPr>
    <w:rPr>
      <w:rFonts w:ascii="宋体" w:hAnsi="宋体"/>
      <w:b/>
      <w:bCs/>
      <w:color w:val="FF0000"/>
      <w:sz w:val="32"/>
      <w:szCs w:val="32"/>
    </w:rPr>
  </w:style>
  <w:style w:type="paragraph" w:styleId="3">
    <w:name w:val="Body Text"/>
    <w:basedOn w:val="1"/>
    <w:link w:val="13"/>
    <w:semiHidden/>
    <w:unhideWhenUsed/>
    <w:qFormat/>
    <w:uiPriority w:val="99"/>
    <w:pPr>
      <w:spacing w:after="120"/>
    </w:p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6"/>
    <w:basedOn w:val="1"/>
    <w:next w:val="1"/>
    <w:qFormat/>
    <w:uiPriority w:val="99"/>
    <w:pPr>
      <w:ind w:left="1050"/>
      <w:jc w:val="left"/>
    </w:pPr>
    <w:rPr>
      <w:rFonts w:ascii="Calibri" w:hAnsi="Calibri"/>
      <w:sz w:val="18"/>
      <w:szCs w:val="18"/>
    </w:rPr>
  </w:style>
  <w:style w:type="paragraph" w:styleId="7">
    <w:name w:val="Body Text First Indent"/>
    <w:basedOn w:val="3"/>
    <w:link w:val="12"/>
    <w:qFormat/>
    <w:uiPriority w:val="0"/>
    <w:pPr>
      <w:ind w:firstLine="420" w:firstLineChars="100"/>
    </w:pPr>
    <w:rPr>
      <w:rFonts w:ascii="Times New Roman" w:hAnsi="Times New Roman" w:eastAsia="宋体" w:cs="Times New Roman"/>
      <w:szCs w:val="24"/>
    </w:rPr>
  </w:style>
  <w:style w:type="character" w:customStyle="1" w:styleId="10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2">
    <w:name w:val="正文首行缩进 Char"/>
    <w:basedOn w:val="13"/>
    <w:link w:val="7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3">
    <w:name w:val="正文文本 Char"/>
    <w:basedOn w:val="9"/>
    <w:link w:val="3"/>
    <w:semiHidden/>
    <w:qFormat/>
    <w:uiPriority w:val="99"/>
  </w:style>
  <w:style w:type="character" w:customStyle="1" w:styleId="14">
    <w:name w:val="正文首行缩进 Char1"/>
    <w:basedOn w:val="13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64</Words>
  <Characters>368</Characters>
  <Lines>3</Lines>
  <Paragraphs>1</Paragraphs>
  <TotalTime>0</TotalTime>
  <ScaleCrop>false</ScaleCrop>
  <LinksUpToDate>false</LinksUpToDate>
  <CharactersWithSpaces>431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2023-04-26T02:10:00Z</dcterms:created>
  <dc:creator>Microsoft</dc:creator>
  <cp:lastModifiedBy>lang里个lang</cp:lastModifiedBy>
  <cp:lastPrinted>2023-04-26T02:13:00Z</cp:lastPrinted>
  <dcterms:modified xsi:type="dcterms:W3CDTF">2023-12-12T02:33:21Z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6CFF0DDDD1194C57A380E3D24089398D_12</vt:lpwstr>
  </property>
</Properties>
</file>