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10"/>
        </w:tabs>
        <w:ind w:firstLine="0" w:firstLineChars="0"/>
        <w:jc w:val="both"/>
        <w:rPr>
          <w:rFonts w:hint="eastAsia" w:ascii="宋体" w:hAnsi="宋体" w:cs="宋体"/>
          <w:b/>
          <w:w w:val="90"/>
          <w:sz w:val="48"/>
          <w:szCs w:val="48"/>
          <w:lang w:val="en-US" w:eastAsia="zh-CN"/>
        </w:rPr>
      </w:pPr>
    </w:p>
    <w:p>
      <w:pPr>
        <w:spacing w:line="240" w:lineRule="auto"/>
        <w:ind w:firstLine="0" w:firstLineChars="0"/>
        <w:jc w:val="center"/>
        <w:outlineLvl w:val="0"/>
        <w:rPr>
          <w:rFonts w:ascii="宋体" w:hAnsi="宋体" w:cs="宋体"/>
          <w:b/>
          <w:sz w:val="36"/>
          <w:szCs w:val="36"/>
          <w:lang w:val="zh-CN"/>
        </w:rPr>
      </w:pPr>
      <w:bookmarkStart w:id="0" w:name="_Toc9211"/>
      <w:r>
        <w:rPr>
          <w:rFonts w:hint="eastAsia" w:ascii="宋体" w:hAnsi="宋体" w:cs="宋体"/>
          <w:b/>
          <w:sz w:val="36"/>
          <w:szCs w:val="36"/>
          <w:lang w:val="zh-CN"/>
        </w:rPr>
        <w:t>2023年体育设施进公园项目</w:t>
      </w:r>
    </w:p>
    <w:p>
      <w:pPr>
        <w:spacing w:line="240" w:lineRule="auto"/>
        <w:ind w:firstLine="0" w:firstLineChars="0"/>
        <w:jc w:val="center"/>
        <w:rPr>
          <w:rFonts w:ascii="宋体" w:hAnsi="宋体" w:cs="宋体"/>
          <w:b/>
          <w:sz w:val="36"/>
          <w:szCs w:val="36"/>
          <w:lang w:val="zh-CN"/>
        </w:rPr>
      </w:pPr>
    </w:p>
    <w:p>
      <w:pPr>
        <w:tabs>
          <w:tab w:val="center" w:pos="4932"/>
          <w:tab w:val="left" w:pos="8491"/>
        </w:tabs>
        <w:spacing w:line="240" w:lineRule="auto"/>
        <w:ind w:firstLine="0" w:firstLineChars="0"/>
        <w:jc w:val="center"/>
        <w:outlineLvl w:val="0"/>
        <w:rPr>
          <w:rFonts w:ascii="宋体" w:hAnsi="宋体" w:cs="宋体"/>
          <w:b/>
          <w:sz w:val="36"/>
          <w:szCs w:val="36"/>
          <w:lang w:val="zh-CN"/>
        </w:rPr>
      </w:pPr>
      <w:bookmarkStart w:id="1" w:name="_Toc22968"/>
      <w:bookmarkStart w:id="2" w:name="_Toc15456"/>
      <w:r>
        <w:rPr>
          <w:rFonts w:hint="eastAsia" w:ascii="宋体" w:hAnsi="宋体" w:cs="宋体"/>
          <w:b/>
          <w:sz w:val="36"/>
          <w:szCs w:val="36"/>
          <w:lang w:val="zh-CN"/>
        </w:rPr>
        <w:t>项目编号：</w:t>
      </w:r>
      <w:bookmarkEnd w:id="0"/>
      <w:bookmarkEnd w:id="1"/>
      <w:bookmarkEnd w:id="2"/>
      <w:r>
        <w:rPr>
          <w:rFonts w:hint="eastAsia" w:ascii="宋体" w:hAnsi="宋体" w:cs="宋体"/>
          <w:b/>
          <w:sz w:val="36"/>
          <w:szCs w:val="36"/>
          <w:lang w:val="zh-CN"/>
        </w:rPr>
        <w:t>LYCG2023YX-052</w:t>
      </w:r>
    </w:p>
    <w:p>
      <w:pPr>
        <w:pStyle w:val="2"/>
        <w:ind w:firstLine="0" w:firstLineChars="0"/>
      </w:pPr>
    </w:p>
    <w:p>
      <w:pPr>
        <w:pStyle w:val="45"/>
        <w:ind w:firstLine="480"/>
      </w:pPr>
    </w:p>
    <w:p>
      <w:pPr>
        <w:pStyle w:val="3"/>
        <w:ind w:firstLine="0" w:firstLineChars="0"/>
      </w:pPr>
    </w:p>
    <w:p>
      <w:pPr>
        <w:pStyle w:val="5"/>
        <w:numPr>
          <w:ilvl w:val="255"/>
          <w:numId w:val="0"/>
        </w:numPr>
        <w:tabs>
          <w:tab w:val="left" w:pos="480"/>
        </w:tabs>
        <w:spacing w:before="156" w:after="156"/>
        <w:jc w:val="both"/>
      </w:pPr>
    </w:p>
    <w:p>
      <w:pPr>
        <w:pStyle w:val="4"/>
        <w:numPr>
          <w:ilvl w:val="0"/>
          <w:numId w:val="0"/>
        </w:numPr>
        <w:spacing w:before="312" w:after="312"/>
        <w:rPr>
          <w:b w:val="0"/>
          <w:sz w:val="84"/>
          <w:szCs w:val="84"/>
        </w:rPr>
      </w:pPr>
      <w:bookmarkStart w:id="3" w:name="_Toc3353"/>
      <w:bookmarkStart w:id="4" w:name="_Toc21191"/>
      <w:bookmarkStart w:id="5" w:name="_Toc31437"/>
      <w:bookmarkStart w:id="6" w:name="_Toc3816"/>
      <w:bookmarkStart w:id="7" w:name="_Toc18946"/>
      <w:bookmarkStart w:id="8" w:name="_Toc14416"/>
      <w:bookmarkStart w:id="9" w:name="_Toc29899"/>
      <w:bookmarkStart w:id="10" w:name="_Toc22836"/>
      <w:bookmarkStart w:id="11" w:name="_Toc3604"/>
      <w:bookmarkStart w:id="12" w:name="_Toc7862"/>
      <w:bookmarkStart w:id="13" w:name="_Toc20415"/>
      <w:bookmarkStart w:id="14" w:name="_Toc24377"/>
      <w:bookmarkStart w:id="15" w:name="_Toc3452"/>
      <w:bookmarkStart w:id="16" w:name="_Toc19234"/>
      <w:bookmarkStart w:id="17" w:name="_Toc30029"/>
      <w:bookmarkStart w:id="18" w:name="_Toc22509"/>
      <w:bookmarkStart w:id="19" w:name="_Toc32532"/>
      <w:bookmarkStart w:id="20" w:name="_Toc2996"/>
      <w:bookmarkStart w:id="21" w:name="_Toc316"/>
      <w:bookmarkStart w:id="22" w:name="_Toc1315"/>
      <w:r>
        <w:rPr>
          <w:sz w:val="84"/>
          <w:szCs w:val="84"/>
        </w:rPr>
        <w:t>公开招标文件</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ind w:firstLine="0" w:firstLineChars="0"/>
        <w:rPr>
          <w:rFonts w:ascii="宋体" w:hAnsi="宋体" w:cs="宋体"/>
          <w:b/>
        </w:rPr>
      </w:pPr>
    </w:p>
    <w:p>
      <w:pPr>
        <w:ind w:firstLine="0" w:firstLineChars="0"/>
        <w:rPr>
          <w:lang w:val="zh-CN"/>
        </w:rPr>
      </w:pPr>
    </w:p>
    <w:p>
      <w:pPr>
        <w:pStyle w:val="47"/>
        <w:rPr>
          <w:lang w:val="zh-CN"/>
        </w:rPr>
      </w:pPr>
    </w:p>
    <w:p>
      <w:pPr>
        <w:adjustRightInd w:val="0"/>
        <w:snapToGrid w:val="0"/>
        <w:spacing w:line="800" w:lineRule="exact"/>
        <w:ind w:firstLine="964" w:firstLineChars="300"/>
        <w:outlineLvl w:val="0"/>
        <w:rPr>
          <w:rFonts w:hint="eastAsia" w:ascii="宋体" w:hAnsi="宋体"/>
          <w:b/>
          <w:bCs/>
          <w:sz w:val="32"/>
          <w:szCs w:val="32"/>
          <w:lang w:val="zh-CN"/>
        </w:rPr>
      </w:pPr>
      <w:bookmarkStart w:id="23" w:name="_Toc17343"/>
      <w:bookmarkStart w:id="24" w:name="_Toc17773"/>
      <w:bookmarkStart w:id="25" w:name="_Toc5870"/>
      <w:bookmarkStart w:id="26" w:name="_Toc10073"/>
      <w:bookmarkStart w:id="27" w:name="_Toc21898"/>
      <w:bookmarkStart w:id="28" w:name="_Toc21088"/>
      <w:bookmarkStart w:id="29" w:name="_Toc25590"/>
      <w:bookmarkStart w:id="30" w:name="_Toc13995"/>
      <w:bookmarkStart w:id="31" w:name="_Toc11886"/>
    </w:p>
    <w:p>
      <w:pPr>
        <w:adjustRightInd w:val="0"/>
        <w:snapToGrid w:val="0"/>
        <w:spacing w:line="800" w:lineRule="exact"/>
        <w:ind w:firstLine="964" w:firstLineChars="300"/>
        <w:outlineLvl w:val="0"/>
        <w:rPr>
          <w:rFonts w:hint="default" w:ascii="宋体" w:hAnsi="宋体" w:eastAsia="宋体"/>
          <w:b/>
          <w:bCs/>
          <w:sz w:val="32"/>
          <w:szCs w:val="32"/>
          <w:u w:val="single"/>
          <w:lang w:val="en-US" w:eastAsia="zh-CN"/>
        </w:rPr>
      </w:pPr>
      <w:r>
        <w:rPr>
          <w:rFonts w:hint="eastAsia" w:ascii="宋体" w:hAnsi="宋体"/>
          <w:b/>
          <w:bCs/>
          <w:sz w:val="32"/>
          <w:szCs w:val="32"/>
          <w:lang w:val="zh-CN"/>
        </w:rPr>
        <w:t>采购人：</w:t>
      </w:r>
      <w:r>
        <w:rPr>
          <w:rFonts w:hint="eastAsia" w:ascii="宋体" w:hAnsi="宋体"/>
          <w:b/>
          <w:bCs/>
          <w:sz w:val="32"/>
          <w:szCs w:val="32"/>
          <w:u w:val="single"/>
          <w:lang w:val="zh-CN"/>
        </w:rPr>
        <w:t>龙游县文化和广电旅游体育局（盖</w:t>
      </w:r>
      <w:r>
        <w:rPr>
          <w:rFonts w:hint="eastAsia" w:ascii="宋体" w:hAnsi="宋体"/>
          <w:b/>
          <w:bCs/>
          <w:sz w:val="32"/>
          <w:szCs w:val="32"/>
          <w:u w:val="single"/>
        </w:rPr>
        <w:t>章</w:t>
      </w:r>
      <w:r>
        <w:rPr>
          <w:rFonts w:hint="eastAsia" w:ascii="宋体" w:hAnsi="宋体"/>
          <w:b/>
          <w:bCs/>
          <w:sz w:val="32"/>
          <w:szCs w:val="32"/>
          <w:u w:val="single"/>
          <w:lang w:val="zh-CN"/>
        </w:rPr>
        <w:t>）</w:t>
      </w:r>
    </w:p>
    <w:p>
      <w:pPr>
        <w:adjustRightInd w:val="0"/>
        <w:snapToGrid w:val="0"/>
        <w:spacing w:line="800" w:lineRule="exact"/>
        <w:ind w:firstLine="2249" w:firstLineChars="700"/>
        <w:outlineLvl w:val="0"/>
        <w:rPr>
          <w:rFonts w:hint="eastAsia" w:ascii="宋体" w:hAnsi="宋体"/>
          <w:b/>
          <w:bCs/>
          <w:sz w:val="32"/>
          <w:szCs w:val="32"/>
          <w:lang w:val="zh-CN"/>
        </w:rPr>
      </w:pPr>
      <w:r>
        <w:rPr>
          <w:rFonts w:hint="eastAsia" w:ascii="宋体" w:hAnsi="宋体"/>
          <w:b/>
          <w:bCs/>
          <w:sz w:val="32"/>
          <w:szCs w:val="32"/>
          <w:u w:val="single"/>
          <w:lang w:val="zh-CN"/>
        </w:rPr>
        <w:t>龙游县体育发展有限公司（</w:t>
      </w:r>
      <w:r>
        <w:rPr>
          <w:rFonts w:hint="eastAsia" w:ascii="宋体" w:hAnsi="宋体"/>
          <w:b/>
          <w:bCs/>
          <w:sz w:val="32"/>
          <w:szCs w:val="32"/>
          <w:u w:val="single"/>
        </w:rPr>
        <w:t>盖章</w:t>
      </w:r>
      <w:r>
        <w:rPr>
          <w:rFonts w:hint="eastAsia" w:ascii="宋体" w:hAnsi="宋体"/>
          <w:b/>
          <w:bCs/>
          <w:sz w:val="32"/>
          <w:szCs w:val="32"/>
          <w:u w:val="single"/>
          <w:lang w:val="zh-CN"/>
        </w:rPr>
        <w:t>）</w:t>
      </w:r>
      <w:bookmarkEnd w:id="23"/>
      <w:bookmarkEnd w:id="24"/>
      <w:bookmarkEnd w:id="25"/>
      <w:bookmarkEnd w:id="26"/>
      <w:bookmarkEnd w:id="27"/>
      <w:bookmarkEnd w:id="28"/>
      <w:bookmarkEnd w:id="29"/>
    </w:p>
    <w:p>
      <w:pPr>
        <w:pStyle w:val="2"/>
        <w:ind w:left="0" w:leftChars="0" w:firstLine="964" w:firstLineChars="300"/>
        <w:rPr>
          <w:rFonts w:eastAsia="黑体"/>
        </w:rPr>
      </w:pPr>
      <w:r>
        <w:rPr>
          <w:rFonts w:hint="eastAsia" w:ascii="宋体" w:hAnsi="宋体"/>
          <w:b/>
          <w:bCs/>
          <w:sz w:val="32"/>
          <w:szCs w:val="32"/>
        </w:rPr>
        <w:t>法定代表人或其委托代理人: </w:t>
      </w:r>
      <w:r>
        <w:rPr>
          <w:rFonts w:hint="eastAsia" w:ascii="宋体" w:hAnsi="宋体"/>
          <w:b/>
          <w:bCs/>
          <w:sz w:val="32"/>
          <w:szCs w:val="32"/>
          <w:u w:val="single"/>
        </w:rPr>
        <w:t>      </w:t>
      </w:r>
      <w:r>
        <w:rPr>
          <w:rFonts w:hint="eastAsia" w:ascii="宋体" w:hAnsi="宋体"/>
          <w:b/>
          <w:bCs/>
          <w:sz w:val="32"/>
          <w:szCs w:val="32"/>
        </w:rPr>
        <w:t>(签字或盖章)</w:t>
      </w:r>
    </w:p>
    <w:p>
      <w:pPr>
        <w:adjustRightInd w:val="0"/>
        <w:snapToGrid w:val="0"/>
        <w:spacing w:line="800" w:lineRule="exact"/>
        <w:ind w:firstLine="964" w:firstLineChars="300"/>
        <w:outlineLvl w:val="0"/>
        <w:rPr>
          <w:rFonts w:ascii="宋体" w:hAnsi="宋体"/>
          <w:b/>
          <w:bCs/>
          <w:sz w:val="44"/>
          <w:szCs w:val="44"/>
          <w:lang w:val="zh-CN"/>
        </w:rPr>
      </w:pPr>
      <w:bookmarkStart w:id="32" w:name="_Toc23740"/>
      <w:bookmarkStart w:id="33" w:name="_Toc8207"/>
      <w:bookmarkStart w:id="34" w:name="_Toc22952"/>
      <w:bookmarkStart w:id="35" w:name="_Toc6155"/>
      <w:bookmarkStart w:id="36" w:name="_Toc11450"/>
      <w:bookmarkStart w:id="37" w:name="_Toc10453"/>
      <w:bookmarkStart w:id="38" w:name="_Toc13576"/>
      <w:bookmarkStart w:id="39" w:name="_Toc11169"/>
      <w:bookmarkStart w:id="40" w:name="_Toc17588"/>
      <w:bookmarkStart w:id="41" w:name="_Toc21860"/>
      <w:r>
        <w:rPr>
          <w:rFonts w:hint="eastAsia" w:ascii="宋体" w:hAnsi="宋体"/>
          <w:b/>
          <w:bCs/>
          <w:sz w:val="32"/>
          <w:szCs w:val="32"/>
        </w:rPr>
        <w:t>采购</w:t>
      </w:r>
      <w:r>
        <w:rPr>
          <w:rFonts w:hint="eastAsia" w:ascii="宋体" w:hAnsi="宋体"/>
          <w:b/>
          <w:bCs/>
          <w:sz w:val="32"/>
          <w:szCs w:val="32"/>
          <w:lang w:val="zh-CN"/>
        </w:rPr>
        <w:t>代理机构：</w:t>
      </w:r>
      <w:bookmarkEnd w:id="32"/>
      <w:bookmarkEnd w:id="33"/>
      <w:bookmarkEnd w:id="34"/>
      <w:r>
        <w:rPr>
          <w:rFonts w:hint="eastAsia" w:ascii="宋体" w:hAnsi="宋体"/>
          <w:b/>
          <w:bCs/>
          <w:sz w:val="32"/>
          <w:szCs w:val="32"/>
          <w:lang w:val="zh-CN"/>
        </w:rPr>
        <w:t>衢州宇信工程咨询有限公司（</w:t>
      </w:r>
      <w:r>
        <w:rPr>
          <w:rFonts w:hint="eastAsia" w:ascii="宋体" w:hAnsi="宋体"/>
          <w:b/>
          <w:bCs/>
          <w:sz w:val="32"/>
          <w:szCs w:val="32"/>
        </w:rPr>
        <w:t>盖章</w:t>
      </w:r>
      <w:r>
        <w:rPr>
          <w:rFonts w:hint="eastAsia" w:ascii="宋体" w:hAnsi="宋体"/>
          <w:b/>
          <w:bCs/>
          <w:sz w:val="32"/>
          <w:szCs w:val="32"/>
          <w:lang w:val="zh-CN"/>
        </w:rPr>
        <w:t>）</w:t>
      </w:r>
      <w:bookmarkEnd w:id="35"/>
      <w:bookmarkEnd w:id="36"/>
      <w:bookmarkEnd w:id="37"/>
      <w:bookmarkEnd w:id="38"/>
      <w:bookmarkEnd w:id="39"/>
      <w:bookmarkEnd w:id="40"/>
      <w:bookmarkEnd w:id="41"/>
    </w:p>
    <w:p>
      <w:pPr>
        <w:adjustRightInd w:val="0"/>
        <w:snapToGrid w:val="0"/>
        <w:spacing w:line="800" w:lineRule="exact"/>
        <w:ind w:firstLine="964" w:firstLineChars="300"/>
        <w:rPr>
          <w:rFonts w:eastAsia="黑体"/>
        </w:rPr>
      </w:pPr>
      <w:r>
        <w:rPr>
          <w:rFonts w:hint="eastAsia" w:ascii="宋体" w:hAnsi="宋体"/>
          <w:b/>
          <w:bCs/>
          <w:sz w:val="32"/>
          <w:szCs w:val="32"/>
        </w:rPr>
        <w:t>法定代表人或其委托代理人: </w:t>
      </w:r>
      <w:r>
        <w:rPr>
          <w:rFonts w:hint="eastAsia" w:ascii="宋体" w:hAnsi="宋体"/>
          <w:b/>
          <w:bCs/>
          <w:sz w:val="32"/>
          <w:szCs w:val="32"/>
          <w:u w:val="single"/>
        </w:rPr>
        <w:t>      </w:t>
      </w:r>
      <w:r>
        <w:rPr>
          <w:rFonts w:hint="eastAsia" w:ascii="宋体" w:hAnsi="宋体"/>
          <w:b/>
          <w:bCs/>
          <w:sz w:val="32"/>
          <w:szCs w:val="32"/>
        </w:rPr>
        <w:t>(签字或盖章)</w:t>
      </w:r>
    </w:p>
    <w:p>
      <w:pPr>
        <w:pStyle w:val="15"/>
        <w:ind w:left="0" w:leftChars="0" w:firstLine="0" w:firstLineChars="0"/>
        <w:jc w:val="left"/>
        <w:rPr>
          <w:rFonts w:hint="default" w:hAnsi="宋体"/>
          <w:b/>
          <w:bCs/>
          <w:sz w:val="32"/>
          <w:szCs w:val="32"/>
          <w:lang w:val="zh-CN"/>
        </w:rPr>
      </w:pPr>
    </w:p>
    <w:p>
      <w:pPr>
        <w:pStyle w:val="16"/>
        <w:rPr>
          <w:rFonts w:hint="default"/>
          <w:lang w:val="zh-CN"/>
        </w:rPr>
      </w:pPr>
    </w:p>
    <w:p>
      <w:pPr>
        <w:pStyle w:val="15"/>
        <w:ind w:left="0" w:leftChars="0" w:firstLine="0" w:firstLineChars="0"/>
        <w:jc w:val="center"/>
        <w:rPr>
          <w:rFonts w:hint="default" w:hAnsi="宋体"/>
          <w:b/>
          <w:bCs/>
          <w:kern w:val="2"/>
          <w:sz w:val="32"/>
          <w:szCs w:val="32"/>
          <w:lang w:val="zh-CN"/>
        </w:rPr>
      </w:pPr>
      <w:r>
        <w:rPr>
          <w:rFonts w:hAnsi="宋体"/>
          <w:b/>
          <w:bCs/>
          <w:kern w:val="2"/>
          <w:sz w:val="32"/>
          <w:szCs w:val="32"/>
          <w:lang w:val="zh-CN"/>
        </w:rPr>
        <w:t>二〇二</w:t>
      </w:r>
      <w:r>
        <w:rPr>
          <w:rFonts w:hAnsi="宋体"/>
          <w:b/>
          <w:bCs/>
          <w:kern w:val="2"/>
          <w:sz w:val="32"/>
          <w:szCs w:val="32"/>
        </w:rPr>
        <w:t>三</w:t>
      </w:r>
      <w:r>
        <w:rPr>
          <w:rFonts w:hAnsi="宋体"/>
          <w:b/>
          <w:bCs/>
          <w:kern w:val="2"/>
          <w:sz w:val="32"/>
          <w:szCs w:val="32"/>
          <w:lang w:val="zh-CN"/>
        </w:rPr>
        <w:t>年</w:t>
      </w:r>
      <w:r>
        <w:rPr>
          <w:rFonts w:hint="eastAsia" w:hAnsi="宋体"/>
          <w:b/>
          <w:bCs/>
          <w:kern w:val="2"/>
          <w:sz w:val="32"/>
          <w:szCs w:val="32"/>
          <w:lang w:val="en-US" w:eastAsia="zh-CN"/>
        </w:rPr>
        <w:t>七</w:t>
      </w:r>
      <w:r>
        <w:rPr>
          <w:rFonts w:hAnsi="宋体"/>
          <w:b/>
          <w:bCs/>
          <w:kern w:val="2"/>
          <w:sz w:val="32"/>
          <w:szCs w:val="32"/>
          <w:lang w:val="zh-CN"/>
        </w:rPr>
        <w:t>月</w:t>
      </w:r>
    </w:p>
    <w:bookmarkEnd w:id="30"/>
    <w:bookmarkEnd w:id="31"/>
    <w:p>
      <w:pPr>
        <w:ind w:firstLine="0" w:firstLineChars="0"/>
        <w:jc w:val="center"/>
        <w:rPr>
          <w:rFonts w:hint="eastAsia" w:ascii="宋体" w:hAnsi="宋体" w:cs="宋体"/>
          <w:b/>
          <w:sz w:val="44"/>
          <w:szCs w:val="44"/>
        </w:rPr>
      </w:pPr>
    </w:p>
    <w:p>
      <w:pPr>
        <w:ind w:firstLine="0" w:firstLineChars="0"/>
        <w:jc w:val="center"/>
        <w:rPr>
          <w:rFonts w:ascii="宋体" w:hAnsi="宋体" w:cs="宋体"/>
        </w:rPr>
      </w:pPr>
      <w:r>
        <w:rPr>
          <w:rFonts w:hint="eastAsia" w:ascii="宋体" w:hAnsi="宋体" w:cs="宋体"/>
          <w:b/>
          <w:sz w:val="44"/>
          <w:szCs w:val="44"/>
        </w:rPr>
        <w:t>目  录</w:t>
      </w:r>
    </w:p>
    <w:sdt>
      <w:sdtPr>
        <w:rPr>
          <w:rFonts w:ascii="宋体" w:hAnsi="宋体"/>
          <w:sz w:val="21"/>
        </w:rPr>
        <w:id w:val="147461187"/>
        <w15:color w:val="DBDBDB"/>
        <w:docPartObj>
          <w:docPartGallery w:val="Table of Contents"/>
          <w:docPartUnique/>
        </w:docPartObj>
      </w:sdtPr>
      <w:sdtEndPr>
        <w:rPr>
          <w:rFonts w:ascii="宋体" w:hAnsi="宋体"/>
          <w:b/>
          <w:sz w:val="21"/>
        </w:rPr>
      </w:sdtEndPr>
      <w:sdtContent>
        <w:p>
          <w:pPr>
            <w:spacing w:line="240" w:lineRule="auto"/>
            <w:ind w:firstLine="0" w:firstLineChars="0"/>
            <w:jc w:val="center"/>
          </w:pPr>
        </w:p>
        <w:p>
          <w:pPr>
            <w:pStyle w:val="100"/>
            <w:tabs>
              <w:tab w:val="right" w:leader="dot" w:pos="9746"/>
            </w:tabs>
            <w:rPr>
              <w:b/>
            </w:rPr>
          </w:pPr>
          <w:r>
            <w:fldChar w:fldCharType="begin"/>
          </w:r>
          <w:r>
            <w:instrText xml:space="preserve">TOC \o "1-2" \h \u </w:instrText>
          </w:r>
          <w:r>
            <w:fldChar w:fldCharType="separate"/>
          </w:r>
        </w:p>
        <w:p>
          <w:pPr>
            <w:pStyle w:val="100"/>
            <w:tabs>
              <w:tab w:val="right" w:leader="dot" w:pos="9746"/>
            </w:tabs>
            <w:spacing w:line="312" w:lineRule="auto"/>
            <w:ind w:firstLine="400" w:firstLineChars="200"/>
            <w:rPr>
              <w:rFonts w:ascii="宋体" w:hAnsi="宋体" w:cs="宋体"/>
              <w:b/>
              <w:sz w:val="24"/>
              <w:szCs w:val="24"/>
            </w:rPr>
          </w:pPr>
          <w:r>
            <w:fldChar w:fldCharType="begin"/>
          </w:r>
          <w:r>
            <w:instrText xml:space="preserve"> HYPERLINK \l "_Toc30221" </w:instrText>
          </w:r>
          <w:r>
            <w:fldChar w:fldCharType="separate"/>
          </w:r>
          <w:r>
            <w:rPr>
              <w:rFonts w:hint="eastAsia" w:ascii="宋体" w:hAnsi="宋体" w:cs="宋体"/>
              <w:b/>
              <w:bCs/>
              <w:sz w:val="24"/>
              <w:szCs w:val="24"/>
            </w:rPr>
            <w:t>第一章 招标公告</w:t>
          </w:r>
          <w:r>
            <w:rPr>
              <w:rFonts w:hint="eastAsia" w:ascii="宋体" w:hAnsi="宋体" w:cs="宋体"/>
              <w:b/>
              <w:sz w:val="24"/>
              <w:szCs w:val="24"/>
            </w:rPr>
            <w:tab/>
          </w:r>
          <w:r>
            <w:rPr>
              <w:rFonts w:hint="eastAsia" w:ascii="宋体" w:hAnsi="宋体" w:cs="宋体"/>
              <w:b/>
              <w:sz w:val="24"/>
              <w:szCs w:val="24"/>
            </w:rPr>
            <w:fldChar w:fldCharType="begin"/>
          </w:r>
          <w:r>
            <w:rPr>
              <w:rFonts w:hint="eastAsia" w:ascii="宋体" w:hAnsi="宋体" w:cs="宋体"/>
              <w:b/>
              <w:sz w:val="24"/>
              <w:szCs w:val="24"/>
            </w:rPr>
            <w:instrText xml:space="preserve"> PAGEREF _Toc30221 \h </w:instrText>
          </w:r>
          <w:r>
            <w:rPr>
              <w:rFonts w:hint="eastAsia" w:ascii="宋体" w:hAnsi="宋体" w:cs="宋体"/>
              <w:b/>
              <w:sz w:val="24"/>
              <w:szCs w:val="24"/>
            </w:rPr>
            <w:fldChar w:fldCharType="separate"/>
          </w:r>
          <w:r>
            <w:rPr>
              <w:rFonts w:hint="eastAsia" w:ascii="宋体" w:hAnsi="宋体" w:cs="宋体"/>
              <w:b/>
              <w:sz w:val="24"/>
              <w:szCs w:val="24"/>
            </w:rPr>
            <w:t>3</w:t>
          </w:r>
          <w:r>
            <w:rPr>
              <w:rFonts w:hint="eastAsia" w:ascii="宋体" w:hAnsi="宋体" w:cs="宋体"/>
              <w:b/>
              <w:sz w:val="24"/>
              <w:szCs w:val="24"/>
            </w:rPr>
            <w:fldChar w:fldCharType="end"/>
          </w:r>
          <w:r>
            <w:rPr>
              <w:rFonts w:hint="eastAsia" w:ascii="宋体" w:hAnsi="宋体" w:cs="宋体"/>
              <w:b/>
              <w:sz w:val="24"/>
              <w:szCs w:val="24"/>
            </w:rPr>
            <w:fldChar w:fldCharType="end"/>
          </w:r>
        </w:p>
        <w:p>
          <w:pPr>
            <w:pStyle w:val="100"/>
            <w:tabs>
              <w:tab w:val="right" w:leader="dot" w:pos="9746"/>
            </w:tabs>
            <w:spacing w:line="312" w:lineRule="auto"/>
            <w:ind w:firstLine="400" w:firstLineChars="200"/>
            <w:rPr>
              <w:rFonts w:ascii="宋体" w:hAnsi="宋体" w:cs="宋体"/>
              <w:b/>
              <w:sz w:val="24"/>
              <w:szCs w:val="24"/>
            </w:rPr>
          </w:pPr>
          <w:r>
            <w:fldChar w:fldCharType="begin"/>
          </w:r>
          <w:r>
            <w:instrText xml:space="preserve"> HYPERLINK \l "_Toc6900" </w:instrText>
          </w:r>
          <w:r>
            <w:fldChar w:fldCharType="separate"/>
          </w:r>
          <w:r>
            <w:rPr>
              <w:rFonts w:hint="eastAsia" w:ascii="宋体" w:hAnsi="宋体" w:cs="宋体"/>
              <w:b/>
              <w:sz w:val="24"/>
              <w:szCs w:val="24"/>
            </w:rPr>
            <w:t>第二章  投标人须知</w:t>
          </w:r>
          <w:r>
            <w:rPr>
              <w:rFonts w:hint="eastAsia" w:ascii="宋体" w:hAnsi="宋体" w:cs="宋体"/>
              <w:b/>
              <w:sz w:val="24"/>
              <w:szCs w:val="24"/>
            </w:rPr>
            <w:tab/>
          </w:r>
          <w:r>
            <w:rPr>
              <w:rFonts w:hint="eastAsia" w:ascii="宋体" w:hAnsi="宋体" w:cs="宋体"/>
              <w:b/>
              <w:sz w:val="24"/>
              <w:szCs w:val="24"/>
            </w:rPr>
            <w:fldChar w:fldCharType="begin"/>
          </w:r>
          <w:r>
            <w:rPr>
              <w:rFonts w:hint="eastAsia" w:ascii="宋体" w:hAnsi="宋体" w:cs="宋体"/>
              <w:b/>
              <w:sz w:val="24"/>
              <w:szCs w:val="24"/>
            </w:rPr>
            <w:instrText xml:space="preserve"> PAGEREF _Toc6900 \h </w:instrText>
          </w:r>
          <w:r>
            <w:rPr>
              <w:rFonts w:hint="eastAsia" w:ascii="宋体" w:hAnsi="宋体" w:cs="宋体"/>
              <w:b/>
              <w:sz w:val="24"/>
              <w:szCs w:val="24"/>
            </w:rPr>
            <w:fldChar w:fldCharType="separate"/>
          </w:r>
          <w:r>
            <w:rPr>
              <w:rFonts w:hint="eastAsia" w:ascii="宋体" w:hAnsi="宋体" w:cs="宋体"/>
              <w:b/>
              <w:sz w:val="24"/>
              <w:szCs w:val="24"/>
            </w:rPr>
            <w:t>6</w:t>
          </w:r>
          <w:r>
            <w:rPr>
              <w:rFonts w:hint="eastAsia" w:ascii="宋体" w:hAnsi="宋体" w:cs="宋体"/>
              <w:b/>
              <w:sz w:val="24"/>
              <w:szCs w:val="24"/>
            </w:rPr>
            <w:fldChar w:fldCharType="end"/>
          </w:r>
          <w:r>
            <w:rPr>
              <w:rFonts w:hint="eastAsia" w:ascii="宋体" w:hAnsi="宋体" w:cs="宋体"/>
              <w:b/>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"_Toc24477" </w:instrText>
          </w:r>
          <w:r>
            <w:fldChar w:fldCharType="separate"/>
          </w:r>
          <w:r>
            <w:rPr>
              <w:rFonts w:hint="eastAsia" w:ascii="宋体" w:hAnsi="宋体" w:cs="宋体"/>
              <w:sz w:val="24"/>
              <w:szCs w:val="24"/>
            </w:rPr>
            <w:t>一、投标人须知前附表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_Toc24477 \h </w:instrText>
          </w:r>
          <w:r>
            <w:rPr>
              <w:rFonts w:hint="eastAsia" w:ascii="宋体" w:hAnsi="宋体" w:cs="宋体"/>
              <w:sz w:val="24"/>
              <w:szCs w:val="24"/>
            </w:rPr>
            <w:fldChar w:fldCharType="separate"/>
          </w:r>
          <w:r>
            <w:rPr>
              <w:rFonts w:hint="eastAsia" w:ascii="宋体" w:hAnsi="宋体" w:cs="宋体"/>
              <w:sz w:val="24"/>
              <w:szCs w:val="24"/>
            </w:rPr>
            <w:t>6</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"_Toc7356" </w:instrText>
          </w:r>
          <w:r>
            <w:fldChar w:fldCharType="separate"/>
          </w:r>
          <w:r>
            <w:rPr>
              <w:rFonts w:hint="eastAsia" w:ascii="宋体" w:hAnsi="宋体" w:cs="宋体"/>
              <w:sz w:val="24"/>
              <w:szCs w:val="24"/>
            </w:rPr>
            <w:t>二、总 则</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_Toc7356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"_Toc13953" </w:instrText>
          </w:r>
          <w:r>
            <w:fldChar w:fldCharType="separate"/>
          </w:r>
          <w:r>
            <w:rPr>
              <w:rFonts w:hint="eastAsia" w:ascii="宋体" w:hAnsi="宋体" w:cs="宋体"/>
              <w:sz w:val="24"/>
              <w:szCs w:val="24"/>
            </w:rPr>
            <w:t>三、招标文件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_Toc13953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"_Toc24187" </w:instrText>
          </w:r>
          <w:r>
            <w:fldChar w:fldCharType="separate"/>
          </w:r>
          <w:r>
            <w:rPr>
              <w:rFonts w:hint="eastAsia" w:ascii="宋体" w:hAnsi="宋体" w:cs="宋体"/>
              <w:sz w:val="24"/>
              <w:szCs w:val="24"/>
            </w:rPr>
            <w:t>四、投标文件的编制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_Toc24187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"_Toc3234" </w:instrText>
          </w:r>
          <w:r>
            <w:fldChar w:fldCharType="separate"/>
          </w:r>
          <w:r>
            <w:rPr>
              <w:rFonts w:hint="eastAsia" w:ascii="宋体" w:hAnsi="宋体" w:cs="宋体"/>
              <w:sz w:val="24"/>
              <w:szCs w:val="24"/>
            </w:rPr>
            <w:t>五、投标文件的递交</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_Toc3234 \h </w:instrText>
          </w:r>
          <w:r>
            <w:rPr>
              <w:rFonts w:hint="eastAsia" w:ascii="宋体" w:hAnsi="宋体" w:cs="宋体"/>
              <w:sz w:val="24"/>
              <w:szCs w:val="24"/>
            </w:rPr>
            <w:fldChar w:fldCharType="separate"/>
          </w:r>
          <w:r>
            <w:rPr>
              <w:rFonts w:hint="eastAsia" w:ascii="宋体" w:hAnsi="宋体" w:cs="宋体"/>
              <w:sz w:val="24"/>
              <w:szCs w:val="24"/>
            </w:rPr>
            <w:t>16</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"_Toc15898" </w:instrText>
          </w:r>
          <w:r>
            <w:fldChar w:fldCharType="separate"/>
          </w:r>
          <w:r>
            <w:rPr>
              <w:rFonts w:hint="eastAsia" w:ascii="宋体" w:hAnsi="宋体" w:cs="宋体"/>
              <w:kern w:val="2"/>
              <w:sz w:val="24"/>
              <w:szCs w:val="24"/>
            </w:rPr>
            <w:t>六、投标无效的情形</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_Toc15898 \h </w:instrText>
          </w:r>
          <w:r>
            <w:rPr>
              <w:rFonts w:hint="eastAsia" w:ascii="宋体" w:hAnsi="宋体" w:cs="宋体"/>
              <w:sz w:val="24"/>
              <w:szCs w:val="24"/>
            </w:rPr>
            <w:fldChar w:fldCharType="separate"/>
          </w:r>
          <w:r>
            <w:rPr>
              <w:rFonts w:hint="eastAsia" w:ascii="宋体" w:hAnsi="宋体" w:cs="宋体"/>
              <w:sz w:val="24"/>
              <w:szCs w:val="24"/>
            </w:rPr>
            <w:t>16</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"_Toc11095" </w:instrText>
          </w:r>
          <w:r>
            <w:fldChar w:fldCharType="separate"/>
          </w:r>
          <w:r>
            <w:rPr>
              <w:rFonts w:hint="eastAsia" w:ascii="宋体" w:hAnsi="宋体" w:cs="宋体"/>
              <w:sz w:val="24"/>
              <w:szCs w:val="24"/>
            </w:rPr>
            <w:t>七、废标的情形</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_Toc11095 \h </w:instrText>
          </w:r>
          <w:r>
            <w:rPr>
              <w:rFonts w:hint="eastAsia" w:ascii="宋体" w:hAnsi="宋体" w:cs="宋体"/>
              <w:sz w:val="24"/>
              <w:szCs w:val="24"/>
            </w:rPr>
            <w:fldChar w:fldCharType="separate"/>
          </w:r>
          <w:r>
            <w:rPr>
              <w:rFonts w:hint="eastAsia" w:ascii="宋体" w:hAnsi="宋体" w:cs="宋体"/>
              <w:sz w:val="24"/>
              <w:szCs w:val="24"/>
            </w:rPr>
            <w:t>17</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"_Toc32357" </w:instrText>
          </w:r>
          <w:r>
            <w:fldChar w:fldCharType="separate"/>
          </w:r>
          <w:r>
            <w:rPr>
              <w:rFonts w:hint="eastAsia" w:ascii="宋体" w:hAnsi="宋体" w:cs="宋体"/>
              <w:sz w:val="24"/>
              <w:szCs w:val="24"/>
            </w:rPr>
            <w:t>八、开标、评标和定标</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_Toc32357 \h </w:instrText>
          </w:r>
          <w:r>
            <w:rPr>
              <w:rFonts w:hint="eastAsia" w:ascii="宋体" w:hAnsi="宋体" w:cs="宋体"/>
              <w:sz w:val="24"/>
              <w:szCs w:val="24"/>
            </w:rPr>
            <w:fldChar w:fldCharType="separate"/>
          </w:r>
          <w:r>
            <w:rPr>
              <w:rFonts w:hint="eastAsia" w:ascii="宋体" w:hAnsi="宋体" w:cs="宋体"/>
              <w:sz w:val="24"/>
              <w:szCs w:val="24"/>
            </w:rPr>
            <w:t>17</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"_Toc5600" </w:instrText>
          </w:r>
          <w:r>
            <w:fldChar w:fldCharType="separate"/>
          </w:r>
          <w:r>
            <w:rPr>
              <w:rFonts w:hint="eastAsia" w:ascii="宋体" w:hAnsi="宋体" w:cs="宋体"/>
              <w:sz w:val="24"/>
              <w:szCs w:val="24"/>
            </w:rPr>
            <w:t>九、质疑和投诉</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_Toc5600 \h </w:instrText>
          </w:r>
          <w:r>
            <w:rPr>
              <w:rFonts w:hint="eastAsia" w:ascii="宋体" w:hAnsi="宋体" w:cs="宋体"/>
              <w:sz w:val="24"/>
              <w:szCs w:val="24"/>
            </w:rPr>
            <w:fldChar w:fldCharType="separate"/>
          </w:r>
          <w:r>
            <w:rPr>
              <w:rFonts w:hint="eastAsia" w:ascii="宋体" w:hAnsi="宋体" w:cs="宋体"/>
              <w:sz w:val="24"/>
              <w:szCs w:val="24"/>
            </w:rPr>
            <w:t>20</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"_Toc15021" </w:instrText>
          </w:r>
          <w:r>
            <w:fldChar w:fldCharType="separate"/>
          </w:r>
          <w:r>
            <w:rPr>
              <w:rFonts w:hint="eastAsia" w:ascii="宋体" w:hAnsi="宋体" w:cs="宋体"/>
              <w:sz w:val="24"/>
              <w:szCs w:val="24"/>
            </w:rPr>
            <w:t>十、授予合同</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_Toc15021 \h </w:instrText>
          </w:r>
          <w:r>
            <w:rPr>
              <w:rFonts w:hint="eastAsia" w:ascii="宋体" w:hAnsi="宋体" w:cs="宋体"/>
              <w:sz w:val="24"/>
              <w:szCs w:val="24"/>
            </w:rPr>
            <w:fldChar w:fldCharType="separate"/>
          </w:r>
          <w:r>
            <w:rPr>
              <w:rFonts w:hint="eastAsia" w:ascii="宋体" w:hAnsi="宋体" w:cs="宋体"/>
              <w:sz w:val="24"/>
              <w:szCs w:val="24"/>
            </w:rPr>
            <w:t>21</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"_Toc29434" </w:instrText>
          </w:r>
          <w:r>
            <w:fldChar w:fldCharType="separate"/>
          </w:r>
          <w:r>
            <w:rPr>
              <w:rFonts w:hint="eastAsia" w:ascii="宋体" w:hAnsi="宋体" w:cs="宋体"/>
              <w:sz w:val="24"/>
              <w:szCs w:val="24"/>
            </w:rPr>
            <w:t>十一、法律责任</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_Toc29434 \h </w:instrText>
          </w:r>
          <w:r>
            <w:rPr>
              <w:rFonts w:hint="eastAsia" w:ascii="宋体" w:hAnsi="宋体" w:cs="宋体"/>
              <w:sz w:val="24"/>
              <w:szCs w:val="24"/>
            </w:rPr>
            <w:fldChar w:fldCharType="separate"/>
          </w:r>
          <w:r>
            <w:rPr>
              <w:rFonts w:hint="eastAsia" w:ascii="宋体" w:hAnsi="宋体" w:cs="宋体"/>
              <w:sz w:val="24"/>
              <w:szCs w:val="24"/>
            </w:rPr>
            <w:t>22</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"_Toc23725" </w:instrText>
          </w:r>
          <w:r>
            <w:fldChar w:fldCharType="separate"/>
          </w:r>
          <w:r>
            <w:rPr>
              <w:rFonts w:hint="eastAsia" w:ascii="宋体" w:hAnsi="宋体" w:cs="宋体"/>
              <w:sz w:val="24"/>
              <w:szCs w:val="24"/>
            </w:rPr>
            <w:t>十二、诚信管理</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_Toc23725 \h </w:instrText>
          </w:r>
          <w:r>
            <w:rPr>
              <w:rFonts w:hint="eastAsia" w:ascii="宋体" w:hAnsi="宋体" w:cs="宋体"/>
              <w:sz w:val="24"/>
              <w:szCs w:val="24"/>
            </w:rPr>
            <w:fldChar w:fldCharType="separate"/>
          </w:r>
          <w:r>
            <w:rPr>
              <w:rFonts w:hint="eastAsia" w:ascii="宋体" w:hAnsi="宋体" w:cs="宋体"/>
              <w:sz w:val="24"/>
              <w:szCs w:val="24"/>
            </w:rPr>
            <w:t>23</w:t>
          </w:r>
          <w:r>
            <w:rPr>
              <w:rFonts w:hint="eastAsia" w:ascii="宋体" w:hAnsi="宋体" w:cs="宋体"/>
              <w:sz w:val="24"/>
              <w:szCs w:val="24"/>
            </w:rPr>
            <w:fldChar w:fldCharType="end"/>
          </w:r>
          <w:r>
            <w:rPr>
              <w:rFonts w:hint="eastAsia" w:ascii="宋体" w:hAnsi="宋体" w:cs="宋体"/>
              <w:sz w:val="24"/>
              <w:szCs w:val="24"/>
            </w:rPr>
            <w:fldChar w:fldCharType="end"/>
          </w:r>
        </w:p>
        <w:p>
          <w:pPr>
            <w:pStyle w:val="101"/>
            <w:tabs>
              <w:tab w:val="right" w:leader="dot" w:pos="9746"/>
            </w:tabs>
            <w:spacing w:line="312" w:lineRule="auto"/>
            <w:ind w:left="0" w:leftChars="0" w:firstLine="400" w:firstLineChars="200"/>
            <w:rPr>
              <w:rFonts w:ascii="宋体" w:hAnsi="宋体" w:cs="宋体"/>
              <w:sz w:val="24"/>
              <w:szCs w:val="24"/>
            </w:rPr>
          </w:pPr>
          <w:r>
            <w:fldChar w:fldCharType="begin"/>
          </w:r>
          <w:r>
            <w:instrText xml:space="preserve"> HYPERLINK \l "_Toc5045" </w:instrText>
          </w:r>
          <w:r>
            <w:fldChar w:fldCharType="separate"/>
          </w:r>
          <w:r>
            <w:rPr>
              <w:rFonts w:hint="eastAsia" w:ascii="宋体" w:hAnsi="宋体" w:cs="宋体"/>
              <w:sz w:val="24"/>
              <w:szCs w:val="24"/>
              <w:lang w:bidi="ar"/>
            </w:rPr>
            <w:t>十三、其他</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_Toc5045 \h </w:instrText>
          </w:r>
          <w:r>
            <w:rPr>
              <w:rFonts w:hint="eastAsia" w:ascii="宋体" w:hAnsi="宋体" w:cs="宋体"/>
              <w:sz w:val="24"/>
              <w:szCs w:val="24"/>
            </w:rPr>
            <w:fldChar w:fldCharType="separate"/>
          </w:r>
          <w:r>
            <w:rPr>
              <w:rFonts w:hint="eastAsia" w:ascii="宋体" w:hAnsi="宋体" w:cs="宋体"/>
              <w:sz w:val="24"/>
              <w:szCs w:val="24"/>
            </w:rPr>
            <w:t>24</w:t>
          </w:r>
          <w:r>
            <w:rPr>
              <w:rFonts w:hint="eastAsia" w:ascii="宋体" w:hAnsi="宋体" w:cs="宋体"/>
              <w:sz w:val="24"/>
              <w:szCs w:val="24"/>
            </w:rPr>
            <w:fldChar w:fldCharType="end"/>
          </w:r>
          <w:r>
            <w:rPr>
              <w:rFonts w:hint="eastAsia" w:ascii="宋体" w:hAnsi="宋体" w:cs="宋体"/>
              <w:sz w:val="24"/>
              <w:szCs w:val="24"/>
            </w:rPr>
            <w:fldChar w:fldCharType="end"/>
          </w:r>
        </w:p>
        <w:p>
          <w:pPr>
            <w:pStyle w:val="100"/>
            <w:tabs>
              <w:tab w:val="right" w:leader="dot" w:pos="9746"/>
            </w:tabs>
            <w:spacing w:line="312" w:lineRule="auto"/>
            <w:ind w:firstLine="400" w:firstLineChars="200"/>
            <w:rPr>
              <w:rFonts w:ascii="宋体" w:hAnsi="宋体" w:cs="宋体"/>
              <w:b/>
              <w:sz w:val="24"/>
              <w:szCs w:val="24"/>
            </w:rPr>
          </w:pPr>
          <w:r>
            <w:fldChar w:fldCharType="begin"/>
          </w:r>
          <w:r>
            <w:instrText xml:space="preserve"> HYPERLINK \l "_Toc20073" </w:instrText>
          </w:r>
          <w:r>
            <w:fldChar w:fldCharType="separate"/>
          </w:r>
          <w:r>
            <w:rPr>
              <w:rFonts w:hint="eastAsia" w:ascii="宋体" w:hAnsi="宋体" w:cs="宋体"/>
              <w:b/>
              <w:sz w:val="24"/>
              <w:szCs w:val="24"/>
            </w:rPr>
            <w:t>第三章 采购内容及要求</w:t>
          </w:r>
          <w:r>
            <w:rPr>
              <w:rFonts w:hint="eastAsia" w:ascii="宋体" w:hAnsi="宋体" w:cs="宋体"/>
              <w:b/>
              <w:sz w:val="24"/>
              <w:szCs w:val="24"/>
            </w:rPr>
            <w:tab/>
          </w:r>
          <w:r>
            <w:rPr>
              <w:rFonts w:hint="eastAsia" w:ascii="宋体" w:hAnsi="宋体" w:cs="宋体"/>
              <w:b/>
              <w:sz w:val="24"/>
              <w:szCs w:val="24"/>
            </w:rPr>
            <w:fldChar w:fldCharType="end"/>
          </w:r>
          <w:r>
            <w:rPr>
              <w:rFonts w:hint="eastAsia" w:ascii="宋体" w:hAnsi="宋体" w:cs="宋体"/>
              <w:b/>
              <w:sz w:val="24"/>
              <w:szCs w:val="24"/>
            </w:rPr>
            <w:t>25</w:t>
          </w:r>
        </w:p>
        <w:p>
          <w:pPr>
            <w:pStyle w:val="100"/>
            <w:tabs>
              <w:tab w:val="right" w:leader="dot" w:pos="9746"/>
            </w:tabs>
            <w:spacing w:line="312" w:lineRule="auto"/>
            <w:ind w:firstLine="400" w:firstLineChars="200"/>
            <w:rPr>
              <w:rFonts w:hint="default" w:ascii="宋体" w:hAnsi="宋体" w:eastAsia="宋体" w:cs="宋体"/>
              <w:b/>
              <w:sz w:val="24"/>
              <w:szCs w:val="24"/>
              <w:lang w:val="en-US" w:eastAsia="zh-CN"/>
            </w:rPr>
          </w:pPr>
          <w:r>
            <w:fldChar w:fldCharType="begin"/>
          </w:r>
          <w:r>
            <w:instrText xml:space="preserve"> HYPERLINK \l "_Toc30572" </w:instrText>
          </w:r>
          <w:r>
            <w:fldChar w:fldCharType="separate"/>
          </w:r>
          <w:r>
            <w:rPr>
              <w:rFonts w:hint="eastAsia" w:ascii="宋体" w:hAnsi="宋体" w:cs="宋体"/>
              <w:b/>
              <w:sz w:val="24"/>
              <w:szCs w:val="24"/>
            </w:rPr>
            <w:t xml:space="preserve">第四章 </w:t>
          </w:r>
          <w:r>
            <w:rPr>
              <w:rFonts w:hint="eastAsia" w:ascii="宋体" w:hAnsi="宋体" w:cs="宋体"/>
              <w:b/>
              <w:sz w:val="24"/>
              <w:szCs w:val="24"/>
              <w:lang w:val="zh-CN"/>
            </w:rPr>
            <w:t>评标办法及评分标准</w:t>
          </w:r>
          <w:r>
            <w:rPr>
              <w:rFonts w:hint="eastAsia" w:ascii="宋体" w:hAnsi="宋体" w:cs="宋体"/>
              <w:b/>
              <w:sz w:val="24"/>
              <w:szCs w:val="24"/>
            </w:rPr>
            <w:tab/>
          </w:r>
          <w:r>
            <w:rPr>
              <w:rFonts w:hint="eastAsia" w:ascii="宋体" w:hAnsi="宋体" w:cs="宋体"/>
              <w:b/>
              <w:sz w:val="24"/>
              <w:szCs w:val="24"/>
            </w:rPr>
            <w:fldChar w:fldCharType="end"/>
          </w:r>
          <w:r>
            <w:rPr>
              <w:rFonts w:hint="eastAsia" w:ascii="宋体" w:hAnsi="宋体" w:cs="宋体"/>
              <w:b/>
              <w:sz w:val="24"/>
              <w:szCs w:val="24"/>
              <w:lang w:val="en-US" w:eastAsia="zh-CN"/>
            </w:rPr>
            <w:t>35</w:t>
          </w:r>
        </w:p>
        <w:p>
          <w:pPr>
            <w:pStyle w:val="100"/>
            <w:tabs>
              <w:tab w:val="right" w:leader="dot" w:pos="9746"/>
            </w:tabs>
            <w:spacing w:line="312" w:lineRule="auto"/>
            <w:ind w:firstLine="400" w:firstLineChars="200"/>
            <w:rPr>
              <w:rFonts w:hint="default" w:ascii="宋体" w:hAnsi="宋体" w:eastAsia="宋体" w:cs="宋体"/>
              <w:b/>
              <w:sz w:val="24"/>
              <w:szCs w:val="24"/>
              <w:lang w:val="en-US" w:eastAsia="zh-CN"/>
            </w:rPr>
          </w:pPr>
          <w:r>
            <w:fldChar w:fldCharType="begin"/>
          </w:r>
          <w:r>
            <w:instrText xml:space="preserve"> HYPERLINK \l "_Toc13110" </w:instrText>
          </w:r>
          <w:r>
            <w:fldChar w:fldCharType="separate"/>
          </w:r>
          <w:r>
            <w:rPr>
              <w:rFonts w:hint="eastAsia" w:ascii="宋体" w:hAnsi="宋体" w:cs="宋体"/>
              <w:b/>
              <w:sz w:val="24"/>
              <w:szCs w:val="24"/>
              <w:lang w:val="zh-CN"/>
            </w:rPr>
            <w:t xml:space="preserve">第五章 </w:t>
          </w:r>
          <w:r>
            <w:rPr>
              <w:rFonts w:hint="eastAsia" w:ascii="宋体" w:hAnsi="宋体" w:cs="宋体"/>
              <w:b/>
              <w:sz w:val="24"/>
              <w:szCs w:val="24"/>
            </w:rPr>
            <w:t>合同条款及格式</w:t>
          </w:r>
          <w:r>
            <w:rPr>
              <w:rFonts w:hint="eastAsia" w:ascii="宋体" w:hAnsi="宋体" w:cs="宋体"/>
              <w:b/>
              <w:sz w:val="24"/>
              <w:szCs w:val="24"/>
            </w:rPr>
            <w:tab/>
          </w:r>
          <w:r>
            <w:rPr>
              <w:rFonts w:hint="eastAsia" w:ascii="宋体" w:hAnsi="宋体" w:cs="宋体"/>
              <w:b/>
              <w:sz w:val="24"/>
              <w:szCs w:val="24"/>
            </w:rPr>
            <w:fldChar w:fldCharType="end"/>
          </w:r>
          <w:r>
            <w:rPr>
              <w:rFonts w:hint="eastAsia" w:ascii="宋体" w:hAnsi="宋体" w:cs="宋体"/>
              <w:b/>
              <w:sz w:val="24"/>
              <w:szCs w:val="24"/>
              <w:lang w:val="en-US" w:eastAsia="zh-CN"/>
            </w:rPr>
            <w:t>42</w:t>
          </w:r>
        </w:p>
        <w:p>
          <w:pPr>
            <w:pStyle w:val="100"/>
            <w:tabs>
              <w:tab w:val="right" w:leader="dot" w:pos="9746"/>
            </w:tabs>
            <w:spacing w:line="312" w:lineRule="auto"/>
            <w:ind w:firstLine="400" w:firstLineChars="200"/>
            <w:rPr>
              <w:rFonts w:hint="default" w:ascii="宋体" w:hAnsi="宋体" w:eastAsia="宋体" w:cs="宋体"/>
              <w:b/>
              <w:sz w:val="24"/>
              <w:szCs w:val="24"/>
              <w:lang w:val="en-US" w:eastAsia="zh-CN"/>
            </w:rPr>
          </w:pPr>
          <w:r>
            <w:fldChar w:fldCharType="begin"/>
          </w:r>
          <w:r>
            <w:instrText xml:space="preserve"> HYPERLINK \l "_Toc14018" </w:instrText>
          </w:r>
          <w:r>
            <w:fldChar w:fldCharType="separate"/>
          </w:r>
          <w:r>
            <w:rPr>
              <w:rFonts w:hint="eastAsia" w:ascii="宋体" w:hAnsi="宋体" w:cs="宋体"/>
              <w:b/>
              <w:sz w:val="24"/>
              <w:szCs w:val="24"/>
            </w:rPr>
            <w:t>第六章 投标文件格式</w:t>
          </w:r>
          <w:r>
            <w:rPr>
              <w:rFonts w:hint="eastAsia" w:ascii="宋体" w:hAnsi="宋体" w:cs="宋体"/>
              <w:b/>
              <w:sz w:val="24"/>
              <w:szCs w:val="24"/>
            </w:rPr>
            <w:tab/>
          </w:r>
          <w:r>
            <w:rPr>
              <w:rFonts w:hint="eastAsia" w:ascii="宋体" w:hAnsi="宋体" w:cs="宋体"/>
              <w:b/>
              <w:sz w:val="24"/>
              <w:szCs w:val="24"/>
            </w:rPr>
            <w:fldChar w:fldCharType="end"/>
          </w:r>
          <w:r>
            <w:rPr>
              <w:rFonts w:hint="eastAsia" w:ascii="宋体" w:hAnsi="宋体" w:cs="宋体"/>
              <w:b/>
              <w:sz w:val="24"/>
              <w:szCs w:val="24"/>
              <w:lang w:val="en-US" w:eastAsia="zh-CN"/>
            </w:rPr>
            <w:t>47</w:t>
          </w:r>
        </w:p>
        <w:p>
          <w:pPr>
            <w:pStyle w:val="100"/>
            <w:tabs>
              <w:tab w:val="right" w:leader="dot" w:pos="9746"/>
            </w:tabs>
            <w:rPr>
              <w:rFonts w:ascii="宋体" w:hAnsi="宋体" w:cs="宋体"/>
              <w:b/>
              <w:sz w:val="24"/>
              <w:szCs w:val="24"/>
            </w:rPr>
          </w:pPr>
        </w:p>
        <w:p>
          <w:pPr>
            <w:ind w:firstLine="482"/>
          </w:pPr>
          <w:r>
            <w:rPr>
              <w:b/>
            </w:rPr>
            <w:fldChar w:fldCharType="end"/>
          </w:r>
        </w:p>
      </w:sdtContent>
    </w:sdt>
    <w:p>
      <w:pPr>
        <w:ind w:firstLine="480"/>
      </w:pPr>
    </w:p>
    <w:p>
      <w:pPr>
        <w:ind w:firstLine="0" w:firstLineChars="0"/>
      </w:pPr>
    </w:p>
    <w:p>
      <w:pPr>
        <w:pStyle w:val="4"/>
        <w:numPr>
          <w:ilvl w:val="0"/>
          <w:numId w:val="0"/>
        </w:numPr>
        <w:spacing w:beforeLines="0" w:afterLines="0" w:line="480" w:lineRule="exact"/>
        <w:rPr>
          <w:bCs/>
          <w:color w:val="000000"/>
          <w:szCs w:val="36"/>
        </w:rPr>
      </w:pPr>
      <w:bookmarkStart w:id="42" w:name="_Toc13310"/>
    </w:p>
    <w:p>
      <w:pPr>
        <w:ind w:firstLine="0" w:firstLineChars="0"/>
      </w:pPr>
    </w:p>
    <w:p>
      <w:pPr>
        <w:rPr>
          <w:rFonts w:hint="eastAsia"/>
          <w:bCs/>
          <w:color w:val="000000"/>
          <w:szCs w:val="36"/>
        </w:rPr>
      </w:pPr>
      <w:bookmarkStart w:id="43" w:name="_Toc30221"/>
      <w:r>
        <w:rPr>
          <w:rFonts w:hint="eastAsia"/>
          <w:bCs/>
          <w:color w:val="000000"/>
          <w:szCs w:val="36"/>
        </w:rPr>
        <w:br w:type="page"/>
      </w:r>
    </w:p>
    <w:p>
      <w:pPr>
        <w:pStyle w:val="4"/>
        <w:numPr>
          <w:ilvl w:val="0"/>
          <w:numId w:val="0"/>
        </w:numPr>
        <w:spacing w:beforeLines="0" w:afterLines="0" w:line="480" w:lineRule="exact"/>
      </w:pPr>
      <w:r>
        <w:rPr>
          <w:rFonts w:hint="eastAsia"/>
          <w:bCs/>
          <w:color w:val="000000"/>
          <w:szCs w:val="36"/>
        </w:rPr>
        <w:t>第一章 招标公告</w:t>
      </w:r>
      <w:bookmarkEnd w:id="42"/>
      <w:bookmarkEnd w:id="43"/>
    </w:p>
    <w:p>
      <w:pPr>
        <w:numPr>
          <w:ilvl w:val="255"/>
          <w:numId w:val="0"/>
        </w:numPr>
        <w:snapToGrid w:val="0"/>
        <w:spacing w:line="312" w:lineRule="auto"/>
        <w:ind w:firstLine="482" w:firstLineChars="200"/>
        <w:outlineLvl w:val="1"/>
        <w:rPr>
          <w:rFonts w:ascii="宋体" w:hAnsi="宋体" w:cs="宋体"/>
          <w:b/>
          <w:bCs/>
          <w:lang w:val="zh-CN"/>
        </w:rPr>
      </w:pPr>
      <w:bookmarkStart w:id="44" w:name="_Toc14390"/>
      <w:bookmarkStart w:id="45" w:name="_Toc15323"/>
      <w:bookmarkStart w:id="46" w:name="_Toc22093"/>
      <w:bookmarkStart w:id="47" w:name="_Toc6450"/>
      <w:bookmarkStart w:id="48" w:name="_Toc31067"/>
      <w:bookmarkStart w:id="49" w:name="_Toc16052"/>
      <w:bookmarkStart w:id="50" w:name="_Toc29328"/>
      <w:bookmarkStart w:id="51" w:name="_Toc14520"/>
      <w:bookmarkStart w:id="52" w:name="_Toc28535"/>
      <w:bookmarkStart w:id="53" w:name="_Toc30197"/>
      <w:bookmarkStart w:id="54" w:name="_Toc15977"/>
      <w:bookmarkStart w:id="55" w:name="_Toc19851"/>
      <w:bookmarkStart w:id="56" w:name="_Toc23139"/>
      <w:bookmarkStart w:id="57" w:name="_Toc29696"/>
      <w:bookmarkStart w:id="58" w:name="_Toc18103"/>
      <w:bookmarkStart w:id="59" w:name="_Toc28359002"/>
      <w:bookmarkStart w:id="60" w:name="_Toc23741"/>
      <w:bookmarkStart w:id="61" w:name="_Toc11780"/>
      <w:bookmarkStart w:id="62" w:name="_Toc28359079"/>
      <w:bookmarkStart w:id="63" w:name="_Toc26829"/>
      <w:bookmarkStart w:id="64" w:name="_Toc5925"/>
      <w:bookmarkStart w:id="65" w:name="_Toc12772"/>
      <w:bookmarkStart w:id="66" w:name="_Toc16750"/>
      <w:bookmarkStart w:id="67" w:name="_Toc2153"/>
      <w:bookmarkStart w:id="68" w:name="_Toc5108"/>
      <w:bookmarkStart w:id="69" w:name="_Toc20476"/>
      <w:bookmarkStart w:id="70" w:name="_Toc6951"/>
      <w:bookmarkStart w:id="71" w:name="_Toc24657"/>
      <w:bookmarkStart w:id="72" w:name="_Hlk24379207"/>
      <w:bookmarkStart w:id="73" w:name="_Toc16976"/>
      <w:bookmarkStart w:id="74" w:name="_Toc30645"/>
      <w:bookmarkStart w:id="75" w:name="_Toc3174"/>
      <w:r>
        <w:rPr>
          <w:rFonts w:hint="eastAsia" w:ascii="宋体" w:hAnsi="宋体" w:cs="宋体"/>
          <w:b/>
          <w:bCs/>
        </w:rPr>
        <w:t>一、</w:t>
      </w:r>
      <w:r>
        <w:rPr>
          <w:rFonts w:hint="eastAsia" w:ascii="宋体" w:hAnsi="宋体" w:cs="宋体"/>
          <w:b/>
          <w:bCs/>
          <w:lang w:val="zh-CN"/>
        </w:rPr>
        <w:t>项目基本情况</w:t>
      </w:r>
      <w:bookmarkEnd w:id="44"/>
      <w:bookmarkEnd w:id="45"/>
      <w:bookmarkEnd w:id="46"/>
      <w:bookmarkEnd w:id="47"/>
      <w:bookmarkEnd w:id="48"/>
      <w:bookmarkEnd w:id="49"/>
      <w:bookmarkEnd w:id="50"/>
      <w:bookmarkEnd w:id="51"/>
      <w:bookmarkEnd w:id="52"/>
      <w:bookmarkEnd w:id="53"/>
      <w:bookmarkEnd w:id="54"/>
      <w:bookmarkEnd w:id="55"/>
      <w:bookmarkEnd w:id="56"/>
    </w:p>
    <w:p>
      <w:pPr>
        <w:pStyle w:val="16"/>
        <w:numPr>
          <w:ilvl w:val="255"/>
          <w:numId w:val="0"/>
        </w:numPr>
        <w:tabs>
          <w:tab w:val="left" w:pos="397"/>
          <w:tab w:val="left" w:pos="420"/>
        </w:tabs>
        <w:snapToGrid w:val="0"/>
        <w:spacing w:line="312" w:lineRule="auto"/>
        <w:ind w:firstLine="480" w:firstLineChars="200"/>
        <w:rPr>
          <w:rFonts w:hint="eastAsia" w:ascii="宋体" w:hAnsi="宋体" w:eastAsia="宋体" w:cs="宋体"/>
          <w:lang w:eastAsia="zh-CN"/>
        </w:rPr>
      </w:pPr>
      <w:r>
        <w:rPr>
          <w:rFonts w:hint="eastAsia" w:ascii="宋体" w:hAnsi="宋体" w:cs="宋体"/>
        </w:rPr>
        <w:t>1.项目编号：</w:t>
      </w:r>
      <w:r>
        <w:rPr>
          <w:rFonts w:hint="eastAsia" w:ascii="宋体" w:hAnsi="宋体" w:cs="宋体"/>
          <w:lang w:eastAsia="zh-CN"/>
        </w:rPr>
        <w:t>LYCG2023YX-052</w:t>
      </w:r>
    </w:p>
    <w:p>
      <w:pPr>
        <w:pStyle w:val="16"/>
        <w:numPr>
          <w:ilvl w:val="255"/>
          <w:numId w:val="0"/>
        </w:numPr>
        <w:tabs>
          <w:tab w:val="left" w:pos="397"/>
          <w:tab w:val="left" w:pos="420"/>
        </w:tabs>
        <w:snapToGrid w:val="0"/>
        <w:spacing w:line="312" w:lineRule="auto"/>
        <w:ind w:firstLine="480" w:firstLineChars="200"/>
        <w:rPr>
          <w:rFonts w:hint="eastAsia" w:ascii="宋体" w:hAnsi="宋体" w:eastAsia="宋体" w:cs="宋体"/>
          <w:lang w:eastAsia="zh-CN"/>
        </w:rPr>
      </w:pPr>
      <w:r>
        <w:rPr>
          <w:rFonts w:hint="eastAsia" w:ascii="宋体" w:hAnsi="宋体" w:cs="宋体"/>
        </w:rPr>
        <w:t>2.项目名称：</w:t>
      </w:r>
      <w:r>
        <w:rPr>
          <w:rFonts w:hint="eastAsia" w:ascii="宋体" w:hAnsi="宋体" w:cs="宋体"/>
          <w:lang w:eastAsia="zh-CN"/>
        </w:rPr>
        <w:t>2023年体育设施进公园项目</w:t>
      </w:r>
    </w:p>
    <w:p>
      <w:pPr>
        <w:pStyle w:val="16"/>
        <w:numPr>
          <w:ilvl w:val="255"/>
          <w:numId w:val="0"/>
        </w:numPr>
        <w:tabs>
          <w:tab w:val="left" w:pos="397"/>
          <w:tab w:val="left" w:pos="420"/>
        </w:tabs>
        <w:snapToGrid w:val="0"/>
        <w:spacing w:line="312" w:lineRule="auto"/>
        <w:ind w:firstLine="480" w:firstLineChars="200"/>
        <w:rPr>
          <w:rFonts w:hint="default" w:ascii="宋体" w:hAnsi="宋体" w:cs="宋体"/>
          <w:lang w:val="en-US" w:eastAsia="zh-CN"/>
        </w:rPr>
      </w:pPr>
      <w:r>
        <w:rPr>
          <w:rFonts w:hint="eastAsia" w:ascii="宋体" w:hAnsi="宋体" w:cs="宋体"/>
        </w:rPr>
        <w:t>3.预算金额（万元）:</w:t>
      </w:r>
      <w:r>
        <w:rPr>
          <w:rFonts w:hint="eastAsia" w:ascii="宋体" w:hAnsi="宋体" w:cs="宋体"/>
          <w:lang w:val="en-US" w:eastAsia="zh-CN"/>
        </w:rPr>
        <w:t>101.4262</w:t>
      </w:r>
    </w:p>
    <w:p>
      <w:pPr>
        <w:pStyle w:val="16"/>
        <w:numPr>
          <w:ilvl w:val="255"/>
          <w:numId w:val="0"/>
        </w:numPr>
        <w:tabs>
          <w:tab w:val="left" w:pos="397"/>
          <w:tab w:val="left" w:pos="420"/>
        </w:tabs>
        <w:snapToGrid w:val="0"/>
        <w:spacing w:line="312" w:lineRule="auto"/>
        <w:ind w:firstLine="480" w:firstLineChars="200"/>
        <w:rPr>
          <w:rFonts w:hint="default" w:ascii="宋体" w:hAnsi="宋体" w:eastAsia="宋体" w:cs="宋体"/>
          <w:lang w:val="en-US" w:eastAsia="zh-CN"/>
        </w:rPr>
      </w:pPr>
      <w:r>
        <w:rPr>
          <w:rFonts w:hint="eastAsia" w:ascii="宋体" w:hAnsi="宋体" w:cs="宋体"/>
        </w:rPr>
        <w:t>4.最高限价（万元）:</w:t>
      </w:r>
      <w:r>
        <w:rPr>
          <w:rFonts w:hint="eastAsia" w:ascii="宋体" w:hAnsi="宋体" w:cs="宋体"/>
          <w:lang w:val="en-US" w:eastAsia="zh-CN"/>
        </w:rPr>
        <w:t>101.4262</w:t>
      </w:r>
    </w:p>
    <w:p>
      <w:pPr>
        <w:pStyle w:val="16"/>
        <w:numPr>
          <w:ilvl w:val="255"/>
          <w:numId w:val="0"/>
        </w:numPr>
        <w:tabs>
          <w:tab w:val="left" w:pos="397"/>
          <w:tab w:val="left" w:pos="420"/>
        </w:tabs>
        <w:snapToGrid w:val="0"/>
        <w:spacing w:line="312" w:lineRule="auto"/>
        <w:ind w:firstLine="480" w:firstLineChars="200"/>
        <w:rPr>
          <w:rFonts w:ascii="宋体" w:hAnsi="宋体" w:cs="宋体"/>
        </w:rPr>
      </w:pPr>
      <w:r>
        <w:rPr>
          <w:rFonts w:hint="eastAsia" w:ascii="宋体" w:hAnsi="宋体" w:cs="宋体"/>
          <w:lang w:val="en-US" w:eastAsia="zh-CN"/>
        </w:rPr>
        <w:t>5</w:t>
      </w:r>
      <w:r>
        <w:rPr>
          <w:rFonts w:hint="eastAsia" w:ascii="宋体" w:hAnsi="宋体" w:cs="宋体"/>
        </w:rPr>
        <w:t>.简要规格描述或项目基本概况介绍、用途：详见招标文件“第三章 采购内容及要求”（包括但不限于标的的名称、数量、简要技术需求或服务要求等）</w:t>
      </w:r>
    </w:p>
    <w:p>
      <w:pPr>
        <w:pStyle w:val="16"/>
        <w:numPr>
          <w:ilvl w:val="255"/>
          <w:numId w:val="0"/>
        </w:numPr>
        <w:tabs>
          <w:tab w:val="left" w:pos="397"/>
          <w:tab w:val="left" w:pos="420"/>
        </w:tabs>
        <w:snapToGrid w:val="0"/>
        <w:spacing w:line="312" w:lineRule="auto"/>
        <w:ind w:firstLine="480" w:firstLineChars="200"/>
        <w:rPr>
          <w:rFonts w:ascii="宋体" w:hAnsi="宋体" w:cs="宋体"/>
        </w:rPr>
      </w:pPr>
      <w:r>
        <w:rPr>
          <w:rFonts w:hint="eastAsia" w:ascii="宋体" w:hAnsi="宋体" w:cs="宋体"/>
          <w:lang w:val="en-US" w:eastAsia="zh-CN"/>
        </w:rPr>
        <w:t>6</w:t>
      </w:r>
      <w:r>
        <w:rPr>
          <w:rFonts w:hint="eastAsia" w:ascii="宋体" w:hAnsi="宋体" w:cs="宋体"/>
        </w:rPr>
        <w:t>.本项目不接受联合体投标。</w:t>
      </w:r>
    </w:p>
    <w:p>
      <w:pPr>
        <w:numPr>
          <w:ilvl w:val="255"/>
          <w:numId w:val="0"/>
        </w:numPr>
        <w:snapToGrid w:val="0"/>
        <w:spacing w:line="312" w:lineRule="auto"/>
        <w:ind w:firstLine="482" w:firstLineChars="200"/>
        <w:outlineLvl w:val="1"/>
        <w:rPr>
          <w:rFonts w:ascii="宋体" w:hAnsi="宋体" w:cs="宋体"/>
          <w:b/>
          <w:bCs/>
        </w:rPr>
      </w:pPr>
      <w:bookmarkStart w:id="76" w:name="_Toc12876"/>
      <w:bookmarkStart w:id="77" w:name="_Toc25114"/>
      <w:bookmarkStart w:id="78" w:name="_Toc8407"/>
      <w:bookmarkStart w:id="79" w:name="_Toc2474"/>
      <w:bookmarkStart w:id="80" w:name="_Toc25577"/>
      <w:bookmarkStart w:id="81" w:name="_Toc19072"/>
      <w:bookmarkStart w:id="82" w:name="_Toc16650"/>
      <w:bookmarkStart w:id="83" w:name="_Toc22029"/>
      <w:bookmarkStart w:id="84" w:name="_Toc11832"/>
      <w:bookmarkStart w:id="85" w:name="_Toc11395"/>
      <w:bookmarkStart w:id="86" w:name="_Toc17737"/>
      <w:bookmarkStart w:id="87" w:name="_Toc20050"/>
      <w:bookmarkStart w:id="88" w:name="_Toc14749"/>
      <w:bookmarkStart w:id="89" w:name="_Toc8671"/>
      <w:r>
        <w:rPr>
          <w:rFonts w:hint="eastAsia" w:ascii="宋体" w:hAnsi="宋体" w:cs="宋体"/>
          <w:b/>
          <w:bCs/>
        </w:rPr>
        <w:t>二、申请人的资格要求</w:t>
      </w:r>
      <w:bookmarkEnd w:id="76"/>
      <w:bookmarkEnd w:id="77"/>
      <w:bookmarkEnd w:id="78"/>
      <w:bookmarkEnd w:id="79"/>
      <w:bookmarkEnd w:id="80"/>
      <w:bookmarkEnd w:id="81"/>
      <w:bookmarkEnd w:id="82"/>
      <w:bookmarkEnd w:id="83"/>
      <w:bookmarkEnd w:id="84"/>
      <w:bookmarkEnd w:id="85"/>
      <w:bookmarkEnd w:id="86"/>
      <w:bookmarkEnd w:id="87"/>
      <w:bookmarkEnd w:id="88"/>
      <w:bookmarkEnd w:id="89"/>
    </w:p>
    <w:p>
      <w:pPr>
        <w:adjustRightInd w:val="0"/>
        <w:snapToGrid w:val="0"/>
        <w:spacing w:line="312" w:lineRule="auto"/>
        <w:ind w:firstLine="480"/>
        <w:rPr>
          <w:rFonts w:ascii="宋体" w:hAnsi="宋体" w:cs="宋体"/>
        </w:rPr>
      </w:pPr>
      <w:bookmarkStart w:id="90" w:name="_Toc15990"/>
      <w:bookmarkStart w:id="91" w:name="_Toc3109"/>
      <w:bookmarkStart w:id="92" w:name="_Toc29933"/>
      <w:bookmarkStart w:id="93" w:name="_Toc16689"/>
      <w:bookmarkStart w:id="94" w:name="_Toc17140"/>
      <w:bookmarkStart w:id="95" w:name="_Toc11020"/>
      <w:r>
        <w:rPr>
          <w:rFonts w:hint="eastAsia" w:ascii="宋体" w:hAnsi="宋体" w:cs="宋体"/>
        </w:rPr>
        <w:t>1.符合《中华人民共和国政府采购法》第二十二条规定：</w:t>
      </w:r>
    </w:p>
    <w:p>
      <w:pPr>
        <w:adjustRightInd w:val="0"/>
        <w:snapToGrid w:val="0"/>
        <w:spacing w:line="312" w:lineRule="auto"/>
        <w:ind w:firstLine="480"/>
        <w:rPr>
          <w:rFonts w:ascii="宋体" w:hAnsi="宋体" w:cs="宋体"/>
        </w:rPr>
      </w:pPr>
      <w:r>
        <w:rPr>
          <w:rFonts w:hint="eastAsia" w:ascii="宋体" w:hAnsi="宋体" w:cs="宋体"/>
        </w:rPr>
        <w:t>1）具有独立承担民事责任的能力；</w:t>
      </w:r>
    </w:p>
    <w:p>
      <w:pPr>
        <w:adjustRightInd w:val="0"/>
        <w:snapToGrid w:val="0"/>
        <w:spacing w:line="312" w:lineRule="auto"/>
        <w:ind w:firstLine="480"/>
        <w:rPr>
          <w:rFonts w:ascii="宋体" w:hAnsi="宋体" w:cs="宋体"/>
        </w:rPr>
      </w:pPr>
      <w:r>
        <w:rPr>
          <w:rFonts w:hint="eastAsia" w:ascii="宋体" w:hAnsi="宋体" w:cs="宋体"/>
        </w:rPr>
        <w:t>2）具有良好的商业信誉和健全的财务会计制度；</w:t>
      </w:r>
    </w:p>
    <w:p>
      <w:pPr>
        <w:adjustRightInd w:val="0"/>
        <w:snapToGrid w:val="0"/>
        <w:spacing w:line="312" w:lineRule="auto"/>
        <w:ind w:firstLine="480"/>
        <w:rPr>
          <w:rFonts w:ascii="宋体" w:hAnsi="宋体" w:cs="宋体"/>
        </w:rPr>
      </w:pPr>
      <w:r>
        <w:rPr>
          <w:rFonts w:hint="eastAsia" w:ascii="宋体" w:hAnsi="宋体" w:cs="宋体"/>
        </w:rPr>
        <w:t>3）具有履行合同所必需的设备和专业技术能力；</w:t>
      </w:r>
    </w:p>
    <w:p>
      <w:pPr>
        <w:adjustRightInd w:val="0"/>
        <w:snapToGrid w:val="0"/>
        <w:spacing w:line="312" w:lineRule="auto"/>
        <w:ind w:firstLine="480"/>
        <w:rPr>
          <w:rFonts w:ascii="宋体" w:hAnsi="宋体" w:cs="宋体"/>
        </w:rPr>
      </w:pPr>
      <w:r>
        <w:rPr>
          <w:rFonts w:hint="eastAsia" w:ascii="宋体" w:hAnsi="宋体" w:cs="宋体"/>
        </w:rPr>
        <w:t>4）有依法缴纳税收和社会保障资金的良好记录；</w:t>
      </w:r>
    </w:p>
    <w:p>
      <w:pPr>
        <w:adjustRightInd w:val="0"/>
        <w:snapToGrid w:val="0"/>
        <w:spacing w:line="312" w:lineRule="auto"/>
        <w:ind w:firstLine="480"/>
        <w:rPr>
          <w:rFonts w:ascii="宋体" w:hAnsi="宋体" w:cs="宋体"/>
        </w:rPr>
      </w:pPr>
      <w:r>
        <w:rPr>
          <w:rFonts w:hint="eastAsia" w:ascii="宋体" w:hAnsi="宋体" w:cs="宋体"/>
        </w:rPr>
        <w:t>5）参加政府采购活动前三年内，在经营活动中没有重大违法记录；</w:t>
      </w:r>
    </w:p>
    <w:p>
      <w:pPr>
        <w:adjustRightInd w:val="0"/>
        <w:snapToGrid w:val="0"/>
        <w:spacing w:line="312" w:lineRule="auto"/>
        <w:ind w:firstLine="480"/>
        <w:rPr>
          <w:rFonts w:ascii="宋体" w:hAnsi="宋体" w:cs="宋体"/>
        </w:rPr>
      </w:pPr>
      <w:r>
        <w:rPr>
          <w:rFonts w:hint="eastAsia" w:ascii="宋体" w:hAnsi="宋体" w:cs="宋体"/>
        </w:rPr>
        <w:t>6）法律、行政法规规定的其他条件。</w:t>
      </w:r>
    </w:p>
    <w:p>
      <w:pPr>
        <w:adjustRightInd w:val="0"/>
        <w:snapToGrid w:val="0"/>
        <w:spacing w:line="312" w:lineRule="auto"/>
        <w:ind w:firstLine="480"/>
        <w:rPr>
          <w:rFonts w:ascii="宋体" w:hAnsi="宋体" w:cs="宋体"/>
        </w:rPr>
      </w:pPr>
      <w:r>
        <w:rPr>
          <w:rFonts w:hint="eastAsia" w:ascii="宋体" w:hAnsi="宋体" w:cs="宋体"/>
        </w:rPr>
        <w:t>2.投标人未被列入失信被执行人名单、重大税收违法案件当事人名单、政府采购严重违法失信行为记录名单，信用信息以信用中国网站（www.creditchina.gov.cn）、中国政府采购网（www.ccgp.gov.cn）公布为准。</w:t>
      </w:r>
    </w:p>
    <w:p>
      <w:pPr>
        <w:adjustRightInd w:val="0"/>
        <w:snapToGrid w:val="0"/>
        <w:spacing w:line="312" w:lineRule="auto"/>
        <w:ind w:firstLine="480"/>
        <w:rPr>
          <w:rFonts w:ascii="宋体" w:hAnsi="宋体" w:cs="宋体"/>
        </w:rPr>
      </w:pPr>
      <w:r>
        <w:rPr>
          <w:rFonts w:hint="eastAsia" w:ascii="宋体" w:hAnsi="宋体" w:cs="宋体"/>
        </w:rPr>
        <w:t>3.单位负责人为同一人或者存在直接控股、管理关系的不同投标人，不得参加同一合同项下的采购活动。</w:t>
      </w:r>
    </w:p>
    <w:bookmarkEnd w:id="90"/>
    <w:bookmarkEnd w:id="91"/>
    <w:bookmarkEnd w:id="92"/>
    <w:bookmarkEnd w:id="93"/>
    <w:bookmarkEnd w:id="94"/>
    <w:bookmarkEnd w:id="95"/>
    <w:p>
      <w:pPr>
        <w:numPr>
          <w:ilvl w:val="0"/>
          <w:numId w:val="0"/>
        </w:numPr>
        <w:tabs>
          <w:tab w:val="left" w:pos="0"/>
        </w:tabs>
        <w:adjustRightInd w:val="0"/>
        <w:snapToGrid w:val="0"/>
        <w:spacing w:line="312" w:lineRule="auto"/>
        <w:ind w:leftChars="200"/>
        <w:rPr>
          <w:rFonts w:ascii="宋体" w:hAnsi="宋体" w:cs="宋体"/>
        </w:rPr>
      </w:pPr>
      <w:r>
        <w:rPr>
          <w:rFonts w:hint="eastAsia" w:cs="宋体"/>
          <w:kern w:val="2"/>
          <w:lang w:val="en-US" w:eastAsia="zh-CN"/>
        </w:rPr>
        <w:t>4.</w:t>
      </w:r>
      <w:r>
        <w:rPr>
          <w:rFonts w:hint="eastAsia" w:cs="宋体"/>
          <w:kern w:val="2"/>
        </w:rPr>
        <w:t>落实国企采购政策需满足的资格要求：无。</w:t>
      </w:r>
    </w:p>
    <w:p>
      <w:pPr>
        <w:numPr>
          <w:ilvl w:val="0"/>
          <w:numId w:val="0"/>
        </w:numPr>
        <w:tabs>
          <w:tab w:val="left" w:pos="0"/>
        </w:tabs>
        <w:adjustRightInd w:val="0"/>
        <w:snapToGrid w:val="0"/>
        <w:spacing w:line="312" w:lineRule="auto"/>
        <w:ind w:leftChars="200"/>
        <w:rPr>
          <w:rFonts w:ascii="宋体" w:hAnsi="宋体" w:cs="宋体"/>
        </w:rPr>
      </w:pPr>
      <w:r>
        <w:rPr>
          <w:rFonts w:hint="eastAsia" w:ascii="宋体" w:hAnsi="宋体" w:cs="宋体"/>
          <w:lang w:val="en-US" w:eastAsia="zh-CN"/>
        </w:rPr>
        <w:t>5</w:t>
      </w:r>
      <w:r>
        <w:rPr>
          <w:rFonts w:hint="eastAsia" w:ascii="宋体" w:hAnsi="宋体" w:cs="宋体"/>
        </w:rPr>
        <w:t>.本项目的特定资格要求：</w:t>
      </w:r>
      <w:r>
        <w:rPr>
          <w:rFonts w:hint="eastAsia" w:ascii="宋体" w:hAnsi="宋体" w:cs="宋体"/>
          <w:szCs w:val="22"/>
          <w:lang w:eastAsia="zh-CN"/>
        </w:rPr>
        <w:t>无</w:t>
      </w:r>
      <w:r>
        <w:rPr>
          <w:rFonts w:hint="eastAsia" w:ascii="宋体" w:hAnsi="宋体" w:eastAsia="宋体" w:cs="宋体"/>
          <w:szCs w:val="22"/>
          <w:lang w:eastAsia="zh-CN"/>
        </w:rPr>
        <w:t>。</w:t>
      </w:r>
    </w:p>
    <w:p>
      <w:pPr>
        <w:widowControl/>
        <w:numPr>
          <w:ilvl w:val="255"/>
          <w:numId w:val="0"/>
        </w:numPr>
        <w:snapToGrid w:val="0"/>
        <w:spacing w:line="312" w:lineRule="auto"/>
        <w:ind w:firstLine="482" w:firstLineChars="200"/>
        <w:outlineLvl w:val="1"/>
        <w:rPr>
          <w:rFonts w:ascii="宋体" w:hAnsi="宋体" w:cs="宋体"/>
          <w:b/>
          <w:bCs/>
        </w:rPr>
      </w:pPr>
      <w:bookmarkStart w:id="96" w:name="_Toc32492"/>
      <w:bookmarkStart w:id="97" w:name="_Toc728"/>
      <w:bookmarkStart w:id="98" w:name="_Toc1399"/>
      <w:bookmarkStart w:id="99" w:name="_Toc20064"/>
      <w:bookmarkStart w:id="100" w:name="_Toc23129"/>
      <w:bookmarkStart w:id="101" w:name="_Toc1765"/>
      <w:bookmarkStart w:id="102" w:name="_Toc5447"/>
      <w:bookmarkStart w:id="103" w:name="_Toc2752"/>
      <w:bookmarkStart w:id="104" w:name="_Toc21923"/>
      <w:bookmarkStart w:id="105" w:name="_Toc13512"/>
      <w:bookmarkStart w:id="106" w:name="_Toc17769"/>
      <w:bookmarkStart w:id="107" w:name="_Toc26194"/>
      <w:bookmarkStart w:id="108" w:name="_Toc29791"/>
      <w:bookmarkStart w:id="109" w:name="_Toc20310"/>
      <w:r>
        <w:rPr>
          <w:rFonts w:hint="eastAsia" w:ascii="宋体" w:hAnsi="宋体" w:cs="宋体"/>
          <w:b/>
          <w:bCs/>
        </w:rPr>
        <w:t>三、</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ascii="宋体" w:hAnsi="宋体" w:cs="宋体"/>
          <w:b/>
          <w:bCs/>
        </w:rPr>
        <w:t>电子评标</w:t>
      </w:r>
    </w:p>
    <w:p>
      <w:pPr>
        <w:spacing w:line="312" w:lineRule="auto"/>
        <w:ind w:firstLine="480"/>
        <w:rPr>
          <w:rFonts w:ascii="宋体" w:hAnsi="宋体" w:cs="宋体"/>
        </w:rPr>
      </w:pPr>
      <w:r>
        <w:rPr>
          <w:rFonts w:hint="eastAsia" w:ascii="宋体" w:hAnsi="宋体" w:cs="宋体"/>
        </w:rPr>
        <w:t>本项目实行不见面电子招投标方式。</w:t>
      </w:r>
    </w:p>
    <w:p>
      <w:pPr>
        <w:widowControl/>
        <w:numPr>
          <w:ilvl w:val="255"/>
          <w:numId w:val="0"/>
        </w:numPr>
        <w:snapToGrid w:val="0"/>
        <w:spacing w:line="312" w:lineRule="auto"/>
        <w:ind w:firstLine="482" w:firstLineChars="200"/>
        <w:rPr>
          <w:rFonts w:ascii="宋体" w:hAnsi="宋体" w:cs="宋体"/>
          <w:b/>
          <w:bCs/>
        </w:rPr>
      </w:pPr>
      <w:r>
        <w:rPr>
          <w:rFonts w:hint="eastAsia" w:ascii="宋体" w:hAnsi="宋体" w:cs="宋体"/>
          <w:b/>
          <w:bCs/>
        </w:rPr>
        <w:t>四、招标文件的获取：</w:t>
      </w:r>
    </w:p>
    <w:p>
      <w:pPr>
        <w:spacing w:line="312" w:lineRule="auto"/>
        <w:ind w:firstLine="480"/>
        <w:rPr>
          <w:rFonts w:ascii="宋体" w:hAnsi="宋体" w:cs="宋体"/>
        </w:rPr>
      </w:pPr>
      <w:r>
        <w:rPr>
          <w:rFonts w:hint="eastAsia" w:ascii="宋体" w:hAnsi="宋体" w:cs="宋体"/>
        </w:rPr>
        <w:t>1.本项目招标文件和补充（答疑、澄清）、修改文件以网上下载方式获取。</w:t>
      </w:r>
    </w:p>
    <w:p>
      <w:pPr>
        <w:spacing w:line="312" w:lineRule="auto"/>
        <w:ind w:firstLine="480"/>
        <w:rPr>
          <w:rFonts w:ascii="宋体" w:hAnsi="宋体" w:cs="宋体"/>
        </w:rPr>
      </w:pPr>
      <w:r>
        <w:rPr>
          <w:rFonts w:hint="eastAsia" w:ascii="宋体" w:hAnsi="宋体" w:cs="宋体"/>
        </w:rPr>
        <w:t>2.招标文件网上下载时间：</w:t>
      </w:r>
      <w:bookmarkStart w:id="110" w:name="_Hlk530727089"/>
      <w:r>
        <w:rPr>
          <w:rFonts w:hint="eastAsia" w:ascii="宋体" w:hAnsi="宋体" w:cs="宋体"/>
        </w:rPr>
        <w:t>自招标文件发布之日起至投标截止时间。</w:t>
      </w:r>
      <w:bookmarkEnd w:id="110"/>
    </w:p>
    <w:p>
      <w:pPr>
        <w:spacing w:line="312" w:lineRule="auto"/>
        <w:ind w:firstLine="480"/>
        <w:rPr>
          <w:rFonts w:ascii="宋体" w:hAnsi="宋体" w:cs="宋体"/>
        </w:rPr>
      </w:pPr>
      <w:bookmarkStart w:id="111" w:name="_Hlk530727115"/>
      <w:r>
        <w:rPr>
          <w:rFonts w:hint="eastAsia" w:ascii="宋体" w:hAnsi="宋体" w:cs="宋体"/>
        </w:rPr>
        <w:t>3.潜在投标人登录衢州市阳光交易服务平台（https://qzygjy.com/）办理投标人信息入库备案事宜。</w:t>
      </w:r>
    </w:p>
    <w:p>
      <w:pPr>
        <w:spacing w:line="312" w:lineRule="auto"/>
        <w:ind w:firstLine="480"/>
        <w:rPr>
          <w:rFonts w:ascii="宋体" w:hAnsi="宋体" w:cs="宋体"/>
        </w:rPr>
      </w:pPr>
      <w:r>
        <w:rPr>
          <w:rFonts w:hint="eastAsia" w:ascii="宋体" w:hAnsi="宋体" w:cs="宋体"/>
        </w:rPr>
        <w:t>3.1未办理企业信息入库的投标人，根据显示界面提示免费注册，填写、上传相关主体信息，带“*”号的必填，填好后“提交”。 投标企业同时可申领招投标企业CA证书及电子签章。自动入库。具体操作可参考衢州市阳光交易服务平台投标人操作手册。</w:t>
      </w:r>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3.2 CA办理：</w:t>
      </w:r>
      <w:bookmarkEnd w:id="111"/>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（1）天谷CA：</w:t>
      </w:r>
      <w:r>
        <w:fldChar w:fldCharType="begin"/>
      </w:r>
      <w:r>
        <w:instrText xml:space="preserve"> HYPERLINK "http://www.tseal.cn/tcloud/common.xhtml?projId=307" </w:instrText>
      </w:r>
      <w:r>
        <w:fldChar w:fldCharType="separate"/>
      </w:r>
      <w:r>
        <w:rPr>
          <w:rStyle w:val="43"/>
          <w:rFonts w:hint="eastAsia" w:ascii="宋体" w:hAnsi="宋体" w:cs="宋体"/>
          <w:color w:val="auto"/>
          <w:sz w:val="24"/>
          <w:szCs w:val="24"/>
        </w:rPr>
        <w:t>http://www.tseal.cn/tcloud/common.xhtml?projId=307</w:t>
      </w:r>
      <w:r>
        <w:rPr>
          <w:rStyle w:val="43"/>
          <w:rFonts w:hint="eastAsia" w:ascii="宋体" w:hAnsi="宋体" w:cs="宋体"/>
          <w:color w:val="auto"/>
          <w:sz w:val="24"/>
          <w:szCs w:val="24"/>
        </w:rPr>
        <w:fldChar w:fldCharType="end"/>
      </w:r>
      <w:r>
        <w:rPr>
          <w:rFonts w:hint="eastAsia" w:ascii="宋体" w:hAnsi="宋体" w:cs="宋体"/>
          <w:sz w:val="24"/>
          <w:szCs w:val="24"/>
        </w:rPr>
        <w:t xml:space="preserve"> 天谷联系电话：400-087-8198</w:t>
      </w:r>
    </w:p>
    <w:p>
      <w:pPr>
        <w:pStyle w:val="130"/>
        <w:adjustRightInd w:val="0"/>
        <w:snapToGrid w:val="0"/>
        <w:spacing w:line="312" w:lineRule="auto"/>
        <w:ind w:firstLine="480" w:firstLineChars="200"/>
        <w:jc w:val="left"/>
        <w:rPr>
          <w:rFonts w:ascii="宋体" w:hAnsi="宋体" w:cs="宋体"/>
          <w:sz w:val="24"/>
          <w:szCs w:val="24"/>
        </w:rPr>
      </w:pPr>
      <w:r>
        <w:rPr>
          <w:rFonts w:hint="eastAsia" w:ascii="宋体" w:hAnsi="宋体" w:cs="宋体"/>
          <w:sz w:val="24"/>
          <w:szCs w:val="24"/>
        </w:rPr>
        <w:t>（2）翔晟CA：</w:t>
      </w:r>
      <w:r>
        <w:fldChar w:fldCharType="begin"/>
      </w:r>
      <w:r>
        <w:instrText xml:space="preserve"> HYPERLINK "http://www.share-sun.com/xsapply/admin/login.aspx?unitname=quzhou" </w:instrText>
      </w:r>
      <w:r>
        <w:fldChar w:fldCharType="separate"/>
      </w:r>
      <w:r>
        <w:rPr>
          <w:rStyle w:val="43"/>
          <w:rFonts w:hint="eastAsia" w:ascii="宋体" w:hAnsi="宋体" w:cs="宋体"/>
          <w:color w:val="auto"/>
          <w:sz w:val="24"/>
          <w:szCs w:val="24"/>
        </w:rPr>
        <w:t>http://www.share-sun.com/xsapply/admin/login.aspx?unitname=quzhou</w:t>
      </w:r>
      <w:r>
        <w:rPr>
          <w:rStyle w:val="43"/>
          <w:rFonts w:hint="eastAsia" w:ascii="宋体" w:hAnsi="宋体" w:cs="宋体"/>
          <w:color w:val="auto"/>
          <w:sz w:val="24"/>
          <w:szCs w:val="24"/>
        </w:rPr>
        <w:fldChar w:fldCharType="end"/>
      </w:r>
      <w:r>
        <w:rPr>
          <w:rFonts w:hint="eastAsia" w:ascii="宋体" w:hAnsi="宋体" w:cs="宋体"/>
          <w:sz w:val="24"/>
          <w:szCs w:val="24"/>
        </w:rPr>
        <w:t xml:space="preserve"> 翔晟联系电话：02566085508</w:t>
      </w:r>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3.3 投标工具</w:t>
      </w:r>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投标工具：投标文件制作软件（衢州采购版）在衢州市阳光交易服务平台投标人登录页面中右下角下载获取；</w:t>
      </w:r>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联系方式：吴工</w:t>
      </w:r>
      <w:r>
        <w:rPr>
          <w:rFonts w:hint="eastAsia" w:ascii="宋体" w:hAnsi="宋体" w:cs="宋体"/>
          <w:sz w:val="24"/>
          <w:szCs w:val="24"/>
          <w:lang w:val="en-US" w:eastAsia="zh-CN"/>
        </w:rPr>
        <w:t>0570-3878007/陈工19857055180</w:t>
      </w:r>
      <w:r>
        <w:rPr>
          <w:rFonts w:hint="eastAsia" w:ascii="宋体" w:hAnsi="宋体" w:cs="宋体"/>
          <w:sz w:val="24"/>
          <w:szCs w:val="24"/>
        </w:rPr>
        <w:t xml:space="preserve">     客服电话：4009980000。</w:t>
      </w:r>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4.潜在投标人可在衢州市阳光交易服务平台（https://qzygjy.com/）下载招标文件。确定参加投标的企业可凭本单位CA数字证书登录衢州市阳光交易服务平台（https://qzygjy.com/），</w:t>
      </w:r>
      <w:bookmarkStart w:id="112" w:name="_Hlk530727192"/>
      <w:r>
        <w:rPr>
          <w:rFonts w:hint="eastAsia" w:ascii="宋体" w:hAnsi="宋体" w:cs="宋体"/>
          <w:sz w:val="24"/>
          <w:szCs w:val="24"/>
        </w:rPr>
        <w:t>按照操作手册在对应模块下载领取。</w:t>
      </w:r>
      <w:bookmarkEnd w:id="112"/>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5.潜在投标人对招标文件有疑问的，应通过衢州市阳光交易服务平台（https://qzygjy.com/）或书面向采购人提出，采购人将在衢州市阳光交易服务平台（https://qzygjy.com/）上发布补充（答疑、澄清）文件。潜在投标人应自行关注网站公告，采购人不再书面通知。投标人因自身贻误行为导致投标失败的，责任自负。</w:t>
      </w:r>
    </w:p>
    <w:p>
      <w:pPr>
        <w:widowControl/>
        <w:numPr>
          <w:ilvl w:val="255"/>
          <w:numId w:val="0"/>
        </w:numPr>
        <w:snapToGrid w:val="0"/>
        <w:spacing w:line="312" w:lineRule="auto"/>
        <w:ind w:firstLine="482" w:firstLineChars="200"/>
        <w:jc w:val="left"/>
        <w:rPr>
          <w:rFonts w:ascii="宋体" w:hAnsi="宋体" w:cs="宋体"/>
          <w:b/>
          <w:bCs/>
        </w:rPr>
      </w:pPr>
      <w:bookmarkStart w:id="113" w:name="_Toc5110"/>
      <w:bookmarkStart w:id="114" w:name="_Toc32167"/>
      <w:bookmarkStart w:id="115" w:name="_Toc27961"/>
      <w:bookmarkStart w:id="116" w:name="_Toc12603"/>
      <w:bookmarkStart w:id="117" w:name="_Toc13395"/>
      <w:bookmarkStart w:id="118" w:name="_Toc12156"/>
      <w:bookmarkStart w:id="119" w:name="_Toc12929"/>
      <w:r>
        <w:rPr>
          <w:rFonts w:hint="eastAsia" w:ascii="宋体" w:hAnsi="宋体" w:cs="宋体"/>
          <w:b/>
          <w:bCs/>
        </w:rPr>
        <w:t>五、投标文件的递交</w:t>
      </w:r>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1.投标文件递交截止时间（投标截止时间，下同）：</w:t>
      </w:r>
      <w:r>
        <w:rPr>
          <w:rFonts w:hint="eastAsia" w:ascii="宋体" w:hAnsi="宋体" w:cs="宋体"/>
          <w:color w:val="auto"/>
          <w:sz w:val="24"/>
          <w:szCs w:val="24"/>
        </w:rPr>
        <w:t>2023年</w:t>
      </w:r>
      <w:r>
        <w:rPr>
          <w:rFonts w:hint="eastAsia" w:ascii="宋体" w:hAnsi="宋体" w:cs="宋体"/>
          <w:color w:val="auto"/>
          <w:sz w:val="24"/>
          <w:szCs w:val="24"/>
          <w:lang w:val="en-US" w:eastAsia="zh-CN"/>
        </w:rPr>
        <w:t>8</w:t>
      </w:r>
      <w:r>
        <w:rPr>
          <w:rFonts w:hint="eastAsia" w:ascii="宋体" w:hAnsi="宋体" w:cs="宋体"/>
          <w:color w:val="auto"/>
          <w:sz w:val="24"/>
          <w:szCs w:val="24"/>
        </w:rPr>
        <w:t>月</w:t>
      </w:r>
      <w:r>
        <w:rPr>
          <w:rFonts w:hint="eastAsia" w:ascii="宋体" w:hAnsi="宋体" w:cs="宋体"/>
          <w:color w:val="auto"/>
          <w:sz w:val="24"/>
          <w:szCs w:val="24"/>
          <w:lang w:val="en-US" w:eastAsia="zh-CN"/>
        </w:rPr>
        <w:t>4</w:t>
      </w:r>
      <w:r>
        <w:rPr>
          <w:rFonts w:hint="eastAsia" w:ascii="宋体" w:hAnsi="宋体" w:cs="宋体"/>
          <w:color w:val="auto"/>
          <w:sz w:val="24"/>
          <w:szCs w:val="24"/>
        </w:rPr>
        <w:t>日</w:t>
      </w:r>
      <w:r>
        <w:rPr>
          <w:rFonts w:hint="eastAsia" w:ascii="宋体" w:hAnsi="宋体" w:cs="宋体"/>
          <w:color w:val="auto"/>
          <w:sz w:val="24"/>
          <w:szCs w:val="24"/>
          <w:lang w:val="en-US" w:eastAsia="zh-CN"/>
        </w:rPr>
        <w:t>14</w:t>
      </w:r>
      <w:r>
        <w:rPr>
          <w:rFonts w:hint="eastAsia" w:ascii="宋体" w:hAnsi="宋体" w:cs="宋体"/>
          <w:color w:val="auto"/>
          <w:sz w:val="24"/>
          <w:szCs w:val="24"/>
        </w:rPr>
        <w:t>时</w:t>
      </w:r>
      <w:r>
        <w:rPr>
          <w:rFonts w:hint="eastAsia" w:ascii="宋体" w:hAnsi="宋体" w:cs="宋体"/>
          <w:color w:val="auto"/>
          <w:sz w:val="24"/>
          <w:szCs w:val="24"/>
          <w:lang w:val="en-US" w:eastAsia="zh-CN"/>
        </w:rPr>
        <w:t>30</w:t>
      </w:r>
      <w:r>
        <w:rPr>
          <w:rFonts w:hint="eastAsia" w:ascii="宋体" w:hAnsi="宋体" w:cs="宋体"/>
          <w:color w:val="auto"/>
          <w:sz w:val="24"/>
          <w:szCs w:val="24"/>
        </w:rPr>
        <w:t>分</w:t>
      </w:r>
      <w:r>
        <w:rPr>
          <w:rFonts w:hint="eastAsia" w:ascii="宋体" w:hAnsi="宋体" w:cs="宋体"/>
          <w:color w:val="auto"/>
          <w:sz w:val="24"/>
          <w:szCs w:val="24"/>
          <w:lang w:val="en-US" w:eastAsia="zh-CN"/>
        </w:rPr>
        <w:t>00</w:t>
      </w:r>
      <w:r>
        <w:rPr>
          <w:rFonts w:hint="eastAsia" w:ascii="宋体" w:hAnsi="宋体" w:cs="宋体"/>
          <w:color w:val="auto"/>
          <w:sz w:val="24"/>
          <w:szCs w:val="24"/>
        </w:rPr>
        <w:t>秒</w:t>
      </w:r>
      <w:r>
        <w:rPr>
          <w:rFonts w:hint="eastAsia" w:ascii="宋体" w:hAnsi="宋体" w:cs="宋体"/>
          <w:color w:val="0000FF"/>
          <w:sz w:val="24"/>
          <w:szCs w:val="24"/>
        </w:rPr>
        <w:t>。</w:t>
      </w:r>
    </w:p>
    <w:p>
      <w:pPr>
        <w:pStyle w:val="130"/>
        <w:widowControl/>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2.投标文件递交方式：电子投标文件采用网上递交的方式，上传至衢州市阳光交易服务平台（https://qzygjy.com/）。</w:t>
      </w:r>
    </w:p>
    <w:p>
      <w:pPr>
        <w:pStyle w:val="130"/>
        <w:adjustRightInd w:val="0"/>
        <w:snapToGrid w:val="0"/>
        <w:spacing w:line="312" w:lineRule="auto"/>
        <w:ind w:firstLine="480" w:firstLineChars="200"/>
        <w:rPr>
          <w:rFonts w:ascii="宋体" w:hAnsi="宋体" w:cs="宋体"/>
          <w:sz w:val="24"/>
          <w:szCs w:val="24"/>
        </w:rPr>
      </w:pPr>
      <w:r>
        <w:rPr>
          <w:rFonts w:hint="eastAsia" w:ascii="宋体" w:hAnsi="宋体" w:cs="宋体"/>
          <w:sz w:val="24"/>
          <w:szCs w:val="24"/>
        </w:rPr>
        <w:t>3.网上开标地点：衢州市阳光交易服务平台不见面开标大厅（网址：https://qzygjy.com/BidOpening/bidopeninghallaction/hall/login）。</w:t>
      </w:r>
    </w:p>
    <w:p>
      <w:pPr>
        <w:adjustRightInd w:val="0"/>
        <w:spacing w:line="312" w:lineRule="auto"/>
        <w:ind w:firstLine="482"/>
        <w:rPr>
          <w:rFonts w:ascii="宋体" w:hAnsi="宋体" w:cs="宋体"/>
          <w:b/>
          <w:szCs w:val="21"/>
        </w:rPr>
      </w:pPr>
      <w:r>
        <w:rPr>
          <w:rFonts w:hint="eastAsia" w:ascii="宋体" w:hAnsi="宋体" w:cs="宋体"/>
          <w:b/>
          <w:szCs w:val="21"/>
        </w:rPr>
        <w:t>六、发布公告的媒介</w:t>
      </w:r>
    </w:p>
    <w:p>
      <w:pPr>
        <w:adjustRightInd w:val="0"/>
        <w:spacing w:line="312" w:lineRule="auto"/>
        <w:ind w:firstLine="480"/>
        <w:rPr>
          <w:rFonts w:ascii="宋体" w:hAnsi="宋体" w:cs="宋体"/>
          <w:szCs w:val="21"/>
        </w:rPr>
      </w:pPr>
      <w:r>
        <w:rPr>
          <w:rFonts w:hint="eastAsia" w:ascii="宋体" w:hAnsi="宋体" w:cs="宋体"/>
          <w:szCs w:val="21"/>
        </w:rPr>
        <w:t>本招标公告在“衢州市阳光交易服务平台https://qzygjy.com/”、“浙江政府采购网https://zfcg.czt.zj.gov.cn/”上发布。</w:t>
      </w:r>
    </w:p>
    <w:bookmarkEnd w:id="113"/>
    <w:bookmarkEnd w:id="114"/>
    <w:bookmarkEnd w:id="115"/>
    <w:bookmarkEnd w:id="116"/>
    <w:bookmarkEnd w:id="117"/>
    <w:bookmarkEnd w:id="118"/>
    <w:bookmarkEnd w:id="119"/>
    <w:p>
      <w:pPr>
        <w:numPr>
          <w:ilvl w:val="255"/>
          <w:numId w:val="0"/>
        </w:numPr>
        <w:snapToGrid w:val="0"/>
        <w:spacing w:line="312" w:lineRule="auto"/>
        <w:ind w:firstLine="482" w:firstLineChars="200"/>
        <w:outlineLvl w:val="1"/>
        <w:rPr>
          <w:rFonts w:ascii="宋体" w:hAnsi="宋体" w:cs="宋体"/>
          <w:b/>
          <w:bCs/>
          <w:lang w:val="zh-CN"/>
        </w:rPr>
      </w:pPr>
      <w:bookmarkStart w:id="120" w:name="_Toc31991"/>
      <w:bookmarkStart w:id="121" w:name="_Toc19503"/>
      <w:bookmarkStart w:id="122" w:name="_Toc13827"/>
      <w:bookmarkStart w:id="123" w:name="_Toc615"/>
      <w:bookmarkStart w:id="124" w:name="_Toc32256"/>
      <w:bookmarkStart w:id="125" w:name="_Toc7001"/>
      <w:bookmarkStart w:id="126" w:name="_Toc18088"/>
      <w:bookmarkStart w:id="127" w:name="_Toc16995"/>
      <w:bookmarkStart w:id="128" w:name="_Toc30620"/>
      <w:bookmarkStart w:id="129" w:name="_Toc9962"/>
      <w:bookmarkStart w:id="130" w:name="_Toc3321"/>
      <w:bookmarkStart w:id="131" w:name="_Toc24482"/>
      <w:bookmarkStart w:id="132" w:name="_Toc29452"/>
      <w:bookmarkStart w:id="133" w:name="_Toc30034"/>
      <w:bookmarkStart w:id="134" w:name="_Toc6741"/>
      <w:bookmarkStart w:id="135" w:name="_Toc5934"/>
      <w:bookmarkStart w:id="136" w:name="_Toc29674"/>
      <w:bookmarkStart w:id="137" w:name="_Toc21431"/>
      <w:bookmarkStart w:id="138" w:name="_Toc15296"/>
      <w:bookmarkStart w:id="139" w:name="_Toc3728"/>
      <w:bookmarkStart w:id="140" w:name="_Toc2592"/>
      <w:bookmarkStart w:id="141" w:name="_Toc28973"/>
      <w:r>
        <w:rPr>
          <w:rFonts w:hint="eastAsia" w:ascii="宋体" w:hAnsi="宋体" w:cs="宋体"/>
          <w:b/>
          <w:bCs/>
        </w:rPr>
        <w:t>七</w:t>
      </w:r>
      <w:r>
        <w:rPr>
          <w:rFonts w:hint="eastAsia" w:ascii="宋体" w:hAnsi="宋体" w:cs="宋体"/>
          <w:b/>
          <w:bCs/>
          <w:lang w:val="zh-CN"/>
        </w:rPr>
        <w:t>、公告期限</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tabs>
          <w:tab w:val="left" w:pos="567"/>
        </w:tabs>
        <w:snapToGrid w:val="0"/>
        <w:spacing w:line="312" w:lineRule="auto"/>
        <w:ind w:firstLine="480"/>
        <w:rPr>
          <w:rFonts w:ascii="宋体" w:hAnsi="宋体" w:cs="宋体"/>
        </w:rPr>
      </w:pPr>
      <w:r>
        <w:rPr>
          <w:rFonts w:hint="eastAsia" w:ascii="宋体" w:hAnsi="宋体" w:cs="宋体"/>
        </w:rPr>
        <w:t>自本公告发布之日起5个工作日。</w:t>
      </w:r>
    </w:p>
    <w:p>
      <w:pPr>
        <w:numPr>
          <w:ilvl w:val="255"/>
          <w:numId w:val="0"/>
        </w:numPr>
        <w:snapToGrid w:val="0"/>
        <w:spacing w:line="312" w:lineRule="auto"/>
        <w:ind w:firstLine="482" w:firstLineChars="200"/>
        <w:outlineLvl w:val="1"/>
        <w:rPr>
          <w:rFonts w:ascii="宋体" w:hAnsi="宋体" w:cs="宋体"/>
          <w:b/>
          <w:bCs/>
          <w:lang w:val="zh-CN"/>
        </w:rPr>
      </w:pPr>
      <w:bookmarkStart w:id="142" w:name="_Toc15789"/>
      <w:bookmarkStart w:id="143" w:name="_Toc31065"/>
      <w:bookmarkStart w:id="144" w:name="_Toc2589"/>
      <w:bookmarkStart w:id="145" w:name="_Toc8449"/>
      <w:bookmarkStart w:id="146" w:name="_Toc16285"/>
      <w:bookmarkStart w:id="147" w:name="_Toc31633"/>
      <w:bookmarkStart w:id="148" w:name="_Toc31025"/>
      <w:bookmarkStart w:id="149" w:name="_Toc1123"/>
      <w:bookmarkStart w:id="150" w:name="_Toc3633"/>
      <w:bookmarkStart w:id="151" w:name="_Toc21407"/>
      <w:bookmarkStart w:id="152" w:name="_Toc17913"/>
      <w:bookmarkStart w:id="153" w:name="_Toc21686"/>
      <w:bookmarkStart w:id="154" w:name="_Toc26070"/>
      <w:bookmarkStart w:id="155" w:name="_Toc12880"/>
      <w:bookmarkStart w:id="156" w:name="_Toc31887"/>
      <w:bookmarkStart w:id="157" w:name="_Toc5254"/>
      <w:bookmarkStart w:id="158" w:name="_Toc16029"/>
      <w:bookmarkStart w:id="159" w:name="_Toc29902"/>
      <w:bookmarkStart w:id="160" w:name="_Toc15440"/>
      <w:bookmarkStart w:id="161" w:name="_Toc5521"/>
      <w:bookmarkStart w:id="162" w:name="_Toc14198"/>
      <w:bookmarkStart w:id="163" w:name="_Toc20211"/>
      <w:r>
        <w:rPr>
          <w:rFonts w:hint="eastAsia" w:ascii="宋体" w:hAnsi="宋体" w:cs="宋体"/>
          <w:b/>
          <w:bCs/>
        </w:rPr>
        <w:t>八</w:t>
      </w:r>
      <w:r>
        <w:rPr>
          <w:rFonts w:hint="eastAsia" w:ascii="宋体" w:hAnsi="宋体" w:cs="宋体"/>
          <w:b/>
          <w:bCs/>
          <w:lang w:val="zh-CN"/>
        </w:rPr>
        <w:t>、其他补充事宜</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Pr>
        <w:pStyle w:val="16"/>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12" w:lineRule="auto"/>
        <w:ind w:right="0" w:rightChars="0" w:firstLine="482" w:firstLineChars="0"/>
        <w:textAlignment w:val="auto"/>
        <w:rPr>
          <w:rFonts w:hint="eastAsia" w:cs="宋体"/>
          <w:b/>
          <w:bCs/>
          <w:color w:val="auto"/>
          <w:sz w:val="22"/>
          <w:szCs w:val="22"/>
          <w:lang w:val="en-US" w:eastAsia="zh-CN"/>
        </w:rPr>
      </w:pPr>
      <w:bookmarkStart w:id="164" w:name="_Toc16934"/>
      <w:bookmarkStart w:id="165" w:name="_Toc7089"/>
      <w:bookmarkStart w:id="166" w:name="_Toc22164"/>
      <w:bookmarkStart w:id="167" w:name="_Toc16832"/>
      <w:bookmarkStart w:id="168" w:name="_Toc4537"/>
      <w:bookmarkStart w:id="169" w:name="_Toc22562"/>
      <w:bookmarkStart w:id="170" w:name="_Toc7004"/>
      <w:bookmarkStart w:id="171" w:name="_Toc16125"/>
      <w:bookmarkStart w:id="172" w:name="_Toc30923"/>
      <w:bookmarkStart w:id="173" w:name="_Toc3531"/>
      <w:bookmarkStart w:id="174" w:name="_Toc8106"/>
      <w:bookmarkStart w:id="175" w:name="_Toc4869"/>
      <w:bookmarkStart w:id="176" w:name="_Toc3570"/>
      <w:bookmarkStart w:id="177" w:name="_Toc16069"/>
      <w:bookmarkStart w:id="178" w:name="_Toc9248"/>
      <w:bookmarkStart w:id="179" w:name="_Toc14675"/>
      <w:bookmarkStart w:id="180" w:name="_Toc12397"/>
      <w:bookmarkStart w:id="181" w:name="_Toc23801"/>
      <w:bookmarkStart w:id="182" w:name="_Toc26697"/>
      <w:bookmarkStart w:id="183" w:name="_Toc4375"/>
      <w:bookmarkStart w:id="184" w:name="_Toc19515"/>
      <w:bookmarkStart w:id="185" w:name="_Toc14989"/>
      <w:r>
        <w:rPr>
          <w:rFonts w:hint="eastAsia" w:ascii="宋体" w:hAnsi="宋体"/>
        </w:rPr>
        <w:t>1.</w:t>
      </w:r>
      <w:r>
        <w:rPr>
          <w:rFonts w:hint="eastAsia" w:ascii="宋体" w:hAnsi="宋体" w:eastAsia="宋体" w:cs="宋体"/>
          <w:color w:val="auto"/>
          <w:sz w:val="24"/>
          <w:szCs w:val="24"/>
          <w:lang w:val="en-US" w:eastAsia="zh-CN"/>
        </w:rPr>
        <w:t>投标人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收到质疑函后7个工作日内作出答复的，可以在答复期满后15个工作日内向本采购项目监督管理部门</w:t>
      </w:r>
      <w:r>
        <w:rPr>
          <w:rFonts w:hint="eastAsia" w:ascii="宋体" w:hAnsi="宋体"/>
        </w:rPr>
        <w:t>投诉。</w:t>
      </w:r>
      <w:r>
        <w:rPr>
          <w:rFonts w:hint="eastAsia" w:ascii="宋体" w:hAnsi="宋体" w:eastAsia="宋体" w:cs="宋体"/>
          <w:color w:val="auto"/>
          <w:sz w:val="24"/>
          <w:szCs w:val="24"/>
          <w:lang w:val="en-US" w:eastAsia="zh-CN"/>
        </w:rPr>
        <w:t>投诉。质疑函范本、投诉书范本请到浙江政府采购网下载专区下载。</w:t>
      </w:r>
    </w:p>
    <w:p>
      <w:pPr>
        <w:numPr>
          <w:ilvl w:val="255"/>
          <w:numId w:val="0"/>
        </w:numPr>
        <w:snapToGrid w:val="0"/>
        <w:spacing w:line="312" w:lineRule="auto"/>
        <w:ind w:firstLine="480" w:firstLineChars="200"/>
        <w:outlineLvl w:val="1"/>
        <w:rPr>
          <w:rFonts w:hint="eastAsia" w:ascii="宋体" w:hAnsi="宋体"/>
        </w:rPr>
      </w:pPr>
      <w:r>
        <w:rPr>
          <w:rFonts w:hint="eastAsia" w:ascii="宋体" w:hAnsi="宋体"/>
        </w:rPr>
        <w:t>2.备份投标文件的递交：</w:t>
      </w:r>
      <w:r>
        <w:rPr>
          <w:rFonts w:hint="eastAsia" w:ascii="宋体" w:hAnsi="宋体"/>
          <w:lang w:val="zh-CN"/>
        </w:rPr>
        <w:t>详见招标文件</w:t>
      </w:r>
      <w:r>
        <w:rPr>
          <w:rFonts w:hint="eastAsia" w:ascii="宋体" w:hAnsi="宋体"/>
        </w:rPr>
        <w:t>第二章</w:t>
      </w:r>
      <w:r>
        <w:rPr>
          <w:rFonts w:hint="eastAsia" w:ascii="宋体" w:hAnsi="宋体"/>
          <w:lang w:val="zh-CN"/>
        </w:rPr>
        <w:t>“</w:t>
      </w:r>
      <w:r>
        <w:rPr>
          <w:rFonts w:hint="eastAsia" w:ascii="宋体" w:hAnsi="宋体"/>
        </w:rPr>
        <w:t>投标人须知及投标人须知前附表</w:t>
      </w:r>
      <w:r>
        <w:rPr>
          <w:rFonts w:hint="eastAsia" w:ascii="宋体" w:hAnsi="宋体"/>
          <w:lang w:val="zh-CN"/>
        </w:rPr>
        <w:t>”</w:t>
      </w:r>
      <w:r>
        <w:rPr>
          <w:rFonts w:hint="eastAsia" w:ascii="宋体" w:hAnsi="宋体"/>
        </w:rPr>
        <w:t>。</w:t>
      </w:r>
    </w:p>
    <w:p>
      <w:pPr>
        <w:numPr>
          <w:ilvl w:val="255"/>
          <w:numId w:val="0"/>
        </w:numPr>
        <w:snapToGrid w:val="0"/>
        <w:spacing w:line="312" w:lineRule="auto"/>
        <w:ind w:firstLine="482" w:firstLineChars="200"/>
        <w:outlineLvl w:val="1"/>
        <w:rPr>
          <w:rFonts w:ascii="宋体" w:hAnsi="宋体" w:cs="宋体"/>
          <w:b/>
          <w:bCs/>
          <w:lang w:val="zh-CN"/>
        </w:rPr>
      </w:pPr>
      <w:r>
        <w:rPr>
          <w:rFonts w:hint="eastAsia" w:ascii="宋体" w:hAnsi="宋体" w:cs="宋体"/>
          <w:b/>
          <w:bCs/>
        </w:rPr>
        <w:t>九</w:t>
      </w:r>
      <w:r>
        <w:rPr>
          <w:rFonts w:hint="eastAsia" w:ascii="宋体" w:hAnsi="宋体" w:cs="宋体"/>
          <w:b/>
          <w:bCs/>
          <w:lang w:val="zh-CN"/>
        </w:rPr>
        <w:t>、业务咨询</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spacing w:line="312" w:lineRule="auto"/>
        <w:ind w:firstLine="480"/>
        <w:rPr>
          <w:rFonts w:ascii="宋体" w:hAnsi="宋体" w:cs="宋体"/>
          <w:bCs/>
        </w:rPr>
      </w:pPr>
      <w:bookmarkStart w:id="186" w:name="_Toc24117"/>
      <w:bookmarkStart w:id="187" w:name="_Toc2619"/>
      <w:bookmarkStart w:id="188" w:name="_Toc12500"/>
      <w:bookmarkStart w:id="189" w:name="_Toc6015"/>
      <w:bookmarkStart w:id="190" w:name="_Toc21280"/>
      <w:bookmarkStart w:id="191" w:name="_Toc12686"/>
      <w:bookmarkStart w:id="192" w:name="_Toc20787"/>
      <w:bookmarkStart w:id="193" w:name="_Toc23630"/>
      <w:bookmarkStart w:id="194" w:name="_Toc16957"/>
      <w:r>
        <w:rPr>
          <w:rFonts w:hint="eastAsia" w:ascii="宋体" w:hAnsi="宋体" w:cs="宋体"/>
          <w:bCs/>
        </w:rPr>
        <w:t>1.采购人信息</w:t>
      </w:r>
    </w:p>
    <w:p>
      <w:pPr>
        <w:spacing w:line="312" w:lineRule="auto"/>
        <w:ind w:firstLine="480"/>
        <w:rPr>
          <w:rFonts w:hint="default" w:ascii="宋体" w:hAnsi="宋体" w:eastAsia="宋体" w:cs="宋体"/>
          <w:bCs/>
          <w:lang w:val="en-US" w:eastAsia="zh-CN"/>
        </w:rPr>
      </w:pPr>
      <w:r>
        <w:rPr>
          <w:rFonts w:hint="eastAsia" w:ascii="宋体" w:hAnsi="宋体" w:cs="宋体"/>
          <w:bCs/>
        </w:rPr>
        <w:t>名称：</w:t>
      </w:r>
      <w:r>
        <w:rPr>
          <w:rFonts w:hint="eastAsia" w:ascii="宋体" w:hAnsi="宋体" w:cs="宋体"/>
          <w:bCs/>
          <w:lang w:val="en-US" w:eastAsia="zh-CN"/>
        </w:rPr>
        <w:t>龙游县文化和广电旅游体育局（建设单位）</w:t>
      </w:r>
    </w:p>
    <w:p>
      <w:pPr>
        <w:spacing w:line="312" w:lineRule="auto"/>
        <w:ind w:firstLine="1200" w:firstLineChars="500"/>
        <w:rPr>
          <w:rFonts w:ascii="宋体" w:hAnsi="宋体" w:cs="宋体"/>
          <w:bCs/>
        </w:rPr>
      </w:pPr>
      <w:r>
        <w:rPr>
          <w:rFonts w:hint="eastAsia" w:ascii="宋体" w:hAnsi="宋体" w:cs="宋体"/>
          <w:bCs/>
          <w:lang w:eastAsia="zh-CN"/>
        </w:rPr>
        <w:t>龙游县体育发展有限公司</w:t>
      </w:r>
      <w:r>
        <w:rPr>
          <w:rFonts w:hint="eastAsia" w:ascii="宋体" w:hAnsi="宋体" w:cs="宋体"/>
          <w:bCs/>
        </w:rPr>
        <w:t xml:space="preserve"> </w:t>
      </w:r>
      <w:r>
        <w:rPr>
          <w:rFonts w:hint="eastAsia" w:ascii="宋体" w:hAnsi="宋体" w:cs="宋体"/>
          <w:bCs/>
          <w:lang w:eastAsia="zh-CN"/>
        </w:rPr>
        <w:t>（</w:t>
      </w:r>
      <w:r>
        <w:rPr>
          <w:rFonts w:hint="eastAsia" w:ascii="宋体" w:hAnsi="宋体" w:cs="宋体"/>
          <w:bCs/>
          <w:lang w:val="en-US" w:eastAsia="zh-CN"/>
        </w:rPr>
        <w:t>代建单位</w:t>
      </w:r>
      <w:r>
        <w:rPr>
          <w:rFonts w:hint="eastAsia" w:ascii="宋体" w:hAnsi="宋体" w:cs="宋体"/>
          <w:bCs/>
          <w:lang w:eastAsia="zh-CN"/>
        </w:rPr>
        <w:t>）</w:t>
      </w:r>
      <w:r>
        <w:rPr>
          <w:rFonts w:hint="eastAsia" w:ascii="宋体" w:hAnsi="宋体" w:cs="宋体"/>
          <w:bCs/>
        </w:rPr>
        <w:t xml:space="preserve">   </w:t>
      </w:r>
    </w:p>
    <w:p>
      <w:pPr>
        <w:spacing w:line="312" w:lineRule="auto"/>
        <w:ind w:firstLine="480"/>
        <w:rPr>
          <w:rFonts w:hint="default" w:ascii="宋体" w:hAnsi="宋体" w:eastAsia="宋体" w:cs="宋体"/>
          <w:bCs/>
          <w:lang w:val="en-US" w:eastAsia="zh-CN"/>
        </w:rPr>
      </w:pPr>
      <w:r>
        <w:rPr>
          <w:rFonts w:hint="eastAsia" w:ascii="宋体" w:hAnsi="宋体" w:cs="宋体"/>
          <w:bCs/>
        </w:rPr>
        <w:t>地址：</w:t>
      </w:r>
      <w:r>
        <w:rPr>
          <w:rFonts w:hint="eastAsia" w:ascii="宋体" w:hAnsi="宋体" w:cs="宋体"/>
          <w:bCs/>
          <w:lang w:val="en-US" w:eastAsia="zh-CN"/>
        </w:rPr>
        <w:t>龙游县文化路、</w:t>
      </w:r>
      <w:r>
        <w:rPr>
          <w:rFonts w:hint="eastAsia" w:cs="宋体"/>
          <w:szCs w:val="22"/>
          <w:highlight w:val="none"/>
          <w:lang w:eastAsia="zh-CN"/>
        </w:rPr>
        <w:t>龙游县宝塔路46号</w:t>
      </w:r>
    </w:p>
    <w:p>
      <w:pPr>
        <w:widowControl/>
        <w:spacing w:line="312" w:lineRule="auto"/>
        <w:ind w:firstLine="480"/>
        <w:jc w:val="left"/>
        <w:rPr>
          <w:rFonts w:ascii="宋体" w:hAnsi="宋体" w:cs="宋体"/>
          <w:bCs/>
        </w:rPr>
      </w:pPr>
      <w:r>
        <w:rPr>
          <w:rFonts w:hint="eastAsia" w:ascii="宋体" w:hAnsi="宋体" w:cs="宋体"/>
          <w:bCs/>
        </w:rPr>
        <w:t>联系人：</w:t>
      </w:r>
      <w:r>
        <w:rPr>
          <w:rFonts w:hint="eastAsia" w:ascii="宋体" w:hAnsi="宋体" w:cs="宋体"/>
          <w:bCs/>
          <w:lang w:val="en-US" w:eastAsia="zh-CN"/>
        </w:rPr>
        <w:t xml:space="preserve"> 邵女士    </w:t>
      </w:r>
      <w:r>
        <w:rPr>
          <w:rFonts w:hint="eastAsia" w:cs="宋体"/>
          <w:szCs w:val="22"/>
          <w:highlight w:val="none"/>
          <w:lang w:eastAsia="zh-CN"/>
        </w:rPr>
        <w:t>张先生</w:t>
      </w:r>
      <w:r>
        <w:rPr>
          <w:rFonts w:hint="eastAsia" w:ascii="宋体" w:hAnsi="宋体" w:cs="宋体"/>
          <w:bCs/>
          <w:lang w:val="zh-CN"/>
        </w:rPr>
        <w:t xml:space="preserve"> </w:t>
      </w:r>
    </w:p>
    <w:p>
      <w:pPr>
        <w:spacing w:line="312" w:lineRule="auto"/>
        <w:ind w:firstLine="480"/>
        <w:rPr>
          <w:rFonts w:hint="eastAsia" w:cs="宋体"/>
          <w:szCs w:val="22"/>
          <w:highlight w:val="none"/>
          <w:lang w:val="en-US" w:eastAsia="zh-CN"/>
        </w:rPr>
      </w:pPr>
      <w:r>
        <w:rPr>
          <w:rFonts w:hint="eastAsia" w:cs="宋体"/>
          <w:szCs w:val="22"/>
          <w:highlight w:val="none"/>
          <w:lang w:eastAsia="zh-CN"/>
        </w:rPr>
        <w:t>联系方式：</w:t>
      </w:r>
      <w:r>
        <w:rPr>
          <w:rFonts w:hint="eastAsia" w:cs="宋体"/>
          <w:szCs w:val="22"/>
          <w:highlight w:val="none"/>
          <w:lang w:val="en-US" w:eastAsia="zh-CN"/>
        </w:rPr>
        <w:t xml:space="preserve">13515709255/ 15757114885 </w:t>
      </w:r>
    </w:p>
    <w:bookmarkEnd w:id="186"/>
    <w:bookmarkEnd w:id="187"/>
    <w:bookmarkEnd w:id="188"/>
    <w:bookmarkEnd w:id="189"/>
    <w:bookmarkEnd w:id="190"/>
    <w:bookmarkEnd w:id="191"/>
    <w:bookmarkEnd w:id="192"/>
    <w:bookmarkEnd w:id="193"/>
    <w:bookmarkEnd w:id="194"/>
    <w:p>
      <w:pPr>
        <w:spacing w:line="312" w:lineRule="auto"/>
        <w:ind w:firstLine="480"/>
        <w:rPr>
          <w:rFonts w:ascii="宋体" w:hAnsi="宋体" w:cs="宋体"/>
          <w:bCs/>
        </w:rPr>
      </w:pPr>
    </w:p>
    <w:p>
      <w:pPr>
        <w:numPr>
          <w:ilvl w:val="255"/>
          <w:numId w:val="0"/>
        </w:numPr>
        <w:tabs>
          <w:tab w:val="left" w:pos="0"/>
        </w:tabs>
        <w:snapToGrid w:val="0"/>
        <w:spacing w:line="312" w:lineRule="auto"/>
        <w:ind w:firstLine="480" w:firstLineChars="200"/>
        <w:jc w:val="left"/>
        <w:outlineLvl w:val="1"/>
        <w:rPr>
          <w:rFonts w:ascii="宋体" w:hAnsi="宋体" w:cs="宋体"/>
          <w:lang w:val="zh-CN"/>
        </w:rPr>
      </w:pPr>
      <w:bookmarkStart w:id="195" w:name="_Toc13096"/>
      <w:bookmarkStart w:id="196" w:name="_Toc31189"/>
      <w:bookmarkStart w:id="197" w:name="_Toc5235"/>
      <w:bookmarkStart w:id="198" w:name="_Toc22378"/>
      <w:bookmarkStart w:id="199" w:name="_Toc3771"/>
      <w:bookmarkStart w:id="200" w:name="_Toc27396"/>
      <w:bookmarkStart w:id="201" w:name="_Toc13806"/>
      <w:bookmarkStart w:id="202" w:name="_Toc11427"/>
      <w:bookmarkStart w:id="203" w:name="_Toc7056"/>
      <w:bookmarkStart w:id="204" w:name="_Toc19489"/>
      <w:bookmarkStart w:id="205" w:name="_Toc6011"/>
      <w:bookmarkStart w:id="206" w:name="_Toc10341"/>
      <w:bookmarkStart w:id="207" w:name="_Toc16453"/>
      <w:bookmarkStart w:id="208" w:name="_Toc32228"/>
      <w:bookmarkStart w:id="209" w:name="_Toc20365"/>
      <w:bookmarkStart w:id="210" w:name="_Toc26503"/>
      <w:r>
        <w:rPr>
          <w:rFonts w:hint="eastAsia" w:ascii="宋体" w:hAnsi="宋体" w:cs="宋体"/>
        </w:rPr>
        <w:t>2.</w:t>
      </w:r>
      <w:r>
        <w:rPr>
          <w:rFonts w:hint="eastAsia" w:ascii="宋体" w:hAnsi="宋体" w:cs="宋体"/>
          <w:lang w:val="zh-CN"/>
        </w:rPr>
        <w:t>采购代理机构</w:t>
      </w:r>
      <w:r>
        <w:rPr>
          <w:rFonts w:hint="eastAsia" w:ascii="宋体" w:hAnsi="宋体" w:cs="宋体"/>
        </w:rPr>
        <w:t>信息</w:t>
      </w:r>
      <w:bookmarkEnd w:id="195"/>
      <w:bookmarkEnd w:id="196"/>
      <w:bookmarkEnd w:id="197"/>
      <w:bookmarkEnd w:id="198"/>
      <w:bookmarkEnd w:id="199"/>
      <w:bookmarkEnd w:id="200"/>
      <w:bookmarkEnd w:id="201"/>
      <w:bookmarkEnd w:id="202"/>
      <w:bookmarkEnd w:id="203"/>
      <w:bookmarkEnd w:id="204"/>
      <w:bookmarkEnd w:id="205"/>
    </w:p>
    <w:p>
      <w:pPr>
        <w:numPr>
          <w:ilvl w:val="255"/>
          <w:numId w:val="0"/>
        </w:numPr>
        <w:tabs>
          <w:tab w:val="left" w:pos="0"/>
        </w:tabs>
        <w:snapToGrid w:val="0"/>
        <w:spacing w:line="312" w:lineRule="auto"/>
        <w:ind w:firstLine="480" w:firstLineChars="200"/>
        <w:jc w:val="left"/>
        <w:outlineLvl w:val="1"/>
        <w:rPr>
          <w:rFonts w:ascii="宋体" w:hAnsi="宋体" w:cs="宋体"/>
          <w:lang w:val="zh-CN"/>
        </w:rPr>
      </w:pPr>
      <w:bookmarkStart w:id="211" w:name="_Toc19896"/>
      <w:bookmarkStart w:id="212" w:name="_Toc13553"/>
      <w:bookmarkStart w:id="213" w:name="_Toc28684"/>
      <w:bookmarkStart w:id="214" w:name="_Toc9247"/>
      <w:bookmarkStart w:id="215" w:name="_Toc2087"/>
      <w:bookmarkStart w:id="216" w:name="_Toc14477"/>
      <w:bookmarkStart w:id="217" w:name="_Toc11811"/>
      <w:bookmarkStart w:id="218" w:name="_Toc6045"/>
      <w:bookmarkStart w:id="219" w:name="_Toc1130"/>
      <w:bookmarkStart w:id="220" w:name="_Toc297"/>
      <w:bookmarkStart w:id="221" w:name="_Toc12550"/>
      <w:r>
        <w:rPr>
          <w:rFonts w:hint="eastAsia" w:ascii="宋体" w:hAnsi="宋体" w:cs="宋体"/>
          <w:lang w:val="zh-CN"/>
        </w:rPr>
        <w:t>名称：</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Fonts w:hint="eastAsia" w:ascii="宋体" w:hAnsi="宋体" w:cs="宋体"/>
          <w:lang w:val="zh-CN"/>
        </w:rPr>
        <w:t>衢州宇信工程咨询有限公司</w:t>
      </w:r>
    </w:p>
    <w:p>
      <w:pPr>
        <w:spacing w:line="312" w:lineRule="auto"/>
        <w:ind w:firstLine="480"/>
        <w:rPr>
          <w:rFonts w:hint="eastAsia" w:ascii="宋体" w:hAnsi="宋体" w:eastAsia="宋体" w:cs="宋体"/>
          <w:bCs/>
          <w:lang w:eastAsia="zh-CN"/>
        </w:rPr>
      </w:pPr>
      <w:r>
        <w:rPr>
          <w:rFonts w:hint="eastAsia" w:ascii="宋体" w:hAnsi="宋体" w:cs="宋体"/>
          <w:bCs/>
        </w:rPr>
        <w:t>地址：</w:t>
      </w:r>
      <w:r>
        <w:rPr>
          <w:rFonts w:hint="eastAsia" w:ascii="宋体" w:hAnsi="宋体" w:cs="宋体"/>
          <w:bCs/>
          <w:lang w:eastAsia="zh-CN"/>
        </w:rPr>
        <w:t>龙游县荣昌路广和商务楼306室</w:t>
      </w:r>
    </w:p>
    <w:p>
      <w:pPr>
        <w:spacing w:line="312" w:lineRule="auto"/>
        <w:ind w:firstLine="480"/>
        <w:rPr>
          <w:rFonts w:hint="default" w:ascii="宋体" w:hAnsi="宋体" w:eastAsia="宋体" w:cs="宋体"/>
          <w:bCs/>
          <w:lang w:val="en-US" w:eastAsia="zh-CN"/>
        </w:rPr>
      </w:pPr>
      <w:r>
        <w:rPr>
          <w:rFonts w:hint="eastAsia" w:ascii="宋体" w:hAnsi="宋体" w:cs="宋体"/>
          <w:bCs/>
        </w:rPr>
        <w:t>联系人：</w:t>
      </w:r>
      <w:r>
        <w:rPr>
          <w:rFonts w:hint="eastAsia" w:ascii="宋体" w:hAnsi="宋体" w:cs="宋体"/>
          <w:bCs/>
          <w:lang w:val="en-US" w:eastAsia="zh-CN"/>
        </w:rPr>
        <w:t>李女士</w:t>
      </w:r>
    </w:p>
    <w:p>
      <w:pPr>
        <w:spacing w:line="312" w:lineRule="auto"/>
        <w:ind w:firstLine="480"/>
        <w:rPr>
          <w:rFonts w:hint="default" w:ascii="宋体" w:hAnsi="宋体" w:eastAsia="宋体" w:cs="宋体"/>
          <w:bCs/>
          <w:lang w:val="en-US" w:eastAsia="zh-CN"/>
        </w:rPr>
      </w:pPr>
      <w:r>
        <w:rPr>
          <w:rFonts w:hint="eastAsia" w:ascii="宋体" w:hAnsi="宋体" w:cs="宋体"/>
          <w:bCs/>
        </w:rPr>
        <w:t>联系方式：</w:t>
      </w:r>
      <w:r>
        <w:rPr>
          <w:rFonts w:hint="eastAsia" w:ascii="宋体" w:hAnsi="宋体" w:cs="宋体"/>
          <w:bCs/>
          <w:lang w:val="en-US" w:eastAsia="zh-CN"/>
        </w:rPr>
        <w:t>18857006783</w:t>
      </w:r>
    </w:p>
    <w:p>
      <w:pPr>
        <w:pStyle w:val="2"/>
        <w:spacing w:line="312" w:lineRule="auto"/>
        <w:ind w:firstLine="480"/>
        <w:jc w:val="center"/>
        <w:rPr>
          <w:rFonts w:ascii="宋体" w:hAnsi="宋体" w:cs="宋体"/>
          <w:bCs w:val="0"/>
        </w:rPr>
      </w:pPr>
    </w:p>
    <w:p>
      <w:pPr>
        <w:widowControl/>
        <w:spacing w:line="312" w:lineRule="auto"/>
        <w:ind w:firstLine="480"/>
        <w:jc w:val="left"/>
        <w:rPr>
          <w:rFonts w:ascii="宋体" w:hAnsi="宋体" w:cs="宋体"/>
          <w:bCs/>
          <w:lang w:val="zh-CN"/>
        </w:rPr>
      </w:pPr>
      <w:bookmarkStart w:id="222" w:name="_Toc13990"/>
      <w:bookmarkStart w:id="223" w:name="_Toc21743"/>
      <w:bookmarkStart w:id="224" w:name="_Toc2610"/>
      <w:bookmarkStart w:id="225" w:name="_Toc31921"/>
      <w:bookmarkStart w:id="226" w:name="_Toc5624"/>
      <w:bookmarkStart w:id="227" w:name="_Toc7454"/>
      <w:bookmarkStart w:id="228" w:name="_Toc82"/>
      <w:bookmarkStart w:id="229" w:name="_Toc13617"/>
      <w:bookmarkStart w:id="230" w:name="_Toc27036"/>
      <w:bookmarkStart w:id="231" w:name="_Toc5589"/>
      <w:bookmarkStart w:id="232" w:name="_Toc11202"/>
      <w:bookmarkStart w:id="233" w:name="_Toc5031"/>
      <w:bookmarkStart w:id="234" w:name="_Toc23576"/>
      <w:bookmarkStart w:id="235" w:name="_Toc11036"/>
      <w:bookmarkStart w:id="236" w:name="_Toc8831"/>
      <w:r>
        <w:rPr>
          <w:rFonts w:hint="eastAsia" w:ascii="宋体" w:hAnsi="宋体" w:cs="宋体"/>
          <w:bCs/>
        </w:rPr>
        <w:t>3.</w:t>
      </w:r>
      <w:r>
        <w:rPr>
          <w:rFonts w:hint="eastAsia" w:ascii="宋体" w:hAnsi="宋体" w:cs="宋体"/>
          <w:bCs/>
          <w:lang w:val="zh-CN"/>
        </w:rPr>
        <w:t>同级</w:t>
      </w:r>
      <w:r>
        <w:rPr>
          <w:rFonts w:hint="eastAsia" w:ascii="宋体" w:hAnsi="宋体" w:cs="宋体"/>
          <w:bCs/>
        </w:rPr>
        <w:t>国企</w:t>
      </w:r>
      <w:r>
        <w:rPr>
          <w:rFonts w:hint="eastAsia" w:ascii="宋体" w:hAnsi="宋体" w:cs="宋体"/>
          <w:bCs/>
          <w:lang w:val="zh-CN"/>
        </w:rPr>
        <w:t>采购监督管理部门</w:t>
      </w:r>
    </w:p>
    <w:p>
      <w:pPr>
        <w:widowControl/>
        <w:spacing w:line="312" w:lineRule="auto"/>
        <w:ind w:firstLine="480"/>
        <w:jc w:val="left"/>
        <w:rPr>
          <w:rFonts w:hint="eastAsia" w:ascii="宋体" w:hAnsi="宋体" w:eastAsia="宋体" w:cs="宋体"/>
          <w:bCs/>
          <w:lang w:eastAsia="zh-CN"/>
        </w:rPr>
      </w:pPr>
      <w:r>
        <w:rPr>
          <w:rFonts w:hint="eastAsia" w:ascii="宋体" w:hAnsi="宋体" w:cs="宋体"/>
          <w:bCs/>
          <w:lang w:val="zh-CN"/>
        </w:rPr>
        <w:t>名称：</w:t>
      </w:r>
      <w:r>
        <w:rPr>
          <w:rFonts w:hint="eastAsia" w:ascii="宋体" w:hAnsi="宋体" w:cs="宋体"/>
          <w:bCs/>
          <w:lang w:eastAsia="zh-CN"/>
        </w:rPr>
        <w:t>龙游县文化旅游发展有限公司</w:t>
      </w:r>
    </w:p>
    <w:p>
      <w:pPr>
        <w:widowControl/>
        <w:spacing w:line="312" w:lineRule="auto"/>
        <w:ind w:firstLine="480"/>
        <w:jc w:val="left"/>
        <w:rPr>
          <w:rFonts w:ascii="宋体" w:hAnsi="宋体" w:cs="宋体"/>
          <w:bCs/>
          <w:highlight w:val="none"/>
          <w:lang w:val="zh-CN"/>
        </w:rPr>
      </w:pPr>
      <w:r>
        <w:rPr>
          <w:rFonts w:hint="eastAsia" w:ascii="宋体" w:hAnsi="宋体" w:cs="宋体"/>
          <w:bCs/>
          <w:highlight w:val="none"/>
          <w:lang w:val="zh-CN"/>
        </w:rPr>
        <w:t>地址：</w:t>
      </w:r>
      <w:r>
        <w:rPr>
          <w:rFonts w:hint="eastAsia" w:cs="宋体"/>
          <w:szCs w:val="22"/>
          <w:highlight w:val="none"/>
          <w:lang w:eastAsia="zh-CN"/>
        </w:rPr>
        <w:t>龙游县宝塔路46号</w:t>
      </w:r>
    </w:p>
    <w:p>
      <w:pPr>
        <w:widowControl/>
        <w:spacing w:line="312" w:lineRule="auto"/>
        <w:ind w:firstLine="480"/>
        <w:jc w:val="left"/>
        <w:rPr>
          <w:rFonts w:hint="default" w:ascii="宋体" w:hAnsi="宋体" w:eastAsia="宋体" w:cs="宋体"/>
          <w:bCs/>
          <w:highlight w:val="none"/>
          <w:lang w:val="en-US" w:eastAsia="zh-CN"/>
        </w:rPr>
      </w:pPr>
      <w:r>
        <w:rPr>
          <w:rFonts w:hint="eastAsia" w:ascii="宋体" w:hAnsi="宋体" w:cs="宋体"/>
          <w:bCs/>
          <w:highlight w:val="none"/>
          <w:lang w:val="zh-CN"/>
        </w:rPr>
        <w:t>联系人：</w:t>
      </w:r>
      <w:r>
        <w:rPr>
          <w:rFonts w:hint="eastAsia"/>
          <w:highlight w:val="none"/>
          <w:lang w:val="en-US" w:eastAsia="zh-CN"/>
        </w:rPr>
        <w:t>郑先生</w:t>
      </w:r>
      <w:r>
        <w:rPr>
          <w:rFonts w:hint="eastAsia"/>
          <w:highlight w:val="none"/>
          <w:lang w:val="en-US" w:eastAsia="zh-CN"/>
        </w:rPr>
        <w:tab/>
      </w:r>
    </w:p>
    <w:p>
      <w:pPr>
        <w:widowControl/>
        <w:spacing w:line="312" w:lineRule="auto"/>
        <w:ind w:firstLine="480"/>
        <w:jc w:val="left"/>
        <w:rPr>
          <w:rFonts w:hint="default" w:ascii="宋体" w:hAnsi="宋体" w:eastAsia="宋体" w:cs="宋体"/>
          <w:bCs/>
          <w:highlight w:val="none"/>
          <w:lang w:val="en-US" w:eastAsia="zh-CN"/>
        </w:rPr>
      </w:pPr>
      <w:r>
        <w:rPr>
          <w:rFonts w:hint="eastAsia" w:ascii="宋体" w:hAnsi="宋体" w:cs="宋体"/>
          <w:bCs/>
          <w:highlight w:val="none"/>
          <w:lang w:val="zh-CN"/>
        </w:rPr>
        <w:t>监督投诉方式：</w:t>
      </w:r>
      <w:r>
        <w:rPr>
          <w:rFonts w:hint="eastAsia" w:ascii="宋体" w:hAnsi="宋体" w:cs="宋体"/>
          <w:bCs/>
          <w:highlight w:val="none"/>
          <w:lang w:val="en-US" w:eastAsia="zh-CN"/>
        </w:rPr>
        <w:t>13306700888</w:t>
      </w:r>
    </w:p>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Pr>
        <w:pStyle w:val="2"/>
        <w:spacing w:line="312" w:lineRule="auto"/>
        <w:ind w:firstLine="480"/>
        <w:rPr>
          <w:rFonts w:ascii="宋体" w:hAnsi="宋体" w:cs="宋体"/>
          <w:highlight w:val="none"/>
        </w:rPr>
      </w:pPr>
      <w:r>
        <w:rPr>
          <w:rFonts w:hint="eastAsia" w:ascii="宋体" w:hAnsi="宋体" w:cs="宋体"/>
          <w:highlight w:val="none"/>
          <w:lang w:val="zh-CN"/>
        </w:rPr>
        <w:t>202</w:t>
      </w:r>
      <w:r>
        <w:rPr>
          <w:rFonts w:hint="eastAsia" w:ascii="宋体" w:hAnsi="宋体" w:cs="宋体"/>
          <w:highlight w:val="none"/>
        </w:rPr>
        <w:t>3</w:t>
      </w:r>
      <w:r>
        <w:rPr>
          <w:rFonts w:hint="eastAsia" w:ascii="宋体" w:hAnsi="宋体" w:cs="宋体"/>
          <w:highlight w:val="none"/>
          <w:lang w:val="zh-CN"/>
        </w:rPr>
        <w:t>年</w:t>
      </w:r>
      <w:r>
        <w:rPr>
          <w:rFonts w:hint="eastAsia" w:ascii="宋体" w:hAnsi="宋体" w:cs="宋体"/>
          <w:highlight w:val="none"/>
          <w:lang w:val="en-US" w:eastAsia="zh-CN"/>
        </w:rPr>
        <w:t>7</w:t>
      </w:r>
      <w:r>
        <w:rPr>
          <w:rFonts w:hint="eastAsia" w:ascii="宋体" w:hAnsi="宋体" w:cs="宋体"/>
          <w:highlight w:val="none"/>
          <w:lang w:val="zh-CN"/>
        </w:rPr>
        <w:t>月</w:t>
      </w:r>
      <w:r>
        <w:rPr>
          <w:rFonts w:hint="eastAsia" w:ascii="宋体" w:hAnsi="宋体" w:cs="宋体"/>
          <w:highlight w:val="none"/>
          <w:lang w:val="en-US" w:eastAsia="zh-CN"/>
        </w:rPr>
        <w:t>14</w:t>
      </w:r>
      <w:r>
        <w:rPr>
          <w:rFonts w:hint="eastAsia" w:ascii="宋体" w:hAnsi="宋体" w:cs="宋体"/>
          <w:highlight w:val="none"/>
          <w:lang w:val="zh-CN"/>
        </w:rPr>
        <w:t>日</w:t>
      </w:r>
      <w:r>
        <w:rPr>
          <w:rFonts w:hint="eastAsia" w:ascii="宋体" w:hAnsi="宋体" w:cs="宋体"/>
          <w:bCs w:val="0"/>
          <w:highlight w:val="none"/>
        </w:rPr>
        <w:br w:type="page"/>
      </w:r>
      <w:bookmarkStart w:id="237" w:name="_Toc24829"/>
      <w:bookmarkStart w:id="238" w:name="_Toc5940"/>
      <w:bookmarkStart w:id="239" w:name="_Toc18814"/>
      <w:bookmarkStart w:id="240" w:name="_Toc26049"/>
      <w:bookmarkStart w:id="241" w:name="_Toc12646"/>
      <w:bookmarkStart w:id="242" w:name="_Toc16230"/>
    </w:p>
    <w:p>
      <w:pPr>
        <w:pStyle w:val="4"/>
        <w:numPr>
          <w:ilvl w:val="0"/>
          <w:numId w:val="0"/>
        </w:numPr>
        <w:spacing w:beforeLines="0" w:afterLines="0"/>
        <w:rPr>
          <w:rFonts w:ascii="宋体" w:hAnsi="宋体" w:cs="宋体"/>
        </w:rPr>
      </w:pPr>
      <w:bookmarkStart w:id="243" w:name="_Toc9562"/>
      <w:bookmarkStart w:id="244" w:name="_Toc2504"/>
      <w:bookmarkStart w:id="245" w:name="_Toc30817"/>
      <w:bookmarkStart w:id="246" w:name="_Toc26017"/>
      <w:bookmarkStart w:id="247" w:name="_Toc27348"/>
      <w:bookmarkStart w:id="248" w:name="_Toc13762"/>
      <w:bookmarkStart w:id="249" w:name="_Toc26647"/>
      <w:bookmarkStart w:id="250" w:name="_Toc17699"/>
      <w:bookmarkStart w:id="251" w:name="_Toc6325"/>
      <w:bookmarkStart w:id="252" w:name="_Toc19320"/>
      <w:bookmarkStart w:id="253" w:name="_Toc2759"/>
      <w:bookmarkStart w:id="254" w:name="_Toc7054"/>
      <w:bookmarkStart w:id="255" w:name="_Toc29673"/>
      <w:bookmarkStart w:id="256" w:name="_Toc14630"/>
      <w:bookmarkStart w:id="257" w:name="_Toc8894"/>
      <w:bookmarkStart w:id="258" w:name="_Toc30570"/>
      <w:bookmarkStart w:id="259" w:name="_Toc12587"/>
      <w:bookmarkStart w:id="260" w:name="_Toc3742"/>
      <w:bookmarkStart w:id="261" w:name="_Toc8830"/>
      <w:bookmarkStart w:id="262" w:name="_Toc22916"/>
      <w:bookmarkStart w:id="263" w:name="_Toc9281"/>
      <w:bookmarkStart w:id="264" w:name="_Toc30924"/>
      <w:bookmarkStart w:id="265" w:name="_Toc16652"/>
      <w:bookmarkStart w:id="266" w:name="_Toc3207"/>
      <w:bookmarkStart w:id="267" w:name="_Toc14948"/>
      <w:bookmarkStart w:id="268" w:name="_Toc24594"/>
      <w:bookmarkStart w:id="269" w:name="_Toc3557"/>
      <w:bookmarkStart w:id="270" w:name="_Toc21210"/>
      <w:bookmarkStart w:id="271" w:name="_Toc6900"/>
      <w:bookmarkStart w:id="272" w:name="_Toc28801"/>
      <w:bookmarkStart w:id="273" w:name="_Toc20710"/>
      <w:bookmarkStart w:id="274" w:name="_Toc27038"/>
      <w:bookmarkStart w:id="275" w:name="_Toc29935"/>
      <w:r>
        <w:rPr>
          <w:rFonts w:hint="eastAsia" w:ascii="宋体" w:hAnsi="宋体" w:cs="宋体"/>
        </w:rPr>
        <w:t>第二章  投标人须知</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5"/>
        <w:numPr>
          <w:ilvl w:val="1"/>
          <w:numId w:val="0"/>
        </w:numPr>
        <w:tabs>
          <w:tab w:val="left" w:pos="480"/>
        </w:tabs>
        <w:spacing w:beforeLines="0" w:afterLines="0"/>
        <w:rPr>
          <w:rFonts w:ascii="宋体" w:hAnsi="宋体" w:cs="宋体"/>
          <w:b/>
          <w:bCs w:val="0"/>
          <w:lang w:bidi="ar"/>
        </w:rPr>
      </w:pPr>
      <w:bookmarkStart w:id="276" w:name="_Toc31532"/>
      <w:bookmarkStart w:id="277" w:name="_Toc20037"/>
      <w:bookmarkStart w:id="278" w:name="_Toc29631"/>
      <w:bookmarkStart w:id="279" w:name="_Toc25611"/>
      <w:bookmarkStart w:id="280" w:name="_Toc6862"/>
      <w:bookmarkStart w:id="281" w:name="_Toc14238"/>
      <w:bookmarkStart w:id="282" w:name="_Toc17538"/>
      <w:bookmarkStart w:id="283" w:name="_Toc14813"/>
      <w:bookmarkStart w:id="284" w:name="_Toc1286"/>
      <w:bookmarkStart w:id="285" w:name="_Toc5445"/>
      <w:bookmarkStart w:id="286" w:name="_Toc2286"/>
      <w:bookmarkStart w:id="287" w:name="_Toc14335"/>
      <w:bookmarkStart w:id="288" w:name="_Toc6943"/>
      <w:bookmarkStart w:id="289" w:name="_Toc24474"/>
      <w:bookmarkStart w:id="290" w:name="_Toc25506"/>
      <w:bookmarkStart w:id="291" w:name="_Toc24970"/>
      <w:bookmarkStart w:id="292" w:name="_Toc29109"/>
      <w:bookmarkStart w:id="293" w:name="_Toc16227"/>
      <w:bookmarkStart w:id="294" w:name="_Toc26033"/>
      <w:bookmarkStart w:id="295" w:name="_Toc32497"/>
      <w:bookmarkStart w:id="296" w:name="_Toc1709"/>
      <w:bookmarkStart w:id="297" w:name="_Toc28757"/>
      <w:bookmarkStart w:id="298" w:name="_Toc24477"/>
      <w:bookmarkStart w:id="299" w:name="_Toc1898"/>
      <w:bookmarkStart w:id="300" w:name="_Toc27365"/>
      <w:bookmarkStart w:id="301" w:name="_Toc13830"/>
      <w:bookmarkStart w:id="302" w:name="_Toc2093"/>
      <w:bookmarkStart w:id="303" w:name="_Toc18330"/>
      <w:bookmarkStart w:id="304" w:name="_Toc1237"/>
      <w:bookmarkStart w:id="305" w:name="_Toc5125"/>
      <w:bookmarkStart w:id="306" w:name="_Toc7175"/>
      <w:bookmarkStart w:id="307" w:name="_Toc23368"/>
      <w:bookmarkStart w:id="308" w:name="_Toc10078"/>
      <w:bookmarkStart w:id="309" w:name="_Toc5731"/>
      <w:bookmarkStart w:id="310" w:name="_Toc22955"/>
      <w:bookmarkStart w:id="311" w:name="_Toc18954"/>
      <w:bookmarkStart w:id="312" w:name="_Toc9417"/>
      <w:bookmarkStart w:id="313" w:name="_Toc22528"/>
      <w:bookmarkStart w:id="314" w:name="_Toc16050"/>
      <w:r>
        <w:rPr>
          <w:rFonts w:hint="eastAsia" w:ascii="宋体" w:hAnsi="宋体" w:cs="宋体"/>
          <w:b/>
          <w:bCs w:val="0"/>
          <w:lang w:bidi="ar"/>
        </w:rPr>
        <w:t>一、投标人须知前附表</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tbl>
      <w:tblPr>
        <w:tblStyle w:val="37"/>
        <w:tblW w:w="10000" w:type="dxa"/>
        <w:jc w:val="center"/>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013"/>
        <w:gridCol w:w="7202"/>
      </w:tblGrid>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tcBorders>
              <w:top w:val="thinThickSmallGap" w:color="auto" w:sz="12" w:space="0"/>
            </w:tcBorders>
            <w:vAlign w:val="center"/>
          </w:tcPr>
          <w:p>
            <w:pPr>
              <w:keepNext w:val="0"/>
              <w:keepLines w:val="0"/>
              <w:suppressLineNumbers w:val="0"/>
              <w:tabs>
                <w:tab w:val="left" w:pos="0"/>
              </w:tabs>
              <w:autoSpaceDE w:val="0"/>
              <w:autoSpaceDN w:val="0"/>
              <w:adjustRightInd w:val="0"/>
              <w:spacing w:before="0" w:beforeAutospacing="0" w:after="0" w:afterAutospacing="0" w:line="240" w:lineRule="auto"/>
              <w:ind w:left="0" w:right="0" w:firstLine="0" w:firstLineChars="0"/>
              <w:jc w:val="center"/>
              <w:rPr>
                <w:rFonts w:hint="default" w:ascii="宋体" w:hAnsi="宋体" w:cs="宋体"/>
              </w:rPr>
            </w:pPr>
            <w:bookmarkStart w:id="315" w:name="_Toc361434558"/>
            <w:bookmarkStart w:id="316" w:name="_Toc361434894"/>
            <w:bookmarkStart w:id="317" w:name="_Toc361437144"/>
            <w:bookmarkStart w:id="318" w:name="_Toc101321790"/>
            <w:bookmarkStart w:id="319" w:name="_Toc361434798"/>
            <w:bookmarkStart w:id="320" w:name="_Toc361434459"/>
            <w:bookmarkStart w:id="321" w:name="_Toc1125"/>
            <w:bookmarkStart w:id="322" w:name="_Toc452528599"/>
            <w:bookmarkStart w:id="323" w:name="_Toc4691"/>
            <w:bookmarkStart w:id="324" w:name="_Toc17354"/>
            <w:bookmarkStart w:id="325" w:name="_Toc12616"/>
            <w:bookmarkStart w:id="326" w:name="_Toc21242"/>
            <w:bookmarkStart w:id="327" w:name="_Toc16613"/>
            <w:bookmarkStart w:id="328" w:name="_Toc5990"/>
            <w:bookmarkStart w:id="329" w:name="_Toc22941"/>
            <w:bookmarkStart w:id="330" w:name="_Toc11475"/>
            <w:bookmarkStart w:id="331" w:name="_Toc23442"/>
            <w:bookmarkStart w:id="332" w:name="_Toc7346"/>
            <w:bookmarkStart w:id="333" w:name="_Toc1265"/>
            <w:bookmarkStart w:id="334" w:name="_Toc496962944"/>
            <w:bookmarkStart w:id="335" w:name="_Toc7709"/>
            <w:bookmarkStart w:id="336" w:name="_Toc24118"/>
            <w:bookmarkStart w:id="337" w:name="_Toc3888"/>
            <w:bookmarkStart w:id="338" w:name="_Toc30126"/>
            <w:bookmarkStart w:id="339" w:name="_Toc27406"/>
            <w:bookmarkStart w:id="340" w:name="_Toc391298955"/>
            <w:bookmarkStart w:id="341" w:name="_Toc3923"/>
            <w:bookmarkStart w:id="342" w:name="_Toc27407"/>
            <w:bookmarkStart w:id="343" w:name="_Toc12381"/>
            <w:bookmarkStart w:id="344" w:name="_Toc20312"/>
            <w:bookmarkStart w:id="345" w:name="_Toc5481"/>
            <w:bookmarkStart w:id="346" w:name="_Toc4630"/>
            <w:bookmarkStart w:id="347" w:name="_Toc12403"/>
            <w:bookmarkStart w:id="348" w:name="_Toc17098"/>
            <w:bookmarkStart w:id="349" w:name="_Toc11179"/>
            <w:bookmarkStart w:id="350" w:name="_Toc19715"/>
            <w:bookmarkStart w:id="351" w:name="_Toc26063"/>
            <w:bookmarkStart w:id="352" w:name="_Toc24478"/>
            <w:bookmarkStart w:id="353" w:name="_Toc31099"/>
            <w:bookmarkStart w:id="354" w:name="_Toc331"/>
            <w:bookmarkStart w:id="355" w:name="_Toc28742"/>
            <w:bookmarkStart w:id="356" w:name="_Toc12958"/>
            <w:bookmarkStart w:id="357" w:name="_Toc25730"/>
            <w:bookmarkStart w:id="358" w:name="_Toc22305"/>
            <w:bookmarkStart w:id="359" w:name="_Toc27241"/>
            <w:bookmarkStart w:id="360" w:name="_Toc15313"/>
            <w:bookmarkStart w:id="361" w:name="_Toc16257"/>
            <w:bookmarkStart w:id="362" w:name="_Toc27367"/>
            <w:bookmarkStart w:id="363" w:name="_Toc11023"/>
            <w:bookmarkStart w:id="364" w:name="_Toc29625"/>
            <w:bookmarkStart w:id="365" w:name="_Toc6094"/>
            <w:bookmarkStart w:id="366" w:name="_Toc19731"/>
            <w:r>
              <w:rPr>
                <w:rFonts w:hint="eastAsia" w:ascii="宋体" w:hAnsi="宋体" w:cs="宋体"/>
              </w:rPr>
              <w:t>序号</w:t>
            </w:r>
          </w:p>
        </w:tc>
        <w:tc>
          <w:tcPr>
            <w:tcW w:w="2013" w:type="dxa"/>
            <w:tcBorders>
              <w:top w:val="thinThickSmallGap" w:color="auto" w:sz="12" w:space="0"/>
            </w:tcBorders>
            <w:vAlign w:val="center"/>
          </w:tcPr>
          <w:p>
            <w:pPr>
              <w:keepNext w:val="0"/>
              <w:keepLines w:val="0"/>
              <w:suppressLineNumbers w:val="0"/>
              <w:tabs>
                <w:tab w:val="left" w:pos="0"/>
              </w:tabs>
              <w:autoSpaceDE w:val="0"/>
              <w:autoSpaceDN w:val="0"/>
              <w:adjustRightInd w:val="0"/>
              <w:spacing w:before="0" w:beforeAutospacing="0" w:after="0" w:afterAutospacing="0" w:line="240" w:lineRule="auto"/>
              <w:ind w:left="0" w:right="0" w:firstLine="0" w:firstLineChars="0"/>
              <w:jc w:val="center"/>
              <w:rPr>
                <w:rFonts w:hint="default" w:ascii="宋体" w:hAnsi="宋体" w:cs="宋体"/>
              </w:rPr>
            </w:pPr>
            <w:r>
              <w:rPr>
                <w:rFonts w:hint="eastAsia" w:ascii="宋体" w:hAnsi="宋体" w:cs="宋体"/>
              </w:rPr>
              <w:t>内  容</w:t>
            </w:r>
          </w:p>
        </w:tc>
        <w:tc>
          <w:tcPr>
            <w:tcW w:w="7202" w:type="dxa"/>
            <w:tcBorders>
              <w:top w:val="thinThickSmallGap" w:color="auto" w:sz="12" w:space="0"/>
            </w:tcBorders>
            <w:vAlign w:val="center"/>
          </w:tcPr>
          <w:p>
            <w:pPr>
              <w:keepNext w:val="0"/>
              <w:keepLines w:val="0"/>
              <w:suppressLineNumbers w:val="0"/>
              <w:tabs>
                <w:tab w:val="left" w:pos="0"/>
              </w:tabs>
              <w:spacing w:before="0" w:beforeAutospacing="0" w:after="0" w:afterAutospacing="0" w:line="240" w:lineRule="auto"/>
              <w:ind w:left="0" w:right="0" w:firstLine="0" w:firstLineChars="0"/>
              <w:rPr>
                <w:rFonts w:hint="default" w:ascii="宋体" w:hAnsi="宋体" w:cs="宋体"/>
              </w:rPr>
            </w:pPr>
            <w:r>
              <w:rPr>
                <w:rFonts w:hint="eastAsia" w:ascii="宋体" w:hAnsi="宋体" w:cs="宋体"/>
              </w:rPr>
              <w:t>说明与要求</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rPr>
            </w:pPr>
            <w:r>
              <w:rPr>
                <w:rFonts w:hint="eastAsia" w:ascii="宋体" w:hAnsi="宋体" w:cs="宋体"/>
              </w:rPr>
              <w:t>1</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left"/>
              <w:rPr>
                <w:rFonts w:hint="eastAsia" w:ascii="宋体" w:hAnsi="宋体" w:cs="宋体"/>
                <w:lang w:val="zh-CN"/>
              </w:rPr>
            </w:pPr>
            <w:r>
              <w:rPr>
                <w:rFonts w:hint="eastAsia" w:ascii="宋体" w:hAnsi="宋体" w:cs="宋体"/>
                <w:lang w:val="zh-CN"/>
              </w:rPr>
              <w:t>采购人</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eastAsia="宋体" w:cs="宋体"/>
                <w:lang w:val="en-US" w:eastAsia="zh-CN"/>
              </w:rPr>
            </w:pPr>
            <w:r>
              <w:rPr>
                <w:rFonts w:hint="eastAsia" w:ascii="宋体" w:hAnsi="宋体" w:cs="宋体"/>
                <w:lang w:val="zh-CN"/>
              </w:rPr>
              <w:t>名  称：</w:t>
            </w:r>
            <w:r>
              <w:rPr>
                <w:rFonts w:hint="eastAsia" w:ascii="宋体" w:hAnsi="宋体" w:cs="宋体"/>
                <w:lang w:val="en-US" w:eastAsia="zh-CN"/>
              </w:rPr>
              <w:t>龙游县文化和广电旅游体育局</w:t>
            </w:r>
          </w:p>
          <w:p>
            <w:pPr>
              <w:keepNext w:val="0"/>
              <w:keepLines w:val="0"/>
              <w:suppressLineNumbers w:val="0"/>
              <w:spacing w:before="0" w:beforeAutospacing="0" w:after="0" w:afterAutospacing="0" w:line="240" w:lineRule="auto"/>
              <w:ind w:left="0" w:right="0" w:firstLine="960" w:firstLineChars="400"/>
              <w:jc w:val="left"/>
              <w:rPr>
                <w:rFonts w:hint="eastAsia" w:ascii="宋体" w:hAnsi="宋体" w:cs="宋体"/>
                <w:lang w:val="zh-CN"/>
              </w:rPr>
            </w:pPr>
            <w:r>
              <w:rPr>
                <w:rFonts w:hint="eastAsia" w:ascii="宋体" w:hAnsi="宋体" w:cs="宋体"/>
                <w:lang w:val="zh-CN"/>
              </w:rPr>
              <w:t xml:space="preserve">龙游县体育发展有限公司 </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en-US" w:eastAsia="zh-CN"/>
              </w:rPr>
            </w:pPr>
            <w:r>
              <w:rPr>
                <w:rFonts w:hint="eastAsia" w:ascii="宋体" w:hAnsi="宋体" w:cs="宋体"/>
                <w:lang w:val="zh-CN"/>
              </w:rPr>
              <w:t>地  址：</w:t>
            </w:r>
            <w:r>
              <w:rPr>
                <w:rFonts w:hint="eastAsia" w:ascii="宋体" w:hAnsi="宋体" w:cs="宋体"/>
                <w:lang w:val="en-US" w:eastAsia="zh-CN"/>
              </w:rPr>
              <w:t>龙游县文化路、</w:t>
            </w:r>
            <w:r>
              <w:rPr>
                <w:rFonts w:hint="eastAsia" w:ascii="宋体" w:hAnsi="宋体" w:cs="宋体"/>
                <w:lang w:val="zh-CN" w:eastAsia="zh-CN"/>
              </w:rPr>
              <w:t>龙游县宝塔路46号</w:t>
            </w:r>
          </w:p>
          <w:p>
            <w:pPr>
              <w:keepNext w:val="0"/>
              <w:keepLines w:val="0"/>
              <w:suppressLineNumbers w:val="0"/>
              <w:spacing w:before="0" w:beforeAutospacing="0" w:after="0" w:afterAutospacing="0" w:line="240" w:lineRule="auto"/>
              <w:ind w:left="0" w:right="0" w:firstLine="0" w:firstLineChars="0"/>
              <w:jc w:val="left"/>
              <w:rPr>
                <w:rFonts w:hint="eastAsia" w:ascii="宋体" w:hAnsi="宋体" w:cs="宋体"/>
                <w:lang w:val="zh-CN"/>
              </w:rPr>
            </w:pPr>
            <w:r>
              <w:rPr>
                <w:rFonts w:hint="eastAsia" w:ascii="宋体" w:hAnsi="宋体" w:cs="宋体"/>
                <w:lang w:val="zh-CN"/>
              </w:rPr>
              <w:t>联系人：</w:t>
            </w:r>
            <w:r>
              <w:rPr>
                <w:rFonts w:hint="eastAsia" w:ascii="宋体" w:hAnsi="宋体" w:cs="宋体"/>
                <w:lang w:val="en-US" w:eastAsia="zh-CN"/>
              </w:rPr>
              <w:t>邵女士、</w:t>
            </w:r>
            <w:r>
              <w:rPr>
                <w:rFonts w:hint="eastAsia" w:ascii="宋体" w:hAnsi="宋体" w:cs="宋体"/>
                <w:lang w:val="zh-CN" w:eastAsia="zh-CN"/>
              </w:rPr>
              <w:t>张先生</w:t>
            </w:r>
            <w:r>
              <w:rPr>
                <w:rFonts w:hint="eastAsia" w:ascii="宋体" w:hAnsi="宋体" w:cs="宋体"/>
                <w:lang w:val="zh-CN"/>
              </w:rPr>
              <w:t xml:space="preserve"> </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en-US" w:eastAsia="zh-CN"/>
              </w:rPr>
            </w:pPr>
            <w:r>
              <w:rPr>
                <w:rFonts w:hint="eastAsia" w:ascii="宋体" w:hAnsi="宋体" w:cs="宋体"/>
                <w:lang w:val="zh-CN" w:eastAsia="zh-CN"/>
              </w:rPr>
              <w:t>联系方式：</w:t>
            </w:r>
            <w:r>
              <w:rPr>
                <w:rFonts w:hint="eastAsia" w:ascii="宋体" w:hAnsi="宋体" w:cs="宋体"/>
                <w:lang w:val="en-US" w:eastAsia="zh-CN"/>
              </w:rPr>
              <w:t xml:space="preserve">13515709255   15757114885 </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采购代理机构</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 xml:space="preserve">名  称：衢州宇信工程咨询有限公司  </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地  址：龙游县荣昌路广和商务楼306室</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eastAsia="宋体" w:cs="宋体"/>
                <w:lang w:val="en-US" w:eastAsia="zh-CN"/>
              </w:rPr>
            </w:pPr>
            <w:r>
              <w:rPr>
                <w:rFonts w:hint="eastAsia" w:ascii="宋体" w:hAnsi="宋体" w:cs="宋体"/>
                <w:lang w:val="zh-CN"/>
              </w:rPr>
              <w:t>联系人：</w:t>
            </w:r>
            <w:r>
              <w:rPr>
                <w:rFonts w:hint="eastAsia" w:ascii="宋体" w:hAnsi="宋体" w:cs="宋体"/>
                <w:lang w:val="en-US" w:eastAsia="zh-CN"/>
              </w:rPr>
              <w:t>李女士</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eastAsia="宋体" w:cs="宋体"/>
                <w:lang w:val="en-US" w:eastAsia="zh-CN"/>
              </w:rPr>
            </w:pPr>
            <w:r>
              <w:rPr>
                <w:rFonts w:hint="eastAsia" w:ascii="宋体" w:hAnsi="宋体" w:cs="宋体"/>
                <w:lang w:val="zh-CN"/>
              </w:rPr>
              <w:t>联系方式：</w:t>
            </w:r>
            <w:r>
              <w:rPr>
                <w:rFonts w:hint="eastAsia" w:ascii="宋体" w:hAnsi="宋体" w:cs="宋体"/>
                <w:lang w:val="en-US" w:eastAsia="zh-CN"/>
              </w:rPr>
              <w:t>18857006783</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tabs>
                <w:tab w:val="left" w:pos="0"/>
              </w:tabs>
              <w:autoSpaceDE w:val="0"/>
              <w:autoSpaceDN w:val="0"/>
              <w:adjustRightInd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项目名称</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2023 年体育设施进公园项目</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tabs>
                <w:tab w:val="left" w:pos="0"/>
              </w:tabs>
              <w:autoSpaceDE w:val="0"/>
              <w:autoSpaceDN w:val="0"/>
              <w:adjustRightInd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4</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申请人资格要求</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详见“第一章 招标公告”。</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tabs>
                <w:tab w:val="left" w:pos="0"/>
              </w:tabs>
              <w:autoSpaceDE w:val="0"/>
              <w:autoSpaceDN w:val="0"/>
              <w:adjustRightInd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5</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获取招标文件</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详见“第一章 招标公告”。</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tabs>
                <w:tab w:val="left" w:pos="0"/>
              </w:tabs>
              <w:autoSpaceDE w:val="0"/>
              <w:autoSpaceDN w:val="0"/>
              <w:adjustRightInd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6</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投标有效期</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自投标截止之日起90日历天。</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tabs>
                <w:tab w:val="left" w:pos="0"/>
              </w:tabs>
              <w:autoSpaceDE w:val="0"/>
              <w:autoSpaceDN w:val="0"/>
              <w:adjustRightInd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7</w:t>
            </w:r>
          </w:p>
        </w:tc>
        <w:tc>
          <w:tcPr>
            <w:tcW w:w="2013" w:type="dxa"/>
            <w:vAlign w:val="center"/>
          </w:tcPr>
          <w:p>
            <w:pPr>
              <w:keepNext w:val="0"/>
              <w:keepLines w:val="0"/>
              <w:suppressLineNumbers w:val="0"/>
              <w:tabs>
                <w:tab w:val="left" w:pos="0"/>
              </w:tabs>
              <w:autoSpaceDE w:val="0"/>
              <w:autoSpaceDN w:val="0"/>
              <w:adjustRightInd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分包</w:t>
            </w:r>
            <w:r>
              <w:rPr>
                <w:rFonts w:hint="eastAsia" w:ascii="宋体" w:hAnsi="宋体" w:cs="宋体"/>
              </w:rPr>
              <w:t>与转包</w:t>
            </w:r>
            <w:r>
              <w:rPr>
                <w:rFonts w:hint="eastAsia" w:ascii="宋体" w:hAnsi="宋体" w:cs="宋体"/>
                <w:lang w:val="zh-CN"/>
              </w:rPr>
              <w:t>情况</w:t>
            </w:r>
          </w:p>
        </w:tc>
        <w:tc>
          <w:tcPr>
            <w:tcW w:w="7202" w:type="dxa"/>
            <w:vAlign w:val="center"/>
          </w:tcPr>
          <w:p>
            <w:pPr>
              <w:pStyle w:val="80"/>
              <w:keepNext w:val="0"/>
              <w:keepLines w:val="0"/>
              <w:suppressLineNumbers w:val="0"/>
              <w:tabs>
                <w:tab w:val="left" w:pos="768"/>
              </w:tabs>
              <w:spacing w:before="0" w:beforeAutospacing="0" w:after="0" w:afterAutospacing="0" w:line="240" w:lineRule="auto"/>
              <w:ind w:left="0" w:right="0" w:firstLine="0" w:firstLineChars="0"/>
              <w:jc w:val="left"/>
              <w:rPr>
                <w:rFonts w:hint="default"/>
                <w:lang w:val="en-US"/>
              </w:rPr>
            </w:pPr>
            <w:r>
              <w:rPr>
                <w:rFonts w:hint="eastAsia"/>
                <w:lang w:val="en-US"/>
              </w:rPr>
              <w:t>不允许。</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8</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现场勘察</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不组织，投标人可自行勘察。</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9</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资金来源及比例</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国有资金100%。</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10</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答疑会</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不召开。</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11</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投标保证金</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不收取。</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12</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en-US" w:eastAsia="zh-CN"/>
              </w:rPr>
              <w:t>工</w:t>
            </w:r>
            <w:r>
              <w:rPr>
                <w:rFonts w:hint="eastAsia" w:ascii="宋体" w:hAnsi="宋体" w:cs="宋体"/>
                <w:lang w:val="zh-CN"/>
              </w:rPr>
              <w:t>期</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自合同签订之日起</w:t>
            </w:r>
            <w:r>
              <w:rPr>
                <w:rFonts w:hint="eastAsia" w:ascii="宋体" w:hAnsi="宋体" w:cs="宋体"/>
                <w:lang w:val="en-US" w:eastAsia="zh-CN"/>
              </w:rPr>
              <w:t>5</w:t>
            </w:r>
            <w:r>
              <w:rPr>
                <w:rFonts w:hint="eastAsia" w:ascii="宋体" w:hAnsi="宋体" w:cs="宋体"/>
                <w:lang w:val="zh-CN"/>
              </w:rPr>
              <w:t>0天内完成施工、供货、安装、调试并通过验收，直至交付采购人正常使用</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13</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投标人对招标文件要求澄清的截止时间</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投标人对招标文件有异议的，公告期限内获取</w:t>
            </w:r>
            <w:r>
              <w:rPr>
                <w:rFonts w:hint="eastAsia" w:ascii="宋体" w:hAnsi="宋体" w:cs="宋体"/>
              </w:rPr>
              <w:t>招标</w:t>
            </w:r>
            <w:r>
              <w:rPr>
                <w:rFonts w:hint="eastAsia" w:ascii="宋体" w:hAnsi="宋体" w:cs="宋体"/>
                <w:lang w:val="zh-CN"/>
              </w:rPr>
              <w:t>文件的投标人应在自收到</w:t>
            </w:r>
            <w:r>
              <w:rPr>
                <w:rFonts w:hint="eastAsia" w:ascii="宋体" w:hAnsi="宋体" w:cs="宋体"/>
              </w:rPr>
              <w:t>招标</w:t>
            </w:r>
            <w:r>
              <w:rPr>
                <w:rFonts w:hint="eastAsia" w:ascii="宋体" w:hAnsi="宋体" w:cs="宋体"/>
                <w:lang w:val="zh-CN"/>
              </w:rPr>
              <w:t>文件之日（获取</w:t>
            </w:r>
            <w:r>
              <w:rPr>
                <w:rFonts w:hint="eastAsia" w:ascii="宋体" w:hAnsi="宋体" w:cs="宋体"/>
              </w:rPr>
              <w:t>招标</w:t>
            </w:r>
            <w:r>
              <w:rPr>
                <w:rFonts w:hint="eastAsia" w:ascii="宋体" w:hAnsi="宋体" w:cs="宋体"/>
                <w:lang w:val="zh-CN"/>
              </w:rPr>
              <w:t>文件之日）起7个工作日内提出，公告期限外获取</w:t>
            </w:r>
            <w:r>
              <w:rPr>
                <w:rFonts w:hint="eastAsia" w:ascii="宋体" w:hAnsi="宋体" w:cs="宋体"/>
              </w:rPr>
              <w:t>招标</w:t>
            </w:r>
            <w:r>
              <w:rPr>
                <w:rFonts w:hint="eastAsia" w:ascii="宋体" w:hAnsi="宋体" w:cs="宋体"/>
                <w:lang w:val="zh-CN"/>
              </w:rPr>
              <w:t>文件的投标人应在公告期限届满之日起7个工作日内，以书面形式向采购人提出质疑，逾期将不予受理。</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14</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采购人澄清的截止时间</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采购人可对已发出的招标文件进行必要的澄清或修改，如澄清或修改的内容可能影响投标文件编制的，采购人应当在投标截止时间至少15日前，在</w:t>
            </w:r>
            <w:r>
              <w:rPr>
                <w:rFonts w:hint="eastAsia" w:ascii="宋体" w:hAnsi="宋体" w:cs="宋体"/>
              </w:rPr>
              <w:t>招标</w:t>
            </w:r>
            <w:r>
              <w:rPr>
                <w:rFonts w:hint="eastAsia" w:ascii="宋体" w:hAnsi="宋体" w:cs="宋体"/>
                <w:lang w:val="zh-CN"/>
              </w:rPr>
              <w:t>公告原发布媒体上发布更正公告，更正内容作为招标文件的组成部分；不足15日的，采购人将顺延提交投标文件的截止时间。如澄清或修改的内容不影响投标文件编制的，采购人将不延长提交投标文件的截止时间。</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15</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是否采用电子招标投标</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en-US" w:eastAsia="zh-CN"/>
              </w:rPr>
              <w:t>是</w:t>
            </w:r>
            <w:r>
              <w:rPr>
                <w:rFonts w:hint="eastAsia" w:ascii="宋体" w:hAnsi="宋体" w:cs="宋体"/>
                <w:lang w:val="zh-CN"/>
              </w:rPr>
              <w:t>。</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16</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构成招标文件的其他材料</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rPr>
              <w:t>补充（答疑、澄清）、修改（</w:t>
            </w:r>
            <w:r>
              <w:rPr>
                <w:rFonts w:hint="eastAsia" w:ascii="宋体" w:hAnsi="宋体" w:cs="宋体"/>
                <w:lang w:val="zh-CN"/>
              </w:rPr>
              <w:t>更正</w:t>
            </w:r>
            <w:r>
              <w:rPr>
                <w:rFonts w:hint="eastAsia" w:ascii="宋体" w:hAnsi="宋体" w:cs="宋体"/>
              </w:rPr>
              <w:t>）文件。</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17</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最高限价</w:t>
            </w:r>
          </w:p>
        </w:tc>
        <w:tc>
          <w:tcPr>
            <w:tcW w:w="7202" w:type="dxa"/>
            <w:vAlign w:val="center"/>
          </w:tcPr>
          <w:p>
            <w:pPr>
              <w:keepNext w:val="0"/>
              <w:keepLines w:val="0"/>
              <w:widowControl/>
              <w:suppressLineNumbers w:val="0"/>
              <w:spacing w:before="0" w:beforeAutospacing="0" w:after="0" w:afterAutospacing="0" w:line="380" w:lineRule="exact"/>
              <w:ind w:left="0" w:right="0" w:firstLine="0" w:firstLineChars="0"/>
              <w:jc w:val="left"/>
              <w:rPr>
                <w:rFonts w:hint="default" w:ascii="宋体" w:hAnsi="宋体" w:cs="宋体"/>
                <w:lang w:val="zh-CN"/>
              </w:rPr>
            </w:pPr>
            <w:r>
              <w:rPr>
                <w:rFonts w:hint="eastAsia" w:ascii="宋体" w:hAnsi="宋体" w:cs="宋体"/>
                <w:lang w:val="zh-CN"/>
              </w:rPr>
              <w:t>本次采购投标最高限价为</w:t>
            </w:r>
            <w:r>
              <w:rPr>
                <w:rFonts w:hint="eastAsia" w:ascii="宋体" w:hAnsi="宋体" w:cs="宋体"/>
                <w:lang w:val="en-US" w:eastAsia="zh-CN"/>
              </w:rPr>
              <w:t>101.4262</w:t>
            </w:r>
            <w:r>
              <w:rPr>
                <w:rFonts w:hint="eastAsia" w:ascii="宋体" w:hAnsi="宋体" w:cs="宋体"/>
                <w:lang w:val="zh-CN"/>
              </w:rPr>
              <w:t>万元</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18</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投标报价次数</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本次投标报价为一次，不得更改报价，投标人只有一次报价的机会。投标报价不得有选择性报价和附有条件，且不得高于最高限价。</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19</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投标文件</w:t>
            </w:r>
            <w:r>
              <w:rPr>
                <w:rFonts w:hint="eastAsia" w:ascii="宋体" w:hAnsi="宋体" w:cs="宋体"/>
              </w:rPr>
              <w:t>份数</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电子投标文件：加密电子投标文件一份，包括资格审查文件、资信技术文件、商务报价文件，按规定上传至衢州市阳光交易服务平台。</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中标人在公示结束后，提供与投标时一致的纸质投标文件四套。</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20</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投标截止时间</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时  间：</w:t>
            </w:r>
            <w:r>
              <w:rPr>
                <w:rFonts w:hint="eastAsia" w:ascii="宋体" w:hAnsi="宋体" w:cs="宋体"/>
                <w:color w:val="auto"/>
                <w:sz w:val="24"/>
                <w:szCs w:val="24"/>
              </w:rPr>
              <w:t>2023年</w:t>
            </w:r>
            <w:r>
              <w:rPr>
                <w:rFonts w:hint="eastAsia" w:ascii="宋体" w:hAnsi="宋体" w:cs="宋体"/>
                <w:color w:val="auto"/>
                <w:sz w:val="24"/>
                <w:szCs w:val="24"/>
                <w:lang w:val="en-US" w:eastAsia="zh-CN"/>
              </w:rPr>
              <w:t>8</w:t>
            </w:r>
            <w:r>
              <w:rPr>
                <w:rFonts w:hint="eastAsia" w:ascii="宋体" w:hAnsi="宋体" w:cs="宋体"/>
                <w:color w:val="auto"/>
                <w:sz w:val="24"/>
                <w:szCs w:val="24"/>
              </w:rPr>
              <w:t>月</w:t>
            </w:r>
            <w:r>
              <w:rPr>
                <w:rFonts w:hint="eastAsia" w:ascii="宋体" w:hAnsi="宋体" w:cs="宋体"/>
                <w:color w:val="auto"/>
                <w:sz w:val="24"/>
                <w:szCs w:val="24"/>
                <w:lang w:val="en-US" w:eastAsia="zh-CN"/>
              </w:rPr>
              <w:t>4</w:t>
            </w:r>
            <w:r>
              <w:rPr>
                <w:rFonts w:hint="eastAsia" w:ascii="宋体" w:hAnsi="宋体" w:cs="宋体"/>
                <w:color w:val="auto"/>
                <w:sz w:val="24"/>
                <w:szCs w:val="24"/>
              </w:rPr>
              <w:t>日</w:t>
            </w:r>
            <w:r>
              <w:rPr>
                <w:rFonts w:hint="eastAsia" w:ascii="宋体" w:hAnsi="宋体" w:cs="宋体"/>
                <w:color w:val="auto"/>
                <w:sz w:val="24"/>
                <w:szCs w:val="24"/>
                <w:lang w:val="en-US" w:eastAsia="zh-CN"/>
              </w:rPr>
              <w:t>14</w:t>
            </w:r>
            <w:r>
              <w:rPr>
                <w:rFonts w:hint="eastAsia" w:ascii="宋体" w:hAnsi="宋体" w:cs="宋体"/>
                <w:color w:val="auto"/>
                <w:sz w:val="24"/>
                <w:szCs w:val="24"/>
              </w:rPr>
              <w:t>时</w:t>
            </w:r>
            <w:r>
              <w:rPr>
                <w:rFonts w:hint="eastAsia" w:ascii="宋体" w:hAnsi="宋体" w:cs="宋体"/>
                <w:color w:val="auto"/>
                <w:sz w:val="24"/>
                <w:szCs w:val="24"/>
                <w:lang w:val="en-US" w:eastAsia="zh-CN"/>
              </w:rPr>
              <w:t>30</w:t>
            </w:r>
            <w:r>
              <w:rPr>
                <w:rFonts w:hint="eastAsia" w:ascii="宋体" w:hAnsi="宋体" w:cs="宋体"/>
                <w:color w:val="auto"/>
                <w:sz w:val="24"/>
                <w:szCs w:val="24"/>
              </w:rPr>
              <w:t>分</w:t>
            </w:r>
            <w:r>
              <w:rPr>
                <w:rFonts w:hint="eastAsia" w:ascii="宋体" w:hAnsi="宋体" w:cs="宋体"/>
                <w:color w:val="auto"/>
                <w:sz w:val="24"/>
                <w:szCs w:val="24"/>
                <w:lang w:val="en-US" w:eastAsia="zh-CN"/>
              </w:rPr>
              <w:t>00</w:t>
            </w:r>
            <w:r>
              <w:rPr>
                <w:rFonts w:hint="eastAsia" w:ascii="宋体" w:hAnsi="宋体" w:cs="宋体"/>
                <w:color w:val="auto"/>
                <w:sz w:val="24"/>
                <w:szCs w:val="24"/>
              </w:rPr>
              <w:t>秒</w:t>
            </w:r>
            <w:r>
              <w:rPr>
                <w:rFonts w:hint="eastAsia" w:ascii="宋体" w:hAnsi="宋体" w:cs="宋体"/>
                <w:color w:val="auto"/>
                <w:lang w:val="zh-CN"/>
              </w:rPr>
              <w:t>止。</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21</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开标</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开标时间：同电子投标文件上传截止时间。</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开标地点：衢州市公共资源交易龙游县分中心</w:t>
            </w:r>
            <w:r>
              <w:rPr>
                <w:rFonts w:hint="eastAsia" w:ascii="宋体" w:hAnsi="宋体" w:cs="宋体"/>
              </w:rPr>
              <w:t>2楼</w:t>
            </w:r>
            <w:r>
              <w:rPr>
                <w:rFonts w:hint="eastAsia" w:ascii="宋体" w:hAnsi="宋体" w:cs="宋体"/>
                <w:lang w:val="zh-CN"/>
              </w:rPr>
              <w:t>开标室3（龙游县龙翔路原香溢市场西侧）</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开标平台：衢州市阳光交易服务平台。</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22</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递交投标文件的地点</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将由投标文件制作工具制作生成的加密投标文件在投标截止时间前（以上传完成时间为准）上传至衢州市阳光交易服务平台（网址：https://qzygjy.com/)。</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23</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投标文件的外包装和密封要求</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电子招投标，无密封要求。</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24</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投标文件封面上应载明的信息</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详见第六章</w:t>
            </w:r>
            <w:r>
              <w:rPr>
                <w:rFonts w:hint="eastAsia" w:ascii="宋体" w:hAnsi="宋体" w:cs="宋体"/>
              </w:rPr>
              <w:t xml:space="preserve"> </w:t>
            </w:r>
            <w:r>
              <w:rPr>
                <w:rFonts w:hint="eastAsia" w:ascii="宋体" w:hAnsi="宋体" w:cs="宋体"/>
                <w:lang w:val="zh-CN"/>
              </w:rPr>
              <w:t>投标文件格式 。</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25</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签字或盖章要求</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投标文件格式文件要求投标人盖章、法定代表人印章的地方，投标人均应使用CA数字证书加盖投标人的单位电子印章、法定代表人个人电子印章。</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26</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是否允许提交备选投标方案</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不允许。</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27</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采购方式</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公开招标。</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28</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评标委员会的组建</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评标委员会成员构成：共 5 人（5人及以上单数），其中采购人代表1人，库选专家 4 人。</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评标专家确定方式：按规定随机选聘。</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29</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评审办法</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综合评分法。</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30</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确定中标人</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确定1个中标人，中标结果在衢州市阳光交易服务平台、浙江政府采购网公告，公告期限为 1 个工作日。</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31</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p>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是否退还投标文件</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除投标人需收回的资格、资信等证明文件中的证明材料原件</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（如营业执照、合同、相关资质证书等）外，已拆封的投标文件概不退还，未拆封的投标文件投标人可收回。</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32</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履约保证金的缴纳与退还</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eastAsia" w:ascii="宋体" w:hAnsi="宋体" w:cs="宋体"/>
                <w:lang w:val="zh-CN" w:eastAsia="zh-CN"/>
              </w:rPr>
            </w:pPr>
            <w:r>
              <w:rPr>
                <w:rFonts w:hint="eastAsia" w:ascii="宋体" w:hAnsi="宋体" w:cs="宋体"/>
                <w:lang w:val="en-US" w:eastAsia="zh-CN"/>
              </w:rPr>
              <w:t>1.</w:t>
            </w:r>
            <w:r>
              <w:rPr>
                <w:rFonts w:hint="eastAsia" w:ascii="宋体" w:hAnsi="宋体" w:cs="宋体"/>
                <w:lang w:val="zh-CN" w:eastAsia="zh-CN"/>
              </w:rPr>
              <w:t>缴纳金额：中标人须向采购人交纳，为合同价格的1.0%。</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en-US" w:eastAsia="zh-CN"/>
              </w:rPr>
            </w:pPr>
            <w:r>
              <w:rPr>
                <w:rFonts w:hint="eastAsia" w:ascii="宋体" w:hAnsi="宋体" w:cs="宋体"/>
                <w:lang w:val="en-US" w:eastAsia="zh-CN"/>
              </w:rPr>
              <w:t>2.缴纳账号：龙游县体育发展有限公司 中国农业银行龙游县支行1975010101.42620017368</w:t>
            </w:r>
          </w:p>
          <w:p>
            <w:pPr>
              <w:keepNext w:val="0"/>
              <w:keepLines w:val="0"/>
              <w:suppressLineNumbers w:val="0"/>
              <w:spacing w:before="0" w:beforeAutospacing="0" w:after="0" w:afterAutospacing="0" w:line="240" w:lineRule="auto"/>
              <w:ind w:left="0" w:right="0" w:firstLine="0" w:firstLineChars="0"/>
              <w:jc w:val="left"/>
              <w:rPr>
                <w:rFonts w:hint="eastAsia" w:ascii="宋体" w:hAnsi="宋体" w:cs="宋体"/>
                <w:lang w:val="zh-CN" w:eastAsia="zh-CN"/>
              </w:rPr>
            </w:pPr>
            <w:r>
              <w:rPr>
                <w:rFonts w:hint="eastAsia" w:ascii="宋体" w:hAnsi="宋体" w:cs="宋体"/>
                <w:lang w:val="en-US" w:eastAsia="zh-CN"/>
              </w:rPr>
              <w:t>3</w:t>
            </w:r>
            <w:r>
              <w:rPr>
                <w:rFonts w:hint="eastAsia" w:ascii="宋体" w:hAnsi="宋体" w:cs="宋体"/>
                <w:lang w:val="zh-CN" w:eastAsia="zh-CN"/>
              </w:rPr>
              <w:t>.交纳方式：汇票/支票/银行转账/银行保函。</w:t>
            </w:r>
          </w:p>
          <w:p>
            <w:pPr>
              <w:keepNext w:val="0"/>
              <w:keepLines w:val="0"/>
              <w:suppressLineNumbers w:val="0"/>
              <w:spacing w:before="0" w:beforeAutospacing="0" w:after="0" w:afterAutospacing="0" w:line="240" w:lineRule="auto"/>
              <w:ind w:left="0" w:right="0" w:firstLine="0" w:firstLineChars="0"/>
              <w:jc w:val="left"/>
              <w:rPr>
                <w:rFonts w:hint="eastAsia" w:ascii="宋体" w:hAnsi="宋体" w:cs="宋体"/>
                <w:lang w:val="zh-CN" w:eastAsia="zh-CN"/>
              </w:rPr>
            </w:pPr>
            <w:r>
              <w:rPr>
                <w:rFonts w:hint="eastAsia" w:ascii="宋体" w:hAnsi="宋体" w:cs="宋体"/>
                <w:lang w:val="en-US" w:eastAsia="zh-CN"/>
              </w:rPr>
              <w:t>4</w:t>
            </w:r>
            <w:r>
              <w:rPr>
                <w:rFonts w:hint="eastAsia" w:ascii="宋体" w:hAnsi="宋体" w:cs="宋体"/>
                <w:lang w:val="zh-CN" w:eastAsia="zh-CN"/>
              </w:rPr>
              <w:t>.缴纳时间：本项目中标通知书发出后合同签订前。</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en-US" w:eastAsia="zh-CN"/>
              </w:rPr>
              <w:t>5</w:t>
            </w:r>
            <w:r>
              <w:rPr>
                <w:rFonts w:hint="eastAsia" w:ascii="宋体" w:hAnsi="宋体" w:cs="宋体"/>
                <w:lang w:val="zh-CN" w:eastAsia="zh-CN"/>
              </w:rPr>
              <w:t>.退还条件：合同履行结束后且无质量、服务问题且双方交接确认无误后60个自然日内无息退还。</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33</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签订合同时间</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中标通知书发出后30日内</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34</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采购信息发布媒体</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衢州市阳光交易服务平台（https://qzygjy.com/）、浙江省政府采购网（</w:t>
            </w:r>
            <w:r>
              <w:rPr>
                <w:rFonts w:hint="default"/>
              </w:rPr>
              <w:fldChar w:fldCharType="begin"/>
            </w:r>
            <w:r>
              <w:rPr>
                <w:rFonts w:hint="default"/>
              </w:rPr>
              <w:instrText xml:space="preserve"> HYPERLINK "http://zfcg.czt.zj.gov.cn/" </w:instrText>
            </w:r>
            <w:r>
              <w:rPr>
                <w:rFonts w:hint="default"/>
              </w:rPr>
              <w:fldChar w:fldCharType="separate"/>
            </w:r>
            <w:r>
              <w:rPr>
                <w:rFonts w:hint="eastAsia" w:ascii="宋体" w:hAnsi="宋体" w:cs="宋体"/>
                <w:lang w:val="zh-CN"/>
              </w:rPr>
              <w:t>http://zfcg.czt.zj.gov.cn/</w:t>
            </w:r>
            <w:r>
              <w:rPr>
                <w:rFonts w:hint="eastAsia" w:ascii="宋体" w:hAnsi="宋体" w:cs="宋体"/>
                <w:lang w:val="zh-CN"/>
              </w:rPr>
              <w:fldChar w:fldCharType="end"/>
            </w:r>
            <w:r>
              <w:rPr>
                <w:rFonts w:hint="eastAsia" w:ascii="宋体" w:hAnsi="宋体" w:cs="宋体"/>
                <w:lang w:val="zh-CN"/>
              </w:rPr>
              <w:t>）</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35</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落实政府采购政策需满足的要求</w:t>
            </w:r>
          </w:p>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一、中小企业</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color w:val="auto"/>
                <w:lang w:val="zh-CN"/>
              </w:rPr>
            </w:pPr>
            <w:r>
              <w:rPr>
                <w:rFonts w:hint="eastAsia" w:ascii="宋体" w:hAnsi="宋体" w:cs="宋体"/>
                <w:lang w:val="zh-CN"/>
              </w:rPr>
              <w:t>根据财政部工信部《关于印发政府采购促进中小企业发展管理办法的通知》财库〔2020〕46号（以下简称本办法）规定，本项目属于非专门面向中小企业采购，对符合本办法规定的小微企业报</w:t>
            </w:r>
            <w:r>
              <w:rPr>
                <w:rFonts w:hint="eastAsia" w:ascii="宋体" w:hAnsi="宋体" w:cs="宋体"/>
                <w:color w:val="auto"/>
                <w:lang w:val="zh-CN"/>
              </w:rPr>
              <w:t>价给予</w:t>
            </w:r>
            <w:r>
              <w:rPr>
                <w:rFonts w:hint="eastAsia" w:ascii="宋体" w:hAnsi="宋体" w:cs="宋体"/>
                <w:color w:val="auto"/>
                <w:lang w:val="en-US" w:eastAsia="zh-CN"/>
              </w:rPr>
              <w:t>1</w:t>
            </w:r>
            <w:r>
              <w:rPr>
                <w:rFonts w:hint="eastAsia" w:ascii="宋体" w:hAnsi="宋体" w:cs="宋体"/>
                <w:color w:val="auto"/>
                <w:lang w:val="zh-CN"/>
              </w:rPr>
              <w:t>0%的扣除，用扣除后的价格参加评审。</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（1）中小企业划分</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中小企业，是指在中华人民共和国境内依法设立，依据《关于印发中小企业划型标准规定的通知》（工信部联企业〔2011〕300号)确定的中型企业、小型企业和微型企业，但与大企业的负责人为同一人，或者与大企业存在直接控股、管理关系的除外。</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符合中小企业划分标准的个体工商户，在政府采购活动中视同中小企业。</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（2）行业划型标准</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1.项目属性：货物类；采购标的对应所属行业：</w:t>
            </w:r>
            <w:r>
              <w:rPr>
                <w:rFonts w:hint="eastAsia" w:ascii="宋体" w:hAnsi="宋体" w:cs="宋体"/>
                <w:lang w:val="en-US" w:eastAsia="zh-CN"/>
              </w:rPr>
              <w:t>工业</w:t>
            </w:r>
            <w:r>
              <w:rPr>
                <w:rFonts w:hint="eastAsia" w:ascii="宋体" w:hAnsi="宋体" w:cs="宋体"/>
                <w:lang w:val="zh-CN"/>
              </w:rPr>
              <w:t>。</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2.中小企业行业划分标准：</w:t>
            </w:r>
            <w:r>
              <w:rPr>
                <w:rFonts w:hint="eastAsia" w:ascii="宋体" w:hAnsi="宋体" w:eastAsia="宋体" w:cs="宋体"/>
                <w:spacing w:val="0"/>
                <w:sz w:val="24"/>
                <w:szCs w:val="24"/>
                <w:lang w:val="zh-CN" w:eastAsia="zh-CN"/>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（3）在本项目采购活动中，投标人提供的货物或服务符合下列情形的，可享受本办法规定的中小企业扶持政策：</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①货物由中小企业制造，即货物由中小企业生产且使用该中小企业商号或者注册商标，在货物采购项目中，投标人提供的货物既有中小企业制造货物，也有大型企业制造货物的，不享受本办法规定的中小企业扶持政策（本条服务采购项目不适用）。</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②中小企业参加政府采购活动，应当提供《中小企业声明函》。</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（4）不可享受本办法规定的中小企业扶持政策的情形</w:t>
            </w:r>
          </w:p>
          <w:p>
            <w:pPr>
              <w:keepNext w:val="0"/>
              <w:keepLines w:val="0"/>
              <w:suppressLineNumbers w:val="0"/>
              <w:spacing w:before="0" w:beforeAutospacing="0" w:after="0" w:afterAutospacing="0" w:line="240" w:lineRule="auto"/>
              <w:ind w:left="0" w:right="0" w:firstLine="0" w:firstLineChars="0"/>
              <w:jc w:val="left"/>
              <w:rPr>
                <w:rFonts w:hint="eastAsia" w:ascii="宋体" w:hAnsi="宋体" w:cs="宋体"/>
                <w:lang w:val="zh-CN"/>
              </w:rPr>
            </w:pPr>
            <w:r>
              <w:rPr>
                <w:rFonts w:hint="eastAsia" w:ascii="宋体" w:hAnsi="宋体" w:cs="宋体"/>
                <w:lang w:val="zh-CN"/>
              </w:rPr>
              <w:t>①未提供《中小企业声明函》，或者提供的《中小企业声明函》不符合相关规定。</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en-US" w:eastAsia="zh-CN"/>
              </w:rPr>
              <w:t>②</w:t>
            </w:r>
            <w:r>
              <w:rPr>
                <w:rFonts w:hint="eastAsia" w:ascii="宋体" w:hAnsi="宋体" w:cs="宋体"/>
                <w:lang w:val="zh-CN"/>
              </w:rPr>
              <w:t>监狱企业、残疾人福利性单位属于小型微型企业的，不重复享受小微企业优惠政策。</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en-US" w:eastAsia="zh-CN"/>
              </w:rPr>
              <w:t>③</w:t>
            </w:r>
            <w:r>
              <w:rPr>
                <w:rFonts w:hint="eastAsia" w:ascii="宋体" w:hAnsi="宋体" w:cs="宋体"/>
                <w:lang w:val="zh-CN"/>
              </w:rPr>
              <w:t>事业单位和社会团体不属于企业，不享受小微企业扶持政策。</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二、监狱企业</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（1）根据财政部、司法部《关于政府采购支持监狱企业发展有关问题的通知》(财库〔2014〕68号)文件精神,监狱企业视同小微企业。</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（2）监狱企业应当提供《监狱企业声明函》及由省级以上监狱管理局、戒毒管理局(含新疆生产建设兵团)出具的属于监狱企业的证明文件,否则不予认可。</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三、残疾人福利性单位</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（1）根据财政部 民政部 中国残疾人联合会《关于促进残疾人就业政府采购政策的通知》(财库〔2017〕141号)文件精神,残疾人福利性单位视同小微企业。</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（2）残疾人福利性单位应当提供《残疾人福利性单位声明函》,否则不予认可。</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36</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投标人质疑</w:t>
            </w:r>
          </w:p>
        </w:tc>
        <w:tc>
          <w:tcPr>
            <w:tcW w:w="7202" w:type="dxa"/>
            <w:vAlign w:val="center"/>
          </w:tcPr>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 xml:space="preserve">名  称：衢州宇信工程咨询有限公司  </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cs="宋体"/>
                <w:lang w:val="zh-CN"/>
              </w:rPr>
            </w:pPr>
            <w:r>
              <w:rPr>
                <w:rFonts w:hint="eastAsia" w:ascii="宋体" w:hAnsi="宋体" w:cs="宋体"/>
                <w:lang w:val="zh-CN"/>
              </w:rPr>
              <w:t>地址：龙游县荣昌路广和商务楼306室</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eastAsia="宋体" w:cs="宋体"/>
                <w:lang w:val="en-US" w:eastAsia="zh-CN"/>
              </w:rPr>
            </w:pPr>
            <w:r>
              <w:rPr>
                <w:rFonts w:hint="eastAsia" w:ascii="宋体" w:hAnsi="宋体" w:cs="宋体"/>
                <w:lang w:val="zh-CN"/>
              </w:rPr>
              <w:t>质疑联系人：</w:t>
            </w:r>
            <w:r>
              <w:rPr>
                <w:rFonts w:hint="eastAsia" w:ascii="宋体" w:hAnsi="宋体" w:cs="宋体"/>
                <w:lang w:val="en-US" w:eastAsia="zh-CN"/>
              </w:rPr>
              <w:t>李女士</w:t>
            </w:r>
          </w:p>
          <w:p>
            <w:pPr>
              <w:keepNext w:val="0"/>
              <w:keepLines w:val="0"/>
              <w:suppressLineNumbers w:val="0"/>
              <w:spacing w:before="0" w:beforeAutospacing="0" w:after="0" w:afterAutospacing="0" w:line="240" w:lineRule="auto"/>
              <w:ind w:left="0" w:right="0" w:firstLine="0" w:firstLineChars="0"/>
              <w:jc w:val="left"/>
              <w:rPr>
                <w:rFonts w:hint="default" w:ascii="宋体" w:hAnsi="宋体" w:eastAsia="宋体" w:cs="宋体"/>
                <w:lang w:val="en-US" w:eastAsia="zh-CN"/>
              </w:rPr>
            </w:pPr>
            <w:r>
              <w:rPr>
                <w:rFonts w:hint="eastAsia" w:ascii="宋体" w:hAnsi="宋体" w:cs="宋体"/>
                <w:lang w:val="zh-CN"/>
              </w:rPr>
              <w:t>质疑联系方式：</w:t>
            </w:r>
            <w:r>
              <w:rPr>
                <w:rFonts w:hint="eastAsia" w:ascii="宋体" w:hAnsi="宋体" w:cs="宋体"/>
                <w:lang w:val="en-US" w:eastAsia="zh-CN"/>
              </w:rPr>
              <w:t>18857006783</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37</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投标人投诉</w:t>
            </w:r>
          </w:p>
        </w:tc>
        <w:tc>
          <w:tcPr>
            <w:tcW w:w="7202" w:type="dxa"/>
            <w:vAlign w:val="center"/>
          </w:tcPr>
          <w:p>
            <w:pPr>
              <w:keepNext w:val="0"/>
              <w:keepLines w:val="0"/>
              <w:widowControl/>
              <w:suppressLineNumbers w:val="0"/>
              <w:spacing w:before="0" w:beforeAutospacing="0" w:after="0" w:afterAutospacing="0" w:line="312" w:lineRule="auto"/>
              <w:ind w:left="0" w:leftChars="0" w:right="0" w:firstLine="0" w:firstLineChars="0"/>
              <w:jc w:val="left"/>
              <w:rPr>
                <w:rFonts w:hint="eastAsia" w:ascii="宋体" w:hAnsi="宋体" w:eastAsia="宋体" w:cs="宋体"/>
                <w:bCs/>
                <w:highlight w:val="none"/>
                <w:lang w:eastAsia="zh-CN"/>
              </w:rPr>
            </w:pPr>
            <w:r>
              <w:rPr>
                <w:rFonts w:hint="eastAsia" w:ascii="宋体" w:hAnsi="宋体" w:cs="宋体"/>
                <w:highlight w:val="none"/>
                <w:lang w:val="zh-CN"/>
              </w:rPr>
              <w:t>名称：</w:t>
            </w:r>
            <w:r>
              <w:rPr>
                <w:rFonts w:hint="eastAsia" w:ascii="宋体" w:hAnsi="宋体" w:cs="宋体"/>
                <w:bCs/>
                <w:highlight w:val="none"/>
                <w:lang w:eastAsia="zh-CN"/>
              </w:rPr>
              <w:t>龙游县</w:t>
            </w:r>
            <w:r>
              <w:rPr>
                <w:rFonts w:hint="eastAsia" w:ascii="宋体" w:hAnsi="宋体" w:cs="宋体"/>
                <w:bCs/>
                <w:highlight w:val="none"/>
                <w:lang w:val="en-US" w:eastAsia="zh-CN"/>
              </w:rPr>
              <w:t>文化旅游发展</w:t>
            </w:r>
            <w:r>
              <w:rPr>
                <w:rFonts w:hint="eastAsia" w:ascii="宋体" w:hAnsi="宋体" w:cs="宋体"/>
                <w:bCs/>
                <w:highlight w:val="none"/>
                <w:lang w:eastAsia="zh-CN"/>
              </w:rPr>
              <w:t>有限公司</w:t>
            </w:r>
          </w:p>
          <w:p>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highlight w:val="none"/>
                <w:lang w:val="en-US" w:eastAsia="zh-CN"/>
              </w:rPr>
            </w:pPr>
            <w:r>
              <w:rPr>
                <w:rFonts w:hint="eastAsia" w:ascii="宋体" w:hAnsi="宋体" w:cs="宋体"/>
                <w:bCs/>
                <w:highlight w:val="none"/>
                <w:lang w:val="zh-CN"/>
              </w:rPr>
              <w:t>地址：</w:t>
            </w:r>
            <w:r>
              <w:rPr>
                <w:rFonts w:hint="eastAsia" w:cs="宋体"/>
                <w:szCs w:val="22"/>
                <w:highlight w:val="none"/>
                <w:lang w:eastAsia="zh-CN"/>
              </w:rPr>
              <w:t>龙游县宝塔路46号</w:t>
            </w:r>
          </w:p>
          <w:p>
            <w:pPr>
              <w:keepNext w:val="0"/>
              <w:keepLines w:val="0"/>
              <w:suppressLineNumbers w:val="0"/>
              <w:spacing w:before="0" w:beforeAutospacing="0" w:after="0" w:afterAutospacing="0" w:line="240" w:lineRule="auto"/>
              <w:ind w:left="0" w:right="0" w:firstLine="0" w:firstLineChars="0"/>
              <w:jc w:val="left"/>
              <w:rPr>
                <w:rFonts w:hint="eastAsia" w:ascii="宋体" w:hAnsi="宋体" w:cs="宋体"/>
                <w:highlight w:val="none"/>
                <w:lang w:val="zh-CN"/>
              </w:rPr>
            </w:pPr>
            <w:r>
              <w:rPr>
                <w:rFonts w:hint="eastAsia" w:ascii="宋体" w:hAnsi="宋体" w:cs="宋体"/>
                <w:highlight w:val="none"/>
                <w:lang w:val="zh-CN"/>
              </w:rPr>
              <w:t>联系人：郑先生</w:t>
            </w:r>
            <w:r>
              <w:rPr>
                <w:rFonts w:hint="eastAsia" w:ascii="宋体" w:hAnsi="宋体" w:cs="宋体"/>
                <w:highlight w:val="none"/>
                <w:lang w:val="zh-CN"/>
              </w:rPr>
              <w:tab/>
            </w:r>
          </w:p>
          <w:p>
            <w:pPr>
              <w:keepNext w:val="0"/>
              <w:keepLines w:val="0"/>
              <w:suppressLineNumbers w:val="0"/>
              <w:spacing w:before="0" w:beforeAutospacing="0" w:after="0" w:afterAutospacing="0" w:line="240" w:lineRule="auto"/>
              <w:ind w:left="0" w:right="0" w:firstLine="0" w:firstLineChars="0"/>
              <w:jc w:val="left"/>
              <w:rPr>
                <w:rFonts w:hint="eastAsia" w:ascii="宋体" w:hAnsi="宋体" w:eastAsia="宋体" w:cs="宋体"/>
                <w:lang w:val="zh-CN" w:eastAsia="zh-CN"/>
              </w:rPr>
            </w:pPr>
            <w:r>
              <w:rPr>
                <w:rFonts w:hint="eastAsia" w:ascii="宋体" w:hAnsi="宋体" w:cs="宋体"/>
                <w:highlight w:val="none"/>
                <w:lang w:val="zh-CN"/>
              </w:rPr>
              <w:t>监督投诉方式：13306700888</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5"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rPr>
            </w:pPr>
            <w:r>
              <w:rPr>
                <w:rFonts w:hint="eastAsia" w:ascii="宋体" w:hAnsi="宋体" w:cs="宋体"/>
              </w:rPr>
              <w:t>38</w:t>
            </w:r>
          </w:p>
        </w:tc>
        <w:tc>
          <w:tcPr>
            <w:tcW w:w="2013" w:type="dxa"/>
            <w:vAlign w:val="center"/>
          </w:tcPr>
          <w:p>
            <w:pPr>
              <w:keepNext w:val="0"/>
              <w:keepLines w:val="0"/>
              <w:suppressLineNumbers w:val="0"/>
              <w:spacing w:before="0" w:beforeAutospacing="0" w:after="0" w:afterAutospacing="0" w:line="240" w:lineRule="auto"/>
              <w:ind w:left="0" w:right="0" w:firstLine="0" w:firstLineChars="0"/>
              <w:jc w:val="center"/>
              <w:rPr>
                <w:rFonts w:hint="default" w:ascii="宋体" w:hAnsi="宋体" w:cs="宋体"/>
                <w:lang w:val="zh-CN"/>
              </w:rPr>
            </w:pPr>
            <w:r>
              <w:rPr>
                <w:rFonts w:hint="eastAsia" w:ascii="宋体" w:hAnsi="宋体" w:cs="宋体"/>
                <w:lang w:val="zh-CN"/>
              </w:rPr>
              <w:t>解释权</w:t>
            </w:r>
          </w:p>
        </w:tc>
        <w:tc>
          <w:tcPr>
            <w:tcW w:w="7202" w:type="dxa"/>
            <w:vAlign w:val="center"/>
          </w:tcPr>
          <w:p>
            <w:pPr>
              <w:keepNext w:val="0"/>
              <w:keepLines w:val="0"/>
              <w:suppressLineNumbers w:val="0"/>
              <w:spacing w:before="0" w:beforeAutospacing="0" w:after="0" w:afterAutospacing="0"/>
              <w:ind w:left="0" w:right="0" w:firstLine="0" w:firstLineChars="0"/>
              <w:jc w:val="left"/>
              <w:rPr>
                <w:rFonts w:hint="default" w:ascii="宋体" w:hAnsi="宋体" w:cs="宋体"/>
                <w:lang w:val="zh-CN"/>
              </w:rPr>
            </w:pPr>
            <w:r>
              <w:rPr>
                <w:rFonts w:hint="eastAsia" w:ascii="宋体" w:hAnsi="宋体" w:cs="宋体"/>
                <w:lang w:val="zh-CN"/>
              </w:rPr>
              <w:t>本文件的解释权属于采购人</w:t>
            </w:r>
          </w:p>
        </w:tc>
      </w:tr>
    </w:tbl>
    <w:p>
      <w:pPr>
        <w:pStyle w:val="5"/>
        <w:numPr>
          <w:ilvl w:val="1"/>
          <w:numId w:val="0"/>
        </w:numPr>
        <w:tabs>
          <w:tab w:val="left" w:pos="480"/>
        </w:tabs>
        <w:spacing w:beforeLines="0" w:afterLines="0"/>
        <w:rPr>
          <w:rFonts w:ascii="宋体" w:hAnsi="宋体" w:cs="宋体"/>
          <w:b/>
          <w:bCs w:val="0"/>
          <w:lang w:bidi="ar"/>
        </w:rPr>
      </w:pPr>
      <w:bookmarkStart w:id="367" w:name="_Toc5088"/>
      <w:bookmarkStart w:id="368" w:name="_Toc7356"/>
      <w:bookmarkStart w:id="369" w:name="_Toc12264"/>
      <w:bookmarkStart w:id="370" w:name="_Toc8910"/>
      <w:bookmarkStart w:id="371" w:name="_Toc19328"/>
      <w:r>
        <w:rPr>
          <w:rFonts w:hint="eastAsia" w:ascii="宋体" w:hAnsi="宋体" w:cs="宋体"/>
          <w:b/>
          <w:bCs w:val="0"/>
          <w:lang w:bidi="ar"/>
        </w:rPr>
        <w:t>二、</w:t>
      </w:r>
      <w:bookmarkEnd w:id="315"/>
      <w:bookmarkEnd w:id="316"/>
      <w:bookmarkEnd w:id="317"/>
      <w:bookmarkEnd w:id="318"/>
      <w:bookmarkEnd w:id="319"/>
      <w:bookmarkEnd w:id="320"/>
      <w:r>
        <w:rPr>
          <w:rFonts w:hint="eastAsia" w:ascii="宋体" w:hAnsi="宋体" w:cs="宋体"/>
          <w:b/>
          <w:bCs w:val="0"/>
          <w:lang w:bidi="ar"/>
        </w:rPr>
        <w:t>总 则</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67"/>
      <w:bookmarkEnd w:id="368"/>
      <w:bookmarkEnd w:id="369"/>
      <w:bookmarkEnd w:id="370"/>
      <w:bookmarkEnd w:id="371"/>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编制依据</w:t>
      </w:r>
    </w:p>
    <w:p>
      <w:pPr>
        <w:pStyle w:val="33"/>
        <w:widowControl w:val="0"/>
        <w:adjustRightInd w:val="0"/>
        <w:snapToGrid w:val="0"/>
        <w:spacing w:line="312" w:lineRule="auto"/>
        <w:ind w:firstLine="480"/>
        <w:jc w:val="both"/>
        <w:rPr>
          <w:rFonts w:ascii="宋体" w:hAnsi="宋体" w:cs="宋体"/>
        </w:rPr>
      </w:pPr>
      <w:r>
        <w:rPr>
          <w:rFonts w:hint="eastAsia" w:ascii="宋体" w:hAnsi="宋体" w:cs="宋体"/>
        </w:rPr>
        <w:t>根据《龙游县国有企业采购管理办法》（龙政办发〔2021〕58号），参照《中华人民共和国政府采购法》《中华人民共和国政府采购法实施条例》以及政府采购有关规定，编制本招标文件。</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定 义</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bCs/>
          <w:snapToGrid w:val="0"/>
        </w:rPr>
        <w:t>采购人，是指本次采购货物或服务的购买单位。</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投标人，是指响应招标、参加投标竞争的法人。</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采购代理机构（采购组织机构），是指</w:t>
      </w:r>
      <w:r>
        <w:rPr>
          <w:rFonts w:hint="eastAsia" w:ascii="宋体" w:hAnsi="宋体" w:cs="宋体"/>
          <w:shd w:val="clear" w:color="auto" w:fill="FFFFFF"/>
        </w:rPr>
        <w:t>在采购活动中根据</w:t>
      </w:r>
      <w:r>
        <w:fldChar w:fldCharType="begin"/>
      </w:r>
      <w:r>
        <w:instrText xml:space="preserve"> HYPERLINK "http://www.so.com/s?q=%E9%87%87%E8%B4%AD%E4%BA%BA&amp;ie=utf-8&amp;src=internal_wenda_recommend_textn" \t "https://wenda.so.com/q/_blank" </w:instrText>
      </w:r>
      <w:r>
        <w:fldChar w:fldCharType="separate"/>
      </w:r>
      <w:r>
        <w:rPr>
          <w:rStyle w:val="43"/>
          <w:rFonts w:hint="eastAsia" w:ascii="宋体" w:hAnsi="宋体" w:cs="宋体"/>
          <w:color w:val="auto"/>
          <w:shd w:val="clear" w:color="auto" w:fill="FFFFFF"/>
        </w:rPr>
        <w:t>采购人</w:t>
      </w:r>
      <w:r>
        <w:rPr>
          <w:rStyle w:val="43"/>
          <w:rFonts w:hint="eastAsia" w:ascii="宋体" w:hAnsi="宋体" w:cs="宋体"/>
          <w:color w:val="auto"/>
          <w:shd w:val="clear" w:color="auto" w:fill="FFFFFF"/>
        </w:rPr>
        <w:fldChar w:fldCharType="end"/>
      </w:r>
      <w:r>
        <w:rPr>
          <w:rFonts w:hint="eastAsia" w:ascii="宋体" w:hAnsi="宋体" w:cs="宋体"/>
          <w:shd w:val="clear" w:color="auto" w:fill="FFFFFF"/>
        </w:rPr>
        <w:t>的委托代理采购</w:t>
      </w:r>
      <w:r>
        <w:fldChar w:fldCharType="begin"/>
      </w:r>
      <w:r>
        <w:instrText xml:space="preserve"> HYPERLINK "http://www.so.com/s?q=%E4%BA%8B%E5%AE%9C&amp;ie=utf-8&amp;src=internal_wenda_recommend_textn" \t "https://wenda.so.com/q/_blank" </w:instrText>
      </w:r>
      <w:r>
        <w:fldChar w:fldCharType="separate"/>
      </w:r>
      <w:r>
        <w:rPr>
          <w:rStyle w:val="43"/>
          <w:rFonts w:hint="eastAsia" w:ascii="宋体" w:hAnsi="宋体" w:cs="宋体"/>
          <w:color w:val="auto"/>
          <w:shd w:val="clear" w:color="auto" w:fill="FFFFFF"/>
        </w:rPr>
        <w:t>事宜</w:t>
      </w:r>
      <w:r>
        <w:rPr>
          <w:rStyle w:val="43"/>
          <w:rFonts w:hint="eastAsia" w:ascii="宋体" w:hAnsi="宋体" w:cs="宋体"/>
          <w:color w:val="auto"/>
          <w:shd w:val="clear" w:color="auto" w:fill="FFFFFF"/>
        </w:rPr>
        <w:fldChar w:fldCharType="end"/>
      </w:r>
      <w:r>
        <w:rPr>
          <w:rFonts w:hint="eastAsia" w:ascii="宋体" w:hAnsi="宋体" w:cs="宋体"/>
          <w:shd w:val="clear" w:color="auto" w:fill="FFFFFF"/>
        </w:rPr>
        <w:t>的机构</w:t>
      </w:r>
      <w:r>
        <w:rPr>
          <w:rFonts w:hint="eastAsia" w:ascii="宋体" w:hAnsi="宋体" w:cs="宋体"/>
        </w:rPr>
        <w:t>。</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原件，是指原始件（即：资料生成时的原始形态，包括所加盖的印章、相关人员的签字笔迹等均是原始印痕、印迹和行迹）。</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书面形式，包括文字的打印或复印件、传真、信函、电传、电报、</w:t>
      </w:r>
      <w:r>
        <w:rPr>
          <w:rFonts w:hint="eastAsia" w:ascii="宋体" w:hAnsi="宋体" w:cs="宋体"/>
          <w:shd w:val="clear" w:color="auto" w:fill="FFFFFF"/>
        </w:rPr>
        <w:t>电子邮件、</w:t>
      </w:r>
      <w:r>
        <w:rPr>
          <w:rFonts w:hint="eastAsia" w:ascii="宋体" w:hAnsi="宋体" w:cs="宋体"/>
          <w:lang w:val="zh-CN"/>
        </w:rPr>
        <w:t>衢州市阳光交易服务平台、</w:t>
      </w:r>
      <w:r>
        <w:rPr>
          <w:rFonts w:hint="eastAsia" w:ascii="宋体" w:hAnsi="宋体" w:cs="宋体"/>
        </w:rPr>
        <w:t>浙江政府采购网网站发布的公告</w:t>
      </w:r>
      <w:r>
        <w:rPr>
          <w:rFonts w:hint="eastAsia" w:ascii="宋体" w:hAnsi="宋体" w:cs="宋体"/>
          <w:shd w:val="clear" w:color="auto" w:fill="FFFFFF"/>
        </w:rPr>
        <w:t>等可以有形地表现所载内容的形式。</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bCs/>
        </w:rPr>
        <w:t>投标人公章，</w:t>
      </w:r>
      <w:r>
        <w:rPr>
          <w:rFonts w:hint="eastAsia" w:ascii="宋体" w:hAnsi="宋体" w:cs="宋体"/>
        </w:rPr>
        <w:t>是指投标人</w:t>
      </w:r>
      <w:r>
        <w:rPr>
          <w:rFonts w:hint="eastAsia" w:ascii="宋体" w:hAnsi="宋体" w:cs="宋体"/>
          <w:color w:val="333333"/>
          <w:shd w:val="clear" w:color="auto" w:fill="FFFFFF"/>
        </w:rPr>
        <w:t>用自己法定主体行为名称制作的签名印章</w:t>
      </w:r>
      <w:r>
        <w:rPr>
          <w:rFonts w:hint="eastAsia" w:ascii="宋体" w:hAnsi="宋体" w:cs="宋体"/>
        </w:rPr>
        <w:t>。</w:t>
      </w:r>
      <w:r>
        <w:rPr>
          <w:rFonts w:hint="eastAsia" w:ascii="宋体" w:hAnsi="宋体" w:cs="宋体"/>
          <w:bCs/>
        </w:rPr>
        <w:t>不得使用专用章（如经济合同章、投标专用章、业务专用章等）或下属单位印章代替。</w:t>
      </w:r>
    </w:p>
    <w:p>
      <w:pPr>
        <w:pStyle w:val="33"/>
        <w:widowControl w:val="0"/>
        <w:numPr>
          <w:ilvl w:val="1"/>
          <w:numId w:val="5"/>
        </w:numPr>
        <w:adjustRightInd w:val="0"/>
        <w:snapToGrid w:val="0"/>
        <w:spacing w:line="312" w:lineRule="auto"/>
        <w:ind w:left="0" w:firstLine="480"/>
        <w:jc w:val="both"/>
        <w:rPr>
          <w:rFonts w:ascii="宋体" w:hAnsi="宋体" w:cs="宋体"/>
          <w:bCs/>
        </w:rPr>
      </w:pPr>
      <w:r>
        <w:rPr>
          <w:rFonts w:hint="eastAsia" w:ascii="宋体" w:hAnsi="宋体" w:cs="宋体"/>
          <w:bCs/>
        </w:rPr>
        <w:t>“▲”是投标人按本招标文件要求必须实质性响应的条款，有任何一项缺失或非实质性响应将取消其投标资格。</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采购方式</w:t>
      </w:r>
    </w:p>
    <w:p>
      <w:pPr>
        <w:pStyle w:val="33"/>
        <w:widowControl w:val="0"/>
        <w:numPr>
          <w:ilvl w:val="1"/>
          <w:numId w:val="5"/>
        </w:numPr>
        <w:adjustRightInd w:val="0"/>
        <w:snapToGrid w:val="0"/>
        <w:spacing w:line="312" w:lineRule="auto"/>
        <w:ind w:left="0" w:firstLine="480"/>
        <w:jc w:val="both"/>
        <w:rPr>
          <w:rFonts w:ascii="宋体" w:hAnsi="宋体" w:cs="宋体"/>
          <w:lang w:val="zh-CN"/>
        </w:rPr>
      </w:pPr>
      <w:r>
        <w:rPr>
          <w:rFonts w:hint="eastAsia" w:ascii="宋体" w:hAnsi="宋体" w:cs="宋体"/>
        </w:rPr>
        <w:t>采购组织形式国企采购委托代理。</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lang w:val="zh-CN"/>
        </w:rPr>
        <w:t>采取</w:t>
      </w:r>
      <w:r>
        <w:rPr>
          <w:rFonts w:hint="eastAsia" w:ascii="宋体" w:hAnsi="宋体" w:cs="宋体"/>
        </w:rPr>
        <w:t>公开招标采购方式。</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合格的投标人</w:t>
      </w:r>
    </w:p>
    <w:p>
      <w:pPr>
        <w:pStyle w:val="33"/>
        <w:widowControl w:val="0"/>
        <w:adjustRightInd w:val="0"/>
        <w:snapToGrid w:val="0"/>
        <w:spacing w:line="312" w:lineRule="auto"/>
        <w:ind w:firstLine="480"/>
        <w:jc w:val="both"/>
        <w:rPr>
          <w:rFonts w:ascii="宋体" w:hAnsi="宋体" w:cs="宋体"/>
        </w:rPr>
      </w:pPr>
      <w:r>
        <w:rPr>
          <w:rFonts w:hint="eastAsia" w:ascii="宋体" w:hAnsi="宋体" w:cs="宋体"/>
        </w:rPr>
        <w:t>合格的投标人应具备以下条件：</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color w:val="000000"/>
        </w:rPr>
        <w:t>具备法律法规和本采购文件规定的资格条件；</w:t>
      </w:r>
    </w:p>
    <w:p>
      <w:pPr>
        <w:pStyle w:val="33"/>
        <w:widowControl w:val="0"/>
        <w:numPr>
          <w:ilvl w:val="1"/>
          <w:numId w:val="5"/>
        </w:numPr>
        <w:adjustRightInd w:val="0"/>
        <w:snapToGrid w:val="0"/>
        <w:spacing w:line="312" w:lineRule="auto"/>
        <w:ind w:left="0" w:firstLine="464"/>
        <w:jc w:val="both"/>
        <w:rPr>
          <w:rFonts w:ascii="宋体" w:hAnsi="宋体" w:cs="宋体"/>
        </w:rPr>
      </w:pPr>
      <w:r>
        <w:rPr>
          <w:rFonts w:hint="eastAsia" w:ascii="宋体" w:hAnsi="宋体" w:cs="宋体"/>
          <w:color w:val="000000"/>
          <w:spacing w:val="-4"/>
        </w:rPr>
        <w:t>不属于限制参加本项目采购活动的</w:t>
      </w:r>
      <w:r>
        <w:rPr>
          <w:rFonts w:hint="eastAsia" w:ascii="宋体" w:hAnsi="宋体" w:cs="宋体"/>
          <w:spacing w:val="-4"/>
        </w:rPr>
        <w:t>投标人</w:t>
      </w:r>
      <w:r>
        <w:rPr>
          <w:rFonts w:hint="eastAsia" w:ascii="宋体" w:hAnsi="宋体" w:cs="宋体"/>
        </w:rPr>
        <w:t>；</w:t>
      </w:r>
    </w:p>
    <w:p>
      <w:pPr>
        <w:pStyle w:val="33"/>
        <w:widowControl w:val="0"/>
        <w:numPr>
          <w:ilvl w:val="1"/>
          <w:numId w:val="5"/>
        </w:numPr>
        <w:adjustRightInd w:val="0"/>
        <w:snapToGrid w:val="0"/>
        <w:spacing w:line="312" w:lineRule="auto"/>
        <w:ind w:left="0" w:firstLine="464"/>
        <w:jc w:val="both"/>
        <w:rPr>
          <w:rFonts w:ascii="宋体" w:hAnsi="宋体" w:cs="宋体"/>
        </w:rPr>
      </w:pPr>
      <w:r>
        <w:rPr>
          <w:rFonts w:hint="eastAsia" w:ascii="宋体" w:hAnsi="宋体" w:cs="宋体"/>
          <w:color w:val="000000"/>
          <w:spacing w:val="-4"/>
        </w:rPr>
        <w:t>按照规定</w:t>
      </w:r>
      <w:r>
        <w:rPr>
          <w:rFonts w:hint="eastAsia" w:ascii="宋体" w:hAnsi="宋体" w:cs="宋体"/>
          <w:color w:val="000000"/>
        </w:rPr>
        <w:t>获取了招标文件，属于实质性参加本次采购活动的投标人</w:t>
      </w:r>
      <w:r>
        <w:rPr>
          <w:rFonts w:hint="eastAsia" w:ascii="宋体" w:hAnsi="宋体" w:cs="宋体"/>
        </w:rPr>
        <w:t>。</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对投标人的限制</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拒绝不良信用记录的投标人参加本项目的采购活动。</w:t>
      </w:r>
    </w:p>
    <w:p>
      <w:pPr>
        <w:pStyle w:val="148"/>
        <w:widowControl w:val="0"/>
        <w:numPr>
          <w:ilvl w:val="2"/>
          <w:numId w:val="6"/>
        </w:numPr>
        <w:adjustRightInd w:val="0"/>
        <w:snapToGrid w:val="0"/>
        <w:spacing w:line="312" w:lineRule="auto"/>
        <w:ind w:left="0" w:firstLine="480" w:firstLineChars="200"/>
        <w:jc w:val="both"/>
        <w:rPr>
          <w:rFonts w:ascii="宋体" w:hAnsi="宋体" w:cs="宋体"/>
          <w:sz w:val="24"/>
          <w:szCs w:val="24"/>
          <w:lang w:eastAsia="zh-CN"/>
        </w:rPr>
      </w:pPr>
      <w:r>
        <w:rPr>
          <w:rFonts w:hint="eastAsia" w:ascii="宋体" w:hAnsi="宋体" w:cs="宋体"/>
          <w:sz w:val="24"/>
          <w:szCs w:val="24"/>
        </w:rPr>
        <w:t>不良信用记录</w:t>
      </w:r>
      <w:r>
        <w:rPr>
          <w:rFonts w:hint="eastAsia" w:ascii="宋体" w:hAnsi="宋体" w:cs="宋体"/>
          <w:sz w:val="24"/>
          <w:szCs w:val="24"/>
          <w:lang w:eastAsia="zh-CN"/>
        </w:rPr>
        <w:t>是</w:t>
      </w:r>
      <w:r>
        <w:rPr>
          <w:rFonts w:hint="eastAsia" w:ascii="宋体" w:hAnsi="宋体" w:cs="宋体"/>
          <w:sz w:val="24"/>
          <w:szCs w:val="24"/>
        </w:rPr>
        <w:t>指：</w:t>
      </w:r>
      <w:r>
        <w:rPr>
          <w:rFonts w:hint="eastAsia" w:ascii="宋体" w:hAnsi="宋体" w:cs="宋体"/>
          <w:sz w:val="24"/>
          <w:szCs w:val="24"/>
          <w:lang w:eastAsia="zh-CN"/>
        </w:rPr>
        <w:t>被</w:t>
      </w:r>
      <w:r>
        <w:rPr>
          <w:rFonts w:hint="eastAsia" w:ascii="宋体" w:hAnsi="宋体" w:cs="宋体"/>
          <w:sz w:val="24"/>
          <w:szCs w:val="24"/>
        </w:rPr>
        <w:t>信用中国网站（www.creditchina.gov.cn）</w:t>
      </w:r>
      <w:r>
        <w:rPr>
          <w:rFonts w:hint="eastAsia" w:ascii="宋体" w:hAnsi="宋体" w:cs="宋体"/>
          <w:sz w:val="24"/>
          <w:szCs w:val="24"/>
          <w:shd w:val="clear" w:color="auto" w:fill="FFFFFF"/>
        </w:rPr>
        <w:t>列入失信被执行人、重大税收违法案件当事人名单、政府采购严重违法失信名单</w:t>
      </w:r>
      <w:r>
        <w:rPr>
          <w:rFonts w:hint="eastAsia" w:ascii="宋体" w:hAnsi="宋体" w:cs="宋体"/>
          <w:sz w:val="24"/>
          <w:szCs w:val="24"/>
          <w:shd w:val="clear" w:color="auto" w:fill="FFFFFF"/>
          <w:lang w:eastAsia="zh-CN"/>
        </w:rPr>
        <w:t>的，</w:t>
      </w:r>
      <w:r>
        <w:rPr>
          <w:rFonts w:hint="eastAsia" w:ascii="宋体" w:hAnsi="宋体" w:cs="宋体"/>
          <w:sz w:val="24"/>
          <w:szCs w:val="24"/>
          <w:lang w:eastAsia="zh-CN"/>
        </w:rPr>
        <w:t>被</w:t>
      </w:r>
      <w:r>
        <w:rPr>
          <w:rFonts w:hint="eastAsia" w:ascii="宋体" w:hAnsi="宋体" w:cs="宋体"/>
          <w:sz w:val="24"/>
          <w:szCs w:val="24"/>
        </w:rPr>
        <w:t>中国政府采购网（www.ccgp.gov.cn）</w:t>
      </w:r>
      <w:r>
        <w:rPr>
          <w:rFonts w:hint="eastAsia" w:ascii="宋体" w:hAnsi="宋体" w:cs="宋体"/>
          <w:sz w:val="24"/>
          <w:szCs w:val="24"/>
          <w:shd w:val="clear" w:color="auto" w:fill="FFFFFF"/>
        </w:rPr>
        <w:t>列入政府采购严重违法失信行为</w:t>
      </w:r>
      <w:r>
        <w:rPr>
          <w:rFonts w:hint="eastAsia" w:ascii="宋体" w:hAnsi="宋体" w:cs="宋体"/>
          <w:sz w:val="24"/>
          <w:szCs w:val="24"/>
          <w:shd w:val="clear" w:color="auto" w:fill="FFFFFF"/>
          <w:lang w:eastAsia="zh-CN"/>
        </w:rPr>
        <w:t>信用</w:t>
      </w:r>
      <w:r>
        <w:rPr>
          <w:rFonts w:hint="eastAsia" w:ascii="宋体" w:hAnsi="宋体" w:cs="宋体"/>
          <w:sz w:val="24"/>
          <w:szCs w:val="24"/>
          <w:shd w:val="clear" w:color="auto" w:fill="FFFFFF"/>
        </w:rPr>
        <w:t>记录名单</w:t>
      </w:r>
      <w:r>
        <w:rPr>
          <w:rFonts w:hint="eastAsia" w:ascii="宋体" w:hAnsi="宋体" w:cs="宋体"/>
          <w:sz w:val="24"/>
          <w:szCs w:val="24"/>
        </w:rPr>
        <w:t>且在处罚有效期内的</w:t>
      </w:r>
      <w:r>
        <w:rPr>
          <w:rFonts w:hint="eastAsia" w:ascii="宋体" w:hAnsi="宋体" w:cs="宋体"/>
          <w:sz w:val="24"/>
          <w:szCs w:val="24"/>
          <w:lang w:eastAsia="zh-CN"/>
        </w:rPr>
        <w:t>（投标截止之日追溯三年）</w:t>
      </w:r>
      <w:r>
        <w:rPr>
          <w:rFonts w:hint="eastAsia" w:ascii="宋体" w:hAnsi="宋体" w:cs="宋体"/>
          <w:sz w:val="24"/>
          <w:szCs w:val="24"/>
          <w:shd w:val="clear" w:color="auto" w:fill="FFFFFF"/>
          <w:lang w:eastAsia="zh-CN"/>
        </w:rPr>
        <w:t>，</w:t>
      </w:r>
      <w:r>
        <w:rPr>
          <w:rFonts w:hint="eastAsia" w:ascii="宋体" w:hAnsi="宋体" w:cs="宋体"/>
          <w:sz w:val="24"/>
          <w:szCs w:val="24"/>
          <w:lang w:eastAsia="zh-CN"/>
        </w:rPr>
        <w:t>被</w:t>
      </w:r>
      <w:r>
        <w:rPr>
          <w:rFonts w:hint="eastAsia" w:ascii="宋体" w:hAnsi="宋体" w:cs="宋体"/>
          <w:sz w:val="24"/>
          <w:szCs w:val="24"/>
        </w:rPr>
        <w:t>浙江政府采购网（zfcg.czt.zj.gov.cn）</w:t>
      </w:r>
      <w:r>
        <w:rPr>
          <w:rFonts w:hint="eastAsia" w:ascii="宋体" w:hAnsi="宋体" w:cs="宋体"/>
          <w:sz w:val="24"/>
          <w:szCs w:val="24"/>
          <w:lang w:eastAsia="zh-CN"/>
        </w:rPr>
        <w:t>—</w:t>
      </w:r>
      <w:r>
        <w:rPr>
          <w:rFonts w:hint="eastAsia" w:ascii="宋体" w:hAnsi="宋体" w:cs="宋体"/>
          <w:sz w:val="24"/>
          <w:szCs w:val="24"/>
        </w:rPr>
        <w:t>曝光台曝光且在处罚有效期内的</w:t>
      </w:r>
      <w:r>
        <w:rPr>
          <w:rFonts w:hint="eastAsia" w:ascii="宋体" w:hAnsi="宋体" w:cs="宋体"/>
          <w:sz w:val="24"/>
          <w:szCs w:val="24"/>
          <w:lang w:eastAsia="zh-CN"/>
        </w:rPr>
        <w:t>（投标截止之日追溯三年）以</w:t>
      </w:r>
      <w:r>
        <w:rPr>
          <w:rFonts w:hint="eastAsia" w:ascii="宋体" w:hAnsi="宋体" w:cs="宋体"/>
          <w:sz w:val="24"/>
          <w:szCs w:val="24"/>
          <w:shd w:val="clear" w:color="auto" w:fill="FFFFFF"/>
        </w:rPr>
        <w:t>及其他不符合</w:t>
      </w:r>
      <w:r>
        <w:rPr>
          <w:rFonts w:hint="eastAsia" w:ascii="宋体" w:hAnsi="宋体" w:cs="宋体"/>
          <w:sz w:val="24"/>
          <w:szCs w:val="24"/>
          <w:shd w:val="clear" w:color="auto" w:fill="FFFFFF"/>
          <w:lang w:eastAsia="zh-CN"/>
        </w:rPr>
        <w:t>《龙游县国有企业采购管理办法》（龙政办发〔2021〕58号）第十二条</w:t>
      </w:r>
      <w:r>
        <w:rPr>
          <w:rFonts w:hint="eastAsia" w:ascii="宋体" w:hAnsi="宋体" w:cs="宋体"/>
          <w:sz w:val="24"/>
          <w:szCs w:val="24"/>
          <w:shd w:val="clear" w:color="auto" w:fill="FFFFFF"/>
        </w:rPr>
        <w:t>条件的</w:t>
      </w:r>
      <w:r>
        <w:rPr>
          <w:rFonts w:hint="eastAsia" w:ascii="宋体" w:hAnsi="宋体" w:cs="宋体"/>
          <w:sz w:val="24"/>
          <w:szCs w:val="24"/>
          <w:shd w:val="clear" w:color="auto" w:fill="FFFFFF"/>
          <w:lang w:eastAsia="zh-CN"/>
        </w:rPr>
        <w:t>投标人。</w:t>
      </w:r>
    </w:p>
    <w:p>
      <w:pPr>
        <w:pStyle w:val="148"/>
        <w:widowControl w:val="0"/>
        <w:numPr>
          <w:ilvl w:val="2"/>
          <w:numId w:val="6"/>
        </w:numPr>
        <w:adjustRightInd w:val="0"/>
        <w:snapToGrid w:val="0"/>
        <w:spacing w:line="312" w:lineRule="auto"/>
        <w:ind w:left="0" w:firstLine="480" w:firstLineChars="200"/>
        <w:jc w:val="both"/>
        <w:rPr>
          <w:rFonts w:ascii="宋体" w:hAnsi="宋体" w:cs="宋体"/>
          <w:sz w:val="24"/>
          <w:szCs w:val="24"/>
          <w:lang w:eastAsia="zh-CN"/>
        </w:rPr>
      </w:pPr>
      <w:r>
        <w:rPr>
          <w:rFonts w:hint="eastAsia" w:ascii="宋体" w:hAnsi="宋体" w:cs="宋体"/>
          <w:sz w:val="24"/>
          <w:szCs w:val="24"/>
          <w:lang w:eastAsia="zh-CN"/>
        </w:rPr>
        <w:t>信用记录</w:t>
      </w:r>
    </w:p>
    <w:p>
      <w:pPr>
        <w:pStyle w:val="33"/>
        <w:widowControl w:val="0"/>
        <w:numPr>
          <w:ilvl w:val="0"/>
          <w:numId w:val="7"/>
        </w:numPr>
        <w:adjustRightInd w:val="0"/>
        <w:snapToGrid w:val="0"/>
        <w:spacing w:line="312" w:lineRule="auto"/>
        <w:ind w:left="0" w:firstLine="480"/>
        <w:jc w:val="both"/>
        <w:rPr>
          <w:rFonts w:ascii="宋体" w:hAnsi="宋体" w:cs="宋体"/>
        </w:rPr>
      </w:pPr>
      <w:r>
        <w:rPr>
          <w:rFonts w:hint="eastAsia" w:ascii="宋体" w:hAnsi="宋体" w:cs="宋体"/>
        </w:rPr>
        <w:t>信用信息查询。根据《关于在政府采购活动中查询及使用信用记录有关问题的通知》（财库〔2016〕125号）的要求，通过信用中国网站（www.creditchina.gov.cn）、中国政府采购网（www.ccgp.gov.cn）、浙江政府采购网（zfcg.czt.zj.gov.cn）等渠道查询。</w:t>
      </w:r>
    </w:p>
    <w:p>
      <w:pPr>
        <w:pStyle w:val="33"/>
        <w:widowControl w:val="0"/>
        <w:numPr>
          <w:ilvl w:val="0"/>
          <w:numId w:val="7"/>
        </w:numPr>
        <w:adjustRightInd w:val="0"/>
        <w:snapToGrid w:val="0"/>
        <w:spacing w:line="312" w:lineRule="auto"/>
        <w:ind w:left="0" w:firstLine="480"/>
        <w:jc w:val="both"/>
        <w:rPr>
          <w:rFonts w:ascii="宋体" w:hAnsi="宋体" w:cs="宋体"/>
        </w:rPr>
      </w:pPr>
      <w:r>
        <w:rPr>
          <w:rFonts w:hint="eastAsia" w:ascii="宋体" w:hAnsi="宋体" w:cs="宋体"/>
        </w:rPr>
        <w:t>截止时点。投标截止时间。</w:t>
      </w:r>
    </w:p>
    <w:p>
      <w:pPr>
        <w:pStyle w:val="33"/>
        <w:widowControl w:val="0"/>
        <w:numPr>
          <w:ilvl w:val="0"/>
          <w:numId w:val="7"/>
        </w:numPr>
        <w:adjustRightInd w:val="0"/>
        <w:snapToGrid w:val="0"/>
        <w:spacing w:line="312" w:lineRule="auto"/>
        <w:ind w:left="0" w:firstLine="480"/>
        <w:jc w:val="both"/>
        <w:rPr>
          <w:rFonts w:ascii="宋体" w:hAnsi="宋体" w:cs="宋体"/>
        </w:rPr>
      </w:pPr>
      <w:r>
        <w:rPr>
          <w:rFonts w:hint="eastAsia" w:ascii="宋体" w:hAnsi="宋体" w:cs="宋体"/>
        </w:rPr>
        <w:t>信用信息查询记录和证据留存的方式。采购代理机构经办人将查询网页打印与其他采购文件一并保存。</w:t>
      </w:r>
    </w:p>
    <w:p>
      <w:pPr>
        <w:pStyle w:val="33"/>
        <w:widowControl w:val="0"/>
        <w:numPr>
          <w:ilvl w:val="0"/>
          <w:numId w:val="7"/>
        </w:numPr>
        <w:adjustRightInd w:val="0"/>
        <w:snapToGrid w:val="0"/>
        <w:spacing w:line="312" w:lineRule="auto"/>
        <w:ind w:left="0" w:firstLine="480"/>
        <w:jc w:val="both"/>
        <w:rPr>
          <w:rFonts w:ascii="宋体" w:hAnsi="宋体" w:cs="宋体"/>
        </w:rPr>
      </w:pPr>
      <w:r>
        <w:rPr>
          <w:rFonts w:hint="eastAsia" w:ascii="宋体" w:hAnsi="宋体" w:cs="宋体"/>
        </w:rPr>
        <w:t>信用信息的使用规则。被列入失信被执行人、重大税收违法案件当事人名单、国企或政府采购严重违法失信行为记录名单及其他不符合《龙游县国有企业采购管理办法》（龙政办发〔2021〕58号）第十二条条件的投标人，拒绝参与本次采购活动。</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shd w:val="clear" w:color="auto" w:fill="FFFFFF"/>
        </w:rPr>
        <w:t>单位负责人为同一人或者存在直接控股、管理关系的不同投标人，不得参加同一合同项下的采购活动。</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color w:val="000000"/>
        </w:rPr>
        <w:t>采购活动中，采购人员及相关人员与投标人有下列利害关系之一的，应当回避：</w:t>
      </w:r>
    </w:p>
    <w:p>
      <w:pPr>
        <w:pStyle w:val="33"/>
        <w:widowControl w:val="0"/>
        <w:numPr>
          <w:ilvl w:val="2"/>
          <w:numId w:val="5"/>
        </w:numPr>
        <w:tabs>
          <w:tab w:val="clear" w:pos="0"/>
        </w:tabs>
        <w:adjustRightInd w:val="0"/>
        <w:snapToGrid w:val="0"/>
        <w:spacing w:line="312" w:lineRule="auto"/>
        <w:ind w:left="0" w:firstLine="480"/>
        <w:jc w:val="both"/>
        <w:rPr>
          <w:rFonts w:ascii="宋体" w:hAnsi="宋体" w:cs="宋体"/>
        </w:rPr>
      </w:pPr>
      <w:r>
        <w:rPr>
          <w:rFonts w:hint="eastAsia" w:ascii="宋体" w:hAnsi="宋体" w:cs="宋体"/>
          <w:color w:val="000000"/>
        </w:rPr>
        <w:t>参加采购活动前3年内与投标人存在劳动关系；</w:t>
      </w:r>
    </w:p>
    <w:p>
      <w:pPr>
        <w:pStyle w:val="33"/>
        <w:widowControl w:val="0"/>
        <w:numPr>
          <w:ilvl w:val="2"/>
          <w:numId w:val="5"/>
        </w:numPr>
        <w:tabs>
          <w:tab w:val="clear" w:pos="0"/>
        </w:tabs>
        <w:adjustRightInd w:val="0"/>
        <w:snapToGrid w:val="0"/>
        <w:spacing w:line="312" w:lineRule="auto"/>
        <w:ind w:left="0" w:firstLine="480"/>
        <w:jc w:val="both"/>
        <w:rPr>
          <w:rFonts w:ascii="宋体" w:hAnsi="宋体" w:cs="宋体"/>
        </w:rPr>
      </w:pPr>
      <w:r>
        <w:rPr>
          <w:rFonts w:hint="eastAsia" w:ascii="宋体" w:hAnsi="宋体" w:cs="宋体"/>
          <w:color w:val="000000"/>
        </w:rPr>
        <w:t>参加采购活动前3年内担任投标人的董事、监事；</w:t>
      </w:r>
    </w:p>
    <w:p>
      <w:pPr>
        <w:pStyle w:val="33"/>
        <w:widowControl w:val="0"/>
        <w:numPr>
          <w:ilvl w:val="2"/>
          <w:numId w:val="5"/>
        </w:numPr>
        <w:tabs>
          <w:tab w:val="clear" w:pos="0"/>
        </w:tabs>
        <w:adjustRightInd w:val="0"/>
        <w:snapToGrid w:val="0"/>
        <w:spacing w:line="312" w:lineRule="auto"/>
        <w:ind w:left="0" w:firstLine="480"/>
        <w:jc w:val="both"/>
        <w:rPr>
          <w:rFonts w:ascii="宋体" w:hAnsi="宋体" w:cs="宋体"/>
        </w:rPr>
      </w:pPr>
      <w:r>
        <w:rPr>
          <w:rFonts w:hint="eastAsia" w:ascii="宋体" w:hAnsi="宋体" w:cs="宋体"/>
          <w:color w:val="000000"/>
        </w:rPr>
        <w:t>参加采购活动前3年内是投标人的控股股东或者实际控制人；</w:t>
      </w:r>
    </w:p>
    <w:p>
      <w:pPr>
        <w:pStyle w:val="33"/>
        <w:widowControl w:val="0"/>
        <w:numPr>
          <w:ilvl w:val="2"/>
          <w:numId w:val="5"/>
        </w:numPr>
        <w:tabs>
          <w:tab w:val="clear" w:pos="0"/>
        </w:tabs>
        <w:adjustRightInd w:val="0"/>
        <w:snapToGrid w:val="0"/>
        <w:spacing w:line="312" w:lineRule="auto"/>
        <w:ind w:left="0" w:firstLine="480"/>
        <w:jc w:val="both"/>
        <w:rPr>
          <w:rFonts w:ascii="宋体" w:hAnsi="宋体" w:cs="宋体"/>
        </w:rPr>
      </w:pPr>
      <w:r>
        <w:rPr>
          <w:rFonts w:hint="eastAsia" w:ascii="宋体" w:hAnsi="宋体" w:cs="宋体"/>
          <w:color w:val="000000"/>
        </w:rPr>
        <w:t>与投标人的法定代表人或者负责人有夫妻、直系血亲、三代以内旁系血亲或者近姻亲关系；</w:t>
      </w:r>
    </w:p>
    <w:p>
      <w:pPr>
        <w:pStyle w:val="33"/>
        <w:widowControl w:val="0"/>
        <w:numPr>
          <w:ilvl w:val="2"/>
          <w:numId w:val="5"/>
        </w:numPr>
        <w:tabs>
          <w:tab w:val="clear" w:pos="0"/>
        </w:tabs>
        <w:adjustRightInd w:val="0"/>
        <w:snapToGrid w:val="0"/>
        <w:spacing w:line="312" w:lineRule="auto"/>
        <w:ind w:left="0" w:firstLine="480"/>
        <w:jc w:val="both"/>
        <w:rPr>
          <w:rFonts w:ascii="宋体" w:hAnsi="宋体" w:cs="宋体"/>
        </w:rPr>
      </w:pPr>
      <w:r>
        <w:rPr>
          <w:rFonts w:hint="eastAsia" w:ascii="宋体" w:hAnsi="宋体" w:cs="宋体"/>
        </w:rPr>
        <w:t>存在共同直接或间接投资设立子公司、联营企业和合营企业情况；</w:t>
      </w:r>
    </w:p>
    <w:p>
      <w:pPr>
        <w:pStyle w:val="33"/>
        <w:widowControl w:val="0"/>
        <w:numPr>
          <w:ilvl w:val="2"/>
          <w:numId w:val="5"/>
        </w:numPr>
        <w:tabs>
          <w:tab w:val="clear" w:pos="0"/>
        </w:tabs>
        <w:adjustRightInd w:val="0"/>
        <w:snapToGrid w:val="0"/>
        <w:spacing w:line="312" w:lineRule="auto"/>
        <w:ind w:left="0" w:firstLine="480"/>
        <w:jc w:val="both"/>
        <w:rPr>
          <w:rFonts w:ascii="宋体" w:hAnsi="宋体" w:cs="宋体"/>
        </w:rPr>
      </w:pPr>
      <w:r>
        <w:rPr>
          <w:rFonts w:hint="eastAsia" w:ascii="宋体" w:hAnsi="宋体" w:cs="宋体"/>
          <w:color w:val="000000"/>
        </w:rPr>
        <w:t>与投标人有其他可能影响采购活动公平、公正进行的关系。</w:t>
      </w:r>
    </w:p>
    <w:p>
      <w:pPr>
        <w:pStyle w:val="33"/>
        <w:widowControl w:val="0"/>
        <w:numPr>
          <w:ilvl w:val="1"/>
          <w:numId w:val="5"/>
        </w:numPr>
        <w:adjustRightInd w:val="0"/>
        <w:snapToGrid w:val="0"/>
        <w:spacing w:line="312" w:lineRule="auto"/>
        <w:ind w:left="0" w:firstLine="480"/>
        <w:jc w:val="both"/>
        <w:rPr>
          <w:rFonts w:ascii="宋体" w:hAnsi="宋体" w:cs="宋体"/>
          <w:color w:val="000000"/>
        </w:rPr>
      </w:pPr>
      <w:r>
        <w:rPr>
          <w:rFonts w:hint="eastAsia" w:ascii="宋体" w:hAnsi="宋体" w:cs="宋体"/>
          <w:color w:val="000000"/>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评审小组成员。</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color w:val="000000"/>
        </w:rPr>
        <w:t>投标人认为采购人员及相关人员与其他投标人有利害关系的，可以向采购代理机构书面提出回避申请，并说明理由。采购代理机构将及时询问被申请回避人员，有利害关系的被申请回避人员应当回避。</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资格审查</w:t>
      </w:r>
    </w:p>
    <w:p>
      <w:pPr>
        <w:pStyle w:val="33"/>
        <w:widowControl w:val="0"/>
        <w:adjustRightInd w:val="0"/>
        <w:snapToGrid w:val="0"/>
        <w:spacing w:line="312" w:lineRule="auto"/>
        <w:ind w:firstLine="480"/>
        <w:jc w:val="both"/>
        <w:rPr>
          <w:rFonts w:ascii="宋体" w:hAnsi="宋体" w:cs="宋体"/>
        </w:rPr>
      </w:pPr>
      <w:r>
        <w:rPr>
          <w:rFonts w:hint="eastAsia" w:ascii="宋体" w:hAnsi="宋体" w:cs="宋体"/>
        </w:rPr>
        <w:t>本次</w:t>
      </w:r>
      <w:r>
        <w:rPr>
          <w:rFonts w:hint="eastAsia" w:ascii="宋体" w:hAnsi="宋体" w:cs="宋体"/>
          <w:lang w:val="zh-CN"/>
        </w:rPr>
        <w:t>采取</w:t>
      </w:r>
      <w:r>
        <w:rPr>
          <w:rFonts w:hint="eastAsia" w:ascii="宋体" w:hAnsi="宋体" w:cs="宋体"/>
        </w:rPr>
        <w:t>资格后审，采购组织机构不保证所有报名招标文件的投标人都符合合格投标人资格要求。</w:t>
      </w:r>
    </w:p>
    <w:p>
      <w:pPr>
        <w:pStyle w:val="33"/>
        <w:widowControl w:val="0"/>
        <w:numPr>
          <w:ilvl w:val="0"/>
          <w:numId w:val="5"/>
        </w:numPr>
        <w:adjustRightInd w:val="0"/>
        <w:snapToGrid w:val="0"/>
        <w:spacing w:line="312" w:lineRule="auto"/>
        <w:ind w:left="0" w:firstLine="480"/>
        <w:jc w:val="both"/>
        <w:rPr>
          <w:rFonts w:ascii="宋体" w:hAnsi="宋体" w:cs="宋体"/>
          <w:bCs/>
        </w:rPr>
      </w:pPr>
      <w:r>
        <w:rPr>
          <w:rFonts w:hint="eastAsia" w:ascii="宋体" w:hAnsi="宋体" w:cs="宋体"/>
          <w:bCs/>
        </w:rPr>
        <w:t>语言文字</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响应文件以及投标人与采购人就有关响应事宜的所有来往函电，均应以中文汉语书写。除签名、盖章、专用名称等特殊情形外，以中文汉语以外的文字表述的响应文件视同未提供。</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外文专用术语应附有中文注释。招响应文件及相关往来文件中有外文资料的（如质疑函、进口产品厂商授权书等），资料提供方应当将其翻译为中文，注明翻译人员姓名、工作单位、联系方式等信息，并对译文的完整性、客观性、真实性负责。</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bCs/>
        </w:rPr>
        <w:t>计量单位</w:t>
      </w:r>
    </w:p>
    <w:p>
      <w:pPr>
        <w:pStyle w:val="33"/>
        <w:widowControl w:val="0"/>
        <w:adjustRightInd w:val="0"/>
        <w:snapToGrid w:val="0"/>
        <w:spacing w:line="312" w:lineRule="auto"/>
        <w:ind w:firstLine="480" w:firstLineChars="0"/>
        <w:jc w:val="both"/>
        <w:rPr>
          <w:rFonts w:ascii="宋体" w:hAnsi="宋体" w:cs="宋体"/>
        </w:rPr>
      </w:pPr>
      <w:r>
        <w:rPr>
          <w:rFonts w:hint="eastAsia" w:ascii="宋体" w:hAnsi="宋体" w:cs="宋体"/>
        </w:rPr>
        <w:t>除招标文件另有规定外，计量均应采用中华人民共和国法定计量单位；所有报价一律使用人民币，货币单位为“元”。</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保密</w:t>
      </w:r>
    </w:p>
    <w:p>
      <w:pPr>
        <w:pStyle w:val="33"/>
        <w:widowControl w:val="0"/>
        <w:tabs>
          <w:tab w:val="left" w:pos="0"/>
        </w:tabs>
        <w:adjustRightInd w:val="0"/>
        <w:snapToGrid w:val="0"/>
        <w:spacing w:line="312" w:lineRule="auto"/>
        <w:ind w:firstLine="480"/>
        <w:jc w:val="both"/>
        <w:rPr>
          <w:rFonts w:ascii="宋体" w:hAnsi="宋体" w:cs="宋体"/>
        </w:rPr>
      </w:pPr>
      <w:r>
        <w:rPr>
          <w:rFonts w:hint="eastAsia" w:ascii="宋体" w:hAnsi="宋体" w:cs="宋体"/>
        </w:rPr>
        <w:t>参与招标的当事人应对招标文件和响应文件中的商业和技术等秘密保密，违者应对由此造成的后果承担法律责任。</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投标费用</w:t>
      </w:r>
    </w:p>
    <w:p>
      <w:pPr>
        <w:pStyle w:val="33"/>
        <w:widowControl w:val="0"/>
        <w:adjustRightInd w:val="0"/>
        <w:snapToGrid w:val="0"/>
        <w:spacing w:line="312" w:lineRule="auto"/>
        <w:ind w:firstLine="480"/>
        <w:jc w:val="both"/>
        <w:rPr>
          <w:rFonts w:ascii="宋体" w:hAnsi="宋体" w:cs="宋体"/>
        </w:rPr>
      </w:pPr>
      <w:r>
        <w:rPr>
          <w:rFonts w:hint="eastAsia" w:ascii="宋体" w:hAnsi="宋体" w:cs="宋体"/>
        </w:rPr>
        <w:t>不论投标的结果如何，投标人均自行承担所有与参加本次投标有关的费用。</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投标有效期</w:t>
      </w:r>
    </w:p>
    <w:p>
      <w:pPr>
        <w:pStyle w:val="148"/>
        <w:widowControl w:val="0"/>
        <w:numPr>
          <w:ilvl w:val="1"/>
          <w:numId w:val="8"/>
        </w:numPr>
        <w:adjustRightInd w:val="0"/>
        <w:snapToGrid w:val="0"/>
        <w:spacing w:line="312" w:lineRule="auto"/>
        <w:ind w:left="0" w:firstLine="480" w:firstLineChars="200"/>
        <w:rPr>
          <w:rFonts w:ascii="宋体" w:hAnsi="宋体" w:cs="宋体"/>
          <w:sz w:val="24"/>
          <w:szCs w:val="24"/>
          <w:lang w:eastAsia="zh-CN"/>
        </w:rPr>
      </w:pPr>
      <w:r>
        <w:rPr>
          <w:rFonts w:hint="eastAsia" w:ascii="宋体" w:hAnsi="宋体" w:cs="宋体"/>
          <w:sz w:val="24"/>
          <w:szCs w:val="24"/>
          <w:lang w:eastAsia="zh-CN"/>
        </w:rPr>
        <w:t>在投标人须知前附表规定的投标有效期内，响应文件以及其补充、承诺等部分均保持有效。</w:t>
      </w:r>
    </w:p>
    <w:p>
      <w:pPr>
        <w:pStyle w:val="148"/>
        <w:widowControl w:val="0"/>
        <w:numPr>
          <w:ilvl w:val="1"/>
          <w:numId w:val="8"/>
        </w:numPr>
        <w:adjustRightInd w:val="0"/>
        <w:snapToGrid w:val="0"/>
        <w:spacing w:line="312" w:lineRule="auto"/>
        <w:ind w:left="0" w:firstLine="480" w:firstLineChars="200"/>
        <w:rPr>
          <w:rFonts w:ascii="宋体" w:hAnsi="宋体" w:cs="宋体"/>
          <w:sz w:val="24"/>
          <w:szCs w:val="24"/>
          <w:lang w:eastAsia="zh-CN"/>
        </w:rPr>
      </w:pPr>
      <w:r>
        <w:rPr>
          <w:rFonts w:hint="eastAsia" w:ascii="宋体" w:hAnsi="宋体" w:cs="宋体"/>
          <w:sz w:val="24"/>
          <w:szCs w:val="24"/>
          <w:lang w:eastAsia="zh-CN"/>
        </w:rPr>
        <w:t>在招标文件规定的响应文件有效期满之前，如果出现特殊情况，采购人或者采购代理机构可在投标有效期内要求投标人延长有效期，要求与答复均以书面通知为准并作为招标文件和响应文件的组成部分。</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分包与转包</w:t>
      </w:r>
    </w:p>
    <w:p>
      <w:pPr>
        <w:pStyle w:val="148"/>
        <w:widowControl w:val="0"/>
        <w:tabs>
          <w:tab w:val="left" w:pos="0"/>
        </w:tabs>
        <w:adjustRightInd w:val="0"/>
        <w:snapToGrid w:val="0"/>
        <w:spacing w:line="312" w:lineRule="auto"/>
        <w:ind w:firstLine="480" w:firstLineChars="200"/>
        <w:rPr>
          <w:rFonts w:ascii="宋体" w:hAnsi="宋体" w:cs="宋体"/>
          <w:sz w:val="24"/>
          <w:szCs w:val="24"/>
          <w:lang w:eastAsia="zh-CN"/>
        </w:rPr>
      </w:pPr>
      <w:r>
        <w:rPr>
          <w:rFonts w:hint="eastAsia" w:ascii="宋体" w:hAnsi="宋体" w:cs="宋体"/>
          <w:sz w:val="24"/>
          <w:szCs w:val="24"/>
          <w:lang w:eastAsia="zh-CN"/>
        </w:rPr>
        <w:t>不允许。</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现场勘察</w:t>
      </w:r>
    </w:p>
    <w:p>
      <w:pPr>
        <w:pStyle w:val="33"/>
        <w:widowControl w:val="0"/>
        <w:adjustRightInd w:val="0"/>
        <w:snapToGrid w:val="0"/>
        <w:spacing w:line="312" w:lineRule="auto"/>
        <w:ind w:firstLine="480"/>
        <w:jc w:val="both"/>
        <w:rPr>
          <w:rFonts w:ascii="宋体" w:hAnsi="宋体" w:cs="宋体"/>
        </w:rPr>
      </w:pPr>
      <w:r>
        <w:rPr>
          <w:rFonts w:hint="eastAsia" w:ascii="宋体" w:hAnsi="宋体" w:cs="宋体"/>
        </w:rPr>
        <w:t>投标人自行勘察现场以获取有关编制响应文件和签署合同所涉及现场的资料，但需经采购人允许方可为勘察目的进入采购人的项目现场。不得因勘察现场而使采购人承担有关的责任和蒙受损失，投标人应承担勘察现场的责任和风险以及承担勘察现场所发生的费用。</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知识产权</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投标人应保证在本项目使用的任何产品和服务（包括部分使用）时，不会侵犯第三方的其专利权、商标权或其它知识产权，否则因此引起的法律和经济纠纷，由投标人按其过错承担所有相关责任</w:t>
      </w:r>
      <w:r>
        <w:rPr>
          <w:rFonts w:hint="eastAsia" w:ascii="宋体" w:hAnsi="宋体" w:cs="宋体"/>
          <w:color w:val="000000"/>
        </w:rPr>
        <w:t>。</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投标人为采购人在本项目中定制化的工作成果所涉知识产权归属于采购人。投标人为本项目而使用的工具、软件、系统、代码、文档、图表等知识产权及产权均归属于中标人或权利人，采购人可为本项目之目的在本合同有效期内非独占、非排他的使用。</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如采用投标人所不拥有的知识产权，则在投标报价中必须包括合法获取该知识产权的相关费用。</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bCs/>
        </w:rPr>
        <w:t>本项目落实采购优惠政策</w:t>
      </w:r>
    </w:p>
    <w:p>
      <w:pPr>
        <w:pStyle w:val="33"/>
        <w:widowControl w:val="0"/>
        <w:numPr>
          <w:ilvl w:val="1"/>
          <w:numId w:val="5"/>
        </w:numPr>
        <w:adjustRightInd w:val="0"/>
        <w:snapToGrid w:val="0"/>
        <w:spacing w:line="312" w:lineRule="auto"/>
        <w:ind w:left="0" w:firstLine="482"/>
        <w:jc w:val="both"/>
        <w:rPr>
          <w:rFonts w:ascii="宋体" w:hAnsi="宋体" w:cs="宋体"/>
          <w:b/>
          <w:snapToGrid w:val="0"/>
        </w:rPr>
      </w:pPr>
      <w:r>
        <w:rPr>
          <w:rFonts w:hint="eastAsia" w:ascii="宋体" w:hAnsi="宋体" w:cs="宋体"/>
          <w:b/>
        </w:rPr>
        <w:t>中小企业优惠政策</w:t>
      </w:r>
    </w:p>
    <w:p>
      <w:pPr>
        <w:pStyle w:val="33"/>
        <w:widowControl w:val="0"/>
        <w:numPr>
          <w:ilvl w:val="255"/>
          <w:numId w:val="0"/>
        </w:numPr>
        <w:tabs>
          <w:tab w:val="left" w:pos="0"/>
        </w:tabs>
        <w:adjustRightInd w:val="0"/>
        <w:snapToGrid w:val="0"/>
        <w:spacing w:line="312" w:lineRule="auto"/>
        <w:ind w:firstLine="482" w:firstLineChars="200"/>
        <w:jc w:val="both"/>
        <w:rPr>
          <w:rFonts w:ascii="宋体" w:hAnsi="宋体" w:cs="宋体"/>
          <w:b/>
          <w:snapToGrid w:val="0"/>
        </w:rPr>
      </w:pPr>
      <w:r>
        <w:rPr>
          <w:rFonts w:hint="eastAsia" w:ascii="宋体" w:hAnsi="宋体" w:cs="宋体"/>
          <w:b/>
        </w:rPr>
        <w:t>详见投标人须知前附表第35条。</w:t>
      </w:r>
    </w:p>
    <w:p>
      <w:pPr>
        <w:pStyle w:val="33"/>
        <w:widowControl w:val="0"/>
        <w:numPr>
          <w:ilvl w:val="0"/>
          <w:numId w:val="5"/>
        </w:numPr>
        <w:adjustRightInd w:val="0"/>
        <w:snapToGrid w:val="0"/>
        <w:spacing w:line="312" w:lineRule="auto"/>
        <w:ind w:left="0" w:firstLine="480"/>
        <w:jc w:val="both"/>
        <w:rPr>
          <w:rFonts w:ascii="宋体" w:hAnsi="宋体" w:cs="宋体"/>
        </w:rPr>
      </w:pPr>
      <w:r>
        <w:rPr>
          <w:rFonts w:hint="eastAsia" w:ascii="宋体" w:hAnsi="宋体" w:cs="宋体"/>
        </w:rPr>
        <w:t>特别说明</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投标人应仔细阅读招标文件的所有内容，按照招标文件的要求提交投标文件，并对所提供的全部资料的真实性承担法律责任。</w:t>
      </w:r>
    </w:p>
    <w:p>
      <w:pPr>
        <w:pStyle w:val="33"/>
        <w:widowControl w:val="0"/>
        <w:numPr>
          <w:ilvl w:val="1"/>
          <w:numId w:val="5"/>
        </w:numPr>
        <w:adjustRightInd w:val="0"/>
        <w:snapToGrid w:val="0"/>
        <w:spacing w:line="312" w:lineRule="auto"/>
        <w:ind w:left="0" w:firstLine="480"/>
        <w:jc w:val="both"/>
        <w:rPr>
          <w:rFonts w:ascii="宋体" w:hAnsi="宋体" w:cs="宋体"/>
        </w:rPr>
      </w:pPr>
      <w:r>
        <w:rPr>
          <w:rFonts w:hint="eastAsia" w:ascii="宋体" w:hAnsi="宋体" w:cs="宋体"/>
        </w:rPr>
        <w:t>投标人已明知采购期间或之后企业将发生兼并改制，或提供的产品将停产、淘汰，或必须有偿使用指定的第三方中间件和插件的，及其他应当告知采购人可能影响采购项目实施或损害采购人利益的信息，必须在响应文件中予以特别说明，否则，采购人可以拒绝其响应文件。</w:t>
      </w:r>
    </w:p>
    <w:p>
      <w:pPr>
        <w:pStyle w:val="33"/>
        <w:widowControl w:val="0"/>
        <w:numPr>
          <w:ilvl w:val="1"/>
          <w:numId w:val="5"/>
        </w:numPr>
        <w:adjustRightInd w:val="0"/>
        <w:snapToGrid w:val="0"/>
        <w:spacing w:line="312" w:lineRule="auto"/>
        <w:ind w:left="0" w:firstLine="480"/>
        <w:jc w:val="both"/>
        <w:rPr>
          <w:rFonts w:ascii="宋体" w:hAnsi="宋体" w:cs="宋体"/>
        </w:rPr>
      </w:pPr>
      <w:bookmarkStart w:id="372" w:name="_Toc101321791"/>
      <w:bookmarkStart w:id="373" w:name="_Toc6035"/>
      <w:bookmarkStart w:id="374" w:name="_Toc27436"/>
      <w:bookmarkStart w:id="375" w:name="_Toc14280"/>
      <w:bookmarkStart w:id="376" w:name="_Toc452528600"/>
      <w:bookmarkStart w:id="377" w:name="_Toc12781"/>
      <w:bookmarkStart w:id="378" w:name="_Toc23248"/>
      <w:bookmarkStart w:id="379" w:name="_Toc361434895"/>
      <w:bookmarkStart w:id="380" w:name="_Toc4362"/>
      <w:bookmarkStart w:id="381" w:name="_Toc14228"/>
      <w:bookmarkStart w:id="382" w:name="_Toc361434799"/>
      <w:bookmarkStart w:id="383" w:name="_Toc361434460"/>
      <w:bookmarkStart w:id="384" w:name="_Toc361437145"/>
      <w:bookmarkStart w:id="385" w:name="_Toc361434559"/>
      <w:bookmarkStart w:id="386" w:name="_Toc496962945"/>
      <w:bookmarkStart w:id="387" w:name="_Toc1747"/>
      <w:bookmarkStart w:id="388" w:name="_Toc38"/>
      <w:bookmarkStart w:id="389" w:name="_Toc9389"/>
      <w:bookmarkStart w:id="390" w:name="_Toc28916"/>
      <w:bookmarkStart w:id="391" w:name="_Toc4333"/>
      <w:bookmarkStart w:id="392" w:name="_Toc10567"/>
      <w:r>
        <w:rPr>
          <w:rFonts w:hint="eastAsia" w:ascii="宋体" w:hAnsi="宋体" w:cs="宋体"/>
        </w:rPr>
        <w:t>▲特别说明：</w:t>
      </w:r>
    </w:p>
    <w:p>
      <w:pPr>
        <w:spacing w:line="312" w:lineRule="auto"/>
        <w:ind w:firstLine="480"/>
        <w:rPr>
          <w:rFonts w:ascii="宋体" w:hAnsi="宋体" w:cs="宋体"/>
        </w:rPr>
      </w:pPr>
      <w:r>
        <w:rPr>
          <w:rFonts w:hint="eastAsia" w:ascii="宋体" w:hAnsi="宋体" w:cs="宋体"/>
        </w:rPr>
        <w:t>①▲单位负责人为同一人或者存在直接控股、管理关系的不同投标人，不得参加本项目的政府采购活动。</w:t>
      </w:r>
    </w:p>
    <w:p>
      <w:pPr>
        <w:spacing w:line="312" w:lineRule="auto"/>
        <w:ind w:firstLine="480"/>
        <w:rPr>
          <w:rFonts w:ascii="宋体" w:hAnsi="宋体" w:cs="宋体"/>
        </w:rPr>
      </w:pPr>
      <w:r>
        <w:rPr>
          <w:rFonts w:hint="eastAsia" w:ascii="宋体" w:hAnsi="宋体" w:cs="宋体"/>
        </w:rPr>
        <w:t>②▲投标人投标所使用的资格、信誉、荣誉、业绩与企业认证必须为本法人所拥有。投标人母公司（总机构）或者同一母公司下属的其他子公司（同一总机构下属的其他分支机构）的资格、信誉、荣誉、业绩与企业认证等，不为该投标人所拥有。</w:t>
      </w:r>
    </w:p>
    <w:p>
      <w:pPr>
        <w:spacing w:line="312" w:lineRule="auto"/>
        <w:ind w:firstLine="480"/>
        <w:rPr>
          <w:rFonts w:ascii="宋体" w:hAnsi="宋体" w:cs="宋体"/>
        </w:rPr>
      </w:pPr>
      <w:r>
        <w:rPr>
          <w:rFonts w:hint="eastAsia" w:ascii="宋体" w:hAnsi="宋体" w:cs="宋体"/>
        </w:rPr>
        <w:t>③▲投标人应仔细阅读招标文件的所有内容，按照招标文件的要求提交投标文件，并对所提供的全部资料的真实性承担法律责任。</w:t>
      </w:r>
    </w:p>
    <w:p>
      <w:pPr>
        <w:spacing w:line="312" w:lineRule="auto"/>
        <w:ind w:firstLine="480"/>
        <w:rPr>
          <w:rFonts w:ascii="宋体" w:hAnsi="宋体" w:cs="宋体"/>
        </w:rPr>
      </w:pPr>
      <w:r>
        <w:rPr>
          <w:rFonts w:hint="eastAsia" w:ascii="宋体" w:hAnsi="宋体" w:cs="宋体"/>
        </w:rPr>
        <w:t>④▲投标人在投标活动中提供任何虚假材料,其投标无效，并报监管部门查处中标后发现的,中标人须依照《中华人民共和国消费者权益保护法》第49条之规定双倍赔偿采购人，且民事赔偿并不免除违法投标人的行政与刑事责任。</w:t>
      </w:r>
    </w:p>
    <w:p>
      <w:pPr>
        <w:spacing w:line="312" w:lineRule="auto"/>
        <w:ind w:firstLine="480"/>
        <w:rPr>
          <w:rFonts w:ascii="宋体" w:hAnsi="宋体" w:cs="宋体"/>
        </w:rPr>
      </w:pPr>
      <w:r>
        <w:rPr>
          <w:rFonts w:hint="eastAsia" w:ascii="宋体" w:hAnsi="宋体" w:cs="宋体"/>
        </w:rPr>
        <w:t>⑤投标人已明知采购期间或之后企业将发生兼并改制，或提供的产品将停产、淘汰，或必须有偿使用指定的第三方中间件和插件的，及其他应当告知采购人可能影响采购项目实施或损害采购人利益的信息，必须在投标文件中予以特别说明，否则，采购人可以拒绝其投标文件。</w:t>
      </w:r>
    </w:p>
    <w:p>
      <w:pPr>
        <w:pStyle w:val="5"/>
        <w:numPr>
          <w:ilvl w:val="1"/>
          <w:numId w:val="0"/>
        </w:numPr>
        <w:tabs>
          <w:tab w:val="left" w:pos="480"/>
        </w:tabs>
        <w:spacing w:beforeLines="0" w:afterLines="0"/>
        <w:rPr>
          <w:rFonts w:ascii="宋体" w:hAnsi="宋体" w:cs="宋体"/>
          <w:b/>
          <w:bCs w:val="0"/>
          <w:lang w:bidi="ar"/>
        </w:rPr>
      </w:pPr>
      <w:bookmarkStart w:id="393" w:name="_Toc13953"/>
      <w:bookmarkStart w:id="394" w:name="_Toc9060"/>
      <w:bookmarkStart w:id="395" w:name="_Toc23065"/>
      <w:bookmarkStart w:id="396" w:name="_Toc14205"/>
      <w:bookmarkStart w:id="397" w:name="_Toc26184"/>
      <w:r>
        <w:rPr>
          <w:rFonts w:hint="eastAsia" w:ascii="宋体" w:hAnsi="宋体" w:cs="宋体"/>
          <w:b/>
          <w:bCs w:val="0"/>
          <w:lang w:bidi="ar"/>
        </w:rPr>
        <w:t>三、</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rFonts w:hint="eastAsia" w:ascii="宋体" w:hAnsi="宋体" w:cs="宋体"/>
          <w:b/>
          <w:bCs w:val="0"/>
          <w:lang w:bidi="ar"/>
        </w:rPr>
        <w:t>招标文件</w:t>
      </w:r>
      <w:bookmarkEnd w:id="387"/>
      <w:bookmarkEnd w:id="388"/>
      <w:bookmarkEnd w:id="389"/>
      <w:bookmarkEnd w:id="390"/>
      <w:bookmarkEnd w:id="391"/>
      <w:bookmarkEnd w:id="392"/>
      <w:bookmarkEnd w:id="393"/>
      <w:bookmarkEnd w:id="394"/>
      <w:bookmarkEnd w:id="395"/>
      <w:bookmarkEnd w:id="396"/>
      <w:bookmarkEnd w:id="397"/>
    </w:p>
    <w:p>
      <w:pPr>
        <w:pStyle w:val="33"/>
        <w:widowControl w:val="0"/>
        <w:numPr>
          <w:ilvl w:val="0"/>
          <w:numId w:val="5"/>
        </w:numPr>
        <w:adjustRightInd w:val="0"/>
        <w:snapToGrid w:val="0"/>
        <w:spacing w:line="312" w:lineRule="auto"/>
        <w:ind w:left="0" w:firstLine="480"/>
        <w:jc w:val="both"/>
        <w:rPr>
          <w:rFonts w:ascii="宋体" w:hAnsi="宋体" w:cs="宋体"/>
          <w:lang w:bidi="ar"/>
        </w:rPr>
      </w:pPr>
      <w:r>
        <w:rPr>
          <w:rFonts w:hint="eastAsia" w:ascii="宋体" w:hAnsi="宋体" w:cs="宋体"/>
          <w:lang w:bidi="ar"/>
        </w:rPr>
        <w:t>招标文件的组成</w:t>
      </w:r>
    </w:p>
    <w:p>
      <w:pPr>
        <w:pStyle w:val="33"/>
        <w:numPr>
          <w:ilvl w:val="1"/>
          <w:numId w:val="5"/>
        </w:numPr>
        <w:adjustRightInd w:val="0"/>
        <w:spacing w:line="312" w:lineRule="auto"/>
        <w:ind w:left="0" w:firstLine="480"/>
        <w:jc w:val="both"/>
        <w:rPr>
          <w:rFonts w:ascii="宋体" w:hAnsi="宋体" w:cs="宋体"/>
        </w:rPr>
      </w:pPr>
      <w:r>
        <w:rPr>
          <w:rFonts w:hint="eastAsia" w:ascii="宋体" w:hAnsi="宋体" w:cs="宋体"/>
        </w:rPr>
        <w:t>招标公告</w:t>
      </w:r>
    </w:p>
    <w:p>
      <w:pPr>
        <w:pStyle w:val="33"/>
        <w:numPr>
          <w:ilvl w:val="1"/>
          <w:numId w:val="5"/>
        </w:numPr>
        <w:adjustRightInd w:val="0"/>
        <w:spacing w:line="312" w:lineRule="auto"/>
        <w:ind w:left="0" w:firstLine="480"/>
        <w:jc w:val="both"/>
        <w:rPr>
          <w:rFonts w:ascii="宋体" w:hAnsi="宋体" w:cs="宋体"/>
        </w:rPr>
      </w:pPr>
      <w:r>
        <w:rPr>
          <w:rFonts w:hint="eastAsia" w:ascii="宋体" w:hAnsi="宋体" w:cs="宋体"/>
        </w:rPr>
        <w:t>投标须知前附表及投标须知</w:t>
      </w:r>
    </w:p>
    <w:p>
      <w:pPr>
        <w:pStyle w:val="33"/>
        <w:numPr>
          <w:ilvl w:val="1"/>
          <w:numId w:val="5"/>
        </w:numPr>
        <w:adjustRightInd w:val="0"/>
        <w:spacing w:line="312" w:lineRule="auto"/>
        <w:ind w:left="0" w:firstLine="480"/>
        <w:jc w:val="both"/>
        <w:rPr>
          <w:rFonts w:ascii="宋体" w:hAnsi="宋体" w:cs="宋体"/>
        </w:rPr>
      </w:pPr>
      <w:r>
        <w:rPr>
          <w:rFonts w:hint="eastAsia" w:ascii="宋体" w:hAnsi="宋体" w:cs="宋体"/>
        </w:rPr>
        <w:t>采购内容及要求</w:t>
      </w:r>
    </w:p>
    <w:p>
      <w:pPr>
        <w:pStyle w:val="33"/>
        <w:numPr>
          <w:ilvl w:val="1"/>
          <w:numId w:val="5"/>
        </w:numPr>
        <w:adjustRightInd w:val="0"/>
        <w:spacing w:line="312" w:lineRule="auto"/>
        <w:ind w:left="0" w:firstLine="480"/>
        <w:jc w:val="both"/>
        <w:rPr>
          <w:rFonts w:ascii="宋体" w:hAnsi="宋体" w:cs="宋体"/>
        </w:rPr>
      </w:pPr>
      <w:r>
        <w:rPr>
          <w:rFonts w:hint="eastAsia" w:ascii="宋体" w:hAnsi="宋体" w:cs="宋体"/>
        </w:rPr>
        <w:t>合同的主要条款</w:t>
      </w:r>
    </w:p>
    <w:p>
      <w:pPr>
        <w:pStyle w:val="33"/>
        <w:numPr>
          <w:ilvl w:val="1"/>
          <w:numId w:val="5"/>
        </w:numPr>
        <w:adjustRightInd w:val="0"/>
        <w:spacing w:line="312" w:lineRule="auto"/>
        <w:ind w:left="0" w:firstLine="480"/>
        <w:jc w:val="both"/>
        <w:rPr>
          <w:rFonts w:ascii="宋体" w:hAnsi="宋体" w:cs="宋体"/>
        </w:rPr>
      </w:pPr>
      <w:r>
        <w:rPr>
          <w:rFonts w:hint="eastAsia" w:ascii="宋体" w:hAnsi="宋体" w:cs="宋体"/>
        </w:rPr>
        <w:t>应提交的有关格式范例</w:t>
      </w:r>
    </w:p>
    <w:p>
      <w:pPr>
        <w:pStyle w:val="33"/>
        <w:numPr>
          <w:ilvl w:val="1"/>
          <w:numId w:val="5"/>
        </w:numPr>
        <w:adjustRightInd w:val="0"/>
        <w:spacing w:line="312" w:lineRule="auto"/>
        <w:ind w:left="0" w:firstLine="480"/>
        <w:jc w:val="both"/>
        <w:rPr>
          <w:rFonts w:ascii="宋体" w:hAnsi="宋体" w:cs="宋体"/>
        </w:rPr>
      </w:pPr>
      <w:r>
        <w:rPr>
          <w:rFonts w:hint="eastAsia" w:ascii="宋体" w:hAnsi="宋体" w:cs="宋体"/>
        </w:rPr>
        <w:t>评标办法及开评标程序</w:t>
      </w:r>
      <w:bookmarkStart w:id="398" w:name="_Toc2522"/>
      <w:bookmarkStart w:id="399" w:name="_Toc366144032"/>
      <w:bookmarkStart w:id="400" w:name="_Toc13569"/>
      <w:bookmarkStart w:id="401" w:name="_Toc356371435"/>
      <w:bookmarkStart w:id="402" w:name="_Toc16377"/>
      <w:bookmarkStart w:id="403" w:name="_Toc22903"/>
      <w:bookmarkStart w:id="404" w:name="_Toc19778"/>
      <w:bookmarkStart w:id="405" w:name="_Toc31745"/>
      <w:bookmarkStart w:id="406" w:name="_Toc9200"/>
      <w:bookmarkStart w:id="407" w:name="_Toc11932"/>
      <w:bookmarkStart w:id="408" w:name="_Toc5619"/>
    </w:p>
    <w:p>
      <w:pPr>
        <w:pStyle w:val="33"/>
        <w:widowControl w:val="0"/>
        <w:numPr>
          <w:ilvl w:val="0"/>
          <w:numId w:val="5"/>
        </w:numPr>
        <w:adjustRightInd w:val="0"/>
        <w:snapToGrid w:val="0"/>
        <w:spacing w:line="312" w:lineRule="auto"/>
        <w:ind w:left="0" w:firstLine="480"/>
        <w:jc w:val="both"/>
        <w:rPr>
          <w:rFonts w:ascii="宋体" w:hAnsi="宋体" w:cs="宋体"/>
          <w:lang w:bidi="ar"/>
        </w:rPr>
      </w:pPr>
      <w:r>
        <w:rPr>
          <w:rFonts w:hint="eastAsia" w:ascii="宋体" w:hAnsi="宋体" w:cs="宋体"/>
          <w:lang w:bidi="ar"/>
        </w:rPr>
        <w:t>招标文件的澄清及修改</w:t>
      </w:r>
    </w:p>
    <w:p>
      <w:pPr>
        <w:pStyle w:val="33"/>
        <w:numPr>
          <w:ilvl w:val="1"/>
          <w:numId w:val="5"/>
        </w:numPr>
        <w:adjustRightInd w:val="0"/>
        <w:spacing w:line="312" w:lineRule="auto"/>
        <w:ind w:left="0" w:firstLine="480"/>
        <w:jc w:val="both"/>
        <w:rPr>
          <w:rFonts w:ascii="宋体" w:hAnsi="宋体" w:cs="宋体"/>
          <w:lang w:bidi="ar"/>
        </w:rPr>
      </w:pPr>
      <w:r>
        <w:rPr>
          <w:rFonts w:hint="eastAsia" w:ascii="宋体" w:hAnsi="宋体" w:cs="宋体"/>
          <w:lang w:bidi="ar"/>
        </w:rPr>
        <w:t>任何要求对招标文件进行澄清的投标人，均应按招标公告中规定的时间和通讯地址，以书面形式（如信件、传真等）送达招标组织人，在规定时间内未收到质疑则视为各投标人均对此无异议。招标组织人对规定时间前收到的任何质疑将在</w:t>
      </w:r>
      <w:r>
        <w:rPr>
          <w:rFonts w:hint="eastAsia" w:ascii="宋体" w:hAnsi="宋体" w:cs="宋体"/>
        </w:rPr>
        <w:t>衢州市阳光交易服务平台（https://qzygjy.com/）</w:t>
      </w:r>
      <w:r>
        <w:rPr>
          <w:rFonts w:hint="eastAsia" w:ascii="宋体" w:hAnsi="宋体" w:cs="宋体"/>
          <w:lang w:val="zh-CN"/>
        </w:rPr>
        <w:t>、</w:t>
      </w:r>
      <w:r>
        <w:rPr>
          <w:rFonts w:hint="eastAsia" w:ascii="宋体" w:hAnsi="宋体" w:cs="宋体"/>
          <w:lang w:bidi="ar"/>
        </w:rPr>
        <w:t>浙江政府采购网（</w:t>
      </w:r>
      <w:r>
        <w:fldChar w:fldCharType="begin"/>
      </w:r>
      <w:r>
        <w:instrText xml:space="preserve"> HYPERLINK "http://www.zjzfcg.gov.cn" </w:instrText>
      </w:r>
      <w:r>
        <w:fldChar w:fldCharType="separate"/>
      </w:r>
      <w:r>
        <w:rPr>
          <w:rFonts w:hint="eastAsia" w:ascii="宋体" w:hAnsi="宋体" w:cs="宋体"/>
          <w:lang w:bidi="ar"/>
        </w:rPr>
        <w:t>http://zfcg.czt.zj.gov.cn/</w:t>
      </w:r>
      <w:r>
        <w:rPr>
          <w:rFonts w:hint="eastAsia" w:ascii="宋体" w:hAnsi="宋体" w:cs="宋体"/>
          <w:lang w:bidi="ar"/>
        </w:rPr>
        <w:fldChar w:fldCharType="end"/>
      </w:r>
      <w:r>
        <w:rPr>
          <w:rFonts w:hint="eastAsia" w:ascii="宋体" w:hAnsi="宋体" w:cs="宋体"/>
          <w:lang w:bidi="ar"/>
        </w:rPr>
        <w:t>）公布澄清，投标人自行到网上查看。无论是采购人根据需要主动对招标文件进行必要的修改或是根据投标人的要求对招标文件做出答复（答复中不包括问题的来源），并视为本招标文件的组成部分。</w:t>
      </w:r>
    </w:p>
    <w:p>
      <w:pPr>
        <w:pStyle w:val="33"/>
        <w:numPr>
          <w:ilvl w:val="1"/>
          <w:numId w:val="5"/>
        </w:numPr>
        <w:adjustRightInd w:val="0"/>
        <w:spacing w:line="312" w:lineRule="auto"/>
        <w:ind w:left="0" w:firstLine="480"/>
        <w:jc w:val="both"/>
        <w:rPr>
          <w:rFonts w:ascii="宋体" w:hAnsi="宋体" w:cs="宋体"/>
          <w:lang w:bidi="ar"/>
        </w:rPr>
      </w:pPr>
      <w:r>
        <w:rPr>
          <w:rFonts w:hint="eastAsia" w:ascii="宋体" w:hAnsi="宋体" w:cs="宋体"/>
          <w:lang w:bidi="ar"/>
        </w:rPr>
        <w:t>因其他紧急情况影响本项目正常招标活动的，招标组织人将于投标截止日期5天前书面通知所有已报名的投标人。</w:t>
      </w:r>
    </w:p>
    <w:p>
      <w:pPr>
        <w:pStyle w:val="33"/>
        <w:numPr>
          <w:ilvl w:val="1"/>
          <w:numId w:val="5"/>
        </w:numPr>
        <w:adjustRightInd w:val="0"/>
        <w:spacing w:line="312" w:lineRule="auto"/>
        <w:ind w:left="0" w:firstLine="480"/>
        <w:jc w:val="both"/>
        <w:rPr>
          <w:rFonts w:ascii="宋体" w:hAnsi="宋体" w:cs="宋体"/>
          <w:lang w:bidi="ar"/>
        </w:rPr>
      </w:pPr>
      <w:r>
        <w:rPr>
          <w:rFonts w:hint="eastAsia" w:ascii="宋体" w:hAnsi="宋体" w:cs="宋体"/>
          <w:lang w:bidi="ar"/>
        </w:rPr>
        <w:t>不论采购人向投标人发送的资料文件，还是投标人提出的问题，均通过</w:t>
      </w:r>
      <w:r>
        <w:rPr>
          <w:rFonts w:hint="eastAsia" w:ascii="宋体" w:hAnsi="宋体" w:cs="宋体"/>
        </w:rPr>
        <w:t>衢州市阳光交易服务平台（https://qzygjy.com/）、</w:t>
      </w:r>
      <w:r>
        <w:rPr>
          <w:rFonts w:hint="eastAsia" w:ascii="宋体" w:hAnsi="宋体" w:cs="宋体"/>
          <w:lang w:bidi="ar"/>
        </w:rPr>
        <w:t>浙江政府采购网（</w:t>
      </w:r>
      <w:r>
        <w:fldChar w:fldCharType="begin"/>
      </w:r>
      <w:r>
        <w:instrText xml:space="preserve"> HYPERLINK "http://www.zjzfcg.gov.cn" </w:instrText>
      </w:r>
      <w:r>
        <w:fldChar w:fldCharType="separate"/>
      </w:r>
      <w:r>
        <w:rPr>
          <w:rFonts w:hint="eastAsia" w:ascii="宋体" w:hAnsi="宋体" w:cs="宋体"/>
          <w:lang w:bidi="ar"/>
        </w:rPr>
        <w:t>http://zfcg.czt.zj.gov.cn/</w:t>
      </w:r>
      <w:r>
        <w:rPr>
          <w:rFonts w:hint="eastAsia" w:ascii="宋体" w:hAnsi="宋体" w:cs="宋体"/>
          <w:lang w:bidi="ar"/>
        </w:rPr>
        <w:fldChar w:fldCharType="end"/>
      </w:r>
      <w:r>
        <w:rPr>
          <w:rFonts w:hint="eastAsia" w:ascii="宋体" w:hAnsi="宋体" w:cs="宋体"/>
          <w:lang w:bidi="ar"/>
        </w:rPr>
        <w:t>）发布，任何口头提问及答复一律无效。</w:t>
      </w:r>
    </w:p>
    <w:p>
      <w:pPr>
        <w:pStyle w:val="33"/>
        <w:numPr>
          <w:ilvl w:val="1"/>
          <w:numId w:val="5"/>
        </w:numPr>
        <w:adjustRightInd w:val="0"/>
        <w:spacing w:line="312" w:lineRule="auto"/>
        <w:ind w:left="0" w:firstLine="480"/>
        <w:jc w:val="both"/>
        <w:rPr>
          <w:rFonts w:ascii="宋体" w:hAnsi="宋体" w:cs="宋体"/>
          <w:lang w:bidi="ar"/>
        </w:rPr>
      </w:pPr>
      <w:r>
        <w:rPr>
          <w:rFonts w:hint="eastAsia" w:ascii="宋体" w:hAnsi="宋体" w:cs="宋体"/>
          <w:lang w:bidi="ar"/>
        </w:rPr>
        <w:t>当招标文件、澄清（答疑）纪要内容相互矛盾时，以最后发出的通知（或纪要）或修改文件为准。</w:t>
      </w:r>
    </w:p>
    <w:p>
      <w:pPr>
        <w:pStyle w:val="33"/>
        <w:numPr>
          <w:ilvl w:val="1"/>
          <w:numId w:val="5"/>
        </w:numPr>
        <w:adjustRightInd w:val="0"/>
        <w:spacing w:line="312" w:lineRule="auto"/>
        <w:ind w:left="0" w:firstLine="480"/>
        <w:jc w:val="both"/>
        <w:rPr>
          <w:rFonts w:ascii="宋体" w:hAnsi="宋体" w:cs="宋体"/>
          <w:lang w:bidi="ar"/>
        </w:rPr>
      </w:pPr>
      <w:r>
        <w:rPr>
          <w:rFonts w:hint="eastAsia" w:ascii="宋体" w:hAnsi="宋体" w:cs="宋体"/>
          <w:lang w:bidi="ar"/>
        </w:rPr>
        <w:t>若有必要，采购人将酌情延长递交投标文件的截止日期。</w:t>
      </w:r>
    </w:p>
    <w:p>
      <w:pPr>
        <w:pStyle w:val="5"/>
        <w:numPr>
          <w:ilvl w:val="1"/>
          <w:numId w:val="0"/>
        </w:numPr>
        <w:tabs>
          <w:tab w:val="left" w:pos="480"/>
        </w:tabs>
        <w:spacing w:beforeLines="0" w:afterLines="0"/>
        <w:rPr>
          <w:rFonts w:ascii="宋体" w:hAnsi="宋体" w:cs="宋体"/>
          <w:b/>
          <w:bCs w:val="0"/>
          <w:lang w:bidi="ar"/>
        </w:rPr>
      </w:pPr>
      <w:bookmarkStart w:id="409" w:name="_Toc11019"/>
      <w:bookmarkStart w:id="410" w:name="_Toc15778"/>
      <w:bookmarkStart w:id="411" w:name="_Toc7618"/>
      <w:bookmarkStart w:id="412" w:name="_Toc30018"/>
      <w:bookmarkStart w:id="413" w:name="_Toc16426"/>
      <w:bookmarkStart w:id="414" w:name="_Toc18666"/>
      <w:bookmarkStart w:id="415" w:name="_Toc69"/>
      <w:bookmarkStart w:id="416" w:name="_Toc24187"/>
      <w:bookmarkStart w:id="417" w:name="_Toc4773"/>
      <w:bookmarkStart w:id="418" w:name="_Toc7119"/>
      <w:bookmarkStart w:id="419" w:name="_Toc26168"/>
      <w:bookmarkStart w:id="420" w:name="_Toc26092"/>
      <w:bookmarkStart w:id="421" w:name="_Toc27315"/>
      <w:bookmarkStart w:id="422" w:name="_Toc31816"/>
      <w:bookmarkStart w:id="423" w:name="_Toc8318"/>
      <w:bookmarkStart w:id="424" w:name="_Toc20563"/>
      <w:bookmarkStart w:id="425" w:name="_Toc29403"/>
      <w:bookmarkStart w:id="426" w:name="_Toc12858"/>
      <w:bookmarkStart w:id="427" w:name="_Toc2313"/>
      <w:bookmarkStart w:id="428" w:name="_Toc7917"/>
      <w:bookmarkStart w:id="429" w:name="_Toc15023"/>
      <w:bookmarkStart w:id="430" w:name="_Toc11335"/>
      <w:bookmarkStart w:id="431" w:name="_Toc9684"/>
      <w:bookmarkStart w:id="432" w:name="_Toc21937"/>
      <w:bookmarkStart w:id="433" w:name="_Toc24001"/>
      <w:bookmarkStart w:id="434" w:name="_Toc9649"/>
      <w:bookmarkStart w:id="435" w:name="_Toc20129"/>
      <w:bookmarkStart w:id="436" w:name="_Toc10055"/>
      <w:bookmarkStart w:id="437" w:name="_Toc26069"/>
      <w:bookmarkStart w:id="438" w:name="_Toc1555"/>
      <w:bookmarkStart w:id="439" w:name="_Toc14300"/>
      <w:bookmarkStart w:id="440" w:name="_Toc1014"/>
      <w:r>
        <w:rPr>
          <w:rFonts w:hint="eastAsia" w:ascii="宋体" w:hAnsi="宋体" w:cs="宋体"/>
          <w:b/>
          <w:bCs w:val="0"/>
          <w:lang w:bidi="ar"/>
        </w:rPr>
        <w:t>四、投标文件的编制</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33"/>
        <w:numPr>
          <w:ilvl w:val="0"/>
          <w:numId w:val="5"/>
        </w:numPr>
        <w:adjustRightInd w:val="0"/>
        <w:spacing w:line="312" w:lineRule="auto"/>
        <w:ind w:left="0" w:firstLine="480"/>
        <w:jc w:val="both"/>
        <w:rPr>
          <w:rFonts w:ascii="宋体" w:hAnsi="宋体" w:cs="宋体"/>
          <w:lang w:bidi="ar"/>
        </w:rPr>
      </w:pPr>
      <w:r>
        <w:rPr>
          <w:rFonts w:hint="eastAsia" w:ascii="宋体" w:hAnsi="宋体" w:cs="宋体"/>
          <w:lang w:bidi="ar"/>
        </w:rPr>
        <w:t>总体要求</w:t>
      </w:r>
    </w:p>
    <w:p>
      <w:pPr>
        <w:pStyle w:val="33"/>
        <w:numPr>
          <w:ilvl w:val="1"/>
          <w:numId w:val="5"/>
        </w:numPr>
        <w:adjustRightInd w:val="0"/>
        <w:spacing w:line="312" w:lineRule="auto"/>
        <w:ind w:left="0" w:firstLine="480"/>
        <w:jc w:val="both"/>
        <w:rPr>
          <w:rFonts w:ascii="宋体" w:hAnsi="宋体" w:cs="宋体"/>
          <w:lang w:bidi="ar"/>
        </w:rPr>
      </w:pPr>
      <w:r>
        <w:rPr>
          <w:rFonts w:hint="eastAsia" w:ascii="宋体" w:hAnsi="宋体" w:cs="宋体"/>
          <w:lang w:bidi="ar"/>
        </w:rPr>
        <w:t>投标人应仔细阅读招标文件的所有内容，按本文件的要求提供投标文件，并保证所提供的全部资料的真实性和有效性，以使其投标文件对招标文件作出实质性响应，否则，其投标文件可能导致废标处理。</w:t>
      </w:r>
    </w:p>
    <w:p>
      <w:pPr>
        <w:pStyle w:val="33"/>
        <w:numPr>
          <w:ilvl w:val="1"/>
          <w:numId w:val="5"/>
        </w:numPr>
        <w:adjustRightInd w:val="0"/>
        <w:spacing w:line="312" w:lineRule="auto"/>
        <w:ind w:left="0" w:firstLine="480"/>
        <w:jc w:val="both"/>
        <w:rPr>
          <w:rFonts w:ascii="宋体" w:hAnsi="宋体" w:cs="宋体"/>
          <w:lang w:bidi="ar"/>
        </w:rPr>
      </w:pPr>
      <w:r>
        <w:rPr>
          <w:rFonts w:hint="eastAsia" w:ascii="宋体" w:hAnsi="宋体" w:cs="宋体"/>
          <w:lang w:bidi="ar"/>
        </w:rPr>
        <w:t>投标文件及投标人与采购有关的来往通知，函件和文件均应使用中文。</w:t>
      </w:r>
    </w:p>
    <w:p>
      <w:pPr>
        <w:pStyle w:val="33"/>
        <w:numPr>
          <w:ilvl w:val="1"/>
          <w:numId w:val="5"/>
        </w:numPr>
        <w:adjustRightInd w:val="0"/>
        <w:spacing w:line="312" w:lineRule="auto"/>
        <w:ind w:left="0" w:firstLine="480"/>
        <w:jc w:val="both"/>
        <w:rPr>
          <w:rFonts w:ascii="宋体" w:hAnsi="宋体" w:cs="宋体"/>
          <w:lang w:bidi="ar"/>
        </w:rPr>
      </w:pPr>
      <w:r>
        <w:rPr>
          <w:rFonts w:hint="eastAsia" w:ascii="宋体" w:hAnsi="宋体" w:cs="宋体"/>
          <w:lang w:bidi="ar"/>
        </w:rPr>
        <w:t>投标人应按本文件中提供的文件格式、内容和要求制作投标文件。投标文件应装订成册。</w:t>
      </w:r>
    </w:p>
    <w:p>
      <w:pPr>
        <w:pStyle w:val="33"/>
        <w:numPr>
          <w:ilvl w:val="0"/>
          <w:numId w:val="5"/>
        </w:numPr>
        <w:adjustRightInd w:val="0"/>
        <w:spacing w:line="312" w:lineRule="auto"/>
        <w:ind w:left="0" w:firstLine="480"/>
        <w:jc w:val="both"/>
        <w:rPr>
          <w:rFonts w:ascii="宋体" w:hAnsi="宋体" w:cs="宋体"/>
          <w:lang w:bidi="ar"/>
        </w:rPr>
      </w:pPr>
      <w:r>
        <w:rPr>
          <w:rFonts w:hint="eastAsia" w:ascii="宋体" w:hAnsi="宋体" w:cs="宋体"/>
          <w:lang w:bidi="ar"/>
        </w:rPr>
        <w:t>投标文件的组成</w:t>
      </w:r>
    </w:p>
    <w:p>
      <w:pPr>
        <w:pStyle w:val="2"/>
        <w:tabs>
          <w:tab w:val="left" w:pos="0"/>
          <w:tab w:val="left" w:pos="993"/>
          <w:tab w:val="left" w:pos="1134"/>
        </w:tabs>
        <w:snapToGrid w:val="0"/>
        <w:spacing w:line="360" w:lineRule="auto"/>
        <w:ind w:firstLine="590" w:firstLineChars="246"/>
        <w:rPr>
          <w:rFonts w:ascii="宋体" w:hAnsi="宋体" w:cs="宋体"/>
          <w:bCs w:val="0"/>
          <w:lang w:bidi="ar"/>
        </w:rPr>
      </w:pPr>
      <w:r>
        <w:rPr>
          <w:rFonts w:hint="eastAsia" w:ascii="宋体" w:hAnsi="宋体" w:cs="宋体"/>
          <w:bCs w:val="0"/>
          <w:lang w:bidi="ar"/>
        </w:rPr>
        <w:t>▲投标文件由资格审查文件、资信技术文件和商务报价文件三部分组成，使用CA锁加盖投标单位电子公章及法定代表人电子签章，用投标工具生成文件格式为“已加密投标文件”的电子投标文件，并将该格式的电子投标文件成功上传至衢州市阳光交易服务平台。</w:t>
      </w:r>
    </w:p>
    <w:p>
      <w:pPr>
        <w:pStyle w:val="33"/>
        <w:numPr>
          <w:ilvl w:val="255"/>
          <w:numId w:val="0"/>
        </w:numPr>
        <w:tabs>
          <w:tab w:val="left" w:pos="171"/>
        </w:tabs>
        <w:adjustRightInd w:val="0"/>
        <w:spacing w:line="312" w:lineRule="auto"/>
        <w:ind w:firstLine="482" w:firstLineChars="200"/>
        <w:jc w:val="both"/>
        <w:rPr>
          <w:rFonts w:ascii="宋体" w:hAnsi="宋体" w:cs="宋体"/>
          <w:b/>
          <w:bCs/>
          <w:lang w:bidi="ar"/>
        </w:rPr>
      </w:pPr>
      <w:bookmarkStart w:id="441" w:name="_Toc13239"/>
      <w:bookmarkStart w:id="442" w:name="_Toc5708"/>
      <w:bookmarkStart w:id="443" w:name="_Toc677"/>
      <w:r>
        <w:rPr>
          <w:rFonts w:hint="eastAsia" w:ascii="宋体" w:hAnsi="宋体" w:cs="宋体"/>
          <w:b/>
          <w:bCs/>
          <w:lang w:bidi="ar"/>
        </w:rPr>
        <w:t>20.1</w:t>
      </w:r>
      <w:bookmarkEnd w:id="441"/>
      <w:bookmarkEnd w:id="442"/>
      <w:r>
        <w:rPr>
          <w:rFonts w:hint="eastAsia" w:ascii="宋体" w:hAnsi="宋体" w:cs="宋体"/>
          <w:b/>
          <w:bCs/>
          <w:lang w:bidi="ar"/>
        </w:rPr>
        <w:t>资格审查文件</w:t>
      </w:r>
      <w:bookmarkEnd w:id="443"/>
    </w:p>
    <w:p>
      <w:pPr>
        <w:pStyle w:val="33"/>
        <w:numPr>
          <w:ilvl w:val="255"/>
          <w:numId w:val="0"/>
        </w:numPr>
        <w:tabs>
          <w:tab w:val="left" w:pos="171"/>
        </w:tabs>
        <w:spacing w:line="312" w:lineRule="auto"/>
        <w:ind w:firstLine="480" w:firstLineChars="200"/>
        <w:rPr>
          <w:rFonts w:ascii="宋体" w:hAnsi="宋体" w:cs="宋体"/>
          <w:lang w:eastAsia="en-US" w:bidi="ar"/>
        </w:rPr>
      </w:pPr>
      <w:r>
        <w:rPr>
          <w:rFonts w:hint="eastAsia" w:ascii="宋体" w:hAnsi="宋体" w:cs="宋体"/>
          <w:lang w:eastAsia="en-US" w:bidi="ar"/>
        </w:rPr>
        <w:t>包括但不限于以下内容：</w:t>
      </w:r>
    </w:p>
    <w:p>
      <w:pPr>
        <w:pStyle w:val="33"/>
        <w:numPr>
          <w:ilvl w:val="255"/>
          <w:numId w:val="0"/>
        </w:numPr>
        <w:tabs>
          <w:tab w:val="left" w:pos="171"/>
        </w:tabs>
        <w:spacing w:line="312" w:lineRule="auto"/>
        <w:ind w:firstLine="480" w:firstLineChars="200"/>
        <w:rPr>
          <w:rFonts w:ascii="宋体" w:hAnsi="宋体" w:cs="宋体"/>
          <w:lang w:eastAsia="en-US" w:bidi="ar"/>
        </w:rPr>
      </w:pPr>
      <w:bookmarkStart w:id="444" w:name="_Toc500208474"/>
      <w:r>
        <w:rPr>
          <w:rFonts w:hint="eastAsia" w:ascii="宋体" w:hAnsi="宋体" w:cs="宋体"/>
          <w:lang w:eastAsia="en-US" w:bidi="ar"/>
        </w:rPr>
        <w:t>（1）投标人基本情况表；（</w:t>
      </w:r>
      <w:r>
        <w:rPr>
          <w:rFonts w:hint="eastAsia" w:ascii="宋体" w:hAnsi="Courier New" w:cs="宋体"/>
          <w:color w:val="000000"/>
        </w:rPr>
        <w:t>格式见</w:t>
      </w:r>
      <w:r>
        <w:rPr>
          <w:rFonts w:hint="eastAsia" w:ascii="宋体" w:hAnsi="宋体" w:cs="宋体"/>
          <w:lang w:eastAsia="en-US" w:bidi="ar"/>
        </w:rPr>
        <w:t>附件1）</w:t>
      </w:r>
    </w:p>
    <w:p>
      <w:pPr>
        <w:pStyle w:val="33"/>
        <w:numPr>
          <w:ilvl w:val="255"/>
          <w:numId w:val="0"/>
        </w:numPr>
        <w:tabs>
          <w:tab w:val="left" w:pos="171"/>
        </w:tabs>
        <w:spacing w:line="312" w:lineRule="auto"/>
        <w:ind w:firstLine="480" w:firstLineChars="200"/>
        <w:rPr>
          <w:rFonts w:ascii="宋体" w:hAnsi="宋体" w:cs="宋体"/>
          <w:lang w:eastAsia="en-US" w:bidi="ar"/>
        </w:rPr>
      </w:pPr>
      <w:r>
        <w:rPr>
          <w:rFonts w:hint="eastAsia" w:ascii="宋体" w:hAnsi="宋体" w:cs="宋体"/>
          <w:lang w:eastAsia="en-US" w:bidi="ar"/>
        </w:rPr>
        <w:t xml:space="preserve">（2）提供有效《企业营业执照》副本复印件加盖公章编入投标文件中； </w:t>
      </w:r>
    </w:p>
    <w:p>
      <w:pPr>
        <w:pStyle w:val="33"/>
        <w:numPr>
          <w:ilvl w:val="255"/>
          <w:numId w:val="0"/>
        </w:numPr>
        <w:tabs>
          <w:tab w:val="left" w:pos="171"/>
        </w:tabs>
        <w:spacing w:line="312" w:lineRule="auto"/>
        <w:ind w:firstLine="480" w:firstLineChars="200"/>
        <w:rPr>
          <w:rFonts w:ascii="宋体" w:hAnsi="宋体" w:cs="宋体"/>
          <w:lang w:eastAsia="en-US" w:bidi="ar"/>
        </w:rPr>
      </w:pPr>
      <w:r>
        <w:rPr>
          <w:rFonts w:hint="eastAsia" w:ascii="宋体" w:hAnsi="宋体" w:cs="宋体"/>
          <w:lang w:eastAsia="en-US" w:bidi="ar"/>
        </w:rPr>
        <w:t>（3）符合参加国企采购活动应当具备的一般条件的承诺函；（</w:t>
      </w:r>
      <w:r>
        <w:rPr>
          <w:rFonts w:hint="eastAsia" w:ascii="宋体" w:hAnsi="Courier New" w:cs="宋体"/>
          <w:color w:val="000000"/>
        </w:rPr>
        <w:t>格式见</w:t>
      </w:r>
      <w:r>
        <w:rPr>
          <w:rFonts w:hint="eastAsia" w:ascii="宋体" w:hAnsi="宋体" w:cs="宋体"/>
          <w:lang w:eastAsia="en-US" w:bidi="ar"/>
        </w:rPr>
        <w:t>附件2）</w:t>
      </w:r>
    </w:p>
    <w:p>
      <w:pPr>
        <w:pStyle w:val="33"/>
        <w:numPr>
          <w:ilvl w:val="255"/>
          <w:numId w:val="0"/>
        </w:numPr>
        <w:tabs>
          <w:tab w:val="left" w:pos="171"/>
        </w:tabs>
        <w:spacing w:line="312" w:lineRule="auto"/>
        <w:ind w:firstLine="482" w:firstLineChars="200"/>
        <w:rPr>
          <w:rFonts w:ascii="宋体" w:hAnsi="宋体" w:cs="宋体"/>
          <w:b/>
          <w:bCs/>
          <w:lang w:eastAsia="en-US" w:bidi="ar"/>
        </w:rPr>
      </w:pPr>
      <w:r>
        <w:rPr>
          <w:rFonts w:hint="eastAsia" w:ascii="宋体" w:hAnsi="宋体" w:cs="宋体"/>
          <w:b/>
          <w:bCs/>
          <w:lang w:eastAsia="en-US" w:bidi="ar"/>
        </w:rPr>
        <w:t>▲注：以上资格文件为通过式评审,如有缺少或不符合要求的,则视为资格审查不予通过。</w:t>
      </w:r>
    </w:p>
    <w:p>
      <w:pPr>
        <w:pStyle w:val="33"/>
        <w:tabs>
          <w:tab w:val="left" w:pos="171"/>
        </w:tabs>
        <w:spacing w:line="312" w:lineRule="auto"/>
        <w:ind w:firstLine="480" w:firstLineChars="0"/>
        <w:rPr>
          <w:rFonts w:ascii="宋体" w:hAnsi="宋体" w:cs="宋体"/>
          <w:b/>
          <w:bCs/>
          <w:lang w:eastAsia="en-US" w:bidi="ar"/>
        </w:rPr>
      </w:pPr>
      <w:r>
        <w:rPr>
          <w:rFonts w:hint="eastAsia" w:ascii="宋体" w:hAnsi="宋体" w:cs="宋体"/>
          <w:b/>
          <w:bCs/>
          <w:lang w:eastAsia="en-US" w:bidi="ar"/>
        </w:rPr>
        <w:t>20.2 资信技术文件</w:t>
      </w:r>
    </w:p>
    <w:p>
      <w:pPr>
        <w:pStyle w:val="20"/>
        <w:spacing w:line="312" w:lineRule="auto"/>
        <w:ind w:firstLine="480"/>
        <w:jc w:val="left"/>
        <w:rPr>
          <w:rFonts w:hAnsi="宋体" w:cs="宋体"/>
          <w:color w:val="000000"/>
          <w:szCs w:val="24"/>
        </w:rPr>
      </w:pPr>
      <w:r>
        <w:rPr>
          <w:rFonts w:hint="eastAsia" w:hAnsi="宋体" w:cs="宋体"/>
          <w:color w:val="000000"/>
          <w:szCs w:val="24"/>
        </w:rPr>
        <w:t>包括但不限于以下内容：</w:t>
      </w:r>
    </w:p>
    <w:p>
      <w:pPr>
        <w:pStyle w:val="20"/>
        <w:spacing w:line="312" w:lineRule="auto"/>
        <w:ind w:firstLine="480" w:firstLineChars="0"/>
        <w:jc w:val="left"/>
        <w:rPr>
          <w:rFonts w:cs="宋体"/>
          <w:color w:val="000000"/>
          <w:szCs w:val="24"/>
        </w:rPr>
      </w:pPr>
      <w:r>
        <w:rPr>
          <w:rFonts w:hint="eastAsia" w:cs="宋体"/>
          <w:color w:val="000000"/>
          <w:szCs w:val="24"/>
        </w:rPr>
        <w:t>（1）▲投标函；（格式见附件3）</w:t>
      </w:r>
    </w:p>
    <w:p>
      <w:pPr>
        <w:pStyle w:val="20"/>
        <w:spacing w:line="312" w:lineRule="auto"/>
        <w:ind w:firstLine="480" w:firstLineChars="0"/>
        <w:jc w:val="left"/>
        <w:rPr>
          <w:rFonts w:cs="宋体"/>
          <w:color w:val="000000"/>
          <w:szCs w:val="24"/>
        </w:rPr>
      </w:pPr>
      <w:r>
        <w:rPr>
          <w:rFonts w:hint="eastAsia" w:cs="宋体"/>
          <w:color w:val="000000"/>
          <w:szCs w:val="24"/>
        </w:rPr>
        <w:t>（2）▲法人证明或授权委托书；（格式见附件4）</w:t>
      </w:r>
    </w:p>
    <w:p>
      <w:pPr>
        <w:pStyle w:val="20"/>
        <w:spacing w:line="312" w:lineRule="auto"/>
        <w:ind w:firstLine="480" w:firstLineChars="0"/>
        <w:jc w:val="left"/>
        <w:rPr>
          <w:rFonts w:cs="宋体"/>
          <w:color w:val="000000"/>
          <w:szCs w:val="24"/>
        </w:rPr>
      </w:pPr>
      <w:r>
        <w:rPr>
          <w:rFonts w:hint="eastAsia" w:cs="宋体"/>
          <w:color w:val="000000"/>
          <w:szCs w:val="24"/>
        </w:rPr>
        <w:t>（3）项目业绩一览表；（格式见附件5）</w:t>
      </w:r>
    </w:p>
    <w:p>
      <w:pPr>
        <w:pStyle w:val="20"/>
        <w:spacing w:line="312" w:lineRule="auto"/>
        <w:ind w:firstLine="480"/>
        <w:jc w:val="left"/>
        <w:rPr>
          <w:rFonts w:hint="eastAsia" w:cs="宋体"/>
          <w:color w:val="000000"/>
          <w:szCs w:val="24"/>
        </w:rPr>
      </w:pPr>
      <w:bookmarkStart w:id="445" w:name="_Toc29404"/>
      <w:bookmarkStart w:id="446" w:name="_Toc24537"/>
      <w:bookmarkStart w:id="447" w:name="_Toc16512"/>
      <w:bookmarkStart w:id="448" w:name="_Toc17884"/>
      <w:bookmarkStart w:id="449" w:name="_Toc10577"/>
      <w:r>
        <w:rPr>
          <w:rFonts w:hint="eastAsia" w:cs="宋体"/>
          <w:color w:val="000000"/>
          <w:szCs w:val="24"/>
        </w:rPr>
        <w:t>（4）商务/技术偏离表；（格式见附件</w:t>
      </w:r>
      <w:r>
        <w:rPr>
          <w:rFonts w:hint="eastAsia" w:cs="宋体"/>
          <w:color w:val="000000"/>
          <w:szCs w:val="24"/>
          <w:lang w:val="en-US" w:eastAsia="zh-CN"/>
        </w:rPr>
        <w:t>6</w:t>
      </w:r>
      <w:r>
        <w:rPr>
          <w:rFonts w:hint="eastAsia" w:cs="宋体"/>
          <w:color w:val="000000"/>
          <w:szCs w:val="24"/>
        </w:rPr>
        <w:t>）</w:t>
      </w:r>
    </w:p>
    <w:p>
      <w:pPr>
        <w:pStyle w:val="20"/>
        <w:spacing w:line="312" w:lineRule="auto"/>
        <w:ind w:firstLine="480"/>
        <w:jc w:val="left"/>
        <w:rPr>
          <w:rFonts w:hint="eastAsia" w:cs="宋体"/>
          <w:color w:val="000000"/>
          <w:szCs w:val="24"/>
        </w:rPr>
      </w:pPr>
      <w:r>
        <w:rPr>
          <w:rFonts w:hint="eastAsia" w:cs="宋体"/>
          <w:color w:val="000000"/>
          <w:szCs w:val="24"/>
          <w:lang w:eastAsia="zh-CN"/>
        </w:rPr>
        <w:t>（</w:t>
      </w:r>
      <w:r>
        <w:rPr>
          <w:rFonts w:hint="eastAsia" w:cs="宋体"/>
          <w:color w:val="000000"/>
          <w:szCs w:val="24"/>
          <w:lang w:val="en-US" w:eastAsia="zh-CN"/>
        </w:rPr>
        <w:t>5</w:t>
      </w:r>
      <w:r>
        <w:rPr>
          <w:rFonts w:hint="eastAsia" w:cs="宋体"/>
          <w:color w:val="000000"/>
          <w:szCs w:val="24"/>
          <w:lang w:eastAsia="zh-CN"/>
        </w:rPr>
        <w:t>）技术支持及服务承诺书；</w:t>
      </w:r>
      <w:r>
        <w:rPr>
          <w:rFonts w:hint="eastAsia" w:cs="宋体"/>
          <w:color w:val="000000"/>
          <w:szCs w:val="24"/>
        </w:rPr>
        <w:t>（格式见附件</w:t>
      </w:r>
      <w:r>
        <w:rPr>
          <w:rFonts w:hint="eastAsia" w:cs="宋体"/>
          <w:color w:val="000000"/>
          <w:szCs w:val="24"/>
          <w:lang w:val="en-US" w:eastAsia="zh-CN"/>
        </w:rPr>
        <w:t>7</w:t>
      </w:r>
      <w:r>
        <w:rPr>
          <w:rFonts w:hint="eastAsia" w:cs="宋体"/>
          <w:color w:val="000000"/>
          <w:szCs w:val="24"/>
        </w:rPr>
        <w:t>）</w:t>
      </w:r>
    </w:p>
    <w:p>
      <w:pPr>
        <w:pStyle w:val="20"/>
        <w:spacing w:line="312" w:lineRule="auto"/>
        <w:ind w:firstLine="480" w:firstLineChars="0"/>
        <w:jc w:val="left"/>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w:t>
      </w:r>
      <w:r>
        <w:rPr>
          <w:rFonts w:hint="eastAsia" w:ascii="宋体" w:hAnsi="宋体" w:eastAsia="宋体" w:cs="宋体"/>
          <w:color w:val="000000"/>
          <w:szCs w:val="24"/>
          <w:lang w:val="en-US" w:eastAsia="zh-CN"/>
        </w:rPr>
        <w:t>6</w:t>
      </w:r>
      <w:r>
        <w:rPr>
          <w:rFonts w:hint="eastAsia" w:ascii="宋体" w:hAnsi="宋体" w:eastAsia="宋体" w:cs="宋体"/>
          <w:color w:val="000000"/>
          <w:szCs w:val="24"/>
          <w:lang w:eastAsia="zh-CN"/>
        </w:rPr>
        <w:t>）施工组织设计；（</w:t>
      </w:r>
      <w:r>
        <w:rPr>
          <w:rFonts w:hint="eastAsia" w:ascii="宋体" w:hAnsi="宋体" w:eastAsia="宋体" w:cs="宋体"/>
          <w:color w:val="000000"/>
          <w:szCs w:val="24"/>
          <w:lang w:val="en-US" w:eastAsia="zh-CN"/>
        </w:rPr>
        <w:t>格式自拟</w:t>
      </w:r>
      <w:r>
        <w:rPr>
          <w:rFonts w:hint="eastAsia" w:ascii="宋体" w:hAnsi="宋体" w:eastAsia="宋体" w:cs="宋体"/>
          <w:color w:val="000000"/>
          <w:szCs w:val="24"/>
          <w:lang w:eastAsia="zh-CN"/>
        </w:rPr>
        <w:t>）</w:t>
      </w:r>
    </w:p>
    <w:p>
      <w:pPr>
        <w:pStyle w:val="20"/>
        <w:spacing w:line="312" w:lineRule="auto"/>
        <w:ind w:firstLine="480" w:firstLineChars="0"/>
        <w:jc w:val="left"/>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w:t>
      </w:r>
      <w:r>
        <w:rPr>
          <w:rFonts w:hint="eastAsia" w:ascii="宋体" w:hAnsi="宋体" w:eastAsia="宋体" w:cs="宋体"/>
          <w:color w:val="000000"/>
          <w:szCs w:val="24"/>
          <w:lang w:val="en-US" w:eastAsia="zh-CN"/>
        </w:rPr>
        <w:t>7</w:t>
      </w:r>
      <w:r>
        <w:rPr>
          <w:rFonts w:hint="eastAsia" w:ascii="宋体" w:hAnsi="宋体" w:eastAsia="宋体" w:cs="宋体"/>
          <w:color w:val="000000"/>
          <w:szCs w:val="24"/>
          <w:lang w:eastAsia="zh-CN"/>
        </w:rPr>
        <w:t>）项目的重点难点及应对措施；（</w:t>
      </w:r>
      <w:r>
        <w:rPr>
          <w:rFonts w:hint="eastAsia" w:ascii="宋体" w:hAnsi="宋体" w:eastAsia="宋体" w:cs="宋体"/>
          <w:color w:val="000000"/>
          <w:szCs w:val="24"/>
          <w:lang w:val="en-US" w:eastAsia="zh-CN"/>
        </w:rPr>
        <w:t>格式自拟</w:t>
      </w:r>
      <w:r>
        <w:rPr>
          <w:rFonts w:hint="eastAsia" w:ascii="宋体" w:hAnsi="宋体" w:eastAsia="宋体" w:cs="宋体"/>
          <w:color w:val="000000"/>
          <w:szCs w:val="24"/>
          <w:lang w:eastAsia="zh-CN"/>
        </w:rPr>
        <w:t>）</w:t>
      </w:r>
    </w:p>
    <w:p>
      <w:pPr>
        <w:pStyle w:val="20"/>
        <w:spacing w:line="312" w:lineRule="auto"/>
        <w:ind w:firstLine="480" w:firstLineChars="0"/>
        <w:jc w:val="left"/>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w:t>
      </w:r>
      <w:r>
        <w:rPr>
          <w:rFonts w:hint="eastAsia" w:ascii="宋体" w:hAnsi="宋体" w:eastAsia="宋体" w:cs="宋体"/>
          <w:color w:val="000000"/>
          <w:szCs w:val="24"/>
          <w:lang w:val="en-US" w:eastAsia="zh-CN"/>
        </w:rPr>
        <w:t>8</w:t>
      </w:r>
      <w:r>
        <w:rPr>
          <w:rFonts w:hint="eastAsia" w:ascii="宋体" w:hAnsi="宋体" w:eastAsia="宋体" w:cs="宋体"/>
          <w:color w:val="000000"/>
          <w:szCs w:val="24"/>
          <w:lang w:eastAsia="zh-CN"/>
        </w:rPr>
        <w:t>）项目采购实施方案；（</w:t>
      </w:r>
      <w:r>
        <w:rPr>
          <w:rFonts w:hint="eastAsia" w:ascii="宋体" w:hAnsi="宋体" w:eastAsia="宋体" w:cs="宋体"/>
          <w:color w:val="000000"/>
          <w:szCs w:val="24"/>
          <w:lang w:val="en-US" w:eastAsia="zh-CN"/>
        </w:rPr>
        <w:t>格式自拟</w:t>
      </w:r>
      <w:r>
        <w:rPr>
          <w:rFonts w:hint="eastAsia" w:ascii="宋体" w:hAnsi="宋体" w:eastAsia="宋体" w:cs="宋体"/>
          <w:color w:val="000000"/>
          <w:szCs w:val="24"/>
          <w:lang w:eastAsia="zh-CN"/>
        </w:rPr>
        <w:t>）</w:t>
      </w:r>
    </w:p>
    <w:p>
      <w:pPr>
        <w:pStyle w:val="20"/>
        <w:spacing w:line="312" w:lineRule="auto"/>
        <w:ind w:firstLine="480" w:firstLineChars="0"/>
        <w:jc w:val="left"/>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w:t>
      </w:r>
      <w:r>
        <w:rPr>
          <w:rFonts w:hint="eastAsia" w:ascii="宋体" w:hAnsi="宋体" w:eastAsia="宋体" w:cs="宋体"/>
          <w:color w:val="000000"/>
          <w:szCs w:val="24"/>
          <w:lang w:val="en-US" w:eastAsia="zh-CN"/>
        </w:rPr>
        <w:t>9</w:t>
      </w:r>
      <w:r>
        <w:rPr>
          <w:rFonts w:hint="eastAsia" w:ascii="宋体" w:hAnsi="宋体" w:eastAsia="宋体" w:cs="宋体"/>
          <w:color w:val="000000"/>
          <w:szCs w:val="24"/>
          <w:lang w:eastAsia="zh-CN"/>
        </w:rPr>
        <w:t>）售后服务方案；（</w:t>
      </w:r>
      <w:r>
        <w:rPr>
          <w:rFonts w:hint="eastAsia" w:ascii="宋体" w:hAnsi="宋体" w:eastAsia="宋体" w:cs="宋体"/>
          <w:color w:val="000000"/>
          <w:szCs w:val="24"/>
          <w:lang w:val="en-US" w:eastAsia="zh-CN"/>
        </w:rPr>
        <w:t>格式自拟</w:t>
      </w:r>
      <w:r>
        <w:rPr>
          <w:rFonts w:hint="eastAsia" w:ascii="宋体" w:hAnsi="宋体" w:eastAsia="宋体" w:cs="宋体"/>
          <w:color w:val="000000"/>
          <w:szCs w:val="24"/>
          <w:lang w:eastAsia="zh-CN"/>
        </w:rPr>
        <w:t>）</w:t>
      </w:r>
    </w:p>
    <w:p>
      <w:pPr>
        <w:pStyle w:val="20"/>
        <w:spacing w:line="312" w:lineRule="auto"/>
        <w:ind w:firstLine="480" w:firstLineChars="0"/>
        <w:jc w:val="left"/>
        <w:rPr>
          <w:rFonts w:hint="eastAsia" w:ascii="宋体" w:hAnsi="宋体" w:eastAsia="宋体" w:cs="宋体"/>
          <w:color w:val="000000"/>
          <w:szCs w:val="24"/>
        </w:rPr>
      </w:pPr>
      <w:r>
        <w:rPr>
          <w:rFonts w:hint="eastAsia" w:ascii="宋体" w:hAnsi="宋体" w:eastAsia="宋体" w:cs="宋体"/>
          <w:color w:val="000000"/>
          <w:szCs w:val="24"/>
        </w:rPr>
        <w:t>（</w:t>
      </w:r>
      <w:r>
        <w:rPr>
          <w:rFonts w:hint="eastAsia" w:ascii="宋体" w:hAnsi="宋体" w:eastAsia="宋体" w:cs="宋体"/>
          <w:color w:val="000000"/>
          <w:szCs w:val="24"/>
          <w:lang w:val="en-US" w:eastAsia="zh-CN"/>
        </w:rPr>
        <w:t>10</w:t>
      </w:r>
      <w:r>
        <w:rPr>
          <w:rFonts w:hint="eastAsia" w:ascii="宋体" w:hAnsi="宋体" w:eastAsia="宋体" w:cs="宋体"/>
          <w:color w:val="000000"/>
          <w:szCs w:val="24"/>
        </w:rPr>
        <w:t>）投标人根据第四章评标办法及评分标准3.综合评分明细表提供其余的相关评分所需资料。</w:t>
      </w:r>
    </w:p>
    <w:bookmarkEnd w:id="445"/>
    <w:bookmarkEnd w:id="446"/>
    <w:bookmarkEnd w:id="447"/>
    <w:bookmarkEnd w:id="448"/>
    <w:bookmarkEnd w:id="449"/>
    <w:p>
      <w:pPr>
        <w:pStyle w:val="20"/>
        <w:spacing w:line="312" w:lineRule="auto"/>
        <w:ind w:firstLine="482"/>
        <w:jc w:val="left"/>
        <w:rPr>
          <w:rFonts w:hAnsi="宋体" w:cs="宋体"/>
          <w:b/>
          <w:bCs/>
          <w:szCs w:val="24"/>
        </w:rPr>
      </w:pPr>
      <w:bookmarkStart w:id="450" w:name="_Toc10278"/>
      <w:bookmarkStart w:id="451" w:name="_Toc22013"/>
      <w:bookmarkStart w:id="452" w:name="_Toc25916"/>
      <w:r>
        <w:rPr>
          <w:rFonts w:hint="eastAsia" w:hAnsi="宋体" w:cs="宋体"/>
          <w:b/>
          <w:bCs/>
          <w:szCs w:val="24"/>
        </w:rPr>
        <w:t>20.3 商务报价文件</w:t>
      </w:r>
      <w:bookmarkEnd w:id="450"/>
      <w:bookmarkEnd w:id="451"/>
      <w:bookmarkEnd w:id="452"/>
    </w:p>
    <w:p>
      <w:pPr>
        <w:pStyle w:val="20"/>
        <w:spacing w:line="312" w:lineRule="auto"/>
        <w:ind w:firstLine="480"/>
        <w:jc w:val="left"/>
        <w:rPr>
          <w:rFonts w:cs="宋体"/>
          <w:color w:val="000000"/>
          <w:szCs w:val="24"/>
        </w:rPr>
      </w:pPr>
      <w:r>
        <w:rPr>
          <w:rFonts w:hint="eastAsia" w:cs="宋体"/>
          <w:color w:val="000000"/>
          <w:szCs w:val="24"/>
        </w:rPr>
        <w:t>包括但不限于以下内容：</w:t>
      </w:r>
    </w:p>
    <w:p>
      <w:pPr>
        <w:pStyle w:val="20"/>
        <w:spacing w:line="312" w:lineRule="auto"/>
        <w:ind w:firstLine="480"/>
        <w:jc w:val="left"/>
        <w:rPr>
          <w:rFonts w:hint="eastAsia" w:cs="宋体"/>
          <w:color w:val="000000"/>
          <w:szCs w:val="24"/>
        </w:rPr>
      </w:pPr>
      <w:r>
        <w:rPr>
          <w:rFonts w:hint="eastAsia" w:cs="宋体"/>
          <w:color w:val="000000"/>
          <w:szCs w:val="24"/>
        </w:rPr>
        <w:t>▲（1）开标一览表；（附件</w:t>
      </w:r>
      <w:r>
        <w:rPr>
          <w:rFonts w:hint="eastAsia" w:cs="宋体"/>
          <w:color w:val="000000"/>
          <w:szCs w:val="24"/>
          <w:lang w:val="en-US" w:eastAsia="zh-CN"/>
        </w:rPr>
        <w:t>8</w:t>
      </w:r>
      <w:r>
        <w:rPr>
          <w:rFonts w:hint="eastAsia" w:cs="宋体"/>
          <w:color w:val="000000"/>
          <w:szCs w:val="24"/>
        </w:rPr>
        <w:t>）</w:t>
      </w:r>
    </w:p>
    <w:p>
      <w:pPr>
        <w:pStyle w:val="20"/>
        <w:spacing w:line="312" w:lineRule="auto"/>
        <w:ind w:firstLine="480"/>
        <w:jc w:val="left"/>
      </w:pPr>
      <w:r>
        <w:rPr>
          <w:rFonts w:hint="eastAsia" w:cs="宋体"/>
          <w:color w:val="auto"/>
          <w:szCs w:val="24"/>
        </w:rPr>
        <w:t>（2）清单报价表；（</w:t>
      </w:r>
      <w:r>
        <w:rPr>
          <w:rFonts w:hint="eastAsia" w:ascii="宋体" w:hAnsi="宋体" w:cs="宋体"/>
          <w:color w:val="auto"/>
        </w:rPr>
        <w:t>格式见</w:t>
      </w:r>
      <w:r>
        <w:rPr>
          <w:rFonts w:hint="eastAsia" w:cs="宋体"/>
          <w:color w:val="auto"/>
          <w:szCs w:val="24"/>
        </w:rPr>
        <w:t>附件9）</w:t>
      </w:r>
    </w:p>
    <w:p>
      <w:pPr>
        <w:pStyle w:val="20"/>
        <w:spacing w:line="312" w:lineRule="auto"/>
        <w:ind w:firstLine="480"/>
        <w:jc w:val="left"/>
        <w:rPr>
          <w:rFonts w:cs="宋体"/>
          <w:color w:val="000000"/>
          <w:szCs w:val="24"/>
        </w:rPr>
      </w:pPr>
      <w:r>
        <w:rPr>
          <w:rFonts w:hint="eastAsia" w:cs="宋体"/>
          <w:color w:val="000000"/>
          <w:szCs w:val="24"/>
        </w:rPr>
        <w:t>（</w:t>
      </w:r>
      <w:r>
        <w:rPr>
          <w:rFonts w:hint="eastAsia" w:cs="宋体"/>
          <w:color w:val="000000"/>
          <w:szCs w:val="24"/>
          <w:lang w:val="en-US" w:eastAsia="zh-CN"/>
        </w:rPr>
        <w:t>3</w:t>
      </w:r>
      <w:r>
        <w:rPr>
          <w:rFonts w:hint="eastAsia" w:cs="宋体"/>
          <w:color w:val="000000"/>
          <w:szCs w:val="24"/>
        </w:rPr>
        <w:t>）中小企业、监狱企业、残疾人福利性单位声明函；（附件</w:t>
      </w:r>
      <w:r>
        <w:rPr>
          <w:rFonts w:hint="eastAsia" w:cs="宋体"/>
          <w:color w:val="000000"/>
          <w:szCs w:val="24"/>
          <w:lang w:val="en-US" w:eastAsia="zh-CN"/>
        </w:rPr>
        <w:t>10</w:t>
      </w:r>
      <w:r>
        <w:rPr>
          <w:rFonts w:hint="eastAsia" w:cs="宋体"/>
          <w:color w:val="000000"/>
          <w:szCs w:val="24"/>
        </w:rPr>
        <w:t>）</w:t>
      </w:r>
    </w:p>
    <w:p>
      <w:pPr>
        <w:pStyle w:val="20"/>
        <w:spacing w:line="312" w:lineRule="auto"/>
        <w:ind w:firstLine="480"/>
        <w:jc w:val="left"/>
        <w:rPr>
          <w:rFonts w:cs="宋体"/>
          <w:color w:val="000000"/>
          <w:szCs w:val="24"/>
        </w:rPr>
      </w:pPr>
      <w:r>
        <w:rPr>
          <w:rFonts w:hint="eastAsia" w:cs="宋体"/>
          <w:color w:val="000000"/>
          <w:szCs w:val="24"/>
        </w:rPr>
        <w:t>（</w:t>
      </w:r>
      <w:r>
        <w:rPr>
          <w:rFonts w:hint="eastAsia" w:cs="宋体"/>
          <w:color w:val="000000"/>
          <w:szCs w:val="24"/>
          <w:lang w:val="en-US" w:eastAsia="zh-CN"/>
        </w:rPr>
        <w:t>4</w:t>
      </w:r>
      <w:r>
        <w:rPr>
          <w:rFonts w:hint="eastAsia" w:cs="宋体"/>
          <w:color w:val="000000"/>
          <w:szCs w:val="24"/>
        </w:rPr>
        <w:t>）投标人需要说明的其他文件和说明。</w:t>
      </w:r>
    </w:p>
    <w:bookmarkEnd w:id="444"/>
    <w:p>
      <w:pPr>
        <w:spacing w:line="312" w:lineRule="auto"/>
        <w:ind w:firstLine="482"/>
        <w:rPr>
          <w:rFonts w:ascii="宋体" w:hAnsi="宋体" w:cs="宋体"/>
          <w:b/>
          <w:bCs/>
          <w:u w:val="single"/>
        </w:rPr>
      </w:pPr>
      <w:r>
        <w:rPr>
          <w:rFonts w:hint="eastAsia" w:ascii="宋体" w:hAnsi="宋体" w:cs="宋体"/>
          <w:b/>
          <w:bCs/>
          <w:u w:val="single"/>
        </w:rPr>
        <w:t>注：1.以上文件组成投标文件。投标人应对招标文件做出实质性响应，该项内容将作为投标的重要指标。一旦开标后，经审核确定投标资格和技术能力不能响应招标文件要求，则投标人即刻被废标或被拒绝进入商务报价阶段。</w:t>
      </w:r>
    </w:p>
    <w:p>
      <w:pPr>
        <w:spacing w:line="312" w:lineRule="auto"/>
        <w:ind w:firstLine="482"/>
        <w:rPr>
          <w:rFonts w:ascii="宋体" w:hAnsi="宋体" w:cs="宋体"/>
          <w:b/>
          <w:bCs/>
          <w:u w:val="single"/>
        </w:rPr>
      </w:pPr>
      <w:r>
        <w:rPr>
          <w:rFonts w:hint="eastAsia" w:ascii="宋体" w:hAnsi="宋体" w:cs="宋体"/>
          <w:b/>
          <w:bCs/>
          <w:u w:val="single"/>
        </w:rPr>
        <w:t>2.</w:t>
      </w:r>
      <w:r>
        <w:rPr>
          <w:rFonts w:hint="eastAsia"/>
          <w:b/>
          <w:bCs/>
          <w:u w:val="single"/>
          <w:lang w:val="en-US" w:eastAsia="zh-CN"/>
        </w:rPr>
        <w:t>以</w:t>
      </w:r>
      <w:r>
        <w:rPr>
          <w:rFonts w:hint="eastAsia" w:ascii="宋体" w:hAnsi="宋体" w:cs="宋体"/>
          <w:b/>
          <w:bCs/>
          <w:u w:val="single"/>
        </w:rPr>
        <w:t>上所需的各种证书、证件、证明、执照等证明文件扫描件上应加盖投标人的电子公章，否则相应部分不得分。</w:t>
      </w:r>
    </w:p>
    <w:p>
      <w:pPr>
        <w:pStyle w:val="33"/>
        <w:numPr>
          <w:ilvl w:val="0"/>
          <w:numId w:val="9"/>
        </w:numPr>
        <w:adjustRightInd w:val="0"/>
        <w:spacing w:line="312" w:lineRule="auto"/>
        <w:jc w:val="both"/>
        <w:rPr>
          <w:rFonts w:ascii="宋体" w:hAnsi="宋体" w:cs="宋体"/>
          <w:lang w:bidi="ar"/>
        </w:rPr>
      </w:pPr>
      <w:bookmarkStart w:id="453" w:name="_Toc506120275"/>
      <w:bookmarkStart w:id="454" w:name="_Toc28140"/>
      <w:bookmarkStart w:id="455" w:name="_Toc480456307"/>
      <w:bookmarkStart w:id="456" w:name="_Toc506120410"/>
      <w:bookmarkStart w:id="457" w:name="_Toc361434052"/>
      <w:bookmarkStart w:id="458" w:name="_Toc361433601"/>
      <w:bookmarkStart w:id="459" w:name="_Toc84325930"/>
      <w:bookmarkStart w:id="460" w:name="_Toc101321796"/>
      <w:bookmarkStart w:id="461" w:name="_Toc361432660"/>
      <w:bookmarkStart w:id="462" w:name="_Toc361433768"/>
      <w:bookmarkStart w:id="463" w:name="_Toc81372777"/>
      <w:bookmarkStart w:id="464" w:name="_Toc327"/>
      <w:bookmarkStart w:id="465" w:name="_Toc27730"/>
      <w:bookmarkStart w:id="466" w:name="_Toc361433090"/>
      <w:bookmarkStart w:id="467" w:name="_Toc361435893"/>
      <w:bookmarkStart w:id="468" w:name="_Toc361433420"/>
      <w:bookmarkStart w:id="469" w:name="_Toc361433873"/>
      <w:bookmarkStart w:id="470" w:name="_Toc361433695"/>
      <w:bookmarkStart w:id="471" w:name="_Toc361434250"/>
      <w:bookmarkStart w:id="472" w:name="_Toc363052661"/>
      <w:bookmarkStart w:id="473" w:name="_Toc361437572"/>
      <w:bookmarkStart w:id="474" w:name="_Toc19"/>
      <w:bookmarkStart w:id="475" w:name="_Toc81372954"/>
      <w:bookmarkStart w:id="476" w:name="_Toc31349"/>
      <w:bookmarkStart w:id="477" w:name="_Toc361433283"/>
      <w:bookmarkStart w:id="478" w:name="_Toc361437247"/>
      <w:bookmarkStart w:id="479" w:name="_Toc361436980"/>
      <w:bookmarkStart w:id="480" w:name="_Toc361437173"/>
      <w:bookmarkStart w:id="481" w:name="_Toc361432200"/>
      <w:r>
        <w:rPr>
          <w:rFonts w:hint="eastAsia" w:ascii="宋体" w:hAnsi="宋体" w:cs="宋体"/>
          <w:lang w:bidi="ar"/>
        </w:rPr>
        <w:t>投标文件的编制</w:t>
      </w:r>
      <w:bookmarkEnd w:id="453"/>
      <w:bookmarkEnd w:id="454"/>
      <w:bookmarkEnd w:id="455"/>
      <w:bookmarkEnd w:id="456"/>
    </w:p>
    <w:p>
      <w:pPr>
        <w:wordWrap w:val="0"/>
        <w:spacing w:line="360" w:lineRule="auto"/>
        <w:ind w:firstLine="480"/>
        <w:rPr>
          <w:rFonts w:ascii="宋体" w:hAnsi="宋体"/>
        </w:rPr>
      </w:pPr>
      <w:r>
        <w:rPr>
          <w:rFonts w:hint="eastAsia" w:ascii="宋体" w:hAnsi="宋体"/>
        </w:rPr>
        <w:t>21.1投标文件应按第六章“投标文件格式”进行编写，如有必要，可以增加附页，作为投标文件的组成部分。其中，</w:t>
      </w:r>
      <w:r>
        <w:rPr>
          <w:rFonts w:ascii="宋体" w:hAnsi="宋体"/>
          <w:szCs w:val="21"/>
        </w:rPr>
        <w:t>投标函在满足招标文件实质性要求的基础上，可以提出比招标文件要求更有利于</w:t>
      </w:r>
      <w:r>
        <w:rPr>
          <w:rFonts w:hint="eastAsia" w:ascii="宋体" w:hAnsi="宋体"/>
          <w:szCs w:val="21"/>
        </w:rPr>
        <w:t>采购人</w:t>
      </w:r>
      <w:r>
        <w:rPr>
          <w:rFonts w:ascii="宋体" w:hAnsi="宋体"/>
          <w:szCs w:val="21"/>
        </w:rPr>
        <w:t>的承诺。</w:t>
      </w:r>
    </w:p>
    <w:p>
      <w:pPr>
        <w:wordWrap w:val="0"/>
        <w:snapToGrid w:val="0"/>
        <w:spacing w:line="360" w:lineRule="auto"/>
        <w:ind w:firstLine="480"/>
        <w:rPr>
          <w:rFonts w:ascii="宋体" w:hAnsi="宋体"/>
          <w:szCs w:val="21"/>
        </w:rPr>
      </w:pPr>
      <w:r>
        <w:rPr>
          <w:rFonts w:hint="eastAsia" w:ascii="宋体" w:hAnsi="宋体"/>
        </w:rPr>
        <w:t>21.2</w:t>
      </w:r>
      <w:r>
        <w:rPr>
          <w:rFonts w:hint="eastAsia" w:ascii="宋体" w:hAnsi="宋体" w:cs="Times New Roman"/>
        </w:rPr>
        <w:t>投标文件的制作要求详见本章“电子投标说明”</w:t>
      </w:r>
      <w:r>
        <w:rPr>
          <w:rFonts w:ascii="宋体" w:hAnsi="宋体"/>
          <w:szCs w:val="21"/>
        </w:rPr>
        <w:t>。</w:t>
      </w:r>
    </w:p>
    <w:p>
      <w:pPr>
        <w:snapToGrid w:val="0"/>
        <w:spacing w:line="360" w:lineRule="auto"/>
        <w:ind w:firstLine="480"/>
      </w:pPr>
      <w:r>
        <w:rPr>
          <w:rFonts w:hint="eastAsia" w:ascii="宋体" w:hAnsi="宋体"/>
        </w:rPr>
        <w:t>21.3</w:t>
      </w:r>
      <w:r>
        <w:rPr>
          <w:rFonts w:hint="eastAsia" w:ascii="宋体" w:hAnsi="宋体" w:cs="宋体"/>
          <w:kern w:val="0"/>
          <w:szCs w:val="21"/>
        </w:rPr>
        <w:t>投标文件</w:t>
      </w:r>
      <w:r>
        <w:rPr>
          <w:rFonts w:hint="eastAsia" w:ascii="宋体" w:hAnsi="宋体" w:cs="宋体"/>
          <w:lang w:bidi="ar"/>
        </w:rPr>
        <w:t>资格审查文件、资信技术文件和商务报价文件</w:t>
      </w:r>
      <w:r>
        <w:rPr>
          <w:rFonts w:hint="eastAsia" w:ascii="宋体" w:hAnsi="宋体" w:cs="宋体"/>
          <w:kern w:val="0"/>
          <w:szCs w:val="21"/>
        </w:rPr>
        <w:t>按投标文件格式文件要求投标人盖章、法定代表人印章的地方，投标人均应使用CA数字证书加盖投标人的单位电子印章、法定代表人个人电子印章，上传至衢州市阳光交易服务平台，作为投标文件正本，其余详见投标人须知前附表。</w:t>
      </w:r>
    </w:p>
    <w:p>
      <w:pPr>
        <w:pStyle w:val="33"/>
        <w:numPr>
          <w:ilvl w:val="0"/>
          <w:numId w:val="5"/>
        </w:numPr>
        <w:adjustRightInd w:val="0"/>
        <w:spacing w:line="312" w:lineRule="auto"/>
        <w:ind w:left="0" w:firstLine="480"/>
        <w:jc w:val="both"/>
        <w:rPr>
          <w:rFonts w:ascii="宋体" w:hAnsi="宋体" w:cs="宋体"/>
          <w:lang w:bidi="ar"/>
        </w:rPr>
      </w:pPr>
      <w:r>
        <w:rPr>
          <w:rFonts w:hint="eastAsia" w:ascii="宋体" w:hAnsi="宋体" w:cs="宋体"/>
          <w:lang w:bidi="ar"/>
        </w:rPr>
        <w:t>投标内容填写说明</w:t>
      </w:r>
    </w:p>
    <w:p>
      <w:pPr>
        <w:pStyle w:val="33"/>
        <w:numPr>
          <w:ilvl w:val="1"/>
          <w:numId w:val="5"/>
        </w:numPr>
        <w:adjustRightInd w:val="0"/>
        <w:spacing w:line="312" w:lineRule="auto"/>
        <w:ind w:left="0" w:firstLine="480"/>
        <w:rPr>
          <w:rFonts w:ascii="宋体" w:hAnsi="宋体" w:cs="宋体"/>
        </w:rPr>
      </w:pPr>
      <w:r>
        <w:rPr>
          <w:rFonts w:hint="eastAsia" w:ascii="宋体" w:hAnsi="宋体" w:cs="宋体"/>
        </w:rPr>
        <w:t>无相应内容可填的项应填写“无”、“未测试”、“没有相应指标”等明确的回答文字。</w:t>
      </w:r>
    </w:p>
    <w:p>
      <w:pPr>
        <w:pStyle w:val="33"/>
        <w:numPr>
          <w:ilvl w:val="1"/>
          <w:numId w:val="5"/>
        </w:numPr>
        <w:adjustRightInd w:val="0"/>
        <w:spacing w:line="312" w:lineRule="auto"/>
        <w:ind w:left="0" w:firstLine="480"/>
        <w:rPr>
          <w:rFonts w:ascii="宋体" w:hAnsi="宋体" w:cs="宋体"/>
        </w:rPr>
      </w:pPr>
      <w:r>
        <w:rPr>
          <w:rFonts w:hint="eastAsia" w:ascii="宋体" w:hAnsi="宋体" w:cs="宋体"/>
        </w:rPr>
        <w:t>投标人必须保证投标文件所提供的全部资料真实可靠，并接受采购人对任何资料进一步审查的要求。</w:t>
      </w:r>
    </w:p>
    <w:p>
      <w:pPr>
        <w:pStyle w:val="33"/>
        <w:numPr>
          <w:ilvl w:val="1"/>
          <w:numId w:val="5"/>
        </w:numPr>
        <w:adjustRightInd w:val="0"/>
        <w:spacing w:line="312" w:lineRule="auto"/>
        <w:ind w:left="0" w:firstLine="480"/>
        <w:rPr>
          <w:rFonts w:ascii="宋体" w:hAnsi="宋体" w:cs="宋体"/>
        </w:rPr>
      </w:pPr>
      <w:r>
        <w:rPr>
          <w:rFonts w:hint="eastAsia" w:ascii="宋体" w:hAnsi="宋体" w:cs="宋体"/>
        </w:rPr>
        <w:t>《开标一览表》为在开标仪式上唱标的内容，要求按格式填写、统一规范，不得自行增减内容。</w:t>
      </w:r>
    </w:p>
    <w:p>
      <w:pPr>
        <w:pStyle w:val="33"/>
        <w:numPr>
          <w:ilvl w:val="1"/>
          <w:numId w:val="5"/>
        </w:numPr>
        <w:adjustRightInd w:val="0"/>
        <w:spacing w:line="312" w:lineRule="auto"/>
        <w:ind w:left="0" w:firstLine="480"/>
        <w:rPr>
          <w:rFonts w:ascii="宋体" w:hAnsi="宋体" w:cs="宋体"/>
        </w:rPr>
      </w:pPr>
      <w:r>
        <w:rPr>
          <w:rFonts w:hint="eastAsia" w:ascii="宋体" w:hAnsi="宋体" w:cs="宋体"/>
        </w:rPr>
        <w:t>投标文件须对招标文件中的内容做出实质性、完整的响应，否则其投标将被拒绝。如果投标文件填报的内容资料不详，或没有提供招标文件中所要求的全部资料及数据，将会导致投标被拒绝。</w:t>
      </w:r>
    </w:p>
    <w:p>
      <w:pPr>
        <w:pStyle w:val="33"/>
        <w:numPr>
          <w:ilvl w:val="1"/>
          <w:numId w:val="5"/>
        </w:numPr>
        <w:adjustRightInd w:val="0"/>
        <w:spacing w:line="312" w:lineRule="auto"/>
        <w:ind w:left="0" w:firstLine="480"/>
        <w:rPr>
          <w:rFonts w:ascii="宋体" w:hAnsi="宋体" w:cs="宋体"/>
        </w:rPr>
      </w:pPr>
      <w:r>
        <w:rPr>
          <w:rFonts w:hint="eastAsia" w:ascii="宋体" w:hAnsi="宋体" w:cs="宋体"/>
        </w:rPr>
        <w:t>投标人已明知采购期间或之后企业将发生兼并改制，应当告知采购人可能影响采购服务项目实施或损害采购人利益的信息，必须在投标文件中予以特别说明，否则，采购人可以拒绝其投标文件。</w:t>
      </w:r>
    </w:p>
    <w:p>
      <w:pPr>
        <w:pStyle w:val="33"/>
        <w:numPr>
          <w:ilvl w:val="1"/>
          <w:numId w:val="5"/>
        </w:numPr>
        <w:adjustRightInd w:val="0"/>
        <w:spacing w:line="312" w:lineRule="auto"/>
        <w:ind w:left="0" w:firstLine="480"/>
        <w:rPr>
          <w:rFonts w:ascii="宋体" w:hAnsi="宋体" w:cs="宋体"/>
        </w:rPr>
      </w:pPr>
      <w:r>
        <w:rPr>
          <w:rFonts w:hint="eastAsia" w:ascii="宋体" w:hAnsi="宋体" w:cs="宋体"/>
        </w:rPr>
        <w:t>投标文件不得涂改和增删，如有错漏必须修改，修改处须由法人或授权代表在旁边签字或盖章或加盖投标人公章才有效。</w:t>
      </w:r>
    </w:p>
    <w:p>
      <w:pPr>
        <w:pStyle w:val="33"/>
        <w:numPr>
          <w:ilvl w:val="1"/>
          <w:numId w:val="5"/>
        </w:numPr>
        <w:adjustRightInd w:val="0"/>
        <w:spacing w:line="312" w:lineRule="auto"/>
        <w:ind w:left="0" w:firstLine="480"/>
        <w:rPr>
          <w:rFonts w:ascii="宋体" w:hAnsi="宋体" w:cs="宋体"/>
        </w:rPr>
      </w:pPr>
      <w:r>
        <w:rPr>
          <w:rFonts w:hint="eastAsia" w:ascii="宋体" w:hAnsi="宋体" w:cs="宋体"/>
        </w:rPr>
        <w:t>由于字迹模糊或表达不清引起的后果由投标人负责。</w:t>
      </w:r>
    </w:p>
    <w:p>
      <w:pPr>
        <w:pStyle w:val="33"/>
        <w:numPr>
          <w:ilvl w:val="0"/>
          <w:numId w:val="5"/>
        </w:numPr>
        <w:adjustRightInd w:val="0"/>
        <w:spacing w:line="312" w:lineRule="auto"/>
        <w:ind w:left="0" w:firstLine="480"/>
        <w:jc w:val="both"/>
        <w:rPr>
          <w:rFonts w:ascii="宋体" w:hAnsi="宋体" w:cs="宋体"/>
          <w:lang w:bidi="ar"/>
        </w:rPr>
      </w:pPr>
      <w:r>
        <w:rPr>
          <w:rFonts w:hint="eastAsia" w:ascii="宋体" w:hAnsi="宋体" w:cs="宋体"/>
          <w:lang w:bidi="ar"/>
        </w:rPr>
        <w:t>投标报价</w:t>
      </w:r>
    </w:p>
    <w:p>
      <w:pPr>
        <w:pStyle w:val="33"/>
        <w:numPr>
          <w:ilvl w:val="1"/>
          <w:numId w:val="5"/>
        </w:numPr>
        <w:adjustRightInd w:val="0"/>
        <w:spacing w:line="312" w:lineRule="auto"/>
        <w:ind w:left="0" w:firstLine="480"/>
        <w:rPr>
          <w:rFonts w:ascii="宋体" w:hAnsi="宋体" w:cs="宋体"/>
        </w:rPr>
      </w:pPr>
      <w:r>
        <w:rPr>
          <w:rFonts w:hint="eastAsia" w:ascii="宋体" w:hAnsi="宋体" w:cs="宋体"/>
          <w:lang w:val="zh-CN"/>
        </w:rPr>
        <w:t>本项目</w:t>
      </w:r>
      <w:r>
        <w:rPr>
          <w:rFonts w:hint="eastAsia" w:ascii="宋体" w:hAnsi="宋体" w:cs="宋体"/>
        </w:rPr>
        <w:t>为固定单价合同</w:t>
      </w:r>
      <w:r>
        <w:rPr>
          <w:rFonts w:hint="eastAsia" w:ascii="宋体" w:hAnsi="宋体" w:cs="宋体"/>
          <w:lang w:val="zh-CN"/>
        </w:rPr>
        <w:t>，投标报价应是完成本</w:t>
      </w:r>
      <w:r>
        <w:rPr>
          <w:rFonts w:hint="eastAsia" w:ascii="宋体" w:hAnsi="宋体" w:cs="宋体"/>
        </w:rPr>
        <w:t>次采购</w:t>
      </w:r>
      <w:r>
        <w:rPr>
          <w:rFonts w:hint="eastAsia" w:ascii="宋体" w:hAnsi="宋体" w:cs="宋体"/>
          <w:lang w:val="zh-CN"/>
        </w:rPr>
        <w:t>范围全部工作内容。须包括</w:t>
      </w:r>
      <w:r>
        <w:rPr>
          <w:rFonts w:hint="eastAsia" w:ascii="宋体" w:hAnsi="宋体" w:cs="宋体"/>
          <w:bCs/>
          <w:kern w:val="0"/>
          <w:highlight w:val="none"/>
        </w:rPr>
        <w:t>货物、随配附件、材料、总包配合费</w:t>
      </w:r>
      <w:r>
        <w:rPr>
          <w:rFonts w:hint="eastAsia" w:ascii="宋体" w:hAnsi="宋体" w:cs="宋体"/>
          <w:bCs/>
          <w:kern w:val="0"/>
          <w:highlight w:val="none"/>
          <w:lang w:eastAsia="zh-CN"/>
        </w:rPr>
        <w:t>、</w:t>
      </w:r>
      <w:r>
        <w:rPr>
          <w:rFonts w:hint="eastAsia" w:ascii="宋体" w:hAnsi="宋体" w:cs="宋体"/>
          <w:bCs/>
          <w:kern w:val="0"/>
          <w:highlight w:val="none"/>
        </w:rPr>
        <w:t>备品备件、工具、运抵指定交货地点费用、保险费、</w:t>
      </w:r>
      <w:r>
        <w:rPr>
          <w:rFonts w:hint="eastAsia" w:ascii="宋体" w:hAnsi="宋体" w:cs="宋体"/>
          <w:bCs/>
          <w:kern w:val="0"/>
          <w:highlight w:val="none"/>
          <w:lang w:eastAsia="zh-CN"/>
        </w:rPr>
        <w:t>装卸费、</w:t>
      </w:r>
      <w:r>
        <w:rPr>
          <w:rFonts w:hint="eastAsia" w:ascii="宋体" w:hAnsi="宋体" w:cs="宋体"/>
          <w:bCs/>
          <w:kern w:val="0"/>
          <w:highlight w:val="none"/>
        </w:rPr>
        <w:t>安装费、售后服务、培训及其他</w:t>
      </w:r>
      <w:r>
        <w:rPr>
          <w:rFonts w:hint="eastAsia" w:ascii="宋体" w:hAnsi="宋体" w:cs="宋体"/>
          <w:lang w:val="zh-CN"/>
        </w:rPr>
        <w:t>不可预见费用等费用,如有漏项，视同已包含在其它项目中。结算货款为最终实际数量乘以中标单价。</w:t>
      </w:r>
      <w:bookmarkStart w:id="482" w:name="_Toc17049"/>
      <w:bookmarkStart w:id="483" w:name="_Toc7941"/>
      <w:bookmarkStart w:id="484" w:name="_Toc9739"/>
      <w:bookmarkStart w:id="485" w:name="_Toc21662"/>
      <w:bookmarkStart w:id="486" w:name="_Toc22765"/>
      <w:bookmarkStart w:id="487" w:name="_Toc3222"/>
      <w:bookmarkStart w:id="488" w:name="_Toc10150"/>
      <w:bookmarkStart w:id="489" w:name="_Toc18986"/>
      <w:bookmarkStart w:id="490" w:name="_Toc14140"/>
      <w:bookmarkStart w:id="491" w:name="_Toc15637"/>
      <w:bookmarkStart w:id="492" w:name="_Toc2882"/>
      <w:bookmarkStart w:id="493" w:name="_Toc16350"/>
      <w:bookmarkStart w:id="494" w:name="_Toc22871"/>
      <w:bookmarkStart w:id="495" w:name="_Toc27084"/>
      <w:bookmarkStart w:id="496" w:name="_Toc28335"/>
      <w:bookmarkStart w:id="497" w:name="_Toc1902"/>
      <w:bookmarkStart w:id="498" w:name="_Toc17831"/>
      <w:bookmarkStart w:id="499" w:name="_Toc366144035"/>
      <w:bookmarkStart w:id="500" w:name="_Toc17672"/>
      <w:bookmarkStart w:id="501" w:name="_Toc5327"/>
      <w:bookmarkStart w:id="502" w:name="_Toc7742"/>
      <w:bookmarkStart w:id="503" w:name="_Toc19338"/>
      <w:bookmarkStart w:id="504" w:name="_Toc20977"/>
      <w:bookmarkStart w:id="505" w:name="_Toc23820"/>
      <w:bookmarkStart w:id="506" w:name="_Toc19142"/>
      <w:bookmarkStart w:id="507" w:name="_Toc21151"/>
      <w:bookmarkStart w:id="508" w:name="_Toc24546"/>
      <w:bookmarkStart w:id="509" w:name="_Toc356371437"/>
      <w:bookmarkStart w:id="510" w:name="_Toc15459"/>
      <w:bookmarkStart w:id="511" w:name="_Toc18759"/>
      <w:bookmarkStart w:id="512" w:name="_Toc29223"/>
      <w:bookmarkStart w:id="513" w:name="_Toc4119"/>
      <w:bookmarkStart w:id="514" w:name="_Toc14216"/>
      <w:bookmarkStart w:id="515" w:name="_Toc19900"/>
      <w:bookmarkStart w:id="516" w:name="_Toc15826"/>
      <w:bookmarkStart w:id="517" w:name="_Toc28652"/>
      <w:bookmarkStart w:id="518" w:name="_Toc13736"/>
      <w:bookmarkStart w:id="519" w:name="_Toc15020"/>
      <w:bookmarkStart w:id="520" w:name="_Toc18661"/>
      <w:bookmarkStart w:id="521" w:name="_Toc21140"/>
      <w:bookmarkStart w:id="522" w:name="_Toc18339"/>
      <w:bookmarkStart w:id="523" w:name="_Toc22859"/>
      <w:bookmarkStart w:id="524" w:name="_Toc27208"/>
      <w:bookmarkStart w:id="525" w:name="_Toc14624"/>
      <w:bookmarkStart w:id="526" w:name="_Toc76"/>
    </w:p>
    <w:p>
      <w:pPr>
        <w:pStyle w:val="33"/>
        <w:numPr>
          <w:ilvl w:val="1"/>
          <w:numId w:val="5"/>
        </w:numPr>
        <w:adjustRightInd w:val="0"/>
        <w:spacing w:line="312" w:lineRule="auto"/>
        <w:ind w:left="0" w:firstLine="480"/>
        <w:rPr>
          <w:rFonts w:ascii="宋体" w:hAnsi="宋体" w:cs="宋体"/>
        </w:rPr>
      </w:pPr>
      <w:r>
        <w:rPr>
          <w:rFonts w:hint="eastAsia" w:ascii="宋体" w:hAnsi="宋体" w:cs="宋体"/>
        </w:rPr>
        <w:t>投标人的投标报价不得高于采购人给定的最高限价，否则投标文件无效标。</w:t>
      </w:r>
    </w:p>
    <w:p>
      <w:pPr>
        <w:pStyle w:val="33"/>
        <w:numPr>
          <w:ilvl w:val="1"/>
          <w:numId w:val="5"/>
        </w:numPr>
        <w:adjustRightInd w:val="0"/>
        <w:spacing w:line="312" w:lineRule="auto"/>
        <w:ind w:left="0" w:firstLine="480"/>
        <w:rPr>
          <w:rFonts w:ascii="宋体" w:hAnsi="宋体" w:cs="宋体"/>
        </w:rPr>
      </w:pPr>
      <w:r>
        <w:rPr>
          <w:rFonts w:hint="eastAsia" w:ascii="宋体" w:hAnsi="宋体" w:cs="宋体"/>
        </w:rPr>
        <w:t>任何算术性错误，采购人将按下述原则予以调整：</w:t>
      </w:r>
    </w:p>
    <w:p>
      <w:pPr>
        <w:spacing w:line="312" w:lineRule="auto"/>
        <w:ind w:firstLine="480"/>
        <w:rPr>
          <w:rFonts w:ascii="宋体" w:hAnsi="宋体" w:cs="宋体"/>
        </w:rPr>
      </w:pPr>
      <w:r>
        <w:rPr>
          <w:rFonts w:hint="eastAsia" w:ascii="宋体" w:hAnsi="宋体" w:cs="宋体"/>
        </w:rPr>
        <w:t>（1）开标时，投标文件中开标一览表（报价表）内容与投标文件中明细表内容不一致的，以开标一览表（报价表）为准；</w:t>
      </w:r>
    </w:p>
    <w:p>
      <w:pPr>
        <w:spacing w:line="312" w:lineRule="auto"/>
        <w:ind w:firstLine="480"/>
        <w:rPr>
          <w:rFonts w:ascii="宋体" w:hAnsi="宋体" w:cs="宋体"/>
        </w:rPr>
      </w:pPr>
      <w:r>
        <w:rPr>
          <w:rFonts w:hint="eastAsia" w:ascii="宋体" w:hAnsi="宋体" w:cs="宋体"/>
        </w:rPr>
        <w:t>（2）投标文件的大写金额和小写金额不一致的，以大写金额为准；</w:t>
      </w:r>
    </w:p>
    <w:p>
      <w:pPr>
        <w:spacing w:line="312" w:lineRule="auto"/>
        <w:ind w:firstLine="480"/>
        <w:rPr>
          <w:rFonts w:ascii="宋体" w:hAnsi="宋体" w:cs="宋体"/>
        </w:rPr>
      </w:pPr>
      <w:r>
        <w:rPr>
          <w:rFonts w:hint="eastAsia" w:ascii="宋体" w:hAnsi="宋体" w:cs="宋体"/>
        </w:rPr>
        <w:t>（3）单价金额小数点或百分比有明显错位的，以开标一览表的总价为准，并修改单价；</w:t>
      </w:r>
    </w:p>
    <w:p>
      <w:pPr>
        <w:spacing w:line="312" w:lineRule="auto"/>
        <w:ind w:firstLine="480"/>
        <w:rPr>
          <w:rFonts w:ascii="宋体" w:hAnsi="宋体" w:cs="宋体"/>
        </w:rPr>
      </w:pPr>
      <w:r>
        <w:rPr>
          <w:rFonts w:hint="eastAsia" w:ascii="宋体" w:hAnsi="宋体" w:cs="宋体"/>
        </w:rPr>
        <w:t>（4）总价金额与按单价汇总金额不一致的，以单价金额计算结果为准；同时出现两种以上不一致的，按照前款规定的顺序修正，修正后的报价应经投标人书面确认，投标人不予确认的，其投标无效。</w:t>
      </w:r>
    </w:p>
    <w:p>
      <w:pPr>
        <w:pStyle w:val="5"/>
        <w:numPr>
          <w:ilvl w:val="1"/>
          <w:numId w:val="0"/>
        </w:numPr>
        <w:tabs>
          <w:tab w:val="left" w:pos="480"/>
        </w:tabs>
        <w:spacing w:beforeLines="0" w:afterLines="0"/>
        <w:rPr>
          <w:rFonts w:ascii="宋体" w:hAnsi="宋体" w:cs="宋体"/>
          <w:b/>
          <w:bCs w:val="0"/>
          <w:lang w:bidi="ar"/>
        </w:rPr>
      </w:pPr>
      <w:bookmarkStart w:id="527" w:name="_Toc3234"/>
      <w:bookmarkStart w:id="528" w:name="_Toc27520"/>
      <w:r>
        <w:rPr>
          <w:rFonts w:hint="eastAsia" w:ascii="宋体" w:hAnsi="宋体" w:cs="宋体"/>
          <w:b/>
          <w:bCs w:val="0"/>
          <w:lang w:bidi="ar"/>
        </w:rPr>
        <w:t>五、投标文件的递交</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33"/>
        <w:numPr>
          <w:ilvl w:val="0"/>
          <w:numId w:val="10"/>
        </w:numPr>
        <w:spacing w:line="312" w:lineRule="auto"/>
        <w:rPr>
          <w:rFonts w:ascii="宋体" w:hAnsi="宋体" w:cs="宋体"/>
          <w:lang w:bidi="ar"/>
        </w:rPr>
      </w:pPr>
      <w:r>
        <w:rPr>
          <w:rFonts w:hint="eastAsia" w:ascii="宋体" w:hAnsi="宋体" w:cs="宋体"/>
          <w:lang w:bidi="ar"/>
        </w:rPr>
        <w:t>递交投标文件方式和地点</w:t>
      </w:r>
    </w:p>
    <w:p>
      <w:pPr>
        <w:pStyle w:val="21"/>
        <w:tabs>
          <w:tab w:val="right" w:leader="dot" w:pos="9060"/>
          <w:tab w:val="right" w:leader="dot" w:pos="9170"/>
          <w:tab w:val="clear" w:pos="9401"/>
        </w:tabs>
        <w:adjustRightInd w:val="0"/>
        <w:snapToGrid w:val="0"/>
        <w:spacing w:line="420" w:lineRule="exact"/>
        <w:ind w:firstLine="480"/>
        <w:jc w:val="both"/>
        <w:rPr>
          <w:rFonts w:ascii="宋体" w:hAnsi="宋体" w:eastAsia="宋体" w:cs="宋体"/>
          <w:b w:val="0"/>
          <w:bCs w:val="0"/>
          <w:caps w:val="0"/>
          <w:sz w:val="24"/>
          <w:szCs w:val="24"/>
        </w:rPr>
      </w:pPr>
      <w:r>
        <w:rPr>
          <w:rFonts w:hint="eastAsia" w:ascii="宋体" w:hAnsi="宋体" w:eastAsia="宋体" w:cs="宋体"/>
          <w:b w:val="0"/>
          <w:bCs w:val="0"/>
          <w:caps w:val="0"/>
          <w:sz w:val="24"/>
          <w:szCs w:val="24"/>
        </w:rPr>
        <w:t>将由投标文件制作工具制作生成的加密投标文件（.QZCGTF）在投标截止时间前（以上传完成时间为准）上传至衢州市阳光交易服务平台（https://qzygjy.com/）。</w:t>
      </w:r>
    </w:p>
    <w:p>
      <w:pPr>
        <w:pStyle w:val="33"/>
        <w:numPr>
          <w:ilvl w:val="0"/>
          <w:numId w:val="5"/>
        </w:numPr>
        <w:adjustRightInd w:val="0"/>
        <w:spacing w:line="312" w:lineRule="auto"/>
        <w:ind w:left="0" w:firstLine="480"/>
        <w:jc w:val="both"/>
        <w:rPr>
          <w:rFonts w:ascii="宋体" w:hAnsi="宋体" w:cs="宋体"/>
          <w:lang w:bidi="ar"/>
        </w:rPr>
      </w:pPr>
      <w:r>
        <w:rPr>
          <w:rFonts w:hint="eastAsia" w:ascii="宋体" w:hAnsi="宋体" w:cs="宋体"/>
          <w:lang w:bidi="ar"/>
        </w:rPr>
        <w:t>递交投标文件截止期</w:t>
      </w:r>
    </w:p>
    <w:p>
      <w:pPr>
        <w:snapToGrid w:val="0"/>
        <w:spacing w:line="400" w:lineRule="exact"/>
        <w:ind w:firstLine="480"/>
        <w:rPr>
          <w:rFonts w:ascii="宋体" w:hAnsi="宋体"/>
          <w:szCs w:val="21"/>
        </w:rPr>
      </w:pPr>
      <w:r>
        <w:rPr>
          <w:rFonts w:hint="eastAsia" w:ascii="宋体" w:hAnsi="宋体"/>
          <w:szCs w:val="21"/>
        </w:rPr>
        <w:t>24.1投标人应在投标人须知前附表规定的投标截止时间前递交投标文件。</w:t>
      </w:r>
    </w:p>
    <w:p>
      <w:pPr>
        <w:snapToGrid w:val="0"/>
        <w:spacing w:line="400" w:lineRule="exact"/>
        <w:ind w:firstLine="480"/>
        <w:rPr>
          <w:rFonts w:ascii="宋体" w:hAnsi="宋体"/>
          <w:szCs w:val="21"/>
        </w:rPr>
      </w:pPr>
      <w:r>
        <w:rPr>
          <w:rFonts w:hint="eastAsia" w:ascii="宋体" w:hAnsi="宋体"/>
          <w:szCs w:val="21"/>
        </w:rPr>
        <w:t>24.2 投标人递交投标文件的地点：见投标人须知前附表。</w:t>
      </w:r>
    </w:p>
    <w:p>
      <w:pPr>
        <w:spacing w:line="400" w:lineRule="exact"/>
        <w:ind w:firstLine="480"/>
        <w:rPr>
          <w:rFonts w:ascii="宋体" w:hAnsi="宋体"/>
          <w:szCs w:val="21"/>
        </w:rPr>
      </w:pPr>
      <w:r>
        <w:rPr>
          <w:rFonts w:hint="eastAsia" w:ascii="宋体" w:hAnsi="宋体"/>
          <w:szCs w:val="21"/>
        </w:rPr>
        <w:t>24.3 除投标人须知前附表另有规定外，投标人所递交的投标文件不予退还</w:t>
      </w:r>
      <w:r>
        <w:rPr>
          <w:rFonts w:ascii="宋体" w:hAnsi="宋体"/>
          <w:szCs w:val="21"/>
        </w:rPr>
        <w:t>。</w:t>
      </w:r>
    </w:p>
    <w:p>
      <w:pPr>
        <w:pStyle w:val="33"/>
        <w:numPr>
          <w:ilvl w:val="0"/>
          <w:numId w:val="5"/>
        </w:numPr>
        <w:adjustRightInd w:val="0"/>
        <w:spacing w:line="312" w:lineRule="auto"/>
        <w:ind w:left="0" w:firstLine="480"/>
        <w:jc w:val="both"/>
        <w:rPr>
          <w:rFonts w:ascii="宋体" w:hAnsi="宋体" w:cs="宋体"/>
          <w:lang w:bidi="ar"/>
        </w:rPr>
      </w:pPr>
      <w:r>
        <w:rPr>
          <w:rFonts w:hint="eastAsia" w:ascii="宋体" w:hAnsi="宋体" w:cs="宋体"/>
          <w:lang w:bidi="ar"/>
        </w:rPr>
        <w:t>投标文件的修改和撤销</w:t>
      </w:r>
    </w:p>
    <w:p>
      <w:pPr>
        <w:pStyle w:val="33"/>
        <w:numPr>
          <w:ilvl w:val="255"/>
          <w:numId w:val="0"/>
        </w:numPr>
        <w:tabs>
          <w:tab w:val="left" w:pos="171"/>
        </w:tabs>
        <w:spacing w:line="312" w:lineRule="auto"/>
        <w:ind w:firstLine="480" w:firstLineChars="200"/>
        <w:rPr>
          <w:rFonts w:ascii="宋体" w:hAnsi="宋体" w:cs="宋体"/>
          <w:lang w:bidi="ar"/>
        </w:rPr>
      </w:pPr>
      <w:r>
        <w:rPr>
          <w:rFonts w:hint="eastAsia" w:ascii="宋体" w:hAnsi="宋体"/>
        </w:rPr>
        <w:t>在本章第24.1项规定的投标截止时间前，投标人可以修改或撤回已递交的投标文件，但应以书面形式通知采购人。</w:t>
      </w:r>
    </w:p>
    <w:p>
      <w:pPr>
        <w:pStyle w:val="5"/>
        <w:numPr>
          <w:ilvl w:val="1"/>
          <w:numId w:val="0"/>
        </w:numPr>
        <w:tabs>
          <w:tab w:val="left" w:pos="480"/>
        </w:tabs>
        <w:spacing w:beforeLines="0" w:afterLines="0"/>
        <w:rPr>
          <w:rFonts w:ascii="宋体" w:hAnsi="宋体" w:cs="宋体"/>
          <w:b/>
          <w:bCs w:val="0"/>
          <w:lang w:bidi="ar"/>
        </w:rPr>
      </w:pPr>
      <w:bookmarkStart w:id="529" w:name="_Toc13368"/>
      <w:bookmarkStart w:id="530" w:name="_Toc15898"/>
      <w:bookmarkStart w:id="531" w:name="_Toc5684"/>
      <w:bookmarkStart w:id="532" w:name="_Toc25235"/>
      <w:bookmarkStart w:id="533" w:name="_Toc9162"/>
      <w:bookmarkStart w:id="534" w:name="_Toc2030"/>
      <w:bookmarkStart w:id="535" w:name="_Toc25508"/>
      <w:bookmarkStart w:id="536" w:name="_Toc31006"/>
      <w:bookmarkStart w:id="537" w:name="_Toc29369"/>
      <w:bookmarkStart w:id="538" w:name="_Toc8010"/>
      <w:bookmarkStart w:id="539" w:name="_Toc6302"/>
      <w:bookmarkStart w:id="540" w:name="_Toc808"/>
      <w:bookmarkStart w:id="541" w:name="_Toc2776"/>
      <w:bookmarkStart w:id="542" w:name="_Toc10380"/>
      <w:bookmarkStart w:id="543" w:name="_Toc17765"/>
      <w:bookmarkStart w:id="544" w:name="_Toc29298"/>
      <w:bookmarkStart w:id="545" w:name="_Toc23457"/>
      <w:bookmarkStart w:id="546" w:name="_Toc6506"/>
      <w:bookmarkStart w:id="547" w:name="_Toc6725"/>
      <w:bookmarkStart w:id="548" w:name="_Toc25982"/>
      <w:bookmarkStart w:id="549" w:name="_Toc3723"/>
      <w:bookmarkStart w:id="550" w:name="_Toc27617"/>
      <w:bookmarkStart w:id="551" w:name="_Toc11501"/>
      <w:bookmarkStart w:id="552" w:name="_Toc12997"/>
      <w:bookmarkStart w:id="553" w:name="_Toc7010"/>
      <w:bookmarkStart w:id="554" w:name="_Toc25236"/>
      <w:bookmarkStart w:id="555" w:name="_Toc19757"/>
      <w:bookmarkStart w:id="556" w:name="_Toc27888"/>
      <w:bookmarkStart w:id="557" w:name="_Toc982"/>
      <w:bookmarkStart w:id="558" w:name="_Toc19789"/>
      <w:bookmarkStart w:id="559" w:name="_Toc23356"/>
      <w:bookmarkStart w:id="560" w:name="_Toc283"/>
      <w:bookmarkStart w:id="561" w:name="_Toc32029"/>
      <w:bookmarkStart w:id="562" w:name="_Toc22154"/>
      <w:bookmarkStart w:id="563" w:name="_Toc10054"/>
      <w:bookmarkStart w:id="564" w:name="_Toc15816"/>
      <w:bookmarkStart w:id="565" w:name="_Toc16900"/>
      <w:bookmarkStart w:id="566" w:name="_Toc21855"/>
      <w:bookmarkStart w:id="567" w:name="_Toc25203"/>
      <w:bookmarkStart w:id="568" w:name="_Toc31307"/>
      <w:bookmarkStart w:id="569" w:name="_Toc366144036"/>
      <w:bookmarkStart w:id="570" w:name="_Toc6874"/>
      <w:bookmarkStart w:id="571" w:name="_Toc14656"/>
      <w:bookmarkStart w:id="572" w:name="_Toc22112"/>
      <w:bookmarkStart w:id="573" w:name="_Toc356371438"/>
      <w:bookmarkStart w:id="574" w:name="_Toc3548"/>
      <w:bookmarkStart w:id="575" w:name="_Toc18700"/>
      <w:r>
        <w:rPr>
          <w:rFonts w:hint="eastAsia" w:ascii="宋体" w:hAnsi="宋体" w:cs="宋体"/>
          <w:b/>
          <w:bCs w:val="0"/>
          <w:lang w:bidi="ar"/>
        </w:rPr>
        <w:t>六、投标无效的情形</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33"/>
        <w:numPr>
          <w:ilvl w:val="0"/>
          <w:numId w:val="5"/>
        </w:numPr>
        <w:adjustRightInd w:val="0"/>
        <w:spacing w:line="312" w:lineRule="auto"/>
        <w:ind w:left="0" w:firstLine="480"/>
        <w:jc w:val="both"/>
        <w:rPr>
          <w:rFonts w:ascii="宋体" w:hAnsi="宋体" w:cs="宋体"/>
          <w:lang w:bidi="ar"/>
        </w:rPr>
      </w:pPr>
      <w:r>
        <w:rPr>
          <w:rFonts w:hint="eastAsia" w:ascii="宋体" w:hAnsi="宋体" w:cs="宋体"/>
          <w:lang w:bidi="ar"/>
        </w:rPr>
        <w:t>实质上没有响应招标文件要求的投标将被视为无效投标。投标人不得通过修正或撤销不合要求的偏离或保留从而使其投标成为实质上响应的投标。如发生下列情况之一的，其投标视为无效：</w:t>
      </w:r>
    </w:p>
    <w:p>
      <w:pPr>
        <w:pStyle w:val="33"/>
        <w:numPr>
          <w:ilvl w:val="1"/>
          <w:numId w:val="5"/>
        </w:numPr>
        <w:adjustRightInd w:val="0"/>
        <w:spacing w:line="312" w:lineRule="auto"/>
        <w:ind w:left="0" w:firstLine="480"/>
        <w:rPr>
          <w:rFonts w:ascii="宋体" w:hAnsi="宋体" w:cs="宋体"/>
          <w:lang w:bidi="ar"/>
        </w:rPr>
      </w:pPr>
      <w:bookmarkStart w:id="576" w:name="_Toc27920"/>
      <w:bookmarkStart w:id="577" w:name="_Toc24712"/>
      <w:bookmarkStart w:id="578" w:name="_Toc15902"/>
      <w:bookmarkStart w:id="579" w:name="_Toc29474"/>
      <w:bookmarkStart w:id="580" w:name="_Toc20051"/>
      <w:bookmarkStart w:id="581" w:name="_Toc7620"/>
      <w:bookmarkStart w:id="582" w:name="_Toc366144037"/>
      <w:bookmarkStart w:id="583" w:name="_Toc19995"/>
      <w:bookmarkStart w:id="584" w:name="_Toc29344"/>
      <w:bookmarkStart w:id="585" w:name="_Toc13142"/>
      <w:bookmarkStart w:id="586" w:name="_Toc8036"/>
      <w:bookmarkStart w:id="587" w:name="_Toc356371439"/>
      <w:r>
        <w:rPr>
          <w:rFonts w:hint="eastAsia" w:ascii="宋体" w:hAnsi="宋体" w:cs="宋体"/>
          <w:lang w:bidi="ar"/>
        </w:rPr>
        <w:t>投标文件逾期上传标书的；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不具备招标文件规定资格要求；</w:t>
      </w:r>
    </w:p>
    <w:p>
      <w:pPr>
        <w:pStyle w:val="33"/>
        <w:numPr>
          <w:ilvl w:val="1"/>
          <w:numId w:val="11"/>
        </w:numPr>
        <w:tabs>
          <w:tab w:val="left" w:pos="171"/>
          <w:tab w:val="clear" w:pos="0"/>
        </w:tabs>
        <w:adjustRightInd w:val="0"/>
        <w:spacing w:line="312" w:lineRule="auto"/>
        <w:ind w:firstLine="480" w:firstLineChars="200"/>
        <w:rPr>
          <w:rFonts w:ascii="宋体" w:hAnsi="宋体" w:cs="宋体"/>
          <w:lang w:bidi="ar"/>
        </w:rPr>
      </w:pPr>
      <w:r>
        <w:rPr>
          <w:rFonts w:hint="eastAsia" w:ascii="宋体" w:hAnsi="宋体" w:cs="宋体"/>
          <w:lang w:bidi="ar"/>
        </w:rPr>
        <w:t>投标文件未按招标文件的要求加盖单位公章，或投标人的法定代表人未按招标文件要求签字或盖章的；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招标文件中有▲处条款或▲处参数投标人未作实质性响应的；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投标文件的实质性内容未使用中文表述、意思表述不明确、前后矛盾或者使用计量单位不符合招标文件要求的（经评标委员会认定允许其当场更正的笔误除外）；</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投标文件关键内容字迹模糊、无法辨认的；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投标方案不明确，存在一个或一个以上备选（替代）投标方案的；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资信技术文件中包含本次报价的；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未按照招标文件标明的币种报价的；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投标报价具有选择性，或者开标价格与投标文件承诺的优惠（折扣）价格不一致的；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投标报价明细表总额与开标一览表总价不一致，且高于总价5％的；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投标人的报价明显高于其市场价或低于成本价的，该投标人不能合理说明原因并提供证明材料的；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投标报价漏项超过投标报价5%以上的或漏项超过2项及以上的，均属无效投标；</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报价超出采购预算价（最高限价）的；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提供虚假材料谋取中标的；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不符合法律、法规和招标文件规定的其他实质性要求的。</w:t>
      </w:r>
    </w:p>
    <w:p>
      <w:pPr>
        <w:pStyle w:val="5"/>
        <w:numPr>
          <w:ilvl w:val="1"/>
          <w:numId w:val="0"/>
        </w:numPr>
        <w:tabs>
          <w:tab w:val="left" w:pos="480"/>
        </w:tabs>
        <w:spacing w:beforeLines="0" w:afterLines="0" w:line="312" w:lineRule="auto"/>
        <w:rPr>
          <w:rFonts w:ascii="宋体" w:hAnsi="宋体" w:cs="宋体"/>
          <w:b/>
          <w:bCs w:val="0"/>
          <w:lang w:bidi="ar"/>
        </w:rPr>
      </w:pPr>
      <w:bookmarkStart w:id="588" w:name="_Toc626"/>
      <w:bookmarkStart w:id="589" w:name="_Toc13644"/>
      <w:bookmarkStart w:id="590" w:name="_Toc14382"/>
      <w:bookmarkStart w:id="591" w:name="_Toc9660"/>
      <w:bookmarkStart w:id="592" w:name="_Toc30174"/>
      <w:bookmarkStart w:id="593" w:name="_Toc14704"/>
      <w:bookmarkStart w:id="594" w:name="_Toc6257"/>
      <w:bookmarkStart w:id="595" w:name="_Toc28932"/>
      <w:bookmarkStart w:id="596" w:name="_Toc6665"/>
      <w:bookmarkStart w:id="597" w:name="_Toc28180"/>
      <w:bookmarkStart w:id="598" w:name="_Toc6224"/>
      <w:bookmarkStart w:id="599" w:name="_Toc7121"/>
      <w:bookmarkStart w:id="600" w:name="_Toc19950"/>
      <w:bookmarkStart w:id="601" w:name="_Toc11095"/>
      <w:bookmarkStart w:id="602" w:name="_Toc169"/>
      <w:bookmarkStart w:id="603" w:name="_Toc3110"/>
      <w:bookmarkStart w:id="604" w:name="_Toc3192"/>
      <w:bookmarkStart w:id="605" w:name="_Toc4144"/>
      <w:bookmarkStart w:id="606" w:name="_Toc27725"/>
      <w:bookmarkStart w:id="607" w:name="_Toc18484"/>
      <w:bookmarkStart w:id="608" w:name="_Toc17284"/>
      <w:bookmarkStart w:id="609" w:name="_Toc18410"/>
      <w:bookmarkStart w:id="610" w:name="_Toc23520"/>
      <w:bookmarkStart w:id="611" w:name="_Toc1166"/>
      <w:bookmarkStart w:id="612" w:name="_Toc30977"/>
      <w:bookmarkStart w:id="613" w:name="_Toc13229"/>
      <w:bookmarkStart w:id="614" w:name="_Toc4498"/>
      <w:bookmarkStart w:id="615" w:name="_Toc11287"/>
      <w:bookmarkStart w:id="616" w:name="_Toc23234"/>
      <w:bookmarkStart w:id="617" w:name="_Toc11317"/>
      <w:bookmarkStart w:id="618" w:name="_Toc11172"/>
      <w:bookmarkStart w:id="619" w:name="_Toc21104"/>
      <w:bookmarkStart w:id="620" w:name="_Toc8953"/>
      <w:bookmarkStart w:id="621" w:name="_Toc2967"/>
      <w:bookmarkStart w:id="622" w:name="_Toc13286"/>
      <w:r>
        <w:rPr>
          <w:rFonts w:hint="eastAsia" w:ascii="宋体" w:hAnsi="宋体" w:cs="宋体"/>
          <w:b/>
          <w:bCs w:val="0"/>
          <w:lang w:bidi="ar"/>
        </w:rPr>
        <w:t>七、废标的情形</w:t>
      </w:r>
      <w:bookmarkEnd w:id="576"/>
      <w:bookmarkEnd w:id="577"/>
      <w:bookmarkEnd w:id="578"/>
      <w:bookmarkEnd w:id="579"/>
      <w:bookmarkEnd w:id="580"/>
      <w:bookmarkEnd w:id="581"/>
      <w:bookmarkEnd w:id="582"/>
      <w:bookmarkEnd w:id="583"/>
      <w:bookmarkEnd w:id="584"/>
      <w:bookmarkEnd w:id="585"/>
      <w:bookmarkEnd w:id="586"/>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pPr>
        <w:pStyle w:val="33"/>
        <w:numPr>
          <w:ilvl w:val="0"/>
          <w:numId w:val="5"/>
        </w:numPr>
        <w:adjustRightInd w:val="0"/>
        <w:spacing w:line="312" w:lineRule="auto"/>
        <w:ind w:left="0" w:firstLine="480"/>
        <w:jc w:val="both"/>
        <w:rPr>
          <w:rFonts w:ascii="宋体" w:hAnsi="宋体" w:cs="宋体"/>
          <w:lang w:bidi="ar"/>
        </w:rPr>
      </w:pPr>
      <w:r>
        <w:rPr>
          <w:rFonts w:hint="eastAsia" w:ascii="宋体" w:hAnsi="宋体" w:cs="宋体"/>
          <w:lang w:bidi="ar"/>
        </w:rPr>
        <w:t>采购中，出现下列情形之一的，应予废标，废标后，采购人将废标理由通知所有投标人：</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投标截止时间止提交投标文件的投标人不足3家或者对招标文件作实质性响应的投标人不足3家的；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出现影响采购公正的违法、违规行为的；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投标人的报价均超过了采购预算，采购人不能支付的；</w:t>
      </w:r>
    </w:p>
    <w:p>
      <w:pPr>
        <w:pStyle w:val="33"/>
        <w:numPr>
          <w:ilvl w:val="1"/>
          <w:numId w:val="5"/>
        </w:numPr>
        <w:adjustRightInd w:val="0"/>
        <w:spacing w:line="312" w:lineRule="auto"/>
        <w:ind w:left="0" w:firstLine="480"/>
        <w:rPr>
          <w:rFonts w:ascii="宋体" w:hAnsi="宋体" w:cs="宋体"/>
          <w:lang w:bidi="ar"/>
        </w:rPr>
      </w:pPr>
      <w:r>
        <w:rPr>
          <w:rFonts w:hint="eastAsia" w:ascii="宋体" w:hAnsi="宋体" w:cs="宋体"/>
          <w:lang w:bidi="ar"/>
        </w:rPr>
        <w:t>因重大变故，采购任务取消的。</w:t>
      </w:r>
    </w:p>
    <w:p>
      <w:pPr>
        <w:pStyle w:val="5"/>
        <w:numPr>
          <w:ilvl w:val="1"/>
          <w:numId w:val="0"/>
        </w:numPr>
        <w:tabs>
          <w:tab w:val="left" w:pos="480"/>
        </w:tabs>
        <w:spacing w:beforeLines="0" w:afterLines="0" w:line="312" w:lineRule="auto"/>
        <w:rPr>
          <w:rFonts w:ascii="宋体" w:hAnsi="宋体" w:cs="宋体"/>
          <w:b/>
          <w:bCs w:val="0"/>
          <w:lang w:bidi="ar"/>
        </w:rPr>
      </w:pPr>
      <w:bookmarkStart w:id="623" w:name="_Toc366144038"/>
      <w:bookmarkStart w:id="624" w:name="_Toc15360"/>
      <w:bookmarkStart w:id="625" w:name="_Toc30146"/>
      <w:bookmarkStart w:id="626" w:name="_Toc28925"/>
      <w:bookmarkStart w:id="627" w:name="_Toc12523"/>
      <w:bookmarkStart w:id="628" w:name="_Toc14097"/>
      <w:bookmarkStart w:id="629" w:name="_Toc32719"/>
      <w:bookmarkStart w:id="630" w:name="_Toc32357"/>
      <w:bookmarkStart w:id="631" w:name="_Toc27244"/>
      <w:bookmarkStart w:id="632" w:name="_Toc10346"/>
      <w:bookmarkStart w:id="633" w:name="_Toc8764"/>
      <w:bookmarkStart w:id="634" w:name="_Toc26922"/>
      <w:bookmarkStart w:id="635" w:name="_Toc31729"/>
      <w:bookmarkStart w:id="636" w:name="_Toc13081"/>
      <w:bookmarkStart w:id="637" w:name="_Toc17001"/>
      <w:bookmarkStart w:id="638" w:name="_Toc11389"/>
      <w:bookmarkStart w:id="639" w:name="_Toc24837"/>
      <w:bookmarkStart w:id="640" w:name="_Toc944"/>
      <w:bookmarkStart w:id="641" w:name="_Toc30501"/>
      <w:bookmarkStart w:id="642" w:name="_Toc10833"/>
      <w:bookmarkStart w:id="643" w:name="_Toc11785"/>
      <w:bookmarkStart w:id="644" w:name="_Toc6366"/>
      <w:bookmarkStart w:id="645" w:name="_Toc10705"/>
      <w:bookmarkStart w:id="646" w:name="_Toc20908"/>
      <w:bookmarkStart w:id="647" w:name="_Toc15191"/>
      <w:bookmarkStart w:id="648" w:name="_Toc18508"/>
      <w:bookmarkStart w:id="649" w:name="_Toc30541"/>
      <w:bookmarkStart w:id="650" w:name="_Toc17485"/>
      <w:bookmarkStart w:id="651" w:name="_Toc1208"/>
      <w:bookmarkStart w:id="652" w:name="_Toc32442"/>
      <w:bookmarkStart w:id="653" w:name="_Toc25989"/>
      <w:bookmarkStart w:id="654" w:name="_Toc12506"/>
      <w:bookmarkStart w:id="655" w:name="_Toc13447"/>
      <w:bookmarkStart w:id="656" w:name="_Toc29176"/>
      <w:bookmarkStart w:id="657" w:name="_Toc17022"/>
      <w:bookmarkStart w:id="658" w:name="_Toc8575"/>
      <w:bookmarkStart w:id="659" w:name="_Toc30230"/>
      <w:bookmarkStart w:id="660" w:name="_Toc2046"/>
      <w:bookmarkStart w:id="661" w:name="_Toc3758"/>
      <w:bookmarkStart w:id="662" w:name="_Toc13816"/>
      <w:bookmarkStart w:id="663" w:name="_Toc21584"/>
      <w:bookmarkStart w:id="664" w:name="_Toc20724"/>
      <w:bookmarkStart w:id="665" w:name="_Toc24100"/>
      <w:bookmarkStart w:id="666" w:name="_Toc28017"/>
      <w:bookmarkStart w:id="667" w:name="_Toc28677"/>
      <w:bookmarkStart w:id="668" w:name="_Toc12748"/>
      <w:bookmarkStart w:id="669" w:name="_Toc21035"/>
      <w:r>
        <w:rPr>
          <w:rFonts w:hint="eastAsia" w:ascii="宋体" w:hAnsi="宋体" w:cs="宋体"/>
          <w:b/>
          <w:bCs w:val="0"/>
          <w:lang w:bidi="ar"/>
        </w:rPr>
        <w:t>八、开标</w:t>
      </w:r>
      <w:bookmarkEnd w:id="587"/>
      <w:r>
        <w:rPr>
          <w:rFonts w:hint="eastAsia" w:ascii="宋体" w:hAnsi="宋体" w:cs="宋体"/>
          <w:b/>
          <w:bCs w:val="0"/>
          <w:lang w:bidi="ar"/>
        </w:rPr>
        <w:t>、评标</w:t>
      </w:r>
      <w:bookmarkEnd w:id="623"/>
      <w:r>
        <w:rPr>
          <w:rFonts w:hint="eastAsia" w:ascii="宋体" w:hAnsi="宋体" w:cs="宋体"/>
          <w:b/>
          <w:bCs w:val="0"/>
          <w:lang w:bidi="ar"/>
        </w:rPr>
        <w:t>和定标</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33"/>
        <w:numPr>
          <w:ilvl w:val="0"/>
          <w:numId w:val="12"/>
        </w:numPr>
        <w:adjustRightInd w:val="0"/>
        <w:spacing w:line="312" w:lineRule="auto"/>
        <w:ind w:firstLine="480" w:firstLineChars="200"/>
        <w:jc w:val="both"/>
        <w:rPr>
          <w:rFonts w:ascii="宋体" w:hAnsi="宋体" w:cs="宋体"/>
          <w:lang w:bidi="ar"/>
        </w:rPr>
      </w:pPr>
      <w:bookmarkStart w:id="670" w:name="_Toc25996"/>
      <w:bookmarkStart w:id="671" w:name="_Toc2054"/>
      <w:bookmarkStart w:id="672" w:name="_Toc325548456"/>
      <w:bookmarkStart w:id="673" w:name="_Toc27632"/>
      <w:bookmarkStart w:id="674" w:name="_Toc40685929"/>
      <w:bookmarkStart w:id="675" w:name="_Toc341864028"/>
      <w:bookmarkStart w:id="676" w:name="_Toc375297166"/>
      <w:bookmarkStart w:id="677" w:name="_Toc41549081"/>
      <w:r>
        <w:rPr>
          <w:rFonts w:hint="eastAsia" w:ascii="宋体" w:hAnsi="宋体" w:cs="宋体"/>
          <w:lang w:bidi="ar"/>
        </w:rPr>
        <w:t>开标时间、地点</w:t>
      </w:r>
      <w:bookmarkEnd w:id="670"/>
      <w:bookmarkEnd w:id="671"/>
      <w:bookmarkEnd w:id="672"/>
      <w:bookmarkEnd w:id="673"/>
      <w:bookmarkEnd w:id="674"/>
      <w:bookmarkEnd w:id="675"/>
      <w:bookmarkEnd w:id="676"/>
      <w:bookmarkEnd w:id="677"/>
      <w:r>
        <w:rPr>
          <w:rFonts w:hint="eastAsia" w:ascii="宋体" w:hAnsi="宋体" w:cs="宋体"/>
          <w:lang w:bidi="ar"/>
        </w:rPr>
        <w:t>、</w:t>
      </w:r>
      <w:bookmarkStart w:id="678" w:name="_Toc10620"/>
      <w:bookmarkStart w:id="679" w:name="_Toc506120418"/>
      <w:r>
        <w:rPr>
          <w:rFonts w:hint="eastAsia" w:ascii="宋体" w:hAnsi="宋体" w:cs="宋体"/>
          <w:lang w:bidi="ar"/>
        </w:rPr>
        <w:t>参加开标会议的要求</w:t>
      </w:r>
    </w:p>
    <w:p>
      <w:pPr>
        <w:pStyle w:val="33"/>
        <w:numPr>
          <w:ilvl w:val="1"/>
          <w:numId w:val="13"/>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开标时间：同投标截止时间。</w:t>
      </w:r>
    </w:p>
    <w:p>
      <w:pPr>
        <w:pStyle w:val="33"/>
        <w:numPr>
          <w:ilvl w:val="1"/>
          <w:numId w:val="13"/>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开标大厅：（https://qzygjy.com/BidOpening/bidopeninghallaction/hall/login）</w:t>
      </w:r>
    </w:p>
    <w:p>
      <w:pPr>
        <w:pStyle w:val="33"/>
        <w:numPr>
          <w:ilvl w:val="1"/>
          <w:numId w:val="13"/>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参加开标会议的要求</w:t>
      </w:r>
    </w:p>
    <w:p>
      <w:pPr>
        <w:pStyle w:val="33"/>
        <w:numPr>
          <w:ilvl w:val="1"/>
          <w:numId w:val="13"/>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开标过程中，投标人参与远程音视频交互的法人代表或授权委托人应始终为同一人，中途不得更换，并能及时响应开标要求。投标人终端操作人员均被视为投标人法人代表或授权委托人，投标人自行承担随意更换人员所导致的一切后果。</w:t>
      </w:r>
    </w:p>
    <w:p>
      <w:pPr>
        <w:pStyle w:val="33"/>
        <w:numPr>
          <w:ilvl w:val="0"/>
          <w:numId w:val="12"/>
        </w:numPr>
        <w:adjustRightInd w:val="0"/>
        <w:spacing w:line="312" w:lineRule="auto"/>
        <w:ind w:firstLine="480" w:firstLineChars="200"/>
        <w:jc w:val="both"/>
        <w:rPr>
          <w:rFonts w:ascii="宋体" w:hAnsi="宋体" w:cs="宋体"/>
          <w:lang w:bidi="ar"/>
        </w:rPr>
      </w:pPr>
      <w:r>
        <w:rPr>
          <w:rFonts w:hint="eastAsia" w:ascii="宋体" w:hAnsi="宋体" w:cs="宋体"/>
          <w:lang w:bidi="ar"/>
        </w:rPr>
        <w:t>开标程序</w:t>
      </w:r>
    </w:p>
    <w:p>
      <w:pPr>
        <w:pStyle w:val="33"/>
        <w:numPr>
          <w:ilvl w:val="255"/>
          <w:numId w:val="0"/>
        </w:numPr>
        <w:tabs>
          <w:tab w:val="left" w:pos="171"/>
        </w:tabs>
        <w:spacing w:line="312" w:lineRule="auto"/>
        <w:ind w:firstLine="480" w:firstLineChars="200"/>
        <w:rPr>
          <w:rFonts w:ascii="宋体" w:hAnsi="宋体" w:cs="宋体"/>
          <w:lang w:bidi="ar"/>
        </w:rPr>
      </w:pPr>
      <w:r>
        <w:rPr>
          <w:rFonts w:hint="eastAsia" w:ascii="宋体" w:hAnsi="宋体" w:cs="宋体"/>
          <w:lang w:bidi="ar"/>
        </w:rPr>
        <w:t>投标人须准备好加密投标文件的CA数字证书以供开标时远程解密投标文件。</w:t>
      </w:r>
    </w:p>
    <w:p>
      <w:pPr>
        <w:pStyle w:val="149"/>
        <w:tabs>
          <w:tab w:val="right" w:leader="dot" w:pos="8295"/>
        </w:tabs>
        <w:snapToGrid w:val="0"/>
        <w:spacing w:line="312" w:lineRule="auto"/>
        <w:ind w:firstLine="480" w:firstLineChars="200"/>
        <w:rPr>
          <w:rFonts w:ascii="宋体" w:hAnsi="宋体" w:cs="宋体"/>
          <w:sz w:val="24"/>
          <w:szCs w:val="24"/>
        </w:rPr>
      </w:pPr>
      <w:r>
        <w:rPr>
          <w:rFonts w:hint="eastAsia" w:ascii="宋体" w:hAnsi="宋体" w:cs="宋体"/>
          <w:sz w:val="24"/>
          <w:szCs w:val="24"/>
        </w:rPr>
        <w:t>（一）至投标截止时间</w:t>
      </w:r>
    </w:p>
    <w:p>
      <w:pPr>
        <w:pStyle w:val="84"/>
        <w:tabs>
          <w:tab w:val="right" w:leader="dot" w:pos="8295"/>
        </w:tabs>
        <w:snapToGrid w:val="0"/>
        <w:spacing w:line="312" w:lineRule="auto"/>
        <w:ind w:firstLine="480" w:firstLineChars="200"/>
        <w:rPr>
          <w:rFonts w:ascii="宋体" w:hAnsi="宋体" w:cs="宋体"/>
          <w:sz w:val="24"/>
          <w:szCs w:val="24"/>
        </w:rPr>
      </w:pPr>
      <w:r>
        <w:rPr>
          <w:rFonts w:hint="eastAsia" w:ascii="宋体" w:hAnsi="宋体" w:cs="宋体"/>
          <w:sz w:val="24"/>
          <w:szCs w:val="24"/>
        </w:rPr>
        <w:t>采购人（或公证处工作人员）宣布开始开标，宣布开标项目名称、采购人代表等有关人员姓名，公布在投标截止时间前受理的投标文件的投标人名称。</w:t>
      </w:r>
    </w:p>
    <w:p>
      <w:pPr>
        <w:pStyle w:val="84"/>
        <w:tabs>
          <w:tab w:val="right" w:leader="dot" w:pos="8295"/>
        </w:tabs>
        <w:snapToGrid w:val="0"/>
        <w:spacing w:line="312" w:lineRule="auto"/>
        <w:ind w:firstLine="480" w:firstLineChars="200"/>
        <w:rPr>
          <w:rFonts w:ascii="宋体" w:hAnsi="宋体" w:cs="宋体"/>
          <w:sz w:val="24"/>
          <w:szCs w:val="24"/>
        </w:rPr>
      </w:pPr>
      <w:r>
        <w:rPr>
          <w:rFonts w:hint="eastAsia" w:ascii="宋体" w:hAnsi="宋体" w:cs="宋体"/>
          <w:sz w:val="24"/>
          <w:szCs w:val="24"/>
        </w:rPr>
        <w:t>（二）投标人解密</w:t>
      </w:r>
    </w:p>
    <w:p>
      <w:pPr>
        <w:pStyle w:val="84"/>
        <w:widowControl w:val="0"/>
        <w:tabs>
          <w:tab w:val="right" w:leader="dot" w:pos="8295"/>
        </w:tabs>
        <w:snapToGrid w:val="0"/>
        <w:spacing w:line="312" w:lineRule="auto"/>
        <w:ind w:firstLine="480" w:firstLineChars="200"/>
        <w:jc w:val="left"/>
        <w:rPr>
          <w:rFonts w:ascii="宋体" w:hAnsi="宋体" w:cs="宋体"/>
          <w:sz w:val="24"/>
          <w:szCs w:val="24"/>
        </w:rPr>
      </w:pPr>
      <w:r>
        <w:rPr>
          <w:rFonts w:hint="eastAsia" w:ascii="宋体" w:hAnsi="宋体" w:cs="宋体"/>
          <w:sz w:val="24"/>
          <w:szCs w:val="24"/>
        </w:rPr>
        <w:t>投标人解密时间：采购人（公证人员）宣布开始解密后30分钟以内。投标人解密方式：投标人自行登录衢州市阳光交易服务平台不见面开标大厅（</w:t>
      </w:r>
      <w:r>
        <w:rPr>
          <w:rFonts w:hint="eastAsia" w:ascii="宋体" w:hAnsi="宋体" w:cs="宋体"/>
          <w:snapToGrid w:val="0"/>
          <w:spacing w:val="-6"/>
          <w:sz w:val="24"/>
          <w:szCs w:val="24"/>
        </w:rPr>
        <w:t>https://qzygjy.com/BidOpening/bidopeninghallaction/hall/login</w:t>
      </w:r>
      <w:r>
        <w:rPr>
          <w:rFonts w:hint="eastAsia" w:ascii="宋体" w:hAnsi="宋体" w:cs="宋体"/>
          <w:sz w:val="24"/>
          <w:szCs w:val="24"/>
        </w:rPr>
        <w:t>)——我的项目——选择标段——待招标代理开启解密后进行解密操作。</w:t>
      </w:r>
    </w:p>
    <w:p>
      <w:pPr>
        <w:pStyle w:val="84"/>
        <w:tabs>
          <w:tab w:val="right" w:leader="dot" w:pos="8295"/>
        </w:tabs>
        <w:snapToGrid w:val="0"/>
        <w:spacing w:line="312" w:lineRule="auto"/>
        <w:ind w:firstLine="480" w:firstLineChars="200"/>
        <w:rPr>
          <w:rFonts w:ascii="宋体" w:hAnsi="宋体" w:cs="宋体"/>
          <w:sz w:val="24"/>
          <w:szCs w:val="24"/>
        </w:rPr>
      </w:pPr>
      <w:r>
        <w:rPr>
          <w:rFonts w:hint="eastAsia" w:ascii="宋体" w:hAnsi="宋体" w:cs="宋体"/>
          <w:sz w:val="24"/>
          <w:szCs w:val="24"/>
        </w:rPr>
        <w:t>（三）投标人使用生成投标文件的CA数字证书解密投标文件。</w:t>
      </w:r>
    </w:p>
    <w:p>
      <w:pPr>
        <w:pStyle w:val="84"/>
        <w:tabs>
          <w:tab w:val="right" w:leader="dot" w:pos="8295"/>
        </w:tabs>
        <w:snapToGrid w:val="0"/>
        <w:spacing w:line="312" w:lineRule="auto"/>
        <w:ind w:firstLine="480" w:firstLineChars="200"/>
        <w:rPr>
          <w:rFonts w:ascii="宋体" w:hAnsi="宋体" w:cs="宋体"/>
          <w:sz w:val="24"/>
          <w:szCs w:val="24"/>
        </w:rPr>
      </w:pPr>
      <w:r>
        <w:rPr>
          <w:rFonts w:hint="eastAsia" w:ascii="宋体" w:hAnsi="宋体" w:cs="宋体"/>
          <w:sz w:val="24"/>
          <w:szCs w:val="24"/>
        </w:rPr>
        <w:t>（四）投标文件解密完成后，开标系统公布投标人名称、投标报价、供货期及其他内容。</w:t>
      </w:r>
    </w:p>
    <w:p>
      <w:pPr>
        <w:pStyle w:val="84"/>
        <w:tabs>
          <w:tab w:val="right" w:leader="dot" w:pos="8295"/>
        </w:tabs>
        <w:snapToGrid w:val="0"/>
        <w:spacing w:line="312" w:lineRule="auto"/>
        <w:ind w:firstLine="480" w:firstLineChars="200"/>
        <w:rPr>
          <w:rFonts w:ascii="宋体" w:hAnsi="宋体" w:cs="宋体"/>
          <w:sz w:val="24"/>
          <w:szCs w:val="24"/>
        </w:rPr>
      </w:pPr>
      <w:r>
        <w:rPr>
          <w:rFonts w:hint="eastAsia" w:ascii="宋体" w:hAnsi="宋体" w:cs="宋体"/>
          <w:sz w:val="24"/>
          <w:szCs w:val="24"/>
        </w:rPr>
        <w:t>（五）投标人确认</w:t>
      </w:r>
    </w:p>
    <w:p>
      <w:pPr>
        <w:pStyle w:val="84"/>
        <w:tabs>
          <w:tab w:val="right" w:leader="dot" w:pos="8295"/>
        </w:tabs>
        <w:snapToGrid w:val="0"/>
        <w:spacing w:line="312" w:lineRule="auto"/>
        <w:ind w:firstLine="480" w:firstLineChars="200"/>
        <w:rPr>
          <w:rFonts w:ascii="宋体" w:hAnsi="宋体" w:cs="宋体"/>
          <w:sz w:val="24"/>
          <w:szCs w:val="24"/>
        </w:rPr>
      </w:pPr>
      <w:r>
        <w:rPr>
          <w:rFonts w:hint="eastAsia" w:ascii="宋体" w:hAnsi="宋体" w:cs="宋体"/>
          <w:sz w:val="24"/>
          <w:szCs w:val="24"/>
        </w:rPr>
        <w:t>唱标完成后，投标人可通过衢州市阳光交易服务平台不见面开标大厅系统对唱标结果进行确认，未在开标结束前完成在线确认的投标人，衢州市阳光交易服务平台不见面开标大厅系统将视作自动确认。</w:t>
      </w:r>
    </w:p>
    <w:p>
      <w:pPr>
        <w:pStyle w:val="84"/>
        <w:widowControl w:val="0"/>
        <w:snapToGrid w:val="0"/>
        <w:spacing w:line="312" w:lineRule="auto"/>
        <w:ind w:firstLine="480" w:firstLineChars="200"/>
        <w:rPr>
          <w:rFonts w:ascii="宋体" w:hAnsi="宋体" w:cs="宋体"/>
          <w:sz w:val="24"/>
          <w:szCs w:val="24"/>
        </w:rPr>
      </w:pPr>
      <w:r>
        <w:rPr>
          <w:rFonts w:hint="eastAsia" w:ascii="宋体" w:hAnsi="宋体" w:cs="宋体"/>
          <w:sz w:val="24"/>
          <w:szCs w:val="24"/>
        </w:rPr>
        <w:t>投标人对开标过程有异议的，应通过衢州市阳光交易服务平台不见面开标大厅系统的“开标异议文字提问”按钮进行异议，采购人通过衢州市阳光交易服务平台不见面开标大厅系统文字答复，投标人提出异议的时间截止至开标结果公布后5分钟；</w:t>
      </w:r>
    </w:p>
    <w:p>
      <w:pPr>
        <w:pStyle w:val="84"/>
        <w:tabs>
          <w:tab w:val="right" w:leader="dot" w:pos="8295"/>
        </w:tabs>
        <w:snapToGrid w:val="0"/>
        <w:spacing w:line="312" w:lineRule="auto"/>
        <w:ind w:firstLine="480" w:firstLineChars="200"/>
        <w:jc w:val="left"/>
        <w:rPr>
          <w:rFonts w:ascii="宋体" w:hAnsi="宋体" w:cs="宋体"/>
          <w:sz w:val="24"/>
          <w:szCs w:val="24"/>
        </w:rPr>
      </w:pPr>
      <w:r>
        <w:rPr>
          <w:rFonts w:hint="eastAsia" w:ascii="宋体" w:hAnsi="宋体" w:cs="宋体"/>
          <w:sz w:val="24"/>
          <w:szCs w:val="24"/>
        </w:rPr>
        <w:t>（六）进入评标环节，首先对解密成功的投标人进行资格审查，然后对通过资格审查的投标人进行资信技术文件评审，最后进行报价评分；</w:t>
      </w:r>
    </w:p>
    <w:p>
      <w:pPr>
        <w:pStyle w:val="84"/>
        <w:tabs>
          <w:tab w:val="right" w:leader="dot" w:pos="8295"/>
        </w:tabs>
        <w:snapToGrid w:val="0"/>
        <w:spacing w:line="312" w:lineRule="auto"/>
        <w:ind w:firstLine="480" w:firstLineChars="200"/>
        <w:rPr>
          <w:rFonts w:ascii="宋体" w:hAnsi="宋体" w:cs="宋体"/>
          <w:sz w:val="24"/>
          <w:szCs w:val="24"/>
        </w:rPr>
      </w:pPr>
      <w:r>
        <w:rPr>
          <w:rFonts w:hint="eastAsia" w:ascii="宋体" w:hAnsi="宋体" w:cs="宋体"/>
          <w:sz w:val="24"/>
          <w:szCs w:val="24"/>
        </w:rPr>
        <w:t>（七）评标结束后，采购人宣布中标候选人。采购人宣布开标会议结束。</w:t>
      </w:r>
    </w:p>
    <w:p>
      <w:pPr>
        <w:pStyle w:val="33"/>
        <w:numPr>
          <w:ilvl w:val="0"/>
          <w:numId w:val="12"/>
        </w:numPr>
        <w:adjustRightInd w:val="0"/>
        <w:spacing w:line="312" w:lineRule="auto"/>
        <w:ind w:firstLine="480" w:firstLineChars="200"/>
        <w:jc w:val="both"/>
        <w:rPr>
          <w:rFonts w:ascii="宋体" w:hAnsi="宋体" w:cs="宋体"/>
          <w:lang w:bidi="ar"/>
        </w:rPr>
      </w:pPr>
      <w:r>
        <w:rPr>
          <w:rFonts w:hint="eastAsia" w:ascii="宋体" w:hAnsi="宋体" w:cs="宋体"/>
          <w:lang w:bidi="ar"/>
        </w:rPr>
        <w:t>开标特别说明</w:t>
      </w:r>
    </w:p>
    <w:p>
      <w:pPr>
        <w:pStyle w:val="149"/>
        <w:spacing w:line="312" w:lineRule="auto"/>
        <w:ind w:firstLine="480" w:firstLineChars="200"/>
        <w:rPr>
          <w:rFonts w:ascii="宋体" w:hAnsi="宋体" w:cs="宋体"/>
          <w:sz w:val="24"/>
          <w:szCs w:val="24"/>
        </w:rPr>
      </w:pPr>
      <w:r>
        <w:rPr>
          <w:rFonts w:hint="eastAsia" w:ascii="宋体" w:hAnsi="宋体" w:cs="宋体"/>
          <w:sz w:val="24"/>
          <w:szCs w:val="24"/>
        </w:rPr>
        <w:t xml:space="preserve">（一）开标解密使用投标人上传的电子投标文件。 </w:t>
      </w:r>
    </w:p>
    <w:p>
      <w:pPr>
        <w:pStyle w:val="149"/>
        <w:spacing w:line="312" w:lineRule="auto"/>
        <w:ind w:firstLine="480" w:firstLineChars="200"/>
        <w:rPr>
          <w:rFonts w:ascii="宋体" w:hAnsi="宋体" w:cs="宋体"/>
          <w:sz w:val="24"/>
          <w:szCs w:val="24"/>
        </w:rPr>
      </w:pPr>
      <w:r>
        <w:rPr>
          <w:rFonts w:hint="eastAsia" w:ascii="宋体" w:hAnsi="宋体" w:cs="宋体"/>
          <w:sz w:val="24"/>
          <w:szCs w:val="24"/>
        </w:rPr>
        <w:t>（二）因投标人原因（包括投标人自主选择的CA证书、投标工具等），造成其电子投标文件未解密的，或投标文件解密了，但投标文件无法识别、读取的，视为撤销其投标文件。</w:t>
      </w:r>
    </w:p>
    <w:p>
      <w:pPr>
        <w:pStyle w:val="149"/>
        <w:spacing w:line="312" w:lineRule="auto"/>
        <w:ind w:firstLine="480" w:firstLineChars="200"/>
        <w:rPr>
          <w:rFonts w:ascii="宋体" w:hAnsi="宋体" w:cs="宋体"/>
          <w:sz w:val="24"/>
          <w:szCs w:val="24"/>
        </w:rPr>
      </w:pPr>
      <w:r>
        <w:rPr>
          <w:rFonts w:hint="eastAsia" w:ascii="宋体" w:hAnsi="宋体" w:cs="宋体"/>
          <w:sz w:val="24"/>
          <w:szCs w:val="24"/>
        </w:rPr>
        <w:t>（三）部分投标人的电子投标文件无法解密（识别、读取）的，其他投标文件的开标可以继续进行，但最终解密（识别、读取）成功的应不少于3家。</w:t>
      </w:r>
    </w:p>
    <w:p>
      <w:pPr>
        <w:pStyle w:val="149"/>
        <w:spacing w:line="312" w:lineRule="auto"/>
        <w:ind w:firstLine="480" w:firstLineChars="200"/>
        <w:rPr>
          <w:rFonts w:ascii="宋体" w:hAnsi="宋体" w:cs="宋体"/>
          <w:sz w:val="24"/>
          <w:szCs w:val="24"/>
        </w:rPr>
      </w:pPr>
      <w:r>
        <w:rPr>
          <w:rFonts w:hint="eastAsia" w:ascii="宋体" w:hAnsi="宋体" w:cs="宋体"/>
          <w:sz w:val="24"/>
          <w:szCs w:val="24"/>
        </w:rPr>
        <w:t>（四）投标人必须使用生成电子投标文件的CA数字证书解密电子投标文件。</w:t>
      </w:r>
    </w:p>
    <w:bookmarkEnd w:id="678"/>
    <w:bookmarkEnd w:id="679"/>
    <w:p>
      <w:pPr>
        <w:pStyle w:val="33"/>
        <w:numPr>
          <w:ilvl w:val="0"/>
          <w:numId w:val="12"/>
        </w:numPr>
        <w:adjustRightInd w:val="0"/>
        <w:spacing w:line="312" w:lineRule="auto"/>
        <w:ind w:firstLine="480" w:firstLineChars="200"/>
        <w:jc w:val="both"/>
        <w:rPr>
          <w:rFonts w:ascii="宋体" w:hAnsi="宋体" w:cs="宋体"/>
          <w:lang w:bidi="ar"/>
        </w:rPr>
      </w:pPr>
      <w:bookmarkStart w:id="680" w:name="_Toc27695"/>
      <w:bookmarkStart w:id="681" w:name="_Toc506120423"/>
      <w:r>
        <w:rPr>
          <w:rFonts w:hint="eastAsia" w:ascii="宋体" w:hAnsi="宋体" w:cs="宋体"/>
          <w:lang w:bidi="ar"/>
        </w:rPr>
        <w:t>评标委员会</w:t>
      </w:r>
    </w:p>
    <w:p>
      <w:pPr>
        <w:pStyle w:val="33"/>
        <w:numPr>
          <w:ilvl w:val="1"/>
          <w:numId w:val="14"/>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评标由采购人依法组建的评标委员会负责。评标委员会成员人数以及技术、经济等方面专家的确定方式见投标人须知前附表。</w:t>
      </w:r>
    </w:p>
    <w:p>
      <w:pPr>
        <w:pStyle w:val="33"/>
        <w:numPr>
          <w:ilvl w:val="1"/>
          <w:numId w:val="14"/>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评标委员会依据投标人提交的投标文件进行评审。</w:t>
      </w:r>
    </w:p>
    <w:p>
      <w:pPr>
        <w:pStyle w:val="33"/>
        <w:numPr>
          <w:ilvl w:val="0"/>
          <w:numId w:val="12"/>
        </w:numPr>
        <w:adjustRightInd w:val="0"/>
        <w:spacing w:line="312" w:lineRule="auto"/>
        <w:ind w:firstLine="480" w:firstLineChars="200"/>
        <w:jc w:val="both"/>
        <w:rPr>
          <w:rFonts w:ascii="宋体" w:hAnsi="宋体" w:cs="宋体"/>
          <w:lang w:bidi="ar"/>
        </w:rPr>
      </w:pPr>
      <w:r>
        <w:rPr>
          <w:rFonts w:hint="eastAsia" w:ascii="宋体" w:hAnsi="宋体" w:cs="宋体"/>
          <w:lang w:bidi="ar"/>
        </w:rPr>
        <w:t>评标的保密</w:t>
      </w:r>
    </w:p>
    <w:p>
      <w:pPr>
        <w:pStyle w:val="33"/>
        <w:numPr>
          <w:ilvl w:val="1"/>
          <w:numId w:val="15"/>
        </w:numPr>
        <w:tabs>
          <w:tab w:val="left" w:pos="171"/>
        </w:tabs>
        <w:spacing w:line="312" w:lineRule="auto"/>
        <w:ind w:firstLine="480" w:firstLineChars="200"/>
        <w:rPr>
          <w:rFonts w:ascii="宋体" w:hAnsi="宋体" w:cs="宋体"/>
          <w:lang w:bidi="ar"/>
        </w:rPr>
      </w:pPr>
      <w:r>
        <w:rPr>
          <w:rFonts w:hint="eastAsia" w:ascii="宋体" w:hAnsi="宋体" w:cs="宋体"/>
          <w:lang w:bidi="ar"/>
        </w:rPr>
        <w:t>评标采用保密的方式进行。</w:t>
      </w:r>
    </w:p>
    <w:p>
      <w:pPr>
        <w:pStyle w:val="33"/>
        <w:numPr>
          <w:ilvl w:val="1"/>
          <w:numId w:val="15"/>
        </w:numPr>
        <w:tabs>
          <w:tab w:val="left" w:pos="171"/>
        </w:tabs>
        <w:spacing w:line="312" w:lineRule="auto"/>
        <w:ind w:firstLine="480" w:firstLineChars="200"/>
        <w:rPr>
          <w:rFonts w:ascii="宋体" w:hAnsi="宋体" w:cs="宋体"/>
          <w:lang w:bidi="ar"/>
        </w:rPr>
      </w:pPr>
      <w:r>
        <w:rPr>
          <w:rFonts w:hint="eastAsia" w:ascii="宋体" w:hAnsi="宋体" w:cs="宋体"/>
          <w:lang w:bidi="ar"/>
        </w:rPr>
        <w:t>评标委员会成员和参与评标的有关工作人员不得透露对投标文件的评审和比较、中标候选供应商的推荐情况以及与评标有关的其他情况。</w:t>
      </w:r>
    </w:p>
    <w:p>
      <w:pPr>
        <w:pStyle w:val="33"/>
        <w:numPr>
          <w:ilvl w:val="1"/>
          <w:numId w:val="15"/>
        </w:numPr>
        <w:tabs>
          <w:tab w:val="left" w:pos="171"/>
        </w:tabs>
        <w:spacing w:line="312" w:lineRule="auto"/>
        <w:ind w:firstLine="480" w:firstLineChars="200"/>
        <w:rPr>
          <w:rFonts w:ascii="宋体" w:hAnsi="宋体" w:cs="宋体"/>
          <w:lang w:bidi="ar"/>
        </w:rPr>
      </w:pPr>
      <w:r>
        <w:rPr>
          <w:rFonts w:hint="eastAsia" w:ascii="宋体" w:hAnsi="宋体" w:cs="宋体"/>
          <w:lang w:bidi="ar"/>
        </w:rPr>
        <w:t>在投标文件的评审和比较、中标候选供应商推荐以及授予合同的过程中，投标人向采购人和评标委员会施加影响的任何行为，都将导致其投标被拒绝。</w:t>
      </w:r>
    </w:p>
    <w:p>
      <w:pPr>
        <w:pStyle w:val="33"/>
        <w:numPr>
          <w:ilvl w:val="1"/>
          <w:numId w:val="15"/>
        </w:numPr>
        <w:tabs>
          <w:tab w:val="left" w:pos="171"/>
        </w:tabs>
        <w:spacing w:line="312" w:lineRule="auto"/>
        <w:ind w:firstLine="480" w:firstLineChars="200"/>
        <w:rPr>
          <w:rFonts w:ascii="宋体" w:hAnsi="宋体" w:cs="宋体"/>
          <w:lang w:bidi="ar"/>
        </w:rPr>
      </w:pPr>
      <w:r>
        <w:rPr>
          <w:rFonts w:hint="eastAsia" w:ascii="宋体" w:hAnsi="宋体" w:cs="宋体"/>
          <w:lang w:bidi="ar"/>
        </w:rPr>
        <w:t>评标委员会对未中标人就评标过程以及未能中标原因不作解释。</w:t>
      </w:r>
    </w:p>
    <w:p>
      <w:pPr>
        <w:pStyle w:val="33"/>
        <w:numPr>
          <w:ilvl w:val="1"/>
          <w:numId w:val="15"/>
        </w:numPr>
        <w:tabs>
          <w:tab w:val="left" w:pos="171"/>
        </w:tabs>
        <w:spacing w:line="312" w:lineRule="auto"/>
        <w:ind w:firstLine="480" w:firstLineChars="200"/>
        <w:rPr>
          <w:rFonts w:ascii="宋体" w:hAnsi="宋体" w:cs="宋体"/>
          <w:lang w:bidi="ar"/>
        </w:rPr>
      </w:pPr>
      <w:r>
        <w:rPr>
          <w:rFonts w:hint="eastAsia" w:ascii="宋体" w:hAnsi="宋体" w:cs="宋体"/>
          <w:lang w:bidi="ar"/>
        </w:rPr>
        <w:t>采购人不得在中标人确定前，与投标人就投标价格、投标方案等实质性内容进行谈判。</w:t>
      </w:r>
    </w:p>
    <w:p>
      <w:pPr>
        <w:pStyle w:val="33"/>
        <w:numPr>
          <w:ilvl w:val="0"/>
          <w:numId w:val="12"/>
        </w:numPr>
        <w:adjustRightInd w:val="0"/>
        <w:spacing w:line="312" w:lineRule="auto"/>
        <w:ind w:firstLine="480" w:firstLineChars="200"/>
        <w:jc w:val="both"/>
        <w:rPr>
          <w:rFonts w:ascii="宋体" w:hAnsi="宋体" w:cs="宋体"/>
          <w:lang w:bidi="ar"/>
        </w:rPr>
      </w:pPr>
      <w:r>
        <w:rPr>
          <w:rFonts w:hint="eastAsia" w:ascii="宋体" w:hAnsi="宋体" w:cs="宋体"/>
          <w:lang w:bidi="ar"/>
        </w:rPr>
        <w:t>评标程序</w:t>
      </w:r>
    </w:p>
    <w:p>
      <w:pPr>
        <w:pStyle w:val="33"/>
        <w:numPr>
          <w:ilvl w:val="1"/>
          <w:numId w:val="16"/>
        </w:numPr>
        <w:tabs>
          <w:tab w:val="left" w:pos="171"/>
        </w:tabs>
        <w:spacing w:line="312" w:lineRule="auto"/>
        <w:ind w:firstLine="480" w:firstLineChars="200"/>
        <w:rPr>
          <w:rFonts w:ascii="宋体" w:hAnsi="宋体" w:cs="宋体"/>
          <w:lang w:bidi="ar"/>
        </w:rPr>
      </w:pPr>
      <w:r>
        <w:rPr>
          <w:rFonts w:hint="eastAsia" w:ascii="宋体" w:hAnsi="宋体" w:cs="宋体"/>
          <w:lang w:bidi="ar"/>
        </w:rPr>
        <w:t>资格审查文件的评审。</w:t>
      </w:r>
    </w:p>
    <w:p>
      <w:pPr>
        <w:pStyle w:val="33"/>
        <w:numPr>
          <w:ilvl w:val="1"/>
          <w:numId w:val="16"/>
        </w:numPr>
        <w:tabs>
          <w:tab w:val="left" w:pos="171"/>
        </w:tabs>
        <w:spacing w:line="312" w:lineRule="auto"/>
        <w:ind w:firstLine="480" w:firstLineChars="200"/>
        <w:rPr>
          <w:rFonts w:ascii="宋体" w:hAnsi="宋体" w:cs="宋体"/>
          <w:lang w:bidi="ar"/>
        </w:rPr>
      </w:pPr>
      <w:r>
        <w:rPr>
          <w:rFonts w:hint="eastAsia" w:ascii="宋体" w:hAnsi="宋体" w:cs="宋体"/>
          <w:lang w:bidi="ar"/>
        </w:rPr>
        <w:t>资信技术文件的评审。</w:t>
      </w:r>
    </w:p>
    <w:p>
      <w:pPr>
        <w:pStyle w:val="33"/>
        <w:numPr>
          <w:ilvl w:val="0"/>
          <w:numId w:val="12"/>
        </w:numPr>
        <w:adjustRightInd w:val="0"/>
        <w:spacing w:line="312" w:lineRule="auto"/>
        <w:ind w:firstLine="480" w:firstLineChars="200"/>
        <w:jc w:val="both"/>
        <w:rPr>
          <w:rFonts w:ascii="宋体" w:hAnsi="宋体" w:cs="宋体"/>
          <w:lang w:bidi="ar"/>
        </w:rPr>
      </w:pPr>
      <w:r>
        <w:rPr>
          <w:rFonts w:hint="eastAsia" w:ascii="宋体" w:hAnsi="宋体" w:cs="宋体"/>
          <w:lang w:bidi="ar"/>
        </w:rPr>
        <w:t>评标办法及评分标准（详见第五章）。</w:t>
      </w:r>
    </w:p>
    <w:p>
      <w:pPr>
        <w:pStyle w:val="33"/>
        <w:numPr>
          <w:ilvl w:val="0"/>
          <w:numId w:val="12"/>
        </w:numPr>
        <w:adjustRightInd w:val="0"/>
        <w:spacing w:line="312" w:lineRule="auto"/>
        <w:ind w:firstLine="480" w:firstLineChars="200"/>
        <w:jc w:val="both"/>
        <w:rPr>
          <w:rFonts w:ascii="宋体" w:hAnsi="宋体" w:cs="宋体"/>
          <w:lang w:bidi="ar"/>
        </w:rPr>
      </w:pPr>
      <w:r>
        <w:rPr>
          <w:rFonts w:hint="eastAsia" w:ascii="宋体" w:hAnsi="宋体" w:cs="宋体"/>
          <w:lang w:bidi="ar"/>
        </w:rPr>
        <w:t>澄清问题的形式</w:t>
      </w:r>
    </w:p>
    <w:p>
      <w:pPr>
        <w:adjustRightInd w:val="0"/>
        <w:snapToGrid w:val="0"/>
        <w:spacing w:line="312" w:lineRule="auto"/>
        <w:ind w:firstLine="480"/>
        <w:rPr>
          <w:rFonts w:ascii="宋体" w:hAnsi="宋体" w:cs="宋体"/>
        </w:rPr>
      </w:pPr>
      <w:r>
        <w:rPr>
          <w:rFonts w:hint="eastAsia" w:ascii="宋体" w:hAnsi="宋体" w:cs="宋体"/>
        </w:rPr>
        <w:t>对投标文件中含义不明确、同类问题表述不一致或者有明显文字和计算错误的内容，评标委员会可要求投标人在评标委员会要求的时间内作出必要的澄清、说明或者补正。投标人的澄清、说明或者补正应当采用书面形式，由法定代表人或委托代理人签字确认，并不得超出投标文件的范围或者改变投标文件的实质性内容。如投标人未在规定时间内澄清、说明、补正或拒绝澄清、说明、补正的，其投标文件按无效标处理。</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错误修正的原则</w:t>
      </w:r>
    </w:p>
    <w:p>
      <w:pPr>
        <w:pStyle w:val="20"/>
        <w:adjustRightInd w:val="0"/>
        <w:snapToGrid w:val="0"/>
        <w:spacing w:line="312" w:lineRule="auto"/>
        <w:ind w:firstLine="480"/>
        <w:rPr>
          <w:rFonts w:hAnsi="宋体" w:cs="宋体"/>
          <w:szCs w:val="24"/>
        </w:rPr>
      </w:pPr>
      <w:r>
        <w:rPr>
          <w:rFonts w:hint="eastAsia" w:hAnsi="宋体" w:cs="宋体"/>
          <w:szCs w:val="24"/>
        </w:rPr>
        <w:t>投标文件如果出现计算或表达上的错误，修正错误的原则如下：</w:t>
      </w:r>
    </w:p>
    <w:p>
      <w:pPr>
        <w:pStyle w:val="33"/>
        <w:numPr>
          <w:ilvl w:val="1"/>
          <w:numId w:val="17"/>
        </w:numPr>
        <w:tabs>
          <w:tab w:val="left" w:pos="171"/>
        </w:tabs>
        <w:spacing w:line="312" w:lineRule="auto"/>
        <w:ind w:firstLine="480" w:firstLineChars="200"/>
        <w:rPr>
          <w:rFonts w:ascii="宋体" w:hAnsi="宋体" w:cs="宋体"/>
          <w:lang w:bidi="ar"/>
        </w:rPr>
      </w:pPr>
      <w:r>
        <w:rPr>
          <w:rFonts w:hint="eastAsia" w:ascii="宋体" w:hAnsi="宋体" w:cs="宋体"/>
          <w:lang w:bidi="ar"/>
        </w:rPr>
        <w:t>投标函中表述的内容与报价表中不一致的，以报价表为准；报价表中的内容与报价明细表不一致的，以报价表为准；</w:t>
      </w:r>
    </w:p>
    <w:p>
      <w:pPr>
        <w:pStyle w:val="33"/>
        <w:numPr>
          <w:ilvl w:val="1"/>
          <w:numId w:val="17"/>
        </w:numPr>
        <w:tabs>
          <w:tab w:val="left" w:pos="171"/>
        </w:tabs>
        <w:spacing w:line="312" w:lineRule="auto"/>
        <w:ind w:firstLine="480" w:firstLineChars="200"/>
        <w:rPr>
          <w:rFonts w:ascii="宋体" w:hAnsi="宋体" w:cs="宋体"/>
          <w:lang w:bidi="ar"/>
        </w:rPr>
      </w:pPr>
      <w:r>
        <w:rPr>
          <w:rFonts w:hint="eastAsia" w:ascii="宋体" w:hAnsi="宋体" w:cs="宋体"/>
          <w:lang w:bidi="ar"/>
        </w:rPr>
        <w:t>若用文字表示的数值与用数字表示的数值不一致，以文字表示的数值为准；</w:t>
      </w:r>
    </w:p>
    <w:p>
      <w:pPr>
        <w:pStyle w:val="33"/>
        <w:numPr>
          <w:ilvl w:val="1"/>
          <w:numId w:val="17"/>
        </w:numPr>
        <w:tabs>
          <w:tab w:val="left" w:pos="171"/>
        </w:tabs>
        <w:spacing w:line="312" w:lineRule="auto"/>
        <w:ind w:firstLine="480" w:firstLineChars="200"/>
        <w:rPr>
          <w:rFonts w:ascii="宋体" w:hAnsi="宋体" w:cs="宋体"/>
          <w:lang w:bidi="ar"/>
        </w:rPr>
      </w:pPr>
      <w:r>
        <w:rPr>
          <w:rFonts w:hint="eastAsia" w:ascii="宋体" w:hAnsi="宋体" w:cs="宋体"/>
          <w:lang w:bidi="ar"/>
        </w:rPr>
        <w:t>对不同文字文本投标文件的解释发生异议的，以中文文本为准；</w:t>
      </w:r>
    </w:p>
    <w:p>
      <w:pPr>
        <w:pStyle w:val="33"/>
        <w:numPr>
          <w:ilvl w:val="1"/>
          <w:numId w:val="17"/>
        </w:numPr>
        <w:tabs>
          <w:tab w:val="left" w:pos="171"/>
        </w:tabs>
        <w:spacing w:line="312" w:lineRule="auto"/>
        <w:ind w:firstLine="480" w:firstLineChars="200"/>
        <w:rPr>
          <w:rFonts w:ascii="宋体" w:hAnsi="宋体" w:cs="宋体"/>
          <w:lang w:bidi="ar"/>
        </w:rPr>
      </w:pPr>
      <w:r>
        <w:rPr>
          <w:rFonts w:hint="eastAsia" w:ascii="宋体" w:hAnsi="宋体" w:cs="宋体"/>
          <w:lang w:bidi="ar"/>
        </w:rPr>
        <w:t>按上述修正错误的原则及方法调整或修正投标文件的投标报价，投标人确认后，以调整或修正后的投标报价为准。如投标人拒绝调整或修正的，其投标文件按无效标处理。</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投标文件的澄清</w:t>
      </w:r>
      <w:bookmarkEnd w:id="680"/>
      <w:bookmarkEnd w:id="681"/>
    </w:p>
    <w:p>
      <w:pPr>
        <w:pStyle w:val="33"/>
        <w:numPr>
          <w:ilvl w:val="1"/>
          <w:numId w:val="18"/>
        </w:numPr>
        <w:tabs>
          <w:tab w:val="left" w:pos="171"/>
        </w:tabs>
        <w:spacing w:line="312" w:lineRule="auto"/>
        <w:ind w:firstLine="480" w:firstLineChars="200"/>
        <w:rPr>
          <w:rFonts w:ascii="宋体" w:hAnsi="宋体" w:cs="宋体"/>
          <w:lang w:bidi="ar"/>
        </w:rPr>
      </w:pPr>
      <w:r>
        <w:rPr>
          <w:rFonts w:hint="eastAsia" w:ascii="宋体" w:hAnsi="宋体" w:cs="宋体"/>
          <w:lang w:bidi="ar"/>
        </w:rPr>
        <w:t>为有助于投标文件的审查、评价和比较，评标委员会可以通过衢州市公共资源电子交易平台要求投标人对投标文件含义不明确的内容作必要的澄清或者说明。投标人通过该平台作出澄清回复，澄清回复时间不得超过在发出通知后15分钟，投标人逾期或未按要求澄清回复的，将视为不予回复或确认，评标委员会有权否决其投标。投标人通讯不畅通，导致不能及时联系的，视作为投标人不予回复或确认。评标委员会对投标人提交的澄清、说明或补正有疑问的，可以要求投标人进一步澄清、说明或补正，直至满足评标委员会的要求。</w:t>
      </w:r>
    </w:p>
    <w:p>
      <w:pPr>
        <w:pStyle w:val="33"/>
        <w:numPr>
          <w:ilvl w:val="1"/>
          <w:numId w:val="18"/>
        </w:numPr>
        <w:tabs>
          <w:tab w:val="left" w:pos="171"/>
        </w:tabs>
        <w:spacing w:line="312" w:lineRule="auto"/>
        <w:ind w:firstLine="480" w:firstLineChars="200"/>
        <w:rPr>
          <w:rFonts w:ascii="宋体" w:hAnsi="宋体" w:cs="宋体"/>
          <w:lang w:bidi="ar"/>
        </w:rPr>
      </w:pPr>
      <w:r>
        <w:rPr>
          <w:rFonts w:hint="eastAsia" w:ascii="宋体" w:hAnsi="宋体" w:cs="宋体"/>
          <w:lang w:bidi="ar"/>
        </w:rPr>
        <w:t>澄清将作为投标内容的一部分，投标人对投标文件的澄清或说明不得超出投标文件的范围或改变投标文件的实质性的内容。凡属于评标委员会在评标中发现的计算错误并进行核实的修改不在此列。</w:t>
      </w:r>
    </w:p>
    <w:p>
      <w:pPr>
        <w:pStyle w:val="33"/>
        <w:numPr>
          <w:ilvl w:val="1"/>
          <w:numId w:val="18"/>
        </w:numPr>
        <w:tabs>
          <w:tab w:val="left" w:pos="171"/>
        </w:tabs>
        <w:spacing w:line="312" w:lineRule="auto"/>
        <w:ind w:firstLine="480" w:firstLineChars="200"/>
        <w:rPr>
          <w:rFonts w:ascii="宋体" w:hAnsi="宋体" w:cs="宋体"/>
          <w:lang w:bidi="ar"/>
        </w:rPr>
      </w:pPr>
      <w:r>
        <w:rPr>
          <w:rFonts w:hint="eastAsia" w:ascii="宋体" w:hAnsi="宋体" w:cs="宋体"/>
          <w:lang w:bidi="ar"/>
        </w:rPr>
        <w:t>评标委员会对投标文件修正原则：用数字表示的数额与用文字表示的数额不一致时，以文字数额为准；单价与数量的乘积与总价之间不一致时，以单价为准，但单价有明显的小数点错位的，以总价为准，并修改单价。</w:t>
      </w:r>
    </w:p>
    <w:p>
      <w:pPr>
        <w:pStyle w:val="33"/>
        <w:numPr>
          <w:ilvl w:val="1"/>
          <w:numId w:val="18"/>
        </w:numPr>
        <w:tabs>
          <w:tab w:val="left" w:pos="171"/>
        </w:tabs>
        <w:spacing w:line="312" w:lineRule="auto"/>
        <w:ind w:firstLine="480" w:firstLineChars="200"/>
        <w:rPr>
          <w:rFonts w:ascii="宋体" w:hAnsi="宋体" w:cs="宋体"/>
          <w:lang w:bidi="ar"/>
        </w:rPr>
      </w:pPr>
      <w:r>
        <w:rPr>
          <w:rFonts w:hint="eastAsia" w:ascii="宋体" w:hAnsi="宋体" w:cs="宋体"/>
          <w:lang w:bidi="ar"/>
        </w:rPr>
        <w:t>投标人拒不按照要求对投标文件进行澄清、说明或者补正的，评标委员会可以否决其投标。</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确定中标候选人</w:t>
      </w:r>
    </w:p>
    <w:p>
      <w:pPr>
        <w:pStyle w:val="33"/>
        <w:numPr>
          <w:ilvl w:val="1"/>
          <w:numId w:val="19"/>
        </w:numPr>
        <w:tabs>
          <w:tab w:val="left" w:pos="171"/>
        </w:tabs>
        <w:spacing w:line="312" w:lineRule="auto"/>
        <w:ind w:firstLine="480" w:firstLineChars="200"/>
        <w:rPr>
          <w:rFonts w:ascii="宋体" w:hAnsi="宋体" w:cs="宋体"/>
          <w:lang w:bidi="ar"/>
        </w:rPr>
      </w:pPr>
      <w:r>
        <w:rPr>
          <w:rFonts w:hint="eastAsia" w:ascii="宋体" w:hAnsi="宋体" w:cs="宋体"/>
          <w:lang w:bidi="ar"/>
        </w:rPr>
        <w:t>本次招标由评标委员会推荐中标候选人，采购人根据评标委员会的推荐结果进行最终确认。</w:t>
      </w:r>
    </w:p>
    <w:p>
      <w:pPr>
        <w:pStyle w:val="33"/>
        <w:numPr>
          <w:ilvl w:val="1"/>
          <w:numId w:val="19"/>
        </w:numPr>
        <w:tabs>
          <w:tab w:val="left" w:pos="171"/>
        </w:tabs>
        <w:spacing w:line="312" w:lineRule="auto"/>
        <w:ind w:firstLine="480" w:firstLineChars="200"/>
        <w:rPr>
          <w:rFonts w:ascii="宋体" w:hAnsi="宋体" w:cs="宋体"/>
          <w:lang w:bidi="ar"/>
        </w:rPr>
      </w:pPr>
      <w:r>
        <w:rPr>
          <w:rFonts w:hint="eastAsia" w:ascii="宋体" w:hAnsi="宋体" w:cs="宋体"/>
          <w:lang w:bidi="ar"/>
        </w:rPr>
        <w:t>评标委员会依据法律、法规及招标文件有关规定在有效标中按投标人的综合得分（即资信技术分与商务（价格）分之和）高低进行排序，得分前一名的投标人推荐为第一中标候选人（综合得分相同投标总报价低的排序第一；综合得分且投标总报价相同的，以技术指标优劣决定中标候选人）。</w:t>
      </w:r>
    </w:p>
    <w:p>
      <w:pPr>
        <w:pStyle w:val="33"/>
        <w:numPr>
          <w:ilvl w:val="1"/>
          <w:numId w:val="19"/>
        </w:numPr>
        <w:tabs>
          <w:tab w:val="left" w:pos="171"/>
        </w:tabs>
        <w:spacing w:line="312" w:lineRule="auto"/>
        <w:ind w:firstLine="480" w:firstLineChars="200"/>
        <w:rPr>
          <w:rFonts w:ascii="宋体" w:hAnsi="宋体" w:cs="宋体"/>
          <w:lang w:bidi="ar"/>
        </w:rPr>
      </w:pPr>
      <w:r>
        <w:rPr>
          <w:rFonts w:hint="eastAsia" w:ascii="宋体" w:hAnsi="宋体" w:cs="宋体"/>
          <w:lang w:bidi="ar"/>
        </w:rPr>
        <w:t>排名第一的中标候选人放弃中标；因不可抗力提出不能履行合同或未能在规定时间内与采购人签订合同的，或者经质疑，采购人审查后，确因排名第一的候选人在本次采购活动中存在违法违规行为或其他原因使质疑成立的，采购人重新招标。</w:t>
      </w:r>
    </w:p>
    <w:p>
      <w:pPr>
        <w:pStyle w:val="33"/>
        <w:numPr>
          <w:ilvl w:val="1"/>
          <w:numId w:val="19"/>
        </w:numPr>
        <w:tabs>
          <w:tab w:val="left" w:pos="171"/>
        </w:tabs>
        <w:spacing w:line="312" w:lineRule="auto"/>
        <w:ind w:firstLine="480" w:firstLineChars="200"/>
        <w:rPr>
          <w:rFonts w:ascii="宋体" w:hAnsi="宋体" w:cs="宋体"/>
          <w:lang w:bidi="ar"/>
        </w:rPr>
      </w:pPr>
      <w:r>
        <w:rPr>
          <w:rFonts w:hint="eastAsia" w:ascii="宋体" w:hAnsi="宋体" w:cs="宋体"/>
          <w:lang w:bidi="ar"/>
        </w:rPr>
        <w:t>采购人对评标结果不做任何解释，也不保证最低价中标。</w:t>
      </w:r>
    </w:p>
    <w:p>
      <w:pPr>
        <w:pStyle w:val="33"/>
        <w:numPr>
          <w:ilvl w:val="1"/>
          <w:numId w:val="19"/>
        </w:numPr>
        <w:tabs>
          <w:tab w:val="left" w:pos="171"/>
        </w:tabs>
        <w:spacing w:line="312" w:lineRule="auto"/>
        <w:ind w:firstLine="480" w:firstLineChars="200"/>
        <w:rPr>
          <w:rFonts w:ascii="宋体" w:hAnsi="宋体" w:cs="宋体"/>
          <w:lang w:bidi="ar"/>
        </w:rPr>
      </w:pPr>
      <w:r>
        <w:rPr>
          <w:rFonts w:hint="eastAsia" w:ascii="宋体" w:hAnsi="宋体" w:cs="宋体"/>
          <w:lang w:bidi="ar"/>
        </w:rPr>
        <w:t>评标细则详见“评标方法及评分标准”。</w:t>
      </w:r>
    </w:p>
    <w:p>
      <w:pPr>
        <w:pStyle w:val="5"/>
        <w:numPr>
          <w:ilvl w:val="1"/>
          <w:numId w:val="0"/>
        </w:numPr>
        <w:tabs>
          <w:tab w:val="left" w:pos="480"/>
        </w:tabs>
        <w:spacing w:beforeLines="0" w:afterLines="0" w:line="312" w:lineRule="auto"/>
        <w:rPr>
          <w:rFonts w:ascii="宋体" w:hAnsi="宋体" w:cs="宋体"/>
          <w:b/>
          <w:bCs w:val="0"/>
          <w:lang w:bidi="ar"/>
        </w:rPr>
      </w:pPr>
      <w:bookmarkStart w:id="682" w:name="_Toc21872"/>
      <w:bookmarkStart w:id="683" w:name="_Toc4861"/>
      <w:bookmarkStart w:id="684" w:name="_Toc10536"/>
      <w:bookmarkStart w:id="685" w:name="_Toc12356"/>
      <w:bookmarkStart w:id="686" w:name="_Toc15820"/>
      <w:bookmarkStart w:id="687" w:name="_Toc4133"/>
      <w:bookmarkStart w:id="688" w:name="_Toc14601"/>
      <w:bookmarkStart w:id="689" w:name="_Toc5751"/>
      <w:bookmarkStart w:id="690" w:name="_Toc18177"/>
      <w:bookmarkStart w:id="691" w:name="_Toc28888"/>
      <w:bookmarkStart w:id="692" w:name="_Toc30300"/>
      <w:bookmarkStart w:id="693" w:name="_Toc26694"/>
      <w:bookmarkStart w:id="694" w:name="_Toc25748"/>
      <w:bookmarkStart w:id="695" w:name="_Toc17608"/>
      <w:bookmarkStart w:id="696" w:name="_Toc5260"/>
      <w:bookmarkStart w:id="697" w:name="_Toc20190"/>
      <w:bookmarkStart w:id="698" w:name="_Toc9728"/>
      <w:bookmarkStart w:id="699" w:name="_Toc2045"/>
      <w:bookmarkStart w:id="700" w:name="_Toc4851"/>
      <w:bookmarkStart w:id="701" w:name="_Toc8135"/>
      <w:bookmarkStart w:id="702" w:name="_Toc28870"/>
      <w:bookmarkStart w:id="703" w:name="_Toc21687"/>
      <w:bookmarkStart w:id="704" w:name="_Toc20142"/>
      <w:bookmarkStart w:id="705" w:name="_Toc20004"/>
      <w:bookmarkStart w:id="706" w:name="_Toc2156"/>
      <w:bookmarkStart w:id="707" w:name="_Toc2607"/>
      <w:bookmarkStart w:id="708" w:name="_Toc16965"/>
      <w:bookmarkStart w:id="709" w:name="_Toc22679"/>
      <w:bookmarkStart w:id="710" w:name="_Toc4707"/>
      <w:bookmarkStart w:id="711" w:name="_Toc5959"/>
      <w:bookmarkStart w:id="712" w:name="_Toc11241"/>
      <w:bookmarkStart w:id="713" w:name="_Toc10605"/>
      <w:bookmarkStart w:id="714" w:name="_Toc7956"/>
      <w:bookmarkStart w:id="715" w:name="_Toc20093"/>
      <w:bookmarkStart w:id="716" w:name="_Toc17767"/>
      <w:bookmarkStart w:id="717" w:name="_Toc22171"/>
      <w:bookmarkStart w:id="718" w:name="_Toc25183"/>
      <w:bookmarkStart w:id="719" w:name="_Toc26632"/>
      <w:bookmarkStart w:id="720" w:name="_Toc27078"/>
      <w:bookmarkStart w:id="721" w:name="_Toc13940"/>
      <w:bookmarkStart w:id="722" w:name="_Toc29907"/>
      <w:bookmarkStart w:id="723" w:name="_Toc4697"/>
      <w:bookmarkStart w:id="724" w:name="_Toc28901"/>
      <w:bookmarkStart w:id="725" w:name="_Toc5600"/>
      <w:bookmarkStart w:id="726" w:name="_Toc19445"/>
      <w:bookmarkStart w:id="727" w:name="_Toc5497"/>
      <w:bookmarkStart w:id="728" w:name="_Toc30043"/>
      <w:bookmarkStart w:id="729" w:name="_Toc2416"/>
      <w:bookmarkStart w:id="730" w:name="_Toc31279"/>
      <w:bookmarkStart w:id="731" w:name="_Toc12657"/>
      <w:bookmarkStart w:id="732" w:name="_Toc14524"/>
      <w:bookmarkStart w:id="733" w:name="_Toc8751"/>
      <w:bookmarkStart w:id="734" w:name="_Toc23223"/>
      <w:bookmarkStart w:id="735" w:name="_Toc15863"/>
      <w:bookmarkStart w:id="736" w:name="_Toc17364"/>
      <w:bookmarkStart w:id="737" w:name="_Toc18521"/>
      <w:bookmarkStart w:id="738" w:name="_Toc9090"/>
      <w:bookmarkStart w:id="739" w:name="_Toc20055"/>
      <w:bookmarkStart w:id="740" w:name="_Toc11992"/>
      <w:bookmarkStart w:id="741" w:name="_Toc356371440"/>
      <w:bookmarkStart w:id="742" w:name="_Toc31271"/>
      <w:bookmarkStart w:id="743" w:name="_Toc366144039"/>
      <w:bookmarkStart w:id="744" w:name="_Toc31545"/>
      <w:bookmarkStart w:id="745" w:name="_Toc30263"/>
      <w:bookmarkStart w:id="746" w:name="_Toc25554"/>
      <w:r>
        <w:rPr>
          <w:rFonts w:hint="eastAsia" w:ascii="宋体" w:hAnsi="宋体" w:cs="宋体"/>
          <w:b/>
          <w:bCs w:val="0"/>
          <w:lang w:bidi="ar"/>
        </w:rPr>
        <w:t>九、电子投标说明</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投标人应检查标书完整性和有效性，确保电子投标文件能否正常打开解密。开标时，以电子交易平台上传规定格式的电子投标文件为正本。</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投标文件相应要求盖章处应按要求使用CA加盖单位电子公章和法定代表人电子章。</w:t>
      </w:r>
    </w:p>
    <w:p>
      <w:pPr>
        <w:pStyle w:val="5"/>
        <w:numPr>
          <w:ilvl w:val="1"/>
          <w:numId w:val="0"/>
        </w:numPr>
        <w:tabs>
          <w:tab w:val="left" w:pos="480"/>
        </w:tabs>
        <w:spacing w:beforeLines="0" w:afterLines="0" w:line="312" w:lineRule="auto"/>
        <w:rPr>
          <w:rFonts w:ascii="宋体" w:hAnsi="宋体" w:cs="宋体"/>
          <w:b/>
          <w:bCs w:val="0"/>
          <w:lang w:bidi="ar"/>
        </w:rPr>
      </w:pPr>
      <w:bookmarkStart w:id="747" w:name="_Toc152045574"/>
      <w:bookmarkStart w:id="748" w:name="_Toc152042350"/>
      <w:bookmarkStart w:id="749" w:name="_Toc144974542"/>
      <w:bookmarkStart w:id="750" w:name="_Toc506120286"/>
      <w:bookmarkStart w:id="751" w:name="_Toc361338280"/>
      <w:r>
        <w:rPr>
          <w:rFonts w:hint="eastAsia" w:ascii="宋体" w:hAnsi="宋体" w:cs="宋体"/>
          <w:b/>
          <w:bCs w:val="0"/>
          <w:lang w:bidi="ar"/>
        </w:rPr>
        <w:t>十、纪律和监督</w:t>
      </w:r>
      <w:bookmarkEnd w:id="747"/>
      <w:bookmarkEnd w:id="748"/>
      <w:bookmarkEnd w:id="749"/>
      <w:bookmarkEnd w:id="750"/>
      <w:bookmarkEnd w:id="751"/>
    </w:p>
    <w:p>
      <w:pPr>
        <w:pStyle w:val="33"/>
        <w:numPr>
          <w:ilvl w:val="0"/>
          <w:numId w:val="12"/>
        </w:numPr>
        <w:spacing w:line="312" w:lineRule="auto"/>
        <w:ind w:firstLine="480" w:firstLineChars="200"/>
        <w:rPr>
          <w:rFonts w:ascii="宋体" w:hAnsi="宋体" w:cs="宋体"/>
          <w:lang w:bidi="ar"/>
        </w:rPr>
      </w:pPr>
      <w:bookmarkStart w:id="752" w:name="_Toc361338281"/>
      <w:bookmarkStart w:id="753" w:name="_Toc152042351"/>
      <w:bookmarkStart w:id="754" w:name="_Toc144974543"/>
      <w:bookmarkStart w:id="755" w:name="_Toc506120287"/>
      <w:bookmarkStart w:id="756" w:name="_Toc152045575"/>
      <w:bookmarkStart w:id="757" w:name="_Toc27650"/>
      <w:bookmarkStart w:id="758" w:name="_Toc506120434"/>
      <w:r>
        <w:rPr>
          <w:rFonts w:hint="eastAsia" w:ascii="宋体" w:hAnsi="宋体" w:cs="宋体"/>
          <w:lang w:bidi="ar"/>
        </w:rPr>
        <w:t>对采购人的纪律要求</w:t>
      </w:r>
      <w:bookmarkEnd w:id="752"/>
      <w:bookmarkEnd w:id="753"/>
      <w:bookmarkEnd w:id="754"/>
      <w:bookmarkEnd w:id="755"/>
      <w:bookmarkEnd w:id="756"/>
      <w:bookmarkEnd w:id="757"/>
      <w:bookmarkEnd w:id="758"/>
    </w:p>
    <w:p>
      <w:pPr>
        <w:wordWrap w:val="0"/>
        <w:snapToGrid w:val="0"/>
        <w:spacing w:line="312" w:lineRule="auto"/>
        <w:ind w:firstLine="480"/>
        <w:rPr>
          <w:rFonts w:ascii="宋体" w:hAnsi="宋体"/>
        </w:rPr>
      </w:pPr>
      <w:r>
        <w:rPr>
          <w:rFonts w:hint="eastAsia" w:ascii="宋体" w:hAnsi="宋体"/>
        </w:rPr>
        <w:t>采购人不得泄漏招标投标活动中应当保密的情况和资料，不得与投标人串通损害国家利益、社会公共利益或者他人合法权益。</w:t>
      </w:r>
    </w:p>
    <w:p>
      <w:pPr>
        <w:pStyle w:val="33"/>
        <w:numPr>
          <w:ilvl w:val="0"/>
          <w:numId w:val="12"/>
        </w:numPr>
        <w:spacing w:line="312" w:lineRule="auto"/>
        <w:ind w:firstLine="480" w:firstLineChars="200"/>
        <w:rPr>
          <w:rFonts w:ascii="宋体" w:hAnsi="宋体" w:cs="宋体"/>
          <w:lang w:bidi="ar"/>
        </w:rPr>
      </w:pPr>
      <w:bookmarkStart w:id="759" w:name="_Toc361338282"/>
      <w:bookmarkStart w:id="760" w:name="_Toc152045576"/>
      <w:bookmarkStart w:id="761" w:name="_Toc31664"/>
      <w:bookmarkStart w:id="762" w:name="_Toc152042352"/>
      <w:bookmarkStart w:id="763" w:name="_Toc506120288"/>
      <w:bookmarkStart w:id="764" w:name="_Toc144974544"/>
      <w:bookmarkStart w:id="765" w:name="_Toc506120435"/>
      <w:r>
        <w:rPr>
          <w:rFonts w:hint="eastAsia" w:ascii="宋体" w:hAnsi="宋体" w:cs="宋体"/>
          <w:lang w:bidi="ar"/>
        </w:rPr>
        <w:t>对投标人的纪律要求</w:t>
      </w:r>
      <w:bookmarkEnd w:id="759"/>
      <w:bookmarkEnd w:id="760"/>
      <w:bookmarkEnd w:id="761"/>
      <w:bookmarkEnd w:id="762"/>
      <w:bookmarkEnd w:id="763"/>
      <w:bookmarkEnd w:id="764"/>
      <w:bookmarkEnd w:id="765"/>
    </w:p>
    <w:p>
      <w:pPr>
        <w:wordWrap w:val="0"/>
        <w:snapToGrid w:val="0"/>
        <w:spacing w:line="312" w:lineRule="auto"/>
        <w:ind w:firstLine="480"/>
        <w:rPr>
          <w:rFonts w:ascii="宋体" w:hAnsi="宋体"/>
        </w:rPr>
      </w:pPr>
      <w:r>
        <w:rPr>
          <w:rFonts w:hint="eastAsia" w:ascii="宋体" w:hAnsi="宋体"/>
        </w:rPr>
        <w:t>投标人不得相互串通投标或者与采购人串通投标，不得向采购人或者评标委员会成员行贿谋取中标，不得以他人名义投标或者以其他方式弄虚作假骗取中标；投标人不得以任何方式干扰、影响评标工作。</w:t>
      </w:r>
    </w:p>
    <w:p>
      <w:pPr>
        <w:pStyle w:val="33"/>
        <w:numPr>
          <w:ilvl w:val="0"/>
          <w:numId w:val="12"/>
        </w:numPr>
        <w:spacing w:line="312" w:lineRule="auto"/>
        <w:ind w:firstLine="480" w:firstLineChars="200"/>
        <w:rPr>
          <w:rFonts w:ascii="宋体" w:hAnsi="宋体" w:cs="宋体"/>
          <w:lang w:bidi="ar"/>
        </w:rPr>
      </w:pPr>
      <w:bookmarkStart w:id="766" w:name="_Toc152045577"/>
      <w:bookmarkStart w:id="767" w:name="_Toc361338283"/>
      <w:bookmarkStart w:id="768" w:name="_Toc506120289"/>
      <w:bookmarkStart w:id="769" w:name="_Toc25582"/>
      <w:bookmarkStart w:id="770" w:name="_Toc152042353"/>
      <w:bookmarkStart w:id="771" w:name="_Toc506120436"/>
      <w:bookmarkStart w:id="772" w:name="_Toc144974545"/>
      <w:r>
        <w:rPr>
          <w:rFonts w:hint="eastAsia" w:ascii="宋体" w:hAnsi="宋体" w:cs="宋体"/>
          <w:lang w:bidi="ar"/>
        </w:rPr>
        <w:t>对评标委员会成员的纪律要求</w:t>
      </w:r>
      <w:bookmarkEnd w:id="766"/>
      <w:bookmarkEnd w:id="767"/>
      <w:bookmarkEnd w:id="768"/>
      <w:bookmarkEnd w:id="769"/>
      <w:bookmarkEnd w:id="770"/>
      <w:bookmarkEnd w:id="771"/>
      <w:bookmarkEnd w:id="772"/>
    </w:p>
    <w:p>
      <w:pPr>
        <w:pStyle w:val="4"/>
        <w:numPr>
          <w:ilvl w:val="0"/>
          <w:numId w:val="0"/>
        </w:numPr>
        <w:spacing w:beforeLines="0" w:afterLines="0" w:line="312" w:lineRule="auto"/>
        <w:ind w:firstLine="480" w:firstLineChars="200"/>
        <w:jc w:val="left"/>
        <w:rPr>
          <w:rFonts w:ascii="宋体" w:hAnsi="宋体"/>
          <w:b w:val="0"/>
          <w:sz w:val="24"/>
          <w:szCs w:val="24"/>
        </w:rPr>
      </w:pPr>
      <w:r>
        <w:rPr>
          <w:rFonts w:hint="eastAsia" w:ascii="宋体" w:hAnsi="宋体"/>
          <w:b w:val="0"/>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四章 评标办法及评分标准没有规定的评审因素和标准进行评标。</w:t>
      </w:r>
    </w:p>
    <w:p>
      <w:pPr>
        <w:pStyle w:val="33"/>
        <w:numPr>
          <w:ilvl w:val="0"/>
          <w:numId w:val="12"/>
        </w:numPr>
        <w:spacing w:line="312" w:lineRule="auto"/>
        <w:ind w:firstLine="480" w:firstLineChars="200"/>
        <w:rPr>
          <w:rFonts w:ascii="宋体" w:hAnsi="宋体" w:cs="宋体"/>
          <w:lang w:bidi="ar"/>
        </w:rPr>
      </w:pPr>
      <w:bookmarkStart w:id="773" w:name="_Toc152045578"/>
      <w:bookmarkStart w:id="774" w:name="_Toc152042354"/>
      <w:bookmarkStart w:id="775" w:name="_Toc506120437"/>
      <w:bookmarkStart w:id="776" w:name="_Toc506120290"/>
      <w:bookmarkStart w:id="777" w:name="_Toc361338284"/>
      <w:bookmarkStart w:id="778" w:name="_Toc29454"/>
      <w:r>
        <w:rPr>
          <w:rFonts w:hint="eastAsia" w:ascii="宋体" w:hAnsi="宋体" w:cs="宋体"/>
          <w:lang w:bidi="ar"/>
        </w:rPr>
        <w:t>对与评标活动有关的工作人员的纪律要求</w:t>
      </w:r>
      <w:bookmarkEnd w:id="773"/>
      <w:bookmarkEnd w:id="774"/>
      <w:bookmarkEnd w:id="775"/>
      <w:bookmarkEnd w:id="776"/>
      <w:bookmarkEnd w:id="777"/>
      <w:bookmarkEnd w:id="778"/>
    </w:p>
    <w:p>
      <w:pPr>
        <w:wordWrap w:val="0"/>
        <w:snapToGrid w:val="0"/>
        <w:spacing w:line="312" w:lineRule="auto"/>
        <w:ind w:firstLine="480"/>
        <w:rPr>
          <w:rFonts w:ascii="宋体" w:hAnsi="宋体"/>
        </w:rPr>
      </w:pPr>
      <w:bookmarkStart w:id="779" w:name="_Toc152042355"/>
      <w:r>
        <w:rPr>
          <w:rFonts w:hint="eastAsia" w:ascii="宋体" w:hAnsi="宋体"/>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779"/>
    </w:p>
    <w:p>
      <w:pPr>
        <w:pStyle w:val="5"/>
        <w:numPr>
          <w:ilvl w:val="1"/>
          <w:numId w:val="0"/>
        </w:numPr>
        <w:tabs>
          <w:tab w:val="left" w:pos="480"/>
        </w:tabs>
        <w:spacing w:beforeLines="0" w:afterLines="0" w:line="312" w:lineRule="auto"/>
        <w:rPr>
          <w:rFonts w:ascii="宋体" w:hAnsi="宋体" w:cs="宋体"/>
          <w:b/>
          <w:bCs w:val="0"/>
          <w:lang w:bidi="ar"/>
        </w:rPr>
      </w:pPr>
      <w:r>
        <w:rPr>
          <w:rFonts w:hint="eastAsia" w:ascii="宋体" w:hAnsi="宋体" w:cs="宋体"/>
          <w:b/>
          <w:bCs w:val="0"/>
          <w:lang w:bidi="ar"/>
        </w:rPr>
        <w:t>十一、质疑和投诉</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33"/>
        <w:numPr>
          <w:ilvl w:val="0"/>
          <w:numId w:val="12"/>
        </w:numPr>
        <w:spacing w:line="312" w:lineRule="auto"/>
        <w:ind w:firstLine="480" w:firstLineChars="200"/>
        <w:rPr>
          <w:rFonts w:ascii="宋体" w:hAnsi="宋体" w:cs="宋体"/>
          <w:lang w:bidi="ar"/>
        </w:rPr>
      </w:pPr>
      <w:bookmarkStart w:id="780" w:name="_Toc26778"/>
      <w:bookmarkStart w:id="781" w:name="_Toc29266"/>
      <w:bookmarkStart w:id="782" w:name="_Toc29089"/>
      <w:bookmarkStart w:id="783" w:name="_Toc23767"/>
      <w:bookmarkStart w:id="784" w:name="_Toc7099"/>
      <w:bookmarkStart w:id="785" w:name="_Toc32407"/>
      <w:bookmarkStart w:id="786" w:name="_Toc4737"/>
      <w:bookmarkStart w:id="787" w:name="_Toc18674"/>
      <w:bookmarkStart w:id="788" w:name="_Toc20596"/>
      <w:bookmarkStart w:id="789" w:name="_Toc20362"/>
      <w:bookmarkStart w:id="790" w:name="_Toc16569"/>
      <w:bookmarkStart w:id="791" w:name="_Toc31454"/>
      <w:bookmarkStart w:id="792" w:name="_Toc25466"/>
      <w:bookmarkStart w:id="793" w:name="_Toc19627"/>
      <w:bookmarkStart w:id="794" w:name="_Toc18635"/>
      <w:bookmarkStart w:id="795" w:name="_Toc21366"/>
      <w:bookmarkStart w:id="796" w:name="_Toc27427"/>
      <w:bookmarkStart w:id="797" w:name="_Toc17956"/>
      <w:bookmarkStart w:id="798" w:name="_Toc23616"/>
      <w:bookmarkStart w:id="799" w:name="_Toc6847"/>
      <w:bookmarkStart w:id="800" w:name="_Toc28314"/>
      <w:bookmarkStart w:id="801" w:name="_Toc22664"/>
      <w:bookmarkStart w:id="802" w:name="_Toc29594"/>
      <w:bookmarkStart w:id="803" w:name="_Toc1867"/>
      <w:bookmarkStart w:id="804" w:name="_Toc25975"/>
      <w:bookmarkStart w:id="805" w:name="_Toc7989"/>
      <w:r>
        <w:rPr>
          <w:rFonts w:hint="eastAsia" w:ascii="宋体" w:hAnsi="宋体" w:cs="宋体"/>
          <w:lang w:bidi="ar"/>
        </w:rPr>
        <w:t>质疑提出</w:t>
      </w:r>
    </w:p>
    <w:p>
      <w:pPr>
        <w:pStyle w:val="33"/>
        <w:numPr>
          <w:ilvl w:val="1"/>
          <w:numId w:val="20"/>
        </w:numPr>
        <w:tabs>
          <w:tab w:val="left" w:pos="171"/>
        </w:tabs>
        <w:spacing w:line="312" w:lineRule="auto"/>
        <w:ind w:firstLine="480" w:firstLineChars="200"/>
        <w:rPr>
          <w:rFonts w:ascii="宋体" w:hAnsi="宋体" w:cs="宋体"/>
          <w:lang w:bidi="ar"/>
        </w:rPr>
      </w:pPr>
      <w:r>
        <w:rPr>
          <w:rFonts w:hint="eastAsia" w:ascii="宋体" w:hAnsi="宋体" w:cs="宋体"/>
          <w:lang w:bidi="ar"/>
        </w:rPr>
        <w:t>参照《中华人民共和国政府采购法》《中华人民共和国政府采购法实施条例》《政府采购质疑和投诉办法》（财政部令第94号）等有关法律法规规定。</w:t>
      </w:r>
    </w:p>
    <w:p>
      <w:pPr>
        <w:pStyle w:val="33"/>
        <w:numPr>
          <w:ilvl w:val="1"/>
          <w:numId w:val="20"/>
        </w:numPr>
        <w:tabs>
          <w:tab w:val="left" w:pos="171"/>
        </w:tabs>
        <w:spacing w:line="312" w:lineRule="auto"/>
        <w:ind w:firstLine="480" w:firstLineChars="200"/>
        <w:rPr>
          <w:rFonts w:ascii="宋体" w:hAnsi="宋体" w:cs="宋体"/>
          <w:lang w:bidi="ar"/>
        </w:rPr>
      </w:pPr>
      <w:r>
        <w:rPr>
          <w:rFonts w:hint="eastAsia" w:ascii="宋体" w:hAnsi="宋体" w:cs="宋体"/>
          <w:lang w:bidi="ar"/>
        </w:rPr>
        <w:t>投标人认为采购文件、采购过程和成交结果使自己的权益受到损害的，可以在知道或者应知其权益受到损害之日起7个工作日内，以书面形式向采购人、采购代理机构提出质疑。</w:t>
      </w:r>
    </w:p>
    <w:p>
      <w:pPr>
        <w:pStyle w:val="33"/>
        <w:numPr>
          <w:ilvl w:val="1"/>
          <w:numId w:val="20"/>
        </w:numPr>
        <w:tabs>
          <w:tab w:val="left" w:pos="171"/>
        </w:tabs>
        <w:spacing w:line="312" w:lineRule="auto"/>
        <w:ind w:firstLine="480" w:firstLineChars="200"/>
        <w:rPr>
          <w:rFonts w:ascii="宋体" w:hAnsi="宋体" w:cs="宋体"/>
          <w:lang w:bidi="ar"/>
        </w:rPr>
      </w:pPr>
      <w:r>
        <w:rPr>
          <w:rFonts w:hint="eastAsia" w:ascii="宋体" w:hAnsi="宋体" w:cs="宋体"/>
          <w:lang w:bidi="ar"/>
        </w:rPr>
        <w:t>潜在投标人已依法获取采购文件，可以对该文件提出质疑。采购人拒绝受理未提交响应文件的投标人对采购过程和中标结果提出质疑。</w:t>
      </w:r>
    </w:p>
    <w:p>
      <w:pPr>
        <w:pStyle w:val="33"/>
        <w:numPr>
          <w:ilvl w:val="1"/>
          <w:numId w:val="20"/>
        </w:numPr>
        <w:tabs>
          <w:tab w:val="left" w:pos="171"/>
        </w:tabs>
        <w:spacing w:line="312" w:lineRule="auto"/>
        <w:ind w:firstLine="480" w:firstLineChars="200"/>
        <w:rPr>
          <w:rFonts w:ascii="宋体" w:hAnsi="宋体" w:cs="宋体"/>
          <w:lang w:bidi="ar"/>
        </w:rPr>
      </w:pPr>
      <w:r>
        <w:rPr>
          <w:rFonts w:hint="eastAsia" w:ascii="宋体" w:hAnsi="宋体" w:cs="宋体"/>
          <w:lang w:bidi="ar"/>
        </w:rPr>
        <w:t>质疑提出起算日期：</w:t>
      </w:r>
    </w:p>
    <w:p>
      <w:pPr>
        <w:pStyle w:val="33"/>
        <w:numPr>
          <w:ilvl w:val="255"/>
          <w:numId w:val="0"/>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对采购文件提出质疑的，自投标人获取招标文件之日起或者公告届满之日起开始计算，且应当在响应文件提交截止前24小时前提出，否则，被质疑人可不予受理。</w:t>
      </w:r>
    </w:p>
    <w:p>
      <w:pPr>
        <w:pStyle w:val="33"/>
        <w:numPr>
          <w:ilvl w:val="255"/>
          <w:numId w:val="0"/>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对投标过程提出质疑的，质疑期限自各采购程序环节结束之日起计算。</w:t>
      </w:r>
    </w:p>
    <w:p>
      <w:pPr>
        <w:pStyle w:val="33"/>
        <w:numPr>
          <w:ilvl w:val="255"/>
          <w:numId w:val="0"/>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对采购结果提出质疑的，质疑期限自采购结果公告之日起计算。</w:t>
      </w:r>
    </w:p>
    <w:p>
      <w:pPr>
        <w:pStyle w:val="33"/>
        <w:numPr>
          <w:ilvl w:val="255"/>
          <w:numId w:val="0"/>
        </w:numPr>
        <w:tabs>
          <w:tab w:val="left" w:pos="171"/>
        </w:tabs>
        <w:adjustRightInd w:val="0"/>
        <w:spacing w:line="312" w:lineRule="auto"/>
        <w:ind w:firstLine="480" w:firstLineChars="200"/>
        <w:rPr>
          <w:rFonts w:ascii="宋体" w:hAnsi="宋体" w:cs="宋体"/>
          <w:lang w:bidi="ar"/>
        </w:rPr>
      </w:pPr>
      <w:r>
        <w:rPr>
          <w:rFonts w:hint="eastAsia" w:ascii="宋体" w:hAnsi="宋体" w:cs="宋体"/>
          <w:lang w:bidi="ar"/>
        </w:rPr>
        <w:t>投标人提交的质疑函应符合财政部《</w:t>
      </w:r>
      <w:r>
        <w:fldChar w:fldCharType="begin"/>
      </w:r>
      <w:r>
        <w:instrText xml:space="preserve"> HYPERLINK "http://www.caigou2003.com/" \t "http://www.zjzfcg.gov.cn/news/2018-02-09/_blank" </w:instrText>
      </w:r>
      <w:r>
        <w:fldChar w:fldCharType="separate"/>
      </w:r>
      <w:r>
        <w:rPr>
          <w:rFonts w:hint="eastAsia" w:ascii="宋体" w:hAnsi="宋体" w:cs="宋体"/>
          <w:lang w:bidi="ar"/>
        </w:rPr>
        <w:t>政府采购</w:t>
      </w:r>
      <w:r>
        <w:rPr>
          <w:rFonts w:hint="eastAsia" w:ascii="宋体" w:hAnsi="宋体" w:cs="宋体"/>
          <w:lang w:bidi="ar"/>
        </w:rPr>
        <w:fldChar w:fldCharType="end"/>
      </w:r>
      <w:r>
        <w:rPr>
          <w:rFonts w:hint="eastAsia" w:ascii="宋体" w:hAnsi="宋体" w:cs="宋体"/>
          <w:bCs/>
        </w:rPr>
        <w:t>投标人</w:t>
      </w:r>
      <w:r>
        <w:rPr>
          <w:rFonts w:hint="eastAsia" w:ascii="宋体" w:hAnsi="宋体" w:cs="宋体"/>
          <w:lang w:bidi="ar"/>
        </w:rPr>
        <w:t>质疑函范本》要求。</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质疑处理</w:t>
      </w:r>
    </w:p>
    <w:p>
      <w:pPr>
        <w:spacing w:line="312" w:lineRule="auto"/>
        <w:ind w:firstLine="480"/>
        <w:rPr>
          <w:rFonts w:ascii="宋体" w:hAnsi="宋体" w:cs="宋体"/>
          <w:bCs/>
        </w:rPr>
      </w:pPr>
      <w:r>
        <w:rPr>
          <w:rFonts w:ascii="宋体" w:hAnsi="宋体" w:cs="宋体"/>
          <w:bCs/>
        </w:rPr>
        <w:t>采购人应当在收到投标人的书面质疑后7个工作日内作出答复，并以书面形式通知质疑投标人和其他与质疑处理结果有利害关系的政府采购当事人，但答复的内容不得涉及商业秘密。</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投诉</w:t>
      </w:r>
    </w:p>
    <w:p>
      <w:pPr>
        <w:spacing w:line="312" w:lineRule="auto"/>
        <w:ind w:firstLine="480"/>
        <w:rPr>
          <w:rFonts w:ascii="宋体" w:hAnsi="宋体" w:cs="宋体"/>
          <w:lang w:bidi="ar"/>
        </w:rPr>
      </w:pPr>
      <w:r>
        <w:rPr>
          <w:rFonts w:hint="eastAsia" w:ascii="宋体" w:hAnsi="宋体" w:cs="宋体"/>
          <w:lang w:bidi="ar"/>
        </w:rPr>
        <w:t>质疑投标人对采购人未在规定时间内作出答复的，可以在答复期满后15个工作日内</w:t>
      </w:r>
      <w:r>
        <w:rPr>
          <w:rFonts w:hint="eastAsia" w:ascii="宋体" w:hAnsi="宋体" w:cs="宋体"/>
          <w:lang w:val="en-US" w:eastAsia="zh-CN" w:bidi="ar"/>
        </w:rPr>
        <w:t>向</w:t>
      </w:r>
      <w:r>
        <w:rPr>
          <w:rFonts w:hint="eastAsia" w:ascii="宋体" w:hAnsi="宋体" w:cs="宋体"/>
          <w:lang w:bidi="ar"/>
        </w:rPr>
        <w:t>龙游县</w:t>
      </w:r>
      <w:r>
        <w:rPr>
          <w:rFonts w:hint="eastAsia" w:ascii="宋体" w:hAnsi="宋体" w:cs="宋体"/>
          <w:lang w:eastAsia="zh-CN" w:bidi="ar"/>
        </w:rPr>
        <w:t>文化旅游发展</w:t>
      </w:r>
      <w:r>
        <w:rPr>
          <w:rFonts w:hint="eastAsia" w:ascii="宋体" w:hAnsi="宋体" w:cs="宋体"/>
          <w:lang w:bidi="ar"/>
        </w:rPr>
        <w:t>有限公司投诉。若对质疑答复不满意的，应当自答复的次日起15个工作日内</w:t>
      </w:r>
      <w:r>
        <w:rPr>
          <w:rFonts w:hint="eastAsia" w:ascii="宋体" w:hAnsi="宋体" w:cs="宋体"/>
          <w:lang w:val="en-US" w:eastAsia="zh-CN" w:bidi="ar"/>
        </w:rPr>
        <w:t>向</w:t>
      </w:r>
      <w:r>
        <w:rPr>
          <w:rFonts w:hint="eastAsia" w:ascii="宋体" w:hAnsi="宋体" w:cs="宋体"/>
          <w:lang w:bidi="ar"/>
        </w:rPr>
        <w:t>龙游县</w:t>
      </w:r>
      <w:r>
        <w:rPr>
          <w:rFonts w:hint="eastAsia" w:ascii="宋体" w:hAnsi="宋体" w:cs="宋体"/>
          <w:lang w:eastAsia="zh-CN" w:bidi="ar"/>
        </w:rPr>
        <w:t>文化旅游发展</w:t>
      </w:r>
      <w:r>
        <w:rPr>
          <w:rFonts w:hint="eastAsia" w:ascii="宋体" w:hAnsi="宋体" w:cs="宋体"/>
          <w:lang w:bidi="ar"/>
        </w:rPr>
        <w:t>有限公司投诉。</w:t>
      </w:r>
    </w:p>
    <w:p>
      <w:pPr>
        <w:spacing w:line="312" w:lineRule="auto"/>
        <w:ind w:firstLine="480"/>
        <w:rPr>
          <w:rFonts w:ascii="宋体" w:hAnsi="宋体" w:cs="宋体"/>
          <w:lang w:bidi="ar"/>
        </w:rPr>
      </w:pPr>
      <w:r>
        <w:rPr>
          <w:rFonts w:hint="eastAsia" w:ascii="宋体" w:hAnsi="宋体" w:cs="宋体"/>
          <w:lang w:bidi="ar"/>
        </w:rPr>
        <w:t>投标人提交的投诉书应参照财政部《</w:t>
      </w:r>
      <w:r>
        <w:fldChar w:fldCharType="begin"/>
      </w:r>
      <w:r>
        <w:instrText xml:space="preserve"> HYPERLINK "http://www.caigou2003.com/" \t "http://www.zjzfcg.gov.cn/news/2018-02-09/_blank" </w:instrText>
      </w:r>
      <w:r>
        <w:fldChar w:fldCharType="separate"/>
      </w:r>
      <w:r>
        <w:rPr>
          <w:rFonts w:hint="eastAsia" w:ascii="宋体" w:hAnsi="宋体" w:cs="宋体"/>
          <w:lang w:bidi="ar"/>
        </w:rPr>
        <w:t>政府采购</w:t>
      </w:r>
      <w:r>
        <w:rPr>
          <w:rFonts w:hint="eastAsia" w:ascii="宋体" w:hAnsi="宋体" w:cs="宋体"/>
          <w:lang w:bidi="ar"/>
        </w:rPr>
        <w:fldChar w:fldCharType="end"/>
      </w:r>
      <w:r>
        <w:rPr>
          <w:rFonts w:hint="eastAsia" w:ascii="宋体" w:hAnsi="宋体" w:cs="宋体"/>
          <w:bCs/>
        </w:rPr>
        <w:t>投标人</w:t>
      </w:r>
      <w:r>
        <w:rPr>
          <w:rFonts w:hint="eastAsia" w:ascii="宋体" w:hAnsi="宋体" w:cs="宋体"/>
          <w:lang w:bidi="ar"/>
        </w:rPr>
        <w:t>投诉书范本》要求。</w:t>
      </w:r>
    </w:p>
    <w:p>
      <w:pPr>
        <w:pStyle w:val="5"/>
        <w:numPr>
          <w:ilvl w:val="1"/>
          <w:numId w:val="0"/>
        </w:numPr>
        <w:tabs>
          <w:tab w:val="left" w:pos="480"/>
        </w:tabs>
        <w:spacing w:beforeLines="0" w:afterLines="0" w:line="312" w:lineRule="auto"/>
        <w:rPr>
          <w:rFonts w:ascii="宋体" w:hAnsi="宋体" w:cs="宋体"/>
          <w:b/>
          <w:bCs w:val="0"/>
          <w:lang w:bidi="ar"/>
        </w:rPr>
      </w:pPr>
      <w:bookmarkStart w:id="806" w:name="_Toc15021"/>
      <w:bookmarkStart w:id="807" w:name="_Toc25872"/>
      <w:bookmarkStart w:id="808" w:name="_Toc23398"/>
      <w:bookmarkStart w:id="809" w:name="_Toc20935"/>
      <w:bookmarkStart w:id="810" w:name="_Toc7866"/>
      <w:bookmarkStart w:id="811" w:name="_Toc4192"/>
      <w:bookmarkStart w:id="812" w:name="_Toc16038"/>
      <w:bookmarkStart w:id="813" w:name="_Toc16262"/>
      <w:bookmarkStart w:id="814" w:name="_Toc17086"/>
      <w:bookmarkStart w:id="815" w:name="_Toc2028"/>
      <w:bookmarkStart w:id="816" w:name="_Toc20755"/>
      <w:r>
        <w:rPr>
          <w:rFonts w:hint="eastAsia" w:ascii="宋体" w:hAnsi="宋体" w:cs="宋体"/>
          <w:b/>
          <w:bCs w:val="0"/>
          <w:lang w:bidi="ar"/>
        </w:rPr>
        <w:t>十二、授予合同</w:t>
      </w:r>
      <w:bookmarkEnd w:id="736"/>
      <w:bookmarkEnd w:id="737"/>
      <w:bookmarkEnd w:id="738"/>
      <w:bookmarkEnd w:id="739"/>
      <w:bookmarkEnd w:id="740"/>
      <w:bookmarkEnd w:id="741"/>
      <w:bookmarkEnd w:id="742"/>
      <w:bookmarkEnd w:id="743"/>
      <w:bookmarkEnd w:id="744"/>
      <w:bookmarkEnd w:id="745"/>
      <w:bookmarkEnd w:id="746"/>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合同授予标准</w:t>
      </w:r>
    </w:p>
    <w:p>
      <w:pPr>
        <w:pStyle w:val="33"/>
        <w:numPr>
          <w:ilvl w:val="1"/>
          <w:numId w:val="21"/>
        </w:numPr>
        <w:tabs>
          <w:tab w:val="left" w:pos="171"/>
        </w:tabs>
        <w:spacing w:line="312" w:lineRule="auto"/>
        <w:ind w:firstLine="480" w:firstLineChars="200"/>
        <w:rPr>
          <w:rFonts w:ascii="宋体" w:hAnsi="宋体" w:cs="宋体"/>
          <w:lang w:bidi="ar"/>
        </w:rPr>
      </w:pPr>
      <w:r>
        <w:rPr>
          <w:rFonts w:hint="eastAsia" w:ascii="宋体" w:hAnsi="宋体" w:cs="宋体"/>
          <w:lang w:bidi="ar"/>
        </w:rPr>
        <w:t>中标候选人经查有违法违规现象的，取消其中标候选资格，采购人重新招标。</w:t>
      </w:r>
    </w:p>
    <w:p>
      <w:pPr>
        <w:pStyle w:val="33"/>
        <w:numPr>
          <w:ilvl w:val="1"/>
          <w:numId w:val="21"/>
        </w:numPr>
        <w:tabs>
          <w:tab w:val="left" w:pos="171"/>
        </w:tabs>
        <w:spacing w:line="312" w:lineRule="auto"/>
        <w:ind w:firstLine="480" w:firstLineChars="200"/>
        <w:rPr>
          <w:rFonts w:ascii="宋体" w:hAnsi="宋体" w:cs="宋体"/>
          <w:lang w:bidi="ar"/>
        </w:rPr>
      </w:pPr>
      <w:r>
        <w:rPr>
          <w:rFonts w:hint="eastAsia" w:ascii="宋体" w:hAnsi="宋体" w:cs="宋体"/>
          <w:lang w:bidi="ar"/>
        </w:rPr>
        <w:t>采购人确认且备案后，确定中标人。中标结果在衢州市阳光交易服务平台、浙江政府采购网予以公布，</w:t>
      </w:r>
      <w:r>
        <w:rPr>
          <w:rFonts w:hint="eastAsia" w:ascii="宋体" w:hAnsi="宋体" w:cs="宋体"/>
          <w:lang w:eastAsia="zh-CN" w:bidi="ar"/>
        </w:rPr>
        <w:t>衢州宇信工程咨询有限公司</w:t>
      </w:r>
      <w:r>
        <w:rPr>
          <w:rFonts w:hint="eastAsia" w:ascii="宋体" w:hAnsi="宋体" w:cs="宋体"/>
          <w:lang w:bidi="ar"/>
        </w:rPr>
        <w:t>发出中标通知书。</w:t>
      </w:r>
    </w:p>
    <w:p>
      <w:pPr>
        <w:pStyle w:val="33"/>
        <w:numPr>
          <w:ilvl w:val="1"/>
          <w:numId w:val="21"/>
        </w:numPr>
        <w:tabs>
          <w:tab w:val="left" w:pos="171"/>
        </w:tabs>
        <w:spacing w:line="312" w:lineRule="auto"/>
        <w:ind w:firstLine="480" w:firstLineChars="200"/>
        <w:rPr>
          <w:rFonts w:ascii="宋体" w:hAnsi="宋体" w:cs="宋体"/>
          <w:lang w:bidi="ar"/>
        </w:rPr>
      </w:pPr>
      <w:r>
        <w:rPr>
          <w:rFonts w:hint="eastAsia" w:ascii="宋体" w:hAnsi="宋体" w:cs="宋体"/>
          <w:lang w:bidi="ar"/>
        </w:rPr>
        <w:t>经采购人备案后，由采购人签发国企采购中标通知书。中标通知书对采购人和确认中标人均具有法律效力。中标通知书发出后，采购人改变中标结果的，或者中标人放弃中标项目的，应当依法承担法律责任。</w:t>
      </w:r>
    </w:p>
    <w:p>
      <w:pPr>
        <w:pStyle w:val="33"/>
        <w:numPr>
          <w:ilvl w:val="1"/>
          <w:numId w:val="21"/>
        </w:numPr>
        <w:tabs>
          <w:tab w:val="left" w:pos="171"/>
        </w:tabs>
        <w:spacing w:line="312" w:lineRule="auto"/>
        <w:ind w:firstLine="480" w:firstLineChars="200"/>
        <w:rPr>
          <w:rFonts w:ascii="宋体" w:hAnsi="宋体" w:cs="宋体"/>
          <w:lang w:bidi="ar"/>
        </w:rPr>
      </w:pPr>
      <w:r>
        <w:rPr>
          <w:rFonts w:hint="eastAsia" w:ascii="宋体" w:hAnsi="宋体" w:cs="宋体"/>
          <w:lang w:bidi="ar"/>
        </w:rPr>
        <w:t>在中标通知书发出后三十日内，中标人应按中标通知书指定的时间、地点与采购人签订合同。招标文件、中标人的投标文件及澄清文件等，均为签订合同的依据。</w:t>
      </w:r>
    </w:p>
    <w:p>
      <w:pPr>
        <w:pStyle w:val="33"/>
        <w:numPr>
          <w:ilvl w:val="1"/>
          <w:numId w:val="21"/>
        </w:numPr>
        <w:tabs>
          <w:tab w:val="left" w:pos="171"/>
        </w:tabs>
        <w:spacing w:line="312" w:lineRule="auto"/>
        <w:ind w:firstLine="480" w:firstLineChars="200"/>
        <w:rPr>
          <w:rFonts w:ascii="宋体" w:hAnsi="宋体" w:cs="宋体"/>
          <w:lang w:bidi="ar"/>
        </w:rPr>
      </w:pPr>
      <w:r>
        <w:rPr>
          <w:rFonts w:hint="eastAsia" w:ascii="宋体" w:hAnsi="宋体" w:cs="宋体"/>
          <w:lang w:bidi="ar"/>
        </w:rPr>
        <w:t>采购人与中标人签署合同协议，</w:t>
      </w:r>
      <w:r>
        <w:rPr>
          <w:rFonts w:hint="eastAsia" w:ascii="宋体" w:hAnsi="宋体" w:cs="宋体"/>
          <w:lang w:eastAsia="zh-CN" w:bidi="ar"/>
        </w:rPr>
        <w:t>衢州宇信工程咨询有限公司</w:t>
      </w:r>
      <w:r>
        <w:rPr>
          <w:rFonts w:hint="eastAsia" w:ascii="宋体" w:hAnsi="宋体" w:cs="宋体"/>
          <w:lang w:bidi="ar"/>
        </w:rPr>
        <w:t>作为鉴证人共同签订（合同上请标明采购编号）。合同一式</w:t>
      </w:r>
      <w:r>
        <w:rPr>
          <w:rFonts w:hint="eastAsia"/>
          <w:lang w:eastAsia="zh-CN"/>
        </w:rPr>
        <w:t>七</w:t>
      </w:r>
      <w:r>
        <w:rPr>
          <w:rFonts w:hint="eastAsia" w:ascii="宋体" w:hAnsi="宋体" w:cs="宋体"/>
          <w:lang w:bidi="ar"/>
        </w:rPr>
        <w:t>份，采购人执</w:t>
      </w:r>
      <w:r>
        <w:rPr>
          <w:rFonts w:hint="eastAsia" w:ascii="宋体" w:hAnsi="宋体" w:cs="宋体"/>
          <w:lang w:eastAsia="zh-CN" w:bidi="ar"/>
        </w:rPr>
        <w:t>三</w:t>
      </w:r>
      <w:r>
        <w:rPr>
          <w:rFonts w:hint="eastAsia" w:ascii="宋体" w:hAnsi="宋体" w:cs="宋体"/>
          <w:lang w:bidi="ar"/>
        </w:rPr>
        <w:t>份，中标人执</w:t>
      </w:r>
      <w:r>
        <w:rPr>
          <w:rFonts w:hint="eastAsia" w:ascii="宋体" w:hAnsi="宋体" w:cs="宋体"/>
          <w:lang w:eastAsia="zh-CN" w:bidi="ar"/>
        </w:rPr>
        <w:t>三</w:t>
      </w:r>
      <w:r>
        <w:rPr>
          <w:rFonts w:hint="eastAsia" w:ascii="宋体" w:hAnsi="宋体" w:cs="宋体"/>
          <w:lang w:bidi="ar"/>
        </w:rPr>
        <w:t>份，</w:t>
      </w:r>
      <w:r>
        <w:rPr>
          <w:rFonts w:hint="eastAsia" w:ascii="宋体" w:hAnsi="宋体" w:cs="宋体"/>
          <w:lang w:eastAsia="zh-CN" w:bidi="ar"/>
        </w:rPr>
        <w:t>衢州宇信工程咨询有限公司</w:t>
      </w:r>
      <w:r>
        <w:rPr>
          <w:rFonts w:hint="eastAsia" w:ascii="宋体" w:hAnsi="宋体" w:cs="宋体"/>
          <w:lang w:bidi="ar"/>
        </w:rPr>
        <w:t>执</w:t>
      </w:r>
      <w:r>
        <w:rPr>
          <w:rFonts w:hint="eastAsia" w:ascii="宋体" w:hAnsi="宋体" w:cs="宋体"/>
          <w:lang w:eastAsia="zh-CN" w:bidi="ar"/>
        </w:rPr>
        <w:t>一</w:t>
      </w:r>
      <w:r>
        <w:rPr>
          <w:rFonts w:hint="eastAsia" w:ascii="宋体" w:hAnsi="宋体" w:cs="宋体"/>
          <w:lang w:bidi="ar"/>
        </w:rPr>
        <w:t>份。</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授予合同时变更数量的权利</w:t>
      </w:r>
    </w:p>
    <w:p>
      <w:pPr>
        <w:spacing w:line="312" w:lineRule="auto"/>
        <w:ind w:firstLine="480"/>
        <w:rPr>
          <w:rFonts w:ascii="宋体" w:cs="宋体"/>
        </w:rPr>
      </w:pPr>
      <w:r>
        <w:rPr>
          <w:rFonts w:hint="eastAsia" w:ascii="宋体" w:hAnsi="宋体" w:cs="宋体"/>
        </w:rPr>
        <w:t>国企采购合同履行中，采购人需追加与合同标的相同的货物、工程或者服务的，在不改变合同其他条款的前提下，可以与投标人签订补充合同，但所补充合同的采购金额不得超过原采购金额的</w:t>
      </w:r>
      <w:r>
        <w:rPr>
          <w:rFonts w:ascii="宋体" w:hAnsi="宋体" w:cs="宋体"/>
        </w:rPr>
        <w:t>10%</w:t>
      </w:r>
      <w:r>
        <w:rPr>
          <w:rFonts w:hint="eastAsia" w:ascii="宋体" w:hAnsi="宋体" w:cs="宋体"/>
        </w:rPr>
        <w:t>。</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本次招标合同期限及付款方式</w:t>
      </w:r>
    </w:p>
    <w:p>
      <w:pPr>
        <w:spacing w:line="312" w:lineRule="auto"/>
        <w:ind w:firstLine="480"/>
        <w:rPr>
          <w:rFonts w:ascii="宋体" w:hAnsi="宋体" w:cs="宋体"/>
        </w:rPr>
      </w:pPr>
      <w:r>
        <w:rPr>
          <w:rFonts w:hint="eastAsia" w:ascii="宋体" w:hAnsi="宋体" w:cs="宋体"/>
        </w:rPr>
        <w:t>（1）合作期限：详见合同条款；</w:t>
      </w:r>
    </w:p>
    <w:p>
      <w:pPr>
        <w:spacing w:line="312" w:lineRule="auto"/>
        <w:ind w:firstLine="480"/>
        <w:rPr>
          <w:rFonts w:ascii="宋体" w:hAnsi="宋体" w:cs="宋体"/>
          <w:lang w:bidi="ar"/>
        </w:rPr>
      </w:pPr>
      <w:r>
        <w:rPr>
          <w:rFonts w:hint="eastAsia" w:ascii="宋体" w:hAnsi="宋体" w:cs="宋体"/>
          <w:lang w:bidi="ar"/>
        </w:rPr>
        <w:t>（2）付款方式：详见合同条款。</w:t>
      </w:r>
    </w:p>
    <w:p>
      <w:pPr>
        <w:pStyle w:val="33"/>
        <w:numPr>
          <w:ilvl w:val="0"/>
          <w:numId w:val="12"/>
        </w:numPr>
        <w:spacing w:line="312" w:lineRule="auto"/>
        <w:ind w:firstLine="480" w:firstLineChars="200"/>
        <w:rPr>
          <w:rFonts w:ascii="宋体" w:hAnsi="宋体" w:cs="宋体"/>
          <w:lang w:bidi="ar"/>
        </w:rPr>
      </w:pPr>
      <w:bookmarkStart w:id="817" w:name="_Toc7384"/>
      <w:bookmarkStart w:id="818" w:name="_Toc18934"/>
      <w:bookmarkStart w:id="819" w:name="_Toc16186"/>
      <w:bookmarkStart w:id="820" w:name="_Toc759"/>
      <w:bookmarkStart w:id="821" w:name="_Toc11991"/>
      <w:bookmarkStart w:id="822" w:name="_Toc25338"/>
      <w:bookmarkStart w:id="823" w:name="_Toc787"/>
      <w:bookmarkStart w:id="824" w:name="_Toc30941"/>
      <w:bookmarkStart w:id="825" w:name="_Toc13809"/>
      <w:bookmarkStart w:id="826" w:name="_Toc6421"/>
      <w:bookmarkStart w:id="827" w:name="_Toc25070"/>
      <w:bookmarkStart w:id="828" w:name="_Toc28587"/>
      <w:bookmarkStart w:id="829" w:name="_Toc14430"/>
      <w:bookmarkStart w:id="830" w:name="_Toc1992"/>
      <w:bookmarkStart w:id="831" w:name="_Toc30867"/>
      <w:bookmarkStart w:id="832" w:name="_Toc31746"/>
      <w:bookmarkStart w:id="833" w:name="_Toc18862"/>
      <w:bookmarkStart w:id="834" w:name="_Toc30799"/>
      <w:bookmarkStart w:id="835" w:name="_Toc28218"/>
      <w:bookmarkStart w:id="836" w:name="_Toc16372"/>
      <w:bookmarkStart w:id="837" w:name="_Toc356371441"/>
      <w:bookmarkStart w:id="838" w:name="_Toc10535"/>
      <w:bookmarkStart w:id="839" w:name="_Toc3972"/>
      <w:bookmarkStart w:id="840" w:name="_Toc23772"/>
      <w:bookmarkStart w:id="841" w:name="_Toc24668"/>
      <w:bookmarkStart w:id="842" w:name="_Toc26725"/>
      <w:bookmarkStart w:id="843" w:name="_Toc4316"/>
      <w:bookmarkStart w:id="844" w:name="_Toc3872"/>
      <w:bookmarkStart w:id="845" w:name="_Toc366144040"/>
      <w:bookmarkStart w:id="846" w:name="_Toc6658"/>
      <w:r>
        <w:rPr>
          <w:rFonts w:hint="eastAsia" w:ascii="宋体" w:hAnsi="宋体" w:cs="宋体"/>
          <w:lang w:bidi="ar"/>
        </w:rPr>
        <w:t>招标代理费用</w:t>
      </w:r>
    </w:p>
    <w:p>
      <w:pPr>
        <w:pStyle w:val="33"/>
        <w:numPr>
          <w:ilvl w:val="1"/>
          <w:numId w:val="22"/>
        </w:numPr>
        <w:tabs>
          <w:tab w:val="left" w:pos="171"/>
        </w:tabs>
        <w:spacing w:line="312" w:lineRule="auto"/>
        <w:ind w:firstLine="480" w:firstLineChars="200"/>
        <w:rPr>
          <w:rFonts w:ascii="宋体" w:hAnsi="宋体" w:cs="宋体"/>
          <w:lang w:bidi="ar"/>
        </w:rPr>
      </w:pPr>
      <w:bookmarkStart w:id="847" w:name="_Toc31514"/>
      <w:bookmarkStart w:id="848" w:name="_Toc6640"/>
      <w:bookmarkStart w:id="849" w:name="_Toc30244"/>
      <w:bookmarkStart w:id="850" w:name="_Toc3233"/>
      <w:bookmarkStart w:id="851" w:name="_Toc5064"/>
      <w:bookmarkStart w:id="852" w:name="_Toc17209"/>
      <w:r>
        <w:rPr>
          <w:rFonts w:hint="eastAsia" w:ascii="宋体" w:hAnsi="宋体" w:cs="宋体"/>
          <w:lang w:bidi="ar"/>
        </w:rPr>
        <w:t>项目招标代理费</w:t>
      </w:r>
      <w:r>
        <w:rPr>
          <w:rFonts w:hint="eastAsia" w:ascii="宋体" w:hAnsi="宋体" w:cs="宋体"/>
          <w:lang w:val="en-US" w:eastAsia="zh-CN" w:bidi="ar"/>
        </w:rPr>
        <w:t>按《招标代理服务收费管理暂行办法》（国家计委计价格〔2002〕1980号）文件标准的70%计取</w:t>
      </w:r>
      <w:r>
        <w:rPr>
          <w:rFonts w:hint="eastAsia" w:ascii="宋体" w:hAnsi="宋体" w:cs="宋体"/>
          <w:lang w:bidi="ar"/>
        </w:rPr>
        <w:t>，由中标人支付，在领取中标通知书时交与招标代理机构。</w:t>
      </w:r>
    </w:p>
    <w:p>
      <w:pPr>
        <w:pStyle w:val="33"/>
        <w:numPr>
          <w:ilvl w:val="1"/>
          <w:numId w:val="22"/>
        </w:numPr>
        <w:tabs>
          <w:tab w:val="left" w:pos="171"/>
        </w:tabs>
        <w:spacing w:line="312" w:lineRule="auto"/>
        <w:ind w:firstLine="480" w:firstLineChars="200"/>
        <w:rPr>
          <w:rFonts w:ascii="宋体" w:hAnsi="宋体" w:cs="宋体"/>
          <w:lang w:bidi="ar"/>
        </w:rPr>
      </w:pPr>
      <w:r>
        <w:rPr>
          <w:rFonts w:hint="eastAsia" w:ascii="宋体" w:hAnsi="宋体" w:cs="宋体"/>
          <w:kern w:val="0"/>
          <w:sz w:val="24"/>
          <w:lang w:bidi="ar"/>
        </w:rPr>
        <w:t>代理费支付：代理费最终按实由中标人支付。</w:t>
      </w:r>
    </w:p>
    <w:p>
      <w:pPr>
        <w:pStyle w:val="33"/>
        <w:numPr>
          <w:ilvl w:val="1"/>
          <w:numId w:val="22"/>
        </w:numPr>
        <w:tabs>
          <w:tab w:val="left" w:pos="171"/>
        </w:tabs>
        <w:spacing w:line="312" w:lineRule="auto"/>
        <w:ind w:firstLine="480" w:firstLineChars="200"/>
        <w:rPr>
          <w:rFonts w:ascii="宋体" w:hAnsi="宋体" w:cs="宋体"/>
          <w:lang w:bidi="ar"/>
        </w:rPr>
      </w:pPr>
      <w:r>
        <w:rPr>
          <w:rFonts w:hint="eastAsia" w:ascii="宋体" w:hAnsi="宋体" w:cs="宋体"/>
          <w:kern w:val="0"/>
          <w:sz w:val="24"/>
          <w:lang w:val="en-US" w:eastAsia="zh-CN" w:bidi="ar"/>
        </w:rPr>
        <w:t>评委费支付：代理费最终按实由中标人支付。</w:t>
      </w:r>
    </w:p>
    <w:p>
      <w:pPr>
        <w:pStyle w:val="33"/>
        <w:numPr>
          <w:ilvl w:val="1"/>
          <w:numId w:val="22"/>
        </w:numPr>
        <w:tabs>
          <w:tab w:val="left" w:pos="171"/>
        </w:tabs>
        <w:spacing w:line="312" w:lineRule="auto"/>
        <w:ind w:firstLine="480" w:firstLineChars="200"/>
        <w:rPr>
          <w:rFonts w:ascii="宋体" w:hAnsi="宋体" w:cs="宋体"/>
          <w:lang w:bidi="ar"/>
        </w:rPr>
      </w:pPr>
      <w:r>
        <w:rPr>
          <w:rFonts w:hint="eastAsia" w:ascii="宋体" w:hAnsi="宋体" w:cs="宋体"/>
          <w:lang w:bidi="ar"/>
        </w:rPr>
        <w:t>若出现终止采购情形的，上述费用由采购人支付。</w:t>
      </w:r>
    </w:p>
    <w:p>
      <w:pPr>
        <w:pStyle w:val="5"/>
        <w:numPr>
          <w:ilvl w:val="1"/>
          <w:numId w:val="0"/>
        </w:numPr>
        <w:tabs>
          <w:tab w:val="left" w:pos="480"/>
        </w:tabs>
        <w:spacing w:beforeLines="0" w:afterLines="0" w:line="312" w:lineRule="auto"/>
        <w:rPr>
          <w:rFonts w:ascii="宋体" w:hAnsi="宋体" w:cs="宋体"/>
          <w:b/>
          <w:bCs w:val="0"/>
          <w:lang w:bidi="ar"/>
        </w:rPr>
      </w:pPr>
      <w:bookmarkStart w:id="853" w:name="_Toc28293"/>
      <w:bookmarkStart w:id="854" w:name="_Toc21042"/>
      <w:bookmarkStart w:id="855" w:name="_Toc1830"/>
      <w:bookmarkStart w:id="856" w:name="_Toc829"/>
      <w:bookmarkStart w:id="857" w:name="_Toc29434"/>
      <w:bookmarkStart w:id="858" w:name="_Toc5554"/>
      <w:bookmarkStart w:id="859" w:name="_Toc27560"/>
      <w:bookmarkStart w:id="860" w:name="_Toc26256"/>
      <w:bookmarkStart w:id="861" w:name="_Toc194"/>
      <w:bookmarkStart w:id="862" w:name="_Toc32449"/>
      <w:r>
        <w:rPr>
          <w:rFonts w:hint="eastAsia" w:ascii="宋体" w:hAnsi="宋体" w:cs="宋体"/>
          <w:b/>
          <w:bCs w:val="0"/>
          <w:lang w:bidi="ar"/>
        </w:rPr>
        <w:t>十三、法律责任</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投标人有下列情形之一的,处以政府采购项目中标金额千分之五以上千分之十以下的罚款,列入不良行为记录名单,在一至三年内禁止参加国企采购活动,并予以公告,有违法所得的,并处没收违法所得,情节严重的,由工商行政管理机关吊销营业执照;构成犯罪的,依法追究刑事责任:</w:t>
      </w:r>
    </w:p>
    <w:p>
      <w:pPr>
        <w:pStyle w:val="33"/>
        <w:numPr>
          <w:ilvl w:val="1"/>
          <w:numId w:val="23"/>
        </w:numPr>
        <w:tabs>
          <w:tab w:val="left" w:pos="171"/>
        </w:tabs>
        <w:spacing w:line="312" w:lineRule="auto"/>
        <w:ind w:firstLine="480" w:firstLineChars="200"/>
        <w:rPr>
          <w:rFonts w:ascii="宋体" w:hAnsi="宋体" w:cs="宋体"/>
          <w:lang w:bidi="ar"/>
        </w:rPr>
      </w:pPr>
      <w:r>
        <w:rPr>
          <w:rFonts w:hint="eastAsia" w:ascii="宋体" w:hAnsi="宋体" w:cs="宋体"/>
          <w:lang w:bidi="ar"/>
        </w:rPr>
        <w:t>提供虚假材料谋取中标的；</w:t>
      </w:r>
    </w:p>
    <w:p>
      <w:pPr>
        <w:pStyle w:val="33"/>
        <w:numPr>
          <w:ilvl w:val="1"/>
          <w:numId w:val="23"/>
        </w:numPr>
        <w:tabs>
          <w:tab w:val="left" w:pos="171"/>
        </w:tabs>
        <w:spacing w:line="312" w:lineRule="auto"/>
        <w:ind w:firstLine="480" w:firstLineChars="200"/>
        <w:rPr>
          <w:rFonts w:ascii="宋体" w:hAnsi="宋体" w:cs="宋体"/>
          <w:lang w:bidi="ar"/>
        </w:rPr>
      </w:pPr>
      <w:r>
        <w:rPr>
          <w:rFonts w:hint="eastAsia" w:ascii="宋体" w:hAnsi="宋体" w:cs="宋体"/>
          <w:lang w:bidi="ar"/>
        </w:rPr>
        <w:t>采取不正当手段诋毁、排挤其他投标人的；</w:t>
      </w:r>
    </w:p>
    <w:p>
      <w:pPr>
        <w:pStyle w:val="33"/>
        <w:numPr>
          <w:ilvl w:val="1"/>
          <w:numId w:val="23"/>
        </w:numPr>
        <w:tabs>
          <w:tab w:val="left" w:pos="171"/>
        </w:tabs>
        <w:spacing w:line="312" w:lineRule="auto"/>
        <w:ind w:firstLine="480" w:firstLineChars="200"/>
        <w:rPr>
          <w:rFonts w:ascii="宋体" w:hAnsi="宋体" w:cs="宋体"/>
          <w:lang w:bidi="ar"/>
        </w:rPr>
      </w:pPr>
      <w:r>
        <w:rPr>
          <w:rFonts w:hint="eastAsia" w:ascii="宋体" w:hAnsi="宋体" w:cs="宋体"/>
          <w:lang w:bidi="ar"/>
        </w:rPr>
        <w:t>与采购人、采购代理机构、其他投标人恶意串通的；</w:t>
      </w:r>
    </w:p>
    <w:p>
      <w:pPr>
        <w:pStyle w:val="33"/>
        <w:numPr>
          <w:ilvl w:val="1"/>
          <w:numId w:val="23"/>
        </w:numPr>
        <w:tabs>
          <w:tab w:val="left" w:pos="171"/>
        </w:tabs>
        <w:spacing w:line="312" w:lineRule="auto"/>
        <w:ind w:firstLine="480" w:firstLineChars="200"/>
        <w:rPr>
          <w:rFonts w:ascii="宋体" w:hAnsi="宋体" w:cs="宋体"/>
          <w:lang w:bidi="ar"/>
        </w:rPr>
      </w:pPr>
      <w:r>
        <w:rPr>
          <w:rFonts w:hint="eastAsia" w:ascii="宋体" w:hAnsi="宋体" w:cs="宋体"/>
          <w:lang w:bidi="ar"/>
        </w:rPr>
        <w:t>向采购人、采购代理机构行贿或者提供其他不正当利益的；</w:t>
      </w:r>
    </w:p>
    <w:p>
      <w:pPr>
        <w:pStyle w:val="33"/>
        <w:numPr>
          <w:ilvl w:val="1"/>
          <w:numId w:val="23"/>
        </w:numPr>
        <w:tabs>
          <w:tab w:val="left" w:pos="171"/>
        </w:tabs>
        <w:spacing w:line="312" w:lineRule="auto"/>
        <w:ind w:firstLine="480" w:firstLineChars="200"/>
        <w:rPr>
          <w:rFonts w:ascii="宋体" w:hAnsi="宋体" w:cs="宋体"/>
          <w:lang w:bidi="ar"/>
        </w:rPr>
      </w:pPr>
      <w:r>
        <w:rPr>
          <w:rFonts w:hint="eastAsia" w:ascii="宋体" w:hAnsi="宋体" w:cs="宋体"/>
          <w:lang w:bidi="ar"/>
        </w:rPr>
        <w:t>在招标过程中与采购人进行协商谈判、不按照招标文件和中标人的投标文件订立合同,或者与采购人另行订立背离合同实质性内容的协议的；</w:t>
      </w:r>
    </w:p>
    <w:p>
      <w:pPr>
        <w:pStyle w:val="33"/>
        <w:numPr>
          <w:ilvl w:val="1"/>
          <w:numId w:val="23"/>
        </w:numPr>
        <w:tabs>
          <w:tab w:val="left" w:pos="171"/>
        </w:tabs>
        <w:spacing w:line="312" w:lineRule="auto"/>
        <w:ind w:firstLine="480" w:firstLineChars="200"/>
        <w:rPr>
          <w:rFonts w:ascii="宋体" w:hAnsi="宋体" w:cs="宋体"/>
          <w:lang w:bidi="ar"/>
        </w:rPr>
      </w:pPr>
      <w:r>
        <w:rPr>
          <w:rFonts w:hint="eastAsia" w:ascii="宋体" w:hAnsi="宋体" w:cs="宋体"/>
          <w:lang w:bidi="ar"/>
        </w:rPr>
        <w:t>拒绝有关部门监督检查或者提供虚假情况的</w:t>
      </w:r>
      <w:bookmarkStart w:id="863" w:name="_Toc356371442"/>
      <w:bookmarkStart w:id="864" w:name="_Toc366144042"/>
      <w:r>
        <w:rPr>
          <w:rFonts w:hint="eastAsia" w:ascii="宋体" w:hAnsi="宋体" w:cs="宋体"/>
          <w:lang w:bidi="ar"/>
        </w:rPr>
        <w:t>。</w:t>
      </w:r>
    </w:p>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863"/>
    <w:bookmarkEnd w:id="864"/>
    <w:p>
      <w:pPr>
        <w:pStyle w:val="5"/>
        <w:numPr>
          <w:ilvl w:val="1"/>
          <w:numId w:val="0"/>
        </w:numPr>
        <w:tabs>
          <w:tab w:val="left" w:pos="480"/>
        </w:tabs>
        <w:spacing w:beforeLines="0" w:afterLines="0" w:line="312" w:lineRule="auto"/>
        <w:rPr>
          <w:rFonts w:ascii="宋体" w:hAnsi="宋体" w:cs="宋体"/>
          <w:b/>
          <w:bCs w:val="0"/>
        </w:rPr>
      </w:pPr>
      <w:bookmarkStart w:id="865" w:name="_Toc14357"/>
      <w:bookmarkStart w:id="866" w:name="_Toc1963"/>
      <w:bookmarkStart w:id="867" w:name="_Toc30402"/>
      <w:bookmarkStart w:id="868" w:name="_Toc31400"/>
      <w:bookmarkStart w:id="869" w:name="_Toc23725"/>
      <w:bookmarkStart w:id="870" w:name="_Toc2365"/>
      <w:bookmarkStart w:id="871" w:name="_Toc11406"/>
      <w:bookmarkStart w:id="872" w:name="_Toc4552"/>
      <w:bookmarkStart w:id="873" w:name="_Toc27913"/>
      <w:bookmarkStart w:id="874" w:name="_Toc13193"/>
      <w:bookmarkStart w:id="875" w:name="_Toc10820"/>
      <w:bookmarkStart w:id="876" w:name="_Toc25922"/>
      <w:bookmarkStart w:id="877" w:name="_Toc9566"/>
      <w:bookmarkStart w:id="878" w:name="_Toc11102"/>
      <w:bookmarkStart w:id="879" w:name="_Toc22345"/>
      <w:bookmarkStart w:id="880" w:name="_Toc29090"/>
      <w:bookmarkStart w:id="881" w:name="_Toc9263"/>
      <w:bookmarkStart w:id="882" w:name="_Toc27206"/>
      <w:bookmarkStart w:id="883" w:name="_Toc7617"/>
      <w:bookmarkStart w:id="884" w:name="_Toc23367"/>
      <w:bookmarkStart w:id="885" w:name="_Toc26121"/>
      <w:bookmarkStart w:id="886" w:name="_Toc11086"/>
      <w:bookmarkStart w:id="887" w:name="_Toc5733"/>
      <w:bookmarkStart w:id="888" w:name="_Toc15513"/>
      <w:bookmarkStart w:id="889" w:name="_Toc23051"/>
      <w:bookmarkStart w:id="890" w:name="_Toc32254"/>
      <w:bookmarkStart w:id="891" w:name="_Toc31011"/>
      <w:bookmarkStart w:id="892" w:name="_Toc20598"/>
      <w:bookmarkStart w:id="893" w:name="_Toc31117"/>
      <w:bookmarkStart w:id="894" w:name="_Toc26522"/>
      <w:bookmarkStart w:id="895" w:name="_Toc20782"/>
      <w:bookmarkStart w:id="896" w:name="_Toc25883"/>
      <w:bookmarkStart w:id="897" w:name="_Toc27766"/>
      <w:bookmarkStart w:id="898" w:name="_Toc29343"/>
      <w:bookmarkStart w:id="899" w:name="_Toc2512"/>
      <w:bookmarkStart w:id="900" w:name="_Toc11576"/>
      <w:bookmarkStart w:id="901" w:name="_Toc8570"/>
      <w:bookmarkStart w:id="902" w:name="_Toc24196"/>
      <w:bookmarkStart w:id="903" w:name="_Toc26773"/>
      <w:bookmarkStart w:id="904" w:name="_Toc3582"/>
      <w:bookmarkStart w:id="905" w:name="_Toc20217"/>
      <w:bookmarkStart w:id="906" w:name="_Toc8958"/>
      <w:bookmarkStart w:id="907" w:name="_Toc8256"/>
      <w:bookmarkStart w:id="908" w:name="_Toc23468"/>
      <w:bookmarkStart w:id="909" w:name="_Toc10243"/>
      <w:bookmarkStart w:id="910" w:name="_Toc23450"/>
      <w:r>
        <w:rPr>
          <w:rFonts w:hint="eastAsia" w:ascii="宋体" w:hAnsi="宋体" w:cs="宋体"/>
          <w:b/>
          <w:bCs w:val="0"/>
        </w:rPr>
        <w:t>十四、诚信管理</w:t>
      </w:r>
      <w:bookmarkEnd w:id="865"/>
      <w:bookmarkEnd w:id="866"/>
      <w:bookmarkEnd w:id="867"/>
      <w:bookmarkEnd w:id="868"/>
      <w:bookmarkEnd w:id="869"/>
      <w:bookmarkEnd w:id="870"/>
      <w:bookmarkEnd w:id="871"/>
      <w:bookmarkEnd w:id="872"/>
      <w:bookmarkEnd w:id="873"/>
      <w:bookmarkEnd w:id="874"/>
      <w:bookmarkEnd w:id="875"/>
      <w:bookmarkEnd w:id="876"/>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投标人有下列情形之一的，依据《关于印发浙江省政府投标人注册及诚信管理暂行办法通知》[浙财采监字〔2009〕28号]文件第三十八条和第三十九条的规定记录不良行为、黑名单及处罚。</w:t>
      </w:r>
    </w:p>
    <w:p>
      <w:pPr>
        <w:pStyle w:val="33"/>
        <w:numPr>
          <w:ilvl w:val="1"/>
          <w:numId w:val="24"/>
        </w:numPr>
        <w:tabs>
          <w:tab w:val="left" w:pos="171"/>
        </w:tabs>
        <w:spacing w:line="312" w:lineRule="auto"/>
        <w:ind w:firstLine="480" w:firstLineChars="200"/>
        <w:rPr>
          <w:rFonts w:ascii="宋体" w:hAnsi="宋体" w:cs="宋体"/>
          <w:lang w:bidi="ar"/>
        </w:rPr>
      </w:pPr>
      <w:r>
        <w:rPr>
          <w:rFonts w:hint="eastAsia" w:ascii="宋体" w:hAnsi="宋体" w:cs="宋体"/>
          <w:lang w:bidi="ar"/>
        </w:rPr>
        <w:t>注册投标人有下列情形之一的，采购人或采购代理机构应按不良行为记入该注册投标人诚信档案中：</w:t>
      </w:r>
    </w:p>
    <w:p>
      <w:pPr>
        <w:adjustRightInd w:val="0"/>
        <w:snapToGrid w:val="0"/>
        <w:spacing w:line="312" w:lineRule="auto"/>
        <w:ind w:firstLine="480"/>
        <w:rPr>
          <w:rFonts w:ascii="宋体" w:hAnsi="宋体"/>
        </w:rPr>
      </w:pPr>
      <w:r>
        <w:rPr>
          <w:rFonts w:hint="eastAsia" w:ascii="宋体" w:hAnsi="宋体"/>
        </w:rPr>
        <w:t>（一）开标后擅自撤回采购投标文件，影响采购活动继续进行的；</w:t>
      </w:r>
    </w:p>
    <w:p>
      <w:pPr>
        <w:adjustRightInd w:val="0"/>
        <w:snapToGrid w:val="0"/>
        <w:spacing w:line="312" w:lineRule="auto"/>
        <w:ind w:firstLine="480"/>
        <w:rPr>
          <w:rFonts w:ascii="宋体" w:hAnsi="宋体"/>
        </w:rPr>
      </w:pPr>
      <w:r>
        <w:rPr>
          <w:rFonts w:hint="eastAsia" w:ascii="宋体" w:hAnsi="宋体"/>
        </w:rPr>
        <w:t>（二）中标、成交后无正当理由拒绝签订国企采购合同，或者与采购人另行订立背离合同实质内容的协议的；</w:t>
      </w:r>
    </w:p>
    <w:p>
      <w:pPr>
        <w:adjustRightInd w:val="0"/>
        <w:snapToGrid w:val="0"/>
        <w:spacing w:line="312" w:lineRule="auto"/>
        <w:ind w:firstLine="480"/>
        <w:rPr>
          <w:rFonts w:ascii="宋体" w:hAnsi="宋体"/>
        </w:rPr>
      </w:pPr>
      <w:r>
        <w:rPr>
          <w:rFonts w:hint="eastAsia" w:ascii="宋体" w:hAnsi="宋体"/>
        </w:rPr>
        <w:t>（三）无正当理由拒绝履行合同和有关承诺，或擅自变更、中止（终止）国企采购合同的；</w:t>
      </w:r>
    </w:p>
    <w:p>
      <w:pPr>
        <w:adjustRightInd w:val="0"/>
        <w:snapToGrid w:val="0"/>
        <w:spacing w:line="312" w:lineRule="auto"/>
        <w:ind w:firstLine="480"/>
        <w:rPr>
          <w:rFonts w:ascii="宋体" w:hAnsi="宋体"/>
        </w:rPr>
      </w:pPr>
      <w:r>
        <w:rPr>
          <w:rFonts w:hint="eastAsia" w:ascii="宋体" w:hAnsi="宋体"/>
        </w:rPr>
        <w:t>（四）超过合同约定的供货（或服务）时间达10日以上的；</w:t>
      </w:r>
    </w:p>
    <w:p>
      <w:pPr>
        <w:adjustRightInd w:val="0"/>
        <w:snapToGrid w:val="0"/>
        <w:spacing w:line="312" w:lineRule="auto"/>
        <w:ind w:firstLine="480"/>
        <w:rPr>
          <w:rFonts w:ascii="宋体" w:hAnsi="宋体"/>
        </w:rPr>
      </w:pPr>
      <w:r>
        <w:rPr>
          <w:rFonts w:hint="eastAsia" w:ascii="宋体" w:hAnsi="宋体"/>
        </w:rPr>
        <w:t>（五）中标、成交后，将国企采购合同转包或擅自分包给其他投标人的；</w:t>
      </w:r>
    </w:p>
    <w:p>
      <w:pPr>
        <w:adjustRightInd w:val="0"/>
        <w:snapToGrid w:val="0"/>
        <w:spacing w:line="312" w:lineRule="auto"/>
        <w:ind w:firstLine="480"/>
        <w:rPr>
          <w:rFonts w:ascii="宋体" w:hAnsi="宋体"/>
        </w:rPr>
      </w:pPr>
      <w:r>
        <w:rPr>
          <w:rFonts w:hint="eastAsia" w:ascii="宋体" w:hAnsi="宋体"/>
        </w:rPr>
        <w:t>（六）提供假冒伪劣产品或走私物品的；</w:t>
      </w:r>
    </w:p>
    <w:p>
      <w:pPr>
        <w:adjustRightInd w:val="0"/>
        <w:snapToGrid w:val="0"/>
        <w:spacing w:line="312" w:lineRule="auto"/>
        <w:ind w:firstLine="480"/>
        <w:rPr>
          <w:rFonts w:ascii="宋体" w:hAnsi="宋体"/>
        </w:rPr>
      </w:pPr>
      <w:r>
        <w:rPr>
          <w:rFonts w:hint="eastAsia" w:ascii="宋体" w:hAnsi="宋体"/>
        </w:rPr>
        <w:t>（七）擅自降低产品质量等次和售后服务，或以次充好、偷工减料的；</w:t>
      </w:r>
    </w:p>
    <w:p>
      <w:pPr>
        <w:adjustRightInd w:val="0"/>
        <w:snapToGrid w:val="0"/>
        <w:spacing w:line="312" w:lineRule="auto"/>
        <w:ind w:firstLine="480"/>
        <w:rPr>
          <w:rFonts w:ascii="宋体" w:hAnsi="宋体"/>
        </w:rPr>
      </w:pPr>
      <w:r>
        <w:rPr>
          <w:rFonts w:hint="eastAsia" w:ascii="宋体" w:hAnsi="宋体"/>
        </w:rPr>
        <w:t>（八）实际提供的有关产品性能指标和技术服务能力明显低于采购响应文件或询标、谈判时的承诺；</w:t>
      </w:r>
    </w:p>
    <w:p>
      <w:pPr>
        <w:adjustRightInd w:val="0"/>
        <w:snapToGrid w:val="0"/>
        <w:spacing w:line="312" w:lineRule="auto"/>
        <w:ind w:firstLine="480"/>
        <w:rPr>
          <w:rFonts w:ascii="宋体" w:hAnsi="宋体"/>
        </w:rPr>
      </w:pPr>
      <w:r>
        <w:rPr>
          <w:rFonts w:hint="eastAsia" w:ascii="宋体" w:hAnsi="宋体"/>
        </w:rPr>
        <w:t>（九）在投标人库中发布的产品服务信息或在政府采购网上宣传的信息与实际明显不符，或故意误导采购人的；</w:t>
      </w:r>
    </w:p>
    <w:p>
      <w:pPr>
        <w:adjustRightInd w:val="0"/>
        <w:snapToGrid w:val="0"/>
        <w:spacing w:line="312" w:lineRule="auto"/>
        <w:ind w:firstLine="480"/>
        <w:rPr>
          <w:rFonts w:ascii="宋体" w:hAnsi="宋体"/>
        </w:rPr>
      </w:pPr>
      <w:r>
        <w:rPr>
          <w:rFonts w:hint="eastAsia" w:ascii="宋体" w:hAnsi="宋体"/>
        </w:rPr>
        <w:t>（十）不按规定或不及时变更投标人库中的有关信息的；</w:t>
      </w:r>
    </w:p>
    <w:p>
      <w:pPr>
        <w:adjustRightInd w:val="0"/>
        <w:snapToGrid w:val="0"/>
        <w:spacing w:line="312" w:lineRule="auto"/>
        <w:ind w:firstLine="480"/>
        <w:rPr>
          <w:rFonts w:ascii="宋体" w:hAnsi="宋体"/>
        </w:rPr>
      </w:pPr>
      <w:r>
        <w:rPr>
          <w:rFonts w:hint="eastAsia" w:ascii="宋体" w:hAnsi="宋体"/>
        </w:rPr>
        <w:t>（十一）1年内在全省被质疑或投诉累计分别在20和10次以上且60%以上被驳回的，或恶意举报给采购人或采购代理机构造成损害的；</w:t>
      </w:r>
    </w:p>
    <w:p>
      <w:pPr>
        <w:adjustRightInd w:val="0"/>
        <w:snapToGrid w:val="0"/>
        <w:spacing w:line="312" w:lineRule="auto"/>
        <w:ind w:firstLine="480"/>
        <w:rPr>
          <w:rFonts w:ascii="宋体" w:hAnsi="宋体"/>
        </w:rPr>
      </w:pPr>
      <w:r>
        <w:rPr>
          <w:rFonts w:hint="eastAsia" w:ascii="宋体" w:hAnsi="宋体"/>
        </w:rPr>
        <w:t>（十二）各级财政部门认定的其它有违诚实信用的行为。</w:t>
      </w:r>
    </w:p>
    <w:p>
      <w:pPr>
        <w:pStyle w:val="33"/>
        <w:numPr>
          <w:ilvl w:val="1"/>
          <w:numId w:val="24"/>
        </w:numPr>
        <w:tabs>
          <w:tab w:val="left" w:pos="171"/>
        </w:tabs>
        <w:spacing w:line="312" w:lineRule="auto"/>
        <w:ind w:firstLine="480" w:firstLineChars="200"/>
        <w:rPr>
          <w:rFonts w:ascii="宋体" w:hAnsi="宋体" w:cs="宋体"/>
          <w:lang w:bidi="ar"/>
        </w:rPr>
      </w:pPr>
      <w:r>
        <w:rPr>
          <w:rFonts w:hint="eastAsia" w:ascii="宋体" w:hAnsi="宋体" w:cs="宋体"/>
          <w:lang w:bidi="ar"/>
        </w:rPr>
        <w:t xml:space="preserve"> 注册投标人有下列情形之一的，采购人或采购代理机构应向同级主管部门书面报告，并提请主管部门将其列入“黑名单”或者依法作出处罚；各级主管部门在依法处罚的同时，应将该情况按不良行为记入该投标人诚信档案中，同时将该投标人列入“黑名单”公开曝光：</w:t>
      </w:r>
    </w:p>
    <w:p>
      <w:pPr>
        <w:pStyle w:val="33"/>
        <w:numPr>
          <w:ilvl w:val="255"/>
          <w:numId w:val="0"/>
        </w:numPr>
        <w:tabs>
          <w:tab w:val="left" w:pos="0"/>
          <w:tab w:val="left" w:pos="171"/>
        </w:tabs>
        <w:spacing w:line="312" w:lineRule="auto"/>
        <w:ind w:firstLine="480" w:firstLineChars="200"/>
        <w:rPr>
          <w:rFonts w:ascii="宋体" w:hAnsi="宋体" w:cs="宋体"/>
          <w:lang w:bidi="ar"/>
        </w:rPr>
      </w:pPr>
      <w:r>
        <w:rPr>
          <w:rFonts w:hint="eastAsia" w:ascii="宋体" w:hAnsi="宋体" w:cs="宋体"/>
          <w:lang w:bidi="ar"/>
        </w:rPr>
        <w:t>（一）提供虚假材料谋取中标、成交的；</w:t>
      </w:r>
    </w:p>
    <w:p>
      <w:pPr>
        <w:adjustRightInd w:val="0"/>
        <w:snapToGrid w:val="0"/>
        <w:spacing w:line="312" w:lineRule="auto"/>
        <w:ind w:firstLine="480"/>
        <w:rPr>
          <w:rFonts w:ascii="宋体" w:hAnsi="宋体"/>
        </w:rPr>
      </w:pPr>
      <w:r>
        <w:rPr>
          <w:rFonts w:hint="eastAsia" w:ascii="宋体" w:hAnsi="宋体"/>
        </w:rPr>
        <w:t>（二）采取不正当手段诋毁、排挤其他投标人的；</w:t>
      </w:r>
    </w:p>
    <w:p>
      <w:pPr>
        <w:adjustRightInd w:val="0"/>
        <w:snapToGrid w:val="0"/>
        <w:spacing w:line="312" w:lineRule="auto"/>
        <w:ind w:firstLine="480"/>
        <w:rPr>
          <w:rFonts w:ascii="宋体" w:hAnsi="宋体"/>
        </w:rPr>
      </w:pPr>
      <w:r>
        <w:rPr>
          <w:rFonts w:hint="eastAsia" w:ascii="宋体" w:hAnsi="宋体"/>
        </w:rPr>
        <w:t>（三）与采购人、其他投标人或者采购代理机构恶意串通的；</w:t>
      </w:r>
    </w:p>
    <w:p>
      <w:pPr>
        <w:adjustRightInd w:val="0"/>
        <w:snapToGrid w:val="0"/>
        <w:spacing w:line="312" w:lineRule="auto"/>
        <w:ind w:firstLine="480"/>
        <w:rPr>
          <w:rFonts w:ascii="宋体" w:hAnsi="宋体"/>
        </w:rPr>
      </w:pPr>
      <w:r>
        <w:rPr>
          <w:rFonts w:hint="eastAsia" w:ascii="宋体" w:hAnsi="宋体"/>
        </w:rPr>
        <w:t>（四）向采购人、采购代理机构行贿或提供其他不正当利益，或因此被其他国家机关立案查实的；</w:t>
      </w:r>
    </w:p>
    <w:p>
      <w:pPr>
        <w:adjustRightInd w:val="0"/>
        <w:snapToGrid w:val="0"/>
        <w:spacing w:line="312" w:lineRule="auto"/>
        <w:ind w:firstLine="480"/>
        <w:rPr>
          <w:rFonts w:ascii="宋体" w:hAnsi="宋体"/>
        </w:rPr>
      </w:pPr>
      <w:r>
        <w:rPr>
          <w:rFonts w:hint="eastAsia" w:ascii="宋体" w:hAnsi="宋体"/>
        </w:rPr>
        <w:t>（五）在招标采购过程中与采购人进行协商谈判的；</w:t>
      </w:r>
    </w:p>
    <w:p>
      <w:pPr>
        <w:adjustRightInd w:val="0"/>
        <w:snapToGrid w:val="0"/>
        <w:spacing w:line="312" w:lineRule="auto"/>
        <w:ind w:firstLine="480"/>
        <w:rPr>
          <w:rFonts w:ascii="宋体" w:hAnsi="宋体"/>
        </w:rPr>
      </w:pPr>
      <w:r>
        <w:rPr>
          <w:rFonts w:hint="eastAsia" w:ascii="宋体" w:hAnsi="宋体"/>
        </w:rPr>
        <w:t>（六）哄抬、操纵国企采购报价，或国企采购价格（包括产品及其配件、试剂、耗材等价格）明显高于市场平均价的；</w:t>
      </w:r>
    </w:p>
    <w:p>
      <w:pPr>
        <w:adjustRightInd w:val="0"/>
        <w:snapToGrid w:val="0"/>
        <w:spacing w:line="312" w:lineRule="auto"/>
        <w:ind w:firstLine="480"/>
        <w:rPr>
          <w:rFonts w:ascii="宋体" w:hAnsi="宋体"/>
        </w:rPr>
      </w:pPr>
      <w:r>
        <w:rPr>
          <w:rFonts w:hint="eastAsia" w:ascii="宋体" w:hAnsi="宋体"/>
        </w:rPr>
        <w:t>（七）提供虚假材料骗取注册投标人资格的；</w:t>
      </w:r>
    </w:p>
    <w:p>
      <w:pPr>
        <w:adjustRightInd w:val="0"/>
        <w:snapToGrid w:val="0"/>
        <w:spacing w:line="312" w:lineRule="auto"/>
        <w:ind w:firstLine="480"/>
        <w:rPr>
          <w:rFonts w:ascii="宋体" w:hAnsi="宋体"/>
        </w:rPr>
      </w:pPr>
      <w:r>
        <w:rPr>
          <w:rFonts w:hint="eastAsia" w:ascii="宋体" w:hAnsi="宋体"/>
        </w:rPr>
        <w:t>（八）伪造《浙江省政府采购注册投标人信息登记表》的；</w:t>
      </w:r>
    </w:p>
    <w:p>
      <w:pPr>
        <w:adjustRightInd w:val="0"/>
        <w:snapToGrid w:val="0"/>
        <w:spacing w:line="312" w:lineRule="auto"/>
        <w:ind w:firstLine="480"/>
        <w:rPr>
          <w:rFonts w:ascii="宋体" w:hAnsi="宋体"/>
        </w:rPr>
      </w:pPr>
      <w:r>
        <w:rPr>
          <w:rFonts w:hint="eastAsia" w:ascii="宋体" w:hAnsi="宋体"/>
        </w:rPr>
        <w:t>（九）销售或发布法律、法规禁止销售的商品、服务和其他违法信息的；</w:t>
      </w:r>
    </w:p>
    <w:p>
      <w:pPr>
        <w:adjustRightInd w:val="0"/>
        <w:snapToGrid w:val="0"/>
        <w:spacing w:line="312" w:lineRule="auto"/>
        <w:ind w:firstLine="480"/>
        <w:rPr>
          <w:rFonts w:ascii="宋体" w:hAnsi="宋体"/>
        </w:rPr>
      </w:pPr>
      <w:r>
        <w:rPr>
          <w:rFonts w:hint="eastAsia" w:ascii="宋体" w:hAnsi="宋体"/>
        </w:rPr>
        <w:t>（十）其它违反法律、法规和政府采购管理有关规定的行为的。</w:t>
      </w:r>
    </w:p>
    <w:p>
      <w:pPr>
        <w:pStyle w:val="5"/>
        <w:numPr>
          <w:ilvl w:val="1"/>
          <w:numId w:val="0"/>
        </w:numPr>
        <w:tabs>
          <w:tab w:val="left" w:pos="480"/>
        </w:tabs>
        <w:spacing w:beforeLines="0" w:afterLines="0" w:line="312" w:lineRule="auto"/>
        <w:rPr>
          <w:rFonts w:ascii="宋体" w:hAnsi="宋体" w:cs="宋体"/>
          <w:b/>
          <w:bCs w:val="0"/>
          <w:lang w:bidi="ar"/>
        </w:rPr>
      </w:pPr>
      <w:bookmarkStart w:id="911" w:name="_Toc25777"/>
      <w:bookmarkStart w:id="912" w:name="_Toc8851"/>
      <w:bookmarkStart w:id="913" w:name="_Toc5045"/>
      <w:bookmarkStart w:id="914" w:name="_Toc6878"/>
      <w:bookmarkStart w:id="915" w:name="_Toc31412"/>
      <w:bookmarkStart w:id="916" w:name="_Toc29878"/>
      <w:bookmarkStart w:id="917" w:name="_Toc22286"/>
      <w:bookmarkStart w:id="918" w:name="_Toc1327"/>
      <w:bookmarkStart w:id="919" w:name="_Toc19933"/>
      <w:bookmarkStart w:id="920" w:name="_Toc21356"/>
      <w:bookmarkStart w:id="921" w:name="_Toc18804"/>
      <w:bookmarkStart w:id="922" w:name="_Toc4943"/>
      <w:r>
        <w:rPr>
          <w:rFonts w:hint="eastAsia" w:ascii="宋体" w:hAnsi="宋体" w:cs="宋体"/>
          <w:b/>
          <w:bCs w:val="0"/>
          <w:lang w:bidi="ar"/>
        </w:rPr>
        <w:t>十五、其他</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解释权：本招标文件是依据《政府采购法》及有关规定编制的，解释权属采购人。</w:t>
      </w:r>
    </w:p>
    <w:p>
      <w:pPr>
        <w:pStyle w:val="33"/>
        <w:numPr>
          <w:ilvl w:val="0"/>
          <w:numId w:val="12"/>
        </w:numPr>
        <w:spacing w:line="312" w:lineRule="auto"/>
        <w:ind w:firstLine="480" w:firstLineChars="200"/>
        <w:rPr>
          <w:rFonts w:ascii="宋体" w:hAnsi="宋体" w:cs="宋体"/>
          <w:lang w:bidi="ar"/>
        </w:rPr>
      </w:pPr>
      <w:r>
        <w:rPr>
          <w:rFonts w:hint="eastAsia" w:ascii="宋体" w:hAnsi="宋体" w:cs="宋体"/>
          <w:lang w:bidi="ar"/>
        </w:rPr>
        <w:t>联系方式：所有与招标有关的函电请按下面联系，其他任何方式或信息来源均无效。</w:t>
      </w:r>
    </w:p>
    <w:p>
      <w:pPr>
        <w:pStyle w:val="33"/>
        <w:tabs>
          <w:tab w:val="left" w:pos="0"/>
        </w:tabs>
        <w:adjustRightInd w:val="0"/>
        <w:spacing w:line="312" w:lineRule="auto"/>
        <w:ind w:firstLine="480" w:firstLineChars="200"/>
        <w:rPr>
          <w:rFonts w:ascii="宋体" w:hAnsi="宋体" w:cs="宋体"/>
          <w:lang w:bidi="ar"/>
        </w:rPr>
      </w:pPr>
      <w:r>
        <w:rPr>
          <w:rFonts w:hint="eastAsia" w:ascii="宋体" w:hAnsi="宋体" w:cs="宋体"/>
          <w:lang w:bidi="ar"/>
        </w:rPr>
        <w:t>通讯地址：</w:t>
      </w:r>
      <w:r>
        <w:rPr>
          <w:rFonts w:hint="eastAsia" w:ascii="宋体" w:hAnsi="宋体" w:cs="宋体"/>
          <w:lang w:eastAsia="zh-CN" w:bidi="ar"/>
        </w:rPr>
        <w:t>衢州宇信工程咨询有限公司</w:t>
      </w:r>
      <w:r>
        <w:rPr>
          <w:rFonts w:hint="eastAsia" w:ascii="宋体" w:hAnsi="宋体" w:cs="宋体"/>
          <w:lang w:bidi="ar"/>
        </w:rPr>
        <w:t xml:space="preserve"> （</w:t>
      </w:r>
      <w:r>
        <w:rPr>
          <w:rFonts w:hint="eastAsia" w:ascii="宋体" w:hAnsi="宋体" w:cs="宋体"/>
          <w:lang w:eastAsia="zh-CN" w:bidi="ar"/>
        </w:rPr>
        <w:t>龙游县荣昌路广和商务楼306室</w:t>
      </w:r>
      <w:r>
        <w:rPr>
          <w:rFonts w:hint="eastAsia" w:ascii="宋体" w:hAnsi="宋体" w:cs="宋体"/>
          <w:lang w:bidi="ar"/>
        </w:rPr>
        <w:t>）</w:t>
      </w:r>
    </w:p>
    <w:p>
      <w:pPr>
        <w:pStyle w:val="33"/>
        <w:tabs>
          <w:tab w:val="left" w:pos="0"/>
        </w:tabs>
        <w:adjustRightInd w:val="0"/>
        <w:spacing w:line="312" w:lineRule="auto"/>
        <w:ind w:firstLine="480" w:firstLineChars="200"/>
        <w:rPr>
          <w:rFonts w:hint="default" w:ascii="宋体" w:hAnsi="宋体" w:eastAsia="宋体" w:cs="宋体"/>
          <w:lang w:val="en-US" w:eastAsia="zh-CN" w:bidi="ar"/>
        </w:rPr>
      </w:pPr>
      <w:r>
        <w:rPr>
          <w:rFonts w:hint="eastAsia" w:ascii="宋体" w:hAnsi="宋体" w:cs="宋体"/>
          <w:lang w:bidi="ar"/>
        </w:rPr>
        <w:t>项目联系人：</w:t>
      </w:r>
      <w:r>
        <w:rPr>
          <w:rFonts w:hint="eastAsia" w:ascii="宋体" w:hAnsi="宋体" w:cs="宋体"/>
          <w:lang w:val="en-US" w:eastAsia="zh-CN" w:bidi="ar"/>
        </w:rPr>
        <w:t>李女士</w:t>
      </w:r>
      <w:r>
        <w:rPr>
          <w:rFonts w:hint="eastAsia" w:ascii="宋体" w:hAnsi="宋体" w:cs="宋体"/>
          <w:lang w:bidi="ar"/>
        </w:rPr>
        <w:t xml:space="preserve">   答疑咨询方式：</w:t>
      </w:r>
      <w:r>
        <w:rPr>
          <w:rFonts w:hint="eastAsia" w:ascii="宋体" w:hAnsi="宋体" w:cs="宋体"/>
          <w:lang w:val="en-US" w:eastAsia="zh-CN" w:bidi="ar"/>
        </w:rPr>
        <w:t>18857006783</w:t>
      </w:r>
    </w:p>
    <w:p>
      <w:pPr>
        <w:pStyle w:val="33"/>
        <w:tabs>
          <w:tab w:val="left" w:pos="0"/>
        </w:tabs>
        <w:adjustRightInd w:val="0"/>
        <w:spacing w:line="312" w:lineRule="auto"/>
        <w:ind w:firstLine="480" w:firstLineChars="200"/>
        <w:rPr>
          <w:rFonts w:hint="eastAsia" w:ascii="宋体" w:hAnsi="宋体" w:cs="宋体"/>
          <w:lang w:bidi="ar"/>
        </w:rPr>
      </w:pPr>
      <w:r>
        <w:rPr>
          <w:rFonts w:hint="eastAsia" w:ascii="宋体" w:hAnsi="宋体" w:cs="宋体"/>
          <w:lang w:bidi="ar"/>
        </w:rPr>
        <w:t>公告网址：</w:t>
      </w:r>
      <w:r>
        <w:fldChar w:fldCharType="begin"/>
      </w:r>
      <w:r>
        <w:instrText xml:space="preserve"> HYPERLINK "http://www.zjzfcg.gov.cn（浙江省政府采购网）" </w:instrText>
      </w:r>
      <w:r>
        <w:fldChar w:fldCharType="separate"/>
      </w:r>
      <w:r>
        <w:rPr>
          <w:rFonts w:hint="eastAsia" w:ascii="宋体" w:hAnsi="宋体" w:cs="宋体"/>
          <w:lang w:bidi="ar"/>
        </w:rPr>
        <w:t>http://zfcg.czt.zj.gov.cn/（浙江省政府采购网）</w:t>
      </w:r>
      <w:r>
        <w:rPr>
          <w:rFonts w:hint="eastAsia" w:ascii="宋体" w:hAnsi="宋体" w:cs="宋体"/>
          <w:lang w:bidi="ar"/>
        </w:rPr>
        <w:fldChar w:fldCharType="end"/>
      </w:r>
    </w:p>
    <w:p>
      <w:pPr>
        <w:pStyle w:val="33"/>
        <w:tabs>
          <w:tab w:val="left" w:pos="0"/>
        </w:tabs>
        <w:adjustRightInd w:val="0"/>
        <w:spacing w:line="312" w:lineRule="auto"/>
        <w:ind w:firstLine="1680" w:firstLineChars="700"/>
        <w:rPr>
          <w:rFonts w:hint="eastAsia" w:ascii="宋体" w:hAnsi="宋体" w:cs="宋体" w:eastAsiaTheme="minorEastAsia"/>
          <w:lang w:eastAsia="zh-CN" w:bidi="ar"/>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"https://qzygjy.com/"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https</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sz w:val="24"/>
          <w:szCs w:val="24"/>
        </w:rPr>
        <w:t>qzygjy</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sz w:val="24"/>
          <w:szCs w:val="24"/>
        </w:rPr>
        <w:t>com</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spacing w:val="24"/>
          <w:sz w:val="24"/>
          <w:szCs w:val="24"/>
        </w:rPr>
        <w:fldChar w:fldCharType="end"/>
      </w:r>
      <w:r>
        <w:rPr>
          <w:rFonts w:hint="eastAsia" w:asciiTheme="minorEastAsia" w:hAnsiTheme="minorEastAsia" w:eastAsiaTheme="minorEastAsia" w:cstheme="minorEastAsia"/>
          <w:spacing w:val="24"/>
          <w:sz w:val="24"/>
          <w:szCs w:val="24"/>
          <w:lang w:eastAsia="zh-CN"/>
        </w:rPr>
        <w:t>（</w:t>
      </w:r>
      <w:r>
        <w:rPr>
          <w:rFonts w:hint="eastAsia" w:asciiTheme="minorEastAsia" w:hAnsiTheme="minorEastAsia" w:eastAsiaTheme="minorEastAsia" w:cstheme="minorEastAsia"/>
          <w:spacing w:val="-18"/>
          <w:sz w:val="24"/>
          <w:szCs w:val="24"/>
        </w:rPr>
        <w:t>衢 州 市 阳 光 交 易 服 务 平 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w:t>
      </w:r>
    </w:p>
    <w:p>
      <w:pPr>
        <w:pStyle w:val="33"/>
        <w:tabs>
          <w:tab w:val="left" w:pos="0"/>
        </w:tabs>
        <w:adjustRightInd w:val="0"/>
        <w:spacing w:line="312" w:lineRule="auto"/>
        <w:ind w:left="480" w:leftChars="200" w:firstLine="0" w:firstLineChars="0"/>
        <w:rPr>
          <w:rFonts w:ascii="宋体" w:hAnsi="宋体" w:cs="宋体"/>
          <w:lang w:bidi="ar"/>
        </w:rPr>
      </w:pPr>
    </w:p>
    <w:p>
      <w:pPr>
        <w:pStyle w:val="33"/>
        <w:tabs>
          <w:tab w:val="left" w:pos="0"/>
        </w:tabs>
        <w:adjustRightInd w:val="0"/>
        <w:spacing w:line="312" w:lineRule="auto"/>
        <w:ind w:firstLine="0" w:firstLineChars="0"/>
        <w:rPr>
          <w:rFonts w:hint="eastAsia" w:ascii="宋体" w:hAnsi="宋体" w:cs="宋体"/>
          <w:lang w:bidi="ar"/>
        </w:rPr>
      </w:pPr>
      <w:r>
        <w:rPr>
          <w:rFonts w:hint="eastAsia" w:ascii="宋体" w:hAnsi="宋体" w:cs="宋体"/>
          <w:lang w:bidi="ar"/>
        </w:rPr>
        <w:t xml:space="preserve">   </w:t>
      </w:r>
    </w:p>
    <w:p>
      <w:pPr>
        <w:numPr>
          <w:ilvl w:val="0"/>
          <w:numId w:val="25"/>
        </w:numPr>
        <w:spacing w:beforeLines="0" w:afterLines="0"/>
      </w:pPr>
      <w:bookmarkStart w:id="923" w:name="_Toc20073"/>
      <w:r>
        <w:rPr>
          <w:rFonts w:hint="eastAsia" w:ascii="宋体" w:hAnsi="宋体" w:cs="宋体"/>
        </w:rPr>
        <w:br w:type="page"/>
      </w:r>
    </w:p>
    <w:bookmarkEnd w:id="923"/>
    <w:p>
      <w:pPr>
        <w:pStyle w:val="2"/>
        <w:rPr>
          <w:rFonts w:hint="eastAsia"/>
          <w:lang w:val="en-US" w:eastAsia="zh-CN"/>
        </w:rPr>
        <w:sectPr>
          <w:headerReference r:id="rId7" w:type="first"/>
          <w:headerReference r:id="rId5" w:type="default"/>
          <w:footerReference r:id="rId8" w:type="default"/>
          <w:headerReference r:id="rId6" w:type="even"/>
          <w:pgSz w:w="11906" w:h="16838"/>
          <w:pgMar w:top="1440" w:right="1080" w:bottom="1440" w:left="1080" w:header="737" w:footer="964" w:gutter="0"/>
          <w:pgBorders w:zOrder="back">
            <w:top w:val="thinThickSmallGap" w:color="auto" w:sz="12" w:space="10"/>
            <w:left w:val="none" w:sz="0" w:space="0"/>
            <w:bottom w:val="thinThickSmallGap" w:color="auto" w:sz="12" w:space="6"/>
            <w:right w:val="none" w:sz="0" w:space="0"/>
          </w:pgBorders>
          <w:cols w:space="0" w:num="1"/>
          <w:docGrid w:type="lines" w:linePitch="312" w:charSpace="0"/>
        </w:sectPr>
      </w:pPr>
      <w:bookmarkStart w:id="924" w:name="_Toc6989"/>
      <w:bookmarkStart w:id="925" w:name="_Toc17329"/>
      <w:bookmarkStart w:id="926" w:name="_Toc4414"/>
      <w:bookmarkStart w:id="927" w:name="_Toc24393"/>
      <w:bookmarkStart w:id="928" w:name="_Toc2648"/>
      <w:bookmarkStart w:id="929" w:name="_Toc4941"/>
      <w:bookmarkStart w:id="930" w:name="_Toc23481"/>
      <w:bookmarkStart w:id="931" w:name="_Toc21251"/>
      <w:bookmarkStart w:id="932" w:name="_Toc20404"/>
      <w:bookmarkStart w:id="933" w:name="_Toc17728"/>
      <w:bookmarkStart w:id="934" w:name="_Toc9321"/>
      <w:bookmarkStart w:id="935" w:name="_Toc12642"/>
    </w:p>
    <w:p>
      <w:pPr>
        <w:pStyle w:val="4"/>
        <w:numPr>
          <w:ilvl w:val="0"/>
          <w:numId w:val="0"/>
        </w:numPr>
        <w:spacing w:beforeLines="0" w:afterLines="0"/>
      </w:pPr>
      <w:r>
        <w:rPr>
          <w:rFonts w:hint="eastAsia" w:ascii="宋体" w:hAnsi="宋体" w:cs="宋体"/>
          <w:lang w:val="en-US" w:eastAsia="zh-CN"/>
        </w:rPr>
        <w:t>第三章</w:t>
      </w:r>
      <w:r>
        <w:rPr>
          <w:rFonts w:hint="eastAsia" w:ascii="宋体" w:hAnsi="宋体" w:cs="宋体"/>
        </w:rPr>
        <w:t>采购内容及要求</w:t>
      </w:r>
    </w:p>
    <w:p>
      <w:pPr>
        <w:keepNext w:val="0"/>
        <w:keepLines w:val="0"/>
        <w:pageBreakBefore w:val="0"/>
        <w:numPr>
          <w:ilvl w:val="0"/>
          <w:numId w:val="26"/>
        </w:numPr>
        <w:kinsoku/>
        <w:wordWrap/>
        <w:overflowPunct/>
        <w:topLinePunct w:val="0"/>
        <w:autoSpaceDE/>
        <w:autoSpaceDN/>
        <w:bidi w:val="0"/>
        <w:adjustRightInd/>
        <w:snapToGrid/>
        <w:spacing w:line="240" w:lineRule="auto"/>
        <w:rPr>
          <w:rFonts w:hint="eastAsia" w:ascii="宋体" w:hAnsi="宋体" w:eastAsia="宋体" w:cs="宋体"/>
          <w:b/>
          <w:sz w:val="28"/>
          <w:szCs w:val="28"/>
          <w:lang w:eastAsia="zh-CN"/>
        </w:rPr>
      </w:pPr>
      <w:r>
        <w:rPr>
          <w:rFonts w:hint="eastAsia" w:ascii="宋体" w:hAnsi="宋体" w:eastAsia="宋体" w:cs="宋体"/>
          <w:b/>
          <w:sz w:val="28"/>
          <w:szCs w:val="28"/>
        </w:rPr>
        <w:t>采购</w:t>
      </w:r>
      <w:r>
        <w:rPr>
          <w:rFonts w:hint="eastAsia" w:ascii="宋体" w:hAnsi="宋体" w:eastAsia="宋体" w:cs="宋体"/>
          <w:b/>
          <w:sz w:val="28"/>
          <w:szCs w:val="28"/>
          <w:lang w:eastAsia="zh-CN"/>
        </w:rPr>
        <w:t>清单及参数</w:t>
      </w:r>
    </w:p>
    <w:tbl>
      <w:tblPr>
        <w:tblStyle w:val="37"/>
        <w:tblW w:w="9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1725"/>
        <w:gridCol w:w="4725"/>
        <w:gridCol w:w="900"/>
        <w:gridCol w:w="1098"/>
        <w:gridCol w:w="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内容</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要求</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745"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25"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土方</w:t>
            </w:r>
          </w:p>
        </w:tc>
        <w:tc>
          <w:tcPr>
            <w:tcW w:w="4725"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1、机械挖土方</w:t>
            </w:r>
            <w:r>
              <w:rPr>
                <w:rFonts w:hint="eastAsia" w:ascii="宋体" w:hAnsi="宋体" w:cs="宋体"/>
                <w:i w:val="0"/>
                <w:iCs w:val="0"/>
                <w:color w:val="000000"/>
                <w:kern w:val="0"/>
                <w:sz w:val="21"/>
                <w:szCs w:val="21"/>
                <w:u w:val="none"/>
                <w:lang w:val="en-US" w:eastAsia="zh-CN" w:bidi="ar"/>
              </w:rPr>
              <w:t>（包含沟槽土方）</w:t>
            </w:r>
            <w:r>
              <w:rPr>
                <w:rFonts w:hint="eastAsia" w:ascii="宋体" w:hAnsi="宋体" w:eastAsia="宋体" w:cs="宋体"/>
                <w:i w:val="0"/>
                <w:iCs w:val="0"/>
                <w:color w:val="000000"/>
                <w:kern w:val="0"/>
                <w:sz w:val="21"/>
                <w:szCs w:val="21"/>
                <w:u w:val="none"/>
                <w:lang w:val="en-US" w:eastAsia="zh-CN" w:bidi="ar"/>
              </w:rPr>
              <w:t>。2、土方回填</w:t>
            </w:r>
            <w:r>
              <w:rPr>
                <w:rFonts w:hint="eastAsia" w:ascii="宋体" w:hAnsi="宋体" w:cs="宋体"/>
                <w:i w:val="0"/>
                <w:iCs w:val="0"/>
                <w:color w:val="000000"/>
                <w:kern w:val="0"/>
                <w:sz w:val="21"/>
                <w:szCs w:val="21"/>
                <w:u w:val="none"/>
                <w:lang w:val="en-US" w:eastAsia="zh-CN" w:bidi="ar"/>
              </w:rPr>
              <w:t>。3、余土外运</w:t>
            </w:r>
          </w:p>
        </w:tc>
        <w:tc>
          <w:tcPr>
            <w:tcW w:w="90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1098"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30</w:t>
            </w:r>
            <w:r>
              <w:rPr>
                <w:rFonts w:hint="eastAsia" w:ascii="宋体" w:hAnsi="宋体" w:cs="宋体"/>
                <w:i w:val="0"/>
                <w:iCs w:val="0"/>
                <w:color w:val="000000"/>
                <w:kern w:val="0"/>
                <w:sz w:val="21"/>
                <w:szCs w:val="21"/>
                <w:u w:val="none"/>
                <w:lang w:val="en-US" w:eastAsia="zh-CN" w:bidi="ar"/>
              </w:rPr>
              <w:t>23</w:t>
            </w:r>
          </w:p>
        </w:tc>
        <w:tc>
          <w:tcPr>
            <w:tcW w:w="762"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场地平整</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1、机械平整。2、碾压夯实</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碎石垫层</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1、10cm厚碎石垫层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2、石料规格 ：碎石</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混凝土基础</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1、15cm厚C25商品混凝土基础2、切割伸缩缝</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排水沟</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1、断面尺寸 ：380*500~700mm</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2、基础、垫层：材料 品种、厚度 ：100厚C10混凝土垫层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3、砌体材料 ：混凝土实心砖MU10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4、砂浆强度等级 ：水泥砂浆M7.5砌筑，防水砂浆1：3内外抹面</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5、盖板材质、规格：复合排水沟盖板</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82</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砖砌集水井（500*500方形）</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1、垫层、基础材质及 厚度 ：100厚碎石垫层，100厚C20砼基础</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2、砌筑材料品种、规 格、强度等级 ：混凝土实心砖MU15水泥砂浆M10砌筑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3、勾缝、抹面要求 ：20厚水泥砂浆1：2抹面</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4、盖板材质、规格 ：复合井盖500*500*50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5、井盖、井圈材质及 规格 ：C20砼井圈含模板制作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座</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硅PU面层</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硅PU面层：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1、底层涂接触剂一道</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2、施工弹性层两道，厚约6mm</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3、加强层一道，厚约2mm</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4、面漆两道及划线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5、硅PU球场材料为中国环保产品，并获得中国环保产品认证证书以及RoHS符合性认证证书，环保性能指标应符合GB36246-2018标准。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★硅</w:t>
            </w:r>
            <w:r>
              <w:rPr>
                <w:rFonts w:hint="default" w:ascii="宋体" w:hAnsi="宋体" w:eastAsia="宋体" w:cs="宋体"/>
                <w:i w:val="0"/>
                <w:iCs w:val="0"/>
                <w:color w:val="000000"/>
                <w:kern w:val="0"/>
                <w:sz w:val="21"/>
                <w:szCs w:val="21"/>
                <w:u w:val="none"/>
                <w:lang w:val="en-US" w:eastAsia="zh-CN" w:bidi="ar"/>
              </w:rPr>
              <w:t xml:space="preserve"> PU </w:t>
            </w:r>
            <w:r>
              <w:rPr>
                <w:rFonts w:hint="eastAsia" w:ascii="宋体" w:hAnsi="宋体" w:eastAsia="宋体" w:cs="宋体"/>
                <w:i w:val="0"/>
                <w:iCs w:val="0"/>
                <w:color w:val="000000"/>
                <w:kern w:val="0"/>
                <w:sz w:val="21"/>
                <w:szCs w:val="21"/>
                <w:u w:val="none"/>
                <w:lang w:val="en-US" w:eastAsia="zh-CN" w:bidi="ar"/>
              </w:rPr>
              <w:t>面层成品获得</w:t>
            </w:r>
            <w:r>
              <w:rPr>
                <w:rFonts w:hint="default" w:ascii="宋体" w:hAnsi="宋体" w:eastAsia="宋体" w:cs="宋体"/>
                <w:i w:val="0"/>
                <w:iCs w:val="0"/>
                <w:color w:val="000000"/>
                <w:kern w:val="0"/>
                <w:sz w:val="21"/>
                <w:szCs w:val="21"/>
                <w:u w:val="none"/>
                <w:lang w:val="en-US" w:eastAsia="zh-CN" w:bidi="ar"/>
              </w:rPr>
              <w:t xml:space="preserve"> GB36246 -2018 </w:t>
            </w:r>
            <w:r>
              <w:rPr>
                <w:rFonts w:hint="eastAsia" w:ascii="宋体" w:hAnsi="宋体" w:eastAsia="宋体" w:cs="宋体"/>
                <w:i w:val="0"/>
                <w:iCs w:val="0"/>
                <w:color w:val="000000"/>
                <w:kern w:val="0"/>
                <w:sz w:val="21"/>
                <w:szCs w:val="21"/>
                <w:u w:val="none"/>
                <w:lang w:val="en-US" w:eastAsia="zh-CN" w:bidi="ar"/>
              </w:rPr>
              <w:t>标准的相关技术要求合格检测报告并加盖厂家公章；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★球场面漆经过</w:t>
            </w:r>
            <w:r>
              <w:rPr>
                <w:rFonts w:hint="default" w:ascii="宋体" w:hAnsi="宋体" w:eastAsia="宋体" w:cs="宋体"/>
                <w:i w:val="0"/>
                <w:iCs w:val="0"/>
                <w:color w:val="000000"/>
                <w:kern w:val="0"/>
                <w:sz w:val="21"/>
                <w:szCs w:val="21"/>
                <w:u w:val="none"/>
                <w:lang w:val="en-US" w:eastAsia="zh-CN" w:bidi="ar"/>
              </w:rPr>
              <w:t>6000</w:t>
            </w:r>
            <w:r>
              <w:rPr>
                <w:rFonts w:hint="eastAsia" w:ascii="宋体" w:hAnsi="宋体" w:eastAsia="宋体" w:cs="宋体"/>
                <w:i w:val="0"/>
                <w:iCs w:val="0"/>
                <w:color w:val="000000"/>
                <w:kern w:val="0"/>
                <w:sz w:val="21"/>
                <w:szCs w:val="21"/>
                <w:u w:val="none"/>
                <w:lang w:val="en-US" w:eastAsia="zh-CN" w:bidi="ar"/>
              </w:rPr>
              <w:t>次的耐洗刷测试，外观均能保持底材不暴露状态，提供依据</w:t>
            </w:r>
            <w:r>
              <w:rPr>
                <w:rFonts w:hint="default" w:ascii="宋体" w:hAnsi="宋体" w:eastAsia="宋体" w:cs="宋体"/>
                <w:i w:val="0"/>
                <w:iCs w:val="0"/>
                <w:color w:val="000000"/>
                <w:kern w:val="0"/>
                <w:sz w:val="21"/>
                <w:szCs w:val="21"/>
                <w:u w:val="none"/>
                <w:lang w:val="en-US" w:eastAsia="zh-CN" w:bidi="ar"/>
              </w:rPr>
              <w:t>GB/T9266-2009</w:t>
            </w:r>
            <w:r>
              <w:rPr>
                <w:rFonts w:hint="eastAsia" w:ascii="宋体" w:hAnsi="宋体" w:eastAsia="宋体" w:cs="宋体"/>
                <w:i w:val="0"/>
                <w:iCs w:val="0"/>
                <w:color w:val="000000"/>
                <w:kern w:val="0"/>
                <w:sz w:val="21"/>
                <w:szCs w:val="21"/>
                <w:u w:val="none"/>
                <w:lang w:val="en-US" w:eastAsia="zh-CN" w:bidi="ar"/>
              </w:rPr>
              <w:t>标准测试的具有</w:t>
            </w:r>
            <w:r>
              <w:rPr>
                <w:rFonts w:hint="default" w:ascii="宋体" w:hAnsi="宋体" w:eastAsia="宋体" w:cs="宋体"/>
                <w:i w:val="0"/>
                <w:iCs w:val="0"/>
                <w:color w:val="000000"/>
                <w:kern w:val="0"/>
                <w:sz w:val="21"/>
                <w:szCs w:val="21"/>
                <w:u w:val="none"/>
                <w:lang w:val="en-US" w:eastAsia="zh-CN" w:bidi="ar"/>
              </w:rPr>
              <w:t>“CMA”</w:t>
            </w:r>
            <w:r>
              <w:rPr>
                <w:rFonts w:hint="eastAsia" w:ascii="宋体" w:hAnsi="宋体" w:eastAsia="宋体" w:cs="宋体"/>
                <w:i w:val="0"/>
                <w:iCs w:val="0"/>
                <w:color w:val="000000"/>
                <w:kern w:val="0"/>
                <w:sz w:val="21"/>
                <w:szCs w:val="21"/>
                <w:u w:val="none"/>
                <w:lang w:val="en-US" w:eastAsia="zh-CN" w:bidi="ar"/>
              </w:rPr>
              <w:t>资质的检测机构出具的测试合格报告并加盖厂家公章。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★球场材料安全健康，不滋生细菌，要求球场面层成品具有抗细菌性能，对抗大肠杆菌、金黄色葡萄球菌、肺炎克雷伯氏菌、铜绿假单胞菌能达到</w:t>
            </w:r>
            <w:r>
              <w:rPr>
                <w:rFonts w:hint="default" w:ascii="宋体" w:hAnsi="宋体" w:eastAsia="宋体" w:cs="宋体"/>
                <w:i w:val="0"/>
                <w:iCs w:val="0"/>
                <w:color w:val="000000"/>
                <w:kern w:val="0"/>
                <w:sz w:val="21"/>
                <w:szCs w:val="21"/>
                <w:u w:val="none"/>
                <w:lang w:val="en-US" w:eastAsia="zh-CN" w:bidi="ar"/>
              </w:rPr>
              <w:t>99%</w:t>
            </w:r>
            <w:r>
              <w:rPr>
                <w:rFonts w:hint="eastAsia" w:ascii="宋体" w:hAnsi="宋体" w:eastAsia="宋体" w:cs="宋体"/>
                <w:i w:val="0"/>
                <w:iCs w:val="0"/>
                <w:color w:val="000000"/>
                <w:kern w:val="0"/>
                <w:sz w:val="21"/>
                <w:szCs w:val="21"/>
                <w:u w:val="none"/>
                <w:lang w:val="en-US" w:eastAsia="zh-CN" w:bidi="ar"/>
              </w:rPr>
              <w:t>以上，且经过</w:t>
            </w:r>
            <w:r>
              <w:rPr>
                <w:rFonts w:hint="default" w:ascii="宋体" w:hAnsi="宋体" w:eastAsia="宋体" w:cs="宋体"/>
                <w:i w:val="0"/>
                <w:iCs w:val="0"/>
                <w:color w:val="000000"/>
                <w:kern w:val="0"/>
                <w:sz w:val="21"/>
                <w:szCs w:val="21"/>
                <w:u w:val="none"/>
                <w:lang w:val="en-US" w:eastAsia="zh-CN" w:bidi="ar"/>
              </w:rPr>
              <w:t>100h</w:t>
            </w:r>
            <w:r>
              <w:rPr>
                <w:rFonts w:hint="eastAsia" w:ascii="宋体" w:hAnsi="宋体" w:eastAsia="宋体" w:cs="宋体"/>
                <w:i w:val="0"/>
                <w:iCs w:val="0"/>
                <w:color w:val="000000"/>
                <w:kern w:val="0"/>
                <w:sz w:val="21"/>
                <w:szCs w:val="21"/>
                <w:u w:val="none"/>
                <w:lang w:val="en-US" w:eastAsia="zh-CN" w:bidi="ar"/>
              </w:rPr>
              <w:t>紫外灯照射测试抗菌耐久性测试后，抗菌效果能达到</w:t>
            </w:r>
            <w:r>
              <w:rPr>
                <w:rFonts w:hint="default" w:ascii="宋体" w:hAnsi="宋体" w:eastAsia="宋体" w:cs="宋体"/>
                <w:i w:val="0"/>
                <w:iCs w:val="0"/>
                <w:color w:val="000000"/>
                <w:kern w:val="0"/>
                <w:sz w:val="21"/>
                <w:szCs w:val="21"/>
                <w:u w:val="none"/>
                <w:lang w:val="en-US" w:eastAsia="zh-CN" w:bidi="ar"/>
              </w:rPr>
              <w:t>95%</w:t>
            </w:r>
            <w:r>
              <w:rPr>
                <w:rFonts w:hint="eastAsia" w:ascii="宋体" w:hAnsi="宋体" w:eastAsia="宋体" w:cs="宋体"/>
                <w:i w:val="0"/>
                <w:iCs w:val="0"/>
                <w:color w:val="000000"/>
                <w:kern w:val="0"/>
                <w:sz w:val="21"/>
                <w:szCs w:val="21"/>
                <w:u w:val="none"/>
                <w:lang w:val="en-US" w:eastAsia="zh-CN" w:bidi="ar"/>
              </w:rPr>
              <w:t>以上，提供具有</w:t>
            </w:r>
            <w:r>
              <w:rPr>
                <w:rFonts w:hint="default" w:ascii="宋体" w:hAnsi="宋体" w:eastAsia="宋体" w:cs="宋体"/>
                <w:i w:val="0"/>
                <w:iCs w:val="0"/>
                <w:color w:val="000000"/>
                <w:kern w:val="0"/>
                <w:sz w:val="21"/>
                <w:szCs w:val="21"/>
                <w:u w:val="none"/>
                <w:lang w:val="en-US" w:eastAsia="zh-CN" w:bidi="ar"/>
              </w:rPr>
              <w:t>“CMA”</w:t>
            </w:r>
            <w:r>
              <w:rPr>
                <w:rFonts w:hint="eastAsia" w:ascii="宋体" w:hAnsi="宋体" w:eastAsia="宋体" w:cs="宋体"/>
                <w:i w:val="0"/>
                <w:iCs w:val="0"/>
                <w:color w:val="000000"/>
                <w:kern w:val="0"/>
                <w:sz w:val="21"/>
                <w:szCs w:val="21"/>
                <w:u w:val="none"/>
                <w:lang w:val="en-US" w:eastAsia="zh-CN" w:bidi="ar"/>
              </w:rPr>
              <w:t>资质检测机构出具的依据</w:t>
            </w:r>
            <w:r>
              <w:rPr>
                <w:rFonts w:hint="default" w:ascii="宋体" w:hAnsi="宋体" w:eastAsia="宋体" w:cs="宋体"/>
                <w:i w:val="0"/>
                <w:iCs w:val="0"/>
                <w:color w:val="000000"/>
                <w:kern w:val="0"/>
                <w:sz w:val="21"/>
                <w:szCs w:val="21"/>
                <w:u w:val="none"/>
                <w:lang w:val="en-US" w:eastAsia="zh-CN" w:bidi="ar"/>
              </w:rPr>
              <w:t>HG/T3950-2007</w:t>
            </w:r>
            <w:r>
              <w:rPr>
                <w:rFonts w:hint="eastAsia" w:ascii="宋体" w:hAnsi="宋体" w:eastAsia="宋体" w:cs="宋体"/>
                <w:i w:val="0"/>
                <w:iCs w:val="0"/>
                <w:color w:val="000000"/>
                <w:kern w:val="0"/>
                <w:sz w:val="21"/>
                <w:szCs w:val="21"/>
                <w:u w:val="none"/>
                <w:lang w:val="en-US" w:eastAsia="zh-CN" w:bidi="ar"/>
              </w:rPr>
              <w:t>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★球场面层符合国际篮联（</w:t>
            </w:r>
            <w:r>
              <w:rPr>
                <w:rFonts w:hint="default" w:ascii="宋体" w:hAnsi="宋体" w:eastAsia="宋体" w:cs="宋体"/>
                <w:i w:val="0"/>
                <w:iCs w:val="0"/>
                <w:color w:val="000000"/>
                <w:kern w:val="0"/>
                <w:sz w:val="21"/>
                <w:szCs w:val="21"/>
                <w:u w:val="none"/>
                <w:lang w:val="en-US" w:eastAsia="zh-CN" w:bidi="ar"/>
              </w:rPr>
              <w:t>FIBA</w:t>
            </w:r>
            <w:r>
              <w:rPr>
                <w:rFonts w:hint="eastAsia" w:ascii="宋体" w:hAnsi="宋体" w:eastAsia="宋体" w:cs="宋体"/>
                <w:i w:val="0"/>
                <w:iCs w:val="0"/>
                <w:color w:val="000000"/>
                <w:kern w:val="0"/>
                <w:sz w:val="21"/>
                <w:szCs w:val="21"/>
                <w:u w:val="none"/>
                <w:lang w:val="en-US" w:eastAsia="zh-CN" w:bidi="ar"/>
              </w:rPr>
              <w:t>）对永久合成塑胶类地板的要求，冲击吸收≧</w:t>
            </w:r>
            <w:r>
              <w:rPr>
                <w:rFonts w:hint="default" w:ascii="宋体" w:hAnsi="宋体" w:eastAsia="宋体" w:cs="宋体"/>
                <w:i w:val="0"/>
                <w:iCs w:val="0"/>
                <w:color w:val="000000"/>
                <w:kern w:val="0"/>
                <w:sz w:val="21"/>
                <w:szCs w:val="21"/>
                <w:u w:val="none"/>
                <w:lang w:val="en-US" w:eastAsia="zh-CN" w:bidi="ar"/>
              </w:rPr>
              <w:t>25%</w:t>
            </w:r>
            <w:r>
              <w:rPr>
                <w:rFonts w:hint="eastAsia" w:ascii="宋体" w:hAnsi="宋体" w:eastAsia="宋体" w:cs="宋体"/>
                <w:i w:val="0"/>
                <w:iCs w:val="0"/>
                <w:color w:val="000000"/>
                <w:kern w:val="0"/>
                <w:sz w:val="21"/>
                <w:szCs w:val="21"/>
                <w:u w:val="none"/>
                <w:lang w:val="en-US" w:eastAsia="zh-CN" w:bidi="ar"/>
              </w:rPr>
              <w:t>，垂直变形＜</w:t>
            </w:r>
            <w:r>
              <w:rPr>
                <w:rFonts w:hint="default" w:ascii="宋体" w:hAnsi="宋体" w:eastAsia="宋体" w:cs="宋体"/>
                <w:i w:val="0"/>
                <w:iCs w:val="0"/>
                <w:color w:val="000000"/>
                <w:kern w:val="0"/>
                <w:sz w:val="21"/>
                <w:szCs w:val="21"/>
                <w:u w:val="none"/>
                <w:lang w:val="en-US" w:eastAsia="zh-CN" w:bidi="ar"/>
              </w:rPr>
              <w:t>3.5mm</w:t>
            </w:r>
            <w:r>
              <w:rPr>
                <w:rFonts w:hint="eastAsia" w:ascii="宋体" w:hAnsi="宋体" w:eastAsia="宋体" w:cs="宋体"/>
                <w:i w:val="0"/>
                <w:iCs w:val="0"/>
                <w:color w:val="000000"/>
                <w:kern w:val="0"/>
                <w:sz w:val="21"/>
                <w:szCs w:val="21"/>
                <w:u w:val="none"/>
                <w:lang w:val="en-US" w:eastAsia="zh-CN" w:bidi="ar"/>
              </w:rPr>
              <w:t>，垂直球反弹≧</w:t>
            </w:r>
            <w:r>
              <w:rPr>
                <w:rFonts w:hint="default" w:ascii="宋体" w:hAnsi="宋体" w:eastAsia="宋体" w:cs="宋体"/>
                <w:i w:val="0"/>
                <w:iCs w:val="0"/>
                <w:color w:val="000000"/>
                <w:kern w:val="0"/>
                <w:sz w:val="21"/>
                <w:szCs w:val="21"/>
                <w:u w:val="none"/>
                <w:lang w:val="en-US" w:eastAsia="zh-CN" w:bidi="ar"/>
              </w:rPr>
              <w:t>90%</w:t>
            </w:r>
            <w:r>
              <w:rPr>
                <w:rFonts w:hint="eastAsia" w:ascii="宋体" w:hAnsi="宋体" w:eastAsia="宋体" w:cs="宋体"/>
                <w:i w:val="0"/>
                <w:iCs w:val="0"/>
                <w:color w:val="000000"/>
                <w:kern w:val="0"/>
                <w:sz w:val="21"/>
                <w:szCs w:val="21"/>
                <w:u w:val="none"/>
                <w:lang w:val="en-US" w:eastAsia="zh-CN" w:bidi="ar"/>
              </w:rPr>
              <w:t>，滑动性能（干态）</w:t>
            </w:r>
            <w:r>
              <w:rPr>
                <w:rFonts w:hint="default" w:ascii="宋体" w:hAnsi="宋体" w:eastAsia="宋体" w:cs="宋体"/>
                <w:i w:val="0"/>
                <w:iCs w:val="0"/>
                <w:color w:val="000000"/>
                <w:kern w:val="0"/>
                <w:sz w:val="21"/>
                <w:szCs w:val="21"/>
                <w:u w:val="none"/>
                <w:lang w:val="en-US" w:eastAsia="zh-CN" w:bidi="ar"/>
              </w:rPr>
              <w:t>80-110</w:t>
            </w:r>
            <w:r>
              <w:rPr>
                <w:rFonts w:hint="eastAsia" w:ascii="宋体" w:hAnsi="宋体" w:eastAsia="宋体" w:cs="宋体"/>
                <w:i w:val="0"/>
                <w:iCs w:val="0"/>
                <w:color w:val="000000"/>
                <w:kern w:val="0"/>
                <w:sz w:val="21"/>
                <w:szCs w:val="21"/>
                <w:u w:val="none"/>
                <w:lang w:val="en-US" w:eastAsia="zh-CN" w:bidi="ar"/>
              </w:rPr>
              <w:t>，并提供国际篮联授权实验室出具的测试报告并加盖厂家公章。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▲需提供厂家授权书并加盖厂家公章。</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专业球场灯</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1、灯具输入电压：AC100-220V,50/60 Hz，灯具功率200W±3.5%，整灯光通量≥25200Lm，灯具效能≥123lm/w，色温5000K±150K，功率因数≥0.98，一般显色指数≥83，特殊显色指数R9≥10，色品容差≤3。</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2、灯具采用SMD芯片封装技术，选用低热阻、散热良好、耐高温、抗高压及高折射率封装材料,提高出光效率及降低热阻。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lang w:val="en-US" w:eastAsia="zh-CN"/>
              </w:rPr>
            </w:pPr>
            <w:r>
              <w:rPr>
                <w:rFonts w:hint="eastAsia" w:ascii="宋体" w:hAnsi="宋体" w:eastAsia="宋体" w:cs="宋体"/>
                <w:i w:val="0"/>
                <w:iCs w:val="0"/>
                <w:color w:val="000000"/>
                <w:kern w:val="0"/>
                <w:sz w:val="21"/>
                <w:szCs w:val="21"/>
                <w:u w:val="none"/>
                <w:lang w:val="en-US" w:eastAsia="zh-CN" w:bidi="ar"/>
              </w:rPr>
              <w:t>3、防尘、防固体异物和防水等级为IP66，防水结构设计+高阻丝硅胶防水圈设计，双重保护，更安全。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★灯具表面粉末符合电子电器产品中限用物质（Cd、Pb、Hg、Cr、PBBs、PBDEs 等）的限量要求，提供第三方检测机构出具的具有CMA和CNAS标志的检测报告并加盖厂家公章。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★LED灯具散热器应具有良好防碱腐蚀性，通过不低于1500H耐碱测试，测试后灰卡变化等级≥5级，无开裂、无起泡、无变形。提供第三方检测机构出具的具有CMA和CNAS标志的检测报告并加盖厂家公章。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★石墨烯散热性能：LED芯片焊点温度（TS）和散热器表面温度的温差不大于5℃，提供第三方3测机构出具的检测报告并加盖厂家公章。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▲需提供厂家授权书并加盖厂家公章。</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盏</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7米高灯柱</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1.材质：热镀锌钢结构型材，表面经超候聚酯粉末喷涂，颜色十年不褪色；</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2.规格：直径114*3.5mm；</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3.灯柱高度：</w:t>
            </w:r>
            <w:r>
              <w:rPr>
                <w:rFonts w:hint="eastAsia" w:ascii="宋体" w:hAnsi="宋体" w:cs="宋体"/>
                <w:i w:val="0"/>
                <w:iCs w:val="0"/>
                <w:color w:val="000000"/>
                <w:kern w:val="0"/>
                <w:sz w:val="21"/>
                <w:szCs w:val="21"/>
                <w:u w:val="none"/>
                <w:lang w:val="en-US" w:eastAsia="zh-CN" w:bidi="ar"/>
              </w:rPr>
              <w:t>6350</w:t>
            </w:r>
            <w:r>
              <w:rPr>
                <w:rFonts w:hint="eastAsia" w:ascii="宋体" w:hAnsi="宋体" w:eastAsia="宋体" w:cs="宋体"/>
                <w:i w:val="0"/>
                <w:iCs w:val="0"/>
                <w:color w:val="000000"/>
                <w:kern w:val="0"/>
                <w:sz w:val="21"/>
                <w:szCs w:val="21"/>
                <w:u w:val="none"/>
                <w:lang w:val="en-US" w:eastAsia="zh-CN" w:bidi="ar"/>
              </w:rPr>
              <w:t>mm，其中</w:t>
            </w:r>
            <w:r>
              <w:rPr>
                <w:rFonts w:hint="eastAsia" w:ascii="宋体" w:hAnsi="宋体" w:cs="宋体"/>
                <w:i w:val="0"/>
                <w:iCs w:val="0"/>
                <w:color w:val="000000"/>
                <w:kern w:val="0"/>
                <w:sz w:val="21"/>
                <w:szCs w:val="21"/>
                <w:u w:val="none"/>
                <w:lang w:val="en-US" w:eastAsia="zh-CN" w:bidi="ar"/>
              </w:rPr>
              <w:t>65</w:t>
            </w:r>
            <w:r>
              <w:rPr>
                <w:rFonts w:hint="eastAsia" w:ascii="宋体" w:hAnsi="宋体" w:eastAsia="宋体" w:cs="宋体"/>
                <w:i w:val="0"/>
                <w:iCs w:val="0"/>
                <w:color w:val="000000"/>
                <w:kern w:val="0"/>
                <w:sz w:val="21"/>
                <w:szCs w:val="21"/>
                <w:u w:val="none"/>
                <w:lang w:val="en-US" w:eastAsia="zh-CN" w:bidi="ar"/>
              </w:rPr>
              <w:t>0mm为预埋部分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4.颜色：墨绿色</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12</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 ：铜芯电力电缆敷设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2、型号 ：YJV-0.6  3×4</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3、敷设方式、部位 ：穿管敷设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4、电压（kV) ：1KV</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电缆保护管</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 ：电缆保护管敷设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2、型号 ：De32*1.8 PE电线电缆护套管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3、敷设方式 ：地埋敷设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4、接地</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配电箱</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 ：成套配电箱安装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2、型号 ：AL配电箱（非标，铁壳），包括除电表外所有箱内元件、箱的安装、盘柜配线及外部接线、浪涌等接地装置、微电脑定时控制器等）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3、安装方式 ：墙上暗装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4、接线端子材质、规 格 ：焊铜接地端子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5、端子板外部接线 材质、规格：详见系统图</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组合式围网</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球场框架：框架管材使用热镀锌防护层，高温喷涂处理工艺，全方位抗锈；立柱不小于Ф76mm，壁厚不小于3mm，横管不小于Ф60mm，壁厚不小于2.5mm；整体围网采用无菱角、半圆弧形的铝合金扁铝（宽20mm×厚4mm）固定在横杆、立柱上，框架颜色为墨绿色。采用直插预埋方式，铝合金预埋件尺寸Ф81×1.5×450mm，立柱预埋深度不小于400mm。采用铸铝扣件在钢管之间相互连接，扣件采用前后组合式安装，扣件形状为两个弧形罩，以立柱双边扣：长260*高110*壁厚3.5mm,尺寸正负公差值为2mm。包塑围网采用高密度原料，HDPE为基料，添加防老化母粒、抗紫外线母粒、色母粒等各种助剂，表面光滑细腻，耐腐蚀、耐高温。镀锌铁丝内径Ф2.3±0.05mm，包塑后Ф3.6±0.15mm，网孔45±3mm；</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★组合式围网整体符合GB19272-2011标准，在立柱1500mm高处水平方向加2000N静负荷保持1分钟后，立柱没有任何方向的倾斜、翻倒或 较明显的永久性变形，提供第三方检测中心出具的具有CMA、CNAS标志的检测报告并加盖厂家公章。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★组合式围网中的包塑围网经过≥360h耐湿热性试验后，无生锈、无起泡、无开裂、无剥落，提供第三方检测中心出具的具有CMA、CNAS标志的检测报告并加盖厂家公章。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★组合式围网中的包塑围网经过≥1000h耐酸性试验后，无生锈、无起泡、无开裂、无剥落，提供第三方检测中心出具的具有CMA、CNAS标志的检测报告并加盖厂家公章。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▲需提供厂家授权书并加盖厂家公章。</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328</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铝合金进出口门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合金进出口门：场地设有单开门或双开门，单开门尺寸不小于1.0m宽、2.0m高，双开门尺寸不小于2.2m宽、2.33m高，门四周采用不小于80*50mm，管壁厚度不小于2.0mm的优质方型铝型材为边框，内嵌包塑围网，防止刮伤。围网全部螺栓做防锈处理，保证产品全天候环境使用。</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扇</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羽毛球架</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羽毛球底座采用铸件，底部配有防滑、防震垫，增强底座的稳定性。羽毛球柱底座装有PU滚轮，移动方便且不损伤地板。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 羽毛球柱立柱选用Φ40×5mm优质无缝管制作，一根立柱上置有系绳柱，系网方便   </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气排球架</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气排球柱外立柱选用φ89×3.75优质焊管，内立柱选用φ70异型管材制作，通过高度调节销使内立柱上下移动，实现网高调节高度：2.15m、2.24m、2.35m、2.43m；</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整理绿化用地</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绿化用地细整理，杂草清除</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种植土回（换）填</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优质种植土换填</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m3</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3"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栽植乔木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1、种类 ：合欢</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2、胸径或干径 ：d13-15</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3、株高、冠径 ：H450-550 P300-350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栽植灌木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1、种类 ：金森女贞球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2、冠丛高 ：H100-120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3、蓬径 ：P100-120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栽植灌木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1、种类 ：龟甲冬青球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2、冠丛高 ：H100-120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3、蓬径 ：P100-120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栽植灌木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1、种类 ：茶花</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2、冠丛高 ：H150-200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3、蓬径 ：P120-150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铺种草皮</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1、草皮种类 ：马尼拉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2、铺种方式 ：满铺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乔木移植</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公园边一批乔木需按照采购人要求进行移植，具体数量按照实际发生计算，暂定金额30000元，不得优惠让利</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施工便道费用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施工场地无道路，需自行处理材料进场和场地恢复，由投标单位自行前往踏勘，费用一次性包干</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955" w:type="dxa"/>
            <w:gridSpan w:val="6"/>
            <w:tcBorders>
              <w:top w:val="single" w:color="000000" w:sz="4" w:space="0"/>
              <w:left w:val="single" w:color="000000" w:sz="4" w:space="0"/>
              <w:bottom w:val="single" w:color="000000" w:sz="4" w:space="0"/>
              <w:right w:val="single" w:color="AAAAAA"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  博园门球场地体育设施采购清单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内容</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要求</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单位</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土方</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numPr>
                <w:ilvl w:val="0"/>
                <w:numId w:val="27"/>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机械挖土方（包含沟槽土方）。</w:t>
            </w:r>
          </w:p>
          <w:p>
            <w:pPr>
              <w:keepNext w:val="0"/>
              <w:keepLines w:val="0"/>
              <w:pageBreakBefore w:val="0"/>
              <w:widowControl/>
              <w:numPr>
                <w:ilvl w:val="0"/>
                <w:numId w:val="27"/>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土方回填。</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3、余土外运</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m3</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746</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场地平整</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1、机械平整。2、碾压夯实</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456</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门球场地人造草坪</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1、人工草坪，草高13mm</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2、彩色环保TPE橡胶颗粒（石英沙填充量：25kg/平方，40到50目圆润无棱角）含标线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3、人造草坪缓冲垫</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4、150mm厚C25混凝土基层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5、150mm厚级配碎石垫层，夯实度≥95%</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素土夯实，夯实度≥95%</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人造草坪产品须提供权威机构依据EPA标准出具关于长链氯化石蜡（LCCP）、中链氯化石蜡（MCCP）、短链氯化石蜡（SCCP）的检测报告并加盖厂家公章，且检测结果均为未检出，报告封面需加盖“CNAS、ILAC”资质章；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人造草坪企业提供国际足联指定实验室（labosport或者sportslabs或者ISA）出具的人造草坪系统面层分别在干燥、湿润状态下，足球角度球反弹45-80%，足球球滚动均达4-8m，曲棍球球滚动均≥5m，足球垂直球反弹均达0.6-0.85m，曲棍球球反弹均≥75mm的检测报告并加盖厂家公章；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★人造草坪企业提供权威检测机构依据出具人造草坪系统面层经过lisport XL 1万转耐磨测试后垂直球反弹0.6-0.85m，球滚动4-9m，冲击吸收62%-68%,垂直变形6-10mm，旋转阻力25Nm-50Nm，皮肤磨损正负30%以内，HIC大于等于1.3m检测报告并加盖厂家公章；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lang w:val="en-US" w:eastAsia="zh-CN"/>
              </w:rPr>
            </w:pPr>
            <w:r>
              <w:rPr>
                <w:rFonts w:hint="eastAsia" w:ascii="宋体" w:hAnsi="宋体" w:eastAsia="宋体" w:cs="宋体"/>
                <w:i w:val="0"/>
                <w:iCs w:val="0"/>
                <w:color w:val="000000"/>
                <w:kern w:val="0"/>
                <w:sz w:val="21"/>
                <w:szCs w:val="21"/>
                <w:u w:val="none"/>
                <w:lang w:val="en-US" w:eastAsia="zh-CN" w:bidi="ar"/>
              </w:rPr>
              <w:t xml:space="preserve">▲需提供厂家授权书并加盖厂家公章。 </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456</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喷灌管线安装</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1、管道附件、阀门、 喷头品种、规格 ：地埋式旋转喷头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喷灌配件安装</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1、管道品种、规格 ：PPR塑料给水管DN25</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门球场球门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Φ10圆钢制作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休息廊架</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1、C10混凝土垫层，C25钢筋混凝土独立基础2、混凝土柱、梁面喷仿石青色紫晶喷漆（粗点）3、连梁喷仿驼灰色紫晶喷漆（粗点）4、顶部防腐木条（100*150*3000）</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座</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外围挡墙</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1、150厚碎石垫层 2、150厚C15混凝土垫层 3、MU5水泥砂浆砌筑混凝土实心砖基础 4、240*120*60青砖水泥砂浆M7.5砌筑，水泥砂浆表面勾缝</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84</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排水沟</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1、断面尺寸 ：380*500~700mm</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2、基础、垫层：材料 品种、厚度 ：100厚C10混凝土垫层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3、砌体材料 ：混凝土实心砖MU10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4、砂浆强度等级 ：水泥砂浆M7.5砌筑，防水砂浆1：3内外抹面</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5、盖板材质、规格：复合排水沟盖板</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92</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入口安全须牌</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处</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人行道场地平整</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1、机械平整。2、碾压夯实</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入口铺装</w:t>
            </w:r>
            <w:r>
              <w:rPr>
                <w:rFonts w:hint="eastAsia" w:ascii="宋体" w:hAnsi="宋体" w:eastAsia="宋体" w:cs="宋体"/>
                <w:i w:val="0"/>
                <w:iCs w:val="0"/>
                <w:color w:val="000000"/>
                <w:kern w:val="0"/>
                <w:sz w:val="21"/>
                <w:szCs w:val="21"/>
                <w:u w:val="none"/>
                <w:lang w:val="en-US" w:eastAsia="zh-CN" w:bidi="ar"/>
              </w:rPr>
              <w:tab/>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1、块料品种、规格 ：50厚花岗岩板（具体样式由业主定）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2、基础、垫层：材料 品种、厚度 ：100厚碎石垫层，150厚C25混凝土基础</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专业球场灯</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1、灯具输入电压：AC100-220V,50/60 Hz，灯具功率200W±3.5%，整灯光通量≥25200Lm，灯具效能≥123lm/w，色温5000K±150K，功率因数≥0.98，一般显色指数≥83，特殊显色指数R9≥10，色品容差≤3。</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2、灯具采用SMD芯片封装技术，选用低热阻、散热良好、耐高温、抗高压及高折射率封装材料,提高出光效率及降低热阻。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lang w:val="en-US" w:eastAsia="zh-CN"/>
              </w:rPr>
            </w:pPr>
            <w:r>
              <w:rPr>
                <w:rFonts w:hint="eastAsia" w:ascii="宋体" w:hAnsi="宋体" w:eastAsia="宋体" w:cs="宋体"/>
                <w:i w:val="0"/>
                <w:iCs w:val="0"/>
                <w:color w:val="000000"/>
                <w:kern w:val="0"/>
                <w:sz w:val="21"/>
                <w:szCs w:val="21"/>
                <w:u w:val="none"/>
                <w:lang w:val="en-US" w:eastAsia="zh-CN" w:bidi="ar"/>
              </w:rPr>
              <w:t>3、防尘、防固体异物和防水等级为IP66，防水结构设计+高阻丝硅胶防水圈设计，双重保护，更安全。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★灯具表面粉末符合电子电器产品中限用物质（Cd、Pb、Hg、Cr、PBBs、PBDEs 等）的限量要求，提供第三方检测机构出具的具有CMA和CNAS标志的检测报告并加盖厂家公章。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★LED灯具散热器应具有良好防碱腐蚀性，通过不低于1500H耐碱测试，测试后灰卡变化等级≥5级，无开裂、无起泡、无变形。提供第三方检测机构出具的具有CMA和CNAS标志的检测报告并加盖厂家公章。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★石墨烯散热性能：LED芯片焊点温度（TS）和散热器表面温度的温差不大于5℃，提供第三方3测机构出具的检测报告并加盖厂家公章。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▲需提供厂家授权书并加盖厂家公章。</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盏</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7米高灯柱</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1.材质：热镀锌钢结构型材，表面经超候聚酯粉末喷涂，颜色十年不褪色；</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2.规格：直径114*3.5mm；</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3.灯柱高度：</w:t>
            </w:r>
            <w:r>
              <w:rPr>
                <w:rFonts w:hint="eastAsia" w:ascii="宋体" w:hAnsi="宋体" w:cs="宋体"/>
                <w:i w:val="0"/>
                <w:iCs w:val="0"/>
                <w:color w:val="000000"/>
                <w:kern w:val="0"/>
                <w:sz w:val="21"/>
                <w:szCs w:val="21"/>
                <w:u w:val="none"/>
                <w:lang w:val="en-US" w:eastAsia="zh-CN" w:bidi="ar"/>
              </w:rPr>
              <w:t>6350</w:t>
            </w:r>
            <w:r>
              <w:rPr>
                <w:rFonts w:hint="eastAsia" w:ascii="宋体" w:hAnsi="宋体" w:eastAsia="宋体" w:cs="宋体"/>
                <w:i w:val="0"/>
                <w:iCs w:val="0"/>
                <w:color w:val="000000"/>
                <w:kern w:val="0"/>
                <w:sz w:val="21"/>
                <w:szCs w:val="21"/>
                <w:u w:val="none"/>
                <w:lang w:val="en-US" w:eastAsia="zh-CN" w:bidi="ar"/>
              </w:rPr>
              <w:t>mm，其中</w:t>
            </w:r>
            <w:r>
              <w:rPr>
                <w:rFonts w:hint="eastAsia" w:ascii="宋体" w:hAnsi="宋体" w:cs="宋体"/>
                <w:i w:val="0"/>
                <w:iCs w:val="0"/>
                <w:color w:val="000000"/>
                <w:kern w:val="0"/>
                <w:sz w:val="21"/>
                <w:szCs w:val="21"/>
                <w:u w:val="none"/>
                <w:lang w:val="en-US" w:eastAsia="zh-CN" w:bidi="ar"/>
              </w:rPr>
              <w:t>650</w:t>
            </w:r>
            <w:r>
              <w:rPr>
                <w:rFonts w:hint="eastAsia" w:ascii="宋体" w:hAnsi="宋体" w:eastAsia="宋体" w:cs="宋体"/>
                <w:i w:val="0"/>
                <w:iCs w:val="0"/>
                <w:color w:val="000000"/>
                <w:kern w:val="0"/>
                <w:sz w:val="21"/>
                <w:szCs w:val="21"/>
                <w:u w:val="none"/>
                <w:lang w:val="en-US" w:eastAsia="zh-CN" w:bidi="ar"/>
              </w:rPr>
              <w:t>mm为预埋部分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4.颜色：墨绿色</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配电箱</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 ：成套配电箱安装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2、型号 ：AL配电箱（非标，铁壳），包括除电表外所有箱内元件、箱的安装、盘柜配线及外部接线、浪涌等接地装置、微电脑定时控制器等）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3、安装方式 ：墙上暗装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4、接线端子材质、规 格 ：焊铜接地端子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5、端子板外部接线 材质、规格：详见系统图</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 ：铜芯电力电缆敷设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2、型号 ：YJV-0.6  3×4</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3、敷设方式、部位 ：穿管敷设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4、电压（kV) ：1KV</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电缆保护管</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 ：电缆保护管敷设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2、型号 ：De32*1.8 PE电线电缆护套管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3、敷设方式 ：地埋敷设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4、接地</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整理绿化用地</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绿化用地细整理，杂草清除</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245</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种植土回（换）填</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优质种植土换填</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m3</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147</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栽植乔木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1、种类 ：红枫</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2、胸径或干径 ：d13-15</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3、株高、冠径 ：H450-550 P300-350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栽植灌木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1、种类 ：金森女贞球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2、冠丛高 ：H100-120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3、蓬径 ：P100-120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栽植灌木</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1、种类 ：龟甲冬青球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2、冠丛高 ：H100-120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3、蓬径 ：P100-120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株</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7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铺种草皮</w:t>
            </w:r>
          </w:p>
        </w:tc>
        <w:tc>
          <w:tcPr>
            <w:tcW w:w="4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1、草皮种类 ：马尼拉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2、铺种方式 ：满铺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3、养护期：两年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10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245</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i w:val="0"/>
                <w:iCs w:val="0"/>
                <w:color w:val="000000"/>
                <w:sz w:val="21"/>
                <w:szCs w:val="21"/>
                <w:u w:val="none"/>
              </w:rPr>
            </w:pP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pageBreakBefore w:val="0"/>
        <w:numPr>
          <w:ilvl w:val="0"/>
          <w:numId w:val="26"/>
        </w:numPr>
        <w:kinsoku/>
        <w:wordWrap/>
        <w:overflowPunct/>
        <w:topLinePunct w:val="0"/>
        <w:autoSpaceDE/>
        <w:autoSpaceDN/>
        <w:bidi w:val="0"/>
        <w:adjustRightInd/>
        <w:snapToGrid/>
        <w:spacing w:line="240" w:lineRule="auto"/>
        <w:ind w:left="0" w:leftChars="0" w:firstLine="562" w:firstLineChars="200"/>
        <w:rPr>
          <w:rFonts w:hint="eastAsia" w:ascii="宋体" w:hAnsi="宋体" w:eastAsia="宋体" w:cs="宋体"/>
          <w:b/>
          <w:sz w:val="28"/>
          <w:szCs w:val="28"/>
          <w:lang w:val="en-US" w:eastAsia="zh-CN"/>
        </w:rPr>
      </w:pPr>
      <w:r>
        <w:rPr>
          <w:rFonts w:hint="eastAsia" w:ascii="宋体" w:hAnsi="宋体" w:cs="宋体"/>
          <w:b/>
          <w:sz w:val="28"/>
          <w:szCs w:val="28"/>
          <w:lang w:val="en-US" w:eastAsia="zh-CN"/>
        </w:rPr>
        <w:t>硅PU</w:t>
      </w:r>
      <w:r>
        <w:rPr>
          <w:rFonts w:hint="eastAsia" w:ascii="宋体" w:hAnsi="宋体" w:eastAsia="宋体" w:cs="宋体"/>
          <w:b/>
          <w:sz w:val="28"/>
          <w:szCs w:val="28"/>
          <w:lang w:val="en-US" w:eastAsia="zh-CN"/>
        </w:rPr>
        <w:t>产品品质技术参数（执行标准）：</w:t>
      </w:r>
    </w:p>
    <w:p>
      <w:pPr>
        <w:keepNext w:val="0"/>
        <w:keepLines w:val="0"/>
        <w:pageBreakBefore w:val="0"/>
        <w:numPr>
          <w:ilvl w:val="0"/>
          <w:numId w:val="0"/>
        </w:numPr>
        <w:kinsoku/>
        <w:wordWrap/>
        <w:overflowPunct/>
        <w:topLinePunct w:val="0"/>
        <w:autoSpaceDE/>
        <w:autoSpaceDN/>
        <w:bidi w:val="0"/>
        <w:adjustRightInd/>
        <w:snapToGrid/>
        <w:spacing w:line="240" w:lineRule="auto"/>
        <w:ind w:leftChars="200"/>
        <w:rPr>
          <w:rFonts w:hint="eastAsia" w:ascii="宋体" w:hAnsi="宋体" w:eastAsia="宋体" w:cs="宋体"/>
          <w:b/>
          <w:sz w:val="28"/>
          <w:szCs w:val="28"/>
          <w:lang w:val="en-US" w:eastAsia="zh-CN"/>
        </w:rPr>
      </w:pPr>
      <w:r>
        <w:rPr>
          <w:rFonts w:hint="eastAsia" w:ascii="宋体" w:hAnsi="宋体" w:cs="宋体"/>
          <w:b/>
          <w:sz w:val="28"/>
          <w:szCs w:val="28"/>
          <w:lang w:val="en-US" w:eastAsia="zh-CN"/>
        </w:rPr>
        <w:t>（一）</w:t>
      </w:r>
      <w:r>
        <w:rPr>
          <w:rFonts w:hint="eastAsia" w:ascii="宋体" w:hAnsi="宋体" w:eastAsia="宋体" w:cs="宋体"/>
          <w:b/>
          <w:sz w:val="28"/>
          <w:szCs w:val="28"/>
          <w:lang w:val="en-US" w:eastAsia="zh-CN"/>
        </w:rPr>
        <w:t>样块性能指标（GB36246-2018）</w:t>
      </w:r>
    </w:p>
    <w:tbl>
      <w:tblPr>
        <w:tblStyle w:val="37"/>
        <w:tblW w:w="99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0"/>
        <w:gridCol w:w="3420"/>
        <w:gridCol w:w="2295"/>
        <w:gridCol w:w="30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检验项目</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冲击吸收/%（球类场地）</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0℃±2℃</w:t>
            </w:r>
          </w:p>
        </w:tc>
        <w:tc>
          <w:tcPr>
            <w:tcW w:w="309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23℃±2℃</w:t>
            </w:r>
          </w:p>
        </w:tc>
        <w:tc>
          <w:tcPr>
            <w:tcW w:w="309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50℃±2℃</w:t>
            </w:r>
          </w:p>
        </w:tc>
        <w:tc>
          <w:tcPr>
            <w:tcW w:w="309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垂直变形/mm</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抗滑值（20℃）/BPN（球类场地）</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80-110（干测）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拉伸强度/MPa（非渗水型面层）</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拉断伸长率/%</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阻燃性能/级</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115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耐人工气候老化性能（500h）</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拉伸强度/MPa（非渗水型面层）</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115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拉断伸长率/%</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3种邻苯二甲酸酯类化合物（DBP、BBP、DEHP）总和/（g/kg）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9</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3种邻苯二甲酸酯类化合物（DNOP、DINP、DIDP）总和/（g/kg）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trPr>
        <w:tc>
          <w:tcPr>
            <w:tcW w:w="115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0</w:t>
            </w:r>
          </w:p>
        </w:tc>
        <w:tc>
          <w:tcPr>
            <w:tcW w:w="5715"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18种多环芳烃总和/（mg/kg）</w:t>
            </w:r>
          </w:p>
        </w:tc>
        <w:tc>
          <w:tcPr>
            <w:tcW w:w="309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5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715"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09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苯并【a】芘/（mg/kg）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短链氯化石蜡（C10-C13）/（g/kg）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3</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4,4'-二氨基-3,3'-二氯二苯甲烷（MOCA）/（g/kg）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4</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游离甲苯二异氰酸酯（TDI）和游离六亚甲基二异氰酸酯（HDI）总和/（g/kg）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5</w:t>
            </w:r>
          </w:p>
        </w:tc>
        <w:tc>
          <w:tcPr>
            <w:tcW w:w="5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游离二苯基甲烷二异氰酸酯（MDI）/（g/kg）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6</w:t>
            </w:r>
          </w:p>
        </w:tc>
        <w:tc>
          <w:tcPr>
            <w:tcW w:w="3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有害物质释放量</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挥发性有机化合物（TVOC）/【mg/（㎡.h）】</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15"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笨/【mg/（㎡.h）】</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甲苯、二甲苯和乙苯总和/【mg/（㎡.h）】</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甲醛/【mg/（㎡.h）】</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二硫化碳/【mg/（㎡.h）】</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7</w:t>
            </w:r>
          </w:p>
        </w:tc>
        <w:tc>
          <w:tcPr>
            <w:tcW w:w="3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有害物质含量</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可溶性铅/（mg/kg）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可溶性镉/（mg/kg）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可溶性铬/（mg/kg）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可溶性汞/（mg/kg）</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8</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气味</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气味等级/级</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bl>
    <w:p>
      <w:pPr>
        <w:keepNext w:val="0"/>
        <w:keepLines w:val="0"/>
        <w:pageBreakBefore w:val="0"/>
        <w:numPr>
          <w:ilvl w:val="0"/>
          <w:numId w:val="0"/>
        </w:numPr>
        <w:kinsoku/>
        <w:wordWrap/>
        <w:overflowPunct/>
        <w:topLinePunct w:val="0"/>
        <w:autoSpaceDE/>
        <w:autoSpaceDN/>
        <w:bidi w:val="0"/>
        <w:adjustRightInd/>
        <w:snapToGrid/>
        <w:spacing w:line="240" w:lineRule="auto"/>
        <w:rPr>
          <w:rFonts w:hint="default" w:ascii="宋体" w:hAnsi="宋体" w:eastAsia="宋体" w:cs="宋体"/>
          <w:b/>
          <w:sz w:val="28"/>
          <w:szCs w:val="28"/>
          <w:lang w:val="en-US" w:eastAsia="zh-CN"/>
        </w:rPr>
      </w:pPr>
      <w:r>
        <w:rPr>
          <w:rFonts w:hint="eastAsia" w:ascii="宋体" w:hAnsi="宋体" w:cs="宋体"/>
          <w:b/>
          <w:sz w:val="28"/>
          <w:szCs w:val="28"/>
          <w:lang w:val="en-US" w:eastAsia="zh-CN"/>
        </w:rPr>
        <w:t>（二）</w:t>
      </w:r>
      <w:r>
        <w:rPr>
          <w:rFonts w:hint="default" w:ascii="宋体" w:hAnsi="宋体" w:eastAsia="宋体" w:cs="宋体"/>
          <w:b/>
          <w:sz w:val="28"/>
          <w:szCs w:val="28"/>
          <w:lang w:val="en-US" w:eastAsia="zh-CN"/>
        </w:rPr>
        <w:t>8mm</w:t>
      </w:r>
      <w:r>
        <w:rPr>
          <w:rFonts w:hint="eastAsia" w:ascii="宋体" w:hAnsi="宋体" w:eastAsia="宋体" w:cs="宋体"/>
          <w:b/>
          <w:sz w:val="28"/>
          <w:szCs w:val="28"/>
          <w:lang w:val="en-US" w:eastAsia="zh-CN"/>
        </w:rPr>
        <w:t>硅</w:t>
      </w:r>
      <w:r>
        <w:rPr>
          <w:rFonts w:hint="default" w:ascii="宋体" w:hAnsi="宋体" w:eastAsia="宋体" w:cs="宋体"/>
          <w:b/>
          <w:sz w:val="28"/>
          <w:szCs w:val="28"/>
          <w:lang w:val="en-US" w:eastAsia="zh-CN"/>
        </w:rPr>
        <w:t>PU</w:t>
      </w:r>
      <w:r>
        <w:rPr>
          <w:rFonts w:hint="eastAsia" w:ascii="宋体" w:hAnsi="宋体" w:eastAsia="宋体" w:cs="宋体"/>
          <w:b/>
          <w:sz w:val="28"/>
          <w:szCs w:val="28"/>
          <w:lang w:val="en-US" w:eastAsia="zh-CN"/>
        </w:rPr>
        <w:t>球场施工工艺</w:t>
      </w:r>
      <w:r>
        <w:rPr>
          <w:rFonts w:hint="eastAsia" w:ascii="宋体" w:hAnsi="宋体" w:cs="宋体"/>
          <w:b/>
          <w:sz w:val="28"/>
          <w:szCs w:val="28"/>
          <w:lang w:val="en-US" w:eastAsia="zh-CN"/>
        </w:rPr>
        <w:t>：</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1、混凝土基础：先检查基础的平整度、地面强度、含水量；</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2</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 xml:space="preserve"> </w:t>
      </w:r>
      <w:r>
        <w:rPr>
          <w:rFonts w:hint="eastAsia" w:ascii="宋体" w:hAnsi="宋体" w:eastAsia="宋体" w:cs="宋体"/>
          <w:b w:val="0"/>
          <w:bCs/>
          <w:sz w:val="24"/>
          <w:szCs w:val="24"/>
          <w:lang w:val="en-US" w:eastAsia="zh-CN"/>
        </w:rPr>
        <w:t>封底找平层：</w:t>
      </w:r>
      <w:r>
        <w:rPr>
          <w:rFonts w:hint="default" w:ascii="宋体" w:hAnsi="宋体" w:eastAsia="宋体" w:cs="宋体"/>
          <w:b w:val="0"/>
          <w:bCs/>
          <w:sz w:val="24"/>
          <w:szCs w:val="24"/>
          <w:lang w:val="en-US" w:eastAsia="zh-CN"/>
        </w:rPr>
        <w:t>TB-003E</w:t>
      </w:r>
      <w:r>
        <w:rPr>
          <w:rFonts w:hint="eastAsia" w:ascii="宋体" w:hAnsi="宋体" w:eastAsia="宋体" w:cs="宋体"/>
          <w:b w:val="0"/>
          <w:bCs/>
          <w:sz w:val="24"/>
          <w:szCs w:val="24"/>
          <w:lang w:val="en-US" w:eastAsia="zh-CN"/>
        </w:rPr>
        <w:t>按材料要求的比例开料，开料时</w:t>
      </w:r>
      <w:r>
        <w:rPr>
          <w:rFonts w:hint="default" w:ascii="宋体" w:hAnsi="宋体" w:eastAsia="宋体" w:cs="宋体"/>
          <w:b w:val="0"/>
          <w:bCs/>
          <w:sz w:val="24"/>
          <w:szCs w:val="24"/>
          <w:lang w:val="en-US" w:eastAsia="zh-CN"/>
        </w:rPr>
        <w:t>A</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B</w:t>
      </w:r>
      <w:r>
        <w:rPr>
          <w:rFonts w:hint="eastAsia" w:ascii="宋体" w:hAnsi="宋体" w:eastAsia="宋体" w:cs="宋体"/>
          <w:b w:val="0"/>
          <w:bCs/>
          <w:sz w:val="24"/>
          <w:szCs w:val="24"/>
          <w:lang w:val="en-US" w:eastAsia="zh-CN"/>
        </w:rPr>
        <w:t>组份分别先摇匀，尽量整套开料，避免</w:t>
      </w:r>
      <w:r>
        <w:rPr>
          <w:rFonts w:hint="default" w:ascii="宋体" w:hAnsi="宋体" w:eastAsia="宋体" w:cs="宋体"/>
          <w:b w:val="0"/>
          <w:bCs/>
          <w:sz w:val="24"/>
          <w:szCs w:val="24"/>
          <w:lang w:val="en-US" w:eastAsia="zh-CN"/>
        </w:rPr>
        <w:t>A</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B</w:t>
      </w:r>
      <w:r>
        <w:rPr>
          <w:rFonts w:hint="eastAsia" w:ascii="宋体" w:hAnsi="宋体" w:eastAsia="宋体" w:cs="宋体"/>
          <w:b w:val="0"/>
          <w:bCs/>
          <w:sz w:val="24"/>
          <w:szCs w:val="24"/>
          <w:lang w:val="en-US" w:eastAsia="zh-CN"/>
        </w:rPr>
        <w:t>混合比例不当，把</w:t>
      </w:r>
      <w:r>
        <w:rPr>
          <w:rFonts w:hint="default" w:ascii="宋体" w:hAnsi="宋体" w:eastAsia="宋体" w:cs="宋体"/>
          <w:b w:val="0"/>
          <w:bCs/>
          <w:sz w:val="24"/>
          <w:szCs w:val="24"/>
          <w:lang w:val="en-US" w:eastAsia="zh-CN"/>
        </w:rPr>
        <w:t>A</w:t>
      </w:r>
      <w:r>
        <w:rPr>
          <w:rFonts w:hint="eastAsia" w:ascii="宋体" w:hAnsi="宋体" w:eastAsia="宋体" w:cs="宋体"/>
          <w:b w:val="0"/>
          <w:bCs/>
          <w:sz w:val="24"/>
          <w:szCs w:val="24"/>
          <w:lang w:val="en-US" w:eastAsia="zh-CN"/>
        </w:rPr>
        <w:t>倒到搅拌桶里，用搅拌器边搅拌边慢慢加入</w:t>
      </w:r>
      <w:r>
        <w:rPr>
          <w:rFonts w:hint="default" w:ascii="宋体" w:hAnsi="宋体" w:eastAsia="宋体" w:cs="宋体"/>
          <w:b w:val="0"/>
          <w:bCs/>
          <w:sz w:val="24"/>
          <w:szCs w:val="24"/>
          <w:lang w:val="en-US" w:eastAsia="zh-CN"/>
        </w:rPr>
        <w:t>B</w:t>
      </w:r>
      <w:r>
        <w:rPr>
          <w:rFonts w:hint="eastAsia" w:ascii="宋体" w:hAnsi="宋体" w:eastAsia="宋体" w:cs="宋体"/>
          <w:b w:val="0"/>
          <w:bCs/>
          <w:sz w:val="24"/>
          <w:szCs w:val="24"/>
          <w:lang w:val="en-US" w:eastAsia="zh-CN"/>
        </w:rPr>
        <w:t>组份直至搅拌均匀，再加</w:t>
      </w:r>
      <w:r>
        <w:rPr>
          <w:rFonts w:hint="default" w:ascii="宋体" w:hAnsi="宋体" w:eastAsia="宋体" w:cs="宋体"/>
          <w:b w:val="0"/>
          <w:bCs/>
          <w:sz w:val="24"/>
          <w:szCs w:val="24"/>
          <w:lang w:val="en-US" w:eastAsia="zh-CN"/>
        </w:rPr>
        <w:t>30</w:t>
      </w:r>
      <w:r>
        <w:rPr>
          <w:rFonts w:hint="eastAsia" w:ascii="宋体" w:hAnsi="宋体" w:eastAsia="宋体" w:cs="宋体"/>
          <w:b w:val="0"/>
          <w:bCs/>
          <w:sz w:val="24"/>
          <w:szCs w:val="24"/>
          <w:lang w:val="en-US" w:eastAsia="zh-CN"/>
        </w:rPr>
        <w:t>％的</w:t>
      </w:r>
      <w:r>
        <w:rPr>
          <w:rFonts w:hint="default" w:ascii="宋体" w:hAnsi="宋体" w:eastAsia="宋体" w:cs="宋体"/>
          <w:b w:val="0"/>
          <w:bCs/>
          <w:sz w:val="24"/>
          <w:szCs w:val="24"/>
          <w:lang w:val="en-US" w:eastAsia="zh-CN"/>
        </w:rPr>
        <w:t>9</w:t>
      </w:r>
      <w:r>
        <w:rPr>
          <w:rFonts w:hint="eastAsia" w:ascii="宋体" w:hAnsi="宋体" w:eastAsia="宋体" w:cs="宋体"/>
          <w:b w:val="0"/>
          <w:bCs/>
          <w:sz w:val="24"/>
          <w:szCs w:val="24"/>
          <w:lang w:val="en-US" w:eastAsia="zh-CN"/>
        </w:rPr>
        <w:t>号砂搅拌均匀。再搅拌</w:t>
      </w:r>
      <w:r>
        <w:rPr>
          <w:rFonts w:hint="default" w:ascii="宋体" w:hAnsi="宋体" w:eastAsia="宋体" w:cs="宋体"/>
          <w:b w:val="0"/>
          <w:bCs/>
          <w:sz w:val="24"/>
          <w:szCs w:val="24"/>
          <w:lang w:val="en-US" w:eastAsia="zh-CN"/>
        </w:rPr>
        <w:t>1</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2</w:t>
      </w:r>
      <w:r>
        <w:rPr>
          <w:rFonts w:hint="eastAsia" w:ascii="宋体" w:hAnsi="宋体" w:eastAsia="宋体" w:cs="宋体"/>
          <w:b w:val="0"/>
          <w:bCs/>
          <w:sz w:val="24"/>
          <w:szCs w:val="24"/>
          <w:lang w:val="en-US" w:eastAsia="zh-CN"/>
        </w:rPr>
        <w:t>分钟，即可使用，薄刮封底。封底找平目的是封闭水泥基础的针孔，封闭基础的针孔。</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3</w:t>
      </w:r>
      <w:r>
        <w:rPr>
          <w:rFonts w:hint="eastAsia" w:ascii="宋体" w:hAnsi="宋体" w:eastAsia="宋体" w:cs="宋体"/>
          <w:b w:val="0"/>
          <w:bCs/>
          <w:sz w:val="24"/>
          <w:szCs w:val="24"/>
          <w:lang w:val="en-US" w:eastAsia="zh-CN"/>
        </w:rPr>
        <w:t>、发泡弹性层（</w:t>
      </w:r>
      <w:r>
        <w:rPr>
          <w:rFonts w:hint="default" w:ascii="宋体" w:hAnsi="宋体" w:eastAsia="宋体" w:cs="宋体"/>
          <w:b w:val="0"/>
          <w:bCs/>
          <w:sz w:val="24"/>
          <w:szCs w:val="24"/>
          <w:lang w:val="en-US" w:eastAsia="zh-CN"/>
        </w:rPr>
        <w:t>TB-002E</w:t>
      </w:r>
      <w:r>
        <w:rPr>
          <w:rFonts w:hint="eastAsia" w:ascii="宋体" w:hAnsi="宋体" w:eastAsia="宋体" w:cs="宋体"/>
          <w:b w:val="0"/>
          <w:bCs/>
          <w:sz w:val="24"/>
          <w:szCs w:val="24"/>
          <w:lang w:val="en-US" w:eastAsia="zh-CN"/>
        </w:rPr>
        <w:t>）：将</w:t>
      </w:r>
      <w:r>
        <w:rPr>
          <w:rFonts w:hint="default" w:ascii="宋体" w:hAnsi="宋体" w:eastAsia="宋体" w:cs="宋体"/>
          <w:b w:val="0"/>
          <w:bCs/>
          <w:sz w:val="24"/>
          <w:szCs w:val="24"/>
          <w:lang w:val="en-US" w:eastAsia="zh-CN"/>
        </w:rPr>
        <w:t>TB-002E</w:t>
      </w:r>
      <w:r>
        <w:rPr>
          <w:rFonts w:hint="eastAsia" w:ascii="宋体" w:hAnsi="宋体" w:eastAsia="宋体" w:cs="宋体"/>
          <w:b w:val="0"/>
          <w:bCs/>
          <w:sz w:val="24"/>
          <w:szCs w:val="24"/>
          <w:lang w:val="en-US" w:eastAsia="zh-CN"/>
        </w:rPr>
        <w:t>按规定比例先把</w:t>
      </w:r>
      <w:r>
        <w:rPr>
          <w:rFonts w:hint="default" w:ascii="宋体" w:hAnsi="宋体" w:eastAsia="宋体" w:cs="宋体"/>
          <w:b w:val="0"/>
          <w:bCs/>
          <w:sz w:val="24"/>
          <w:szCs w:val="24"/>
          <w:lang w:val="en-US" w:eastAsia="zh-CN"/>
        </w:rPr>
        <w:t>B</w:t>
      </w:r>
      <w:r>
        <w:rPr>
          <w:rFonts w:hint="eastAsia" w:ascii="宋体" w:hAnsi="宋体" w:eastAsia="宋体" w:cs="宋体"/>
          <w:b w:val="0"/>
          <w:bCs/>
          <w:sz w:val="24"/>
          <w:szCs w:val="24"/>
          <w:lang w:val="en-US" w:eastAsia="zh-CN"/>
        </w:rPr>
        <w:t>摇均匀加入到</w:t>
      </w:r>
      <w:r>
        <w:rPr>
          <w:rFonts w:hint="default" w:ascii="宋体" w:hAnsi="宋体" w:eastAsia="宋体" w:cs="宋体"/>
          <w:b w:val="0"/>
          <w:bCs/>
          <w:sz w:val="24"/>
          <w:szCs w:val="24"/>
          <w:lang w:val="en-US" w:eastAsia="zh-CN"/>
        </w:rPr>
        <w:t>TB-002E</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A</w:t>
      </w:r>
      <w:r>
        <w:rPr>
          <w:rFonts w:hint="eastAsia" w:ascii="宋体" w:hAnsi="宋体" w:eastAsia="宋体" w:cs="宋体"/>
          <w:b w:val="0"/>
          <w:bCs/>
          <w:sz w:val="24"/>
          <w:szCs w:val="24"/>
          <w:lang w:val="en-US" w:eastAsia="zh-CN"/>
        </w:rPr>
        <w:t>）里，搅拌均匀，搅拌过程中不小于</w:t>
      </w:r>
      <w:r>
        <w:rPr>
          <w:rFonts w:hint="default" w:ascii="宋体" w:hAnsi="宋体" w:eastAsia="宋体" w:cs="宋体"/>
          <w:b w:val="0"/>
          <w:bCs/>
          <w:sz w:val="24"/>
          <w:szCs w:val="24"/>
          <w:lang w:val="en-US" w:eastAsia="zh-CN"/>
        </w:rPr>
        <w:t>1</w:t>
      </w:r>
      <w:r>
        <w:rPr>
          <w:rFonts w:hint="eastAsia" w:ascii="宋体" w:hAnsi="宋体" w:eastAsia="宋体" w:cs="宋体"/>
          <w:b w:val="0"/>
          <w:bCs/>
          <w:sz w:val="24"/>
          <w:szCs w:val="24"/>
          <w:lang w:val="en-US" w:eastAsia="zh-CN"/>
        </w:rPr>
        <w:t>分钟，材料搅拌好后必须在</w:t>
      </w:r>
      <w:r>
        <w:rPr>
          <w:rFonts w:hint="default" w:ascii="宋体" w:hAnsi="宋体" w:eastAsia="宋体" w:cs="宋体"/>
          <w:b w:val="0"/>
          <w:bCs/>
          <w:sz w:val="24"/>
          <w:szCs w:val="24"/>
          <w:lang w:val="en-US" w:eastAsia="zh-CN"/>
        </w:rPr>
        <w:t>20</w:t>
      </w:r>
      <w:r>
        <w:rPr>
          <w:rFonts w:hint="eastAsia" w:ascii="宋体" w:hAnsi="宋体" w:eastAsia="宋体" w:cs="宋体"/>
          <w:b w:val="0"/>
          <w:bCs/>
          <w:sz w:val="24"/>
          <w:szCs w:val="24"/>
          <w:lang w:val="en-US" w:eastAsia="zh-CN"/>
        </w:rPr>
        <w:t>分钟内用完。由于材料反应快，预先将材料分布好，免得施工时等材料而出现明显的交接痕。此层材料用齿刮进行刮涂，根据厚度标准进行用量分配刮涂。</w:t>
      </w:r>
      <w:r>
        <w:rPr>
          <w:rFonts w:hint="default" w:ascii="宋体" w:hAnsi="宋体" w:eastAsia="宋体" w:cs="宋体"/>
          <w:b w:val="0"/>
          <w:bCs/>
          <w:sz w:val="24"/>
          <w:szCs w:val="24"/>
          <w:lang w:val="en-US" w:eastAsia="zh-CN"/>
        </w:rPr>
        <w:t>TB-002E</w:t>
      </w:r>
      <w:r>
        <w:rPr>
          <w:rFonts w:hint="eastAsia" w:ascii="宋体" w:hAnsi="宋体" w:eastAsia="宋体" w:cs="宋体"/>
          <w:b w:val="0"/>
          <w:bCs/>
          <w:sz w:val="24"/>
          <w:szCs w:val="24"/>
          <w:lang w:val="en-US" w:eastAsia="zh-CN"/>
        </w:rPr>
        <w:t>为一道刮涂。固化时间约为</w:t>
      </w:r>
      <w:r>
        <w:rPr>
          <w:rFonts w:hint="default" w:ascii="宋体" w:hAnsi="宋体" w:eastAsia="宋体" w:cs="宋体"/>
          <w:b w:val="0"/>
          <w:bCs/>
          <w:sz w:val="24"/>
          <w:szCs w:val="24"/>
          <w:lang w:val="en-US" w:eastAsia="zh-CN"/>
        </w:rPr>
        <w:t>8</w:t>
      </w:r>
      <w:r>
        <w:rPr>
          <w:rFonts w:hint="eastAsia" w:ascii="宋体" w:hAnsi="宋体" w:eastAsia="宋体" w:cs="宋体"/>
          <w:b w:val="0"/>
          <w:bCs/>
          <w:sz w:val="24"/>
          <w:szCs w:val="24"/>
          <w:lang w:val="en-US" w:eastAsia="zh-CN"/>
        </w:rPr>
        <w:t>小时，温度低于</w:t>
      </w:r>
      <w:r>
        <w:rPr>
          <w:rFonts w:hint="default" w:ascii="宋体" w:hAnsi="宋体" w:eastAsia="宋体" w:cs="宋体"/>
          <w:b w:val="0"/>
          <w:bCs/>
          <w:sz w:val="24"/>
          <w:szCs w:val="24"/>
          <w:lang w:val="en-US" w:eastAsia="zh-CN"/>
        </w:rPr>
        <w:t>28</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湿度低于</w:t>
      </w:r>
      <w:r>
        <w:rPr>
          <w:rFonts w:hint="default" w:ascii="宋体" w:hAnsi="宋体" w:eastAsia="宋体" w:cs="宋体"/>
          <w:b w:val="0"/>
          <w:bCs/>
          <w:sz w:val="24"/>
          <w:szCs w:val="24"/>
          <w:lang w:val="en-US" w:eastAsia="zh-CN"/>
        </w:rPr>
        <w:t>70%</w:t>
      </w:r>
      <w:r>
        <w:rPr>
          <w:rFonts w:hint="eastAsia" w:ascii="宋体" w:hAnsi="宋体" w:eastAsia="宋体" w:cs="宋体"/>
          <w:b w:val="0"/>
          <w:bCs/>
          <w:sz w:val="24"/>
          <w:szCs w:val="24"/>
          <w:lang w:val="en-US" w:eastAsia="zh-CN"/>
        </w:rPr>
        <w:t>时要根据调节剂用量表参考值适当加入。发泡弹性层固化后进行积水测试，把积水标记下来，用加强层材料进行修补。</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4、加强层（</w:t>
      </w:r>
      <w:r>
        <w:rPr>
          <w:rFonts w:hint="default" w:ascii="宋体" w:hAnsi="宋体" w:eastAsia="宋体" w:cs="宋体"/>
          <w:b w:val="0"/>
          <w:bCs/>
          <w:sz w:val="24"/>
          <w:szCs w:val="24"/>
          <w:lang w:val="en-US" w:eastAsia="zh-CN"/>
        </w:rPr>
        <w:t>TB-003E</w:t>
      </w:r>
      <w:r>
        <w:rPr>
          <w:rFonts w:hint="eastAsia" w:ascii="宋体" w:hAnsi="宋体" w:eastAsia="宋体" w:cs="宋体"/>
          <w:b w:val="0"/>
          <w:bCs/>
          <w:sz w:val="24"/>
          <w:szCs w:val="24"/>
          <w:lang w:val="en-US" w:eastAsia="zh-CN"/>
        </w:rPr>
        <w:t>）：将</w:t>
      </w:r>
      <w:r>
        <w:rPr>
          <w:rFonts w:hint="default" w:ascii="宋体" w:hAnsi="宋体" w:eastAsia="宋体" w:cs="宋体"/>
          <w:b w:val="0"/>
          <w:bCs/>
          <w:sz w:val="24"/>
          <w:szCs w:val="24"/>
          <w:lang w:val="en-US" w:eastAsia="zh-CN"/>
        </w:rPr>
        <w:t>TB-003E</w:t>
      </w:r>
      <w:r>
        <w:rPr>
          <w:rFonts w:hint="eastAsia" w:ascii="宋体" w:hAnsi="宋体" w:eastAsia="宋体" w:cs="宋体"/>
          <w:b w:val="0"/>
          <w:bCs/>
          <w:sz w:val="24"/>
          <w:szCs w:val="24"/>
          <w:lang w:val="en-US" w:eastAsia="zh-CN"/>
        </w:rPr>
        <w:t>按规定比例搅拌均匀，搅拌过程中不小于</w:t>
      </w:r>
      <w:r>
        <w:rPr>
          <w:rFonts w:hint="default" w:ascii="宋体" w:hAnsi="宋体" w:eastAsia="宋体" w:cs="宋体"/>
          <w:b w:val="0"/>
          <w:bCs/>
          <w:sz w:val="24"/>
          <w:szCs w:val="24"/>
          <w:lang w:val="en-US" w:eastAsia="zh-CN"/>
        </w:rPr>
        <w:t>1</w:t>
      </w:r>
      <w:r>
        <w:rPr>
          <w:rFonts w:hint="eastAsia" w:ascii="宋体" w:hAnsi="宋体" w:eastAsia="宋体" w:cs="宋体"/>
          <w:b w:val="0"/>
          <w:bCs/>
          <w:sz w:val="24"/>
          <w:szCs w:val="24"/>
          <w:lang w:val="en-US" w:eastAsia="zh-CN"/>
        </w:rPr>
        <w:t>分钟，材料搅拌好后必须在</w:t>
      </w:r>
      <w:r>
        <w:rPr>
          <w:rFonts w:hint="default" w:ascii="宋体" w:hAnsi="宋体" w:eastAsia="宋体" w:cs="宋体"/>
          <w:b w:val="0"/>
          <w:bCs/>
          <w:sz w:val="24"/>
          <w:szCs w:val="24"/>
          <w:lang w:val="en-US" w:eastAsia="zh-CN"/>
        </w:rPr>
        <w:t>20</w:t>
      </w:r>
      <w:r>
        <w:rPr>
          <w:rFonts w:hint="eastAsia" w:ascii="宋体" w:hAnsi="宋体" w:eastAsia="宋体" w:cs="宋体"/>
          <w:b w:val="0"/>
          <w:bCs/>
          <w:sz w:val="24"/>
          <w:szCs w:val="24"/>
          <w:lang w:val="en-US" w:eastAsia="zh-CN"/>
        </w:rPr>
        <w:t>分钟内用完。由于材料反应快，预先将材料分布好，免得施工时要等材料而出现明显的交接痕。此层材料用齿刮或胶刮板进行刮涂，根据厚度标准进行用量分配刮涂。固化时间约为</w:t>
      </w:r>
      <w:r>
        <w:rPr>
          <w:rFonts w:hint="default" w:ascii="宋体" w:hAnsi="宋体" w:eastAsia="宋体" w:cs="宋体"/>
          <w:b w:val="0"/>
          <w:bCs/>
          <w:sz w:val="24"/>
          <w:szCs w:val="24"/>
          <w:lang w:val="en-US" w:eastAsia="zh-CN"/>
        </w:rPr>
        <w:t>8</w:t>
      </w:r>
      <w:r>
        <w:rPr>
          <w:rFonts w:hint="eastAsia" w:ascii="宋体" w:hAnsi="宋体" w:eastAsia="宋体" w:cs="宋体"/>
          <w:b w:val="0"/>
          <w:bCs/>
          <w:sz w:val="24"/>
          <w:szCs w:val="24"/>
          <w:lang w:val="en-US" w:eastAsia="zh-CN"/>
        </w:rPr>
        <w:t>小时，温度低于</w:t>
      </w:r>
      <w:r>
        <w:rPr>
          <w:rFonts w:hint="default" w:ascii="宋体" w:hAnsi="宋体" w:eastAsia="宋体" w:cs="宋体"/>
          <w:b w:val="0"/>
          <w:bCs/>
          <w:sz w:val="24"/>
          <w:szCs w:val="24"/>
          <w:lang w:val="en-US" w:eastAsia="zh-CN"/>
        </w:rPr>
        <w:t>28</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湿度低于</w:t>
      </w:r>
      <w:r>
        <w:rPr>
          <w:rFonts w:hint="default" w:ascii="宋体" w:hAnsi="宋体" w:eastAsia="宋体" w:cs="宋体"/>
          <w:b w:val="0"/>
          <w:bCs/>
          <w:sz w:val="24"/>
          <w:szCs w:val="24"/>
          <w:lang w:val="en-US" w:eastAsia="zh-CN"/>
        </w:rPr>
        <w:t>70%</w:t>
      </w:r>
      <w:r>
        <w:rPr>
          <w:rFonts w:hint="eastAsia" w:ascii="宋体" w:hAnsi="宋体" w:eastAsia="宋体" w:cs="宋体"/>
          <w:b w:val="0"/>
          <w:bCs/>
          <w:sz w:val="24"/>
          <w:szCs w:val="24"/>
          <w:lang w:val="en-US" w:eastAsia="zh-CN"/>
        </w:rPr>
        <w:t>时要根据调节剂用量表参考值适当加入，调节固化时间。</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5、打磨处理：加强层固化后，用专用砂带机带</w:t>
      </w:r>
      <w:r>
        <w:rPr>
          <w:rFonts w:hint="default" w:ascii="宋体" w:hAnsi="宋体" w:eastAsia="宋体" w:cs="宋体"/>
          <w:b w:val="0"/>
          <w:bCs/>
          <w:sz w:val="24"/>
          <w:szCs w:val="24"/>
          <w:lang w:val="en-US" w:eastAsia="zh-CN"/>
        </w:rPr>
        <w:t>60</w:t>
      </w:r>
      <w:r>
        <w:rPr>
          <w:rFonts w:hint="eastAsia" w:ascii="宋体" w:hAnsi="宋体" w:eastAsia="宋体" w:cs="宋体"/>
          <w:b w:val="0"/>
          <w:bCs/>
          <w:sz w:val="24"/>
          <w:szCs w:val="24"/>
          <w:lang w:val="en-US" w:eastAsia="zh-CN"/>
        </w:rPr>
        <w:t>目的砂纸进行整体打磨处理，局部凹凸处打磨不到位的，用小的角磨机进行局部打磨，尽可能全部打磨一遍。目地是提高自面层和加强层之间的粘附，粘附更牢。</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6、面漆层</w:t>
      </w:r>
      <w:r>
        <w:rPr>
          <w:rFonts w:hint="default" w:ascii="宋体" w:hAnsi="宋体" w:eastAsia="宋体" w:cs="宋体"/>
          <w:b w:val="0"/>
          <w:bCs/>
          <w:sz w:val="24"/>
          <w:szCs w:val="24"/>
          <w:lang w:val="en-US" w:eastAsia="zh-CN"/>
        </w:rPr>
        <w:t>(TB-205E)</w:t>
      </w:r>
      <w:r>
        <w:rPr>
          <w:rFonts w:hint="eastAsia" w:ascii="宋体" w:hAnsi="宋体" w:eastAsia="宋体" w:cs="宋体"/>
          <w:b w:val="0"/>
          <w:bCs/>
          <w:sz w:val="24"/>
          <w:szCs w:val="24"/>
          <w:lang w:val="en-US" w:eastAsia="zh-CN"/>
        </w:rPr>
        <w:t>：面漆层为双组份水性丙烯酸材料，按规定配比把</w:t>
      </w:r>
      <w:r>
        <w:rPr>
          <w:rFonts w:hint="default" w:ascii="宋体" w:hAnsi="宋体" w:eastAsia="宋体" w:cs="宋体"/>
          <w:b w:val="0"/>
          <w:bCs/>
          <w:sz w:val="24"/>
          <w:szCs w:val="24"/>
          <w:lang w:val="en-US" w:eastAsia="zh-CN"/>
        </w:rPr>
        <w:t>A</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B</w:t>
      </w:r>
      <w:r>
        <w:rPr>
          <w:rFonts w:hint="eastAsia" w:ascii="宋体" w:hAnsi="宋体" w:eastAsia="宋体" w:cs="宋体"/>
          <w:b w:val="0"/>
          <w:bCs/>
          <w:sz w:val="24"/>
          <w:szCs w:val="24"/>
          <w:lang w:val="en-US" w:eastAsia="zh-CN"/>
        </w:rPr>
        <w:t>两组份加入，搅拌</w:t>
      </w:r>
      <w:r>
        <w:rPr>
          <w:rFonts w:hint="default" w:ascii="宋体" w:hAnsi="宋体" w:eastAsia="宋体" w:cs="宋体"/>
          <w:b w:val="0"/>
          <w:bCs/>
          <w:sz w:val="24"/>
          <w:szCs w:val="24"/>
          <w:lang w:val="en-US" w:eastAsia="zh-CN"/>
        </w:rPr>
        <w:t>1-2</w:t>
      </w:r>
      <w:r>
        <w:rPr>
          <w:rFonts w:hint="eastAsia" w:ascii="宋体" w:hAnsi="宋体" w:eastAsia="宋体" w:cs="宋体"/>
          <w:b w:val="0"/>
          <w:bCs/>
          <w:sz w:val="24"/>
          <w:szCs w:val="24"/>
          <w:lang w:val="en-US" w:eastAsia="zh-CN"/>
        </w:rPr>
        <w:t>分钟，均匀后，加入适量的球场专用砂，充分搅拌均匀，再按照不同的施工方法，加入适合使用的水量，搅拌均匀，即可使用，分</w:t>
      </w:r>
      <w:r>
        <w:rPr>
          <w:rFonts w:hint="default" w:ascii="宋体" w:hAnsi="宋体" w:eastAsia="宋体" w:cs="宋体"/>
          <w:b w:val="0"/>
          <w:bCs/>
          <w:sz w:val="24"/>
          <w:szCs w:val="24"/>
          <w:lang w:val="en-US" w:eastAsia="zh-CN"/>
        </w:rPr>
        <w:t>1</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2</w:t>
      </w:r>
      <w:r>
        <w:rPr>
          <w:rFonts w:hint="eastAsia" w:ascii="宋体" w:hAnsi="宋体" w:eastAsia="宋体" w:cs="宋体"/>
          <w:b w:val="0"/>
          <w:bCs/>
          <w:sz w:val="24"/>
          <w:szCs w:val="24"/>
          <w:lang w:val="en-US" w:eastAsia="zh-CN"/>
        </w:rPr>
        <w:t>道施工于加强层面上。砂量：篮球场第一道加入</w:t>
      </w:r>
      <w:r>
        <w:rPr>
          <w:rFonts w:hint="default" w:ascii="宋体" w:hAnsi="宋体" w:eastAsia="宋体" w:cs="宋体"/>
          <w:b w:val="0"/>
          <w:bCs/>
          <w:sz w:val="24"/>
          <w:szCs w:val="24"/>
          <w:lang w:val="en-US" w:eastAsia="zh-CN"/>
        </w:rPr>
        <w:t>20%</w:t>
      </w:r>
      <w:r>
        <w:rPr>
          <w:rFonts w:hint="eastAsia" w:ascii="宋体" w:hAnsi="宋体" w:eastAsia="宋体" w:cs="宋体"/>
          <w:b w:val="0"/>
          <w:bCs/>
          <w:sz w:val="24"/>
          <w:szCs w:val="24"/>
          <w:lang w:val="en-US" w:eastAsia="zh-CN"/>
        </w:rPr>
        <w:t>篮球场专用砂，第二道加入</w:t>
      </w:r>
      <w:r>
        <w:rPr>
          <w:rFonts w:hint="default" w:ascii="宋体" w:hAnsi="宋体" w:eastAsia="宋体" w:cs="宋体"/>
          <w:b w:val="0"/>
          <w:bCs/>
          <w:sz w:val="24"/>
          <w:szCs w:val="24"/>
          <w:lang w:val="en-US" w:eastAsia="zh-CN"/>
        </w:rPr>
        <w:t>10%</w:t>
      </w:r>
      <w:r>
        <w:rPr>
          <w:rFonts w:hint="eastAsia" w:ascii="宋体" w:hAnsi="宋体" w:eastAsia="宋体" w:cs="宋体"/>
          <w:b w:val="0"/>
          <w:bCs/>
          <w:sz w:val="24"/>
          <w:szCs w:val="24"/>
          <w:lang w:val="en-US" w:eastAsia="zh-CN"/>
        </w:rPr>
        <w:t>或者不加；网球场加入</w:t>
      </w:r>
      <w:r>
        <w:rPr>
          <w:rFonts w:hint="default" w:ascii="宋体" w:hAnsi="宋体" w:eastAsia="宋体" w:cs="宋体"/>
          <w:b w:val="0"/>
          <w:bCs/>
          <w:sz w:val="24"/>
          <w:szCs w:val="24"/>
          <w:lang w:val="en-US" w:eastAsia="zh-CN"/>
        </w:rPr>
        <w:t>30-40%</w:t>
      </w:r>
      <w:r>
        <w:rPr>
          <w:rFonts w:hint="eastAsia" w:ascii="宋体" w:hAnsi="宋体" w:eastAsia="宋体" w:cs="宋体"/>
          <w:b w:val="0"/>
          <w:bCs/>
          <w:sz w:val="24"/>
          <w:szCs w:val="24"/>
          <w:lang w:val="en-US" w:eastAsia="zh-CN"/>
        </w:rPr>
        <w:t>的网球场专用砂；羽毛球和排球场一般不加砂。水量：一般加入</w:t>
      </w:r>
      <w:r>
        <w:rPr>
          <w:rFonts w:hint="default" w:ascii="宋体" w:hAnsi="宋体" w:eastAsia="宋体" w:cs="宋体"/>
          <w:b w:val="0"/>
          <w:bCs/>
          <w:sz w:val="24"/>
          <w:szCs w:val="24"/>
          <w:lang w:val="en-US" w:eastAsia="zh-CN"/>
        </w:rPr>
        <w:t>20-50%</w:t>
      </w:r>
      <w:r>
        <w:rPr>
          <w:rFonts w:hint="eastAsia" w:ascii="宋体" w:hAnsi="宋体" w:eastAsia="宋体" w:cs="宋体"/>
          <w:b w:val="0"/>
          <w:bCs/>
          <w:sz w:val="24"/>
          <w:szCs w:val="24"/>
          <w:lang w:val="en-US" w:eastAsia="zh-CN"/>
        </w:rPr>
        <w:t>（按</w:t>
      </w:r>
      <w:r>
        <w:rPr>
          <w:rFonts w:hint="default" w:ascii="宋体" w:hAnsi="宋体" w:eastAsia="宋体" w:cs="宋体"/>
          <w:b w:val="0"/>
          <w:bCs/>
          <w:sz w:val="24"/>
          <w:szCs w:val="24"/>
          <w:lang w:val="en-US" w:eastAsia="zh-CN"/>
        </w:rPr>
        <w:t>TB-205E</w:t>
      </w:r>
      <w:r>
        <w:rPr>
          <w:rFonts w:hint="eastAsia" w:ascii="宋体" w:hAnsi="宋体" w:eastAsia="宋体" w:cs="宋体"/>
          <w:b w:val="0"/>
          <w:bCs/>
          <w:sz w:val="24"/>
          <w:szCs w:val="24"/>
          <w:lang w:val="en-US" w:eastAsia="zh-CN"/>
        </w:rPr>
        <w:t>重量计算，根据现场实际情况而定），水量加入太多，会出现浮色现象。施工方式：用专用滚筒滚涂，或用胶刮刮涂，或用专用喷枪。配比不准，会影响面层的固化效果，直接影响面层的使用性能，甚至脱落。温度低于</w:t>
      </w:r>
      <w:r>
        <w:rPr>
          <w:rFonts w:hint="default" w:ascii="宋体" w:hAnsi="宋体" w:eastAsia="宋体" w:cs="宋体"/>
          <w:b w:val="0"/>
          <w:bCs/>
          <w:sz w:val="24"/>
          <w:szCs w:val="24"/>
          <w:lang w:val="en-US" w:eastAsia="zh-CN"/>
        </w:rPr>
        <w:t>5</w:t>
      </w:r>
      <w:r>
        <w:rPr>
          <w:rFonts w:hint="eastAsia" w:ascii="宋体" w:hAnsi="宋体" w:eastAsia="宋体" w:cs="宋体"/>
          <w:b w:val="0"/>
          <w:bCs/>
          <w:sz w:val="24"/>
          <w:szCs w:val="24"/>
          <w:lang w:val="en-US" w:eastAsia="zh-CN"/>
        </w:rPr>
        <w:t>℃不适宜施工；室内施工的，必须保持良好通风，通风不好的必须延长固化时间。表干后保持</w:t>
      </w:r>
      <w:r>
        <w:rPr>
          <w:rFonts w:hint="default" w:ascii="宋体" w:hAnsi="宋体" w:eastAsia="宋体" w:cs="宋体"/>
          <w:b w:val="0"/>
          <w:bCs/>
          <w:sz w:val="24"/>
          <w:szCs w:val="24"/>
          <w:lang w:val="en-US" w:eastAsia="zh-CN"/>
        </w:rPr>
        <w:t>24</w:t>
      </w:r>
      <w:r>
        <w:rPr>
          <w:rFonts w:hint="eastAsia" w:ascii="宋体" w:hAnsi="宋体" w:eastAsia="宋体" w:cs="宋体"/>
          <w:b w:val="0"/>
          <w:bCs/>
          <w:sz w:val="24"/>
          <w:szCs w:val="24"/>
          <w:lang w:val="en-US" w:eastAsia="zh-CN"/>
        </w:rPr>
        <w:t>小时无水浸泡。</w:t>
      </w:r>
    </w:p>
    <w:p>
      <w:pPr>
        <w:numPr>
          <w:ilvl w:val="0"/>
          <w:numId w:val="0"/>
        </w:numPr>
        <w:spacing w:line="440" w:lineRule="exact"/>
        <w:ind w:firstLine="480" w:firstLineChars="200"/>
        <w:rPr>
          <w:rFonts w:hint="eastAsia"/>
          <w:lang w:val="en-US" w:eastAsia="zh-CN"/>
        </w:rPr>
      </w:pPr>
      <w:r>
        <w:rPr>
          <w:rFonts w:hint="eastAsia" w:ascii="宋体" w:hAnsi="宋体" w:eastAsia="宋体" w:cs="宋体"/>
          <w:b w:val="0"/>
          <w:bCs/>
          <w:sz w:val="24"/>
          <w:szCs w:val="24"/>
          <w:lang w:val="en-US" w:eastAsia="zh-CN"/>
        </w:rPr>
        <w:t>7、划线</w:t>
      </w:r>
      <w:r>
        <w:rPr>
          <w:rFonts w:hint="default" w:ascii="宋体" w:hAnsi="宋体" w:eastAsia="宋体" w:cs="宋体"/>
          <w:b w:val="0"/>
          <w:bCs/>
          <w:sz w:val="24"/>
          <w:szCs w:val="24"/>
          <w:lang w:val="en-US" w:eastAsia="zh-CN"/>
        </w:rPr>
        <w:t xml:space="preserve"> (TB-207)</w:t>
      </w:r>
      <w:r>
        <w:rPr>
          <w:rFonts w:hint="eastAsia" w:ascii="宋体" w:hAnsi="宋体" w:eastAsia="宋体" w:cs="宋体"/>
          <w:b w:val="0"/>
          <w:bCs/>
          <w:sz w:val="24"/>
          <w:szCs w:val="24"/>
          <w:lang w:val="en-US" w:eastAsia="zh-CN"/>
        </w:rPr>
        <w:t>：按标准尺寸量度定位，标出界线位置，用美纹纸沿界线两边贴在球场上，用专用划线漆（</w:t>
      </w:r>
      <w:r>
        <w:rPr>
          <w:rFonts w:hint="default" w:ascii="宋体" w:hAnsi="宋体" w:eastAsia="宋体" w:cs="宋体"/>
          <w:b w:val="0"/>
          <w:bCs/>
          <w:sz w:val="24"/>
          <w:szCs w:val="24"/>
          <w:lang w:val="en-US" w:eastAsia="zh-CN"/>
        </w:rPr>
        <w:t>TB-207</w:t>
      </w:r>
      <w:r>
        <w:rPr>
          <w:rFonts w:hint="eastAsia" w:ascii="宋体" w:hAnsi="宋体" w:eastAsia="宋体" w:cs="宋体"/>
          <w:b w:val="0"/>
          <w:bCs/>
          <w:sz w:val="24"/>
          <w:szCs w:val="24"/>
          <w:lang w:val="en-US" w:eastAsia="zh-CN"/>
        </w:rPr>
        <w:t>）涂刷于美纹纸间，待表干后撕掉美纹纸。</w:t>
      </w:r>
      <w:r>
        <w:rPr>
          <w:rFonts w:hint="default" w:ascii="宋体" w:hAnsi="宋体" w:eastAsia="宋体" w:cs="宋体"/>
          <w:b w:val="0"/>
          <w:bCs/>
          <w:sz w:val="24"/>
          <w:szCs w:val="24"/>
          <w:lang w:val="en-US" w:eastAsia="zh-CN"/>
        </w:rPr>
        <w:t>TB-207</w:t>
      </w:r>
      <w:r>
        <w:rPr>
          <w:rFonts w:hint="eastAsia" w:ascii="宋体" w:hAnsi="宋体" w:eastAsia="宋体" w:cs="宋体"/>
          <w:b w:val="0"/>
          <w:bCs/>
          <w:sz w:val="24"/>
          <w:szCs w:val="24"/>
          <w:lang w:val="en-US" w:eastAsia="zh-CN"/>
        </w:rPr>
        <w:t>为双组份材料，必须按规定比例把</w:t>
      </w:r>
      <w:r>
        <w:rPr>
          <w:rFonts w:hint="default" w:ascii="宋体" w:hAnsi="宋体" w:eastAsia="宋体" w:cs="宋体"/>
          <w:b w:val="0"/>
          <w:bCs/>
          <w:sz w:val="24"/>
          <w:szCs w:val="24"/>
          <w:lang w:val="en-US" w:eastAsia="zh-CN"/>
        </w:rPr>
        <w:t>A</w:t>
      </w:r>
      <w:r>
        <w:rPr>
          <w:rFonts w:hint="eastAsia" w:ascii="宋体" w:hAnsi="宋体" w:eastAsia="宋体" w:cs="宋体"/>
          <w:b w:val="0"/>
          <w:bCs/>
          <w:sz w:val="24"/>
          <w:szCs w:val="24"/>
          <w:lang w:val="en-US" w:eastAsia="zh-CN"/>
        </w:rPr>
        <w:t>、</w:t>
      </w:r>
      <w:r>
        <w:rPr>
          <w:rFonts w:hint="default" w:ascii="宋体" w:hAnsi="宋体" w:eastAsia="宋体" w:cs="宋体"/>
          <w:b w:val="0"/>
          <w:bCs/>
          <w:sz w:val="24"/>
          <w:szCs w:val="24"/>
          <w:lang w:val="en-US" w:eastAsia="zh-CN"/>
        </w:rPr>
        <w:t>B</w:t>
      </w:r>
      <w:r>
        <w:rPr>
          <w:rFonts w:hint="eastAsia" w:ascii="宋体" w:hAnsi="宋体" w:eastAsia="宋体" w:cs="宋体"/>
          <w:b w:val="0"/>
          <w:bCs/>
          <w:sz w:val="24"/>
          <w:szCs w:val="24"/>
          <w:lang w:val="en-US" w:eastAsia="zh-CN"/>
        </w:rPr>
        <w:t>两组份充分混合均匀，分两道涂刷。若球场表面为粗糙面，第一道可加</w:t>
      </w:r>
      <w:r>
        <w:rPr>
          <w:rFonts w:hint="default" w:ascii="宋体" w:hAnsi="宋体" w:eastAsia="宋体" w:cs="宋体"/>
          <w:b w:val="0"/>
          <w:bCs/>
          <w:sz w:val="24"/>
          <w:szCs w:val="24"/>
          <w:lang w:val="en-US" w:eastAsia="zh-CN"/>
        </w:rPr>
        <w:t>20%</w:t>
      </w:r>
      <w:r>
        <w:rPr>
          <w:rFonts w:hint="eastAsia" w:ascii="宋体" w:hAnsi="宋体" w:eastAsia="宋体" w:cs="宋体"/>
          <w:b w:val="0"/>
          <w:bCs/>
          <w:sz w:val="24"/>
          <w:szCs w:val="24"/>
          <w:lang w:val="en-US" w:eastAsia="zh-CN"/>
        </w:rPr>
        <w:t>专用砂涂刷，以防渗边。</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b/>
          <w:sz w:val="28"/>
          <w:szCs w:val="28"/>
          <w:lang w:val="en-US" w:eastAsia="zh-CN"/>
        </w:rPr>
      </w:pPr>
      <w:r>
        <w:rPr>
          <w:rFonts w:hint="eastAsia" w:ascii="宋体" w:hAnsi="宋体" w:cs="宋体"/>
          <w:b/>
          <w:sz w:val="28"/>
          <w:szCs w:val="28"/>
          <w:lang w:val="en-US" w:eastAsia="zh-CN"/>
        </w:rPr>
        <w:t>三、</w:t>
      </w:r>
      <w:r>
        <w:rPr>
          <w:rFonts w:hint="eastAsia" w:ascii="宋体" w:hAnsi="宋体" w:eastAsia="宋体" w:cs="宋体"/>
          <w:b/>
          <w:sz w:val="28"/>
          <w:szCs w:val="28"/>
          <w:lang w:val="en-US" w:eastAsia="zh-CN"/>
        </w:rPr>
        <w:t>门球场施工工艺</w:t>
      </w:r>
      <w:r>
        <w:rPr>
          <w:rFonts w:hint="eastAsia" w:ascii="宋体" w:hAnsi="宋体" w:cs="宋体"/>
          <w:b/>
          <w:sz w:val="28"/>
          <w:szCs w:val="28"/>
          <w:lang w:val="en-US" w:eastAsia="zh-CN"/>
        </w:rPr>
        <w:t>：</w:t>
      </w:r>
      <w:r>
        <w:rPr>
          <w:rFonts w:hint="eastAsia" w:ascii="宋体" w:hAnsi="宋体" w:eastAsia="宋体" w:cs="宋体"/>
          <w:b/>
          <w:sz w:val="28"/>
          <w:szCs w:val="28"/>
          <w:lang w:val="en-US" w:eastAsia="zh-CN"/>
        </w:rPr>
        <w:tab/>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人造草坪铺装前检查基础平整度，用线绳和塞尺进行基础，平整度检测，不平整的地方进行修补找平。基础平整方可进行人造草坪面层的铺装。对场地的坡度进行核检，操场基础及排水等处理。</w:t>
      </w:r>
    </w:p>
    <w:p>
      <w:pPr>
        <w:numPr>
          <w:ilvl w:val="0"/>
          <w:numId w:val="28"/>
        </w:numPr>
        <w:spacing w:line="440" w:lineRule="exact"/>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基础清理：</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①油污：用专用清洗剂洗除，机油污染严重区域需挖出重补；</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②污灰、泥土：扫帚扫净后用高压水枪冲洗干净；③较牢固的凸状物：用铲刀铲除并清理；</w:t>
      </w:r>
    </w:p>
    <w:p>
      <w:pPr>
        <w:numPr>
          <w:ilvl w:val="0"/>
          <w:numId w:val="28"/>
        </w:numPr>
        <w:spacing w:line="440" w:lineRule="exact"/>
        <w:ind w:left="0" w:leftChars="0"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基础及排水处理：</w:t>
      </w:r>
    </w:p>
    <w:p>
      <w:pPr>
        <w:numPr>
          <w:ilvl w:val="0"/>
          <w:numId w:val="0"/>
        </w:numPr>
        <w:spacing w:line="440" w:lineRule="exact"/>
        <w:ind w:left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①根据现场实际情况结合测绘成果，对场地的坡度进行核检。</w:t>
      </w:r>
    </w:p>
    <w:p>
      <w:pPr>
        <w:numPr>
          <w:ilvl w:val="0"/>
          <w:numId w:val="0"/>
        </w:numPr>
        <w:spacing w:line="440" w:lineRule="exact"/>
        <w:ind w:left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②排水检测：检查原场地四周排水是否顺畅，发现排水不畅的需进行处理。</w:t>
      </w:r>
    </w:p>
    <w:p>
      <w:pPr>
        <w:numPr>
          <w:ilvl w:val="0"/>
          <w:numId w:val="28"/>
        </w:numPr>
        <w:spacing w:line="440" w:lineRule="exact"/>
        <w:ind w:left="0" w:leftChars="0"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测量及放线：</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①按设计图及场地尺寸的规定，进行场地测量、放样及人造草坪铺装放样。</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②根据场地尺寸及草坪铺装要求进行场地的定位和放线，用墨线弹出场地中心线及边线（界线），从场地中线处弹出草坪铺装线（草坪每卷宽2m）。</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③草坪之间需搭接3-5cm，将多余的草坪的连接处切割平齐。接缝应不大于3 mm。</w:t>
      </w:r>
      <w:r>
        <w:rPr>
          <w:rFonts w:hint="eastAsia" w:ascii="宋体" w:hAnsi="宋体" w:cs="宋体"/>
          <w:b w:val="0"/>
          <w:bCs/>
          <w:sz w:val="24"/>
          <w:szCs w:val="24"/>
          <w:lang w:val="en-US" w:eastAsia="zh-CN"/>
        </w:rPr>
        <w:t xml:space="preserve">   </w:t>
      </w:r>
      <w:r>
        <w:rPr>
          <w:rFonts w:hint="eastAsia" w:ascii="宋体" w:hAnsi="宋体" w:eastAsia="宋体" w:cs="宋体"/>
          <w:b w:val="0"/>
          <w:bCs/>
          <w:sz w:val="24"/>
          <w:szCs w:val="24"/>
          <w:lang w:val="en-US" w:eastAsia="zh-CN"/>
        </w:rPr>
        <w:t>（4）将接缝布平铺于两片切割好的草坪中间，并涂刷粘接剂（双组份胶水）。</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④粘接剂刮涂：要求粘接剂在接缝布表面涂刷厚薄均匀，接缝布不可反复涂胶，否则会出现硬化现象，甚至剥落。</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⑤粘合：根据当时的温度湿度、气压等条件的实际影响，合理控制晾置时间。一般以涂胶后10-15min内，胶浆达到八九成干，以手触不粘为宜。</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⑥清洁：在粘合好后，清除其表面杂物，使其表面充分接触密实，粘接更牢固。</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⑦固化：按照胶水使用说明书施工在固化期间需密切注意对其维护，避免过于暴晒、水浸、移动及不得人为拉扯，以达到粘接的最佳状态。</w:t>
      </w:r>
    </w:p>
    <w:p>
      <w:pPr>
        <w:numPr>
          <w:ilvl w:val="0"/>
          <w:numId w:val="0"/>
        </w:numPr>
        <w:spacing w:line="440" w:lineRule="exact"/>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⑧施工注意事项：施工时，不可将粘接胶暴露时间过长，因溶剂挥发会造成粘度过大而无法施工。</w:t>
      </w:r>
    </w:p>
    <w:p>
      <w:pPr>
        <w:spacing w:line="440" w:lineRule="exact"/>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4、场地界线（白线）施工</w:t>
      </w:r>
      <w:r>
        <w:rPr>
          <w:rFonts w:hint="eastAsia" w:ascii="宋体" w:hAnsi="宋体" w:cs="宋体"/>
          <w:b/>
          <w:bCs w:val="0"/>
          <w:sz w:val="24"/>
          <w:szCs w:val="24"/>
          <w:lang w:val="en-US" w:eastAsia="zh-CN"/>
        </w:rPr>
        <w:t>:</w:t>
      </w:r>
    </w:p>
    <w:p>
      <w:pPr>
        <w:spacing w:line="440" w:lineRule="exact"/>
        <w:ind w:firstLine="720" w:firstLineChars="3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①场地界线需在放线时定位准确，在相应白线点位做好标记，在草坪铺装完成后，在各标记点位上拉线以确定位置。保证施工后的白线符合场地尺寸。</w:t>
      </w:r>
    </w:p>
    <w:p>
      <w:pPr>
        <w:spacing w:line="440" w:lineRule="exact"/>
        <w:ind w:firstLine="720" w:firstLineChars="3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②按照白线位置切割草坪，然后将已切割好的白草坪线镶嵌其中，下铺镶草用的接缝布，粘接方法与粘接草坪方法相同。</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bCs w:val="0"/>
          <w:sz w:val="24"/>
          <w:szCs w:val="24"/>
          <w:lang w:val="en-US" w:eastAsia="zh-CN"/>
        </w:rPr>
        <w:t>5</w:t>
      </w:r>
      <w:r>
        <w:rPr>
          <w:rFonts w:hint="eastAsia" w:ascii="宋体" w:hAnsi="宋体" w:cs="宋体"/>
          <w:b/>
          <w:bCs w:val="0"/>
          <w:sz w:val="24"/>
          <w:szCs w:val="24"/>
          <w:lang w:val="en-US" w:eastAsia="zh-CN"/>
        </w:rPr>
        <w:t>、</w:t>
      </w:r>
      <w:r>
        <w:rPr>
          <w:rFonts w:hint="eastAsia" w:ascii="宋体" w:hAnsi="宋体" w:eastAsia="宋体" w:cs="宋体"/>
          <w:b/>
          <w:bCs w:val="0"/>
          <w:sz w:val="24"/>
          <w:szCs w:val="24"/>
          <w:lang w:val="en-US" w:eastAsia="zh-CN"/>
        </w:rPr>
        <w:t>场地清理：</w:t>
      </w:r>
      <w:r>
        <w:rPr>
          <w:rFonts w:hint="eastAsia" w:ascii="宋体" w:hAnsi="宋体" w:eastAsia="宋体" w:cs="宋体"/>
          <w:b w:val="0"/>
          <w:bCs/>
          <w:sz w:val="24"/>
          <w:szCs w:val="24"/>
          <w:lang w:val="en-US" w:eastAsia="zh-CN"/>
        </w:rPr>
        <w:t>清理施工现场杂物，准备资料报业主方和监理方验收。</w:t>
      </w:r>
    </w:p>
    <w:p>
      <w:pPr>
        <w:spacing w:line="440" w:lineRule="exact"/>
        <w:rPr>
          <w:rFonts w:hint="eastAsia" w:ascii="宋体" w:hAnsi="宋体" w:eastAsia="宋体" w:cs="宋体"/>
          <w:b/>
          <w:bCs w:val="0"/>
          <w:sz w:val="24"/>
          <w:szCs w:val="24"/>
          <w:lang w:val="en-US" w:eastAsia="zh-CN"/>
        </w:rPr>
      </w:pPr>
      <w:r>
        <w:rPr>
          <w:rFonts w:hint="eastAsia" w:ascii="宋体" w:hAnsi="宋体" w:cs="宋体"/>
          <w:b/>
          <w:bCs w:val="0"/>
          <w:sz w:val="24"/>
          <w:szCs w:val="24"/>
          <w:lang w:val="en-US" w:eastAsia="zh-CN"/>
        </w:rPr>
        <w:t>6</w:t>
      </w:r>
      <w:r>
        <w:rPr>
          <w:rFonts w:hint="eastAsia" w:ascii="宋体" w:hAnsi="宋体" w:eastAsia="宋体" w:cs="宋体"/>
          <w:b/>
          <w:bCs w:val="0"/>
          <w:sz w:val="24"/>
          <w:szCs w:val="24"/>
          <w:lang w:val="en-US" w:eastAsia="zh-CN"/>
        </w:rPr>
        <w:t>、质量保证措施</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①认真贯彻“质量第一”和“预防为主”的方针，精心组织、精心施工。</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②项目负责人组织主要施工人员认真学习，熟悉设计图纸，领会设计意图，做好各项准备工作。</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③严格执行质量检验制度，每道工艺必须经专业技师检验合格后才能进入下道工艺。</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④施工时，及时填写各种验收报表，施工记录，收集各项技术资料，不断改进。</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⑤在施工中服从建设方的质量监督，共同协商，创出一流工程。</w:t>
      </w:r>
    </w:p>
    <w:p>
      <w:pPr>
        <w:spacing w:line="440" w:lineRule="exact"/>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7、施工中紧急情况的处理</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①下雨：在施工中，突然发生下雨的情况，应立即停止施工，对胶水粘接部分用遮雨布进行覆盖，确保胶水凝固时间。</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②大风：在施工中，突然发生大风的情况，应立即停止施工，对草坪周边部分有可能影响的边，用重物覆盖等措施。</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③对其他突发时间，视现场情况酌情处理。</w:t>
      </w:r>
    </w:p>
    <w:p>
      <w:pPr>
        <w:spacing w:line="440" w:lineRule="exact"/>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8、工程质量检验要求</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①对草坪等所有材料的规格及质量进行检验核对。</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②工程竣工后，草坪表面平坦，色泽均匀，接缝平坦，无明显拼接现象。</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③标志线应准确，符合图纸尺寸要求，无扭曲，粘接不牢等现象。</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④石英砂铺设应均匀，无明显不平现象。</w:t>
      </w:r>
    </w:p>
    <w:p>
      <w:pPr>
        <w:spacing w:line="440" w:lineRule="exact"/>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9、安全及文明施工措施</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①施工场所严禁烟火。</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②施工场所严禁与施工无关人员进入。</w:t>
      </w:r>
    </w:p>
    <w:p>
      <w:pPr>
        <w:spacing w:line="440" w:lineRule="exact"/>
        <w:rPr>
          <w:rFonts w:hint="eastAsia" w:ascii="宋体" w:hAnsi="宋体" w:eastAsia="宋体" w:cs="宋体"/>
          <w:i w:val="0"/>
          <w:iCs w:val="0"/>
          <w:color w:val="000000"/>
          <w:sz w:val="24"/>
          <w:szCs w:val="24"/>
          <w:u w:val="none"/>
        </w:rPr>
      </w:pPr>
      <w:r>
        <w:rPr>
          <w:rFonts w:hint="eastAsia" w:ascii="宋体" w:hAnsi="宋体" w:eastAsia="宋体" w:cs="宋体"/>
          <w:b w:val="0"/>
          <w:bCs/>
          <w:sz w:val="24"/>
          <w:szCs w:val="24"/>
          <w:lang w:val="en-US" w:eastAsia="zh-CN"/>
        </w:rPr>
        <w:t>③对于每日施工所产生的垃圾，做到及时清理，并且运至适当的场所，在工程竣工后作统一处理。</w:t>
      </w:r>
      <w:r>
        <w:rPr>
          <w:rFonts w:hint="eastAsia" w:ascii="宋体" w:hAnsi="宋体" w:eastAsia="宋体" w:cs="宋体"/>
          <w:i w:val="0"/>
          <w:iCs w:val="0"/>
          <w:color w:val="000000"/>
          <w:sz w:val="24"/>
          <w:szCs w:val="24"/>
          <w:u w:val="none"/>
        </w:rPr>
        <w:tab/>
      </w:r>
      <w:r>
        <w:rPr>
          <w:rFonts w:hint="eastAsia" w:ascii="宋体" w:hAnsi="宋体" w:eastAsia="宋体" w:cs="宋体"/>
          <w:i w:val="0"/>
          <w:iCs w:val="0"/>
          <w:color w:val="000000"/>
          <w:sz w:val="24"/>
          <w:szCs w:val="24"/>
          <w:u w:val="none"/>
        </w:rPr>
        <w:tab/>
      </w:r>
      <w:r>
        <w:rPr>
          <w:rFonts w:hint="eastAsia" w:ascii="宋体" w:hAnsi="宋体" w:eastAsia="宋体" w:cs="宋体"/>
          <w:i w:val="0"/>
          <w:iCs w:val="0"/>
          <w:color w:val="000000"/>
          <w:sz w:val="24"/>
          <w:szCs w:val="24"/>
          <w:u w:val="none"/>
        </w:rPr>
        <w:tab/>
      </w:r>
      <w:r>
        <w:rPr>
          <w:rFonts w:hint="eastAsia" w:ascii="宋体" w:hAnsi="宋体" w:eastAsia="宋体" w:cs="宋体"/>
          <w:i w:val="0"/>
          <w:iCs w:val="0"/>
          <w:color w:val="000000"/>
          <w:sz w:val="24"/>
          <w:szCs w:val="24"/>
          <w:u w:val="none"/>
        </w:rPr>
        <w:tab/>
      </w:r>
      <w:r>
        <w:rPr>
          <w:rFonts w:hint="eastAsia" w:ascii="宋体" w:hAnsi="宋体" w:eastAsia="宋体" w:cs="宋体"/>
          <w:i w:val="0"/>
          <w:iCs w:val="0"/>
          <w:color w:val="000000"/>
          <w:sz w:val="24"/>
          <w:szCs w:val="24"/>
          <w:u w:val="none"/>
        </w:rPr>
        <w:tab/>
      </w:r>
    </w:p>
    <w:p>
      <w:pPr>
        <w:tabs>
          <w:tab w:val="left" w:pos="5352"/>
          <w:tab w:val="left" w:pos="7959"/>
          <w:tab w:val="left" w:pos="8518"/>
          <w:tab w:val="left" w:pos="9351"/>
          <w:tab w:val="left" w:pos="10184"/>
        </w:tabs>
        <w:ind w:left="0" w:leftChars="0" w:firstLine="281" w:firstLineChars="100"/>
        <w:jc w:val="left"/>
        <w:rPr>
          <w:rFonts w:hint="eastAsia" w:ascii="宋体" w:hAnsi="宋体" w:eastAsia="宋体" w:cs="宋体"/>
          <w:b/>
          <w:sz w:val="28"/>
          <w:szCs w:val="28"/>
          <w:lang w:eastAsia="zh-CN"/>
        </w:rPr>
      </w:pPr>
      <w:r>
        <w:rPr>
          <w:rFonts w:hint="eastAsia" w:ascii="宋体" w:hAnsi="宋体" w:cs="宋体"/>
          <w:b/>
          <w:sz w:val="28"/>
          <w:szCs w:val="28"/>
          <w:lang w:val="en-US" w:eastAsia="zh-CN"/>
        </w:rPr>
        <w:t>四</w:t>
      </w:r>
      <w:r>
        <w:rPr>
          <w:rFonts w:hint="eastAsia" w:ascii="宋体" w:hAnsi="宋体" w:eastAsia="宋体" w:cs="宋体"/>
          <w:b/>
          <w:sz w:val="28"/>
          <w:szCs w:val="28"/>
          <w:lang w:val="en-US" w:eastAsia="zh-CN"/>
        </w:rPr>
        <w:t>、商务部分</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w:t>
      </w:r>
      <w:r>
        <w:rPr>
          <w:rFonts w:hint="eastAsia" w:ascii="宋体" w:hAnsi="宋体" w:cs="宋体"/>
          <w:b w:val="0"/>
          <w:bCs/>
          <w:sz w:val="24"/>
          <w:szCs w:val="24"/>
          <w:lang w:val="en-US" w:eastAsia="zh-CN"/>
        </w:rPr>
        <w:t>工</w:t>
      </w:r>
      <w:r>
        <w:rPr>
          <w:rFonts w:hint="eastAsia" w:ascii="宋体" w:hAnsi="宋体" w:eastAsia="宋体" w:cs="宋体"/>
          <w:b w:val="0"/>
          <w:bCs/>
          <w:sz w:val="24"/>
          <w:szCs w:val="24"/>
          <w:lang w:val="en-US" w:eastAsia="zh-CN"/>
        </w:rPr>
        <w:t>期：</w:t>
      </w:r>
      <w:r>
        <w:rPr>
          <w:rFonts w:hint="eastAsia" w:ascii="宋体" w:hAnsi="宋体" w:cs="宋体"/>
          <w:b w:val="0"/>
          <w:bCs/>
          <w:sz w:val="24"/>
          <w:szCs w:val="24"/>
          <w:lang w:val="en-US" w:eastAsia="zh-CN"/>
        </w:rPr>
        <w:t>自合同签订之日起40天内完成施工、供货、安装、调试并通过验收，直至交付采购人正常使用。</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2、付款方式：</w:t>
      </w:r>
      <w:r>
        <w:rPr>
          <w:rFonts w:hint="eastAsia" w:ascii="宋体" w:hAnsi="宋体" w:cs="宋体"/>
          <w:b w:val="0"/>
          <w:bCs/>
          <w:sz w:val="24"/>
          <w:szCs w:val="24"/>
          <w:lang w:val="en-US" w:eastAsia="zh-CN"/>
        </w:rPr>
        <w:t>合同生效后且乙方提供预付款保函后的20日内支付合同款的40%，货到清点并安装、调试、验收合格后付至合同价的80%，乙方提供相应的完工资料及结算资料经甲方委托第三方审核单位审核后支付至结算价的100%（同时扣留1.5%的质量保证金或提供1.5%质量保证金保函，质保期满后无质量问题退还）</w:t>
      </w:r>
      <w:r>
        <w:rPr>
          <w:rFonts w:hint="eastAsia" w:ascii="宋体" w:hAnsi="宋体" w:eastAsia="宋体" w:cs="宋体"/>
          <w:b w:val="0"/>
          <w:bCs/>
          <w:sz w:val="24"/>
          <w:szCs w:val="24"/>
          <w:lang w:val="en-US" w:eastAsia="zh-CN"/>
        </w:rPr>
        <w:t>。</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3、质保售后：质保期</w:t>
      </w:r>
      <w:r>
        <w:rPr>
          <w:rFonts w:hint="eastAsia" w:ascii="宋体" w:hAnsi="宋体" w:cs="宋体"/>
          <w:b w:val="0"/>
          <w:bCs/>
          <w:sz w:val="24"/>
          <w:szCs w:val="24"/>
          <w:lang w:val="en-US" w:eastAsia="zh-CN"/>
        </w:rPr>
        <w:t>1</w:t>
      </w:r>
      <w:r>
        <w:rPr>
          <w:rFonts w:hint="eastAsia" w:ascii="宋体" w:hAnsi="宋体" w:eastAsia="宋体" w:cs="宋体"/>
          <w:b w:val="0"/>
          <w:bCs/>
          <w:sz w:val="24"/>
          <w:szCs w:val="24"/>
          <w:lang w:val="en-US" w:eastAsia="zh-CN"/>
        </w:rPr>
        <w:t>年</w:t>
      </w:r>
      <w:r>
        <w:rPr>
          <w:rFonts w:hint="eastAsia" w:ascii="宋体" w:hAnsi="宋体" w:cs="宋体"/>
          <w:b w:val="0"/>
          <w:bCs/>
          <w:sz w:val="24"/>
          <w:szCs w:val="24"/>
          <w:lang w:val="en-US" w:eastAsia="zh-CN"/>
        </w:rPr>
        <w:t>（最终按投标承诺时间）</w:t>
      </w:r>
      <w:r>
        <w:rPr>
          <w:rFonts w:hint="eastAsia" w:ascii="宋体" w:hAnsi="宋体" w:eastAsia="宋体" w:cs="宋体"/>
          <w:b w:val="0"/>
          <w:bCs/>
          <w:sz w:val="24"/>
          <w:szCs w:val="24"/>
          <w:lang w:val="en-US" w:eastAsia="zh-CN"/>
        </w:rPr>
        <w:t>。提供不少于</w:t>
      </w:r>
      <w:r>
        <w:rPr>
          <w:rFonts w:hint="eastAsia" w:ascii="宋体" w:hAnsi="宋体" w:cs="宋体"/>
          <w:b w:val="0"/>
          <w:bCs/>
          <w:sz w:val="24"/>
          <w:szCs w:val="24"/>
          <w:lang w:val="en-US" w:eastAsia="zh-CN"/>
        </w:rPr>
        <w:t>1</w:t>
      </w:r>
      <w:r>
        <w:rPr>
          <w:rFonts w:hint="eastAsia" w:ascii="宋体" w:hAnsi="宋体" w:eastAsia="宋体" w:cs="宋体"/>
          <w:b w:val="0"/>
          <w:bCs/>
          <w:sz w:val="24"/>
          <w:szCs w:val="24"/>
          <w:lang w:val="en-US" w:eastAsia="zh-CN"/>
        </w:rPr>
        <w:t>年7×24小时的免费技术支持服务，如设备出现故障，应在2小时内响应，4小时内到现场，8小时内无法解决的，应提供备件。保证在质保期满后能对故障部件有配件可换。质保期内成交供应商须提供原厂免费上门维修服务。</w:t>
      </w:r>
    </w:p>
    <w:p>
      <w:pPr>
        <w:spacing w:line="440" w:lineRule="exac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w:t>
      </w:r>
      <w:r>
        <w:rPr>
          <w:rFonts w:hint="eastAsia" w:ascii="宋体" w:hAnsi="宋体" w:cs="宋体"/>
          <w:b w:val="0"/>
          <w:bCs/>
          <w:sz w:val="24"/>
          <w:szCs w:val="24"/>
          <w:lang w:val="en-US" w:eastAsia="zh-CN"/>
        </w:rPr>
        <w:t>中标</w:t>
      </w:r>
      <w:r>
        <w:rPr>
          <w:rFonts w:hint="eastAsia" w:ascii="宋体" w:hAnsi="宋体" w:eastAsia="宋体" w:cs="宋体"/>
          <w:b w:val="0"/>
          <w:bCs/>
          <w:sz w:val="24"/>
          <w:szCs w:val="24"/>
          <w:lang w:val="en-US" w:eastAsia="zh-CN"/>
        </w:rPr>
        <w:t>单位应承担将货物按供货期限运送到指定地点，并负责安装、调试、培训等工作，投标报价中应包含以上相关服务费用。</w:t>
      </w:r>
    </w:p>
    <w:p>
      <w:pPr>
        <w:spacing w:line="440" w:lineRule="exact"/>
        <w:rPr>
          <w:rFonts w:hint="eastAsia" w:ascii="宋体" w:hAnsi="宋体" w:eastAsia="宋体" w:cs="宋体"/>
          <w:b/>
          <w:sz w:val="22"/>
          <w:szCs w:val="22"/>
          <w:lang w:val="en-US" w:eastAsia="zh-CN"/>
        </w:rPr>
      </w:pPr>
      <w:r>
        <w:rPr>
          <w:rFonts w:hint="eastAsia" w:ascii="宋体" w:hAnsi="宋体" w:eastAsia="宋体" w:cs="宋体"/>
          <w:b w:val="0"/>
          <w:bCs/>
          <w:sz w:val="24"/>
          <w:szCs w:val="24"/>
          <w:lang w:val="en-US" w:eastAsia="zh-CN"/>
        </w:rPr>
        <w:t>5、</w:t>
      </w:r>
      <w:r>
        <w:rPr>
          <w:rFonts w:hint="eastAsia" w:ascii="宋体" w:hAnsi="宋体" w:cs="宋体"/>
          <w:b w:val="0"/>
          <w:bCs/>
          <w:sz w:val="24"/>
          <w:szCs w:val="24"/>
          <w:lang w:val="en-US" w:eastAsia="zh-CN"/>
        </w:rPr>
        <w:t>中标单位</w:t>
      </w:r>
      <w:r>
        <w:rPr>
          <w:rFonts w:hint="eastAsia" w:ascii="宋体" w:hAnsi="宋体" w:eastAsia="宋体" w:cs="宋体"/>
          <w:b w:val="0"/>
          <w:bCs/>
          <w:sz w:val="24"/>
          <w:szCs w:val="24"/>
          <w:lang w:val="en-US" w:eastAsia="zh-CN"/>
        </w:rPr>
        <w:t>不得以任何理由更改</w:t>
      </w:r>
      <w:r>
        <w:rPr>
          <w:rFonts w:hint="eastAsia" w:ascii="宋体" w:hAnsi="宋体" w:cs="宋体"/>
          <w:b w:val="0"/>
          <w:bCs/>
          <w:sz w:val="24"/>
          <w:szCs w:val="24"/>
          <w:lang w:val="en-US" w:eastAsia="zh-CN"/>
        </w:rPr>
        <w:t>其投标清单中的</w:t>
      </w:r>
      <w:r>
        <w:rPr>
          <w:rFonts w:hint="eastAsia" w:ascii="宋体" w:hAnsi="宋体" w:eastAsia="宋体" w:cs="宋体"/>
          <w:b w:val="0"/>
          <w:bCs/>
          <w:sz w:val="24"/>
          <w:szCs w:val="24"/>
          <w:lang w:val="en-US" w:eastAsia="zh-CN"/>
        </w:rPr>
        <w:t>品牌、型号、配置。</w:t>
      </w:r>
    </w:p>
    <w:p>
      <w:pPr>
        <w:pStyle w:val="15"/>
        <w:rPr>
          <w:rFonts w:hint="eastAsia"/>
          <w:lang w:val="en-US" w:eastAsia="zh-CN"/>
        </w:rPr>
        <w:sectPr>
          <w:pgSz w:w="11906" w:h="16838"/>
          <w:pgMar w:top="1440" w:right="1080" w:bottom="1440" w:left="1080" w:header="737" w:footer="964" w:gutter="0"/>
          <w:pgBorders w:zOrder="back">
            <w:top w:val="thinThickSmallGap" w:color="auto" w:sz="12" w:space="10"/>
            <w:left w:val="none" w:sz="0" w:space="0"/>
            <w:bottom w:val="thinThickSmallGap" w:color="auto" w:sz="12" w:space="6"/>
            <w:right w:val="none" w:sz="0" w:space="0"/>
          </w:pgBorders>
          <w:cols w:space="0" w:num="1"/>
          <w:docGrid w:type="lines" w:linePitch="312" w:charSpace="0"/>
        </w:sectPr>
      </w:pPr>
    </w:p>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924"/>
    <w:bookmarkEnd w:id="925"/>
    <w:bookmarkEnd w:id="926"/>
    <w:bookmarkEnd w:id="927"/>
    <w:bookmarkEnd w:id="928"/>
    <w:bookmarkEnd w:id="929"/>
    <w:bookmarkEnd w:id="930"/>
    <w:bookmarkEnd w:id="931"/>
    <w:bookmarkEnd w:id="932"/>
    <w:bookmarkEnd w:id="933"/>
    <w:bookmarkEnd w:id="934"/>
    <w:bookmarkEnd w:id="935"/>
    <w:p>
      <w:pPr>
        <w:pStyle w:val="4"/>
        <w:numPr>
          <w:ilvl w:val="0"/>
          <w:numId w:val="0"/>
        </w:numPr>
        <w:spacing w:before="312" w:after="312"/>
        <w:rPr>
          <w:rFonts w:ascii="宋体" w:hAnsi="宋体" w:cs="宋体"/>
          <w:lang w:val="zh-CN"/>
        </w:rPr>
      </w:pPr>
      <w:bookmarkStart w:id="936" w:name="_Toc30572"/>
      <w:bookmarkStart w:id="937" w:name="_Toc7285"/>
      <w:bookmarkStart w:id="938" w:name="_Toc10333"/>
      <w:bookmarkStart w:id="939" w:name="_Toc17090"/>
      <w:bookmarkStart w:id="940" w:name="_Toc7305"/>
      <w:bookmarkStart w:id="941" w:name="_Toc31750"/>
      <w:bookmarkStart w:id="942" w:name="_Toc25941"/>
      <w:bookmarkStart w:id="943" w:name="_Toc2726"/>
      <w:bookmarkStart w:id="944" w:name="_Toc10546"/>
      <w:bookmarkStart w:id="945" w:name="_Toc21569"/>
      <w:bookmarkStart w:id="946" w:name="_Toc16142"/>
      <w:bookmarkStart w:id="947" w:name="_Toc27793"/>
      <w:bookmarkStart w:id="948" w:name="_Toc13753"/>
      <w:bookmarkStart w:id="949" w:name="_Toc19025"/>
      <w:bookmarkStart w:id="950" w:name="_Toc13464"/>
      <w:bookmarkStart w:id="951" w:name="_Toc13539"/>
      <w:bookmarkStart w:id="952" w:name="_Toc25661"/>
      <w:bookmarkStart w:id="953" w:name="_Toc848"/>
      <w:bookmarkStart w:id="954" w:name="_Toc12676"/>
      <w:bookmarkStart w:id="955" w:name="_Toc10430"/>
      <w:bookmarkStart w:id="956" w:name="_Toc11926"/>
      <w:bookmarkStart w:id="957" w:name="_Toc6334"/>
      <w:bookmarkStart w:id="958" w:name="_Toc2165"/>
      <w:bookmarkStart w:id="959" w:name="_Toc9028"/>
      <w:bookmarkStart w:id="960" w:name="_Toc30205"/>
      <w:bookmarkStart w:id="961" w:name="_Toc295"/>
      <w:bookmarkStart w:id="962" w:name="_Toc32545"/>
      <w:bookmarkStart w:id="963" w:name="_Toc25560"/>
      <w:bookmarkStart w:id="964" w:name="_Toc24682"/>
      <w:bookmarkStart w:id="965" w:name="_Toc19099"/>
      <w:bookmarkStart w:id="966" w:name="_Toc18254"/>
      <w:bookmarkStart w:id="967" w:name="_Toc24232"/>
      <w:bookmarkStart w:id="968" w:name="_Toc19613"/>
      <w:bookmarkStart w:id="969" w:name="_Toc10724"/>
      <w:bookmarkStart w:id="970" w:name="_Toc5985"/>
      <w:bookmarkStart w:id="971" w:name="_Toc2124"/>
      <w:bookmarkStart w:id="972" w:name="_Toc391298963"/>
      <w:bookmarkStart w:id="973" w:name="_Toc10368"/>
      <w:bookmarkStart w:id="974" w:name="_Toc3828"/>
      <w:bookmarkStart w:id="975" w:name="_Toc27295"/>
      <w:r>
        <w:rPr>
          <w:rFonts w:hint="eastAsia" w:ascii="宋体" w:hAnsi="宋体" w:cs="宋体"/>
        </w:rPr>
        <w:t xml:space="preserve">第四章 </w:t>
      </w:r>
      <w:r>
        <w:rPr>
          <w:rFonts w:hint="eastAsia" w:ascii="宋体" w:hAnsi="宋体" w:cs="宋体"/>
          <w:lang w:val="zh-CN"/>
        </w:rPr>
        <w:t>评标办法及评分标准</w:t>
      </w:r>
      <w:bookmarkEnd w:id="936"/>
      <w:bookmarkEnd w:id="937"/>
      <w:bookmarkEnd w:id="938"/>
      <w:bookmarkEnd w:id="939"/>
      <w:bookmarkEnd w:id="940"/>
      <w:bookmarkEnd w:id="941"/>
      <w:bookmarkEnd w:id="942"/>
      <w:bookmarkEnd w:id="943"/>
      <w:bookmarkEnd w:id="944"/>
      <w:bookmarkEnd w:id="945"/>
      <w:bookmarkEnd w:id="946"/>
      <w:bookmarkStart w:id="976" w:name="_Toc12892"/>
      <w:bookmarkStart w:id="977" w:name="_Toc356371472"/>
    </w:p>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76"/>
    <w:bookmarkEnd w:id="977"/>
    <w:p>
      <w:pPr>
        <w:widowControl/>
        <w:spacing w:line="312" w:lineRule="auto"/>
        <w:ind w:firstLine="482"/>
        <w:outlineLvl w:val="1"/>
        <w:rPr>
          <w:rFonts w:ascii="宋体" w:hAnsi="宋体" w:cs="宋体"/>
          <w:b/>
          <w:bCs/>
        </w:rPr>
      </w:pPr>
      <w:bookmarkStart w:id="978" w:name="_Toc18561"/>
      <w:bookmarkStart w:id="979" w:name="_Toc4678"/>
      <w:bookmarkStart w:id="980" w:name="_Toc10787"/>
      <w:bookmarkStart w:id="981" w:name="_Toc18392"/>
      <w:bookmarkStart w:id="982" w:name="_Toc25940"/>
      <w:bookmarkStart w:id="983" w:name="_Toc19997"/>
      <w:bookmarkStart w:id="984" w:name="_Toc150404637"/>
      <w:bookmarkStart w:id="985" w:name="_Toc8527"/>
      <w:bookmarkStart w:id="986" w:name="_Toc11262"/>
      <w:bookmarkStart w:id="987" w:name="_Toc434"/>
      <w:bookmarkStart w:id="988" w:name="_Toc317671872"/>
      <w:bookmarkStart w:id="989" w:name="_Toc9653"/>
      <w:bookmarkStart w:id="990" w:name="_Toc2393"/>
      <w:bookmarkStart w:id="991" w:name="_Toc32429"/>
      <w:bookmarkStart w:id="992" w:name="_Toc23253"/>
      <w:bookmarkStart w:id="993" w:name="_Toc21988"/>
      <w:bookmarkStart w:id="994" w:name="_Toc4470"/>
      <w:bookmarkStart w:id="995" w:name="_Toc17851"/>
      <w:bookmarkStart w:id="996" w:name="_Toc25720"/>
      <w:bookmarkStart w:id="997" w:name="_Toc22689"/>
      <w:bookmarkStart w:id="998" w:name="_Toc344208599"/>
      <w:bookmarkStart w:id="999" w:name="_Toc12737"/>
      <w:bookmarkStart w:id="1000" w:name="_Toc4125"/>
      <w:bookmarkStart w:id="1001" w:name="_Toc6732"/>
      <w:bookmarkStart w:id="1002" w:name="_Toc10661"/>
      <w:bookmarkStart w:id="1003" w:name="_Toc2268"/>
      <w:bookmarkStart w:id="1004" w:name="_Toc2839"/>
      <w:bookmarkStart w:id="1005" w:name="_Toc23629"/>
      <w:bookmarkStart w:id="1006" w:name="_Toc15196"/>
      <w:bookmarkStart w:id="1007" w:name="_Toc6901"/>
      <w:bookmarkStart w:id="1008" w:name="_Toc22538"/>
      <w:bookmarkStart w:id="1009" w:name="_Toc25138"/>
      <w:bookmarkStart w:id="1010" w:name="_Toc27764"/>
      <w:bookmarkStart w:id="1011" w:name="_Toc5861"/>
      <w:bookmarkStart w:id="1012" w:name="_Toc27760"/>
      <w:bookmarkStart w:id="1013" w:name="_Toc13104"/>
      <w:bookmarkStart w:id="1014" w:name="_Toc24868"/>
      <w:bookmarkStart w:id="1015" w:name="_Toc15322"/>
      <w:bookmarkStart w:id="1016" w:name="_Toc22791"/>
      <w:bookmarkStart w:id="1017" w:name="_Toc31419"/>
      <w:bookmarkStart w:id="1018" w:name="_Toc25648"/>
      <w:bookmarkStart w:id="1019" w:name="_Toc32546"/>
      <w:bookmarkStart w:id="1020" w:name="_Toc7653"/>
      <w:bookmarkStart w:id="1021" w:name="_Toc16212"/>
      <w:bookmarkStart w:id="1022" w:name="_Toc17852"/>
      <w:bookmarkStart w:id="1023" w:name="_Toc32485"/>
      <w:bookmarkStart w:id="1024" w:name="_Toc18789"/>
      <w:bookmarkStart w:id="1025" w:name="_Toc8768"/>
      <w:bookmarkStart w:id="1026" w:name="_Toc27779"/>
      <w:bookmarkStart w:id="1027" w:name="_Toc27554"/>
      <w:bookmarkStart w:id="1028" w:name="_Toc26376"/>
      <w:bookmarkStart w:id="1029" w:name="_Toc11538"/>
      <w:bookmarkStart w:id="1030" w:name="_Toc7869"/>
      <w:bookmarkStart w:id="1031" w:name="_Toc7475"/>
      <w:bookmarkStart w:id="1032" w:name="_Toc21158"/>
      <w:bookmarkStart w:id="1033" w:name="_Toc13528"/>
      <w:bookmarkStart w:id="1034" w:name="_Toc16260"/>
      <w:bookmarkStart w:id="1035" w:name="_Toc26937"/>
      <w:bookmarkStart w:id="1036" w:name="_Toc12706"/>
      <w:bookmarkStart w:id="1037" w:name="_Toc24093"/>
      <w:bookmarkStart w:id="1038" w:name="_Toc17310"/>
      <w:bookmarkStart w:id="1039" w:name="_Toc11090"/>
      <w:bookmarkStart w:id="1040" w:name="_Toc22934"/>
      <w:bookmarkStart w:id="1041" w:name="_Toc32666"/>
      <w:bookmarkStart w:id="1042" w:name="_Toc22407"/>
      <w:bookmarkStart w:id="1043" w:name="_Toc599"/>
      <w:bookmarkStart w:id="1044" w:name="_Toc25369"/>
      <w:bookmarkStart w:id="1045" w:name="_Toc25353"/>
      <w:bookmarkStart w:id="1046" w:name="_Toc11499"/>
      <w:bookmarkStart w:id="1047" w:name="_Toc23856"/>
      <w:bookmarkStart w:id="1048" w:name="_Toc6078"/>
      <w:bookmarkStart w:id="1049" w:name="_Toc4752"/>
      <w:bookmarkStart w:id="1050" w:name="_Toc16765"/>
      <w:bookmarkStart w:id="1051" w:name="_Toc17848"/>
      <w:bookmarkStart w:id="1052" w:name="_Toc18027"/>
      <w:bookmarkStart w:id="1053" w:name="_Toc642"/>
      <w:bookmarkStart w:id="1054" w:name="_Toc10747"/>
      <w:bookmarkStart w:id="1055" w:name="_Toc14588"/>
      <w:bookmarkStart w:id="1056" w:name="_Toc9754"/>
      <w:bookmarkStart w:id="1057" w:name="_Toc7153"/>
      <w:r>
        <w:rPr>
          <w:rFonts w:hint="eastAsia" w:ascii="宋体" w:hAnsi="宋体" w:cs="宋体"/>
          <w:b/>
          <w:bCs/>
        </w:rPr>
        <w:t>一、总 则</w:t>
      </w:r>
      <w:bookmarkEnd w:id="978"/>
      <w:bookmarkEnd w:id="979"/>
      <w:bookmarkEnd w:id="980"/>
    </w:p>
    <w:p>
      <w:pPr>
        <w:widowControl/>
        <w:spacing w:line="312" w:lineRule="auto"/>
        <w:ind w:firstLine="480"/>
        <w:rPr>
          <w:rFonts w:ascii="宋体" w:hAnsi="宋体" w:cs="宋体"/>
        </w:rPr>
      </w:pPr>
      <w:r>
        <w:rPr>
          <w:rFonts w:hint="eastAsia" w:ascii="宋体" w:hAnsi="宋体" w:cs="宋体"/>
        </w:rPr>
        <w:t>1.为公正、公平、科学地选择中标人，参照《中华人民共和国政府采购法》《中华人民共和国政府采购法实施条例》以及政府采购有关规定，并结合本项目的实际情况，制定本办法。</w:t>
      </w:r>
    </w:p>
    <w:p>
      <w:pPr>
        <w:widowControl/>
        <w:spacing w:line="312" w:lineRule="auto"/>
        <w:ind w:firstLine="480"/>
        <w:rPr>
          <w:rFonts w:ascii="宋体" w:hAnsi="宋体" w:cs="宋体"/>
        </w:rPr>
      </w:pPr>
      <w:r>
        <w:rPr>
          <w:rFonts w:hint="eastAsia" w:ascii="宋体" w:hAnsi="宋体" w:cs="宋体"/>
        </w:rPr>
        <w:t>2.评标工作由采购组织机构负责组织，具体评标事务由评标委员会负责。</w:t>
      </w:r>
    </w:p>
    <w:p>
      <w:pPr>
        <w:widowControl/>
        <w:spacing w:line="312" w:lineRule="auto"/>
        <w:ind w:firstLine="480"/>
        <w:rPr>
          <w:rFonts w:ascii="宋体" w:hAnsi="宋体" w:cs="宋体"/>
        </w:rPr>
      </w:pPr>
      <w:r>
        <w:rPr>
          <w:rFonts w:hint="eastAsia" w:ascii="宋体" w:hAnsi="宋体" w:cs="宋体"/>
        </w:rPr>
        <w:t>3.评标委员会评价投标文件的响应性，对于投标人而言，除评标委员会要求其澄清、说明或者更正而提供的资料外，仅依据投标文件本身的内容，不寻求其他外部证据。如投标人提交的资质证明或其他内容不齐全，由此造成的后果由投标人自己负责。</w:t>
      </w:r>
    </w:p>
    <w:p>
      <w:pPr>
        <w:widowControl/>
        <w:spacing w:line="312" w:lineRule="auto"/>
        <w:ind w:firstLine="480"/>
        <w:rPr>
          <w:rFonts w:ascii="宋体" w:hAnsi="宋体" w:cs="宋体"/>
        </w:rPr>
      </w:pPr>
      <w:r>
        <w:rPr>
          <w:rFonts w:hint="eastAsia" w:ascii="宋体" w:hAnsi="宋体" w:cs="宋体"/>
        </w:rPr>
        <w:t>4.本项目评标采用不公开方式进行，评标过程独立、保密。投标人非法干预评标过程的行为将导致其投标文件作为无效处理。</w:t>
      </w:r>
    </w:p>
    <w:p>
      <w:pPr>
        <w:widowControl/>
        <w:spacing w:line="312" w:lineRule="auto"/>
        <w:ind w:firstLine="480"/>
        <w:rPr>
          <w:rFonts w:ascii="宋体" w:hAnsi="宋体" w:cs="宋体"/>
        </w:rPr>
      </w:pPr>
      <w:r>
        <w:rPr>
          <w:rFonts w:hint="eastAsia" w:ascii="宋体" w:hAnsi="宋体" w:cs="宋体"/>
        </w:rPr>
        <w:t>5.本项目评标采用不公开方式进行。</w:t>
      </w:r>
    </w:p>
    <w:p>
      <w:pPr>
        <w:widowControl/>
        <w:spacing w:line="312" w:lineRule="auto"/>
        <w:ind w:firstLine="480"/>
        <w:rPr>
          <w:rFonts w:ascii="宋体" w:hAnsi="宋体" w:cs="宋体"/>
        </w:rPr>
      </w:pPr>
      <w:r>
        <w:rPr>
          <w:rFonts w:hint="eastAsia" w:ascii="宋体" w:hAnsi="宋体" w:cs="宋体"/>
        </w:rPr>
        <w:t>6.本项目评审采用综合评分法。</w:t>
      </w:r>
    </w:p>
    <w:p>
      <w:pPr>
        <w:widowControl/>
        <w:spacing w:line="312" w:lineRule="auto"/>
        <w:ind w:firstLine="482"/>
        <w:outlineLvl w:val="1"/>
        <w:rPr>
          <w:rFonts w:ascii="宋体" w:hAnsi="宋体" w:cs="宋体"/>
          <w:b/>
          <w:bCs/>
        </w:rPr>
      </w:pPr>
      <w:bookmarkStart w:id="1058" w:name="_Toc14481"/>
      <w:bookmarkStart w:id="1059" w:name="_Toc32218"/>
      <w:bookmarkStart w:id="1060" w:name="_Toc7240"/>
      <w:bookmarkStart w:id="1061" w:name="_Toc30301"/>
      <w:r>
        <w:rPr>
          <w:rFonts w:hint="eastAsia" w:ascii="宋体" w:hAnsi="宋体" w:cs="宋体"/>
          <w:b/>
          <w:bCs/>
        </w:rPr>
        <w:t>二、组建评标委员会</w:t>
      </w:r>
      <w:bookmarkEnd w:id="1058"/>
      <w:bookmarkEnd w:id="1059"/>
      <w:bookmarkEnd w:id="1060"/>
      <w:bookmarkEnd w:id="1061"/>
    </w:p>
    <w:p>
      <w:pPr>
        <w:widowControl/>
        <w:spacing w:line="312" w:lineRule="auto"/>
        <w:ind w:firstLine="480"/>
        <w:rPr>
          <w:rFonts w:ascii="宋体" w:hAnsi="宋体" w:cs="宋体"/>
        </w:rPr>
      </w:pPr>
      <w:r>
        <w:rPr>
          <w:rFonts w:hint="eastAsia" w:ascii="宋体" w:hAnsi="宋体" w:cs="宋体"/>
        </w:rPr>
        <w:t>1.采购人将根据相关规定和采购项目的特点由采购人和技术、经济等方面专家组成评标委员会，评标委员会成员人数见投标人须知前附表。</w:t>
      </w:r>
    </w:p>
    <w:p>
      <w:pPr>
        <w:widowControl/>
        <w:spacing w:line="312" w:lineRule="auto"/>
        <w:ind w:firstLine="480"/>
        <w:rPr>
          <w:rFonts w:ascii="宋体" w:hAnsi="宋体" w:cs="宋体"/>
        </w:rPr>
      </w:pPr>
      <w:r>
        <w:rPr>
          <w:rFonts w:hint="eastAsia" w:ascii="宋体" w:hAnsi="宋体" w:cs="宋体"/>
        </w:rPr>
        <w:t>2.除依法组建的评标委员会成员以外，其他任何人不得参加或者替代评审。</w:t>
      </w:r>
    </w:p>
    <w:p>
      <w:pPr>
        <w:widowControl/>
        <w:spacing w:line="312" w:lineRule="auto"/>
        <w:ind w:firstLine="482"/>
        <w:outlineLvl w:val="1"/>
        <w:rPr>
          <w:rFonts w:ascii="宋体" w:hAnsi="宋体" w:cs="宋体"/>
          <w:b/>
          <w:bCs/>
        </w:rPr>
      </w:pPr>
      <w:bookmarkStart w:id="1062" w:name="_Toc435"/>
      <w:bookmarkStart w:id="1063" w:name="_Toc9591"/>
      <w:bookmarkStart w:id="1064" w:name="_Toc32495"/>
      <w:bookmarkStart w:id="1065" w:name="_Toc11485"/>
      <w:r>
        <w:rPr>
          <w:rFonts w:hint="eastAsia" w:ascii="宋体" w:hAnsi="宋体" w:cs="宋体"/>
          <w:b/>
          <w:bCs/>
        </w:rPr>
        <w:t>三、评标原则</w:t>
      </w:r>
      <w:bookmarkEnd w:id="1062"/>
      <w:bookmarkEnd w:id="1063"/>
      <w:bookmarkEnd w:id="1064"/>
      <w:bookmarkEnd w:id="1065"/>
    </w:p>
    <w:p>
      <w:pPr>
        <w:widowControl/>
        <w:spacing w:line="312" w:lineRule="auto"/>
        <w:ind w:firstLine="480"/>
        <w:rPr>
          <w:rFonts w:ascii="宋体" w:hAnsi="宋体" w:cs="宋体"/>
        </w:rPr>
      </w:pPr>
      <w:r>
        <w:rPr>
          <w:rFonts w:hint="eastAsia" w:ascii="宋体" w:hAnsi="宋体" w:cs="宋体"/>
        </w:rPr>
        <w:t>1.公正、客观、审慎的原则。</w:t>
      </w:r>
    </w:p>
    <w:p>
      <w:pPr>
        <w:widowControl/>
        <w:spacing w:line="312" w:lineRule="auto"/>
        <w:ind w:firstLine="480"/>
        <w:rPr>
          <w:rFonts w:ascii="宋体" w:hAnsi="宋体" w:cs="宋体"/>
        </w:rPr>
      </w:pPr>
      <w:r>
        <w:rPr>
          <w:rFonts w:hint="eastAsia" w:ascii="宋体" w:hAnsi="宋体" w:cs="宋体"/>
        </w:rPr>
        <w:t>2.严格保密原则。评标委员会及有关工作人员不得私下与投标人接触。采购人或采购组织机构对评审结果不作任何说明和解释，也不回答任何提问。</w:t>
      </w:r>
    </w:p>
    <w:p>
      <w:pPr>
        <w:widowControl/>
        <w:spacing w:line="312" w:lineRule="auto"/>
        <w:ind w:firstLine="480"/>
        <w:rPr>
          <w:rFonts w:ascii="宋体" w:hAnsi="宋体" w:cs="宋体"/>
        </w:rPr>
      </w:pPr>
      <w:r>
        <w:rPr>
          <w:rFonts w:hint="eastAsia" w:ascii="宋体" w:hAnsi="宋体" w:cs="宋体"/>
        </w:rPr>
        <w:t>3.独立评审原则。任何单位和个人不得干扰、影响评审的正常进行。</w:t>
      </w:r>
    </w:p>
    <w:p>
      <w:pPr>
        <w:widowControl/>
        <w:spacing w:line="312" w:lineRule="auto"/>
        <w:ind w:firstLine="480"/>
        <w:rPr>
          <w:rFonts w:ascii="宋体" w:hAnsi="宋体" w:cs="宋体"/>
        </w:rPr>
      </w:pPr>
      <w:r>
        <w:rPr>
          <w:rFonts w:hint="eastAsia" w:ascii="宋体" w:hAnsi="宋体" w:cs="宋体"/>
        </w:rPr>
        <w:t>4.严格遵守评标方法。根据采购文件规定的评审程序、评审方法进行评审，不带任何倾向性和启发性。</w:t>
      </w:r>
    </w:p>
    <w:p>
      <w:pPr>
        <w:widowControl/>
        <w:spacing w:line="312" w:lineRule="auto"/>
        <w:ind w:firstLine="482"/>
        <w:outlineLvl w:val="1"/>
        <w:rPr>
          <w:rFonts w:ascii="宋体" w:hAnsi="宋体" w:cs="宋体"/>
          <w:b/>
          <w:bCs/>
        </w:rPr>
      </w:pPr>
      <w:bookmarkStart w:id="1066" w:name="_Toc10524"/>
      <w:bookmarkStart w:id="1067" w:name="_Toc29039"/>
      <w:bookmarkStart w:id="1068" w:name="_Toc27639"/>
      <w:bookmarkStart w:id="1069" w:name="_Toc4890"/>
      <w:r>
        <w:rPr>
          <w:rFonts w:hint="eastAsia" w:ascii="宋体" w:hAnsi="宋体" w:cs="宋体"/>
          <w:b/>
          <w:bCs/>
        </w:rPr>
        <w:t>四、评标委员会履行下列职责</w:t>
      </w:r>
      <w:bookmarkEnd w:id="1066"/>
      <w:bookmarkEnd w:id="1067"/>
      <w:bookmarkEnd w:id="1068"/>
      <w:bookmarkEnd w:id="1069"/>
    </w:p>
    <w:p>
      <w:pPr>
        <w:widowControl/>
        <w:spacing w:line="312" w:lineRule="auto"/>
        <w:ind w:firstLine="480"/>
        <w:rPr>
          <w:rFonts w:ascii="宋体" w:hAnsi="宋体" w:cs="宋体"/>
        </w:rPr>
      </w:pPr>
      <w:r>
        <w:rPr>
          <w:rFonts w:hint="eastAsia" w:ascii="宋体" w:hAnsi="宋体" w:cs="宋体"/>
        </w:rPr>
        <w:t>1.熟悉和理解招标文件；</w:t>
      </w:r>
    </w:p>
    <w:p>
      <w:pPr>
        <w:widowControl/>
        <w:spacing w:line="312" w:lineRule="auto"/>
        <w:ind w:firstLine="480"/>
        <w:rPr>
          <w:rFonts w:ascii="宋体" w:hAnsi="宋体" w:cs="宋体"/>
        </w:rPr>
      </w:pPr>
      <w:r>
        <w:rPr>
          <w:rFonts w:hint="eastAsia" w:ascii="宋体" w:hAnsi="宋体" w:cs="宋体"/>
        </w:rPr>
        <w:t>2.审查投标人投标文件等是否满足招标文件要求，并作出评价；</w:t>
      </w:r>
    </w:p>
    <w:p>
      <w:pPr>
        <w:widowControl/>
        <w:spacing w:line="312" w:lineRule="auto"/>
        <w:ind w:firstLine="480"/>
        <w:rPr>
          <w:rFonts w:ascii="宋体" w:hAnsi="宋体" w:cs="宋体"/>
        </w:rPr>
      </w:pPr>
      <w:r>
        <w:rPr>
          <w:rFonts w:hint="eastAsia" w:ascii="宋体" w:hAnsi="宋体" w:cs="宋体"/>
        </w:rPr>
        <w:t>3.根据需要要求采购人对招标文件作出解释；根据需要要求投标人对投标文件有关事项作出澄清、说明或者更正；</w:t>
      </w:r>
    </w:p>
    <w:p>
      <w:pPr>
        <w:widowControl/>
        <w:spacing w:line="312" w:lineRule="auto"/>
        <w:ind w:firstLine="480"/>
        <w:rPr>
          <w:rFonts w:ascii="宋体" w:hAnsi="宋体" w:cs="宋体"/>
        </w:rPr>
      </w:pPr>
      <w:r>
        <w:rPr>
          <w:rFonts w:hint="eastAsia" w:ascii="宋体" w:hAnsi="宋体" w:cs="宋体"/>
        </w:rPr>
        <w:t>4.推荐中标候选人，或者受采购人委托确定中标人；</w:t>
      </w:r>
    </w:p>
    <w:p>
      <w:pPr>
        <w:widowControl/>
        <w:spacing w:line="312" w:lineRule="auto"/>
        <w:ind w:firstLine="480"/>
        <w:rPr>
          <w:rFonts w:ascii="宋体" w:hAnsi="宋体" w:cs="宋体"/>
        </w:rPr>
      </w:pPr>
      <w:r>
        <w:rPr>
          <w:rFonts w:hint="eastAsia" w:ascii="宋体" w:hAnsi="宋体" w:cs="宋体"/>
        </w:rPr>
        <w:t>5.起草评标报告并进行签署；</w:t>
      </w:r>
    </w:p>
    <w:p>
      <w:pPr>
        <w:widowControl/>
        <w:spacing w:line="312" w:lineRule="auto"/>
        <w:ind w:firstLine="480"/>
        <w:rPr>
          <w:rFonts w:ascii="宋体" w:hAnsi="宋体" w:cs="宋体"/>
        </w:rPr>
      </w:pPr>
      <w:r>
        <w:rPr>
          <w:rFonts w:hint="eastAsia" w:ascii="宋体" w:hAnsi="宋体" w:cs="宋体"/>
        </w:rPr>
        <w:t>6.向采购人、监督部门报告非法干预评标工作的行为；</w:t>
      </w:r>
    </w:p>
    <w:p>
      <w:pPr>
        <w:widowControl/>
        <w:spacing w:line="312" w:lineRule="auto"/>
        <w:ind w:firstLine="480"/>
        <w:rPr>
          <w:rFonts w:ascii="宋体" w:hAnsi="宋体" w:cs="宋体"/>
        </w:rPr>
      </w:pPr>
      <w:r>
        <w:rPr>
          <w:rFonts w:hint="eastAsia" w:ascii="宋体" w:hAnsi="宋体" w:cs="宋体"/>
        </w:rPr>
        <w:t>7.法律、法规和规章规定的其他职责。</w:t>
      </w:r>
    </w:p>
    <w:p>
      <w:pPr>
        <w:widowControl/>
        <w:spacing w:line="312" w:lineRule="auto"/>
        <w:ind w:firstLine="482"/>
        <w:outlineLvl w:val="1"/>
        <w:rPr>
          <w:rFonts w:ascii="宋体" w:hAnsi="宋体" w:cs="宋体"/>
          <w:b/>
          <w:bCs/>
        </w:rPr>
      </w:pPr>
      <w:bookmarkStart w:id="1070" w:name="_Toc2770"/>
      <w:bookmarkStart w:id="1071" w:name="_Toc26645"/>
      <w:bookmarkStart w:id="1072" w:name="_Toc24565"/>
      <w:bookmarkStart w:id="1073" w:name="_Toc11071"/>
      <w:r>
        <w:rPr>
          <w:rFonts w:hint="eastAsia" w:ascii="宋体" w:hAnsi="宋体" w:cs="宋体"/>
          <w:b/>
          <w:bCs/>
        </w:rPr>
        <w:t>五、评标工作纪律</w:t>
      </w:r>
      <w:bookmarkEnd w:id="1070"/>
      <w:bookmarkEnd w:id="1071"/>
      <w:bookmarkEnd w:id="1072"/>
      <w:bookmarkEnd w:id="1073"/>
    </w:p>
    <w:p>
      <w:pPr>
        <w:widowControl/>
        <w:spacing w:line="312" w:lineRule="auto"/>
        <w:ind w:firstLine="480"/>
        <w:rPr>
          <w:rFonts w:ascii="宋体" w:hAnsi="宋体" w:cs="宋体"/>
        </w:rPr>
      </w:pPr>
      <w:r>
        <w:rPr>
          <w:rFonts w:hint="eastAsia" w:ascii="宋体" w:hAnsi="宋体" w:cs="宋体"/>
        </w:rPr>
        <w:t>评标委员会成员要严格遵守评标纪律、保密、回避等相关规定，依法独立履行评标职责，客观、公正、审慎参与评标工作；</w:t>
      </w:r>
    </w:p>
    <w:p>
      <w:pPr>
        <w:widowControl/>
        <w:spacing w:line="312" w:lineRule="auto"/>
        <w:ind w:firstLine="480"/>
        <w:rPr>
          <w:rFonts w:ascii="宋体" w:hAnsi="宋体" w:cs="宋体"/>
        </w:rPr>
      </w:pPr>
      <w:r>
        <w:rPr>
          <w:rFonts w:hint="eastAsia" w:ascii="宋体" w:hAnsi="宋体" w:cs="宋体"/>
        </w:rPr>
        <w:t>1.严格遵守评标时间，因突发情况确实不能按时参加评标的，应事先告知招标组织机构；</w:t>
      </w:r>
    </w:p>
    <w:p>
      <w:pPr>
        <w:widowControl/>
        <w:spacing w:line="312" w:lineRule="auto"/>
        <w:ind w:firstLine="480"/>
        <w:rPr>
          <w:rFonts w:ascii="宋体" w:hAnsi="宋体" w:cs="宋体"/>
        </w:rPr>
      </w:pPr>
      <w:r>
        <w:rPr>
          <w:rFonts w:hint="eastAsia" w:ascii="宋体" w:hAnsi="宋体" w:cs="宋体"/>
        </w:rPr>
        <w:t>2.服从招标组织机构的现场管理，主动出示身份证明，进入评标区域后应主动寄存移动通讯工具；</w:t>
      </w:r>
    </w:p>
    <w:p>
      <w:pPr>
        <w:widowControl/>
        <w:spacing w:line="312" w:lineRule="auto"/>
        <w:ind w:firstLine="480"/>
        <w:rPr>
          <w:rFonts w:ascii="宋体" w:hAnsi="宋体" w:cs="宋体"/>
        </w:rPr>
      </w:pPr>
      <w:r>
        <w:rPr>
          <w:rFonts w:hint="eastAsia" w:ascii="宋体" w:hAnsi="宋体" w:cs="宋体"/>
        </w:rPr>
        <w:t>3.与投标人或评标委员会其他成员存在利害关系的，要主动回避，自觉签订《国企采购评审人员廉洁自律承诺书》；</w:t>
      </w:r>
    </w:p>
    <w:p>
      <w:pPr>
        <w:widowControl/>
        <w:spacing w:line="312" w:lineRule="auto"/>
        <w:ind w:firstLine="480"/>
        <w:rPr>
          <w:rFonts w:ascii="宋体" w:hAnsi="宋体" w:cs="宋体"/>
        </w:rPr>
      </w:pPr>
      <w:r>
        <w:rPr>
          <w:rFonts w:hint="eastAsia" w:ascii="宋体" w:hAnsi="宋体" w:cs="宋体"/>
        </w:rPr>
        <w:t>4.保持评标现场安静，不在评标现场随意走动，因发生不可预见情况确需与外界联系或暂时离开评标现场的，应向现场监督员说明情况，征得同意后在监控区域内进行相关活动，并应接受相关工作人员的监督；</w:t>
      </w:r>
    </w:p>
    <w:p>
      <w:pPr>
        <w:widowControl/>
        <w:spacing w:line="312" w:lineRule="auto"/>
        <w:ind w:firstLine="480"/>
        <w:rPr>
          <w:rFonts w:ascii="宋体" w:hAnsi="宋体" w:cs="宋体"/>
        </w:rPr>
      </w:pPr>
      <w:r>
        <w:rPr>
          <w:rFonts w:hint="eastAsia" w:ascii="宋体" w:hAnsi="宋体" w:cs="宋体"/>
        </w:rPr>
        <w:t>5.自觉遵守职业道德，尊重采购人代表和投标人代表，配合招标组织机构回答投标人代表提出的有关异议；</w:t>
      </w:r>
    </w:p>
    <w:p>
      <w:pPr>
        <w:widowControl/>
        <w:spacing w:line="312" w:lineRule="auto"/>
        <w:ind w:firstLine="480"/>
        <w:rPr>
          <w:rFonts w:ascii="宋体" w:hAnsi="宋体" w:cs="宋体"/>
        </w:rPr>
      </w:pPr>
      <w:r>
        <w:rPr>
          <w:rFonts w:hint="eastAsia" w:ascii="宋体" w:hAnsi="宋体" w:cs="宋体"/>
        </w:rPr>
        <w:t>6.不得将评标过程、结果和投标人的商业秘密透露给任何单位和个人。未公告评标结果前不准泄露评标结果，不准将评标资料带出会场；</w:t>
      </w:r>
    </w:p>
    <w:p>
      <w:pPr>
        <w:widowControl/>
        <w:spacing w:line="312" w:lineRule="auto"/>
        <w:ind w:firstLine="480"/>
        <w:rPr>
          <w:rFonts w:ascii="宋体" w:hAnsi="宋体" w:cs="宋体"/>
        </w:rPr>
      </w:pPr>
      <w:r>
        <w:rPr>
          <w:rFonts w:hint="eastAsia" w:ascii="宋体" w:hAnsi="宋体" w:cs="宋体"/>
        </w:rPr>
        <w:t>7.评标过程中，涉及到相关法律法规不清楚之处的，由采购监管部门或请示权威部门作出法定解释，涉及到招标文件的由采购人和采购代理机构负责解释。</w:t>
      </w:r>
    </w:p>
    <w:p>
      <w:pPr>
        <w:widowControl/>
        <w:spacing w:line="312" w:lineRule="auto"/>
        <w:ind w:firstLine="482"/>
        <w:outlineLvl w:val="1"/>
        <w:rPr>
          <w:rFonts w:ascii="宋体" w:hAnsi="宋体" w:cs="宋体"/>
          <w:b/>
          <w:bCs/>
        </w:rPr>
      </w:pPr>
      <w:bookmarkStart w:id="1074" w:name="_Toc19074"/>
      <w:bookmarkStart w:id="1075" w:name="_Toc19330"/>
      <w:bookmarkStart w:id="1076" w:name="_Toc274"/>
      <w:bookmarkStart w:id="1077" w:name="_Toc24507"/>
      <w:r>
        <w:rPr>
          <w:rFonts w:hint="eastAsia" w:ascii="宋体" w:hAnsi="宋体" w:cs="宋体"/>
          <w:b/>
          <w:bCs/>
        </w:rPr>
        <w:t>六、评标程序</w:t>
      </w:r>
      <w:bookmarkEnd w:id="1074"/>
      <w:bookmarkEnd w:id="1075"/>
      <w:bookmarkEnd w:id="1076"/>
      <w:bookmarkEnd w:id="1077"/>
    </w:p>
    <w:p>
      <w:pPr>
        <w:widowControl/>
        <w:spacing w:line="312" w:lineRule="auto"/>
        <w:ind w:firstLine="480"/>
        <w:rPr>
          <w:rFonts w:ascii="宋体" w:hAnsi="宋体" w:cs="宋体"/>
        </w:rPr>
      </w:pPr>
      <w:r>
        <w:rPr>
          <w:rFonts w:hint="eastAsia" w:ascii="宋体" w:hAnsi="宋体" w:cs="宋体"/>
        </w:rPr>
        <w:t>1.推选评标委员会组长，优先资深专家担任组长，采购人代表不得担任组长。</w:t>
      </w:r>
    </w:p>
    <w:p>
      <w:pPr>
        <w:widowControl/>
        <w:spacing w:line="312" w:lineRule="auto"/>
        <w:ind w:firstLine="480"/>
        <w:rPr>
          <w:rFonts w:ascii="宋体" w:hAnsi="宋体" w:cs="宋体"/>
        </w:rPr>
      </w:pPr>
      <w:r>
        <w:rPr>
          <w:rFonts w:hint="eastAsia" w:ascii="宋体" w:hAnsi="宋体" w:cs="宋体"/>
        </w:rPr>
        <w:t>2.评标委员会正式评审前，应当对采购文件进行熟悉和理解，内容主要包括采购文件中投标人资格资质性要求、采购项目技术、服务和商务要求、评审方法以及可能涉及签订采购合同的内容等。</w:t>
      </w:r>
    </w:p>
    <w:p>
      <w:pPr>
        <w:spacing w:line="312" w:lineRule="auto"/>
        <w:ind w:firstLine="480"/>
        <w:rPr>
          <w:rFonts w:ascii="宋体" w:hAnsi="宋体" w:cs="宋体"/>
        </w:rPr>
      </w:pPr>
      <w:r>
        <w:rPr>
          <w:rFonts w:hint="eastAsia" w:ascii="宋体" w:hAnsi="宋体" w:cs="宋体"/>
        </w:rPr>
        <w:t>3.评标程序：资格性审查→符合性审查→资信技术评审→报价评审→得分汇总→编写评审报告。</w:t>
      </w:r>
    </w:p>
    <w:p>
      <w:pPr>
        <w:widowControl/>
        <w:spacing w:line="312" w:lineRule="auto"/>
        <w:ind w:firstLine="480"/>
        <w:rPr>
          <w:rFonts w:ascii="宋体" w:hAnsi="宋体" w:cs="宋体"/>
        </w:rPr>
      </w:pPr>
      <w:r>
        <w:rPr>
          <w:rFonts w:hint="eastAsia" w:ascii="宋体" w:hAnsi="宋体" w:cs="宋体"/>
        </w:rPr>
        <w:t>4.资格性审查</w:t>
      </w:r>
    </w:p>
    <w:p>
      <w:pPr>
        <w:widowControl/>
        <w:spacing w:line="312" w:lineRule="auto"/>
        <w:ind w:firstLine="480"/>
        <w:rPr>
          <w:rFonts w:ascii="宋体" w:hAnsi="宋体" w:cs="宋体"/>
        </w:rPr>
      </w:pPr>
      <w:r>
        <w:rPr>
          <w:rFonts w:hint="eastAsia" w:ascii="宋体" w:hAnsi="宋体" w:cs="宋体"/>
        </w:rPr>
        <w:t>4.1.评标委员会应依据法律法规和本招标文件的规定对投标人资格进行审查。审查内容包</w:t>
      </w:r>
    </w:p>
    <w:p>
      <w:pPr>
        <w:widowControl/>
        <w:spacing w:line="312" w:lineRule="auto"/>
        <w:ind w:firstLine="480"/>
        <w:rPr>
          <w:rFonts w:ascii="宋体" w:hAnsi="宋体" w:cs="宋体"/>
        </w:rPr>
      </w:pPr>
      <w:r>
        <w:rPr>
          <w:rFonts w:hint="eastAsia" w:ascii="宋体" w:hAnsi="宋体" w:cs="宋体"/>
        </w:rPr>
        <w:t>括：</w:t>
      </w:r>
    </w:p>
    <w:p>
      <w:pPr>
        <w:widowControl/>
        <w:spacing w:line="312" w:lineRule="auto"/>
        <w:ind w:firstLine="480"/>
        <w:rPr>
          <w:rFonts w:ascii="宋体" w:hAnsi="宋体" w:cs="宋体"/>
        </w:rPr>
      </w:pPr>
      <w:r>
        <w:rPr>
          <w:rFonts w:hint="eastAsia" w:ascii="宋体" w:hAnsi="宋体" w:cs="宋体"/>
        </w:rPr>
        <w:t>(1)是否属于禁止参加投标的投标人；</w:t>
      </w:r>
    </w:p>
    <w:p>
      <w:pPr>
        <w:widowControl/>
        <w:spacing w:line="312" w:lineRule="auto"/>
        <w:ind w:firstLine="480"/>
        <w:rPr>
          <w:rFonts w:ascii="宋体" w:hAnsi="宋体" w:cs="宋体"/>
        </w:rPr>
      </w:pPr>
      <w:r>
        <w:rPr>
          <w:rFonts w:hint="eastAsia" w:ascii="宋体" w:hAnsi="宋体" w:cs="宋体"/>
        </w:rPr>
        <w:t>(2)是否按照规定要求提供资格性证明材料；</w:t>
      </w:r>
    </w:p>
    <w:p>
      <w:pPr>
        <w:widowControl/>
        <w:spacing w:line="312" w:lineRule="auto"/>
        <w:ind w:firstLine="480"/>
        <w:rPr>
          <w:rFonts w:ascii="宋体" w:hAnsi="宋体" w:cs="宋体"/>
        </w:rPr>
      </w:pPr>
      <w:r>
        <w:rPr>
          <w:rFonts w:hint="eastAsia" w:ascii="宋体" w:hAnsi="宋体" w:cs="宋体"/>
        </w:rPr>
        <w:t>(3)法律法规规定的其他资格条件。</w:t>
      </w:r>
    </w:p>
    <w:p>
      <w:pPr>
        <w:widowControl/>
        <w:spacing w:line="312" w:lineRule="auto"/>
        <w:ind w:firstLine="480"/>
        <w:rPr>
          <w:rFonts w:ascii="宋体" w:hAnsi="宋体" w:cs="宋体"/>
        </w:rPr>
      </w:pPr>
      <w:r>
        <w:rPr>
          <w:rFonts w:hint="eastAsia" w:ascii="宋体" w:hAnsi="宋体" w:cs="宋体"/>
        </w:rPr>
        <w:t>4.2.经资格审查不符合招标文件要求的投标文件，即终止其参与投标资格。不符合的理由由投标人在电话里确认，投标人拒绝确认的不影响评标委员会作出的不合格裁定。</w:t>
      </w:r>
    </w:p>
    <w:p>
      <w:pPr>
        <w:widowControl/>
        <w:spacing w:line="312" w:lineRule="auto"/>
        <w:ind w:firstLine="480"/>
        <w:rPr>
          <w:rFonts w:ascii="宋体" w:hAnsi="宋体" w:cs="宋体"/>
        </w:rPr>
      </w:pPr>
      <w:r>
        <w:rPr>
          <w:rFonts w:hint="eastAsia" w:ascii="宋体" w:hAnsi="宋体" w:cs="宋体"/>
        </w:rPr>
        <w:t>5.符合性审查</w:t>
      </w:r>
    </w:p>
    <w:p>
      <w:pPr>
        <w:widowControl/>
        <w:spacing w:line="312" w:lineRule="auto"/>
        <w:ind w:firstLine="480"/>
        <w:rPr>
          <w:rFonts w:ascii="宋体" w:hAnsi="宋体" w:cs="宋体"/>
        </w:rPr>
      </w:pPr>
      <w:r>
        <w:rPr>
          <w:rFonts w:hint="eastAsia" w:ascii="宋体" w:hAnsi="宋体" w:cs="宋体"/>
        </w:rPr>
        <w:t>5.1.评标委员会根据本招标文件的规定，对资格符合投标人的投标文件进行审查，以认定其是否满足本招标文件的实质性要求。符合性审查事项仅限于本招标文件的明确规定，评标委员会不得臆测符合性审查事项。经符合性审查未实质性响应招标文件要求，以投标无效处理。</w:t>
      </w:r>
    </w:p>
    <w:p>
      <w:pPr>
        <w:widowControl/>
        <w:spacing w:line="312" w:lineRule="auto"/>
        <w:ind w:firstLine="480"/>
        <w:rPr>
          <w:rFonts w:ascii="宋体" w:hAnsi="宋体" w:cs="宋体"/>
        </w:rPr>
      </w:pPr>
      <w:r>
        <w:rPr>
          <w:rFonts w:hint="eastAsia" w:ascii="宋体" w:hAnsi="宋体" w:cs="宋体"/>
        </w:rPr>
        <w:t>未实质性响应的理由由投标人在电话里确认。投标人拒绝确认的不影响评标委员会作出的不合格裁定。评标委员会不再进行后续评审。</w:t>
      </w:r>
    </w:p>
    <w:p>
      <w:pPr>
        <w:widowControl/>
        <w:spacing w:line="312" w:lineRule="auto"/>
        <w:ind w:firstLine="480"/>
        <w:rPr>
          <w:rFonts w:ascii="宋体" w:hAnsi="宋体" w:cs="宋体"/>
        </w:rPr>
      </w:pPr>
      <w:r>
        <w:rPr>
          <w:rFonts w:hint="eastAsia" w:ascii="宋体" w:hAnsi="宋体" w:cs="宋体"/>
        </w:rPr>
        <w:t>5.2.如果确定投标人无资格履行合同，其投标将被拒绝。</w:t>
      </w:r>
    </w:p>
    <w:p>
      <w:pPr>
        <w:widowControl/>
        <w:spacing w:line="312" w:lineRule="auto"/>
        <w:ind w:firstLine="480"/>
        <w:rPr>
          <w:rFonts w:ascii="宋体" w:hAnsi="宋体" w:cs="宋体"/>
        </w:rPr>
      </w:pPr>
      <w:r>
        <w:rPr>
          <w:rFonts w:hint="eastAsia" w:ascii="宋体" w:hAnsi="宋体" w:cs="宋体"/>
        </w:rPr>
        <w:t>6.投标文件评审</w:t>
      </w:r>
    </w:p>
    <w:p>
      <w:pPr>
        <w:widowControl/>
        <w:spacing w:line="312" w:lineRule="auto"/>
        <w:ind w:firstLine="480"/>
        <w:rPr>
          <w:rFonts w:ascii="宋体" w:hAnsi="宋体" w:cs="宋体"/>
        </w:rPr>
      </w:pPr>
      <w:r>
        <w:rPr>
          <w:rFonts w:hint="eastAsia" w:ascii="宋体" w:hAnsi="宋体" w:cs="宋体"/>
        </w:rPr>
        <w:t>评标委员会应当按照本招标文件中规定的评标方法和评分标准，对有效的投标文件进行技术、服务、商务等方面评估，综合比较与评价。详见本章第十条。</w:t>
      </w:r>
    </w:p>
    <w:p>
      <w:pPr>
        <w:widowControl/>
        <w:spacing w:line="312" w:lineRule="auto"/>
        <w:ind w:firstLine="482"/>
        <w:jc w:val="left"/>
        <w:outlineLvl w:val="1"/>
        <w:rPr>
          <w:rFonts w:ascii="宋体" w:hAnsi="宋体" w:cs="宋体"/>
          <w:b/>
          <w:bCs/>
        </w:rPr>
      </w:pPr>
      <w:bookmarkStart w:id="1078" w:name="_Toc19913"/>
      <w:bookmarkStart w:id="1079" w:name="_Toc8858"/>
      <w:bookmarkStart w:id="1080" w:name="_Toc26135"/>
      <w:bookmarkStart w:id="1081" w:name="_Toc21780"/>
      <w:r>
        <w:rPr>
          <w:rFonts w:hint="eastAsia" w:ascii="宋体" w:hAnsi="宋体" w:cs="宋体"/>
          <w:b/>
          <w:bCs/>
        </w:rPr>
        <w:t>七、澄清、说明或修正</w:t>
      </w:r>
      <w:bookmarkEnd w:id="1078"/>
      <w:bookmarkEnd w:id="1079"/>
      <w:bookmarkEnd w:id="1080"/>
      <w:bookmarkEnd w:id="1081"/>
    </w:p>
    <w:p>
      <w:pPr>
        <w:widowControl/>
        <w:spacing w:line="312" w:lineRule="auto"/>
        <w:ind w:firstLine="480"/>
        <w:rPr>
          <w:rFonts w:ascii="宋体" w:hAnsi="宋体" w:cs="宋体"/>
        </w:rPr>
      </w:pPr>
      <w:r>
        <w:rPr>
          <w:rFonts w:hint="eastAsia" w:ascii="宋体" w:hAnsi="宋体" w:cs="宋体"/>
        </w:rPr>
        <w:t>1.在评审过程中，投标文件实质性符合招标文件要求的前提下，评标委员会对投标文件中含义不明确、同类问题表述不一致或者有明显文字和计算错误的内容，评标委员会可以要求相关投标人作出必要的澄清、说明或修正。但不得超出招标文件的范围，不得以此让投标人实质改变投标文件的内容，不得影响公平竞争和投标文件的效力。澄清、说明或修正内容是投标文件的组成部分。</w:t>
      </w:r>
    </w:p>
    <w:p>
      <w:pPr>
        <w:widowControl/>
        <w:spacing w:line="312" w:lineRule="auto"/>
        <w:ind w:firstLine="480"/>
        <w:rPr>
          <w:rFonts w:ascii="宋体" w:hAnsi="宋体" w:cs="宋体"/>
        </w:rPr>
      </w:pPr>
      <w:r>
        <w:rPr>
          <w:rFonts w:hint="eastAsia" w:ascii="宋体" w:hAnsi="宋体" w:cs="宋体"/>
        </w:rPr>
        <w:t>2.投标文件报价出现前后不一致的，按照下列规定修正：</w:t>
      </w:r>
    </w:p>
    <w:p>
      <w:pPr>
        <w:widowControl/>
        <w:spacing w:line="312" w:lineRule="auto"/>
        <w:ind w:firstLine="480"/>
        <w:rPr>
          <w:rFonts w:ascii="宋体" w:hAnsi="宋体" w:cs="宋体"/>
        </w:rPr>
      </w:pPr>
      <w:r>
        <w:rPr>
          <w:rFonts w:hint="eastAsia" w:ascii="宋体" w:hAnsi="宋体" w:cs="宋体"/>
        </w:rPr>
        <w:t>2.1.开标时，投标文件中投标报价函内容与投标文件中明细表内容不一致的，以投标报价函为准；</w:t>
      </w:r>
    </w:p>
    <w:p>
      <w:pPr>
        <w:widowControl/>
        <w:spacing w:line="312" w:lineRule="auto"/>
        <w:ind w:firstLine="480"/>
        <w:rPr>
          <w:rFonts w:ascii="宋体" w:hAnsi="宋体" w:cs="宋体"/>
        </w:rPr>
      </w:pPr>
      <w:r>
        <w:rPr>
          <w:rFonts w:hint="eastAsia" w:ascii="宋体" w:hAnsi="宋体" w:cs="宋体"/>
        </w:rPr>
        <w:t>2.2投标文件的大写金额和小写金额不一致的，以大写金额为准；</w:t>
      </w:r>
    </w:p>
    <w:p>
      <w:pPr>
        <w:widowControl/>
        <w:spacing w:line="312" w:lineRule="auto"/>
        <w:ind w:firstLine="480"/>
        <w:rPr>
          <w:rFonts w:ascii="宋体" w:hAnsi="宋体" w:cs="宋体"/>
        </w:rPr>
      </w:pPr>
      <w:r>
        <w:rPr>
          <w:rFonts w:hint="eastAsia" w:ascii="宋体" w:hAnsi="宋体" w:cs="宋体"/>
        </w:rPr>
        <w:t>2.3单价金额小数点或百分比有明显错位的，以投标报价函的总价为准，并修改单价；</w:t>
      </w:r>
    </w:p>
    <w:p>
      <w:pPr>
        <w:widowControl/>
        <w:spacing w:line="312" w:lineRule="auto"/>
        <w:ind w:firstLine="480"/>
        <w:rPr>
          <w:rFonts w:ascii="宋体" w:hAnsi="宋体" w:cs="宋体"/>
        </w:rPr>
      </w:pPr>
      <w:r>
        <w:rPr>
          <w:rFonts w:hint="eastAsia" w:ascii="宋体" w:hAnsi="宋体" w:cs="宋体"/>
        </w:rPr>
        <w:t>2.4总价金额与按单价汇总金额不一致的，以单价金额计算结果为准；同时出现两种以上不一致的，按照前款规定的顺序修正，修正后的报价应经投标人书面确认，投标人不予确认的，其投标无效。</w:t>
      </w:r>
    </w:p>
    <w:p>
      <w:pPr>
        <w:widowControl/>
        <w:spacing w:line="312" w:lineRule="auto"/>
        <w:ind w:firstLine="480"/>
        <w:rPr>
          <w:rFonts w:ascii="宋体" w:hAnsi="宋体" w:cs="宋体"/>
        </w:rPr>
      </w:pPr>
      <w:r>
        <w:rPr>
          <w:rFonts w:hint="eastAsia" w:ascii="宋体" w:hAnsi="宋体" w:cs="宋体"/>
        </w:rPr>
        <w:t>2.5.对不同语言文本投标文件的解释发生异议的，以中文文本为准。</w:t>
      </w:r>
    </w:p>
    <w:p>
      <w:pPr>
        <w:widowControl/>
        <w:spacing w:line="312" w:lineRule="auto"/>
        <w:ind w:firstLine="480"/>
        <w:rPr>
          <w:rFonts w:ascii="宋体" w:hAnsi="宋体" w:cs="宋体"/>
        </w:rPr>
      </w:pPr>
      <w:r>
        <w:rPr>
          <w:rFonts w:hint="eastAsia" w:ascii="宋体" w:hAnsi="宋体" w:cs="宋体"/>
        </w:rPr>
        <w:t>出现本条第2.3项规定情形，单价汇总金额比总价金额高，且超过最高限价的，其投标文件应作为无效投标处理；单价汇总金额比总价金额高，但未超过采购预算或者本项目最高限价的，应以单价汇总金额作为价格评分依据。</w:t>
      </w:r>
    </w:p>
    <w:p>
      <w:pPr>
        <w:widowControl/>
        <w:spacing w:line="312" w:lineRule="auto"/>
        <w:ind w:firstLine="480"/>
        <w:rPr>
          <w:rFonts w:ascii="宋体" w:hAnsi="宋体" w:cs="宋体"/>
        </w:rPr>
      </w:pPr>
      <w:r>
        <w:rPr>
          <w:rFonts w:hint="eastAsia" w:ascii="宋体" w:hAnsi="宋体" w:cs="宋体"/>
        </w:rPr>
        <w:t>3.澄清说明答复函须由投标人法定代表人或授权代理人签字和盖章。如果投标人不接受对其错误的更正，其投标将被拒绝。</w:t>
      </w:r>
    </w:p>
    <w:p>
      <w:pPr>
        <w:widowControl/>
        <w:spacing w:line="312" w:lineRule="auto"/>
        <w:ind w:firstLine="480"/>
        <w:rPr>
          <w:rFonts w:ascii="宋体" w:hAnsi="宋体" w:cs="宋体"/>
        </w:rPr>
      </w:pPr>
      <w:r>
        <w:rPr>
          <w:rFonts w:hint="eastAsia" w:ascii="宋体" w:hAnsi="宋体" w:cs="宋体"/>
        </w:rPr>
        <w:t>4.请投标人在评审期间保持电话畅通，如未及时接听电话，视为放弃澄清、说明或补正的权利，视同默认采购结果，事后不得对采购相关人员、采购过程及结果提出异议。放弃澄清、说明或补正的责任由投标人自行负担。</w:t>
      </w:r>
    </w:p>
    <w:p>
      <w:pPr>
        <w:widowControl/>
        <w:spacing w:line="312" w:lineRule="auto"/>
        <w:ind w:firstLine="482" w:firstLineChars="0"/>
        <w:jc w:val="left"/>
        <w:outlineLvl w:val="1"/>
        <w:rPr>
          <w:rFonts w:ascii="宋体" w:hAnsi="宋体" w:cs="宋体"/>
          <w:b/>
          <w:bCs/>
        </w:rPr>
      </w:pPr>
      <w:bookmarkStart w:id="1082" w:name="_Toc15675"/>
      <w:bookmarkStart w:id="1083" w:name="_Toc28123"/>
      <w:bookmarkStart w:id="1084" w:name="_Toc31038"/>
      <w:r>
        <w:rPr>
          <w:rFonts w:hint="eastAsia" w:ascii="宋体" w:hAnsi="宋体" w:cs="宋体"/>
          <w:b/>
          <w:bCs/>
        </w:rPr>
        <w:t>八、推荐中标候选人</w:t>
      </w:r>
      <w:bookmarkEnd w:id="1082"/>
      <w:bookmarkEnd w:id="1083"/>
      <w:bookmarkEnd w:id="1084"/>
    </w:p>
    <w:p>
      <w:pPr>
        <w:widowControl/>
        <w:spacing w:line="312" w:lineRule="auto"/>
        <w:ind w:firstLine="480"/>
        <w:outlineLvl w:val="1"/>
        <w:rPr>
          <w:rFonts w:ascii="宋体" w:hAnsi="宋体" w:cs="宋体"/>
        </w:rPr>
      </w:pPr>
      <w:bookmarkStart w:id="1085" w:name="_Toc29148"/>
      <w:bookmarkStart w:id="1086" w:name="_Toc27231"/>
      <w:bookmarkStart w:id="1087" w:name="_Toc1659"/>
      <w:bookmarkStart w:id="1088" w:name="_Toc30774"/>
      <w:r>
        <w:rPr>
          <w:rFonts w:hint="eastAsia" w:ascii="宋体" w:hAnsi="宋体" w:cs="宋体"/>
        </w:rPr>
        <w:t>按照投标人得分由高到低顺序排列推荐中标候选人。综合得分相同者，以报价低者作为中标候选人；综合得分相同且报价相同，以技术指标优劣决定中标候选人；以上均相同则摇号确定。</w:t>
      </w:r>
      <w:bookmarkEnd w:id="1085"/>
      <w:bookmarkEnd w:id="1086"/>
      <w:bookmarkEnd w:id="1087"/>
      <w:bookmarkEnd w:id="1088"/>
    </w:p>
    <w:p>
      <w:pPr>
        <w:widowControl/>
        <w:spacing w:line="312" w:lineRule="auto"/>
        <w:ind w:firstLine="482"/>
        <w:jc w:val="left"/>
        <w:outlineLvl w:val="1"/>
        <w:rPr>
          <w:rFonts w:ascii="宋体" w:hAnsi="宋体" w:cs="宋体"/>
          <w:b/>
          <w:bCs/>
        </w:rPr>
      </w:pPr>
      <w:bookmarkStart w:id="1089" w:name="_Toc28577"/>
      <w:bookmarkStart w:id="1090" w:name="_Toc6952"/>
      <w:bookmarkStart w:id="1091" w:name="_Toc31388"/>
      <w:bookmarkStart w:id="1092" w:name="_Toc28343"/>
      <w:r>
        <w:rPr>
          <w:rFonts w:hint="eastAsia" w:ascii="宋体" w:hAnsi="宋体" w:cs="宋体"/>
          <w:b/>
          <w:bCs/>
        </w:rPr>
        <w:t>九、评审报告</w:t>
      </w:r>
      <w:bookmarkEnd w:id="1089"/>
      <w:bookmarkEnd w:id="1090"/>
      <w:bookmarkEnd w:id="1091"/>
      <w:bookmarkEnd w:id="1092"/>
    </w:p>
    <w:p>
      <w:pPr>
        <w:widowControl/>
        <w:spacing w:line="312" w:lineRule="auto"/>
        <w:ind w:firstLine="480"/>
        <w:rPr>
          <w:rFonts w:ascii="宋体" w:hAnsi="宋体" w:cs="宋体"/>
        </w:rPr>
      </w:pPr>
      <w:r>
        <w:rPr>
          <w:rFonts w:hint="eastAsia" w:ascii="宋体" w:hAnsi="宋体" w:cs="宋体"/>
        </w:rPr>
        <w:t>评标委员会编写评标报告，并提出得分由高到低排序名单及理由，评标报告由评标委员会</w:t>
      </w:r>
    </w:p>
    <w:p>
      <w:pPr>
        <w:widowControl/>
        <w:spacing w:line="312" w:lineRule="auto"/>
        <w:ind w:firstLine="0" w:firstLineChars="0"/>
        <w:rPr>
          <w:rFonts w:ascii="宋体" w:hAnsi="宋体" w:cs="宋体"/>
        </w:rPr>
      </w:pPr>
      <w:r>
        <w:rPr>
          <w:rFonts w:hint="eastAsia" w:ascii="宋体" w:hAnsi="宋体" w:cs="宋体"/>
        </w:rPr>
        <w:t>成员签字。</w:t>
      </w:r>
    </w:p>
    <w:p>
      <w:pPr>
        <w:widowControl/>
        <w:spacing w:line="312" w:lineRule="auto"/>
        <w:ind w:firstLine="482"/>
        <w:outlineLvl w:val="1"/>
        <w:rPr>
          <w:rFonts w:ascii="宋体" w:hAnsi="宋体" w:cs="宋体"/>
        </w:rPr>
      </w:pPr>
      <w:bookmarkStart w:id="1093" w:name="_Toc2725"/>
      <w:bookmarkStart w:id="1094" w:name="_Toc29832"/>
      <w:bookmarkStart w:id="1095" w:name="_Toc10667"/>
      <w:bookmarkStart w:id="1096" w:name="_Toc27030"/>
      <w:r>
        <w:rPr>
          <w:rFonts w:hint="eastAsia" w:ascii="宋体" w:hAnsi="宋体" w:cs="宋体"/>
          <w:b/>
          <w:bCs/>
        </w:rPr>
        <w:t>十、评标细则及标准</w:t>
      </w:r>
      <w:bookmarkEnd w:id="1093"/>
      <w:bookmarkEnd w:id="1094"/>
      <w:bookmarkEnd w:id="1095"/>
      <w:bookmarkEnd w:id="1096"/>
    </w:p>
    <w:p>
      <w:pPr>
        <w:widowControl/>
        <w:spacing w:line="312" w:lineRule="auto"/>
        <w:ind w:firstLine="480"/>
        <w:outlineLvl w:val="1"/>
        <w:rPr>
          <w:rFonts w:ascii="宋体" w:hAnsi="宋体" w:cs="宋体"/>
        </w:rPr>
      </w:pPr>
      <w:bookmarkStart w:id="1097" w:name="_Toc18818"/>
      <w:bookmarkStart w:id="1098" w:name="_Toc22648"/>
      <w:bookmarkStart w:id="1099" w:name="_Toc27516"/>
      <w:bookmarkStart w:id="1100" w:name="_Toc20443"/>
      <w:r>
        <w:rPr>
          <w:rFonts w:hint="eastAsia" w:ascii="宋体" w:hAnsi="宋体" w:cs="宋体"/>
        </w:rPr>
        <w:t>1.评标委员会成员根据本办法，对有效的投标文件进行商务、技术等方面评估，综合比较与评价，由各成员独立评分，打分时保留小数1位，每人一份评分表，并签名。在汇总得分时，如果发现某一单项评分超过评分细则规定的分值范围，则该份评分表无效。</w:t>
      </w:r>
      <w:bookmarkEnd w:id="1097"/>
      <w:bookmarkEnd w:id="1098"/>
      <w:bookmarkEnd w:id="1099"/>
      <w:bookmarkEnd w:id="1100"/>
    </w:p>
    <w:p>
      <w:pPr>
        <w:widowControl/>
        <w:spacing w:line="312" w:lineRule="auto"/>
        <w:ind w:left="120" w:right="120" w:firstLine="480"/>
        <w:rPr>
          <w:rFonts w:ascii="宋体" w:hAnsi="宋体" w:cs="宋体"/>
        </w:rPr>
      </w:pPr>
      <w:r>
        <w:rPr>
          <w:rFonts w:hint="eastAsia" w:ascii="宋体" w:hAnsi="宋体" w:cs="宋体"/>
        </w:rPr>
        <w:t>2.加权汇总每项评分因素的得分，得出每个有效投标人的总分。投标人商务技术部分最终得分为各成员的有效评分的算术平均值。计算时保留小数二位（第三位四舍五入）。</w:t>
      </w:r>
    </w:p>
    <w:p>
      <w:pPr>
        <w:widowControl/>
        <w:spacing w:line="312" w:lineRule="auto"/>
        <w:ind w:firstLine="480"/>
        <w:rPr>
          <w:rFonts w:hint="eastAsia" w:ascii="宋体" w:hAnsi="宋体" w:cs="宋体"/>
        </w:rPr>
      </w:pPr>
      <w:r>
        <w:rPr>
          <w:rFonts w:hint="eastAsia" w:ascii="宋体" w:hAnsi="宋体" w:cs="宋体"/>
        </w:rPr>
        <w:t>3.综合评分明细表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1230"/>
        <w:gridCol w:w="622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vertAlign w:val="baseline"/>
              </w:rPr>
            </w:pPr>
            <w:r>
              <w:rPr>
                <w:rFonts w:hint="eastAsia" w:ascii="宋体" w:hAnsi="宋体" w:eastAsia="宋体" w:cs="宋体"/>
                <w:sz w:val="22"/>
                <w:szCs w:val="22"/>
                <w:lang w:eastAsia="zh-CN"/>
              </w:rPr>
              <w:t>要素</w:t>
            </w: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vertAlign w:val="baseline"/>
              </w:rPr>
            </w:pPr>
            <w:r>
              <w:rPr>
                <w:rFonts w:hint="eastAsia" w:ascii="宋体" w:hAnsi="宋体" w:eastAsia="宋体" w:cs="宋体"/>
                <w:sz w:val="22"/>
                <w:szCs w:val="22"/>
              </w:rPr>
              <w:t>评分内容</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440" w:firstLineChars="200"/>
              <w:jc w:val="center"/>
              <w:rPr>
                <w:rFonts w:hint="eastAsia"/>
                <w:vertAlign w:val="baseline"/>
              </w:rPr>
            </w:pPr>
            <w:r>
              <w:rPr>
                <w:rFonts w:hint="eastAsia" w:ascii="宋体" w:hAnsi="宋体" w:eastAsia="宋体" w:cs="宋体"/>
                <w:sz w:val="22"/>
                <w:szCs w:val="22"/>
              </w:rPr>
              <w:t>评分细则</w:t>
            </w: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vertAlign w:val="baseline"/>
              </w:rPr>
            </w:pPr>
            <w:r>
              <w:rPr>
                <w:rFonts w:hint="eastAsia" w:ascii="宋体" w:hAnsi="宋体" w:eastAsia="宋体" w:cs="宋体"/>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报价部分</w:t>
            </w: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报价分</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（1）本项目最高限价101.4262万元。</w:t>
            </w:r>
          </w:p>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w:t>
            </w:r>
            <w:r>
              <w:rPr>
                <w:rFonts w:hint="eastAsia" w:ascii="宋体" w:hAnsi="宋体" w:eastAsia="宋体" w:cs="宋体"/>
                <w:sz w:val="22"/>
                <w:szCs w:val="22"/>
                <w:lang w:eastAsia="zh-CN"/>
              </w:rPr>
              <w:t>）价格分采用低价优先法计算,即满足招标文件要求且报价最低的为评标基准价；</w:t>
            </w:r>
          </w:p>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3</w:t>
            </w:r>
            <w:r>
              <w:rPr>
                <w:rFonts w:hint="eastAsia" w:ascii="宋体" w:hAnsi="宋体" w:eastAsia="宋体" w:cs="宋体"/>
                <w:sz w:val="22"/>
                <w:szCs w:val="22"/>
                <w:lang w:eastAsia="zh-CN"/>
              </w:rPr>
              <w:t>）投标报价得分=评标基准价/投标人报价</w:t>
            </w:r>
            <w:r>
              <w:rPr>
                <w:rFonts w:hint="eastAsia" w:ascii="宋体" w:hAnsi="宋体" w:eastAsia="宋体" w:cs="宋体"/>
                <w:sz w:val="22"/>
                <w:szCs w:val="22"/>
                <w:lang w:val="en-US" w:eastAsia="zh-CN"/>
              </w:rPr>
              <w:t>×</w:t>
            </w:r>
            <w:r>
              <w:rPr>
                <w:rFonts w:hint="eastAsia" w:ascii="宋体" w:hAnsi="宋体" w:eastAsia="宋体" w:cs="宋体"/>
                <w:sz w:val="22"/>
                <w:szCs w:val="22"/>
                <w:lang w:eastAsia="zh-CN"/>
              </w:rPr>
              <w:t>价格权值[</w:t>
            </w:r>
            <w:r>
              <w:rPr>
                <w:rFonts w:hint="eastAsia" w:ascii="宋体" w:hAnsi="宋体" w:eastAsia="宋体" w:cs="宋体"/>
                <w:sz w:val="22"/>
                <w:szCs w:val="22"/>
                <w:lang w:val="en-US" w:eastAsia="zh-CN"/>
              </w:rPr>
              <w:t>30</w:t>
            </w:r>
            <w:r>
              <w:rPr>
                <w:rFonts w:hint="eastAsia" w:ascii="宋体" w:hAnsi="宋体" w:eastAsia="宋体" w:cs="宋体"/>
                <w:sz w:val="22"/>
                <w:szCs w:val="22"/>
                <w:lang w:eastAsia="zh-CN"/>
              </w:rPr>
              <w:t>%]×100 (保留小数二位,第三位四舍五入) 。</w:t>
            </w:r>
          </w:p>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eastAsia="zh-CN"/>
              </w:rPr>
            </w:pPr>
            <w:r>
              <w:rPr>
                <w:rFonts w:hint="eastAsia" w:ascii="宋体" w:hAnsi="宋体" w:eastAsia="宋体" w:cs="宋体"/>
                <w:sz w:val="22"/>
                <w:szCs w:val="22"/>
                <w:lang w:val="en-US" w:eastAsia="zh-CN"/>
              </w:rPr>
              <w:t>（4）对小微企业货物的价格给予</w:t>
            </w:r>
            <w:r>
              <w:rPr>
                <w:rFonts w:hint="eastAsia" w:ascii="宋体" w:hAnsi="宋体" w:cs="宋体"/>
                <w:sz w:val="22"/>
                <w:szCs w:val="22"/>
                <w:lang w:val="en-US" w:eastAsia="zh-CN"/>
              </w:rPr>
              <w:t>1</w:t>
            </w:r>
            <w:r>
              <w:rPr>
                <w:rFonts w:hint="eastAsia" w:ascii="宋体" w:hAnsi="宋体" w:eastAsia="宋体" w:cs="宋体"/>
                <w:sz w:val="22"/>
                <w:szCs w:val="22"/>
                <w:lang w:val="en-US" w:eastAsia="zh-CN"/>
              </w:rPr>
              <w:t>0%的扣除，用扣除后的价格参与评审。</w:t>
            </w: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0-30分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Merge w:val="restart"/>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资信技术部分</w:t>
            </w: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相关证书</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投标人获得企业AAA级质量服务诚信单位得1分，投标人获得企业AAA级重质量守信用企业得1分，投标人获得企业AAA级企业资信等级得1分。（投标文件中提供证书原件扫描件并加盖公章，不提供不得分）</w:t>
            </w: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val="en-US" w:eastAsia="zh-CN"/>
              </w:rPr>
            </w:pPr>
            <w:r>
              <w:rPr>
                <w:rFonts w:hint="eastAsia" w:ascii="宋体" w:hAnsi="宋体" w:eastAsia="宋体" w:cs="宋体"/>
                <w:sz w:val="22"/>
                <w:szCs w:val="22"/>
                <w:lang w:eastAsia="zh-CN"/>
              </w:rPr>
              <w:t>0-</w:t>
            </w:r>
            <w:r>
              <w:rPr>
                <w:rFonts w:hint="eastAsia" w:ascii="宋体" w:hAnsi="宋体" w:eastAsia="宋体" w:cs="宋体"/>
                <w:sz w:val="22"/>
                <w:szCs w:val="22"/>
                <w:lang w:val="en-US" w:eastAsia="zh-CN"/>
              </w:rPr>
              <w:t>3</w:t>
            </w:r>
            <w:r>
              <w:rPr>
                <w:rFonts w:hint="eastAsia" w:ascii="宋体" w:hAnsi="宋体" w:eastAsia="宋体" w:cs="宋体"/>
                <w:sz w:val="22"/>
                <w:szCs w:val="22"/>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Merge w:val="continue"/>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业绩</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zh-TW" w:eastAsia="zh-CN"/>
              </w:rPr>
              <w:t>20</w:t>
            </w:r>
            <w:r>
              <w:rPr>
                <w:rFonts w:hint="eastAsia" w:ascii="宋体" w:hAnsi="宋体" w:eastAsia="宋体" w:cs="宋体"/>
                <w:sz w:val="22"/>
                <w:szCs w:val="22"/>
                <w:lang w:val="en-US" w:eastAsia="zh-CN"/>
              </w:rPr>
              <w:t>19</w:t>
            </w:r>
            <w:r>
              <w:rPr>
                <w:rFonts w:hint="eastAsia" w:ascii="宋体" w:hAnsi="宋体" w:eastAsia="宋体" w:cs="宋体"/>
                <w:sz w:val="22"/>
                <w:szCs w:val="22"/>
                <w:lang w:val="zh-TW" w:eastAsia="zh-CN"/>
              </w:rPr>
              <w:t>年1月1日至</w:t>
            </w:r>
            <w:r>
              <w:rPr>
                <w:rFonts w:hint="eastAsia" w:ascii="宋体" w:hAnsi="宋体" w:eastAsia="宋体" w:cs="宋体"/>
                <w:sz w:val="22"/>
                <w:szCs w:val="22"/>
                <w:lang w:val="en-US" w:eastAsia="zh-CN"/>
              </w:rPr>
              <w:t>今</w:t>
            </w:r>
            <w:r>
              <w:rPr>
                <w:rFonts w:hint="eastAsia" w:ascii="宋体" w:hAnsi="宋体" w:eastAsia="宋体" w:cs="宋体"/>
                <w:sz w:val="22"/>
                <w:szCs w:val="22"/>
                <w:lang w:val="zh-TW" w:eastAsia="zh-CN"/>
              </w:rPr>
              <w:t>，投标人施工过类似业绩</w:t>
            </w:r>
            <w:r>
              <w:rPr>
                <w:rFonts w:hint="eastAsia" w:ascii="宋体" w:hAnsi="宋体" w:eastAsia="宋体" w:cs="宋体"/>
                <w:sz w:val="22"/>
                <w:szCs w:val="22"/>
                <w:lang w:val="en-US" w:eastAsia="zh-CN"/>
              </w:rPr>
              <w:t>项目</w:t>
            </w:r>
            <w:r>
              <w:rPr>
                <w:rFonts w:hint="eastAsia" w:ascii="宋体" w:hAnsi="宋体" w:eastAsia="宋体" w:cs="宋体"/>
                <w:sz w:val="22"/>
                <w:szCs w:val="22"/>
                <w:lang w:val="zh-TW" w:eastAsia="zh-CN"/>
              </w:rPr>
              <w:t>，每提供1个得1分，最高得</w:t>
            </w:r>
            <w:r>
              <w:rPr>
                <w:rFonts w:hint="eastAsia" w:ascii="宋体" w:hAnsi="宋体" w:cs="宋体"/>
                <w:sz w:val="22"/>
                <w:szCs w:val="22"/>
                <w:lang w:val="en-US" w:eastAsia="zh-CN"/>
              </w:rPr>
              <w:t>3</w:t>
            </w:r>
            <w:r>
              <w:rPr>
                <w:rFonts w:hint="eastAsia" w:ascii="宋体" w:hAnsi="宋体" w:eastAsia="宋体" w:cs="宋体"/>
                <w:sz w:val="22"/>
                <w:szCs w:val="22"/>
                <w:lang w:val="zh-TW" w:eastAsia="zh-CN"/>
              </w:rPr>
              <w:t>分。未提供或不满足不得分。（</w:t>
            </w:r>
            <w:r>
              <w:rPr>
                <w:rFonts w:hint="eastAsia" w:ascii="宋体" w:hAnsi="宋体" w:eastAsia="宋体" w:cs="宋体"/>
                <w:sz w:val="22"/>
                <w:szCs w:val="22"/>
                <w:lang w:val="en-US" w:eastAsia="zh-CN"/>
              </w:rPr>
              <w:t>投标文件中提供中标通知书及合同原件扫描件并加盖公章，不提供不得分</w:t>
            </w:r>
            <w:r>
              <w:rPr>
                <w:rFonts w:hint="eastAsia" w:ascii="宋体" w:hAnsi="宋体" w:eastAsia="宋体" w:cs="宋体"/>
                <w:sz w:val="22"/>
                <w:szCs w:val="22"/>
                <w:lang w:val="zh-TW" w:eastAsia="zh-CN"/>
              </w:rPr>
              <w:t>）</w:t>
            </w: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0-</w:t>
            </w:r>
            <w:r>
              <w:rPr>
                <w:rFonts w:hint="eastAsia" w:ascii="宋体" w:hAnsi="宋体" w:cs="宋体"/>
                <w:sz w:val="22"/>
                <w:szCs w:val="22"/>
                <w:lang w:val="en-US" w:eastAsia="zh-CN"/>
              </w:rPr>
              <w:t>3</w:t>
            </w:r>
            <w:r>
              <w:rPr>
                <w:rFonts w:hint="eastAsia" w:ascii="宋体" w:hAnsi="宋体" w:eastAsia="宋体" w:cs="宋体"/>
                <w:sz w:val="22"/>
                <w:szCs w:val="22"/>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Merge w:val="continue"/>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投标产品基本性能参数响应程度</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技术参数全部满足招标文件要求的得</w:t>
            </w:r>
            <w:r>
              <w:rPr>
                <w:rFonts w:hint="eastAsia" w:ascii="宋体" w:hAnsi="宋体" w:cs="宋体"/>
                <w:sz w:val="22"/>
                <w:szCs w:val="22"/>
                <w:lang w:val="en-US" w:eastAsia="zh-CN"/>
              </w:rPr>
              <w:t>24</w:t>
            </w:r>
            <w:bookmarkStart w:id="2061" w:name="_GoBack"/>
            <w:bookmarkEnd w:id="2061"/>
            <w:r>
              <w:rPr>
                <w:rFonts w:hint="eastAsia" w:ascii="宋体" w:hAnsi="宋体" w:eastAsia="宋体" w:cs="宋体"/>
                <w:sz w:val="22"/>
                <w:szCs w:val="22"/>
                <w:lang w:val="en-US" w:eastAsia="zh-CN"/>
              </w:rPr>
              <w:t>分；</w:t>
            </w:r>
            <w:r>
              <w:rPr>
                <w:rFonts w:hint="eastAsia" w:ascii="新宋体" w:hAnsi="新宋体" w:eastAsia="新宋体" w:cs="新宋体"/>
                <w:color w:val="auto"/>
                <w:sz w:val="22"/>
                <w:szCs w:val="22"/>
                <w:highlight w:val="none"/>
              </w:rPr>
              <w:t>打“▲”指标为实质性要求，如有负偏离将作为无效投标；</w:t>
            </w:r>
            <w:r>
              <w:rPr>
                <w:rFonts w:hint="eastAsia" w:ascii="宋体" w:hAnsi="宋体" w:eastAsia="宋体" w:cs="宋体"/>
                <w:sz w:val="22"/>
                <w:szCs w:val="22"/>
                <w:lang w:val="en-US" w:eastAsia="zh-CN"/>
              </w:rPr>
              <w:t>打★号指标有负偏离或要求提供证明材料而未提供的每项扣3分，未打★号指标有负偏离的每项扣2分，扣完为止。</w:t>
            </w:r>
          </w:p>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val="zh-TW" w:eastAsia="zh-CN"/>
              </w:rPr>
            </w:pPr>
            <w:r>
              <w:rPr>
                <w:rFonts w:hint="default" w:ascii="宋体" w:hAnsi="宋体" w:eastAsia="宋体" w:cs="宋体"/>
                <w:b/>
                <w:bCs/>
                <w:sz w:val="22"/>
                <w:szCs w:val="22"/>
                <w:lang w:val="en-US" w:eastAsia="zh-CN"/>
              </w:rPr>
              <w:t>【</w:t>
            </w:r>
            <w:r>
              <w:rPr>
                <w:rFonts w:hint="eastAsia" w:ascii="宋体" w:hAnsi="宋体" w:eastAsia="宋体" w:cs="宋体"/>
                <w:b/>
                <w:bCs/>
                <w:sz w:val="22"/>
                <w:szCs w:val="22"/>
                <w:lang w:val="en-US" w:eastAsia="zh-CN"/>
              </w:rPr>
              <w:t>证明材料按招标文件“第三章 采购需求”一、技术参数要求提供</w:t>
            </w:r>
            <w:r>
              <w:rPr>
                <w:rFonts w:hint="default" w:ascii="宋体" w:hAnsi="宋体" w:eastAsia="宋体" w:cs="宋体"/>
                <w:b/>
                <w:bCs/>
                <w:sz w:val="22"/>
                <w:szCs w:val="22"/>
                <w:lang w:val="en-US" w:eastAsia="zh-CN"/>
              </w:rPr>
              <w:t>】</w:t>
            </w: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0-</w:t>
            </w:r>
            <w:r>
              <w:rPr>
                <w:rFonts w:hint="eastAsia" w:ascii="宋体" w:hAnsi="宋体" w:cs="宋体"/>
                <w:sz w:val="22"/>
                <w:szCs w:val="22"/>
                <w:lang w:val="en-US" w:eastAsia="zh-CN"/>
              </w:rPr>
              <w:t>24</w:t>
            </w:r>
            <w:r>
              <w:rPr>
                <w:rFonts w:hint="eastAsia" w:ascii="宋体" w:hAnsi="宋体" w:eastAsia="宋体" w:cs="宋体"/>
                <w:sz w:val="22"/>
                <w:szCs w:val="22"/>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Merge w:val="continue"/>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施工组织设计</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0" w:firstLineChars="0"/>
              <w:jc w:val="left"/>
              <w:rPr>
                <w:rFonts w:hint="eastAsia" w:ascii="新宋体" w:hAnsi="新宋体" w:eastAsia="新宋体" w:cs="新宋体"/>
                <w:color w:val="auto"/>
                <w:sz w:val="22"/>
                <w:szCs w:val="22"/>
                <w:highlight w:val="none"/>
                <w:lang w:val="en-US" w:eastAsia="zh-Hans"/>
              </w:rPr>
            </w:pPr>
            <w:r>
              <w:rPr>
                <w:rFonts w:hint="eastAsia" w:ascii="新宋体" w:hAnsi="新宋体" w:eastAsia="新宋体" w:cs="新宋体"/>
                <w:color w:val="auto"/>
                <w:sz w:val="22"/>
                <w:szCs w:val="22"/>
                <w:highlight w:val="none"/>
                <w:lang w:val="en-US" w:eastAsia="zh-CN"/>
              </w:rPr>
              <w:t>根据各投标人对本项目的</w:t>
            </w:r>
            <w:r>
              <w:rPr>
                <w:rFonts w:hint="eastAsia" w:ascii="新宋体" w:hAnsi="新宋体" w:eastAsia="新宋体" w:cs="新宋体"/>
                <w:color w:val="auto"/>
                <w:sz w:val="22"/>
                <w:szCs w:val="22"/>
                <w:highlight w:val="none"/>
                <w:lang w:val="en-US" w:eastAsia="zh-Hans"/>
              </w:rPr>
              <w:t>施工</w:t>
            </w:r>
            <w:r>
              <w:rPr>
                <w:rFonts w:hint="eastAsia" w:ascii="新宋体" w:hAnsi="新宋体" w:eastAsia="新宋体" w:cs="新宋体"/>
                <w:color w:val="auto"/>
                <w:sz w:val="22"/>
                <w:szCs w:val="22"/>
                <w:highlight w:val="none"/>
                <w:lang w:val="en-US" w:eastAsia="zh-CN"/>
              </w:rPr>
              <w:t>方案</w:t>
            </w:r>
            <w:r>
              <w:rPr>
                <w:rFonts w:hint="eastAsia" w:ascii="新宋体" w:hAnsi="新宋体" w:eastAsia="新宋体" w:cs="新宋体"/>
                <w:color w:val="auto"/>
                <w:sz w:val="22"/>
                <w:szCs w:val="22"/>
                <w:highlight w:val="none"/>
                <w:lang w:val="en-US" w:eastAsia="zh-Hans"/>
              </w:rPr>
              <w:t>和保证措施（有可行的</w:t>
            </w:r>
            <w:r>
              <w:rPr>
                <w:rFonts w:hint="eastAsia" w:ascii="新宋体" w:hAnsi="新宋体" w:eastAsia="新宋体" w:cs="新宋体"/>
                <w:color w:val="auto"/>
                <w:sz w:val="22"/>
                <w:szCs w:val="22"/>
                <w:highlight w:val="none"/>
                <w:lang w:val="en-US" w:eastAsia="zh-CN"/>
              </w:rPr>
              <w:t>施工方案</w:t>
            </w:r>
            <w:r>
              <w:rPr>
                <w:rFonts w:hint="eastAsia" w:ascii="新宋体" w:hAnsi="新宋体" w:eastAsia="新宋体" w:cs="新宋体"/>
                <w:color w:val="auto"/>
                <w:sz w:val="22"/>
                <w:szCs w:val="22"/>
                <w:highlight w:val="none"/>
                <w:lang w:val="en-US" w:eastAsia="zh-Hans"/>
              </w:rPr>
              <w:t>及保证措施</w:t>
            </w:r>
            <w:r>
              <w:rPr>
                <w:rFonts w:hint="eastAsia" w:ascii="新宋体" w:hAnsi="新宋体" w:eastAsia="新宋体" w:cs="新宋体"/>
                <w:color w:val="auto"/>
                <w:sz w:val="22"/>
                <w:szCs w:val="22"/>
                <w:highlight w:val="none"/>
                <w:lang w:val="en-US" w:eastAsia="zh-CN"/>
              </w:rPr>
              <w:t>）进行酌情打分。</w:t>
            </w:r>
          </w:p>
          <w:p>
            <w:pPr>
              <w:keepNext w:val="0"/>
              <w:keepLines w:val="0"/>
              <w:suppressLineNumbers w:val="0"/>
              <w:spacing w:before="0" w:beforeAutospacing="0" w:after="0" w:afterAutospacing="0" w:line="360" w:lineRule="exact"/>
              <w:ind w:left="0" w:leftChars="0" w:right="0" w:rightChars="0" w:firstLine="0" w:firstLineChars="0"/>
              <w:jc w:val="left"/>
              <w:rPr>
                <w:rFonts w:hint="default" w:ascii="宋体" w:hAnsi="宋体" w:eastAsia="宋体" w:cs="宋体"/>
                <w:b/>
                <w:bCs/>
                <w:sz w:val="22"/>
                <w:szCs w:val="22"/>
                <w:lang w:val="en-US" w:eastAsia="zh-CN"/>
              </w:rPr>
            </w:pP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0-10</w:t>
            </w:r>
            <w:r>
              <w:rPr>
                <w:rFonts w:hint="eastAsia" w:ascii="宋体" w:hAnsi="宋体" w:eastAsia="宋体" w:cs="宋体"/>
                <w:sz w:val="22"/>
                <w:szCs w:val="22"/>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Merge w:val="continue"/>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default" w:ascii="宋体" w:hAnsi="宋体" w:cs="宋体"/>
                <w:sz w:val="22"/>
                <w:szCs w:val="22"/>
                <w:lang w:val="en-US" w:eastAsia="zh-CN"/>
              </w:rPr>
            </w:pPr>
            <w:r>
              <w:rPr>
                <w:rFonts w:hint="eastAsia" w:ascii="宋体" w:hAnsi="宋体" w:cs="宋体"/>
                <w:sz w:val="22"/>
                <w:szCs w:val="22"/>
                <w:lang w:val="en-US" w:eastAsia="zh-CN"/>
              </w:rPr>
              <w:t>项目的重点难点及应对措施</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0" w:firstLineChars="0"/>
              <w:jc w:val="left"/>
              <w:rPr>
                <w:rFonts w:hint="default"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本项目拟建在两个公园中，对原苗木需进行移植，无施工道路进场，投标人对难度进行分析，列出应对措施进行酌情打分。</w:t>
            </w: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default" w:ascii="宋体" w:hAnsi="宋体" w:cs="宋体"/>
                <w:sz w:val="22"/>
                <w:szCs w:val="22"/>
                <w:lang w:val="en-US" w:eastAsia="zh-CN"/>
              </w:rPr>
            </w:pPr>
            <w:r>
              <w:rPr>
                <w:rFonts w:hint="eastAsia" w:ascii="宋体" w:hAnsi="宋体" w:cs="宋体"/>
                <w:sz w:val="22"/>
                <w:szCs w:val="22"/>
                <w:lang w:val="en-US" w:eastAsia="zh-CN"/>
              </w:rPr>
              <w:t>0-10</w:t>
            </w:r>
            <w:r>
              <w:rPr>
                <w:rFonts w:hint="eastAsia" w:ascii="宋体" w:hAnsi="宋体" w:eastAsia="宋体" w:cs="宋体"/>
                <w:sz w:val="22"/>
                <w:szCs w:val="22"/>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Merge w:val="continue"/>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val="en-US" w:eastAsia="zh-CN"/>
              </w:rPr>
            </w:pPr>
            <w:r>
              <w:rPr>
                <w:rFonts w:hint="eastAsia" w:ascii="宋体" w:hAnsi="宋体" w:eastAsia="宋体" w:cs="宋体"/>
                <w:sz w:val="22"/>
                <w:szCs w:val="22"/>
                <w:lang w:eastAsia="zh-CN"/>
              </w:rPr>
              <w:t>项目</w:t>
            </w:r>
            <w:r>
              <w:rPr>
                <w:rFonts w:hint="eastAsia" w:ascii="宋体" w:hAnsi="宋体" w:cs="宋体"/>
                <w:sz w:val="22"/>
                <w:szCs w:val="22"/>
                <w:lang w:val="en-US" w:eastAsia="zh-CN"/>
              </w:rPr>
              <w:t>采购</w:t>
            </w:r>
            <w:r>
              <w:rPr>
                <w:rFonts w:hint="eastAsia" w:ascii="宋体" w:hAnsi="宋体" w:eastAsia="宋体" w:cs="宋体"/>
                <w:sz w:val="22"/>
                <w:szCs w:val="22"/>
                <w:lang w:eastAsia="zh-CN"/>
              </w:rPr>
              <w:t>实施方案</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val="zh-TW" w:eastAsia="zh-CN"/>
              </w:rPr>
            </w:pPr>
            <w:r>
              <w:rPr>
                <w:rFonts w:hint="eastAsia" w:ascii="宋体" w:hAnsi="宋体" w:eastAsia="宋体" w:cs="宋体"/>
                <w:sz w:val="22"/>
                <w:szCs w:val="22"/>
                <w:lang w:val="en-US" w:eastAsia="zh-CN"/>
              </w:rPr>
              <w:t>根据投标人提供的项目实施方案（包括主要从人员、机械的配备、原材料的采购、制作、安装、运输过程中的安全保障措施和质量保证措施、进度保障措施、安装调试及验收的方案等方面）的全面性、合理性、科学性进行打分。</w:t>
            </w: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0-</w:t>
            </w:r>
            <w:r>
              <w:rPr>
                <w:rFonts w:hint="eastAsia" w:ascii="宋体" w:hAnsi="宋体" w:cs="宋体"/>
                <w:sz w:val="22"/>
                <w:szCs w:val="22"/>
                <w:lang w:val="en-US" w:eastAsia="zh-CN"/>
              </w:rPr>
              <w:t>10</w:t>
            </w:r>
            <w:r>
              <w:rPr>
                <w:rFonts w:hint="eastAsia" w:ascii="宋体" w:hAnsi="宋体" w:eastAsia="宋体" w:cs="宋体"/>
                <w:sz w:val="22"/>
                <w:szCs w:val="22"/>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Merge w:val="continue"/>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p>
        </w:tc>
        <w:tc>
          <w:tcPr>
            <w:tcW w:w="1230"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val="zh-CN" w:eastAsia="zh-CN"/>
              </w:rPr>
            </w:pPr>
            <w:r>
              <w:rPr>
                <w:rFonts w:hint="eastAsia" w:ascii="宋体" w:hAnsi="宋体" w:eastAsia="宋体" w:cs="宋体"/>
                <w:sz w:val="22"/>
                <w:szCs w:val="22"/>
                <w:lang w:val="zh-CN" w:eastAsia="zh-CN"/>
              </w:rPr>
              <w:t>售后服务方案</w:t>
            </w:r>
          </w:p>
        </w:tc>
        <w:tc>
          <w:tcPr>
            <w:tcW w:w="6225" w:type="dxa"/>
            <w:vAlign w:val="center"/>
          </w:tcPr>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val="zh-CN" w:eastAsia="zh-CN"/>
              </w:rPr>
            </w:pPr>
            <w:r>
              <w:rPr>
                <w:rFonts w:hint="eastAsia" w:ascii="宋体" w:hAnsi="宋体" w:eastAsia="宋体" w:cs="宋体"/>
                <w:sz w:val="22"/>
                <w:szCs w:val="22"/>
                <w:lang w:val="en-US" w:eastAsia="zh-CN"/>
              </w:rPr>
              <w:t>1、</w:t>
            </w:r>
            <w:r>
              <w:rPr>
                <w:rFonts w:hint="eastAsia" w:ascii="宋体" w:hAnsi="宋体" w:eastAsia="宋体" w:cs="宋体"/>
                <w:sz w:val="22"/>
                <w:szCs w:val="22"/>
                <w:lang w:val="zh-CN" w:eastAsia="zh-CN"/>
              </w:rPr>
              <w:t>根据投标人提供的售后服务方案、售后服务承诺的可行性、完整性以及服务承诺落实的保障措施，维护期内外的后续技术支持和维护能力情况以及对服务承诺的保障措施等情况打分。（</w:t>
            </w:r>
            <w:r>
              <w:rPr>
                <w:rFonts w:hint="eastAsia" w:ascii="宋体" w:hAnsi="宋体" w:eastAsia="宋体" w:cs="宋体"/>
                <w:sz w:val="22"/>
                <w:szCs w:val="22"/>
                <w:lang w:val="en-US" w:eastAsia="zh-CN"/>
              </w:rPr>
              <w:t>0-8分</w:t>
            </w:r>
            <w:r>
              <w:rPr>
                <w:rFonts w:hint="eastAsia" w:ascii="宋体" w:hAnsi="宋体" w:eastAsia="宋体" w:cs="宋体"/>
                <w:sz w:val="22"/>
                <w:szCs w:val="22"/>
                <w:lang w:val="zh-CN" w:eastAsia="zh-CN"/>
              </w:rPr>
              <w:t>）</w:t>
            </w:r>
          </w:p>
          <w:p>
            <w:pPr>
              <w:keepNext w:val="0"/>
              <w:keepLines w:val="0"/>
              <w:suppressLineNumbers w:val="0"/>
              <w:spacing w:before="0" w:beforeAutospacing="0" w:after="0" w:afterAutospacing="0" w:line="360" w:lineRule="exact"/>
              <w:ind w:left="0" w:leftChars="0" w:right="0" w:rightChars="0" w:firstLine="0" w:firstLineChars="0"/>
              <w:jc w:val="left"/>
              <w:rPr>
                <w:rFonts w:hint="eastAsia" w:ascii="宋体" w:hAnsi="宋体" w:eastAsia="宋体" w:cs="宋体"/>
                <w:sz w:val="22"/>
                <w:szCs w:val="22"/>
                <w:lang w:val="zh-TW" w:eastAsia="zh-CN"/>
              </w:rPr>
            </w:pPr>
            <w:r>
              <w:rPr>
                <w:rFonts w:hint="eastAsia" w:ascii="宋体" w:hAnsi="宋体" w:eastAsia="宋体" w:cs="宋体"/>
                <w:sz w:val="22"/>
                <w:szCs w:val="22"/>
                <w:lang w:val="en-US" w:eastAsia="zh-CN"/>
              </w:rPr>
              <w:t>2、免费质保期为1年，在此基础上每增加1年得1 分，最多2分。（0-2分）【须提供相应承诺书（格式自拟）并加盖公章，否则不得分。】</w:t>
            </w:r>
          </w:p>
        </w:tc>
        <w:tc>
          <w:tcPr>
            <w:tcW w:w="975" w:type="dxa"/>
            <w:vAlign w:val="center"/>
          </w:tcPr>
          <w:p>
            <w:pPr>
              <w:keepNext w:val="0"/>
              <w:keepLines w:val="0"/>
              <w:suppressLineNumbers w:val="0"/>
              <w:spacing w:before="0" w:beforeAutospacing="0" w:after="0" w:afterAutospacing="0" w:line="360" w:lineRule="exact"/>
              <w:ind w:left="0" w:leftChars="0" w:right="0" w:rightChars="0" w:firstLine="0" w:firstLineChars="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0-10分</w:t>
            </w:r>
          </w:p>
        </w:tc>
      </w:tr>
    </w:tbl>
    <w:p>
      <w:pPr>
        <w:pStyle w:val="2"/>
        <w:ind w:left="0" w:leftChars="0" w:firstLine="0" w:firstLineChars="0"/>
      </w:pPr>
    </w:p>
    <w:bookmarkEnd w:id="963"/>
    <w:bookmarkEnd w:id="964"/>
    <w:bookmarkEnd w:id="965"/>
    <w:bookmarkEnd w:id="966"/>
    <w:bookmarkEnd w:id="967"/>
    <w:bookmarkEnd w:id="968"/>
    <w:bookmarkEnd w:id="969"/>
    <w:bookmarkEnd w:id="970"/>
    <w:bookmarkEnd w:id="971"/>
    <w:bookmarkEnd w:id="972"/>
    <w:bookmarkEnd w:id="973"/>
    <w:bookmarkEnd w:id="974"/>
    <w:bookmarkEnd w:id="975"/>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Pr>
        <w:widowControl/>
        <w:spacing w:line="312" w:lineRule="auto"/>
        <w:ind w:firstLine="482"/>
        <w:outlineLvl w:val="1"/>
        <w:rPr>
          <w:rFonts w:ascii="宋体" w:hAnsi="宋体" w:cs="宋体"/>
          <w:b/>
          <w:bCs/>
        </w:rPr>
      </w:pPr>
      <w:bookmarkStart w:id="1101" w:name="_Toc11297"/>
      <w:bookmarkStart w:id="1102" w:name="_Toc9400"/>
      <w:bookmarkStart w:id="1103" w:name="_Toc19280"/>
      <w:bookmarkStart w:id="1104" w:name="_Toc18665"/>
      <w:bookmarkStart w:id="1105" w:name="_Toc16940"/>
      <w:bookmarkStart w:id="1106" w:name="_Toc23144"/>
      <w:bookmarkStart w:id="1107" w:name="_Toc2114"/>
      <w:bookmarkStart w:id="1108" w:name="_Toc19057"/>
      <w:bookmarkStart w:id="1109" w:name="_Toc21134"/>
      <w:bookmarkStart w:id="1110" w:name="_Toc18889"/>
      <w:bookmarkStart w:id="1111" w:name="_Toc20999"/>
      <w:bookmarkStart w:id="1112" w:name="_Toc1170"/>
      <w:bookmarkStart w:id="1113" w:name="_Toc15014"/>
      <w:bookmarkStart w:id="1114" w:name="_Toc22478"/>
      <w:bookmarkStart w:id="1115" w:name="_Toc16468"/>
      <w:bookmarkStart w:id="1116" w:name="_Toc23988"/>
      <w:bookmarkStart w:id="1117" w:name="_Toc19763"/>
      <w:bookmarkStart w:id="1118" w:name="_Toc29819"/>
      <w:bookmarkStart w:id="1119" w:name="_Toc29206"/>
      <w:bookmarkStart w:id="1120" w:name="_Toc30669"/>
      <w:bookmarkStart w:id="1121" w:name="_Toc3721"/>
      <w:bookmarkStart w:id="1122" w:name="_Toc12295"/>
      <w:bookmarkStart w:id="1123" w:name="_Toc24157"/>
      <w:bookmarkStart w:id="1124" w:name="_Toc31129"/>
      <w:bookmarkStart w:id="1125" w:name="_Toc13063"/>
      <w:bookmarkStart w:id="1126" w:name="_Toc28717"/>
      <w:bookmarkStart w:id="1127" w:name="_Toc23997"/>
      <w:bookmarkStart w:id="1128" w:name="_Toc4505"/>
      <w:bookmarkStart w:id="1129" w:name="_Toc7613"/>
      <w:bookmarkStart w:id="1130" w:name="_Toc29100"/>
      <w:bookmarkStart w:id="1131" w:name="_Toc1518"/>
      <w:bookmarkStart w:id="1132" w:name="_Toc23598"/>
      <w:bookmarkStart w:id="1133" w:name="_Toc2034"/>
      <w:bookmarkStart w:id="1134" w:name="_Toc12891"/>
      <w:bookmarkStart w:id="1135" w:name="_Toc9996"/>
      <w:bookmarkStart w:id="1136" w:name="_Toc32294"/>
      <w:bookmarkStart w:id="1137" w:name="_Toc7339"/>
      <w:bookmarkStart w:id="1138" w:name="_Toc5433"/>
      <w:bookmarkStart w:id="1139" w:name="_Toc29904"/>
      <w:bookmarkStart w:id="1140" w:name="_Toc21063"/>
      <w:bookmarkStart w:id="1141" w:name="_Toc347443768"/>
      <w:bookmarkStart w:id="1142" w:name="_Toc391298964"/>
      <w:r>
        <w:rPr>
          <w:rFonts w:hint="eastAsia" w:ascii="宋体" w:hAnsi="宋体" w:cs="宋体"/>
          <w:b/>
          <w:bCs/>
        </w:rPr>
        <w:t>十一、投标人不得有下列情形</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pPr>
        <w:widowControl/>
        <w:spacing w:line="312" w:lineRule="auto"/>
        <w:ind w:firstLine="480"/>
        <w:rPr>
          <w:rFonts w:ascii="宋体" w:hAnsi="宋体" w:cs="宋体"/>
        </w:rPr>
      </w:pPr>
      <w:r>
        <w:rPr>
          <w:rFonts w:hint="eastAsia" w:ascii="宋体" w:hAnsi="宋体" w:cs="宋体"/>
        </w:rPr>
        <w:t>投标人有下列情形之一的，处以采购项目中标金额千分之五以上千分之十以下的罚款，列入不良行为记录名单，在一至三年内禁止参加采购活动，并予以公告，有违法所得的，并处没收违法所得,情节严重的，由工商行政管理机关吊销营业执照，构成犯罪的，依法追究刑事责任。同时将取消中标资格或者认定中标无效。</w:t>
      </w:r>
    </w:p>
    <w:p>
      <w:pPr>
        <w:widowControl/>
        <w:spacing w:line="312" w:lineRule="auto"/>
        <w:ind w:firstLine="480"/>
        <w:rPr>
          <w:rFonts w:ascii="宋体" w:hAnsi="宋体" w:cs="宋体"/>
        </w:rPr>
      </w:pPr>
      <w:r>
        <w:rPr>
          <w:rFonts w:hint="eastAsia" w:ascii="宋体" w:hAnsi="宋体" w:cs="宋体"/>
        </w:rPr>
        <w:t>1.提供虚假材料谋取中标；</w:t>
      </w:r>
    </w:p>
    <w:p>
      <w:pPr>
        <w:widowControl/>
        <w:spacing w:line="312" w:lineRule="auto"/>
        <w:ind w:firstLine="480"/>
        <w:rPr>
          <w:rFonts w:ascii="宋体" w:hAnsi="宋体" w:cs="宋体"/>
        </w:rPr>
      </w:pPr>
      <w:r>
        <w:rPr>
          <w:rFonts w:hint="eastAsia" w:ascii="宋体" w:hAnsi="宋体" w:cs="宋体"/>
        </w:rPr>
        <w:t>2.采取不正当手段诋毁、排挤其他投标人；</w:t>
      </w:r>
    </w:p>
    <w:p>
      <w:pPr>
        <w:widowControl/>
        <w:spacing w:line="312" w:lineRule="auto"/>
        <w:ind w:firstLine="480"/>
        <w:rPr>
          <w:rFonts w:ascii="宋体" w:hAnsi="宋体" w:cs="宋体"/>
        </w:rPr>
      </w:pPr>
      <w:r>
        <w:rPr>
          <w:rFonts w:hint="eastAsia" w:ascii="宋体" w:hAnsi="宋体" w:cs="宋体"/>
        </w:rPr>
        <w:t>3.与采购人、其他投标人恶意串通；</w:t>
      </w:r>
    </w:p>
    <w:p>
      <w:pPr>
        <w:widowControl/>
        <w:spacing w:line="312" w:lineRule="auto"/>
        <w:ind w:firstLine="480"/>
        <w:rPr>
          <w:rFonts w:ascii="宋体" w:hAnsi="宋体" w:cs="宋体"/>
        </w:rPr>
      </w:pPr>
      <w:r>
        <w:rPr>
          <w:rFonts w:hint="eastAsia" w:ascii="宋体" w:hAnsi="宋体" w:cs="宋体"/>
        </w:rPr>
        <w:t>4.向采购人、评标小组成员行贿或者提供其他不正当利益；</w:t>
      </w:r>
    </w:p>
    <w:p>
      <w:pPr>
        <w:widowControl/>
        <w:spacing w:line="312" w:lineRule="auto"/>
        <w:ind w:firstLine="480"/>
        <w:rPr>
          <w:rFonts w:ascii="宋体" w:hAnsi="宋体" w:cs="宋体"/>
        </w:rPr>
      </w:pPr>
      <w:r>
        <w:rPr>
          <w:rFonts w:hint="eastAsia" w:ascii="宋体" w:hAnsi="宋体" w:cs="宋体"/>
        </w:rPr>
        <w:t>5.在招标过程中与采购人进行协商谈判；</w:t>
      </w:r>
    </w:p>
    <w:p>
      <w:pPr>
        <w:widowControl/>
        <w:spacing w:line="312" w:lineRule="auto"/>
        <w:ind w:firstLine="480"/>
        <w:rPr>
          <w:rFonts w:ascii="宋体" w:hAnsi="宋体" w:cs="宋体"/>
        </w:rPr>
      </w:pPr>
      <w:r>
        <w:rPr>
          <w:rFonts w:hint="eastAsia" w:ascii="宋体" w:hAnsi="宋体" w:cs="宋体"/>
        </w:rPr>
        <w:t>6.中标人无正当理由拖延或者不与采购人签订采购合同；</w:t>
      </w:r>
    </w:p>
    <w:p>
      <w:pPr>
        <w:widowControl/>
        <w:spacing w:line="312" w:lineRule="auto"/>
        <w:ind w:firstLine="480"/>
        <w:rPr>
          <w:rFonts w:ascii="宋体" w:hAnsi="宋体" w:cs="宋体"/>
        </w:rPr>
      </w:pPr>
      <w:r>
        <w:rPr>
          <w:rFonts w:hint="eastAsia" w:ascii="宋体" w:hAnsi="宋体" w:cs="宋体"/>
        </w:rPr>
        <w:t>7.未按照采购文件确定的事项签订采购合同；</w:t>
      </w:r>
    </w:p>
    <w:p>
      <w:pPr>
        <w:widowControl/>
        <w:spacing w:line="312" w:lineRule="auto"/>
        <w:ind w:firstLine="480"/>
        <w:rPr>
          <w:rFonts w:ascii="宋体" w:hAnsi="宋体" w:cs="宋体"/>
        </w:rPr>
      </w:pPr>
      <w:r>
        <w:rPr>
          <w:rFonts w:hint="eastAsia" w:ascii="宋体" w:hAnsi="宋体" w:cs="宋体"/>
        </w:rPr>
        <w:t>8.将采购合同转包或者违规分包；</w:t>
      </w:r>
    </w:p>
    <w:p>
      <w:pPr>
        <w:widowControl/>
        <w:spacing w:line="312" w:lineRule="auto"/>
        <w:ind w:firstLine="480"/>
        <w:rPr>
          <w:rFonts w:ascii="宋体" w:hAnsi="宋体" w:cs="宋体"/>
        </w:rPr>
      </w:pPr>
      <w:r>
        <w:rPr>
          <w:rFonts w:hint="eastAsia" w:ascii="宋体" w:hAnsi="宋体" w:cs="宋体"/>
        </w:rPr>
        <w:t>9.提供假冒伪劣产品；</w:t>
      </w:r>
    </w:p>
    <w:p>
      <w:pPr>
        <w:widowControl/>
        <w:spacing w:line="312" w:lineRule="auto"/>
        <w:ind w:firstLine="480"/>
        <w:rPr>
          <w:rFonts w:ascii="宋体" w:hAnsi="宋体" w:cs="宋体"/>
        </w:rPr>
      </w:pPr>
      <w:r>
        <w:rPr>
          <w:rFonts w:hint="eastAsia" w:ascii="宋体" w:hAnsi="宋体" w:cs="宋体"/>
        </w:rPr>
        <w:t>10.擅自变更、中止或者终止采购合同；</w:t>
      </w:r>
    </w:p>
    <w:p>
      <w:pPr>
        <w:widowControl/>
        <w:spacing w:line="312" w:lineRule="auto"/>
        <w:ind w:firstLine="480"/>
        <w:rPr>
          <w:rFonts w:ascii="宋体" w:hAnsi="宋体" w:cs="宋体"/>
        </w:rPr>
      </w:pPr>
      <w:r>
        <w:rPr>
          <w:rFonts w:hint="eastAsia" w:ascii="宋体" w:hAnsi="宋体" w:cs="宋体"/>
        </w:rPr>
        <w:t>11.拒绝有关部门的监督检查或者向监督检查部门提供虚假情况；</w:t>
      </w:r>
    </w:p>
    <w:p>
      <w:pPr>
        <w:widowControl/>
        <w:spacing w:line="312" w:lineRule="auto"/>
        <w:ind w:firstLine="480"/>
        <w:rPr>
          <w:rFonts w:ascii="宋体" w:hAnsi="宋体" w:cs="宋体"/>
        </w:rPr>
      </w:pPr>
      <w:r>
        <w:rPr>
          <w:rFonts w:hint="eastAsia" w:ascii="宋体" w:hAnsi="宋体" w:cs="宋体"/>
        </w:rPr>
        <w:t>12.法律法规规定的其他情形。</w:t>
      </w:r>
    </w:p>
    <w:p>
      <w:pPr>
        <w:widowControl/>
        <w:spacing w:line="312" w:lineRule="auto"/>
        <w:ind w:firstLine="482"/>
        <w:outlineLvl w:val="1"/>
        <w:rPr>
          <w:rFonts w:ascii="宋体" w:hAnsi="宋体" w:cs="宋体"/>
          <w:b/>
          <w:bCs/>
        </w:rPr>
      </w:pPr>
      <w:bookmarkStart w:id="1143" w:name="_Toc20601"/>
      <w:bookmarkStart w:id="1144" w:name="_Toc15843"/>
      <w:bookmarkStart w:id="1145" w:name="_Toc30885"/>
      <w:bookmarkStart w:id="1146" w:name="_Toc14056"/>
      <w:bookmarkStart w:id="1147" w:name="_Toc32296"/>
      <w:bookmarkStart w:id="1148" w:name="_Toc19855"/>
      <w:bookmarkStart w:id="1149" w:name="_Toc16516"/>
      <w:bookmarkStart w:id="1150" w:name="_Toc12829"/>
      <w:bookmarkStart w:id="1151" w:name="_Toc6048"/>
      <w:bookmarkStart w:id="1152" w:name="_Toc4304"/>
      <w:bookmarkStart w:id="1153" w:name="_Toc32341"/>
      <w:bookmarkStart w:id="1154" w:name="_Toc22989"/>
      <w:bookmarkStart w:id="1155" w:name="_Toc17389"/>
      <w:bookmarkStart w:id="1156" w:name="_Toc10181"/>
      <w:bookmarkStart w:id="1157" w:name="_Toc24586"/>
      <w:bookmarkStart w:id="1158" w:name="_Toc11211"/>
      <w:bookmarkStart w:id="1159" w:name="_Toc2473"/>
      <w:bookmarkStart w:id="1160" w:name="_Toc8601"/>
      <w:bookmarkStart w:id="1161" w:name="_Toc4226"/>
      <w:bookmarkStart w:id="1162" w:name="_Toc25321"/>
      <w:bookmarkStart w:id="1163" w:name="_Toc29580"/>
      <w:bookmarkStart w:id="1164" w:name="_Toc16522"/>
      <w:bookmarkStart w:id="1165" w:name="_Toc6548"/>
      <w:bookmarkStart w:id="1166" w:name="_Toc4873"/>
      <w:bookmarkStart w:id="1167" w:name="_Toc20449"/>
      <w:bookmarkStart w:id="1168" w:name="_Toc21777"/>
      <w:bookmarkStart w:id="1169" w:name="_Toc31870"/>
      <w:bookmarkStart w:id="1170" w:name="_Toc9063"/>
      <w:bookmarkStart w:id="1171" w:name="_Toc29636"/>
      <w:bookmarkStart w:id="1172" w:name="_Toc20072"/>
      <w:bookmarkStart w:id="1173" w:name="_Toc552"/>
      <w:bookmarkStart w:id="1174" w:name="_Toc9039"/>
      <w:bookmarkStart w:id="1175" w:name="_Toc8750"/>
      <w:bookmarkStart w:id="1176" w:name="_Toc21968"/>
      <w:bookmarkStart w:id="1177" w:name="_Toc2041"/>
      <w:bookmarkStart w:id="1178" w:name="_Toc4296"/>
      <w:bookmarkStart w:id="1179" w:name="_Toc21651"/>
      <w:bookmarkStart w:id="1180" w:name="_Toc18036"/>
      <w:bookmarkStart w:id="1181" w:name="_Toc19558"/>
      <w:bookmarkStart w:id="1182" w:name="_Toc23017"/>
      <w:bookmarkStart w:id="1183" w:name="_Toc6024"/>
      <w:bookmarkStart w:id="1184" w:name="_Toc11628"/>
      <w:r>
        <w:rPr>
          <w:rFonts w:hint="eastAsia" w:ascii="宋体" w:hAnsi="宋体" w:cs="宋体"/>
          <w:b/>
          <w:bCs/>
        </w:rPr>
        <w:t>十二、串通投标情形</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p>
    <w:p>
      <w:pPr>
        <w:widowControl/>
        <w:spacing w:line="312" w:lineRule="auto"/>
        <w:ind w:firstLine="480"/>
        <w:rPr>
          <w:rFonts w:ascii="宋体" w:hAnsi="宋体" w:cs="宋体"/>
        </w:rPr>
      </w:pPr>
      <w:r>
        <w:rPr>
          <w:rFonts w:hint="eastAsia" w:ascii="宋体" w:hAnsi="宋体" w:cs="宋体"/>
        </w:rPr>
        <w:t>招标采购中，有下列情形之一的，视为投标人串通投标，其投标无效：</w:t>
      </w:r>
    </w:p>
    <w:p>
      <w:pPr>
        <w:widowControl/>
        <w:spacing w:line="312" w:lineRule="auto"/>
        <w:ind w:firstLine="480"/>
        <w:rPr>
          <w:rFonts w:ascii="宋体" w:hAnsi="宋体" w:cs="宋体"/>
        </w:rPr>
      </w:pPr>
      <w:r>
        <w:rPr>
          <w:rFonts w:hint="eastAsia" w:ascii="宋体" w:hAnsi="宋体" w:cs="宋体"/>
        </w:rPr>
        <w:t>1.不同投标人的投标文件由同一单位或者个人编制；</w:t>
      </w:r>
    </w:p>
    <w:p>
      <w:pPr>
        <w:widowControl/>
        <w:spacing w:line="312" w:lineRule="auto"/>
        <w:ind w:firstLine="480"/>
        <w:rPr>
          <w:rFonts w:ascii="宋体" w:hAnsi="宋体" w:cs="宋体"/>
        </w:rPr>
      </w:pPr>
      <w:r>
        <w:rPr>
          <w:rFonts w:hint="eastAsia" w:ascii="宋体" w:hAnsi="宋体" w:cs="宋体"/>
        </w:rPr>
        <w:t>2.不同投标人委托同一单位或者个人办理投标事宜；</w:t>
      </w:r>
    </w:p>
    <w:p>
      <w:pPr>
        <w:widowControl/>
        <w:spacing w:line="312" w:lineRule="auto"/>
        <w:ind w:firstLine="480"/>
        <w:rPr>
          <w:rFonts w:ascii="宋体" w:hAnsi="宋体" w:cs="宋体"/>
        </w:rPr>
      </w:pPr>
      <w:r>
        <w:rPr>
          <w:rFonts w:hint="eastAsia" w:ascii="宋体" w:hAnsi="宋体" w:cs="宋体"/>
        </w:rPr>
        <w:t>3.不同投标人的投标文件载明的项目管理成员或者联系人员为同一人；</w:t>
      </w:r>
    </w:p>
    <w:p>
      <w:pPr>
        <w:widowControl/>
        <w:spacing w:line="312" w:lineRule="auto"/>
        <w:ind w:firstLine="480"/>
        <w:rPr>
          <w:rFonts w:ascii="宋体" w:hAnsi="宋体" w:cs="宋体"/>
        </w:rPr>
      </w:pPr>
      <w:r>
        <w:rPr>
          <w:rFonts w:hint="eastAsia" w:ascii="宋体" w:hAnsi="宋体" w:cs="宋体"/>
        </w:rPr>
        <w:t>4.不同投标人的投标文件异常一致或者投标报价呈规律性差异；</w:t>
      </w:r>
    </w:p>
    <w:p>
      <w:pPr>
        <w:widowControl/>
        <w:spacing w:line="312" w:lineRule="auto"/>
        <w:ind w:firstLine="480"/>
        <w:rPr>
          <w:rFonts w:ascii="宋体" w:hAnsi="宋体" w:cs="宋体"/>
        </w:rPr>
      </w:pPr>
      <w:r>
        <w:rPr>
          <w:rFonts w:hint="eastAsia" w:ascii="宋体" w:hAnsi="宋体" w:cs="宋体"/>
        </w:rPr>
        <w:t>5.不同投标人的投标文件相互混装。</w:t>
      </w:r>
    </w:p>
    <w:bookmarkEnd w:id="1141"/>
    <w:bookmarkEnd w:id="1142"/>
    <w:p>
      <w:pPr>
        <w:ind w:firstLine="480"/>
        <w:rPr>
          <w:lang w:val="zh-CN"/>
        </w:rPr>
      </w:pPr>
      <w:bookmarkStart w:id="1185" w:name="_Toc10"/>
      <w:bookmarkStart w:id="1186" w:name="_Toc12019"/>
      <w:bookmarkStart w:id="1187" w:name="_Toc32471"/>
      <w:bookmarkStart w:id="1188" w:name="_Toc11472"/>
      <w:bookmarkStart w:id="1189" w:name="_Toc30553"/>
      <w:bookmarkStart w:id="1190" w:name="_Toc22259"/>
      <w:bookmarkStart w:id="1191" w:name="_Toc27434"/>
      <w:bookmarkStart w:id="1192" w:name="_Toc10740"/>
      <w:bookmarkStart w:id="1193" w:name="_Toc10123"/>
      <w:bookmarkStart w:id="1194" w:name="_Toc6786"/>
      <w:bookmarkStart w:id="1195" w:name="_Toc18455"/>
      <w:bookmarkStart w:id="1196" w:name="_Toc2346"/>
      <w:bookmarkStart w:id="1197" w:name="_Toc21350"/>
      <w:bookmarkStart w:id="1198" w:name="_Toc4116"/>
      <w:bookmarkStart w:id="1199" w:name="_Toc12079"/>
      <w:bookmarkStart w:id="1200" w:name="_Toc19304"/>
      <w:bookmarkStart w:id="1201" w:name="_Toc19009"/>
      <w:bookmarkStart w:id="1202" w:name="_Toc12338"/>
      <w:bookmarkStart w:id="1203" w:name="_Toc11540"/>
      <w:bookmarkStart w:id="1204" w:name="_Toc3409"/>
      <w:bookmarkStart w:id="1205" w:name="_Toc3583"/>
      <w:bookmarkStart w:id="1206" w:name="_Toc5424"/>
      <w:bookmarkStart w:id="1207" w:name="_Toc8221"/>
      <w:bookmarkStart w:id="1208" w:name="_Toc18436"/>
      <w:bookmarkStart w:id="1209" w:name="_Toc20951"/>
      <w:bookmarkStart w:id="1210" w:name="_Toc3385"/>
      <w:bookmarkStart w:id="1211" w:name="_Toc10388"/>
      <w:bookmarkStart w:id="1212" w:name="_Toc21758"/>
      <w:bookmarkStart w:id="1213" w:name="_Toc23764"/>
      <w:bookmarkStart w:id="1214" w:name="_Toc15963"/>
      <w:bookmarkStart w:id="1215" w:name="_Toc22487"/>
      <w:bookmarkStart w:id="1216" w:name="_Toc13948"/>
      <w:bookmarkStart w:id="1217" w:name="_Toc27395"/>
      <w:bookmarkStart w:id="1218" w:name="_Toc10485"/>
      <w:bookmarkStart w:id="1219" w:name="_Toc19268"/>
      <w:bookmarkStart w:id="1220" w:name="_Toc15825"/>
      <w:bookmarkStart w:id="1221" w:name="_Toc31476"/>
      <w:bookmarkStart w:id="1222" w:name="_Toc6998"/>
      <w:bookmarkStart w:id="1223" w:name="_Toc6811"/>
      <w:bookmarkStart w:id="1224" w:name="_Toc18870"/>
      <w:bookmarkStart w:id="1225" w:name="_Toc29727"/>
      <w:bookmarkStart w:id="1226" w:name="_Toc6295"/>
      <w:bookmarkStart w:id="1227" w:name="_Toc21613"/>
      <w:bookmarkStart w:id="1228" w:name="_Toc21055"/>
      <w:bookmarkStart w:id="1229" w:name="_Toc11924"/>
      <w:bookmarkStart w:id="1230" w:name="_Toc25156"/>
      <w:bookmarkStart w:id="1231" w:name="_Toc9891"/>
      <w:bookmarkStart w:id="1232" w:name="_Toc7563"/>
      <w:bookmarkStart w:id="1233" w:name="_Toc22692"/>
      <w:bookmarkStart w:id="1234" w:name="_Toc24952"/>
      <w:bookmarkStart w:id="1235" w:name="_Toc9181"/>
      <w:bookmarkStart w:id="1236" w:name="_Toc14386"/>
      <w:bookmarkStart w:id="1237" w:name="_Toc2605"/>
      <w:bookmarkStart w:id="1238" w:name="_Toc29233"/>
      <w:bookmarkStart w:id="1239" w:name="_Toc2753"/>
      <w:bookmarkStart w:id="1240" w:name="_Toc19257"/>
      <w:bookmarkStart w:id="1241" w:name="_Toc16056"/>
      <w:bookmarkStart w:id="1242" w:name="_Toc26456"/>
      <w:bookmarkStart w:id="1243" w:name="_Toc7009"/>
      <w:bookmarkStart w:id="1244" w:name="_Toc662"/>
      <w:bookmarkStart w:id="1245" w:name="_Toc245"/>
      <w:bookmarkStart w:id="1246" w:name="_Toc9609"/>
      <w:bookmarkStart w:id="1247" w:name="_Toc10670"/>
      <w:bookmarkStart w:id="1248" w:name="_Toc391298965"/>
      <w:bookmarkStart w:id="1249" w:name="_Toc25656"/>
      <w:bookmarkStart w:id="1250" w:name="_Toc1556"/>
      <w:bookmarkStart w:id="1251" w:name="_Toc15295"/>
      <w:bookmarkStart w:id="1252" w:name="_Toc11107"/>
      <w:bookmarkStart w:id="1253" w:name="_Toc23998"/>
      <w:bookmarkStart w:id="1254" w:name="_Toc3375"/>
      <w:bookmarkStart w:id="1255" w:name="_Toc32257"/>
    </w:p>
    <w:p>
      <w:pPr>
        <w:ind w:firstLine="0" w:firstLineChars="0"/>
        <w:rPr>
          <w:lang w:val="zh-CN"/>
        </w:rPr>
      </w:pPr>
    </w:p>
    <w:p>
      <w:pPr>
        <w:ind w:firstLine="0" w:firstLineChars="0"/>
        <w:rPr>
          <w:lang w:val="zh-CN"/>
        </w:rPr>
      </w:pPr>
    </w:p>
    <w:p>
      <w:pPr>
        <w:ind w:firstLine="0" w:firstLineChars="0"/>
        <w:rPr>
          <w:lang w:val="zh-CN"/>
        </w:rPr>
      </w:pPr>
      <w:bookmarkStart w:id="1256" w:name="_Toc13110"/>
    </w:p>
    <w:p>
      <w:pPr>
        <w:rPr>
          <w:rFonts w:hint="eastAsia" w:ascii="宋体" w:hAnsi="宋体" w:cs="宋体"/>
          <w:lang w:val="zh-CN"/>
        </w:rPr>
      </w:pPr>
      <w:r>
        <w:rPr>
          <w:rFonts w:hint="eastAsia" w:ascii="宋体" w:hAnsi="宋体" w:cs="宋体"/>
          <w:lang w:val="zh-CN"/>
        </w:rPr>
        <w:br w:type="page"/>
      </w:r>
    </w:p>
    <w:p>
      <w:pPr>
        <w:pStyle w:val="4"/>
        <w:numPr>
          <w:ilvl w:val="0"/>
          <w:numId w:val="0"/>
        </w:numPr>
        <w:spacing w:before="312" w:after="312"/>
        <w:rPr>
          <w:rFonts w:ascii="宋体" w:hAnsi="宋体"/>
          <w:bCs/>
          <w:sz w:val="32"/>
          <w:szCs w:val="32"/>
        </w:rPr>
      </w:pPr>
      <w:r>
        <w:rPr>
          <w:rFonts w:hint="eastAsia" w:ascii="宋体" w:hAnsi="宋体" w:cs="宋体"/>
          <w:lang w:val="zh-CN"/>
        </w:rPr>
        <w:t xml:space="preserve">第五章  </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Start w:id="1257" w:name="_Toc29250"/>
      <w:bookmarkStart w:id="1258" w:name="_Toc24583"/>
      <w:bookmarkStart w:id="1259" w:name="_Toc12950"/>
      <w:bookmarkStart w:id="1260" w:name="_Toc6903"/>
      <w:bookmarkStart w:id="1261" w:name="_Toc10276"/>
      <w:bookmarkStart w:id="1262" w:name="_Toc25963"/>
      <w:bookmarkStart w:id="1263" w:name="_Toc32577"/>
      <w:bookmarkStart w:id="1264" w:name="_Toc10444"/>
      <w:bookmarkStart w:id="1265" w:name="_Toc20673"/>
      <w:bookmarkStart w:id="1266" w:name="_Toc12620"/>
      <w:bookmarkStart w:id="1267" w:name="_Toc3065"/>
      <w:bookmarkStart w:id="1268" w:name="_Toc17425"/>
      <w:bookmarkStart w:id="1269" w:name="_Toc11201"/>
      <w:bookmarkStart w:id="1270" w:name="_Toc8633"/>
      <w:bookmarkStart w:id="1271" w:name="_Toc9250"/>
      <w:bookmarkStart w:id="1272" w:name="_Toc7361"/>
      <w:bookmarkStart w:id="1273" w:name="_Toc32036"/>
      <w:bookmarkStart w:id="1274" w:name="_Toc19483"/>
      <w:bookmarkStart w:id="1275" w:name="_Toc7962"/>
      <w:bookmarkStart w:id="1276" w:name="_Toc17266"/>
      <w:bookmarkStart w:id="1277" w:name="_Toc20389"/>
      <w:r>
        <w:t>合同条款及格式</w:t>
      </w:r>
      <w:bookmarkEnd w:id="1256"/>
    </w:p>
    <w:p>
      <w:pPr>
        <w:ind w:firstLine="0" w:firstLineChars="0"/>
        <w:rPr>
          <w:rFonts w:ascii="宋体" w:hAnsi="宋体"/>
          <w:b/>
          <w:bCs/>
          <w:color w:val="000000"/>
          <w:kern w:val="0"/>
          <w:sz w:val="72"/>
          <w:szCs w:val="72"/>
        </w:rPr>
      </w:pPr>
      <w:bookmarkStart w:id="1278" w:name="_Toc84325982"/>
      <w:bookmarkStart w:id="1279" w:name="_Toc81372788"/>
      <w:bookmarkStart w:id="1280" w:name="_Toc18678"/>
      <w:bookmarkStart w:id="1281" w:name="_Toc30991"/>
      <w:bookmarkStart w:id="1282" w:name="_Toc28685"/>
      <w:bookmarkStart w:id="1283" w:name="_Toc9100"/>
      <w:bookmarkStart w:id="1284" w:name="_Toc10223"/>
      <w:bookmarkStart w:id="1285" w:name="_Toc5891"/>
      <w:bookmarkStart w:id="1286" w:name="_Toc6502"/>
      <w:bookmarkStart w:id="1287" w:name="_Toc18785"/>
      <w:bookmarkStart w:id="1288" w:name="_Toc25691"/>
      <w:bookmarkStart w:id="1289" w:name="_Toc25530"/>
      <w:bookmarkStart w:id="1290" w:name="_Toc11132"/>
      <w:bookmarkStart w:id="1291" w:name="_Toc5287"/>
      <w:bookmarkStart w:id="1292" w:name="_Toc9086"/>
      <w:bookmarkStart w:id="1293" w:name="_Toc81372965"/>
      <w:bookmarkStart w:id="1294" w:name="_Toc31703"/>
      <w:bookmarkStart w:id="1295" w:name="_Toc28792"/>
      <w:bookmarkStart w:id="1296" w:name="_Toc30463"/>
      <w:bookmarkStart w:id="1297" w:name="_Toc9121"/>
      <w:bookmarkStart w:id="1298" w:name="_Toc80157776"/>
      <w:bookmarkStart w:id="1299" w:name="_Toc13985"/>
      <w:bookmarkStart w:id="1300" w:name="_Toc22009"/>
      <w:bookmarkStart w:id="1301" w:name="_Toc2375"/>
      <w:bookmarkStart w:id="1302" w:name="_Toc16586"/>
      <w:bookmarkStart w:id="1303" w:name="_Toc6249"/>
      <w:bookmarkStart w:id="1304" w:name="_Toc24158"/>
      <w:bookmarkStart w:id="1305" w:name="_Toc2988"/>
      <w:bookmarkStart w:id="1306" w:name="_Toc8199"/>
      <w:bookmarkStart w:id="1307" w:name="_Toc20014"/>
      <w:bookmarkStart w:id="1308" w:name="_Toc31326"/>
      <w:bookmarkStart w:id="1309" w:name="_Toc3667"/>
      <w:bookmarkStart w:id="1310" w:name="_Toc7230"/>
      <w:bookmarkStart w:id="1311" w:name="_Toc16627"/>
    </w:p>
    <w:p>
      <w:pPr>
        <w:ind w:firstLine="1446"/>
        <w:jc w:val="center"/>
        <w:rPr>
          <w:rFonts w:ascii="宋体" w:hAnsi="宋体"/>
          <w:b/>
          <w:bCs/>
          <w:color w:val="000000"/>
          <w:kern w:val="0"/>
          <w:sz w:val="72"/>
          <w:szCs w:val="72"/>
        </w:rPr>
      </w:pPr>
    </w:p>
    <w:p>
      <w:pPr>
        <w:ind w:firstLine="1446"/>
        <w:jc w:val="center"/>
        <w:rPr>
          <w:rFonts w:ascii="宋体" w:hAnsi="宋体"/>
          <w:b/>
          <w:bCs/>
          <w:color w:val="000000"/>
          <w:kern w:val="0"/>
          <w:sz w:val="72"/>
          <w:szCs w:val="72"/>
        </w:rPr>
      </w:pPr>
    </w:p>
    <w:p>
      <w:pPr>
        <w:pStyle w:val="4"/>
        <w:numPr>
          <w:ilvl w:val="255"/>
          <w:numId w:val="0"/>
        </w:numPr>
        <w:spacing w:before="312" w:after="312"/>
        <w:ind w:left="432"/>
        <w:rPr>
          <w:sz w:val="72"/>
          <w:szCs w:val="72"/>
        </w:rPr>
      </w:pPr>
      <w:bookmarkStart w:id="1312" w:name="_Toc18832"/>
      <w:bookmarkStart w:id="1313" w:name="_Toc2265"/>
      <w:bookmarkStart w:id="1314" w:name="_Toc7466"/>
      <w:bookmarkStart w:id="1315" w:name="_Toc28071"/>
      <w:bookmarkStart w:id="1316" w:name="_Toc26965"/>
      <w:r>
        <w:rPr>
          <w:rFonts w:hint="eastAsia"/>
          <w:sz w:val="72"/>
          <w:szCs w:val="72"/>
        </w:rPr>
        <w:t>采 购 合 同</w:t>
      </w:r>
      <w:bookmarkEnd w:id="1312"/>
      <w:bookmarkEnd w:id="1313"/>
      <w:bookmarkEnd w:id="1314"/>
      <w:bookmarkEnd w:id="1315"/>
      <w:bookmarkEnd w:id="1316"/>
    </w:p>
    <w:p>
      <w:pPr>
        <w:ind w:firstLine="482"/>
        <w:rPr>
          <w:rFonts w:ascii="宋体" w:hAnsi="宋体"/>
          <w:color w:val="000000"/>
        </w:rPr>
      </w:pPr>
      <w:r>
        <w:rPr>
          <w:rFonts w:hint="eastAsia" w:ascii="宋体" w:hAnsi="宋体"/>
          <w:b/>
          <w:color w:val="000000"/>
        </w:rPr>
        <w:t xml:space="preserve"> </w:t>
      </w:r>
    </w:p>
    <w:p>
      <w:pPr>
        <w:ind w:firstLine="482"/>
        <w:rPr>
          <w:rFonts w:ascii="宋体" w:hAnsi="宋体"/>
          <w:color w:val="000000"/>
        </w:rPr>
      </w:pPr>
      <w:r>
        <w:rPr>
          <w:rFonts w:hint="eastAsia" w:ascii="宋体" w:hAnsi="宋体"/>
          <w:b/>
          <w:color w:val="000000"/>
        </w:rPr>
        <w:t xml:space="preserve">               </w:t>
      </w:r>
    </w:p>
    <w:p>
      <w:pPr>
        <w:ind w:firstLine="482"/>
        <w:rPr>
          <w:rFonts w:ascii="宋体" w:hAnsi="宋体"/>
          <w:color w:val="000000"/>
        </w:rPr>
      </w:pPr>
      <w:r>
        <w:rPr>
          <w:rFonts w:hint="eastAsia" w:ascii="宋体" w:hAnsi="宋体"/>
          <w:b/>
          <w:color w:val="000000"/>
        </w:rPr>
        <w:t xml:space="preserve">                                            合同编号：</w:t>
      </w:r>
      <w:r>
        <w:rPr>
          <w:rFonts w:hint="eastAsia" w:ascii="宋体" w:hAnsi="宋体"/>
          <w:b/>
          <w:color w:val="000000"/>
          <w:u w:val="single"/>
        </w:rPr>
        <w:t xml:space="preserve">             </w:t>
      </w:r>
    </w:p>
    <w:p>
      <w:pPr>
        <w:ind w:firstLine="480"/>
        <w:rPr>
          <w:rFonts w:ascii="宋体" w:hAnsi="宋体"/>
          <w:color w:val="000000"/>
        </w:rPr>
      </w:pPr>
    </w:p>
    <w:p>
      <w:pPr>
        <w:ind w:firstLine="480"/>
        <w:rPr>
          <w:rFonts w:ascii="宋体" w:hAnsi="宋体"/>
          <w:color w:val="000000"/>
        </w:rPr>
      </w:pPr>
    </w:p>
    <w:p>
      <w:pPr>
        <w:ind w:firstLine="960" w:firstLineChars="400"/>
        <w:rPr>
          <w:rFonts w:ascii="宋体" w:hAnsi="宋体"/>
          <w:color w:val="000000"/>
        </w:rPr>
      </w:pPr>
      <w:r>
        <w:rPr>
          <w:rFonts w:hint="eastAsia" w:ascii="宋体" w:hAnsi="宋体"/>
          <w:color w:val="000000"/>
        </w:rPr>
        <w:t>项目名称：</w:t>
      </w:r>
      <w:r>
        <w:rPr>
          <w:rFonts w:hint="eastAsia" w:ascii="宋体" w:hAnsi="宋体"/>
          <w:color w:val="000000"/>
          <w:u w:val="single"/>
        </w:rPr>
        <w:t xml:space="preserve">                                         </w:t>
      </w:r>
    </w:p>
    <w:p>
      <w:pPr>
        <w:snapToGrid w:val="0"/>
        <w:spacing w:before="119" w:line="272" w:lineRule="atLeast"/>
        <w:ind w:left="958" w:firstLine="480"/>
        <w:rPr>
          <w:rFonts w:ascii="宋体" w:hAnsi="宋体"/>
          <w:color w:val="000000"/>
        </w:rPr>
      </w:pPr>
      <w:r>
        <w:rPr>
          <w:rFonts w:hint="eastAsia" w:ascii="宋体" w:hAnsi="宋体"/>
          <w:color w:val="000000"/>
        </w:rPr>
        <w:t xml:space="preserve"> </w:t>
      </w:r>
    </w:p>
    <w:p>
      <w:pPr>
        <w:snapToGrid w:val="0"/>
        <w:spacing w:before="119" w:line="272" w:lineRule="atLeast"/>
        <w:ind w:firstLine="0" w:firstLineChars="0"/>
        <w:rPr>
          <w:rFonts w:ascii="宋体" w:hAnsi="宋体"/>
          <w:color w:val="000000"/>
        </w:rPr>
      </w:pPr>
    </w:p>
    <w:p>
      <w:pPr>
        <w:snapToGrid w:val="0"/>
        <w:spacing w:before="119" w:line="272" w:lineRule="atLeast"/>
        <w:ind w:firstLine="480"/>
        <w:rPr>
          <w:rFonts w:ascii="宋体" w:hAnsi="宋体"/>
          <w:color w:val="000000"/>
        </w:rPr>
      </w:pPr>
    </w:p>
    <w:p>
      <w:pPr>
        <w:snapToGrid w:val="0"/>
        <w:spacing w:before="119" w:line="272" w:lineRule="atLeast"/>
        <w:ind w:firstLine="960" w:firstLineChars="400"/>
        <w:rPr>
          <w:rFonts w:ascii="宋体" w:hAnsi="宋体"/>
          <w:color w:val="000000"/>
        </w:rPr>
      </w:pPr>
      <w:r>
        <w:rPr>
          <w:rFonts w:hint="eastAsia" w:ascii="宋体" w:hAnsi="宋体"/>
          <w:color w:val="000000"/>
        </w:rPr>
        <w:t>采购人：（以下称甲方）　</w:t>
      </w:r>
      <w:r>
        <w:rPr>
          <w:rFonts w:hint="eastAsia" w:ascii="宋体" w:hAnsi="宋体"/>
          <w:color w:val="000000"/>
          <w:u w:val="single"/>
        </w:rPr>
        <w:t xml:space="preserve">                                  </w:t>
      </w:r>
    </w:p>
    <w:p>
      <w:pPr>
        <w:snapToGrid w:val="0"/>
        <w:spacing w:before="119" w:line="272" w:lineRule="atLeast"/>
        <w:ind w:left="958" w:firstLine="480"/>
        <w:rPr>
          <w:rFonts w:ascii="宋体" w:hAnsi="宋体"/>
          <w:color w:val="000000"/>
        </w:rPr>
      </w:pPr>
      <w:r>
        <w:rPr>
          <w:rFonts w:hint="eastAsia" w:ascii="宋体" w:hAnsi="宋体"/>
          <w:color w:val="000000"/>
        </w:rPr>
        <w:t xml:space="preserve">　　   　  　  </w:t>
      </w:r>
    </w:p>
    <w:p>
      <w:pPr>
        <w:snapToGrid w:val="0"/>
        <w:spacing w:before="119" w:line="272" w:lineRule="atLeast"/>
        <w:ind w:firstLine="960" w:firstLineChars="400"/>
        <w:rPr>
          <w:rFonts w:ascii="宋体" w:hAnsi="宋体"/>
          <w:color w:val="000000"/>
        </w:rPr>
      </w:pPr>
      <w:r>
        <w:rPr>
          <w:rFonts w:hint="eastAsia" w:ascii="宋体" w:hAnsi="宋体"/>
          <w:color w:val="000000"/>
        </w:rPr>
        <w:t>中标人：（以下称乙方）　</w:t>
      </w:r>
      <w:r>
        <w:rPr>
          <w:rFonts w:hint="eastAsia" w:ascii="宋体" w:hAnsi="宋体"/>
          <w:color w:val="000000"/>
          <w:u w:val="single"/>
        </w:rPr>
        <w:t xml:space="preserve">                                  </w:t>
      </w:r>
    </w:p>
    <w:p>
      <w:pPr>
        <w:snapToGrid w:val="0"/>
        <w:spacing w:before="119" w:line="272" w:lineRule="atLeast"/>
        <w:ind w:left="958" w:firstLine="480"/>
        <w:rPr>
          <w:rFonts w:ascii="宋体" w:hAnsi="宋体"/>
          <w:color w:val="000000"/>
        </w:rPr>
      </w:pPr>
      <w:r>
        <w:rPr>
          <w:rFonts w:hint="eastAsia" w:ascii="宋体" w:hAnsi="宋体"/>
          <w:color w:val="000000"/>
        </w:rPr>
        <w:t xml:space="preserve">　　  　     </w:t>
      </w:r>
    </w:p>
    <w:p>
      <w:pPr>
        <w:snapToGrid w:val="0"/>
        <w:spacing w:before="119" w:line="272" w:lineRule="atLeast"/>
        <w:ind w:left="958" w:firstLine="480"/>
        <w:jc w:val="center"/>
        <w:rPr>
          <w:rFonts w:ascii="宋体" w:hAnsi="宋体"/>
          <w:color w:val="000000"/>
        </w:rPr>
      </w:pPr>
    </w:p>
    <w:p>
      <w:pPr>
        <w:pStyle w:val="28"/>
        <w:ind w:left="0"/>
      </w:pPr>
    </w:p>
    <w:p>
      <w:pPr>
        <w:ind w:firstLine="480"/>
      </w:pPr>
    </w:p>
    <w:p>
      <w:pPr>
        <w:ind w:firstLine="480"/>
      </w:pPr>
    </w:p>
    <w:p>
      <w:pPr>
        <w:snapToGrid w:val="0"/>
        <w:spacing w:before="119" w:line="272" w:lineRule="atLeast"/>
        <w:ind w:left="958" w:firstLine="480"/>
        <w:jc w:val="center"/>
        <w:rPr>
          <w:rFonts w:ascii="宋体" w:hAnsi="宋体"/>
          <w:color w:val="000000"/>
        </w:rPr>
      </w:pPr>
    </w:p>
    <w:p>
      <w:pPr>
        <w:snapToGrid w:val="0"/>
        <w:spacing w:before="119" w:line="272" w:lineRule="atLeast"/>
        <w:ind w:firstLine="1200" w:firstLineChars="500"/>
        <w:rPr>
          <w:rFonts w:ascii="宋体" w:hAnsi="宋体"/>
          <w:color w:val="000000"/>
        </w:rPr>
      </w:pPr>
      <w:r>
        <w:rPr>
          <w:rFonts w:hint="eastAsia" w:ascii="宋体" w:hAnsi="宋体"/>
          <w:color w:val="000000"/>
        </w:rPr>
        <w:t>签署地点：</w:t>
      </w:r>
      <w:r>
        <w:rPr>
          <w:rFonts w:hint="eastAsia" w:ascii="宋体" w:hAnsi="宋体"/>
          <w:color w:val="000000"/>
          <w:u w:val="single"/>
        </w:rPr>
        <w:t xml:space="preserve">                                         </w:t>
      </w:r>
    </w:p>
    <w:p>
      <w:pPr>
        <w:snapToGrid w:val="0"/>
        <w:spacing w:before="119" w:line="272" w:lineRule="atLeast"/>
        <w:ind w:left="958" w:firstLine="480"/>
        <w:rPr>
          <w:rFonts w:ascii="宋体" w:hAnsi="宋体"/>
          <w:color w:val="000000"/>
        </w:rPr>
      </w:pPr>
    </w:p>
    <w:p>
      <w:pPr>
        <w:snapToGrid w:val="0"/>
        <w:spacing w:before="119" w:line="272" w:lineRule="atLeast"/>
        <w:ind w:firstLine="1200" w:firstLineChars="500"/>
        <w:rPr>
          <w:rFonts w:ascii="宋体" w:hAnsi="宋体"/>
          <w:color w:val="000000"/>
        </w:rPr>
      </w:pPr>
      <w:r>
        <w:rPr>
          <w:rFonts w:hint="eastAsia" w:ascii="宋体" w:hAnsi="宋体"/>
          <w:color w:val="000000"/>
        </w:rPr>
        <w:t>签署日期：</w:t>
      </w:r>
      <w:r>
        <w:rPr>
          <w:rFonts w:hint="eastAsia" w:ascii="宋体" w:hAnsi="宋体"/>
          <w:color w:val="000000"/>
          <w:u w:val="single"/>
        </w:rPr>
        <w:t xml:space="preserve">                                         </w:t>
      </w:r>
    </w:p>
    <w:p>
      <w:pPr>
        <w:spacing w:line="312" w:lineRule="auto"/>
        <w:ind w:firstLine="480"/>
        <w:rPr>
          <w:rFonts w:ascii="宋体" w:hAnsi="宋体" w:cs="宋体"/>
          <w:lang w:bidi="ar"/>
        </w:rPr>
      </w:pPr>
    </w:p>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Pr>
        <w:spacing w:line="360" w:lineRule="auto"/>
        <w:ind w:firstLine="480" w:firstLineChars="200"/>
        <w:rPr>
          <w:rFonts w:ascii="宋体" w:hAnsi="宋体" w:cs="宋体"/>
          <w:sz w:val="24"/>
        </w:rPr>
      </w:pPr>
      <w:bookmarkStart w:id="1317" w:name="_Toc77630213"/>
      <w:bookmarkStart w:id="1318" w:name="_Toc329784128"/>
      <w:bookmarkStart w:id="1319" w:name="_Toc21006"/>
      <w:bookmarkStart w:id="1320" w:name="_Toc463610382"/>
      <w:bookmarkStart w:id="1321" w:name="_Toc21987"/>
      <w:bookmarkStart w:id="1322" w:name="_Toc13586"/>
      <w:bookmarkStart w:id="1323" w:name="_Toc29433"/>
      <w:bookmarkStart w:id="1324" w:name="_Toc24484"/>
      <w:r>
        <w:rPr>
          <w:rFonts w:hint="eastAsia" w:ascii="宋体" w:hAnsi="宋体" w:cs="宋体"/>
          <w:sz w:val="24"/>
        </w:rPr>
        <w:t>说明：如买、卖双方同意，合同格式也可能按照其他形式。但合同条款的基本内容应与《合同》要求的内容相一致。</w:t>
      </w:r>
    </w:p>
    <w:p>
      <w:pPr>
        <w:adjustRightInd w:val="0"/>
        <w:snapToGrid w:val="0"/>
        <w:spacing w:line="360" w:lineRule="auto"/>
        <w:jc w:val="center"/>
        <w:rPr>
          <w:rFonts w:ascii="宋体" w:hAnsi="宋体" w:cs="宋体"/>
          <w:bCs/>
          <w:sz w:val="24"/>
        </w:rPr>
      </w:pPr>
      <w:r>
        <w:rPr>
          <w:rFonts w:hint="eastAsia" w:ascii="宋体" w:hAnsi="宋体" w:cs="宋体"/>
          <w:bCs/>
          <w:sz w:val="24"/>
        </w:rPr>
        <w:t>（以最终签订版本为准）</w:t>
      </w:r>
    </w:p>
    <w:bookmarkEnd w:id="1317"/>
    <w:bookmarkEnd w:id="1318"/>
    <w:bookmarkEnd w:id="1319"/>
    <w:bookmarkEnd w:id="1320"/>
    <w:p>
      <w:pPr>
        <w:keepNext w:val="0"/>
        <w:keepLines w:val="0"/>
        <w:pageBreakBefore w:val="0"/>
        <w:kinsoku/>
        <w:wordWrap/>
        <w:overflowPunct/>
        <w:topLinePunct w:val="0"/>
        <w:autoSpaceDE/>
        <w:autoSpaceDN/>
        <w:bidi w:val="0"/>
        <w:adjustRightInd/>
        <w:snapToGrid w:val="0"/>
        <w:spacing w:line="312" w:lineRule="auto"/>
        <w:textAlignment w:val="auto"/>
        <w:rPr>
          <w:rFonts w:hint="eastAsia" w:ascii="宋体" w:hAnsi="宋体" w:eastAsia="宋体" w:cs="宋体"/>
          <w:sz w:val="22"/>
          <w:szCs w:val="22"/>
        </w:rPr>
      </w:pPr>
      <w:r>
        <w:rPr>
          <w:rFonts w:hint="eastAsia" w:ascii="宋体" w:hAnsi="宋体" w:eastAsia="宋体" w:cs="宋体"/>
          <w:sz w:val="22"/>
          <w:szCs w:val="22"/>
        </w:rPr>
        <w:t>项目名称：</w:t>
      </w:r>
    </w:p>
    <w:p>
      <w:pPr>
        <w:pStyle w:val="20"/>
        <w:keepNext w:val="0"/>
        <w:keepLines w:val="0"/>
        <w:pageBreakBefore w:val="0"/>
        <w:kinsoku/>
        <w:wordWrap/>
        <w:overflowPunct/>
        <w:topLinePunct w:val="0"/>
        <w:autoSpaceDE/>
        <w:autoSpaceDN/>
        <w:bidi w:val="0"/>
        <w:adjustRightInd/>
        <w:snapToGrid w:val="0"/>
        <w:spacing w:line="312" w:lineRule="auto"/>
        <w:textAlignment w:val="auto"/>
        <w:rPr>
          <w:rFonts w:hint="eastAsia" w:ascii="宋体" w:hAnsi="宋体" w:eastAsia="宋体" w:cs="宋体"/>
          <w:sz w:val="22"/>
          <w:szCs w:val="22"/>
        </w:rPr>
      </w:pPr>
      <w:r>
        <w:rPr>
          <w:rFonts w:hint="eastAsia" w:ascii="宋体" w:hAnsi="宋体" w:eastAsia="宋体" w:cs="宋体"/>
          <w:sz w:val="22"/>
          <w:szCs w:val="22"/>
        </w:rPr>
        <w:t>项目编号：</w:t>
      </w:r>
    </w:p>
    <w:p>
      <w:pPr>
        <w:keepNext w:val="0"/>
        <w:keepLines w:val="0"/>
        <w:pageBreakBefore w:val="0"/>
        <w:kinsoku/>
        <w:wordWrap/>
        <w:overflowPunct/>
        <w:topLinePunct w:val="0"/>
        <w:autoSpaceDE/>
        <w:autoSpaceDN/>
        <w:bidi w:val="0"/>
        <w:adjustRightInd/>
        <w:snapToGrid w:val="0"/>
        <w:spacing w:line="312" w:lineRule="auto"/>
        <w:textAlignment w:val="auto"/>
        <w:rPr>
          <w:rFonts w:hint="eastAsia" w:ascii="宋体" w:hAnsi="宋体" w:eastAsia="宋体" w:cs="宋体"/>
          <w:sz w:val="22"/>
          <w:szCs w:val="22"/>
        </w:rPr>
      </w:pPr>
      <w:r>
        <w:rPr>
          <w:rFonts w:hint="eastAsia" w:ascii="宋体" w:hAnsi="宋体" w:eastAsia="宋体" w:cs="宋体"/>
          <w:sz w:val="22"/>
          <w:szCs w:val="22"/>
        </w:rPr>
        <w:t>甲方：</w:t>
      </w:r>
    </w:p>
    <w:p>
      <w:pPr>
        <w:keepNext w:val="0"/>
        <w:keepLines w:val="0"/>
        <w:pageBreakBefore w:val="0"/>
        <w:kinsoku/>
        <w:wordWrap/>
        <w:overflowPunct/>
        <w:topLinePunct w:val="0"/>
        <w:autoSpaceDE/>
        <w:autoSpaceDN/>
        <w:bidi w:val="0"/>
        <w:adjustRightInd/>
        <w:snapToGrid w:val="0"/>
        <w:spacing w:line="312" w:lineRule="auto"/>
        <w:textAlignment w:val="auto"/>
        <w:rPr>
          <w:rFonts w:hint="eastAsia" w:ascii="宋体" w:hAnsi="宋体" w:eastAsia="宋体" w:cs="宋体"/>
          <w:sz w:val="22"/>
          <w:szCs w:val="22"/>
        </w:rPr>
      </w:pPr>
      <w:r>
        <w:rPr>
          <w:rFonts w:hint="eastAsia" w:ascii="宋体" w:hAnsi="宋体" w:eastAsia="宋体" w:cs="宋体"/>
          <w:sz w:val="22"/>
          <w:szCs w:val="22"/>
        </w:rPr>
        <w:t>乙方：</w:t>
      </w:r>
    </w:p>
    <w:p>
      <w:pPr>
        <w:pStyle w:val="20"/>
        <w:keepNext w:val="0"/>
        <w:keepLines w:val="0"/>
        <w:pageBreakBefore w:val="0"/>
        <w:kinsoku/>
        <w:wordWrap/>
        <w:overflowPunct/>
        <w:topLinePunct w:val="0"/>
        <w:autoSpaceDE/>
        <w:autoSpaceDN/>
        <w:bidi w:val="0"/>
        <w:adjustRightInd/>
        <w:snapToGrid w:val="0"/>
        <w:spacing w:line="312" w:lineRule="auto"/>
        <w:ind w:firstLine="442" w:firstLineChars="200"/>
        <w:textAlignment w:val="auto"/>
        <w:outlineLvl w:val="1"/>
        <w:rPr>
          <w:rFonts w:hint="eastAsia" w:ascii="宋体" w:hAnsi="宋体" w:eastAsia="宋体" w:cs="宋体"/>
          <w:b/>
          <w:sz w:val="22"/>
          <w:szCs w:val="22"/>
        </w:rPr>
      </w:pPr>
      <w:bookmarkStart w:id="1325" w:name="_Toc25671"/>
      <w:bookmarkStart w:id="1326" w:name="_Toc18133"/>
      <w:bookmarkStart w:id="1327" w:name="_Toc455727573"/>
      <w:bookmarkStart w:id="1328" w:name="_Toc32368"/>
      <w:bookmarkStart w:id="1329" w:name="_Toc6637"/>
      <w:bookmarkStart w:id="1330" w:name="_Toc487524251"/>
      <w:r>
        <w:rPr>
          <w:rFonts w:hint="eastAsia" w:ascii="宋体" w:hAnsi="宋体" w:eastAsia="宋体" w:cs="宋体"/>
          <w:b/>
          <w:sz w:val="22"/>
          <w:szCs w:val="22"/>
        </w:rPr>
        <w:t>一、总则</w:t>
      </w:r>
      <w:bookmarkEnd w:id="1325"/>
      <w:bookmarkEnd w:id="1326"/>
      <w:bookmarkEnd w:id="1327"/>
      <w:bookmarkEnd w:id="1328"/>
      <w:bookmarkEnd w:id="1329"/>
      <w:bookmarkEnd w:id="1330"/>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rPr>
        <w:t>1</w:t>
      </w:r>
      <w:r>
        <w:rPr>
          <w:rFonts w:hint="eastAsia" w:ascii="宋体" w:hAnsi="宋体" w:cs="宋体"/>
          <w:sz w:val="24"/>
          <w:szCs w:val="24"/>
          <w:lang w:val="en-US" w:eastAsia="zh-CN"/>
        </w:rPr>
        <w:t>.本项目业主为龙游县文化和广电旅游体育局，负责落实资金保障及政策处理协调等事项；委托龙游县体育发展有限公司代建实施。</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合同基本条款是指采购人（以下简称甲方）和中标供应商（以下简称乙方）应共同遵守的基本原则，并作为双方签约的依据。对于合同的其他条款，双方应本着互谅互让的精神协商解决。</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．制定“合同主要条款”的依据是《中华人民共和国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w:t>
      </w:r>
    </w:p>
    <w:p>
      <w:pPr>
        <w:pStyle w:val="20"/>
        <w:snapToGrid w:val="0"/>
        <w:spacing w:line="288" w:lineRule="auto"/>
        <w:ind w:firstLine="442" w:firstLineChars="200"/>
        <w:outlineLvl w:val="1"/>
        <w:rPr>
          <w:rFonts w:hint="eastAsia" w:ascii="宋体" w:hAnsi="宋体" w:eastAsia="宋体" w:cs="宋体"/>
          <w:b/>
          <w:sz w:val="22"/>
          <w:szCs w:val="22"/>
        </w:rPr>
      </w:pPr>
      <w:bookmarkStart w:id="1331" w:name="_Toc487524252"/>
      <w:bookmarkStart w:id="1332" w:name="_Toc26283"/>
      <w:bookmarkStart w:id="1333" w:name="_Toc20593"/>
      <w:bookmarkStart w:id="1334" w:name="_Toc455727574"/>
      <w:bookmarkStart w:id="1335" w:name="_Toc19466"/>
      <w:r>
        <w:rPr>
          <w:rFonts w:hint="eastAsia" w:ascii="宋体" w:hAnsi="宋体" w:eastAsia="宋体" w:cs="宋体"/>
          <w:b/>
          <w:sz w:val="22"/>
          <w:szCs w:val="22"/>
        </w:rPr>
        <w:t>二、合同金额</w:t>
      </w:r>
      <w:bookmarkEnd w:id="1331"/>
      <w:bookmarkEnd w:id="1332"/>
      <w:bookmarkEnd w:id="1333"/>
      <w:bookmarkEnd w:id="1334"/>
      <w:bookmarkEnd w:id="1335"/>
    </w:p>
    <w:tbl>
      <w:tblPr>
        <w:tblStyle w:val="37"/>
        <w:tblW w:w="49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186"/>
        <w:gridCol w:w="2299"/>
        <w:gridCol w:w="878"/>
        <w:gridCol w:w="896"/>
        <w:gridCol w:w="1186"/>
        <w:gridCol w:w="1431"/>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2" w:hRule="atLeast"/>
          <w:jc w:val="center"/>
        </w:trPr>
        <w:tc>
          <w:tcPr>
            <w:tcW w:w="372" w:type="pct"/>
            <w:noWrap w:val="0"/>
            <w:tcMar>
              <w:top w:w="113" w:type="dxa"/>
              <w:left w:w="108" w:type="dxa"/>
              <w:bottom w:w="113" w:type="dxa"/>
              <w:right w:w="108" w:type="dxa"/>
            </w:tcMar>
            <w:vAlign w:val="center"/>
          </w:tcPr>
          <w:p>
            <w:pPr>
              <w:pStyle w:val="2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eastAsia" w:ascii="宋体" w:hAnsi="宋体" w:eastAsia="宋体" w:cs="宋体"/>
                <w:sz w:val="22"/>
              </w:rPr>
            </w:pPr>
            <w:r>
              <w:rPr>
                <w:rFonts w:hint="eastAsia" w:ascii="宋体" w:hAnsi="宋体" w:eastAsia="宋体" w:cs="宋体"/>
                <w:sz w:val="22"/>
              </w:rPr>
              <w:t>序号</w:t>
            </w:r>
          </w:p>
        </w:tc>
        <w:tc>
          <w:tcPr>
            <w:tcW w:w="597" w:type="pct"/>
            <w:noWrap w:val="0"/>
            <w:tcMar>
              <w:top w:w="113" w:type="dxa"/>
              <w:left w:w="108" w:type="dxa"/>
              <w:bottom w:w="113" w:type="dxa"/>
              <w:right w:w="108" w:type="dxa"/>
            </w:tcMar>
            <w:vAlign w:val="center"/>
          </w:tcPr>
          <w:p>
            <w:pPr>
              <w:pStyle w:val="2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eastAsia" w:ascii="宋体" w:hAnsi="宋体" w:eastAsia="宋体" w:cs="宋体"/>
                <w:sz w:val="22"/>
              </w:rPr>
            </w:pPr>
            <w:r>
              <w:rPr>
                <w:rFonts w:hint="eastAsia" w:eastAsia="宋体" w:cs="宋体"/>
                <w:sz w:val="22"/>
                <w:lang w:eastAsia="zh-CN"/>
              </w:rPr>
              <w:t>产</w:t>
            </w:r>
            <w:r>
              <w:rPr>
                <w:rFonts w:hint="eastAsia" w:ascii="宋体" w:hAnsi="宋体" w:eastAsia="宋体" w:cs="宋体"/>
                <w:sz w:val="22"/>
              </w:rPr>
              <w:t>品名称</w:t>
            </w:r>
          </w:p>
        </w:tc>
        <w:tc>
          <w:tcPr>
            <w:tcW w:w="1155" w:type="pct"/>
            <w:noWrap w:val="0"/>
            <w:tcMar>
              <w:top w:w="113" w:type="dxa"/>
              <w:left w:w="108" w:type="dxa"/>
              <w:bottom w:w="113" w:type="dxa"/>
              <w:right w:w="108" w:type="dxa"/>
            </w:tcMar>
            <w:vAlign w:val="center"/>
          </w:tcPr>
          <w:p>
            <w:pPr>
              <w:pStyle w:val="2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eastAsia" w:ascii="宋体" w:hAnsi="宋体" w:eastAsia="宋体" w:cs="宋体"/>
                <w:sz w:val="22"/>
              </w:rPr>
            </w:pPr>
            <w:r>
              <w:rPr>
                <w:rFonts w:hint="eastAsia" w:ascii="宋体" w:hAnsi="宋体" w:eastAsia="宋体" w:cs="宋体"/>
                <w:sz w:val="22"/>
              </w:rPr>
              <w:t>规格型号及技术参数</w:t>
            </w:r>
          </w:p>
        </w:tc>
        <w:tc>
          <w:tcPr>
            <w:tcW w:w="44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eastAsia" w:ascii="宋体" w:hAnsi="宋体" w:eastAsia="宋体" w:cs="宋体"/>
                <w:sz w:val="22"/>
                <w:szCs w:val="22"/>
                <w:lang w:eastAsia="zh-CN"/>
              </w:rPr>
            </w:pPr>
            <w:r>
              <w:rPr>
                <w:rFonts w:hint="eastAsia" w:eastAsia="宋体" w:cs="宋体"/>
                <w:sz w:val="22"/>
                <w:szCs w:val="22"/>
                <w:lang w:eastAsia="zh-CN"/>
              </w:rPr>
              <w:t>品牌</w:t>
            </w:r>
          </w:p>
        </w:tc>
        <w:tc>
          <w:tcPr>
            <w:tcW w:w="451"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lang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default" w:ascii="宋体" w:hAnsi="宋体" w:eastAsia="宋体" w:cs="宋体"/>
                <w:sz w:val="22"/>
                <w:szCs w:val="22"/>
                <w:lang w:val="en-US" w:eastAsia="zh-CN"/>
              </w:rPr>
            </w:pPr>
            <w:r>
              <w:rPr>
                <w:rFonts w:hint="eastAsia" w:ascii="宋体" w:hAnsi="宋体" w:eastAsia="宋体" w:cs="宋体"/>
                <w:sz w:val="22"/>
                <w:szCs w:val="22"/>
                <w:lang w:eastAsia="zh-CN"/>
              </w:rPr>
              <w:t>单</w:t>
            </w:r>
            <w:r>
              <w:rPr>
                <w:rFonts w:hint="eastAsia" w:ascii="宋体" w:hAnsi="宋体" w:cs="宋体"/>
                <w:sz w:val="22"/>
                <w:szCs w:val="22"/>
                <w:lang w:val="en-US" w:eastAsia="zh-CN"/>
              </w:rPr>
              <w:t>位</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lang w:eastAsia="zh-CN"/>
              </w:rPr>
            </w:pPr>
          </w:p>
        </w:tc>
        <w:tc>
          <w:tcPr>
            <w:tcW w:w="597"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数量</w:t>
            </w:r>
          </w:p>
        </w:tc>
        <w:tc>
          <w:tcPr>
            <w:tcW w:w="720" w:type="pct"/>
            <w:noWrap w:val="0"/>
            <w:tcMar>
              <w:top w:w="113" w:type="dxa"/>
              <w:left w:w="108" w:type="dxa"/>
              <w:bottom w:w="113" w:type="dxa"/>
              <w:right w:w="108" w:type="dxa"/>
            </w:tcMar>
            <w:vAlign w:val="center"/>
          </w:tcPr>
          <w:p>
            <w:pPr>
              <w:pStyle w:val="2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eastAsia" w:eastAsia="宋体" w:cs="宋体"/>
                <w:sz w:val="22"/>
                <w:lang w:eastAsia="zh-CN"/>
              </w:rPr>
            </w:pPr>
            <w:r>
              <w:rPr>
                <w:rFonts w:hint="eastAsia" w:cs="宋体"/>
                <w:sz w:val="22"/>
                <w:lang w:val="en-US" w:eastAsia="zh-CN"/>
              </w:rPr>
              <w:t>单</w:t>
            </w:r>
            <w:r>
              <w:rPr>
                <w:rFonts w:hint="eastAsia" w:eastAsia="宋体" w:cs="宋体"/>
                <w:sz w:val="22"/>
                <w:lang w:eastAsia="zh-CN"/>
              </w:rPr>
              <w:t>价</w:t>
            </w:r>
            <w:r>
              <w:rPr>
                <w:rFonts w:hint="eastAsia" w:cs="宋体"/>
                <w:sz w:val="22"/>
                <w:lang w:eastAsia="zh-CN"/>
              </w:rPr>
              <w:t>（</w:t>
            </w:r>
            <w:r>
              <w:rPr>
                <w:rFonts w:hint="eastAsia" w:cs="宋体"/>
                <w:sz w:val="22"/>
                <w:lang w:val="en-US" w:eastAsia="zh-CN"/>
              </w:rPr>
              <w:t>元</w:t>
            </w:r>
            <w:r>
              <w:rPr>
                <w:rFonts w:hint="eastAsia" w:cs="宋体"/>
                <w:sz w:val="22"/>
                <w:lang w:eastAsia="zh-CN"/>
              </w:rPr>
              <w:t>）</w:t>
            </w:r>
          </w:p>
        </w:tc>
        <w:tc>
          <w:tcPr>
            <w:tcW w:w="662" w:type="pct"/>
            <w:noWrap w:val="0"/>
            <w:tcMar>
              <w:top w:w="113" w:type="dxa"/>
              <w:left w:w="108" w:type="dxa"/>
              <w:bottom w:w="113" w:type="dxa"/>
              <w:right w:w="108" w:type="dxa"/>
            </w:tcMar>
            <w:vAlign w:val="center"/>
          </w:tcPr>
          <w:p>
            <w:pPr>
              <w:pStyle w:val="2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default" w:eastAsia="宋体" w:cs="宋体"/>
                <w:sz w:val="22"/>
                <w:lang w:val="en-US" w:eastAsia="zh-CN"/>
              </w:rPr>
            </w:pPr>
            <w:r>
              <w:rPr>
                <w:rFonts w:hint="eastAsia" w:cs="宋体"/>
                <w:sz w:val="22"/>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7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eastAsia" w:ascii="宋体" w:hAnsi="宋体" w:eastAsia="宋体" w:cs="宋体"/>
                <w:sz w:val="22"/>
              </w:rPr>
            </w:pPr>
            <w:r>
              <w:rPr>
                <w:rFonts w:hint="eastAsia" w:ascii="宋体" w:hAnsi="宋体" w:eastAsia="宋体" w:cs="宋体"/>
                <w:sz w:val="22"/>
              </w:rPr>
              <w:t>1</w:t>
            </w:r>
          </w:p>
        </w:tc>
        <w:tc>
          <w:tcPr>
            <w:tcW w:w="597"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1155"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44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451"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597"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720"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66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7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eastAsia" w:ascii="宋体" w:hAnsi="宋体" w:eastAsia="宋体" w:cs="宋体"/>
                <w:sz w:val="22"/>
                <w:lang w:val="en-US" w:eastAsia="zh-CN"/>
              </w:rPr>
            </w:pPr>
            <w:r>
              <w:rPr>
                <w:rFonts w:hint="eastAsia" w:eastAsia="宋体" w:cs="宋体"/>
                <w:sz w:val="22"/>
                <w:lang w:val="en-US" w:eastAsia="zh-CN"/>
              </w:rPr>
              <w:t>2</w:t>
            </w:r>
          </w:p>
        </w:tc>
        <w:tc>
          <w:tcPr>
            <w:tcW w:w="597"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1155"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44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451"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597"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720"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66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7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rPr>
                <w:rFonts w:hint="default" w:eastAsia="宋体" w:cs="宋体"/>
                <w:sz w:val="22"/>
                <w:lang w:val="en-US" w:eastAsia="zh-CN"/>
              </w:rPr>
            </w:pPr>
            <w:r>
              <w:rPr>
                <w:rFonts w:hint="eastAsia" w:cs="宋体"/>
                <w:sz w:val="22"/>
                <w:lang w:val="en-US" w:eastAsia="zh-CN"/>
              </w:rPr>
              <w:t>....</w:t>
            </w:r>
          </w:p>
        </w:tc>
        <w:tc>
          <w:tcPr>
            <w:tcW w:w="597"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1155"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44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451"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597"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szCs w:val="22"/>
              </w:rPr>
            </w:pPr>
          </w:p>
        </w:tc>
        <w:tc>
          <w:tcPr>
            <w:tcW w:w="720"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c>
          <w:tcPr>
            <w:tcW w:w="662" w:type="pct"/>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126" w:type="pct"/>
            <w:gridSpan w:val="3"/>
            <w:noWrap w:val="0"/>
            <w:tcMar>
              <w:top w:w="113" w:type="dxa"/>
              <w:left w:w="108" w:type="dxa"/>
              <w:bottom w:w="113"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宋体" w:hAnsi="宋体" w:eastAsia="宋体" w:cs="宋体"/>
                <w:sz w:val="22"/>
                <w:lang w:val="en-US" w:eastAsia="zh-CN"/>
              </w:rPr>
            </w:pPr>
            <w:r>
              <w:rPr>
                <w:rFonts w:hint="eastAsia" w:ascii="宋体" w:hAnsi="宋体" w:cs="宋体"/>
                <w:sz w:val="22"/>
                <w:lang w:val="en-US" w:eastAsia="zh-CN"/>
              </w:rPr>
              <w:t>合计</w:t>
            </w:r>
          </w:p>
        </w:tc>
        <w:tc>
          <w:tcPr>
            <w:tcW w:w="2873" w:type="pct"/>
            <w:gridSpan w:val="5"/>
            <w:noWrap w:val="0"/>
            <w:tcMar>
              <w:top w:w="113" w:type="dxa"/>
              <w:left w:w="108" w:type="dxa"/>
              <w:bottom w:w="113" w:type="dxa"/>
              <w:right w:w="108" w:type="dxa"/>
            </w:tcMar>
            <w:vAlign w:val="center"/>
          </w:tcPr>
          <w:p>
            <w:pPr>
              <w:tabs>
                <w:tab w:val="left" w:pos="0"/>
              </w:tabs>
              <w:autoSpaceDE w:val="0"/>
              <w:autoSpaceDN w:val="0"/>
              <w:adjustRightInd w:val="0"/>
              <w:spacing w:line="312" w:lineRule="auto"/>
              <w:ind w:firstLine="0" w:firstLineChars="0"/>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人民币大写：</w:t>
            </w:r>
            <w:r>
              <w:rPr>
                <w:rFonts w:hint="eastAsia" w:ascii="宋体" w:hAnsi="宋体" w:eastAsia="宋体" w:cs="宋体"/>
                <w:color w:val="auto"/>
                <w:kern w:val="0"/>
                <w:sz w:val="24"/>
                <w:szCs w:val="24"/>
                <w:u w:val="single"/>
                <w:lang w:bidi="ar"/>
              </w:rPr>
              <w:t xml:space="preserve">           </w:t>
            </w:r>
            <w:r>
              <w:rPr>
                <w:rFonts w:hint="eastAsia" w:ascii="宋体" w:hAnsi="宋体" w:eastAsia="宋体" w:cs="宋体"/>
                <w:color w:val="auto"/>
                <w:kern w:val="0"/>
                <w:sz w:val="24"/>
                <w:szCs w:val="24"/>
                <w:lang w:bidi="ar"/>
              </w:rPr>
              <w:t>元整；</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both"/>
              <w:textAlignment w:val="auto"/>
              <w:rPr>
                <w:rFonts w:hint="eastAsia" w:ascii="宋体" w:hAnsi="宋体" w:eastAsia="宋体" w:cs="宋体"/>
                <w:sz w:val="22"/>
              </w:rPr>
            </w:pPr>
            <w:r>
              <w:rPr>
                <w:rFonts w:hint="eastAsia" w:ascii="宋体" w:hAnsi="宋体" w:eastAsia="宋体" w:cs="宋体"/>
                <w:color w:val="auto"/>
                <w:kern w:val="0"/>
                <w:sz w:val="24"/>
                <w:szCs w:val="24"/>
                <w:lang w:bidi="ar"/>
              </w:rPr>
              <w:t>（小写）¥：</w:t>
            </w:r>
            <w:r>
              <w:rPr>
                <w:rFonts w:hint="eastAsia" w:ascii="宋体" w:hAnsi="宋体" w:eastAsia="宋体" w:cs="宋体"/>
                <w:color w:val="auto"/>
                <w:kern w:val="0"/>
                <w:sz w:val="24"/>
                <w:szCs w:val="24"/>
                <w:u w:val="single"/>
                <w:lang w:bidi="ar"/>
              </w:rPr>
              <w:t xml:space="preserve">           </w:t>
            </w:r>
            <w:r>
              <w:rPr>
                <w:rFonts w:hint="eastAsia" w:ascii="宋体" w:hAnsi="宋体" w:eastAsia="宋体" w:cs="宋体"/>
                <w:color w:val="auto"/>
                <w:kern w:val="0"/>
                <w:sz w:val="24"/>
                <w:szCs w:val="24"/>
                <w:lang w:bidi="ar"/>
              </w:rPr>
              <w:t xml:space="preserve"> 元。</w:t>
            </w:r>
          </w:p>
        </w:tc>
      </w:tr>
    </w:tbl>
    <w:p>
      <w:pPr>
        <w:keepNext w:val="0"/>
        <w:keepLines w:val="0"/>
        <w:pageBreakBefore w:val="0"/>
        <w:widowControl/>
        <w:kinsoku/>
        <w:wordWrap/>
        <w:overflowPunct/>
        <w:topLinePunct w:val="0"/>
        <w:autoSpaceDE/>
        <w:autoSpaceDN/>
        <w:bidi w:val="0"/>
        <w:adjustRightInd/>
        <w:snapToGrid w:val="0"/>
        <w:spacing w:line="312" w:lineRule="auto"/>
        <w:textAlignment w:val="auto"/>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1</w:t>
      </w:r>
      <w:r>
        <w:rPr>
          <w:rFonts w:hint="eastAsia" w:ascii="宋体" w:hAnsi="宋体" w:eastAsia="宋体" w:cs="宋体"/>
          <w:sz w:val="24"/>
          <w:szCs w:val="24"/>
        </w:rPr>
        <w:t>.以上合同总价包括</w:t>
      </w:r>
      <w:r>
        <w:rPr>
          <w:rFonts w:hint="eastAsia" w:ascii="宋体" w:hAnsi="宋体" w:eastAsia="宋体" w:cs="宋体"/>
          <w:sz w:val="24"/>
          <w:szCs w:val="24"/>
          <w:lang w:eastAsia="zh-CN"/>
        </w:rPr>
        <w:t>产</w:t>
      </w:r>
      <w:r>
        <w:rPr>
          <w:rFonts w:hint="eastAsia" w:ascii="宋体" w:hAnsi="宋体" w:eastAsia="宋体" w:cs="宋体"/>
          <w:sz w:val="24"/>
          <w:szCs w:val="24"/>
        </w:rPr>
        <w:t>品价款、运输费、装卸车费、损耗费、备品备件、安装调试费、</w:t>
      </w:r>
      <w:r>
        <w:rPr>
          <w:rFonts w:hint="eastAsia" w:ascii="宋体" w:hAnsi="宋体" w:eastAsia="宋体" w:cs="宋体"/>
          <w:sz w:val="24"/>
          <w:szCs w:val="24"/>
          <w:lang w:eastAsia="zh-CN"/>
        </w:rPr>
        <w:t>工程费、人工费、专业机械费、</w:t>
      </w:r>
      <w:r>
        <w:rPr>
          <w:rFonts w:hint="eastAsia" w:ascii="宋体" w:hAnsi="宋体" w:eastAsia="宋体" w:cs="宋体"/>
          <w:sz w:val="24"/>
          <w:szCs w:val="24"/>
        </w:rPr>
        <w:t>检测验收费、技术支持、售后服务、</w:t>
      </w:r>
      <w:r>
        <w:rPr>
          <w:rFonts w:hint="eastAsia" w:ascii="宋体" w:hAnsi="宋体" w:eastAsia="宋体" w:cs="宋体"/>
          <w:sz w:val="24"/>
          <w:szCs w:val="24"/>
          <w:lang w:val="en-US" w:eastAsia="zh-CN"/>
        </w:rPr>
        <w:t>总包配合费、</w:t>
      </w:r>
      <w:r>
        <w:rPr>
          <w:rFonts w:hint="eastAsia" w:ascii="宋体" w:hAnsi="宋体" w:eastAsia="宋体" w:cs="宋体"/>
          <w:sz w:val="24"/>
          <w:szCs w:val="24"/>
        </w:rPr>
        <w:t>商品维护、保险、税金</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代理费</w:t>
      </w:r>
      <w:r>
        <w:rPr>
          <w:rFonts w:hint="eastAsia" w:ascii="宋体" w:hAnsi="宋体" w:eastAsia="宋体" w:cs="宋体"/>
          <w:sz w:val="24"/>
          <w:szCs w:val="24"/>
        </w:rPr>
        <w:t>等一切费用。如有漏项，视同已包含在其它项目中，单价不作调整，乙方不得再要求追加任何费用。</w:t>
      </w:r>
    </w:p>
    <w:p>
      <w:pPr>
        <w:keepNext w:val="0"/>
        <w:keepLines w:val="0"/>
        <w:pageBreakBefore w:val="0"/>
        <w:widowControl/>
        <w:kinsoku/>
        <w:wordWrap/>
        <w:overflowPunct/>
        <w:topLinePunct w:val="0"/>
        <w:autoSpaceDE/>
        <w:autoSpaceDN/>
        <w:bidi w:val="0"/>
        <w:adjustRightInd/>
        <w:snapToGrid w:val="0"/>
        <w:spacing w:line="312"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2.在施工前应就产品规格、颜色等提供样品至甲方处确认，甲方确认后方可施工。</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bookmarkStart w:id="1336" w:name="_Toc24836"/>
      <w:bookmarkStart w:id="1337" w:name="_Toc25603"/>
      <w:bookmarkStart w:id="1338" w:name="_Toc1335"/>
      <w:bookmarkStart w:id="1339" w:name="_Toc10508"/>
      <w:bookmarkStart w:id="1340" w:name="_Toc487524253"/>
      <w:bookmarkStart w:id="1341" w:name="_Toc455727575"/>
      <w:r>
        <w:rPr>
          <w:rFonts w:hint="eastAsia" w:ascii="宋体" w:hAnsi="宋体" w:eastAsia="宋体" w:cs="宋体"/>
          <w:b/>
          <w:sz w:val="22"/>
          <w:szCs w:val="22"/>
        </w:rPr>
        <w:t>三、技术资料</w:t>
      </w:r>
      <w:bookmarkEnd w:id="1336"/>
      <w:bookmarkEnd w:id="1337"/>
      <w:bookmarkEnd w:id="1338"/>
      <w:bookmarkEnd w:id="1339"/>
      <w:bookmarkEnd w:id="1340"/>
      <w:bookmarkEnd w:id="1341"/>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1.乙方应按招标文件规定的时间向甲方提供使用货物的有关技术资料。</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sz w:val="24"/>
          <w:szCs w:val="24"/>
        </w:rPr>
        <w:t>2.没有甲方事先书面同意，乙方不得将由甲方提供的有关合同或任何合同条文、规格、计划、</w:t>
      </w:r>
      <w:r>
        <w:rPr>
          <w:rFonts w:hint="eastAsia" w:ascii="宋体" w:hAnsi="宋体" w:eastAsia="宋体" w:cs="宋体"/>
          <w:color w:val="auto"/>
          <w:sz w:val="24"/>
          <w:szCs w:val="24"/>
        </w:rPr>
        <w:t>图纸、样品或资料提供给与履行本合同无关的任何其他人。即使向履行本合同有关的人员提供，也应注意保密并限于履行合同的必需范围。</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color w:val="auto"/>
          <w:sz w:val="22"/>
          <w:szCs w:val="22"/>
        </w:rPr>
      </w:pPr>
      <w:bookmarkStart w:id="1342" w:name="_Toc24020"/>
      <w:bookmarkStart w:id="1343" w:name="_Toc455727576"/>
      <w:bookmarkStart w:id="1344" w:name="_Toc487524254"/>
      <w:bookmarkStart w:id="1345" w:name="_Toc9405"/>
      <w:bookmarkStart w:id="1346" w:name="_Toc11568"/>
      <w:bookmarkStart w:id="1347" w:name="_Toc9569"/>
      <w:r>
        <w:rPr>
          <w:rFonts w:hint="eastAsia" w:ascii="宋体" w:hAnsi="宋体" w:eastAsia="宋体" w:cs="宋体"/>
          <w:b/>
          <w:color w:val="auto"/>
          <w:sz w:val="22"/>
          <w:szCs w:val="22"/>
        </w:rPr>
        <w:t>四、知识产权</w:t>
      </w:r>
      <w:bookmarkEnd w:id="1342"/>
      <w:bookmarkEnd w:id="1343"/>
      <w:bookmarkEnd w:id="1344"/>
      <w:bookmarkEnd w:id="1345"/>
      <w:bookmarkEnd w:id="1346"/>
      <w:bookmarkEnd w:id="1347"/>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乙方应保证所提供的货物或其任何一部分均不会侵犯任何第三方的知识产权。</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color w:val="auto"/>
          <w:sz w:val="22"/>
          <w:szCs w:val="22"/>
        </w:rPr>
      </w:pPr>
      <w:bookmarkStart w:id="1348" w:name="_Toc2639"/>
      <w:bookmarkStart w:id="1349" w:name="_Toc18766"/>
      <w:bookmarkStart w:id="1350" w:name="_Toc487524255"/>
      <w:bookmarkStart w:id="1351" w:name="_Toc16434"/>
      <w:bookmarkStart w:id="1352" w:name="_Toc17824"/>
      <w:bookmarkStart w:id="1353" w:name="_Toc455727577"/>
      <w:r>
        <w:rPr>
          <w:rFonts w:hint="eastAsia" w:ascii="宋体" w:hAnsi="宋体" w:eastAsia="宋体" w:cs="宋体"/>
          <w:b/>
          <w:color w:val="auto"/>
          <w:sz w:val="22"/>
          <w:szCs w:val="22"/>
        </w:rPr>
        <w:t>五、产权担保</w:t>
      </w:r>
      <w:bookmarkEnd w:id="1348"/>
      <w:bookmarkEnd w:id="1349"/>
      <w:bookmarkEnd w:id="1350"/>
      <w:bookmarkEnd w:id="1351"/>
      <w:bookmarkEnd w:id="1352"/>
      <w:bookmarkEnd w:id="1353"/>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乙方保证所交付的货物的所有权完全属于乙方且无任何抵押、查封等产权瑕疵。</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color w:val="auto"/>
          <w:sz w:val="22"/>
          <w:szCs w:val="22"/>
        </w:rPr>
      </w:pPr>
      <w:bookmarkStart w:id="1354" w:name="_Toc8289"/>
      <w:bookmarkStart w:id="1355" w:name="_Toc487524256"/>
      <w:bookmarkStart w:id="1356" w:name="_Toc23876"/>
      <w:bookmarkStart w:id="1357" w:name="_Toc455727578"/>
      <w:bookmarkStart w:id="1358" w:name="_Toc25865"/>
      <w:bookmarkStart w:id="1359" w:name="_Toc28187"/>
      <w:r>
        <w:rPr>
          <w:rFonts w:hint="eastAsia" w:ascii="宋体" w:hAnsi="宋体" w:eastAsia="宋体" w:cs="宋体"/>
          <w:b/>
          <w:color w:val="auto"/>
          <w:sz w:val="22"/>
          <w:szCs w:val="22"/>
        </w:rPr>
        <w:t>六、履约保证金</w:t>
      </w:r>
      <w:bookmarkEnd w:id="1354"/>
      <w:bookmarkEnd w:id="1355"/>
      <w:bookmarkEnd w:id="1356"/>
      <w:bookmarkEnd w:id="1357"/>
      <w:bookmarkEnd w:id="1358"/>
      <w:bookmarkEnd w:id="1359"/>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乙方缴纳合同价的1%，即人民币    元（¥     元）作为签订本合同的履约保证金。在乙方全部合同内容均安装调试完成并通过甲方验收后30个工作日退还履约保证金，不计利息。</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bookmarkStart w:id="1360" w:name="_Toc10393"/>
      <w:bookmarkStart w:id="1361" w:name="_Toc8789"/>
      <w:bookmarkStart w:id="1362" w:name="_Toc487524257"/>
      <w:bookmarkStart w:id="1363" w:name="_Toc455727579"/>
      <w:bookmarkStart w:id="1364" w:name="_Toc15924"/>
      <w:bookmarkStart w:id="1365" w:name="_Toc20382"/>
      <w:r>
        <w:rPr>
          <w:rFonts w:hint="eastAsia" w:ascii="宋体" w:hAnsi="宋体" w:eastAsia="宋体" w:cs="宋体"/>
          <w:b/>
          <w:sz w:val="22"/>
          <w:szCs w:val="22"/>
        </w:rPr>
        <w:t>七、转包或分包</w:t>
      </w:r>
      <w:bookmarkEnd w:id="1360"/>
      <w:bookmarkEnd w:id="1361"/>
      <w:bookmarkEnd w:id="1362"/>
      <w:bookmarkEnd w:id="1363"/>
      <w:bookmarkEnd w:id="1364"/>
      <w:bookmarkEnd w:id="1365"/>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1.本合同范围的货物，应由乙方直接供应，不得转让他人供应。</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2.除非得到甲方的书面同意，乙方不得将本合同范围的货物全部或部分分包给他人供应。</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3.如有转让和未经甲方同意的分包行为，甲方有权解除合同，没收履约保证金并追究乙方的违约责任。</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bookmarkStart w:id="1366" w:name="_Toc487524258"/>
      <w:bookmarkStart w:id="1367" w:name="_Toc455727580"/>
      <w:bookmarkStart w:id="1368" w:name="_Toc19425"/>
      <w:bookmarkStart w:id="1369" w:name="_Toc19572"/>
      <w:bookmarkStart w:id="1370" w:name="_Toc27778"/>
      <w:r>
        <w:rPr>
          <w:rFonts w:hint="eastAsia" w:ascii="宋体" w:hAnsi="宋体" w:eastAsia="宋体" w:cs="宋体"/>
          <w:b/>
          <w:sz w:val="22"/>
          <w:szCs w:val="22"/>
        </w:rPr>
        <w:t>八、质保期</w:t>
      </w:r>
      <w:bookmarkEnd w:id="1366"/>
      <w:bookmarkEnd w:id="1367"/>
      <w:bookmarkEnd w:id="1368"/>
      <w:bookmarkEnd w:id="1369"/>
      <w:bookmarkEnd w:id="1370"/>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质保期为    年，质保期起算时间为货物交付完毕并安装验收合格后次日开始计算。</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bookmarkStart w:id="1371" w:name="_Toc12846"/>
      <w:bookmarkStart w:id="1372" w:name="_Toc10840"/>
      <w:bookmarkStart w:id="1373" w:name="_Toc6146"/>
      <w:bookmarkStart w:id="1374" w:name="_Toc487524259"/>
      <w:bookmarkStart w:id="1375" w:name="_Toc455727581"/>
      <w:bookmarkStart w:id="1376" w:name="_Toc2073"/>
      <w:r>
        <w:rPr>
          <w:rFonts w:hint="eastAsia" w:ascii="宋体" w:hAnsi="宋体" w:eastAsia="宋体" w:cs="宋体"/>
          <w:b/>
          <w:sz w:val="22"/>
          <w:szCs w:val="22"/>
        </w:rPr>
        <w:t>九、</w:t>
      </w:r>
      <w:r>
        <w:rPr>
          <w:rFonts w:hint="eastAsia" w:cs="宋体"/>
          <w:b/>
          <w:sz w:val="22"/>
          <w:szCs w:val="22"/>
          <w:lang w:val="en-US" w:eastAsia="zh-CN"/>
        </w:rPr>
        <w:t>工</w:t>
      </w:r>
      <w:r>
        <w:rPr>
          <w:rFonts w:hint="eastAsia" w:ascii="宋体" w:hAnsi="宋体" w:eastAsia="宋体" w:cs="宋体"/>
          <w:b/>
          <w:sz w:val="22"/>
          <w:szCs w:val="22"/>
        </w:rPr>
        <w:t>期</w:t>
      </w:r>
      <w:bookmarkEnd w:id="1371"/>
      <w:bookmarkEnd w:id="1372"/>
      <w:bookmarkEnd w:id="1373"/>
      <w:bookmarkEnd w:id="1374"/>
      <w:bookmarkEnd w:id="1375"/>
      <w:bookmarkEnd w:id="1376"/>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lang w:val="en-US" w:eastAsia="zh-CN"/>
        </w:rPr>
      </w:pPr>
      <w:bookmarkStart w:id="1377" w:name="_Toc487524260"/>
      <w:bookmarkStart w:id="1378" w:name="_Toc30181"/>
      <w:bookmarkStart w:id="1379" w:name="_Toc27354"/>
      <w:bookmarkStart w:id="1380" w:name="_Toc1532"/>
      <w:bookmarkStart w:id="1381" w:name="_Toc455727582"/>
      <w:bookmarkStart w:id="1382" w:name="_Toc17127"/>
      <w:r>
        <w:rPr>
          <w:rFonts w:hint="eastAsia" w:ascii="宋体" w:hAnsi="宋体" w:eastAsia="宋体" w:cs="宋体"/>
          <w:sz w:val="24"/>
          <w:szCs w:val="24"/>
          <w:lang w:val="en-US" w:eastAsia="zh-CN"/>
        </w:rPr>
        <w:t>1</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交货及安装：乙方必须准时供货、安装、调试并通过验收。</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交货及安装期限：自合同签订之日起</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0天内完成施工</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供货、安装、调试并通过验收，直至交付采购人正常使用。</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交货地址：采购人指定地点。</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eastAsia="宋体"/>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验收：</w:t>
      </w:r>
      <w:r>
        <w:rPr>
          <w:rFonts w:hint="eastAsia" w:ascii="宋体" w:hAnsi="宋体" w:cs="Arial"/>
          <w:b w:val="0"/>
          <w:bCs/>
          <w:color w:val="auto"/>
          <w:sz w:val="24"/>
          <w:szCs w:val="24"/>
        </w:rPr>
        <w:t>乙方按图纸、</w:t>
      </w:r>
      <w:r>
        <w:rPr>
          <w:rFonts w:hint="eastAsia" w:ascii="宋体" w:hAnsi="宋体" w:cs="Arial"/>
          <w:b w:val="0"/>
          <w:bCs/>
          <w:color w:val="auto"/>
          <w:sz w:val="24"/>
          <w:szCs w:val="24"/>
          <w:lang w:val="en-US" w:eastAsia="zh-CN"/>
        </w:rPr>
        <w:t>采购</w:t>
      </w:r>
      <w:r>
        <w:rPr>
          <w:rFonts w:hint="eastAsia" w:ascii="宋体" w:hAnsi="宋体" w:cs="Arial"/>
          <w:b w:val="0"/>
          <w:bCs/>
          <w:color w:val="auto"/>
          <w:sz w:val="24"/>
          <w:szCs w:val="24"/>
        </w:rPr>
        <w:t>清单进行施工及履行相关</w:t>
      </w:r>
      <w:r>
        <w:rPr>
          <w:rFonts w:ascii="宋体" w:hAnsi="宋体" w:cs="Arial"/>
          <w:b w:val="0"/>
          <w:bCs/>
          <w:color w:val="auto"/>
          <w:sz w:val="24"/>
          <w:szCs w:val="24"/>
        </w:rPr>
        <w:t>合同条款</w:t>
      </w:r>
      <w:r>
        <w:rPr>
          <w:rFonts w:hint="eastAsia" w:ascii="宋体" w:hAnsi="宋体" w:cs="Arial"/>
          <w:b w:val="0"/>
          <w:bCs/>
          <w:color w:val="auto"/>
          <w:sz w:val="24"/>
          <w:szCs w:val="24"/>
        </w:rPr>
        <w:t>，满足设计图纸的要求直至通过甲方组织的验收，验收过程中，如有不满足采购文件或</w:t>
      </w:r>
      <w:r>
        <w:rPr>
          <w:rFonts w:hint="eastAsia" w:ascii="宋体" w:hAnsi="宋体" w:cs="Arial"/>
          <w:b w:val="0"/>
          <w:bCs/>
          <w:color w:val="auto"/>
          <w:sz w:val="24"/>
          <w:szCs w:val="24"/>
          <w:lang w:val="en-US" w:eastAsia="zh-CN"/>
        </w:rPr>
        <w:t>采购</w:t>
      </w:r>
      <w:r>
        <w:rPr>
          <w:rFonts w:hint="eastAsia" w:ascii="宋体" w:hAnsi="宋体" w:cs="Arial"/>
          <w:b w:val="0"/>
          <w:bCs/>
          <w:color w:val="auto"/>
          <w:sz w:val="24"/>
          <w:szCs w:val="24"/>
        </w:rPr>
        <w:t>清单规定要求及不符合国家相关规范要求的，由乙方负责整改，费用自理</w:t>
      </w:r>
      <w:r>
        <w:rPr>
          <w:rFonts w:hint="eastAsia" w:ascii="宋体" w:hAnsi="宋体" w:cs="Arial"/>
          <w:b w:val="0"/>
          <w:bCs/>
          <w:color w:val="auto"/>
          <w:sz w:val="24"/>
          <w:szCs w:val="24"/>
          <w:lang w:eastAsia="zh-CN"/>
        </w:rPr>
        <w:t>。</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r>
        <w:rPr>
          <w:rFonts w:hint="eastAsia" w:ascii="宋体" w:hAnsi="宋体" w:eastAsia="宋体" w:cs="宋体"/>
          <w:b/>
          <w:sz w:val="22"/>
          <w:szCs w:val="22"/>
        </w:rPr>
        <w:t>十、货款支付</w:t>
      </w:r>
      <w:bookmarkEnd w:id="1377"/>
      <w:bookmarkEnd w:id="1378"/>
      <w:bookmarkEnd w:id="1379"/>
      <w:bookmarkEnd w:id="1380"/>
      <w:bookmarkEnd w:id="1381"/>
      <w:bookmarkEnd w:id="1382"/>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lang w:val="en-US" w:eastAsia="zh-CN"/>
        </w:rPr>
      </w:pPr>
      <w:bookmarkStart w:id="1383" w:name="_Toc25616"/>
      <w:bookmarkStart w:id="1384" w:name="_Toc455727583"/>
      <w:bookmarkStart w:id="1385" w:name="_Toc487524261"/>
      <w:bookmarkStart w:id="1386" w:name="_Toc10435"/>
      <w:bookmarkStart w:id="1387" w:name="_Toc32393"/>
      <w:bookmarkStart w:id="1388" w:name="_Toc16527"/>
      <w:r>
        <w:rPr>
          <w:rFonts w:hint="eastAsia" w:ascii="宋体" w:hAnsi="宋体" w:eastAsia="宋体" w:cs="宋体"/>
          <w:sz w:val="24"/>
          <w:szCs w:val="24"/>
          <w:lang w:val="en-US" w:eastAsia="zh-CN"/>
        </w:rPr>
        <w:t>1、中标供应商提供增值税专用发票。</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2、合同生效后且乙方提供预付款保函后的20日内支付合同款的40%，货到清点并安装、调试、验收合格后付至</w:t>
      </w:r>
      <w:r>
        <w:rPr>
          <w:rFonts w:hint="eastAsia" w:ascii="宋体" w:hAnsi="宋体" w:cs="宋体"/>
          <w:sz w:val="24"/>
          <w:szCs w:val="24"/>
          <w:lang w:val="en-US" w:eastAsia="zh-CN"/>
        </w:rPr>
        <w:t>合同</w:t>
      </w:r>
      <w:r>
        <w:rPr>
          <w:rFonts w:hint="eastAsia" w:ascii="宋体" w:hAnsi="宋体" w:eastAsia="宋体" w:cs="宋体"/>
          <w:sz w:val="24"/>
          <w:szCs w:val="24"/>
          <w:lang w:val="en-US" w:eastAsia="zh-CN"/>
        </w:rPr>
        <w:t>价的</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0%</w:t>
      </w:r>
      <w:r>
        <w:rPr>
          <w:rFonts w:hint="eastAsia" w:ascii="宋体" w:hAnsi="宋体" w:cs="宋体"/>
          <w:sz w:val="24"/>
          <w:szCs w:val="24"/>
          <w:lang w:val="en-US" w:eastAsia="zh-CN"/>
        </w:rPr>
        <w:t>，乙方提供相应的完工资料及结算资料经甲方委托第三方审核单位审核后支付至结算价的100%（同时扣留1.5%的质量保证金或提供1.5%质量保证金保函，质保期满后无质量问题退还）</w:t>
      </w:r>
      <w:r>
        <w:rPr>
          <w:rFonts w:hint="eastAsia" w:ascii="宋体" w:hAnsi="宋体" w:eastAsia="宋体" w:cs="宋体"/>
          <w:sz w:val="24"/>
          <w:szCs w:val="24"/>
          <w:lang w:val="en-US" w:eastAsia="zh-CN"/>
        </w:rPr>
        <w:t>。</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r>
        <w:rPr>
          <w:rFonts w:hint="eastAsia" w:ascii="宋体" w:hAnsi="宋体" w:eastAsia="宋体" w:cs="宋体"/>
          <w:b/>
          <w:sz w:val="22"/>
          <w:szCs w:val="22"/>
        </w:rPr>
        <w:t>十一、税费</w:t>
      </w:r>
      <w:bookmarkEnd w:id="1383"/>
      <w:bookmarkEnd w:id="1384"/>
      <w:bookmarkEnd w:id="1385"/>
      <w:bookmarkEnd w:id="1386"/>
      <w:bookmarkEnd w:id="1387"/>
      <w:bookmarkEnd w:id="1388"/>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本合同执行中相关的一切税费均由乙方负担。</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bookmarkStart w:id="1389" w:name="_Toc2061"/>
      <w:bookmarkStart w:id="1390" w:name="_Toc16389"/>
      <w:bookmarkStart w:id="1391" w:name="_Toc455727584"/>
      <w:bookmarkStart w:id="1392" w:name="_Toc30537"/>
      <w:bookmarkStart w:id="1393" w:name="_Toc9614"/>
      <w:bookmarkStart w:id="1394" w:name="_Toc487524262"/>
      <w:r>
        <w:rPr>
          <w:rFonts w:hint="eastAsia" w:ascii="宋体" w:hAnsi="宋体" w:eastAsia="宋体" w:cs="宋体"/>
          <w:b/>
          <w:sz w:val="22"/>
          <w:szCs w:val="22"/>
        </w:rPr>
        <w:t>十二、质量保证及售后服务</w:t>
      </w:r>
      <w:bookmarkEnd w:id="1389"/>
      <w:bookmarkEnd w:id="1390"/>
      <w:bookmarkEnd w:id="1391"/>
      <w:bookmarkEnd w:id="1392"/>
      <w:bookmarkEnd w:id="1393"/>
      <w:bookmarkEnd w:id="1394"/>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1.中标供应商必须确保提供的产品应是原厂、原装、全新合格产品。产品各项技术参数指标应达到国家标准以及招标文件的要求。</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中标供应商应履行服务承诺：</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质保期    年。提供不少于2年7×24小时的免费技术支持服务，如设备出现故障，应在2小时内响应，4小时内到现场，8小时内无法解决的，应提供备件。保证在质保期满后能对故障部件有配件可换。质保期内成交供应商须提供原厂免费上门维修服务。</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2.在质保期内，乙方应对货物出现的质量及安全问题负责处理解决并承担一切费用。</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3.上述的货物免费保修期与质保期相同，因人为因素出现的故障不在免费保修范围内。超过保修期的机器设备，终生维修，维修时只收部件成本费。</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default" w:ascii="宋体" w:hAnsi="宋体" w:eastAsia="宋体" w:cs="宋体"/>
          <w:b/>
          <w:sz w:val="22"/>
          <w:szCs w:val="22"/>
          <w:lang w:val="en-US" w:eastAsia="zh-CN"/>
        </w:rPr>
      </w:pPr>
      <w:bookmarkStart w:id="1395" w:name="_Toc487524264"/>
      <w:bookmarkStart w:id="1396" w:name="_Toc23544"/>
      <w:bookmarkStart w:id="1397" w:name="_Toc26451"/>
      <w:bookmarkStart w:id="1398" w:name="_Toc14958"/>
      <w:bookmarkStart w:id="1399" w:name="_Toc5381"/>
      <w:bookmarkStart w:id="1400" w:name="_Toc455727586"/>
      <w:r>
        <w:rPr>
          <w:rFonts w:hint="eastAsia" w:ascii="宋体" w:hAnsi="宋体" w:eastAsia="宋体" w:cs="宋体"/>
          <w:b/>
          <w:sz w:val="22"/>
          <w:szCs w:val="22"/>
        </w:rPr>
        <w:t>十</w:t>
      </w:r>
      <w:r>
        <w:rPr>
          <w:rFonts w:hint="eastAsia" w:eastAsia="宋体" w:cs="宋体"/>
          <w:b/>
          <w:sz w:val="22"/>
          <w:szCs w:val="22"/>
          <w:lang w:eastAsia="zh-CN"/>
        </w:rPr>
        <w:t>三</w:t>
      </w:r>
      <w:r>
        <w:rPr>
          <w:rFonts w:hint="eastAsia" w:ascii="宋体" w:hAnsi="宋体" w:eastAsia="宋体" w:cs="宋体"/>
          <w:b/>
          <w:sz w:val="22"/>
          <w:szCs w:val="22"/>
        </w:rPr>
        <w:t>、</w:t>
      </w:r>
      <w:bookmarkEnd w:id="1395"/>
      <w:bookmarkEnd w:id="1396"/>
      <w:bookmarkEnd w:id="1397"/>
      <w:bookmarkEnd w:id="1398"/>
      <w:bookmarkEnd w:id="1399"/>
      <w:bookmarkEnd w:id="1400"/>
      <w:r>
        <w:rPr>
          <w:rFonts w:hint="eastAsia" w:cs="宋体"/>
          <w:b/>
          <w:sz w:val="22"/>
          <w:szCs w:val="22"/>
          <w:lang w:val="en-US" w:eastAsia="zh-CN"/>
        </w:rPr>
        <w:t>项目的相关要求</w:t>
      </w:r>
    </w:p>
    <w:p>
      <w:pPr>
        <w:snapToGrid w:val="0"/>
        <w:spacing w:line="312" w:lineRule="auto"/>
        <w:ind w:firstLine="480"/>
        <w:rPr>
          <w:rFonts w:ascii="宋体" w:hAnsi="宋体" w:cs="宋体"/>
          <w:bCs/>
          <w:lang w:val="zh-CN"/>
        </w:rPr>
      </w:pPr>
      <w:r>
        <w:rPr>
          <w:rFonts w:hint="eastAsia" w:ascii="宋体" w:hAnsi="宋体" w:cs="宋体"/>
          <w:bCs/>
          <w:lang w:val="en-US" w:eastAsia="zh-CN"/>
        </w:rPr>
        <w:t>1</w:t>
      </w:r>
      <w:r>
        <w:rPr>
          <w:rFonts w:ascii="宋体" w:hAnsi="宋体" w:cs="宋体"/>
          <w:bCs/>
          <w:lang w:val="zh-CN"/>
        </w:rPr>
        <w:t>.</w:t>
      </w:r>
      <w:r>
        <w:rPr>
          <w:rFonts w:hint="eastAsia" w:ascii="宋体" w:hAnsi="宋体" w:cs="宋体"/>
          <w:bCs/>
          <w:lang w:val="en-US" w:eastAsia="zh-CN"/>
        </w:rPr>
        <w:t>乙方在基层</w:t>
      </w:r>
      <w:r>
        <w:rPr>
          <w:rFonts w:hint="eastAsia" w:ascii="宋体" w:hAnsi="宋体" w:cs="宋体"/>
          <w:bCs/>
        </w:rPr>
        <w:t>施工过程中需对现场原有构筑物、铺装路面、管线、植被等进行保护，景观绿化修复等进行保护，施工时破坏现状构筑物、铺装路面、管线等需由</w:t>
      </w:r>
      <w:r>
        <w:rPr>
          <w:rFonts w:ascii="宋体" w:hAnsi="宋体" w:cs="宋体"/>
          <w:bCs/>
          <w:lang w:val="zh-CN"/>
        </w:rPr>
        <w:t>供应商</w:t>
      </w:r>
      <w:r>
        <w:rPr>
          <w:rFonts w:hint="eastAsia" w:ascii="宋体" w:hAnsi="宋体" w:cs="宋体"/>
          <w:bCs/>
        </w:rPr>
        <w:t>对其进行现状修复</w:t>
      </w:r>
      <w:r>
        <w:rPr>
          <w:rFonts w:ascii="宋体" w:hAnsi="宋体" w:cs="宋体"/>
          <w:bCs/>
          <w:lang w:val="zh-CN"/>
        </w:rPr>
        <w:t>；由此产生的费用由供应商自行考虑。</w:t>
      </w:r>
    </w:p>
    <w:p>
      <w:pPr>
        <w:snapToGrid w:val="0"/>
        <w:spacing w:line="312" w:lineRule="auto"/>
        <w:ind w:firstLine="480"/>
        <w:rPr>
          <w:rFonts w:ascii="宋体" w:hAnsi="宋体" w:cs="宋体"/>
          <w:bCs/>
        </w:rPr>
      </w:pPr>
      <w:r>
        <w:rPr>
          <w:rFonts w:hint="eastAsia" w:ascii="宋体" w:hAnsi="宋体" w:cs="宋体"/>
          <w:bCs/>
          <w:lang w:val="en-US" w:eastAsia="zh-CN"/>
        </w:rPr>
        <w:t>2</w:t>
      </w:r>
      <w:r>
        <w:rPr>
          <w:rFonts w:hint="eastAsia" w:ascii="宋体" w:hAnsi="宋体" w:cs="宋体"/>
          <w:bCs/>
        </w:rPr>
        <w:t>.</w:t>
      </w:r>
      <w:r>
        <w:rPr>
          <w:rFonts w:hint="eastAsia" w:ascii="宋体" w:hAnsi="宋体" w:cs="宋体"/>
          <w:bCs/>
          <w:lang w:val="en-US" w:eastAsia="zh-CN"/>
        </w:rPr>
        <w:t>乙方</w:t>
      </w:r>
      <w:r>
        <w:rPr>
          <w:rFonts w:hint="eastAsia" w:ascii="宋体" w:hAnsi="宋体" w:cs="宋体"/>
          <w:bCs/>
        </w:rPr>
        <w:t>应充分考虑临时用地、临时接电接水、材料堆场、施工现场交通运输、交叉施工、施工干扰、夜间施工、现场成品保护等费用，材料、构配件、半成品等因施工场地条件限制而发生的二次或多次搬运费用，机械设备的二次或多次进场或退场费用，其费用包含在投标的报价中，不再另行单独计量；</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3.乙方必须严格按相关操作规程进行作业，做到精心管理，文明施工，服从指挥，确保安全。</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4</w:t>
      </w:r>
      <w:r>
        <w:rPr>
          <w:rFonts w:hint="default" w:ascii="宋体" w:hAnsi="宋体" w:cs="宋体"/>
          <w:sz w:val="24"/>
          <w:szCs w:val="24"/>
          <w:lang w:val="en-US" w:eastAsia="zh-CN"/>
        </w:rPr>
        <w:t>.本</w:t>
      </w:r>
      <w:r>
        <w:rPr>
          <w:rFonts w:hint="eastAsia" w:ascii="宋体" w:hAnsi="宋体" w:cs="宋体"/>
          <w:sz w:val="24"/>
          <w:szCs w:val="24"/>
          <w:lang w:val="en-US" w:eastAsia="zh-CN"/>
        </w:rPr>
        <w:t>项目</w:t>
      </w:r>
      <w:r>
        <w:rPr>
          <w:rFonts w:hint="default" w:ascii="宋体" w:hAnsi="宋体" w:cs="宋体"/>
          <w:sz w:val="24"/>
          <w:szCs w:val="24"/>
          <w:lang w:val="en-US" w:eastAsia="zh-CN"/>
        </w:rPr>
        <w:t>使用的原材料必须符合设计要求和施工规范的规定。</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default" w:ascii="宋体" w:hAnsi="宋体" w:cs="宋体"/>
          <w:sz w:val="24"/>
          <w:szCs w:val="24"/>
          <w:lang w:val="en-US" w:eastAsia="zh-CN"/>
        </w:rPr>
      </w:pPr>
      <w:r>
        <w:rPr>
          <w:rFonts w:hint="default" w:ascii="宋体" w:hAnsi="宋体" w:cs="宋体"/>
          <w:sz w:val="24"/>
          <w:szCs w:val="24"/>
          <w:lang w:val="en-US" w:eastAsia="zh-CN"/>
        </w:rPr>
        <w:t>采购文件中对主要材料设备品牌、规格、型号如有推荐的，</w:t>
      </w:r>
      <w:r>
        <w:rPr>
          <w:rFonts w:hint="eastAsia" w:ascii="宋体" w:hAnsi="宋体" w:cs="宋体"/>
          <w:sz w:val="24"/>
          <w:szCs w:val="24"/>
          <w:lang w:val="en-US" w:eastAsia="zh-CN"/>
        </w:rPr>
        <w:t>乙方</w:t>
      </w:r>
      <w:r>
        <w:rPr>
          <w:rFonts w:hint="default" w:ascii="宋体" w:hAnsi="宋体" w:cs="宋体"/>
          <w:sz w:val="24"/>
          <w:szCs w:val="24"/>
          <w:lang w:val="en-US" w:eastAsia="zh-CN"/>
        </w:rPr>
        <w:t>应采用的主要材料设备须在报价明细表备注一栏里明确。没有具体规定的，由</w:t>
      </w:r>
      <w:r>
        <w:rPr>
          <w:rFonts w:hint="eastAsia" w:ascii="宋体" w:hAnsi="宋体" w:cs="宋体"/>
          <w:sz w:val="24"/>
          <w:szCs w:val="24"/>
          <w:lang w:val="en-US" w:eastAsia="zh-CN"/>
        </w:rPr>
        <w:t>乙方</w:t>
      </w:r>
      <w:r>
        <w:rPr>
          <w:rFonts w:hint="default" w:ascii="宋体" w:hAnsi="宋体" w:cs="宋体"/>
          <w:sz w:val="24"/>
          <w:szCs w:val="24"/>
          <w:lang w:val="en-US" w:eastAsia="zh-CN"/>
        </w:rPr>
        <w:t>按采购文件及施工图的要求进行投标报价，并在竞标文件的报价文件里注明所选材料设备的品牌、规格、型号。若乙方没有进行注明的，则甲方有权指定品牌，投标价格不调整。如乙方没有按采购文件要求进行选择，或没有明确注明，或所选材料设备的材质、规格、颜色、档次与采购文件要求的存在明显差别，或虽按采购文件推荐的材料品牌选择但该材料因某种原因停产或其它原因而不能供应的，则实际施工过程中甲方有权在采购文件推荐的材料品牌中自行确定，且</w:t>
      </w:r>
      <w:r>
        <w:rPr>
          <w:rFonts w:hint="eastAsia" w:ascii="宋体" w:hAnsi="宋体" w:cs="宋体"/>
          <w:sz w:val="24"/>
          <w:szCs w:val="24"/>
          <w:lang w:val="en-US" w:eastAsia="zh-CN"/>
        </w:rPr>
        <w:t>结算</w:t>
      </w:r>
      <w:r>
        <w:rPr>
          <w:rFonts w:hint="default" w:ascii="宋体" w:hAnsi="宋体" w:cs="宋体"/>
          <w:sz w:val="24"/>
          <w:szCs w:val="24"/>
          <w:lang w:val="en-US" w:eastAsia="zh-CN"/>
        </w:rPr>
        <w:t>价格不予调整。</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5.本项目承包范围内的材料均由乙方根据本采购文件、设计图纸和国家有关规定的具体要求进行采购、运输、检验、保管，但甲方保留变更和指定设备材料的权利；所有设备材料须有产品合格证和质量保证书，应先送样品，样品甲方确认与招标要求一致后封存，批量供应时应与样品一致，并经相关部门检验合格后方可使用。</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2.使用说明书、质量检验证明书、随配附件和工具以及清单一并附于货物内。</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3.乙方在货物发运手续办理完毕后24小时内或货到甲方48小时前通知甲方，以准备接货。</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4.货物在交付甲方前发生的风险均由乙方负责。</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5.乙方应加强工作人员的安全管理，如在运输、安装等过程中因乙方安全管理不到位或乙方工作人员违规危险操作等导致发生的一切安全事故，均由乙方承担，并由行业主管部门按相关规定处理。</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bookmarkStart w:id="1401" w:name="_Toc13533"/>
      <w:bookmarkStart w:id="1402" w:name="_Toc14892"/>
      <w:bookmarkStart w:id="1403" w:name="_Toc455727587"/>
      <w:bookmarkStart w:id="1404" w:name="_Toc487524265"/>
      <w:bookmarkStart w:id="1405" w:name="_Toc12920"/>
      <w:bookmarkStart w:id="1406" w:name="_Toc2659"/>
      <w:r>
        <w:rPr>
          <w:rFonts w:hint="eastAsia" w:ascii="宋体" w:hAnsi="宋体" w:eastAsia="宋体" w:cs="宋体"/>
          <w:b/>
          <w:sz w:val="22"/>
          <w:szCs w:val="22"/>
        </w:rPr>
        <w:t>十五、违约责任</w:t>
      </w:r>
      <w:bookmarkEnd w:id="1401"/>
      <w:bookmarkEnd w:id="1402"/>
      <w:bookmarkEnd w:id="1403"/>
      <w:bookmarkEnd w:id="1404"/>
      <w:bookmarkEnd w:id="1405"/>
      <w:bookmarkEnd w:id="1406"/>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1.甲方无正当理由拒收货物的，甲方向乙方偿付拒收货款总值的百分之五违约金。</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2.甲方无故逾期验收和办理货款支付手续的,甲方应按逾期付款总额每日万分之五向乙方支付违约金。</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4.乙方所交的货物品种、型号、规格、技术参数、质量不符合合同规定及采购文件规定标准的，甲方有权拒收该货物，乙方愿意更换货物但逾期交货的，按乙方逾期交货处理。乙方拒绝更换货物的，甲方可单方面解除合同。</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bookmarkStart w:id="1407" w:name="_Toc487524266"/>
      <w:bookmarkStart w:id="1408" w:name="_Toc22205"/>
      <w:bookmarkStart w:id="1409" w:name="_Toc30048"/>
      <w:bookmarkStart w:id="1410" w:name="_Toc26761"/>
      <w:bookmarkStart w:id="1411" w:name="_Toc455727588"/>
      <w:bookmarkStart w:id="1412" w:name="_Toc16245"/>
      <w:r>
        <w:rPr>
          <w:rFonts w:hint="eastAsia" w:ascii="宋体" w:hAnsi="宋体" w:eastAsia="宋体" w:cs="宋体"/>
          <w:b/>
          <w:sz w:val="22"/>
          <w:szCs w:val="22"/>
        </w:rPr>
        <w:t>十六、不可抗力事件处理</w:t>
      </w:r>
      <w:bookmarkEnd w:id="1407"/>
      <w:bookmarkEnd w:id="1408"/>
      <w:bookmarkEnd w:id="1409"/>
      <w:bookmarkEnd w:id="1410"/>
      <w:bookmarkEnd w:id="1411"/>
      <w:bookmarkEnd w:id="1412"/>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1.在合同有效期内，任何一方因不可抗力事件导致不能履行合同，则合同履行期可延长，其延长期与不可抗力影响期相同。</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2.不可抗力事件发生后，应立即通知对方，并寄送有关权威机构出具的证明。</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3.不可抗力事件延续120天以上，双方应通过友好协商，确定是否继续履行合同。</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sz w:val="22"/>
          <w:szCs w:val="22"/>
        </w:rPr>
      </w:pPr>
      <w:bookmarkStart w:id="1413" w:name="_Toc7364"/>
      <w:bookmarkStart w:id="1414" w:name="_Toc16412"/>
      <w:bookmarkStart w:id="1415" w:name="_Toc455727589"/>
      <w:bookmarkStart w:id="1416" w:name="_Toc27017"/>
      <w:bookmarkStart w:id="1417" w:name="_Toc487524267"/>
      <w:bookmarkStart w:id="1418" w:name="_Toc6417"/>
      <w:r>
        <w:rPr>
          <w:rFonts w:hint="eastAsia" w:ascii="宋体" w:hAnsi="宋体" w:eastAsia="宋体" w:cs="宋体"/>
          <w:b/>
          <w:sz w:val="22"/>
          <w:szCs w:val="22"/>
        </w:rPr>
        <w:t>十七、诉讼</w:t>
      </w:r>
      <w:bookmarkEnd w:id="1413"/>
      <w:bookmarkEnd w:id="1414"/>
      <w:bookmarkEnd w:id="1415"/>
      <w:bookmarkEnd w:id="1416"/>
      <w:bookmarkEnd w:id="1417"/>
      <w:bookmarkEnd w:id="1418"/>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双方在执行合同中所发生的一切争议，应通过协商解决。如协商不成，可向甲方所在地法院起诉。</w:t>
      </w:r>
    </w:p>
    <w:p>
      <w:pPr>
        <w:pStyle w:val="20"/>
        <w:keepNext w:val="0"/>
        <w:keepLines w:val="0"/>
        <w:pageBreakBefore w:val="0"/>
        <w:kinsoku/>
        <w:wordWrap/>
        <w:overflowPunct/>
        <w:topLinePunct w:val="0"/>
        <w:autoSpaceDE/>
        <w:autoSpaceDN/>
        <w:bidi w:val="0"/>
        <w:snapToGrid w:val="0"/>
        <w:spacing w:line="312" w:lineRule="auto"/>
        <w:ind w:firstLine="442" w:firstLineChars="200"/>
        <w:textAlignment w:val="auto"/>
        <w:outlineLvl w:val="1"/>
        <w:rPr>
          <w:rFonts w:hint="eastAsia" w:ascii="宋体" w:hAnsi="宋体" w:eastAsia="宋体" w:cs="宋体"/>
          <w:b/>
          <w:color w:val="auto"/>
          <w:sz w:val="22"/>
          <w:szCs w:val="22"/>
        </w:rPr>
      </w:pPr>
      <w:bookmarkStart w:id="1419" w:name="_Toc27181"/>
      <w:bookmarkStart w:id="1420" w:name="_Toc455727590"/>
      <w:bookmarkStart w:id="1421" w:name="_Toc12673"/>
      <w:bookmarkStart w:id="1422" w:name="_Toc10124"/>
      <w:bookmarkStart w:id="1423" w:name="_Toc487524268"/>
      <w:bookmarkStart w:id="1424" w:name="_Toc20903"/>
      <w:r>
        <w:rPr>
          <w:rFonts w:hint="eastAsia" w:ascii="宋体" w:hAnsi="宋体" w:eastAsia="宋体" w:cs="宋体"/>
          <w:b/>
          <w:color w:val="auto"/>
          <w:sz w:val="22"/>
          <w:szCs w:val="22"/>
        </w:rPr>
        <w:t>十八、合同生效及其它</w:t>
      </w:r>
      <w:bookmarkEnd w:id="1419"/>
      <w:bookmarkEnd w:id="1420"/>
      <w:bookmarkEnd w:id="1421"/>
      <w:bookmarkEnd w:id="1422"/>
      <w:bookmarkEnd w:id="1423"/>
      <w:bookmarkEnd w:id="1424"/>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1.合同经双方法定代表人或授权代表签字并加盖单位公章，并经衢州宇信工程咨询有限公司加盖鉴证章后生效。</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2.本合同未尽事宜，遵照《民法典》有关条文执行。</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3.本合同正本一式七份，具有同等法律效力，甲乙双方各执三份、衢州宇信工程咨询有限公司执一份。</w:t>
      </w:r>
    </w:p>
    <w:p>
      <w:pPr>
        <w:keepNext w:val="0"/>
        <w:keepLines w:val="0"/>
        <w:pageBreakBefore w:val="0"/>
        <w:widowControl/>
        <w:kinsoku/>
        <w:wordWrap/>
        <w:overflowPunct/>
        <w:topLinePunct w:val="0"/>
        <w:autoSpaceDE/>
        <w:autoSpaceDN/>
        <w:bidi w:val="0"/>
        <w:adjustRightInd/>
        <w:snapToGrid w:val="0"/>
        <w:spacing w:line="312"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以下无正文</w:t>
      </w:r>
    </w:p>
    <w:p>
      <w:pPr>
        <w:spacing w:line="440" w:lineRule="exact"/>
        <w:jc w:val="left"/>
        <w:rPr>
          <w:rFonts w:hint="eastAsia" w:ascii="宋体" w:hAnsi="宋体" w:eastAsia="宋体" w:cs="宋体"/>
          <w:sz w:val="22"/>
          <w:szCs w:val="22"/>
        </w:rPr>
      </w:pPr>
    </w:p>
    <w:p>
      <w:pPr>
        <w:spacing w:line="288" w:lineRule="auto"/>
        <w:ind w:right="-337"/>
        <w:rPr>
          <w:rFonts w:hint="eastAsia" w:ascii="宋体" w:hAnsi="宋体" w:cs="宋体"/>
          <w:sz w:val="22"/>
          <w:szCs w:val="22"/>
          <w:lang w:eastAsia="zh-CN"/>
        </w:rPr>
      </w:pPr>
    </w:p>
    <w:p>
      <w:pPr>
        <w:spacing w:line="288" w:lineRule="auto"/>
        <w:ind w:right="-337"/>
        <w:rPr>
          <w:rFonts w:hint="eastAsia" w:ascii="宋体" w:hAnsi="宋体" w:cs="宋体"/>
          <w:sz w:val="22"/>
          <w:szCs w:val="22"/>
          <w:lang w:eastAsia="zh-CN"/>
        </w:rPr>
      </w:pPr>
    </w:p>
    <w:p>
      <w:pPr>
        <w:spacing w:line="288" w:lineRule="auto"/>
        <w:ind w:right="-337"/>
        <w:rPr>
          <w:rFonts w:hint="eastAsia" w:ascii="宋体" w:hAnsi="宋体" w:cs="宋体"/>
          <w:sz w:val="22"/>
          <w:szCs w:val="22"/>
          <w:lang w:eastAsia="zh-CN"/>
        </w:rPr>
      </w:pPr>
    </w:p>
    <w:p>
      <w:pPr>
        <w:spacing w:line="288" w:lineRule="auto"/>
        <w:ind w:right="-337"/>
        <w:rPr>
          <w:rFonts w:hint="eastAsia" w:ascii="宋体" w:hAnsi="宋体" w:cs="宋体"/>
          <w:sz w:val="22"/>
          <w:szCs w:val="22"/>
          <w:lang w:eastAsia="zh-CN"/>
        </w:rPr>
      </w:pPr>
    </w:p>
    <w:p>
      <w:pPr>
        <w:spacing w:line="288" w:lineRule="auto"/>
        <w:ind w:right="-337"/>
        <w:rPr>
          <w:rFonts w:hint="eastAsia" w:ascii="宋体" w:hAnsi="宋体" w:eastAsia="宋体" w:cs="宋体"/>
          <w:sz w:val="22"/>
          <w:szCs w:val="22"/>
          <w:lang w:eastAsia="zh-CN"/>
        </w:rPr>
      </w:pPr>
      <w:r>
        <w:rPr>
          <w:rFonts w:hint="eastAsia" w:ascii="宋体" w:hAnsi="宋体" w:cs="宋体"/>
          <w:sz w:val="22"/>
          <w:szCs w:val="22"/>
          <w:lang w:eastAsia="zh-CN"/>
        </w:rPr>
        <w:t>签署页：</w:t>
      </w:r>
    </w:p>
    <w:tbl>
      <w:tblPr>
        <w:tblStyle w:val="37"/>
        <w:tblW w:w="9286" w:type="dxa"/>
        <w:jc w:val="center"/>
        <w:tblLayout w:type="fixed"/>
        <w:tblCellMar>
          <w:top w:w="0" w:type="dxa"/>
          <w:left w:w="108" w:type="dxa"/>
          <w:bottom w:w="0" w:type="dxa"/>
          <w:right w:w="108" w:type="dxa"/>
        </w:tblCellMar>
      </w:tblPr>
      <w:tblGrid>
        <w:gridCol w:w="4643"/>
        <w:gridCol w:w="4643"/>
      </w:tblGrid>
      <w:tr>
        <w:trPr>
          <w:trHeight w:val="680" w:hRule="atLeast"/>
          <w:jc w:val="center"/>
        </w:trPr>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u w:val="single"/>
              </w:rPr>
            </w:pPr>
            <w:r>
              <w:rPr>
                <w:rFonts w:hint="eastAsia" w:ascii="宋体" w:hAnsi="宋体" w:cs="宋体"/>
                <w:color w:val="auto"/>
              </w:rPr>
              <w:t>甲方（盖章）：</w:t>
            </w:r>
            <w:r>
              <w:rPr>
                <w:rFonts w:hint="eastAsia" w:ascii="宋体" w:hAnsi="宋体" w:cs="宋体"/>
                <w:color w:val="auto"/>
                <w:u w:val="single"/>
              </w:rPr>
              <w:t xml:space="preserve">                    </w:t>
            </w:r>
          </w:p>
        </w:tc>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乙方（盖章）：</w:t>
            </w:r>
            <w:r>
              <w:rPr>
                <w:rFonts w:hint="eastAsia" w:ascii="宋体" w:hAnsi="宋体" w:cs="宋体"/>
                <w:color w:val="auto"/>
                <w:u w:val="single"/>
              </w:rPr>
              <w:t xml:space="preserve">                    </w:t>
            </w:r>
          </w:p>
        </w:tc>
      </w:tr>
      <w:tr>
        <w:trPr>
          <w:trHeight w:val="680" w:hRule="atLeast"/>
          <w:jc w:val="center"/>
        </w:trPr>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单位负责人或授权</w:t>
            </w:r>
          </w:p>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代理人（签字）：</w:t>
            </w:r>
            <w:r>
              <w:rPr>
                <w:rFonts w:hint="eastAsia" w:ascii="宋体" w:hAnsi="宋体" w:cs="宋体"/>
                <w:color w:val="auto"/>
                <w:u w:val="single"/>
              </w:rPr>
              <w:t xml:space="preserve">                  </w:t>
            </w:r>
          </w:p>
        </w:tc>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单位负责人或授权</w:t>
            </w:r>
          </w:p>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代理人（签字）：</w:t>
            </w:r>
            <w:r>
              <w:rPr>
                <w:rFonts w:hint="eastAsia" w:ascii="宋体" w:hAnsi="宋体" w:cs="宋体"/>
                <w:color w:val="auto"/>
                <w:u w:val="single"/>
              </w:rPr>
              <w:t xml:space="preserve">                  </w:t>
            </w:r>
          </w:p>
        </w:tc>
      </w:tr>
      <w:tr>
        <w:tblPrEx>
          <w:tblCellMar>
            <w:top w:w="0" w:type="dxa"/>
            <w:left w:w="108" w:type="dxa"/>
            <w:bottom w:w="0" w:type="dxa"/>
            <w:right w:w="108" w:type="dxa"/>
          </w:tblCellMar>
        </w:tblPrEx>
        <w:trPr>
          <w:trHeight w:val="680" w:hRule="atLeast"/>
          <w:jc w:val="center"/>
        </w:trPr>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地址：</w:t>
            </w:r>
          </w:p>
        </w:tc>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地址：</w:t>
            </w:r>
          </w:p>
        </w:tc>
      </w:tr>
      <w:tr>
        <w:trPr>
          <w:trHeight w:val="680" w:hRule="atLeast"/>
          <w:jc w:val="center"/>
        </w:trPr>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联系方式：</w:t>
            </w:r>
          </w:p>
        </w:tc>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联系方式：</w:t>
            </w:r>
          </w:p>
        </w:tc>
      </w:tr>
      <w:tr>
        <w:tblPrEx>
          <w:tblCellMar>
            <w:top w:w="0" w:type="dxa"/>
            <w:left w:w="108" w:type="dxa"/>
            <w:bottom w:w="0" w:type="dxa"/>
            <w:right w:w="108" w:type="dxa"/>
          </w:tblCellMar>
        </w:tblPrEx>
        <w:trPr>
          <w:trHeight w:val="680" w:hRule="atLeast"/>
          <w:jc w:val="center"/>
        </w:trPr>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开户银行：</w:t>
            </w:r>
          </w:p>
        </w:tc>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开户银行：</w:t>
            </w:r>
          </w:p>
        </w:tc>
      </w:tr>
      <w:tr>
        <w:tblPrEx>
          <w:tblCellMar>
            <w:top w:w="0" w:type="dxa"/>
            <w:left w:w="108" w:type="dxa"/>
            <w:bottom w:w="0" w:type="dxa"/>
            <w:right w:w="108" w:type="dxa"/>
          </w:tblCellMar>
        </w:tblPrEx>
        <w:trPr>
          <w:trHeight w:val="680" w:hRule="atLeast"/>
          <w:jc w:val="center"/>
        </w:trPr>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账号：</w:t>
            </w:r>
          </w:p>
        </w:tc>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账号：</w:t>
            </w:r>
          </w:p>
        </w:tc>
      </w:tr>
      <w:tr>
        <w:tblPrEx>
          <w:tblCellMar>
            <w:top w:w="0" w:type="dxa"/>
            <w:left w:w="108" w:type="dxa"/>
            <w:bottom w:w="0" w:type="dxa"/>
            <w:right w:w="108" w:type="dxa"/>
          </w:tblCellMar>
        </w:tblPrEx>
        <w:trPr>
          <w:trHeight w:val="680" w:hRule="atLeast"/>
          <w:jc w:val="center"/>
        </w:trPr>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签订日期：202</w:t>
            </w:r>
            <w:r>
              <w:rPr>
                <w:rFonts w:hint="eastAsia" w:ascii="宋体" w:hAnsi="宋体" w:cs="宋体"/>
                <w:color w:val="auto"/>
                <w:lang w:val="en-US" w:eastAsia="zh-CN"/>
              </w:rPr>
              <w:t>3</w:t>
            </w:r>
            <w:r>
              <w:rPr>
                <w:rFonts w:hint="eastAsia" w:ascii="宋体" w:hAnsi="宋体" w:cs="宋体"/>
                <w:color w:val="auto"/>
              </w:rPr>
              <w:t>年  月  日</w:t>
            </w:r>
          </w:p>
        </w:tc>
        <w:tc>
          <w:tcPr>
            <w:tcW w:w="4643"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line="312" w:lineRule="auto"/>
              <w:ind w:left="0" w:right="0" w:firstLine="480"/>
              <w:jc w:val="left"/>
              <w:rPr>
                <w:rFonts w:hint="default" w:ascii="宋体" w:hAnsi="宋体" w:cs="宋体"/>
                <w:color w:val="auto"/>
              </w:rPr>
            </w:pPr>
            <w:r>
              <w:rPr>
                <w:rFonts w:hint="eastAsia" w:ascii="宋体" w:hAnsi="宋体" w:cs="宋体"/>
                <w:color w:val="auto"/>
              </w:rPr>
              <w:t>签订日期：202</w:t>
            </w:r>
            <w:r>
              <w:rPr>
                <w:rFonts w:hint="eastAsia" w:ascii="宋体" w:hAnsi="宋体" w:cs="宋体"/>
                <w:color w:val="auto"/>
                <w:lang w:val="en-US" w:eastAsia="zh-CN"/>
              </w:rPr>
              <w:t>3</w:t>
            </w:r>
            <w:r>
              <w:rPr>
                <w:rFonts w:hint="eastAsia" w:ascii="宋体" w:hAnsi="宋体" w:cs="宋体"/>
                <w:color w:val="auto"/>
              </w:rPr>
              <w:t>年  月  日</w:t>
            </w:r>
          </w:p>
        </w:tc>
      </w:tr>
      <w:tr>
        <w:tblPrEx>
          <w:tblCellMar>
            <w:top w:w="0" w:type="dxa"/>
            <w:left w:w="108" w:type="dxa"/>
            <w:bottom w:w="0" w:type="dxa"/>
            <w:right w:w="108" w:type="dxa"/>
          </w:tblCellMar>
        </w:tblPrEx>
        <w:trPr>
          <w:trHeight w:val="694" w:hRule="atLeast"/>
          <w:jc w:val="center"/>
        </w:trPr>
        <w:tc>
          <w:tcPr>
            <w:tcW w:w="9286" w:type="dxa"/>
            <w:gridSpan w:val="2"/>
            <w:tcBorders>
              <w:top w:val="nil"/>
              <w:left w:val="nil"/>
              <w:bottom w:val="nil"/>
              <w:right w:val="nil"/>
            </w:tcBorders>
            <w:vAlign w:val="center"/>
          </w:tcPr>
          <w:p>
            <w:pPr>
              <w:keepNext w:val="0"/>
              <w:keepLines w:val="0"/>
              <w:suppressLineNumbers w:val="0"/>
              <w:spacing w:before="0" w:beforeAutospacing="0" w:after="0" w:afterAutospacing="0" w:line="312" w:lineRule="auto"/>
              <w:ind w:left="0" w:right="0" w:firstLine="480"/>
              <w:rPr>
                <w:rFonts w:hint="default" w:ascii="宋体" w:hAnsi="宋体" w:cs="宋体"/>
                <w:color w:val="auto"/>
                <w:lang w:val="zh-CN"/>
              </w:rPr>
            </w:pPr>
            <w:r>
              <w:rPr>
                <w:rFonts w:hint="eastAsia" w:ascii="宋体" w:hAnsi="宋体" w:cs="宋体"/>
                <w:color w:val="auto"/>
                <w:lang w:val="zh-CN"/>
              </w:rPr>
              <w:t xml:space="preserve">合同鉴证方:衢州宇信工程咨询有限公司     </w:t>
            </w:r>
          </w:p>
          <w:p>
            <w:pPr>
              <w:keepNext w:val="0"/>
              <w:keepLines w:val="0"/>
              <w:suppressLineNumbers w:val="0"/>
              <w:spacing w:before="0" w:beforeAutospacing="0" w:after="0" w:afterAutospacing="0" w:line="312" w:lineRule="auto"/>
              <w:ind w:left="0" w:right="0" w:firstLine="480"/>
              <w:rPr>
                <w:rFonts w:hint="default" w:ascii="宋体" w:hAnsi="宋体" w:cs="宋体"/>
                <w:color w:val="auto"/>
                <w:lang w:val="zh-CN"/>
              </w:rPr>
            </w:pPr>
            <w:r>
              <w:rPr>
                <w:rFonts w:hint="eastAsia" w:ascii="宋体" w:hAnsi="宋体" w:cs="宋体"/>
                <w:color w:val="auto"/>
                <w:lang w:val="zh-CN"/>
              </w:rPr>
              <w:t xml:space="preserve">鉴证日期: </w:t>
            </w:r>
            <w:r>
              <w:rPr>
                <w:rFonts w:hint="eastAsia" w:ascii="宋体" w:hAnsi="宋体" w:cs="宋体"/>
                <w:color w:val="auto"/>
              </w:rPr>
              <w:t>202</w:t>
            </w:r>
            <w:r>
              <w:rPr>
                <w:rFonts w:hint="eastAsia" w:ascii="宋体" w:hAnsi="宋体" w:cs="宋体"/>
                <w:color w:val="auto"/>
                <w:lang w:val="en-US" w:eastAsia="zh-CN"/>
              </w:rPr>
              <w:t>3</w:t>
            </w:r>
            <w:r>
              <w:rPr>
                <w:rFonts w:hint="eastAsia" w:ascii="宋体" w:hAnsi="宋体" w:cs="宋体"/>
                <w:color w:val="auto"/>
                <w:lang w:val="zh-CN"/>
              </w:rPr>
              <w:t>年  月   日</w:t>
            </w:r>
          </w:p>
        </w:tc>
      </w:tr>
      <w:tr>
        <w:tblPrEx>
          <w:tblCellMar>
            <w:top w:w="0" w:type="dxa"/>
            <w:left w:w="108" w:type="dxa"/>
            <w:bottom w:w="0" w:type="dxa"/>
            <w:right w:w="108" w:type="dxa"/>
          </w:tblCellMar>
        </w:tblPrEx>
        <w:trPr>
          <w:trHeight w:val="694" w:hRule="atLeast"/>
          <w:jc w:val="center"/>
        </w:trPr>
        <w:tc>
          <w:tcPr>
            <w:tcW w:w="9286" w:type="dxa"/>
            <w:gridSpan w:val="2"/>
            <w:tcBorders>
              <w:top w:val="nil"/>
              <w:left w:val="nil"/>
              <w:bottom w:val="nil"/>
              <w:right w:val="nil"/>
            </w:tcBorders>
            <w:vAlign w:val="center"/>
          </w:tcPr>
          <w:p>
            <w:pPr>
              <w:keepNext w:val="0"/>
              <w:keepLines w:val="0"/>
              <w:suppressLineNumbers w:val="0"/>
              <w:spacing w:before="0" w:beforeAutospacing="0" w:after="0" w:afterAutospacing="0" w:line="312" w:lineRule="auto"/>
              <w:ind w:left="0" w:right="0" w:firstLine="480"/>
              <w:rPr>
                <w:rFonts w:hint="eastAsia" w:ascii="宋体" w:hAnsi="宋体" w:eastAsia="宋体" w:cs="宋体"/>
                <w:color w:val="auto"/>
                <w:lang w:val="en-US" w:eastAsia="zh-CN"/>
              </w:rPr>
            </w:pPr>
            <w:bookmarkStart w:id="1425" w:name="_Toc29528"/>
            <w:bookmarkStart w:id="1426" w:name="_Toc30651"/>
            <w:bookmarkStart w:id="1427" w:name="_Toc3418"/>
            <w:r>
              <w:rPr>
                <w:rFonts w:hint="eastAsia" w:ascii="宋体" w:hAnsi="宋体" w:eastAsia="宋体" w:cs="宋体"/>
                <w:color w:val="auto"/>
                <w:lang w:val="en-US" w:eastAsia="zh-CN"/>
              </w:rPr>
              <w:t>合同备案方：龙游县文化旅游发展有限公司</w:t>
            </w:r>
          </w:p>
          <w:p>
            <w:pPr>
              <w:keepNext w:val="0"/>
              <w:keepLines w:val="0"/>
              <w:suppressLineNumbers w:val="0"/>
              <w:spacing w:before="0" w:beforeAutospacing="0" w:after="0" w:afterAutospacing="0" w:line="312" w:lineRule="auto"/>
              <w:ind w:left="0" w:right="0" w:firstLine="480"/>
              <w:rPr>
                <w:rFonts w:hint="default" w:ascii="宋体" w:hAnsi="宋体" w:cs="宋体"/>
                <w:color w:val="auto"/>
                <w:lang w:val="zh-CN"/>
              </w:rPr>
            </w:pPr>
            <w:r>
              <w:rPr>
                <w:rFonts w:hint="eastAsia" w:ascii="宋体" w:hAnsi="宋体" w:eastAsia="宋体" w:cs="宋体"/>
                <w:color w:val="auto"/>
                <w:lang w:val="en-US" w:eastAsia="zh-CN"/>
              </w:rPr>
              <w:t>备案时间：</w:t>
            </w:r>
            <w:r>
              <w:rPr>
                <w:rFonts w:hint="eastAsia" w:ascii="宋体" w:hAnsi="宋体" w:eastAsia="宋体" w:cs="宋体"/>
                <w:color w:val="auto"/>
                <w:lang w:val="zh-CN"/>
              </w:rPr>
              <w:t>202</w:t>
            </w:r>
            <w:r>
              <w:rPr>
                <w:rFonts w:hint="eastAsia" w:ascii="宋体" w:hAnsi="宋体" w:eastAsia="宋体" w:cs="宋体"/>
                <w:color w:val="auto"/>
                <w:lang w:val="en-US" w:eastAsia="zh-CN"/>
              </w:rPr>
              <w:t>3</w:t>
            </w:r>
            <w:r>
              <w:rPr>
                <w:rFonts w:hint="eastAsia" w:ascii="宋体" w:hAnsi="宋体" w:eastAsia="宋体" w:cs="宋体"/>
                <w:color w:val="auto"/>
                <w:lang w:val="zh-CN"/>
              </w:rPr>
              <w:t>年  月   日</w:t>
            </w:r>
          </w:p>
        </w:tc>
      </w:tr>
      <w:bookmarkEnd w:id="1425"/>
      <w:bookmarkEnd w:id="1426"/>
      <w:bookmarkEnd w:id="1427"/>
    </w:tbl>
    <w:p>
      <w:pPr>
        <w:spacing w:line="288" w:lineRule="auto"/>
        <w:ind w:right="-337"/>
        <w:rPr>
          <w:rFonts w:hint="eastAsia" w:ascii="宋体" w:hAnsi="宋体" w:eastAsia="宋体" w:cs="宋体"/>
          <w:sz w:val="22"/>
          <w:szCs w:val="22"/>
        </w:rPr>
      </w:pPr>
    </w:p>
    <w:p>
      <w:pPr>
        <w:spacing w:line="288" w:lineRule="auto"/>
        <w:ind w:right="-337"/>
        <w:rPr>
          <w:rFonts w:hint="eastAsia" w:ascii="宋体" w:hAnsi="宋体" w:eastAsia="宋体" w:cs="宋体"/>
          <w:sz w:val="22"/>
          <w:szCs w:val="22"/>
        </w:rPr>
      </w:pPr>
    </w:p>
    <w:p>
      <w:pPr>
        <w:pStyle w:val="2"/>
        <w:rPr>
          <w:rFonts w:hint="eastAsia" w:ascii="宋体" w:hAnsi="宋体" w:eastAsia="宋体" w:cs="宋体"/>
          <w:b w:val="0"/>
          <w:bCs w:val="0"/>
          <w:sz w:val="22"/>
          <w:szCs w:val="22"/>
        </w:rPr>
      </w:pPr>
    </w:p>
    <w:p>
      <w:pPr>
        <w:pStyle w:val="28"/>
      </w:pPr>
    </w:p>
    <w:p>
      <w:pPr>
        <w:ind w:firstLine="0" w:firstLineChars="0"/>
      </w:pPr>
    </w:p>
    <w:p>
      <w:pPr>
        <w:ind w:firstLine="480"/>
      </w:pPr>
      <w:bookmarkStart w:id="1428" w:name="_Toc14018"/>
    </w:p>
    <w:p>
      <w:pPr>
        <w:rPr>
          <w:rFonts w:hint="eastAsia" w:ascii="宋体" w:hAnsi="宋体" w:cs="宋体"/>
        </w:rPr>
      </w:pPr>
      <w:r>
        <w:rPr>
          <w:rFonts w:hint="eastAsia" w:ascii="宋体" w:hAnsi="宋体" w:cs="宋体"/>
        </w:rPr>
        <w:br w:type="page"/>
      </w:r>
    </w:p>
    <w:p>
      <w:pPr>
        <w:pStyle w:val="4"/>
        <w:numPr>
          <w:ilvl w:val="0"/>
          <w:numId w:val="0"/>
        </w:numPr>
        <w:spacing w:before="312" w:after="312"/>
        <w:rPr>
          <w:rFonts w:ascii="宋体" w:cs="宋体"/>
        </w:rPr>
      </w:pPr>
      <w:r>
        <w:rPr>
          <w:rFonts w:hint="eastAsia" w:ascii="宋体" w:hAnsi="宋体" w:cs="宋体"/>
        </w:rPr>
        <w:t>第六章</w:t>
      </w:r>
      <w:r>
        <w:rPr>
          <w:rFonts w:ascii="宋体" w:hAnsi="宋体" w:cs="宋体"/>
        </w:rPr>
        <w:t xml:space="preserve">  </w:t>
      </w:r>
      <w:r>
        <w:rPr>
          <w:rFonts w:hint="eastAsia" w:ascii="宋体" w:hAnsi="宋体" w:cs="宋体"/>
        </w:rPr>
        <w:t>投标文件格式</w:t>
      </w:r>
      <w:bookmarkEnd w:id="1257"/>
      <w:bookmarkEnd w:id="1258"/>
      <w:bookmarkEnd w:id="1259"/>
      <w:bookmarkEnd w:id="1260"/>
      <w:bookmarkEnd w:id="1261"/>
      <w:bookmarkEnd w:id="1262"/>
      <w:bookmarkEnd w:id="1263"/>
      <w:bookmarkEnd w:id="1321"/>
      <w:bookmarkEnd w:id="1322"/>
      <w:bookmarkEnd w:id="1323"/>
      <w:bookmarkEnd w:id="1324"/>
      <w:bookmarkEnd w:id="1428"/>
    </w:p>
    <w:tbl>
      <w:tblPr>
        <w:tblStyle w:val="37"/>
        <w:tblW w:w="8960" w:type="dxa"/>
        <w:jc w:val="center"/>
        <w:tblBorders>
          <w:top w:val="dashDotStroked" w:color="000080" w:sz="24" w:space="0"/>
          <w:left w:val="dashDotStroked" w:color="000080" w:sz="24" w:space="0"/>
          <w:bottom w:val="dashDotStroked" w:color="000080" w:sz="24" w:space="0"/>
          <w:right w:val="dashDotStroked" w:color="000080" w:sz="24" w:space="0"/>
          <w:insideH w:val="dashDotStroked" w:color="000080" w:sz="24" w:space="0"/>
          <w:insideV w:val="dashDotStroked" w:color="000080" w:sz="24" w:space="0"/>
        </w:tblBorders>
        <w:tblLayout w:type="fixed"/>
        <w:tblCellMar>
          <w:top w:w="0" w:type="dxa"/>
          <w:left w:w="108" w:type="dxa"/>
          <w:bottom w:w="0" w:type="dxa"/>
          <w:right w:w="108" w:type="dxa"/>
        </w:tblCellMar>
      </w:tblPr>
      <w:tblGrid>
        <w:gridCol w:w="8960"/>
      </w:tblGrid>
      <w:tr>
        <w:tblPrEx>
          <w:tblBorders>
            <w:top w:val="dashDotStroked" w:color="000080" w:sz="24" w:space="0"/>
            <w:left w:val="dashDotStroked" w:color="000080" w:sz="24" w:space="0"/>
            <w:bottom w:val="dashDotStroked" w:color="000080" w:sz="24" w:space="0"/>
            <w:right w:val="dashDotStroked" w:color="000080" w:sz="24" w:space="0"/>
            <w:insideH w:val="dashDotStroked" w:color="000080" w:sz="24" w:space="0"/>
            <w:insideV w:val="dashDotStroked" w:color="000080" w:sz="24" w:space="0"/>
          </w:tblBorders>
          <w:tblCellMar>
            <w:top w:w="0" w:type="dxa"/>
            <w:left w:w="108" w:type="dxa"/>
            <w:bottom w:w="0" w:type="dxa"/>
            <w:right w:w="108" w:type="dxa"/>
          </w:tblCellMar>
        </w:tblPrEx>
        <w:trPr>
          <w:trHeight w:val="11530" w:hRule="atLeast"/>
          <w:jc w:val="center"/>
        </w:trPr>
        <w:tc>
          <w:tcPr>
            <w:tcW w:w="8960" w:type="dxa"/>
            <w:tcBorders>
              <w:top w:val="double" w:color="666699" w:sz="4" w:space="0"/>
              <w:left w:val="double" w:color="666699" w:sz="4" w:space="0"/>
              <w:bottom w:val="double" w:color="666699" w:sz="4" w:space="0"/>
              <w:right w:val="double" w:color="666699" w:sz="4" w:space="0"/>
            </w:tcBorders>
            <w:shd w:val="clear" w:color="auto" w:fill="FCFEEA"/>
          </w:tcPr>
          <w:p>
            <w:pPr>
              <w:keepNext w:val="0"/>
              <w:keepLines w:val="0"/>
              <w:suppressLineNumbers w:val="0"/>
              <w:snapToGrid w:val="0"/>
              <w:spacing w:before="0" w:beforeAutospacing="0" w:after="0" w:afterAutospacing="0" w:line="420" w:lineRule="exact"/>
              <w:ind w:left="0" w:right="0" w:firstLine="602"/>
              <w:jc w:val="center"/>
              <w:rPr>
                <w:rFonts w:hint="default" w:ascii="宋体" w:cs="宋体"/>
                <w:b/>
                <w:sz w:val="30"/>
              </w:rPr>
            </w:pPr>
          </w:p>
          <w:p>
            <w:pPr>
              <w:pStyle w:val="2"/>
              <w:keepNext w:val="0"/>
              <w:keepLines w:val="0"/>
              <w:suppressLineNumbers w:val="0"/>
              <w:spacing w:before="0" w:beforeAutospacing="0" w:after="0" w:afterAutospacing="0" w:line="720" w:lineRule="auto"/>
              <w:ind w:left="0" w:right="0" w:firstLine="0" w:firstLineChars="0"/>
              <w:jc w:val="center"/>
              <w:rPr>
                <w:rFonts w:hint="default" w:ascii="宋体" w:hAnsi="宋体" w:cs="宋体"/>
                <w:b/>
                <w:sz w:val="44"/>
                <w:szCs w:val="44"/>
                <w:lang w:val="zh-CN"/>
              </w:rPr>
            </w:pPr>
          </w:p>
          <w:p>
            <w:pPr>
              <w:pStyle w:val="2"/>
              <w:keepNext w:val="0"/>
              <w:keepLines w:val="0"/>
              <w:suppressLineNumbers w:val="0"/>
              <w:spacing w:before="0" w:beforeAutospacing="0" w:after="0" w:afterAutospacing="0" w:line="720" w:lineRule="auto"/>
              <w:ind w:left="0" w:right="0" w:firstLine="0" w:firstLineChars="0"/>
              <w:jc w:val="center"/>
              <w:rPr>
                <w:rFonts w:hint="default" w:ascii="宋体" w:hAnsi="宋体" w:cs="宋体"/>
                <w:b/>
                <w:sz w:val="44"/>
                <w:szCs w:val="44"/>
                <w:lang w:val="zh-CN"/>
              </w:rPr>
            </w:pPr>
            <w:r>
              <w:rPr>
                <w:rFonts w:hint="eastAsia" w:ascii="宋体" w:hAnsi="宋体" w:cs="宋体"/>
                <w:b/>
                <w:sz w:val="44"/>
                <w:szCs w:val="44"/>
                <w:lang w:val="zh-CN"/>
              </w:rPr>
              <w:t>2023 年体育设施进公园项目</w:t>
            </w:r>
          </w:p>
          <w:p>
            <w:pPr>
              <w:pStyle w:val="2"/>
              <w:keepNext w:val="0"/>
              <w:keepLines w:val="0"/>
              <w:suppressLineNumbers w:val="0"/>
              <w:spacing w:before="0" w:beforeAutospacing="0" w:after="0" w:afterAutospacing="0" w:line="720" w:lineRule="auto"/>
              <w:ind w:left="0" w:right="0" w:firstLine="0" w:firstLineChars="0"/>
              <w:jc w:val="center"/>
              <w:rPr>
                <w:rFonts w:hint="default" w:ascii="宋体" w:hAnsi="宋体" w:cs="宋体"/>
                <w:b/>
                <w:sz w:val="44"/>
                <w:szCs w:val="44"/>
              </w:rPr>
            </w:pPr>
          </w:p>
          <w:p>
            <w:pPr>
              <w:pStyle w:val="2"/>
              <w:keepNext w:val="0"/>
              <w:keepLines w:val="0"/>
              <w:suppressLineNumbers w:val="0"/>
              <w:spacing w:before="0" w:beforeAutospacing="0" w:after="0" w:afterAutospacing="0" w:line="720" w:lineRule="auto"/>
              <w:ind w:left="0" w:right="0" w:firstLine="0" w:firstLineChars="0"/>
              <w:jc w:val="center"/>
              <w:rPr>
                <w:rFonts w:hint="default" w:ascii="宋体" w:cs="宋体"/>
                <w:b/>
                <w:sz w:val="44"/>
                <w:szCs w:val="44"/>
              </w:rPr>
            </w:pPr>
            <w:r>
              <w:rPr>
                <w:rFonts w:hint="eastAsia" w:ascii="宋体" w:hAnsi="宋体" w:cs="宋体"/>
                <w:b/>
                <w:sz w:val="44"/>
                <w:szCs w:val="44"/>
              </w:rPr>
              <w:t>资格审查文件/资信技术文件</w:t>
            </w:r>
            <w:r>
              <w:rPr>
                <w:rFonts w:hint="default" w:ascii="宋体" w:hAnsi="宋体" w:cs="宋体"/>
                <w:b/>
                <w:sz w:val="44"/>
                <w:szCs w:val="44"/>
              </w:rPr>
              <w:t>/</w:t>
            </w:r>
            <w:r>
              <w:rPr>
                <w:rFonts w:hint="eastAsia" w:ascii="宋体" w:hAnsi="宋体" w:cs="宋体"/>
                <w:b/>
                <w:sz w:val="44"/>
                <w:szCs w:val="44"/>
              </w:rPr>
              <w:t>商务报价文件</w:t>
            </w:r>
          </w:p>
          <w:p>
            <w:pPr>
              <w:keepNext w:val="0"/>
              <w:keepLines w:val="0"/>
              <w:suppressLineNumbers w:val="0"/>
              <w:spacing w:before="0" w:beforeAutospacing="0" w:after="0" w:afterAutospacing="0" w:line="420" w:lineRule="exact"/>
              <w:ind w:left="0" w:right="0" w:firstLine="643"/>
              <w:jc w:val="center"/>
              <w:rPr>
                <w:rFonts w:hint="default" w:ascii="宋体" w:cs="宋体"/>
                <w:b/>
                <w:sz w:val="32"/>
              </w:rPr>
            </w:pPr>
          </w:p>
          <w:p>
            <w:pPr>
              <w:keepNext w:val="0"/>
              <w:keepLines w:val="0"/>
              <w:suppressLineNumbers w:val="0"/>
              <w:spacing w:before="0" w:beforeAutospacing="0" w:after="0" w:afterAutospacing="0"/>
              <w:ind w:left="0" w:right="0" w:firstLine="0" w:firstLineChars="0"/>
              <w:rPr>
                <w:rFonts w:hint="default"/>
              </w:rPr>
            </w:pPr>
          </w:p>
          <w:p>
            <w:pPr>
              <w:keepNext w:val="0"/>
              <w:keepLines w:val="0"/>
              <w:suppressLineNumbers w:val="0"/>
              <w:spacing w:before="0" w:beforeAutospacing="0" w:after="0" w:afterAutospacing="0" w:line="420" w:lineRule="exact"/>
              <w:ind w:left="0" w:right="0" w:firstLine="0" w:firstLineChars="0"/>
              <w:rPr>
                <w:rFonts w:hint="default" w:ascii="宋体" w:cs="宋体"/>
                <w:b/>
                <w:sz w:val="32"/>
              </w:rPr>
            </w:pPr>
          </w:p>
          <w:p>
            <w:pPr>
              <w:pStyle w:val="18"/>
              <w:keepNext w:val="0"/>
              <w:keepLines w:val="0"/>
              <w:suppressLineNumbers w:val="0"/>
              <w:spacing w:before="0" w:beforeAutospacing="0" w:after="0" w:afterAutospacing="0"/>
              <w:ind w:left="960" w:right="0" w:hanging="480"/>
              <w:rPr>
                <w:rFonts w:hint="default"/>
              </w:rPr>
            </w:pPr>
          </w:p>
          <w:p>
            <w:pPr>
              <w:pStyle w:val="18"/>
              <w:keepNext w:val="0"/>
              <w:keepLines w:val="0"/>
              <w:suppressLineNumbers w:val="0"/>
              <w:spacing w:before="0" w:beforeAutospacing="0" w:after="0" w:afterAutospacing="0"/>
              <w:ind w:left="960" w:right="0" w:hanging="480"/>
              <w:rPr>
                <w:rFonts w:hint="default"/>
              </w:rPr>
            </w:pPr>
          </w:p>
          <w:p>
            <w:pPr>
              <w:pStyle w:val="18"/>
              <w:keepNext w:val="0"/>
              <w:keepLines w:val="0"/>
              <w:suppressLineNumbers w:val="0"/>
              <w:spacing w:before="0" w:beforeAutospacing="0" w:after="0" w:afterAutospacing="0"/>
              <w:ind w:left="960" w:right="0" w:hanging="480"/>
              <w:rPr>
                <w:rFonts w:hint="default"/>
              </w:rPr>
            </w:pPr>
          </w:p>
          <w:p>
            <w:pPr>
              <w:pStyle w:val="18"/>
              <w:keepNext w:val="0"/>
              <w:keepLines w:val="0"/>
              <w:suppressLineNumbers w:val="0"/>
              <w:spacing w:before="0" w:beforeAutospacing="0" w:after="0" w:afterAutospacing="0"/>
              <w:ind w:left="960" w:right="0" w:hanging="480"/>
              <w:rPr>
                <w:rFonts w:hint="default"/>
              </w:rPr>
            </w:pPr>
          </w:p>
          <w:p>
            <w:pPr>
              <w:keepNext w:val="0"/>
              <w:keepLines w:val="0"/>
              <w:suppressLineNumbers w:val="0"/>
              <w:spacing w:before="0" w:beforeAutospacing="0" w:after="0" w:afterAutospacing="0" w:line="420" w:lineRule="exact"/>
              <w:ind w:left="0" w:right="0" w:firstLine="0" w:firstLineChars="0"/>
              <w:rPr>
                <w:rFonts w:hint="default" w:ascii="宋体" w:cs="宋体"/>
                <w:b/>
                <w:sz w:val="32"/>
              </w:rPr>
            </w:pPr>
          </w:p>
          <w:p>
            <w:pPr>
              <w:keepNext w:val="0"/>
              <w:keepLines w:val="0"/>
              <w:suppressLineNumbers w:val="0"/>
              <w:spacing w:before="0" w:beforeAutospacing="0" w:after="0" w:afterAutospacing="0" w:line="360" w:lineRule="auto"/>
              <w:ind w:left="0" w:right="0" w:firstLine="640"/>
              <w:rPr>
                <w:rFonts w:hint="default" w:ascii="宋体" w:cs="宋体"/>
                <w:sz w:val="32"/>
              </w:rPr>
            </w:pPr>
            <w:r>
              <w:rPr>
                <w:rFonts w:hint="eastAsia" w:ascii="宋体" w:hAnsi="宋体" w:cs="宋体"/>
                <w:sz w:val="32"/>
              </w:rPr>
              <w:t>项目编号：</w:t>
            </w:r>
            <w:r>
              <w:rPr>
                <w:rFonts w:hint="eastAsia" w:ascii="宋体" w:hAnsi="宋体" w:cs="宋体"/>
                <w:sz w:val="32"/>
                <w:u w:val="single"/>
                <w:lang w:eastAsia="zh-CN"/>
              </w:rPr>
              <w:t>LYCG2023YX-052</w:t>
            </w:r>
            <w:r>
              <w:rPr>
                <w:rFonts w:hint="default" w:ascii="宋体" w:hAnsi="宋体" w:cs="宋体"/>
                <w:sz w:val="32"/>
                <w:u w:val="single"/>
              </w:rPr>
              <w:t xml:space="preserve">                      </w:t>
            </w:r>
          </w:p>
          <w:p>
            <w:pPr>
              <w:keepNext w:val="0"/>
              <w:keepLines w:val="0"/>
              <w:suppressLineNumbers w:val="0"/>
              <w:spacing w:before="0" w:beforeAutospacing="0" w:after="0" w:afterAutospacing="0" w:line="360" w:lineRule="auto"/>
              <w:ind w:left="0" w:right="0" w:firstLine="640"/>
              <w:rPr>
                <w:rFonts w:hint="default" w:ascii="宋体" w:cs="宋体"/>
                <w:sz w:val="32"/>
                <w:u w:val="single"/>
              </w:rPr>
            </w:pPr>
            <w:r>
              <w:rPr>
                <w:rFonts w:hint="eastAsia" w:ascii="宋体" w:hAnsi="宋体" w:cs="宋体"/>
                <w:sz w:val="32"/>
              </w:rPr>
              <w:t>投</w:t>
            </w:r>
            <w:r>
              <w:rPr>
                <w:rFonts w:hint="default" w:ascii="宋体" w:hAnsi="宋体" w:cs="宋体"/>
                <w:sz w:val="32"/>
              </w:rPr>
              <w:t xml:space="preserve"> </w:t>
            </w:r>
            <w:r>
              <w:rPr>
                <w:rFonts w:hint="eastAsia" w:ascii="宋体" w:hAnsi="宋体" w:cs="宋体"/>
                <w:sz w:val="32"/>
              </w:rPr>
              <w:t>标</w:t>
            </w:r>
            <w:r>
              <w:rPr>
                <w:rFonts w:hint="default" w:ascii="宋体" w:hAnsi="宋体" w:cs="宋体"/>
                <w:sz w:val="32"/>
              </w:rPr>
              <w:t xml:space="preserve"> </w:t>
            </w:r>
            <w:r>
              <w:rPr>
                <w:rFonts w:hint="eastAsia" w:ascii="宋体" w:hAnsi="宋体" w:cs="宋体"/>
                <w:sz w:val="32"/>
              </w:rPr>
              <w:t>人：</w:t>
            </w:r>
            <w:r>
              <w:rPr>
                <w:rFonts w:hint="default" w:ascii="宋体" w:hAnsi="宋体" w:cs="宋体"/>
                <w:sz w:val="32"/>
                <w:u w:val="single"/>
              </w:rPr>
              <w:t xml:space="preserve">        </w:t>
            </w:r>
            <w:r>
              <w:rPr>
                <w:rFonts w:hint="eastAsia" w:ascii="宋体" w:hAnsi="宋体" w:cs="宋体"/>
                <w:sz w:val="32"/>
                <w:u w:val="single"/>
              </w:rPr>
              <w:t>（全称）（加盖公章）</w:t>
            </w:r>
            <w:r>
              <w:rPr>
                <w:rFonts w:hint="default" w:ascii="宋体" w:hAnsi="宋体" w:cs="宋体"/>
                <w:sz w:val="32"/>
                <w:u w:val="single"/>
              </w:rPr>
              <w:t xml:space="preserve">          </w:t>
            </w:r>
          </w:p>
          <w:p>
            <w:pPr>
              <w:keepNext w:val="0"/>
              <w:keepLines w:val="0"/>
              <w:suppressLineNumbers w:val="0"/>
              <w:spacing w:before="0" w:beforeAutospacing="0" w:after="0" w:afterAutospacing="0" w:line="360" w:lineRule="auto"/>
              <w:ind w:left="0" w:right="0" w:firstLine="640"/>
              <w:rPr>
                <w:rFonts w:hint="default" w:ascii="宋体" w:cs="宋体"/>
                <w:sz w:val="32"/>
                <w:u w:val="single"/>
              </w:rPr>
            </w:pPr>
            <w:r>
              <w:rPr>
                <w:rFonts w:hint="eastAsia" w:ascii="宋体" w:hAnsi="宋体" w:cs="宋体"/>
                <w:sz w:val="32"/>
              </w:rPr>
              <w:t>法定代表人或授权代表人签字或盖章：</w:t>
            </w:r>
          </w:p>
          <w:p>
            <w:pPr>
              <w:keepNext w:val="0"/>
              <w:keepLines w:val="0"/>
              <w:suppressLineNumbers w:val="0"/>
              <w:spacing w:before="0" w:beforeAutospacing="0" w:after="0" w:afterAutospacing="0" w:line="360" w:lineRule="auto"/>
              <w:ind w:left="0" w:right="0" w:firstLine="640"/>
              <w:rPr>
                <w:rFonts w:hint="default" w:ascii="宋体" w:cs="宋体"/>
                <w:sz w:val="32"/>
                <w:u w:val="single"/>
              </w:rPr>
            </w:pPr>
            <w:r>
              <w:rPr>
                <w:rFonts w:hint="eastAsia" w:ascii="宋体" w:hAnsi="宋体" w:cs="宋体"/>
                <w:sz w:val="32"/>
              </w:rPr>
              <w:t>投标人地址：</w:t>
            </w:r>
          </w:p>
          <w:p>
            <w:pPr>
              <w:keepNext w:val="0"/>
              <w:keepLines w:val="0"/>
              <w:suppressLineNumbers w:val="0"/>
              <w:spacing w:before="0" w:beforeAutospacing="0" w:after="0" w:afterAutospacing="0" w:line="360" w:lineRule="auto"/>
              <w:ind w:left="0" w:right="0" w:firstLine="643"/>
              <w:rPr>
                <w:rFonts w:hint="default" w:ascii="宋体" w:cs="宋体"/>
              </w:rPr>
            </w:pPr>
            <w:r>
              <w:rPr>
                <w:rFonts w:hint="eastAsia" w:ascii="宋体" w:hAnsi="宋体" w:cs="宋体"/>
                <w:b/>
                <w:sz w:val="32"/>
                <w:szCs w:val="32"/>
              </w:rPr>
              <w:t>在</w:t>
            </w:r>
            <w:r>
              <w:rPr>
                <w:rFonts w:hint="default" w:ascii="宋体" w:hAnsi="宋体" w:cs="宋体"/>
                <w:b/>
                <w:sz w:val="32"/>
                <w:szCs w:val="32"/>
              </w:rPr>
              <w:t>202</w:t>
            </w:r>
            <w:r>
              <w:rPr>
                <w:rFonts w:hint="eastAsia" w:ascii="宋体" w:hAnsi="宋体" w:cs="宋体"/>
                <w:b/>
                <w:sz w:val="32"/>
                <w:szCs w:val="32"/>
              </w:rPr>
              <w:t>3年</w:t>
            </w:r>
            <w:r>
              <w:rPr>
                <w:rFonts w:hint="default" w:ascii="宋体" w:hAnsi="宋体" w:cs="宋体"/>
                <w:b/>
                <w:sz w:val="32"/>
                <w:szCs w:val="32"/>
              </w:rPr>
              <w:t xml:space="preserve">   </w:t>
            </w:r>
            <w:r>
              <w:rPr>
                <w:rFonts w:hint="eastAsia" w:ascii="宋体" w:hAnsi="宋体" w:cs="宋体"/>
                <w:b/>
                <w:sz w:val="32"/>
                <w:szCs w:val="32"/>
              </w:rPr>
              <w:t>月</w:t>
            </w:r>
            <w:r>
              <w:rPr>
                <w:rFonts w:hint="default" w:ascii="宋体" w:hAnsi="宋体" w:cs="宋体"/>
                <w:b/>
                <w:sz w:val="32"/>
                <w:szCs w:val="32"/>
              </w:rPr>
              <w:t xml:space="preserve">   </w:t>
            </w:r>
            <w:r>
              <w:rPr>
                <w:rFonts w:hint="eastAsia" w:ascii="宋体" w:hAnsi="宋体" w:cs="宋体"/>
                <w:b/>
                <w:sz w:val="32"/>
                <w:szCs w:val="32"/>
              </w:rPr>
              <w:t>日</w:t>
            </w:r>
            <w:r>
              <w:rPr>
                <w:rFonts w:hint="default" w:ascii="宋体" w:hAnsi="宋体" w:cs="宋体"/>
                <w:b/>
                <w:sz w:val="32"/>
                <w:szCs w:val="32"/>
              </w:rPr>
              <w:t xml:space="preserve">   </w:t>
            </w:r>
            <w:r>
              <w:rPr>
                <w:rFonts w:hint="eastAsia" w:ascii="宋体" w:hAnsi="宋体" w:cs="宋体"/>
                <w:b/>
                <w:sz w:val="32"/>
                <w:szCs w:val="32"/>
              </w:rPr>
              <w:t>时</w:t>
            </w:r>
            <w:r>
              <w:rPr>
                <w:rFonts w:hint="default" w:ascii="宋体" w:hAnsi="宋体" w:cs="宋体"/>
                <w:b/>
                <w:sz w:val="32"/>
                <w:szCs w:val="32"/>
              </w:rPr>
              <w:t xml:space="preserve">   </w:t>
            </w:r>
            <w:r>
              <w:rPr>
                <w:rFonts w:hint="eastAsia" w:ascii="宋体" w:hAnsi="宋体" w:cs="宋体"/>
                <w:b/>
                <w:sz w:val="32"/>
                <w:szCs w:val="32"/>
              </w:rPr>
              <w:t>分之前不得启封</w:t>
            </w:r>
          </w:p>
        </w:tc>
      </w:t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tbl>
    <w:p>
      <w:pPr>
        <w:spacing w:line="420" w:lineRule="exact"/>
        <w:ind w:firstLine="0" w:firstLineChars="0"/>
        <w:rPr>
          <w:rFonts w:ascii="宋体" w:hAnsi="宋体" w:cs="宋体"/>
          <w:b/>
          <w:sz w:val="32"/>
          <w:szCs w:val="32"/>
        </w:rPr>
      </w:pPr>
      <w:bookmarkStart w:id="1429" w:name="_Toc11529"/>
      <w:bookmarkStart w:id="1430" w:name="_Toc9524"/>
      <w:bookmarkStart w:id="1431" w:name="_Toc200"/>
      <w:bookmarkStart w:id="1432" w:name="_Toc10307"/>
      <w:bookmarkStart w:id="1433" w:name="_Toc2846"/>
      <w:bookmarkStart w:id="1434" w:name="_Toc30554"/>
      <w:bookmarkStart w:id="1435" w:name="_Toc6528"/>
      <w:bookmarkStart w:id="1436" w:name="_Toc4689"/>
      <w:bookmarkStart w:id="1437" w:name="_Toc17238"/>
      <w:bookmarkStart w:id="1438" w:name="_Toc10033"/>
      <w:bookmarkStart w:id="1439" w:name="_Toc376"/>
      <w:bookmarkStart w:id="1440" w:name="_Toc16833"/>
      <w:bookmarkStart w:id="1441" w:name="_Toc22794"/>
      <w:bookmarkStart w:id="1442" w:name="_Toc32303"/>
      <w:bookmarkStart w:id="1443" w:name="_Toc29180"/>
      <w:bookmarkStart w:id="1444" w:name="_Toc5538"/>
      <w:bookmarkStart w:id="1445" w:name="_Toc14603"/>
      <w:bookmarkStart w:id="1446" w:name="_Toc25875"/>
      <w:bookmarkStart w:id="1447" w:name="_Toc11828"/>
      <w:bookmarkStart w:id="1448" w:name="_Toc604"/>
      <w:bookmarkStart w:id="1449" w:name="_Toc28518"/>
      <w:bookmarkStart w:id="1450" w:name="_Toc12435"/>
      <w:bookmarkStart w:id="1451" w:name="_Toc21306"/>
      <w:bookmarkStart w:id="1452" w:name="_Toc12360"/>
      <w:bookmarkStart w:id="1453" w:name="_Toc11308"/>
      <w:bookmarkStart w:id="1454" w:name="_Toc11509"/>
      <w:bookmarkStart w:id="1455" w:name="_Toc4817"/>
      <w:bookmarkStart w:id="1456" w:name="_Toc12354"/>
      <w:bookmarkStart w:id="1457" w:name="_Toc23053"/>
      <w:bookmarkStart w:id="1458" w:name="_Toc28611"/>
      <w:bookmarkStart w:id="1459" w:name="_Toc29704"/>
      <w:bookmarkStart w:id="1460" w:name="_Toc1326"/>
      <w:bookmarkStart w:id="1461" w:name="_Toc3014"/>
      <w:bookmarkStart w:id="1462" w:name="_Toc7080"/>
      <w:bookmarkStart w:id="1463" w:name="_Toc17646"/>
      <w:bookmarkStart w:id="1464" w:name="_Toc9088"/>
      <w:bookmarkStart w:id="1465" w:name="_Toc8146"/>
      <w:bookmarkStart w:id="1466" w:name="_Toc18270"/>
      <w:bookmarkStart w:id="1467" w:name="_Toc28264"/>
      <w:bookmarkStart w:id="1468" w:name="_Toc281"/>
      <w:bookmarkStart w:id="1469" w:name="_Toc25770"/>
      <w:bookmarkStart w:id="1470" w:name="_Toc12327"/>
      <w:bookmarkStart w:id="1471" w:name="_Toc7501"/>
      <w:bookmarkStart w:id="1472" w:name="_Toc25350"/>
      <w:bookmarkStart w:id="1473" w:name="_Toc3853"/>
      <w:bookmarkStart w:id="1474" w:name="_Toc16560"/>
      <w:bookmarkStart w:id="1475" w:name="_Toc9488"/>
      <w:bookmarkStart w:id="1476" w:name="_Toc17640"/>
      <w:bookmarkStart w:id="1477" w:name="_Toc17212"/>
      <w:bookmarkStart w:id="1478" w:name="_Toc10659"/>
      <w:bookmarkStart w:id="1479" w:name="_Toc12744"/>
      <w:bookmarkStart w:id="1480" w:name="_Toc8049"/>
    </w:p>
    <w:p>
      <w:pPr>
        <w:spacing w:line="420" w:lineRule="exact"/>
        <w:ind w:firstLine="0" w:firstLineChars="0"/>
        <w:jc w:val="center"/>
        <w:outlineLvl w:val="0"/>
        <w:rPr>
          <w:rFonts w:hint="eastAsia" w:ascii="宋体" w:hAnsi="宋体" w:cs="宋体"/>
          <w:b/>
          <w:sz w:val="32"/>
          <w:szCs w:val="32"/>
        </w:rPr>
      </w:pPr>
      <w:bookmarkStart w:id="1481" w:name="_Toc24445"/>
      <w:bookmarkStart w:id="1482" w:name="_Toc19399"/>
      <w:bookmarkStart w:id="1483" w:name="_Toc7350"/>
    </w:p>
    <w:p>
      <w:pPr>
        <w:spacing w:line="420" w:lineRule="exact"/>
        <w:ind w:firstLine="0" w:firstLineChars="0"/>
        <w:jc w:val="center"/>
        <w:outlineLvl w:val="0"/>
        <w:rPr>
          <w:rFonts w:hint="eastAsia" w:ascii="宋体" w:hAnsi="宋体" w:cs="宋体"/>
          <w:b/>
          <w:sz w:val="32"/>
          <w:szCs w:val="32"/>
        </w:rPr>
      </w:pPr>
    </w:p>
    <w:p>
      <w:pPr>
        <w:spacing w:line="420" w:lineRule="exact"/>
        <w:ind w:firstLine="0" w:firstLineChars="0"/>
        <w:jc w:val="center"/>
        <w:outlineLvl w:val="0"/>
        <w:rPr>
          <w:rFonts w:ascii="宋体" w:cs="宋体"/>
          <w:b/>
          <w:sz w:val="32"/>
          <w:szCs w:val="32"/>
        </w:rPr>
      </w:pPr>
      <w:r>
        <w:rPr>
          <w:rFonts w:hint="eastAsia" w:ascii="宋体" w:hAnsi="宋体" w:cs="宋体"/>
          <w:b/>
          <w:sz w:val="32"/>
          <w:szCs w:val="32"/>
        </w:rPr>
        <w:t>资格审查文件封面格式</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81"/>
      <w:bookmarkEnd w:id="1482"/>
      <w:bookmarkEnd w:id="1483"/>
    </w:p>
    <w:p>
      <w:pPr>
        <w:pStyle w:val="22"/>
        <w:spacing w:line="420" w:lineRule="exact"/>
        <w:ind w:left="120" w:leftChars="50" w:firstLine="3855" w:firstLineChars="1200"/>
        <w:jc w:val="left"/>
        <w:rPr>
          <w:rFonts w:ascii="宋体" w:hAnsi="宋体" w:eastAsia="宋体" w:cs="宋体"/>
          <w:sz w:val="32"/>
        </w:rPr>
      </w:pPr>
    </w:p>
    <w:p>
      <w:pPr>
        <w:spacing w:line="420" w:lineRule="exact"/>
        <w:ind w:firstLine="640"/>
        <w:jc w:val="center"/>
        <w:rPr>
          <w:rFonts w:ascii="宋体" w:hAnsi="宋体" w:cs="宋体"/>
          <w:sz w:val="32"/>
          <w:szCs w:val="32"/>
        </w:rPr>
      </w:pPr>
      <w:bookmarkStart w:id="1484" w:name="_Toc11547"/>
      <w:bookmarkStart w:id="1485" w:name="_Toc10048"/>
      <w:bookmarkStart w:id="1486" w:name="_Toc17517"/>
      <w:bookmarkStart w:id="1487" w:name="_Toc11140"/>
      <w:bookmarkStart w:id="1488" w:name="_Toc23167"/>
      <w:bookmarkStart w:id="1489" w:name="_Toc9383"/>
      <w:bookmarkStart w:id="1490" w:name="_Toc3021"/>
      <w:bookmarkStart w:id="1491" w:name="_Toc23596"/>
      <w:bookmarkStart w:id="1492" w:name="_Toc24406"/>
      <w:bookmarkStart w:id="1493" w:name="_Toc2832"/>
      <w:bookmarkStart w:id="1494" w:name="_Toc15243"/>
      <w:bookmarkStart w:id="1495" w:name="_Toc12833"/>
      <w:bookmarkStart w:id="1496" w:name="_Toc23179"/>
    </w:p>
    <w:p>
      <w:pPr>
        <w:spacing w:line="420" w:lineRule="exact"/>
        <w:ind w:firstLine="0" w:firstLineChars="0"/>
        <w:jc w:val="center"/>
        <w:outlineLvl w:val="0"/>
        <w:rPr>
          <w:rFonts w:ascii="宋体" w:cs="宋体"/>
          <w:sz w:val="84"/>
        </w:rPr>
      </w:pPr>
      <w:bookmarkStart w:id="1497" w:name="_Toc5013"/>
      <w:bookmarkStart w:id="1498" w:name="_Toc10166"/>
      <w:bookmarkStart w:id="1499" w:name="_Toc18581"/>
      <w:bookmarkStart w:id="1500" w:name="_Toc15041"/>
      <w:bookmarkStart w:id="1501" w:name="_Toc4032"/>
      <w:bookmarkStart w:id="1502" w:name="_Toc7907"/>
      <w:bookmarkStart w:id="1503" w:name="_Toc14016"/>
      <w:bookmarkStart w:id="1504" w:name="_Toc3613"/>
      <w:bookmarkStart w:id="1505" w:name="_Toc13263"/>
      <w:bookmarkStart w:id="1506" w:name="_Toc16551"/>
      <w:bookmarkStart w:id="1507" w:name="_Toc27636"/>
      <w:bookmarkStart w:id="1508" w:name="_Toc12516"/>
      <w:bookmarkStart w:id="1509" w:name="_Toc11955"/>
      <w:bookmarkStart w:id="1510" w:name="_Toc16708"/>
      <w:bookmarkStart w:id="1511" w:name="_Toc22746"/>
      <w:bookmarkStart w:id="1512" w:name="_Toc24758"/>
      <w:bookmarkStart w:id="1513" w:name="_Toc29203"/>
      <w:bookmarkStart w:id="1514" w:name="_Toc13432"/>
      <w:bookmarkStart w:id="1515" w:name="_Toc21815"/>
      <w:bookmarkStart w:id="1516" w:name="_Toc19366"/>
      <w:bookmarkStart w:id="1517" w:name="_Toc21045"/>
      <w:bookmarkStart w:id="1518" w:name="_Toc6691"/>
      <w:bookmarkStart w:id="1519" w:name="_Toc6529"/>
      <w:r>
        <w:rPr>
          <w:rFonts w:hint="eastAsia" w:ascii="宋体" w:hAnsi="宋体" w:cs="宋体"/>
          <w:sz w:val="32"/>
          <w:szCs w:val="32"/>
        </w:rPr>
        <w:t>正本或副本</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p>
    <w:p>
      <w:pPr>
        <w:spacing w:line="420" w:lineRule="exact"/>
        <w:ind w:firstLine="883"/>
        <w:rPr>
          <w:rFonts w:ascii="宋体" w:cs="宋体"/>
          <w:b/>
          <w:sz w:val="44"/>
          <w:szCs w:val="44"/>
        </w:rPr>
      </w:pPr>
    </w:p>
    <w:p>
      <w:pPr>
        <w:ind w:firstLine="480"/>
        <w:rPr>
          <w:rFonts w:ascii="宋体" w:cs="宋体"/>
        </w:rPr>
      </w:pPr>
    </w:p>
    <w:p>
      <w:pPr>
        <w:ind w:firstLine="480"/>
      </w:pPr>
    </w:p>
    <w:p>
      <w:pPr>
        <w:spacing w:line="240" w:lineRule="auto"/>
        <w:ind w:firstLine="0" w:firstLineChars="0"/>
        <w:jc w:val="center"/>
        <w:rPr>
          <w:rFonts w:ascii="宋体" w:cs="宋体"/>
          <w:b/>
          <w:bCs/>
          <w:sz w:val="72"/>
          <w:szCs w:val="72"/>
        </w:rPr>
      </w:pPr>
    </w:p>
    <w:p>
      <w:pPr>
        <w:spacing w:line="240" w:lineRule="auto"/>
        <w:ind w:firstLine="0" w:firstLineChars="0"/>
        <w:jc w:val="center"/>
        <w:outlineLvl w:val="1"/>
        <w:rPr>
          <w:rFonts w:ascii="宋体" w:hAnsi="宋体" w:cs="宋体"/>
          <w:b/>
          <w:bCs/>
          <w:sz w:val="72"/>
          <w:szCs w:val="72"/>
        </w:rPr>
      </w:pPr>
      <w:bookmarkStart w:id="1520" w:name="_Toc3909"/>
      <w:bookmarkStart w:id="1521" w:name="_Toc20980"/>
      <w:bookmarkStart w:id="1522" w:name="_Toc14717"/>
      <w:bookmarkStart w:id="1523" w:name="_Toc18988"/>
      <w:bookmarkStart w:id="1524" w:name="_Toc23683"/>
      <w:bookmarkStart w:id="1525" w:name="_Toc30482"/>
      <w:bookmarkStart w:id="1526" w:name="_Toc13778"/>
      <w:bookmarkStart w:id="1527" w:name="_Toc6549"/>
      <w:bookmarkStart w:id="1528" w:name="_Toc12971"/>
      <w:bookmarkStart w:id="1529" w:name="_Toc3004"/>
      <w:bookmarkStart w:id="1530" w:name="_Toc7385"/>
      <w:bookmarkStart w:id="1531" w:name="_Toc1679"/>
      <w:bookmarkStart w:id="1532" w:name="_Toc763"/>
      <w:bookmarkStart w:id="1533" w:name="_Toc28094"/>
      <w:bookmarkStart w:id="1534" w:name="_Toc22676"/>
      <w:bookmarkStart w:id="1535" w:name="_Toc19225"/>
      <w:bookmarkStart w:id="1536" w:name="_Toc6503"/>
      <w:bookmarkStart w:id="1537" w:name="_Toc28487"/>
      <w:bookmarkStart w:id="1538" w:name="_Toc20930"/>
      <w:bookmarkStart w:id="1539" w:name="_Toc21130"/>
      <w:bookmarkStart w:id="1540" w:name="_Toc1119"/>
      <w:bookmarkStart w:id="1541" w:name="_Toc10973"/>
      <w:bookmarkStart w:id="1542" w:name="_Toc14388"/>
      <w:bookmarkStart w:id="1543" w:name="_Toc25155"/>
      <w:bookmarkStart w:id="1544" w:name="_Toc3356"/>
      <w:bookmarkStart w:id="1545" w:name="_Toc32671"/>
      <w:bookmarkStart w:id="1546" w:name="_Toc1203"/>
      <w:bookmarkStart w:id="1547" w:name="_Toc17103"/>
      <w:bookmarkStart w:id="1548" w:name="_Toc27148"/>
      <w:bookmarkStart w:id="1549" w:name="_Toc8823"/>
      <w:bookmarkStart w:id="1550" w:name="_Toc9615"/>
      <w:bookmarkStart w:id="1551" w:name="_Toc9452"/>
      <w:bookmarkStart w:id="1552" w:name="_Toc3072"/>
      <w:bookmarkStart w:id="1553" w:name="_Toc7133"/>
      <w:bookmarkStart w:id="1554" w:name="_Toc1266"/>
      <w:bookmarkStart w:id="1555" w:name="_Toc32422"/>
      <w:bookmarkStart w:id="1556" w:name="_Toc29862"/>
      <w:r>
        <w:rPr>
          <w:rFonts w:hint="eastAsia" w:ascii="宋体" w:hAnsi="宋体" w:cs="宋体"/>
          <w:b/>
          <w:bCs/>
          <w:sz w:val="72"/>
          <w:szCs w:val="72"/>
        </w:rPr>
        <w:t>资格审查文件</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p>
    <w:p>
      <w:pPr>
        <w:spacing w:line="240" w:lineRule="auto"/>
        <w:ind w:firstLine="883"/>
        <w:jc w:val="center"/>
        <w:rPr>
          <w:rFonts w:ascii="宋体" w:cs="宋体"/>
          <w:b/>
          <w:bCs/>
          <w:sz w:val="44"/>
          <w:szCs w:val="44"/>
        </w:rPr>
      </w:pPr>
    </w:p>
    <w:p>
      <w:pPr>
        <w:ind w:firstLine="0" w:firstLineChars="0"/>
        <w:rPr>
          <w:rFonts w:ascii="宋体" w:cs="宋体"/>
        </w:rPr>
      </w:pPr>
    </w:p>
    <w:p>
      <w:pPr>
        <w:ind w:firstLine="0" w:firstLineChars="0"/>
        <w:rPr>
          <w:rFonts w:ascii="宋体" w:cs="宋体"/>
        </w:rPr>
      </w:pPr>
    </w:p>
    <w:p>
      <w:pPr>
        <w:pStyle w:val="2"/>
        <w:ind w:firstLine="480"/>
      </w:pPr>
    </w:p>
    <w:p>
      <w:pPr>
        <w:pStyle w:val="3"/>
        <w:ind w:firstLine="210"/>
      </w:pPr>
    </w:p>
    <w:p>
      <w:pPr>
        <w:pStyle w:val="3"/>
        <w:ind w:firstLine="0" w:firstLineChars="0"/>
      </w:pPr>
    </w:p>
    <w:p>
      <w:pPr>
        <w:pStyle w:val="2"/>
        <w:ind w:firstLine="480"/>
      </w:pPr>
    </w:p>
    <w:p>
      <w:pPr>
        <w:ind w:firstLine="0" w:firstLineChars="0"/>
        <w:rPr>
          <w:rFonts w:ascii="宋体" w:cs="宋体"/>
        </w:rPr>
      </w:pPr>
    </w:p>
    <w:p>
      <w:pPr>
        <w:pStyle w:val="18"/>
        <w:ind w:left="960" w:hanging="480"/>
      </w:pPr>
    </w:p>
    <w:p>
      <w:pPr>
        <w:spacing w:line="360" w:lineRule="auto"/>
        <w:ind w:firstLine="640"/>
        <w:rPr>
          <w:rFonts w:ascii="宋体" w:cs="宋体"/>
          <w:sz w:val="32"/>
        </w:rPr>
      </w:pPr>
      <w:r>
        <w:rPr>
          <w:rFonts w:hint="eastAsia" w:ascii="宋体" w:hAnsi="宋体" w:cs="宋体"/>
          <w:sz w:val="32"/>
        </w:rPr>
        <w:t>项目编号：</w:t>
      </w:r>
      <w:r>
        <w:rPr>
          <w:rFonts w:hint="eastAsia" w:ascii="宋体" w:hAnsi="宋体" w:cs="宋体"/>
          <w:sz w:val="32"/>
          <w:u w:val="single"/>
          <w:lang w:eastAsia="zh-CN"/>
        </w:rPr>
        <w:t>LYCG2023YX-052</w:t>
      </w:r>
      <w:r>
        <w:rPr>
          <w:rFonts w:ascii="宋体" w:hAnsi="宋体" w:cs="宋体"/>
          <w:sz w:val="32"/>
          <w:u w:val="single"/>
        </w:rPr>
        <w:t xml:space="preserve">                      </w:t>
      </w:r>
    </w:p>
    <w:p>
      <w:pPr>
        <w:spacing w:line="360" w:lineRule="auto"/>
        <w:ind w:firstLine="640"/>
        <w:rPr>
          <w:rFonts w:ascii="宋体" w:cs="宋体"/>
          <w:sz w:val="32"/>
          <w:u w:val="single"/>
        </w:rPr>
      </w:pPr>
      <w:r>
        <w:rPr>
          <w:rFonts w:hint="eastAsia" w:ascii="宋体" w:hAnsi="宋体" w:cs="宋体"/>
          <w:sz w:val="32"/>
        </w:rPr>
        <w:t>投</w:t>
      </w:r>
      <w:r>
        <w:rPr>
          <w:rFonts w:ascii="宋体" w:hAnsi="宋体" w:cs="宋体"/>
          <w:sz w:val="32"/>
        </w:rPr>
        <w:t xml:space="preserve"> </w:t>
      </w:r>
      <w:r>
        <w:rPr>
          <w:rFonts w:hint="eastAsia" w:ascii="宋体" w:hAnsi="宋体" w:cs="宋体"/>
          <w:sz w:val="32"/>
        </w:rPr>
        <w:t>标</w:t>
      </w:r>
      <w:r>
        <w:rPr>
          <w:rFonts w:ascii="宋体" w:hAnsi="宋体" w:cs="宋体"/>
          <w:sz w:val="32"/>
        </w:rPr>
        <w:t xml:space="preserve"> </w:t>
      </w:r>
      <w:r>
        <w:rPr>
          <w:rFonts w:hint="eastAsia" w:ascii="宋体" w:hAnsi="宋体" w:cs="宋体"/>
          <w:sz w:val="32"/>
        </w:rPr>
        <w:t>人：</w:t>
      </w:r>
      <w:r>
        <w:rPr>
          <w:rFonts w:ascii="宋体" w:hAnsi="宋体" w:cs="宋体"/>
          <w:sz w:val="32"/>
          <w:u w:val="single"/>
        </w:rPr>
        <w:t xml:space="preserve">        </w:t>
      </w:r>
      <w:r>
        <w:rPr>
          <w:rFonts w:hint="eastAsia" w:ascii="宋体" w:hAnsi="宋体" w:cs="宋体"/>
          <w:sz w:val="32"/>
          <w:u w:val="single"/>
        </w:rPr>
        <w:t>（全称）（加盖公章）</w:t>
      </w:r>
      <w:r>
        <w:rPr>
          <w:rFonts w:ascii="宋体" w:hAnsi="宋体" w:cs="宋体"/>
          <w:sz w:val="32"/>
          <w:u w:val="single"/>
        </w:rPr>
        <w:t xml:space="preserve">          </w:t>
      </w:r>
    </w:p>
    <w:p>
      <w:pPr>
        <w:spacing w:line="360" w:lineRule="auto"/>
        <w:ind w:firstLine="640"/>
        <w:rPr>
          <w:rFonts w:ascii="宋体" w:cs="宋体"/>
          <w:sz w:val="32"/>
          <w:u w:val="single"/>
        </w:rPr>
      </w:pPr>
      <w:r>
        <w:rPr>
          <w:rFonts w:hint="eastAsia" w:ascii="宋体" w:hAnsi="宋体" w:cs="宋体"/>
          <w:sz w:val="32"/>
        </w:rPr>
        <w:t>法定代表人或授权代表人签字或盖章：</w:t>
      </w:r>
    </w:p>
    <w:p>
      <w:pPr>
        <w:spacing w:line="360" w:lineRule="auto"/>
        <w:ind w:firstLine="640"/>
        <w:rPr>
          <w:rFonts w:ascii="宋体" w:cs="宋体"/>
          <w:sz w:val="32"/>
          <w:u w:val="single"/>
        </w:rPr>
      </w:pPr>
      <w:r>
        <w:rPr>
          <w:rFonts w:hint="eastAsia" w:ascii="宋体" w:hAnsi="宋体" w:cs="宋体"/>
          <w:sz w:val="32"/>
        </w:rPr>
        <w:t>投标人地址：</w:t>
      </w:r>
    </w:p>
    <w:p>
      <w:pPr>
        <w:spacing w:line="360" w:lineRule="auto"/>
        <w:ind w:firstLine="0" w:firstLineChars="0"/>
        <w:jc w:val="center"/>
        <w:rPr>
          <w:rFonts w:ascii="宋体" w:hAnsi="宋体" w:cs="宋体"/>
          <w:sz w:val="32"/>
        </w:rPr>
      </w:pPr>
      <w:r>
        <w:rPr>
          <w:rFonts w:hint="eastAsia" w:ascii="宋体" w:hAnsi="宋体" w:cs="宋体"/>
          <w:sz w:val="32"/>
        </w:rPr>
        <w:t>二〇二三年</w:t>
      </w:r>
      <w:r>
        <w:rPr>
          <w:rFonts w:ascii="宋体" w:hAnsi="宋体" w:cs="宋体"/>
          <w:sz w:val="32"/>
        </w:rPr>
        <w:t xml:space="preserve">    </w:t>
      </w:r>
      <w:r>
        <w:rPr>
          <w:rFonts w:hint="eastAsia" w:ascii="宋体" w:hAnsi="宋体" w:cs="宋体"/>
          <w:sz w:val="32"/>
        </w:rPr>
        <w:t>月</w:t>
      </w:r>
      <w:r>
        <w:rPr>
          <w:rFonts w:ascii="宋体" w:hAnsi="宋体" w:cs="宋体"/>
          <w:sz w:val="32"/>
        </w:rPr>
        <w:t xml:space="preserve">    </w:t>
      </w:r>
      <w:r>
        <w:rPr>
          <w:rFonts w:hint="eastAsia" w:ascii="宋体" w:hAnsi="宋体" w:cs="宋体"/>
          <w:sz w:val="32"/>
        </w:rPr>
        <w:t>日</w:t>
      </w:r>
      <w:bookmarkStart w:id="1557" w:name="_Toc11131"/>
      <w:bookmarkStart w:id="1558" w:name="_Toc5390"/>
      <w:bookmarkStart w:id="1559" w:name="_Toc8186"/>
      <w:bookmarkStart w:id="1560" w:name="_Toc32566"/>
      <w:bookmarkStart w:id="1561" w:name="_Toc5606"/>
      <w:bookmarkStart w:id="1562" w:name="_Toc32139"/>
      <w:bookmarkStart w:id="1563" w:name="_Toc11776"/>
      <w:bookmarkStart w:id="1564" w:name="_Toc8060"/>
      <w:bookmarkStart w:id="1565" w:name="_Toc30078"/>
      <w:bookmarkStart w:id="1566" w:name="_Toc19203"/>
      <w:bookmarkStart w:id="1567" w:name="_Toc15895"/>
      <w:bookmarkStart w:id="1568" w:name="_Toc17940_WPSOffice_Level1"/>
      <w:bookmarkStart w:id="1569" w:name="_Toc29011"/>
      <w:bookmarkStart w:id="1570" w:name="_Toc17197"/>
      <w:bookmarkStart w:id="1571" w:name="_Toc6738"/>
      <w:bookmarkStart w:id="1572" w:name="_Toc7492_WPSOffice_Level1"/>
      <w:bookmarkStart w:id="1573" w:name="_Toc4899"/>
      <w:bookmarkStart w:id="1574" w:name="_Toc4948_WPSOffice_Level1"/>
    </w:p>
    <w:p>
      <w:pPr>
        <w:ind w:firstLine="0" w:firstLineChars="0"/>
        <w:jc w:val="left"/>
        <w:outlineLvl w:val="9"/>
        <w:rPr>
          <w:rFonts w:hint="eastAsia" w:ascii="宋体" w:hAnsi="宋体" w:cs="宋体"/>
          <w:b/>
          <w:bCs/>
        </w:rPr>
      </w:pPr>
      <w:bookmarkStart w:id="1575" w:name="_Toc8370"/>
      <w:bookmarkStart w:id="1576" w:name="_Toc213"/>
      <w:bookmarkStart w:id="1577" w:name="_Toc5796"/>
      <w:bookmarkStart w:id="1578" w:name="_Toc12249"/>
      <w:bookmarkStart w:id="1579" w:name="_Toc9011"/>
      <w:bookmarkStart w:id="1580" w:name="_Toc17387"/>
      <w:bookmarkStart w:id="1581" w:name="_Toc8510"/>
      <w:bookmarkStart w:id="1582" w:name="_Toc28787"/>
      <w:bookmarkStart w:id="1583" w:name="_Toc10122"/>
      <w:bookmarkStart w:id="1584" w:name="_Toc20801"/>
      <w:bookmarkStart w:id="1585" w:name="_Toc24235"/>
      <w:bookmarkStart w:id="1586" w:name="_Toc12011"/>
      <w:bookmarkStart w:id="1587" w:name="_Toc20500"/>
      <w:bookmarkStart w:id="1588" w:name="_Toc1232"/>
      <w:bookmarkStart w:id="1589" w:name="_Toc20081"/>
      <w:bookmarkStart w:id="1590" w:name="_Toc10995"/>
      <w:bookmarkStart w:id="1591" w:name="_Toc7464"/>
      <w:bookmarkStart w:id="1592" w:name="_Toc4371"/>
      <w:bookmarkStart w:id="1593" w:name="_Toc17255"/>
      <w:bookmarkStart w:id="1594" w:name="_Toc12291"/>
      <w:bookmarkStart w:id="1595" w:name="_Toc21837"/>
      <w:bookmarkStart w:id="1596" w:name="_Toc7719"/>
      <w:bookmarkStart w:id="1597" w:name="_Toc444"/>
      <w:bookmarkStart w:id="1598" w:name="_Toc8034"/>
      <w:bookmarkStart w:id="1599" w:name="_Toc29376"/>
      <w:bookmarkStart w:id="1600" w:name="_Toc30313"/>
      <w:r>
        <w:rPr>
          <w:rFonts w:hint="eastAsia" w:ascii="宋体" w:hAnsi="宋体" w:cs="宋体"/>
          <w:b/>
          <w:bCs/>
        </w:rPr>
        <w:br w:type="page"/>
      </w:r>
    </w:p>
    <w:p>
      <w:pPr>
        <w:ind w:firstLine="0" w:firstLineChars="0"/>
        <w:jc w:val="left"/>
        <w:outlineLvl w:val="1"/>
        <w:rPr>
          <w:rFonts w:ascii="宋体" w:cs="宋体"/>
          <w:b/>
          <w:bCs/>
        </w:rPr>
      </w:pPr>
      <w:r>
        <w:rPr>
          <w:rFonts w:hint="eastAsia" w:ascii="宋体" w:hAnsi="宋体" w:cs="宋体"/>
          <w:b/>
          <w:bCs/>
        </w:rPr>
        <w:t>附件</w:t>
      </w:r>
      <w:r>
        <w:rPr>
          <w:rFonts w:ascii="宋体" w:hAnsi="宋体" w:cs="宋体"/>
          <w:b/>
          <w:bCs/>
        </w:rPr>
        <w:t>1</w:t>
      </w:r>
      <w:bookmarkEnd w:id="1557"/>
      <w:bookmarkEnd w:id="1558"/>
      <w:bookmarkEnd w:id="1559"/>
      <w:bookmarkEnd w:id="1560"/>
      <w:bookmarkEnd w:id="1561"/>
      <w:bookmarkEnd w:id="1562"/>
      <w:bookmarkEnd w:id="1563"/>
      <w:bookmarkEnd w:id="1564"/>
      <w:bookmarkEnd w:id="1565"/>
      <w:bookmarkEnd w:id="1566"/>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ind w:firstLine="0" w:firstLineChars="0"/>
        <w:jc w:val="center"/>
        <w:rPr>
          <w:b/>
          <w:bCs/>
          <w:sz w:val="30"/>
          <w:szCs w:val="30"/>
          <w:lang w:val="en-GB"/>
        </w:rPr>
      </w:pPr>
      <w:r>
        <w:rPr>
          <w:rFonts w:hint="eastAsia"/>
          <w:b/>
          <w:bCs/>
          <w:sz w:val="30"/>
          <w:szCs w:val="30"/>
          <w:lang w:val="en-GB"/>
        </w:rPr>
        <w:t>投标人基本情况表</w:t>
      </w:r>
    </w:p>
    <w:tbl>
      <w:tblPr>
        <w:tblStyle w:val="37"/>
        <w:tblW w:w="48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36"/>
        <w:gridCol w:w="1189"/>
        <w:gridCol w:w="1353"/>
        <w:gridCol w:w="742"/>
        <w:gridCol w:w="543"/>
        <w:gridCol w:w="1281"/>
        <w:gridCol w:w="1101"/>
        <w:gridCol w:w="18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投标人名称</w:t>
            </w:r>
          </w:p>
        </w:tc>
        <w:tc>
          <w:tcPr>
            <w:tcW w:w="4109" w:type="pct"/>
            <w:gridSpan w:val="7"/>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48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注册地址</w:t>
            </w:r>
          </w:p>
        </w:tc>
        <w:tc>
          <w:tcPr>
            <w:tcW w:w="1960" w:type="pct"/>
            <w:gridSpan w:val="4"/>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480"/>
              <w:rPr>
                <w:rFonts w:hint="default"/>
              </w:rPr>
            </w:pPr>
          </w:p>
        </w:tc>
        <w:tc>
          <w:tcPr>
            <w:tcW w:w="656"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rPr>
                <w:rFonts w:hint="default"/>
              </w:rPr>
            </w:pPr>
            <w:r>
              <w:rPr>
                <w:rFonts w:hint="eastAsia"/>
              </w:rPr>
              <w:t>邮政编码</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48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890" w:type="pct"/>
            <w:vMerge w:val="restart"/>
            <w:tcBorders>
              <w:top w:val="single" w:color="auto" w:sz="4" w:space="0"/>
              <w:left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联系方式</w:t>
            </w:r>
          </w:p>
        </w:tc>
        <w:tc>
          <w:tcPr>
            <w:tcW w:w="609"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联 系 人</w:t>
            </w:r>
          </w:p>
        </w:tc>
        <w:tc>
          <w:tcPr>
            <w:tcW w:w="1351" w:type="pct"/>
            <w:gridSpan w:val="3"/>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656"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电    话</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890" w:type="pct"/>
            <w:vMerge w:val="continue"/>
            <w:tcBorders>
              <w:left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480"/>
              <w:jc w:val="left"/>
              <w:rPr>
                <w:rFonts w:hint="default"/>
              </w:rPr>
            </w:pPr>
          </w:p>
        </w:tc>
        <w:tc>
          <w:tcPr>
            <w:tcW w:w="609"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传    真</w:t>
            </w:r>
          </w:p>
        </w:tc>
        <w:tc>
          <w:tcPr>
            <w:tcW w:w="1351" w:type="pct"/>
            <w:gridSpan w:val="3"/>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656"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移动电话</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890" w:type="pct"/>
            <w:vMerge w:val="continue"/>
            <w:tcBorders>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480"/>
              <w:jc w:val="left"/>
              <w:rPr>
                <w:rFonts w:hint="default"/>
              </w:rPr>
            </w:pPr>
          </w:p>
        </w:tc>
        <w:tc>
          <w:tcPr>
            <w:tcW w:w="609"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电子邮箱</w:t>
            </w:r>
          </w:p>
        </w:tc>
        <w:tc>
          <w:tcPr>
            <w:tcW w:w="1351" w:type="pct"/>
            <w:gridSpan w:val="3"/>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656"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网    址</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组织结构</w:t>
            </w:r>
          </w:p>
        </w:tc>
        <w:tc>
          <w:tcPr>
            <w:tcW w:w="4109" w:type="pct"/>
            <w:gridSpan w:val="7"/>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法定代表人</w:t>
            </w:r>
          </w:p>
        </w:tc>
        <w:tc>
          <w:tcPr>
            <w:tcW w:w="609"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姓    名</w:t>
            </w:r>
          </w:p>
        </w:tc>
        <w:tc>
          <w:tcPr>
            <w:tcW w:w="692"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658"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技术职称</w:t>
            </w:r>
          </w:p>
        </w:tc>
        <w:tc>
          <w:tcPr>
            <w:tcW w:w="656"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564"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电   话</w:t>
            </w:r>
          </w:p>
        </w:tc>
        <w:tc>
          <w:tcPr>
            <w:tcW w:w="928"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技术负责人</w:t>
            </w:r>
          </w:p>
        </w:tc>
        <w:tc>
          <w:tcPr>
            <w:tcW w:w="609"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姓    名</w:t>
            </w:r>
          </w:p>
        </w:tc>
        <w:tc>
          <w:tcPr>
            <w:tcW w:w="692"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658"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技术职称</w:t>
            </w:r>
          </w:p>
        </w:tc>
        <w:tc>
          <w:tcPr>
            <w:tcW w:w="656"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564"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电   话</w:t>
            </w:r>
          </w:p>
        </w:tc>
        <w:tc>
          <w:tcPr>
            <w:tcW w:w="928"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成立时间</w:t>
            </w:r>
          </w:p>
        </w:tc>
        <w:tc>
          <w:tcPr>
            <w:tcW w:w="130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2806" w:type="pct"/>
            <w:gridSpan w:val="5"/>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480"/>
              <w:jc w:val="left"/>
              <w:rPr>
                <w:rFonts w:hint="default"/>
              </w:rPr>
            </w:pPr>
            <w:r>
              <w:rPr>
                <w:rFonts w:hint="eastAsia"/>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890" w:type="pct"/>
            <w:vMerge w:val="restart"/>
            <w:tcBorders>
              <w:top w:val="single" w:color="auto" w:sz="4" w:space="0"/>
              <w:left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统一社会信用代码</w:t>
            </w:r>
          </w:p>
        </w:tc>
        <w:tc>
          <w:tcPr>
            <w:tcW w:w="1302" w:type="pct"/>
            <w:gridSpan w:val="2"/>
            <w:vMerge w:val="restart"/>
            <w:tcBorders>
              <w:top w:val="single" w:color="auto" w:sz="4" w:space="0"/>
              <w:left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380" w:type="pct"/>
            <w:vMerge w:val="restart"/>
            <w:tcBorders>
              <w:top w:val="single" w:color="auto" w:sz="4" w:space="0"/>
              <w:left w:val="single" w:color="auto" w:sz="4" w:space="0"/>
              <w:right w:val="single" w:color="auto" w:sz="4" w:space="0"/>
            </w:tcBorders>
            <w:tcMar>
              <w:top w:w="113" w:type="dxa"/>
              <w:left w:w="108" w:type="dxa"/>
              <w:bottom w:w="113" w:type="dxa"/>
              <w:right w:w="108" w:type="dxa"/>
            </w:tcMar>
            <w:textDirection w:val="tbRlV"/>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其中</w:t>
            </w:r>
          </w:p>
        </w:tc>
        <w:tc>
          <w:tcPr>
            <w:tcW w:w="934"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注册职业资格</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890" w:type="pct"/>
            <w:vMerge w:val="continue"/>
            <w:tcBorders>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480"/>
              <w:jc w:val="left"/>
              <w:rPr>
                <w:rFonts w:hint="default"/>
              </w:rPr>
            </w:pPr>
          </w:p>
        </w:tc>
        <w:tc>
          <w:tcPr>
            <w:tcW w:w="1302" w:type="pct"/>
            <w:gridSpan w:val="2"/>
            <w:vMerge w:val="continue"/>
            <w:tcBorders>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380" w:type="pct"/>
            <w:vMerge w:val="continue"/>
            <w:tcBorders>
              <w:left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934"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高级职称</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注册资本</w:t>
            </w:r>
          </w:p>
        </w:tc>
        <w:tc>
          <w:tcPr>
            <w:tcW w:w="130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380" w:type="pct"/>
            <w:vMerge w:val="continue"/>
            <w:tcBorders>
              <w:left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934"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中级职称</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开户银行</w:t>
            </w:r>
          </w:p>
        </w:tc>
        <w:tc>
          <w:tcPr>
            <w:tcW w:w="130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380" w:type="pct"/>
            <w:vMerge w:val="continue"/>
            <w:tcBorders>
              <w:left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934"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初级职称</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账    号</w:t>
            </w:r>
          </w:p>
        </w:tc>
        <w:tc>
          <w:tcPr>
            <w:tcW w:w="130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380" w:type="pct"/>
            <w:vMerge w:val="continue"/>
            <w:tcBorders>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c>
          <w:tcPr>
            <w:tcW w:w="934"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其    他</w:t>
            </w:r>
          </w:p>
        </w:tc>
        <w:tc>
          <w:tcPr>
            <w:tcW w:w="1492" w:type="pct"/>
            <w:gridSpan w:val="2"/>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6" w:hRule="atLeast"/>
          <w:jc w:val="center"/>
        </w:trPr>
        <w:tc>
          <w:tcPr>
            <w:tcW w:w="890" w:type="pct"/>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r>
              <w:rPr>
                <w:rFonts w:hint="eastAsia"/>
              </w:rPr>
              <w:t>经营范围</w:t>
            </w:r>
          </w:p>
        </w:tc>
        <w:tc>
          <w:tcPr>
            <w:tcW w:w="4109" w:type="pct"/>
            <w:gridSpan w:val="7"/>
            <w:tcBorders>
              <w:top w:val="single" w:color="auto" w:sz="4" w:space="0"/>
              <w:left w:val="single" w:color="auto" w:sz="4" w:space="0"/>
              <w:bottom w:val="single" w:color="auto" w:sz="4" w:space="0"/>
              <w:right w:val="single" w:color="auto" w:sz="4" w:space="0"/>
            </w:tcBorders>
            <w:tcMar>
              <w:top w:w="113" w:type="dxa"/>
              <w:left w:w="108" w:type="dxa"/>
              <w:bottom w:w="113" w:type="dxa"/>
              <w:right w:w="108" w:type="dxa"/>
            </w:tcMar>
            <w:vAlign w:val="center"/>
          </w:tcPr>
          <w:p>
            <w:pPr>
              <w:keepNext w:val="0"/>
              <w:keepLines w:val="0"/>
              <w:suppressLineNumbers w:val="0"/>
              <w:snapToGrid w:val="0"/>
              <w:spacing w:before="0" w:beforeAutospacing="0" w:after="0" w:afterAutospacing="0" w:line="240" w:lineRule="auto"/>
              <w:ind w:left="0" w:right="0" w:firstLine="0" w:firstLineChars="0"/>
              <w:jc w:val="left"/>
              <w:rPr>
                <w:rFonts w:hint="default"/>
              </w:rPr>
            </w:pPr>
          </w:p>
          <w:p>
            <w:pPr>
              <w:keepNext w:val="0"/>
              <w:keepLines w:val="0"/>
              <w:suppressLineNumbers w:val="0"/>
              <w:snapToGrid w:val="0"/>
              <w:spacing w:before="0" w:beforeAutospacing="0" w:after="0" w:afterAutospacing="0" w:line="240" w:lineRule="auto"/>
              <w:ind w:left="0" w:right="0" w:firstLine="480"/>
              <w:jc w:val="left"/>
              <w:rPr>
                <w:rFonts w:hint="default"/>
              </w:rPr>
            </w:pPr>
          </w:p>
          <w:p>
            <w:pPr>
              <w:keepNext w:val="0"/>
              <w:keepLines w:val="0"/>
              <w:suppressLineNumbers w:val="0"/>
              <w:snapToGrid w:val="0"/>
              <w:spacing w:before="0" w:beforeAutospacing="0" w:after="0" w:afterAutospacing="0" w:line="240" w:lineRule="auto"/>
              <w:ind w:left="0" w:right="0" w:firstLine="0" w:firstLineChars="0"/>
              <w:jc w:val="left"/>
              <w:rPr>
                <w:rFonts w:hint="default"/>
              </w:rPr>
            </w:pPr>
          </w:p>
        </w:tc>
      </w:tr>
    </w:tbl>
    <w:p>
      <w:pPr>
        <w:ind w:firstLine="0" w:firstLineChars="0"/>
        <w:jc w:val="center"/>
        <w:rPr>
          <w:b/>
          <w:bCs/>
          <w:sz w:val="30"/>
          <w:szCs w:val="30"/>
        </w:rPr>
      </w:pPr>
    </w:p>
    <w:p>
      <w:pPr>
        <w:ind w:firstLine="4320" w:firstLineChars="1800"/>
      </w:pPr>
      <w:r>
        <w:rPr>
          <w:rFonts w:hint="eastAsia"/>
        </w:rPr>
        <w:t>投标人全称（盖章）：</w:t>
      </w:r>
      <w:r>
        <w:t xml:space="preserve">                         </w:t>
      </w:r>
    </w:p>
    <w:p>
      <w:pPr>
        <w:ind w:firstLine="4320" w:firstLineChars="1800"/>
      </w:pPr>
      <w:r>
        <w:rPr>
          <w:rFonts w:hint="eastAsia"/>
        </w:rPr>
        <w:t>法定代表人或授权代理人（签字或盖章）：</w:t>
      </w:r>
    </w:p>
    <w:p>
      <w:pPr>
        <w:ind w:firstLine="4320" w:firstLineChars="1800"/>
      </w:pPr>
      <w:r>
        <w:rPr>
          <w:rFonts w:hint="eastAsia"/>
        </w:rPr>
        <w:t>日期：</w:t>
      </w:r>
      <w:r>
        <w:rPr>
          <w:rFonts w:hint="eastAsia" w:ascii="宋体" w:hAnsi="宋体" w:cs="宋体"/>
        </w:rPr>
        <w:t>2023年</w:t>
      </w:r>
      <w:r>
        <w:t xml:space="preserve">   </w:t>
      </w:r>
      <w:r>
        <w:rPr>
          <w:rFonts w:hint="eastAsia"/>
        </w:rPr>
        <w:t>月</w:t>
      </w:r>
      <w:r>
        <w:t xml:space="preserve">   </w:t>
      </w:r>
      <w:r>
        <w:rPr>
          <w:rFonts w:hint="eastAsia"/>
        </w:rPr>
        <w:t>日</w:t>
      </w:r>
    </w:p>
    <w:p>
      <w:pPr>
        <w:ind w:firstLine="0" w:firstLineChars="0"/>
        <w:jc w:val="left"/>
        <w:rPr>
          <w:rFonts w:ascii="宋体" w:hAnsi="宋体" w:cs="宋体"/>
          <w:b/>
          <w:bCs/>
        </w:rPr>
      </w:pPr>
      <w:bookmarkStart w:id="1601" w:name="_Toc18350"/>
      <w:bookmarkStart w:id="1602" w:name="_Toc28874"/>
      <w:bookmarkStart w:id="1603" w:name="_Toc54"/>
      <w:bookmarkStart w:id="1604" w:name="_Toc28692"/>
      <w:bookmarkStart w:id="1605" w:name="_Toc11824"/>
      <w:bookmarkStart w:id="1606" w:name="_Toc27191"/>
      <w:bookmarkStart w:id="1607" w:name="_Toc7082"/>
      <w:bookmarkStart w:id="1608" w:name="_Toc6689"/>
      <w:bookmarkStart w:id="1609" w:name="_Toc2572"/>
      <w:bookmarkStart w:id="1610" w:name="_Toc2533"/>
      <w:bookmarkStart w:id="1611" w:name="_Toc32311"/>
      <w:bookmarkStart w:id="1612" w:name="_Toc24391"/>
      <w:bookmarkStart w:id="1613" w:name="_Toc11875"/>
      <w:bookmarkStart w:id="1614" w:name="_Toc14816"/>
      <w:bookmarkStart w:id="1615" w:name="_Toc11280"/>
      <w:bookmarkStart w:id="1616" w:name="_Toc24787"/>
      <w:bookmarkStart w:id="1617" w:name="_Toc13190"/>
      <w:bookmarkStart w:id="1618" w:name="_Toc675"/>
      <w:bookmarkStart w:id="1619" w:name="_Toc11920"/>
    </w:p>
    <w:p>
      <w:pPr>
        <w:ind w:firstLine="0" w:firstLineChars="0"/>
        <w:jc w:val="left"/>
        <w:outlineLvl w:val="9"/>
        <w:rPr>
          <w:rFonts w:hint="eastAsia" w:ascii="宋体" w:hAnsi="宋体" w:cs="宋体"/>
          <w:b/>
          <w:bCs/>
        </w:rPr>
      </w:pPr>
      <w:bookmarkStart w:id="1620" w:name="_Toc16143"/>
      <w:bookmarkStart w:id="1621" w:name="_Toc8652"/>
      <w:bookmarkStart w:id="1622" w:name="_Toc32586"/>
      <w:bookmarkStart w:id="1623" w:name="_Toc29986"/>
      <w:bookmarkStart w:id="1624" w:name="_Toc26663"/>
      <w:r>
        <w:rPr>
          <w:rFonts w:hint="eastAsia" w:ascii="宋体" w:hAnsi="宋体" w:cs="宋体"/>
          <w:b/>
          <w:bCs/>
        </w:rPr>
        <w:br w:type="page"/>
      </w:r>
    </w:p>
    <w:p>
      <w:pPr>
        <w:ind w:firstLine="0" w:firstLineChars="0"/>
        <w:jc w:val="left"/>
        <w:outlineLvl w:val="1"/>
        <w:rPr>
          <w:rFonts w:ascii="宋体" w:hAnsi="宋体" w:cs="宋体"/>
          <w:b/>
          <w:bCs/>
          <w:sz w:val="30"/>
          <w:szCs w:val="30"/>
        </w:rPr>
      </w:pPr>
      <w:r>
        <w:rPr>
          <w:rFonts w:hint="eastAsia" w:ascii="宋体" w:hAnsi="宋体" w:cs="宋体"/>
          <w:b/>
          <w:bCs/>
        </w:rPr>
        <w:t>附件2</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ind w:firstLine="0" w:firstLineChars="0"/>
        <w:jc w:val="center"/>
        <w:rPr>
          <w:b/>
          <w:bCs/>
          <w:sz w:val="30"/>
          <w:szCs w:val="30"/>
          <w:lang w:val="en-GB"/>
        </w:rPr>
      </w:pPr>
      <w:bookmarkStart w:id="1625" w:name="_Toc22805"/>
      <w:bookmarkStart w:id="1626" w:name="_Toc30725"/>
      <w:r>
        <w:rPr>
          <w:rFonts w:hint="eastAsia"/>
          <w:b/>
          <w:bCs/>
          <w:sz w:val="30"/>
          <w:szCs w:val="30"/>
          <w:lang w:val="en-GB"/>
        </w:rPr>
        <w:t>符合参加国企采购活动应当具备的一般条件的承诺函</w:t>
      </w:r>
      <w:bookmarkEnd w:id="1625"/>
      <w:bookmarkEnd w:id="1626"/>
    </w:p>
    <w:p>
      <w:pPr>
        <w:spacing w:line="360" w:lineRule="auto"/>
        <w:ind w:firstLine="480"/>
        <w:rPr>
          <w:rFonts w:ascii="宋体" w:hAnsi="宋体" w:cs="宋体"/>
        </w:rPr>
      </w:pPr>
      <w:r>
        <w:rPr>
          <w:rFonts w:hint="eastAsia" w:ascii="宋体" w:hAnsi="宋体" w:cs="宋体"/>
        </w:rPr>
        <w:t>致：</w:t>
      </w:r>
      <w:r>
        <w:rPr>
          <w:rFonts w:hint="eastAsia" w:ascii="宋体" w:hAnsi="宋体" w:cs="宋体"/>
          <w:u w:val="single"/>
        </w:rPr>
        <w:t>（采购人）</w:t>
      </w:r>
      <w:r>
        <w:rPr>
          <w:rFonts w:hint="eastAsia" w:ascii="宋体" w:hAnsi="宋体" w:cs="宋体"/>
        </w:rPr>
        <w:t>：</w:t>
      </w:r>
    </w:p>
    <w:p>
      <w:pPr>
        <w:pStyle w:val="33"/>
        <w:spacing w:line="360" w:lineRule="auto"/>
        <w:ind w:firstLine="480"/>
        <w:rPr>
          <w:color w:val="000000"/>
        </w:rPr>
      </w:pPr>
      <w:r>
        <w:rPr>
          <w:color w:val="000000"/>
        </w:rPr>
        <w:t>我方参加</w:t>
      </w:r>
      <w:r>
        <w:rPr>
          <w:color w:val="000000"/>
          <w:u w:val="single"/>
        </w:rPr>
        <w:t>项目</w:t>
      </w:r>
      <w:r>
        <w:rPr>
          <w:rFonts w:hint="eastAsia"/>
          <w:color w:val="000000"/>
          <w:u w:val="single"/>
        </w:rPr>
        <w:t>名称</w:t>
      </w:r>
      <w:r>
        <w:rPr>
          <w:color w:val="000000"/>
          <w:u w:val="single"/>
        </w:rPr>
        <w:t>（项目编号)</w:t>
      </w:r>
      <w:r>
        <w:rPr>
          <w:rFonts w:hint="eastAsia"/>
          <w:color w:val="000000"/>
        </w:rPr>
        <w:t>国企</w:t>
      </w:r>
      <w:r>
        <w:rPr>
          <w:color w:val="000000"/>
        </w:rPr>
        <w:t>采购活动，郑重承诺：</w:t>
      </w:r>
    </w:p>
    <w:p>
      <w:pPr>
        <w:pStyle w:val="33"/>
        <w:spacing w:line="360" w:lineRule="auto"/>
        <w:ind w:firstLine="480"/>
        <w:outlineLvl w:val="1"/>
        <w:rPr>
          <w:rFonts w:ascii="宋体" w:hAnsi="宋体" w:cs="宋体"/>
          <w:color w:val="000000"/>
        </w:rPr>
      </w:pPr>
      <w:bookmarkStart w:id="1627" w:name="_Toc1454"/>
      <w:bookmarkStart w:id="1628" w:name="_Toc16964"/>
      <w:bookmarkStart w:id="1629" w:name="_Toc21843"/>
      <w:bookmarkStart w:id="1630" w:name="_Toc3835"/>
      <w:bookmarkStart w:id="1631" w:name="_Toc12442"/>
      <w:bookmarkStart w:id="1632" w:name="_Toc29987"/>
      <w:r>
        <w:rPr>
          <w:rFonts w:hint="eastAsia" w:ascii="宋体" w:hAnsi="宋体" w:cs="宋体"/>
          <w:color w:val="000000"/>
        </w:rPr>
        <w:t>一、</w:t>
      </w:r>
      <w:r>
        <w:rPr>
          <w:rFonts w:hint="eastAsia" w:ascii="宋体" w:hAnsi="宋体" w:cs="宋体"/>
        </w:rPr>
        <w:t>符合《中华人民共和国政府采购法》第二十二条规定</w:t>
      </w:r>
      <w:r>
        <w:rPr>
          <w:rFonts w:hint="eastAsia" w:ascii="宋体" w:hAnsi="宋体" w:cs="宋体"/>
          <w:color w:val="000000"/>
        </w:rPr>
        <w:t>的条件：</w:t>
      </w:r>
      <w:bookmarkEnd w:id="1627"/>
      <w:bookmarkEnd w:id="1628"/>
      <w:bookmarkEnd w:id="1629"/>
      <w:bookmarkEnd w:id="1630"/>
      <w:bookmarkEnd w:id="1631"/>
      <w:bookmarkEnd w:id="1632"/>
    </w:p>
    <w:p>
      <w:pPr>
        <w:pStyle w:val="33"/>
        <w:spacing w:line="360" w:lineRule="auto"/>
        <w:ind w:firstLine="480"/>
        <w:rPr>
          <w:rFonts w:ascii="宋体" w:hAnsi="宋体" w:cs="宋体"/>
          <w:color w:val="000000"/>
        </w:rPr>
      </w:pPr>
      <w:r>
        <w:rPr>
          <w:rFonts w:hint="eastAsia" w:ascii="宋体" w:hAnsi="宋体" w:cs="宋体"/>
          <w:color w:val="000000"/>
        </w:rPr>
        <w:t>1.具有独立承担民事责任的能力；</w:t>
      </w:r>
    </w:p>
    <w:p>
      <w:pPr>
        <w:pStyle w:val="33"/>
        <w:spacing w:line="360" w:lineRule="auto"/>
        <w:ind w:firstLine="480"/>
        <w:rPr>
          <w:rFonts w:ascii="宋体" w:hAnsi="宋体" w:cs="宋体"/>
          <w:color w:val="000000"/>
        </w:rPr>
      </w:pPr>
      <w:r>
        <w:rPr>
          <w:rFonts w:hint="eastAsia" w:ascii="宋体" w:hAnsi="宋体" w:cs="宋体"/>
          <w:color w:val="000000"/>
        </w:rPr>
        <w:t>2.具有良好的商业信誉和健全的财务会计制度；</w:t>
      </w:r>
    </w:p>
    <w:p>
      <w:pPr>
        <w:pStyle w:val="33"/>
        <w:spacing w:line="360" w:lineRule="auto"/>
        <w:ind w:firstLine="480"/>
        <w:rPr>
          <w:rFonts w:ascii="宋体" w:hAnsi="宋体" w:cs="宋体"/>
          <w:color w:val="000000"/>
        </w:rPr>
      </w:pPr>
      <w:r>
        <w:rPr>
          <w:rFonts w:hint="eastAsia" w:ascii="宋体" w:hAnsi="宋体" w:cs="宋体"/>
          <w:color w:val="000000"/>
        </w:rPr>
        <w:t>3.具有履行合同所必需的设备和专业技术能力；</w:t>
      </w:r>
    </w:p>
    <w:p>
      <w:pPr>
        <w:pStyle w:val="33"/>
        <w:spacing w:line="360" w:lineRule="auto"/>
        <w:ind w:firstLine="480"/>
        <w:rPr>
          <w:rFonts w:ascii="宋体" w:hAnsi="宋体" w:cs="宋体"/>
          <w:color w:val="000000"/>
        </w:rPr>
      </w:pPr>
      <w:r>
        <w:rPr>
          <w:rFonts w:hint="eastAsia" w:ascii="宋体" w:hAnsi="宋体" w:cs="宋体"/>
          <w:color w:val="000000"/>
        </w:rPr>
        <w:t>4.有依法缴纳税收和社会保障资金的良好记录；</w:t>
      </w:r>
    </w:p>
    <w:p>
      <w:pPr>
        <w:pStyle w:val="33"/>
        <w:spacing w:line="360" w:lineRule="auto"/>
        <w:ind w:firstLine="480"/>
        <w:rPr>
          <w:rFonts w:ascii="宋体" w:hAnsi="宋体" w:cs="宋体"/>
          <w:color w:val="000000"/>
        </w:rPr>
      </w:pPr>
      <w:r>
        <w:rPr>
          <w:rFonts w:hint="eastAsia" w:ascii="宋体" w:hAnsi="宋体" w:cs="宋体"/>
          <w:color w:val="000000"/>
        </w:rPr>
        <w:t>5.参加国企采购活动前三年内，在经营活动中没有重大违法记录；</w:t>
      </w:r>
    </w:p>
    <w:p>
      <w:pPr>
        <w:pStyle w:val="33"/>
        <w:spacing w:line="360" w:lineRule="auto"/>
        <w:ind w:firstLine="480"/>
        <w:rPr>
          <w:rFonts w:ascii="宋体" w:hAnsi="宋体" w:cs="宋体"/>
          <w:color w:val="000000"/>
        </w:rPr>
      </w:pPr>
      <w:r>
        <w:rPr>
          <w:rFonts w:hint="eastAsia" w:ascii="宋体" w:hAnsi="宋体" w:cs="宋体"/>
          <w:color w:val="000000"/>
        </w:rPr>
        <w:t>6.具有法律、行政法规规定的其他条件。</w:t>
      </w:r>
    </w:p>
    <w:p>
      <w:pPr>
        <w:adjustRightInd w:val="0"/>
        <w:snapToGrid w:val="0"/>
        <w:spacing w:line="312" w:lineRule="auto"/>
        <w:ind w:firstLine="480"/>
        <w:rPr>
          <w:rFonts w:ascii="宋体" w:hAnsi="宋体" w:cs="宋体"/>
          <w:color w:val="000000"/>
        </w:rPr>
      </w:pPr>
      <w:r>
        <w:rPr>
          <w:rFonts w:hint="eastAsia" w:ascii="宋体" w:hAnsi="宋体" w:cs="宋体"/>
          <w:color w:val="000000"/>
        </w:rPr>
        <w:t>二、未被“信用中国”（www.creditchina.gov.cn)、中国政府采购网（www.ccgp.gov.cn）列入失信被执行人、重大税收违法案件当事人名单、政府采购严重违法失信行为记录名单。</w:t>
      </w:r>
    </w:p>
    <w:p>
      <w:pPr>
        <w:pStyle w:val="33"/>
        <w:spacing w:line="360" w:lineRule="auto"/>
        <w:ind w:firstLine="480"/>
        <w:outlineLvl w:val="1"/>
        <w:rPr>
          <w:rFonts w:ascii="宋体" w:hAnsi="宋体" w:cs="宋体"/>
          <w:color w:val="000000"/>
        </w:rPr>
      </w:pPr>
      <w:bookmarkStart w:id="1633" w:name="_Toc7014"/>
      <w:bookmarkStart w:id="1634" w:name="_Toc5546"/>
      <w:bookmarkStart w:id="1635" w:name="_Toc26374"/>
      <w:bookmarkStart w:id="1636" w:name="_Toc5539"/>
      <w:bookmarkStart w:id="1637" w:name="_Toc23111"/>
      <w:bookmarkStart w:id="1638" w:name="_Toc24871"/>
      <w:r>
        <w:rPr>
          <w:rFonts w:hint="eastAsia" w:ascii="宋体" w:hAnsi="宋体" w:cs="宋体"/>
          <w:color w:val="000000"/>
        </w:rPr>
        <w:t>三、没有下列情形：</w:t>
      </w:r>
      <w:bookmarkEnd w:id="1633"/>
      <w:bookmarkEnd w:id="1634"/>
      <w:bookmarkEnd w:id="1635"/>
      <w:bookmarkEnd w:id="1636"/>
      <w:bookmarkEnd w:id="1637"/>
      <w:bookmarkEnd w:id="1638"/>
    </w:p>
    <w:p>
      <w:pPr>
        <w:pStyle w:val="33"/>
        <w:spacing w:line="360" w:lineRule="auto"/>
        <w:ind w:firstLine="480"/>
        <w:rPr>
          <w:rFonts w:ascii="宋体" w:hAnsi="宋体" w:cs="宋体"/>
          <w:color w:val="000000"/>
        </w:rPr>
      </w:pPr>
      <w:r>
        <w:rPr>
          <w:rFonts w:hint="eastAsia" w:ascii="宋体" w:hAnsi="宋体" w:cs="宋体"/>
          <w:color w:val="000000"/>
        </w:rPr>
        <w:t>单位负责人为同一人或者存在直接控股、管理关系的不同投标人参加同一合同项下的国企采购活动的；</w:t>
      </w:r>
    </w:p>
    <w:p>
      <w:pPr>
        <w:pStyle w:val="33"/>
        <w:spacing w:line="360" w:lineRule="auto"/>
        <w:ind w:firstLine="480"/>
        <w:rPr>
          <w:rFonts w:ascii="宋体" w:hAnsi="宋体" w:cs="宋体"/>
          <w:color w:val="000000"/>
        </w:rPr>
      </w:pPr>
    </w:p>
    <w:p>
      <w:pPr>
        <w:pStyle w:val="33"/>
        <w:spacing w:line="360" w:lineRule="auto"/>
        <w:ind w:firstLine="480"/>
        <w:rPr>
          <w:rFonts w:hAnsi="宋体"/>
          <w:sz w:val="28"/>
          <w:szCs w:val="28"/>
        </w:rPr>
      </w:pPr>
      <w:r>
        <w:rPr>
          <w:rFonts w:hint="eastAsia" w:ascii="宋体" w:hAnsi="宋体" w:cs="宋体"/>
          <w:color w:val="000000"/>
        </w:rPr>
        <w:t>我方对上述承诺的内容事项真实性负责，如有虚假，由我方承担相关法律责任。</w:t>
      </w:r>
    </w:p>
    <w:p>
      <w:pPr>
        <w:ind w:firstLine="4320" w:firstLineChars="1800"/>
      </w:pPr>
    </w:p>
    <w:p>
      <w:pPr>
        <w:ind w:firstLine="4320" w:firstLineChars="1800"/>
      </w:pPr>
      <w:r>
        <w:rPr>
          <w:rFonts w:hint="eastAsia"/>
        </w:rPr>
        <w:t>投标人全称（盖章）：</w:t>
      </w:r>
      <w:r>
        <w:t xml:space="preserve">                         </w:t>
      </w:r>
    </w:p>
    <w:p>
      <w:pPr>
        <w:ind w:firstLine="4320" w:firstLineChars="1800"/>
      </w:pPr>
      <w:r>
        <w:rPr>
          <w:rFonts w:hint="eastAsia"/>
        </w:rPr>
        <w:t>法定代表人或授权代理人（签字或盖章）：</w:t>
      </w:r>
    </w:p>
    <w:p>
      <w:pPr>
        <w:ind w:firstLine="4320" w:firstLineChars="1800"/>
      </w:pPr>
      <w:r>
        <w:rPr>
          <w:rFonts w:hint="eastAsia"/>
        </w:rPr>
        <w:t>日期：</w:t>
      </w:r>
      <w:r>
        <w:rPr>
          <w:rFonts w:hint="eastAsia" w:ascii="宋体" w:hAnsi="宋体" w:cs="宋体"/>
        </w:rPr>
        <w:t>2023年</w:t>
      </w:r>
      <w:r>
        <w:t xml:space="preserve">   </w:t>
      </w:r>
      <w:r>
        <w:rPr>
          <w:rFonts w:hint="eastAsia"/>
        </w:rPr>
        <w:t>月</w:t>
      </w:r>
      <w:r>
        <w:t xml:space="preserve">   </w:t>
      </w:r>
      <w:r>
        <w:rPr>
          <w:rFonts w:hint="eastAsia"/>
        </w:rPr>
        <w:t>日</w:t>
      </w:r>
    </w:p>
    <w:p>
      <w:pPr>
        <w:ind w:firstLine="0" w:firstLineChars="0"/>
        <w:jc w:val="center"/>
        <w:rPr>
          <w:b/>
          <w:bCs/>
          <w:sz w:val="30"/>
          <w:szCs w:val="30"/>
        </w:rPr>
      </w:pPr>
    </w:p>
    <w:p>
      <w:pPr>
        <w:pStyle w:val="18"/>
        <w:ind w:left="1082" w:hanging="602"/>
        <w:rPr>
          <w:b/>
          <w:bCs/>
          <w:sz w:val="30"/>
          <w:szCs w:val="30"/>
        </w:rPr>
      </w:pPr>
    </w:p>
    <w:p>
      <w:pPr>
        <w:pStyle w:val="18"/>
        <w:ind w:left="1082" w:hanging="602"/>
        <w:rPr>
          <w:b/>
          <w:bCs/>
          <w:sz w:val="30"/>
          <w:szCs w:val="30"/>
        </w:rPr>
      </w:pPr>
    </w:p>
    <w:p>
      <w:pPr>
        <w:pStyle w:val="18"/>
        <w:ind w:left="0" w:leftChars="0" w:firstLine="0" w:firstLineChars="0"/>
        <w:rPr>
          <w:b/>
          <w:bCs/>
          <w:sz w:val="30"/>
          <w:szCs w:val="30"/>
        </w:rPr>
      </w:pPr>
    </w:p>
    <w:p>
      <w:pPr>
        <w:spacing w:line="420" w:lineRule="exact"/>
        <w:ind w:firstLine="0" w:firstLineChars="0"/>
        <w:jc w:val="center"/>
        <w:outlineLvl w:val="0"/>
        <w:rPr>
          <w:rFonts w:ascii="宋体" w:hAnsi="宋体" w:cs="宋体"/>
          <w:b/>
          <w:sz w:val="32"/>
          <w:szCs w:val="32"/>
        </w:rPr>
      </w:pPr>
      <w:bookmarkStart w:id="1639" w:name="_Toc26772"/>
      <w:bookmarkStart w:id="1640" w:name="_Toc16263"/>
      <w:bookmarkStart w:id="1641" w:name="_Toc15718"/>
      <w:bookmarkStart w:id="1642" w:name="_Toc3537"/>
      <w:bookmarkStart w:id="1643" w:name="_Toc32499"/>
      <w:bookmarkStart w:id="1644" w:name="_Toc6704"/>
      <w:bookmarkStart w:id="1645" w:name="_Toc23415"/>
      <w:bookmarkStart w:id="1646" w:name="_Toc2026"/>
      <w:bookmarkStart w:id="1647" w:name="_Toc23824"/>
      <w:bookmarkStart w:id="1648" w:name="_Toc29188"/>
      <w:bookmarkStart w:id="1649" w:name="_Toc13645"/>
      <w:bookmarkStart w:id="1650" w:name="_Toc1864"/>
      <w:bookmarkStart w:id="1651" w:name="_Toc1142"/>
      <w:bookmarkStart w:id="1652" w:name="_Toc3556"/>
      <w:bookmarkStart w:id="1653" w:name="_Toc11177"/>
      <w:bookmarkStart w:id="1654" w:name="_Toc31494"/>
      <w:bookmarkStart w:id="1655" w:name="_Toc23844"/>
      <w:bookmarkStart w:id="1656" w:name="_Toc26305"/>
      <w:bookmarkStart w:id="1657" w:name="_Toc694"/>
      <w:bookmarkStart w:id="1658" w:name="_Toc24544"/>
      <w:bookmarkStart w:id="1659" w:name="_Toc9266"/>
      <w:bookmarkStart w:id="1660" w:name="_Toc3679"/>
      <w:bookmarkStart w:id="1661" w:name="_Toc13161"/>
      <w:bookmarkStart w:id="1662" w:name="_Toc21736"/>
      <w:bookmarkStart w:id="1663" w:name="_Toc21343"/>
      <w:bookmarkStart w:id="1664" w:name="_Toc22777"/>
    </w:p>
    <w:p>
      <w:pPr>
        <w:spacing w:line="240" w:lineRule="auto"/>
        <w:ind w:firstLine="0" w:firstLineChars="0"/>
        <w:jc w:val="left"/>
        <w:outlineLvl w:val="9"/>
        <w:rPr>
          <w:rFonts w:hint="eastAsia" w:ascii="宋体" w:hAnsi="宋体" w:cs="宋体"/>
          <w:b/>
          <w:sz w:val="32"/>
          <w:szCs w:val="32"/>
        </w:rPr>
      </w:pPr>
      <w:r>
        <w:rPr>
          <w:rFonts w:hint="eastAsia" w:ascii="宋体" w:hAnsi="宋体" w:cs="宋体"/>
          <w:b/>
          <w:sz w:val="32"/>
          <w:szCs w:val="32"/>
        </w:rPr>
        <w:br w:type="page"/>
      </w:r>
    </w:p>
    <w:p>
      <w:pPr>
        <w:spacing w:line="420" w:lineRule="exact"/>
        <w:ind w:firstLine="0" w:firstLineChars="0"/>
        <w:jc w:val="center"/>
        <w:outlineLvl w:val="0"/>
        <w:rPr>
          <w:rFonts w:ascii="宋体" w:cs="宋体"/>
          <w:b/>
          <w:sz w:val="32"/>
          <w:szCs w:val="32"/>
        </w:rPr>
      </w:pPr>
      <w:r>
        <w:rPr>
          <w:rFonts w:hint="eastAsia" w:ascii="宋体" w:hAnsi="宋体" w:cs="宋体"/>
          <w:b/>
          <w:sz w:val="32"/>
          <w:szCs w:val="32"/>
        </w:rPr>
        <w:t>资信技术文件封面格式</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22"/>
        <w:spacing w:line="420" w:lineRule="exact"/>
        <w:ind w:left="120" w:leftChars="50" w:firstLine="3855" w:firstLineChars="1200"/>
        <w:jc w:val="left"/>
        <w:rPr>
          <w:rFonts w:ascii="宋体" w:hAnsi="宋体" w:eastAsia="宋体" w:cs="宋体"/>
          <w:sz w:val="32"/>
        </w:rPr>
      </w:pPr>
    </w:p>
    <w:p>
      <w:pPr>
        <w:spacing w:line="420" w:lineRule="exact"/>
        <w:ind w:firstLine="640"/>
        <w:jc w:val="center"/>
        <w:rPr>
          <w:rFonts w:ascii="宋体" w:hAnsi="宋体" w:cs="宋体"/>
          <w:sz w:val="32"/>
          <w:szCs w:val="32"/>
        </w:rPr>
      </w:pPr>
    </w:p>
    <w:p>
      <w:pPr>
        <w:spacing w:line="420" w:lineRule="exact"/>
        <w:ind w:firstLine="0" w:firstLineChars="0"/>
        <w:jc w:val="center"/>
        <w:outlineLvl w:val="0"/>
        <w:rPr>
          <w:rFonts w:ascii="宋体" w:cs="宋体"/>
          <w:sz w:val="84"/>
        </w:rPr>
      </w:pPr>
      <w:bookmarkStart w:id="1665" w:name="_Toc5060"/>
      <w:bookmarkStart w:id="1666" w:name="_Toc32632"/>
      <w:bookmarkStart w:id="1667" w:name="_Toc7283"/>
      <w:bookmarkStart w:id="1668" w:name="_Toc31578"/>
      <w:bookmarkStart w:id="1669" w:name="_Toc2791"/>
      <w:bookmarkStart w:id="1670" w:name="_Toc16298"/>
      <w:bookmarkStart w:id="1671" w:name="_Toc26504"/>
      <w:bookmarkStart w:id="1672" w:name="_Toc18951"/>
      <w:bookmarkStart w:id="1673" w:name="_Toc20172"/>
      <w:bookmarkStart w:id="1674" w:name="_Toc31402"/>
      <w:bookmarkStart w:id="1675" w:name="_Toc25944"/>
      <w:bookmarkStart w:id="1676" w:name="_Toc17716"/>
      <w:bookmarkStart w:id="1677" w:name="_Toc28777"/>
      <w:bookmarkStart w:id="1678" w:name="_Toc26748"/>
      <w:bookmarkStart w:id="1679" w:name="_Toc27400"/>
      <w:r>
        <w:rPr>
          <w:rFonts w:hint="eastAsia" w:ascii="宋体" w:hAnsi="宋体" w:cs="宋体"/>
          <w:sz w:val="32"/>
          <w:szCs w:val="32"/>
        </w:rPr>
        <w:t>正本或副本</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spacing w:line="420" w:lineRule="exact"/>
        <w:ind w:firstLine="883"/>
        <w:rPr>
          <w:rFonts w:ascii="宋体" w:cs="宋体"/>
          <w:b/>
          <w:sz w:val="44"/>
          <w:szCs w:val="44"/>
        </w:rPr>
      </w:pPr>
    </w:p>
    <w:p>
      <w:pPr>
        <w:ind w:firstLine="480"/>
        <w:rPr>
          <w:rFonts w:ascii="宋体" w:cs="宋体"/>
        </w:rPr>
      </w:pPr>
    </w:p>
    <w:p>
      <w:pPr>
        <w:pStyle w:val="5"/>
        <w:numPr>
          <w:ilvl w:val="255"/>
          <w:numId w:val="0"/>
        </w:numPr>
        <w:tabs>
          <w:tab w:val="left" w:pos="480"/>
        </w:tabs>
        <w:spacing w:before="156" w:after="156"/>
        <w:jc w:val="both"/>
      </w:pPr>
    </w:p>
    <w:p>
      <w:pPr>
        <w:ind w:firstLine="480"/>
      </w:pPr>
    </w:p>
    <w:p>
      <w:pPr>
        <w:spacing w:line="240" w:lineRule="auto"/>
        <w:ind w:firstLine="0" w:firstLineChars="0"/>
        <w:jc w:val="center"/>
        <w:rPr>
          <w:rFonts w:ascii="宋体" w:cs="宋体"/>
          <w:b/>
          <w:bCs/>
          <w:sz w:val="72"/>
          <w:szCs w:val="72"/>
        </w:rPr>
      </w:pPr>
    </w:p>
    <w:p>
      <w:pPr>
        <w:spacing w:line="240" w:lineRule="auto"/>
        <w:ind w:firstLine="0" w:firstLineChars="0"/>
        <w:jc w:val="center"/>
        <w:outlineLvl w:val="1"/>
        <w:rPr>
          <w:rFonts w:ascii="宋体" w:cs="宋体"/>
          <w:b/>
          <w:bCs/>
          <w:sz w:val="72"/>
          <w:szCs w:val="72"/>
        </w:rPr>
      </w:pPr>
      <w:bookmarkStart w:id="1680" w:name="_Toc29401"/>
      <w:bookmarkStart w:id="1681" w:name="_Toc26716"/>
      <w:bookmarkStart w:id="1682" w:name="_Toc11763"/>
      <w:bookmarkStart w:id="1683" w:name="_Toc4711"/>
      <w:bookmarkStart w:id="1684" w:name="_Toc32535"/>
      <w:bookmarkStart w:id="1685" w:name="_Toc16188"/>
      <w:bookmarkStart w:id="1686" w:name="_Toc23904"/>
      <w:bookmarkStart w:id="1687" w:name="_Toc32267"/>
      <w:bookmarkStart w:id="1688" w:name="_Toc8607"/>
      <w:bookmarkStart w:id="1689" w:name="_Toc4088"/>
      <w:bookmarkStart w:id="1690" w:name="_Toc19735"/>
      <w:bookmarkStart w:id="1691" w:name="_Toc8940"/>
      <w:bookmarkStart w:id="1692" w:name="_Toc18271"/>
      <w:bookmarkStart w:id="1693" w:name="_Toc13019"/>
      <w:bookmarkStart w:id="1694" w:name="_Toc5741"/>
      <w:r>
        <w:rPr>
          <w:rFonts w:hint="eastAsia" w:ascii="宋体" w:hAnsi="宋体" w:cs="宋体"/>
          <w:b/>
          <w:bCs/>
          <w:sz w:val="72"/>
          <w:szCs w:val="72"/>
        </w:rPr>
        <w:t>资信技术文件</w:t>
      </w:r>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p>
    <w:p>
      <w:pPr>
        <w:spacing w:line="240" w:lineRule="auto"/>
        <w:ind w:firstLine="883"/>
        <w:jc w:val="center"/>
        <w:rPr>
          <w:rFonts w:ascii="宋体" w:cs="宋体"/>
          <w:b/>
          <w:bCs/>
          <w:sz w:val="44"/>
          <w:szCs w:val="44"/>
        </w:rPr>
      </w:pPr>
    </w:p>
    <w:p>
      <w:pPr>
        <w:ind w:firstLine="0" w:firstLineChars="0"/>
        <w:rPr>
          <w:rFonts w:ascii="宋体" w:cs="宋体"/>
        </w:rPr>
      </w:pPr>
    </w:p>
    <w:p>
      <w:pPr>
        <w:pStyle w:val="3"/>
        <w:ind w:firstLine="0" w:firstLineChars="0"/>
      </w:pPr>
    </w:p>
    <w:p>
      <w:pPr>
        <w:ind w:firstLine="480"/>
      </w:pPr>
    </w:p>
    <w:p>
      <w:pPr>
        <w:pStyle w:val="45"/>
        <w:ind w:firstLine="480"/>
      </w:pPr>
    </w:p>
    <w:p>
      <w:pPr>
        <w:ind w:firstLine="0" w:firstLineChars="0"/>
        <w:rPr>
          <w:rFonts w:ascii="宋体" w:cs="宋体"/>
        </w:rPr>
      </w:pPr>
    </w:p>
    <w:p>
      <w:pPr>
        <w:pStyle w:val="18"/>
        <w:ind w:left="960" w:hanging="480"/>
      </w:pPr>
    </w:p>
    <w:p>
      <w:pPr>
        <w:spacing w:line="360" w:lineRule="auto"/>
        <w:ind w:firstLine="640"/>
        <w:rPr>
          <w:rFonts w:ascii="宋体" w:cs="宋体"/>
          <w:sz w:val="32"/>
        </w:rPr>
      </w:pPr>
      <w:r>
        <w:rPr>
          <w:rFonts w:hint="eastAsia" w:ascii="宋体" w:hAnsi="宋体" w:cs="宋体"/>
          <w:sz w:val="32"/>
        </w:rPr>
        <w:t>项目编号：</w:t>
      </w:r>
      <w:r>
        <w:rPr>
          <w:rFonts w:hint="eastAsia" w:ascii="宋体" w:hAnsi="宋体" w:cs="宋体"/>
          <w:sz w:val="32"/>
          <w:u w:val="single"/>
          <w:lang w:eastAsia="zh-CN"/>
        </w:rPr>
        <w:t>LYCG2023YX-052</w:t>
      </w:r>
      <w:r>
        <w:rPr>
          <w:rFonts w:ascii="宋体" w:hAnsi="宋体" w:cs="宋体"/>
          <w:sz w:val="32"/>
          <w:u w:val="single"/>
        </w:rPr>
        <w:t xml:space="preserve">                      </w:t>
      </w:r>
    </w:p>
    <w:p>
      <w:pPr>
        <w:spacing w:line="360" w:lineRule="auto"/>
        <w:ind w:firstLine="640"/>
        <w:rPr>
          <w:rFonts w:ascii="宋体" w:cs="宋体"/>
          <w:sz w:val="32"/>
          <w:u w:val="single"/>
        </w:rPr>
      </w:pPr>
      <w:r>
        <w:rPr>
          <w:rFonts w:hint="eastAsia" w:ascii="宋体" w:hAnsi="宋体" w:cs="宋体"/>
          <w:sz w:val="32"/>
        </w:rPr>
        <w:t>投</w:t>
      </w:r>
      <w:r>
        <w:rPr>
          <w:rFonts w:ascii="宋体" w:hAnsi="宋体" w:cs="宋体"/>
          <w:sz w:val="32"/>
        </w:rPr>
        <w:t xml:space="preserve"> </w:t>
      </w:r>
      <w:r>
        <w:rPr>
          <w:rFonts w:hint="eastAsia" w:ascii="宋体" w:hAnsi="宋体" w:cs="宋体"/>
          <w:sz w:val="32"/>
        </w:rPr>
        <w:t>标</w:t>
      </w:r>
      <w:r>
        <w:rPr>
          <w:rFonts w:ascii="宋体" w:hAnsi="宋体" w:cs="宋体"/>
          <w:sz w:val="32"/>
        </w:rPr>
        <w:t xml:space="preserve"> </w:t>
      </w:r>
      <w:r>
        <w:rPr>
          <w:rFonts w:hint="eastAsia" w:ascii="宋体" w:hAnsi="宋体" w:cs="宋体"/>
          <w:sz w:val="32"/>
        </w:rPr>
        <w:t>人：</w:t>
      </w:r>
      <w:r>
        <w:rPr>
          <w:rFonts w:ascii="宋体" w:hAnsi="宋体" w:cs="宋体"/>
          <w:sz w:val="32"/>
          <w:u w:val="single"/>
        </w:rPr>
        <w:t xml:space="preserve">        </w:t>
      </w:r>
      <w:r>
        <w:rPr>
          <w:rFonts w:hint="eastAsia" w:ascii="宋体" w:hAnsi="宋体" w:cs="宋体"/>
          <w:sz w:val="32"/>
          <w:u w:val="single"/>
        </w:rPr>
        <w:t>（全称）（加盖公章）</w:t>
      </w:r>
      <w:r>
        <w:rPr>
          <w:rFonts w:ascii="宋体" w:hAnsi="宋体" w:cs="宋体"/>
          <w:sz w:val="32"/>
          <w:u w:val="single"/>
        </w:rPr>
        <w:t xml:space="preserve">          </w:t>
      </w:r>
    </w:p>
    <w:p>
      <w:pPr>
        <w:spacing w:line="360" w:lineRule="auto"/>
        <w:ind w:firstLine="640"/>
        <w:rPr>
          <w:rFonts w:ascii="宋体" w:cs="宋体"/>
          <w:sz w:val="32"/>
          <w:u w:val="single"/>
        </w:rPr>
      </w:pPr>
      <w:r>
        <w:rPr>
          <w:rFonts w:hint="eastAsia" w:ascii="宋体" w:hAnsi="宋体" w:cs="宋体"/>
          <w:sz w:val="32"/>
        </w:rPr>
        <w:t>法定代表人或授权代表人签字或盖章：</w:t>
      </w:r>
    </w:p>
    <w:p>
      <w:pPr>
        <w:spacing w:line="360" w:lineRule="auto"/>
        <w:ind w:firstLine="640"/>
        <w:rPr>
          <w:rFonts w:ascii="宋体" w:cs="宋体"/>
          <w:sz w:val="32"/>
          <w:u w:val="single"/>
        </w:rPr>
      </w:pPr>
      <w:r>
        <w:rPr>
          <w:rFonts w:hint="eastAsia" w:ascii="宋体" w:hAnsi="宋体" w:cs="宋体"/>
          <w:sz w:val="32"/>
        </w:rPr>
        <w:t>投标人地址：</w:t>
      </w:r>
    </w:p>
    <w:p>
      <w:pPr>
        <w:spacing w:line="360" w:lineRule="auto"/>
        <w:ind w:firstLine="0" w:firstLineChars="0"/>
        <w:jc w:val="center"/>
        <w:rPr>
          <w:rFonts w:ascii="宋体" w:hAnsi="宋体" w:cs="宋体"/>
          <w:b/>
          <w:bCs/>
        </w:rPr>
      </w:pPr>
      <w:r>
        <w:rPr>
          <w:rFonts w:hint="eastAsia" w:ascii="宋体" w:hAnsi="宋体" w:cs="宋体"/>
          <w:sz w:val="32"/>
        </w:rPr>
        <w:t>二〇二三年</w:t>
      </w:r>
      <w:r>
        <w:rPr>
          <w:rFonts w:ascii="宋体" w:hAnsi="宋体" w:cs="宋体"/>
          <w:sz w:val="32"/>
        </w:rPr>
        <w:t xml:space="preserve">    </w:t>
      </w:r>
      <w:r>
        <w:rPr>
          <w:rFonts w:hint="eastAsia" w:ascii="宋体" w:hAnsi="宋体" w:cs="宋体"/>
          <w:sz w:val="32"/>
        </w:rPr>
        <w:t>月</w:t>
      </w:r>
      <w:r>
        <w:rPr>
          <w:rFonts w:ascii="宋体" w:hAnsi="宋体" w:cs="宋体"/>
          <w:sz w:val="32"/>
        </w:rPr>
        <w:t xml:space="preserve">    </w:t>
      </w:r>
      <w:r>
        <w:rPr>
          <w:rFonts w:hint="eastAsia" w:ascii="宋体" w:hAnsi="宋体" w:cs="宋体"/>
          <w:sz w:val="32"/>
        </w:rPr>
        <w:t>日</w:t>
      </w:r>
    </w:p>
    <w:p>
      <w:pPr>
        <w:ind w:firstLine="0" w:firstLineChars="0"/>
        <w:jc w:val="left"/>
        <w:outlineLvl w:val="9"/>
        <w:rPr>
          <w:rFonts w:hint="eastAsia" w:ascii="宋体" w:hAnsi="宋体" w:cs="宋体"/>
          <w:b/>
          <w:bCs/>
        </w:rPr>
      </w:pPr>
      <w:bookmarkStart w:id="1695" w:name="_Toc27462"/>
      <w:bookmarkStart w:id="1696" w:name="_Toc2784"/>
      <w:bookmarkStart w:id="1697" w:name="_Toc28232"/>
      <w:bookmarkStart w:id="1698" w:name="_Toc26617"/>
      <w:bookmarkStart w:id="1699" w:name="_Toc19658"/>
      <w:bookmarkStart w:id="1700" w:name="_Toc20104"/>
      <w:bookmarkStart w:id="1701" w:name="_Toc9226"/>
      <w:bookmarkStart w:id="1702" w:name="_Toc10280"/>
      <w:bookmarkStart w:id="1703" w:name="_Toc5926"/>
      <w:bookmarkStart w:id="1704" w:name="_Toc718"/>
      <w:bookmarkStart w:id="1705" w:name="_Toc25259"/>
      <w:bookmarkStart w:id="1706" w:name="_Toc8127"/>
      <w:bookmarkStart w:id="1707" w:name="_Toc21678"/>
      <w:bookmarkStart w:id="1708" w:name="_Toc16681"/>
      <w:bookmarkStart w:id="1709" w:name="_Toc29662"/>
      <w:r>
        <w:rPr>
          <w:rFonts w:hint="eastAsia" w:ascii="宋体" w:hAnsi="宋体" w:cs="宋体"/>
          <w:b/>
          <w:bCs/>
        </w:rPr>
        <w:br w:type="page"/>
      </w:r>
    </w:p>
    <w:p>
      <w:pPr>
        <w:ind w:firstLine="0" w:firstLineChars="0"/>
        <w:jc w:val="left"/>
        <w:outlineLvl w:val="1"/>
        <w:rPr>
          <w:b/>
          <w:bCs/>
          <w:sz w:val="30"/>
          <w:szCs w:val="30"/>
        </w:rPr>
      </w:pPr>
      <w:r>
        <w:rPr>
          <w:rFonts w:hint="eastAsia" w:ascii="宋体" w:hAnsi="宋体" w:cs="宋体"/>
          <w:b/>
          <w:bCs/>
        </w:rPr>
        <w:t>附件</w:t>
      </w:r>
      <w:bookmarkEnd w:id="1654"/>
      <w:bookmarkEnd w:id="1655"/>
      <w:bookmarkEnd w:id="1656"/>
      <w:bookmarkEnd w:id="1657"/>
      <w:bookmarkEnd w:id="1658"/>
      <w:bookmarkEnd w:id="1659"/>
      <w:bookmarkEnd w:id="1660"/>
      <w:bookmarkEnd w:id="1661"/>
      <w:bookmarkEnd w:id="1662"/>
      <w:bookmarkEnd w:id="1663"/>
      <w:bookmarkEnd w:id="1695"/>
      <w:bookmarkEnd w:id="1696"/>
      <w:bookmarkEnd w:id="1697"/>
      <w:bookmarkEnd w:id="1698"/>
      <w:bookmarkEnd w:id="1699"/>
      <w:bookmarkEnd w:id="1700"/>
      <w:bookmarkEnd w:id="1701"/>
      <w:bookmarkEnd w:id="1702"/>
      <w:bookmarkEnd w:id="1703"/>
      <w:bookmarkEnd w:id="1704"/>
      <w:r>
        <w:rPr>
          <w:rFonts w:hint="eastAsia" w:ascii="宋体" w:hAnsi="宋体" w:cs="宋体"/>
          <w:b/>
          <w:bCs/>
        </w:rPr>
        <w:t>3</w:t>
      </w:r>
      <w:bookmarkEnd w:id="1705"/>
      <w:bookmarkEnd w:id="1706"/>
      <w:bookmarkEnd w:id="1707"/>
      <w:bookmarkEnd w:id="1708"/>
      <w:bookmarkEnd w:id="1709"/>
    </w:p>
    <w:bookmarkEnd w:id="1664"/>
    <w:p>
      <w:pPr>
        <w:ind w:firstLine="0" w:firstLineChars="0"/>
        <w:jc w:val="center"/>
        <w:rPr>
          <w:b/>
          <w:bCs/>
          <w:sz w:val="30"/>
          <w:szCs w:val="30"/>
          <w:lang w:val="en-GB"/>
        </w:rPr>
      </w:pPr>
      <w:r>
        <w:rPr>
          <w:rFonts w:hint="eastAsia"/>
          <w:b/>
          <w:bCs/>
          <w:sz w:val="30"/>
          <w:szCs w:val="30"/>
          <w:lang w:val="en-GB"/>
        </w:rPr>
        <w:t>投标函</w:t>
      </w:r>
      <w:bookmarkEnd w:id="1567"/>
      <w:bookmarkEnd w:id="1568"/>
      <w:bookmarkEnd w:id="1569"/>
      <w:bookmarkEnd w:id="1570"/>
      <w:bookmarkEnd w:id="1571"/>
      <w:bookmarkEnd w:id="1572"/>
      <w:bookmarkEnd w:id="1573"/>
      <w:bookmarkEnd w:id="1574"/>
    </w:p>
    <w:p>
      <w:pPr>
        <w:adjustRightInd w:val="0"/>
        <w:snapToGrid w:val="0"/>
        <w:spacing w:line="360" w:lineRule="auto"/>
        <w:ind w:firstLine="480"/>
        <w:rPr>
          <w:rFonts w:ascii="宋体" w:hAnsi="宋体" w:cs="宋体"/>
          <w:u w:val="single"/>
        </w:rPr>
      </w:pPr>
      <w:r>
        <w:rPr>
          <w:rFonts w:hint="eastAsia" w:ascii="宋体" w:hAnsi="宋体" w:cs="宋体"/>
        </w:rPr>
        <w:t>致：</w:t>
      </w:r>
      <w:r>
        <w:rPr>
          <w:rFonts w:hint="eastAsia" w:ascii="宋体" w:hAnsi="宋体" w:cs="宋体"/>
          <w:u w:val="single"/>
        </w:rPr>
        <w:t>（采购人） ：</w:t>
      </w:r>
    </w:p>
    <w:p>
      <w:pPr>
        <w:ind w:firstLine="480"/>
        <w:rPr>
          <w:rFonts w:ascii="宋体" w:cs="宋体"/>
        </w:rPr>
      </w:pPr>
      <w:r>
        <w:rPr>
          <w:rFonts w:ascii="宋体" w:hAnsi="宋体" w:cs="宋体"/>
          <w:u w:val="single"/>
        </w:rPr>
        <w:t>(</w:t>
      </w:r>
      <w:r>
        <w:rPr>
          <w:rFonts w:hint="eastAsia" w:ascii="宋体" w:hAnsi="宋体" w:cs="宋体"/>
          <w:u w:val="single"/>
        </w:rPr>
        <w:t>投标人全称</w:t>
      </w:r>
      <w:r>
        <w:rPr>
          <w:rFonts w:ascii="宋体" w:hAnsi="宋体" w:cs="宋体"/>
          <w:u w:val="single"/>
        </w:rPr>
        <w:t>)</w:t>
      </w:r>
      <w:r>
        <w:rPr>
          <w:rFonts w:hint="eastAsia" w:ascii="宋体" w:hAnsi="宋体" w:cs="宋体"/>
        </w:rPr>
        <w:t>授权</w:t>
      </w:r>
      <w:r>
        <w:rPr>
          <w:rFonts w:ascii="宋体" w:hAnsi="宋体" w:cs="宋体"/>
          <w:u w:val="single"/>
        </w:rPr>
        <w:t>(</w:t>
      </w:r>
      <w:r>
        <w:rPr>
          <w:rFonts w:hint="eastAsia" w:ascii="宋体" w:hAnsi="宋体" w:cs="宋体"/>
          <w:u w:val="single"/>
        </w:rPr>
        <w:t>全权代表姓名</w:t>
      </w:r>
      <w:r>
        <w:rPr>
          <w:rFonts w:ascii="宋体" w:hAnsi="宋体" w:cs="宋体"/>
          <w:u w:val="single"/>
        </w:rPr>
        <w:t>)</w:t>
      </w:r>
      <w:r>
        <w:rPr>
          <w:rFonts w:hint="eastAsia" w:ascii="宋体" w:hAnsi="宋体" w:cs="宋体"/>
          <w:u w:val="single"/>
        </w:rPr>
        <w:t xml:space="preserve">  </w:t>
      </w:r>
      <w:r>
        <w:rPr>
          <w:rFonts w:ascii="宋体" w:hAnsi="宋体" w:cs="宋体"/>
          <w:u w:val="single"/>
        </w:rPr>
        <w:t>(</w:t>
      </w:r>
      <w:r>
        <w:rPr>
          <w:rFonts w:hint="eastAsia" w:ascii="宋体" w:hAnsi="宋体" w:cs="宋体"/>
        </w:rPr>
        <w:t>职务、职称</w:t>
      </w:r>
      <w:r>
        <w:rPr>
          <w:rFonts w:ascii="宋体" w:hAnsi="宋体" w:cs="宋体"/>
        </w:rPr>
        <w:t>)</w:t>
      </w:r>
      <w:r>
        <w:rPr>
          <w:rFonts w:hint="eastAsia" w:ascii="宋体" w:hAnsi="宋体" w:cs="宋体"/>
        </w:rPr>
        <w:t>为全权代表，参加贵方组织的</w:t>
      </w:r>
      <w:r>
        <w:rPr>
          <w:rFonts w:hint="eastAsia" w:ascii="宋体" w:hAnsi="宋体" w:cs="宋体"/>
          <w:u w:val="single"/>
        </w:rPr>
        <w:t>（项目名称）（项目编号）</w:t>
      </w:r>
      <w:r>
        <w:rPr>
          <w:rFonts w:hint="eastAsia" w:ascii="宋体" w:hAnsi="宋体" w:cs="宋体"/>
        </w:rPr>
        <w:t>招标的有关活动，并对此项目进行投标。为此：</w:t>
      </w:r>
    </w:p>
    <w:p>
      <w:pPr>
        <w:ind w:firstLine="480"/>
        <w:rPr>
          <w:rFonts w:ascii="宋体" w:cs="宋体"/>
        </w:rPr>
      </w:pPr>
      <w:r>
        <w:rPr>
          <w:rFonts w:ascii="宋体" w:hAnsi="宋体" w:cs="宋体"/>
        </w:rPr>
        <w:t>1</w:t>
      </w:r>
      <w:r>
        <w:rPr>
          <w:rFonts w:hint="eastAsia" w:ascii="宋体" w:hAnsi="宋体" w:cs="宋体"/>
        </w:rPr>
        <w:t>.我方同意在投标人投标须知规定的开标日期起遵守本投标书中的承诺且在投标有效期满之前均具有约束力。</w:t>
      </w:r>
    </w:p>
    <w:p>
      <w:pPr>
        <w:ind w:firstLine="480"/>
        <w:rPr>
          <w:rFonts w:ascii="宋体" w:cs="宋体"/>
        </w:rPr>
      </w:pPr>
      <w:r>
        <w:rPr>
          <w:rFonts w:ascii="宋体" w:hAnsi="宋体" w:cs="宋体"/>
        </w:rPr>
        <w:t>2</w:t>
      </w:r>
      <w:r>
        <w:rPr>
          <w:rFonts w:hint="eastAsia" w:ascii="宋体" w:hAnsi="宋体" w:cs="宋体"/>
        </w:rPr>
        <w:t>.我方承诺已经具备《中华人民共和国政府采购法》中规定的参加国企采购活动的投标人应当具备的条件：</w:t>
      </w:r>
    </w:p>
    <w:p>
      <w:pPr>
        <w:ind w:firstLine="480"/>
        <w:rPr>
          <w:rFonts w:ascii="宋体" w:cs="宋体"/>
        </w:rPr>
      </w:pPr>
      <w:bookmarkStart w:id="1710" w:name="_Toc28494_WPSOffice_Level1"/>
      <w:bookmarkStart w:id="1711" w:name="_Toc26282_WPSOffice_Level1"/>
      <w:bookmarkStart w:id="1712" w:name="_Toc28368_WPSOffice_Level1"/>
      <w:r>
        <w:rPr>
          <w:rFonts w:ascii="宋体" w:hAnsi="宋体" w:cs="宋体"/>
        </w:rPr>
        <w:t>(1)</w:t>
      </w:r>
      <w:r>
        <w:rPr>
          <w:rFonts w:hint="eastAsia" w:ascii="宋体" w:hAnsi="宋体" w:cs="宋体"/>
        </w:rPr>
        <w:t>具有独立承担民事责任的能力；</w:t>
      </w:r>
      <w:bookmarkEnd w:id="1710"/>
      <w:bookmarkEnd w:id="1711"/>
      <w:bookmarkEnd w:id="1712"/>
    </w:p>
    <w:p>
      <w:pPr>
        <w:ind w:firstLine="480"/>
        <w:rPr>
          <w:rFonts w:ascii="宋体" w:cs="宋体"/>
        </w:rPr>
      </w:pPr>
      <w:bookmarkStart w:id="1713" w:name="_Toc8560_WPSOffice_Level1"/>
      <w:bookmarkStart w:id="1714" w:name="_Toc7471_WPSOffice_Level1"/>
      <w:bookmarkStart w:id="1715" w:name="_Toc3878_WPSOffice_Level1"/>
      <w:r>
        <w:rPr>
          <w:rFonts w:ascii="宋体" w:hAnsi="宋体" w:cs="宋体"/>
        </w:rPr>
        <w:t>(2)</w:t>
      </w:r>
      <w:r>
        <w:rPr>
          <w:rFonts w:hint="eastAsia" w:ascii="宋体" w:hAnsi="宋体" w:cs="宋体"/>
        </w:rPr>
        <w:t>遵守国家法律、行政法规，具有良好的信誉和商业道德；</w:t>
      </w:r>
      <w:bookmarkEnd w:id="1713"/>
      <w:bookmarkEnd w:id="1714"/>
      <w:bookmarkEnd w:id="1715"/>
    </w:p>
    <w:p>
      <w:pPr>
        <w:ind w:firstLine="480"/>
        <w:rPr>
          <w:rFonts w:ascii="宋体" w:cs="宋体"/>
        </w:rPr>
      </w:pPr>
      <w:bookmarkStart w:id="1716" w:name="_Toc29658_WPSOffice_Level1"/>
      <w:bookmarkStart w:id="1717" w:name="_Toc19337_WPSOffice_Level1"/>
      <w:bookmarkStart w:id="1718" w:name="_Toc12874_WPSOffice_Level1"/>
      <w:r>
        <w:rPr>
          <w:rFonts w:ascii="宋体" w:hAnsi="宋体" w:cs="宋体"/>
        </w:rPr>
        <w:t>(3)</w:t>
      </w:r>
      <w:r>
        <w:rPr>
          <w:rFonts w:hint="eastAsia" w:ascii="宋体" w:hAnsi="宋体" w:cs="宋体"/>
        </w:rPr>
        <w:t>具有履行合同的能力和良好的履行合同记录；</w:t>
      </w:r>
      <w:bookmarkEnd w:id="1716"/>
      <w:bookmarkEnd w:id="1717"/>
      <w:bookmarkEnd w:id="1718"/>
    </w:p>
    <w:p>
      <w:pPr>
        <w:ind w:firstLine="480"/>
        <w:rPr>
          <w:rFonts w:ascii="宋体" w:cs="宋体"/>
        </w:rPr>
      </w:pPr>
      <w:bookmarkStart w:id="1719" w:name="_Toc9908_WPSOffice_Level1"/>
      <w:bookmarkStart w:id="1720" w:name="_Toc14982_WPSOffice_Level1"/>
      <w:bookmarkStart w:id="1721" w:name="_Toc23978_WPSOffice_Level1"/>
      <w:r>
        <w:rPr>
          <w:rFonts w:ascii="宋体" w:hAnsi="宋体" w:cs="宋体"/>
        </w:rPr>
        <w:t>(4)</w:t>
      </w:r>
      <w:r>
        <w:rPr>
          <w:rFonts w:hint="eastAsia" w:ascii="宋体" w:hAnsi="宋体" w:cs="宋体"/>
        </w:rPr>
        <w:t>良好的资金、财务状况；</w:t>
      </w:r>
      <w:bookmarkEnd w:id="1719"/>
      <w:bookmarkEnd w:id="1720"/>
      <w:bookmarkEnd w:id="1721"/>
    </w:p>
    <w:p>
      <w:pPr>
        <w:ind w:firstLine="480"/>
        <w:rPr>
          <w:rFonts w:ascii="宋体" w:cs="宋体"/>
        </w:rPr>
      </w:pPr>
      <w:bookmarkStart w:id="1722" w:name="_Toc19486_WPSOffice_Level1"/>
      <w:bookmarkStart w:id="1723" w:name="_Toc14576_WPSOffice_Level1"/>
      <w:bookmarkStart w:id="1724" w:name="_Toc1715_WPSOffice_Level1"/>
      <w:r>
        <w:rPr>
          <w:rFonts w:ascii="宋体" w:hAnsi="宋体" w:cs="宋体"/>
        </w:rPr>
        <w:t>(5)</w:t>
      </w:r>
      <w:r>
        <w:rPr>
          <w:rFonts w:hint="eastAsia" w:ascii="宋体" w:hAnsi="宋体" w:cs="宋体"/>
        </w:rPr>
        <w:t>提供的产品和服务符合中国政府规定的相应标准和环保标准；</w:t>
      </w:r>
      <w:bookmarkEnd w:id="1722"/>
      <w:bookmarkEnd w:id="1723"/>
      <w:bookmarkEnd w:id="1724"/>
    </w:p>
    <w:p>
      <w:pPr>
        <w:ind w:firstLine="480"/>
        <w:rPr>
          <w:rFonts w:ascii="宋体" w:cs="宋体"/>
        </w:rPr>
      </w:pPr>
      <w:bookmarkStart w:id="1725" w:name="_Toc21916_WPSOffice_Level1"/>
      <w:bookmarkStart w:id="1726" w:name="_Toc22738_WPSOffice_Level1"/>
      <w:bookmarkStart w:id="1727" w:name="_Toc31563_WPSOffice_Level1"/>
      <w:r>
        <w:rPr>
          <w:rFonts w:ascii="宋体" w:hAnsi="宋体" w:cs="宋体"/>
        </w:rPr>
        <w:t>(6)</w:t>
      </w:r>
      <w:r>
        <w:rPr>
          <w:rFonts w:hint="eastAsia" w:ascii="宋体" w:hAnsi="宋体" w:cs="宋体"/>
        </w:rPr>
        <w:t>没有违反国企采购法规、政策的记录；</w:t>
      </w:r>
      <w:bookmarkEnd w:id="1725"/>
      <w:bookmarkEnd w:id="1726"/>
      <w:bookmarkEnd w:id="1727"/>
    </w:p>
    <w:p>
      <w:pPr>
        <w:ind w:firstLine="480"/>
        <w:rPr>
          <w:rFonts w:ascii="宋体" w:cs="宋体"/>
        </w:rPr>
      </w:pPr>
      <w:bookmarkStart w:id="1728" w:name="_Toc12415_WPSOffice_Level1"/>
      <w:bookmarkStart w:id="1729" w:name="_Toc12445_WPSOffice_Level1"/>
      <w:bookmarkStart w:id="1730" w:name="_Toc15073_WPSOffice_Level1"/>
      <w:r>
        <w:rPr>
          <w:rFonts w:ascii="宋体" w:hAnsi="宋体" w:cs="宋体"/>
        </w:rPr>
        <w:t>(7)</w:t>
      </w:r>
      <w:r>
        <w:rPr>
          <w:rFonts w:hint="eastAsia" w:ascii="宋体" w:hAnsi="宋体" w:cs="宋体"/>
        </w:rPr>
        <w:t>没有发生重大经济纠纷和走私犯罪记录。</w:t>
      </w:r>
      <w:bookmarkEnd w:id="1728"/>
      <w:bookmarkEnd w:id="1729"/>
      <w:bookmarkEnd w:id="1730"/>
    </w:p>
    <w:p>
      <w:pPr>
        <w:ind w:firstLine="480"/>
        <w:rPr>
          <w:rFonts w:ascii="宋体" w:cs="宋体"/>
        </w:rPr>
      </w:pPr>
      <w:r>
        <w:rPr>
          <w:rFonts w:ascii="宋体" w:hAnsi="宋体" w:cs="宋体"/>
        </w:rPr>
        <w:t>3</w:t>
      </w:r>
      <w:r>
        <w:rPr>
          <w:rFonts w:hint="eastAsia" w:ascii="宋体" w:hAnsi="宋体" w:cs="宋体"/>
        </w:rPr>
        <w:t>.提供编制和提交招标文件须知规定的电子投标文件，具体内容为：</w:t>
      </w:r>
    </w:p>
    <w:p>
      <w:pPr>
        <w:ind w:firstLine="480"/>
        <w:rPr>
          <w:rFonts w:ascii="宋体" w:cs="宋体"/>
        </w:rPr>
      </w:pPr>
      <w:r>
        <w:rPr>
          <w:rFonts w:ascii="宋体" w:hAnsi="宋体" w:cs="宋体"/>
        </w:rPr>
        <w:t>(1)</w:t>
      </w:r>
      <w:r>
        <w:rPr>
          <w:rFonts w:hint="eastAsia" w:ascii="宋体" w:hAnsi="宋体" w:cs="宋体"/>
        </w:rPr>
        <w:t>资格审查文件；</w:t>
      </w:r>
    </w:p>
    <w:p>
      <w:pPr>
        <w:ind w:firstLine="480"/>
        <w:rPr>
          <w:rFonts w:ascii="宋体" w:hAnsi="宋体" w:cs="宋体"/>
        </w:rPr>
      </w:pPr>
      <w:r>
        <w:rPr>
          <w:rFonts w:ascii="宋体" w:hAnsi="宋体" w:cs="宋体"/>
        </w:rPr>
        <w:t>(2)</w:t>
      </w:r>
      <w:r>
        <w:rPr>
          <w:rFonts w:hint="eastAsia" w:ascii="宋体" w:hAnsi="宋体" w:cs="宋体"/>
          <w:lang w:val="zh-CN"/>
        </w:rPr>
        <w:t>资信技术</w:t>
      </w:r>
      <w:r>
        <w:rPr>
          <w:rFonts w:hint="eastAsia" w:ascii="宋体" w:hAnsi="宋体" w:cs="宋体"/>
        </w:rPr>
        <w:t>文件；</w:t>
      </w:r>
    </w:p>
    <w:p>
      <w:pPr>
        <w:ind w:firstLine="480"/>
        <w:rPr>
          <w:rFonts w:ascii="宋体" w:cs="宋体"/>
        </w:rPr>
      </w:pPr>
      <w:r>
        <w:rPr>
          <w:rFonts w:ascii="宋体" w:hAnsi="宋体" w:cs="宋体"/>
        </w:rPr>
        <w:t>(</w:t>
      </w:r>
      <w:r>
        <w:rPr>
          <w:rFonts w:hint="eastAsia" w:ascii="宋体" w:hAnsi="宋体" w:cs="宋体"/>
        </w:rPr>
        <w:t>3</w:t>
      </w:r>
      <w:r>
        <w:rPr>
          <w:rFonts w:ascii="宋体" w:hAnsi="宋体" w:cs="宋体"/>
        </w:rPr>
        <w:t>)</w:t>
      </w:r>
      <w:r>
        <w:rPr>
          <w:rFonts w:hint="eastAsia" w:ascii="宋体" w:hAnsi="宋体" w:cs="宋体"/>
        </w:rPr>
        <w:t>商务报价</w:t>
      </w:r>
      <w:r>
        <w:rPr>
          <w:rFonts w:hint="eastAsia" w:ascii="宋体" w:hAnsi="宋体" w:cs="宋体"/>
          <w:lang w:val="zh-CN"/>
        </w:rPr>
        <w:t>文件</w:t>
      </w:r>
      <w:r>
        <w:rPr>
          <w:rFonts w:hint="eastAsia" w:ascii="宋体" w:hAnsi="宋体" w:cs="宋体"/>
        </w:rPr>
        <w:t>；</w:t>
      </w:r>
    </w:p>
    <w:p>
      <w:pPr>
        <w:ind w:firstLine="480"/>
        <w:rPr>
          <w:rFonts w:ascii="宋体" w:cs="宋体"/>
        </w:rPr>
      </w:pPr>
      <w:r>
        <w:rPr>
          <w:rFonts w:ascii="宋体" w:hAnsi="宋体" w:cs="宋体"/>
        </w:rPr>
        <w:t>(</w:t>
      </w:r>
      <w:r>
        <w:rPr>
          <w:rFonts w:hint="eastAsia" w:ascii="宋体" w:hAnsi="宋体" w:cs="宋体"/>
        </w:rPr>
        <w:t>4</w:t>
      </w:r>
      <w:r>
        <w:rPr>
          <w:rFonts w:ascii="宋体" w:hAnsi="宋体" w:cs="宋体"/>
        </w:rPr>
        <w:t>)</w:t>
      </w:r>
      <w:r>
        <w:rPr>
          <w:rFonts w:hint="eastAsia" w:ascii="宋体" w:hAnsi="宋体" w:cs="宋体"/>
        </w:rPr>
        <w:t>投标须知要求投标人提交的全部文件；</w:t>
      </w:r>
    </w:p>
    <w:p>
      <w:pPr>
        <w:ind w:firstLine="480"/>
        <w:rPr>
          <w:rFonts w:ascii="宋体" w:cs="宋体"/>
        </w:rPr>
      </w:pPr>
      <w:r>
        <w:rPr>
          <w:rFonts w:ascii="宋体" w:hAnsi="宋体" w:cs="宋体"/>
        </w:rPr>
        <w:t>(</w:t>
      </w:r>
      <w:r>
        <w:rPr>
          <w:rFonts w:hint="eastAsia" w:ascii="宋体" w:hAnsi="宋体" w:cs="宋体"/>
        </w:rPr>
        <w:t>5</w:t>
      </w:r>
      <w:r>
        <w:rPr>
          <w:rFonts w:ascii="宋体" w:hAnsi="宋体" w:cs="宋体"/>
        </w:rPr>
        <w:t>)</w:t>
      </w:r>
      <w:r>
        <w:rPr>
          <w:rFonts w:hint="eastAsia" w:ascii="宋体" w:hAnsi="宋体" w:cs="宋体"/>
        </w:rPr>
        <w:t>按招标文件要求提供和交付的货物和服务的投标报价详见开标一览表；</w:t>
      </w:r>
    </w:p>
    <w:p>
      <w:pPr>
        <w:ind w:firstLine="480"/>
        <w:rPr>
          <w:rFonts w:ascii="宋体" w:cs="宋体"/>
        </w:rPr>
      </w:pPr>
      <w:r>
        <w:rPr>
          <w:rFonts w:ascii="宋体" w:hAnsi="宋体" w:cs="宋体"/>
        </w:rPr>
        <w:t>(</w:t>
      </w:r>
      <w:r>
        <w:rPr>
          <w:rFonts w:hint="eastAsia" w:ascii="宋体" w:hAnsi="宋体" w:cs="宋体"/>
        </w:rPr>
        <w:t>6</w:t>
      </w:r>
      <w:r>
        <w:rPr>
          <w:rFonts w:ascii="宋体" w:hAnsi="宋体" w:cs="宋体"/>
        </w:rPr>
        <w:t>)</w:t>
      </w:r>
      <w:r>
        <w:rPr>
          <w:rFonts w:hint="eastAsia" w:ascii="宋体" w:hAnsi="宋体" w:cs="宋体"/>
        </w:rPr>
        <w:t>保证忠实地执行双方所签订的合同，并承担合同规定的责任和义务；</w:t>
      </w:r>
    </w:p>
    <w:p>
      <w:pPr>
        <w:ind w:firstLine="480"/>
        <w:rPr>
          <w:rFonts w:ascii="宋体" w:cs="宋体"/>
        </w:rPr>
      </w:pPr>
      <w:r>
        <w:rPr>
          <w:rFonts w:ascii="宋体" w:hAnsi="宋体" w:cs="宋体"/>
        </w:rPr>
        <w:t>(</w:t>
      </w:r>
      <w:r>
        <w:rPr>
          <w:rFonts w:hint="eastAsia" w:ascii="宋体" w:hAnsi="宋体" w:cs="宋体"/>
        </w:rPr>
        <w:t>7</w:t>
      </w:r>
      <w:r>
        <w:rPr>
          <w:rFonts w:ascii="宋体" w:hAnsi="宋体" w:cs="宋体"/>
        </w:rPr>
        <w:t>)</w:t>
      </w:r>
      <w:r>
        <w:rPr>
          <w:rFonts w:hint="eastAsia" w:ascii="宋体" w:hAnsi="宋体" w:cs="宋体"/>
        </w:rPr>
        <w:t>保证遵守招标文件中的其他有关规定。</w:t>
      </w:r>
    </w:p>
    <w:p>
      <w:pPr>
        <w:ind w:firstLine="480"/>
        <w:rPr>
          <w:rFonts w:ascii="宋体" w:cs="宋体"/>
        </w:rPr>
      </w:pPr>
      <w:r>
        <w:rPr>
          <w:rFonts w:ascii="宋体" w:hAnsi="宋体" w:cs="宋体"/>
        </w:rPr>
        <w:t>4</w:t>
      </w:r>
      <w:r>
        <w:rPr>
          <w:rFonts w:hint="eastAsia" w:ascii="宋体" w:hAnsi="宋体" w:cs="宋体"/>
        </w:rPr>
        <w:t>.我方完全理解贵方不一定要接受最低价的投标。</w:t>
      </w:r>
    </w:p>
    <w:p>
      <w:pPr>
        <w:ind w:firstLine="480"/>
        <w:rPr>
          <w:rFonts w:ascii="宋体" w:cs="宋体"/>
        </w:rPr>
      </w:pPr>
      <w:r>
        <w:rPr>
          <w:rFonts w:ascii="宋体" w:hAnsi="宋体" w:cs="宋体"/>
        </w:rPr>
        <w:t>5</w:t>
      </w:r>
      <w:r>
        <w:rPr>
          <w:rFonts w:hint="eastAsia" w:ascii="宋体" w:hAnsi="宋体" w:cs="宋体"/>
        </w:rPr>
        <w:t>.我方愿意向贵方提供任何与该项投标有关的数据、情况和服务资料。若贵方需要，我方愿意提供我方作出的一切承诺的证明材料。</w:t>
      </w:r>
    </w:p>
    <w:p>
      <w:pPr>
        <w:ind w:firstLine="480"/>
        <w:rPr>
          <w:rFonts w:ascii="宋体" w:cs="宋体"/>
        </w:rPr>
      </w:pPr>
      <w:r>
        <w:rPr>
          <w:rFonts w:ascii="宋体" w:hAnsi="宋体" w:cs="宋体"/>
        </w:rPr>
        <w:t>6</w:t>
      </w:r>
      <w:r>
        <w:rPr>
          <w:rFonts w:hint="eastAsia" w:ascii="宋体" w:hAnsi="宋体" w:cs="宋体"/>
        </w:rPr>
        <w:t>.我方已详细审核全部招标文件，包括招标文件修改书（如有的话）、参考资料及有关附件，确认无误。我方完全理解并接受招标文件的各项规定和要求，对招标文件的合理性、合法性不再有异议。</w:t>
      </w:r>
    </w:p>
    <w:p>
      <w:pPr>
        <w:ind w:firstLine="480"/>
        <w:rPr>
          <w:rFonts w:ascii="宋体" w:cs="宋体"/>
        </w:rPr>
      </w:pPr>
      <w:r>
        <w:rPr>
          <w:rFonts w:ascii="宋体" w:hAnsi="宋体" w:cs="宋体"/>
        </w:rPr>
        <w:t>7</w:t>
      </w:r>
      <w:r>
        <w:rPr>
          <w:rFonts w:hint="eastAsia" w:ascii="宋体" w:hAnsi="宋体" w:cs="宋体"/>
        </w:rPr>
        <w:t>.我方将严格遵守《中华人民共和国政府采购法》第七十七条规定，投标人有下列情形之一的，处以采购金额</w:t>
      </w:r>
      <w:r>
        <w:rPr>
          <w:rFonts w:ascii="宋体" w:hAnsi="宋体" w:cs="宋体"/>
        </w:rPr>
        <w:t>5</w:t>
      </w:r>
      <w:r>
        <w:rPr>
          <w:rFonts w:hint="eastAsia" w:ascii="宋体" w:hAnsi="宋体" w:cs="宋体"/>
        </w:rPr>
        <w:t>‰以上</w:t>
      </w:r>
      <w:r>
        <w:rPr>
          <w:rFonts w:ascii="宋体" w:hAnsi="宋体" w:cs="宋体"/>
        </w:rPr>
        <w:t>10</w:t>
      </w:r>
      <w:r>
        <w:rPr>
          <w:rFonts w:hint="eastAsia" w:ascii="宋体" w:hAnsi="宋体" w:cs="宋体"/>
        </w:rPr>
        <w:t>‰以下的罚款，列入不良行为记录名单，在一至三年内禁止参加国企采购活动；有违法所得的，并处没收违法所得；情节严重的，由工商行政管理机关吊销营业执照；构成犯罪的，依法追究刑事责任：</w:t>
      </w:r>
    </w:p>
    <w:p>
      <w:pPr>
        <w:ind w:firstLine="480"/>
        <w:rPr>
          <w:rFonts w:ascii="宋体" w:cs="宋体"/>
        </w:rPr>
      </w:pPr>
      <w:bookmarkStart w:id="1731" w:name="_Toc25395_WPSOffice_Level1"/>
      <w:bookmarkStart w:id="1732" w:name="_Toc7856_WPSOffice_Level1"/>
      <w:bookmarkStart w:id="1733" w:name="_Toc4442_WPSOffice_Level1"/>
      <w:r>
        <w:rPr>
          <w:rFonts w:ascii="宋体" w:hAnsi="宋体" w:cs="宋体"/>
        </w:rPr>
        <w:t>(1)</w:t>
      </w:r>
      <w:r>
        <w:rPr>
          <w:rFonts w:hint="eastAsia" w:ascii="宋体" w:hAnsi="宋体" w:cs="宋体"/>
        </w:rPr>
        <w:t>提供虚假材料谋取中标、成交的；</w:t>
      </w:r>
      <w:bookmarkEnd w:id="1731"/>
      <w:bookmarkEnd w:id="1732"/>
      <w:bookmarkEnd w:id="1733"/>
    </w:p>
    <w:p>
      <w:pPr>
        <w:ind w:firstLine="480"/>
        <w:rPr>
          <w:rFonts w:ascii="宋体" w:cs="宋体"/>
        </w:rPr>
      </w:pPr>
      <w:bookmarkStart w:id="1734" w:name="_Toc17583_WPSOffice_Level1"/>
      <w:bookmarkStart w:id="1735" w:name="_Toc19322_WPSOffice_Level1"/>
      <w:bookmarkStart w:id="1736" w:name="_Toc23417_WPSOffice_Level1"/>
      <w:r>
        <w:rPr>
          <w:rFonts w:ascii="宋体" w:hAnsi="宋体" w:cs="宋体"/>
        </w:rPr>
        <w:t>(2)</w:t>
      </w:r>
      <w:r>
        <w:rPr>
          <w:rFonts w:hint="eastAsia" w:ascii="宋体" w:hAnsi="宋体" w:cs="宋体"/>
        </w:rPr>
        <w:t>采取不正当手段诋毁、排挤其他投标人的；</w:t>
      </w:r>
      <w:bookmarkEnd w:id="1734"/>
      <w:bookmarkEnd w:id="1735"/>
      <w:bookmarkEnd w:id="1736"/>
    </w:p>
    <w:p>
      <w:pPr>
        <w:ind w:firstLine="480"/>
        <w:rPr>
          <w:rFonts w:ascii="宋体" w:cs="宋体"/>
        </w:rPr>
      </w:pPr>
      <w:bookmarkStart w:id="1737" w:name="_Toc10338_WPSOffice_Level1"/>
      <w:bookmarkStart w:id="1738" w:name="_Toc15532_WPSOffice_Level1"/>
      <w:bookmarkStart w:id="1739" w:name="_Toc2563_WPSOffice_Level1"/>
      <w:r>
        <w:rPr>
          <w:rFonts w:ascii="宋体" w:hAnsi="宋体" w:cs="宋体"/>
        </w:rPr>
        <w:t>(3)</w:t>
      </w:r>
      <w:r>
        <w:rPr>
          <w:rFonts w:hint="eastAsia" w:ascii="宋体" w:hAnsi="宋体" w:cs="宋体"/>
        </w:rPr>
        <w:t>与采购人、其它投标人或者招标代理机构恶意串通的；</w:t>
      </w:r>
      <w:bookmarkEnd w:id="1737"/>
      <w:bookmarkEnd w:id="1738"/>
      <w:bookmarkEnd w:id="1739"/>
    </w:p>
    <w:p>
      <w:pPr>
        <w:ind w:firstLine="480"/>
        <w:rPr>
          <w:rFonts w:ascii="宋体" w:cs="宋体"/>
        </w:rPr>
      </w:pPr>
      <w:bookmarkStart w:id="1740" w:name="_Toc16860_WPSOffice_Level1"/>
      <w:bookmarkStart w:id="1741" w:name="_Toc8669_WPSOffice_Level1"/>
      <w:bookmarkStart w:id="1742" w:name="_Toc17925_WPSOffice_Level1"/>
      <w:r>
        <w:rPr>
          <w:rFonts w:ascii="宋体" w:hAnsi="宋体" w:cs="宋体"/>
        </w:rPr>
        <w:t>(4)</w:t>
      </w:r>
      <w:r>
        <w:rPr>
          <w:rFonts w:hint="eastAsia" w:ascii="宋体" w:hAnsi="宋体" w:cs="宋体"/>
        </w:rPr>
        <w:t>向采购人、招标代理机构行贿或者提供其他不正当利益的；</w:t>
      </w:r>
      <w:bookmarkEnd w:id="1740"/>
      <w:bookmarkEnd w:id="1741"/>
      <w:bookmarkEnd w:id="1742"/>
    </w:p>
    <w:p>
      <w:pPr>
        <w:ind w:firstLine="480"/>
        <w:rPr>
          <w:rFonts w:ascii="宋体" w:cs="宋体"/>
        </w:rPr>
      </w:pPr>
      <w:bookmarkStart w:id="1743" w:name="_Toc12118_WPSOffice_Level1"/>
      <w:bookmarkStart w:id="1744" w:name="_Toc20834_WPSOffice_Level1"/>
      <w:bookmarkStart w:id="1745" w:name="_Toc10655_WPSOffice_Level1"/>
      <w:r>
        <w:rPr>
          <w:rFonts w:ascii="宋体" w:hAnsi="宋体" w:cs="宋体"/>
        </w:rPr>
        <w:t>(5)</w:t>
      </w:r>
      <w:r>
        <w:rPr>
          <w:rFonts w:hint="eastAsia" w:ascii="宋体" w:hAnsi="宋体" w:cs="宋体"/>
        </w:rPr>
        <w:t>在招标采购过程中与采购人进行协商谈判的；</w:t>
      </w:r>
      <w:bookmarkEnd w:id="1743"/>
      <w:bookmarkEnd w:id="1744"/>
      <w:bookmarkEnd w:id="1745"/>
    </w:p>
    <w:p>
      <w:pPr>
        <w:ind w:firstLine="480"/>
        <w:rPr>
          <w:rFonts w:ascii="宋体" w:cs="宋体"/>
        </w:rPr>
      </w:pPr>
      <w:bookmarkStart w:id="1746" w:name="_Toc14152_WPSOffice_Level1"/>
      <w:bookmarkStart w:id="1747" w:name="_Toc2385_WPSOffice_Level1"/>
      <w:bookmarkStart w:id="1748" w:name="_Toc5988_WPSOffice_Level1"/>
      <w:r>
        <w:rPr>
          <w:rFonts w:ascii="宋体" w:hAnsi="宋体" w:cs="宋体"/>
        </w:rPr>
        <w:t>(6)</w:t>
      </w:r>
      <w:r>
        <w:rPr>
          <w:rFonts w:hint="eastAsia" w:ascii="宋体" w:hAnsi="宋体" w:cs="宋体"/>
        </w:rPr>
        <w:t>拒绝有关部门监督检查或提供虚假情况的。</w:t>
      </w:r>
      <w:bookmarkEnd w:id="1746"/>
      <w:bookmarkEnd w:id="1747"/>
      <w:bookmarkEnd w:id="1748"/>
    </w:p>
    <w:p>
      <w:pPr>
        <w:ind w:firstLine="480"/>
        <w:rPr>
          <w:rFonts w:ascii="宋体" w:cs="宋体"/>
        </w:rPr>
      </w:pPr>
      <w:r>
        <w:rPr>
          <w:rFonts w:hint="eastAsia" w:ascii="宋体" w:hAnsi="宋体" w:cs="宋体"/>
        </w:rPr>
        <w:t>投标人有前款第</w:t>
      </w:r>
      <w:r>
        <w:rPr>
          <w:rFonts w:ascii="宋体" w:hAnsi="宋体" w:cs="宋体"/>
        </w:rPr>
        <w:t>(1)</w:t>
      </w:r>
      <w:r>
        <w:rPr>
          <w:rFonts w:hint="eastAsia" w:ascii="宋体" w:hAnsi="宋体" w:cs="宋体"/>
        </w:rPr>
        <w:t>至</w:t>
      </w:r>
      <w:r>
        <w:rPr>
          <w:rFonts w:ascii="宋体" w:hAnsi="宋体" w:cs="宋体"/>
        </w:rPr>
        <w:t>(4)</w:t>
      </w:r>
      <w:r>
        <w:rPr>
          <w:rFonts w:hint="eastAsia" w:ascii="宋体" w:hAnsi="宋体" w:cs="宋体"/>
        </w:rPr>
        <w:t>项情形之一的，中标、成交无效。</w:t>
      </w:r>
    </w:p>
    <w:p>
      <w:pPr>
        <w:ind w:firstLine="480"/>
        <w:rPr>
          <w:rFonts w:ascii="宋体" w:cs="宋体"/>
          <w:lang w:val="zh-CN"/>
        </w:rPr>
      </w:pPr>
    </w:p>
    <w:p>
      <w:pPr>
        <w:ind w:firstLine="480"/>
        <w:rPr>
          <w:rFonts w:ascii="宋体" w:cs="宋体"/>
        </w:rPr>
      </w:pPr>
      <w:r>
        <w:rPr>
          <w:rFonts w:hint="eastAsia" w:ascii="宋体" w:hAnsi="宋体" w:cs="宋体"/>
          <w:lang w:val="zh-CN"/>
        </w:rPr>
        <w:t>法定（授权）代表人（签字或盖章）：</w:t>
      </w:r>
      <w:r>
        <w:rPr>
          <w:rFonts w:ascii="宋体" w:hAnsi="宋体" w:cs="宋体"/>
          <w:lang w:val="zh-CN"/>
        </w:rPr>
        <w:t xml:space="preserve">                    </w:t>
      </w:r>
      <w:r>
        <w:rPr>
          <w:rFonts w:ascii="宋体" w:cs="宋体"/>
        </w:rPr>
        <w:tab/>
      </w:r>
    </w:p>
    <w:p>
      <w:pPr>
        <w:ind w:firstLine="480"/>
        <w:rPr>
          <w:rFonts w:ascii="宋体" w:cs="宋体"/>
          <w:lang w:val="zh-CN"/>
        </w:rPr>
      </w:pPr>
      <w:r>
        <w:rPr>
          <w:rFonts w:hint="eastAsia" w:ascii="宋体" w:hAnsi="宋体" w:cs="宋体"/>
          <w:lang w:val="zh-CN"/>
        </w:rPr>
        <w:t>投标人盖</w:t>
      </w:r>
      <w:r>
        <w:rPr>
          <w:rFonts w:ascii="宋体" w:hAnsi="宋体" w:cs="宋体"/>
          <w:lang w:val="zh-CN"/>
        </w:rPr>
        <w:t xml:space="preserve"> </w:t>
      </w:r>
      <w:r>
        <w:rPr>
          <w:rFonts w:hint="eastAsia" w:ascii="宋体" w:hAnsi="宋体" w:cs="宋体"/>
          <w:lang w:val="zh-CN"/>
        </w:rPr>
        <w:t>章：</w:t>
      </w:r>
      <w:r>
        <w:rPr>
          <w:rFonts w:ascii="宋体" w:hAnsi="宋体" w:cs="宋体"/>
          <w:lang w:val="zh-CN"/>
        </w:rPr>
        <w:t xml:space="preserve">                       </w:t>
      </w:r>
    </w:p>
    <w:p>
      <w:pPr>
        <w:ind w:firstLine="480"/>
        <w:rPr>
          <w:rFonts w:ascii="宋体" w:cs="宋体"/>
        </w:rPr>
      </w:pPr>
      <w:r>
        <w:rPr>
          <w:rFonts w:hint="eastAsia" w:ascii="宋体" w:hAnsi="宋体" w:cs="宋体"/>
          <w:lang w:val="zh-CN"/>
        </w:rPr>
        <w:t>联系电话：</w:t>
      </w:r>
      <w:r>
        <w:rPr>
          <w:rFonts w:ascii="宋体" w:hAnsi="宋体" w:cs="宋体"/>
          <w:lang w:val="zh-CN"/>
        </w:rPr>
        <w:t xml:space="preserve">           </w:t>
      </w:r>
      <w:r>
        <w:rPr>
          <w:rFonts w:hint="eastAsia" w:ascii="宋体" w:hAnsi="宋体" w:cs="宋体"/>
          <w:lang w:val="zh-CN"/>
        </w:rPr>
        <w:t>传真：</w:t>
      </w:r>
      <w:r>
        <w:rPr>
          <w:rFonts w:ascii="宋体" w:hAnsi="宋体" w:cs="宋体"/>
          <w:lang w:val="zh-CN"/>
        </w:rPr>
        <w:t xml:space="preserve">              </w:t>
      </w:r>
      <w:r>
        <w:rPr>
          <w:rFonts w:hint="eastAsia" w:ascii="宋体" w:hAnsi="宋体" w:cs="宋体"/>
          <w:lang w:val="zh-CN"/>
        </w:rPr>
        <w:t>电子邮件：</w:t>
      </w:r>
      <w:r>
        <w:rPr>
          <w:rFonts w:ascii="宋体" w:hAnsi="宋体" w:cs="宋体"/>
          <w:lang w:val="zh-CN"/>
        </w:rPr>
        <w:t xml:space="preserve">              </w:t>
      </w:r>
    </w:p>
    <w:p>
      <w:pPr>
        <w:ind w:firstLine="480"/>
        <w:rPr>
          <w:rFonts w:ascii="宋体" w:cs="宋体"/>
        </w:rPr>
      </w:pPr>
      <w:r>
        <w:rPr>
          <w:rFonts w:hint="eastAsia" w:ascii="宋体" w:hAnsi="宋体" w:cs="宋体"/>
          <w:lang w:val="zh-CN"/>
        </w:rPr>
        <w:t>联系地址：</w:t>
      </w:r>
      <w:r>
        <w:rPr>
          <w:rFonts w:ascii="宋体" w:hAnsi="宋体" w:cs="宋体"/>
          <w:lang w:val="zh-CN"/>
        </w:rPr>
        <w:t xml:space="preserve">                                                    </w:t>
      </w:r>
    </w:p>
    <w:p>
      <w:pPr>
        <w:ind w:firstLine="480"/>
        <w:rPr>
          <w:rFonts w:ascii="宋体" w:cs="宋体"/>
        </w:rPr>
      </w:pPr>
      <w:r>
        <w:rPr>
          <w:rFonts w:hint="eastAsia" w:ascii="宋体" w:hAnsi="宋体" w:cs="宋体"/>
          <w:lang w:val="zh-CN"/>
        </w:rPr>
        <w:t>邮政编码：</w:t>
      </w:r>
      <w:r>
        <w:rPr>
          <w:rFonts w:ascii="宋体" w:hAnsi="宋体" w:cs="宋体"/>
          <w:lang w:val="zh-CN"/>
        </w:rPr>
        <w:t xml:space="preserve">                                         </w:t>
      </w:r>
    </w:p>
    <w:p>
      <w:pPr>
        <w:ind w:firstLine="480"/>
        <w:rPr>
          <w:rFonts w:ascii="宋体" w:cs="宋体"/>
        </w:rPr>
      </w:pPr>
      <w:r>
        <w:rPr>
          <w:rFonts w:hint="eastAsia" w:ascii="宋体" w:hAnsi="宋体" w:cs="宋体"/>
          <w:lang w:val="zh-CN"/>
        </w:rPr>
        <w:t>日期</w:t>
      </w:r>
      <w:r>
        <w:rPr>
          <w:rFonts w:hint="eastAsia" w:ascii="宋体" w:hAnsi="宋体" w:cs="宋体"/>
        </w:rPr>
        <w:t>：</w:t>
      </w:r>
      <w:r>
        <w:rPr>
          <w:rFonts w:ascii="宋体" w:hAnsi="宋体" w:cs="宋体"/>
        </w:rPr>
        <w:t xml:space="preserve">        </w:t>
      </w:r>
      <w:r>
        <w:rPr>
          <w:rFonts w:hint="eastAsia" w:ascii="宋体" w:hAnsi="宋体" w:cs="宋体"/>
          <w:lang w:val="zh-CN"/>
        </w:rPr>
        <w:t>年</w:t>
      </w:r>
      <w:r>
        <w:rPr>
          <w:rFonts w:ascii="宋体" w:cs="宋体"/>
        </w:rPr>
        <w:tab/>
      </w:r>
      <w:r>
        <w:rPr>
          <w:rFonts w:hint="eastAsia" w:ascii="宋体" w:cs="宋体"/>
        </w:rPr>
        <w:t xml:space="preserve">     </w:t>
      </w:r>
      <w:r>
        <w:rPr>
          <w:rFonts w:hint="eastAsia" w:ascii="宋体" w:hAnsi="宋体" w:cs="宋体"/>
          <w:lang w:val="zh-CN"/>
        </w:rPr>
        <w:t>月</w:t>
      </w:r>
      <w:r>
        <w:rPr>
          <w:rFonts w:ascii="宋体" w:hAnsi="宋体" w:cs="宋体"/>
          <w:lang w:val="zh-CN"/>
        </w:rPr>
        <w:t xml:space="preserve">    </w:t>
      </w:r>
      <w:r>
        <w:rPr>
          <w:rFonts w:hint="eastAsia" w:ascii="宋体" w:hAnsi="宋体" w:cs="宋体"/>
          <w:lang w:val="zh-CN"/>
        </w:rPr>
        <w:t>日</w:t>
      </w:r>
    </w:p>
    <w:p>
      <w:pPr>
        <w:ind w:firstLine="482"/>
        <w:rPr>
          <w:rFonts w:ascii="宋体" w:cs="宋体"/>
          <w:b/>
          <w:bCs/>
          <w:lang w:val="zh-CN"/>
        </w:rPr>
      </w:pPr>
      <w:r>
        <w:rPr>
          <w:rFonts w:hint="eastAsia" w:ascii="宋体" w:hAnsi="宋体" w:cs="宋体"/>
          <w:b/>
          <w:bCs/>
          <w:lang w:val="zh-CN"/>
        </w:rPr>
        <w:t>注：未按照本投标响应函要求填报的将被视为非实质性响应，从而可能导致该投标文件被拒绝。</w:t>
      </w:r>
    </w:p>
    <w:p>
      <w:pPr>
        <w:ind w:firstLine="0" w:firstLineChars="0"/>
        <w:jc w:val="left"/>
        <w:rPr>
          <w:rFonts w:ascii="宋体" w:cs="宋体"/>
          <w:b/>
          <w:bCs/>
        </w:rPr>
      </w:pPr>
      <w:bookmarkStart w:id="1749" w:name="_Toc7083"/>
    </w:p>
    <w:p>
      <w:pPr>
        <w:pStyle w:val="15"/>
        <w:ind w:left="480"/>
        <w:rPr>
          <w:rFonts w:hint="default"/>
        </w:rPr>
      </w:pPr>
    </w:p>
    <w:p>
      <w:pPr>
        <w:pStyle w:val="46"/>
        <w:ind w:left="960" w:firstLine="0" w:firstLineChars="0"/>
        <w:rPr>
          <w:rFonts w:hAnsi="宋体" w:cs="宋体"/>
          <w:b/>
          <w:bCs/>
        </w:rPr>
      </w:pPr>
    </w:p>
    <w:p>
      <w:pPr>
        <w:ind w:firstLine="0" w:firstLineChars="0"/>
        <w:jc w:val="left"/>
        <w:outlineLvl w:val="9"/>
        <w:rPr>
          <w:rFonts w:hint="eastAsia" w:ascii="宋体" w:hAnsi="宋体" w:cs="宋体"/>
          <w:b/>
          <w:bCs/>
        </w:rPr>
      </w:pPr>
      <w:bookmarkStart w:id="1750" w:name="_Toc27813"/>
      <w:bookmarkStart w:id="1751" w:name="_Toc16927"/>
      <w:bookmarkStart w:id="1752" w:name="_Toc2705"/>
      <w:bookmarkStart w:id="1753" w:name="_Toc12285"/>
      <w:bookmarkStart w:id="1754" w:name="_Toc32620"/>
      <w:bookmarkStart w:id="1755" w:name="_Toc20743"/>
      <w:bookmarkStart w:id="1756" w:name="_Toc25185"/>
      <w:bookmarkStart w:id="1757" w:name="_Toc13698"/>
      <w:bookmarkStart w:id="1758" w:name="_Toc7182"/>
      <w:bookmarkStart w:id="1759" w:name="_Toc23694"/>
      <w:bookmarkStart w:id="1760" w:name="_Toc5819"/>
      <w:bookmarkStart w:id="1761" w:name="_Toc1264"/>
      <w:bookmarkStart w:id="1762" w:name="_Toc32109"/>
      <w:bookmarkStart w:id="1763" w:name="_Toc15407"/>
      <w:bookmarkStart w:id="1764" w:name="_Toc4735"/>
      <w:bookmarkStart w:id="1765" w:name="_Toc22489"/>
      <w:bookmarkStart w:id="1766" w:name="_Toc11943"/>
      <w:bookmarkStart w:id="1767" w:name="_Toc17497"/>
      <w:bookmarkStart w:id="1768" w:name="_Toc16938"/>
      <w:bookmarkStart w:id="1769" w:name="_Toc17303"/>
      <w:bookmarkStart w:id="1770" w:name="_Toc2576"/>
      <w:bookmarkStart w:id="1771" w:name="_Toc28030"/>
      <w:bookmarkStart w:id="1772" w:name="_Toc3733"/>
      <w:bookmarkStart w:id="1773" w:name="_Toc27978"/>
      <w:r>
        <w:rPr>
          <w:rFonts w:hint="eastAsia" w:ascii="宋体" w:hAnsi="宋体" w:cs="宋体"/>
          <w:b/>
          <w:bCs/>
        </w:rPr>
        <w:br w:type="page"/>
      </w:r>
    </w:p>
    <w:p>
      <w:pPr>
        <w:ind w:firstLine="0" w:firstLineChars="0"/>
        <w:jc w:val="left"/>
        <w:outlineLvl w:val="1"/>
      </w:pPr>
      <w:r>
        <w:rPr>
          <w:rFonts w:hint="eastAsia" w:ascii="宋体" w:hAnsi="宋体" w:cs="宋体"/>
          <w:b/>
          <w:bCs/>
        </w:rPr>
        <w:t>附件</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r>
        <w:rPr>
          <w:rFonts w:hint="eastAsia" w:ascii="宋体" w:hAnsi="宋体" w:cs="宋体"/>
          <w:b/>
          <w:bCs/>
        </w:rPr>
        <w:t>4</w:t>
      </w:r>
      <w:bookmarkEnd w:id="1769"/>
      <w:bookmarkEnd w:id="1770"/>
      <w:bookmarkEnd w:id="1771"/>
      <w:bookmarkEnd w:id="1772"/>
      <w:bookmarkEnd w:id="1773"/>
    </w:p>
    <w:p>
      <w:pPr>
        <w:pStyle w:val="5"/>
        <w:numPr>
          <w:ilvl w:val="1"/>
          <w:numId w:val="0"/>
        </w:numPr>
        <w:tabs>
          <w:tab w:val="left" w:pos="480"/>
        </w:tabs>
        <w:spacing w:before="156" w:after="156"/>
        <w:rPr>
          <w:rFonts w:ascii="宋体" w:cs="宋体"/>
          <w:b/>
          <w:bCs w:val="0"/>
          <w:szCs w:val="30"/>
        </w:rPr>
      </w:pPr>
      <w:bookmarkStart w:id="1774" w:name="_Toc17525"/>
      <w:bookmarkStart w:id="1775" w:name="_Toc27216"/>
      <w:bookmarkStart w:id="1776" w:name="_Toc22352"/>
      <w:bookmarkStart w:id="1777" w:name="_Toc13710"/>
      <w:bookmarkStart w:id="1778" w:name="_Toc28549"/>
      <w:bookmarkStart w:id="1779" w:name="_Toc30349"/>
      <w:bookmarkStart w:id="1780" w:name="_Toc1477"/>
      <w:bookmarkStart w:id="1781" w:name="_Toc20078"/>
      <w:bookmarkStart w:id="1782" w:name="_Toc24741"/>
      <w:bookmarkStart w:id="1783" w:name="_Toc5122"/>
      <w:bookmarkStart w:id="1784" w:name="_Toc17718"/>
      <w:bookmarkStart w:id="1785" w:name="_Toc27525"/>
      <w:bookmarkStart w:id="1786" w:name="_Toc22518"/>
      <w:bookmarkStart w:id="1787" w:name="_Toc21652"/>
      <w:bookmarkStart w:id="1788" w:name="_Toc4815"/>
      <w:bookmarkStart w:id="1789" w:name="_Toc18298"/>
      <w:bookmarkStart w:id="1790" w:name="_Toc17742"/>
      <w:bookmarkStart w:id="1791" w:name="_Toc12727"/>
      <w:bookmarkStart w:id="1792" w:name="_Toc32680"/>
      <w:bookmarkStart w:id="1793" w:name="_Toc4350"/>
      <w:bookmarkStart w:id="1794" w:name="_Toc8666"/>
      <w:bookmarkStart w:id="1795" w:name="_Toc27096"/>
      <w:bookmarkStart w:id="1796" w:name="_Toc14716"/>
      <w:bookmarkStart w:id="1797" w:name="_Toc11205"/>
      <w:r>
        <w:rPr>
          <w:rFonts w:hint="eastAsia" w:ascii="宋体" w:hAnsi="宋体" w:cs="宋体"/>
          <w:b/>
          <w:bCs w:val="0"/>
          <w:szCs w:val="30"/>
        </w:rPr>
        <w:t>（一）法定代表人身份证明</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pPr>
        <w:spacing w:line="440" w:lineRule="exact"/>
        <w:ind w:firstLine="400"/>
        <w:rPr>
          <w:rFonts w:ascii="宋体" w:cs="宋体"/>
          <w:sz w:val="20"/>
          <w:szCs w:val="20"/>
        </w:rPr>
      </w:pPr>
    </w:p>
    <w:p>
      <w:pPr>
        <w:spacing w:line="440" w:lineRule="exact"/>
        <w:ind w:firstLine="480"/>
        <w:rPr>
          <w:rFonts w:ascii="宋体" w:cs="宋体"/>
          <w:szCs w:val="21"/>
        </w:rPr>
      </w:pPr>
    </w:p>
    <w:p>
      <w:pPr>
        <w:spacing w:line="440" w:lineRule="exact"/>
        <w:ind w:firstLine="480"/>
        <w:rPr>
          <w:rFonts w:ascii="宋体" w:cs="宋体"/>
          <w:szCs w:val="21"/>
        </w:rPr>
      </w:pPr>
      <w:r>
        <w:rPr>
          <w:rFonts w:hint="eastAsia" w:ascii="宋体" w:hAnsi="宋体" w:cs="宋体"/>
          <w:szCs w:val="21"/>
        </w:rPr>
        <w:t>投标人名称：</w:t>
      </w:r>
      <w:r>
        <w:rPr>
          <w:rFonts w:ascii="宋体" w:hAnsi="宋体" w:cs="宋体"/>
          <w:szCs w:val="21"/>
          <w:u w:val="single"/>
        </w:rPr>
        <w:t xml:space="preserve">                            </w:t>
      </w:r>
      <w:r>
        <w:rPr>
          <w:rFonts w:ascii="宋体" w:hAnsi="宋体" w:cs="宋体"/>
          <w:szCs w:val="21"/>
        </w:rPr>
        <w:t xml:space="preserve"> </w:t>
      </w:r>
    </w:p>
    <w:p>
      <w:pPr>
        <w:spacing w:line="440" w:lineRule="exact"/>
        <w:ind w:firstLine="480"/>
        <w:rPr>
          <w:rFonts w:ascii="宋体" w:cs="宋体"/>
          <w:szCs w:val="21"/>
        </w:rPr>
      </w:pPr>
      <w:r>
        <w:rPr>
          <w:rFonts w:hint="eastAsia" w:ascii="宋体" w:hAnsi="宋体" w:cs="宋体"/>
          <w:szCs w:val="21"/>
        </w:rPr>
        <w:t>单位性质：</w:t>
      </w:r>
      <w:r>
        <w:rPr>
          <w:rFonts w:ascii="宋体" w:hAnsi="宋体" w:cs="宋体"/>
          <w:szCs w:val="21"/>
          <w:u w:val="single"/>
        </w:rPr>
        <w:t xml:space="preserve">                               </w:t>
      </w:r>
      <w:r>
        <w:rPr>
          <w:rFonts w:ascii="宋体" w:hAnsi="宋体" w:cs="宋体"/>
          <w:szCs w:val="21"/>
        </w:rPr>
        <w:t xml:space="preserve"> </w:t>
      </w:r>
    </w:p>
    <w:p>
      <w:pPr>
        <w:spacing w:line="440" w:lineRule="exact"/>
        <w:ind w:firstLine="480"/>
        <w:rPr>
          <w:rFonts w:ascii="宋体" w:cs="宋体"/>
          <w:szCs w:val="21"/>
        </w:rPr>
      </w:pPr>
      <w:r>
        <w:rPr>
          <w:rFonts w:hint="eastAsia" w:ascii="宋体" w:hAnsi="宋体" w:cs="宋体"/>
          <w:szCs w:val="21"/>
        </w:rPr>
        <w:t>地址：</w:t>
      </w:r>
      <w:r>
        <w:rPr>
          <w:rFonts w:ascii="宋体" w:hAnsi="宋体" w:cs="宋体"/>
          <w:szCs w:val="21"/>
          <w:u w:val="single"/>
        </w:rPr>
        <w:t xml:space="preserve">                                   </w:t>
      </w:r>
    </w:p>
    <w:p>
      <w:pPr>
        <w:spacing w:line="440" w:lineRule="exact"/>
        <w:ind w:firstLine="480"/>
        <w:rPr>
          <w:rFonts w:ascii="宋体" w:cs="宋体"/>
          <w:szCs w:val="21"/>
        </w:rPr>
      </w:pPr>
      <w:r>
        <w:rPr>
          <w:rFonts w:hint="eastAsia" w:ascii="宋体" w:hAnsi="宋体" w:cs="宋体"/>
          <w:szCs w:val="21"/>
        </w:rPr>
        <w:t>成立时间：</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p>
    <w:p>
      <w:pPr>
        <w:spacing w:line="440" w:lineRule="exact"/>
        <w:ind w:firstLine="480"/>
        <w:rPr>
          <w:rFonts w:ascii="宋体" w:cs="宋体"/>
          <w:szCs w:val="21"/>
        </w:rPr>
      </w:pPr>
      <w:r>
        <w:rPr>
          <w:rFonts w:hint="eastAsia" w:ascii="宋体" w:hAnsi="宋体" w:cs="宋体"/>
          <w:szCs w:val="21"/>
        </w:rPr>
        <w:t>经营期限：</w:t>
      </w:r>
      <w:r>
        <w:rPr>
          <w:rFonts w:ascii="宋体" w:hAnsi="宋体" w:cs="宋体"/>
          <w:szCs w:val="21"/>
          <w:u w:val="single"/>
        </w:rPr>
        <w:t xml:space="preserve">                               </w:t>
      </w:r>
    </w:p>
    <w:p>
      <w:pPr>
        <w:spacing w:line="440" w:lineRule="exact"/>
        <w:ind w:firstLine="480"/>
        <w:rPr>
          <w:rFonts w:ascii="宋体" w:cs="宋体"/>
          <w:szCs w:val="21"/>
        </w:rPr>
      </w:pPr>
      <w:r>
        <w:rPr>
          <w:rFonts w:hint="eastAsia" w:ascii="宋体" w:hAnsi="宋体" w:cs="宋体"/>
          <w:szCs w:val="21"/>
        </w:rPr>
        <w:t>姓名：</w:t>
      </w:r>
      <w:r>
        <w:rPr>
          <w:rFonts w:ascii="宋体" w:hAnsi="宋体" w:cs="宋体"/>
          <w:szCs w:val="21"/>
          <w:u w:val="single"/>
        </w:rPr>
        <w:t xml:space="preserve">         </w:t>
      </w:r>
      <w:r>
        <w:rPr>
          <w:rFonts w:ascii="宋体" w:hAnsi="宋体" w:cs="宋体"/>
          <w:szCs w:val="21"/>
        </w:rPr>
        <w:t xml:space="preserve"> </w:t>
      </w:r>
      <w:r>
        <w:rPr>
          <w:rFonts w:hint="eastAsia" w:ascii="宋体" w:hAnsi="宋体" w:cs="宋体"/>
          <w:szCs w:val="21"/>
        </w:rPr>
        <w:t>性别：</w:t>
      </w:r>
      <w:r>
        <w:rPr>
          <w:rFonts w:ascii="宋体" w:hAnsi="宋体" w:cs="宋体"/>
          <w:szCs w:val="21"/>
          <w:u w:val="single"/>
        </w:rPr>
        <w:t xml:space="preserve">         </w:t>
      </w:r>
      <w:r>
        <w:rPr>
          <w:rFonts w:hint="eastAsia" w:ascii="宋体" w:hAnsi="宋体" w:cs="宋体"/>
          <w:szCs w:val="21"/>
        </w:rPr>
        <w:t>年龄：</w:t>
      </w:r>
      <w:r>
        <w:rPr>
          <w:rFonts w:ascii="宋体" w:hAnsi="宋体" w:cs="宋体"/>
          <w:szCs w:val="21"/>
          <w:u w:val="single"/>
        </w:rPr>
        <w:t xml:space="preserve">        </w:t>
      </w:r>
      <w:r>
        <w:rPr>
          <w:rFonts w:hint="eastAsia" w:ascii="宋体" w:hAnsi="宋体" w:cs="宋体"/>
          <w:szCs w:val="21"/>
        </w:rPr>
        <w:t>职务：</w:t>
      </w:r>
      <w:r>
        <w:rPr>
          <w:rFonts w:ascii="宋体" w:hAnsi="宋体" w:cs="宋体"/>
          <w:szCs w:val="21"/>
          <w:u w:val="single"/>
        </w:rPr>
        <w:t xml:space="preserve">        </w:t>
      </w:r>
    </w:p>
    <w:p>
      <w:pPr>
        <w:spacing w:line="440" w:lineRule="exact"/>
        <w:ind w:firstLine="480"/>
        <w:rPr>
          <w:rFonts w:ascii="宋体" w:cs="宋体"/>
          <w:szCs w:val="21"/>
        </w:rPr>
      </w:pPr>
      <w:r>
        <w:rPr>
          <w:rFonts w:hint="eastAsia" w:ascii="宋体" w:hAnsi="宋体" w:cs="宋体"/>
          <w:szCs w:val="21"/>
        </w:rPr>
        <w:t>系</w:t>
      </w:r>
      <w:r>
        <w:rPr>
          <w:rFonts w:ascii="宋体" w:hAnsi="宋体" w:cs="宋体"/>
          <w:szCs w:val="21"/>
          <w:u w:val="single"/>
        </w:rPr>
        <w:t xml:space="preserve">                             </w:t>
      </w:r>
      <w:r>
        <w:rPr>
          <w:rFonts w:ascii="宋体" w:hAnsi="宋体" w:cs="宋体"/>
          <w:szCs w:val="21"/>
        </w:rPr>
        <w:t xml:space="preserve"> </w:t>
      </w:r>
      <w:r>
        <w:rPr>
          <w:rFonts w:hint="eastAsia" w:ascii="宋体" w:hAnsi="宋体" w:cs="宋体"/>
          <w:szCs w:val="21"/>
        </w:rPr>
        <w:t>（投标人名称）的法定代表人。</w:t>
      </w:r>
    </w:p>
    <w:p>
      <w:pPr>
        <w:spacing w:line="440" w:lineRule="exact"/>
        <w:ind w:firstLine="480"/>
        <w:rPr>
          <w:rFonts w:ascii="宋体" w:cs="宋体"/>
          <w:szCs w:val="21"/>
        </w:rPr>
      </w:pPr>
      <w:r>
        <w:rPr>
          <w:rFonts w:hint="eastAsia" w:ascii="宋体" w:hAnsi="宋体" w:cs="宋体"/>
          <w:szCs w:val="21"/>
        </w:rPr>
        <w:t>特此证明。</w:t>
      </w:r>
    </w:p>
    <w:p>
      <w:pPr>
        <w:spacing w:line="440" w:lineRule="exact"/>
        <w:ind w:firstLine="480"/>
        <w:rPr>
          <w:rFonts w:ascii="宋体" w:cs="宋体"/>
          <w:szCs w:val="21"/>
        </w:rPr>
      </w:pPr>
    </w:p>
    <w:p>
      <w:pPr>
        <w:spacing w:line="440" w:lineRule="exact"/>
        <w:ind w:firstLine="480"/>
        <w:rPr>
          <w:rFonts w:ascii="宋体" w:cs="宋体"/>
          <w:szCs w:val="21"/>
        </w:rPr>
      </w:pPr>
    </w:p>
    <w:p>
      <w:pPr>
        <w:spacing w:line="440" w:lineRule="exact"/>
        <w:ind w:firstLine="480"/>
        <w:rPr>
          <w:rFonts w:ascii="宋体" w:cs="宋体"/>
          <w:szCs w:val="21"/>
        </w:rPr>
      </w:pPr>
      <w:r>
        <w:rPr>
          <w:rFonts w:ascii="宋体" w:hAnsi="宋体" w:cs="宋体"/>
          <w:szCs w:val="21"/>
        </w:rPr>
        <w:t xml:space="preserve">                          </w:t>
      </w:r>
      <w:r>
        <w:rPr>
          <w:rFonts w:hint="eastAsia" w:ascii="宋体" w:hAnsi="宋体" w:cs="宋体"/>
          <w:szCs w:val="21"/>
        </w:rPr>
        <w:t>投标人：</w:t>
      </w:r>
      <w:r>
        <w:rPr>
          <w:rFonts w:ascii="宋体" w:hAnsi="宋体" w:cs="宋体"/>
          <w:szCs w:val="21"/>
          <w:u w:val="single"/>
        </w:rPr>
        <w:t xml:space="preserve">                 </w:t>
      </w:r>
      <w:r>
        <w:rPr>
          <w:rFonts w:hint="eastAsia" w:ascii="宋体" w:hAnsi="宋体" w:cs="宋体"/>
          <w:szCs w:val="21"/>
        </w:rPr>
        <w:t>（盖单位章）</w:t>
      </w:r>
    </w:p>
    <w:p>
      <w:pPr>
        <w:ind w:firstLine="0" w:firstLineChars="0"/>
        <w:jc w:val="center"/>
        <w:outlineLvl w:val="0"/>
        <w:rPr>
          <w:rFonts w:ascii="宋体" w:cs="宋体"/>
          <w:szCs w:val="21"/>
        </w:rPr>
      </w:pPr>
      <w:r>
        <w:rPr>
          <w:rFonts w:ascii="宋体" w:hAnsi="宋体" w:cs="宋体"/>
          <w:szCs w:val="21"/>
        </w:rPr>
        <w:t xml:space="preserve">               </w:t>
      </w:r>
      <w:r>
        <w:rPr>
          <w:rFonts w:ascii="宋体" w:hAnsi="宋体" w:cs="宋体"/>
          <w:szCs w:val="21"/>
          <w:u w:val="single"/>
        </w:rPr>
        <w:t xml:space="preserve">       </w:t>
      </w:r>
      <w:bookmarkStart w:id="1798" w:name="_Toc6331"/>
      <w:bookmarkStart w:id="1799" w:name="_Toc30289"/>
      <w:bookmarkStart w:id="1800" w:name="_Toc23675"/>
      <w:bookmarkStart w:id="1801" w:name="_Toc18739"/>
      <w:bookmarkStart w:id="1802" w:name="_Toc20713"/>
      <w:bookmarkStart w:id="1803" w:name="_Toc29612"/>
      <w:bookmarkStart w:id="1804" w:name="_Toc5923"/>
      <w:bookmarkStart w:id="1805" w:name="_Toc29931"/>
      <w:bookmarkStart w:id="1806" w:name="_Toc18941"/>
      <w:bookmarkStart w:id="1807" w:name="_Toc19264"/>
      <w:bookmarkStart w:id="1808" w:name="_Toc2147"/>
      <w:bookmarkStart w:id="1809" w:name="_Toc6606"/>
      <w:bookmarkStart w:id="1810" w:name="_Toc22110"/>
      <w:bookmarkStart w:id="1811" w:name="_Toc9135"/>
      <w:bookmarkStart w:id="1812" w:name="_Toc29611"/>
      <w:bookmarkStart w:id="1813" w:name="_Toc19917"/>
      <w:bookmarkStart w:id="1814" w:name="_Toc25643"/>
      <w:bookmarkStart w:id="1815" w:name="_Toc17015"/>
      <w:bookmarkStart w:id="1816" w:name="_Toc31160"/>
      <w:bookmarkStart w:id="1817" w:name="_Toc25188"/>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r>
        <w:rPr>
          <w:rFonts w:ascii="宋体" w:hAnsi="宋体" w:cs="宋体"/>
          <w:szCs w:val="21"/>
        </w:rPr>
        <w:t xml:space="preserve">      </w:t>
      </w:r>
    </w:p>
    <w:p>
      <w:pPr>
        <w:ind w:firstLine="0" w:firstLineChars="0"/>
        <w:jc w:val="center"/>
        <w:rPr>
          <w:rFonts w:ascii="宋体" w:cs="宋体"/>
          <w:szCs w:val="21"/>
        </w:rPr>
      </w:pPr>
    </w:p>
    <w:p>
      <w:pPr>
        <w:ind w:firstLine="0" w:firstLineChars="0"/>
        <w:jc w:val="center"/>
        <w:rPr>
          <w:rFonts w:ascii="宋体" w:cs="宋体"/>
          <w:szCs w:val="21"/>
        </w:rPr>
      </w:pPr>
    </w:p>
    <w:p>
      <w:pPr>
        <w:pStyle w:val="46"/>
        <w:ind w:left="960" w:firstLine="560"/>
        <w:rPr>
          <w:rFonts w:hAnsi="宋体" w:cs="宋体"/>
          <w:szCs w:val="21"/>
        </w:rPr>
      </w:pPr>
    </w:p>
    <w:p>
      <w:pPr>
        <w:ind w:firstLine="0" w:firstLineChars="0"/>
        <w:jc w:val="center"/>
        <w:rPr>
          <w:rFonts w:ascii="宋体" w:cs="宋体"/>
          <w:szCs w:val="21"/>
        </w:rPr>
      </w:pPr>
    </w:p>
    <w:p>
      <w:pPr>
        <w:ind w:firstLine="0" w:firstLineChars="0"/>
        <w:jc w:val="center"/>
        <w:rPr>
          <w:rFonts w:ascii="宋体" w:cs="宋体"/>
          <w:szCs w:val="21"/>
        </w:rPr>
      </w:pPr>
    </w:p>
    <w:p>
      <w:pPr>
        <w:ind w:firstLine="0" w:firstLineChars="0"/>
        <w:jc w:val="center"/>
        <w:rPr>
          <w:rFonts w:ascii="宋体" w:cs="宋体"/>
          <w:szCs w:val="21"/>
        </w:rPr>
      </w:pPr>
    </w:p>
    <w:p>
      <w:pPr>
        <w:pStyle w:val="2"/>
        <w:ind w:firstLine="480"/>
        <w:rPr>
          <w:rFonts w:ascii="宋体" w:cs="宋体"/>
          <w:szCs w:val="21"/>
        </w:rPr>
      </w:pPr>
    </w:p>
    <w:p>
      <w:pPr>
        <w:pStyle w:val="3"/>
        <w:ind w:firstLine="210"/>
        <w:rPr>
          <w:rFonts w:ascii="宋体" w:cs="宋体"/>
        </w:rPr>
      </w:pPr>
    </w:p>
    <w:p>
      <w:pPr>
        <w:ind w:firstLine="0" w:firstLineChars="0"/>
        <w:rPr>
          <w:rFonts w:ascii="宋体" w:cs="宋体"/>
          <w:szCs w:val="21"/>
        </w:rPr>
      </w:pPr>
    </w:p>
    <w:p>
      <w:pPr>
        <w:pStyle w:val="15"/>
        <w:ind w:left="480"/>
        <w:rPr>
          <w:rFonts w:hint="default" w:cs="宋体"/>
        </w:rPr>
      </w:pPr>
    </w:p>
    <w:p>
      <w:pPr>
        <w:pStyle w:val="16"/>
        <w:ind w:firstLine="480"/>
        <w:rPr>
          <w:rFonts w:ascii="宋体" w:cs="宋体"/>
          <w:szCs w:val="21"/>
        </w:rPr>
      </w:pPr>
    </w:p>
    <w:p>
      <w:pPr>
        <w:pStyle w:val="17"/>
        <w:rPr>
          <w:rFonts w:ascii="宋体" w:cs="宋体"/>
          <w:szCs w:val="21"/>
        </w:rPr>
      </w:pPr>
    </w:p>
    <w:p>
      <w:pPr>
        <w:ind w:firstLine="0" w:firstLineChars="0"/>
        <w:jc w:val="center"/>
        <w:outlineLvl w:val="0"/>
        <w:rPr>
          <w:rFonts w:hint="eastAsia"/>
          <w:b/>
          <w:bCs/>
          <w:sz w:val="30"/>
          <w:szCs w:val="30"/>
          <w:lang w:val="en-GB"/>
        </w:rPr>
      </w:pPr>
      <w:bookmarkStart w:id="1818" w:name="_Toc23043"/>
      <w:bookmarkStart w:id="1819" w:name="_Toc16952"/>
      <w:bookmarkStart w:id="1820" w:name="_Toc8970"/>
      <w:bookmarkStart w:id="1821" w:name="_Toc16344"/>
      <w:bookmarkStart w:id="1822" w:name="_Toc31057"/>
      <w:bookmarkStart w:id="1823" w:name="_Toc27105"/>
      <w:bookmarkStart w:id="1824" w:name="_Toc31005"/>
      <w:bookmarkStart w:id="1825" w:name="_Toc19975"/>
      <w:bookmarkStart w:id="1826" w:name="_Toc14722"/>
      <w:bookmarkStart w:id="1827" w:name="_Toc28463"/>
      <w:bookmarkStart w:id="1828" w:name="_Toc9938"/>
      <w:bookmarkStart w:id="1829" w:name="_Toc3231"/>
      <w:bookmarkStart w:id="1830" w:name="_Toc3393"/>
      <w:bookmarkStart w:id="1831" w:name="_Toc7792"/>
      <w:bookmarkStart w:id="1832" w:name="_Toc32210"/>
      <w:bookmarkStart w:id="1833" w:name="_Toc27519"/>
      <w:bookmarkStart w:id="1834" w:name="_Toc27753"/>
      <w:bookmarkStart w:id="1835" w:name="_Toc8998"/>
      <w:bookmarkStart w:id="1836" w:name="_Toc28688"/>
      <w:bookmarkStart w:id="1837" w:name="_Toc23747"/>
    </w:p>
    <w:p>
      <w:pPr>
        <w:ind w:firstLine="0" w:firstLineChars="0"/>
        <w:jc w:val="center"/>
        <w:outlineLvl w:val="0"/>
        <w:rPr>
          <w:b/>
          <w:bCs/>
          <w:sz w:val="30"/>
          <w:szCs w:val="30"/>
        </w:rPr>
      </w:pPr>
      <w:r>
        <w:rPr>
          <w:rFonts w:hint="eastAsia"/>
          <w:b/>
          <w:bCs/>
          <w:sz w:val="30"/>
          <w:szCs w:val="30"/>
          <w:lang w:val="en-GB"/>
        </w:rPr>
        <w:t>（二）授权委托书</w:t>
      </w:r>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pPr>
        <w:snapToGrid w:val="0"/>
        <w:ind w:firstLine="482"/>
        <w:jc w:val="center"/>
        <w:rPr>
          <w:rFonts w:ascii="宋体" w:cs="宋体"/>
          <w:b/>
        </w:rPr>
      </w:pPr>
    </w:p>
    <w:p>
      <w:pPr>
        <w:ind w:firstLine="480"/>
        <w:rPr>
          <w:rFonts w:ascii="宋体" w:cs="宋体"/>
          <w:lang w:val="zh-CN"/>
        </w:rPr>
      </w:pPr>
      <w:r>
        <w:rPr>
          <w:rFonts w:hint="eastAsia" w:ascii="宋体" w:hAnsi="宋体" w:cs="宋体"/>
          <w:lang w:val="zh-CN"/>
        </w:rPr>
        <w:t>本人</w:t>
      </w:r>
      <w:r>
        <w:rPr>
          <w:rFonts w:ascii="宋体" w:hAnsi="宋体" w:cs="宋体"/>
          <w:lang w:val="zh-CN"/>
        </w:rPr>
        <w:t xml:space="preserve"> </w:t>
      </w:r>
      <w:r>
        <w:rPr>
          <w:rFonts w:ascii="宋体" w:hAnsi="宋体" w:cs="宋体"/>
          <w:u w:val="single"/>
          <w:lang w:val="zh-CN"/>
        </w:rPr>
        <w:t xml:space="preserve">      </w:t>
      </w:r>
      <w:r>
        <w:rPr>
          <w:rFonts w:hint="eastAsia" w:ascii="宋体" w:hAnsi="宋体" w:cs="宋体"/>
          <w:u w:val="single"/>
          <w:lang w:val="zh-CN"/>
        </w:rPr>
        <w:t>（姓名）</w:t>
      </w:r>
      <w:r>
        <w:rPr>
          <w:rFonts w:ascii="宋体" w:hAnsi="宋体" w:cs="宋体"/>
          <w:u w:val="single"/>
          <w:lang w:val="zh-CN"/>
        </w:rPr>
        <w:t xml:space="preserve">  </w:t>
      </w:r>
      <w:r>
        <w:rPr>
          <w:rFonts w:hint="eastAsia" w:ascii="宋体" w:hAnsi="宋体" w:cs="宋体"/>
          <w:lang w:val="zh-CN"/>
        </w:rPr>
        <w:t>系</w:t>
      </w:r>
      <w:r>
        <w:rPr>
          <w:rFonts w:ascii="宋体" w:hAnsi="宋体" w:cs="宋体"/>
          <w:u w:val="single"/>
          <w:lang w:val="zh-CN"/>
        </w:rPr>
        <w:t xml:space="preserve">        </w:t>
      </w:r>
      <w:r>
        <w:rPr>
          <w:rFonts w:hint="eastAsia" w:ascii="宋体" w:hAnsi="宋体" w:cs="宋体"/>
          <w:u w:val="single"/>
          <w:lang w:val="zh-CN"/>
        </w:rPr>
        <w:t>（投标人名称）</w:t>
      </w:r>
      <w:r>
        <w:rPr>
          <w:rFonts w:ascii="宋体" w:hAnsi="宋体" w:cs="宋体"/>
          <w:u w:val="single"/>
          <w:lang w:val="zh-CN"/>
        </w:rPr>
        <w:t xml:space="preserve">      </w:t>
      </w:r>
      <w:r>
        <w:rPr>
          <w:rFonts w:hint="eastAsia" w:ascii="宋体" w:hAnsi="宋体" w:cs="宋体"/>
          <w:lang w:val="zh-CN"/>
        </w:rPr>
        <w:t>的法定代表人，现授权</w:t>
      </w:r>
    </w:p>
    <w:p>
      <w:pPr>
        <w:ind w:firstLine="0" w:firstLineChars="0"/>
        <w:rPr>
          <w:rFonts w:ascii="宋体" w:cs="宋体"/>
          <w:lang w:val="zh-CN"/>
        </w:rPr>
      </w:pPr>
      <w:r>
        <w:rPr>
          <w:rFonts w:ascii="宋体" w:hAnsi="宋体" w:cs="宋体"/>
          <w:u w:val="single"/>
          <w:lang w:val="zh-CN"/>
        </w:rPr>
        <w:t xml:space="preserve">      </w:t>
      </w:r>
      <w:r>
        <w:rPr>
          <w:rFonts w:hint="eastAsia" w:ascii="宋体" w:hAnsi="宋体" w:cs="宋体"/>
          <w:u w:val="single"/>
          <w:lang w:val="zh-CN"/>
        </w:rPr>
        <w:t>（姓名）</w:t>
      </w:r>
      <w:r>
        <w:rPr>
          <w:rFonts w:ascii="宋体" w:hAnsi="宋体" w:cs="宋体"/>
          <w:u w:val="single"/>
          <w:lang w:val="zh-CN"/>
        </w:rPr>
        <w:t xml:space="preserve">  </w:t>
      </w:r>
      <w:r>
        <w:rPr>
          <w:rFonts w:hint="eastAsia" w:ascii="宋体" w:hAnsi="宋体" w:cs="宋体"/>
          <w:u w:val="single"/>
          <w:lang w:val="zh-CN"/>
        </w:rPr>
        <w:t>（</w:t>
      </w:r>
      <w:r>
        <w:rPr>
          <w:rFonts w:ascii="宋体" w:hAnsi="宋体" w:cs="宋体"/>
          <w:u w:val="single"/>
          <w:lang w:val="zh-CN"/>
        </w:rPr>
        <w:t xml:space="preserve">   </w:t>
      </w:r>
      <w:r>
        <w:rPr>
          <w:rFonts w:hint="eastAsia" w:ascii="宋体" w:hAnsi="宋体" w:cs="宋体"/>
          <w:u w:val="single"/>
          <w:lang w:val="zh-CN"/>
        </w:rPr>
        <w:t>身份证号码</w:t>
      </w:r>
      <w:r>
        <w:rPr>
          <w:rFonts w:ascii="宋体" w:hAnsi="宋体" w:cs="宋体"/>
          <w:u w:val="single"/>
          <w:lang w:val="zh-CN"/>
        </w:rPr>
        <w:t xml:space="preserve">   </w:t>
      </w:r>
      <w:r>
        <w:rPr>
          <w:rFonts w:hint="eastAsia" w:ascii="宋体" w:hAnsi="宋体" w:cs="宋体"/>
          <w:u w:val="single"/>
          <w:lang w:val="zh-CN"/>
        </w:rPr>
        <w:t>）</w:t>
      </w:r>
      <w:r>
        <w:rPr>
          <w:rFonts w:hint="eastAsia" w:ascii="宋体" w:hAnsi="宋体" w:cs="宋体"/>
          <w:lang w:val="zh-CN"/>
        </w:rPr>
        <w:t>为我方代理人。授权代理人根据授权对</w:t>
      </w:r>
    </w:p>
    <w:p>
      <w:pPr>
        <w:ind w:firstLine="0" w:firstLineChars="0"/>
        <w:rPr>
          <w:rFonts w:ascii="宋体" w:cs="宋体"/>
          <w:lang w:val="zh-CN"/>
        </w:rPr>
      </w:pPr>
      <w:r>
        <w:rPr>
          <w:rFonts w:ascii="宋体" w:hAnsi="宋体" w:cs="宋体"/>
          <w:u w:val="single"/>
          <w:lang w:val="zh-CN"/>
        </w:rPr>
        <w:t xml:space="preserve">      </w:t>
      </w:r>
      <w:r>
        <w:rPr>
          <w:rFonts w:hint="eastAsia" w:ascii="宋体" w:hAnsi="宋体" w:cs="宋体"/>
          <w:u w:val="single"/>
          <w:lang w:val="zh-CN"/>
        </w:rPr>
        <w:t>（项目名称）</w:t>
      </w:r>
      <w:r>
        <w:rPr>
          <w:rFonts w:ascii="宋体" w:hAnsi="宋体" w:cs="宋体"/>
          <w:u w:val="single"/>
          <w:lang w:val="zh-CN"/>
        </w:rPr>
        <w:t xml:space="preserve">  </w:t>
      </w:r>
      <w:r>
        <w:rPr>
          <w:rFonts w:hint="eastAsia" w:ascii="宋体" w:hAnsi="宋体" w:cs="宋体"/>
          <w:u w:val="single"/>
          <w:lang w:val="zh-CN"/>
        </w:rPr>
        <w:t>投</w:t>
      </w:r>
      <w:r>
        <w:rPr>
          <w:rFonts w:hint="eastAsia" w:ascii="宋体" w:hAnsi="宋体" w:cs="宋体"/>
          <w:lang w:val="zh-CN"/>
        </w:rPr>
        <w:t>标，以我方名义签署、澄清、说明、补正、提交、撤回、修改投标文件，签订合同和处理有关事宜，其法律后果由我方承担。</w:t>
      </w:r>
    </w:p>
    <w:p>
      <w:pPr>
        <w:ind w:firstLine="480"/>
        <w:rPr>
          <w:rFonts w:ascii="宋体" w:cs="宋体"/>
          <w:lang w:val="zh-CN"/>
        </w:rPr>
      </w:pPr>
    </w:p>
    <w:p>
      <w:pPr>
        <w:ind w:firstLine="480"/>
        <w:rPr>
          <w:rFonts w:ascii="宋体" w:cs="宋体"/>
          <w:lang w:val="zh-CN"/>
        </w:rPr>
      </w:pPr>
      <w:r>
        <w:rPr>
          <w:rFonts w:hint="eastAsia" w:ascii="宋体" w:hAnsi="宋体" w:cs="宋体"/>
          <w:lang w:val="zh-CN"/>
        </w:rPr>
        <w:t>委托期限：2023年</w:t>
      </w:r>
      <w:r>
        <w:rPr>
          <w:rFonts w:ascii="宋体" w:hAnsi="宋体" w:cs="宋体"/>
          <w:lang w:val="zh-CN"/>
        </w:rPr>
        <w:t xml:space="preserve">  </w:t>
      </w:r>
      <w:r>
        <w:rPr>
          <w:rFonts w:hint="eastAsia" w:ascii="宋体" w:hAnsi="宋体" w:cs="宋体"/>
          <w:lang w:val="zh-CN"/>
        </w:rPr>
        <w:t>月</w:t>
      </w:r>
      <w:r>
        <w:rPr>
          <w:rFonts w:ascii="宋体" w:hAnsi="宋体" w:cs="宋体"/>
          <w:lang w:val="zh-CN"/>
        </w:rPr>
        <w:t xml:space="preserve">  </w:t>
      </w:r>
      <w:r>
        <w:rPr>
          <w:rFonts w:hint="eastAsia" w:ascii="宋体" w:hAnsi="宋体" w:cs="宋体"/>
          <w:lang w:val="zh-CN"/>
        </w:rPr>
        <w:t>日</w:t>
      </w:r>
      <w:r>
        <w:rPr>
          <w:rFonts w:ascii="宋体" w:hAnsi="宋体" w:cs="宋体"/>
          <w:lang w:val="zh-CN"/>
        </w:rPr>
        <w:t>—</w:t>
      </w:r>
      <w:r>
        <w:rPr>
          <w:rFonts w:hint="eastAsia" w:ascii="宋体" w:hAnsi="宋体" w:cs="宋体"/>
          <w:lang w:val="zh-CN"/>
        </w:rPr>
        <w:t>202</w:t>
      </w:r>
      <w:r>
        <w:rPr>
          <w:rFonts w:hint="eastAsia" w:ascii="宋体" w:hAnsi="宋体" w:cs="宋体"/>
          <w:lang w:val="en-US" w:eastAsia="zh-CN"/>
        </w:rPr>
        <w:t xml:space="preserve"> </w:t>
      </w:r>
      <w:r>
        <w:rPr>
          <w:rFonts w:hint="eastAsia" w:ascii="宋体" w:hAnsi="宋体" w:cs="宋体"/>
          <w:lang w:val="zh-CN"/>
        </w:rPr>
        <w:t>年</w:t>
      </w:r>
      <w:r>
        <w:rPr>
          <w:rFonts w:ascii="宋体" w:hAnsi="宋体" w:cs="宋体"/>
          <w:lang w:val="zh-CN"/>
        </w:rPr>
        <w:t xml:space="preserve"> </w:t>
      </w:r>
      <w:r>
        <w:rPr>
          <w:rFonts w:hint="eastAsia" w:ascii="宋体" w:hAnsi="宋体" w:cs="宋体"/>
        </w:rPr>
        <w:t xml:space="preserve"> </w:t>
      </w:r>
      <w:r>
        <w:rPr>
          <w:rFonts w:ascii="宋体" w:hAnsi="宋体" w:cs="宋体"/>
          <w:lang w:val="zh-CN"/>
        </w:rPr>
        <w:t xml:space="preserve"> </w:t>
      </w:r>
      <w:r>
        <w:rPr>
          <w:rFonts w:hint="eastAsia" w:ascii="宋体" w:hAnsi="宋体" w:cs="宋体"/>
          <w:lang w:val="zh-CN"/>
        </w:rPr>
        <w:t>月</w:t>
      </w:r>
      <w:r>
        <w:rPr>
          <w:rFonts w:ascii="宋体" w:hAnsi="宋体" w:cs="宋体"/>
          <w:lang w:val="zh-CN"/>
        </w:rPr>
        <w:t xml:space="preserve">  </w:t>
      </w:r>
      <w:r>
        <w:rPr>
          <w:rFonts w:hint="eastAsia" w:ascii="宋体" w:hAnsi="宋体" w:cs="宋体"/>
        </w:rPr>
        <w:t xml:space="preserve"> </w:t>
      </w:r>
      <w:r>
        <w:rPr>
          <w:rFonts w:hint="eastAsia" w:ascii="宋体" w:hAnsi="宋体" w:cs="宋体"/>
          <w:lang w:val="zh-CN"/>
        </w:rPr>
        <w:t>日止。</w:t>
      </w:r>
    </w:p>
    <w:p>
      <w:pPr>
        <w:ind w:firstLine="480"/>
        <w:rPr>
          <w:rFonts w:ascii="宋体" w:cs="宋体"/>
          <w:lang w:val="zh-CN"/>
        </w:rPr>
      </w:pPr>
      <w:r>
        <w:rPr>
          <w:rFonts w:hint="eastAsia" w:ascii="宋体" w:hAnsi="宋体" w:cs="宋体"/>
          <w:lang w:val="zh-CN"/>
        </w:rPr>
        <w:t>授权代理人无转委托权。</w:t>
      </w:r>
    </w:p>
    <w:p>
      <w:pPr>
        <w:snapToGrid w:val="0"/>
        <w:spacing w:line="312" w:lineRule="auto"/>
        <w:ind w:firstLine="0" w:firstLineChars="0"/>
        <w:rPr>
          <w:rFonts w:ascii="宋体" w:cs="宋体"/>
          <w:lang w:val="zh-CN"/>
        </w:rPr>
      </w:pPr>
    </w:p>
    <w:p>
      <w:pPr>
        <w:snapToGrid w:val="0"/>
        <w:spacing w:line="312" w:lineRule="auto"/>
        <w:ind w:firstLine="480"/>
        <w:rPr>
          <w:rFonts w:ascii="宋体" w:cs="宋体"/>
          <w:lang w:val="zh-CN"/>
        </w:rPr>
      </w:pPr>
    </w:p>
    <w:p>
      <w:pPr>
        <w:adjustRightInd w:val="0"/>
        <w:snapToGrid w:val="0"/>
        <w:spacing w:line="360" w:lineRule="auto"/>
        <w:ind w:firstLine="4080" w:firstLineChars="1700"/>
        <w:textAlignment w:val="baseline"/>
        <w:rPr>
          <w:rFonts w:ascii="宋体" w:cs="宋体"/>
        </w:rPr>
      </w:pPr>
      <w:r>
        <w:rPr>
          <w:rFonts w:hint="eastAsia" w:ascii="宋体" w:hAnsi="宋体" w:cs="宋体"/>
        </w:rPr>
        <w:t>投标人名称（盖章）</w:t>
      </w:r>
      <w:r>
        <w:rPr>
          <w:rFonts w:ascii="宋体" w:hAnsi="宋体" w:cs="宋体"/>
        </w:rPr>
        <w:t>:</w:t>
      </w:r>
    </w:p>
    <w:p>
      <w:pPr>
        <w:adjustRightInd w:val="0"/>
        <w:snapToGrid w:val="0"/>
        <w:spacing w:line="360" w:lineRule="auto"/>
        <w:ind w:firstLine="4080" w:firstLineChars="1700"/>
        <w:textAlignment w:val="baseline"/>
        <w:rPr>
          <w:rFonts w:ascii="宋体" w:cs="宋体"/>
          <w:u w:val="single"/>
        </w:rPr>
      </w:pPr>
      <w:r>
        <w:rPr>
          <w:rFonts w:hint="eastAsia" w:ascii="宋体" w:hAnsi="宋体" w:cs="宋体"/>
        </w:rPr>
        <w:t>法定代表人（签字或盖章）</w:t>
      </w:r>
      <w:r>
        <w:rPr>
          <w:rFonts w:ascii="宋体" w:hAnsi="宋体" w:cs="宋体"/>
        </w:rPr>
        <w:t>:</w:t>
      </w:r>
    </w:p>
    <w:p>
      <w:pPr>
        <w:adjustRightInd w:val="0"/>
        <w:snapToGrid w:val="0"/>
        <w:spacing w:line="360" w:lineRule="auto"/>
        <w:ind w:firstLine="4080" w:firstLineChars="1700"/>
        <w:textAlignment w:val="baseline"/>
        <w:rPr>
          <w:rFonts w:ascii="宋体" w:cs="宋体"/>
          <w:u w:val="single"/>
        </w:rPr>
      </w:pPr>
      <w:r>
        <w:rPr>
          <w:rFonts w:hint="eastAsia" w:ascii="宋体" w:hAnsi="宋体" w:cs="宋体"/>
        </w:rPr>
        <w:t>法定代表人移动电话</w:t>
      </w:r>
      <w:r>
        <w:rPr>
          <w:rFonts w:ascii="宋体" w:hAnsi="宋体" w:cs="宋体"/>
        </w:rPr>
        <w:t>:</w:t>
      </w:r>
    </w:p>
    <w:p>
      <w:pPr>
        <w:adjustRightInd w:val="0"/>
        <w:snapToGrid w:val="0"/>
        <w:spacing w:line="360" w:lineRule="auto"/>
        <w:ind w:firstLine="4080" w:firstLineChars="1700"/>
        <w:textAlignment w:val="baseline"/>
        <w:rPr>
          <w:rFonts w:ascii="宋体" w:cs="宋体"/>
          <w:lang w:val="zh-CN"/>
        </w:rPr>
      </w:pPr>
      <w:r>
        <w:rPr>
          <w:rFonts w:hint="eastAsia" w:ascii="宋体" w:hAnsi="宋体" w:cs="宋体"/>
        </w:rPr>
        <w:t>授权代理人移动电话</w:t>
      </w:r>
      <w:r>
        <w:rPr>
          <w:rFonts w:ascii="宋体" w:hAnsi="宋体" w:cs="宋体"/>
        </w:rPr>
        <w:t>:</w:t>
      </w:r>
    </w:p>
    <w:p>
      <w:pPr>
        <w:ind w:right="440" w:firstLine="4080" w:firstLineChars="1700"/>
        <w:rPr>
          <w:rFonts w:ascii="宋体" w:cs="宋体"/>
          <w:b/>
          <w:bCs/>
        </w:rPr>
      </w:pPr>
      <w:r>
        <w:rPr>
          <w:rFonts w:hint="eastAsia" w:ascii="宋体" w:hAnsi="宋体" w:cs="宋体"/>
          <w:bCs/>
        </w:rPr>
        <w:t>授权委托日期：2023年</w:t>
      </w:r>
      <w:r>
        <w:rPr>
          <w:rFonts w:ascii="宋体" w:hAnsi="宋体" w:cs="宋体"/>
          <w:bCs/>
        </w:rPr>
        <w:t xml:space="preserve"> </w:t>
      </w:r>
      <w:r>
        <w:rPr>
          <w:rFonts w:hint="eastAsia" w:ascii="宋体" w:hAnsi="宋体" w:cs="宋体"/>
          <w:bCs/>
        </w:rPr>
        <w:t>月</w:t>
      </w:r>
      <w:r>
        <w:rPr>
          <w:rFonts w:ascii="宋体" w:hAnsi="宋体" w:cs="宋体"/>
          <w:bCs/>
        </w:rPr>
        <w:t xml:space="preserve">  </w:t>
      </w:r>
      <w:r>
        <w:rPr>
          <w:rFonts w:hint="eastAsia" w:ascii="宋体" w:hAnsi="宋体" w:cs="宋体"/>
          <w:bCs/>
        </w:rPr>
        <w:t>日</w:t>
      </w:r>
    </w:p>
    <w:p>
      <w:pPr>
        <w:spacing w:line="360" w:lineRule="exact"/>
        <w:ind w:left="2699" w:firstLine="480"/>
        <w:rPr>
          <w:rFonts w:ascii="宋体" w:cs="宋体"/>
          <w:kern w:val="0"/>
        </w:rPr>
      </w:pPr>
    </w:p>
    <w:tbl>
      <w:tblPr>
        <w:tblStyle w:val="37"/>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9356" w:type="dxa"/>
          </w:tcPr>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p>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p>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r>
              <w:rPr>
                <w:rFonts w:hint="eastAsia" w:ascii="宋体" w:hAnsi="宋体" w:cs="宋体"/>
                <w:kern w:val="0"/>
              </w:rPr>
              <w:t>粘贴法人授权代表身份证复印影印件</w:t>
            </w:r>
          </w:p>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p>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p>
        </w:tc>
      </w:tr>
    </w:tbl>
    <w:p>
      <w:pPr>
        <w:adjustRightInd w:val="0"/>
        <w:snapToGrid w:val="0"/>
        <w:spacing w:line="360" w:lineRule="exact"/>
        <w:ind w:firstLine="480"/>
        <w:jc w:val="center"/>
        <w:rPr>
          <w:rFonts w:ascii="宋体" w:cs="宋体"/>
          <w:kern w:val="0"/>
          <w:lang w:val="zh-CN"/>
        </w:rPr>
      </w:pPr>
    </w:p>
    <w:p>
      <w:pPr>
        <w:adjustRightInd w:val="0"/>
        <w:snapToGrid w:val="0"/>
        <w:spacing w:line="360" w:lineRule="exact"/>
        <w:ind w:firstLine="480"/>
        <w:jc w:val="center"/>
        <w:rPr>
          <w:rFonts w:ascii="宋体" w:cs="宋体"/>
          <w:kern w:val="0"/>
          <w:lang w:val="zh-CN"/>
        </w:rPr>
      </w:pPr>
    </w:p>
    <w:tbl>
      <w:tblPr>
        <w:tblStyle w:val="37"/>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9356" w:type="dxa"/>
          </w:tcPr>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p>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p>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r>
              <w:rPr>
                <w:rFonts w:hint="eastAsia" w:ascii="宋体" w:hAnsi="宋体" w:cs="宋体"/>
                <w:kern w:val="0"/>
              </w:rPr>
              <w:t>粘贴法人身份证复印影印件</w:t>
            </w:r>
          </w:p>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p>
          <w:p>
            <w:pPr>
              <w:keepNext w:val="0"/>
              <w:keepLines w:val="0"/>
              <w:suppressLineNumbers w:val="0"/>
              <w:adjustRightInd w:val="0"/>
              <w:snapToGrid w:val="0"/>
              <w:spacing w:before="0" w:beforeAutospacing="0" w:after="0" w:afterAutospacing="0" w:line="360" w:lineRule="exact"/>
              <w:ind w:left="0" w:right="0" w:firstLine="480"/>
              <w:jc w:val="center"/>
              <w:rPr>
                <w:rFonts w:hint="default" w:ascii="宋体" w:cs="宋体"/>
                <w:kern w:val="0"/>
              </w:rPr>
            </w:pPr>
          </w:p>
        </w:tc>
      </w:tr>
    </w:tbl>
    <w:p>
      <w:pPr>
        <w:pStyle w:val="53"/>
        <w:ind w:firstLine="0" w:firstLineChars="0"/>
      </w:pPr>
    </w:p>
    <w:p>
      <w:pPr>
        <w:ind w:firstLine="0" w:firstLineChars="0"/>
        <w:jc w:val="left"/>
        <w:outlineLvl w:val="9"/>
        <w:rPr>
          <w:rFonts w:hint="eastAsia" w:ascii="宋体" w:hAnsi="宋体" w:cs="宋体"/>
          <w:b/>
          <w:bCs/>
        </w:rPr>
      </w:pPr>
      <w:bookmarkStart w:id="1838" w:name="_Toc14738"/>
      <w:bookmarkStart w:id="1839" w:name="_Toc16479"/>
      <w:bookmarkStart w:id="1840" w:name="_Toc29559"/>
      <w:bookmarkStart w:id="1841" w:name="_Toc5296"/>
      <w:bookmarkStart w:id="1842" w:name="_Toc31751"/>
      <w:bookmarkStart w:id="1843" w:name="_Toc15300"/>
      <w:bookmarkStart w:id="1844" w:name="_Toc6399"/>
      <w:bookmarkStart w:id="1845" w:name="_Toc26523"/>
      <w:bookmarkStart w:id="1846" w:name="_Toc13480"/>
      <w:bookmarkStart w:id="1847" w:name="_Toc18281"/>
      <w:bookmarkStart w:id="1848" w:name="_Toc15867"/>
      <w:bookmarkStart w:id="1849" w:name="_Toc23633"/>
      <w:bookmarkStart w:id="1850" w:name="_Toc12026"/>
      <w:bookmarkStart w:id="1851" w:name="_Toc30862"/>
      <w:bookmarkStart w:id="1852" w:name="_Toc18953"/>
      <w:bookmarkStart w:id="1853" w:name="_Toc21567"/>
      <w:bookmarkStart w:id="1854" w:name="_Toc12758"/>
      <w:bookmarkStart w:id="1855" w:name="_Toc6452"/>
      <w:bookmarkStart w:id="1856" w:name="_Toc26782"/>
      <w:bookmarkStart w:id="1857" w:name="_Toc13697"/>
      <w:bookmarkStart w:id="1858" w:name="_Toc5001"/>
      <w:bookmarkStart w:id="1859" w:name="_Toc24806"/>
      <w:bookmarkStart w:id="1860" w:name="_Toc20512"/>
      <w:bookmarkStart w:id="1861" w:name="_Toc15691"/>
      <w:bookmarkStart w:id="1862" w:name="_Toc4446"/>
      <w:bookmarkStart w:id="1863" w:name="_Toc10310"/>
      <w:bookmarkStart w:id="1864" w:name="_Toc5269"/>
      <w:bookmarkStart w:id="1865" w:name="_Toc9858"/>
      <w:bookmarkStart w:id="1866" w:name="_Toc29795"/>
      <w:bookmarkStart w:id="1867" w:name="_Toc4867"/>
      <w:bookmarkStart w:id="1868" w:name="_Toc25370"/>
      <w:bookmarkStart w:id="1869" w:name="_Toc2371"/>
      <w:bookmarkStart w:id="1870" w:name="_Toc4725"/>
      <w:bookmarkStart w:id="1871" w:name="_Toc595"/>
      <w:bookmarkStart w:id="1872" w:name="_Toc20335"/>
      <w:bookmarkStart w:id="1873" w:name="_Toc9532"/>
      <w:bookmarkStart w:id="1874" w:name="_Toc14897"/>
      <w:r>
        <w:rPr>
          <w:rFonts w:hint="eastAsia" w:ascii="宋体" w:hAnsi="宋体" w:cs="宋体"/>
          <w:b/>
          <w:bCs/>
        </w:rPr>
        <w:br w:type="page"/>
      </w:r>
    </w:p>
    <w:p>
      <w:pPr>
        <w:ind w:firstLine="0" w:firstLineChars="0"/>
        <w:jc w:val="left"/>
        <w:outlineLvl w:val="0"/>
        <w:rPr>
          <w:rFonts w:ascii="宋体" w:cs="宋体"/>
        </w:rPr>
      </w:pPr>
      <w:r>
        <w:rPr>
          <w:rFonts w:hint="eastAsia" w:ascii="宋体" w:hAnsi="宋体" w:cs="宋体"/>
          <w:b/>
          <w:bCs/>
        </w:rPr>
        <w:t>附件</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r>
        <w:rPr>
          <w:rFonts w:hint="eastAsia" w:ascii="宋体" w:hAnsi="宋体" w:cs="宋体"/>
          <w:b/>
          <w:bCs/>
        </w:rPr>
        <w:t>5</w:t>
      </w:r>
      <w:bookmarkEnd w:id="1870"/>
      <w:bookmarkEnd w:id="1871"/>
      <w:bookmarkEnd w:id="1872"/>
      <w:bookmarkEnd w:id="1873"/>
      <w:bookmarkEnd w:id="1874"/>
    </w:p>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Pr>
        <w:autoSpaceDE w:val="0"/>
        <w:autoSpaceDN w:val="0"/>
        <w:adjustRightInd w:val="0"/>
        <w:snapToGrid w:val="0"/>
        <w:spacing w:after="156" w:afterLines="50"/>
        <w:ind w:firstLine="0" w:firstLineChars="0"/>
        <w:jc w:val="center"/>
        <w:rPr>
          <w:rFonts w:ascii="宋体" w:hAnsi="宋体" w:cs="宋体"/>
          <w:b/>
          <w:sz w:val="30"/>
          <w:szCs w:val="30"/>
          <w:lang w:val="zh-CN"/>
        </w:rPr>
      </w:pPr>
      <w:bookmarkStart w:id="1875" w:name="_Toc18562"/>
      <w:bookmarkStart w:id="1876" w:name="_Toc28788"/>
      <w:bookmarkStart w:id="1877" w:name="_Toc28132"/>
      <w:bookmarkStart w:id="1878" w:name="_Toc13048"/>
      <w:bookmarkStart w:id="1879" w:name="_Toc27481"/>
      <w:bookmarkStart w:id="1880" w:name="_Toc17803"/>
      <w:bookmarkStart w:id="1881" w:name="_Toc2307"/>
      <w:bookmarkStart w:id="1882" w:name="_Toc23735"/>
      <w:bookmarkStart w:id="1883" w:name="_Toc37493332"/>
      <w:bookmarkStart w:id="1884" w:name="_Toc20561"/>
      <w:bookmarkStart w:id="1885" w:name="_Toc55379715"/>
      <w:bookmarkStart w:id="1886" w:name="_Toc20509"/>
      <w:bookmarkStart w:id="1887" w:name="_Toc20431"/>
      <w:bookmarkStart w:id="1888" w:name="_Toc31244"/>
      <w:bookmarkStart w:id="1889" w:name="_Toc29581"/>
      <w:bookmarkStart w:id="1890" w:name="_Toc16975"/>
      <w:bookmarkStart w:id="1891" w:name="_Toc19191"/>
      <w:bookmarkStart w:id="1892" w:name="_Toc15176"/>
      <w:bookmarkStart w:id="1893" w:name="_Toc7665"/>
      <w:bookmarkStart w:id="1894" w:name="_Toc12288"/>
      <w:bookmarkStart w:id="1895" w:name="_Toc4312"/>
      <w:bookmarkStart w:id="1896" w:name="_Toc18677"/>
      <w:bookmarkStart w:id="1897" w:name="_Toc11793"/>
      <w:bookmarkStart w:id="1898" w:name="_Toc60021277"/>
      <w:bookmarkStart w:id="1899" w:name="_Toc27830"/>
      <w:bookmarkStart w:id="1900" w:name="_Toc32506"/>
      <w:bookmarkStart w:id="1901" w:name="_Toc28144"/>
      <w:bookmarkStart w:id="1902" w:name="_Toc1322"/>
      <w:bookmarkStart w:id="1903" w:name="_Toc3610"/>
      <w:bookmarkStart w:id="1904" w:name="_Toc12407"/>
      <w:bookmarkStart w:id="1905" w:name="_Toc294166745"/>
      <w:bookmarkStart w:id="1906" w:name="_Toc17004"/>
      <w:bookmarkStart w:id="1907" w:name="_Toc2143"/>
      <w:bookmarkStart w:id="1908" w:name="_Toc16332"/>
      <w:r>
        <w:rPr>
          <w:rFonts w:hint="eastAsia" w:ascii="宋体" w:hAnsi="宋体" w:cs="宋体"/>
          <w:b/>
          <w:sz w:val="30"/>
          <w:szCs w:val="30"/>
          <w:lang w:val="zh-CN"/>
        </w:rPr>
        <w:t>项目业绩一览表</w:t>
      </w:r>
    </w:p>
    <w:p>
      <w:pPr>
        <w:snapToGrid w:val="0"/>
        <w:spacing w:before="72" w:after="72" w:line="360" w:lineRule="exact"/>
        <w:ind w:firstLine="240" w:firstLineChars="100"/>
        <w:rPr>
          <w:rFonts w:ascii="宋体" w:hAnsi="宋体" w:cs="宋体"/>
        </w:rPr>
      </w:pPr>
      <w:r>
        <w:rPr>
          <w:rFonts w:hint="eastAsia" w:ascii="宋体" w:hAnsi="宋体" w:cs="宋体"/>
        </w:rPr>
        <w:t xml:space="preserve">项目名称：                                               </w:t>
      </w:r>
    </w:p>
    <w:p>
      <w:pPr>
        <w:snapToGrid w:val="0"/>
        <w:spacing w:before="72" w:after="72" w:line="360" w:lineRule="exact"/>
        <w:ind w:firstLine="240" w:firstLineChars="100"/>
        <w:rPr>
          <w:rFonts w:ascii="宋体" w:hAnsi="宋体" w:cs="宋体"/>
          <w:lang w:val="zh-CN"/>
        </w:rPr>
      </w:pPr>
      <w:r>
        <w:rPr>
          <w:rFonts w:hint="eastAsia" w:ascii="宋体" w:hAnsi="宋体" w:cs="宋体"/>
        </w:rPr>
        <w:t>项目编号：</w:t>
      </w:r>
    </w:p>
    <w:tbl>
      <w:tblPr>
        <w:tblStyle w:val="37"/>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767"/>
        <w:gridCol w:w="1029"/>
        <w:gridCol w:w="1164"/>
        <w:gridCol w:w="1344"/>
        <w:gridCol w:w="1254"/>
        <w:gridCol w:w="1500"/>
        <w:gridCol w:w="1722"/>
        <w:gridCol w:w="82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69" w:hRule="exact"/>
          <w:jc w:val="center"/>
        </w:trPr>
        <w:tc>
          <w:tcPr>
            <w:tcW w:w="767" w:type="dxa"/>
            <w:vAlign w:val="center"/>
          </w:tcPr>
          <w:p>
            <w:pPr>
              <w:keepNext w:val="0"/>
              <w:keepLines w:val="0"/>
              <w:suppressLineNumbers w:val="0"/>
              <w:snapToGrid w:val="0"/>
              <w:spacing w:before="72" w:beforeAutospacing="0" w:after="72" w:afterAutospacing="0" w:line="360" w:lineRule="exact"/>
              <w:ind w:left="0" w:right="0" w:firstLine="0" w:firstLineChars="0"/>
              <w:jc w:val="center"/>
              <w:rPr>
                <w:rFonts w:hint="default" w:ascii="宋体" w:hAnsi="宋体" w:cs="宋体"/>
              </w:rPr>
            </w:pPr>
            <w:r>
              <w:rPr>
                <w:rFonts w:hint="eastAsia" w:ascii="宋体" w:hAnsi="宋体" w:cs="宋体"/>
              </w:rPr>
              <w:t>序号</w:t>
            </w:r>
          </w:p>
        </w:tc>
        <w:tc>
          <w:tcPr>
            <w:tcW w:w="1029" w:type="dxa"/>
            <w:vAlign w:val="center"/>
          </w:tcPr>
          <w:p>
            <w:pPr>
              <w:keepNext w:val="0"/>
              <w:keepLines w:val="0"/>
              <w:suppressLineNumbers w:val="0"/>
              <w:snapToGrid w:val="0"/>
              <w:spacing w:before="72" w:beforeAutospacing="0" w:after="72" w:afterAutospacing="0" w:line="360" w:lineRule="exact"/>
              <w:ind w:left="0" w:right="0" w:firstLine="0" w:firstLineChars="0"/>
              <w:jc w:val="center"/>
              <w:rPr>
                <w:rFonts w:hint="default" w:ascii="宋体" w:hAnsi="宋体" w:cs="宋体"/>
              </w:rPr>
            </w:pPr>
            <w:r>
              <w:rPr>
                <w:rFonts w:hint="eastAsia" w:ascii="宋体" w:hAnsi="宋体" w:cs="宋体"/>
              </w:rPr>
              <w:t>项目名称</w:t>
            </w:r>
          </w:p>
        </w:tc>
        <w:tc>
          <w:tcPr>
            <w:tcW w:w="1164" w:type="dxa"/>
            <w:vAlign w:val="center"/>
          </w:tcPr>
          <w:p>
            <w:pPr>
              <w:keepNext w:val="0"/>
              <w:keepLines w:val="0"/>
              <w:suppressLineNumbers w:val="0"/>
              <w:snapToGrid w:val="0"/>
              <w:spacing w:before="72" w:beforeAutospacing="0" w:after="72" w:afterAutospacing="0" w:line="360" w:lineRule="exact"/>
              <w:ind w:left="0" w:right="0" w:firstLine="0" w:firstLineChars="0"/>
              <w:jc w:val="center"/>
              <w:rPr>
                <w:rFonts w:hint="default" w:ascii="宋体" w:hAnsi="宋体" w:cs="宋体"/>
              </w:rPr>
            </w:pPr>
            <w:r>
              <w:rPr>
                <w:rFonts w:hint="eastAsia" w:ascii="宋体" w:hAnsi="宋体" w:cs="宋体"/>
              </w:rPr>
              <w:t>项目地址</w:t>
            </w:r>
          </w:p>
        </w:tc>
        <w:tc>
          <w:tcPr>
            <w:tcW w:w="1344" w:type="dxa"/>
            <w:vAlign w:val="center"/>
          </w:tcPr>
          <w:p>
            <w:pPr>
              <w:keepNext w:val="0"/>
              <w:keepLines w:val="0"/>
              <w:suppressLineNumbers w:val="0"/>
              <w:snapToGrid w:val="0"/>
              <w:spacing w:before="72" w:beforeAutospacing="0" w:after="72" w:afterAutospacing="0" w:line="360" w:lineRule="exact"/>
              <w:ind w:left="0" w:right="0" w:firstLine="0" w:firstLineChars="0"/>
              <w:jc w:val="center"/>
              <w:rPr>
                <w:rFonts w:hint="default" w:ascii="宋体" w:hAnsi="宋体" w:cs="宋体"/>
              </w:rPr>
            </w:pPr>
            <w:r>
              <w:rPr>
                <w:rFonts w:hint="eastAsia" w:ascii="宋体" w:hAnsi="宋体" w:cs="宋体"/>
              </w:rPr>
              <w:t>合同内容</w:t>
            </w:r>
          </w:p>
        </w:tc>
        <w:tc>
          <w:tcPr>
            <w:tcW w:w="1254" w:type="dxa"/>
            <w:vAlign w:val="center"/>
          </w:tcPr>
          <w:p>
            <w:pPr>
              <w:keepNext w:val="0"/>
              <w:keepLines w:val="0"/>
              <w:suppressLineNumbers w:val="0"/>
              <w:snapToGrid w:val="0"/>
              <w:spacing w:before="72" w:beforeAutospacing="0" w:after="72" w:afterAutospacing="0" w:line="360" w:lineRule="exact"/>
              <w:ind w:left="0" w:right="0" w:firstLine="0" w:firstLineChars="0"/>
              <w:jc w:val="center"/>
              <w:rPr>
                <w:rFonts w:hint="default" w:ascii="宋体" w:hAnsi="宋体" w:cs="宋体"/>
              </w:rPr>
            </w:pPr>
            <w:r>
              <w:rPr>
                <w:rFonts w:hint="eastAsia" w:ascii="宋体" w:hAnsi="宋体" w:cs="宋体"/>
              </w:rPr>
              <w:t>合同总价</w:t>
            </w:r>
          </w:p>
        </w:tc>
        <w:tc>
          <w:tcPr>
            <w:tcW w:w="1500" w:type="dxa"/>
            <w:vAlign w:val="center"/>
          </w:tcPr>
          <w:p>
            <w:pPr>
              <w:keepNext w:val="0"/>
              <w:keepLines w:val="0"/>
              <w:suppressLineNumbers w:val="0"/>
              <w:snapToGrid w:val="0"/>
              <w:spacing w:before="72" w:beforeAutospacing="0" w:after="72" w:afterAutospacing="0" w:line="360" w:lineRule="exact"/>
              <w:ind w:left="0" w:right="0" w:firstLine="0" w:firstLineChars="0"/>
              <w:jc w:val="center"/>
              <w:rPr>
                <w:rFonts w:hint="default" w:ascii="宋体" w:hAnsi="宋体" w:cs="宋体"/>
              </w:rPr>
            </w:pPr>
            <w:r>
              <w:rPr>
                <w:rFonts w:hint="eastAsia" w:ascii="宋体" w:hAnsi="宋体" w:cs="宋体"/>
              </w:rPr>
              <w:t>签约日期</w:t>
            </w:r>
          </w:p>
        </w:tc>
        <w:tc>
          <w:tcPr>
            <w:tcW w:w="1722" w:type="dxa"/>
            <w:tcBorders>
              <w:right w:val="single" w:color="auto" w:sz="4" w:space="0"/>
            </w:tcBorders>
            <w:vAlign w:val="center"/>
          </w:tcPr>
          <w:p>
            <w:pPr>
              <w:keepNext w:val="0"/>
              <w:keepLines w:val="0"/>
              <w:suppressLineNumbers w:val="0"/>
              <w:snapToGrid w:val="0"/>
              <w:spacing w:before="72" w:beforeAutospacing="0" w:after="72" w:afterAutospacing="0" w:line="360" w:lineRule="exact"/>
              <w:ind w:left="0" w:right="0" w:firstLine="0" w:firstLineChars="0"/>
              <w:jc w:val="center"/>
              <w:rPr>
                <w:rFonts w:hint="default" w:ascii="宋体" w:hAnsi="宋体" w:cs="宋体"/>
              </w:rPr>
            </w:pPr>
            <w:r>
              <w:rPr>
                <w:rFonts w:hint="eastAsia" w:ascii="宋体" w:hAnsi="宋体" w:cs="宋体"/>
              </w:rPr>
              <w:t>采购人联系人</w:t>
            </w:r>
          </w:p>
        </w:tc>
        <w:tc>
          <w:tcPr>
            <w:tcW w:w="828" w:type="dxa"/>
            <w:tcBorders>
              <w:left w:val="single" w:color="auto" w:sz="4" w:space="0"/>
            </w:tcBorders>
            <w:vAlign w:val="center"/>
          </w:tcPr>
          <w:p>
            <w:pPr>
              <w:keepNext w:val="0"/>
              <w:keepLines w:val="0"/>
              <w:suppressLineNumbers w:val="0"/>
              <w:snapToGrid w:val="0"/>
              <w:spacing w:before="72" w:beforeAutospacing="0" w:after="72" w:afterAutospacing="0" w:line="360" w:lineRule="exact"/>
              <w:ind w:left="0" w:right="0" w:firstLine="0" w:firstLineChars="0"/>
              <w:jc w:val="center"/>
              <w:rPr>
                <w:rFonts w:hint="default" w:ascii="宋体" w:hAnsi="宋体" w:cs="宋体"/>
              </w:rPr>
            </w:pPr>
            <w:r>
              <w:rPr>
                <w:rFonts w:hint="eastAsia" w:ascii="宋体" w:hAnsi="宋体" w:cs="宋体"/>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69"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733" w:hRule="exact"/>
          <w:jc w:val="center"/>
        </w:trPr>
        <w:tc>
          <w:tcPr>
            <w:tcW w:w="767"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029"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16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34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254"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500" w:type="dxa"/>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1722" w:type="dxa"/>
            <w:tcBorders>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c>
          <w:tcPr>
            <w:tcW w:w="828" w:type="dxa"/>
            <w:tcBorders>
              <w:lef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firstLine="480"/>
              <w:jc w:val="center"/>
              <w:rPr>
                <w:rFonts w:hint="default" w:ascii="宋体" w:hAnsi="宋体" w:cs="宋体"/>
              </w:rPr>
            </w:pPr>
          </w:p>
        </w:tc>
      </w:tr>
    </w:tbl>
    <w:p>
      <w:pPr>
        <w:ind w:firstLine="4320" w:firstLineChars="1800"/>
      </w:pPr>
    </w:p>
    <w:p>
      <w:pPr>
        <w:ind w:firstLine="4320" w:firstLineChars="1800"/>
      </w:pPr>
    </w:p>
    <w:p>
      <w:pPr>
        <w:ind w:firstLine="4320" w:firstLineChars="1800"/>
      </w:pPr>
      <w:r>
        <w:rPr>
          <w:rFonts w:hint="eastAsia"/>
        </w:rPr>
        <w:t>投标人全称（盖章）：</w:t>
      </w:r>
      <w:r>
        <w:t xml:space="preserve">                         </w:t>
      </w:r>
    </w:p>
    <w:p>
      <w:pPr>
        <w:ind w:firstLine="4320" w:firstLineChars="1800"/>
      </w:pPr>
      <w:r>
        <w:rPr>
          <w:rFonts w:hint="eastAsia"/>
        </w:rPr>
        <w:t>法定代表人或授权代理人（签字或盖章）：</w:t>
      </w:r>
    </w:p>
    <w:p>
      <w:pPr>
        <w:ind w:firstLine="4320" w:firstLineChars="1800"/>
      </w:pPr>
      <w:r>
        <w:rPr>
          <w:rFonts w:hint="eastAsia"/>
        </w:rPr>
        <w:t>日期：</w:t>
      </w:r>
      <w:r>
        <w:rPr>
          <w:rFonts w:hint="eastAsia" w:ascii="宋体" w:hAnsi="宋体" w:cs="宋体"/>
        </w:rPr>
        <w:t>2023年</w:t>
      </w:r>
      <w:r>
        <w:t xml:space="preserve">   </w:t>
      </w:r>
      <w:r>
        <w:rPr>
          <w:rFonts w:hint="eastAsia"/>
        </w:rPr>
        <w:t>月</w:t>
      </w:r>
      <w:r>
        <w:t xml:space="preserve">   </w:t>
      </w:r>
      <w:r>
        <w:rPr>
          <w:rFonts w:hint="eastAsia"/>
        </w:rPr>
        <w:t>日</w:t>
      </w:r>
    </w:p>
    <w:p>
      <w:pPr>
        <w:snapToGrid w:val="0"/>
        <w:ind w:firstLine="0" w:firstLineChars="0"/>
        <w:jc w:val="center"/>
        <w:rPr>
          <w:rFonts w:cs="宋体"/>
          <w:b/>
          <w:bCs/>
          <w:sz w:val="30"/>
          <w:szCs w:val="30"/>
        </w:rPr>
      </w:pPr>
    </w:p>
    <w:p>
      <w:pPr>
        <w:ind w:firstLine="0" w:firstLineChars="0"/>
        <w:jc w:val="left"/>
        <w:outlineLvl w:val="9"/>
        <w:rPr>
          <w:rFonts w:hint="eastAsia" w:ascii="宋体" w:hAnsi="宋体" w:cs="宋体"/>
          <w:b/>
          <w:bCs/>
        </w:rPr>
      </w:pPr>
      <w:bookmarkStart w:id="1909" w:name="_Toc30424"/>
      <w:bookmarkStart w:id="1910" w:name="_Toc5397"/>
      <w:bookmarkStart w:id="1911" w:name="_Toc9992"/>
      <w:r>
        <w:rPr>
          <w:rFonts w:hint="eastAsia" w:ascii="宋体" w:hAnsi="宋体" w:cs="宋体"/>
          <w:b/>
          <w:bCs/>
        </w:rPr>
        <w:br w:type="page"/>
      </w:r>
    </w:p>
    <w:p>
      <w:pPr>
        <w:ind w:firstLine="0" w:firstLineChars="0"/>
        <w:jc w:val="left"/>
        <w:outlineLvl w:val="0"/>
        <w:rPr>
          <w:rFonts w:ascii="宋体" w:cs="宋体"/>
        </w:rPr>
      </w:pPr>
      <w:r>
        <w:rPr>
          <w:rFonts w:hint="eastAsia" w:ascii="宋体" w:hAnsi="宋体" w:cs="宋体"/>
          <w:b/>
          <w:bCs/>
        </w:rPr>
        <w:t>附件6</w:t>
      </w:r>
      <w:bookmarkEnd w:id="1909"/>
      <w:bookmarkEnd w:id="1910"/>
      <w:bookmarkEnd w:id="1911"/>
    </w:p>
    <w:p>
      <w:pPr>
        <w:widowControl/>
        <w:autoSpaceDE w:val="0"/>
        <w:autoSpaceDN w:val="0"/>
        <w:adjustRightInd w:val="0"/>
        <w:snapToGrid w:val="0"/>
        <w:spacing w:after="156" w:afterLines="50"/>
        <w:ind w:firstLine="0" w:firstLineChars="0"/>
        <w:jc w:val="center"/>
        <w:rPr>
          <w:rFonts w:ascii="宋体" w:hAnsi="宋体" w:cs="宋体"/>
          <w:b/>
          <w:sz w:val="30"/>
          <w:szCs w:val="30"/>
        </w:rPr>
      </w:pPr>
      <w:bookmarkStart w:id="1912" w:name="_Toc18978"/>
      <w:bookmarkStart w:id="1913" w:name="_Toc14311"/>
      <w:bookmarkStart w:id="1914" w:name="_Toc5829"/>
      <w:bookmarkStart w:id="1915" w:name="_Toc6746"/>
      <w:bookmarkStart w:id="1916" w:name="_Toc904"/>
      <w:bookmarkStart w:id="1917" w:name="_Toc30602"/>
      <w:bookmarkStart w:id="1918" w:name="_Toc22456"/>
      <w:bookmarkStart w:id="1919" w:name="_Toc12871"/>
      <w:bookmarkStart w:id="1920" w:name="_Toc7624"/>
      <w:bookmarkStart w:id="1921" w:name="_Toc10746"/>
      <w:bookmarkStart w:id="1922" w:name="_Toc15273"/>
      <w:bookmarkStart w:id="1923" w:name="_Toc19562"/>
      <w:bookmarkStart w:id="1924" w:name="_Toc30377"/>
      <w:bookmarkStart w:id="1925" w:name="_Toc5955"/>
      <w:bookmarkStart w:id="1926" w:name="_Toc3709"/>
      <w:bookmarkStart w:id="1927" w:name="_Toc28057"/>
      <w:bookmarkStart w:id="1928" w:name="_Toc2545"/>
      <w:r>
        <w:rPr>
          <w:rFonts w:hint="eastAsia" w:ascii="宋体" w:hAnsi="宋体" w:cs="宋体"/>
          <w:b/>
          <w:sz w:val="30"/>
          <w:szCs w:val="30"/>
        </w:rPr>
        <w:t>商务/技术偏离表</w:t>
      </w:r>
    </w:p>
    <w:tbl>
      <w:tblPr>
        <w:tblStyle w:val="3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2"/>
        <w:gridCol w:w="1710"/>
        <w:gridCol w:w="2664"/>
        <w:gridCol w:w="2110"/>
        <w:gridCol w:w="183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9197" w:type="dxa"/>
            <w:gridSpan w:val="5"/>
            <w:vAlign w:val="center"/>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r>
              <w:rPr>
                <w:rFonts w:hint="default" w:ascii="宋体"/>
                <w:sz w:val="22"/>
                <w:szCs w:val="22"/>
                <w:lang w:val="zh-CN"/>
              </w:rPr>
              <w:t>商务</w:t>
            </w:r>
            <w:r>
              <w:rPr>
                <w:rFonts w:hint="eastAsia" w:ascii="宋体"/>
                <w:sz w:val="22"/>
                <w:szCs w:val="22"/>
                <w:lang w:val="zh-CN"/>
              </w:rPr>
              <w:t>偏离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vAlign w:val="center"/>
          </w:tcPr>
          <w:p>
            <w:pPr>
              <w:keepNext w:val="0"/>
              <w:keepLines w:val="0"/>
              <w:suppressLineNumbers w:val="0"/>
              <w:spacing w:before="0" w:beforeAutospacing="0" w:after="0" w:afterAutospacing="0" w:line="460" w:lineRule="atLeast"/>
              <w:ind w:left="0" w:right="0" w:firstLine="0" w:firstLineChars="0"/>
              <w:jc w:val="center"/>
              <w:rPr>
                <w:rFonts w:hint="default" w:ascii="宋体"/>
                <w:spacing w:val="20"/>
                <w:sz w:val="22"/>
                <w:lang w:val="zh-CN"/>
              </w:rPr>
            </w:pPr>
            <w:r>
              <w:rPr>
                <w:rFonts w:hint="default" w:ascii="宋体"/>
                <w:spacing w:val="20"/>
                <w:sz w:val="22"/>
                <w:lang w:val="zh-CN"/>
              </w:rPr>
              <w:t>序号</w:t>
            </w:r>
          </w:p>
        </w:tc>
        <w:tc>
          <w:tcPr>
            <w:tcW w:w="1710" w:type="dxa"/>
            <w:vAlign w:val="center"/>
          </w:tcPr>
          <w:p>
            <w:pPr>
              <w:keepNext w:val="0"/>
              <w:keepLines w:val="0"/>
              <w:suppressLineNumbers w:val="0"/>
              <w:autoSpaceDE w:val="0"/>
              <w:autoSpaceDN w:val="0"/>
              <w:adjustRightInd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内容</w:t>
            </w:r>
          </w:p>
        </w:tc>
        <w:tc>
          <w:tcPr>
            <w:tcW w:w="2664" w:type="dxa"/>
            <w:vAlign w:val="center"/>
          </w:tcPr>
          <w:p>
            <w:pPr>
              <w:keepNext w:val="0"/>
              <w:keepLines w:val="0"/>
              <w:suppressLineNumbers w:val="0"/>
              <w:autoSpaceDE w:val="0"/>
              <w:autoSpaceDN w:val="0"/>
              <w:adjustRightInd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招标文件规范要求</w:t>
            </w:r>
          </w:p>
        </w:tc>
        <w:tc>
          <w:tcPr>
            <w:tcW w:w="2110" w:type="dxa"/>
            <w:vAlign w:val="center"/>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投标文件对应规范</w:t>
            </w:r>
          </w:p>
        </w:tc>
        <w:tc>
          <w:tcPr>
            <w:tcW w:w="1831" w:type="dxa"/>
            <w:vAlign w:val="center"/>
          </w:tcPr>
          <w:p>
            <w:pPr>
              <w:keepNext w:val="0"/>
              <w:keepLines w:val="0"/>
              <w:suppressLineNumbers w:val="0"/>
              <w:autoSpaceDE w:val="0"/>
              <w:autoSpaceDN w:val="0"/>
              <w:adjustRightInd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7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664"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1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831"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7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664"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1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831"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7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664"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1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831"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882"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7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664"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1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831"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882"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7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664"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1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831"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9197" w:type="dxa"/>
            <w:gridSpan w:val="5"/>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r>
              <w:rPr>
                <w:rFonts w:hint="default" w:ascii="宋体"/>
                <w:spacing w:val="20"/>
                <w:sz w:val="22"/>
                <w:lang w:val="zh-CN"/>
              </w:rPr>
              <w:t>技术偏离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882" w:type="dxa"/>
            <w:vAlign w:val="center"/>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序号</w:t>
            </w:r>
          </w:p>
        </w:tc>
        <w:tc>
          <w:tcPr>
            <w:tcW w:w="1710" w:type="dxa"/>
            <w:vAlign w:val="center"/>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内容</w:t>
            </w:r>
          </w:p>
        </w:tc>
        <w:tc>
          <w:tcPr>
            <w:tcW w:w="2664" w:type="dxa"/>
            <w:vAlign w:val="center"/>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招标文件规范要求</w:t>
            </w:r>
          </w:p>
        </w:tc>
        <w:tc>
          <w:tcPr>
            <w:tcW w:w="2110" w:type="dxa"/>
            <w:vAlign w:val="center"/>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投标文件对应规范</w:t>
            </w:r>
          </w:p>
        </w:tc>
        <w:tc>
          <w:tcPr>
            <w:tcW w:w="1831" w:type="dxa"/>
            <w:vAlign w:val="center"/>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r>
              <w:rPr>
                <w:rFonts w:hint="default" w:ascii="宋体"/>
                <w:spacing w:val="20"/>
                <w:sz w:val="22"/>
                <w:lang w:val="zh-CN"/>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p>
        </w:tc>
        <w:tc>
          <w:tcPr>
            <w:tcW w:w="1710" w:type="dxa"/>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p>
        </w:tc>
        <w:tc>
          <w:tcPr>
            <w:tcW w:w="2664" w:type="dxa"/>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p>
        </w:tc>
        <w:tc>
          <w:tcPr>
            <w:tcW w:w="2110" w:type="dxa"/>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p>
        </w:tc>
        <w:tc>
          <w:tcPr>
            <w:tcW w:w="1831" w:type="dxa"/>
          </w:tcPr>
          <w:p>
            <w:pPr>
              <w:keepNext w:val="0"/>
              <w:keepLines w:val="0"/>
              <w:suppressLineNumbers w:val="0"/>
              <w:spacing w:before="0" w:beforeAutospacing="0" w:after="0" w:afterAutospacing="0" w:line="460" w:lineRule="atLeast"/>
              <w:ind w:left="0" w:right="0" w:firstLine="0" w:firstLineChars="0"/>
              <w:rPr>
                <w:rFonts w:hint="default" w:ascii="宋体"/>
                <w:spacing w:val="20"/>
                <w:sz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7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664"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2110"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c>
          <w:tcPr>
            <w:tcW w:w="1831" w:type="dxa"/>
          </w:tcPr>
          <w:p>
            <w:pPr>
              <w:keepNext w:val="0"/>
              <w:keepLines w:val="0"/>
              <w:suppressLineNumbers w:val="0"/>
              <w:spacing w:before="0" w:beforeAutospacing="0" w:after="0" w:afterAutospacing="0" w:line="460" w:lineRule="atLeast"/>
              <w:ind w:left="0" w:right="0" w:firstLine="520"/>
              <w:jc w:val="center"/>
              <w:rPr>
                <w:rFonts w:hint="default" w:ascii="宋体"/>
                <w:spacing w:val="20"/>
                <w:sz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1710"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2664"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2110"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1831"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1710"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2664"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2110"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1831"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882"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1710"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2664"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2110"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c>
          <w:tcPr>
            <w:tcW w:w="1831" w:type="dxa"/>
          </w:tcPr>
          <w:p>
            <w:pPr>
              <w:keepNext w:val="0"/>
              <w:keepLines w:val="0"/>
              <w:suppressLineNumbers w:val="0"/>
              <w:autoSpaceDE w:val="0"/>
              <w:autoSpaceDN w:val="0"/>
              <w:adjustRightInd w:val="0"/>
              <w:spacing w:before="0" w:beforeAutospacing="0" w:after="0" w:afterAutospacing="0" w:line="460" w:lineRule="atLeast"/>
              <w:ind w:left="0" w:right="0" w:firstLine="440"/>
              <w:jc w:val="center"/>
              <w:rPr>
                <w:rFonts w:hint="default" w:ascii="宋体"/>
                <w:sz w:val="22"/>
                <w:szCs w:val="22"/>
                <w:lang w:val="zh-CN"/>
              </w:rPr>
            </w:pPr>
          </w:p>
        </w:tc>
      </w:tr>
    </w:tbl>
    <w:p>
      <w:pPr>
        <w:ind w:firstLine="440"/>
        <w:rPr>
          <w:rFonts w:ascii="宋体"/>
          <w:sz w:val="22"/>
          <w:szCs w:val="22"/>
          <w:lang w:val="zh-CN"/>
        </w:rPr>
      </w:pPr>
    </w:p>
    <w:p>
      <w:pPr>
        <w:pStyle w:val="20"/>
        <w:topLinePunct/>
        <w:spacing w:line="440" w:lineRule="exact"/>
        <w:ind w:firstLine="440"/>
        <w:rPr>
          <w:rFonts w:hAnsi="宋体"/>
          <w:bCs/>
          <w:sz w:val="22"/>
          <w:szCs w:val="22"/>
          <w:lang w:val="zh-CN"/>
        </w:rPr>
      </w:pPr>
      <w:r>
        <w:rPr>
          <w:rFonts w:hint="eastAsia" w:hAnsi="宋体"/>
          <w:bCs/>
          <w:sz w:val="22"/>
          <w:szCs w:val="22"/>
          <w:lang w:val="zh-CN"/>
        </w:rPr>
        <w:t>注：1</w:t>
      </w:r>
      <w:r>
        <w:rPr>
          <w:rFonts w:hint="eastAsia" w:hAnsi="宋体"/>
          <w:bCs/>
          <w:sz w:val="22"/>
          <w:szCs w:val="22"/>
        </w:rPr>
        <w:t>.</w:t>
      </w:r>
      <w:r>
        <w:rPr>
          <w:rFonts w:hint="eastAsia" w:hAnsi="宋体"/>
          <w:bCs/>
          <w:sz w:val="22"/>
          <w:szCs w:val="22"/>
          <w:lang w:val="zh-CN"/>
        </w:rPr>
        <w:t>投标文件提供的技术参数对应招标文件如有偏离的均需在偏离表中列出，如没有列出的视为完全响应招标文件的要求。</w:t>
      </w:r>
    </w:p>
    <w:p>
      <w:pPr>
        <w:spacing w:line="440" w:lineRule="exact"/>
        <w:ind w:firstLine="440"/>
        <w:rPr>
          <w:rFonts w:ascii="宋体"/>
          <w:sz w:val="22"/>
          <w:szCs w:val="22"/>
          <w:lang w:val="zh-CN"/>
        </w:rPr>
      </w:pPr>
      <w:r>
        <w:rPr>
          <w:rFonts w:hint="eastAsia" w:ascii="宋体"/>
          <w:sz w:val="22"/>
          <w:szCs w:val="22"/>
          <w:lang w:val="zh-CN"/>
        </w:rPr>
        <w:t>2</w:t>
      </w:r>
      <w:r>
        <w:rPr>
          <w:rFonts w:hint="eastAsia" w:ascii="宋体"/>
          <w:sz w:val="22"/>
          <w:szCs w:val="22"/>
        </w:rPr>
        <w:t>.</w:t>
      </w:r>
      <w:r>
        <w:rPr>
          <w:rFonts w:hint="eastAsia" w:ascii="宋体"/>
          <w:sz w:val="22"/>
          <w:szCs w:val="22"/>
          <w:lang w:val="zh-CN"/>
        </w:rPr>
        <w:t>本表可以延续。</w:t>
      </w:r>
    </w:p>
    <w:p>
      <w:pPr>
        <w:ind w:firstLine="0" w:firstLineChars="0"/>
        <w:jc w:val="center"/>
        <w:rPr>
          <w:rFonts w:ascii="宋体" w:hAnsi="宋体" w:cs="宋体"/>
          <w:b/>
          <w:bCs/>
          <w:sz w:val="30"/>
          <w:szCs w:val="30"/>
        </w:rPr>
      </w:pPr>
    </w:p>
    <w:p>
      <w:pPr>
        <w:ind w:firstLine="0" w:firstLineChars="0"/>
        <w:jc w:val="center"/>
        <w:rPr>
          <w:rFonts w:ascii="宋体" w:hAnsi="宋体" w:cs="宋体"/>
          <w:b/>
          <w:bCs/>
          <w:sz w:val="30"/>
          <w:szCs w:val="30"/>
        </w:rPr>
      </w:pPr>
    </w:p>
    <w:p>
      <w:pPr>
        <w:ind w:firstLine="0" w:firstLineChars="0"/>
        <w:jc w:val="center"/>
        <w:rPr>
          <w:rFonts w:ascii="宋体" w:hAnsi="宋体" w:cs="宋体"/>
          <w:b/>
          <w:bCs/>
          <w:sz w:val="30"/>
          <w:szCs w:val="30"/>
        </w:rPr>
      </w:pPr>
    </w:p>
    <w:p>
      <w:pPr>
        <w:ind w:firstLine="4320" w:firstLineChars="1800"/>
      </w:pPr>
      <w:r>
        <w:rPr>
          <w:rFonts w:hint="eastAsia"/>
        </w:rPr>
        <w:t>投标人全称（盖章）：</w:t>
      </w:r>
      <w:r>
        <w:t xml:space="preserve">                         </w:t>
      </w:r>
    </w:p>
    <w:p>
      <w:pPr>
        <w:ind w:firstLine="4320" w:firstLineChars="1800"/>
      </w:pPr>
      <w:r>
        <w:rPr>
          <w:rFonts w:hint="eastAsia"/>
        </w:rPr>
        <w:t>法定代表人或授权代理人（签字或盖章）：</w:t>
      </w:r>
    </w:p>
    <w:p>
      <w:pPr>
        <w:ind w:firstLine="4320" w:firstLineChars="1800"/>
        <w:jc w:val="left"/>
      </w:pPr>
      <w:r>
        <w:rPr>
          <w:rFonts w:hint="eastAsia"/>
        </w:rPr>
        <w:t>日期：</w:t>
      </w:r>
      <w:r>
        <w:rPr>
          <w:rFonts w:hint="eastAsia" w:ascii="宋体" w:hAnsi="宋体" w:cs="宋体"/>
        </w:rPr>
        <w:t>2023年</w:t>
      </w:r>
      <w:r>
        <w:t xml:space="preserve">   </w:t>
      </w:r>
      <w:r>
        <w:rPr>
          <w:rFonts w:hint="eastAsia"/>
        </w:rPr>
        <w:t>月</w:t>
      </w:r>
      <w:r>
        <w:t xml:space="preserve">   </w:t>
      </w:r>
      <w:r>
        <w:rPr>
          <w:rFonts w:hint="eastAsia"/>
        </w:rPr>
        <w:t>日</w:t>
      </w:r>
      <w:bookmarkStart w:id="1929" w:name="_Toc8735"/>
      <w:bookmarkStart w:id="1930" w:name="_Toc3800"/>
    </w:p>
    <w:p>
      <w:r>
        <w:br w:type="page"/>
      </w:r>
    </w:p>
    <w:p>
      <w:pPr>
        <w:pStyle w:val="3"/>
        <w:sectPr>
          <w:pgSz w:w="11906" w:h="16838"/>
          <w:pgMar w:top="1440" w:right="1080" w:bottom="1440" w:left="1080" w:header="737" w:footer="964" w:gutter="0"/>
          <w:pgBorders w:zOrder="back">
            <w:top w:val="thinThickSmallGap" w:color="auto" w:sz="12" w:space="10"/>
            <w:left w:val="none" w:sz="0" w:space="0"/>
            <w:bottom w:val="thinThickSmallGap" w:color="auto" w:sz="12" w:space="6"/>
            <w:right w:val="none" w:sz="0" w:space="0"/>
          </w:pgBorders>
          <w:cols w:space="0" w:num="1"/>
          <w:docGrid w:type="lines" w:linePitch="312" w:charSpace="0"/>
        </w:sectPr>
      </w:pPr>
    </w:p>
    <w:p>
      <w:pPr>
        <w:adjustRightInd w:val="0"/>
        <w:snapToGrid w:val="0"/>
        <w:ind w:firstLine="0" w:firstLineChars="0"/>
        <w:rPr>
          <w:rFonts w:hint="eastAsia" w:ascii="宋体" w:hAnsi="宋体" w:eastAsia="宋体" w:cs="宋体"/>
          <w:b/>
          <w:bCs w:val="0"/>
          <w:sz w:val="22"/>
          <w:szCs w:val="22"/>
          <w:lang w:eastAsia="zh-CN"/>
        </w:rPr>
      </w:pPr>
      <w:r>
        <w:rPr>
          <w:rFonts w:hint="eastAsia" w:ascii="宋体" w:hAnsi="宋体" w:eastAsia="宋体" w:cs="宋体"/>
          <w:b/>
          <w:bCs w:val="0"/>
          <w:sz w:val="22"/>
          <w:szCs w:val="22"/>
        </w:rPr>
        <w:t>附件</w:t>
      </w:r>
      <w:r>
        <w:rPr>
          <w:rFonts w:hint="eastAsia" w:ascii="宋体" w:hAnsi="宋体" w:eastAsia="宋体" w:cs="宋体"/>
          <w:b/>
          <w:bCs w:val="0"/>
          <w:sz w:val="22"/>
          <w:szCs w:val="22"/>
          <w:lang w:val="en-US" w:eastAsia="zh-CN"/>
        </w:rPr>
        <w:t>7</w:t>
      </w:r>
    </w:p>
    <w:p>
      <w:pPr>
        <w:adjustRightInd w:val="0"/>
        <w:snapToGrid w:val="0"/>
        <w:spacing w:line="360" w:lineRule="auto"/>
        <w:ind w:firstLine="480"/>
        <w:jc w:val="center"/>
        <w:rPr>
          <w:rFonts w:hint="eastAsia" w:ascii="微软雅黑" w:hAnsi="微软雅黑"/>
          <w:bCs/>
          <w:sz w:val="24"/>
          <w:szCs w:val="24"/>
        </w:rPr>
      </w:pPr>
      <w:r>
        <w:rPr>
          <w:rFonts w:hint="eastAsia" w:ascii="微软雅黑" w:hAnsi="微软雅黑"/>
          <w:color w:val="000000"/>
          <w:sz w:val="24"/>
          <w:szCs w:val="24"/>
        </w:rPr>
        <w:t>技术支持及服务承诺书</w:t>
      </w:r>
    </w:p>
    <w:tbl>
      <w:tblPr>
        <w:tblStyle w:val="37"/>
        <w:tblW w:w="0" w:type="auto"/>
        <w:jc w:val="center"/>
        <w:tblLayout w:type="fixed"/>
        <w:tblCellMar>
          <w:top w:w="0" w:type="dxa"/>
          <w:left w:w="0" w:type="dxa"/>
          <w:bottom w:w="0" w:type="dxa"/>
          <w:right w:w="0" w:type="dxa"/>
        </w:tblCellMar>
      </w:tblPr>
      <w:tblGrid>
        <w:gridCol w:w="740"/>
        <w:gridCol w:w="4368"/>
        <w:gridCol w:w="1618"/>
        <w:gridCol w:w="1552"/>
      </w:tblGrid>
      <w:tr>
        <w:tblPrEx>
          <w:tblCellMar>
            <w:top w:w="0" w:type="dxa"/>
            <w:left w:w="0" w:type="dxa"/>
            <w:bottom w:w="0" w:type="dxa"/>
            <w:right w:w="0" w:type="dxa"/>
          </w:tblCellMar>
        </w:tblPrEx>
        <w:trPr>
          <w:cantSplit/>
          <w:trHeight w:val="737" w:hRule="atLeast"/>
          <w:jc w:val="center"/>
        </w:trPr>
        <w:tc>
          <w:tcPr>
            <w:tcW w:w="74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both"/>
              <w:rPr>
                <w:rFonts w:hint="eastAsia" w:ascii="宋体" w:hAnsi="宋体" w:eastAsia="宋体" w:cs="宋体"/>
                <w:color w:val="000000"/>
                <w:szCs w:val="24"/>
              </w:rPr>
            </w:pPr>
            <w:r>
              <w:rPr>
                <w:rFonts w:hint="eastAsia" w:ascii="宋体" w:hAnsi="宋体" w:eastAsia="宋体" w:cs="宋体"/>
                <w:color w:val="000000"/>
                <w:szCs w:val="24"/>
              </w:rPr>
              <w:t>序号</w:t>
            </w:r>
          </w:p>
        </w:tc>
        <w:tc>
          <w:tcPr>
            <w:tcW w:w="4368" w:type="dxa"/>
            <w:tcBorders>
              <w:top w:val="single" w:color="auto" w:sz="8" w:space="0"/>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right="0" w:firstLine="480"/>
              <w:jc w:val="both"/>
              <w:rPr>
                <w:rFonts w:hint="eastAsia" w:ascii="宋体" w:hAnsi="宋体" w:eastAsia="宋体" w:cs="宋体"/>
                <w:color w:val="000000"/>
                <w:szCs w:val="24"/>
              </w:rPr>
            </w:pPr>
            <w:r>
              <w:rPr>
                <w:rFonts w:hint="eastAsia" w:ascii="宋体" w:hAnsi="宋体" w:eastAsia="宋体" w:cs="宋体"/>
                <w:color w:val="000000"/>
                <w:szCs w:val="24"/>
              </w:rPr>
              <w:t>质量保障措施及服务内容</w:t>
            </w:r>
          </w:p>
        </w:tc>
        <w:tc>
          <w:tcPr>
            <w:tcW w:w="1618" w:type="dxa"/>
            <w:tcBorders>
              <w:top w:val="single" w:color="auto" w:sz="8" w:space="0"/>
              <w:left w:val="single" w:color="auto" w:sz="4"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both"/>
              <w:rPr>
                <w:rFonts w:hint="eastAsia" w:ascii="宋体" w:hAnsi="宋体" w:eastAsia="宋体" w:cs="宋体"/>
                <w:color w:val="000000"/>
                <w:szCs w:val="24"/>
              </w:rPr>
            </w:pPr>
            <w:r>
              <w:rPr>
                <w:rFonts w:hint="eastAsia" w:ascii="宋体" w:hAnsi="宋体" w:eastAsia="宋体" w:cs="宋体"/>
                <w:color w:val="000000"/>
                <w:szCs w:val="24"/>
              </w:rPr>
              <w:t>承  诺</w:t>
            </w:r>
          </w:p>
        </w:tc>
        <w:tc>
          <w:tcPr>
            <w:tcW w:w="1552"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both"/>
              <w:rPr>
                <w:rFonts w:hint="eastAsia" w:ascii="宋体" w:hAnsi="宋体" w:eastAsia="宋体" w:cs="宋体"/>
                <w:color w:val="000000"/>
                <w:szCs w:val="24"/>
              </w:rPr>
            </w:pPr>
            <w:r>
              <w:rPr>
                <w:rFonts w:hint="eastAsia" w:ascii="宋体" w:hAnsi="宋体" w:eastAsia="宋体" w:cs="宋体"/>
                <w:color w:val="000000"/>
                <w:szCs w:val="24"/>
              </w:rPr>
              <w:t>备注</w:t>
            </w:r>
          </w:p>
        </w:tc>
      </w:tr>
      <w:tr>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1</w:t>
            </w:r>
          </w:p>
        </w:tc>
        <w:tc>
          <w:tcPr>
            <w:tcW w:w="4368"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textAlignment w:val="baseline"/>
              <w:rPr>
                <w:rFonts w:hint="eastAsia" w:ascii="宋体" w:hAnsi="宋体" w:eastAsia="宋体" w:cs="宋体"/>
                <w:color w:val="000000"/>
                <w:szCs w:val="24"/>
              </w:rPr>
            </w:pPr>
            <w:r>
              <w:rPr>
                <w:rFonts w:hint="eastAsia" w:ascii="宋体" w:hAnsi="宋体" w:eastAsia="宋体" w:cs="宋体"/>
                <w:color w:val="000000"/>
                <w:szCs w:val="24"/>
              </w:rPr>
              <w:t>保修时间及保修范围</w:t>
            </w:r>
          </w:p>
        </w:tc>
        <w:tc>
          <w:tcPr>
            <w:tcW w:w="1618" w:type="dxa"/>
            <w:tcBorders>
              <w:top w:val="nil"/>
              <w:left w:val="single" w:color="auto" w:sz="4"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2</w:t>
            </w:r>
          </w:p>
        </w:tc>
        <w:tc>
          <w:tcPr>
            <w:tcW w:w="4368"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有关技术人员现场免费提供安装、调试服务</w:t>
            </w:r>
          </w:p>
        </w:tc>
        <w:tc>
          <w:tcPr>
            <w:tcW w:w="1618" w:type="dxa"/>
            <w:tcBorders>
              <w:top w:val="nil"/>
              <w:left w:val="single" w:color="auto" w:sz="4"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3</w:t>
            </w:r>
          </w:p>
        </w:tc>
        <w:tc>
          <w:tcPr>
            <w:tcW w:w="4368"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免费换货期限</w:t>
            </w:r>
          </w:p>
        </w:tc>
        <w:tc>
          <w:tcPr>
            <w:tcW w:w="1618" w:type="dxa"/>
            <w:tcBorders>
              <w:top w:val="nil"/>
              <w:left w:val="single" w:color="auto" w:sz="4"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4</w:t>
            </w:r>
          </w:p>
        </w:tc>
        <w:tc>
          <w:tcPr>
            <w:tcW w:w="4368"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免费上门服务期限</w:t>
            </w:r>
          </w:p>
        </w:tc>
        <w:tc>
          <w:tcPr>
            <w:tcW w:w="1618" w:type="dxa"/>
            <w:tcBorders>
              <w:top w:val="nil"/>
              <w:left w:val="single" w:color="auto" w:sz="4"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5</w:t>
            </w:r>
          </w:p>
        </w:tc>
        <w:tc>
          <w:tcPr>
            <w:tcW w:w="4368" w:type="dxa"/>
            <w:tcBorders>
              <w:top w:val="nil"/>
              <w:left w:val="nil"/>
              <w:bottom w:val="single" w:color="auto" w:sz="8"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质保期内产品故障服务响应时限</w:t>
            </w:r>
          </w:p>
        </w:tc>
        <w:tc>
          <w:tcPr>
            <w:tcW w:w="1618" w:type="dxa"/>
            <w:tcBorders>
              <w:top w:val="nil"/>
              <w:left w:val="single" w:color="auto" w:sz="4" w:space="0"/>
              <w:bottom w:val="single" w:color="auto" w:sz="8"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7</w:t>
            </w:r>
          </w:p>
        </w:tc>
        <w:tc>
          <w:tcPr>
            <w:tcW w:w="436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质保期满后的保修服务费用</w:t>
            </w:r>
          </w:p>
        </w:tc>
        <w:tc>
          <w:tcPr>
            <w:tcW w:w="1618" w:type="dxa"/>
            <w:tcBorders>
              <w:top w:val="nil"/>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8</w:t>
            </w:r>
          </w:p>
        </w:tc>
        <w:tc>
          <w:tcPr>
            <w:tcW w:w="436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交货时间</w:t>
            </w:r>
          </w:p>
        </w:tc>
        <w:tc>
          <w:tcPr>
            <w:tcW w:w="161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9</w:t>
            </w:r>
          </w:p>
        </w:tc>
        <w:tc>
          <w:tcPr>
            <w:tcW w:w="436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lang w:eastAsia="zh-CN"/>
              </w:rPr>
            </w:pPr>
            <w:r>
              <w:rPr>
                <w:rFonts w:hint="eastAsia" w:ascii="宋体" w:hAnsi="宋体" w:eastAsia="宋体" w:cs="宋体"/>
                <w:color w:val="000000"/>
                <w:szCs w:val="24"/>
              </w:rPr>
              <w:t>是否有提供备品备件</w:t>
            </w:r>
            <w:r>
              <w:rPr>
                <w:rFonts w:hint="eastAsia" w:ascii="宋体" w:hAnsi="宋体" w:eastAsia="宋体" w:cs="宋体"/>
                <w:lang w:eastAsia="zh-CN"/>
              </w:rPr>
              <w:t>（</w:t>
            </w:r>
            <w:r>
              <w:rPr>
                <w:rFonts w:hint="eastAsia" w:ascii="宋体" w:hAnsi="宋体" w:eastAsia="宋体" w:cs="宋体"/>
                <w:lang w:val="en-US" w:eastAsia="zh-CN"/>
              </w:rPr>
              <w:t>如有需附备品备件清单</w:t>
            </w:r>
            <w:r>
              <w:rPr>
                <w:rFonts w:hint="eastAsia" w:ascii="宋体" w:hAnsi="宋体" w:eastAsia="宋体" w:cs="宋体"/>
                <w:lang w:eastAsia="zh-CN"/>
              </w:rPr>
              <w:t>）</w:t>
            </w:r>
          </w:p>
        </w:tc>
        <w:tc>
          <w:tcPr>
            <w:tcW w:w="161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10</w:t>
            </w:r>
          </w:p>
        </w:tc>
        <w:tc>
          <w:tcPr>
            <w:tcW w:w="436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是否有质保期外的服务承诺</w:t>
            </w:r>
          </w:p>
        </w:tc>
        <w:tc>
          <w:tcPr>
            <w:tcW w:w="161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11</w:t>
            </w:r>
          </w:p>
        </w:tc>
        <w:tc>
          <w:tcPr>
            <w:tcW w:w="436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leftChars="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货物品牌是否原装正品</w:t>
            </w:r>
          </w:p>
        </w:tc>
        <w:tc>
          <w:tcPr>
            <w:tcW w:w="161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r>
        <w:tblPrEx>
          <w:tblCellMar>
            <w:top w:w="0" w:type="dxa"/>
            <w:left w:w="0" w:type="dxa"/>
            <w:bottom w:w="0" w:type="dxa"/>
            <w:right w:w="0" w:type="dxa"/>
          </w:tblCellMar>
        </w:tblPrEx>
        <w:trPr>
          <w:cantSplit/>
          <w:trHeight w:val="567" w:hRule="atLeast"/>
          <w:jc w:val="center"/>
        </w:trPr>
        <w:tc>
          <w:tcPr>
            <w:tcW w:w="740" w:type="dxa"/>
            <w:tcBorders>
              <w:top w:val="single" w:color="auto" w:sz="4" w:space="0"/>
              <w:left w:val="single" w:color="auto" w:sz="8"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center"/>
              <w:rPr>
                <w:rFonts w:hint="eastAsia" w:ascii="宋体" w:hAnsi="宋体" w:eastAsia="宋体" w:cs="宋体"/>
                <w:color w:val="000000"/>
                <w:szCs w:val="24"/>
              </w:rPr>
            </w:pPr>
            <w:r>
              <w:rPr>
                <w:rFonts w:hint="eastAsia" w:ascii="宋体" w:hAnsi="宋体" w:eastAsia="宋体" w:cs="宋体"/>
                <w:color w:val="000000"/>
                <w:szCs w:val="24"/>
              </w:rPr>
              <w:t>12</w:t>
            </w:r>
          </w:p>
        </w:tc>
        <w:tc>
          <w:tcPr>
            <w:tcW w:w="436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540" w:lineRule="exact"/>
              <w:ind w:left="0" w:right="0" w:firstLine="0" w:firstLineChars="0"/>
              <w:jc w:val="left"/>
              <w:rPr>
                <w:rFonts w:hint="eastAsia" w:ascii="宋体" w:hAnsi="宋体" w:eastAsia="宋体" w:cs="宋体"/>
                <w:color w:val="000000"/>
                <w:szCs w:val="24"/>
              </w:rPr>
            </w:pPr>
            <w:r>
              <w:rPr>
                <w:rFonts w:hint="eastAsia" w:ascii="宋体" w:hAnsi="宋体" w:eastAsia="宋体" w:cs="宋体"/>
                <w:color w:val="000000"/>
                <w:szCs w:val="24"/>
              </w:rPr>
              <w:t>其他</w:t>
            </w:r>
          </w:p>
        </w:tc>
        <w:tc>
          <w:tcPr>
            <w:tcW w:w="161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c>
          <w:tcPr>
            <w:tcW w:w="1552"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pPr>
              <w:keepNext w:val="0"/>
              <w:keepLines w:val="0"/>
              <w:widowControl/>
              <w:suppressLineNumbers w:val="0"/>
              <w:spacing w:before="0" w:beforeAutospacing="0" w:after="0" w:afterAutospacing="0" w:line="540" w:lineRule="exact"/>
              <w:ind w:left="0" w:right="0" w:firstLine="480"/>
              <w:jc w:val="center"/>
              <w:rPr>
                <w:rFonts w:hint="eastAsia" w:ascii="宋体" w:hAnsi="宋体" w:eastAsia="宋体" w:cs="宋体"/>
                <w:color w:val="000000"/>
                <w:szCs w:val="24"/>
              </w:rPr>
            </w:pPr>
          </w:p>
        </w:tc>
      </w:tr>
    </w:tbl>
    <w:p>
      <w:pPr>
        <w:snapToGrid w:val="0"/>
        <w:spacing w:line="540" w:lineRule="exact"/>
        <w:ind w:firstLine="480"/>
        <w:rPr>
          <w:rFonts w:hint="eastAsia" w:ascii="微软雅黑" w:hAnsi="微软雅黑"/>
          <w:color w:val="000000"/>
          <w:szCs w:val="24"/>
        </w:rPr>
      </w:pPr>
    </w:p>
    <w:p>
      <w:pPr>
        <w:snapToGrid w:val="0"/>
        <w:spacing w:line="540" w:lineRule="exact"/>
        <w:ind w:firstLine="480"/>
        <w:rPr>
          <w:rFonts w:ascii="微软雅黑" w:hAnsi="微软雅黑"/>
          <w:color w:val="000000"/>
          <w:szCs w:val="24"/>
        </w:rPr>
      </w:pPr>
      <w:r>
        <w:rPr>
          <w:rFonts w:hint="eastAsia" w:ascii="微软雅黑" w:hAnsi="微软雅黑"/>
          <w:color w:val="000000"/>
          <w:szCs w:val="24"/>
        </w:rPr>
        <w:t>投标人（盖章）：</w:t>
      </w:r>
    </w:p>
    <w:p>
      <w:pPr>
        <w:snapToGrid w:val="0"/>
        <w:spacing w:line="540" w:lineRule="exact"/>
        <w:ind w:firstLine="480"/>
        <w:rPr>
          <w:rFonts w:ascii="微软雅黑" w:hAnsi="微软雅黑"/>
          <w:color w:val="000000"/>
          <w:szCs w:val="24"/>
        </w:rPr>
      </w:pPr>
      <w:r>
        <w:rPr>
          <w:rFonts w:hint="eastAsia" w:ascii="微软雅黑" w:hAnsi="微软雅黑"/>
          <w:color w:val="000000"/>
          <w:szCs w:val="24"/>
        </w:rPr>
        <w:t xml:space="preserve">法定代表人或其授权代表人（签字）：    </w:t>
      </w:r>
    </w:p>
    <w:p>
      <w:pPr>
        <w:autoSpaceDE w:val="0"/>
        <w:autoSpaceDN w:val="0"/>
        <w:adjustRightInd w:val="0"/>
        <w:snapToGrid w:val="0"/>
        <w:spacing w:line="540" w:lineRule="exact"/>
        <w:ind w:firstLine="480"/>
        <w:rPr>
          <w:rFonts w:hint="eastAsia" w:ascii="微软雅黑" w:hAnsi="微软雅黑"/>
          <w:color w:val="000000"/>
          <w:szCs w:val="24"/>
        </w:rPr>
      </w:pPr>
      <w:r>
        <w:rPr>
          <w:rFonts w:hint="eastAsia" w:ascii="微软雅黑" w:hAnsi="微软雅黑"/>
          <w:color w:val="000000"/>
          <w:szCs w:val="24"/>
        </w:rPr>
        <w:t>日期：</w:t>
      </w:r>
    </w:p>
    <w:p>
      <w:pPr>
        <w:pStyle w:val="28"/>
        <w:sectPr>
          <w:pgSz w:w="11906" w:h="16838"/>
          <w:pgMar w:top="1440" w:right="1080" w:bottom="1440" w:left="1080" w:header="737" w:footer="964" w:gutter="0"/>
          <w:pgBorders w:zOrder="back">
            <w:top w:val="thinThickSmallGap" w:color="auto" w:sz="12" w:space="10"/>
            <w:left w:val="none" w:sz="0" w:space="0"/>
            <w:bottom w:val="thinThickSmallGap" w:color="auto" w:sz="12" w:space="6"/>
            <w:right w:val="none" w:sz="0" w:space="0"/>
          </w:pgBorders>
          <w:cols w:space="0" w:num="1"/>
          <w:docGrid w:type="lines" w:linePitch="312" w:charSpace="0"/>
        </w:sectPr>
      </w:pPr>
    </w:p>
    <w:p>
      <w:pPr>
        <w:ind w:firstLine="0" w:firstLineChars="0"/>
        <w:jc w:val="center"/>
        <w:outlineLvl w:val="0"/>
        <w:rPr>
          <w:b/>
          <w:bCs/>
          <w:sz w:val="30"/>
          <w:szCs w:val="30"/>
        </w:rPr>
      </w:pPr>
      <w:bookmarkStart w:id="1931" w:name="_Toc25994"/>
      <w:bookmarkStart w:id="1932" w:name="_Toc21012"/>
      <w:bookmarkStart w:id="1933" w:name="_Toc18159"/>
      <w:r>
        <w:rPr>
          <w:rFonts w:hint="eastAsia"/>
          <w:b/>
          <w:bCs/>
          <w:sz w:val="30"/>
          <w:szCs w:val="30"/>
        </w:rPr>
        <w:t>商务报价文件封面格式</w:t>
      </w:r>
      <w:bookmarkEnd w:id="1875"/>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p>
    <w:p>
      <w:pPr>
        <w:ind w:firstLine="0" w:firstLineChars="0"/>
        <w:jc w:val="center"/>
        <w:rPr>
          <w:b/>
          <w:bCs/>
          <w:sz w:val="30"/>
          <w:szCs w:val="30"/>
        </w:rPr>
      </w:pPr>
    </w:p>
    <w:p>
      <w:pPr>
        <w:spacing w:line="420" w:lineRule="exact"/>
        <w:ind w:firstLine="0" w:firstLineChars="0"/>
        <w:jc w:val="center"/>
        <w:rPr>
          <w:rFonts w:ascii="宋体" w:hAnsi="宋体" w:cs="宋体"/>
          <w:sz w:val="32"/>
          <w:szCs w:val="32"/>
        </w:rPr>
      </w:pPr>
      <w:bookmarkStart w:id="1934" w:name="_Toc10177"/>
      <w:bookmarkStart w:id="1935" w:name="_Toc17415"/>
      <w:bookmarkStart w:id="1936" w:name="_Toc22455"/>
      <w:bookmarkStart w:id="1937" w:name="_Toc433"/>
      <w:bookmarkStart w:id="1938" w:name="_Toc20933"/>
      <w:bookmarkStart w:id="1939" w:name="_Toc19820"/>
      <w:bookmarkStart w:id="1940" w:name="_Toc7316"/>
      <w:bookmarkStart w:id="1941" w:name="_Toc7681"/>
      <w:bookmarkStart w:id="1942" w:name="_Toc29389"/>
      <w:bookmarkStart w:id="1943" w:name="_Toc16937"/>
      <w:bookmarkStart w:id="1944" w:name="_Toc7104"/>
      <w:bookmarkStart w:id="1945" w:name="_Toc29757"/>
      <w:bookmarkStart w:id="1946" w:name="_Toc9459"/>
      <w:bookmarkStart w:id="1947" w:name="_Toc27134"/>
      <w:bookmarkStart w:id="1948" w:name="_Toc15531"/>
      <w:bookmarkStart w:id="1949" w:name="_Toc5460"/>
      <w:bookmarkStart w:id="1950" w:name="_Toc1215"/>
      <w:bookmarkStart w:id="1951" w:name="_Toc32301"/>
      <w:bookmarkStart w:id="1952" w:name="_Toc5863"/>
      <w:bookmarkStart w:id="1953" w:name="_Toc24987"/>
      <w:bookmarkStart w:id="1954" w:name="_Toc13941"/>
      <w:bookmarkStart w:id="1955" w:name="_Toc8432"/>
      <w:bookmarkStart w:id="1956" w:name="_Toc30696"/>
      <w:bookmarkStart w:id="1957" w:name="_Toc27002"/>
      <w:bookmarkStart w:id="1958" w:name="_Toc12003"/>
    </w:p>
    <w:p>
      <w:pPr>
        <w:spacing w:line="420" w:lineRule="exact"/>
        <w:ind w:firstLine="0" w:firstLineChars="0"/>
        <w:jc w:val="center"/>
        <w:outlineLvl w:val="0"/>
        <w:rPr>
          <w:rFonts w:ascii="宋体" w:hAnsi="宋体" w:cs="宋体"/>
          <w:sz w:val="32"/>
          <w:szCs w:val="32"/>
        </w:rPr>
      </w:pPr>
      <w:bookmarkStart w:id="1959" w:name="_Toc8638"/>
      <w:bookmarkStart w:id="1960" w:name="_Toc11975"/>
      <w:bookmarkStart w:id="1961" w:name="_Toc19998"/>
      <w:bookmarkStart w:id="1962" w:name="_Toc2387"/>
      <w:bookmarkStart w:id="1963" w:name="_Toc26080"/>
      <w:bookmarkStart w:id="1964" w:name="_Toc6437"/>
      <w:bookmarkStart w:id="1965" w:name="_Toc32351"/>
      <w:bookmarkStart w:id="1966" w:name="_Toc7763"/>
      <w:bookmarkStart w:id="1967" w:name="_Toc7256"/>
      <w:bookmarkStart w:id="1968" w:name="_Toc28839"/>
      <w:bookmarkStart w:id="1969" w:name="_Toc27239"/>
      <w:bookmarkStart w:id="1970" w:name="_Toc32494"/>
      <w:r>
        <w:rPr>
          <w:rFonts w:hint="eastAsia" w:ascii="宋体" w:hAnsi="宋体" w:cs="宋体"/>
          <w:sz w:val="32"/>
          <w:szCs w:val="32"/>
        </w:rPr>
        <w:t>正本或副本</w:t>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spacing w:line="420" w:lineRule="exact"/>
        <w:ind w:firstLine="883"/>
        <w:rPr>
          <w:rFonts w:ascii="宋体" w:cs="宋体"/>
          <w:b/>
          <w:sz w:val="44"/>
          <w:szCs w:val="44"/>
        </w:rPr>
      </w:pPr>
    </w:p>
    <w:p>
      <w:pPr>
        <w:pStyle w:val="2"/>
        <w:ind w:firstLine="480"/>
      </w:pPr>
    </w:p>
    <w:p>
      <w:pPr>
        <w:pStyle w:val="2"/>
        <w:ind w:firstLine="883"/>
        <w:rPr>
          <w:rFonts w:ascii="宋体" w:cs="宋体"/>
          <w:b/>
          <w:sz w:val="44"/>
          <w:szCs w:val="44"/>
        </w:rPr>
      </w:pPr>
    </w:p>
    <w:p>
      <w:pPr>
        <w:pStyle w:val="2"/>
        <w:ind w:firstLine="883"/>
        <w:rPr>
          <w:rFonts w:ascii="宋体" w:cs="宋体"/>
          <w:b/>
          <w:sz w:val="44"/>
          <w:szCs w:val="44"/>
        </w:rPr>
      </w:pPr>
    </w:p>
    <w:p>
      <w:pPr>
        <w:pStyle w:val="15"/>
        <w:ind w:left="0" w:leftChars="0" w:firstLine="0" w:firstLineChars="0"/>
        <w:rPr>
          <w:rFonts w:hint="default" w:cs="宋体"/>
        </w:rPr>
      </w:pPr>
    </w:p>
    <w:p>
      <w:pPr>
        <w:spacing w:line="240" w:lineRule="auto"/>
        <w:ind w:firstLine="0" w:firstLineChars="0"/>
        <w:jc w:val="center"/>
        <w:rPr>
          <w:rFonts w:ascii="宋体" w:cs="宋体"/>
          <w:b/>
          <w:bCs/>
          <w:sz w:val="72"/>
          <w:szCs w:val="72"/>
        </w:rPr>
      </w:pPr>
      <w:r>
        <w:rPr>
          <w:rFonts w:hint="eastAsia" w:ascii="宋体" w:hAnsi="宋体" w:cs="宋体"/>
          <w:b/>
          <w:bCs/>
          <w:sz w:val="72"/>
          <w:szCs w:val="72"/>
        </w:rPr>
        <w:t>商务报价文件</w:t>
      </w:r>
    </w:p>
    <w:p>
      <w:pPr>
        <w:spacing w:line="240" w:lineRule="auto"/>
        <w:ind w:firstLine="883"/>
        <w:jc w:val="center"/>
        <w:rPr>
          <w:rFonts w:ascii="宋体" w:cs="宋体"/>
          <w:b/>
          <w:bCs/>
          <w:sz w:val="44"/>
          <w:szCs w:val="44"/>
        </w:rPr>
      </w:pPr>
    </w:p>
    <w:p>
      <w:pPr>
        <w:pStyle w:val="2"/>
        <w:ind w:firstLine="0" w:firstLineChars="0"/>
        <w:rPr>
          <w:rFonts w:ascii="宋体" w:cs="宋体"/>
        </w:rPr>
      </w:pPr>
    </w:p>
    <w:p>
      <w:pPr>
        <w:pStyle w:val="2"/>
        <w:ind w:firstLine="0" w:firstLineChars="0"/>
        <w:rPr>
          <w:rFonts w:ascii="宋体" w:cs="宋体"/>
        </w:rPr>
      </w:pPr>
    </w:p>
    <w:p>
      <w:pPr>
        <w:ind w:firstLine="480"/>
        <w:rPr>
          <w:rFonts w:ascii="宋体" w:cs="宋体"/>
        </w:rPr>
      </w:pPr>
    </w:p>
    <w:p>
      <w:pPr>
        <w:pStyle w:val="53"/>
        <w:ind w:firstLine="320"/>
      </w:pPr>
    </w:p>
    <w:p>
      <w:pPr>
        <w:pStyle w:val="53"/>
        <w:ind w:left="0" w:leftChars="0" w:firstLine="0" w:firstLineChars="0"/>
      </w:pPr>
    </w:p>
    <w:p>
      <w:pPr>
        <w:pStyle w:val="53"/>
        <w:ind w:firstLine="320"/>
      </w:pPr>
    </w:p>
    <w:p>
      <w:pPr>
        <w:pStyle w:val="53"/>
        <w:ind w:firstLine="320"/>
      </w:pPr>
    </w:p>
    <w:p>
      <w:pPr>
        <w:pStyle w:val="53"/>
        <w:ind w:firstLine="320"/>
      </w:pPr>
    </w:p>
    <w:p>
      <w:pPr>
        <w:spacing w:line="360" w:lineRule="auto"/>
        <w:ind w:firstLine="640"/>
        <w:rPr>
          <w:rFonts w:ascii="宋体" w:cs="宋体"/>
          <w:sz w:val="32"/>
        </w:rPr>
      </w:pPr>
      <w:r>
        <w:rPr>
          <w:rFonts w:hint="eastAsia" w:ascii="宋体" w:hAnsi="宋体" w:cs="宋体"/>
          <w:sz w:val="32"/>
        </w:rPr>
        <w:t>项目编号：</w:t>
      </w:r>
      <w:r>
        <w:rPr>
          <w:rFonts w:hint="eastAsia" w:ascii="宋体" w:hAnsi="宋体" w:cs="宋体"/>
          <w:sz w:val="32"/>
          <w:u w:val="single"/>
          <w:lang w:eastAsia="zh-CN"/>
        </w:rPr>
        <w:t>LYCG2023YX-052</w:t>
      </w:r>
      <w:r>
        <w:rPr>
          <w:rFonts w:ascii="宋体" w:hAnsi="宋体" w:cs="宋体"/>
          <w:sz w:val="32"/>
          <w:u w:val="single"/>
        </w:rPr>
        <w:t xml:space="preserve">                      </w:t>
      </w:r>
    </w:p>
    <w:p>
      <w:pPr>
        <w:spacing w:line="360" w:lineRule="auto"/>
        <w:ind w:firstLine="640"/>
        <w:rPr>
          <w:rFonts w:ascii="宋体" w:cs="宋体"/>
          <w:sz w:val="32"/>
          <w:u w:val="single"/>
        </w:rPr>
      </w:pPr>
      <w:r>
        <w:rPr>
          <w:rFonts w:hint="eastAsia" w:ascii="宋体" w:hAnsi="宋体" w:cs="宋体"/>
          <w:sz w:val="32"/>
        </w:rPr>
        <w:t>投</w:t>
      </w:r>
      <w:r>
        <w:rPr>
          <w:rFonts w:ascii="宋体" w:hAnsi="宋体" w:cs="宋体"/>
          <w:sz w:val="32"/>
        </w:rPr>
        <w:t xml:space="preserve"> </w:t>
      </w:r>
      <w:r>
        <w:rPr>
          <w:rFonts w:hint="eastAsia" w:ascii="宋体" w:hAnsi="宋体" w:cs="宋体"/>
          <w:sz w:val="32"/>
        </w:rPr>
        <w:t>标</w:t>
      </w:r>
      <w:r>
        <w:rPr>
          <w:rFonts w:ascii="宋体" w:hAnsi="宋体" w:cs="宋体"/>
          <w:sz w:val="32"/>
        </w:rPr>
        <w:t xml:space="preserve"> </w:t>
      </w:r>
      <w:r>
        <w:rPr>
          <w:rFonts w:hint="eastAsia" w:ascii="宋体" w:hAnsi="宋体" w:cs="宋体"/>
          <w:sz w:val="32"/>
        </w:rPr>
        <w:t>人：</w:t>
      </w:r>
      <w:r>
        <w:rPr>
          <w:rFonts w:ascii="宋体" w:hAnsi="宋体" w:cs="宋体"/>
          <w:sz w:val="32"/>
          <w:u w:val="single"/>
        </w:rPr>
        <w:t xml:space="preserve">        </w:t>
      </w:r>
      <w:r>
        <w:rPr>
          <w:rFonts w:hint="eastAsia" w:ascii="宋体" w:hAnsi="宋体" w:cs="宋体"/>
          <w:sz w:val="32"/>
          <w:u w:val="single"/>
        </w:rPr>
        <w:t>（全称）（加盖公章）</w:t>
      </w:r>
      <w:r>
        <w:rPr>
          <w:rFonts w:ascii="宋体" w:hAnsi="宋体" w:cs="宋体"/>
          <w:sz w:val="32"/>
          <w:u w:val="single"/>
        </w:rPr>
        <w:t xml:space="preserve">          </w:t>
      </w:r>
    </w:p>
    <w:p>
      <w:pPr>
        <w:spacing w:line="360" w:lineRule="auto"/>
        <w:ind w:firstLine="640"/>
        <w:rPr>
          <w:rFonts w:ascii="宋体" w:cs="宋体"/>
          <w:sz w:val="32"/>
          <w:u w:val="single"/>
        </w:rPr>
      </w:pPr>
      <w:r>
        <w:rPr>
          <w:rFonts w:hint="eastAsia" w:ascii="宋体" w:hAnsi="宋体" w:cs="宋体"/>
          <w:sz w:val="32"/>
        </w:rPr>
        <w:t>法定代表人或授权代表人签字或盖章：</w:t>
      </w:r>
    </w:p>
    <w:p>
      <w:pPr>
        <w:spacing w:line="360" w:lineRule="auto"/>
        <w:ind w:firstLine="640"/>
        <w:rPr>
          <w:rFonts w:ascii="宋体" w:cs="宋体"/>
          <w:sz w:val="32"/>
          <w:u w:val="single"/>
        </w:rPr>
      </w:pPr>
      <w:r>
        <w:rPr>
          <w:rFonts w:hint="eastAsia" w:ascii="宋体" w:hAnsi="宋体" w:cs="宋体"/>
          <w:sz w:val="32"/>
        </w:rPr>
        <w:t>投标人地址：</w:t>
      </w:r>
    </w:p>
    <w:p>
      <w:pPr>
        <w:spacing w:line="360" w:lineRule="auto"/>
        <w:ind w:firstLine="0" w:firstLineChars="0"/>
        <w:jc w:val="center"/>
        <w:rPr>
          <w:rFonts w:ascii="宋体" w:hAnsi="宋体" w:cs="宋体"/>
          <w:b/>
          <w:bCs/>
        </w:rPr>
      </w:pPr>
      <w:r>
        <w:rPr>
          <w:rFonts w:hint="eastAsia" w:ascii="宋体" w:hAnsi="宋体" w:cs="宋体"/>
          <w:sz w:val="32"/>
        </w:rPr>
        <w:t>二〇二三</w:t>
      </w:r>
      <w:r>
        <w:rPr>
          <w:rFonts w:ascii="宋体" w:hAnsi="宋体" w:cs="宋体"/>
          <w:sz w:val="32"/>
        </w:rPr>
        <w:t xml:space="preserve"> </w:t>
      </w:r>
      <w:r>
        <w:rPr>
          <w:rFonts w:hint="eastAsia" w:ascii="宋体" w:hAnsi="宋体" w:cs="宋体"/>
          <w:sz w:val="32"/>
        </w:rPr>
        <w:t>年</w:t>
      </w:r>
      <w:r>
        <w:rPr>
          <w:rFonts w:ascii="宋体" w:hAnsi="宋体" w:cs="宋体"/>
          <w:sz w:val="32"/>
        </w:rPr>
        <w:t xml:space="preserve">    </w:t>
      </w:r>
      <w:r>
        <w:rPr>
          <w:rFonts w:hint="eastAsia" w:ascii="宋体" w:hAnsi="宋体" w:cs="宋体"/>
          <w:sz w:val="32"/>
        </w:rPr>
        <w:t>月</w:t>
      </w:r>
      <w:r>
        <w:rPr>
          <w:rFonts w:ascii="宋体" w:hAnsi="宋体" w:cs="宋体"/>
          <w:sz w:val="32"/>
        </w:rPr>
        <w:t xml:space="preserve">    </w:t>
      </w:r>
      <w:r>
        <w:rPr>
          <w:rFonts w:hint="eastAsia" w:ascii="宋体" w:hAnsi="宋体" w:cs="宋体"/>
          <w:sz w:val="32"/>
        </w:rPr>
        <w:t>日</w:t>
      </w:r>
    </w:p>
    <w:p>
      <w:pPr>
        <w:ind w:firstLine="0" w:firstLineChars="0"/>
        <w:outlineLvl w:val="1"/>
        <w:rPr>
          <w:rFonts w:hint="eastAsia" w:ascii="宋体" w:hAnsi="宋体" w:cs="宋体"/>
          <w:b/>
          <w:bCs/>
        </w:rPr>
      </w:pPr>
      <w:bookmarkStart w:id="1971" w:name="_Toc8609"/>
      <w:bookmarkStart w:id="1972" w:name="_Toc6584"/>
      <w:bookmarkStart w:id="1973" w:name="_Toc16261"/>
      <w:bookmarkStart w:id="1974" w:name="_Toc28977"/>
      <w:bookmarkStart w:id="1975" w:name="_Toc27894"/>
      <w:bookmarkStart w:id="1976" w:name="_Toc6661"/>
      <w:bookmarkStart w:id="1977" w:name="_Toc19302"/>
      <w:bookmarkStart w:id="1978" w:name="_Toc27025"/>
      <w:bookmarkStart w:id="1979" w:name="_Toc18194"/>
      <w:bookmarkStart w:id="1980" w:name="_Toc594"/>
      <w:bookmarkStart w:id="1981" w:name="_Toc5894"/>
      <w:bookmarkStart w:id="1982" w:name="_Toc29549"/>
      <w:bookmarkStart w:id="1983" w:name="_Toc4847"/>
      <w:bookmarkStart w:id="1984" w:name="_Toc13333"/>
      <w:bookmarkStart w:id="1985" w:name="_Toc24825"/>
      <w:bookmarkStart w:id="1986" w:name="_Toc25710"/>
      <w:bookmarkStart w:id="1987" w:name="_Toc31451"/>
      <w:bookmarkStart w:id="1988" w:name="_Toc20474"/>
      <w:bookmarkStart w:id="1989" w:name="_Toc2822"/>
      <w:bookmarkStart w:id="1990" w:name="_Toc4376"/>
      <w:bookmarkStart w:id="1991" w:name="_Toc21607"/>
      <w:bookmarkStart w:id="1992" w:name="_Toc18452"/>
      <w:bookmarkStart w:id="1993" w:name="_Toc2628"/>
      <w:bookmarkStart w:id="1994" w:name="_Toc24177"/>
      <w:bookmarkStart w:id="1995" w:name="_Toc19624"/>
      <w:bookmarkStart w:id="1996" w:name="_Toc18208"/>
      <w:bookmarkStart w:id="1997" w:name="_Toc14293"/>
      <w:bookmarkStart w:id="1998" w:name="_Toc24948"/>
      <w:bookmarkStart w:id="1999" w:name="_Toc16798"/>
    </w:p>
    <w:p>
      <w:pPr>
        <w:ind w:firstLine="0" w:firstLineChars="0"/>
        <w:outlineLvl w:val="1"/>
        <w:rPr>
          <w:rFonts w:hint="eastAsia" w:ascii="宋体" w:hAnsi="宋体" w:eastAsia="宋体" w:cs="宋体"/>
          <w:b/>
          <w:bCs/>
          <w:lang w:eastAsia="zh-CN"/>
        </w:rPr>
      </w:pPr>
      <w:r>
        <w:rPr>
          <w:rFonts w:hint="eastAsia" w:ascii="宋体" w:hAnsi="宋体" w:cs="宋体"/>
          <w:b/>
          <w:bCs/>
        </w:rPr>
        <w:t>附件</w:t>
      </w:r>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r>
        <w:rPr>
          <w:rFonts w:hint="eastAsia" w:ascii="宋体" w:hAnsi="宋体" w:cs="宋体"/>
          <w:b/>
          <w:bCs/>
          <w:lang w:val="en-US" w:eastAsia="zh-CN"/>
        </w:rPr>
        <w:t>8</w:t>
      </w:r>
    </w:p>
    <w:p>
      <w:pPr>
        <w:ind w:firstLine="0" w:firstLineChars="0"/>
        <w:jc w:val="center"/>
        <w:rPr>
          <w:rFonts w:ascii="宋体" w:cs="宋体"/>
        </w:rPr>
      </w:pPr>
      <w:r>
        <w:rPr>
          <w:rFonts w:hint="eastAsia"/>
          <w:b/>
          <w:bCs/>
          <w:sz w:val="30"/>
          <w:szCs w:val="30"/>
        </w:rPr>
        <w:t>开标一览表</w:t>
      </w:r>
    </w:p>
    <w:bookmarkEnd w:id="1994"/>
    <w:bookmarkEnd w:id="1995"/>
    <w:bookmarkEnd w:id="1996"/>
    <w:bookmarkEnd w:id="1997"/>
    <w:bookmarkEnd w:id="1998"/>
    <w:bookmarkEnd w:id="1999"/>
    <w:p>
      <w:pPr>
        <w:pStyle w:val="15"/>
        <w:ind w:left="0" w:leftChars="0" w:firstLine="0"/>
        <w:rPr>
          <w:rFonts w:hint="eastAsia"/>
          <w:b/>
          <w:bCs/>
          <w:snapToGrid w:val="0"/>
          <w:sz w:val="28"/>
          <w:szCs w:val="28"/>
        </w:rPr>
      </w:pPr>
      <w:bookmarkStart w:id="2000" w:name="_Toc2055"/>
      <w:bookmarkStart w:id="2001" w:name="_Toc455"/>
      <w:bookmarkStart w:id="2002" w:name="_Toc14273"/>
      <w:bookmarkStart w:id="2003" w:name="_Toc27611"/>
      <w:bookmarkStart w:id="2004" w:name="_Toc14634"/>
      <w:bookmarkStart w:id="2005" w:name="_Toc13307"/>
      <w:bookmarkStart w:id="2006" w:name="_Toc18660"/>
      <w:bookmarkStart w:id="2007" w:name="_Toc24111"/>
      <w:bookmarkStart w:id="2008" w:name="_Toc29609"/>
      <w:bookmarkStart w:id="2009" w:name="_Toc23888"/>
      <w:bookmarkStart w:id="2010" w:name="_Toc10552"/>
      <w:bookmarkStart w:id="2011" w:name="_Toc26488"/>
      <w:bookmarkStart w:id="2012" w:name="_Toc18544"/>
      <w:bookmarkStart w:id="2013" w:name="_Toc10457"/>
    </w:p>
    <w:p>
      <w:pPr>
        <w:pStyle w:val="15"/>
        <w:ind w:left="0" w:leftChars="0" w:firstLine="0"/>
        <w:jc w:val="right"/>
        <w:rPr>
          <w:rFonts w:hint="eastAsia"/>
          <w:b/>
          <w:bCs/>
          <w:snapToGrid w:val="0"/>
          <w:sz w:val="24"/>
          <w:szCs w:val="24"/>
        </w:rPr>
      </w:pPr>
      <w:r>
        <w:rPr>
          <w:rFonts w:hint="eastAsia" w:ascii="宋体" w:hAnsi="宋体"/>
          <w:color w:val="auto"/>
          <w:spacing w:val="-4"/>
          <w:sz w:val="24"/>
          <w:szCs w:val="24"/>
        </w:rPr>
        <w:t>货币形式：</w:t>
      </w:r>
      <w:r>
        <w:rPr>
          <w:rFonts w:hint="eastAsia" w:ascii="宋体" w:hAnsi="宋体"/>
          <w:color w:val="auto"/>
          <w:spacing w:val="-4"/>
          <w:sz w:val="24"/>
          <w:szCs w:val="24"/>
          <w:u w:val="single"/>
        </w:rPr>
        <w:t>人民币/元</w:t>
      </w:r>
    </w:p>
    <w:tbl>
      <w:tblPr>
        <w:tblStyle w:val="37"/>
        <w:tblW w:w="9962" w:type="dxa"/>
        <w:jc w:val="center"/>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7936"/>
      </w:tblGrid>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026" w:type="dxa"/>
            <w:tcBorders>
              <w:top w:val="thinThickSmallGap" w:color="auto" w:sz="12" w:space="0"/>
            </w:tcBorders>
            <w:vAlign w:val="center"/>
          </w:tcPr>
          <w:p>
            <w:pPr>
              <w:pStyle w:val="153"/>
              <w:spacing w:before="0" w:beforeAutospacing="0" w:after="0" w:afterAutospacing="0" w:line="460" w:lineRule="exact"/>
              <w:ind w:firstLine="0" w:firstLineChars="0"/>
              <w:jc w:val="center"/>
              <w:rPr>
                <w:rFonts w:eastAsia="宋体"/>
                <w:color w:val="auto"/>
                <w:kern w:val="2"/>
              </w:rPr>
            </w:pPr>
            <w:r>
              <w:rPr>
                <w:rFonts w:hint="eastAsia" w:eastAsia="宋体"/>
                <w:color w:val="auto"/>
              </w:rPr>
              <w:t>项目名称</w:t>
            </w:r>
          </w:p>
        </w:tc>
        <w:tc>
          <w:tcPr>
            <w:tcW w:w="7936" w:type="dxa"/>
            <w:tcBorders>
              <w:top w:val="thinThickSmallGap" w:color="auto" w:sz="12" w:space="0"/>
            </w:tcBorders>
            <w:vAlign w:val="center"/>
          </w:tcPr>
          <w:p>
            <w:pPr>
              <w:snapToGrid w:val="0"/>
              <w:ind w:firstLine="480"/>
              <w:rPr>
                <w:rFonts w:ascii="宋体" w:hAnsi="宋体"/>
                <w:color w:val="auto"/>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026" w:type="dxa"/>
            <w:vAlign w:val="center"/>
          </w:tcPr>
          <w:p>
            <w:pPr>
              <w:pStyle w:val="153"/>
              <w:spacing w:before="0" w:beforeAutospacing="0" w:after="0" w:afterAutospacing="0" w:line="460" w:lineRule="exact"/>
              <w:ind w:firstLine="0" w:firstLineChars="0"/>
              <w:jc w:val="center"/>
              <w:rPr>
                <w:rFonts w:eastAsia="宋体"/>
                <w:color w:val="auto"/>
              </w:rPr>
            </w:pPr>
            <w:r>
              <w:rPr>
                <w:rFonts w:hint="eastAsia" w:eastAsia="宋体"/>
                <w:color w:val="auto"/>
              </w:rPr>
              <w:t>项目编号</w:t>
            </w:r>
          </w:p>
        </w:tc>
        <w:tc>
          <w:tcPr>
            <w:tcW w:w="7936" w:type="dxa"/>
            <w:vAlign w:val="center"/>
          </w:tcPr>
          <w:p>
            <w:pPr>
              <w:pStyle w:val="153"/>
              <w:spacing w:before="0" w:beforeAutospacing="0" w:after="0" w:afterAutospacing="0" w:line="460" w:lineRule="exact"/>
              <w:ind w:firstLine="0" w:firstLineChars="0"/>
              <w:rPr>
                <w:rFonts w:eastAsia="宋体"/>
                <w:color w:val="auto"/>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026" w:type="dxa"/>
            <w:vAlign w:val="center"/>
          </w:tcPr>
          <w:p>
            <w:pPr>
              <w:pStyle w:val="153"/>
              <w:spacing w:before="0" w:beforeAutospacing="0" w:after="0" w:afterAutospacing="0" w:line="460" w:lineRule="exact"/>
              <w:ind w:firstLine="0" w:firstLineChars="0"/>
              <w:jc w:val="center"/>
              <w:rPr>
                <w:rFonts w:hint="eastAsia" w:eastAsia="宋体"/>
                <w:color w:val="auto"/>
                <w:lang w:eastAsia="zh-CN"/>
              </w:rPr>
            </w:pPr>
            <w:r>
              <w:rPr>
                <w:rFonts w:hint="eastAsia" w:eastAsia="宋体"/>
                <w:color w:val="auto"/>
                <w:lang w:eastAsia="zh-CN"/>
              </w:rPr>
              <w:t>供货期</w:t>
            </w:r>
          </w:p>
        </w:tc>
        <w:tc>
          <w:tcPr>
            <w:tcW w:w="7936" w:type="dxa"/>
            <w:vAlign w:val="center"/>
          </w:tcPr>
          <w:p>
            <w:pPr>
              <w:pStyle w:val="153"/>
              <w:spacing w:before="0" w:beforeAutospacing="0" w:after="0" w:afterAutospacing="0" w:line="460" w:lineRule="exact"/>
              <w:ind w:firstLine="0" w:firstLineChars="0"/>
              <w:rPr>
                <w:rFonts w:eastAsia="宋体"/>
                <w:color w:val="auto"/>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026" w:type="dxa"/>
            <w:vAlign w:val="center"/>
          </w:tcPr>
          <w:p>
            <w:pPr>
              <w:pStyle w:val="153"/>
              <w:spacing w:before="0" w:beforeAutospacing="0" w:after="0" w:afterAutospacing="0" w:line="460" w:lineRule="exact"/>
              <w:ind w:firstLine="0" w:firstLineChars="0"/>
              <w:jc w:val="center"/>
              <w:rPr>
                <w:rFonts w:eastAsia="宋体"/>
                <w:color w:val="auto"/>
              </w:rPr>
            </w:pPr>
            <w:r>
              <w:rPr>
                <w:rFonts w:hint="eastAsia" w:eastAsia="宋体"/>
                <w:color w:val="auto"/>
                <w:lang w:val="en-US" w:eastAsia="zh-CN"/>
              </w:rPr>
              <w:t>质</w:t>
            </w:r>
            <w:r>
              <w:rPr>
                <w:rFonts w:hint="eastAsia" w:eastAsia="宋体"/>
                <w:color w:val="auto"/>
              </w:rPr>
              <w:t>保期</w:t>
            </w:r>
          </w:p>
        </w:tc>
        <w:tc>
          <w:tcPr>
            <w:tcW w:w="7936" w:type="dxa"/>
            <w:vAlign w:val="center"/>
          </w:tcPr>
          <w:p>
            <w:pPr>
              <w:pStyle w:val="153"/>
              <w:spacing w:before="0" w:beforeAutospacing="0" w:after="0" w:afterAutospacing="0" w:line="460" w:lineRule="exact"/>
              <w:ind w:firstLine="0" w:firstLineChars="0"/>
              <w:rPr>
                <w:rFonts w:eastAsia="宋体"/>
                <w:color w:val="auto"/>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026" w:type="dxa"/>
            <w:tcBorders>
              <w:bottom w:val="thinThickSmallGap" w:color="auto" w:sz="12" w:space="0"/>
            </w:tcBorders>
            <w:vAlign w:val="center"/>
          </w:tcPr>
          <w:p>
            <w:pPr>
              <w:pStyle w:val="153"/>
              <w:spacing w:before="0" w:beforeAutospacing="0" w:after="0" w:afterAutospacing="0" w:line="460" w:lineRule="exact"/>
              <w:ind w:firstLine="0" w:firstLineChars="0"/>
              <w:jc w:val="center"/>
              <w:rPr>
                <w:rFonts w:eastAsia="宋体"/>
                <w:color w:val="auto"/>
                <w:kern w:val="2"/>
              </w:rPr>
            </w:pPr>
            <w:r>
              <w:rPr>
                <w:rFonts w:hint="eastAsia" w:eastAsia="宋体"/>
                <w:color w:val="auto"/>
              </w:rPr>
              <w:t>投标报价</w:t>
            </w:r>
          </w:p>
        </w:tc>
        <w:tc>
          <w:tcPr>
            <w:tcW w:w="7936" w:type="dxa"/>
            <w:tcBorders>
              <w:bottom w:val="thinThickSmallGap" w:color="auto" w:sz="12" w:space="0"/>
            </w:tcBorders>
            <w:vAlign w:val="center"/>
          </w:tcPr>
          <w:p>
            <w:pPr>
              <w:pStyle w:val="153"/>
              <w:spacing w:before="0" w:beforeAutospacing="0" w:after="0" w:afterAutospacing="0" w:line="240" w:lineRule="auto"/>
              <w:ind w:firstLine="0" w:firstLineChars="0"/>
              <w:rPr>
                <w:rFonts w:eastAsia="宋体"/>
                <w:color w:val="auto"/>
              </w:rPr>
            </w:pPr>
            <w:r>
              <w:rPr>
                <w:rFonts w:hint="eastAsia" w:eastAsia="宋体"/>
                <w:color w:val="auto"/>
                <w:spacing w:val="-5"/>
              </w:rPr>
              <w:t>投标总价</w:t>
            </w:r>
            <w:r>
              <w:rPr>
                <w:rFonts w:hint="eastAsia" w:eastAsia="宋体"/>
                <w:color w:val="auto"/>
              </w:rPr>
              <w:t>大写：</w:t>
            </w:r>
            <w:r>
              <w:rPr>
                <w:rFonts w:hint="eastAsia" w:eastAsia="宋体"/>
                <w:color w:val="auto"/>
                <w:spacing w:val="-5"/>
                <w:u w:val="single"/>
              </w:rPr>
              <w:t>           </w:t>
            </w:r>
            <w:r>
              <w:rPr>
                <w:rFonts w:hint="eastAsia" w:eastAsia="宋体"/>
                <w:color w:val="auto"/>
              </w:rPr>
              <w:t>元整；</w:t>
            </w:r>
          </w:p>
          <w:p>
            <w:pPr>
              <w:pStyle w:val="153"/>
              <w:spacing w:before="0" w:beforeAutospacing="0" w:after="0" w:afterAutospacing="0" w:line="240" w:lineRule="auto"/>
              <w:ind w:firstLine="0" w:firstLineChars="0"/>
              <w:rPr>
                <w:rFonts w:eastAsia="宋体"/>
                <w:color w:val="auto"/>
                <w:spacing w:val="-5"/>
                <w:u w:val="single"/>
              </w:rPr>
            </w:pPr>
            <w:r>
              <w:rPr>
                <w:rFonts w:hint="eastAsia" w:eastAsia="宋体"/>
                <w:color w:val="auto"/>
              </w:rPr>
              <w:t>（小写）¥：</w:t>
            </w:r>
            <w:r>
              <w:rPr>
                <w:rFonts w:hint="eastAsia" w:eastAsia="宋体"/>
                <w:color w:val="auto"/>
                <w:spacing w:val="-5"/>
                <w:u w:val="single"/>
              </w:rPr>
              <w:t xml:space="preserve">                    </w:t>
            </w:r>
            <w:r>
              <w:rPr>
                <w:rFonts w:hint="eastAsia" w:eastAsia="宋体"/>
                <w:color w:val="auto"/>
              </w:rPr>
              <w:t>元。</w:t>
            </w:r>
          </w:p>
        </w:tc>
      </w:tr>
    </w:tbl>
    <w:p>
      <w:pPr>
        <w:pStyle w:val="15"/>
        <w:ind w:left="0" w:leftChars="0" w:firstLine="0"/>
        <w:rPr>
          <w:rFonts w:hint="eastAsia"/>
          <w:b/>
          <w:bCs/>
          <w:snapToGrid w:val="0"/>
          <w:sz w:val="28"/>
          <w:szCs w:val="28"/>
        </w:rPr>
      </w:pPr>
    </w:p>
    <w:p>
      <w:pPr>
        <w:spacing w:line="400" w:lineRule="exact"/>
        <w:ind w:firstLine="240" w:firstLineChars="100"/>
        <w:rPr>
          <w:rFonts w:ascii="宋体" w:hAnsi="宋体"/>
          <w:color w:val="auto"/>
        </w:rPr>
      </w:pPr>
      <w:r>
        <w:rPr>
          <w:rFonts w:hint="eastAsia" w:ascii="宋体" w:hAnsi="宋体"/>
          <w:color w:val="auto"/>
        </w:rPr>
        <w:t>注：</w:t>
      </w:r>
    </w:p>
    <w:p>
      <w:pPr>
        <w:spacing w:line="240" w:lineRule="auto"/>
        <w:ind w:firstLine="480"/>
        <w:rPr>
          <w:rFonts w:asciiTheme="minorEastAsia" w:hAnsiTheme="minorEastAsia" w:eastAsiaTheme="minorEastAsia"/>
          <w:color w:val="auto"/>
          <w:lang w:val="zh-CN"/>
        </w:rPr>
      </w:pPr>
      <w:r>
        <w:rPr>
          <w:rFonts w:hint="eastAsia" w:asciiTheme="minorEastAsia" w:hAnsiTheme="minorEastAsia" w:eastAsiaTheme="minorEastAsia"/>
          <w:color w:val="auto"/>
          <w:lang w:val="zh-CN"/>
        </w:rPr>
        <w:t>1.▲本表由投标人填写，供开标会参考所用。报价填写必须为印刷体打印，手写无效报价。</w:t>
      </w:r>
    </w:p>
    <w:p>
      <w:pPr>
        <w:spacing w:line="240" w:lineRule="auto"/>
        <w:ind w:firstLine="480"/>
        <w:rPr>
          <w:rFonts w:hint="eastAsia" w:ascii="宋体" w:hAnsi="宋体" w:cs="宋体" w:eastAsiaTheme="minorEastAsia"/>
          <w:color w:val="auto"/>
          <w:lang w:val="zh-CN"/>
        </w:rPr>
      </w:pPr>
      <w:r>
        <w:rPr>
          <w:rFonts w:hint="eastAsia" w:asciiTheme="minorEastAsia" w:hAnsiTheme="minorEastAsia" w:eastAsiaTheme="minorEastAsia"/>
          <w:color w:val="auto"/>
          <w:lang w:val="zh-CN"/>
        </w:rPr>
        <w:t>2.</w:t>
      </w:r>
      <w:r>
        <w:rPr>
          <w:rFonts w:hint="eastAsia" w:ascii="宋体" w:hAnsi="宋体" w:cs="宋体"/>
          <w:color w:val="auto"/>
          <w:lang w:val="zh-CN"/>
        </w:rPr>
        <w:t>本项目为固定</w:t>
      </w:r>
      <w:r>
        <w:rPr>
          <w:rFonts w:hint="eastAsia" w:ascii="宋体" w:hAnsi="宋体" w:cs="宋体"/>
          <w:color w:val="auto"/>
          <w:lang w:val="en-US" w:eastAsia="zh-CN"/>
        </w:rPr>
        <w:t>单价</w:t>
      </w:r>
      <w:r>
        <w:rPr>
          <w:rFonts w:hint="eastAsia" w:ascii="宋体" w:hAnsi="宋体" w:cs="宋体"/>
          <w:color w:val="auto"/>
        </w:rPr>
        <w:t>合同</w:t>
      </w:r>
      <w:r>
        <w:rPr>
          <w:rFonts w:hint="eastAsia" w:ascii="宋体" w:hAnsi="宋体" w:cs="宋体"/>
          <w:color w:val="auto"/>
          <w:lang w:val="zh-CN"/>
        </w:rPr>
        <w:t>，投标报价须包括但不限于产品价款、运输费、装卸车费、损耗费、备品备件、安装调试费、工程费、人工费、专业机械费、检测验收费、技术支持、总包配合费、售后服务、商品维护、保险、税金等一切费用。如有漏项，视同已包含在其它项目中，单价不作调整，乙方不得再要求追加任何费用。</w:t>
      </w:r>
    </w:p>
    <w:p>
      <w:pPr>
        <w:snapToGrid w:val="0"/>
        <w:spacing w:line="480" w:lineRule="exact"/>
        <w:ind w:firstLine="3840" w:firstLineChars="1600"/>
        <w:rPr>
          <w:rFonts w:ascii="宋体" w:hAnsi="宋体"/>
          <w:color w:val="auto"/>
          <w:lang w:val="zh-CN"/>
        </w:rPr>
      </w:pPr>
    </w:p>
    <w:p>
      <w:pPr>
        <w:ind w:firstLine="4320" w:firstLineChars="1800"/>
        <w:rPr>
          <w:color w:val="auto"/>
        </w:rPr>
      </w:pPr>
      <w:r>
        <w:rPr>
          <w:rFonts w:hint="eastAsia"/>
          <w:color w:val="auto"/>
        </w:rPr>
        <w:t>投标人全称（盖章）：</w:t>
      </w:r>
      <w:r>
        <w:rPr>
          <w:color w:val="auto"/>
        </w:rPr>
        <w:t xml:space="preserve">                         </w:t>
      </w:r>
    </w:p>
    <w:p>
      <w:pPr>
        <w:ind w:firstLine="4320" w:firstLineChars="1800"/>
        <w:rPr>
          <w:color w:val="auto"/>
        </w:rPr>
      </w:pPr>
      <w:r>
        <w:rPr>
          <w:rFonts w:hint="eastAsia"/>
          <w:color w:val="auto"/>
        </w:rPr>
        <w:t>法定代表人或授权代理人（签字或盖章）：</w:t>
      </w:r>
    </w:p>
    <w:p>
      <w:pPr>
        <w:ind w:firstLine="4320" w:firstLineChars="1800"/>
        <w:rPr>
          <w:color w:val="auto"/>
        </w:rPr>
      </w:pPr>
      <w:r>
        <w:rPr>
          <w:rFonts w:hint="eastAsia"/>
          <w:color w:val="auto"/>
        </w:rPr>
        <w:t>日期：</w:t>
      </w:r>
      <w:r>
        <w:rPr>
          <w:rFonts w:ascii="宋体" w:hAnsi="宋体" w:cs="宋体"/>
          <w:color w:val="auto"/>
        </w:rPr>
        <w:t>202</w:t>
      </w:r>
      <w:r>
        <w:rPr>
          <w:rFonts w:hint="eastAsia" w:ascii="宋体" w:hAnsi="宋体" w:cs="宋体"/>
          <w:color w:val="auto"/>
          <w:lang w:val="en-US" w:eastAsia="zh-CN"/>
        </w:rPr>
        <w:t>3</w:t>
      </w:r>
      <w:r>
        <w:rPr>
          <w:rFonts w:hint="eastAsia" w:ascii="宋体" w:hAnsi="宋体" w:cs="宋体"/>
          <w:color w:val="auto"/>
        </w:rPr>
        <w:t>年</w:t>
      </w:r>
      <w:r>
        <w:rPr>
          <w:color w:val="auto"/>
        </w:rPr>
        <w:t xml:space="preserve">   </w:t>
      </w:r>
      <w:r>
        <w:rPr>
          <w:rFonts w:hint="eastAsia"/>
          <w:color w:val="auto"/>
        </w:rPr>
        <w:t>月</w:t>
      </w:r>
      <w:r>
        <w:rPr>
          <w:color w:val="auto"/>
        </w:rPr>
        <w:t xml:space="preserve">   </w:t>
      </w:r>
      <w:r>
        <w:rPr>
          <w:rFonts w:hint="eastAsia"/>
          <w:color w:val="auto"/>
        </w:rPr>
        <w:t>日</w:t>
      </w:r>
    </w:p>
    <w:p>
      <w:pPr>
        <w:pStyle w:val="15"/>
        <w:ind w:left="0" w:leftChars="0" w:firstLine="0"/>
        <w:rPr>
          <w:rFonts w:hint="eastAsia"/>
          <w:b/>
          <w:bCs/>
          <w:snapToGrid w:val="0"/>
          <w:sz w:val="28"/>
          <w:szCs w:val="28"/>
        </w:rPr>
      </w:pPr>
    </w:p>
    <w:p>
      <w:pPr>
        <w:pStyle w:val="15"/>
        <w:ind w:left="0" w:leftChars="0" w:firstLine="0"/>
        <w:rPr>
          <w:rFonts w:hint="eastAsia"/>
          <w:b/>
          <w:bCs/>
          <w:snapToGrid w:val="0"/>
          <w:sz w:val="28"/>
          <w:szCs w:val="28"/>
        </w:rPr>
      </w:pPr>
    </w:p>
    <w:p>
      <w:pPr>
        <w:pStyle w:val="15"/>
        <w:ind w:left="0" w:leftChars="0" w:firstLine="0"/>
        <w:rPr>
          <w:rFonts w:hint="eastAsia"/>
          <w:b/>
          <w:bCs/>
          <w:snapToGrid w:val="0"/>
          <w:sz w:val="28"/>
          <w:szCs w:val="28"/>
        </w:rPr>
      </w:pPr>
    </w:p>
    <w:p>
      <w:pPr>
        <w:pStyle w:val="15"/>
        <w:ind w:left="0" w:leftChars="0" w:firstLine="0"/>
        <w:rPr>
          <w:rFonts w:hint="eastAsia"/>
          <w:b/>
          <w:bCs/>
          <w:snapToGrid w:val="0"/>
          <w:sz w:val="28"/>
          <w:szCs w:val="28"/>
        </w:rPr>
      </w:pPr>
    </w:p>
    <w:p>
      <w:pPr>
        <w:pStyle w:val="15"/>
        <w:ind w:left="0" w:leftChars="0" w:firstLine="0"/>
        <w:rPr>
          <w:rFonts w:hint="eastAsia"/>
          <w:b/>
          <w:bCs/>
          <w:snapToGrid w:val="0"/>
          <w:sz w:val="28"/>
          <w:szCs w:val="28"/>
        </w:rPr>
      </w:pPr>
    </w:p>
    <w:p>
      <w:pPr>
        <w:pStyle w:val="15"/>
        <w:ind w:left="0" w:leftChars="0" w:firstLine="0"/>
        <w:rPr>
          <w:rFonts w:hint="eastAsia"/>
          <w:b/>
          <w:bCs/>
          <w:snapToGrid w:val="0"/>
          <w:sz w:val="28"/>
          <w:szCs w:val="28"/>
        </w:rPr>
      </w:pPr>
    </w:p>
    <w:p>
      <w:pPr>
        <w:ind w:firstLine="0" w:firstLineChars="0"/>
        <w:outlineLvl w:val="1"/>
        <w:rPr>
          <w:rFonts w:hint="eastAsia"/>
          <w:b/>
          <w:bCs/>
          <w:snapToGrid w:val="0"/>
          <w:sz w:val="28"/>
          <w:szCs w:val="28"/>
        </w:rPr>
      </w:pPr>
      <w:r>
        <w:rPr>
          <w:rFonts w:hint="eastAsia" w:ascii="宋体" w:hAnsi="宋体" w:cs="宋体"/>
          <w:b/>
          <w:bCs/>
        </w:rPr>
        <w:t>附件</w:t>
      </w:r>
      <w:r>
        <w:rPr>
          <w:rFonts w:hint="eastAsia" w:ascii="宋体" w:hAnsi="宋体" w:cs="宋体"/>
          <w:b/>
          <w:bCs/>
          <w:lang w:val="en-US" w:eastAsia="zh-CN"/>
        </w:rPr>
        <w:t>9</w:t>
      </w:r>
    </w:p>
    <w:p>
      <w:pPr>
        <w:tabs>
          <w:tab w:val="left" w:pos="900"/>
        </w:tabs>
        <w:spacing w:line="360" w:lineRule="auto"/>
        <w:ind w:firstLine="0" w:firstLineChars="0"/>
        <w:jc w:val="center"/>
        <w:rPr>
          <w:rFonts w:hint="eastAsia" w:ascii="宋体" w:hAnsi="宋体" w:cs="宋体"/>
          <w:b/>
          <w:color w:val="auto"/>
          <w:spacing w:val="-4"/>
          <w:sz w:val="32"/>
          <w:szCs w:val="32"/>
        </w:rPr>
      </w:pPr>
      <w:r>
        <w:rPr>
          <w:rFonts w:hint="eastAsia" w:ascii="宋体" w:hAnsi="宋体" w:cs="宋体"/>
          <w:b/>
          <w:color w:val="auto"/>
          <w:spacing w:val="-4"/>
          <w:sz w:val="32"/>
          <w:szCs w:val="32"/>
        </w:rPr>
        <w:t>清单报价表</w:t>
      </w:r>
    </w:p>
    <w:p>
      <w:pPr>
        <w:tabs>
          <w:tab w:val="left" w:pos="900"/>
        </w:tabs>
        <w:spacing w:line="240" w:lineRule="auto"/>
        <w:ind w:firstLine="464"/>
        <w:rPr>
          <w:rFonts w:ascii="宋体" w:hAnsi="宋体" w:cs="宋体"/>
          <w:color w:val="auto"/>
          <w:spacing w:val="-4"/>
        </w:rPr>
      </w:pPr>
      <w:r>
        <w:rPr>
          <w:rFonts w:hint="eastAsia" w:ascii="宋体" w:hAnsi="宋体" w:cs="宋体"/>
          <w:color w:val="auto"/>
          <w:spacing w:val="-4"/>
        </w:rPr>
        <w:t>项目名称：</w:t>
      </w:r>
    </w:p>
    <w:p>
      <w:pPr>
        <w:tabs>
          <w:tab w:val="left" w:pos="900"/>
        </w:tabs>
        <w:spacing w:line="240" w:lineRule="auto"/>
        <w:ind w:firstLine="464"/>
        <w:rPr>
          <w:color w:val="auto"/>
        </w:rPr>
      </w:pPr>
      <w:r>
        <w:rPr>
          <w:rFonts w:hint="eastAsia" w:ascii="宋体" w:hAnsi="宋体" w:cs="宋体"/>
          <w:color w:val="auto"/>
          <w:spacing w:val="-4"/>
        </w:rPr>
        <w:t>项目编号：                                              货币形式：</w:t>
      </w:r>
      <w:r>
        <w:rPr>
          <w:rFonts w:hint="eastAsia" w:ascii="宋体" w:hAnsi="宋体" w:cs="宋体"/>
          <w:color w:val="auto"/>
          <w:spacing w:val="-4"/>
          <w:u w:val="single"/>
        </w:rPr>
        <w:t>元/人民币</w:t>
      </w:r>
    </w:p>
    <w:p>
      <w:pPr>
        <w:pStyle w:val="15"/>
        <w:ind w:left="0" w:leftChars="0" w:firstLine="0" w:firstLineChars="0"/>
        <w:rPr>
          <w:rFonts w:hint="eastAsia"/>
          <w:b/>
          <w:bCs/>
          <w:snapToGrid w:val="0"/>
          <w:sz w:val="28"/>
          <w:szCs w:val="28"/>
        </w:rPr>
      </w:pPr>
    </w:p>
    <w:tbl>
      <w:tblPr>
        <w:tblStyle w:val="37"/>
        <w:tblW w:w="459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9"/>
        <w:gridCol w:w="1314"/>
        <w:gridCol w:w="2148"/>
        <w:gridCol w:w="764"/>
        <w:gridCol w:w="764"/>
        <w:gridCol w:w="764"/>
        <w:gridCol w:w="764"/>
        <w:gridCol w:w="936"/>
        <w:gridCol w:w="9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基本参数及要求</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品牌</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val="0"/>
                <w:color w:val="auto"/>
                <w:kern w:val="2"/>
                <w:sz w:val="24"/>
                <w:szCs w:val="24"/>
                <w:u w:val="none"/>
                <w:shd w:val="clear" w:color="auto" w:fill="FFFFFF"/>
                <w:lang w:bidi="ar"/>
              </w:rPr>
              <w:t>单价（元）</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val="0"/>
                <w:color w:val="auto"/>
                <w:kern w:val="2"/>
                <w:sz w:val="24"/>
                <w:szCs w:val="24"/>
                <w:u w:val="none"/>
                <w:shd w:val="clear" w:color="auto" w:fill="FFFFFF"/>
                <w:lang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7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合计</w:t>
            </w:r>
          </w:p>
        </w:tc>
        <w:tc>
          <w:tcPr>
            <w:tcW w:w="26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autoSpaceDE w:val="0"/>
              <w:autoSpaceDN w:val="0"/>
              <w:adjustRightInd w:val="0"/>
              <w:spacing w:line="312" w:lineRule="auto"/>
              <w:ind w:firstLine="0" w:firstLineChars="0"/>
              <w:jc w:val="left"/>
              <w:textAlignment w:val="auto"/>
              <w:rPr>
                <w:rFonts w:ascii="宋体" w:hAnsi="宋体" w:cs="宋体"/>
                <w:color w:val="auto"/>
                <w:kern w:val="0"/>
                <w:sz w:val="21"/>
                <w:szCs w:val="21"/>
                <w:lang w:bidi="ar"/>
              </w:rPr>
            </w:pPr>
            <w:r>
              <w:rPr>
                <w:rFonts w:ascii="宋体" w:hAnsi="宋体" w:cs="宋体"/>
                <w:color w:val="auto"/>
                <w:kern w:val="0"/>
                <w:sz w:val="21"/>
                <w:szCs w:val="21"/>
                <w:lang w:bidi="ar"/>
              </w:rPr>
              <w:t>人民币大写：</w:t>
            </w:r>
            <w:r>
              <w:rPr>
                <w:rFonts w:ascii="宋体" w:hAnsi="宋体" w:cs="宋体"/>
                <w:color w:val="auto"/>
                <w:kern w:val="0"/>
                <w:sz w:val="21"/>
                <w:szCs w:val="21"/>
                <w:u w:val="single"/>
                <w:lang w:bidi="ar"/>
              </w:rPr>
              <w:t xml:space="preserve">           </w:t>
            </w:r>
            <w:r>
              <w:rPr>
                <w:rFonts w:ascii="宋体" w:hAnsi="宋体" w:cs="宋体"/>
                <w:color w:val="auto"/>
                <w:kern w:val="0"/>
                <w:sz w:val="21"/>
                <w:szCs w:val="21"/>
                <w:lang w:bidi="ar"/>
              </w:rPr>
              <w:t>元整；</w:t>
            </w:r>
          </w:p>
          <w:p>
            <w:pPr>
              <w:keepNext w:val="0"/>
              <w:keepLines w:val="0"/>
              <w:widowControl/>
              <w:suppressLineNumbers w:val="0"/>
              <w:spacing w:before="0" w:beforeAutospacing="0" w:after="0" w:afterAutospacing="0"/>
              <w:ind w:left="0" w:leftChars="0" w:right="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ascii="宋体" w:hAnsi="宋体" w:cs="宋体"/>
                <w:color w:val="auto"/>
                <w:kern w:val="0"/>
                <w:sz w:val="21"/>
                <w:szCs w:val="21"/>
                <w:lang w:bidi="ar"/>
              </w:rPr>
              <w:t>（小写）¥：</w:t>
            </w:r>
            <w:r>
              <w:rPr>
                <w:rFonts w:ascii="宋体" w:hAnsi="宋体" w:cs="宋体"/>
                <w:color w:val="auto"/>
                <w:kern w:val="0"/>
                <w:sz w:val="21"/>
                <w:szCs w:val="21"/>
                <w:u w:val="single"/>
                <w:lang w:bidi="ar"/>
              </w:rPr>
              <w:t xml:space="preserve">           </w:t>
            </w:r>
            <w:r>
              <w:rPr>
                <w:rFonts w:ascii="宋体" w:hAnsi="宋体" w:cs="宋体"/>
                <w:color w:val="auto"/>
                <w:kern w:val="0"/>
                <w:sz w:val="21"/>
                <w:szCs w:val="21"/>
                <w:lang w:bidi="ar"/>
              </w:rPr>
              <w:t xml:space="preserve"> 元。</w:t>
            </w:r>
          </w:p>
        </w:tc>
      </w:tr>
    </w:tbl>
    <w:p>
      <w:pPr>
        <w:widowControl/>
        <w:snapToGrid w:val="0"/>
        <w:spacing w:before="156" w:line="24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注：1.</w:t>
      </w:r>
      <w:r>
        <w:rPr>
          <w:rFonts w:hint="eastAsia" w:ascii="宋体" w:hAnsi="宋体" w:eastAsia="宋体" w:cs="宋体"/>
          <w:color w:val="000000"/>
          <w:sz w:val="24"/>
          <w:szCs w:val="24"/>
          <w:lang w:val="zh-CN"/>
        </w:rPr>
        <w:t>▲本表由投标人填写，供开标会参考所用，</w:t>
      </w:r>
      <w:r>
        <w:rPr>
          <w:rFonts w:hint="eastAsia" w:ascii="宋体" w:hAnsi="宋体" w:eastAsia="宋体" w:cs="宋体"/>
          <w:color w:val="000000"/>
          <w:sz w:val="24"/>
          <w:szCs w:val="24"/>
        </w:rPr>
        <w:t>报价填写必须为印刷体打印，手写无效报价。</w:t>
      </w:r>
    </w:p>
    <w:p>
      <w:pPr>
        <w:widowControl/>
        <w:snapToGrid w:val="0"/>
        <w:spacing w:before="156"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2.投标单价保留整数。</w:t>
      </w:r>
    </w:p>
    <w:p>
      <w:pPr>
        <w:widowControl/>
        <w:snapToGrid w:val="0"/>
        <w:spacing w:before="156" w:line="24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3.投标报价包含</w:t>
      </w:r>
      <w:r>
        <w:rPr>
          <w:rFonts w:hint="eastAsia" w:ascii="宋体" w:hAnsi="宋体" w:eastAsia="宋体" w:cs="宋体"/>
          <w:color w:val="000000"/>
          <w:sz w:val="24"/>
          <w:szCs w:val="24"/>
          <w:lang w:eastAsia="zh-CN"/>
        </w:rPr>
        <w:t>产品价款、运输费、装卸车费、损耗费、备品备件、安装调试费、工程费、人工费、专业机械费、检测验收费、技术支持、</w:t>
      </w:r>
      <w:r>
        <w:rPr>
          <w:rFonts w:hint="eastAsia" w:ascii="宋体" w:hAnsi="宋体" w:eastAsia="宋体" w:cs="宋体"/>
          <w:color w:val="000000"/>
          <w:sz w:val="24"/>
          <w:szCs w:val="24"/>
          <w:lang w:val="en-US" w:eastAsia="zh-CN"/>
        </w:rPr>
        <w:t>总包配合费、</w:t>
      </w:r>
      <w:r>
        <w:rPr>
          <w:rFonts w:hint="eastAsia" w:ascii="宋体" w:hAnsi="宋体" w:eastAsia="宋体" w:cs="宋体"/>
          <w:color w:val="000000"/>
          <w:sz w:val="24"/>
          <w:szCs w:val="24"/>
          <w:lang w:eastAsia="zh-CN"/>
        </w:rPr>
        <w:t>售后服务、商品维护、保险、税金等一切费用。如有漏项，视同已包含在其它项目中，单价不作调整，乙方不得再要求追加任何费用。</w:t>
      </w:r>
    </w:p>
    <w:p>
      <w:pPr>
        <w:ind w:firstLine="4800" w:firstLineChars="2000"/>
        <w:rPr>
          <w:rFonts w:hint="eastAsia"/>
        </w:rPr>
      </w:pPr>
    </w:p>
    <w:p>
      <w:pPr>
        <w:ind w:firstLine="4800" w:firstLineChars="2000"/>
      </w:pPr>
      <w:r>
        <w:rPr>
          <w:rFonts w:hint="eastAsia"/>
        </w:rPr>
        <w:t>投标人全称（盖章）：</w:t>
      </w:r>
      <w:r>
        <w:t xml:space="preserve">                         </w:t>
      </w:r>
    </w:p>
    <w:p>
      <w:pPr>
        <w:ind w:firstLine="4800" w:firstLineChars="2000"/>
      </w:pPr>
      <w:r>
        <w:rPr>
          <w:rFonts w:hint="eastAsia"/>
        </w:rPr>
        <w:t>法定代表人或授权代理人（签字或盖章）：</w:t>
      </w:r>
    </w:p>
    <w:p>
      <w:pPr>
        <w:ind w:firstLine="4800" w:firstLineChars="2000"/>
      </w:pPr>
      <w:r>
        <w:rPr>
          <w:rFonts w:hint="eastAsia"/>
        </w:rPr>
        <w:t>日期：</w:t>
      </w:r>
      <w:r>
        <w:rPr>
          <w:rFonts w:hint="eastAsia" w:ascii="宋体" w:hAnsi="宋体" w:cs="宋体"/>
        </w:rPr>
        <w:t>2023年</w:t>
      </w:r>
      <w:r>
        <w:t xml:space="preserve">   </w:t>
      </w:r>
      <w:r>
        <w:rPr>
          <w:rFonts w:hint="eastAsia"/>
        </w:rPr>
        <w:t>月</w:t>
      </w:r>
      <w:r>
        <w:t xml:space="preserve">   </w:t>
      </w:r>
      <w:r>
        <w:rPr>
          <w:rFonts w:hint="eastAsia"/>
        </w:rPr>
        <w:t>日</w:t>
      </w:r>
    </w:p>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p>
      <w:pPr>
        <w:spacing w:line="240" w:lineRule="auto"/>
        <w:ind w:firstLine="0" w:firstLineChars="0"/>
        <w:jc w:val="left"/>
        <w:rPr>
          <w:rFonts w:hint="eastAsia" w:ascii="宋体" w:hAnsi="宋体" w:cs="宋体"/>
          <w:b/>
          <w:lang w:val="en-GB"/>
        </w:rPr>
      </w:pPr>
      <w:r>
        <w:rPr>
          <w:rFonts w:hint="eastAsia" w:ascii="宋体" w:hAnsi="宋体" w:cs="宋体"/>
          <w:b/>
          <w:lang w:val="en-GB"/>
        </w:rPr>
        <w:br w:type="page"/>
      </w:r>
    </w:p>
    <w:p>
      <w:pPr>
        <w:spacing w:line="400" w:lineRule="exact"/>
        <w:ind w:firstLine="0" w:firstLineChars="0"/>
        <w:jc w:val="left"/>
        <w:rPr>
          <w:rFonts w:hint="default" w:ascii="宋体" w:hAnsi="宋体" w:eastAsia="宋体" w:cs="宋体"/>
          <w:b/>
          <w:sz w:val="30"/>
          <w:szCs w:val="30"/>
          <w:lang w:val="en-US" w:eastAsia="zh-CN"/>
        </w:rPr>
      </w:pPr>
      <w:r>
        <w:rPr>
          <w:rFonts w:hint="eastAsia" w:ascii="宋体" w:hAnsi="宋体" w:cs="宋体"/>
          <w:b/>
          <w:lang w:val="en-GB"/>
        </w:rPr>
        <w:t>附件</w:t>
      </w:r>
      <w:r>
        <w:rPr>
          <w:rFonts w:hint="eastAsia" w:ascii="宋体" w:hAnsi="宋体" w:cs="宋体"/>
          <w:b/>
          <w:lang w:val="en-US" w:eastAsia="zh-CN"/>
        </w:rPr>
        <w:t>10</w:t>
      </w:r>
    </w:p>
    <w:p>
      <w:pPr>
        <w:spacing w:line="360" w:lineRule="auto"/>
        <w:ind w:firstLine="0" w:firstLineChars="0"/>
        <w:jc w:val="center"/>
        <w:rPr>
          <w:rFonts w:ascii="宋体" w:hAnsi="宋体" w:cs="宋体"/>
          <w:b/>
          <w:sz w:val="30"/>
          <w:szCs w:val="30"/>
          <w:lang w:val="en-GB"/>
        </w:rPr>
      </w:pPr>
      <w:r>
        <w:rPr>
          <w:rFonts w:hint="eastAsia" w:ascii="宋体" w:hAnsi="宋体" w:cs="宋体"/>
          <w:b/>
          <w:sz w:val="30"/>
          <w:szCs w:val="30"/>
          <w:lang w:val="en-GB"/>
        </w:rPr>
        <w:t>中小企业声明函、监狱企业、残疾人福利性单位及其他相关的充分的证明材料中小企业声明函及其相关的充分的证明材料</w:t>
      </w:r>
    </w:p>
    <w:p>
      <w:pPr>
        <w:tabs>
          <w:tab w:val="left" w:pos="420"/>
        </w:tabs>
        <w:ind w:firstLine="602"/>
        <w:jc w:val="center"/>
      </w:pPr>
      <w:r>
        <w:rPr>
          <w:rFonts w:hint="eastAsia" w:ascii="宋体" w:hAnsi="宋体" w:cs="Arial"/>
          <w:b/>
          <w:bCs/>
          <w:kern w:val="0"/>
          <w:sz w:val="30"/>
          <w:szCs w:val="30"/>
        </w:rPr>
        <w:t>中小企业声明函（货物）</w:t>
      </w:r>
    </w:p>
    <w:p>
      <w:pPr>
        <w:tabs>
          <w:tab w:val="left" w:pos="420"/>
        </w:tabs>
        <w:spacing w:line="360" w:lineRule="auto"/>
        <w:ind w:firstLine="480"/>
        <w:jc w:val="left"/>
        <w:rPr>
          <w:rFonts w:ascii="宋体" w:hAnsi="宋体" w:cs="Arial"/>
          <w:bCs/>
          <w:kern w:val="0"/>
        </w:rPr>
      </w:pPr>
      <w:r>
        <w:rPr>
          <w:rFonts w:hint="eastAsia" w:ascii="宋体" w:hAnsi="宋体" w:cs="Arial"/>
          <w:bCs/>
          <w:kern w:val="0"/>
        </w:rPr>
        <w:t>本公司郑重声明，根据《政府采购促进中小企业发展管理办法》（财库﹝2020﹞46 号）的规定，本公司参加__________________（单位名称） 的__________________（项目名称） 采购活动，提供的货物全部由符合政策要求的中小企业制造。相关企业（含联合体中的中小企业、签订分包意向协议的中小企业）的具体情况如下：</w:t>
      </w:r>
    </w:p>
    <w:p>
      <w:pPr>
        <w:numPr>
          <w:ilvl w:val="0"/>
          <w:numId w:val="29"/>
        </w:numPr>
        <w:tabs>
          <w:tab w:val="left" w:pos="420"/>
        </w:tabs>
        <w:spacing w:line="360" w:lineRule="auto"/>
        <w:ind w:firstLine="480"/>
        <w:jc w:val="left"/>
        <w:rPr>
          <w:rFonts w:ascii="宋体" w:hAnsi="宋体" w:cs="Arial"/>
          <w:bCs/>
          <w:kern w:val="0"/>
        </w:rPr>
      </w:pPr>
      <w:r>
        <w:rPr>
          <w:rFonts w:hint="eastAsia" w:ascii="宋体" w:hAnsi="宋体" w:cs="Arial"/>
          <w:bCs/>
          <w:kern w:val="0"/>
          <w:u w:val="single"/>
        </w:rPr>
        <w:t xml:space="preserve">             </w:t>
      </w:r>
      <w:r>
        <w:rPr>
          <w:rFonts w:hint="eastAsia" w:ascii="宋体" w:hAnsi="宋体" w:cs="Arial"/>
          <w:bCs/>
          <w:kern w:val="0"/>
        </w:rPr>
        <w:t>（标的名称），属于（采购文件中明确的所属行业）行业；制造商为</w:t>
      </w:r>
      <w:r>
        <w:rPr>
          <w:rFonts w:hint="eastAsia" w:ascii="宋体" w:hAnsi="宋体" w:cs="Arial"/>
          <w:bCs/>
          <w:kern w:val="0"/>
          <w:u w:val="single"/>
        </w:rPr>
        <w:t xml:space="preserve">              </w:t>
      </w:r>
      <w:r>
        <w:rPr>
          <w:rFonts w:hint="eastAsia" w:ascii="宋体" w:hAnsi="宋体" w:cs="Arial"/>
          <w:bCs/>
          <w:kern w:val="0"/>
        </w:rPr>
        <w:t>（企业名称），从业人员_____人，营业收入为_____万元，资产总额为_____万元，属于</w:t>
      </w:r>
      <w:r>
        <w:rPr>
          <w:rFonts w:hint="eastAsia" w:ascii="宋体" w:hAnsi="宋体" w:cs="Arial"/>
          <w:bCs/>
          <w:kern w:val="0"/>
          <w:u w:val="single"/>
        </w:rPr>
        <w:t xml:space="preserve">                </w:t>
      </w:r>
      <w:r>
        <w:rPr>
          <w:rFonts w:hint="eastAsia" w:ascii="宋体" w:hAnsi="宋体" w:cs="Arial"/>
          <w:bCs/>
          <w:kern w:val="0"/>
        </w:rPr>
        <w:t>（中型企业、小型企业、微型企业）；</w:t>
      </w:r>
    </w:p>
    <w:p>
      <w:pPr>
        <w:numPr>
          <w:ilvl w:val="0"/>
          <w:numId w:val="29"/>
        </w:numPr>
        <w:tabs>
          <w:tab w:val="left" w:pos="420"/>
        </w:tabs>
        <w:spacing w:line="360" w:lineRule="auto"/>
        <w:ind w:firstLine="480"/>
        <w:jc w:val="left"/>
        <w:rPr>
          <w:rFonts w:ascii="宋体" w:hAnsi="宋体" w:cs="Arial"/>
          <w:bCs/>
          <w:kern w:val="0"/>
        </w:rPr>
      </w:pPr>
      <w:r>
        <w:rPr>
          <w:rFonts w:hint="eastAsia" w:ascii="宋体" w:hAnsi="宋体" w:cs="Arial"/>
          <w:bCs/>
          <w:kern w:val="0"/>
          <w:u w:val="single"/>
        </w:rPr>
        <w:t xml:space="preserve">             </w:t>
      </w:r>
      <w:r>
        <w:rPr>
          <w:rFonts w:hint="eastAsia" w:ascii="宋体" w:hAnsi="宋体" w:cs="Arial"/>
          <w:bCs/>
          <w:kern w:val="0"/>
        </w:rPr>
        <w:t>（标的名称），属于（采购文件中明确的所属行业）行业；制造商为</w:t>
      </w:r>
      <w:r>
        <w:rPr>
          <w:rFonts w:hint="eastAsia" w:ascii="宋体" w:hAnsi="宋体" w:cs="Arial"/>
          <w:bCs/>
          <w:kern w:val="0"/>
          <w:u w:val="single"/>
        </w:rPr>
        <w:t xml:space="preserve">              </w:t>
      </w:r>
      <w:r>
        <w:rPr>
          <w:rFonts w:hint="eastAsia" w:ascii="宋体" w:hAnsi="宋体" w:cs="Arial"/>
          <w:bCs/>
          <w:kern w:val="0"/>
        </w:rPr>
        <w:t>（企业名称），从业人员_____人，营业收入为_____万元，资产总额为_____万元，属于</w:t>
      </w:r>
      <w:r>
        <w:rPr>
          <w:rFonts w:hint="eastAsia" w:ascii="宋体" w:hAnsi="宋体" w:cs="Arial"/>
          <w:bCs/>
          <w:kern w:val="0"/>
          <w:u w:val="single"/>
        </w:rPr>
        <w:t xml:space="preserve">                </w:t>
      </w:r>
      <w:r>
        <w:rPr>
          <w:rFonts w:hint="eastAsia" w:ascii="宋体" w:hAnsi="宋体" w:cs="Arial"/>
          <w:bCs/>
          <w:kern w:val="0"/>
        </w:rPr>
        <w:t xml:space="preserve">（中型企业、小型企业、微型企业）； </w:t>
      </w:r>
    </w:p>
    <w:p>
      <w:pPr>
        <w:tabs>
          <w:tab w:val="left" w:pos="420"/>
        </w:tabs>
        <w:spacing w:line="360" w:lineRule="auto"/>
        <w:ind w:firstLine="480"/>
        <w:jc w:val="left"/>
        <w:rPr>
          <w:rFonts w:ascii="宋体" w:hAnsi="宋体" w:cs="Arial"/>
          <w:bCs/>
          <w:kern w:val="0"/>
        </w:rPr>
      </w:pPr>
      <w:r>
        <w:rPr>
          <w:rFonts w:hint="eastAsia" w:ascii="宋体" w:hAnsi="宋体" w:cs="Arial"/>
          <w:bCs/>
          <w:kern w:val="0"/>
        </w:rPr>
        <w:t>以上企业，不属于大企业的分支机构，不存在控股股东为大企业的情形，也不存在与大企业的负责人为同一人的情形。</w:t>
      </w:r>
    </w:p>
    <w:p>
      <w:pPr>
        <w:tabs>
          <w:tab w:val="left" w:pos="420"/>
        </w:tabs>
        <w:spacing w:line="360" w:lineRule="auto"/>
        <w:ind w:firstLine="480"/>
        <w:jc w:val="left"/>
        <w:rPr>
          <w:rFonts w:ascii="宋体" w:hAnsi="宋体" w:cs="Arial"/>
          <w:bCs/>
          <w:kern w:val="0"/>
        </w:rPr>
      </w:pPr>
      <w:r>
        <w:rPr>
          <w:rFonts w:hint="eastAsia" w:ascii="宋体" w:hAnsi="宋体" w:cs="Arial"/>
          <w:bCs/>
          <w:kern w:val="0"/>
        </w:rPr>
        <w:t>本企业对上述声明内容的真实性负责。如有虚假，将依法承担相应责任。</w:t>
      </w:r>
    </w:p>
    <w:p>
      <w:pPr>
        <w:tabs>
          <w:tab w:val="left" w:pos="420"/>
        </w:tabs>
        <w:spacing w:line="360" w:lineRule="auto"/>
        <w:ind w:firstLine="480"/>
        <w:jc w:val="left"/>
        <w:rPr>
          <w:rFonts w:ascii="宋体" w:hAnsi="宋体" w:cs="Arial"/>
          <w:bCs/>
          <w:kern w:val="0"/>
        </w:rPr>
      </w:pPr>
    </w:p>
    <w:p>
      <w:pPr>
        <w:adjustRightInd w:val="0"/>
        <w:snapToGrid w:val="0"/>
        <w:ind w:firstLine="5040" w:firstLineChars="2100"/>
        <w:rPr>
          <w:rFonts w:ascii="宋体" w:hAnsi="宋体" w:cs="宋体"/>
          <w:szCs w:val="21"/>
          <w:u w:val="single"/>
        </w:rPr>
      </w:pPr>
      <w:r>
        <w:rPr>
          <w:rFonts w:hint="eastAsia" w:ascii="宋体" w:hAnsi="宋体" w:cs="宋体"/>
          <w:szCs w:val="21"/>
        </w:rPr>
        <w:t>投标人名称（盖章）：</w:t>
      </w:r>
      <w:r>
        <w:rPr>
          <w:rFonts w:hint="eastAsia" w:ascii="宋体" w:hAnsi="宋体" w:cs="宋体"/>
          <w:szCs w:val="21"/>
          <w:u w:val="single"/>
        </w:rPr>
        <w:t xml:space="preserve">                    </w:t>
      </w:r>
    </w:p>
    <w:p>
      <w:pPr>
        <w:adjustRightInd w:val="0"/>
        <w:snapToGrid w:val="0"/>
        <w:ind w:firstLine="3600" w:firstLineChars="1500"/>
        <w:rPr>
          <w:rFonts w:ascii="宋体" w:hAnsi="宋体" w:cs="宋体"/>
          <w:szCs w:val="21"/>
        </w:rPr>
      </w:pPr>
    </w:p>
    <w:p>
      <w:pPr>
        <w:adjustRightInd w:val="0"/>
        <w:snapToGrid w:val="0"/>
        <w:ind w:firstLine="5040" w:firstLineChars="2100"/>
        <w:rPr>
          <w:rFonts w:ascii="宋体" w:hAnsi="宋体" w:cs="宋体"/>
          <w:szCs w:val="21"/>
        </w:rPr>
      </w:pPr>
      <w:r>
        <w:rPr>
          <w:rFonts w:hint="eastAsia" w:ascii="宋体" w:hAnsi="宋体" w:cs="宋体"/>
          <w:szCs w:val="21"/>
        </w:rPr>
        <w:t>日期：    年   月   日</w:t>
      </w:r>
    </w:p>
    <w:p>
      <w:pPr>
        <w:widowControl/>
        <w:snapToGrid w:val="0"/>
        <w:ind w:firstLine="480"/>
        <w:rPr>
          <w:rFonts w:ascii="宋体" w:hAnsi="宋体" w:cs="宋体"/>
          <w:szCs w:val="21"/>
        </w:rPr>
      </w:pPr>
    </w:p>
    <w:p>
      <w:pPr>
        <w:widowControl/>
        <w:snapToGrid w:val="0"/>
        <w:ind w:firstLine="480"/>
        <w:rPr>
          <w:rFonts w:ascii="宋体" w:hAnsi="宋体" w:cs="宋体"/>
          <w:szCs w:val="21"/>
        </w:rPr>
      </w:pPr>
      <w:r>
        <w:rPr>
          <w:rFonts w:hint="eastAsia" w:ascii="宋体" w:hAnsi="宋体" w:cs="宋体"/>
          <w:szCs w:val="21"/>
        </w:rPr>
        <w:t>注：</w:t>
      </w:r>
    </w:p>
    <w:p>
      <w:pPr>
        <w:widowControl/>
        <w:snapToGrid w:val="0"/>
        <w:ind w:firstLine="480"/>
        <w:rPr>
          <w:rFonts w:ascii="宋体" w:hAnsi="宋体" w:cs="宋体"/>
          <w:szCs w:val="21"/>
        </w:rPr>
      </w:pPr>
      <w:r>
        <w:rPr>
          <w:rFonts w:hint="eastAsia" w:ascii="宋体" w:hAnsi="宋体" w:cs="宋体"/>
          <w:szCs w:val="21"/>
        </w:rPr>
        <w:t>1.如投标产品由小微企业生产，则需提供中小企业声明函。</w:t>
      </w:r>
    </w:p>
    <w:p>
      <w:pPr>
        <w:widowControl/>
        <w:snapToGrid w:val="0"/>
        <w:ind w:firstLine="480"/>
        <w:rPr>
          <w:rFonts w:ascii="宋体" w:hAnsi="宋体" w:cs="宋体"/>
          <w:szCs w:val="21"/>
        </w:rPr>
      </w:pPr>
      <w:r>
        <w:rPr>
          <w:rFonts w:hint="eastAsia" w:ascii="宋体" w:hAnsi="宋体" w:cs="宋体"/>
          <w:szCs w:val="21"/>
        </w:rPr>
        <w:t>2.小微企业提供的货物既有中小企业制造货物，也有大型企业制造货物的，不享受中小企业扶持政策。</w:t>
      </w:r>
    </w:p>
    <w:p>
      <w:pPr>
        <w:widowControl/>
        <w:snapToGrid w:val="0"/>
        <w:ind w:firstLine="480"/>
        <w:rPr>
          <w:lang w:val="zh-CN"/>
        </w:rPr>
      </w:pPr>
      <w:r>
        <w:rPr>
          <w:rFonts w:hint="eastAsia" w:ascii="宋体" w:hAnsi="宋体" w:cs="宋体"/>
          <w:szCs w:val="21"/>
        </w:rPr>
        <w:t>3.如中标人声明为小微企业，本声明函将随中标结果同时公告，接受社会监督。</w:t>
      </w:r>
    </w:p>
    <w:p>
      <w:pPr>
        <w:spacing w:line="360" w:lineRule="auto"/>
        <w:ind w:firstLine="0" w:firstLineChars="0"/>
        <w:jc w:val="center"/>
        <w:rPr>
          <w:rFonts w:ascii="宋体" w:hAnsi="宋体" w:cs="宋体"/>
          <w:b/>
          <w:sz w:val="30"/>
          <w:szCs w:val="30"/>
          <w:lang w:val="zh-CN"/>
        </w:rPr>
      </w:pPr>
      <w:r>
        <w:rPr>
          <w:rFonts w:hint="eastAsia" w:ascii="宋体" w:hAnsi="宋体" w:cs="宋体"/>
          <w:b/>
          <w:sz w:val="30"/>
          <w:szCs w:val="30"/>
          <w:lang w:val="zh-CN"/>
        </w:rPr>
        <w:t>监狱企业声明函</w:t>
      </w:r>
    </w:p>
    <w:p>
      <w:pPr>
        <w:spacing w:line="360" w:lineRule="auto"/>
        <w:ind w:firstLine="0" w:firstLineChars="0"/>
        <w:jc w:val="center"/>
        <w:rPr>
          <w:rFonts w:ascii="宋体" w:hAnsi="宋体" w:cs="宋体"/>
          <w:b/>
          <w:sz w:val="30"/>
          <w:szCs w:val="30"/>
          <w:lang w:val="zh-CN"/>
        </w:rPr>
      </w:pPr>
      <w:r>
        <w:rPr>
          <w:rFonts w:hint="eastAsia" w:ascii="宋体" w:hAnsi="宋体" w:cs="宋体"/>
          <w:b/>
          <w:sz w:val="30"/>
          <w:szCs w:val="30"/>
          <w:lang w:val="zh-CN"/>
        </w:rPr>
        <w:t>【非监狱企业不需提供】</w:t>
      </w:r>
    </w:p>
    <w:p>
      <w:pPr>
        <w:widowControl/>
        <w:adjustRightInd w:val="0"/>
        <w:snapToGrid w:val="0"/>
        <w:ind w:firstLine="480"/>
        <w:jc w:val="left"/>
        <w:rPr>
          <w:rFonts w:ascii="宋体" w:hAnsi="宋体" w:cs="宋体"/>
          <w:szCs w:val="21"/>
        </w:rPr>
      </w:pPr>
      <w:r>
        <w:rPr>
          <w:rFonts w:hint="eastAsia" w:ascii="宋体" w:hAnsi="宋体" w:cs="宋体"/>
          <w:szCs w:val="21"/>
        </w:rPr>
        <w:t>本企业郑重声明，根据《关于政府采购支持监狱企业发展有关问题的通知》（财库</w:t>
      </w:r>
      <w:r>
        <w:rPr>
          <w:rFonts w:hint="eastAsia" w:ascii="宋体" w:hAnsi="宋体" w:cs="宋体"/>
        </w:rPr>
        <w:t>〔2014〕</w:t>
      </w:r>
      <w:r>
        <w:rPr>
          <w:rFonts w:hint="eastAsia" w:ascii="宋体" w:hAnsi="宋体" w:cs="宋体"/>
          <w:szCs w:val="21"/>
        </w:rPr>
        <w:t>68号）的规定，本企业为</w:t>
      </w:r>
      <w:r>
        <w:rPr>
          <w:rFonts w:hint="eastAsia" w:ascii="宋体" w:hAnsi="宋体" w:cs="宋体"/>
          <w:szCs w:val="21"/>
          <w:u w:val="single"/>
        </w:rPr>
        <w:t>监狱企业</w:t>
      </w:r>
      <w:r>
        <w:rPr>
          <w:rFonts w:hint="eastAsia" w:ascii="宋体" w:hAnsi="宋体" w:cs="宋体"/>
          <w:szCs w:val="21"/>
        </w:rPr>
        <w:t>。</w:t>
      </w:r>
    </w:p>
    <w:p>
      <w:pPr>
        <w:widowControl/>
        <w:adjustRightInd w:val="0"/>
        <w:snapToGrid w:val="0"/>
        <w:ind w:firstLine="480"/>
        <w:jc w:val="left"/>
        <w:rPr>
          <w:rFonts w:ascii="宋体" w:hAnsi="宋体" w:cs="宋体"/>
          <w:szCs w:val="21"/>
        </w:rPr>
      </w:pPr>
      <w:r>
        <w:rPr>
          <w:rFonts w:hint="eastAsia" w:ascii="宋体" w:hAnsi="宋体" w:cs="宋体"/>
          <w:szCs w:val="21"/>
        </w:rPr>
        <w:t>根据上述标准，我企业属于</w:t>
      </w:r>
      <w:r>
        <w:rPr>
          <w:rFonts w:hint="eastAsia" w:ascii="宋体" w:hAnsi="宋体" w:cs="宋体"/>
          <w:szCs w:val="21"/>
          <w:u w:val="single"/>
        </w:rPr>
        <w:t>监狱企业</w:t>
      </w:r>
      <w:r>
        <w:rPr>
          <w:rFonts w:hint="eastAsia" w:ascii="宋体" w:hAnsi="宋体" w:cs="宋体"/>
          <w:szCs w:val="21"/>
        </w:rPr>
        <w:t>的理由为：</w:t>
      </w:r>
    </w:p>
    <w:p>
      <w:pPr>
        <w:widowControl/>
        <w:adjustRightInd w:val="0"/>
        <w:snapToGrid w:val="0"/>
        <w:ind w:firstLine="480"/>
        <w:rPr>
          <w:rFonts w:ascii="宋体" w:hAnsi="宋体" w:cs="宋体"/>
          <w:szCs w:val="21"/>
        </w:rPr>
      </w:pPr>
      <w:r>
        <w:rPr>
          <w:rFonts w:hint="eastAsia" w:ascii="宋体" w:hAnsi="宋体" w:cs="宋体"/>
          <w:szCs w:val="21"/>
        </w:rPr>
        <w:t>本企业为参加（项目名称：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）采购活动提供本企业的产品。</w:t>
      </w:r>
    </w:p>
    <w:p>
      <w:pPr>
        <w:widowControl/>
        <w:adjustRightInd w:val="0"/>
        <w:snapToGrid w:val="0"/>
        <w:ind w:firstLine="480"/>
        <w:rPr>
          <w:rFonts w:ascii="宋体" w:hAnsi="宋体" w:cs="宋体"/>
          <w:szCs w:val="21"/>
        </w:rPr>
      </w:pPr>
      <w:r>
        <w:rPr>
          <w:rFonts w:hint="eastAsia" w:ascii="宋体" w:hAnsi="宋体" w:cs="宋体"/>
          <w:szCs w:val="21"/>
        </w:rPr>
        <w:t>本企业对上述声明的真实性负责。如有虚假，将依法承担相应责任。</w:t>
      </w:r>
    </w:p>
    <w:p>
      <w:pPr>
        <w:adjustRightInd w:val="0"/>
        <w:snapToGrid w:val="0"/>
        <w:ind w:firstLine="480"/>
        <w:jc w:val="center"/>
        <w:rPr>
          <w:rFonts w:ascii="宋体" w:hAnsi="宋体" w:cs="宋体"/>
          <w:szCs w:val="21"/>
        </w:rPr>
      </w:pPr>
    </w:p>
    <w:p>
      <w:pPr>
        <w:adjustRightInd w:val="0"/>
        <w:snapToGrid w:val="0"/>
        <w:ind w:firstLine="480"/>
        <w:jc w:val="center"/>
        <w:rPr>
          <w:rFonts w:ascii="宋体" w:hAnsi="宋体" w:cs="宋体"/>
          <w:szCs w:val="21"/>
        </w:rPr>
      </w:pPr>
    </w:p>
    <w:p>
      <w:pPr>
        <w:adjustRightInd w:val="0"/>
        <w:snapToGrid w:val="0"/>
        <w:ind w:firstLine="480"/>
        <w:jc w:val="center"/>
        <w:rPr>
          <w:rFonts w:ascii="宋体" w:hAnsi="宋体" w:cs="宋体"/>
          <w:szCs w:val="21"/>
        </w:rPr>
      </w:pPr>
    </w:p>
    <w:p>
      <w:pPr>
        <w:adjustRightInd w:val="0"/>
        <w:snapToGrid w:val="0"/>
        <w:ind w:firstLine="480"/>
        <w:rPr>
          <w:rFonts w:ascii="宋体" w:hAnsi="宋体" w:cs="宋体"/>
          <w:szCs w:val="21"/>
        </w:rPr>
      </w:pPr>
    </w:p>
    <w:p>
      <w:pPr>
        <w:adjustRightInd w:val="0"/>
        <w:snapToGrid w:val="0"/>
        <w:ind w:firstLine="480"/>
        <w:jc w:val="center"/>
        <w:rPr>
          <w:rFonts w:ascii="宋体" w:hAnsi="宋体" w:cs="宋体"/>
          <w:szCs w:val="21"/>
        </w:rPr>
      </w:pPr>
    </w:p>
    <w:p>
      <w:pPr>
        <w:adjustRightInd w:val="0"/>
        <w:snapToGrid w:val="0"/>
        <w:ind w:firstLine="480"/>
        <w:jc w:val="center"/>
        <w:rPr>
          <w:rFonts w:ascii="宋体" w:hAnsi="宋体" w:cs="宋体"/>
          <w:szCs w:val="21"/>
        </w:rPr>
      </w:pPr>
    </w:p>
    <w:p>
      <w:pPr>
        <w:adjustRightInd w:val="0"/>
        <w:snapToGrid w:val="0"/>
        <w:ind w:firstLine="480"/>
        <w:jc w:val="center"/>
        <w:rPr>
          <w:rFonts w:ascii="宋体" w:hAnsi="宋体" w:cs="宋体"/>
          <w:szCs w:val="21"/>
        </w:rPr>
      </w:pPr>
    </w:p>
    <w:p>
      <w:pPr>
        <w:adjustRightInd w:val="0"/>
        <w:snapToGrid w:val="0"/>
        <w:ind w:firstLine="480"/>
        <w:jc w:val="center"/>
        <w:rPr>
          <w:rFonts w:ascii="宋体" w:hAnsi="宋体" w:cs="宋体"/>
          <w:szCs w:val="21"/>
        </w:rPr>
      </w:pPr>
    </w:p>
    <w:p>
      <w:pPr>
        <w:adjustRightInd w:val="0"/>
        <w:snapToGrid w:val="0"/>
        <w:ind w:firstLine="5040" w:firstLineChars="2100"/>
        <w:rPr>
          <w:rFonts w:ascii="宋体" w:hAnsi="宋体" w:cs="宋体"/>
          <w:szCs w:val="21"/>
          <w:u w:val="single"/>
        </w:rPr>
      </w:pPr>
      <w:r>
        <w:rPr>
          <w:rFonts w:hint="eastAsia" w:ascii="宋体" w:hAnsi="宋体" w:cs="宋体"/>
          <w:szCs w:val="21"/>
        </w:rPr>
        <w:t>投标人名称（盖章）：</w:t>
      </w:r>
      <w:r>
        <w:rPr>
          <w:rFonts w:hint="eastAsia" w:ascii="宋体" w:hAnsi="宋体" w:cs="宋体"/>
          <w:szCs w:val="21"/>
          <w:u w:val="single"/>
        </w:rPr>
        <w:t xml:space="preserve">                    </w:t>
      </w:r>
    </w:p>
    <w:p>
      <w:pPr>
        <w:adjustRightInd w:val="0"/>
        <w:snapToGrid w:val="0"/>
        <w:ind w:firstLine="3600" w:firstLineChars="1500"/>
        <w:rPr>
          <w:rFonts w:ascii="宋体" w:hAnsi="宋体" w:cs="宋体"/>
          <w:szCs w:val="21"/>
        </w:rPr>
      </w:pPr>
    </w:p>
    <w:p>
      <w:pPr>
        <w:adjustRightInd w:val="0"/>
        <w:snapToGrid w:val="0"/>
        <w:ind w:firstLine="5040" w:firstLineChars="2100"/>
        <w:rPr>
          <w:rFonts w:ascii="宋体" w:hAnsi="宋体" w:cs="宋体"/>
          <w:szCs w:val="21"/>
        </w:rPr>
      </w:pPr>
      <w:r>
        <w:rPr>
          <w:rFonts w:hint="eastAsia" w:ascii="宋体" w:hAnsi="宋体" w:cs="宋体"/>
          <w:szCs w:val="21"/>
        </w:rPr>
        <w:t>日期：    年   月   日</w:t>
      </w:r>
    </w:p>
    <w:p>
      <w:pPr>
        <w:widowControl/>
        <w:snapToGrid w:val="0"/>
        <w:ind w:firstLine="480"/>
        <w:rPr>
          <w:rFonts w:ascii="宋体" w:hAnsi="宋体" w:cs="宋体"/>
          <w:szCs w:val="21"/>
        </w:rPr>
      </w:pPr>
    </w:p>
    <w:p>
      <w:pPr>
        <w:widowControl/>
        <w:snapToGrid w:val="0"/>
        <w:ind w:firstLine="480"/>
        <w:rPr>
          <w:rFonts w:ascii="宋体" w:hAnsi="宋体" w:cs="宋体"/>
          <w:szCs w:val="21"/>
        </w:rPr>
      </w:pPr>
    </w:p>
    <w:p>
      <w:pPr>
        <w:pStyle w:val="4"/>
        <w:numPr>
          <w:ilvl w:val="0"/>
          <w:numId w:val="0"/>
        </w:numPr>
        <w:spacing w:before="312" w:after="312"/>
        <w:jc w:val="both"/>
      </w:pPr>
    </w:p>
    <w:p>
      <w:pPr>
        <w:widowControl/>
        <w:snapToGrid w:val="0"/>
        <w:ind w:firstLine="480"/>
        <w:rPr>
          <w:rFonts w:ascii="宋体" w:hAnsi="宋体" w:cs="宋体"/>
          <w:szCs w:val="21"/>
        </w:rPr>
      </w:pPr>
      <w:r>
        <w:rPr>
          <w:rFonts w:hint="eastAsia" w:ascii="宋体" w:hAnsi="宋体" w:cs="宋体"/>
          <w:szCs w:val="21"/>
        </w:rPr>
        <w:t>投标人为监狱企业的提供此函。</w:t>
      </w:r>
    </w:p>
    <w:p>
      <w:pPr>
        <w:widowControl/>
        <w:snapToGrid w:val="0"/>
        <w:ind w:firstLine="480"/>
        <w:rPr>
          <w:rFonts w:ascii="宋体" w:hAnsi="宋体" w:cs="宋体"/>
          <w:bCs/>
          <w:szCs w:val="21"/>
        </w:rPr>
      </w:pPr>
      <w:r>
        <w:rPr>
          <w:rFonts w:hint="eastAsia" w:ascii="宋体" w:hAnsi="宋体" w:cs="宋体"/>
          <w:szCs w:val="21"/>
        </w:rPr>
        <w:t>监狱企业参加政府采购活动时，应当提供由省级以上监狱管理局、戒毒管理局（含新疆生产建设兵团）出具的属于监狱企业的证明文件。</w:t>
      </w:r>
    </w:p>
    <w:p>
      <w:pPr>
        <w:adjustRightInd w:val="0"/>
        <w:snapToGrid w:val="0"/>
        <w:ind w:firstLine="0" w:firstLineChars="0"/>
        <w:jc w:val="center"/>
        <w:textAlignment w:val="baseline"/>
        <w:outlineLvl w:val="0"/>
        <w:rPr>
          <w:rFonts w:ascii="宋体" w:hAnsi="宋体"/>
          <w:sz w:val="28"/>
          <w:szCs w:val="28"/>
        </w:rPr>
      </w:pPr>
      <w:bookmarkStart w:id="2014" w:name="_Toc27651"/>
      <w:bookmarkStart w:id="2015" w:name="_Toc3807"/>
      <w:bookmarkStart w:id="2016" w:name="_Toc25215"/>
      <w:bookmarkStart w:id="2017" w:name="_Toc7928"/>
      <w:bookmarkStart w:id="2018" w:name="_Toc27943"/>
      <w:bookmarkStart w:id="2019" w:name="_Toc15249"/>
      <w:bookmarkStart w:id="2020" w:name="_Toc29991"/>
      <w:bookmarkStart w:id="2021" w:name="_Toc25838"/>
      <w:bookmarkStart w:id="2022" w:name="_Toc28340"/>
      <w:bookmarkStart w:id="2023" w:name="_Toc14085"/>
      <w:bookmarkStart w:id="2024" w:name="_Toc1090"/>
      <w:bookmarkStart w:id="2025" w:name="_Toc9599"/>
      <w:bookmarkStart w:id="2026" w:name="_Toc21443"/>
      <w:bookmarkStart w:id="2027" w:name="_Toc25334"/>
      <w:bookmarkStart w:id="2028" w:name="_Toc18008"/>
      <w:r>
        <w:rPr>
          <w:rFonts w:hint="eastAsia" w:ascii="宋体" w:hAnsi="宋体"/>
          <w:b/>
          <w:bCs/>
          <w:sz w:val="28"/>
          <w:szCs w:val="28"/>
        </w:rPr>
        <w:t>残疾人福利性单位声明函</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p>
    <w:p>
      <w:pPr>
        <w:autoSpaceDE w:val="0"/>
        <w:autoSpaceDN w:val="0"/>
        <w:adjustRightInd w:val="0"/>
        <w:snapToGrid w:val="0"/>
        <w:spacing w:after="312" w:afterLines="100"/>
        <w:ind w:firstLine="0" w:firstLineChars="0"/>
        <w:jc w:val="center"/>
        <w:outlineLvl w:val="0"/>
        <w:rPr>
          <w:rFonts w:ascii="宋体" w:hAnsi="宋体"/>
          <w:sz w:val="28"/>
          <w:szCs w:val="28"/>
        </w:rPr>
      </w:pPr>
      <w:bookmarkStart w:id="2029" w:name="_Toc15231"/>
      <w:bookmarkStart w:id="2030" w:name="_Toc13934"/>
      <w:bookmarkStart w:id="2031" w:name="_Toc22594"/>
      <w:bookmarkStart w:id="2032" w:name="_Toc21056"/>
      <w:bookmarkStart w:id="2033" w:name="_Toc9848"/>
      <w:bookmarkStart w:id="2034" w:name="_Toc22388"/>
      <w:bookmarkStart w:id="2035" w:name="_Toc28464"/>
      <w:bookmarkStart w:id="2036" w:name="_Toc24968"/>
      <w:bookmarkStart w:id="2037" w:name="_Toc24336"/>
      <w:bookmarkStart w:id="2038" w:name="_Toc16906"/>
      <w:bookmarkStart w:id="2039" w:name="_Toc20083"/>
      <w:bookmarkStart w:id="2040" w:name="_Toc31062"/>
      <w:bookmarkStart w:id="2041" w:name="_Toc31591"/>
      <w:bookmarkStart w:id="2042" w:name="_Toc32409"/>
      <w:bookmarkStart w:id="2043" w:name="_Toc32388"/>
      <w:bookmarkStart w:id="2044" w:name="_Toc17040"/>
      <w:bookmarkStart w:id="2045" w:name="_Toc31408"/>
      <w:bookmarkStart w:id="2046" w:name="_Toc19455"/>
      <w:bookmarkStart w:id="2047" w:name="_Toc24609"/>
      <w:bookmarkStart w:id="2048" w:name="_Toc20856"/>
      <w:bookmarkStart w:id="2049" w:name="_Toc11676"/>
      <w:bookmarkStart w:id="2050" w:name="_Toc16520"/>
      <w:bookmarkStart w:id="2051" w:name="_Toc3769"/>
      <w:bookmarkStart w:id="2052" w:name="_Toc22421"/>
      <w:bookmarkStart w:id="2053" w:name="_Toc12560"/>
      <w:bookmarkStart w:id="2054" w:name="_Toc29768"/>
      <w:bookmarkStart w:id="2055" w:name="_Toc31645"/>
      <w:bookmarkStart w:id="2056" w:name="_Toc32537"/>
      <w:bookmarkStart w:id="2057" w:name="_Toc18269"/>
      <w:bookmarkStart w:id="2058" w:name="_Toc1650"/>
      <w:bookmarkStart w:id="2059" w:name="_Toc10855"/>
      <w:bookmarkStart w:id="2060" w:name="_Toc29152"/>
      <w:r>
        <w:rPr>
          <w:rFonts w:hint="eastAsia" w:ascii="宋体" w:hAnsi="宋体"/>
          <w:sz w:val="28"/>
          <w:szCs w:val="28"/>
        </w:rPr>
        <w:t>【非残疾人福利性单位不需提供】</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p>
    <w:p>
      <w:pPr>
        <w:snapToGrid w:val="0"/>
        <w:ind w:firstLine="480"/>
        <w:rPr>
          <w:rFonts w:ascii="宋体" w:hAnsi="宋体"/>
          <w:szCs w:val="21"/>
        </w:rPr>
      </w:pPr>
      <w:r>
        <w:rPr>
          <w:rFonts w:hint="eastAsia" w:ascii="宋体" w:hAnsi="宋体"/>
          <w:szCs w:val="21"/>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szCs w:val="21"/>
          <w:u w:val="single"/>
        </w:rPr>
        <w:t>（采购人名称）</w:t>
      </w:r>
      <w:r>
        <w:rPr>
          <w:rFonts w:hint="eastAsia" w:ascii="宋体" w:hAnsi="宋体"/>
          <w:szCs w:val="21"/>
        </w:rPr>
        <w:t>单位的</w:t>
      </w:r>
      <w:r>
        <w:rPr>
          <w:rFonts w:hint="eastAsia" w:ascii="宋体" w:hAnsi="宋体"/>
          <w:szCs w:val="21"/>
          <w:u w:val="single"/>
        </w:rPr>
        <w:t>（项目名称）</w:t>
      </w:r>
      <w:r>
        <w:rPr>
          <w:rFonts w:hint="eastAsia" w:ascii="宋体" w:hAnsi="宋体"/>
          <w:szCs w:val="21"/>
        </w:rPr>
        <w:t>项目采购活动提供本单位制造的货物（由本单位承担工程/提供服务），或者提供其他残疾人福利性单位制造的货物（不包括使用非残疾人福利性单位注册商标的货物）。</w:t>
      </w:r>
    </w:p>
    <w:p>
      <w:pPr>
        <w:snapToGrid w:val="0"/>
        <w:ind w:firstLine="480"/>
        <w:rPr>
          <w:rFonts w:ascii="宋体" w:hAnsi="宋体"/>
          <w:szCs w:val="21"/>
        </w:rPr>
      </w:pPr>
      <w:r>
        <w:rPr>
          <w:rFonts w:hint="eastAsia" w:ascii="宋体" w:hAnsi="宋体"/>
          <w:szCs w:val="21"/>
        </w:rPr>
        <w:t>本单位对上述声明的真实性负责。如有虚假，将依法承担相应责任。</w:t>
      </w:r>
    </w:p>
    <w:p>
      <w:pPr>
        <w:snapToGrid w:val="0"/>
        <w:ind w:firstLine="480"/>
        <w:rPr>
          <w:rFonts w:ascii="宋体" w:hAnsi="宋体"/>
          <w:szCs w:val="21"/>
        </w:rPr>
      </w:pPr>
      <w:r>
        <w:rPr>
          <w:rFonts w:hint="eastAsia" w:ascii="宋体" w:hAnsi="宋体"/>
          <w:szCs w:val="21"/>
        </w:rPr>
        <w:t xml:space="preserve"> </w:t>
      </w:r>
    </w:p>
    <w:p>
      <w:pPr>
        <w:snapToGrid w:val="0"/>
        <w:ind w:firstLine="480"/>
        <w:rPr>
          <w:rFonts w:ascii="宋体" w:hAnsi="宋体"/>
          <w:szCs w:val="21"/>
        </w:rPr>
      </w:pPr>
      <w:r>
        <w:rPr>
          <w:rFonts w:hint="eastAsia" w:ascii="宋体" w:hAnsi="宋体"/>
          <w:szCs w:val="21"/>
        </w:rPr>
        <w:t xml:space="preserve"> </w:t>
      </w:r>
    </w:p>
    <w:p>
      <w:pPr>
        <w:adjustRightInd w:val="0"/>
        <w:snapToGrid w:val="0"/>
        <w:ind w:firstLine="480"/>
        <w:rPr>
          <w:rFonts w:ascii="宋体" w:hAnsi="宋体"/>
          <w:szCs w:val="21"/>
        </w:rPr>
      </w:pPr>
      <w:r>
        <w:rPr>
          <w:rFonts w:hint="eastAsia" w:ascii="宋体" w:hAnsi="宋体"/>
          <w:szCs w:val="21"/>
        </w:rPr>
        <w:t xml:space="preserve"> </w:t>
      </w:r>
    </w:p>
    <w:p>
      <w:pPr>
        <w:adjustRightInd w:val="0"/>
        <w:snapToGrid w:val="0"/>
        <w:ind w:firstLine="480"/>
        <w:rPr>
          <w:rFonts w:ascii="宋体" w:hAnsi="宋体"/>
          <w:szCs w:val="21"/>
        </w:rPr>
      </w:pPr>
      <w:r>
        <w:rPr>
          <w:rFonts w:hint="eastAsia" w:ascii="宋体" w:hAnsi="宋体"/>
          <w:szCs w:val="21"/>
        </w:rPr>
        <w:t xml:space="preserve"> </w:t>
      </w:r>
    </w:p>
    <w:p>
      <w:pPr>
        <w:adjustRightInd w:val="0"/>
        <w:snapToGrid w:val="0"/>
        <w:ind w:firstLine="480"/>
        <w:rPr>
          <w:rFonts w:ascii="宋体" w:hAnsi="宋体"/>
          <w:szCs w:val="21"/>
        </w:rPr>
      </w:pPr>
      <w:r>
        <w:rPr>
          <w:rFonts w:hint="eastAsia" w:ascii="宋体" w:hAnsi="宋体"/>
          <w:szCs w:val="21"/>
        </w:rPr>
        <w:t xml:space="preserve"> </w:t>
      </w:r>
    </w:p>
    <w:p>
      <w:pPr>
        <w:adjustRightInd w:val="0"/>
        <w:snapToGrid w:val="0"/>
        <w:ind w:firstLine="480"/>
        <w:rPr>
          <w:rFonts w:ascii="宋体" w:hAnsi="宋体"/>
          <w:szCs w:val="21"/>
        </w:rPr>
      </w:pPr>
      <w:r>
        <w:rPr>
          <w:rFonts w:hint="eastAsia" w:ascii="宋体" w:hAnsi="宋体"/>
          <w:szCs w:val="21"/>
        </w:rPr>
        <w:t xml:space="preserve"> </w:t>
      </w:r>
    </w:p>
    <w:p>
      <w:pPr>
        <w:adjustRightInd w:val="0"/>
        <w:snapToGrid w:val="0"/>
        <w:ind w:firstLine="480"/>
        <w:rPr>
          <w:rFonts w:ascii="宋体" w:hAnsi="宋体"/>
          <w:szCs w:val="21"/>
        </w:rPr>
      </w:pPr>
      <w:r>
        <w:rPr>
          <w:rFonts w:hint="eastAsia" w:ascii="宋体" w:hAnsi="宋体"/>
          <w:szCs w:val="21"/>
        </w:rPr>
        <w:t xml:space="preserve"> </w:t>
      </w:r>
    </w:p>
    <w:p>
      <w:pPr>
        <w:adjustRightInd w:val="0"/>
        <w:snapToGrid w:val="0"/>
        <w:ind w:firstLine="4080" w:firstLineChars="1700"/>
        <w:rPr>
          <w:rFonts w:ascii="宋体" w:hAnsi="宋体"/>
          <w:szCs w:val="21"/>
          <w:u w:val="single"/>
        </w:rPr>
      </w:pPr>
      <w:r>
        <w:rPr>
          <w:rFonts w:hint="eastAsia" w:ascii="宋体" w:hAnsi="宋体"/>
          <w:szCs w:val="21"/>
        </w:rPr>
        <w:t>投标人名称（盖章）：</w:t>
      </w:r>
      <w:r>
        <w:rPr>
          <w:rFonts w:hint="eastAsia" w:ascii="宋体" w:hAnsi="宋体"/>
          <w:szCs w:val="21"/>
          <w:u w:val="single"/>
        </w:rPr>
        <w:t xml:space="preserve">                    </w:t>
      </w:r>
    </w:p>
    <w:p>
      <w:pPr>
        <w:adjustRightInd w:val="0"/>
        <w:snapToGrid w:val="0"/>
        <w:ind w:firstLine="3600" w:firstLineChars="1500"/>
        <w:rPr>
          <w:rFonts w:ascii="宋体" w:hAnsi="宋体"/>
          <w:szCs w:val="21"/>
        </w:rPr>
      </w:pPr>
      <w:r>
        <w:rPr>
          <w:rFonts w:hint="eastAsia" w:ascii="宋体" w:hAnsi="宋体"/>
          <w:szCs w:val="21"/>
        </w:rPr>
        <w:t xml:space="preserve"> </w:t>
      </w:r>
    </w:p>
    <w:p>
      <w:pPr>
        <w:adjustRightInd w:val="0"/>
        <w:snapToGrid w:val="0"/>
        <w:ind w:firstLine="4080" w:firstLineChars="1700"/>
        <w:rPr>
          <w:rFonts w:ascii="宋体" w:hAnsi="宋体"/>
          <w:szCs w:val="21"/>
        </w:rPr>
      </w:pPr>
      <w:r>
        <w:rPr>
          <w:rFonts w:hint="eastAsia" w:ascii="宋体" w:hAnsi="宋体"/>
          <w:szCs w:val="21"/>
        </w:rPr>
        <w:t>日期：    年   月  日</w:t>
      </w:r>
    </w:p>
    <w:p>
      <w:pPr>
        <w:adjustRightInd w:val="0"/>
        <w:snapToGrid w:val="0"/>
        <w:ind w:firstLine="480"/>
        <w:rPr>
          <w:rFonts w:ascii="宋体" w:hAnsi="宋体"/>
          <w:szCs w:val="21"/>
        </w:rPr>
      </w:pPr>
      <w:r>
        <w:rPr>
          <w:rFonts w:hint="eastAsia" w:ascii="宋体" w:hAnsi="宋体"/>
          <w:szCs w:val="21"/>
        </w:rPr>
        <w:t xml:space="preserve"> </w:t>
      </w:r>
    </w:p>
    <w:p>
      <w:pPr>
        <w:adjustRightInd w:val="0"/>
        <w:snapToGrid w:val="0"/>
        <w:ind w:firstLine="480"/>
        <w:rPr>
          <w:rFonts w:ascii="宋体" w:hAnsi="宋体"/>
          <w:szCs w:val="21"/>
        </w:rPr>
      </w:pPr>
      <w:r>
        <w:rPr>
          <w:rFonts w:hint="eastAsia" w:ascii="宋体" w:hAnsi="宋体"/>
          <w:szCs w:val="21"/>
        </w:rPr>
        <w:t xml:space="preserve">  </w:t>
      </w:r>
    </w:p>
    <w:p>
      <w:pPr>
        <w:adjustRightInd w:val="0"/>
        <w:snapToGrid w:val="0"/>
        <w:ind w:firstLine="480"/>
        <w:rPr>
          <w:rFonts w:ascii="宋体" w:hAnsi="宋体"/>
          <w:color w:val="auto"/>
          <w:szCs w:val="21"/>
        </w:rPr>
      </w:pPr>
      <w:r>
        <w:rPr>
          <w:rFonts w:hint="eastAsia" w:ascii="宋体" w:hAnsi="宋体"/>
          <w:color w:val="auto"/>
          <w:szCs w:val="21"/>
        </w:rPr>
        <w:t xml:space="preserve"> </w:t>
      </w:r>
    </w:p>
    <w:p>
      <w:pPr>
        <w:adjustRightInd w:val="0"/>
        <w:snapToGrid w:val="0"/>
        <w:ind w:firstLine="480"/>
        <w:rPr>
          <w:rFonts w:ascii="宋体" w:hAnsi="宋体"/>
          <w:color w:val="auto"/>
          <w:szCs w:val="21"/>
        </w:rPr>
      </w:pPr>
      <w:r>
        <w:rPr>
          <w:rFonts w:hint="eastAsia" w:ascii="宋体" w:hAnsi="宋体"/>
          <w:color w:val="auto"/>
          <w:szCs w:val="21"/>
        </w:rPr>
        <w:t>投标人为残疾人福利性单位的提供此函。</w:t>
      </w:r>
    </w:p>
    <w:p>
      <w:pPr>
        <w:spacing w:before="100" w:beforeAutospacing="1" w:after="120"/>
        <w:ind w:firstLine="480"/>
        <w:rPr>
          <w:rFonts w:ascii="宋体" w:hAnsi="宋体"/>
          <w:color w:val="auto"/>
          <w:szCs w:val="21"/>
        </w:rPr>
      </w:pPr>
      <w:r>
        <w:rPr>
          <w:rFonts w:hint="eastAsia" w:ascii="宋体" w:hAnsi="宋体"/>
          <w:color w:val="auto"/>
          <w:szCs w:val="21"/>
        </w:rPr>
        <w:t>备注：中标人为残疾人福利性单位的，应当随中标结果同时公告其《残疾人福利性单位声明函》，接受社会监督。</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spacing w:line="360" w:lineRule="auto"/>
        <w:ind w:firstLine="0" w:firstLineChars="0"/>
        <w:rPr>
          <w:rFonts w:hint="eastAsia" w:ascii="宋体" w:hAnsi="宋体" w:cs="宋体"/>
          <w:b/>
          <w:bCs/>
          <w:lang w:val="zh-CN"/>
        </w:rPr>
      </w:pPr>
    </w:p>
    <w:sectPr>
      <w:headerReference r:id="rId10" w:type="first"/>
      <w:footerReference r:id="rId13" w:type="first"/>
      <w:headerReference r:id="rId9" w:type="default"/>
      <w:footerReference r:id="rId11" w:type="default"/>
      <w:footerReference r:id="rId12" w:type="even"/>
      <w:pgSz w:w="11906" w:h="16838"/>
      <w:pgMar w:top="1440" w:right="1080" w:bottom="1440" w:left="1080" w:header="964" w:footer="907" w:gutter="0"/>
      <w:pgBorders w:zOrder="back">
        <w:top w:val="thinThickSmallGap" w:color="auto" w:sz="12" w:space="10"/>
        <w:left w:val="none" w:sz="0" w:space="0"/>
        <w:bottom w:val="thinThickSmallGap" w:color="auto" w:sz="12" w:space="6"/>
        <w:right w:val="none" w:sz="0" w:space="0"/>
      </w:pgBorders>
      <w:cols w:space="720" w:num="1"/>
      <w:titlePg/>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p>
  </w:endnote>
  <w:endnote w:type="continuationSeparator" w:id="1">
    <w:p>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MingLiU">
    <w:altName w:val="Microsoft JhengHei UI"/>
    <w:panose1 w:val="02020509000000000000"/>
    <w:charset w:val="88"/>
    <w:family w:val="modern"/>
    <w:pitch w:val="default"/>
    <w:sig w:usb0="00000000" w:usb1="00000000" w:usb2="00000016" w:usb3="00000000" w:csb0="0010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left" w:pos="1671"/>
        <w:tab w:val="clear" w:pos="4153"/>
      </w:tabs>
      <w:ind w:left="0" w:leftChars="0" w:firstLine="0" w:firstLineChars="0"/>
    </w:pPr>
    <w:r>
      <mc:AlternateContent>
        <mc:Choice Requires="wps">
          <w:drawing>
            <wp:anchor distT="0" distB="0" distL="114300" distR="114300" simplePos="0" relativeHeight="251659264" behindDoc="0" locked="0" layoutInCell="1" allowOverlap="1">
              <wp:simplePos x="0" y="0"/>
              <wp:positionH relativeFrom="margin">
                <wp:posOffset>2430145</wp:posOffset>
              </wp:positionH>
              <wp:positionV relativeFrom="paragraph">
                <wp:posOffset>10160</wp:posOffset>
              </wp:positionV>
              <wp:extent cx="1406525" cy="3562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406525" cy="356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ind w:firstLine="361"/>
                            <w:rPr>
                              <w:rFonts w:ascii="宋体" w:hAnsi="宋体" w:cs="宋体"/>
                              <w:b/>
                              <w:bCs/>
                            </w:rPr>
                          </w:pPr>
                          <w:r>
                            <w:rPr>
                              <w:rFonts w:hint="eastAsia" w:ascii="宋体" w:hAnsi="宋体" w:cs="宋体"/>
                              <w:b/>
                              <w:bCs/>
                            </w:rPr>
                            <w:t xml:space="preserve">第 </w:t>
                          </w:r>
                          <w:r>
                            <w:rPr>
                              <w:rFonts w:hint="eastAsia" w:ascii="宋体" w:hAnsi="宋体" w:cs="宋体"/>
                              <w:b/>
                              <w:bCs/>
                            </w:rPr>
                            <w:fldChar w:fldCharType="begin"/>
                          </w:r>
                          <w:r>
                            <w:rPr>
                              <w:rFonts w:hint="eastAsia" w:ascii="宋体" w:hAnsi="宋体" w:cs="宋体"/>
                              <w:b/>
                              <w:bCs/>
                            </w:rPr>
                            <w:instrText xml:space="preserve"> PAGE  \* MERGEFORMAT </w:instrText>
                          </w:r>
                          <w:r>
                            <w:rPr>
                              <w:rFonts w:hint="eastAsia" w:ascii="宋体" w:hAnsi="宋体" w:cs="宋体"/>
                              <w:b/>
                              <w:bCs/>
                            </w:rPr>
                            <w:fldChar w:fldCharType="separate"/>
                          </w:r>
                          <w:r>
                            <w:rPr>
                              <w:rFonts w:ascii="宋体" w:hAnsi="宋体" w:cs="宋体"/>
                              <w:b/>
                              <w:bCs/>
                            </w:rPr>
                            <w:t>55</w:t>
                          </w:r>
                          <w:r>
                            <w:rPr>
                              <w:rFonts w:hint="eastAsia" w:ascii="宋体" w:hAnsi="宋体" w:cs="宋体"/>
                              <w:b/>
                              <w:bCs/>
                            </w:rPr>
                            <w:fldChar w:fldCharType="end"/>
                          </w:r>
                          <w:r>
                            <w:rPr>
                              <w:rFonts w:hint="eastAsia" w:ascii="宋体" w:hAnsi="宋体" w:cs="宋体"/>
                              <w:b/>
                              <w:bCs/>
                            </w:rPr>
                            <w:t xml:space="preserve"> 页 共 </w:t>
                          </w:r>
                          <w:r>
                            <w:rPr>
                              <w:rFonts w:hint="eastAsia" w:ascii="宋体" w:hAnsi="宋体" w:cs="宋体"/>
                              <w:b/>
                              <w:bCs/>
                            </w:rPr>
                            <w:fldChar w:fldCharType="begin"/>
                          </w:r>
                          <w:r>
                            <w:rPr>
                              <w:rFonts w:hint="eastAsia" w:ascii="宋体" w:hAnsi="宋体" w:cs="宋体"/>
                              <w:b/>
                              <w:bCs/>
                            </w:rPr>
                            <w:instrText xml:space="preserve"> NUMPAGES  \* MERGEFORMAT </w:instrText>
                          </w:r>
                          <w:r>
                            <w:rPr>
                              <w:rFonts w:hint="eastAsia" w:ascii="宋体" w:hAnsi="宋体" w:cs="宋体"/>
                              <w:b/>
                              <w:bCs/>
                            </w:rPr>
                            <w:fldChar w:fldCharType="separate"/>
                          </w:r>
                          <w:r>
                            <w:rPr>
                              <w:rFonts w:ascii="宋体" w:hAnsi="宋体" w:cs="宋体"/>
                              <w:b/>
                              <w:bCs/>
                            </w:rPr>
                            <w:t>55</w:t>
                          </w:r>
                          <w:r>
                            <w:rPr>
                              <w:rFonts w:hint="eastAsia" w:ascii="宋体" w:hAnsi="宋体" w:cs="宋体"/>
                              <w:b/>
                              <w:bCs/>
                            </w:rPr>
                            <w:fldChar w:fldCharType="end"/>
                          </w:r>
                          <w:r>
                            <w:rPr>
                              <w:rFonts w:hint="eastAsia" w:ascii="宋体" w:hAnsi="宋体" w:cs="宋体"/>
                              <w:b/>
                              <w:bCs/>
                            </w:rP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1.35pt;margin-top:0.8pt;height:28.05pt;width:110.75pt;mso-position-horizontal-relative:margin;z-index:251659264;mso-width-relative:page;mso-height-relative:page;" filled="f" stroked="f" coordsize="21600,21600" o:gfxdata="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NgfAU1wAAAAgBAAAPAAAAAAAAAAEAIAAAACIAAABkcnMvZG93bnJldi54bWxQ&#10;SwECFAAUAAAACACHTuJA8/hyxjECAABWBAAADgAAAAAAAAABACAAAAAmAQAAZHJzL2Uyb0RvYy54&#10;bWxQSwUGAAAAAAYABgBZAQAAyQUAAAAA&#10;">
              <v:fill on="f" focussize="0,0"/>
              <v:stroke on="f" weight="0.5pt"/>
              <v:imagedata o:title=""/>
              <o:lock v:ext="edit" aspectratio="f"/>
              <v:textbox inset="0mm,0mm,0mm,0mm">
                <w:txbxContent>
                  <w:p>
                    <w:pPr>
                      <w:pStyle w:val="24"/>
                      <w:ind w:firstLine="361"/>
                      <w:rPr>
                        <w:rFonts w:ascii="宋体" w:hAnsi="宋体" w:cs="宋体"/>
                        <w:b/>
                        <w:bCs/>
                      </w:rPr>
                    </w:pPr>
                    <w:r>
                      <w:rPr>
                        <w:rFonts w:hint="eastAsia" w:ascii="宋体" w:hAnsi="宋体" w:cs="宋体"/>
                        <w:b/>
                        <w:bCs/>
                      </w:rPr>
                      <w:t xml:space="preserve">第 </w:t>
                    </w:r>
                    <w:r>
                      <w:rPr>
                        <w:rFonts w:hint="eastAsia" w:ascii="宋体" w:hAnsi="宋体" w:cs="宋体"/>
                        <w:b/>
                        <w:bCs/>
                      </w:rPr>
                      <w:fldChar w:fldCharType="begin"/>
                    </w:r>
                    <w:r>
                      <w:rPr>
                        <w:rFonts w:hint="eastAsia" w:ascii="宋体" w:hAnsi="宋体" w:cs="宋体"/>
                        <w:b/>
                        <w:bCs/>
                      </w:rPr>
                      <w:instrText xml:space="preserve"> PAGE  \* MERGEFORMAT </w:instrText>
                    </w:r>
                    <w:r>
                      <w:rPr>
                        <w:rFonts w:hint="eastAsia" w:ascii="宋体" w:hAnsi="宋体" w:cs="宋体"/>
                        <w:b/>
                        <w:bCs/>
                      </w:rPr>
                      <w:fldChar w:fldCharType="separate"/>
                    </w:r>
                    <w:r>
                      <w:rPr>
                        <w:rFonts w:ascii="宋体" w:hAnsi="宋体" w:cs="宋体"/>
                        <w:b/>
                        <w:bCs/>
                      </w:rPr>
                      <w:t>55</w:t>
                    </w:r>
                    <w:r>
                      <w:rPr>
                        <w:rFonts w:hint="eastAsia" w:ascii="宋体" w:hAnsi="宋体" w:cs="宋体"/>
                        <w:b/>
                        <w:bCs/>
                      </w:rPr>
                      <w:fldChar w:fldCharType="end"/>
                    </w:r>
                    <w:r>
                      <w:rPr>
                        <w:rFonts w:hint="eastAsia" w:ascii="宋体" w:hAnsi="宋体" w:cs="宋体"/>
                        <w:b/>
                        <w:bCs/>
                      </w:rPr>
                      <w:t xml:space="preserve"> 页 共 </w:t>
                    </w:r>
                    <w:r>
                      <w:rPr>
                        <w:rFonts w:hint="eastAsia" w:ascii="宋体" w:hAnsi="宋体" w:cs="宋体"/>
                        <w:b/>
                        <w:bCs/>
                      </w:rPr>
                      <w:fldChar w:fldCharType="begin"/>
                    </w:r>
                    <w:r>
                      <w:rPr>
                        <w:rFonts w:hint="eastAsia" w:ascii="宋体" w:hAnsi="宋体" w:cs="宋体"/>
                        <w:b/>
                        <w:bCs/>
                      </w:rPr>
                      <w:instrText xml:space="preserve"> NUMPAGES  \* MERGEFORMAT </w:instrText>
                    </w:r>
                    <w:r>
                      <w:rPr>
                        <w:rFonts w:hint="eastAsia" w:ascii="宋体" w:hAnsi="宋体" w:cs="宋体"/>
                        <w:b/>
                        <w:bCs/>
                      </w:rPr>
                      <w:fldChar w:fldCharType="separate"/>
                    </w:r>
                    <w:r>
                      <w:rPr>
                        <w:rFonts w:ascii="宋体" w:hAnsi="宋体" w:cs="宋体"/>
                        <w:b/>
                        <w:bCs/>
                      </w:rPr>
                      <w:t>55</w:t>
                    </w:r>
                    <w:r>
                      <w:rPr>
                        <w:rFonts w:hint="eastAsia" w:ascii="宋体" w:hAnsi="宋体" w:cs="宋体"/>
                        <w:b/>
                        <w:bCs/>
                      </w:rPr>
                      <w:fldChar w:fldCharType="end"/>
                    </w:r>
                    <w:r>
                      <w:rPr>
                        <w:rFonts w:hint="eastAsia" w:ascii="宋体" w:hAnsi="宋体" w:cs="宋体"/>
                        <w:b/>
                        <w:bCs/>
                      </w:rPr>
                      <w:t xml:space="preserve"> 页</w:t>
                    </w:r>
                  </w:p>
                </w:txbxContent>
              </v:textbox>
            </v:shape>
          </w:pict>
        </mc:Fallback>
      </mc:AlternateContent>
    </w:r>
    <w:r>
      <w:rPr>
        <w:rFonts w:ascii="宋体" w:hAnsi="宋体"/>
        <w:b/>
        <w:bCs/>
        <w:i/>
        <w:iCs/>
        <w:color w:val="00B050"/>
      </w:rPr>
      <w:drawing>
        <wp:anchor distT="0" distB="0" distL="114300" distR="114300" simplePos="0" relativeHeight="251663360" behindDoc="1" locked="0" layoutInCell="1" allowOverlap="1">
          <wp:simplePos x="0" y="0"/>
          <wp:positionH relativeFrom="column">
            <wp:posOffset>33655</wp:posOffset>
          </wp:positionH>
          <wp:positionV relativeFrom="page">
            <wp:posOffset>9855835</wp:posOffset>
          </wp:positionV>
          <wp:extent cx="927735" cy="191135"/>
          <wp:effectExtent l="0" t="0" r="5715" b="18415"/>
          <wp:wrapTight wrapText="bothSides">
            <wp:wrapPolygon>
              <wp:start x="0" y="0"/>
              <wp:lineTo x="0" y="19375"/>
              <wp:lineTo x="21290" y="19375"/>
              <wp:lineTo x="21290" y="0"/>
              <wp:lineTo x="0" y="0"/>
            </wp:wrapPolygon>
          </wp:wrapTight>
          <wp:docPr id="5" name="图片 5" descr="1660788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60788654(1)"/>
                  <pic:cNvPicPr>
                    <a:picLocks noChangeAspect="1"/>
                  </pic:cNvPicPr>
                </pic:nvPicPr>
                <pic:blipFill>
                  <a:blip r:embed="rId1"/>
                  <a:stretch>
                    <a:fillRect/>
                  </a:stretch>
                </pic:blipFill>
                <pic:spPr>
                  <a:xfrm>
                    <a:off x="0" y="0"/>
                    <a:ext cx="927735" cy="19113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240" w:lineRule="auto"/>
      <w:ind w:firstLine="480"/>
    </w:pPr>
    <w:r>
      <w:rPr>
        <w:rFonts w:ascii="宋体" w:hAnsi="宋体"/>
        <w:b/>
        <w:bCs/>
        <w:i/>
        <w:iCs/>
        <w:color w:val="00B050"/>
      </w:rPr>
      <w:drawing>
        <wp:anchor distT="0" distB="0" distL="114300" distR="114300" simplePos="0" relativeHeight="251661312" behindDoc="1" locked="0" layoutInCell="1" allowOverlap="1">
          <wp:simplePos x="0" y="0"/>
          <wp:positionH relativeFrom="column">
            <wp:posOffset>43815</wp:posOffset>
          </wp:positionH>
          <wp:positionV relativeFrom="page">
            <wp:posOffset>9935845</wp:posOffset>
          </wp:positionV>
          <wp:extent cx="927735" cy="208280"/>
          <wp:effectExtent l="0" t="0" r="5715" b="58420"/>
          <wp:wrapTight wrapText="bothSides">
            <wp:wrapPolygon>
              <wp:start x="0" y="0"/>
              <wp:lineTo x="0" y="19756"/>
              <wp:lineTo x="21290" y="19756"/>
              <wp:lineTo x="21290" y="0"/>
              <wp:lineTo x="0" y="0"/>
            </wp:wrapPolygon>
          </wp:wrapTight>
          <wp:docPr id="2" name="图片 2" descr="1660788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60788654(1)"/>
                  <pic:cNvPicPr>
                    <a:picLocks noChangeAspect="1"/>
                  </pic:cNvPicPr>
                </pic:nvPicPr>
                <pic:blipFill>
                  <a:blip r:embed="rId1"/>
                  <a:stretch>
                    <a:fillRect/>
                  </a:stretch>
                </pic:blipFill>
                <pic:spPr>
                  <a:xfrm>
                    <a:off x="0" y="0"/>
                    <a:ext cx="927735" cy="20828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margin">
                <wp:posOffset>2381250</wp:posOffset>
              </wp:positionH>
              <wp:positionV relativeFrom="paragraph">
                <wp:posOffset>-140970</wp:posOffset>
              </wp:positionV>
              <wp:extent cx="1569085" cy="48196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569085" cy="4819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ind w:firstLine="361"/>
                            <w:rPr>
                              <w:rFonts w:ascii="宋体" w:hAnsi="宋体" w:cs="宋体"/>
                              <w:b/>
                              <w:bCs/>
                              <w:sz w:val="18"/>
                              <w:szCs w:val="18"/>
                            </w:rPr>
                          </w:pPr>
                          <w:r>
                            <w:rPr>
                              <w:rFonts w:hint="eastAsia" w:ascii="宋体" w:hAnsi="宋体" w:cs="宋体"/>
                              <w:b/>
                              <w:bCs/>
                              <w:sz w:val="18"/>
                              <w:szCs w:val="18"/>
                            </w:rPr>
                            <w:t xml:space="preserve">第 </w:t>
                          </w:r>
                          <w:r>
                            <w:rPr>
                              <w:rFonts w:hint="eastAsia" w:ascii="宋体" w:hAnsi="宋体" w:cs="宋体"/>
                              <w:b/>
                              <w:bCs/>
                              <w:sz w:val="18"/>
                              <w:szCs w:val="18"/>
                            </w:rPr>
                            <w:fldChar w:fldCharType="begin"/>
                          </w:r>
                          <w:r>
                            <w:rPr>
                              <w:rFonts w:hint="eastAsia" w:ascii="宋体" w:hAnsi="宋体" w:cs="宋体"/>
                              <w:b/>
                              <w:bCs/>
                              <w:sz w:val="18"/>
                              <w:szCs w:val="18"/>
                            </w:rPr>
                            <w:instrText xml:space="preserve"> PAGE  \* MERGEFORMAT </w:instrText>
                          </w:r>
                          <w:r>
                            <w:rPr>
                              <w:rFonts w:hint="eastAsia" w:ascii="宋体" w:hAnsi="宋体" w:cs="宋体"/>
                              <w:b/>
                              <w:bCs/>
                              <w:sz w:val="18"/>
                              <w:szCs w:val="18"/>
                            </w:rPr>
                            <w:fldChar w:fldCharType="separate"/>
                          </w:r>
                          <w:r>
                            <w:rPr>
                              <w:rFonts w:hint="eastAsia" w:ascii="宋体" w:hAnsi="宋体" w:cs="宋体"/>
                              <w:b/>
                              <w:bCs/>
                              <w:sz w:val="18"/>
                              <w:szCs w:val="18"/>
                            </w:rPr>
                            <w:t>1</w:t>
                          </w:r>
                          <w:r>
                            <w:rPr>
                              <w:rFonts w:hint="eastAsia" w:ascii="宋体" w:hAnsi="宋体" w:cs="宋体"/>
                              <w:b/>
                              <w:bCs/>
                              <w:sz w:val="18"/>
                              <w:szCs w:val="18"/>
                            </w:rPr>
                            <w:fldChar w:fldCharType="end"/>
                          </w:r>
                          <w:r>
                            <w:rPr>
                              <w:rFonts w:hint="eastAsia" w:ascii="宋体" w:hAnsi="宋体" w:cs="宋体"/>
                              <w:b/>
                              <w:bCs/>
                              <w:sz w:val="18"/>
                              <w:szCs w:val="18"/>
                            </w:rPr>
                            <w:t xml:space="preserve"> 页 共 </w:t>
                          </w:r>
                          <w:r>
                            <w:rPr>
                              <w:rFonts w:hint="eastAsia" w:ascii="宋体" w:hAnsi="宋体" w:cs="宋体"/>
                              <w:b/>
                              <w:bCs/>
                              <w:sz w:val="18"/>
                              <w:szCs w:val="18"/>
                            </w:rPr>
                            <w:fldChar w:fldCharType="begin"/>
                          </w:r>
                          <w:r>
                            <w:rPr>
                              <w:rFonts w:hint="eastAsia" w:ascii="宋体" w:hAnsi="宋体" w:cs="宋体"/>
                              <w:b/>
                              <w:bCs/>
                              <w:sz w:val="18"/>
                              <w:szCs w:val="18"/>
                            </w:rPr>
                            <w:instrText xml:space="preserve"> NUMPAGES  \* MERGEFORMAT </w:instrText>
                          </w:r>
                          <w:r>
                            <w:rPr>
                              <w:rFonts w:hint="eastAsia" w:ascii="宋体" w:hAnsi="宋体" w:cs="宋体"/>
                              <w:b/>
                              <w:bCs/>
                              <w:sz w:val="18"/>
                              <w:szCs w:val="18"/>
                            </w:rPr>
                            <w:fldChar w:fldCharType="separate"/>
                          </w:r>
                          <w:r>
                            <w:rPr>
                              <w:rFonts w:hint="eastAsia" w:ascii="宋体" w:hAnsi="宋体" w:cs="宋体"/>
                              <w:b/>
                              <w:bCs/>
                              <w:sz w:val="18"/>
                              <w:szCs w:val="18"/>
                            </w:rPr>
                            <w:t>83</w:t>
                          </w:r>
                          <w:r>
                            <w:rPr>
                              <w:rFonts w:hint="eastAsia" w:ascii="宋体" w:hAnsi="宋体" w:cs="宋体"/>
                              <w:b/>
                              <w:bCs/>
                              <w:sz w:val="18"/>
                              <w:szCs w:val="18"/>
                            </w:rPr>
                            <w:fldChar w:fldCharType="end"/>
                          </w:r>
                          <w:r>
                            <w:rPr>
                              <w:rFonts w:hint="eastAsia" w:ascii="宋体" w:hAnsi="宋体" w:cs="宋体"/>
                              <w:b/>
                              <w:bCs/>
                              <w:sz w:val="18"/>
                              <w:szCs w:val="18"/>
                            </w:rP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87.5pt;margin-top:-11.1pt;height:37.95pt;width:123.55pt;mso-position-horizontal-relative:margin;z-index:251659264;mso-width-relative:page;mso-height-relative:page;" filled="f" stroked="f" coordsize="21600,21600" o:gfxdata="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OhuH42QAAAAoBAAAPAAAAAAAAAAEAIAAAACIAAABkcnMvZG93bnJldi54&#10;bWxQSwECFAAUAAAACACHTuJA/P9m+zICAABYBAAADgAAAAAAAAABACAAAAAoAQAAZHJzL2Uyb0Rv&#10;Yy54bWxQSwUGAAAAAAYABgBZAQAAzAUAAAAA&#10;">
              <v:fill on="f" focussize="0,0"/>
              <v:stroke on="f" weight="0.5pt"/>
              <v:imagedata o:title=""/>
              <o:lock v:ext="edit" aspectratio="f"/>
              <v:textbox inset="0mm,0mm,0mm,0mm">
                <w:txbxContent>
                  <w:p>
                    <w:pPr>
                      <w:pStyle w:val="24"/>
                      <w:ind w:firstLine="361"/>
                      <w:rPr>
                        <w:rFonts w:ascii="宋体" w:hAnsi="宋体" w:cs="宋体"/>
                        <w:b/>
                        <w:bCs/>
                        <w:sz w:val="18"/>
                        <w:szCs w:val="18"/>
                      </w:rPr>
                    </w:pPr>
                    <w:r>
                      <w:rPr>
                        <w:rFonts w:hint="eastAsia" w:ascii="宋体" w:hAnsi="宋体" w:cs="宋体"/>
                        <w:b/>
                        <w:bCs/>
                        <w:sz w:val="18"/>
                        <w:szCs w:val="18"/>
                      </w:rPr>
                      <w:t xml:space="preserve">第 </w:t>
                    </w:r>
                    <w:r>
                      <w:rPr>
                        <w:rFonts w:hint="eastAsia" w:ascii="宋体" w:hAnsi="宋体" w:cs="宋体"/>
                        <w:b/>
                        <w:bCs/>
                        <w:sz w:val="18"/>
                        <w:szCs w:val="18"/>
                      </w:rPr>
                      <w:fldChar w:fldCharType="begin"/>
                    </w:r>
                    <w:r>
                      <w:rPr>
                        <w:rFonts w:hint="eastAsia" w:ascii="宋体" w:hAnsi="宋体" w:cs="宋体"/>
                        <w:b/>
                        <w:bCs/>
                        <w:sz w:val="18"/>
                        <w:szCs w:val="18"/>
                      </w:rPr>
                      <w:instrText xml:space="preserve"> PAGE  \* MERGEFORMAT </w:instrText>
                    </w:r>
                    <w:r>
                      <w:rPr>
                        <w:rFonts w:hint="eastAsia" w:ascii="宋体" w:hAnsi="宋体" w:cs="宋体"/>
                        <w:b/>
                        <w:bCs/>
                        <w:sz w:val="18"/>
                        <w:szCs w:val="18"/>
                      </w:rPr>
                      <w:fldChar w:fldCharType="separate"/>
                    </w:r>
                    <w:r>
                      <w:rPr>
                        <w:rFonts w:hint="eastAsia" w:ascii="宋体" w:hAnsi="宋体" w:cs="宋体"/>
                        <w:b/>
                        <w:bCs/>
                        <w:sz w:val="18"/>
                        <w:szCs w:val="18"/>
                      </w:rPr>
                      <w:t>1</w:t>
                    </w:r>
                    <w:r>
                      <w:rPr>
                        <w:rFonts w:hint="eastAsia" w:ascii="宋体" w:hAnsi="宋体" w:cs="宋体"/>
                        <w:b/>
                        <w:bCs/>
                        <w:sz w:val="18"/>
                        <w:szCs w:val="18"/>
                      </w:rPr>
                      <w:fldChar w:fldCharType="end"/>
                    </w:r>
                    <w:r>
                      <w:rPr>
                        <w:rFonts w:hint="eastAsia" w:ascii="宋体" w:hAnsi="宋体" w:cs="宋体"/>
                        <w:b/>
                        <w:bCs/>
                        <w:sz w:val="18"/>
                        <w:szCs w:val="18"/>
                      </w:rPr>
                      <w:t xml:space="preserve"> 页 共 </w:t>
                    </w:r>
                    <w:r>
                      <w:rPr>
                        <w:rFonts w:hint="eastAsia" w:ascii="宋体" w:hAnsi="宋体" w:cs="宋体"/>
                        <w:b/>
                        <w:bCs/>
                        <w:sz w:val="18"/>
                        <w:szCs w:val="18"/>
                      </w:rPr>
                      <w:fldChar w:fldCharType="begin"/>
                    </w:r>
                    <w:r>
                      <w:rPr>
                        <w:rFonts w:hint="eastAsia" w:ascii="宋体" w:hAnsi="宋体" w:cs="宋体"/>
                        <w:b/>
                        <w:bCs/>
                        <w:sz w:val="18"/>
                        <w:szCs w:val="18"/>
                      </w:rPr>
                      <w:instrText xml:space="preserve"> NUMPAGES  \* MERGEFORMAT </w:instrText>
                    </w:r>
                    <w:r>
                      <w:rPr>
                        <w:rFonts w:hint="eastAsia" w:ascii="宋体" w:hAnsi="宋体" w:cs="宋体"/>
                        <w:b/>
                        <w:bCs/>
                        <w:sz w:val="18"/>
                        <w:szCs w:val="18"/>
                      </w:rPr>
                      <w:fldChar w:fldCharType="separate"/>
                    </w:r>
                    <w:r>
                      <w:rPr>
                        <w:rFonts w:hint="eastAsia" w:ascii="宋体" w:hAnsi="宋体" w:cs="宋体"/>
                        <w:b/>
                        <w:bCs/>
                        <w:sz w:val="18"/>
                        <w:szCs w:val="18"/>
                      </w:rPr>
                      <w:t>83</w:t>
                    </w:r>
                    <w:r>
                      <w:rPr>
                        <w:rFonts w:hint="eastAsia" w:ascii="宋体" w:hAnsi="宋体" w:cs="宋体"/>
                        <w:b/>
                        <w:bCs/>
                        <w:sz w:val="18"/>
                        <w:szCs w:val="18"/>
                      </w:rPr>
                      <w:fldChar w:fldCharType="end"/>
                    </w:r>
                    <w:r>
                      <w:rPr>
                        <w:rFonts w:hint="eastAsia" w:ascii="宋体" w:hAnsi="宋体" w:cs="宋体"/>
                        <w:b/>
                        <w:bCs/>
                        <w:sz w:val="18"/>
                        <w:szCs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ind w:firstLine="480"/>
      <w:rPr>
        <w:rStyle w:val="41"/>
      </w:rPr>
    </w:pPr>
    <w:r>
      <w:fldChar w:fldCharType="begin"/>
    </w:r>
    <w:r>
      <w:rPr>
        <w:rStyle w:val="41"/>
      </w:rPr>
      <w:instrText xml:space="preserve">PAGE  </w:instrText>
    </w:r>
    <w:r>
      <w:fldChar w:fldCharType="end"/>
    </w:r>
  </w:p>
  <w:p>
    <w:pPr>
      <w:pStyle w:val="24"/>
      <w:ind w:right="360"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240" w:lineRule="auto"/>
      <w:ind w:firstLine="0" w:firstLineChars="0"/>
    </w:pPr>
    <w:r>
      <mc:AlternateContent>
        <mc:Choice Requires="wps">
          <w:drawing>
            <wp:anchor distT="0" distB="0" distL="114300" distR="114300" simplePos="0" relativeHeight="251660288" behindDoc="0" locked="0" layoutInCell="1" allowOverlap="1">
              <wp:simplePos x="0" y="0"/>
              <wp:positionH relativeFrom="margin">
                <wp:posOffset>2442210</wp:posOffset>
              </wp:positionH>
              <wp:positionV relativeFrom="paragraph">
                <wp:posOffset>-140970</wp:posOffset>
              </wp:positionV>
              <wp:extent cx="1508125" cy="48196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508125" cy="4819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ind w:firstLine="361"/>
                            <w:rPr>
                              <w:rFonts w:ascii="宋体" w:hAnsi="宋体" w:cs="宋体"/>
                              <w:b/>
                              <w:bCs/>
                              <w:sz w:val="18"/>
                              <w:szCs w:val="18"/>
                            </w:rPr>
                          </w:pPr>
                          <w:r>
                            <w:rPr>
                              <w:rFonts w:hint="eastAsia" w:ascii="宋体" w:hAnsi="宋体" w:cs="宋体"/>
                              <w:b/>
                              <w:bCs/>
                              <w:sz w:val="18"/>
                              <w:szCs w:val="18"/>
                            </w:rPr>
                            <w:t xml:space="preserve">第 </w:t>
                          </w:r>
                          <w:r>
                            <w:rPr>
                              <w:rFonts w:hint="eastAsia" w:ascii="宋体" w:hAnsi="宋体" w:cs="宋体"/>
                              <w:b/>
                              <w:bCs/>
                              <w:sz w:val="18"/>
                              <w:szCs w:val="18"/>
                            </w:rPr>
                            <w:fldChar w:fldCharType="begin"/>
                          </w:r>
                          <w:r>
                            <w:rPr>
                              <w:rFonts w:hint="eastAsia" w:ascii="宋体" w:hAnsi="宋体" w:cs="宋体"/>
                              <w:b/>
                              <w:bCs/>
                              <w:sz w:val="18"/>
                              <w:szCs w:val="18"/>
                            </w:rPr>
                            <w:instrText xml:space="preserve"> PAGE  \* MERGEFORMAT </w:instrText>
                          </w:r>
                          <w:r>
                            <w:rPr>
                              <w:rFonts w:hint="eastAsia" w:ascii="宋体" w:hAnsi="宋体" w:cs="宋体"/>
                              <w:b/>
                              <w:bCs/>
                              <w:sz w:val="18"/>
                              <w:szCs w:val="18"/>
                            </w:rPr>
                            <w:fldChar w:fldCharType="separate"/>
                          </w:r>
                          <w:r>
                            <w:rPr>
                              <w:rFonts w:hint="eastAsia" w:ascii="宋体" w:hAnsi="宋体" w:cs="宋体"/>
                              <w:b/>
                              <w:bCs/>
                              <w:sz w:val="18"/>
                              <w:szCs w:val="18"/>
                            </w:rPr>
                            <w:t>1</w:t>
                          </w:r>
                          <w:r>
                            <w:rPr>
                              <w:rFonts w:hint="eastAsia" w:ascii="宋体" w:hAnsi="宋体" w:cs="宋体"/>
                              <w:b/>
                              <w:bCs/>
                              <w:sz w:val="18"/>
                              <w:szCs w:val="18"/>
                            </w:rPr>
                            <w:fldChar w:fldCharType="end"/>
                          </w:r>
                          <w:r>
                            <w:rPr>
                              <w:rFonts w:hint="eastAsia" w:ascii="宋体" w:hAnsi="宋体" w:cs="宋体"/>
                              <w:b/>
                              <w:bCs/>
                              <w:sz w:val="18"/>
                              <w:szCs w:val="18"/>
                            </w:rPr>
                            <w:t xml:space="preserve"> 页 共 </w:t>
                          </w:r>
                          <w:r>
                            <w:rPr>
                              <w:rFonts w:hint="eastAsia" w:ascii="宋体" w:hAnsi="宋体" w:cs="宋体"/>
                              <w:b/>
                              <w:bCs/>
                              <w:sz w:val="18"/>
                              <w:szCs w:val="18"/>
                            </w:rPr>
                            <w:fldChar w:fldCharType="begin"/>
                          </w:r>
                          <w:r>
                            <w:rPr>
                              <w:rFonts w:hint="eastAsia" w:ascii="宋体" w:hAnsi="宋体" w:cs="宋体"/>
                              <w:b/>
                              <w:bCs/>
                              <w:sz w:val="18"/>
                              <w:szCs w:val="18"/>
                            </w:rPr>
                            <w:instrText xml:space="preserve"> NUMPAGES  \* MERGEFORMAT </w:instrText>
                          </w:r>
                          <w:r>
                            <w:rPr>
                              <w:rFonts w:hint="eastAsia" w:ascii="宋体" w:hAnsi="宋体" w:cs="宋体"/>
                              <w:b/>
                              <w:bCs/>
                              <w:sz w:val="18"/>
                              <w:szCs w:val="18"/>
                            </w:rPr>
                            <w:fldChar w:fldCharType="separate"/>
                          </w:r>
                          <w:r>
                            <w:rPr>
                              <w:rFonts w:hint="eastAsia" w:ascii="宋体" w:hAnsi="宋体" w:cs="宋体"/>
                              <w:b/>
                              <w:bCs/>
                              <w:sz w:val="18"/>
                              <w:szCs w:val="18"/>
                            </w:rPr>
                            <w:t>83</w:t>
                          </w:r>
                          <w:r>
                            <w:rPr>
                              <w:rFonts w:hint="eastAsia" w:ascii="宋体" w:hAnsi="宋体" w:cs="宋体"/>
                              <w:b/>
                              <w:bCs/>
                              <w:sz w:val="18"/>
                              <w:szCs w:val="18"/>
                            </w:rPr>
                            <w:fldChar w:fldCharType="end"/>
                          </w:r>
                          <w:r>
                            <w:rPr>
                              <w:rFonts w:hint="eastAsia" w:ascii="宋体" w:hAnsi="宋体" w:cs="宋体"/>
                              <w:b/>
                              <w:bCs/>
                              <w:sz w:val="18"/>
                              <w:szCs w:val="18"/>
                            </w:rPr>
                            <w:t xml:space="preserve"> 页</w:t>
                          </w:r>
                        </w:p>
                        <w:p>
                          <w:pPr>
                            <w:ind w:firstLine="48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2.3pt;margin-top:-11.1pt;height:37.95pt;width:118.75pt;mso-position-horizontal-relative:margin;z-index:251660288;mso-width-relative:page;mso-height-relative:page;" filled="f" stroked="f" coordsize="21600,21600" o:gfxdata="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ngYrA2QAAAAoBAAAPAAAAAAAAAAEAIAAAACIAAABkcnMvZG93bnJldi54&#10;bWxQSwECFAAUAAAACACHTuJAkuzkvTICAABWBAAADgAAAAAAAAABACAAAAAoAQAAZHJzL2Uyb0Rv&#10;Yy54bWxQSwUGAAAAAAYABgBZAQAAzAUAAAAA&#10;">
              <v:fill on="f" focussize="0,0"/>
              <v:stroke on="f" weight="0.5pt"/>
              <v:imagedata o:title=""/>
              <o:lock v:ext="edit" aspectratio="f"/>
              <v:textbox inset="0mm,0mm,0mm,0mm">
                <w:txbxContent>
                  <w:p>
                    <w:pPr>
                      <w:pStyle w:val="24"/>
                      <w:ind w:firstLine="361"/>
                      <w:rPr>
                        <w:rFonts w:ascii="宋体" w:hAnsi="宋体" w:cs="宋体"/>
                        <w:b/>
                        <w:bCs/>
                        <w:sz w:val="18"/>
                        <w:szCs w:val="18"/>
                      </w:rPr>
                    </w:pPr>
                    <w:r>
                      <w:rPr>
                        <w:rFonts w:hint="eastAsia" w:ascii="宋体" w:hAnsi="宋体" w:cs="宋体"/>
                        <w:b/>
                        <w:bCs/>
                        <w:sz w:val="18"/>
                        <w:szCs w:val="18"/>
                      </w:rPr>
                      <w:t xml:space="preserve">第 </w:t>
                    </w:r>
                    <w:r>
                      <w:rPr>
                        <w:rFonts w:hint="eastAsia" w:ascii="宋体" w:hAnsi="宋体" w:cs="宋体"/>
                        <w:b/>
                        <w:bCs/>
                        <w:sz w:val="18"/>
                        <w:szCs w:val="18"/>
                      </w:rPr>
                      <w:fldChar w:fldCharType="begin"/>
                    </w:r>
                    <w:r>
                      <w:rPr>
                        <w:rFonts w:hint="eastAsia" w:ascii="宋体" w:hAnsi="宋体" w:cs="宋体"/>
                        <w:b/>
                        <w:bCs/>
                        <w:sz w:val="18"/>
                        <w:szCs w:val="18"/>
                      </w:rPr>
                      <w:instrText xml:space="preserve"> PAGE  \* MERGEFORMAT </w:instrText>
                    </w:r>
                    <w:r>
                      <w:rPr>
                        <w:rFonts w:hint="eastAsia" w:ascii="宋体" w:hAnsi="宋体" w:cs="宋体"/>
                        <w:b/>
                        <w:bCs/>
                        <w:sz w:val="18"/>
                        <w:szCs w:val="18"/>
                      </w:rPr>
                      <w:fldChar w:fldCharType="separate"/>
                    </w:r>
                    <w:r>
                      <w:rPr>
                        <w:rFonts w:hint="eastAsia" w:ascii="宋体" w:hAnsi="宋体" w:cs="宋体"/>
                        <w:b/>
                        <w:bCs/>
                        <w:sz w:val="18"/>
                        <w:szCs w:val="18"/>
                      </w:rPr>
                      <w:t>1</w:t>
                    </w:r>
                    <w:r>
                      <w:rPr>
                        <w:rFonts w:hint="eastAsia" w:ascii="宋体" w:hAnsi="宋体" w:cs="宋体"/>
                        <w:b/>
                        <w:bCs/>
                        <w:sz w:val="18"/>
                        <w:szCs w:val="18"/>
                      </w:rPr>
                      <w:fldChar w:fldCharType="end"/>
                    </w:r>
                    <w:r>
                      <w:rPr>
                        <w:rFonts w:hint="eastAsia" w:ascii="宋体" w:hAnsi="宋体" w:cs="宋体"/>
                        <w:b/>
                        <w:bCs/>
                        <w:sz w:val="18"/>
                        <w:szCs w:val="18"/>
                      </w:rPr>
                      <w:t xml:space="preserve"> 页 共 </w:t>
                    </w:r>
                    <w:r>
                      <w:rPr>
                        <w:rFonts w:hint="eastAsia" w:ascii="宋体" w:hAnsi="宋体" w:cs="宋体"/>
                        <w:b/>
                        <w:bCs/>
                        <w:sz w:val="18"/>
                        <w:szCs w:val="18"/>
                      </w:rPr>
                      <w:fldChar w:fldCharType="begin"/>
                    </w:r>
                    <w:r>
                      <w:rPr>
                        <w:rFonts w:hint="eastAsia" w:ascii="宋体" w:hAnsi="宋体" w:cs="宋体"/>
                        <w:b/>
                        <w:bCs/>
                        <w:sz w:val="18"/>
                        <w:szCs w:val="18"/>
                      </w:rPr>
                      <w:instrText xml:space="preserve"> NUMPAGES  \* MERGEFORMAT </w:instrText>
                    </w:r>
                    <w:r>
                      <w:rPr>
                        <w:rFonts w:hint="eastAsia" w:ascii="宋体" w:hAnsi="宋体" w:cs="宋体"/>
                        <w:b/>
                        <w:bCs/>
                        <w:sz w:val="18"/>
                        <w:szCs w:val="18"/>
                      </w:rPr>
                      <w:fldChar w:fldCharType="separate"/>
                    </w:r>
                    <w:r>
                      <w:rPr>
                        <w:rFonts w:hint="eastAsia" w:ascii="宋体" w:hAnsi="宋体" w:cs="宋体"/>
                        <w:b/>
                        <w:bCs/>
                        <w:sz w:val="18"/>
                        <w:szCs w:val="18"/>
                      </w:rPr>
                      <w:t>83</w:t>
                    </w:r>
                    <w:r>
                      <w:rPr>
                        <w:rFonts w:hint="eastAsia" w:ascii="宋体" w:hAnsi="宋体" w:cs="宋体"/>
                        <w:b/>
                        <w:bCs/>
                        <w:sz w:val="18"/>
                        <w:szCs w:val="18"/>
                      </w:rPr>
                      <w:fldChar w:fldCharType="end"/>
                    </w:r>
                    <w:r>
                      <w:rPr>
                        <w:rFonts w:hint="eastAsia" w:ascii="宋体" w:hAnsi="宋体" w:cs="宋体"/>
                        <w:b/>
                        <w:bCs/>
                        <w:sz w:val="18"/>
                        <w:szCs w:val="18"/>
                      </w:rPr>
                      <w:t xml:space="preserve"> 页</w:t>
                    </w:r>
                  </w:p>
                  <w:p>
                    <w:pPr>
                      <w:ind w:firstLine="480"/>
                    </w:pPr>
                  </w:p>
                </w:txbxContent>
              </v:textbox>
            </v:shape>
          </w:pict>
        </mc:Fallback>
      </mc:AlternateContent>
    </w:r>
    <w:r>
      <w:rPr>
        <w:rFonts w:ascii="宋体" w:hAnsi="宋体"/>
        <w:b/>
        <w:bCs/>
        <w:i/>
        <w:iCs/>
        <w:color w:val="00B050"/>
      </w:rPr>
      <w:drawing>
        <wp:anchor distT="0" distB="0" distL="114300" distR="114300" simplePos="0" relativeHeight="251662336" behindDoc="1" locked="0" layoutInCell="1" allowOverlap="1">
          <wp:simplePos x="0" y="0"/>
          <wp:positionH relativeFrom="column">
            <wp:posOffset>27940</wp:posOffset>
          </wp:positionH>
          <wp:positionV relativeFrom="page">
            <wp:posOffset>9950450</wp:posOffset>
          </wp:positionV>
          <wp:extent cx="927735" cy="208280"/>
          <wp:effectExtent l="0" t="0" r="5715" b="1270"/>
          <wp:wrapTight wrapText="bothSides">
            <wp:wrapPolygon>
              <wp:start x="0" y="0"/>
              <wp:lineTo x="0" y="19756"/>
              <wp:lineTo x="21290" y="19756"/>
              <wp:lineTo x="21290" y="0"/>
              <wp:lineTo x="0" y="0"/>
            </wp:wrapPolygon>
          </wp:wrapTight>
          <wp:docPr id="4" name="图片 4" descr="1660788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60788654(1)"/>
                  <pic:cNvPicPr>
                    <a:picLocks noChangeAspect="1"/>
                  </pic:cNvPicPr>
                </pic:nvPicPr>
                <pic:blipFill>
                  <a:blip r:embed="rId1"/>
                  <a:stretch>
                    <a:fillRect/>
                  </a:stretch>
                </pic:blipFill>
                <pic:spPr>
                  <a:xfrm>
                    <a:off x="0" y="0"/>
                    <a:ext cx="927735" cy="20828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p>
  </w:footnote>
  <w:footnote w:type="continuationSeparator" w:id="1">
    <w:p>
      <w:pPr>
        <w:spacing w:line="240" w:lineRule="auto"/>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ind w:firstLine="0" w:firstLineChars="0"/>
      <w:jc w:val="both"/>
      <w:rPr>
        <w:rFonts w:hint="default" w:eastAsia="宋体"/>
        <w:sz w:val="10"/>
        <w:szCs w:val="10"/>
        <w:lang w:val="en-US" w:eastAsia="zh-CN"/>
      </w:rPr>
    </w:pPr>
    <w:r>
      <w:rPr>
        <w:rFonts w:hint="eastAsia" w:ascii="宋体" w:hAnsi="宋体" w:cs="宋体"/>
      </w:rPr>
      <w:t xml:space="preserve">  </w:t>
    </w:r>
    <w:r>
      <w:rPr>
        <w:rFonts w:hint="eastAsia" w:ascii="宋体" w:hAnsi="宋体" w:cs="宋体"/>
        <w:b/>
        <w:sz w:val="20"/>
        <w:szCs w:val="20"/>
        <w:lang w:val="zh-CN"/>
      </w:rPr>
      <w:t>2023年体育设施进公园项目</w:t>
    </w:r>
    <w:r>
      <w:rPr>
        <w:rFonts w:hint="eastAsia" w:ascii="宋体" w:hAnsi="宋体" w:cs="宋体"/>
        <w:b/>
        <w:sz w:val="20"/>
        <w:szCs w:val="20"/>
        <w:lang w:val="en-US" w:eastAsia="zh-CN"/>
      </w:rPr>
      <w:t xml:space="preserve">                  </w:t>
    </w:r>
    <w:r>
      <w:rPr>
        <w:rFonts w:hint="eastAsia" w:ascii="宋体" w:hAnsi="宋体" w:cs="宋体"/>
        <w:b/>
        <w:sz w:val="13"/>
        <w:szCs w:val="13"/>
        <w:lang w:val="en-US" w:eastAsia="zh-CN"/>
      </w:rPr>
      <w:t xml:space="preserve">                                              </w:t>
    </w:r>
    <w:r>
      <w:rPr>
        <w:rFonts w:hint="eastAsia" w:ascii="宋体" w:hAnsi="宋体" w:cs="宋体"/>
        <w:b/>
        <w:sz w:val="21"/>
        <w:szCs w:val="21"/>
        <w:lang w:val="zh-CN"/>
      </w:rPr>
      <w:t>LYCG2023YX-052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spacing w:line="240" w:lineRule="auto"/>
      <w:ind w:firstLine="542" w:firstLineChars="300"/>
      <w:jc w:val="left"/>
      <w:rPr>
        <w:rFonts w:ascii="宋体" w:hAnsi="宋体" w:cs="宋体"/>
        <w:bCs/>
        <w:color w:val="7030A0"/>
      </w:rPr>
    </w:pPr>
    <w:r>
      <w:rPr>
        <w:rFonts w:hint="eastAsia" w:ascii="宋体" w:hAnsi="宋体" w:cs="宋体"/>
        <w:lang w:eastAsia="zh-CN"/>
      </w:rPr>
      <w:t>2023 年体育设施进公园</w:t>
    </w:r>
    <w:r>
      <w:rPr>
        <w:rFonts w:hint="eastAsia" w:ascii="宋体" w:hAnsi="宋体" w:cs="宋体"/>
        <w:lang w:val="en-US" w:eastAsia="zh-CN"/>
      </w:rPr>
      <w:t>项目</w:t>
    </w:r>
    <w:r>
      <w:rPr>
        <w:rFonts w:hint="eastAsia" w:ascii="宋体" w:hAnsi="宋体" w:cs="宋体"/>
      </w:rPr>
      <w:t xml:space="preserve">公开招标文件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CN"/>
      </w:rPr>
      <w:t>LYCG2023YX-052</w:t>
    </w:r>
    <w:r>
      <w:rPr>
        <w:rFonts w:hint="eastAsia" w:ascii="宋体" w:hAnsi="宋体" w:cs="宋体"/>
      </w:rPr>
      <w:t xml:space="preserve"> </w:t>
    </w:r>
    <w:r>
      <w:rPr>
        <w:rFonts w:hint="eastAsia" w:ascii="宋体" w:hAnsi="宋体" w:cs="宋体"/>
        <w:sz w:val="15"/>
        <w:szCs w:val="15"/>
      </w:rPr>
      <w:t xml:space="preserve">   </w:t>
    </w:r>
    <w:r>
      <w:rPr>
        <w:rFonts w:hint="eastAsia" w:ascii="宋体" w:hAnsi="宋体" w:cs="宋体"/>
        <w:sz w:val="15"/>
        <w:szCs w:val="15"/>
        <w:lang w:val="en-US" w:eastAsia="zh-CN"/>
      </w:rPr>
      <w:t xml:space="preserve">          </w:t>
    </w:r>
    <w:r>
      <w:rPr>
        <w:rFonts w:hint="eastAsia" w:ascii="宋体" w:hAnsi="宋体" w:cs="宋体"/>
        <w:sz w:val="15"/>
        <w:szCs w:val="15"/>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spacing w:line="240" w:lineRule="auto"/>
      <w:ind w:firstLine="0" w:firstLineChars="0"/>
      <w:jc w:val="left"/>
    </w:pPr>
    <w:r>
      <w:rPr>
        <w:rFonts w:hint="eastAsia" w:ascii="宋体" w:hAnsi="宋体" w:cs="宋体"/>
        <w:sz w:val="15"/>
        <w:szCs w:val="15"/>
        <w:lang w:val="zh-CN"/>
      </w:rPr>
      <w:t>浙江省龙游中学改扩建项目电子书包柜采购</w:t>
    </w:r>
    <w:r>
      <w:rPr>
        <w:rFonts w:hint="eastAsia" w:ascii="宋体" w:hAnsi="宋体" w:cs="宋体"/>
        <w:sz w:val="15"/>
        <w:szCs w:val="15"/>
      </w:rPr>
      <w:t xml:space="preserve">的公开招标文件                </w:t>
    </w:r>
    <w:r>
      <w:rPr>
        <w:rFonts w:hint="eastAsia" w:ascii="宋体" w:hAnsi="宋体" w:eastAsia="宋体" w:cs="宋体"/>
        <w:sz w:val="15"/>
        <w:szCs w:val="15"/>
      </w:rPr>
      <w:t xml:space="preserve"> </w:t>
    </w:r>
    <w:r>
      <w:rPr>
        <w:rFonts w:hint="eastAsia" w:ascii="宋体" w:hAnsi="宋体" w:eastAsia="宋体" w:cs="宋体"/>
        <w:sz w:val="15"/>
        <w:szCs w:val="15"/>
        <w:lang w:val="en-US" w:eastAsia="zh-CN"/>
      </w:rPr>
      <w:t xml:space="preserve">                        </w:t>
    </w:r>
    <w:r>
      <w:rPr>
        <w:rFonts w:hint="eastAsia" w:ascii="宋体" w:hAnsi="宋体" w:cs="宋体"/>
        <w:sz w:val="15"/>
        <w:szCs w:val="15"/>
        <w:lang w:val="en-US" w:eastAsia="zh-CN"/>
      </w:rPr>
      <w:t xml:space="preserve">                      </w:t>
    </w:r>
    <w:r>
      <w:rPr>
        <w:rFonts w:hint="eastAsia" w:ascii="宋体" w:hAnsi="宋体" w:cs="宋体"/>
        <w:sz w:val="15"/>
        <w:szCs w:val="15"/>
        <w:lang w:val="zh-CN"/>
      </w:rPr>
      <w:t>LYCG2023YX-024</w:t>
    </w:r>
    <w:r>
      <w:rPr>
        <w:rFonts w:hint="eastAsia" w:ascii="宋体" w:hAnsi="宋体" w:eastAsia="宋体" w:cs="宋体"/>
        <w:sz w:val="15"/>
        <w:szCs w:val="15"/>
      </w:rPr>
      <w:t xml:space="preserve">  </w:t>
    </w:r>
    <w:r>
      <w:rPr>
        <w:rFonts w:hint="eastAsia" w:ascii="宋体" w:hAnsi="宋体" w:cs="宋体"/>
        <w:sz w:val="15"/>
        <w:szCs w:val="15"/>
        <w:lang w:val="en-US" w:eastAsia="zh-CN"/>
      </w:rPr>
      <w:t xml:space="preserve"> </w:t>
    </w:r>
    <w:r>
      <w:rPr>
        <w:rFonts w:hint="eastAsia" w:ascii="宋体" w:hAnsi="宋体" w:eastAsia="宋体" w:cs="宋体"/>
        <w:sz w:val="15"/>
        <w:szCs w:val="15"/>
        <w:lang w:val="en-US" w:eastAsia="zh-CN"/>
      </w:rPr>
      <w:t xml:space="preserve">   </w:t>
    </w:r>
    <w:r>
      <w:rPr>
        <w:rFonts w:hint="eastAsia" w:ascii="宋体" w:hAnsi="宋体" w:eastAsia="宋体" w:cs="宋体"/>
        <w:sz w:val="15"/>
        <w:szCs w:val="15"/>
      </w:rPr>
      <w:t xml:space="preserve">         </w:t>
    </w:r>
    <w:r>
      <w:rPr>
        <w:rFonts w:hint="eastAsia" w:ascii="宋体" w:hAnsi="宋体" w:cs="宋体"/>
        <w:sz w:val="15"/>
        <w:szCs w:val="1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29153"/>
    <w:multiLevelType w:val="multilevel"/>
    <w:tmpl w:val="A9629153"/>
    <w:lvl w:ilvl="0" w:tentative="0">
      <w:start w:val="31"/>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1">
    <w:nsid w:val="AD0E5593"/>
    <w:multiLevelType w:val="multilevel"/>
    <w:tmpl w:val="AD0E5593"/>
    <w:lvl w:ilvl="0" w:tentative="0">
      <w:start w:val="27"/>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171"/>
        </w:tabs>
        <w:ind w:left="1440" w:hanging="453"/>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2">
    <w:nsid w:val="B949C43A"/>
    <w:multiLevelType w:val="singleLevel"/>
    <w:tmpl w:val="B949C43A"/>
    <w:lvl w:ilvl="0" w:tentative="0">
      <w:start w:val="1"/>
      <w:numFmt w:val="decimal"/>
      <w:suff w:val="nothing"/>
      <w:lvlText w:val="%1、"/>
      <w:lvlJc w:val="left"/>
    </w:lvl>
  </w:abstractNum>
  <w:abstractNum w:abstractNumId="3">
    <w:nsid w:val="C215C00D"/>
    <w:multiLevelType w:val="multilevel"/>
    <w:tmpl w:val="C215C00D"/>
    <w:lvl w:ilvl="0" w:tentative="0">
      <w:start w:val="50"/>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4">
    <w:nsid w:val="C67FBEC3"/>
    <w:multiLevelType w:val="multilevel"/>
    <w:tmpl w:val="C67FBEC3"/>
    <w:lvl w:ilvl="0" w:tentative="0">
      <w:start w:val="35"/>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5">
    <w:nsid w:val="C9E241E8"/>
    <w:multiLevelType w:val="multilevel"/>
    <w:tmpl w:val="C9E241E8"/>
    <w:lvl w:ilvl="0" w:tentative="0">
      <w:start w:val="11"/>
      <w:numFmt w:val="decimal"/>
      <w:suff w:val="nothing"/>
      <w:lvlText w:val="%1."/>
      <w:lvlJc w:val="left"/>
      <w:pPr>
        <w:tabs>
          <w:tab w:val="left" w:pos="0"/>
        </w:tabs>
        <w:ind w:left="425" w:hanging="425"/>
      </w:pPr>
      <w:rPr>
        <w:rFonts w:hint="default" w:ascii="宋体" w:hAnsi="宋体" w:eastAsia="宋体" w:cs="宋体"/>
        <w:sz w:val="28"/>
      </w:rPr>
    </w:lvl>
    <w:lvl w:ilvl="1" w:tentative="0">
      <w:start w:val="1"/>
      <w:numFmt w:val="decimal"/>
      <w:suff w:val="nothing"/>
      <w:lvlText w:val="%1.%2."/>
      <w:lvlJc w:val="left"/>
      <w:pPr>
        <w:tabs>
          <w:tab w:val="left" w:pos="0"/>
        </w:tabs>
        <w:ind w:left="567" w:hanging="567"/>
      </w:pPr>
      <w:rPr>
        <w:rFonts w:hint="default" w:ascii="宋体" w:hAnsi="宋体" w:eastAsia="宋体" w:cs="宋体"/>
        <w:sz w:val="24"/>
        <w:szCs w:val="24"/>
      </w:rPr>
    </w:lvl>
    <w:lvl w:ilvl="2" w:tentative="0">
      <w:start w:val="1"/>
      <w:numFmt w:val="decimal"/>
      <w:suff w:val="nothing"/>
      <w:lvlText w:val="%1.%2.%3."/>
      <w:lvlJc w:val="left"/>
      <w:pPr>
        <w:tabs>
          <w:tab w:val="left" w:pos="0"/>
        </w:tabs>
        <w:ind w:left="709" w:hanging="709"/>
      </w:pPr>
      <w:rPr>
        <w:rFonts w:hint="default" w:ascii="黑体" w:hAnsi="黑体" w:eastAsia="黑体"/>
      </w:rPr>
    </w:lvl>
    <w:lvl w:ilvl="3" w:tentative="0">
      <w:start w:val="1"/>
      <w:numFmt w:val="decimal"/>
      <w:suff w:val="nothing"/>
      <w:lvlText w:val="%1.%2.%3.%4."/>
      <w:lvlJc w:val="left"/>
      <w:pPr>
        <w:tabs>
          <w:tab w:val="left" w:pos="420"/>
        </w:tabs>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DA77E8E1"/>
    <w:multiLevelType w:val="singleLevel"/>
    <w:tmpl w:val="DA77E8E1"/>
    <w:lvl w:ilvl="0" w:tentative="0">
      <w:start w:val="1"/>
      <w:numFmt w:val="chineseCounting"/>
      <w:suff w:val="nothing"/>
      <w:lvlText w:val="%1、"/>
      <w:lvlJc w:val="left"/>
      <w:rPr>
        <w:rFonts w:hint="eastAsia"/>
      </w:rPr>
    </w:lvl>
  </w:abstractNum>
  <w:abstractNum w:abstractNumId="7">
    <w:nsid w:val="DC947ADD"/>
    <w:multiLevelType w:val="multilevel"/>
    <w:tmpl w:val="DC947ADD"/>
    <w:lvl w:ilvl="0" w:tentative="0">
      <w:start w:val="1"/>
      <w:numFmt w:val="decimal"/>
      <w:suff w:val="space"/>
      <w:lvlText w:val="第%1章"/>
      <w:lvlJc w:val="left"/>
      <w:pPr>
        <w:ind w:left="4537" w:hanging="425"/>
      </w:pPr>
      <w:rPr>
        <w:rFonts w:hint="eastAsia"/>
      </w:rPr>
    </w:lvl>
    <w:lvl w:ilvl="1" w:tentative="0">
      <w:start w:val="1"/>
      <w:numFmt w:val="decimal"/>
      <w:suff w:val="space"/>
      <w:lvlText w:val="%1.%2."/>
      <w:lvlJc w:val="left"/>
      <w:pPr>
        <w:ind w:left="7274" w:hanging="5430"/>
      </w:pPr>
      <w:rPr>
        <w:rFonts w:hint="eastAsia"/>
        <w:color w:val="333333"/>
      </w:rPr>
    </w:lvl>
    <w:lvl w:ilvl="2" w:tentative="0">
      <w:start w:val="1"/>
      <w:numFmt w:val="decimal"/>
      <w:pStyle w:val="6"/>
      <w:suff w:val="space"/>
      <w:lvlText w:val="%1.%2.%3. "/>
      <w:lvlJc w:val="left"/>
      <w:pPr>
        <w:ind w:left="1400" w:hanging="1400"/>
      </w:pPr>
      <w:rPr>
        <w:rFonts w:hint="eastAsia"/>
        <w:color w:val="auto"/>
      </w:rPr>
    </w:lvl>
    <w:lvl w:ilvl="3" w:tentative="0">
      <w:start w:val="1"/>
      <w:numFmt w:val="decimal"/>
      <w:suff w:val="space"/>
      <w:lvlText w:val="%1.%2.%3.%4."/>
      <w:lvlJc w:val="left"/>
      <w:pPr>
        <w:ind w:left="1277" w:hanging="851"/>
      </w:pPr>
      <w:rPr>
        <w:rFonts w:hint="eastAsia" w:ascii="宋体" w:hAnsi="宋体" w:eastAsia="宋体"/>
      </w:rPr>
    </w:lvl>
    <w:lvl w:ilvl="4" w:tentative="0">
      <w:start w:val="1"/>
      <w:numFmt w:val="decimal"/>
      <w:lvlText w:val="%1.%2.%3.%4.%5."/>
      <w:lvlJc w:val="left"/>
      <w:pPr>
        <w:tabs>
          <w:tab w:val="left" w:pos="992"/>
        </w:tabs>
        <w:ind w:left="0" w:firstLine="0"/>
      </w:pPr>
      <w:rPr>
        <w:rFonts w:hint="eastAsia"/>
        <w:color w:val="auto"/>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0" w:firstLine="0"/>
      </w:pPr>
      <w:rPr>
        <w:rFonts w:hint="eastAsia"/>
      </w:rPr>
    </w:lvl>
    <w:lvl w:ilvl="8" w:tentative="0">
      <w:start w:val="1"/>
      <w:numFmt w:val="decimal"/>
      <w:lvlText w:val="%1.%2.%3.%4.%5.%6.%7.%8.%9."/>
      <w:lvlJc w:val="left"/>
      <w:pPr>
        <w:tabs>
          <w:tab w:val="left" w:pos="1559"/>
        </w:tabs>
        <w:ind w:left="0" w:firstLine="0"/>
      </w:pPr>
      <w:rPr>
        <w:rFonts w:hint="eastAsia"/>
      </w:rPr>
    </w:lvl>
  </w:abstractNum>
  <w:abstractNum w:abstractNumId="8">
    <w:nsid w:val="E22AC185"/>
    <w:multiLevelType w:val="multilevel"/>
    <w:tmpl w:val="E22AC185"/>
    <w:lvl w:ilvl="0" w:tentative="0">
      <w:start w:val="25"/>
      <w:numFmt w:val="decimal"/>
      <w:suff w:val="nothing"/>
      <w:lvlText w:val="%1."/>
      <w:lvlJc w:val="left"/>
      <w:pPr>
        <w:tabs>
          <w:tab w:val="left" w:pos="0"/>
        </w:tabs>
        <w:ind w:left="903" w:hanging="425"/>
      </w:pPr>
      <w:rPr>
        <w:rFonts w:hint="default" w:ascii="宋体" w:hAnsi="宋体" w:eastAsia="宋体" w:cs="宋体"/>
        <w:sz w:val="28"/>
      </w:rPr>
    </w:lvl>
    <w:lvl w:ilvl="1" w:tentative="0">
      <w:start w:val="3"/>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9">
    <w:nsid w:val="F11A53AA"/>
    <w:multiLevelType w:val="multilevel"/>
    <w:tmpl w:val="F11A53AA"/>
    <w:lvl w:ilvl="0" w:tentative="0">
      <w:start w:val="5"/>
      <w:numFmt w:val="decimal"/>
      <w:suff w:val="nothing"/>
      <w:lvlText w:val="%1."/>
      <w:lvlJc w:val="left"/>
      <w:pPr>
        <w:tabs>
          <w:tab w:val="left" w:pos="0"/>
        </w:tabs>
        <w:ind w:left="425" w:hanging="425"/>
      </w:pPr>
      <w:rPr>
        <w:rFonts w:hint="default" w:ascii="宋体" w:hAnsi="宋体" w:eastAsia="宋体" w:cs="宋体"/>
        <w:sz w:val="28"/>
      </w:rPr>
    </w:lvl>
    <w:lvl w:ilvl="1" w:tentative="0">
      <w:start w:val="1"/>
      <w:numFmt w:val="decimal"/>
      <w:suff w:val="nothing"/>
      <w:lvlText w:val="%1.%2."/>
      <w:lvlJc w:val="left"/>
      <w:pPr>
        <w:tabs>
          <w:tab w:val="left" w:pos="0"/>
        </w:tabs>
        <w:ind w:left="567" w:hanging="567"/>
      </w:pPr>
      <w:rPr>
        <w:rFonts w:hint="default" w:ascii="黑体" w:hAnsi="黑体" w:eastAsia="黑体" w:cs="黑体"/>
        <w:sz w:val="22"/>
      </w:rPr>
    </w:lvl>
    <w:lvl w:ilvl="2" w:tentative="0">
      <w:start w:val="1"/>
      <w:numFmt w:val="decimal"/>
      <w:suff w:val="nothing"/>
      <w:lvlText w:val="%1.%2.%3."/>
      <w:lvlJc w:val="left"/>
      <w:pPr>
        <w:tabs>
          <w:tab w:val="left" w:pos="0"/>
        </w:tabs>
        <w:ind w:left="709" w:hanging="709"/>
      </w:pPr>
      <w:rPr>
        <w:rFonts w:hint="default" w:ascii="宋体" w:hAnsi="宋体" w:eastAsia="宋体" w:cs="宋体"/>
        <w:sz w:val="22"/>
        <w:szCs w:val="22"/>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0">
    <w:nsid w:val="F9AD9D4C"/>
    <w:multiLevelType w:val="multilevel"/>
    <w:tmpl w:val="F9AD9D4C"/>
    <w:lvl w:ilvl="0" w:tentative="0">
      <w:start w:val="47"/>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11">
    <w:nsid w:val="FC00FEF3"/>
    <w:multiLevelType w:val="multilevel"/>
    <w:tmpl w:val="FC00FEF3"/>
    <w:lvl w:ilvl="0" w:tentative="0">
      <w:start w:val="37"/>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12">
    <w:nsid w:val="0000001A"/>
    <w:multiLevelType w:val="multilevel"/>
    <w:tmpl w:val="0000001A"/>
    <w:lvl w:ilvl="0" w:tentative="0">
      <w:start w:val="1"/>
      <w:numFmt w:val="decimal"/>
      <w:lvlText w:val="%1．"/>
      <w:lvlJc w:val="left"/>
      <w:pPr>
        <w:tabs>
          <w:tab w:val="left" w:pos="900"/>
        </w:tabs>
        <w:ind w:left="900" w:hanging="720"/>
      </w:pPr>
      <w:rPr>
        <w:rFonts w:hint="eastAsia"/>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pStyle w:val="112"/>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abstractNum w:abstractNumId="13">
    <w:nsid w:val="0FA5AD81"/>
    <w:multiLevelType w:val="multilevel"/>
    <w:tmpl w:val="0FA5AD81"/>
    <w:lvl w:ilvl="0" w:tentative="0">
      <w:start w:val="36"/>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14">
    <w:nsid w:val="1E5B5742"/>
    <w:multiLevelType w:val="multilevel"/>
    <w:tmpl w:val="1E5B5742"/>
    <w:lvl w:ilvl="0" w:tentative="0">
      <w:start w:val="23"/>
      <w:numFmt w:val="decimal"/>
      <w:suff w:val="nothing"/>
      <w:lvlText w:val="%1."/>
      <w:lvlJc w:val="left"/>
      <w:pPr>
        <w:tabs>
          <w:tab w:val="left" w:pos="0"/>
        </w:tabs>
        <w:ind w:left="0" w:firstLine="478"/>
      </w:pPr>
      <w:rPr>
        <w:rFonts w:hint="default" w:ascii="宋体" w:hAnsi="宋体" w:eastAsia="宋体" w:cs="宋体"/>
        <w:sz w:val="28"/>
      </w:rPr>
    </w:lvl>
    <w:lvl w:ilvl="1" w:tentative="0">
      <w:start w:val="1"/>
      <w:numFmt w:val="decimal"/>
      <w:suff w:val="nothing"/>
      <w:lvlText w:val="%1.%2."/>
      <w:lvlJc w:val="left"/>
      <w:pPr>
        <w:tabs>
          <w:tab w:val="left" w:pos="171"/>
        </w:tabs>
        <w:ind w:left="1440" w:hanging="453"/>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15">
    <w:nsid w:val="1ED92DE5"/>
    <w:multiLevelType w:val="multilevel"/>
    <w:tmpl w:val="1ED92DE5"/>
    <w:lvl w:ilvl="0" w:tentative="0">
      <w:start w:val="44"/>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16">
    <w:nsid w:val="2A89B273"/>
    <w:multiLevelType w:val="singleLevel"/>
    <w:tmpl w:val="2A89B273"/>
    <w:lvl w:ilvl="0" w:tentative="0">
      <w:start w:val="1"/>
      <w:numFmt w:val="decimal"/>
      <w:suff w:val="nothing"/>
      <w:lvlText w:val="(%1)"/>
      <w:lvlJc w:val="left"/>
      <w:pPr>
        <w:tabs>
          <w:tab w:val="left" w:pos="420"/>
        </w:tabs>
        <w:ind w:left="425" w:hanging="425"/>
      </w:pPr>
      <w:rPr>
        <w:rFonts w:hint="default" w:ascii="宋体" w:hAnsi="宋体" w:eastAsia="宋体" w:cs="宋体"/>
        <w:sz w:val="22"/>
        <w:szCs w:val="22"/>
      </w:rPr>
    </w:lvl>
  </w:abstractNum>
  <w:abstractNum w:abstractNumId="17">
    <w:nsid w:val="2C1B86DA"/>
    <w:multiLevelType w:val="multilevel"/>
    <w:tmpl w:val="2C1B86DA"/>
    <w:lvl w:ilvl="0" w:tentative="0">
      <w:start w:val="27"/>
      <w:numFmt w:val="decimal"/>
      <w:suff w:val="nothing"/>
      <w:lvlText w:val="%1."/>
      <w:lvlJc w:val="left"/>
      <w:pPr>
        <w:tabs>
          <w:tab w:val="left" w:pos="0"/>
        </w:tabs>
        <w:ind w:left="903" w:hanging="425"/>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18">
    <w:nsid w:val="32F1B4E1"/>
    <w:multiLevelType w:val="singleLevel"/>
    <w:tmpl w:val="32F1B4E1"/>
    <w:lvl w:ilvl="0" w:tentative="0">
      <w:start w:val="1"/>
      <w:numFmt w:val="decimal"/>
      <w:suff w:val="space"/>
      <w:lvlText w:val="%1."/>
      <w:lvlJc w:val="left"/>
    </w:lvl>
  </w:abstractNum>
  <w:abstractNum w:abstractNumId="19">
    <w:nsid w:val="435328E5"/>
    <w:multiLevelType w:val="singleLevel"/>
    <w:tmpl w:val="435328E5"/>
    <w:lvl w:ilvl="0" w:tentative="0">
      <w:start w:val="3"/>
      <w:numFmt w:val="chineseCounting"/>
      <w:suff w:val="space"/>
      <w:lvlText w:val="第%1章"/>
      <w:lvlJc w:val="left"/>
      <w:rPr>
        <w:rFonts w:hint="eastAsia"/>
      </w:rPr>
    </w:lvl>
  </w:abstractNum>
  <w:abstractNum w:abstractNumId="20">
    <w:nsid w:val="467D6DA2"/>
    <w:multiLevelType w:val="multilevel"/>
    <w:tmpl w:val="467D6DA2"/>
    <w:lvl w:ilvl="0" w:tentative="0">
      <w:start w:val="32"/>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21">
    <w:nsid w:val="47A8A92A"/>
    <w:multiLevelType w:val="multilevel"/>
    <w:tmpl w:val="47A8A92A"/>
    <w:lvl w:ilvl="0" w:tentative="0">
      <w:start w:val="51"/>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22">
    <w:nsid w:val="47F02D5D"/>
    <w:multiLevelType w:val="multilevel"/>
    <w:tmpl w:val="47F02D5D"/>
    <w:lvl w:ilvl="0" w:tentative="0">
      <w:start w:val="30"/>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23">
    <w:nsid w:val="4BC74CCD"/>
    <w:multiLevelType w:val="multilevel"/>
    <w:tmpl w:val="4BC74CCD"/>
    <w:lvl w:ilvl="0" w:tentative="0">
      <w:start w:val="20"/>
      <w:numFmt w:val="decimal"/>
      <w:suff w:val="nothing"/>
      <w:lvlText w:val="%1."/>
      <w:lvlJc w:val="left"/>
      <w:pPr>
        <w:tabs>
          <w:tab w:val="left" w:pos="0"/>
        </w:tabs>
        <w:ind w:left="0" w:firstLine="478"/>
      </w:pPr>
      <w:rPr>
        <w:rFonts w:hint="default" w:ascii="宋体" w:hAnsi="宋体" w:eastAsia="宋体" w:cs="宋体"/>
        <w:sz w:val="28"/>
      </w:rPr>
    </w:lvl>
    <w:lvl w:ilvl="1" w:tentative="0">
      <w:start w:val="1"/>
      <w:numFmt w:val="decimal"/>
      <w:suff w:val="nothing"/>
      <w:lvlText w:val="%1.%2."/>
      <w:lvlJc w:val="left"/>
      <w:pPr>
        <w:tabs>
          <w:tab w:val="left" w:pos="171"/>
        </w:tabs>
        <w:ind w:left="1440" w:hanging="453"/>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24">
    <w:nsid w:val="54AAC987"/>
    <w:multiLevelType w:val="multilevel"/>
    <w:tmpl w:val="54AAC987"/>
    <w:lvl w:ilvl="0" w:tentative="0">
      <w:start w:val="52"/>
      <w:numFmt w:val="decimal"/>
      <w:suff w:val="nothing"/>
      <w:lvlText w:val="%1."/>
      <w:lvlJc w:val="left"/>
      <w:pPr>
        <w:tabs>
          <w:tab w:val="left" w:pos="0"/>
        </w:tabs>
        <w:ind w:left="0" w:firstLine="0"/>
      </w:pPr>
      <w:rPr>
        <w:rFonts w:hint="default" w:ascii="宋体" w:hAnsi="宋体" w:eastAsia="宋体" w:cs="宋体"/>
        <w:sz w:val="28"/>
      </w:rPr>
    </w:lvl>
    <w:lvl w:ilvl="1" w:tentative="0">
      <w:start w:val="1"/>
      <w:numFmt w:val="decimal"/>
      <w:suff w:val="nothing"/>
      <w:lvlText w:val="%1.%2."/>
      <w:lvlJc w:val="left"/>
      <w:pPr>
        <w:tabs>
          <w:tab w:val="left" w:pos="0"/>
        </w:tabs>
        <w:ind w:left="0" w:firstLine="0"/>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25">
    <w:nsid w:val="56AFAD3A"/>
    <w:multiLevelType w:val="singleLevel"/>
    <w:tmpl w:val="56AFAD3A"/>
    <w:lvl w:ilvl="0" w:tentative="0">
      <w:start w:val="1"/>
      <w:numFmt w:val="decimal"/>
      <w:suff w:val="nothing"/>
      <w:lvlText w:val="%1、"/>
      <w:lvlJc w:val="left"/>
    </w:lvl>
  </w:abstractNum>
  <w:abstractNum w:abstractNumId="26">
    <w:nsid w:val="5A01B85C"/>
    <w:multiLevelType w:val="multilevel"/>
    <w:tmpl w:val="5A01B85C"/>
    <w:lvl w:ilvl="0" w:tentative="0">
      <w:start w:val="1"/>
      <w:numFmt w:val="decimal"/>
      <w:lvlText w:val="第%1条"/>
      <w:lvlJc w:val="left"/>
      <w:pPr>
        <w:tabs>
          <w:tab w:val="left" w:pos="5117"/>
        </w:tabs>
        <w:ind w:left="5117" w:hanging="1418"/>
      </w:pPr>
      <w:rPr>
        <w:rFonts w:hint="eastAsia"/>
      </w:rPr>
    </w:lvl>
    <w:lvl w:ilvl="1" w:tentative="0">
      <w:start w:val="1"/>
      <w:numFmt w:val="decimal"/>
      <w:lvlText w:val="%1.%2"/>
      <w:lvlJc w:val="left"/>
      <w:pPr>
        <w:ind w:left="638" w:hanging="624"/>
      </w:pPr>
      <w:rPr>
        <w:rFonts w:hint="eastAsia" w:ascii="Times New Roman" w:hAnsi="Times New Roman" w:cs="Times New Roman"/>
        <w:b/>
        <w:bCs w:val="0"/>
        <w:i w:val="0"/>
        <w:iCs w:val="0"/>
        <w:caps w:val="0"/>
        <w:smallCaps w:val="0"/>
        <w:strike w:val="0"/>
        <w:dstrike w:val="0"/>
        <w:vanish w:val="0"/>
        <w:color w:val="000000"/>
        <w:spacing w:val="0"/>
        <w:kern w:val="0"/>
        <w:position w:val="0"/>
        <w:sz w:val="28"/>
        <w:szCs w:val="28"/>
        <w:u w:val="none"/>
        <w:vertAlign w:val="baseline"/>
      </w:rPr>
    </w:lvl>
    <w:lvl w:ilvl="2" w:tentative="0">
      <w:start w:val="1"/>
      <w:numFmt w:val="decimal"/>
      <w:lvlText w:val="%1.%2.%3"/>
      <w:lvlJc w:val="left"/>
      <w:pPr>
        <w:tabs>
          <w:tab w:val="left" w:pos="2837"/>
        </w:tabs>
        <w:ind w:left="2240" w:hanging="680"/>
      </w:pPr>
      <w:rPr>
        <w:rFonts w:hint="eastAsia" w:ascii="Times New Roman" w:hAnsi="Times New Roman" w:cs="Times New Roman"/>
        <w:b w:val="0"/>
        <w:bCs w:val="0"/>
        <w:i w:val="0"/>
        <w:iCs w:val="0"/>
        <w:caps w:val="0"/>
        <w:smallCaps w:val="0"/>
        <w:strike w:val="0"/>
        <w:dstrike w:val="0"/>
        <w:vanish w:val="0"/>
        <w:color w:val="auto"/>
        <w:spacing w:val="0"/>
        <w:kern w:val="0"/>
        <w:position w:val="0"/>
        <w:u w:val="none"/>
        <w:vertAlign w:val="baseline"/>
      </w:rPr>
    </w:lvl>
    <w:lvl w:ilvl="3" w:tentative="0">
      <w:start w:val="1"/>
      <w:numFmt w:val="lowerLetter"/>
      <w:pStyle w:val="7"/>
      <w:lvlText w:val="(%4)"/>
      <w:lvlJc w:val="left"/>
      <w:pPr>
        <w:ind w:left="5359" w:hanging="397"/>
      </w:pPr>
      <w:rPr>
        <w:rFonts w:hint="default" w:ascii="Times New Roman" w:hAnsi="Times New Roman" w:cs="Times New Roman"/>
      </w:rPr>
    </w:lvl>
    <w:lvl w:ilvl="4" w:tentative="0">
      <w:start w:val="1"/>
      <w:numFmt w:val="lowerRoman"/>
      <w:pStyle w:val="8"/>
      <w:lvlText w:val="(%5)"/>
      <w:lvlJc w:val="left"/>
      <w:pPr>
        <w:ind w:left="2297" w:hanging="312"/>
      </w:pPr>
      <w:rPr>
        <w:rFonts w:hint="eastAsia"/>
      </w:rPr>
    </w:lvl>
    <w:lvl w:ilvl="5" w:tentative="0">
      <w:start w:val="1"/>
      <w:numFmt w:val="decimal"/>
      <w:lvlText w:val="%1.%2.%3.%4.%5.%6"/>
      <w:lvlJc w:val="left"/>
      <w:pPr>
        <w:ind w:left="3274" w:hanging="1134"/>
      </w:pPr>
      <w:rPr>
        <w:rFonts w:hint="eastAsia"/>
      </w:rPr>
    </w:lvl>
    <w:lvl w:ilvl="6" w:tentative="0">
      <w:start w:val="1"/>
      <w:numFmt w:val="decimal"/>
      <w:lvlText w:val="%1.%2.%3.%4.%5.%6.%7"/>
      <w:lvlJc w:val="left"/>
      <w:pPr>
        <w:ind w:left="3841" w:hanging="1276"/>
      </w:pPr>
      <w:rPr>
        <w:rFonts w:hint="eastAsia"/>
      </w:rPr>
    </w:lvl>
    <w:lvl w:ilvl="7" w:tentative="0">
      <w:start w:val="1"/>
      <w:numFmt w:val="decimal"/>
      <w:lvlText w:val="%1.%2.%3.%4.%5.%6.%7.%8"/>
      <w:lvlJc w:val="left"/>
      <w:pPr>
        <w:ind w:left="4408" w:hanging="1418"/>
      </w:pPr>
      <w:rPr>
        <w:rFonts w:hint="eastAsia"/>
      </w:rPr>
    </w:lvl>
    <w:lvl w:ilvl="8" w:tentative="0">
      <w:start w:val="1"/>
      <w:numFmt w:val="decimal"/>
      <w:lvlText w:val="%1.%2.%3.%4.%5.%6.%7.%8.%9"/>
      <w:lvlJc w:val="left"/>
      <w:pPr>
        <w:ind w:left="5116" w:hanging="1700"/>
      </w:pPr>
      <w:rPr>
        <w:rFonts w:hint="eastAsia"/>
      </w:rPr>
    </w:lvl>
  </w:abstractNum>
  <w:abstractNum w:abstractNumId="27">
    <w:nsid w:val="621669EB"/>
    <w:multiLevelType w:val="multilevel"/>
    <w:tmpl w:val="621669EB"/>
    <w:lvl w:ilvl="0" w:tentative="0">
      <w:start w:val="1"/>
      <w:numFmt w:val="decimal"/>
      <w:suff w:val="nothing"/>
      <w:lvlText w:val="%1."/>
      <w:lvlJc w:val="left"/>
      <w:pPr>
        <w:tabs>
          <w:tab w:val="left" w:pos="0"/>
        </w:tabs>
        <w:ind w:left="903" w:hanging="425"/>
      </w:pPr>
      <w:rPr>
        <w:rFonts w:hint="default" w:ascii="宋体" w:hAnsi="宋体" w:eastAsia="宋体" w:cs="宋体"/>
        <w:sz w:val="28"/>
      </w:rPr>
    </w:lvl>
    <w:lvl w:ilvl="1" w:tentative="0">
      <w:start w:val="1"/>
      <w:numFmt w:val="decimal"/>
      <w:suff w:val="nothing"/>
      <w:lvlText w:val="%1.%2."/>
      <w:lvlJc w:val="left"/>
      <w:pPr>
        <w:tabs>
          <w:tab w:val="left" w:pos="171"/>
        </w:tabs>
        <w:ind w:left="1440" w:hanging="453"/>
      </w:pPr>
      <w:rPr>
        <w:rFonts w:hint="default" w:ascii="宋体" w:hAnsi="宋体" w:eastAsia="宋体" w:cs="宋体"/>
        <w:b w:val="0"/>
        <w:bCs w:val="0"/>
        <w:sz w:val="24"/>
        <w:szCs w:val="24"/>
      </w:rPr>
    </w:lvl>
    <w:lvl w:ilvl="2" w:tentative="0">
      <w:start w:val="1"/>
      <w:numFmt w:val="decimal"/>
      <w:suff w:val="nothing"/>
      <w:lvlText w:val="%1.%2.%3."/>
      <w:lvlJc w:val="left"/>
      <w:pPr>
        <w:tabs>
          <w:tab w:val="left" w:pos="0"/>
        </w:tabs>
        <w:ind w:left="1508" w:hanging="708"/>
      </w:pPr>
      <w:rPr>
        <w:rFonts w:hint="default" w:ascii="宋体" w:hAnsi="宋体" w:eastAsia="宋体" w:cs="宋体"/>
        <w:sz w:val="22"/>
      </w:rPr>
    </w:lvl>
    <w:lvl w:ilvl="3" w:tentative="0">
      <w:start w:val="1"/>
      <w:numFmt w:val="decimal"/>
      <w:suff w:val="nothing"/>
      <w:lvlText w:val="%1.%2.%3.%4."/>
      <w:lvlJc w:val="left"/>
      <w:pPr>
        <w:tabs>
          <w:tab w:val="left" w:pos="0"/>
        </w:tabs>
        <w:ind w:left="2053" w:hanging="853"/>
      </w:pPr>
      <w:rPr>
        <w:rFonts w:hint="default" w:ascii="黑体" w:hAnsi="黑体" w:eastAsia="黑体" w:cs="黑体"/>
      </w:rPr>
    </w:lvl>
    <w:lvl w:ilvl="4" w:tentative="0">
      <w:start w:val="1"/>
      <w:numFmt w:val="decimal"/>
      <w:lvlText w:val="%1.%2.%3.%4.%5."/>
      <w:lvlJc w:val="left"/>
      <w:pPr>
        <w:tabs>
          <w:tab w:val="left" w:pos="0"/>
        </w:tabs>
        <w:ind w:left="2495" w:hanging="895"/>
      </w:pPr>
      <w:rPr>
        <w:rFonts w:hint="default"/>
      </w:rPr>
    </w:lvl>
    <w:lvl w:ilvl="5" w:tentative="0">
      <w:start w:val="1"/>
      <w:numFmt w:val="decimal"/>
      <w:lvlText w:val="%1.%2.%3.%4.%5.%6."/>
      <w:lvlJc w:val="left"/>
      <w:pPr>
        <w:tabs>
          <w:tab w:val="left" w:pos="0"/>
        </w:tabs>
        <w:ind w:left="3136" w:hanging="1136"/>
      </w:pPr>
      <w:rPr>
        <w:rFonts w:hint="default"/>
      </w:rPr>
    </w:lvl>
    <w:lvl w:ilvl="6" w:tentative="0">
      <w:start w:val="1"/>
      <w:numFmt w:val="decimal"/>
      <w:lvlText w:val="%1.%2.%3.%4.%5.%6.%7."/>
      <w:lvlJc w:val="left"/>
      <w:pPr>
        <w:tabs>
          <w:tab w:val="left" w:pos="0"/>
        </w:tabs>
        <w:ind w:left="3673" w:hanging="1273"/>
      </w:pPr>
      <w:rPr>
        <w:rFonts w:hint="default"/>
      </w:rPr>
    </w:lvl>
    <w:lvl w:ilvl="7" w:tentative="0">
      <w:start w:val="1"/>
      <w:numFmt w:val="decimal"/>
      <w:lvlText w:val="%1.%2.%3.%4.%5.%6.%7.%8."/>
      <w:lvlJc w:val="left"/>
      <w:pPr>
        <w:tabs>
          <w:tab w:val="left" w:pos="0"/>
        </w:tabs>
        <w:ind w:left="4218" w:hanging="1418"/>
      </w:pPr>
      <w:rPr>
        <w:rFonts w:hint="default"/>
      </w:rPr>
    </w:lvl>
    <w:lvl w:ilvl="8" w:tentative="0">
      <w:start w:val="1"/>
      <w:numFmt w:val="decimal"/>
      <w:lvlText w:val="%1.%2.%3.%4.%5.%6.%7.%8.%9."/>
      <w:lvlJc w:val="left"/>
      <w:pPr>
        <w:tabs>
          <w:tab w:val="left" w:pos="0"/>
        </w:tabs>
        <w:ind w:left="4648" w:hanging="1448"/>
      </w:pPr>
      <w:rPr>
        <w:rFonts w:hint="default"/>
      </w:rPr>
    </w:lvl>
  </w:abstractNum>
  <w:abstractNum w:abstractNumId="28">
    <w:nsid w:val="7C8307E0"/>
    <w:multiLevelType w:val="multilevel"/>
    <w:tmpl w:val="7C8307E0"/>
    <w:lvl w:ilvl="0" w:tentative="0">
      <w:start w:val="1"/>
      <w:numFmt w:val="decimal"/>
      <w:suff w:val="space"/>
      <w:lvlText w:val="第%1部分、"/>
      <w:lvlJc w:val="left"/>
      <w:pPr>
        <w:ind w:left="0" w:firstLine="0"/>
      </w:pPr>
      <w:rPr>
        <w:rFonts w:hint="eastAsia" w:ascii="仿宋_GB2312" w:hAnsi="仿宋_GB2312" w:eastAsia="仿宋_GB2312" w:cs="Times New Roman"/>
      </w:rPr>
    </w:lvl>
    <w:lvl w:ilvl="1" w:tentative="0">
      <w:start w:val="1"/>
      <w:numFmt w:val="ideographDigital"/>
      <w:suff w:val="space"/>
      <w:lvlText w:val="%2、"/>
      <w:lvlJc w:val="left"/>
      <w:pPr>
        <w:ind w:left="0" w:firstLine="0"/>
      </w:pPr>
      <w:rPr>
        <w:rFonts w:hint="eastAsia" w:ascii="仿宋_GB2312" w:hAnsi="仿宋_GB2312" w:eastAsia="仿宋_GB2312" w:cs="Times New Roman"/>
        <w:lang w:val="en-US"/>
      </w:rPr>
    </w:lvl>
    <w:lvl w:ilvl="2" w:tentative="0">
      <w:start w:val="1"/>
      <w:numFmt w:val="decimal"/>
      <w:pStyle w:val="132"/>
      <w:suff w:val="space"/>
      <w:lvlText w:val="%3、"/>
      <w:lvlJc w:val="left"/>
      <w:pPr>
        <w:ind w:left="57" w:firstLine="0"/>
      </w:pPr>
      <w:rPr>
        <w:rFonts w:hint="eastAsia" w:ascii="仿宋_GB2312" w:hAnsi="仿宋_GB2312" w:eastAsia="仿宋_GB2312" w:cs="Times New Roman"/>
      </w:rPr>
    </w:lvl>
    <w:lvl w:ilvl="3" w:tentative="0">
      <w:start w:val="1"/>
      <w:numFmt w:val="decimal"/>
      <w:suff w:val="space"/>
      <w:lvlText w:val="%3.%4、"/>
      <w:lvlJc w:val="left"/>
      <w:pPr>
        <w:ind w:left="0" w:firstLine="0"/>
      </w:pPr>
      <w:rPr>
        <w:rFonts w:hint="eastAsia" w:ascii="仿宋_GB2312" w:hAnsi="仿宋_GB2312" w:eastAsia="仿宋_GB2312" w:cs="Times New Roman"/>
        <w:b w:val="0"/>
      </w:rPr>
    </w:lvl>
    <w:lvl w:ilvl="4" w:tentative="0">
      <w:start w:val="1"/>
      <w:numFmt w:val="decimal"/>
      <w:suff w:val="space"/>
      <w:lvlText w:val="%3.%4.%5、"/>
      <w:lvlJc w:val="left"/>
      <w:pPr>
        <w:ind w:left="170" w:firstLine="0"/>
      </w:pPr>
      <w:rPr>
        <w:rFonts w:hint="eastAsia" w:ascii="仿宋_GB2312" w:hAnsi="仿宋_GB2312" w:eastAsia="仿宋_GB2312" w:cs="Times New Roman"/>
      </w:rPr>
    </w:lvl>
    <w:lvl w:ilvl="5" w:tentative="0">
      <w:start w:val="1"/>
      <w:numFmt w:val="decimal"/>
      <w:suff w:val="space"/>
      <w:lvlText w:val="%3.%4.%5.%6、"/>
      <w:lvlJc w:val="left"/>
      <w:pPr>
        <w:ind w:left="227" w:firstLine="0"/>
      </w:pPr>
      <w:rPr>
        <w:rFonts w:hint="eastAsia" w:ascii="仿宋_GB2312" w:hAnsi="仿宋_GB2312" w:eastAsia="仿宋_GB2312" w:cs="Times New Roman"/>
      </w:rPr>
    </w:lvl>
    <w:lvl w:ilvl="6" w:tentative="0">
      <w:start w:val="1"/>
      <w:numFmt w:val="decimal"/>
      <w:suff w:val="space"/>
      <w:lvlText w:val="%2.%3.%4.%5.%6.%7"/>
      <w:lvlJc w:val="left"/>
      <w:pPr>
        <w:ind w:left="432" w:hanging="32"/>
      </w:pPr>
      <w:rPr>
        <w:rFonts w:hint="eastAsia" w:ascii="仿宋_GB2312" w:hAnsi="仿宋_GB2312" w:eastAsia="仿宋_GB2312" w:cs="Times New Roman"/>
      </w:rPr>
    </w:lvl>
    <w:lvl w:ilvl="7" w:tentative="0">
      <w:start w:val="1"/>
      <w:numFmt w:val="decimal"/>
      <w:lvlText w:val="%1.%2.%3.%4.%5.%6.%7.%8"/>
      <w:lvlJc w:val="left"/>
      <w:pPr>
        <w:tabs>
          <w:tab w:val="left" w:pos="4380"/>
        </w:tabs>
        <w:ind w:left="4380" w:hanging="1440"/>
      </w:pPr>
      <w:rPr>
        <w:rFonts w:hint="eastAsia" w:ascii="仿宋_GB2312" w:hAnsi="仿宋_GB2312" w:eastAsia="仿宋_GB2312" w:cs="Times New Roman"/>
      </w:rPr>
    </w:lvl>
    <w:lvl w:ilvl="8" w:tentative="0">
      <w:start w:val="1"/>
      <w:numFmt w:val="decimal"/>
      <w:lvlText w:val="%1.%2.%3.%4.%5.%6.%7.%8.%9"/>
      <w:lvlJc w:val="left"/>
      <w:pPr>
        <w:tabs>
          <w:tab w:val="left" w:pos="5160"/>
        </w:tabs>
        <w:ind w:left="5160" w:hanging="1800"/>
      </w:pPr>
      <w:rPr>
        <w:rFonts w:hint="eastAsia" w:ascii="仿宋_GB2312" w:hAnsi="仿宋_GB2312" w:eastAsia="仿宋_GB2312" w:cs="Times New Roman"/>
      </w:rPr>
    </w:lvl>
  </w:abstractNum>
  <w:num w:numId="1">
    <w:abstractNumId w:val="7"/>
  </w:num>
  <w:num w:numId="2">
    <w:abstractNumId w:val="26"/>
  </w:num>
  <w:num w:numId="3">
    <w:abstractNumId w:val="12"/>
  </w:num>
  <w:num w:numId="4">
    <w:abstractNumId w:val="28"/>
  </w:num>
  <w:num w:numId="5">
    <w:abstractNumId w:val="27"/>
  </w:num>
  <w:num w:numId="6">
    <w:abstractNumId w:val="9"/>
  </w:num>
  <w:num w:numId="7">
    <w:abstractNumId w:val="16"/>
  </w:num>
  <w:num w:numId="8">
    <w:abstractNumId w:val="5"/>
  </w:num>
  <w:num w:numId="9">
    <w:abstractNumId w:val="23"/>
  </w:num>
  <w:num w:numId="10">
    <w:abstractNumId w:val="14"/>
  </w:num>
  <w:num w:numId="11">
    <w:abstractNumId w:val="8"/>
  </w:num>
  <w:num w:numId="12">
    <w:abstractNumId w:val="1"/>
  </w:num>
  <w:num w:numId="13">
    <w:abstractNumId w:val="17"/>
  </w:num>
  <w:num w:numId="14">
    <w:abstractNumId w:val="22"/>
  </w:num>
  <w:num w:numId="15">
    <w:abstractNumId w:val="0"/>
  </w:num>
  <w:num w:numId="16">
    <w:abstractNumId w:val="20"/>
  </w:num>
  <w:num w:numId="17">
    <w:abstractNumId w:val="4"/>
  </w:num>
  <w:num w:numId="18">
    <w:abstractNumId w:val="13"/>
  </w:num>
  <w:num w:numId="19">
    <w:abstractNumId w:val="11"/>
  </w:num>
  <w:num w:numId="20">
    <w:abstractNumId w:val="15"/>
  </w:num>
  <w:num w:numId="21">
    <w:abstractNumId w:val="10"/>
  </w:num>
  <w:num w:numId="22">
    <w:abstractNumId w:val="3"/>
  </w:num>
  <w:num w:numId="23">
    <w:abstractNumId w:val="21"/>
  </w:num>
  <w:num w:numId="24">
    <w:abstractNumId w:val="24"/>
  </w:num>
  <w:num w:numId="25">
    <w:abstractNumId w:val="19"/>
  </w:num>
  <w:num w:numId="26">
    <w:abstractNumId w:val="6"/>
  </w:num>
  <w:num w:numId="27">
    <w:abstractNumId w:val="25"/>
  </w:num>
  <w:num w:numId="28">
    <w:abstractNumId w:val="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alignBordersAndEdges w:val="1"/>
  <w:bordersDoNotSurroundHeader w:val="1"/>
  <w:bordersDoNotSurroundFooter w:val="1"/>
  <w:hideSpellingErrors/>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hZDBhZDQ5ZWM5NWUzMTM3YzBlMGYyYzM4ZDhlOTYifQ=="/>
    <w:docVar w:name="KSO_WPS_MARK_KEY" w:val="28619740-85f3-499c-a324-b18430eb20dc"/>
  </w:docVars>
  <w:rsids>
    <w:rsidRoot w:val="00172A27"/>
    <w:rsid w:val="000014E5"/>
    <w:rsid w:val="00014E37"/>
    <w:rsid w:val="0001531F"/>
    <w:rsid w:val="00020EC3"/>
    <w:rsid w:val="0004348F"/>
    <w:rsid w:val="000636BA"/>
    <w:rsid w:val="00073B75"/>
    <w:rsid w:val="000B74E5"/>
    <w:rsid w:val="000E520E"/>
    <w:rsid w:val="000E5420"/>
    <w:rsid w:val="000E5A05"/>
    <w:rsid w:val="000F757C"/>
    <w:rsid w:val="001004F9"/>
    <w:rsid w:val="001063B0"/>
    <w:rsid w:val="00113616"/>
    <w:rsid w:val="001205AC"/>
    <w:rsid w:val="00123B74"/>
    <w:rsid w:val="00133478"/>
    <w:rsid w:val="001465B4"/>
    <w:rsid w:val="001504BA"/>
    <w:rsid w:val="001520FD"/>
    <w:rsid w:val="00160E82"/>
    <w:rsid w:val="001677FE"/>
    <w:rsid w:val="00172A27"/>
    <w:rsid w:val="00174B9F"/>
    <w:rsid w:val="00175728"/>
    <w:rsid w:val="00184377"/>
    <w:rsid w:val="001B23DA"/>
    <w:rsid w:val="001B3ACC"/>
    <w:rsid w:val="001E7931"/>
    <w:rsid w:val="002311A3"/>
    <w:rsid w:val="002332F9"/>
    <w:rsid w:val="00237D64"/>
    <w:rsid w:val="00250B59"/>
    <w:rsid w:val="00251547"/>
    <w:rsid w:val="0025524E"/>
    <w:rsid w:val="00262B75"/>
    <w:rsid w:val="00267BC8"/>
    <w:rsid w:val="00274130"/>
    <w:rsid w:val="00274CBF"/>
    <w:rsid w:val="00283FEF"/>
    <w:rsid w:val="002A1A6C"/>
    <w:rsid w:val="002A2780"/>
    <w:rsid w:val="002B7936"/>
    <w:rsid w:val="002C3649"/>
    <w:rsid w:val="002C64ED"/>
    <w:rsid w:val="002E5098"/>
    <w:rsid w:val="002E58E0"/>
    <w:rsid w:val="002F477B"/>
    <w:rsid w:val="002F7883"/>
    <w:rsid w:val="003060F7"/>
    <w:rsid w:val="00322FD7"/>
    <w:rsid w:val="00325AA0"/>
    <w:rsid w:val="00332EB1"/>
    <w:rsid w:val="003341AD"/>
    <w:rsid w:val="00334B64"/>
    <w:rsid w:val="00350F42"/>
    <w:rsid w:val="00360199"/>
    <w:rsid w:val="003846A5"/>
    <w:rsid w:val="0039251F"/>
    <w:rsid w:val="003A1FB1"/>
    <w:rsid w:val="003B454C"/>
    <w:rsid w:val="003C256D"/>
    <w:rsid w:val="003D2E40"/>
    <w:rsid w:val="003D4BD4"/>
    <w:rsid w:val="003E047E"/>
    <w:rsid w:val="003F2A69"/>
    <w:rsid w:val="003F5E9B"/>
    <w:rsid w:val="004130A4"/>
    <w:rsid w:val="004143CE"/>
    <w:rsid w:val="00425D38"/>
    <w:rsid w:val="00447482"/>
    <w:rsid w:val="00450EFA"/>
    <w:rsid w:val="00451E5D"/>
    <w:rsid w:val="00453343"/>
    <w:rsid w:val="0045448C"/>
    <w:rsid w:val="00454523"/>
    <w:rsid w:val="00456FE2"/>
    <w:rsid w:val="0046160C"/>
    <w:rsid w:val="004770D1"/>
    <w:rsid w:val="004825F5"/>
    <w:rsid w:val="00487D37"/>
    <w:rsid w:val="00496DA9"/>
    <w:rsid w:val="004A645B"/>
    <w:rsid w:val="004C6B4B"/>
    <w:rsid w:val="004D0441"/>
    <w:rsid w:val="004D2A36"/>
    <w:rsid w:val="004D564E"/>
    <w:rsid w:val="004E46DC"/>
    <w:rsid w:val="004E4B51"/>
    <w:rsid w:val="004F2063"/>
    <w:rsid w:val="005140FE"/>
    <w:rsid w:val="00516667"/>
    <w:rsid w:val="00522403"/>
    <w:rsid w:val="00523D65"/>
    <w:rsid w:val="00534812"/>
    <w:rsid w:val="00546AF5"/>
    <w:rsid w:val="00552300"/>
    <w:rsid w:val="00563766"/>
    <w:rsid w:val="005772B9"/>
    <w:rsid w:val="005905B7"/>
    <w:rsid w:val="005935AB"/>
    <w:rsid w:val="005957B1"/>
    <w:rsid w:val="005B5B6A"/>
    <w:rsid w:val="005B61E7"/>
    <w:rsid w:val="005C25C6"/>
    <w:rsid w:val="005D3C32"/>
    <w:rsid w:val="005E5A73"/>
    <w:rsid w:val="00600CF7"/>
    <w:rsid w:val="00617807"/>
    <w:rsid w:val="0063386C"/>
    <w:rsid w:val="00634E28"/>
    <w:rsid w:val="00636CCD"/>
    <w:rsid w:val="00637D4E"/>
    <w:rsid w:val="0065570F"/>
    <w:rsid w:val="006570E0"/>
    <w:rsid w:val="0066158C"/>
    <w:rsid w:val="00666C52"/>
    <w:rsid w:val="00673363"/>
    <w:rsid w:val="00673949"/>
    <w:rsid w:val="0067566B"/>
    <w:rsid w:val="006822D8"/>
    <w:rsid w:val="00683561"/>
    <w:rsid w:val="006A101B"/>
    <w:rsid w:val="006A6CDE"/>
    <w:rsid w:val="006B46DA"/>
    <w:rsid w:val="006C7AC5"/>
    <w:rsid w:val="006D3795"/>
    <w:rsid w:val="006D3C2E"/>
    <w:rsid w:val="00705FC3"/>
    <w:rsid w:val="00714F70"/>
    <w:rsid w:val="00734C27"/>
    <w:rsid w:val="00753654"/>
    <w:rsid w:val="007638FE"/>
    <w:rsid w:val="00765E30"/>
    <w:rsid w:val="00770C0B"/>
    <w:rsid w:val="007740EC"/>
    <w:rsid w:val="007865BC"/>
    <w:rsid w:val="0079479B"/>
    <w:rsid w:val="007B39B7"/>
    <w:rsid w:val="007B5D1B"/>
    <w:rsid w:val="007C1FE4"/>
    <w:rsid w:val="007C5D8B"/>
    <w:rsid w:val="007D696E"/>
    <w:rsid w:val="007E00B6"/>
    <w:rsid w:val="007F2FAD"/>
    <w:rsid w:val="007F77AF"/>
    <w:rsid w:val="008103DB"/>
    <w:rsid w:val="00810882"/>
    <w:rsid w:val="00811CB0"/>
    <w:rsid w:val="0082076D"/>
    <w:rsid w:val="00825956"/>
    <w:rsid w:val="00837A09"/>
    <w:rsid w:val="00843A2A"/>
    <w:rsid w:val="00862A5C"/>
    <w:rsid w:val="008801D0"/>
    <w:rsid w:val="008A56F1"/>
    <w:rsid w:val="008C015D"/>
    <w:rsid w:val="008D6484"/>
    <w:rsid w:val="008E0960"/>
    <w:rsid w:val="008E3061"/>
    <w:rsid w:val="008E35AE"/>
    <w:rsid w:val="00900C6E"/>
    <w:rsid w:val="009112F7"/>
    <w:rsid w:val="00913A21"/>
    <w:rsid w:val="00915635"/>
    <w:rsid w:val="00915EFD"/>
    <w:rsid w:val="00926525"/>
    <w:rsid w:val="009401EA"/>
    <w:rsid w:val="00942C56"/>
    <w:rsid w:val="00946AD4"/>
    <w:rsid w:val="00956776"/>
    <w:rsid w:val="00973963"/>
    <w:rsid w:val="00993F06"/>
    <w:rsid w:val="009C4AF3"/>
    <w:rsid w:val="009D1223"/>
    <w:rsid w:val="009D7BFC"/>
    <w:rsid w:val="009E72AC"/>
    <w:rsid w:val="009F41AD"/>
    <w:rsid w:val="009F779B"/>
    <w:rsid w:val="00A31A3B"/>
    <w:rsid w:val="00A61AD7"/>
    <w:rsid w:val="00A65A9B"/>
    <w:rsid w:val="00A678AF"/>
    <w:rsid w:val="00A751DA"/>
    <w:rsid w:val="00A75858"/>
    <w:rsid w:val="00A91744"/>
    <w:rsid w:val="00AA3DC2"/>
    <w:rsid w:val="00AA7CB2"/>
    <w:rsid w:val="00AB002E"/>
    <w:rsid w:val="00AB7D64"/>
    <w:rsid w:val="00AC3DD8"/>
    <w:rsid w:val="00AC54B5"/>
    <w:rsid w:val="00AC670A"/>
    <w:rsid w:val="00AD4D17"/>
    <w:rsid w:val="00AD693A"/>
    <w:rsid w:val="00AE1ED0"/>
    <w:rsid w:val="00AE3EF0"/>
    <w:rsid w:val="00AF3937"/>
    <w:rsid w:val="00AF3959"/>
    <w:rsid w:val="00AF4F44"/>
    <w:rsid w:val="00B00A0B"/>
    <w:rsid w:val="00B01D58"/>
    <w:rsid w:val="00B22777"/>
    <w:rsid w:val="00B30449"/>
    <w:rsid w:val="00B415F3"/>
    <w:rsid w:val="00B42969"/>
    <w:rsid w:val="00B54B4B"/>
    <w:rsid w:val="00B54F91"/>
    <w:rsid w:val="00B67366"/>
    <w:rsid w:val="00B710E0"/>
    <w:rsid w:val="00B87A79"/>
    <w:rsid w:val="00B92181"/>
    <w:rsid w:val="00BA0ABC"/>
    <w:rsid w:val="00BA373B"/>
    <w:rsid w:val="00BB4017"/>
    <w:rsid w:val="00BB65D8"/>
    <w:rsid w:val="00BE1545"/>
    <w:rsid w:val="00BE6D7E"/>
    <w:rsid w:val="00BF62DE"/>
    <w:rsid w:val="00BF64C9"/>
    <w:rsid w:val="00C078B3"/>
    <w:rsid w:val="00C11940"/>
    <w:rsid w:val="00C11CAF"/>
    <w:rsid w:val="00C12A2B"/>
    <w:rsid w:val="00C20A44"/>
    <w:rsid w:val="00C358F9"/>
    <w:rsid w:val="00C361D4"/>
    <w:rsid w:val="00C52241"/>
    <w:rsid w:val="00C536A1"/>
    <w:rsid w:val="00C57076"/>
    <w:rsid w:val="00C6086D"/>
    <w:rsid w:val="00C7157D"/>
    <w:rsid w:val="00C94842"/>
    <w:rsid w:val="00CB6143"/>
    <w:rsid w:val="00CC4439"/>
    <w:rsid w:val="00CC6AD5"/>
    <w:rsid w:val="00CD4B5F"/>
    <w:rsid w:val="00CD6F28"/>
    <w:rsid w:val="00CF0CB3"/>
    <w:rsid w:val="00CF1F89"/>
    <w:rsid w:val="00CF2189"/>
    <w:rsid w:val="00CF535D"/>
    <w:rsid w:val="00CF5DA7"/>
    <w:rsid w:val="00CF74B6"/>
    <w:rsid w:val="00D025A1"/>
    <w:rsid w:val="00D11525"/>
    <w:rsid w:val="00D21AE6"/>
    <w:rsid w:val="00D22C19"/>
    <w:rsid w:val="00D25962"/>
    <w:rsid w:val="00D25C4A"/>
    <w:rsid w:val="00D355FC"/>
    <w:rsid w:val="00D37397"/>
    <w:rsid w:val="00D90D48"/>
    <w:rsid w:val="00D93441"/>
    <w:rsid w:val="00D93BEC"/>
    <w:rsid w:val="00D9493B"/>
    <w:rsid w:val="00DA15E2"/>
    <w:rsid w:val="00DA55EF"/>
    <w:rsid w:val="00DA717E"/>
    <w:rsid w:val="00DB3F62"/>
    <w:rsid w:val="00DD14F2"/>
    <w:rsid w:val="00DD7CAF"/>
    <w:rsid w:val="00DE1B78"/>
    <w:rsid w:val="00DE4CCA"/>
    <w:rsid w:val="00DF1810"/>
    <w:rsid w:val="00DF20F7"/>
    <w:rsid w:val="00DF4C55"/>
    <w:rsid w:val="00DF6F87"/>
    <w:rsid w:val="00DF7247"/>
    <w:rsid w:val="00DF7414"/>
    <w:rsid w:val="00E1008E"/>
    <w:rsid w:val="00E127CD"/>
    <w:rsid w:val="00E22DD2"/>
    <w:rsid w:val="00E43FEA"/>
    <w:rsid w:val="00E56799"/>
    <w:rsid w:val="00E578BA"/>
    <w:rsid w:val="00E57FF3"/>
    <w:rsid w:val="00E632DB"/>
    <w:rsid w:val="00E661FD"/>
    <w:rsid w:val="00E72E5C"/>
    <w:rsid w:val="00E80C29"/>
    <w:rsid w:val="00E84712"/>
    <w:rsid w:val="00EB11EE"/>
    <w:rsid w:val="00EC16C1"/>
    <w:rsid w:val="00EC29F2"/>
    <w:rsid w:val="00EE5414"/>
    <w:rsid w:val="00F134E2"/>
    <w:rsid w:val="00F14DD6"/>
    <w:rsid w:val="00F263A7"/>
    <w:rsid w:val="00F30502"/>
    <w:rsid w:val="00F3208D"/>
    <w:rsid w:val="00F34464"/>
    <w:rsid w:val="00F34FCE"/>
    <w:rsid w:val="00F4244B"/>
    <w:rsid w:val="00F453C0"/>
    <w:rsid w:val="00F82378"/>
    <w:rsid w:val="00F9155A"/>
    <w:rsid w:val="00FB5DDF"/>
    <w:rsid w:val="00FC2392"/>
    <w:rsid w:val="00FC6373"/>
    <w:rsid w:val="00FC7C22"/>
    <w:rsid w:val="00FE61AE"/>
    <w:rsid w:val="0105717D"/>
    <w:rsid w:val="0106234D"/>
    <w:rsid w:val="012504A3"/>
    <w:rsid w:val="01324284"/>
    <w:rsid w:val="01335902"/>
    <w:rsid w:val="01384134"/>
    <w:rsid w:val="015144F2"/>
    <w:rsid w:val="016007FD"/>
    <w:rsid w:val="0167398B"/>
    <w:rsid w:val="0167556F"/>
    <w:rsid w:val="01677E07"/>
    <w:rsid w:val="01712189"/>
    <w:rsid w:val="01770B2C"/>
    <w:rsid w:val="01825D8C"/>
    <w:rsid w:val="01947DA2"/>
    <w:rsid w:val="01AD47CF"/>
    <w:rsid w:val="01AF558B"/>
    <w:rsid w:val="01B95033"/>
    <w:rsid w:val="01C047AE"/>
    <w:rsid w:val="01C6244A"/>
    <w:rsid w:val="01C901A1"/>
    <w:rsid w:val="01CC0F86"/>
    <w:rsid w:val="01D5458D"/>
    <w:rsid w:val="01D84C8D"/>
    <w:rsid w:val="01E36746"/>
    <w:rsid w:val="01E60020"/>
    <w:rsid w:val="01EF572E"/>
    <w:rsid w:val="01F33470"/>
    <w:rsid w:val="01F91B79"/>
    <w:rsid w:val="01F975DA"/>
    <w:rsid w:val="02014C39"/>
    <w:rsid w:val="02117D9A"/>
    <w:rsid w:val="0216715F"/>
    <w:rsid w:val="02401A2F"/>
    <w:rsid w:val="0248121F"/>
    <w:rsid w:val="024A21C8"/>
    <w:rsid w:val="024A71C4"/>
    <w:rsid w:val="024B66E6"/>
    <w:rsid w:val="02586C9E"/>
    <w:rsid w:val="025A6883"/>
    <w:rsid w:val="02656904"/>
    <w:rsid w:val="0267246E"/>
    <w:rsid w:val="02682F62"/>
    <w:rsid w:val="02730290"/>
    <w:rsid w:val="027918E3"/>
    <w:rsid w:val="0279784C"/>
    <w:rsid w:val="027E745F"/>
    <w:rsid w:val="02873DE8"/>
    <w:rsid w:val="028962F7"/>
    <w:rsid w:val="028C57F5"/>
    <w:rsid w:val="029307AF"/>
    <w:rsid w:val="02971909"/>
    <w:rsid w:val="029F24BF"/>
    <w:rsid w:val="02A7736E"/>
    <w:rsid w:val="02C00D4F"/>
    <w:rsid w:val="02C71E53"/>
    <w:rsid w:val="02CB28CE"/>
    <w:rsid w:val="02D65176"/>
    <w:rsid w:val="02E96323"/>
    <w:rsid w:val="02EB239A"/>
    <w:rsid w:val="02EB34C2"/>
    <w:rsid w:val="02F05C02"/>
    <w:rsid w:val="030F59F5"/>
    <w:rsid w:val="031D6D25"/>
    <w:rsid w:val="032306DC"/>
    <w:rsid w:val="032C46A6"/>
    <w:rsid w:val="03353695"/>
    <w:rsid w:val="03404324"/>
    <w:rsid w:val="03427A32"/>
    <w:rsid w:val="034C108A"/>
    <w:rsid w:val="037D33B9"/>
    <w:rsid w:val="037D4E3F"/>
    <w:rsid w:val="038E2332"/>
    <w:rsid w:val="03936F5F"/>
    <w:rsid w:val="039676A9"/>
    <w:rsid w:val="039D0C82"/>
    <w:rsid w:val="03AC2CB6"/>
    <w:rsid w:val="03B3132A"/>
    <w:rsid w:val="03B33B11"/>
    <w:rsid w:val="03B847C3"/>
    <w:rsid w:val="03C24ADC"/>
    <w:rsid w:val="03FD184E"/>
    <w:rsid w:val="040B1DB0"/>
    <w:rsid w:val="040F20B8"/>
    <w:rsid w:val="041C3A7B"/>
    <w:rsid w:val="042377F7"/>
    <w:rsid w:val="0427257C"/>
    <w:rsid w:val="04283724"/>
    <w:rsid w:val="0430275A"/>
    <w:rsid w:val="043D308A"/>
    <w:rsid w:val="046272DC"/>
    <w:rsid w:val="04631C85"/>
    <w:rsid w:val="046704C0"/>
    <w:rsid w:val="04774365"/>
    <w:rsid w:val="04793E65"/>
    <w:rsid w:val="04886EAB"/>
    <w:rsid w:val="048B3FAF"/>
    <w:rsid w:val="049A26A4"/>
    <w:rsid w:val="049D3B0A"/>
    <w:rsid w:val="04A77FD0"/>
    <w:rsid w:val="04B26708"/>
    <w:rsid w:val="04BD1688"/>
    <w:rsid w:val="04C16A15"/>
    <w:rsid w:val="04C40D92"/>
    <w:rsid w:val="04D94E3A"/>
    <w:rsid w:val="04E12C3F"/>
    <w:rsid w:val="04F02746"/>
    <w:rsid w:val="04F73D10"/>
    <w:rsid w:val="050C1041"/>
    <w:rsid w:val="05116DEF"/>
    <w:rsid w:val="05172AC0"/>
    <w:rsid w:val="052C7827"/>
    <w:rsid w:val="05304AE1"/>
    <w:rsid w:val="05343416"/>
    <w:rsid w:val="053472FA"/>
    <w:rsid w:val="05392567"/>
    <w:rsid w:val="0540283C"/>
    <w:rsid w:val="05456BA2"/>
    <w:rsid w:val="05461B09"/>
    <w:rsid w:val="05567613"/>
    <w:rsid w:val="056517DD"/>
    <w:rsid w:val="0584760A"/>
    <w:rsid w:val="059B55BE"/>
    <w:rsid w:val="059F3457"/>
    <w:rsid w:val="05A848E9"/>
    <w:rsid w:val="05B81EA9"/>
    <w:rsid w:val="05CE5F94"/>
    <w:rsid w:val="05D63A19"/>
    <w:rsid w:val="05DA0222"/>
    <w:rsid w:val="05DC1B05"/>
    <w:rsid w:val="05DC27EC"/>
    <w:rsid w:val="05E356C5"/>
    <w:rsid w:val="05E71B97"/>
    <w:rsid w:val="05FA06EA"/>
    <w:rsid w:val="060C68AF"/>
    <w:rsid w:val="060F6B65"/>
    <w:rsid w:val="060F7108"/>
    <w:rsid w:val="06114CDB"/>
    <w:rsid w:val="06145FF6"/>
    <w:rsid w:val="061B11E8"/>
    <w:rsid w:val="06200825"/>
    <w:rsid w:val="062430A3"/>
    <w:rsid w:val="0625523B"/>
    <w:rsid w:val="062A119E"/>
    <w:rsid w:val="062B3789"/>
    <w:rsid w:val="0631259F"/>
    <w:rsid w:val="06357E27"/>
    <w:rsid w:val="06410991"/>
    <w:rsid w:val="06437D94"/>
    <w:rsid w:val="064444E7"/>
    <w:rsid w:val="064C3A3A"/>
    <w:rsid w:val="064C4409"/>
    <w:rsid w:val="06511D26"/>
    <w:rsid w:val="06514D41"/>
    <w:rsid w:val="065D4560"/>
    <w:rsid w:val="06623E4B"/>
    <w:rsid w:val="067A1543"/>
    <w:rsid w:val="06864D5C"/>
    <w:rsid w:val="0693775E"/>
    <w:rsid w:val="069960E3"/>
    <w:rsid w:val="06AA4EF9"/>
    <w:rsid w:val="06AB23F1"/>
    <w:rsid w:val="06B84DD7"/>
    <w:rsid w:val="06C64D91"/>
    <w:rsid w:val="06C70676"/>
    <w:rsid w:val="06D1576D"/>
    <w:rsid w:val="06DB6DB4"/>
    <w:rsid w:val="06F048CD"/>
    <w:rsid w:val="06F061D0"/>
    <w:rsid w:val="06F276B3"/>
    <w:rsid w:val="070B0308"/>
    <w:rsid w:val="07125423"/>
    <w:rsid w:val="07282502"/>
    <w:rsid w:val="07303C88"/>
    <w:rsid w:val="07316793"/>
    <w:rsid w:val="073269FF"/>
    <w:rsid w:val="073A38EF"/>
    <w:rsid w:val="07474709"/>
    <w:rsid w:val="07506A9F"/>
    <w:rsid w:val="07520F28"/>
    <w:rsid w:val="07570C82"/>
    <w:rsid w:val="0759679D"/>
    <w:rsid w:val="07623E03"/>
    <w:rsid w:val="07625F6A"/>
    <w:rsid w:val="07632009"/>
    <w:rsid w:val="076F4BA4"/>
    <w:rsid w:val="077073FC"/>
    <w:rsid w:val="07741C7E"/>
    <w:rsid w:val="07746E01"/>
    <w:rsid w:val="07A96D7C"/>
    <w:rsid w:val="07AF54FC"/>
    <w:rsid w:val="07C37575"/>
    <w:rsid w:val="07C84A57"/>
    <w:rsid w:val="07CA4F8B"/>
    <w:rsid w:val="07CB7B9E"/>
    <w:rsid w:val="07E1307F"/>
    <w:rsid w:val="07E755B8"/>
    <w:rsid w:val="07EF4447"/>
    <w:rsid w:val="07F230CD"/>
    <w:rsid w:val="07F7358F"/>
    <w:rsid w:val="07FA0478"/>
    <w:rsid w:val="07FE491D"/>
    <w:rsid w:val="08067083"/>
    <w:rsid w:val="08075E2A"/>
    <w:rsid w:val="080D6055"/>
    <w:rsid w:val="081E37DD"/>
    <w:rsid w:val="08446481"/>
    <w:rsid w:val="08446DA9"/>
    <w:rsid w:val="084A5DB4"/>
    <w:rsid w:val="084E0BE3"/>
    <w:rsid w:val="08524FA3"/>
    <w:rsid w:val="08537741"/>
    <w:rsid w:val="085B25CD"/>
    <w:rsid w:val="08605757"/>
    <w:rsid w:val="0864692C"/>
    <w:rsid w:val="086D0612"/>
    <w:rsid w:val="086E73A1"/>
    <w:rsid w:val="087231DD"/>
    <w:rsid w:val="087902CC"/>
    <w:rsid w:val="087D3A94"/>
    <w:rsid w:val="088430A2"/>
    <w:rsid w:val="088479A1"/>
    <w:rsid w:val="088628D1"/>
    <w:rsid w:val="08896503"/>
    <w:rsid w:val="088D19C6"/>
    <w:rsid w:val="088F5B4A"/>
    <w:rsid w:val="089112ED"/>
    <w:rsid w:val="089F20A3"/>
    <w:rsid w:val="08A1113C"/>
    <w:rsid w:val="08BD1D8E"/>
    <w:rsid w:val="08C75728"/>
    <w:rsid w:val="08C86792"/>
    <w:rsid w:val="08C93841"/>
    <w:rsid w:val="08E0445B"/>
    <w:rsid w:val="08E70691"/>
    <w:rsid w:val="08F20C25"/>
    <w:rsid w:val="09032181"/>
    <w:rsid w:val="09063DB4"/>
    <w:rsid w:val="090B3E66"/>
    <w:rsid w:val="090D2C31"/>
    <w:rsid w:val="090D60CD"/>
    <w:rsid w:val="093037B4"/>
    <w:rsid w:val="0933533D"/>
    <w:rsid w:val="09360D04"/>
    <w:rsid w:val="093D5ACE"/>
    <w:rsid w:val="09523172"/>
    <w:rsid w:val="0962393C"/>
    <w:rsid w:val="096A25EC"/>
    <w:rsid w:val="09775D5B"/>
    <w:rsid w:val="097C03CD"/>
    <w:rsid w:val="097F024A"/>
    <w:rsid w:val="09821250"/>
    <w:rsid w:val="09885651"/>
    <w:rsid w:val="099110CA"/>
    <w:rsid w:val="099362E2"/>
    <w:rsid w:val="09946290"/>
    <w:rsid w:val="09954708"/>
    <w:rsid w:val="09983CED"/>
    <w:rsid w:val="09AD65FB"/>
    <w:rsid w:val="09B42413"/>
    <w:rsid w:val="09D43B87"/>
    <w:rsid w:val="09D8630A"/>
    <w:rsid w:val="09DC7613"/>
    <w:rsid w:val="09DE3271"/>
    <w:rsid w:val="09E162A4"/>
    <w:rsid w:val="09E702DD"/>
    <w:rsid w:val="09EF7488"/>
    <w:rsid w:val="09F67941"/>
    <w:rsid w:val="0A032864"/>
    <w:rsid w:val="0A061654"/>
    <w:rsid w:val="0A2A2D35"/>
    <w:rsid w:val="0A3044AB"/>
    <w:rsid w:val="0A394F80"/>
    <w:rsid w:val="0A4061D7"/>
    <w:rsid w:val="0A4725AB"/>
    <w:rsid w:val="0A4F50AD"/>
    <w:rsid w:val="0A517D02"/>
    <w:rsid w:val="0A5371A2"/>
    <w:rsid w:val="0A56459C"/>
    <w:rsid w:val="0A59408D"/>
    <w:rsid w:val="0A7B1428"/>
    <w:rsid w:val="0A7B4003"/>
    <w:rsid w:val="0A89195D"/>
    <w:rsid w:val="0AB73436"/>
    <w:rsid w:val="0ABB4E88"/>
    <w:rsid w:val="0AC73A37"/>
    <w:rsid w:val="0ADD422E"/>
    <w:rsid w:val="0AF078A9"/>
    <w:rsid w:val="0AF53DB5"/>
    <w:rsid w:val="0AFA248E"/>
    <w:rsid w:val="0B0864D6"/>
    <w:rsid w:val="0B1909E5"/>
    <w:rsid w:val="0B2B1955"/>
    <w:rsid w:val="0B2D6D0D"/>
    <w:rsid w:val="0B2E5519"/>
    <w:rsid w:val="0B387B04"/>
    <w:rsid w:val="0B4E5BBB"/>
    <w:rsid w:val="0B5C2E64"/>
    <w:rsid w:val="0B6E7590"/>
    <w:rsid w:val="0B7E3E4A"/>
    <w:rsid w:val="0B9A09B9"/>
    <w:rsid w:val="0BAE40AD"/>
    <w:rsid w:val="0BC2425D"/>
    <w:rsid w:val="0BCB76D8"/>
    <w:rsid w:val="0BE178E5"/>
    <w:rsid w:val="0BE40D8A"/>
    <w:rsid w:val="0BE63EC6"/>
    <w:rsid w:val="0BED15B2"/>
    <w:rsid w:val="0BEF515C"/>
    <w:rsid w:val="0BF06869"/>
    <w:rsid w:val="0BF14426"/>
    <w:rsid w:val="0BF16E09"/>
    <w:rsid w:val="0C003EE3"/>
    <w:rsid w:val="0C005708"/>
    <w:rsid w:val="0C016111"/>
    <w:rsid w:val="0C0B2A45"/>
    <w:rsid w:val="0C1842AC"/>
    <w:rsid w:val="0C240F71"/>
    <w:rsid w:val="0C324900"/>
    <w:rsid w:val="0C3E1716"/>
    <w:rsid w:val="0C3E79F3"/>
    <w:rsid w:val="0C494BE6"/>
    <w:rsid w:val="0C517AD4"/>
    <w:rsid w:val="0C5745FC"/>
    <w:rsid w:val="0C6F5FA6"/>
    <w:rsid w:val="0C720F51"/>
    <w:rsid w:val="0C7F095E"/>
    <w:rsid w:val="0C8B4B82"/>
    <w:rsid w:val="0CA56F90"/>
    <w:rsid w:val="0CA737D5"/>
    <w:rsid w:val="0CA90A41"/>
    <w:rsid w:val="0CAF0913"/>
    <w:rsid w:val="0CC80481"/>
    <w:rsid w:val="0CC85F21"/>
    <w:rsid w:val="0CC94D66"/>
    <w:rsid w:val="0CDB2BDA"/>
    <w:rsid w:val="0CDC606F"/>
    <w:rsid w:val="0CE12A27"/>
    <w:rsid w:val="0CE95B9C"/>
    <w:rsid w:val="0CF12CA2"/>
    <w:rsid w:val="0CFA1B57"/>
    <w:rsid w:val="0CFA3616"/>
    <w:rsid w:val="0CFC6389"/>
    <w:rsid w:val="0CFF475F"/>
    <w:rsid w:val="0D0146AE"/>
    <w:rsid w:val="0D0D34B3"/>
    <w:rsid w:val="0D1349C7"/>
    <w:rsid w:val="0D183E82"/>
    <w:rsid w:val="0D230275"/>
    <w:rsid w:val="0D315BF7"/>
    <w:rsid w:val="0D3B3F1D"/>
    <w:rsid w:val="0D421792"/>
    <w:rsid w:val="0D4923AB"/>
    <w:rsid w:val="0D5528AB"/>
    <w:rsid w:val="0D640A8A"/>
    <w:rsid w:val="0D6C5B7D"/>
    <w:rsid w:val="0D6D12C0"/>
    <w:rsid w:val="0D856AED"/>
    <w:rsid w:val="0D857A13"/>
    <w:rsid w:val="0D892085"/>
    <w:rsid w:val="0D9F7CC8"/>
    <w:rsid w:val="0DA32634"/>
    <w:rsid w:val="0DA434A6"/>
    <w:rsid w:val="0DAC48F4"/>
    <w:rsid w:val="0DAE6E96"/>
    <w:rsid w:val="0DB14C3D"/>
    <w:rsid w:val="0DB55449"/>
    <w:rsid w:val="0DB610C4"/>
    <w:rsid w:val="0DC0619C"/>
    <w:rsid w:val="0DC726D9"/>
    <w:rsid w:val="0DC82699"/>
    <w:rsid w:val="0DC87D24"/>
    <w:rsid w:val="0DD02F0F"/>
    <w:rsid w:val="0DD03FFF"/>
    <w:rsid w:val="0DD4472D"/>
    <w:rsid w:val="0DEB3CBF"/>
    <w:rsid w:val="0DF76096"/>
    <w:rsid w:val="0E185073"/>
    <w:rsid w:val="0E1B24AD"/>
    <w:rsid w:val="0E1E0937"/>
    <w:rsid w:val="0E1F2754"/>
    <w:rsid w:val="0E245572"/>
    <w:rsid w:val="0E25791F"/>
    <w:rsid w:val="0E3F3E9A"/>
    <w:rsid w:val="0E410875"/>
    <w:rsid w:val="0E4B1A1C"/>
    <w:rsid w:val="0E537115"/>
    <w:rsid w:val="0E5674DF"/>
    <w:rsid w:val="0E6059EA"/>
    <w:rsid w:val="0E6502FC"/>
    <w:rsid w:val="0E691C90"/>
    <w:rsid w:val="0E6B438E"/>
    <w:rsid w:val="0E6E5E71"/>
    <w:rsid w:val="0E807F9A"/>
    <w:rsid w:val="0E8311EF"/>
    <w:rsid w:val="0E833B53"/>
    <w:rsid w:val="0E8400B4"/>
    <w:rsid w:val="0E8518F4"/>
    <w:rsid w:val="0E931FA5"/>
    <w:rsid w:val="0E9B1AA0"/>
    <w:rsid w:val="0EA66F2A"/>
    <w:rsid w:val="0EAF6606"/>
    <w:rsid w:val="0EB14497"/>
    <w:rsid w:val="0EB641EB"/>
    <w:rsid w:val="0EC81B8D"/>
    <w:rsid w:val="0ECF200F"/>
    <w:rsid w:val="0ED757F9"/>
    <w:rsid w:val="0EDB0345"/>
    <w:rsid w:val="0EEB1C90"/>
    <w:rsid w:val="0EEF4FBF"/>
    <w:rsid w:val="0EF14C8B"/>
    <w:rsid w:val="0EF70AA5"/>
    <w:rsid w:val="0F024765"/>
    <w:rsid w:val="0F024CF3"/>
    <w:rsid w:val="0F036FEB"/>
    <w:rsid w:val="0F0D3782"/>
    <w:rsid w:val="0F1133CB"/>
    <w:rsid w:val="0F1C55D7"/>
    <w:rsid w:val="0F237E5D"/>
    <w:rsid w:val="0F2D6A4B"/>
    <w:rsid w:val="0F3C4BBB"/>
    <w:rsid w:val="0F481546"/>
    <w:rsid w:val="0F507E3C"/>
    <w:rsid w:val="0F51732E"/>
    <w:rsid w:val="0F5A6770"/>
    <w:rsid w:val="0F6A33C9"/>
    <w:rsid w:val="0F91772A"/>
    <w:rsid w:val="0F955B67"/>
    <w:rsid w:val="0F9C6EF5"/>
    <w:rsid w:val="0FA10A21"/>
    <w:rsid w:val="0FA73B1B"/>
    <w:rsid w:val="0FE97C61"/>
    <w:rsid w:val="0FEA4CE7"/>
    <w:rsid w:val="0FEE38F7"/>
    <w:rsid w:val="0FF5291B"/>
    <w:rsid w:val="10027030"/>
    <w:rsid w:val="10056459"/>
    <w:rsid w:val="10067C93"/>
    <w:rsid w:val="100A1C84"/>
    <w:rsid w:val="100E6287"/>
    <w:rsid w:val="10114CB3"/>
    <w:rsid w:val="10130A38"/>
    <w:rsid w:val="101A3270"/>
    <w:rsid w:val="10233173"/>
    <w:rsid w:val="1025642B"/>
    <w:rsid w:val="10294501"/>
    <w:rsid w:val="102D152B"/>
    <w:rsid w:val="10374E70"/>
    <w:rsid w:val="103920C8"/>
    <w:rsid w:val="10556A80"/>
    <w:rsid w:val="106F0166"/>
    <w:rsid w:val="107B68D9"/>
    <w:rsid w:val="107F3554"/>
    <w:rsid w:val="10855441"/>
    <w:rsid w:val="1086670A"/>
    <w:rsid w:val="10877162"/>
    <w:rsid w:val="108C4400"/>
    <w:rsid w:val="109113BA"/>
    <w:rsid w:val="109A023E"/>
    <w:rsid w:val="10AF4A06"/>
    <w:rsid w:val="10B16462"/>
    <w:rsid w:val="10BA6FC7"/>
    <w:rsid w:val="10D05B4D"/>
    <w:rsid w:val="10DC66B0"/>
    <w:rsid w:val="10FE6793"/>
    <w:rsid w:val="11002D49"/>
    <w:rsid w:val="110976DA"/>
    <w:rsid w:val="111017A8"/>
    <w:rsid w:val="11197E2C"/>
    <w:rsid w:val="11226A1E"/>
    <w:rsid w:val="11297EC9"/>
    <w:rsid w:val="112C2BD8"/>
    <w:rsid w:val="11365128"/>
    <w:rsid w:val="1141059C"/>
    <w:rsid w:val="114A74C3"/>
    <w:rsid w:val="114F7F97"/>
    <w:rsid w:val="11565ED2"/>
    <w:rsid w:val="1159675C"/>
    <w:rsid w:val="115A119D"/>
    <w:rsid w:val="116946CE"/>
    <w:rsid w:val="11880F61"/>
    <w:rsid w:val="118B2359"/>
    <w:rsid w:val="11967974"/>
    <w:rsid w:val="11975945"/>
    <w:rsid w:val="119E55F1"/>
    <w:rsid w:val="11A24737"/>
    <w:rsid w:val="11B170E6"/>
    <w:rsid w:val="11CD05BA"/>
    <w:rsid w:val="11D54941"/>
    <w:rsid w:val="11DE2CF0"/>
    <w:rsid w:val="11F33816"/>
    <w:rsid w:val="11F87D8D"/>
    <w:rsid w:val="11FA76C0"/>
    <w:rsid w:val="11FC011F"/>
    <w:rsid w:val="1200531C"/>
    <w:rsid w:val="12006240"/>
    <w:rsid w:val="120653D6"/>
    <w:rsid w:val="121E476E"/>
    <w:rsid w:val="122C61B1"/>
    <w:rsid w:val="12353DCE"/>
    <w:rsid w:val="124878CD"/>
    <w:rsid w:val="12503445"/>
    <w:rsid w:val="12541454"/>
    <w:rsid w:val="12570225"/>
    <w:rsid w:val="12574F20"/>
    <w:rsid w:val="126924BD"/>
    <w:rsid w:val="12750CA4"/>
    <w:rsid w:val="127A7296"/>
    <w:rsid w:val="12825F64"/>
    <w:rsid w:val="12881AFC"/>
    <w:rsid w:val="12893EDB"/>
    <w:rsid w:val="129118F8"/>
    <w:rsid w:val="1292480D"/>
    <w:rsid w:val="129A025D"/>
    <w:rsid w:val="12A0611B"/>
    <w:rsid w:val="12A61E39"/>
    <w:rsid w:val="12BF44BE"/>
    <w:rsid w:val="12C436CD"/>
    <w:rsid w:val="12D004A1"/>
    <w:rsid w:val="12D270D2"/>
    <w:rsid w:val="12D96289"/>
    <w:rsid w:val="12DD5281"/>
    <w:rsid w:val="12E67B78"/>
    <w:rsid w:val="12E77EDB"/>
    <w:rsid w:val="12E80268"/>
    <w:rsid w:val="12F11306"/>
    <w:rsid w:val="12FB1BCA"/>
    <w:rsid w:val="12FD16DB"/>
    <w:rsid w:val="132971BE"/>
    <w:rsid w:val="132A0CBC"/>
    <w:rsid w:val="134436C8"/>
    <w:rsid w:val="1345152E"/>
    <w:rsid w:val="13472944"/>
    <w:rsid w:val="1348036A"/>
    <w:rsid w:val="13485D9A"/>
    <w:rsid w:val="1356560D"/>
    <w:rsid w:val="135B68A0"/>
    <w:rsid w:val="13693541"/>
    <w:rsid w:val="136A730B"/>
    <w:rsid w:val="136C176F"/>
    <w:rsid w:val="138A52B7"/>
    <w:rsid w:val="13946135"/>
    <w:rsid w:val="13961EAE"/>
    <w:rsid w:val="13994D2B"/>
    <w:rsid w:val="139C2FDF"/>
    <w:rsid w:val="13A20478"/>
    <w:rsid w:val="13AF3244"/>
    <w:rsid w:val="13B2177B"/>
    <w:rsid w:val="13BB5E08"/>
    <w:rsid w:val="13BF593A"/>
    <w:rsid w:val="13CC5951"/>
    <w:rsid w:val="13CE1795"/>
    <w:rsid w:val="13E519B6"/>
    <w:rsid w:val="13FC2804"/>
    <w:rsid w:val="140A33CA"/>
    <w:rsid w:val="140B464A"/>
    <w:rsid w:val="141379A2"/>
    <w:rsid w:val="14270AC1"/>
    <w:rsid w:val="14276015"/>
    <w:rsid w:val="142F05C4"/>
    <w:rsid w:val="14351004"/>
    <w:rsid w:val="1447796E"/>
    <w:rsid w:val="144D19D6"/>
    <w:rsid w:val="1458517C"/>
    <w:rsid w:val="1471310D"/>
    <w:rsid w:val="147E74D6"/>
    <w:rsid w:val="14832432"/>
    <w:rsid w:val="148B6C69"/>
    <w:rsid w:val="14985FBE"/>
    <w:rsid w:val="149B3A80"/>
    <w:rsid w:val="149D2DF3"/>
    <w:rsid w:val="149D34E2"/>
    <w:rsid w:val="149E204B"/>
    <w:rsid w:val="14AB7BDB"/>
    <w:rsid w:val="14AC4247"/>
    <w:rsid w:val="14BA7E1E"/>
    <w:rsid w:val="14BE3244"/>
    <w:rsid w:val="14BF1805"/>
    <w:rsid w:val="14D07641"/>
    <w:rsid w:val="14D11824"/>
    <w:rsid w:val="14D41583"/>
    <w:rsid w:val="14D7277E"/>
    <w:rsid w:val="14DE7F6C"/>
    <w:rsid w:val="14E03386"/>
    <w:rsid w:val="14F1611A"/>
    <w:rsid w:val="14F258A4"/>
    <w:rsid w:val="150D6239"/>
    <w:rsid w:val="15182928"/>
    <w:rsid w:val="1518543C"/>
    <w:rsid w:val="15237771"/>
    <w:rsid w:val="1527256A"/>
    <w:rsid w:val="152D33A1"/>
    <w:rsid w:val="153D59FE"/>
    <w:rsid w:val="154813BF"/>
    <w:rsid w:val="154B4126"/>
    <w:rsid w:val="154D439D"/>
    <w:rsid w:val="155471AB"/>
    <w:rsid w:val="15662AA3"/>
    <w:rsid w:val="156E6D34"/>
    <w:rsid w:val="15783F61"/>
    <w:rsid w:val="158840B5"/>
    <w:rsid w:val="158D5C80"/>
    <w:rsid w:val="15A46B04"/>
    <w:rsid w:val="15AF5894"/>
    <w:rsid w:val="15BC293A"/>
    <w:rsid w:val="15C63BEC"/>
    <w:rsid w:val="15CA6C4C"/>
    <w:rsid w:val="15F1677F"/>
    <w:rsid w:val="160E75B8"/>
    <w:rsid w:val="16134D55"/>
    <w:rsid w:val="161A3378"/>
    <w:rsid w:val="162340CA"/>
    <w:rsid w:val="16256E9E"/>
    <w:rsid w:val="1626040D"/>
    <w:rsid w:val="1633712C"/>
    <w:rsid w:val="163B2717"/>
    <w:rsid w:val="163D670C"/>
    <w:rsid w:val="1642631D"/>
    <w:rsid w:val="164E1F1A"/>
    <w:rsid w:val="164E3C2E"/>
    <w:rsid w:val="164F00E7"/>
    <w:rsid w:val="16544DF8"/>
    <w:rsid w:val="1658625B"/>
    <w:rsid w:val="16633CFB"/>
    <w:rsid w:val="16693CE7"/>
    <w:rsid w:val="16763E17"/>
    <w:rsid w:val="167A59C6"/>
    <w:rsid w:val="16857365"/>
    <w:rsid w:val="168D2A67"/>
    <w:rsid w:val="168E4F39"/>
    <w:rsid w:val="168E50BE"/>
    <w:rsid w:val="16963CBD"/>
    <w:rsid w:val="16A712E0"/>
    <w:rsid w:val="16AB4327"/>
    <w:rsid w:val="16AC1473"/>
    <w:rsid w:val="16C06C62"/>
    <w:rsid w:val="16E500D9"/>
    <w:rsid w:val="16EC6947"/>
    <w:rsid w:val="16EE5EF4"/>
    <w:rsid w:val="16F94913"/>
    <w:rsid w:val="16FA0606"/>
    <w:rsid w:val="16FC189D"/>
    <w:rsid w:val="16FF3684"/>
    <w:rsid w:val="170203C2"/>
    <w:rsid w:val="170F479E"/>
    <w:rsid w:val="171B3B18"/>
    <w:rsid w:val="171E2C2F"/>
    <w:rsid w:val="172123D6"/>
    <w:rsid w:val="17246AC1"/>
    <w:rsid w:val="17325906"/>
    <w:rsid w:val="173514F5"/>
    <w:rsid w:val="173C2D6C"/>
    <w:rsid w:val="174A0E3A"/>
    <w:rsid w:val="174C5F82"/>
    <w:rsid w:val="17577BA6"/>
    <w:rsid w:val="177B19FB"/>
    <w:rsid w:val="177B7D38"/>
    <w:rsid w:val="17860441"/>
    <w:rsid w:val="17932454"/>
    <w:rsid w:val="17973558"/>
    <w:rsid w:val="179D68EE"/>
    <w:rsid w:val="17A12659"/>
    <w:rsid w:val="17A60584"/>
    <w:rsid w:val="17AD5311"/>
    <w:rsid w:val="17B10077"/>
    <w:rsid w:val="17BD1EEE"/>
    <w:rsid w:val="17BD280E"/>
    <w:rsid w:val="17DD0EEE"/>
    <w:rsid w:val="17EA1442"/>
    <w:rsid w:val="17F83A61"/>
    <w:rsid w:val="17F85419"/>
    <w:rsid w:val="17F940C4"/>
    <w:rsid w:val="17FB0E28"/>
    <w:rsid w:val="17FF278C"/>
    <w:rsid w:val="18007FB7"/>
    <w:rsid w:val="18016DC5"/>
    <w:rsid w:val="181250C7"/>
    <w:rsid w:val="18127D0D"/>
    <w:rsid w:val="183554B2"/>
    <w:rsid w:val="185014D4"/>
    <w:rsid w:val="1857460D"/>
    <w:rsid w:val="18634096"/>
    <w:rsid w:val="186549AD"/>
    <w:rsid w:val="186C5D08"/>
    <w:rsid w:val="187A165B"/>
    <w:rsid w:val="187C2DD1"/>
    <w:rsid w:val="188E48E8"/>
    <w:rsid w:val="1894328B"/>
    <w:rsid w:val="18952CBD"/>
    <w:rsid w:val="189A4A90"/>
    <w:rsid w:val="189C4B21"/>
    <w:rsid w:val="18AF661E"/>
    <w:rsid w:val="18B03A11"/>
    <w:rsid w:val="18B518C9"/>
    <w:rsid w:val="18B5569B"/>
    <w:rsid w:val="18BF1913"/>
    <w:rsid w:val="18D94F7E"/>
    <w:rsid w:val="18E81EF3"/>
    <w:rsid w:val="18FA357B"/>
    <w:rsid w:val="19027325"/>
    <w:rsid w:val="1903189E"/>
    <w:rsid w:val="190E0647"/>
    <w:rsid w:val="19121BD7"/>
    <w:rsid w:val="193125D9"/>
    <w:rsid w:val="19346A48"/>
    <w:rsid w:val="194523AC"/>
    <w:rsid w:val="194523AD"/>
    <w:rsid w:val="19467ED2"/>
    <w:rsid w:val="195633B9"/>
    <w:rsid w:val="19676394"/>
    <w:rsid w:val="19687E46"/>
    <w:rsid w:val="196900E6"/>
    <w:rsid w:val="196E5DA0"/>
    <w:rsid w:val="198260B1"/>
    <w:rsid w:val="198B3C8A"/>
    <w:rsid w:val="19964368"/>
    <w:rsid w:val="19A74E14"/>
    <w:rsid w:val="19AA3A80"/>
    <w:rsid w:val="19AE61A3"/>
    <w:rsid w:val="19B25567"/>
    <w:rsid w:val="19B67640"/>
    <w:rsid w:val="19BA2B31"/>
    <w:rsid w:val="19C77265"/>
    <w:rsid w:val="19ED02AD"/>
    <w:rsid w:val="19F04D75"/>
    <w:rsid w:val="19F8645E"/>
    <w:rsid w:val="19F871AD"/>
    <w:rsid w:val="1A1622F0"/>
    <w:rsid w:val="1A3F2EF3"/>
    <w:rsid w:val="1A494A9A"/>
    <w:rsid w:val="1A702814"/>
    <w:rsid w:val="1A731481"/>
    <w:rsid w:val="1A830FE0"/>
    <w:rsid w:val="1A875A1E"/>
    <w:rsid w:val="1A905D19"/>
    <w:rsid w:val="1A945601"/>
    <w:rsid w:val="1AA255DC"/>
    <w:rsid w:val="1AA42BCB"/>
    <w:rsid w:val="1AA57FDD"/>
    <w:rsid w:val="1AA9170D"/>
    <w:rsid w:val="1AA93241"/>
    <w:rsid w:val="1AAE21D3"/>
    <w:rsid w:val="1AB64BE3"/>
    <w:rsid w:val="1ABC6B38"/>
    <w:rsid w:val="1AC36B7C"/>
    <w:rsid w:val="1AC60B16"/>
    <w:rsid w:val="1AC753E6"/>
    <w:rsid w:val="1ACE017F"/>
    <w:rsid w:val="1AD0398A"/>
    <w:rsid w:val="1AD070DF"/>
    <w:rsid w:val="1AD1014C"/>
    <w:rsid w:val="1AD25EC1"/>
    <w:rsid w:val="1AD35FA9"/>
    <w:rsid w:val="1AE3412F"/>
    <w:rsid w:val="1AE5074D"/>
    <w:rsid w:val="1AFA5314"/>
    <w:rsid w:val="1AFE2BBF"/>
    <w:rsid w:val="1AFE3733"/>
    <w:rsid w:val="1B243FC3"/>
    <w:rsid w:val="1B283D33"/>
    <w:rsid w:val="1B28788F"/>
    <w:rsid w:val="1B293607"/>
    <w:rsid w:val="1B294C18"/>
    <w:rsid w:val="1B304996"/>
    <w:rsid w:val="1B3D39CC"/>
    <w:rsid w:val="1B4D24CD"/>
    <w:rsid w:val="1B5146DB"/>
    <w:rsid w:val="1B530280"/>
    <w:rsid w:val="1B5515B7"/>
    <w:rsid w:val="1B553AD6"/>
    <w:rsid w:val="1B566F22"/>
    <w:rsid w:val="1B574618"/>
    <w:rsid w:val="1B574992"/>
    <w:rsid w:val="1B593EEC"/>
    <w:rsid w:val="1B5A0908"/>
    <w:rsid w:val="1B5C63A9"/>
    <w:rsid w:val="1B76287D"/>
    <w:rsid w:val="1B7739E0"/>
    <w:rsid w:val="1B7C54AF"/>
    <w:rsid w:val="1B8229A5"/>
    <w:rsid w:val="1B924A16"/>
    <w:rsid w:val="1BA43818"/>
    <w:rsid w:val="1BAF113F"/>
    <w:rsid w:val="1BBD50F4"/>
    <w:rsid w:val="1BCD6505"/>
    <w:rsid w:val="1BD018EC"/>
    <w:rsid w:val="1BD605F3"/>
    <w:rsid w:val="1BE31332"/>
    <w:rsid w:val="1BE977C2"/>
    <w:rsid w:val="1BF6141A"/>
    <w:rsid w:val="1C066C4E"/>
    <w:rsid w:val="1C0876C1"/>
    <w:rsid w:val="1C0A15CC"/>
    <w:rsid w:val="1C0C336C"/>
    <w:rsid w:val="1C1C37B6"/>
    <w:rsid w:val="1C1E3627"/>
    <w:rsid w:val="1C1E42DB"/>
    <w:rsid w:val="1C1F7E24"/>
    <w:rsid w:val="1C2564C4"/>
    <w:rsid w:val="1C281D90"/>
    <w:rsid w:val="1C297D63"/>
    <w:rsid w:val="1C393673"/>
    <w:rsid w:val="1C445FE2"/>
    <w:rsid w:val="1C464EE1"/>
    <w:rsid w:val="1C4A7C7B"/>
    <w:rsid w:val="1C4B6499"/>
    <w:rsid w:val="1C504AB6"/>
    <w:rsid w:val="1C5D54E4"/>
    <w:rsid w:val="1C5F19D6"/>
    <w:rsid w:val="1C6D1CBD"/>
    <w:rsid w:val="1C8F1DEE"/>
    <w:rsid w:val="1C9435A3"/>
    <w:rsid w:val="1C96243B"/>
    <w:rsid w:val="1C96721A"/>
    <w:rsid w:val="1C9F0025"/>
    <w:rsid w:val="1CA00FE3"/>
    <w:rsid w:val="1CAE7F67"/>
    <w:rsid w:val="1CB03209"/>
    <w:rsid w:val="1CB7041E"/>
    <w:rsid w:val="1CD61A78"/>
    <w:rsid w:val="1CE606C8"/>
    <w:rsid w:val="1CFB2A22"/>
    <w:rsid w:val="1D067925"/>
    <w:rsid w:val="1D0939F9"/>
    <w:rsid w:val="1D1125A5"/>
    <w:rsid w:val="1D1D08C4"/>
    <w:rsid w:val="1D236904"/>
    <w:rsid w:val="1D28683A"/>
    <w:rsid w:val="1D4E74F6"/>
    <w:rsid w:val="1D580198"/>
    <w:rsid w:val="1D5E2984"/>
    <w:rsid w:val="1D651011"/>
    <w:rsid w:val="1D73616C"/>
    <w:rsid w:val="1D856C7E"/>
    <w:rsid w:val="1D8749D8"/>
    <w:rsid w:val="1D887DB3"/>
    <w:rsid w:val="1D927A96"/>
    <w:rsid w:val="1D972B45"/>
    <w:rsid w:val="1D9D71B6"/>
    <w:rsid w:val="1DA97AA5"/>
    <w:rsid w:val="1DAD0F89"/>
    <w:rsid w:val="1DC068C5"/>
    <w:rsid w:val="1DC25279"/>
    <w:rsid w:val="1DC67833"/>
    <w:rsid w:val="1DDD79D4"/>
    <w:rsid w:val="1DDE671C"/>
    <w:rsid w:val="1DE42F61"/>
    <w:rsid w:val="1DE6771F"/>
    <w:rsid w:val="1DEF4BAA"/>
    <w:rsid w:val="1DF544DA"/>
    <w:rsid w:val="1DF960DD"/>
    <w:rsid w:val="1E0647EF"/>
    <w:rsid w:val="1E0E099F"/>
    <w:rsid w:val="1E1C296E"/>
    <w:rsid w:val="1E25455A"/>
    <w:rsid w:val="1E2A3F27"/>
    <w:rsid w:val="1E2D1CE8"/>
    <w:rsid w:val="1E333777"/>
    <w:rsid w:val="1E3F61DA"/>
    <w:rsid w:val="1E544E3F"/>
    <w:rsid w:val="1E565AFF"/>
    <w:rsid w:val="1E630210"/>
    <w:rsid w:val="1E755EC2"/>
    <w:rsid w:val="1E84780D"/>
    <w:rsid w:val="1E877F18"/>
    <w:rsid w:val="1E8D4FCB"/>
    <w:rsid w:val="1E997146"/>
    <w:rsid w:val="1EAF6008"/>
    <w:rsid w:val="1EB35401"/>
    <w:rsid w:val="1ED21CC4"/>
    <w:rsid w:val="1EE55078"/>
    <w:rsid w:val="1EF53BD2"/>
    <w:rsid w:val="1EF62F78"/>
    <w:rsid w:val="1EF81FA6"/>
    <w:rsid w:val="1EFC4C0E"/>
    <w:rsid w:val="1EFC5EDA"/>
    <w:rsid w:val="1F046865"/>
    <w:rsid w:val="1F0B6573"/>
    <w:rsid w:val="1F1223D1"/>
    <w:rsid w:val="1F377054"/>
    <w:rsid w:val="1F4826FB"/>
    <w:rsid w:val="1F53137F"/>
    <w:rsid w:val="1F56058A"/>
    <w:rsid w:val="1F586909"/>
    <w:rsid w:val="1F5C2066"/>
    <w:rsid w:val="1F7B2501"/>
    <w:rsid w:val="1F84310F"/>
    <w:rsid w:val="1F8758BD"/>
    <w:rsid w:val="1F881366"/>
    <w:rsid w:val="1F8E12E3"/>
    <w:rsid w:val="1F9731BF"/>
    <w:rsid w:val="1F982818"/>
    <w:rsid w:val="1FAA6FE1"/>
    <w:rsid w:val="1FB05666"/>
    <w:rsid w:val="1FB15C26"/>
    <w:rsid w:val="1FC00366"/>
    <w:rsid w:val="1FDB2A7E"/>
    <w:rsid w:val="1FE65F6B"/>
    <w:rsid w:val="1FF24910"/>
    <w:rsid w:val="1FF9606D"/>
    <w:rsid w:val="20014B53"/>
    <w:rsid w:val="20022A1A"/>
    <w:rsid w:val="20087EFF"/>
    <w:rsid w:val="20127FCD"/>
    <w:rsid w:val="20144886"/>
    <w:rsid w:val="20152AD8"/>
    <w:rsid w:val="201725C8"/>
    <w:rsid w:val="20175A24"/>
    <w:rsid w:val="20490EE4"/>
    <w:rsid w:val="204A0E07"/>
    <w:rsid w:val="20570491"/>
    <w:rsid w:val="205A35BC"/>
    <w:rsid w:val="207A3B45"/>
    <w:rsid w:val="207D4494"/>
    <w:rsid w:val="20823EE5"/>
    <w:rsid w:val="20856C7D"/>
    <w:rsid w:val="20A625B2"/>
    <w:rsid w:val="20AB034C"/>
    <w:rsid w:val="20B534B0"/>
    <w:rsid w:val="20B86F39"/>
    <w:rsid w:val="20BD3DD2"/>
    <w:rsid w:val="20C93BB2"/>
    <w:rsid w:val="20CF5D9E"/>
    <w:rsid w:val="20D55CBF"/>
    <w:rsid w:val="20D7712F"/>
    <w:rsid w:val="20D9760C"/>
    <w:rsid w:val="20E829DE"/>
    <w:rsid w:val="20E93F65"/>
    <w:rsid w:val="20E97824"/>
    <w:rsid w:val="20EE785A"/>
    <w:rsid w:val="20F76A9E"/>
    <w:rsid w:val="21024B96"/>
    <w:rsid w:val="21055696"/>
    <w:rsid w:val="210D64D6"/>
    <w:rsid w:val="210E1F3D"/>
    <w:rsid w:val="210E5779"/>
    <w:rsid w:val="2131551F"/>
    <w:rsid w:val="21322CDC"/>
    <w:rsid w:val="213F4C31"/>
    <w:rsid w:val="21577120"/>
    <w:rsid w:val="215C7150"/>
    <w:rsid w:val="21834E0C"/>
    <w:rsid w:val="219E0D74"/>
    <w:rsid w:val="21AA3E1F"/>
    <w:rsid w:val="21AD40AE"/>
    <w:rsid w:val="21BD4A14"/>
    <w:rsid w:val="21C51EA3"/>
    <w:rsid w:val="21E61E79"/>
    <w:rsid w:val="21E7137F"/>
    <w:rsid w:val="21E82147"/>
    <w:rsid w:val="21F011F5"/>
    <w:rsid w:val="21F024BF"/>
    <w:rsid w:val="21F54C8F"/>
    <w:rsid w:val="21FA6875"/>
    <w:rsid w:val="220155A1"/>
    <w:rsid w:val="220367C4"/>
    <w:rsid w:val="2206400C"/>
    <w:rsid w:val="22124BCC"/>
    <w:rsid w:val="22141EEF"/>
    <w:rsid w:val="2219008B"/>
    <w:rsid w:val="222371B9"/>
    <w:rsid w:val="222706EE"/>
    <w:rsid w:val="223405B1"/>
    <w:rsid w:val="22465F23"/>
    <w:rsid w:val="225A171B"/>
    <w:rsid w:val="226D3808"/>
    <w:rsid w:val="22700284"/>
    <w:rsid w:val="2273617E"/>
    <w:rsid w:val="22770C20"/>
    <w:rsid w:val="22894198"/>
    <w:rsid w:val="229D2B98"/>
    <w:rsid w:val="22A9576E"/>
    <w:rsid w:val="22BE10C3"/>
    <w:rsid w:val="22BF31CF"/>
    <w:rsid w:val="22CA452B"/>
    <w:rsid w:val="22CE5D54"/>
    <w:rsid w:val="22D9334F"/>
    <w:rsid w:val="22E86F82"/>
    <w:rsid w:val="22FA6328"/>
    <w:rsid w:val="22FC1804"/>
    <w:rsid w:val="23017753"/>
    <w:rsid w:val="2305371F"/>
    <w:rsid w:val="230E3B57"/>
    <w:rsid w:val="23183019"/>
    <w:rsid w:val="231C407E"/>
    <w:rsid w:val="23213165"/>
    <w:rsid w:val="233E2DEF"/>
    <w:rsid w:val="235575E6"/>
    <w:rsid w:val="23771CD0"/>
    <w:rsid w:val="237938BC"/>
    <w:rsid w:val="237A5348"/>
    <w:rsid w:val="237E386F"/>
    <w:rsid w:val="23952F40"/>
    <w:rsid w:val="23960162"/>
    <w:rsid w:val="239C3C59"/>
    <w:rsid w:val="23A7020F"/>
    <w:rsid w:val="23A75D37"/>
    <w:rsid w:val="23A9059F"/>
    <w:rsid w:val="23C3356C"/>
    <w:rsid w:val="23C7662C"/>
    <w:rsid w:val="23CA6B7D"/>
    <w:rsid w:val="23CF7867"/>
    <w:rsid w:val="23D42E82"/>
    <w:rsid w:val="23D5257E"/>
    <w:rsid w:val="23DD0BFC"/>
    <w:rsid w:val="23DF33FD"/>
    <w:rsid w:val="23E31334"/>
    <w:rsid w:val="23E3560D"/>
    <w:rsid w:val="23E43C0E"/>
    <w:rsid w:val="23EC6AFE"/>
    <w:rsid w:val="23F549CE"/>
    <w:rsid w:val="23F5613C"/>
    <w:rsid w:val="23F903DD"/>
    <w:rsid w:val="23FA4914"/>
    <w:rsid w:val="24082954"/>
    <w:rsid w:val="240C3832"/>
    <w:rsid w:val="240D7307"/>
    <w:rsid w:val="2415065A"/>
    <w:rsid w:val="24154EC3"/>
    <w:rsid w:val="241A33E7"/>
    <w:rsid w:val="241C53C5"/>
    <w:rsid w:val="24200EA7"/>
    <w:rsid w:val="24265C6A"/>
    <w:rsid w:val="242E2A23"/>
    <w:rsid w:val="242E3E82"/>
    <w:rsid w:val="2432394E"/>
    <w:rsid w:val="24494B93"/>
    <w:rsid w:val="244E2C84"/>
    <w:rsid w:val="24576947"/>
    <w:rsid w:val="24613F3B"/>
    <w:rsid w:val="246535AC"/>
    <w:rsid w:val="246A1E9F"/>
    <w:rsid w:val="247711A4"/>
    <w:rsid w:val="247B1142"/>
    <w:rsid w:val="2484761F"/>
    <w:rsid w:val="248D5C73"/>
    <w:rsid w:val="248E082C"/>
    <w:rsid w:val="24910060"/>
    <w:rsid w:val="24982321"/>
    <w:rsid w:val="24A85EE5"/>
    <w:rsid w:val="24AA249F"/>
    <w:rsid w:val="24B37AB2"/>
    <w:rsid w:val="24D46CDA"/>
    <w:rsid w:val="24DC6794"/>
    <w:rsid w:val="24E30493"/>
    <w:rsid w:val="24FD5612"/>
    <w:rsid w:val="24FE7769"/>
    <w:rsid w:val="250A5532"/>
    <w:rsid w:val="250A58FC"/>
    <w:rsid w:val="251175E6"/>
    <w:rsid w:val="25182580"/>
    <w:rsid w:val="252654B9"/>
    <w:rsid w:val="252E0198"/>
    <w:rsid w:val="253959AB"/>
    <w:rsid w:val="25491C88"/>
    <w:rsid w:val="254B2629"/>
    <w:rsid w:val="25690BD8"/>
    <w:rsid w:val="257944F1"/>
    <w:rsid w:val="25797AB5"/>
    <w:rsid w:val="25896379"/>
    <w:rsid w:val="258A052D"/>
    <w:rsid w:val="25A466AC"/>
    <w:rsid w:val="25B04860"/>
    <w:rsid w:val="25BA7645"/>
    <w:rsid w:val="25CE08CA"/>
    <w:rsid w:val="25D647F8"/>
    <w:rsid w:val="25DA7CB3"/>
    <w:rsid w:val="25E0641F"/>
    <w:rsid w:val="25E62B77"/>
    <w:rsid w:val="25EE5ED4"/>
    <w:rsid w:val="25F44CD6"/>
    <w:rsid w:val="25FC3DF2"/>
    <w:rsid w:val="26021585"/>
    <w:rsid w:val="260363AA"/>
    <w:rsid w:val="260F74B8"/>
    <w:rsid w:val="26194552"/>
    <w:rsid w:val="26202B93"/>
    <w:rsid w:val="2628186A"/>
    <w:rsid w:val="26284BE7"/>
    <w:rsid w:val="263A605C"/>
    <w:rsid w:val="26404472"/>
    <w:rsid w:val="264B5C7E"/>
    <w:rsid w:val="264F790A"/>
    <w:rsid w:val="26503182"/>
    <w:rsid w:val="26554F6C"/>
    <w:rsid w:val="265E0D25"/>
    <w:rsid w:val="265E1A08"/>
    <w:rsid w:val="266167A2"/>
    <w:rsid w:val="266F1DA3"/>
    <w:rsid w:val="267832D8"/>
    <w:rsid w:val="267E5188"/>
    <w:rsid w:val="268A3652"/>
    <w:rsid w:val="26916515"/>
    <w:rsid w:val="2698180C"/>
    <w:rsid w:val="26A90D71"/>
    <w:rsid w:val="26B96174"/>
    <w:rsid w:val="26BC282E"/>
    <w:rsid w:val="26CE3C4D"/>
    <w:rsid w:val="26D20FF7"/>
    <w:rsid w:val="26DA4447"/>
    <w:rsid w:val="26DE6C3E"/>
    <w:rsid w:val="26E938A7"/>
    <w:rsid w:val="26ED255C"/>
    <w:rsid w:val="270273D3"/>
    <w:rsid w:val="27075144"/>
    <w:rsid w:val="27174C5C"/>
    <w:rsid w:val="2728675D"/>
    <w:rsid w:val="2733041E"/>
    <w:rsid w:val="273546CD"/>
    <w:rsid w:val="27391E79"/>
    <w:rsid w:val="27462CA7"/>
    <w:rsid w:val="27474079"/>
    <w:rsid w:val="27490E40"/>
    <w:rsid w:val="27586775"/>
    <w:rsid w:val="275F5BF8"/>
    <w:rsid w:val="275F63A6"/>
    <w:rsid w:val="27647FBF"/>
    <w:rsid w:val="276732AE"/>
    <w:rsid w:val="27693709"/>
    <w:rsid w:val="276F40F0"/>
    <w:rsid w:val="277C0DDD"/>
    <w:rsid w:val="27800449"/>
    <w:rsid w:val="27882FCD"/>
    <w:rsid w:val="27893DAB"/>
    <w:rsid w:val="27914A0E"/>
    <w:rsid w:val="27BF3D55"/>
    <w:rsid w:val="27C2106B"/>
    <w:rsid w:val="27C73940"/>
    <w:rsid w:val="27CA3644"/>
    <w:rsid w:val="27CD7D48"/>
    <w:rsid w:val="27D10A5F"/>
    <w:rsid w:val="27D3266E"/>
    <w:rsid w:val="27D33279"/>
    <w:rsid w:val="27D50684"/>
    <w:rsid w:val="27D811D0"/>
    <w:rsid w:val="27E030A3"/>
    <w:rsid w:val="27EF48CA"/>
    <w:rsid w:val="27F64511"/>
    <w:rsid w:val="27F84A8D"/>
    <w:rsid w:val="280A0578"/>
    <w:rsid w:val="282052C1"/>
    <w:rsid w:val="28276692"/>
    <w:rsid w:val="28314BA5"/>
    <w:rsid w:val="283A50A6"/>
    <w:rsid w:val="283B1338"/>
    <w:rsid w:val="2849319B"/>
    <w:rsid w:val="284F29B0"/>
    <w:rsid w:val="285A359C"/>
    <w:rsid w:val="28673B4C"/>
    <w:rsid w:val="286A07E9"/>
    <w:rsid w:val="286D0CAF"/>
    <w:rsid w:val="28796EBD"/>
    <w:rsid w:val="287F70C8"/>
    <w:rsid w:val="28853B64"/>
    <w:rsid w:val="288A689D"/>
    <w:rsid w:val="28910AC3"/>
    <w:rsid w:val="289146F7"/>
    <w:rsid w:val="289F108E"/>
    <w:rsid w:val="28AA217C"/>
    <w:rsid w:val="28BA4AEC"/>
    <w:rsid w:val="28BB6E33"/>
    <w:rsid w:val="28BC06DC"/>
    <w:rsid w:val="28BE4866"/>
    <w:rsid w:val="28E35F5F"/>
    <w:rsid w:val="28EA01AD"/>
    <w:rsid w:val="28EC56EE"/>
    <w:rsid w:val="28F205AF"/>
    <w:rsid w:val="28FA5D9F"/>
    <w:rsid w:val="290C43B0"/>
    <w:rsid w:val="29174AF9"/>
    <w:rsid w:val="29197BB0"/>
    <w:rsid w:val="291A015D"/>
    <w:rsid w:val="2930439D"/>
    <w:rsid w:val="29394CEC"/>
    <w:rsid w:val="293D4A2E"/>
    <w:rsid w:val="29520C2D"/>
    <w:rsid w:val="295D0FD7"/>
    <w:rsid w:val="29654AFC"/>
    <w:rsid w:val="29696360"/>
    <w:rsid w:val="298E25F5"/>
    <w:rsid w:val="299E4F36"/>
    <w:rsid w:val="29A93AC6"/>
    <w:rsid w:val="29AA1018"/>
    <w:rsid w:val="29AC75F2"/>
    <w:rsid w:val="29BB02A7"/>
    <w:rsid w:val="29C245C1"/>
    <w:rsid w:val="29C6202B"/>
    <w:rsid w:val="29E10739"/>
    <w:rsid w:val="29EC0622"/>
    <w:rsid w:val="29EE439A"/>
    <w:rsid w:val="29F141A9"/>
    <w:rsid w:val="29F174B1"/>
    <w:rsid w:val="29F74288"/>
    <w:rsid w:val="29F74E50"/>
    <w:rsid w:val="2A011713"/>
    <w:rsid w:val="2A14627B"/>
    <w:rsid w:val="2A1A485F"/>
    <w:rsid w:val="2A1F6E1D"/>
    <w:rsid w:val="2A2C3FA1"/>
    <w:rsid w:val="2A2D2CDD"/>
    <w:rsid w:val="2A2E2F3B"/>
    <w:rsid w:val="2A346016"/>
    <w:rsid w:val="2A4B31BC"/>
    <w:rsid w:val="2A5306A1"/>
    <w:rsid w:val="2A5D75F3"/>
    <w:rsid w:val="2A771595"/>
    <w:rsid w:val="2AB97477"/>
    <w:rsid w:val="2ABD5E4A"/>
    <w:rsid w:val="2AD3565F"/>
    <w:rsid w:val="2ADD3061"/>
    <w:rsid w:val="2AE13EFE"/>
    <w:rsid w:val="2AEC573C"/>
    <w:rsid w:val="2AED63FF"/>
    <w:rsid w:val="2AFC0D9C"/>
    <w:rsid w:val="2B110340"/>
    <w:rsid w:val="2B136020"/>
    <w:rsid w:val="2B1971F4"/>
    <w:rsid w:val="2B1A2A30"/>
    <w:rsid w:val="2B1F7354"/>
    <w:rsid w:val="2B253DEB"/>
    <w:rsid w:val="2B2815DE"/>
    <w:rsid w:val="2B2E071E"/>
    <w:rsid w:val="2B361B54"/>
    <w:rsid w:val="2B465622"/>
    <w:rsid w:val="2B466FCD"/>
    <w:rsid w:val="2B512CBC"/>
    <w:rsid w:val="2B590B26"/>
    <w:rsid w:val="2B5A1FEE"/>
    <w:rsid w:val="2B5C5333"/>
    <w:rsid w:val="2B7438F0"/>
    <w:rsid w:val="2B746702"/>
    <w:rsid w:val="2B7947B8"/>
    <w:rsid w:val="2B7B32CE"/>
    <w:rsid w:val="2B9F3086"/>
    <w:rsid w:val="2BD14B3B"/>
    <w:rsid w:val="2BD91826"/>
    <w:rsid w:val="2BE15397"/>
    <w:rsid w:val="2BE51050"/>
    <w:rsid w:val="2BF04D71"/>
    <w:rsid w:val="2C074DC9"/>
    <w:rsid w:val="2C0821AE"/>
    <w:rsid w:val="2C190715"/>
    <w:rsid w:val="2C1A5B6D"/>
    <w:rsid w:val="2C267E1B"/>
    <w:rsid w:val="2C2D5010"/>
    <w:rsid w:val="2C3E18A8"/>
    <w:rsid w:val="2C3E6230"/>
    <w:rsid w:val="2C445BB3"/>
    <w:rsid w:val="2C52745B"/>
    <w:rsid w:val="2C62708C"/>
    <w:rsid w:val="2C673F8F"/>
    <w:rsid w:val="2C6877FC"/>
    <w:rsid w:val="2C7029C3"/>
    <w:rsid w:val="2C791946"/>
    <w:rsid w:val="2C802ACF"/>
    <w:rsid w:val="2C873253"/>
    <w:rsid w:val="2C883378"/>
    <w:rsid w:val="2C912784"/>
    <w:rsid w:val="2C9E4CB4"/>
    <w:rsid w:val="2CAB7B9D"/>
    <w:rsid w:val="2CB15F7E"/>
    <w:rsid w:val="2CC825DE"/>
    <w:rsid w:val="2CCD43F3"/>
    <w:rsid w:val="2CD04BE6"/>
    <w:rsid w:val="2CE62B74"/>
    <w:rsid w:val="2CEC005B"/>
    <w:rsid w:val="2CED6891"/>
    <w:rsid w:val="2CEF09C1"/>
    <w:rsid w:val="2CEF46B1"/>
    <w:rsid w:val="2CF01133"/>
    <w:rsid w:val="2D06011C"/>
    <w:rsid w:val="2D0B0248"/>
    <w:rsid w:val="2D0B539E"/>
    <w:rsid w:val="2D134149"/>
    <w:rsid w:val="2D1370A8"/>
    <w:rsid w:val="2D1B033D"/>
    <w:rsid w:val="2D1E19DF"/>
    <w:rsid w:val="2D2123FD"/>
    <w:rsid w:val="2D252DED"/>
    <w:rsid w:val="2D3B06FA"/>
    <w:rsid w:val="2D4349FC"/>
    <w:rsid w:val="2D447A8D"/>
    <w:rsid w:val="2D546817"/>
    <w:rsid w:val="2D786C59"/>
    <w:rsid w:val="2D7A7F12"/>
    <w:rsid w:val="2D887D3D"/>
    <w:rsid w:val="2D95425D"/>
    <w:rsid w:val="2D9C233A"/>
    <w:rsid w:val="2DAE00C8"/>
    <w:rsid w:val="2DB05AEA"/>
    <w:rsid w:val="2DB56EE2"/>
    <w:rsid w:val="2DB57312"/>
    <w:rsid w:val="2DBC38BF"/>
    <w:rsid w:val="2DBE43E7"/>
    <w:rsid w:val="2DC428BB"/>
    <w:rsid w:val="2DCD2C80"/>
    <w:rsid w:val="2DD27ACC"/>
    <w:rsid w:val="2DD7406D"/>
    <w:rsid w:val="2DDC0A93"/>
    <w:rsid w:val="2DE65E43"/>
    <w:rsid w:val="2DEB014E"/>
    <w:rsid w:val="2DEB1873"/>
    <w:rsid w:val="2DF950BB"/>
    <w:rsid w:val="2E0239A7"/>
    <w:rsid w:val="2E0C1292"/>
    <w:rsid w:val="2E0F0FAC"/>
    <w:rsid w:val="2E3762C4"/>
    <w:rsid w:val="2E390322"/>
    <w:rsid w:val="2E390E8C"/>
    <w:rsid w:val="2E437EB7"/>
    <w:rsid w:val="2E4724A8"/>
    <w:rsid w:val="2E585B23"/>
    <w:rsid w:val="2E6673BA"/>
    <w:rsid w:val="2E712B02"/>
    <w:rsid w:val="2E7D7A9A"/>
    <w:rsid w:val="2E8222CC"/>
    <w:rsid w:val="2E862DF3"/>
    <w:rsid w:val="2E8C0E99"/>
    <w:rsid w:val="2EA507DB"/>
    <w:rsid w:val="2EAA55FC"/>
    <w:rsid w:val="2EB16503"/>
    <w:rsid w:val="2EB9777D"/>
    <w:rsid w:val="2EBA78D7"/>
    <w:rsid w:val="2EC77A25"/>
    <w:rsid w:val="2EE47B19"/>
    <w:rsid w:val="2EE672C6"/>
    <w:rsid w:val="2EF85E44"/>
    <w:rsid w:val="2EFE1D7A"/>
    <w:rsid w:val="2F034486"/>
    <w:rsid w:val="2F0F2350"/>
    <w:rsid w:val="2F2E6FE6"/>
    <w:rsid w:val="2F345295"/>
    <w:rsid w:val="2F371C28"/>
    <w:rsid w:val="2F396F0F"/>
    <w:rsid w:val="2F4A2455"/>
    <w:rsid w:val="2F520751"/>
    <w:rsid w:val="2F593D27"/>
    <w:rsid w:val="2F661DBA"/>
    <w:rsid w:val="2F7215C9"/>
    <w:rsid w:val="2F7740D4"/>
    <w:rsid w:val="2F775284"/>
    <w:rsid w:val="2F777934"/>
    <w:rsid w:val="2F7C038A"/>
    <w:rsid w:val="2F7E3CE4"/>
    <w:rsid w:val="2F8B0048"/>
    <w:rsid w:val="2F9C21A2"/>
    <w:rsid w:val="2FA53229"/>
    <w:rsid w:val="2FA55195"/>
    <w:rsid w:val="2FC276E4"/>
    <w:rsid w:val="2FC33BD3"/>
    <w:rsid w:val="2FE0783A"/>
    <w:rsid w:val="2FE17954"/>
    <w:rsid w:val="2FE204FD"/>
    <w:rsid w:val="2FE65F12"/>
    <w:rsid w:val="2FE8530E"/>
    <w:rsid w:val="2FF24B01"/>
    <w:rsid w:val="2FF41AE1"/>
    <w:rsid w:val="2FFF47A3"/>
    <w:rsid w:val="30087837"/>
    <w:rsid w:val="30097CDE"/>
    <w:rsid w:val="3012158E"/>
    <w:rsid w:val="301E0F23"/>
    <w:rsid w:val="30241B99"/>
    <w:rsid w:val="302F4FAA"/>
    <w:rsid w:val="303317BA"/>
    <w:rsid w:val="30347FA1"/>
    <w:rsid w:val="303B6A71"/>
    <w:rsid w:val="303D4CDB"/>
    <w:rsid w:val="30417BD5"/>
    <w:rsid w:val="30485ADE"/>
    <w:rsid w:val="30611322"/>
    <w:rsid w:val="306A4D4E"/>
    <w:rsid w:val="30731A85"/>
    <w:rsid w:val="30751371"/>
    <w:rsid w:val="30980763"/>
    <w:rsid w:val="309A275F"/>
    <w:rsid w:val="309C0E31"/>
    <w:rsid w:val="309C6EE3"/>
    <w:rsid w:val="30A32E7C"/>
    <w:rsid w:val="30AF4A61"/>
    <w:rsid w:val="30C405A5"/>
    <w:rsid w:val="30E3738E"/>
    <w:rsid w:val="30E57D8B"/>
    <w:rsid w:val="30F14959"/>
    <w:rsid w:val="30FA3624"/>
    <w:rsid w:val="31036441"/>
    <w:rsid w:val="310B6B56"/>
    <w:rsid w:val="311D3643"/>
    <w:rsid w:val="311D3DF9"/>
    <w:rsid w:val="311E014C"/>
    <w:rsid w:val="31212B46"/>
    <w:rsid w:val="312248EA"/>
    <w:rsid w:val="31302FDD"/>
    <w:rsid w:val="31492A8B"/>
    <w:rsid w:val="31572824"/>
    <w:rsid w:val="31594FF3"/>
    <w:rsid w:val="315C4FF0"/>
    <w:rsid w:val="315C66CD"/>
    <w:rsid w:val="31631AF8"/>
    <w:rsid w:val="316A3688"/>
    <w:rsid w:val="31706333"/>
    <w:rsid w:val="317A151C"/>
    <w:rsid w:val="317F50EB"/>
    <w:rsid w:val="3183164D"/>
    <w:rsid w:val="318726E9"/>
    <w:rsid w:val="318C4E5E"/>
    <w:rsid w:val="31904B42"/>
    <w:rsid w:val="31906F5E"/>
    <w:rsid w:val="31A234B2"/>
    <w:rsid w:val="31A54B60"/>
    <w:rsid w:val="31AB4D14"/>
    <w:rsid w:val="31AC5073"/>
    <w:rsid w:val="31BB1456"/>
    <w:rsid w:val="31C357BF"/>
    <w:rsid w:val="31C7661B"/>
    <w:rsid w:val="31CA25D7"/>
    <w:rsid w:val="31CB2ABC"/>
    <w:rsid w:val="31EC3C75"/>
    <w:rsid w:val="31EF0CAF"/>
    <w:rsid w:val="320133F6"/>
    <w:rsid w:val="320C4DBE"/>
    <w:rsid w:val="321B1660"/>
    <w:rsid w:val="322232F8"/>
    <w:rsid w:val="322B4E2C"/>
    <w:rsid w:val="323B6134"/>
    <w:rsid w:val="32466342"/>
    <w:rsid w:val="32522E0E"/>
    <w:rsid w:val="3259335F"/>
    <w:rsid w:val="326309AA"/>
    <w:rsid w:val="32644ADE"/>
    <w:rsid w:val="3265418E"/>
    <w:rsid w:val="32755658"/>
    <w:rsid w:val="327A393A"/>
    <w:rsid w:val="328714F3"/>
    <w:rsid w:val="32933F66"/>
    <w:rsid w:val="329D6593"/>
    <w:rsid w:val="32A42F75"/>
    <w:rsid w:val="32A51BFC"/>
    <w:rsid w:val="32A715E3"/>
    <w:rsid w:val="32A71F93"/>
    <w:rsid w:val="32BA057B"/>
    <w:rsid w:val="32C81D31"/>
    <w:rsid w:val="32E26A66"/>
    <w:rsid w:val="32E32F15"/>
    <w:rsid w:val="32E37B33"/>
    <w:rsid w:val="32ED0AA5"/>
    <w:rsid w:val="32F503D3"/>
    <w:rsid w:val="32F66625"/>
    <w:rsid w:val="32F838FA"/>
    <w:rsid w:val="32F94CBA"/>
    <w:rsid w:val="33055D9D"/>
    <w:rsid w:val="33064502"/>
    <w:rsid w:val="330758ED"/>
    <w:rsid w:val="33141AF0"/>
    <w:rsid w:val="33172442"/>
    <w:rsid w:val="33214A1B"/>
    <w:rsid w:val="332E233F"/>
    <w:rsid w:val="332E4A70"/>
    <w:rsid w:val="333D0CEC"/>
    <w:rsid w:val="33446DD8"/>
    <w:rsid w:val="334A531B"/>
    <w:rsid w:val="334C27B9"/>
    <w:rsid w:val="3365013F"/>
    <w:rsid w:val="336C0182"/>
    <w:rsid w:val="33777B0B"/>
    <w:rsid w:val="337B1043"/>
    <w:rsid w:val="337E4B9D"/>
    <w:rsid w:val="338032AF"/>
    <w:rsid w:val="33832955"/>
    <w:rsid w:val="338E0721"/>
    <w:rsid w:val="33952329"/>
    <w:rsid w:val="339C01C9"/>
    <w:rsid w:val="33AE3F1E"/>
    <w:rsid w:val="33B85E3C"/>
    <w:rsid w:val="33C50529"/>
    <w:rsid w:val="33C67C5F"/>
    <w:rsid w:val="33CE29FE"/>
    <w:rsid w:val="33D94875"/>
    <w:rsid w:val="33E41C09"/>
    <w:rsid w:val="33F01ADE"/>
    <w:rsid w:val="33F12D51"/>
    <w:rsid w:val="33F407FF"/>
    <w:rsid w:val="33FD08EB"/>
    <w:rsid w:val="34067514"/>
    <w:rsid w:val="34172402"/>
    <w:rsid w:val="34204CAC"/>
    <w:rsid w:val="34272E4C"/>
    <w:rsid w:val="342A3712"/>
    <w:rsid w:val="342A5F2C"/>
    <w:rsid w:val="342F432A"/>
    <w:rsid w:val="343A76A0"/>
    <w:rsid w:val="343B7CC8"/>
    <w:rsid w:val="343C3F54"/>
    <w:rsid w:val="344B787D"/>
    <w:rsid w:val="344D755B"/>
    <w:rsid w:val="344E1209"/>
    <w:rsid w:val="34623692"/>
    <w:rsid w:val="346366B3"/>
    <w:rsid w:val="34693204"/>
    <w:rsid w:val="346D0355"/>
    <w:rsid w:val="346F0A72"/>
    <w:rsid w:val="3480467D"/>
    <w:rsid w:val="3481502F"/>
    <w:rsid w:val="34817D20"/>
    <w:rsid w:val="3489624D"/>
    <w:rsid w:val="349126FA"/>
    <w:rsid w:val="349F5ED9"/>
    <w:rsid w:val="34A56AC3"/>
    <w:rsid w:val="34D233D9"/>
    <w:rsid w:val="34D52D6D"/>
    <w:rsid w:val="34DA0D9B"/>
    <w:rsid w:val="34E31B4A"/>
    <w:rsid w:val="34E47FCA"/>
    <w:rsid w:val="34EB46D3"/>
    <w:rsid w:val="34EE6CC1"/>
    <w:rsid w:val="34F23D4A"/>
    <w:rsid w:val="34F34F5A"/>
    <w:rsid w:val="34FC1884"/>
    <w:rsid w:val="350A566E"/>
    <w:rsid w:val="35125842"/>
    <w:rsid w:val="35165AE2"/>
    <w:rsid w:val="352B4490"/>
    <w:rsid w:val="352D37C3"/>
    <w:rsid w:val="353378DD"/>
    <w:rsid w:val="35381603"/>
    <w:rsid w:val="354932EF"/>
    <w:rsid w:val="3555351F"/>
    <w:rsid w:val="35616CCA"/>
    <w:rsid w:val="35632374"/>
    <w:rsid w:val="356C44E1"/>
    <w:rsid w:val="356E5969"/>
    <w:rsid w:val="356F6A3B"/>
    <w:rsid w:val="3578720D"/>
    <w:rsid w:val="357C4A6D"/>
    <w:rsid w:val="35891EF6"/>
    <w:rsid w:val="358C31DA"/>
    <w:rsid w:val="358D428E"/>
    <w:rsid w:val="35A34765"/>
    <w:rsid w:val="35A766E2"/>
    <w:rsid w:val="35B45CA9"/>
    <w:rsid w:val="35B867F1"/>
    <w:rsid w:val="35BB7E68"/>
    <w:rsid w:val="35BC6DFE"/>
    <w:rsid w:val="35BD7658"/>
    <w:rsid w:val="35C81F43"/>
    <w:rsid w:val="35CD2EB1"/>
    <w:rsid w:val="35D73F34"/>
    <w:rsid w:val="35ED30FE"/>
    <w:rsid w:val="35F802C3"/>
    <w:rsid w:val="35FA2742"/>
    <w:rsid w:val="360429FE"/>
    <w:rsid w:val="360532FB"/>
    <w:rsid w:val="36083A89"/>
    <w:rsid w:val="36244A4B"/>
    <w:rsid w:val="36452A49"/>
    <w:rsid w:val="364907A3"/>
    <w:rsid w:val="3680002B"/>
    <w:rsid w:val="36835E6A"/>
    <w:rsid w:val="3684230E"/>
    <w:rsid w:val="368C4D1E"/>
    <w:rsid w:val="36A073E8"/>
    <w:rsid w:val="36A52284"/>
    <w:rsid w:val="36BB24C1"/>
    <w:rsid w:val="36C66574"/>
    <w:rsid w:val="36CE5337"/>
    <w:rsid w:val="36DD23AF"/>
    <w:rsid w:val="36E466E1"/>
    <w:rsid w:val="36E9442F"/>
    <w:rsid w:val="37007646"/>
    <w:rsid w:val="370137E2"/>
    <w:rsid w:val="370D33D8"/>
    <w:rsid w:val="37167F6E"/>
    <w:rsid w:val="37260EE4"/>
    <w:rsid w:val="372821B4"/>
    <w:rsid w:val="374038BF"/>
    <w:rsid w:val="374648AB"/>
    <w:rsid w:val="37504C9F"/>
    <w:rsid w:val="37693B35"/>
    <w:rsid w:val="376A7405"/>
    <w:rsid w:val="377556AC"/>
    <w:rsid w:val="37772EF6"/>
    <w:rsid w:val="378D61E4"/>
    <w:rsid w:val="378E4AC6"/>
    <w:rsid w:val="3790003D"/>
    <w:rsid w:val="379047FC"/>
    <w:rsid w:val="3799537E"/>
    <w:rsid w:val="379D43CE"/>
    <w:rsid w:val="37AF7EE0"/>
    <w:rsid w:val="37BE120D"/>
    <w:rsid w:val="37CD01F2"/>
    <w:rsid w:val="37D2690E"/>
    <w:rsid w:val="37E27A07"/>
    <w:rsid w:val="37E65280"/>
    <w:rsid w:val="37EF0860"/>
    <w:rsid w:val="37F060C3"/>
    <w:rsid w:val="37F138CD"/>
    <w:rsid w:val="37FB501E"/>
    <w:rsid w:val="37FC392A"/>
    <w:rsid w:val="38185184"/>
    <w:rsid w:val="38190834"/>
    <w:rsid w:val="382022DD"/>
    <w:rsid w:val="38294D3D"/>
    <w:rsid w:val="38356C3E"/>
    <w:rsid w:val="38422DF0"/>
    <w:rsid w:val="384471C5"/>
    <w:rsid w:val="38547662"/>
    <w:rsid w:val="385E3431"/>
    <w:rsid w:val="38651D0C"/>
    <w:rsid w:val="386E7A40"/>
    <w:rsid w:val="387B5F25"/>
    <w:rsid w:val="387E6612"/>
    <w:rsid w:val="38800A4D"/>
    <w:rsid w:val="38802A8E"/>
    <w:rsid w:val="38866A30"/>
    <w:rsid w:val="38874E41"/>
    <w:rsid w:val="38931E37"/>
    <w:rsid w:val="38A73865"/>
    <w:rsid w:val="38A83AB8"/>
    <w:rsid w:val="38A83AE4"/>
    <w:rsid w:val="38A85A2B"/>
    <w:rsid w:val="38B8206D"/>
    <w:rsid w:val="38BC5F74"/>
    <w:rsid w:val="38BF1772"/>
    <w:rsid w:val="38C249C0"/>
    <w:rsid w:val="38C50EAD"/>
    <w:rsid w:val="38C716F1"/>
    <w:rsid w:val="38C908DA"/>
    <w:rsid w:val="38D210CD"/>
    <w:rsid w:val="38DE4659"/>
    <w:rsid w:val="38EA7D3C"/>
    <w:rsid w:val="38EC44D2"/>
    <w:rsid w:val="38F20C18"/>
    <w:rsid w:val="38F3330A"/>
    <w:rsid w:val="38F85D08"/>
    <w:rsid w:val="38F90273"/>
    <w:rsid w:val="39002CBD"/>
    <w:rsid w:val="39003D98"/>
    <w:rsid w:val="390A3482"/>
    <w:rsid w:val="390C0E41"/>
    <w:rsid w:val="390F6F94"/>
    <w:rsid w:val="391C7477"/>
    <w:rsid w:val="391F73C7"/>
    <w:rsid w:val="39273E24"/>
    <w:rsid w:val="39284E48"/>
    <w:rsid w:val="39292CF8"/>
    <w:rsid w:val="3949339B"/>
    <w:rsid w:val="394D4D8D"/>
    <w:rsid w:val="395066C3"/>
    <w:rsid w:val="395B711A"/>
    <w:rsid w:val="3968366B"/>
    <w:rsid w:val="396C1FC0"/>
    <w:rsid w:val="39710BF0"/>
    <w:rsid w:val="397F0B6A"/>
    <w:rsid w:val="398351FF"/>
    <w:rsid w:val="39965DC3"/>
    <w:rsid w:val="39994298"/>
    <w:rsid w:val="399D0EE9"/>
    <w:rsid w:val="399F745E"/>
    <w:rsid w:val="39B62978"/>
    <w:rsid w:val="39BC24D5"/>
    <w:rsid w:val="39C52B60"/>
    <w:rsid w:val="39CE4438"/>
    <w:rsid w:val="39D105B8"/>
    <w:rsid w:val="3A0666C3"/>
    <w:rsid w:val="3A0948DB"/>
    <w:rsid w:val="3A0952C1"/>
    <w:rsid w:val="3A110A35"/>
    <w:rsid w:val="3A235876"/>
    <w:rsid w:val="3A24175F"/>
    <w:rsid w:val="3A293ADF"/>
    <w:rsid w:val="3A2A255F"/>
    <w:rsid w:val="3A2D2E20"/>
    <w:rsid w:val="3A3C5F71"/>
    <w:rsid w:val="3A3F681C"/>
    <w:rsid w:val="3A484F62"/>
    <w:rsid w:val="3A4B6F54"/>
    <w:rsid w:val="3A4D5B29"/>
    <w:rsid w:val="3A536941"/>
    <w:rsid w:val="3A5A3EA7"/>
    <w:rsid w:val="3A6A65F0"/>
    <w:rsid w:val="3A71023C"/>
    <w:rsid w:val="3A83415E"/>
    <w:rsid w:val="3A935CCD"/>
    <w:rsid w:val="3A9816E4"/>
    <w:rsid w:val="3A994567"/>
    <w:rsid w:val="3AA221EC"/>
    <w:rsid w:val="3AA34D2C"/>
    <w:rsid w:val="3AA35355"/>
    <w:rsid w:val="3AB374A9"/>
    <w:rsid w:val="3ABC5A37"/>
    <w:rsid w:val="3AC014ED"/>
    <w:rsid w:val="3AC56BDA"/>
    <w:rsid w:val="3AC6679E"/>
    <w:rsid w:val="3AE40FEB"/>
    <w:rsid w:val="3AE55824"/>
    <w:rsid w:val="3AE72771"/>
    <w:rsid w:val="3AFA53B7"/>
    <w:rsid w:val="3AFB4DCA"/>
    <w:rsid w:val="3B044EA2"/>
    <w:rsid w:val="3B0752BB"/>
    <w:rsid w:val="3B094B5E"/>
    <w:rsid w:val="3B0F20BA"/>
    <w:rsid w:val="3B1D6308"/>
    <w:rsid w:val="3B215C75"/>
    <w:rsid w:val="3B304D0D"/>
    <w:rsid w:val="3B4633AC"/>
    <w:rsid w:val="3B4D64E9"/>
    <w:rsid w:val="3B557E4C"/>
    <w:rsid w:val="3B776055"/>
    <w:rsid w:val="3B83022C"/>
    <w:rsid w:val="3B9670DA"/>
    <w:rsid w:val="3B9D6DF9"/>
    <w:rsid w:val="3B9E0246"/>
    <w:rsid w:val="3B9F6A77"/>
    <w:rsid w:val="3BA108BB"/>
    <w:rsid w:val="3BBC42F8"/>
    <w:rsid w:val="3BC74A4B"/>
    <w:rsid w:val="3BDA075D"/>
    <w:rsid w:val="3BE439CC"/>
    <w:rsid w:val="3BED0F6E"/>
    <w:rsid w:val="3BF22375"/>
    <w:rsid w:val="3C0B42FA"/>
    <w:rsid w:val="3C0C7D87"/>
    <w:rsid w:val="3C1001A0"/>
    <w:rsid w:val="3C111938"/>
    <w:rsid w:val="3C1C233C"/>
    <w:rsid w:val="3C2118E5"/>
    <w:rsid w:val="3C286D7F"/>
    <w:rsid w:val="3C396F4D"/>
    <w:rsid w:val="3C3F1FA8"/>
    <w:rsid w:val="3C3F7C57"/>
    <w:rsid w:val="3C641C23"/>
    <w:rsid w:val="3C712124"/>
    <w:rsid w:val="3C737029"/>
    <w:rsid w:val="3C776471"/>
    <w:rsid w:val="3C79224D"/>
    <w:rsid w:val="3CA32DC2"/>
    <w:rsid w:val="3CA60892"/>
    <w:rsid w:val="3CA906AE"/>
    <w:rsid w:val="3CBD309D"/>
    <w:rsid w:val="3CCF005B"/>
    <w:rsid w:val="3CD34A56"/>
    <w:rsid w:val="3CD613E9"/>
    <w:rsid w:val="3CE83692"/>
    <w:rsid w:val="3CF01642"/>
    <w:rsid w:val="3CF655E7"/>
    <w:rsid w:val="3CFA5598"/>
    <w:rsid w:val="3D07185D"/>
    <w:rsid w:val="3D0A2A38"/>
    <w:rsid w:val="3D2F1FCF"/>
    <w:rsid w:val="3D2F6AD1"/>
    <w:rsid w:val="3D3C6BDA"/>
    <w:rsid w:val="3D421203"/>
    <w:rsid w:val="3D45454B"/>
    <w:rsid w:val="3D6243F4"/>
    <w:rsid w:val="3D6B033C"/>
    <w:rsid w:val="3D7E67AD"/>
    <w:rsid w:val="3D846AD3"/>
    <w:rsid w:val="3D8825CF"/>
    <w:rsid w:val="3D894DF3"/>
    <w:rsid w:val="3D8954B5"/>
    <w:rsid w:val="3D956E3B"/>
    <w:rsid w:val="3D964016"/>
    <w:rsid w:val="3D9B6662"/>
    <w:rsid w:val="3D9F062C"/>
    <w:rsid w:val="3DA367B7"/>
    <w:rsid w:val="3DA72C85"/>
    <w:rsid w:val="3DA90D5B"/>
    <w:rsid w:val="3DAE7B86"/>
    <w:rsid w:val="3DAF37EC"/>
    <w:rsid w:val="3DB93A40"/>
    <w:rsid w:val="3DBD23A0"/>
    <w:rsid w:val="3DBF59D9"/>
    <w:rsid w:val="3DBF61E9"/>
    <w:rsid w:val="3DCF1FC9"/>
    <w:rsid w:val="3DF9695C"/>
    <w:rsid w:val="3E181D17"/>
    <w:rsid w:val="3E331C31"/>
    <w:rsid w:val="3E3446A3"/>
    <w:rsid w:val="3E3C4908"/>
    <w:rsid w:val="3E43470D"/>
    <w:rsid w:val="3E444130"/>
    <w:rsid w:val="3E4920FF"/>
    <w:rsid w:val="3E522DD0"/>
    <w:rsid w:val="3E531743"/>
    <w:rsid w:val="3E5F7220"/>
    <w:rsid w:val="3E6B39D3"/>
    <w:rsid w:val="3E80273E"/>
    <w:rsid w:val="3E8E59BB"/>
    <w:rsid w:val="3E9514D0"/>
    <w:rsid w:val="3E952393"/>
    <w:rsid w:val="3E9C0732"/>
    <w:rsid w:val="3EA13C0B"/>
    <w:rsid w:val="3EA16C19"/>
    <w:rsid w:val="3EA73E48"/>
    <w:rsid w:val="3EAD72F9"/>
    <w:rsid w:val="3EC3599D"/>
    <w:rsid w:val="3EC60FAA"/>
    <w:rsid w:val="3ED1301C"/>
    <w:rsid w:val="3EDE1DC9"/>
    <w:rsid w:val="3EE871B2"/>
    <w:rsid w:val="3EE95FB9"/>
    <w:rsid w:val="3EEC648D"/>
    <w:rsid w:val="3F053FFA"/>
    <w:rsid w:val="3F0B2F23"/>
    <w:rsid w:val="3F0C2602"/>
    <w:rsid w:val="3F152851"/>
    <w:rsid w:val="3F446A96"/>
    <w:rsid w:val="3F466CE3"/>
    <w:rsid w:val="3F475559"/>
    <w:rsid w:val="3F536D21"/>
    <w:rsid w:val="3F633BC2"/>
    <w:rsid w:val="3F6A5E19"/>
    <w:rsid w:val="3F823ED4"/>
    <w:rsid w:val="3F904612"/>
    <w:rsid w:val="3F96344D"/>
    <w:rsid w:val="3F9713E2"/>
    <w:rsid w:val="3FA726C4"/>
    <w:rsid w:val="3FA831B1"/>
    <w:rsid w:val="3FAB4F3D"/>
    <w:rsid w:val="3FAE0557"/>
    <w:rsid w:val="3FAF7C9E"/>
    <w:rsid w:val="3FBD4CDE"/>
    <w:rsid w:val="3FC85A6D"/>
    <w:rsid w:val="3FCB38E1"/>
    <w:rsid w:val="3FD619D7"/>
    <w:rsid w:val="3FDA64E1"/>
    <w:rsid w:val="3FF17F37"/>
    <w:rsid w:val="3FF32E53"/>
    <w:rsid w:val="3FFD6C8D"/>
    <w:rsid w:val="3FFF372E"/>
    <w:rsid w:val="3FFF672B"/>
    <w:rsid w:val="40061FE5"/>
    <w:rsid w:val="400760F2"/>
    <w:rsid w:val="40211A78"/>
    <w:rsid w:val="40227BE4"/>
    <w:rsid w:val="402B55A8"/>
    <w:rsid w:val="402C7B33"/>
    <w:rsid w:val="403C5A07"/>
    <w:rsid w:val="404623E2"/>
    <w:rsid w:val="4070745F"/>
    <w:rsid w:val="407E342A"/>
    <w:rsid w:val="4089612B"/>
    <w:rsid w:val="40900C1E"/>
    <w:rsid w:val="40966766"/>
    <w:rsid w:val="409843F1"/>
    <w:rsid w:val="409E1450"/>
    <w:rsid w:val="40AE290E"/>
    <w:rsid w:val="40B05AAD"/>
    <w:rsid w:val="40B06BBD"/>
    <w:rsid w:val="40B17A8E"/>
    <w:rsid w:val="40B44E3A"/>
    <w:rsid w:val="40BA4BBC"/>
    <w:rsid w:val="40C17CBA"/>
    <w:rsid w:val="40C26BD4"/>
    <w:rsid w:val="40C870A0"/>
    <w:rsid w:val="40CE709A"/>
    <w:rsid w:val="40DD0D15"/>
    <w:rsid w:val="40FE6868"/>
    <w:rsid w:val="41046A6D"/>
    <w:rsid w:val="4121131B"/>
    <w:rsid w:val="412839D8"/>
    <w:rsid w:val="41321BB1"/>
    <w:rsid w:val="41396B42"/>
    <w:rsid w:val="413B0BF7"/>
    <w:rsid w:val="413C0F30"/>
    <w:rsid w:val="414A67F9"/>
    <w:rsid w:val="4151425B"/>
    <w:rsid w:val="415C62E4"/>
    <w:rsid w:val="41653AC2"/>
    <w:rsid w:val="416B215C"/>
    <w:rsid w:val="416F366F"/>
    <w:rsid w:val="4171145B"/>
    <w:rsid w:val="417D4D40"/>
    <w:rsid w:val="4182057E"/>
    <w:rsid w:val="418C1979"/>
    <w:rsid w:val="41966409"/>
    <w:rsid w:val="419B595C"/>
    <w:rsid w:val="41A14B7F"/>
    <w:rsid w:val="41A264CF"/>
    <w:rsid w:val="41AC7CAE"/>
    <w:rsid w:val="41BA3087"/>
    <w:rsid w:val="41BF4179"/>
    <w:rsid w:val="41D2097C"/>
    <w:rsid w:val="41DD33F2"/>
    <w:rsid w:val="41E30508"/>
    <w:rsid w:val="41F57B8B"/>
    <w:rsid w:val="41F8770C"/>
    <w:rsid w:val="42010398"/>
    <w:rsid w:val="42072A91"/>
    <w:rsid w:val="42097276"/>
    <w:rsid w:val="42136987"/>
    <w:rsid w:val="4216221C"/>
    <w:rsid w:val="4219485E"/>
    <w:rsid w:val="421D29C0"/>
    <w:rsid w:val="42253C46"/>
    <w:rsid w:val="42346829"/>
    <w:rsid w:val="423B0A5A"/>
    <w:rsid w:val="4242287E"/>
    <w:rsid w:val="425C6695"/>
    <w:rsid w:val="425D2FFF"/>
    <w:rsid w:val="42687EB7"/>
    <w:rsid w:val="426C50D7"/>
    <w:rsid w:val="4293120D"/>
    <w:rsid w:val="42946B69"/>
    <w:rsid w:val="42973C9D"/>
    <w:rsid w:val="42AF25C4"/>
    <w:rsid w:val="42AF768C"/>
    <w:rsid w:val="42BE0055"/>
    <w:rsid w:val="42D06EE1"/>
    <w:rsid w:val="42DA5566"/>
    <w:rsid w:val="42ED026F"/>
    <w:rsid w:val="42F42D00"/>
    <w:rsid w:val="43006F58"/>
    <w:rsid w:val="430D5439"/>
    <w:rsid w:val="43133640"/>
    <w:rsid w:val="431701B8"/>
    <w:rsid w:val="43194FE8"/>
    <w:rsid w:val="431C0604"/>
    <w:rsid w:val="431C742A"/>
    <w:rsid w:val="431F7BAF"/>
    <w:rsid w:val="43237164"/>
    <w:rsid w:val="43322B4E"/>
    <w:rsid w:val="43371F44"/>
    <w:rsid w:val="43397AC6"/>
    <w:rsid w:val="4346628D"/>
    <w:rsid w:val="434E59C4"/>
    <w:rsid w:val="43635059"/>
    <w:rsid w:val="4377563F"/>
    <w:rsid w:val="4383394D"/>
    <w:rsid w:val="43897E46"/>
    <w:rsid w:val="438B2398"/>
    <w:rsid w:val="438E6848"/>
    <w:rsid w:val="43931DE2"/>
    <w:rsid w:val="439753D2"/>
    <w:rsid w:val="439C7F47"/>
    <w:rsid w:val="439D65C4"/>
    <w:rsid w:val="43AC0FCB"/>
    <w:rsid w:val="43AD0899"/>
    <w:rsid w:val="43B53284"/>
    <w:rsid w:val="43D76966"/>
    <w:rsid w:val="43D9655F"/>
    <w:rsid w:val="43E05CA2"/>
    <w:rsid w:val="43E54B7C"/>
    <w:rsid w:val="43E96144"/>
    <w:rsid w:val="43EC11EF"/>
    <w:rsid w:val="43EE6748"/>
    <w:rsid w:val="44042257"/>
    <w:rsid w:val="440C4738"/>
    <w:rsid w:val="441835CC"/>
    <w:rsid w:val="441C2AB7"/>
    <w:rsid w:val="4422618A"/>
    <w:rsid w:val="44421112"/>
    <w:rsid w:val="44476DA7"/>
    <w:rsid w:val="444B320C"/>
    <w:rsid w:val="444D5B19"/>
    <w:rsid w:val="445747AB"/>
    <w:rsid w:val="446806D2"/>
    <w:rsid w:val="446F4C0F"/>
    <w:rsid w:val="44757288"/>
    <w:rsid w:val="447E643A"/>
    <w:rsid w:val="449A2468"/>
    <w:rsid w:val="449B5118"/>
    <w:rsid w:val="44A264F4"/>
    <w:rsid w:val="44AC6F2B"/>
    <w:rsid w:val="44B2026F"/>
    <w:rsid w:val="44C1790A"/>
    <w:rsid w:val="44C24001"/>
    <w:rsid w:val="44C45FCB"/>
    <w:rsid w:val="44C848B4"/>
    <w:rsid w:val="44CF4F87"/>
    <w:rsid w:val="44DF4045"/>
    <w:rsid w:val="44E355C9"/>
    <w:rsid w:val="44E4567B"/>
    <w:rsid w:val="44E71AC0"/>
    <w:rsid w:val="44E73517"/>
    <w:rsid w:val="44F96329"/>
    <w:rsid w:val="4508410A"/>
    <w:rsid w:val="45163437"/>
    <w:rsid w:val="45167BF7"/>
    <w:rsid w:val="45196D52"/>
    <w:rsid w:val="451C1963"/>
    <w:rsid w:val="45402076"/>
    <w:rsid w:val="4545691D"/>
    <w:rsid w:val="45535A78"/>
    <w:rsid w:val="455E3622"/>
    <w:rsid w:val="45731AB5"/>
    <w:rsid w:val="45753C93"/>
    <w:rsid w:val="457C68A6"/>
    <w:rsid w:val="457E1E37"/>
    <w:rsid w:val="4585661A"/>
    <w:rsid w:val="458E081B"/>
    <w:rsid w:val="45926E21"/>
    <w:rsid w:val="45953B30"/>
    <w:rsid w:val="459B64B7"/>
    <w:rsid w:val="45A5580E"/>
    <w:rsid w:val="45AC06C0"/>
    <w:rsid w:val="45AE0A3D"/>
    <w:rsid w:val="45B33A2D"/>
    <w:rsid w:val="45D91348"/>
    <w:rsid w:val="45E84AF3"/>
    <w:rsid w:val="45EC34F1"/>
    <w:rsid w:val="45F31083"/>
    <w:rsid w:val="46007C9B"/>
    <w:rsid w:val="460F3276"/>
    <w:rsid w:val="46116FEE"/>
    <w:rsid w:val="46120B76"/>
    <w:rsid w:val="461A7638"/>
    <w:rsid w:val="461D4BE7"/>
    <w:rsid w:val="462D2F28"/>
    <w:rsid w:val="464B1ABF"/>
    <w:rsid w:val="465A4B4C"/>
    <w:rsid w:val="466435C2"/>
    <w:rsid w:val="4666324A"/>
    <w:rsid w:val="46725ED3"/>
    <w:rsid w:val="46777E70"/>
    <w:rsid w:val="467F0AE6"/>
    <w:rsid w:val="467F5050"/>
    <w:rsid w:val="46810D69"/>
    <w:rsid w:val="468D6004"/>
    <w:rsid w:val="46971E04"/>
    <w:rsid w:val="469727A8"/>
    <w:rsid w:val="46A07EB5"/>
    <w:rsid w:val="46A911C0"/>
    <w:rsid w:val="46B43DEC"/>
    <w:rsid w:val="46BE7BA0"/>
    <w:rsid w:val="46C202E8"/>
    <w:rsid w:val="46C845DE"/>
    <w:rsid w:val="46D5626E"/>
    <w:rsid w:val="46E72BFA"/>
    <w:rsid w:val="46F82B43"/>
    <w:rsid w:val="46F96C47"/>
    <w:rsid w:val="46FB5BE5"/>
    <w:rsid w:val="470F7555"/>
    <w:rsid w:val="471E6EE5"/>
    <w:rsid w:val="472D1AED"/>
    <w:rsid w:val="473760EA"/>
    <w:rsid w:val="473A178B"/>
    <w:rsid w:val="473B751F"/>
    <w:rsid w:val="474440D2"/>
    <w:rsid w:val="47533C72"/>
    <w:rsid w:val="4758593D"/>
    <w:rsid w:val="47622A02"/>
    <w:rsid w:val="4763455D"/>
    <w:rsid w:val="476B50F7"/>
    <w:rsid w:val="47767A40"/>
    <w:rsid w:val="477F064D"/>
    <w:rsid w:val="479606CF"/>
    <w:rsid w:val="47992496"/>
    <w:rsid w:val="47A36E60"/>
    <w:rsid w:val="47A373E5"/>
    <w:rsid w:val="47A47DA2"/>
    <w:rsid w:val="47B07920"/>
    <w:rsid w:val="47BE5521"/>
    <w:rsid w:val="47C53CDA"/>
    <w:rsid w:val="47C97506"/>
    <w:rsid w:val="47CD163B"/>
    <w:rsid w:val="47D604EF"/>
    <w:rsid w:val="47DA60DC"/>
    <w:rsid w:val="47DD08B2"/>
    <w:rsid w:val="47E2206A"/>
    <w:rsid w:val="47E32C0C"/>
    <w:rsid w:val="47E64D06"/>
    <w:rsid w:val="47EA1636"/>
    <w:rsid w:val="47EB1D54"/>
    <w:rsid w:val="47FC3B7A"/>
    <w:rsid w:val="48037DF7"/>
    <w:rsid w:val="48084E8D"/>
    <w:rsid w:val="481641E2"/>
    <w:rsid w:val="482C6361"/>
    <w:rsid w:val="484B7B2E"/>
    <w:rsid w:val="485633DE"/>
    <w:rsid w:val="48685E34"/>
    <w:rsid w:val="486860ED"/>
    <w:rsid w:val="486E45AE"/>
    <w:rsid w:val="48751C9F"/>
    <w:rsid w:val="488A61B5"/>
    <w:rsid w:val="488D4B1D"/>
    <w:rsid w:val="48941808"/>
    <w:rsid w:val="48954226"/>
    <w:rsid w:val="48960384"/>
    <w:rsid w:val="48A53019"/>
    <w:rsid w:val="48BA396D"/>
    <w:rsid w:val="48BE4C6E"/>
    <w:rsid w:val="48BF742F"/>
    <w:rsid w:val="48C14140"/>
    <w:rsid w:val="48D2243D"/>
    <w:rsid w:val="48D97059"/>
    <w:rsid w:val="48DB10A0"/>
    <w:rsid w:val="48E42798"/>
    <w:rsid w:val="48E9608E"/>
    <w:rsid w:val="48EC5CFB"/>
    <w:rsid w:val="48FA60E4"/>
    <w:rsid w:val="49020946"/>
    <w:rsid w:val="49043360"/>
    <w:rsid w:val="49087DFB"/>
    <w:rsid w:val="4911317C"/>
    <w:rsid w:val="491E409D"/>
    <w:rsid w:val="492677A9"/>
    <w:rsid w:val="492E6109"/>
    <w:rsid w:val="4930011E"/>
    <w:rsid w:val="49360BAF"/>
    <w:rsid w:val="493A2D00"/>
    <w:rsid w:val="493B0936"/>
    <w:rsid w:val="493B7D7A"/>
    <w:rsid w:val="4941408E"/>
    <w:rsid w:val="49453A4F"/>
    <w:rsid w:val="494977C6"/>
    <w:rsid w:val="494C6E78"/>
    <w:rsid w:val="49522BD7"/>
    <w:rsid w:val="495474EA"/>
    <w:rsid w:val="49577D00"/>
    <w:rsid w:val="495817F2"/>
    <w:rsid w:val="49690378"/>
    <w:rsid w:val="496F29A9"/>
    <w:rsid w:val="49790075"/>
    <w:rsid w:val="497B0568"/>
    <w:rsid w:val="498875C7"/>
    <w:rsid w:val="498D3007"/>
    <w:rsid w:val="49940662"/>
    <w:rsid w:val="49973CAE"/>
    <w:rsid w:val="499833AA"/>
    <w:rsid w:val="499E6F70"/>
    <w:rsid w:val="499F0DB5"/>
    <w:rsid w:val="49A95FBC"/>
    <w:rsid w:val="49C9215C"/>
    <w:rsid w:val="49CA6576"/>
    <w:rsid w:val="49D52128"/>
    <w:rsid w:val="49EC0B1F"/>
    <w:rsid w:val="49ED7E77"/>
    <w:rsid w:val="49F4681B"/>
    <w:rsid w:val="49F92EFD"/>
    <w:rsid w:val="4A0045CB"/>
    <w:rsid w:val="4A0556E2"/>
    <w:rsid w:val="4A11483F"/>
    <w:rsid w:val="4A157327"/>
    <w:rsid w:val="4A161B98"/>
    <w:rsid w:val="4A176806"/>
    <w:rsid w:val="4A252C93"/>
    <w:rsid w:val="4A2C6D98"/>
    <w:rsid w:val="4A3459A1"/>
    <w:rsid w:val="4A3E5208"/>
    <w:rsid w:val="4A402468"/>
    <w:rsid w:val="4A4239DD"/>
    <w:rsid w:val="4A7570F1"/>
    <w:rsid w:val="4A77763C"/>
    <w:rsid w:val="4A8A55C1"/>
    <w:rsid w:val="4A984826"/>
    <w:rsid w:val="4A9C05F3"/>
    <w:rsid w:val="4A9E2115"/>
    <w:rsid w:val="4AA146B8"/>
    <w:rsid w:val="4AAD4F3D"/>
    <w:rsid w:val="4AB421DE"/>
    <w:rsid w:val="4ABC2417"/>
    <w:rsid w:val="4AD625B4"/>
    <w:rsid w:val="4AD65CBC"/>
    <w:rsid w:val="4AD728C5"/>
    <w:rsid w:val="4ADA02F6"/>
    <w:rsid w:val="4AE32770"/>
    <w:rsid w:val="4AFA352D"/>
    <w:rsid w:val="4B02667A"/>
    <w:rsid w:val="4B284D4A"/>
    <w:rsid w:val="4B2E6C7E"/>
    <w:rsid w:val="4B2F1A9E"/>
    <w:rsid w:val="4B322B62"/>
    <w:rsid w:val="4B3940D9"/>
    <w:rsid w:val="4B527FE7"/>
    <w:rsid w:val="4B5323DA"/>
    <w:rsid w:val="4B601711"/>
    <w:rsid w:val="4B693428"/>
    <w:rsid w:val="4B6B6BC1"/>
    <w:rsid w:val="4B9000DF"/>
    <w:rsid w:val="4B985ABC"/>
    <w:rsid w:val="4B99749E"/>
    <w:rsid w:val="4B9D2EA5"/>
    <w:rsid w:val="4BAD5A0B"/>
    <w:rsid w:val="4BAE149A"/>
    <w:rsid w:val="4BB52B12"/>
    <w:rsid w:val="4BD4428F"/>
    <w:rsid w:val="4BD843CA"/>
    <w:rsid w:val="4BE27B0A"/>
    <w:rsid w:val="4BEB63B2"/>
    <w:rsid w:val="4BF0077E"/>
    <w:rsid w:val="4C050172"/>
    <w:rsid w:val="4C0B767F"/>
    <w:rsid w:val="4C15658E"/>
    <w:rsid w:val="4C167371"/>
    <w:rsid w:val="4C2630C7"/>
    <w:rsid w:val="4C3B3E64"/>
    <w:rsid w:val="4C4C6FD2"/>
    <w:rsid w:val="4C4E3AB3"/>
    <w:rsid w:val="4C5547B8"/>
    <w:rsid w:val="4C5B6933"/>
    <w:rsid w:val="4C5E6A25"/>
    <w:rsid w:val="4C7E3BBF"/>
    <w:rsid w:val="4C896113"/>
    <w:rsid w:val="4C8B2002"/>
    <w:rsid w:val="4C9476B6"/>
    <w:rsid w:val="4C9C2079"/>
    <w:rsid w:val="4CA010CC"/>
    <w:rsid w:val="4CA90D2C"/>
    <w:rsid w:val="4CAA0B3A"/>
    <w:rsid w:val="4CB01FCF"/>
    <w:rsid w:val="4CC96C1B"/>
    <w:rsid w:val="4CFB4554"/>
    <w:rsid w:val="4CFB4A58"/>
    <w:rsid w:val="4D0279B8"/>
    <w:rsid w:val="4D0F7FFF"/>
    <w:rsid w:val="4D195FFC"/>
    <w:rsid w:val="4D265927"/>
    <w:rsid w:val="4D2717ED"/>
    <w:rsid w:val="4D2E0EB9"/>
    <w:rsid w:val="4D2E2476"/>
    <w:rsid w:val="4D2F5723"/>
    <w:rsid w:val="4D3043B8"/>
    <w:rsid w:val="4D3533BD"/>
    <w:rsid w:val="4D3A0A95"/>
    <w:rsid w:val="4D3C76E9"/>
    <w:rsid w:val="4D48749B"/>
    <w:rsid w:val="4D506788"/>
    <w:rsid w:val="4D721A1B"/>
    <w:rsid w:val="4D8012AB"/>
    <w:rsid w:val="4D823790"/>
    <w:rsid w:val="4D926928"/>
    <w:rsid w:val="4D9B4705"/>
    <w:rsid w:val="4D9E1B2D"/>
    <w:rsid w:val="4DB9315A"/>
    <w:rsid w:val="4DBA7F6B"/>
    <w:rsid w:val="4DBF5932"/>
    <w:rsid w:val="4DC71536"/>
    <w:rsid w:val="4DC905E3"/>
    <w:rsid w:val="4DCD2818"/>
    <w:rsid w:val="4DD74D07"/>
    <w:rsid w:val="4DDB0EC7"/>
    <w:rsid w:val="4DE015CB"/>
    <w:rsid w:val="4DE95753"/>
    <w:rsid w:val="4E087FFC"/>
    <w:rsid w:val="4E136578"/>
    <w:rsid w:val="4E2035FB"/>
    <w:rsid w:val="4E375A60"/>
    <w:rsid w:val="4E427533"/>
    <w:rsid w:val="4E436946"/>
    <w:rsid w:val="4E4A7541"/>
    <w:rsid w:val="4E4B5067"/>
    <w:rsid w:val="4E5C1C91"/>
    <w:rsid w:val="4E5F74F4"/>
    <w:rsid w:val="4E6C4F93"/>
    <w:rsid w:val="4E720E9F"/>
    <w:rsid w:val="4E772576"/>
    <w:rsid w:val="4E850903"/>
    <w:rsid w:val="4E886AF4"/>
    <w:rsid w:val="4E902D2C"/>
    <w:rsid w:val="4E9738B0"/>
    <w:rsid w:val="4E9B6F9B"/>
    <w:rsid w:val="4EA53E43"/>
    <w:rsid w:val="4EAB37B5"/>
    <w:rsid w:val="4EAE5D2C"/>
    <w:rsid w:val="4ECB2F78"/>
    <w:rsid w:val="4EF86C51"/>
    <w:rsid w:val="4F066D96"/>
    <w:rsid w:val="4F077CB7"/>
    <w:rsid w:val="4F0A0A7E"/>
    <w:rsid w:val="4F1235B6"/>
    <w:rsid w:val="4F1B7F26"/>
    <w:rsid w:val="4F1D1B92"/>
    <w:rsid w:val="4F4E3A1C"/>
    <w:rsid w:val="4F521DD3"/>
    <w:rsid w:val="4F574AD3"/>
    <w:rsid w:val="4F617DF4"/>
    <w:rsid w:val="4F6C6534"/>
    <w:rsid w:val="4F701751"/>
    <w:rsid w:val="4F76634C"/>
    <w:rsid w:val="4F781596"/>
    <w:rsid w:val="4F7F4549"/>
    <w:rsid w:val="4F8115BD"/>
    <w:rsid w:val="4F8271B5"/>
    <w:rsid w:val="4F842180"/>
    <w:rsid w:val="4F8F0CC4"/>
    <w:rsid w:val="4F922C84"/>
    <w:rsid w:val="4F99343A"/>
    <w:rsid w:val="4FB6276B"/>
    <w:rsid w:val="4FBF1A9E"/>
    <w:rsid w:val="4FC251E8"/>
    <w:rsid w:val="4FC96B8B"/>
    <w:rsid w:val="4FD07F3D"/>
    <w:rsid w:val="4FD72002"/>
    <w:rsid w:val="4FDB4E1E"/>
    <w:rsid w:val="4FE8744A"/>
    <w:rsid w:val="4FF12EBB"/>
    <w:rsid w:val="500E37E3"/>
    <w:rsid w:val="501A1787"/>
    <w:rsid w:val="50220506"/>
    <w:rsid w:val="503F29AA"/>
    <w:rsid w:val="503F2A16"/>
    <w:rsid w:val="50461B20"/>
    <w:rsid w:val="504E3D21"/>
    <w:rsid w:val="505A3E20"/>
    <w:rsid w:val="505D445D"/>
    <w:rsid w:val="506A251E"/>
    <w:rsid w:val="506A510D"/>
    <w:rsid w:val="506D4DE4"/>
    <w:rsid w:val="507F0E7D"/>
    <w:rsid w:val="50894E6A"/>
    <w:rsid w:val="508F031D"/>
    <w:rsid w:val="509168AF"/>
    <w:rsid w:val="509816BC"/>
    <w:rsid w:val="509926F0"/>
    <w:rsid w:val="50AA6266"/>
    <w:rsid w:val="50AB136F"/>
    <w:rsid w:val="50AF634E"/>
    <w:rsid w:val="50B82C6B"/>
    <w:rsid w:val="50BF295D"/>
    <w:rsid w:val="50CF3972"/>
    <w:rsid w:val="50D17AA6"/>
    <w:rsid w:val="50D37CC2"/>
    <w:rsid w:val="50E95D54"/>
    <w:rsid w:val="50EB46B7"/>
    <w:rsid w:val="50F8414E"/>
    <w:rsid w:val="51062DAD"/>
    <w:rsid w:val="51081306"/>
    <w:rsid w:val="51120940"/>
    <w:rsid w:val="51146A7B"/>
    <w:rsid w:val="511871C6"/>
    <w:rsid w:val="511D14A1"/>
    <w:rsid w:val="511D2E7B"/>
    <w:rsid w:val="511F4362"/>
    <w:rsid w:val="51256C41"/>
    <w:rsid w:val="51434ED5"/>
    <w:rsid w:val="51500C04"/>
    <w:rsid w:val="515641F0"/>
    <w:rsid w:val="515B1A65"/>
    <w:rsid w:val="515F2406"/>
    <w:rsid w:val="51635966"/>
    <w:rsid w:val="51667FFC"/>
    <w:rsid w:val="516A1420"/>
    <w:rsid w:val="516A3B16"/>
    <w:rsid w:val="51701F58"/>
    <w:rsid w:val="51730B5D"/>
    <w:rsid w:val="51787A97"/>
    <w:rsid w:val="5180644B"/>
    <w:rsid w:val="51853D95"/>
    <w:rsid w:val="51880A94"/>
    <w:rsid w:val="51A02974"/>
    <w:rsid w:val="51A04ADA"/>
    <w:rsid w:val="51A16A63"/>
    <w:rsid w:val="51A268B2"/>
    <w:rsid w:val="51A40CA3"/>
    <w:rsid w:val="51BB434B"/>
    <w:rsid w:val="51BD3274"/>
    <w:rsid w:val="51C2410F"/>
    <w:rsid w:val="51CF3F45"/>
    <w:rsid w:val="51D5082A"/>
    <w:rsid w:val="51DE6DCC"/>
    <w:rsid w:val="51DF4720"/>
    <w:rsid w:val="51E47A19"/>
    <w:rsid w:val="52060934"/>
    <w:rsid w:val="520B4E5A"/>
    <w:rsid w:val="520C4C6B"/>
    <w:rsid w:val="520E05D5"/>
    <w:rsid w:val="521613A4"/>
    <w:rsid w:val="52184ADD"/>
    <w:rsid w:val="5237063F"/>
    <w:rsid w:val="5237483B"/>
    <w:rsid w:val="52386AEB"/>
    <w:rsid w:val="52486ACD"/>
    <w:rsid w:val="524C70C8"/>
    <w:rsid w:val="52572E2C"/>
    <w:rsid w:val="52723D20"/>
    <w:rsid w:val="52736344"/>
    <w:rsid w:val="52826298"/>
    <w:rsid w:val="528505A3"/>
    <w:rsid w:val="5295719B"/>
    <w:rsid w:val="5298047B"/>
    <w:rsid w:val="52996D54"/>
    <w:rsid w:val="529B2BDE"/>
    <w:rsid w:val="529E0EFE"/>
    <w:rsid w:val="52A274E1"/>
    <w:rsid w:val="52AA6A66"/>
    <w:rsid w:val="52B002B7"/>
    <w:rsid w:val="52B74C23"/>
    <w:rsid w:val="52C17748"/>
    <w:rsid w:val="52C66BDA"/>
    <w:rsid w:val="52C83CA4"/>
    <w:rsid w:val="52CB067F"/>
    <w:rsid w:val="52CC6CCF"/>
    <w:rsid w:val="52D04844"/>
    <w:rsid w:val="52D10CDC"/>
    <w:rsid w:val="52D121C5"/>
    <w:rsid w:val="52D76017"/>
    <w:rsid w:val="52DE46FC"/>
    <w:rsid w:val="52E126A3"/>
    <w:rsid w:val="52E6573E"/>
    <w:rsid w:val="52EC2F5E"/>
    <w:rsid w:val="52F061DD"/>
    <w:rsid w:val="52F263F9"/>
    <w:rsid w:val="52F57426"/>
    <w:rsid w:val="52F93AB4"/>
    <w:rsid w:val="52FA5BD8"/>
    <w:rsid w:val="53096397"/>
    <w:rsid w:val="5321436F"/>
    <w:rsid w:val="53263C79"/>
    <w:rsid w:val="53340010"/>
    <w:rsid w:val="53354B4A"/>
    <w:rsid w:val="533B7D4A"/>
    <w:rsid w:val="533D6F43"/>
    <w:rsid w:val="533F0D6E"/>
    <w:rsid w:val="534D39CA"/>
    <w:rsid w:val="53517866"/>
    <w:rsid w:val="535806CE"/>
    <w:rsid w:val="53603363"/>
    <w:rsid w:val="5363306E"/>
    <w:rsid w:val="536414C4"/>
    <w:rsid w:val="536C03C5"/>
    <w:rsid w:val="536D782E"/>
    <w:rsid w:val="53801A3F"/>
    <w:rsid w:val="53815E65"/>
    <w:rsid w:val="538338AA"/>
    <w:rsid w:val="53857C1C"/>
    <w:rsid w:val="539A6875"/>
    <w:rsid w:val="539C4BE2"/>
    <w:rsid w:val="53A22615"/>
    <w:rsid w:val="53B20459"/>
    <w:rsid w:val="53C22B4E"/>
    <w:rsid w:val="53C90F08"/>
    <w:rsid w:val="53E915AA"/>
    <w:rsid w:val="53EF5893"/>
    <w:rsid w:val="53F32429"/>
    <w:rsid w:val="53F4213D"/>
    <w:rsid w:val="53FF021C"/>
    <w:rsid w:val="53FF7296"/>
    <w:rsid w:val="540160B0"/>
    <w:rsid w:val="54020CFF"/>
    <w:rsid w:val="54085ED4"/>
    <w:rsid w:val="54091C4C"/>
    <w:rsid w:val="54142F01"/>
    <w:rsid w:val="541954DA"/>
    <w:rsid w:val="54411FA2"/>
    <w:rsid w:val="544B7B6F"/>
    <w:rsid w:val="544E6647"/>
    <w:rsid w:val="545E3D46"/>
    <w:rsid w:val="546239EA"/>
    <w:rsid w:val="54630BB5"/>
    <w:rsid w:val="546415A5"/>
    <w:rsid w:val="54696BF4"/>
    <w:rsid w:val="547C41CC"/>
    <w:rsid w:val="548252C5"/>
    <w:rsid w:val="548D44B5"/>
    <w:rsid w:val="54AB26CC"/>
    <w:rsid w:val="54AE41A3"/>
    <w:rsid w:val="54B25E40"/>
    <w:rsid w:val="54C053DB"/>
    <w:rsid w:val="54E23ACC"/>
    <w:rsid w:val="54F77DB2"/>
    <w:rsid w:val="55055F70"/>
    <w:rsid w:val="55197C6D"/>
    <w:rsid w:val="551A68D4"/>
    <w:rsid w:val="551B2E4C"/>
    <w:rsid w:val="55207DFB"/>
    <w:rsid w:val="552546B1"/>
    <w:rsid w:val="55323A0C"/>
    <w:rsid w:val="5536081F"/>
    <w:rsid w:val="55392491"/>
    <w:rsid w:val="553F304E"/>
    <w:rsid w:val="5545596C"/>
    <w:rsid w:val="554563D9"/>
    <w:rsid w:val="555E5CA1"/>
    <w:rsid w:val="557237B1"/>
    <w:rsid w:val="55741347"/>
    <w:rsid w:val="55865DAC"/>
    <w:rsid w:val="558B26D8"/>
    <w:rsid w:val="55980BA3"/>
    <w:rsid w:val="55B51A9D"/>
    <w:rsid w:val="55C63809"/>
    <w:rsid w:val="55D336EB"/>
    <w:rsid w:val="55D5532F"/>
    <w:rsid w:val="55EA20B4"/>
    <w:rsid w:val="55F77A57"/>
    <w:rsid w:val="55F8498D"/>
    <w:rsid w:val="55FD133D"/>
    <w:rsid w:val="56015CFD"/>
    <w:rsid w:val="560501F2"/>
    <w:rsid w:val="560578E5"/>
    <w:rsid w:val="56115510"/>
    <w:rsid w:val="56125ACD"/>
    <w:rsid w:val="5620334F"/>
    <w:rsid w:val="56224489"/>
    <w:rsid w:val="56224DB5"/>
    <w:rsid w:val="56272054"/>
    <w:rsid w:val="562D688D"/>
    <w:rsid w:val="562D7EC9"/>
    <w:rsid w:val="56360536"/>
    <w:rsid w:val="564D3B52"/>
    <w:rsid w:val="567A7A0A"/>
    <w:rsid w:val="56835CE6"/>
    <w:rsid w:val="568630E0"/>
    <w:rsid w:val="56907BAB"/>
    <w:rsid w:val="56912C8A"/>
    <w:rsid w:val="56914786"/>
    <w:rsid w:val="56933C1B"/>
    <w:rsid w:val="569F343C"/>
    <w:rsid w:val="56A378DD"/>
    <w:rsid w:val="56A712CF"/>
    <w:rsid w:val="56A72147"/>
    <w:rsid w:val="56B7164C"/>
    <w:rsid w:val="56BD0DBD"/>
    <w:rsid w:val="56C41D13"/>
    <w:rsid w:val="56C60C38"/>
    <w:rsid w:val="56D20E7B"/>
    <w:rsid w:val="56D61501"/>
    <w:rsid w:val="56DF58C0"/>
    <w:rsid w:val="56E266A0"/>
    <w:rsid w:val="56E43639"/>
    <w:rsid w:val="56F0479A"/>
    <w:rsid w:val="56F269C8"/>
    <w:rsid w:val="5701344F"/>
    <w:rsid w:val="57013B91"/>
    <w:rsid w:val="57042228"/>
    <w:rsid w:val="5705776D"/>
    <w:rsid w:val="57140C13"/>
    <w:rsid w:val="571C1C97"/>
    <w:rsid w:val="572B7C9D"/>
    <w:rsid w:val="57392B37"/>
    <w:rsid w:val="573C40E7"/>
    <w:rsid w:val="573C72DD"/>
    <w:rsid w:val="573E52E9"/>
    <w:rsid w:val="57401681"/>
    <w:rsid w:val="5747168F"/>
    <w:rsid w:val="57673820"/>
    <w:rsid w:val="576A2A02"/>
    <w:rsid w:val="576A52B5"/>
    <w:rsid w:val="576C7596"/>
    <w:rsid w:val="576D76AE"/>
    <w:rsid w:val="577200CD"/>
    <w:rsid w:val="577F1DFD"/>
    <w:rsid w:val="578C4726"/>
    <w:rsid w:val="579522D7"/>
    <w:rsid w:val="579C6FDE"/>
    <w:rsid w:val="57AC0B05"/>
    <w:rsid w:val="57B20660"/>
    <w:rsid w:val="57BF2AB1"/>
    <w:rsid w:val="57C42E5F"/>
    <w:rsid w:val="57CE0FF8"/>
    <w:rsid w:val="57D22F82"/>
    <w:rsid w:val="57D27129"/>
    <w:rsid w:val="57D960FF"/>
    <w:rsid w:val="57DA45C4"/>
    <w:rsid w:val="57DF6465"/>
    <w:rsid w:val="57E00F16"/>
    <w:rsid w:val="57E746C6"/>
    <w:rsid w:val="57E75A79"/>
    <w:rsid w:val="57F47AEE"/>
    <w:rsid w:val="57FE32DE"/>
    <w:rsid w:val="580810AD"/>
    <w:rsid w:val="580E052B"/>
    <w:rsid w:val="581416DB"/>
    <w:rsid w:val="581666E6"/>
    <w:rsid w:val="5834177A"/>
    <w:rsid w:val="58343F29"/>
    <w:rsid w:val="58382B00"/>
    <w:rsid w:val="583D3C73"/>
    <w:rsid w:val="584F22B1"/>
    <w:rsid w:val="586111AF"/>
    <w:rsid w:val="58660E80"/>
    <w:rsid w:val="58733E34"/>
    <w:rsid w:val="58816256"/>
    <w:rsid w:val="588B3660"/>
    <w:rsid w:val="588E2410"/>
    <w:rsid w:val="58964B97"/>
    <w:rsid w:val="589832E3"/>
    <w:rsid w:val="58A30E66"/>
    <w:rsid w:val="58A840B4"/>
    <w:rsid w:val="58B63114"/>
    <w:rsid w:val="58CD36AA"/>
    <w:rsid w:val="58CD3983"/>
    <w:rsid w:val="58D01E0F"/>
    <w:rsid w:val="58D13319"/>
    <w:rsid w:val="58DE20A4"/>
    <w:rsid w:val="58E165CA"/>
    <w:rsid w:val="58E219D7"/>
    <w:rsid w:val="58EE3EDC"/>
    <w:rsid w:val="58EF69A5"/>
    <w:rsid w:val="58F00CE5"/>
    <w:rsid w:val="58F06412"/>
    <w:rsid w:val="58F67150"/>
    <w:rsid w:val="58FE1C2E"/>
    <w:rsid w:val="590652FC"/>
    <w:rsid w:val="59095F39"/>
    <w:rsid w:val="59103B92"/>
    <w:rsid w:val="59103CDB"/>
    <w:rsid w:val="591231C6"/>
    <w:rsid w:val="59255C19"/>
    <w:rsid w:val="59266983"/>
    <w:rsid w:val="59272CCD"/>
    <w:rsid w:val="59274650"/>
    <w:rsid w:val="59402C3A"/>
    <w:rsid w:val="5940378D"/>
    <w:rsid w:val="594149BA"/>
    <w:rsid w:val="594B56F2"/>
    <w:rsid w:val="597F49F5"/>
    <w:rsid w:val="598B439F"/>
    <w:rsid w:val="59976BB6"/>
    <w:rsid w:val="59A74443"/>
    <w:rsid w:val="59AA358A"/>
    <w:rsid w:val="59AA5F0B"/>
    <w:rsid w:val="59AC26C2"/>
    <w:rsid w:val="59B83B5B"/>
    <w:rsid w:val="59BC398D"/>
    <w:rsid w:val="59BD06FF"/>
    <w:rsid w:val="59CE5147"/>
    <w:rsid w:val="59D74B84"/>
    <w:rsid w:val="59DB41A6"/>
    <w:rsid w:val="59E333A7"/>
    <w:rsid w:val="59EF06CC"/>
    <w:rsid w:val="59F17F19"/>
    <w:rsid w:val="59FD7357"/>
    <w:rsid w:val="5A070E82"/>
    <w:rsid w:val="5A096502"/>
    <w:rsid w:val="5A1931FD"/>
    <w:rsid w:val="5A1D1FAE"/>
    <w:rsid w:val="5A214E68"/>
    <w:rsid w:val="5A2E64FD"/>
    <w:rsid w:val="5A301D61"/>
    <w:rsid w:val="5A321E08"/>
    <w:rsid w:val="5A3E4142"/>
    <w:rsid w:val="5A3F0614"/>
    <w:rsid w:val="5A4968FF"/>
    <w:rsid w:val="5A4C3EF4"/>
    <w:rsid w:val="5A6357EC"/>
    <w:rsid w:val="5A6C4CE3"/>
    <w:rsid w:val="5A7C6A42"/>
    <w:rsid w:val="5A897578"/>
    <w:rsid w:val="5A8A1D30"/>
    <w:rsid w:val="5A980AED"/>
    <w:rsid w:val="5AB64F46"/>
    <w:rsid w:val="5ABF3A7D"/>
    <w:rsid w:val="5ACB79D0"/>
    <w:rsid w:val="5AEB5C08"/>
    <w:rsid w:val="5B0E6CD6"/>
    <w:rsid w:val="5B197260"/>
    <w:rsid w:val="5B26004C"/>
    <w:rsid w:val="5B294739"/>
    <w:rsid w:val="5B2F47EB"/>
    <w:rsid w:val="5B3336C6"/>
    <w:rsid w:val="5B3935D7"/>
    <w:rsid w:val="5B422B8E"/>
    <w:rsid w:val="5B44333E"/>
    <w:rsid w:val="5B4C246B"/>
    <w:rsid w:val="5B4F687B"/>
    <w:rsid w:val="5B5669CC"/>
    <w:rsid w:val="5B6B5836"/>
    <w:rsid w:val="5B6E783F"/>
    <w:rsid w:val="5B826B5B"/>
    <w:rsid w:val="5B8837FD"/>
    <w:rsid w:val="5B912D64"/>
    <w:rsid w:val="5B98218A"/>
    <w:rsid w:val="5B9E4722"/>
    <w:rsid w:val="5BAC5B11"/>
    <w:rsid w:val="5BB326C6"/>
    <w:rsid w:val="5BB33168"/>
    <w:rsid w:val="5BBB2950"/>
    <w:rsid w:val="5BBF1E82"/>
    <w:rsid w:val="5BC03DE2"/>
    <w:rsid w:val="5BD56170"/>
    <w:rsid w:val="5BDE3869"/>
    <w:rsid w:val="5BE070DC"/>
    <w:rsid w:val="5BEC5D3A"/>
    <w:rsid w:val="5BF55F16"/>
    <w:rsid w:val="5C025FC6"/>
    <w:rsid w:val="5C07713F"/>
    <w:rsid w:val="5C086FE4"/>
    <w:rsid w:val="5C20792C"/>
    <w:rsid w:val="5C2926D1"/>
    <w:rsid w:val="5C2D45D7"/>
    <w:rsid w:val="5C3001A1"/>
    <w:rsid w:val="5C33309A"/>
    <w:rsid w:val="5C35319D"/>
    <w:rsid w:val="5C403D31"/>
    <w:rsid w:val="5C444D03"/>
    <w:rsid w:val="5C514691"/>
    <w:rsid w:val="5C631FD2"/>
    <w:rsid w:val="5C633DC2"/>
    <w:rsid w:val="5C76785B"/>
    <w:rsid w:val="5C7B2894"/>
    <w:rsid w:val="5C8958FE"/>
    <w:rsid w:val="5C9D2F32"/>
    <w:rsid w:val="5CA3052F"/>
    <w:rsid w:val="5CAC1069"/>
    <w:rsid w:val="5CB01DF8"/>
    <w:rsid w:val="5CB169DD"/>
    <w:rsid w:val="5CB42D9B"/>
    <w:rsid w:val="5CBF3BEB"/>
    <w:rsid w:val="5CC36C6E"/>
    <w:rsid w:val="5CCB0BB2"/>
    <w:rsid w:val="5CCD5CC9"/>
    <w:rsid w:val="5CCF24FF"/>
    <w:rsid w:val="5CD20603"/>
    <w:rsid w:val="5CE000FA"/>
    <w:rsid w:val="5CE10C93"/>
    <w:rsid w:val="5CEB1EEF"/>
    <w:rsid w:val="5CEC7024"/>
    <w:rsid w:val="5CF95FD8"/>
    <w:rsid w:val="5D0541B3"/>
    <w:rsid w:val="5D123B2B"/>
    <w:rsid w:val="5D1A7B2A"/>
    <w:rsid w:val="5D2A1B23"/>
    <w:rsid w:val="5D381EFB"/>
    <w:rsid w:val="5D3D2232"/>
    <w:rsid w:val="5D4D38F1"/>
    <w:rsid w:val="5D4E1AEC"/>
    <w:rsid w:val="5D5C7B57"/>
    <w:rsid w:val="5D6421EE"/>
    <w:rsid w:val="5D652BA6"/>
    <w:rsid w:val="5D715F1A"/>
    <w:rsid w:val="5D85038B"/>
    <w:rsid w:val="5D8553E4"/>
    <w:rsid w:val="5D89757F"/>
    <w:rsid w:val="5D921300"/>
    <w:rsid w:val="5D982346"/>
    <w:rsid w:val="5D9C1802"/>
    <w:rsid w:val="5DA247E3"/>
    <w:rsid w:val="5DAD7475"/>
    <w:rsid w:val="5DB04076"/>
    <w:rsid w:val="5DC31FB5"/>
    <w:rsid w:val="5DD36D1C"/>
    <w:rsid w:val="5DDC2CB0"/>
    <w:rsid w:val="5DE13E15"/>
    <w:rsid w:val="5DEC23C3"/>
    <w:rsid w:val="5DEF2507"/>
    <w:rsid w:val="5E0426A8"/>
    <w:rsid w:val="5E06720F"/>
    <w:rsid w:val="5E0A0A9B"/>
    <w:rsid w:val="5E101E78"/>
    <w:rsid w:val="5E2A021D"/>
    <w:rsid w:val="5E300EB4"/>
    <w:rsid w:val="5E3D2C1E"/>
    <w:rsid w:val="5E4263B8"/>
    <w:rsid w:val="5E5043FC"/>
    <w:rsid w:val="5E566EB4"/>
    <w:rsid w:val="5E8070D4"/>
    <w:rsid w:val="5E895E64"/>
    <w:rsid w:val="5E8D0C46"/>
    <w:rsid w:val="5E9510CF"/>
    <w:rsid w:val="5E9533BC"/>
    <w:rsid w:val="5E956BA5"/>
    <w:rsid w:val="5E97304E"/>
    <w:rsid w:val="5E9C5B3E"/>
    <w:rsid w:val="5EA078EE"/>
    <w:rsid w:val="5EA833D2"/>
    <w:rsid w:val="5EB35823"/>
    <w:rsid w:val="5EB85D04"/>
    <w:rsid w:val="5EBD1543"/>
    <w:rsid w:val="5EC073AC"/>
    <w:rsid w:val="5EC62DFE"/>
    <w:rsid w:val="5ECD539B"/>
    <w:rsid w:val="5EE4753E"/>
    <w:rsid w:val="5EEC0798"/>
    <w:rsid w:val="5EF2251F"/>
    <w:rsid w:val="5F0F7E12"/>
    <w:rsid w:val="5F143760"/>
    <w:rsid w:val="5F1804C2"/>
    <w:rsid w:val="5F2205B0"/>
    <w:rsid w:val="5F281E95"/>
    <w:rsid w:val="5F2820D2"/>
    <w:rsid w:val="5F28567D"/>
    <w:rsid w:val="5F30446F"/>
    <w:rsid w:val="5F3F1380"/>
    <w:rsid w:val="5F4A696A"/>
    <w:rsid w:val="5F551CCE"/>
    <w:rsid w:val="5F58340E"/>
    <w:rsid w:val="5F6274AD"/>
    <w:rsid w:val="5F691668"/>
    <w:rsid w:val="5F844163"/>
    <w:rsid w:val="5F8F6E72"/>
    <w:rsid w:val="5F901279"/>
    <w:rsid w:val="5F9107D5"/>
    <w:rsid w:val="5F9E56EE"/>
    <w:rsid w:val="5FA41E44"/>
    <w:rsid w:val="5FCF01EF"/>
    <w:rsid w:val="5FD3464F"/>
    <w:rsid w:val="5FE00586"/>
    <w:rsid w:val="5FE84B0F"/>
    <w:rsid w:val="5FEB4C2D"/>
    <w:rsid w:val="5FF258A1"/>
    <w:rsid w:val="60044C88"/>
    <w:rsid w:val="601D1CCD"/>
    <w:rsid w:val="601E5C5D"/>
    <w:rsid w:val="602A2D2E"/>
    <w:rsid w:val="602F2F96"/>
    <w:rsid w:val="603415CA"/>
    <w:rsid w:val="603C34C0"/>
    <w:rsid w:val="604102CC"/>
    <w:rsid w:val="6042133F"/>
    <w:rsid w:val="60455832"/>
    <w:rsid w:val="604B23C9"/>
    <w:rsid w:val="60574D8E"/>
    <w:rsid w:val="606557B8"/>
    <w:rsid w:val="607C617A"/>
    <w:rsid w:val="609322D6"/>
    <w:rsid w:val="60967FEF"/>
    <w:rsid w:val="60983EB6"/>
    <w:rsid w:val="609905CA"/>
    <w:rsid w:val="609A15B3"/>
    <w:rsid w:val="609C7189"/>
    <w:rsid w:val="60A752CE"/>
    <w:rsid w:val="60A83404"/>
    <w:rsid w:val="60BA67A8"/>
    <w:rsid w:val="60C413D5"/>
    <w:rsid w:val="60C6234B"/>
    <w:rsid w:val="60C976C8"/>
    <w:rsid w:val="60D76C85"/>
    <w:rsid w:val="60D91E9F"/>
    <w:rsid w:val="60E01A56"/>
    <w:rsid w:val="60E32A5B"/>
    <w:rsid w:val="60E36C79"/>
    <w:rsid w:val="60F20AFD"/>
    <w:rsid w:val="610517FA"/>
    <w:rsid w:val="610568F2"/>
    <w:rsid w:val="610A5F2A"/>
    <w:rsid w:val="611724E2"/>
    <w:rsid w:val="61214821"/>
    <w:rsid w:val="61230485"/>
    <w:rsid w:val="61363E79"/>
    <w:rsid w:val="614017C4"/>
    <w:rsid w:val="614164B2"/>
    <w:rsid w:val="61502FA1"/>
    <w:rsid w:val="61526531"/>
    <w:rsid w:val="61587D6F"/>
    <w:rsid w:val="6159402B"/>
    <w:rsid w:val="615B43EA"/>
    <w:rsid w:val="615C4E73"/>
    <w:rsid w:val="6160037F"/>
    <w:rsid w:val="617952FC"/>
    <w:rsid w:val="6180738D"/>
    <w:rsid w:val="61813F64"/>
    <w:rsid w:val="618A36F2"/>
    <w:rsid w:val="618F1E00"/>
    <w:rsid w:val="619D05E5"/>
    <w:rsid w:val="61A873A4"/>
    <w:rsid w:val="61AE11BE"/>
    <w:rsid w:val="61B3707D"/>
    <w:rsid w:val="61DA206C"/>
    <w:rsid w:val="61DE0274"/>
    <w:rsid w:val="61EE5625"/>
    <w:rsid w:val="61FB3328"/>
    <w:rsid w:val="620E0652"/>
    <w:rsid w:val="62364B86"/>
    <w:rsid w:val="623E6F65"/>
    <w:rsid w:val="624349B4"/>
    <w:rsid w:val="62473B09"/>
    <w:rsid w:val="6249649B"/>
    <w:rsid w:val="62510DBC"/>
    <w:rsid w:val="626260C8"/>
    <w:rsid w:val="626D33A6"/>
    <w:rsid w:val="627567A7"/>
    <w:rsid w:val="62824489"/>
    <w:rsid w:val="62936E5F"/>
    <w:rsid w:val="629F3A0F"/>
    <w:rsid w:val="62A66C06"/>
    <w:rsid w:val="62A82A0A"/>
    <w:rsid w:val="62A9076E"/>
    <w:rsid w:val="62BC3256"/>
    <w:rsid w:val="62BC7E54"/>
    <w:rsid w:val="62D1375D"/>
    <w:rsid w:val="62DB47B4"/>
    <w:rsid w:val="62F13248"/>
    <w:rsid w:val="62F53AC8"/>
    <w:rsid w:val="62FE0634"/>
    <w:rsid w:val="630D3399"/>
    <w:rsid w:val="631359AD"/>
    <w:rsid w:val="631B72A6"/>
    <w:rsid w:val="632E00D0"/>
    <w:rsid w:val="632E62B0"/>
    <w:rsid w:val="633164E9"/>
    <w:rsid w:val="633429DB"/>
    <w:rsid w:val="633430E5"/>
    <w:rsid w:val="633445CA"/>
    <w:rsid w:val="633A0A36"/>
    <w:rsid w:val="635B58F5"/>
    <w:rsid w:val="635C619A"/>
    <w:rsid w:val="63616FBA"/>
    <w:rsid w:val="63630F41"/>
    <w:rsid w:val="63690DAE"/>
    <w:rsid w:val="636C142B"/>
    <w:rsid w:val="637648B4"/>
    <w:rsid w:val="63AA611C"/>
    <w:rsid w:val="63B704CB"/>
    <w:rsid w:val="63BF7EF2"/>
    <w:rsid w:val="63C868D6"/>
    <w:rsid w:val="63D119F0"/>
    <w:rsid w:val="63D50228"/>
    <w:rsid w:val="63DE4ADA"/>
    <w:rsid w:val="63DF1417"/>
    <w:rsid w:val="63E31B72"/>
    <w:rsid w:val="63E5429E"/>
    <w:rsid w:val="63ED607C"/>
    <w:rsid w:val="63F51AA6"/>
    <w:rsid w:val="63FD2C13"/>
    <w:rsid w:val="63FD6336"/>
    <w:rsid w:val="64030DBD"/>
    <w:rsid w:val="640633AB"/>
    <w:rsid w:val="64063728"/>
    <w:rsid w:val="64144421"/>
    <w:rsid w:val="6417488A"/>
    <w:rsid w:val="64184044"/>
    <w:rsid w:val="64210AB2"/>
    <w:rsid w:val="64217D52"/>
    <w:rsid w:val="64393704"/>
    <w:rsid w:val="64394A21"/>
    <w:rsid w:val="643A1643"/>
    <w:rsid w:val="643E18F5"/>
    <w:rsid w:val="644B0B8C"/>
    <w:rsid w:val="644D02C1"/>
    <w:rsid w:val="644D086B"/>
    <w:rsid w:val="64751325"/>
    <w:rsid w:val="647811C7"/>
    <w:rsid w:val="648911EC"/>
    <w:rsid w:val="648B1575"/>
    <w:rsid w:val="64904EF2"/>
    <w:rsid w:val="649A705D"/>
    <w:rsid w:val="649D6E57"/>
    <w:rsid w:val="649E7C15"/>
    <w:rsid w:val="64B039C7"/>
    <w:rsid w:val="64B34935"/>
    <w:rsid w:val="64C01EB3"/>
    <w:rsid w:val="64C62CD9"/>
    <w:rsid w:val="64C9062D"/>
    <w:rsid w:val="64D903BD"/>
    <w:rsid w:val="64ED0BD0"/>
    <w:rsid w:val="64F01BBC"/>
    <w:rsid w:val="64F91B18"/>
    <w:rsid w:val="64FD0B7E"/>
    <w:rsid w:val="64FE47A6"/>
    <w:rsid w:val="650B1BFD"/>
    <w:rsid w:val="650B5C95"/>
    <w:rsid w:val="652157EA"/>
    <w:rsid w:val="653375ED"/>
    <w:rsid w:val="65397ACA"/>
    <w:rsid w:val="654920B5"/>
    <w:rsid w:val="654F0C44"/>
    <w:rsid w:val="655B5ACA"/>
    <w:rsid w:val="65624D19"/>
    <w:rsid w:val="65684A58"/>
    <w:rsid w:val="656A42F2"/>
    <w:rsid w:val="656E3A4D"/>
    <w:rsid w:val="6571705E"/>
    <w:rsid w:val="65875458"/>
    <w:rsid w:val="65876E75"/>
    <w:rsid w:val="65927B53"/>
    <w:rsid w:val="65931376"/>
    <w:rsid w:val="659870E8"/>
    <w:rsid w:val="659C3414"/>
    <w:rsid w:val="65A00478"/>
    <w:rsid w:val="65AB733E"/>
    <w:rsid w:val="65B7595C"/>
    <w:rsid w:val="65BC30F8"/>
    <w:rsid w:val="65D025CA"/>
    <w:rsid w:val="65D94585"/>
    <w:rsid w:val="65F25DAA"/>
    <w:rsid w:val="6607681A"/>
    <w:rsid w:val="660870C0"/>
    <w:rsid w:val="660E65AE"/>
    <w:rsid w:val="661305E5"/>
    <w:rsid w:val="66154DA9"/>
    <w:rsid w:val="661B038F"/>
    <w:rsid w:val="6622663B"/>
    <w:rsid w:val="662621EA"/>
    <w:rsid w:val="66432273"/>
    <w:rsid w:val="66465465"/>
    <w:rsid w:val="66497A1C"/>
    <w:rsid w:val="664D5D7E"/>
    <w:rsid w:val="66655CB0"/>
    <w:rsid w:val="66705C5C"/>
    <w:rsid w:val="66726CDA"/>
    <w:rsid w:val="667E520A"/>
    <w:rsid w:val="6680064A"/>
    <w:rsid w:val="668533B4"/>
    <w:rsid w:val="66930AAF"/>
    <w:rsid w:val="669332AD"/>
    <w:rsid w:val="66A96101"/>
    <w:rsid w:val="66B07D06"/>
    <w:rsid w:val="66B73D3F"/>
    <w:rsid w:val="66CD05F6"/>
    <w:rsid w:val="66E551E4"/>
    <w:rsid w:val="66F15B7C"/>
    <w:rsid w:val="66F36451"/>
    <w:rsid w:val="66F414E8"/>
    <w:rsid w:val="670079A7"/>
    <w:rsid w:val="671800AF"/>
    <w:rsid w:val="6719585F"/>
    <w:rsid w:val="672506F4"/>
    <w:rsid w:val="67275606"/>
    <w:rsid w:val="673318AC"/>
    <w:rsid w:val="67366870"/>
    <w:rsid w:val="673A1C73"/>
    <w:rsid w:val="67694066"/>
    <w:rsid w:val="677979BD"/>
    <w:rsid w:val="67864F81"/>
    <w:rsid w:val="67866F7A"/>
    <w:rsid w:val="678949FA"/>
    <w:rsid w:val="67896390"/>
    <w:rsid w:val="679374E2"/>
    <w:rsid w:val="679508F7"/>
    <w:rsid w:val="67A17AEF"/>
    <w:rsid w:val="67A33878"/>
    <w:rsid w:val="67A74B0B"/>
    <w:rsid w:val="67B437C2"/>
    <w:rsid w:val="67BE238D"/>
    <w:rsid w:val="67CE6928"/>
    <w:rsid w:val="67D80CD4"/>
    <w:rsid w:val="67DA14DE"/>
    <w:rsid w:val="67E37DE1"/>
    <w:rsid w:val="67E51ACF"/>
    <w:rsid w:val="68113F11"/>
    <w:rsid w:val="68166BA2"/>
    <w:rsid w:val="68221581"/>
    <w:rsid w:val="68373560"/>
    <w:rsid w:val="684265A9"/>
    <w:rsid w:val="68451784"/>
    <w:rsid w:val="684E052E"/>
    <w:rsid w:val="68594929"/>
    <w:rsid w:val="686A0670"/>
    <w:rsid w:val="686F0EA4"/>
    <w:rsid w:val="686F7E78"/>
    <w:rsid w:val="687B797F"/>
    <w:rsid w:val="689739C4"/>
    <w:rsid w:val="68A65864"/>
    <w:rsid w:val="68BA2C9F"/>
    <w:rsid w:val="68C061FA"/>
    <w:rsid w:val="68C13F24"/>
    <w:rsid w:val="68C2467B"/>
    <w:rsid w:val="68C61D0B"/>
    <w:rsid w:val="68D66149"/>
    <w:rsid w:val="68DE7839"/>
    <w:rsid w:val="68E23FD5"/>
    <w:rsid w:val="68EF4209"/>
    <w:rsid w:val="69034A64"/>
    <w:rsid w:val="69076580"/>
    <w:rsid w:val="69103724"/>
    <w:rsid w:val="691D64E7"/>
    <w:rsid w:val="69212D28"/>
    <w:rsid w:val="69274410"/>
    <w:rsid w:val="69284766"/>
    <w:rsid w:val="692D388F"/>
    <w:rsid w:val="693E2568"/>
    <w:rsid w:val="694C6CD2"/>
    <w:rsid w:val="69526EE8"/>
    <w:rsid w:val="69554D57"/>
    <w:rsid w:val="6957360B"/>
    <w:rsid w:val="695A2928"/>
    <w:rsid w:val="695D25B3"/>
    <w:rsid w:val="69670824"/>
    <w:rsid w:val="696C4386"/>
    <w:rsid w:val="696F3E2E"/>
    <w:rsid w:val="69777C6C"/>
    <w:rsid w:val="697A6F48"/>
    <w:rsid w:val="698C1691"/>
    <w:rsid w:val="699C30F9"/>
    <w:rsid w:val="69A270E2"/>
    <w:rsid w:val="69AC6C23"/>
    <w:rsid w:val="69C02956"/>
    <w:rsid w:val="69CD3387"/>
    <w:rsid w:val="69DA13EA"/>
    <w:rsid w:val="69E35BFB"/>
    <w:rsid w:val="69ED2458"/>
    <w:rsid w:val="69F858D1"/>
    <w:rsid w:val="69F85C4B"/>
    <w:rsid w:val="6A1B7B8C"/>
    <w:rsid w:val="6A280047"/>
    <w:rsid w:val="6A385DAF"/>
    <w:rsid w:val="6A4F0635"/>
    <w:rsid w:val="6A58493C"/>
    <w:rsid w:val="6A634149"/>
    <w:rsid w:val="6A660A5C"/>
    <w:rsid w:val="6A6C2FBF"/>
    <w:rsid w:val="6A710989"/>
    <w:rsid w:val="6A765127"/>
    <w:rsid w:val="6A7958DB"/>
    <w:rsid w:val="6A8A57A5"/>
    <w:rsid w:val="6A9454FA"/>
    <w:rsid w:val="6A9906BD"/>
    <w:rsid w:val="6A99742E"/>
    <w:rsid w:val="6A9E09E4"/>
    <w:rsid w:val="6AAD5F0E"/>
    <w:rsid w:val="6ABF6E0B"/>
    <w:rsid w:val="6AC0202A"/>
    <w:rsid w:val="6ACA4281"/>
    <w:rsid w:val="6AD02D93"/>
    <w:rsid w:val="6ADE25D2"/>
    <w:rsid w:val="6ADF3854"/>
    <w:rsid w:val="6AE5205E"/>
    <w:rsid w:val="6AE86419"/>
    <w:rsid w:val="6AF25AAD"/>
    <w:rsid w:val="6AF26B3F"/>
    <w:rsid w:val="6AFB3C45"/>
    <w:rsid w:val="6AFB698B"/>
    <w:rsid w:val="6AFC568E"/>
    <w:rsid w:val="6B0520DF"/>
    <w:rsid w:val="6B167F2A"/>
    <w:rsid w:val="6B1765A5"/>
    <w:rsid w:val="6B1A134A"/>
    <w:rsid w:val="6B1B5A59"/>
    <w:rsid w:val="6B2105D4"/>
    <w:rsid w:val="6B243917"/>
    <w:rsid w:val="6B325BF7"/>
    <w:rsid w:val="6B332CA6"/>
    <w:rsid w:val="6B382F91"/>
    <w:rsid w:val="6B3D24B0"/>
    <w:rsid w:val="6B4750DC"/>
    <w:rsid w:val="6B594E10"/>
    <w:rsid w:val="6B6648D6"/>
    <w:rsid w:val="6B677EB8"/>
    <w:rsid w:val="6B6F71CC"/>
    <w:rsid w:val="6B76076B"/>
    <w:rsid w:val="6B765A85"/>
    <w:rsid w:val="6B893B5D"/>
    <w:rsid w:val="6B925BAA"/>
    <w:rsid w:val="6B927624"/>
    <w:rsid w:val="6B987EB8"/>
    <w:rsid w:val="6B9F578E"/>
    <w:rsid w:val="6BA21183"/>
    <w:rsid w:val="6BAB29AB"/>
    <w:rsid w:val="6BBD7E25"/>
    <w:rsid w:val="6BBF14D3"/>
    <w:rsid w:val="6BC10AED"/>
    <w:rsid w:val="6BC42AB2"/>
    <w:rsid w:val="6BC70929"/>
    <w:rsid w:val="6BCB38A5"/>
    <w:rsid w:val="6BCF1ED3"/>
    <w:rsid w:val="6BD275B7"/>
    <w:rsid w:val="6BD65020"/>
    <w:rsid w:val="6BE50F49"/>
    <w:rsid w:val="6BF93AAD"/>
    <w:rsid w:val="6C011450"/>
    <w:rsid w:val="6C05259D"/>
    <w:rsid w:val="6C075077"/>
    <w:rsid w:val="6C133380"/>
    <w:rsid w:val="6C2817E1"/>
    <w:rsid w:val="6C304081"/>
    <w:rsid w:val="6C315F47"/>
    <w:rsid w:val="6C3F24CA"/>
    <w:rsid w:val="6C423AF6"/>
    <w:rsid w:val="6C450F0D"/>
    <w:rsid w:val="6C465F96"/>
    <w:rsid w:val="6C4B22F2"/>
    <w:rsid w:val="6C4C1046"/>
    <w:rsid w:val="6C4D3471"/>
    <w:rsid w:val="6C512CCE"/>
    <w:rsid w:val="6C5B307A"/>
    <w:rsid w:val="6C6058A7"/>
    <w:rsid w:val="6C634391"/>
    <w:rsid w:val="6C6366A8"/>
    <w:rsid w:val="6C746DE0"/>
    <w:rsid w:val="6C7B0956"/>
    <w:rsid w:val="6C813597"/>
    <w:rsid w:val="6C874311"/>
    <w:rsid w:val="6C88244D"/>
    <w:rsid w:val="6C8F51CB"/>
    <w:rsid w:val="6C976C92"/>
    <w:rsid w:val="6CA22111"/>
    <w:rsid w:val="6CA54645"/>
    <w:rsid w:val="6CB00A5F"/>
    <w:rsid w:val="6CBF11F0"/>
    <w:rsid w:val="6CBF4BEE"/>
    <w:rsid w:val="6CCB7BA8"/>
    <w:rsid w:val="6CDF1345"/>
    <w:rsid w:val="6CE55548"/>
    <w:rsid w:val="6CF0286D"/>
    <w:rsid w:val="6D00090C"/>
    <w:rsid w:val="6D046626"/>
    <w:rsid w:val="6D194C0E"/>
    <w:rsid w:val="6D1E5112"/>
    <w:rsid w:val="6D290750"/>
    <w:rsid w:val="6D4437BC"/>
    <w:rsid w:val="6D4C5E8D"/>
    <w:rsid w:val="6D517303"/>
    <w:rsid w:val="6D587E41"/>
    <w:rsid w:val="6D591C76"/>
    <w:rsid w:val="6D5E6EBF"/>
    <w:rsid w:val="6D6209B3"/>
    <w:rsid w:val="6D6B416B"/>
    <w:rsid w:val="6D6C3702"/>
    <w:rsid w:val="6D6D1B92"/>
    <w:rsid w:val="6D6E37C2"/>
    <w:rsid w:val="6D72087B"/>
    <w:rsid w:val="6D756F74"/>
    <w:rsid w:val="6D8B1973"/>
    <w:rsid w:val="6D905CF7"/>
    <w:rsid w:val="6D984F6C"/>
    <w:rsid w:val="6D997745"/>
    <w:rsid w:val="6D9E1C39"/>
    <w:rsid w:val="6DA16A6B"/>
    <w:rsid w:val="6DA371E5"/>
    <w:rsid w:val="6DA91FE1"/>
    <w:rsid w:val="6DAC56CB"/>
    <w:rsid w:val="6DB22713"/>
    <w:rsid w:val="6DC63BCF"/>
    <w:rsid w:val="6DCD5DD2"/>
    <w:rsid w:val="6DD57EC7"/>
    <w:rsid w:val="6DDC1F9D"/>
    <w:rsid w:val="6DE807CD"/>
    <w:rsid w:val="6DF57072"/>
    <w:rsid w:val="6DF70908"/>
    <w:rsid w:val="6DF92867"/>
    <w:rsid w:val="6DFC5205"/>
    <w:rsid w:val="6E0B41CA"/>
    <w:rsid w:val="6E0E5A3E"/>
    <w:rsid w:val="6E181171"/>
    <w:rsid w:val="6E1F1698"/>
    <w:rsid w:val="6E343D03"/>
    <w:rsid w:val="6E4307D3"/>
    <w:rsid w:val="6E4A20EF"/>
    <w:rsid w:val="6E4B103C"/>
    <w:rsid w:val="6E4D2AA9"/>
    <w:rsid w:val="6E533C4F"/>
    <w:rsid w:val="6E5A5984"/>
    <w:rsid w:val="6E64251A"/>
    <w:rsid w:val="6E743CFE"/>
    <w:rsid w:val="6E7A5C57"/>
    <w:rsid w:val="6E851A78"/>
    <w:rsid w:val="6E934195"/>
    <w:rsid w:val="6E981DF4"/>
    <w:rsid w:val="6E9E2769"/>
    <w:rsid w:val="6EA06204"/>
    <w:rsid w:val="6EA36ACE"/>
    <w:rsid w:val="6EAD34A8"/>
    <w:rsid w:val="6EC82414"/>
    <w:rsid w:val="6EDA5421"/>
    <w:rsid w:val="6EE22DB5"/>
    <w:rsid w:val="6EF2535F"/>
    <w:rsid w:val="6EF521F4"/>
    <w:rsid w:val="6EF61B4F"/>
    <w:rsid w:val="6EF862CD"/>
    <w:rsid w:val="6F005980"/>
    <w:rsid w:val="6F0B65AA"/>
    <w:rsid w:val="6F0B7B7B"/>
    <w:rsid w:val="6F1D52A9"/>
    <w:rsid w:val="6F346D63"/>
    <w:rsid w:val="6F357FB0"/>
    <w:rsid w:val="6F3C31B9"/>
    <w:rsid w:val="6F435008"/>
    <w:rsid w:val="6F4C6FEF"/>
    <w:rsid w:val="6F506AF8"/>
    <w:rsid w:val="6F5C3D09"/>
    <w:rsid w:val="6F602F23"/>
    <w:rsid w:val="6F6B116F"/>
    <w:rsid w:val="6F7A7990"/>
    <w:rsid w:val="6F8654C7"/>
    <w:rsid w:val="6F8E7C8B"/>
    <w:rsid w:val="6FB05BA3"/>
    <w:rsid w:val="6FC50256"/>
    <w:rsid w:val="6FC82564"/>
    <w:rsid w:val="6FCF64B2"/>
    <w:rsid w:val="6FD416D9"/>
    <w:rsid w:val="6FD64758"/>
    <w:rsid w:val="6FE376D6"/>
    <w:rsid w:val="6FE824F4"/>
    <w:rsid w:val="6FEB253B"/>
    <w:rsid w:val="700D05DB"/>
    <w:rsid w:val="701632CF"/>
    <w:rsid w:val="70336512"/>
    <w:rsid w:val="704A3617"/>
    <w:rsid w:val="70525920"/>
    <w:rsid w:val="705D5B13"/>
    <w:rsid w:val="70653978"/>
    <w:rsid w:val="7089504E"/>
    <w:rsid w:val="709C4360"/>
    <w:rsid w:val="709F72C5"/>
    <w:rsid w:val="70AD4FB8"/>
    <w:rsid w:val="70B86135"/>
    <w:rsid w:val="70C72138"/>
    <w:rsid w:val="70CB5935"/>
    <w:rsid w:val="70CF39B4"/>
    <w:rsid w:val="70CF6286"/>
    <w:rsid w:val="70D37BAE"/>
    <w:rsid w:val="70D930D7"/>
    <w:rsid w:val="70DA7783"/>
    <w:rsid w:val="70DB0321"/>
    <w:rsid w:val="70DC29D7"/>
    <w:rsid w:val="70E74CD8"/>
    <w:rsid w:val="70E85E5F"/>
    <w:rsid w:val="70ED6C02"/>
    <w:rsid w:val="70F9079C"/>
    <w:rsid w:val="70FC4273"/>
    <w:rsid w:val="71100E7C"/>
    <w:rsid w:val="7113704E"/>
    <w:rsid w:val="711A1A0C"/>
    <w:rsid w:val="711C0906"/>
    <w:rsid w:val="711F61B4"/>
    <w:rsid w:val="71286EFA"/>
    <w:rsid w:val="71327D86"/>
    <w:rsid w:val="71386E60"/>
    <w:rsid w:val="714E7215"/>
    <w:rsid w:val="715135FD"/>
    <w:rsid w:val="71592433"/>
    <w:rsid w:val="715D09E4"/>
    <w:rsid w:val="715E68E9"/>
    <w:rsid w:val="7163589F"/>
    <w:rsid w:val="71654BB8"/>
    <w:rsid w:val="716E7F88"/>
    <w:rsid w:val="71823C96"/>
    <w:rsid w:val="718D633C"/>
    <w:rsid w:val="71A16C2E"/>
    <w:rsid w:val="71B370FE"/>
    <w:rsid w:val="71B80D64"/>
    <w:rsid w:val="71B94596"/>
    <w:rsid w:val="71BC0116"/>
    <w:rsid w:val="71C8398B"/>
    <w:rsid w:val="720364B4"/>
    <w:rsid w:val="720535FB"/>
    <w:rsid w:val="720B60C1"/>
    <w:rsid w:val="720C03AE"/>
    <w:rsid w:val="72117EBF"/>
    <w:rsid w:val="72121874"/>
    <w:rsid w:val="721455EC"/>
    <w:rsid w:val="7219296E"/>
    <w:rsid w:val="722279DA"/>
    <w:rsid w:val="723D06C0"/>
    <w:rsid w:val="72572823"/>
    <w:rsid w:val="72666F82"/>
    <w:rsid w:val="72677C2A"/>
    <w:rsid w:val="726C336B"/>
    <w:rsid w:val="726D5EAB"/>
    <w:rsid w:val="72775815"/>
    <w:rsid w:val="72800ED4"/>
    <w:rsid w:val="72846FF3"/>
    <w:rsid w:val="728B42B9"/>
    <w:rsid w:val="728E49D4"/>
    <w:rsid w:val="72987FCC"/>
    <w:rsid w:val="729D75BC"/>
    <w:rsid w:val="72A211DC"/>
    <w:rsid w:val="72A27DBF"/>
    <w:rsid w:val="72A92457"/>
    <w:rsid w:val="72C2571A"/>
    <w:rsid w:val="72C36F35"/>
    <w:rsid w:val="72CF1966"/>
    <w:rsid w:val="72CF55C3"/>
    <w:rsid w:val="72D60451"/>
    <w:rsid w:val="72DA4A88"/>
    <w:rsid w:val="72E262CE"/>
    <w:rsid w:val="72E36A95"/>
    <w:rsid w:val="72E878D9"/>
    <w:rsid w:val="72F15D64"/>
    <w:rsid w:val="72F2352A"/>
    <w:rsid w:val="72F57340"/>
    <w:rsid w:val="72F90440"/>
    <w:rsid w:val="731234C6"/>
    <w:rsid w:val="731955B0"/>
    <w:rsid w:val="731A7DA7"/>
    <w:rsid w:val="732371ED"/>
    <w:rsid w:val="732D1571"/>
    <w:rsid w:val="73325BC7"/>
    <w:rsid w:val="73385580"/>
    <w:rsid w:val="73612AB3"/>
    <w:rsid w:val="73665951"/>
    <w:rsid w:val="736721C8"/>
    <w:rsid w:val="7375655F"/>
    <w:rsid w:val="73830E90"/>
    <w:rsid w:val="738311E0"/>
    <w:rsid w:val="73893DB8"/>
    <w:rsid w:val="739E7864"/>
    <w:rsid w:val="73A15998"/>
    <w:rsid w:val="73A44412"/>
    <w:rsid w:val="73AA380C"/>
    <w:rsid w:val="73AB5073"/>
    <w:rsid w:val="73B36C66"/>
    <w:rsid w:val="73BC6B37"/>
    <w:rsid w:val="73CF5C6F"/>
    <w:rsid w:val="73DE0091"/>
    <w:rsid w:val="740638DA"/>
    <w:rsid w:val="7409118E"/>
    <w:rsid w:val="740926C4"/>
    <w:rsid w:val="740A314B"/>
    <w:rsid w:val="74112B4B"/>
    <w:rsid w:val="74215985"/>
    <w:rsid w:val="742934A5"/>
    <w:rsid w:val="7439458B"/>
    <w:rsid w:val="744023E4"/>
    <w:rsid w:val="744E514D"/>
    <w:rsid w:val="74606E06"/>
    <w:rsid w:val="7469479B"/>
    <w:rsid w:val="7479023C"/>
    <w:rsid w:val="747B7A26"/>
    <w:rsid w:val="747D441A"/>
    <w:rsid w:val="74A35167"/>
    <w:rsid w:val="74AE19C1"/>
    <w:rsid w:val="74C704FC"/>
    <w:rsid w:val="74CE3C19"/>
    <w:rsid w:val="74D80D76"/>
    <w:rsid w:val="74EC7067"/>
    <w:rsid w:val="74F36083"/>
    <w:rsid w:val="74F74E54"/>
    <w:rsid w:val="74FA02CE"/>
    <w:rsid w:val="75097D55"/>
    <w:rsid w:val="750F0303"/>
    <w:rsid w:val="75227C46"/>
    <w:rsid w:val="752825D3"/>
    <w:rsid w:val="752A0E64"/>
    <w:rsid w:val="75461F61"/>
    <w:rsid w:val="75470D10"/>
    <w:rsid w:val="757312A2"/>
    <w:rsid w:val="75754208"/>
    <w:rsid w:val="7576427D"/>
    <w:rsid w:val="75792224"/>
    <w:rsid w:val="757E794D"/>
    <w:rsid w:val="758129B7"/>
    <w:rsid w:val="758463E8"/>
    <w:rsid w:val="75856DE6"/>
    <w:rsid w:val="75973766"/>
    <w:rsid w:val="75A605C1"/>
    <w:rsid w:val="75AF5D58"/>
    <w:rsid w:val="75BC14BA"/>
    <w:rsid w:val="75C64E50"/>
    <w:rsid w:val="75C707BD"/>
    <w:rsid w:val="75CB2A21"/>
    <w:rsid w:val="75D12480"/>
    <w:rsid w:val="75DA1174"/>
    <w:rsid w:val="75DD0582"/>
    <w:rsid w:val="75E64B6C"/>
    <w:rsid w:val="75E67A23"/>
    <w:rsid w:val="760048CF"/>
    <w:rsid w:val="76016AC4"/>
    <w:rsid w:val="76145808"/>
    <w:rsid w:val="761B7D80"/>
    <w:rsid w:val="761D53B8"/>
    <w:rsid w:val="762B1D62"/>
    <w:rsid w:val="76315685"/>
    <w:rsid w:val="7637555A"/>
    <w:rsid w:val="76382F12"/>
    <w:rsid w:val="76392A94"/>
    <w:rsid w:val="76497EC2"/>
    <w:rsid w:val="764B60D0"/>
    <w:rsid w:val="764D30E1"/>
    <w:rsid w:val="76662594"/>
    <w:rsid w:val="76665CEA"/>
    <w:rsid w:val="766E30E0"/>
    <w:rsid w:val="76836320"/>
    <w:rsid w:val="76847462"/>
    <w:rsid w:val="76964F2D"/>
    <w:rsid w:val="76972B27"/>
    <w:rsid w:val="769941A4"/>
    <w:rsid w:val="76AD55FC"/>
    <w:rsid w:val="76B00C36"/>
    <w:rsid w:val="76B1607B"/>
    <w:rsid w:val="76BF6268"/>
    <w:rsid w:val="76C378A5"/>
    <w:rsid w:val="76C4104D"/>
    <w:rsid w:val="76D33085"/>
    <w:rsid w:val="76D55530"/>
    <w:rsid w:val="76D65566"/>
    <w:rsid w:val="76D678FF"/>
    <w:rsid w:val="76EE068E"/>
    <w:rsid w:val="76F73BDA"/>
    <w:rsid w:val="76FF471D"/>
    <w:rsid w:val="7706409E"/>
    <w:rsid w:val="770A5FF4"/>
    <w:rsid w:val="770A7ACF"/>
    <w:rsid w:val="77103630"/>
    <w:rsid w:val="77286C9B"/>
    <w:rsid w:val="772B318E"/>
    <w:rsid w:val="7731262D"/>
    <w:rsid w:val="77315CA7"/>
    <w:rsid w:val="773D0BBC"/>
    <w:rsid w:val="773E15F3"/>
    <w:rsid w:val="773F0228"/>
    <w:rsid w:val="774F034A"/>
    <w:rsid w:val="775C2898"/>
    <w:rsid w:val="776071E8"/>
    <w:rsid w:val="776B7302"/>
    <w:rsid w:val="77717AC6"/>
    <w:rsid w:val="7778514A"/>
    <w:rsid w:val="77905B03"/>
    <w:rsid w:val="77943456"/>
    <w:rsid w:val="779508AE"/>
    <w:rsid w:val="77A872B9"/>
    <w:rsid w:val="77AC443F"/>
    <w:rsid w:val="77CB1A30"/>
    <w:rsid w:val="77D26398"/>
    <w:rsid w:val="77D31AA6"/>
    <w:rsid w:val="77D765FC"/>
    <w:rsid w:val="77DD2FE3"/>
    <w:rsid w:val="77DD4921"/>
    <w:rsid w:val="77E51F05"/>
    <w:rsid w:val="77EB33AE"/>
    <w:rsid w:val="77EB4E7C"/>
    <w:rsid w:val="77EC5C1C"/>
    <w:rsid w:val="77EF6889"/>
    <w:rsid w:val="78192109"/>
    <w:rsid w:val="78263F05"/>
    <w:rsid w:val="78266485"/>
    <w:rsid w:val="782952A9"/>
    <w:rsid w:val="782A6257"/>
    <w:rsid w:val="782D52EE"/>
    <w:rsid w:val="78406D45"/>
    <w:rsid w:val="784339AA"/>
    <w:rsid w:val="784949E3"/>
    <w:rsid w:val="784E64AD"/>
    <w:rsid w:val="78616A4F"/>
    <w:rsid w:val="786535C1"/>
    <w:rsid w:val="78682626"/>
    <w:rsid w:val="78713799"/>
    <w:rsid w:val="78755B33"/>
    <w:rsid w:val="78780E24"/>
    <w:rsid w:val="788E5C50"/>
    <w:rsid w:val="78A11EFE"/>
    <w:rsid w:val="78AB0558"/>
    <w:rsid w:val="78BA2EEF"/>
    <w:rsid w:val="78C31D69"/>
    <w:rsid w:val="78D9168E"/>
    <w:rsid w:val="78DB2D29"/>
    <w:rsid w:val="78DE2154"/>
    <w:rsid w:val="78E34B02"/>
    <w:rsid w:val="78EA7302"/>
    <w:rsid w:val="78EC5F58"/>
    <w:rsid w:val="78F17FAF"/>
    <w:rsid w:val="78F973D6"/>
    <w:rsid w:val="79134850"/>
    <w:rsid w:val="7919366B"/>
    <w:rsid w:val="79197108"/>
    <w:rsid w:val="792B6114"/>
    <w:rsid w:val="792C5912"/>
    <w:rsid w:val="793228FA"/>
    <w:rsid w:val="79387AA9"/>
    <w:rsid w:val="794D331A"/>
    <w:rsid w:val="79532E9B"/>
    <w:rsid w:val="795843D9"/>
    <w:rsid w:val="7972155C"/>
    <w:rsid w:val="7977391C"/>
    <w:rsid w:val="797D7F1B"/>
    <w:rsid w:val="797F3775"/>
    <w:rsid w:val="79911392"/>
    <w:rsid w:val="799460F3"/>
    <w:rsid w:val="799C5BB4"/>
    <w:rsid w:val="79A56DDD"/>
    <w:rsid w:val="79AF24BF"/>
    <w:rsid w:val="79AF722A"/>
    <w:rsid w:val="79B25FE5"/>
    <w:rsid w:val="79BA2918"/>
    <w:rsid w:val="79C735C9"/>
    <w:rsid w:val="79C760A1"/>
    <w:rsid w:val="79D55E67"/>
    <w:rsid w:val="79F50D3B"/>
    <w:rsid w:val="79F8645F"/>
    <w:rsid w:val="79F93EBF"/>
    <w:rsid w:val="7A0A6DC7"/>
    <w:rsid w:val="7A0E1C4E"/>
    <w:rsid w:val="7A141DFB"/>
    <w:rsid w:val="7A16761B"/>
    <w:rsid w:val="7A1B6AC5"/>
    <w:rsid w:val="7A227339"/>
    <w:rsid w:val="7A2B2B3C"/>
    <w:rsid w:val="7A3A5E0C"/>
    <w:rsid w:val="7A3B209B"/>
    <w:rsid w:val="7A472169"/>
    <w:rsid w:val="7A505DAD"/>
    <w:rsid w:val="7A511409"/>
    <w:rsid w:val="7A543FD0"/>
    <w:rsid w:val="7A5E0B41"/>
    <w:rsid w:val="7A6A78DB"/>
    <w:rsid w:val="7A7A56ED"/>
    <w:rsid w:val="7A8D62FA"/>
    <w:rsid w:val="7AB82786"/>
    <w:rsid w:val="7ABD5614"/>
    <w:rsid w:val="7AC37B95"/>
    <w:rsid w:val="7AC810AA"/>
    <w:rsid w:val="7ACA6BE5"/>
    <w:rsid w:val="7AD06464"/>
    <w:rsid w:val="7AD35629"/>
    <w:rsid w:val="7ADE3251"/>
    <w:rsid w:val="7AE02840"/>
    <w:rsid w:val="7AE431A5"/>
    <w:rsid w:val="7AE438C3"/>
    <w:rsid w:val="7AE64F54"/>
    <w:rsid w:val="7AF217AE"/>
    <w:rsid w:val="7AFF62DC"/>
    <w:rsid w:val="7B0E488F"/>
    <w:rsid w:val="7B1C75AE"/>
    <w:rsid w:val="7B2014A6"/>
    <w:rsid w:val="7B214ED6"/>
    <w:rsid w:val="7B2C0233"/>
    <w:rsid w:val="7B355FAF"/>
    <w:rsid w:val="7B396B7D"/>
    <w:rsid w:val="7B3A3FE7"/>
    <w:rsid w:val="7B3C0D84"/>
    <w:rsid w:val="7B415BA8"/>
    <w:rsid w:val="7B4748FC"/>
    <w:rsid w:val="7B6866D6"/>
    <w:rsid w:val="7B735D8D"/>
    <w:rsid w:val="7B86755B"/>
    <w:rsid w:val="7B8C4A98"/>
    <w:rsid w:val="7B8E4662"/>
    <w:rsid w:val="7B9A4D77"/>
    <w:rsid w:val="7BAD0F8C"/>
    <w:rsid w:val="7BAF4351"/>
    <w:rsid w:val="7BAF6DD0"/>
    <w:rsid w:val="7BBB4EBC"/>
    <w:rsid w:val="7BBD29E7"/>
    <w:rsid w:val="7BC30E48"/>
    <w:rsid w:val="7BC37ECC"/>
    <w:rsid w:val="7BD27D71"/>
    <w:rsid w:val="7BD55F46"/>
    <w:rsid w:val="7BD76F67"/>
    <w:rsid w:val="7BDA2BC1"/>
    <w:rsid w:val="7BE35AB2"/>
    <w:rsid w:val="7BF1074D"/>
    <w:rsid w:val="7BF733EF"/>
    <w:rsid w:val="7BF87D2D"/>
    <w:rsid w:val="7C0A6273"/>
    <w:rsid w:val="7C0C68ED"/>
    <w:rsid w:val="7C1103AD"/>
    <w:rsid w:val="7C127041"/>
    <w:rsid w:val="7C1904F0"/>
    <w:rsid w:val="7C281681"/>
    <w:rsid w:val="7C3409E5"/>
    <w:rsid w:val="7C43369E"/>
    <w:rsid w:val="7C556F2D"/>
    <w:rsid w:val="7C645089"/>
    <w:rsid w:val="7C6735CC"/>
    <w:rsid w:val="7C7339B2"/>
    <w:rsid w:val="7C742525"/>
    <w:rsid w:val="7C757884"/>
    <w:rsid w:val="7C7C510E"/>
    <w:rsid w:val="7C7D3224"/>
    <w:rsid w:val="7C8E488B"/>
    <w:rsid w:val="7CA2371B"/>
    <w:rsid w:val="7CAD1618"/>
    <w:rsid w:val="7CAD1D14"/>
    <w:rsid w:val="7CAF652D"/>
    <w:rsid w:val="7CB34B68"/>
    <w:rsid w:val="7CBC51FE"/>
    <w:rsid w:val="7CBE721D"/>
    <w:rsid w:val="7CC3280E"/>
    <w:rsid w:val="7CD61F1C"/>
    <w:rsid w:val="7CE24F0A"/>
    <w:rsid w:val="7CE45EB7"/>
    <w:rsid w:val="7CEB76A6"/>
    <w:rsid w:val="7CF75A6F"/>
    <w:rsid w:val="7D0C4C1F"/>
    <w:rsid w:val="7D0E5276"/>
    <w:rsid w:val="7D11452C"/>
    <w:rsid w:val="7D2669C9"/>
    <w:rsid w:val="7D27266E"/>
    <w:rsid w:val="7D462EF8"/>
    <w:rsid w:val="7D480840"/>
    <w:rsid w:val="7D4A45B8"/>
    <w:rsid w:val="7D55664A"/>
    <w:rsid w:val="7D5C0D3B"/>
    <w:rsid w:val="7D6038FF"/>
    <w:rsid w:val="7D650FAC"/>
    <w:rsid w:val="7D7461D6"/>
    <w:rsid w:val="7D774284"/>
    <w:rsid w:val="7DA71A0B"/>
    <w:rsid w:val="7DB302F6"/>
    <w:rsid w:val="7DB7594D"/>
    <w:rsid w:val="7DBD0B9B"/>
    <w:rsid w:val="7DCD2945"/>
    <w:rsid w:val="7DD520D4"/>
    <w:rsid w:val="7DE041C3"/>
    <w:rsid w:val="7DE33C3D"/>
    <w:rsid w:val="7DE47F68"/>
    <w:rsid w:val="7DE5685C"/>
    <w:rsid w:val="7DF26E06"/>
    <w:rsid w:val="7E010E33"/>
    <w:rsid w:val="7E0E757C"/>
    <w:rsid w:val="7E244BDB"/>
    <w:rsid w:val="7E2451A3"/>
    <w:rsid w:val="7E274459"/>
    <w:rsid w:val="7E302CA7"/>
    <w:rsid w:val="7E4A2978"/>
    <w:rsid w:val="7E560E67"/>
    <w:rsid w:val="7E6273A0"/>
    <w:rsid w:val="7E6C7255"/>
    <w:rsid w:val="7E7D5DDE"/>
    <w:rsid w:val="7E7E09BD"/>
    <w:rsid w:val="7E815F0D"/>
    <w:rsid w:val="7E854E40"/>
    <w:rsid w:val="7E867C2D"/>
    <w:rsid w:val="7E9B3C0C"/>
    <w:rsid w:val="7EA65005"/>
    <w:rsid w:val="7EA764FC"/>
    <w:rsid w:val="7EB20667"/>
    <w:rsid w:val="7EB23B91"/>
    <w:rsid w:val="7EB727DE"/>
    <w:rsid w:val="7EC9014F"/>
    <w:rsid w:val="7ECD225B"/>
    <w:rsid w:val="7EE53881"/>
    <w:rsid w:val="7EEF71C5"/>
    <w:rsid w:val="7F000545"/>
    <w:rsid w:val="7F0607E8"/>
    <w:rsid w:val="7F0E1CCA"/>
    <w:rsid w:val="7F121106"/>
    <w:rsid w:val="7F146D0E"/>
    <w:rsid w:val="7F160810"/>
    <w:rsid w:val="7F163A52"/>
    <w:rsid w:val="7F3207CA"/>
    <w:rsid w:val="7F3365A6"/>
    <w:rsid w:val="7F34302D"/>
    <w:rsid w:val="7F372C7A"/>
    <w:rsid w:val="7F385DFF"/>
    <w:rsid w:val="7F470557"/>
    <w:rsid w:val="7F52184B"/>
    <w:rsid w:val="7F563993"/>
    <w:rsid w:val="7F67060F"/>
    <w:rsid w:val="7F6D458E"/>
    <w:rsid w:val="7F707519"/>
    <w:rsid w:val="7F714A66"/>
    <w:rsid w:val="7F7320D8"/>
    <w:rsid w:val="7F7460E0"/>
    <w:rsid w:val="7F826578"/>
    <w:rsid w:val="7F8C7331"/>
    <w:rsid w:val="7F993D4A"/>
    <w:rsid w:val="7FA03442"/>
    <w:rsid w:val="7FA2692E"/>
    <w:rsid w:val="7FA30CEE"/>
    <w:rsid w:val="7FAD6F33"/>
    <w:rsid w:val="7FB50328"/>
    <w:rsid w:val="7FBB3000"/>
    <w:rsid w:val="7FBE3AB0"/>
    <w:rsid w:val="7FBE49E7"/>
    <w:rsid w:val="7FC47A40"/>
    <w:rsid w:val="7FED4945"/>
    <w:rsid w:val="7FF64A3B"/>
    <w:rsid w:val="FDBF0B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iPriority="0" w:name="HTML Keyboard"/>
    <w:lsdException w:qFormat="1" w:uiPriority="99" w:semiHidden="0" w:name="HTML Preformatted"/>
    <w:lsdException w:unhideWhenUsed="0" w:uiPriority="0" w:semiHidden="0" w:name="HTML Sample"/>
    <w:lsdException w:uiPriority="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200" w:firstLineChars="200"/>
      <w:jc w:val="both"/>
    </w:pPr>
    <w:rPr>
      <w:rFonts w:ascii="Times New Roman" w:hAnsi="Times New Roman" w:eastAsia="宋体" w:cs="Times New Roman"/>
      <w:kern w:val="2"/>
      <w:sz w:val="24"/>
      <w:szCs w:val="24"/>
      <w:lang w:val="en-US" w:eastAsia="zh-CN" w:bidi="ar-SA"/>
    </w:rPr>
  </w:style>
  <w:style w:type="paragraph" w:styleId="4">
    <w:name w:val="heading 1"/>
    <w:basedOn w:val="1"/>
    <w:next w:val="1"/>
    <w:link w:val="62"/>
    <w:qFormat/>
    <w:uiPriority w:val="0"/>
    <w:pPr>
      <w:keepNext/>
      <w:tabs>
        <w:tab w:val="left" w:pos="480"/>
      </w:tabs>
      <w:spacing w:beforeLines="100" w:afterLines="100" w:line="240" w:lineRule="auto"/>
      <w:ind w:firstLine="0" w:firstLineChars="0"/>
      <w:jc w:val="center"/>
      <w:outlineLvl w:val="0"/>
    </w:pPr>
    <w:rPr>
      <w:b/>
      <w:sz w:val="36"/>
      <w:szCs w:val="20"/>
    </w:rPr>
  </w:style>
  <w:style w:type="paragraph" w:styleId="5">
    <w:name w:val="heading 2"/>
    <w:basedOn w:val="1"/>
    <w:next w:val="1"/>
    <w:link w:val="133"/>
    <w:unhideWhenUsed/>
    <w:qFormat/>
    <w:uiPriority w:val="0"/>
    <w:pPr>
      <w:keepNext/>
      <w:keepLines/>
      <w:spacing w:beforeLines="50" w:afterLines="50" w:line="240" w:lineRule="auto"/>
      <w:ind w:firstLine="0" w:firstLineChars="0"/>
      <w:jc w:val="center"/>
      <w:outlineLvl w:val="1"/>
    </w:pPr>
    <w:rPr>
      <w:rFonts w:ascii="Arial" w:hAnsi="Arial"/>
      <w:b/>
      <w:bCs/>
      <w:sz w:val="30"/>
      <w:szCs w:val="32"/>
    </w:rPr>
  </w:style>
  <w:style w:type="paragraph" w:styleId="6">
    <w:name w:val="heading 3"/>
    <w:basedOn w:val="1"/>
    <w:next w:val="1"/>
    <w:link w:val="137"/>
    <w:unhideWhenUsed/>
    <w:qFormat/>
    <w:uiPriority w:val="0"/>
    <w:pPr>
      <w:keepNext/>
      <w:keepLines/>
      <w:numPr>
        <w:ilvl w:val="2"/>
        <w:numId w:val="1"/>
      </w:numPr>
      <w:tabs>
        <w:tab w:val="left" w:pos="2651"/>
      </w:tabs>
      <w:ind w:firstLine="0" w:firstLineChars="0"/>
      <w:jc w:val="left"/>
      <w:outlineLvl w:val="2"/>
    </w:pPr>
    <w:rPr>
      <w:rFonts w:ascii="仿宋_GB2312" w:hAnsi="仿宋_GB2312" w:cstheme="minorBidi"/>
      <w:b/>
      <w:bCs/>
      <w:kern w:val="0"/>
      <w:szCs w:val="20"/>
    </w:rPr>
  </w:style>
  <w:style w:type="paragraph" w:styleId="7">
    <w:name w:val="heading 4"/>
    <w:basedOn w:val="1"/>
    <w:next w:val="1"/>
    <w:unhideWhenUsed/>
    <w:qFormat/>
    <w:uiPriority w:val="0"/>
    <w:pPr>
      <w:keepNext/>
      <w:keepLines/>
      <w:numPr>
        <w:ilvl w:val="3"/>
        <w:numId w:val="2"/>
      </w:numPr>
      <w:spacing w:before="280" w:after="290" w:line="372" w:lineRule="auto"/>
      <w:ind w:firstLine="0" w:firstLineChars="0"/>
      <w:outlineLvl w:val="3"/>
    </w:pPr>
    <w:rPr>
      <w:rFonts w:ascii="Arial" w:hAnsi="Arial" w:eastAsia="黑体"/>
      <w:b/>
      <w:sz w:val="28"/>
    </w:rPr>
  </w:style>
  <w:style w:type="paragraph" w:styleId="8">
    <w:name w:val="heading 5"/>
    <w:basedOn w:val="1"/>
    <w:next w:val="1"/>
    <w:unhideWhenUsed/>
    <w:qFormat/>
    <w:uiPriority w:val="0"/>
    <w:pPr>
      <w:keepNext/>
      <w:keepLines/>
      <w:numPr>
        <w:ilvl w:val="4"/>
        <w:numId w:val="2"/>
      </w:numPr>
      <w:spacing w:before="280" w:after="290" w:line="372" w:lineRule="auto"/>
      <w:ind w:firstLine="0" w:firstLineChars="0"/>
      <w:outlineLvl w:val="4"/>
    </w:pPr>
    <w:rPr>
      <w:b/>
      <w:sz w:val="28"/>
    </w:rPr>
  </w:style>
  <w:style w:type="paragraph" w:styleId="9">
    <w:name w:val="heading 7"/>
    <w:basedOn w:val="1"/>
    <w:next w:val="1"/>
    <w:qFormat/>
    <w:uiPriority w:val="1"/>
    <w:pPr>
      <w:ind w:left="384"/>
      <w:outlineLvl w:val="6"/>
    </w:pPr>
    <w:rPr>
      <w:rFonts w:ascii="宋体" w:hAnsi="宋体" w:cs="宋体"/>
      <w:b/>
      <w:bCs/>
      <w:lang w:val="zh-CN" w:bidi="zh-CN"/>
    </w:rPr>
  </w:style>
  <w:style w:type="character" w:default="1" w:styleId="39">
    <w:name w:val="Default Paragraph Font"/>
    <w:semiHidden/>
    <w:unhideWhenUsed/>
    <w:qFormat/>
    <w:uiPriority w:val="1"/>
  </w:style>
  <w:style w:type="table" w:default="1" w:styleId="3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link w:val="63"/>
    <w:qFormat/>
    <w:uiPriority w:val="0"/>
    <w:pPr>
      <w:jc w:val="left"/>
    </w:pPr>
    <w:rPr>
      <w:bCs/>
    </w:rPr>
  </w:style>
  <w:style w:type="paragraph" w:styleId="3">
    <w:name w:val="Body Text First Indent"/>
    <w:basedOn w:val="2"/>
    <w:next w:val="1"/>
    <w:qFormat/>
    <w:uiPriority w:val="0"/>
    <w:pPr>
      <w:ind w:firstLine="420" w:firstLineChars="100"/>
    </w:pPr>
  </w:style>
  <w:style w:type="paragraph" w:styleId="10">
    <w:name w:val="Normal Indent"/>
    <w:basedOn w:val="1"/>
    <w:next w:val="1"/>
    <w:qFormat/>
    <w:uiPriority w:val="0"/>
    <w:pPr>
      <w:ind w:firstLine="420"/>
    </w:pPr>
  </w:style>
  <w:style w:type="paragraph" w:styleId="11">
    <w:name w:val="caption"/>
    <w:basedOn w:val="1"/>
    <w:next w:val="1"/>
    <w:qFormat/>
    <w:uiPriority w:val="0"/>
    <w:pPr>
      <w:spacing w:before="152" w:after="160"/>
    </w:pPr>
    <w:rPr>
      <w:rFonts w:ascii="Arial" w:hAnsi="Arial" w:eastAsia="黑体" w:cs="Arial"/>
      <w:sz w:val="20"/>
      <w:szCs w:val="20"/>
    </w:rPr>
  </w:style>
  <w:style w:type="paragraph" w:styleId="12">
    <w:name w:val="annotation text"/>
    <w:basedOn w:val="1"/>
    <w:link w:val="90"/>
    <w:qFormat/>
    <w:uiPriority w:val="0"/>
    <w:pPr>
      <w:ind w:firstLine="360"/>
      <w:jc w:val="left"/>
    </w:pPr>
  </w:style>
  <w:style w:type="paragraph" w:styleId="13">
    <w:name w:val="Body Text 3"/>
    <w:basedOn w:val="1"/>
    <w:qFormat/>
    <w:uiPriority w:val="0"/>
    <w:pPr>
      <w:snapToGrid w:val="0"/>
      <w:spacing w:before="50" w:after="50"/>
    </w:pPr>
  </w:style>
  <w:style w:type="paragraph" w:styleId="14">
    <w:name w:val="Body Text Indent"/>
    <w:basedOn w:val="1"/>
    <w:next w:val="15"/>
    <w:qFormat/>
    <w:uiPriority w:val="0"/>
    <w:pPr>
      <w:spacing w:after="120"/>
      <w:ind w:left="420" w:leftChars="200"/>
    </w:pPr>
  </w:style>
  <w:style w:type="paragraph" w:styleId="15">
    <w:name w:val="Body Text First Indent 2"/>
    <w:basedOn w:val="14"/>
    <w:next w:val="16"/>
    <w:qFormat/>
    <w:uiPriority w:val="0"/>
    <w:pPr>
      <w:keepNext w:val="0"/>
      <w:keepLines w:val="0"/>
      <w:widowControl w:val="0"/>
      <w:suppressLineNumbers w:val="0"/>
      <w:snapToGrid w:val="0"/>
      <w:spacing w:after="120" w:afterAutospacing="0" w:line="240" w:lineRule="auto"/>
      <w:ind w:left="420" w:leftChars="200" w:firstLine="420" w:firstLineChars="200"/>
      <w:jc w:val="both"/>
    </w:pPr>
    <w:rPr>
      <w:rFonts w:hint="eastAsia" w:ascii="宋体" w:hAnsi="Times New Roman" w:eastAsia="宋体" w:cs="Times New Roman"/>
      <w:kern w:val="0"/>
      <w:sz w:val="21"/>
      <w:szCs w:val="21"/>
      <w:lang w:val="en-US" w:eastAsia="zh-CN" w:bidi="ar"/>
    </w:rPr>
  </w:style>
  <w:style w:type="paragraph" w:customStyle="1" w:styleId="16">
    <w:name w:val="文章正文"/>
    <w:basedOn w:val="1"/>
    <w:next w:val="17"/>
    <w:qFormat/>
    <w:uiPriority w:val="0"/>
    <w:pPr>
      <w:spacing w:line="360" w:lineRule="auto"/>
    </w:pPr>
    <w:rPr>
      <w:rFonts w:ascii="Calibri" w:hAnsi="Calibri"/>
    </w:rPr>
  </w:style>
  <w:style w:type="paragraph" w:customStyle="1" w:styleId="17">
    <w:name w:val="公式样式 变量"/>
    <w:qFormat/>
    <w:uiPriority w:val="0"/>
    <w:rPr>
      <w:rFonts w:ascii="Times New Roman" w:hAnsi="Times New Roman" w:eastAsia="宋体" w:cs="Times New Roman"/>
      <w:i/>
      <w:lang w:val="en-US" w:eastAsia="zh-CN" w:bidi="ar-SA"/>
    </w:rPr>
  </w:style>
  <w:style w:type="paragraph" w:styleId="18">
    <w:name w:val="List 2"/>
    <w:basedOn w:val="1"/>
    <w:qFormat/>
    <w:uiPriority w:val="99"/>
    <w:pPr>
      <w:ind w:left="100" w:leftChars="200" w:hanging="200" w:hangingChars="200"/>
      <w:contextualSpacing/>
    </w:pPr>
  </w:style>
  <w:style w:type="paragraph" w:styleId="19">
    <w:name w:val="toc 3"/>
    <w:basedOn w:val="1"/>
    <w:next w:val="1"/>
    <w:unhideWhenUsed/>
    <w:qFormat/>
    <w:uiPriority w:val="0"/>
    <w:pPr>
      <w:ind w:left="840" w:leftChars="400"/>
    </w:pPr>
  </w:style>
  <w:style w:type="paragraph" w:styleId="20">
    <w:name w:val="Plain Text"/>
    <w:basedOn w:val="1"/>
    <w:next w:val="21"/>
    <w:qFormat/>
    <w:uiPriority w:val="0"/>
    <w:rPr>
      <w:rFonts w:ascii="宋体" w:hAnsi="宋体"/>
      <w:szCs w:val="20"/>
    </w:rPr>
  </w:style>
  <w:style w:type="paragraph" w:styleId="21">
    <w:name w:val="toc 1"/>
    <w:basedOn w:val="1"/>
    <w:next w:val="1"/>
    <w:qFormat/>
    <w:uiPriority w:val="0"/>
    <w:pPr>
      <w:tabs>
        <w:tab w:val="right" w:leader="dot" w:pos="9401"/>
      </w:tabs>
      <w:spacing w:line="240" w:lineRule="auto"/>
      <w:ind w:left="197" w:leftChars="86" w:right="100" w:rightChars="100" w:hanging="111" w:hangingChars="111"/>
      <w:jc w:val="left"/>
    </w:pPr>
    <w:rPr>
      <w:rFonts w:eastAsia="仿宋_GB2312"/>
      <w:b/>
      <w:bCs/>
      <w:caps/>
      <w:sz w:val="32"/>
      <w:szCs w:val="20"/>
    </w:rPr>
  </w:style>
  <w:style w:type="paragraph" w:styleId="22">
    <w:name w:val="Date"/>
    <w:basedOn w:val="1"/>
    <w:next w:val="1"/>
    <w:qFormat/>
    <w:uiPriority w:val="0"/>
    <w:rPr>
      <w:rFonts w:ascii="楷体_GB2312" w:eastAsia="楷体_GB2312"/>
      <w:b/>
      <w:sz w:val="28"/>
      <w:szCs w:val="20"/>
    </w:rPr>
  </w:style>
  <w:style w:type="paragraph" w:styleId="23">
    <w:name w:val="Balloon Text"/>
    <w:basedOn w:val="1"/>
    <w:link w:val="93"/>
    <w:qFormat/>
    <w:uiPriority w:val="0"/>
    <w:pPr>
      <w:spacing w:line="240" w:lineRule="auto"/>
    </w:pPr>
    <w:rPr>
      <w:sz w:val="18"/>
      <w:szCs w:val="18"/>
    </w:rPr>
  </w:style>
  <w:style w:type="paragraph" w:styleId="24">
    <w:name w:val="footer"/>
    <w:basedOn w:val="1"/>
    <w:qFormat/>
    <w:uiPriority w:val="0"/>
    <w:pPr>
      <w:tabs>
        <w:tab w:val="center" w:pos="4153"/>
        <w:tab w:val="right" w:pos="8306"/>
      </w:tabs>
    </w:pPr>
  </w:style>
  <w:style w:type="paragraph" w:styleId="25">
    <w:name w:val="envelope return"/>
    <w:basedOn w:val="1"/>
    <w:qFormat/>
    <w:uiPriority w:val="0"/>
    <w:pPr>
      <w:snapToGrid w:val="0"/>
    </w:pPr>
    <w:rPr>
      <w:rFonts w:ascii="Arial" w:hAnsi="Arial"/>
    </w:rPr>
  </w:style>
  <w:style w:type="paragraph" w:styleId="26">
    <w:name w:val="header"/>
    <w:basedOn w:val="1"/>
    <w:qFormat/>
    <w:uiPriority w:val="0"/>
    <w:pPr>
      <w:pBdr>
        <w:bottom w:val="single" w:color="auto" w:sz="6" w:space="1"/>
      </w:pBdr>
      <w:tabs>
        <w:tab w:val="center" w:pos="4153"/>
        <w:tab w:val="right" w:pos="8306"/>
      </w:tabs>
      <w:snapToGrid w:val="0"/>
      <w:jc w:val="center"/>
    </w:pPr>
    <w:rPr>
      <w:b/>
      <w:sz w:val="18"/>
      <w:szCs w:val="18"/>
    </w:rPr>
  </w:style>
  <w:style w:type="paragraph" w:styleId="27">
    <w:name w:val="List"/>
    <w:basedOn w:val="1"/>
    <w:qFormat/>
    <w:uiPriority w:val="0"/>
    <w:pPr>
      <w:ind w:left="200" w:hanging="200" w:hangingChars="200"/>
    </w:pPr>
  </w:style>
  <w:style w:type="paragraph" w:styleId="28">
    <w:name w:val="toc 6"/>
    <w:basedOn w:val="1"/>
    <w:next w:val="1"/>
    <w:unhideWhenUsed/>
    <w:qFormat/>
    <w:uiPriority w:val="39"/>
    <w:pPr>
      <w:spacing w:line="240" w:lineRule="auto"/>
      <w:ind w:left="1050" w:firstLine="0" w:firstLineChars="0"/>
      <w:jc w:val="left"/>
    </w:pPr>
    <w:rPr>
      <w:szCs w:val="21"/>
    </w:rPr>
  </w:style>
  <w:style w:type="paragraph" w:styleId="29">
    <w:name w:val="Body Text Indent 3"/>
    <w:basedOn w:val="1"/>
    <w:qFormat/>
    <w:uiPriority w:val="0"/>
    <w:pPr>
      <w:autoSpaceDE w:val="0"/>
      <w:autoSpaceDN w:val="0"/>
      <w:spacing w:line="400" w:lineRule="atLeast"/>
      <w:ind w:firstLine="443"/>
      <w:textAlignment w:val="bottom"/>
    </w:pPr>
    <w:rPr>
      <w:rFonts w:eastAsia="黑体"/>
      <w:color w:val="000000"/>
    </w:rPr>
  </w:style>
  <w:style w:type="paragraph" w:styleId="30">
    <w:name w:val="table of figures"/>
    <w:basedOn w:val="1"/>
    <w:next w:val="1"/>
    <w:qFormat/>
    <w:uiPriority w:val="99"/>
    <w:pPr>
      <w:ind w:left="200" w:leftChars="200" w:hanging="200" w:hangingChars="200"/>
    </w:pPr>
    <w:rPr>
      <w:rFonts w:ascii="Times New Roman" w:hAnsi="Times New Roman"/>
    </w:rPr>
  </w:style>
  <w:style w:type="paragraph" w:styleId="31">
    <w:name w:val="toc 2"/>
    <w:basedOn w:val="1"/>
    <w:next w:val="1"/>
    <w:qFormat/>
    <w:uiPriority w:val="0"/>
    <w:pPr>
      <w:ind w:left="210"/>
      <w:jc w:val="left"/>
    </w:pPr>
    <w:rPr>
      <w:smallCaps/>
      <w:sz w:val="20"/>
      <w:szCs w:val="20"/>
    </w:rPr>
  </w:style>
  <w:style w:type="paragraph" w:styleId="32">
    <w:name w:val="Body Text 2"/>
    <w:basedOn w:val="1"/>
    <w:next w:val="1"/>
    <w:qFormat/>
    <w:uiPriority w:val="0"/>
    <w:pPr>
      <w:spacing w:after="120" w:line="480" w:lineRule="auto"/>
    </w:pPr>
  </w:style>
  <w:style w:type="paragraph" w:styleId="33">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style>
  <w:style w:type="paragraph" w:styleId="34">
    <w:name w:val="Normal (Web)"/>
    <w:basedOn w:val="1"/>
    <w:qFormat/>
    <w:uiPriority w:val="0"/>
    <w:pPr>
      <w:widowControl/>
      <w:spacing w:before="100" w:beforeAutospacing="1" w:after="100" w:afterAutospacing="1"/>
      <w:jc w:val="left"/>
    </w:pPr>
    <w:rPr>
      <w:rFonts w:ascii="宋体" w:hAnsi="宋体"/>
      <w:kern w:val="0"/>
    </w:rPr>
  </w:style>
  <w:style w:type="paragraph" w:styleId="35">
    <w:name w:val="Title"/>
    <w:basedOn w:val="1"/>
    <w:next w:val="1"/>
    <w:qFormat/>
    <w:uiPriority w:val="0"/>
    <w:pPr>
      <w:spacing w:before="240" w:after="60"/>
      <w:jc w:val="center"/>
      <w:outlineLvl w:val="0"/>
    </w:pPr>
    <w:rPr>
      <w:rFonts w:ascii="Arial" w:hAnsi="Arial" w:cs="Arial"/>
      <w:b/>
      <w:bCs/>
      <w:sz w:val="32"/>
      <w:szCs w:val="32"/>
    </w:rPr>
  </w:style>
  <w:style w:type="paragraph" w:styleId="36">
    <w:name w:val="annotation subject"/>
    <w:basedOn w:val="12"/>
    <w:next w:val="12"/>
    <w:link w:val="91"/>
    <w:qFormat/>
    <w:uiPriority w:val="0"/>
    <w:rPr>
      <w:b/>
      <w:bCs/>
    </w:rPr>
  </w:style>
  <w:style w:type="table" w:styleId="38">
    <w:name w:val="Table Grid"/>
    <w:basedOn w:val="37"/>
    <w:qFormat/>
    <w:uiPriority w:val="0"/>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basedOn w:val="39"/>
    <w:qFormat/>
    <w:uiPriority w:val="0"/>
    <w:rPr>
      <w:i/>
    </w:rPr>
  </w:style>
  <w:style w:type="character" w:styleId="43">
    <w:name w:val="Hyperlink"/>
    <w:basedOn w:val="39"/>
    <w:qFormat/>
    <w:uiPriority w:val="0"/>
    <w:rPr>
      <w:color w:val="0000FF"/>
      <w:u w:val="single"/>
    </w:rPr>
  </w:style>
  <w:style w:type="character" w:styleId="44">
    <w:name w:val="annotation reference"/>
    <w:basedOn w:val="39"/>
    <w:qFormat/>
    <w:uiPriority w:val="0"/>
    <w:rPr>
      <w:sz w:val="21"/>
      <w:szCs w:val="21"/>
    </w:rPr>
  </w:style>
  <w:style w:type="paragraph" w:customStyle="1" w:styleId="45">
    <w:name w:val="样式 表格正文 + 两端对齐"/>
    <w:basedOn w:val="1"/>
    <w:next w:val="46"/>
    <w:qFormat/>
    <w:uiPriority w:val="0"/>
    <w:pPr>
      <w:spacing w:line="300" w:lineRule="auto"/>
      <w:ind w:firstLine="0"/>
    </w:pPr>
  </w:style>
  <w:style w:type="paragraph" w:customStyle="1" w:styleId="46">
    <w:name w:val="正文1"/>
    <w:basedOn w:val="19"/>
    <w:next w:val="47"/>
    <w:qFormat/>
    <w:uiPriority w:val="0"/>
    <w:pPr>
      <w:widowControl/>
      <w:snapToGrid w:val="0"/>
      <w:ind w:firstLine="567"/>
    </w:pPr>
    <w:rPr>
      <w:rFonts w:ascii="楷体_GB2312" w:eastAsia="楷体_GB2312"/>
      <w:kern w:val="0"/>
      <w:sz w:val="28"/>
      <w:szCs w:val="20"/>
    </w:rPr>
  </w:style>
  <w:style w:type="paragraph" w:customStyle="1" w:styleId="47">
    <w:name w:val="自动更正"/>
    <w:next w:val="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xl39"/>
    <w:basedOn w:val="1"/>
    <w:next w:val="49"/>
    <w:qFormat/>
    <w:uiPriority w:val="0"/>
    <w:pPr>
      <w:widowControl/>
      <w:pBdr>
        <w:top w:val="single" w:color="auto" w:sz="4" w:space="0"/>
        <w:bottom w:val="single" w:color="auto" w:sz="4" w:space="0"/>
        <w:right w:val="single" w:color="auto" w:sz="4" w:space="0"/>
      </w:pBdr>
      <w:spacing w:before="100" w:after="100"/>
      <w:jc w:val="left"/>
      <w:textAlignment w:val="center"/>
    </w:pPr>
    <w:rPr>
      <w:kern w:val="0"/>
      <w:szCs w:val="20"/>
    </w:rPr>
  </w:style>
  <w:style w:type="paragraph" w:customStyle="1" w:styleId="49">
    <w:name w:val="分手多日，近况如何？"/>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50">
    <w:name w:val="正文首行缩进 21"/>
    <w:basedOn w:val="14"/>
    <w:next w:val="1"/>
    <w:qFormat/>
    <w:uiPriority w:val="0"/>
    <w:pPr>
      <w:widowControl w:val="0"/>
      <w:spacing w:after="120"/>
      <w:ind w:left="420" w:firstLine="420"/>
      <w:jc w:val="both"/>
    </w:pPr>
    <w:rPr>
      <w:rFonts w:ascii="Times New Roman" w:hAnsi="Times New Roman" w:eastAsia="Times New Roman" w:cs="Times New Roman"/>
      <w:color w:val="000000"/>
      <w:kern w:val="2"/>
      <w:sz w:val="21"/>
      <w:szCs w:val="21"/>
      <w:u w:val="none" w:color="000000"/>
      <w:lang w:val="en-US" w:eastAsia="zh-CN" w:bidi="ar-SA"/>
    </w:rPr>
  </w:style>
  <w:style w:type="paragraph" w:customStyle="1" w:styleId="51">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52">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53">
    <w:name w:val="正文文本 31"/>
    <w:basedOn w:val="1"/>
    <w:qFormat/>
    <w:uiPriority w:val="0"/>
    <w:rPr>
      <w:sz w:val="16"/>
      <w:szCs w:val="16"/>
    </w:rPr>
  </w:style>
  <w:style w:type="paragraph" w:customStyle="1" w:styleId="54">
    <w:name w:val="章正文"/>
    <w:basedOn w:val="1"/>
    <w:qFormat/>
    <w:uiPriority w:val="0"/>
    <w:pPr>
      <w:spacing w:before="156" w:beforeLines="50" w:after="120" w:line="300" w:lineRule="auto"/>
      <w:ind w:firstLine="480"/>
    </w:pPr>
    <w:rPr>
      <w:rFonts w:ascii="Helvetica" w:hAnsi="Helvetica"/>
      <w:kern w:val="0"/>
    </w:rPr>
  </w:style>
  <w:style w:type="paragraph" w:customStyle="1" w:styleId="55">
    <w:name w:val="标准正文"/>
    <w:basedOn w:val="1"/>
    <w:qFormat/>
    <w:uiPriority w:val="0"/>
    <w:pPr>
      <w:spacing w:line="360" w:lineRule="auto"/>
    </w:pPr>
    <w:rPr>
      <w:szCs w:val="20"/>
    </w:rPr>
  </w:style>
  <w:style w:type="paragraph" w:customStyle="1" w:styleId="56">
    <w:name w:val="[Normal]"/>
    <w:qFormat/>
    <w:uiPriority w:val="0"/>
    <w:pPr>
      <w:widowControl w:val="0"/>
      <w:autoSpaceDE w:val="0"/>
      <w:autoSpaceDN w:val="0"/>
      <w:adjustRightInd w:val="0"/>
    </w:pPr>
    <w:rPr>
      <w:rFonts w:ascii="宋体" w:cs="宋体" w:hAnsiTheme="minorHAnsi" w:eastAsiaTheme="minorEastAsia"/>
      <w:sz w:val="24"/>
      <w:szCs w:val="24"/>
      <w:lang w:val="en-US" w:eastAsia="zh-CN" w:bidi="ar-SA"/>
    </w:rPr>
  </w:style>
  <w:style w:type="paragraph" w:customStyle="1" w:styleId="57">
    <w:name w:val="Default"/>
    <w:next w:val="1"/>
    <w:qFormat/>
    <w:uiPriority w:val="99"/>
    <w:pPr>
      <w:widowControl w:val="0"/>
      <w:autoSpaceDE w:val="0"/>
      <w:autoSpaceDN w:val="0"/>
      <w:adjustRightInd w:val="0"/>
    </w:pPr>
    <w:rPr>
      <w:rFonts w:ascii="宋体" w:hAnsi="Times New Roman" w:eastAsia="等线" w:cs="宋体"/>
      <w:color w:val="000000"/>
      <w:sz w:val="24"/>
      <w:szCs w:val="24"/>
      <w:lang w:val="en-US" w:eastAsia="zh-CN" w:bidi="ar-SA"/>
    </w:rPr>
  </w:style>
  <w:style w:type="paragraph" w:customStyle="1" w:styleId="58">
    <w:name w:val="Body Text First Indent 21"/>
    <w:basedOn w:val="59"/>
    <w:qFormat/>
    <w:uiPriority w:val="0"/>
    <w:pPr>
      <w:ind w:firstLine="420"/>
    </w:pPr>
    <w:rPr>
      <w:rFonts w:cs="宋体"/>
    </w:rPr>
  </w:style>
  <w:style w:type="paragraph" w:customStyle="1" w:styleId="59">
    <w:name w:val="Body Text Indent1"/>
    <w:basedOn w:val="1"/>
    <w:next w:val="1"/>
    <w:qFormat/>
    <w:uiPriority w:val="0"/>
    <w:pPr>
      <w:spacing w:after="120"/>
      <w:ind w:left="420" w:leftChars="200"/>
    </w:pPr>
  </w:style>
  <w:style w:type="character" w:customStyle="1" w:styleId="60">
    <w:name w:val="标题 2 Char"/>
    <w:basedOn w:val="39"/>
    <w:qFormat/>
    <w:uiPriority w:val="0"/>
    <w:rPr>
      <w:rFonts w:ascii="Arial" w:hAnsi="Arial" w:eastAsia="宋体"/>
      <w:b/>
      <w:bCs/>
      <w:sz w:val="30"/>
      <w:szCs w:val="32"/>
    </w:rPr>
  </w:style>
  <w:style w:type="character" w:customStyle="1" w:styleId="61">
    <w:name w:val="标题 3 字符"/>
    <w:qFormat/>
    <w:uiPriority w:val="9"/>
    <w:rPr>
      <w:rFonts w:ascii="仿宋_GB2312" w:hAnsi="仿宋_GB2312" w:eastAsia="仿宋" w:cstheme="minorBidi"/>
      <w:b/>
      <w:bCs/>
      <w:sz w:val="24"/>
      <w:szCs w:val="20"/>
    </w:rPr>
  </w:style>
  <w:style w:type="character" w:customStyle="1" w:styleId="62">
    <w:name w:val="标题 1 字符"/>
    <w:basedOn w:val="39"/>
    <w:link w:val="4"/>
    <w:qFormat/>
    <w:locked/>
    <w:uiPriority w:val="99"/>
    <w:rPr>
      <w:rFonts w:ascii="Times New Roman" w:hAnsi="Times New Roman" w:eastAsia="宋体"/>
      <w:b/>
      <w:sz w:val="36"/>
      <w:szCs w:val="20"/>
    </w:rPr>
  </w:style>
  <w:style w:type="character" w:customStyle="1" w:styleId="63">
    <w:name w:val="正文文本 字符"/>
    <w:basedOn w:val="39"/>
    <w:link w:val="2"/>
    <w:semiHidden/>
    <w:qFormat/>
    <w:locked/>
    <w:uiPriority w:val="99"/>
    <w:rPr>
      <w:rFonts w:ascii="Calibri" w:hAnsi="Calibri" w:eastAsia="仿宋" w:cs="Times New Roman"/>
      <w:sz w:val="24"/>
    </w:rPr>
  </w:style>
  <w:style w:type="character" w:customStyle="1" w:styleId="64">
    <w:name w:val="large1"/>
    <w:qFormat/>
    <w:uiPriority w:val="0"/>
    <w:rPr>
      <w:rFonts w:ascii="宋体" w:eastAsia="宋体"/>
      <w:sz w:val="21"/>
    </w:rPr>
  </w:style>
  <w:style w:type="paragraph" w:customStyle="1" w:styleId="65">
    <w:name w:val="普通(网站)1"/>
    <w:basedOn w:val="1"/>
    <w:qFormat/>
    <w:uiPriority w:val="99"/>
    <w:pPr>
      <w:widowControl/>
      <w:spacing w:beforeAutospacing="1" w:afterAutospacing="1"/>
      <w:jc w:val="left"/>
    </w:pPr>
    <w:rPr>
      <w:rFonts w:ascii="宋体" w:hAnsi="宋体" w:cs="宋体"/>
      <w:kern w:val="0"/>
    </w:rPr>
  </w:style>
  <w:style w:type="paragraph" w:customStyle="1" w:styleId="66">
    <w:name w:val="无间隔1"/>
    <w:qFormat/>
    <w:uiPriority w:val="0"/>
    <w:rPr>
      <w:rFonts w:ascii="Calibri" w:hAnsi="Calibri" w:eastAsia="宋体" w:cs="Times New Roman"/>
      <w:sz w:val="22"/>
      <w:szCs w:val="22"/>
      <w:lang w:val="en-US" w:eastAsia="en-US" w:bidi="ar-SA"/>
    </w:rPr>
  </w:style>
  <w:style w:type="paragraph" w:customStyle="1" w:styleId="67">
    <w:name w:val="正文2"/>
    <w:basedOn w:val="1"/>
    <w:qFormat/>
    <w:uiPriority w:val="0"/>
    <w:pPr>
      <w:spacing w:before="156" w:line="360" w:lineRule="auto"/>
      <w:ind w:firstLine="510"/>
    </w:pPr>
  </w:style>
  <w:style w:type="paragraph" w:customStyle="1" w:styleId="68">
    <w:name w:val="DG正文"/>
    <w:basedOn w:val="1"/>
    <w:qFormat/>
    <w:uiPriority w:val="0"/>
    <w:pPr>
      <w:widowControl/>
      <w:spacing w:line="360" w:lineRule="auto"/>
      <w:ind w:right="142" w:firstLine="640"/>
      <w:jc w:val="left"/>
    </w:pPr>
    <w:rPr>
      <w:rFonts w:ascii="Calibri" w:hAnsi="Calibri" w:cs="Calibri"/>
    </w:rPr>
  </w:style>
  <w:style w:type="paragraph" w:customStyle="1" w:styleId="69">
    <w:name w:val="正文首行缩进2字符"/>
    <w:basedOn w:val="1"/>
    <w:qFormat/>
    <w:uiPriority w:val="99"/>
    <w:pPr>
      <w:spacing w:line="360" w:lineRule="auto"/>
    </w:pPr>
  </w:style>
  <w:style w:type="paragraph" w:customStyle="1" w:styleId="70">
    <w:name w:val="居中图片"/>
    <w:basedOn w:val="1"/>
    <w:next w:val="1"/>
    <w:qFormat/>
    <w:uiPriority w:val="0"/>
    <w:pPr>
      <w:jc w:val="center"/>
    </w:pPr>
    <w:rPr>
      <w:rFonts w:eastAsia="黑体"/>
    </w:rPr>
  </w:style>
  <w:style w:type="paragraph" w:customStyle="1" w:styleId="71">
    <w:name w:val="图标题格式"/>
    <w:basedOn w:val="1"/>
    <w:next w:val="1"/>
    <w:qFormat/>
    <w:uiPriority w:val="0"/>
    <w:pPr>
      <w:spacing w:line="360" w:lineRule="auto"/>
      <w:jc w:val="center"/>
    </w:pPr>
    <w:rPr>
      <w:rFonts w:ascii="黑体" w:eastAsia="黑体" w:hAnsiTheme="majorHAnsi" w:cstheme="majorBidi"/>
      <w:sz w:val="20"/>
      <w:szCs w:val="21"/>
    </w:rPr>
  </w:style>
  <w:style w:type="paragraph" w:customStyle="1" w:styleId="72">
    <w:name w:val="居中表名"/>
    <w:basedOn w:val="1"/>
    <w:next w:val="1"/>
    <w:qFormat/>
    <w:uiPriority w:val="0"/>
    <w:pPr>
      <w:spacing w:before="160" w:line="360" w:lineRule="auto"/>
      <w:jc w:val="center"/>
    </w:pPr>
    <w:rPr>
      <w:rFonts w:eastAsia="黑体"/>
      <w:b/>
    </w:rPr>
  </w:style>
  <w:style w:type="paragraph" w:customStyle="1" w:styleId="73">
    <w:name w:val="居中表格内容"/>
    <w:basedOn w:val="1"/>
    <w:next w:val="1"/>
    <w:qFormat/>
    <w:uiPriority w:val="0"/>
    <w:pPr>
      <w:jc w:val="left"/>
    </w:pPr>
    <w:rPr>
      <w:sz w:val="20"/>
    </w:rPr>
  </w:style>
  <w:style w:type="paragraph" w:styleId="74">
    <w:name w:val="List Paragraph"/>
    <w:basedOn w:val="1"/>
    <w:qFormat/>
    <w:uiPriority w:val="34"/>
    <w:pPr>
      <w:ind w:firstLine="420"/>
    </w:pPr>
  </w:style>
  <w:style w:type="paragraph" w:customStyle="1" w:styleId="75">
    <w:name w:val="正文文本缩进2"/>
    <w:basedOn w:val="1"/>
    <w:qFormat/>
    <w:uiPriority w:val="99"/>
    <w:pPr>
      <w:snapToGrid w:val="0"/>
      <w:spacing w:after="120" w:line="400" w:lineRule="exact"/>
      <w:ind w:left="420" w:leftChars="200" w:firstLine="425" w:firstLineChars="177"/>
    </w:pPr>
    <w:rPr>
      <w:rFonts w:ascii="宋体" w:hAnsi="宋体"/>
      <w:color w:val="000000"/>
    </w:rPr>
  </w:style>
  <w:style w:type="paragraph" w:customStyle="1" w:styleId="76">
    <w:name w:val="p22"/>
    <w:basedOn w:val="1"/>
    <w:qFormat/>
    <w:uiPriority w:val="0"/>
    <w:pPr>
      <w:widowControl/>
      <w:spacing w:line="360" w:lineRule="auto"/>
      <w:ind w:firstLine="420"/>
    </w:pPr>
    <w:rPr>
      <w:rFonts w:ascii="Calibri" w:hAnsi="Calibri" w:cs="宋体"/>
      <w:kern w:val="0"/>
    </w:rPr>
  </w:style>
  <w:style w:type="paragraph" w:customStyle="1" w:styleId="77">
    <w:name w:val="纯文本1"/>
    <w:basedOn w:val="1"/>
    <w:qFormat/>
    <w:uiPriority w:val="0"/>
    <w:rPr>
      <w:rFonts w:ascii="宋体" w:hAnsi="Courier New"/>
      <w:szCs w:val="20"/>
    </w:rPr>
  </w:style>
  <w:style w:type="paragraph" w:customStyle="1" w:styleId="78">
    <w:name w:val="正文_17"/>
    <w:qFormat/>
    <w:uiPriority w:val="0"/>
    <w:pPr>
      <w:widowControl w:val="0"/>
      <w:jc w:val="both"/>
    </w:pPr>
    <w:rPr>
      <w:rFonts w:ascii="Calibri" w:hAnsi="Calibri" w:eastAsia="宋体" w:cs="Times New Roman"/>
      <w:kern w:val="2"/>
      <w:sz w:val="21"/>
      <w:szCs w:val="24"/>
      <w:lang w:val="en-US" w:eastAsia="zh-CN" w:bidi="ar-SA"/>
    </w:rPr>
  </w:style>
  <w:style w:type="character" w:customStyle="1" w:styleId="79">
    <w:name w:val="font51"/>
    <w:basedOn w:val="39"/>
    <w:qFormat/>
    <w:uiPriority w:val="0"/>
    <w:rPr>
      <w:rFonts w:hint="eastAsia" w:ascii="宋体" w:hAnsi="宋体" w:eastAsia="宋体" w:cs="宋体"/>
      <w:color w:val="000000"/>
      <w:sz w:val="20"/>
      <w:szCs w:val="20"/>
      <w:u w:val="none"/>
    </w:rPr>
  </w:style>
  <w:style w:type="paragraph" w:customStyle="1" w:styleId="80">
    <w:name w:val="Table Paragraph"/>
    <w:basedOn w:val="1"/>
    <w:qFormat/>
    <w:uiPriority w:val="1"/>
    <w:rPr>
      <w:rFonts w:ascii="宋体" w:hAnsi="宋体" w:cs="宋体"/>
      <w:lang w:val="zh-CN" w:bidi="zh-CN"/>
    </w:rPr>
  </w:style>
  <w:style w:type="paragraph" w:customStyle="1" w:styleId="81">
    <w:name w:val="正文_1_0"/>
    <w:next w:val="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正文文本_1_0"/>
    <w:basedOn w:val="81"/>
    <w:next w:val="83"/>
    <w:unhideWhenUsed/>
    <w:qFormat/>
    <w:uiPriority w:val="0"/>
    <w:pPr>
      <w:spacing w:after="120"/>
    </w:pPr>
    <w:rPr>
      <w:sz w:val="20"/>
    </w:rPr>
  </w:style>
  <w:style w:type="paragraph" w:customStyle="1" w:styleId="83">
    <w:name w:val="正文首行缩进_1_0"/>
    <w:basedOn w:val="82"/>
    <w:next w:val="84"/>
    <w:qFormat/>
    <w:uiPriority w:val="0"/>
    <w:pPr>
      <w:ind w:firstLine="420"/>
    </w:pPr>
  </w:style>
  <w:style w:type="paragraph" w:customStyle="1" w:styleId="84">
    <w:name w:val="正文_1_1"/>
    <w:next w:val="83"/>
    <w:qFormat/>
    <w:uiPriority w:val="1"/>
    <w:pPr>
      <w:jc w:val="both"/>
    </w:pPr>
    <w:rPr>
      <w:rFonts w:ascii="Times New Roman" w:hAnsi="Times New Roman" w:eastAsia="宋体" w:cs="Times New Roman"/>
      <w:sz w:val="21"/>
      <w:szCs w:val="21"/>
      <w:lang w:val="en-US" w:eastAsia="zh-CN" w:bidi="ar-SA"/>
    </w:rPr>
  </w:style>
  <w:style w:type="paragraph" w:customStyle="1" w:styleId="85">
    <w:name w:val="正文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8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正文_18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正文_21"/>
    <w:qFormat/>
    <w:uiPriority w:val="0"/>
    <w:pPr>
      <w:widowControl w:val="0"/>
      <w:jc w:val="both"/>
    </w:pPr>
    <w:rPr>
      <w:rFonts w:ascii="Calibri" w:hAnsi="Calibri" w:eastAsia="宋体" w:cs="Times New Roman"/>
      <w:kern w:val="2"/>
      <w:sz w:val="21"/>
      <w:szCs w:val="22"/>
      <w:lang w:val="en-US" w:eastAsia="zh-CN" w:bidi="ar-SA"/>
    </w:rPr>
  </w:style>
  <w:style w:type="character" w:customStyle="1" w:styleId="90">
    <w:name w:val="批注文字 字符"/>
    <w:basedOn w:val="39"/>
    <w:link w:val="12"/>
    <w:qFormat/>
    <w:uiPriority w:val="0"/>
    <w:rPr>
      <w:kern w:val="2"/>
      <w:sz w:val="24"/>
      <w:szCs w:val="24"/>
    </w:rPr>
  </w:style>
  <w:style w:type="character" w:customStyle="1" w:styleId="91">
    <w:name w:val="批注主题 字符"/>
    <w:basedOn w:val="90"/>
    <w:link w:val="36"/>
    <w:qFormat/>
    <w:uiPriority w:val="0"/>
    <w:rPr>
      <w:b/>
      <w:bCs/>
      <w:kern w:val="2"/>
      <w:sz w:val="24"/>
      <w:szCs w:val="24"/>
    </w:rPr>
  </w:style>
  <w:style w:type="paragraph" w:customStyle="1" w:styleId="92">
    <w:name w:val="修订1"/>
    <w:hidden/>
    <w:semiHidden/>
    <w:qFormat/>
    <w:uiPriority w:val="99"/>
    <w:rPr>
      <w:rFonts w:ascii="Times New Roman" w:hAnsi="Times New Roman" w:eastAsia="宋体" w:cs="Times New Roman"/>
      <w:kern w:val="2"/>
      <w:sz w:val="24"/>
      <w:szCs w:val="24"/>
      <w:lang w:val="en-US" w:eastAsia="zh-CN" w:bidi="ar-SA"/>
    </w:rPr>
  </w:style>
  <w:style w:type="character" w:customStyle="1" w:styleId="93">
    <w:name w:val="批注框文本 字符"/>
    <w:basedOn w:val="39"/>
    <w:link w:val="23"/>
    <w:qFormat/>
    <w:uiPriority w:val="0"/>
    <w:rPr>
      <w:kern w:val="2"/>
      <w:sz w:val="18"/>
      <w:szCs w:val="18"/>
    </w:rPr>
  </w:style>
  <w:style w:type="paragraph" w:customStyle="1" w:styleId="94">
    <w:name w:val="修订2"/>
    <w:hidden/>
    <w:semiHidden/>
    <w:qFormat/>
    <w:uiPriority w:val="99"/>
    <w:rPr>
      <w:rFonts w:ascii="Times New Roman" w:hAnsi="Times New Roman" w:eastAsia="宋体" w:cs="Times New Roman"/>
      <w:kern w:val="2"/>
      <w:sz w:val="24"/>
      <w:szCs w:val="24"/>
      <w:lang w:val="en-US" w:eastAsia="zh-CN" w:bidi="ar-SA"/>
    </w:rPr>
  </w:style>
  <w:style w:type="paragraph" w:styleId="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96">
    <w:name w:val="Proposals body"/>
    <w:basedOn w:val="1"/>
    <w:next w:val="1"/>
    <w:qFormat/>
    <w:uiPriority w:val="0"/>
    <w:pPr>
      <w:widowControl/>
      <w:spacing w:line="360" w:lineRule="auto"/>
      <w:jc w:val="left"/>
    </w:pPr>
    <w:rPr>
      <w:rFonts w:ascii="宋体" w:eastAsia="仿宋_GB2312"/>
      <w:snapToGrid w:val="0"/>
      <w:color w:val="000000"/>
      <w:kern w:val="0"/>
      <w:szCs w:val="20"/>
    </w:rPr>
  </w:style>
  <w:style w:type="paragraph" w:customStyle="1" w:styleId="97">
    <w:name w:val="List Paragraph1"/>
    <w:basedOn w:val="1"/>
    <w:qFormat/>
    <w:uiPriority w:val="0"/>
    <w:pPr>
      <w:widowControl/>
      <w:ind w:firstLine="420"/>
      <w:jc w:val="left"/>
    </w:pPr>
    <w:rPr>
      <w:rFonts w:ascii="Calibri" w:hAnsi="Calibri"/>
      <w:szCs w:val="22"/>
    </w:rPr>
  </w:style>
  <w:style w:type="character" w:customStyle="1" w:styleId="98">
    <w:name w:val="样式 仿宋"/>
    <w:qFormat/>
    <w:uiPriority w:val="0"/>
    <w:rPr>
      <w:rFonts w:ascii="仿宋" w:hAnsi="仿宋" w:eastAsia="仿宋"/>
      <w:kern w:val="1"/>
    </w:rPr>
  </w:style>
  <w:style w:type="paragraph" w:customStyle="1" w:styleId="99">
    <w:name w:val="Normal Indent1"/>
    <w:basedOn w:val="1"/>
    <w:qFormat/>
    <w:uiPriority w:val="99"/>
    <w:pPr>
      <w:ind w:firstLine="420"/>
    </w:pPr>
  </w:style>
  <w:style w:type="paragraph" w:customStyle="1" w:styleId="100">
    <w:name w:val="WPSOffice手动目录 1"/>
    <w:qFormat/>
    <w:uiPriority w:val="0"/>
    <w:rPr>
      <w:rFonts w:ascii="Calibri" w:hAnsi="Calibri" w:eastAsia="Calibri" w:cs="Arial"/>
      <w:lang w:val="en-US" w:eastAsia="zh-CN" w:bidi="ar-SA"/>
    </w:rPr>
  </w:style>
  <w:style w:type="paragraph" w:customStyle="1" w:styleId="101">
    <w:name w:val="WPSOffice手动目录 2"/>
    <w:qFormat/>
    <w:uiPriority w:val="0"/>
    <w:pPr>
      <w:ind w:left="200" w:leftChars="200"/>
    </w:pPr>
    <w:rPr>
      <w:rFonts w:ascii="Calibri" w:hAnsi="Calibri" w:eastAsia="Calibri" w:cs="Arial"/>
      <w:lang w:val="en-US" w:eastAsia="zh-CN" w:bidi="ar-SA"/>
    </w:rPr>
  </w:style>
  <w:style w:type="paragraph" w:customStyle="1" w:styleId="102">
    <w:name w:val="_Style 15"/>
    <w:basedOn w:val="1"/>
    <w:next w:val="74"/>
    <w:qFormat/>
    <w:uiPriority w:val="34"/>
    <w:pPr>
      <w:ind w:firstLine="420"/>
    </w:pPr>
    <w:rPr>
      <w:rFonts w:ascii="Calibri" w:hAnsi="Calibri"/>
    </w:rPr>
  </w:style>
  <w:style w:type="paragraph" w:customStyle="1" w:styleId="103">
    <w:name w:val="列出段落1"/>
    <w:basedOn w:val="1"/>
    <w:qFormat/>
    <w:uiPriority w:val="34"/>
    <w:pPr>
      <w:ind w:firstLine="420"/>
    </w:pPr>
    <w:rPr>
      <w:rFonts w:ascii="Calibri" w:hAnsi="Calibri"/>
      <w:szCs w:val="20"/>
    </w:rPr>
  </w:style>
  <w:style w:type="character" w:customStyle="1" w:styleId="104">
    <w:name w:val="font31"/>
    <w:basedOn w:val="39"/>
    <w:qFormat/>
    <w:uiPriority w:val="0"/>
    <w:rPr>
      <w:rFonts w:hint="eastAsia" w:ascii="宋体" w:hAnsi="宋体" w:eastAsia="宋体" w:cs="宋体"/>
      <w:color w:val="000000"/>
      <w:sz w:val="18"/>
      <w:szCs w:val="18"/>
      <w:u w:val="none"/>
    </w:rPr>
  </w:style>
  <w:style w:type="paragraph" w:customStyle="1" w:styleId="105">
    <w:name w:val="正文 New New New New"/>
    <w:qFormat/>
    <w:uiPriority w:val="99"/>
    <w:pPr>
      <w:widowControl w:val="0"/>
      <w:jc w:val="both"/>
    </w:pPr>
    <w:rPr>
      <w:rFonts w:ascii="Times New Roman" w:hAnsi="Times New Roman" w:eastAsia="宋体" w:cs="Times New Roman"/>
      <w:szCs w:val="24"/>
      <w:lang w:val="en-US" w:eastAsia="zh-CN" w:bidi="ar-SA"/>
    </w:rPr>
  </w:style>
  <w:style w:type="paragraph" w:customStyle="1" w:styleId="106">
    <w:name w:val="正文（首行缩进2字符）"/>
    <w:basedOn w:val="1"/>
    <w:qFormat/>
    <w:uiPriority w:val="0"/>
    <w:pPr>
      <w:spacing w:line="360" w:lineRule="auto"/>
      <w:ind w:firstLine="420"/>
    </w:pPr>
    <w:rPr>
      <w:szCs w:val="21"/>
    </w:rPr>
  </w:style>
  <w:style w:type="paragraph" w:customStyle="1" w:styleId="107">
    <w:name w:val="正文 A"/>
    <w:next w:val="50"/>
    <w:qFormat/>
    <w:uiPriority w:val="0"/>
    <w:pPr>
      <w:widowControl w:val="0"/>
      <w:pBdr>
        <w:top w:val="none" w:color="FFFFFF" w:sz="0" w:space="31"/>
        <w:left w:val="none" w:color="FFFFFF" w:sz="0" w:space="31"/>
        <w:bottom w:val="none" w:color="FFFFFF" w:sz="0" w:space="31"/>
        <w:right w:val="none" w:color="FFFFFF" w:sz="0" w:space="31"/>
      </w:pBdr>
      <w:jc w:val="both"/>
    </w:pPr>
    <w:rPr>
      <w:rFonts w:ascii="Calibri" w:hAnsi="Arial Unicode MS" w:eastAsia="Times New Roman" w:cs="Times New Roman"/>
      <w:color w:val="000000"/>
      <w:kern w:val="2"/>
      <w:sz w:val="21"/>
      <w:szCs w:val="21"/>
      <w:lang w:val="en-US" w:eastAsia="zh-CN" w:bidi="ar-SA"/>
    </w:rPr>
  </w:style>
  <w:style w:type="character" w:customStyle="1" w:styleId="108">
    <w:name w:val="NormalCharacter"/>
    <w:semiHidden/>
    <w:qFormat/>
    <w:uiPriority w:val="0"/>
  </w:style>
  <w:style w:type="character" w:customStyle="1" w:styleId="109">
    <w:name w:val="标题 3 Char"/>
    <w:qFormat/>
    <w:uiPriority w:val="9"/>
    <w:rPr>
      <w:rFonts w:ascii="仿宋_GB2312" w:hAnsi="仿宋_GB2312" w:eastAsia="仿宋" w:cs="Times New Roman"/>
      <w:b/>
      <w:bCs/>
      <w:sz w:val="24"/>
      <w:szCs w:val="20"/>
    </w:rPr>
  </w:style>
  <w:style w:type="character" w:customStyle="1" w:styleId="110">
    <w:name w:val="标题 2 Char Char"/>
    <w:basedOn w:val="39"/>
    <w:qFormat/>
    <w:uiPriority w:val="0"/>
    <w:rPr>
      <w:rFonts w:ascii="宋体" w:hAnsi="宋体" w:eastAsia="仿宋_GB2312"/>
      <w:bCs/>
      <w:kern w:val="2"/>
      <w:sz w:val="28"/>
      <w:szCs w:val="32"/>
      <w:lang w:val="en-US" w:eastAsia="zh-CN" w:bidi="ar-SA"/>
    </w:rPr>
  </w:style>
  <w:style w:type="paragraph" w:customStyle="1" w:styleId="111">
    <w:name w:val="zg1"/>
    <w:basedOn w:val="14"/>
    <w:qFormat/>
    <w:uiPriority w:val="0"/>
    <w:pPr>
      <w:spacing w:line="360" w:lineRule="auto"/>
      <w:ind w:left="0"/>
    </w:pPr>
  </w:style>
  <w:style w:type="paragraph" w:customStyle="1" w:styleId="112">
    <w:name w:val="首行缩进"/>
    <w:basedOn w:val="1"/>
    <w:next w:val="1"/>
    <w:qFormat/>
    <w:uiPriority w:val="0"/>
    <w:pPr>
      <w:widowControl/>
      <w:numPr>
        <w:ilvl w:val="6"/>
        <w:numId w:val="3"/>
      </w:numPr>
      <w:tabs>
        <w:tab w:val="left" w:pos="822"/>
        <w:tab w:val="clear" w:pos="3120"/>
      </w:tabs>
      <w:snapToGrid w:val="0"/>
      <w:spacing w:before="40" w:after="40" w:line="300" w:lineRule="atLeast"/>
    </w:pPr>
    <w:rPr>
      <w:rFonts w:ascii="Arial" w:hAnsi="Arial"/>
      <w:kern w:val="0"/>
      <w:szCs w:val="20"/>
    </w:rPr>
  </w:style>
  <w:style w:type="paragraph" w:customStyle="1" w:styleId="113">
    <w:name w:val="正文文本缩进1"/>
    <w:basedOn w:val="1"/>
    <w:qFormat/>
    <w:uiPriority w:val="0"/>
    <w:pPr>
      <w:spacing w:line="360" w:lineRule="auto"/>
      <w:ind w:firstLine="435"/>
    </w:pPr>
    <w:rPr>
      <w:sz w:val="28"/>
    </w:rPr>
  </w:style>
  <w:style w:type="character" w:customStyle="1" w:styleId="114">
    <w:name w:val="font21"/>
    <w:qFormat/>
    <w:uiPriority w:val="0"/>
    <w:rPr>
      <w:rFonts w:hint="eastAsia" w:ascii="宋体" w:hAnsi="宋体" w:eastAsia="宋体" w:cs="宋体"/>
      <w:color w:val="000000"/>
      <w:sz w:val="21"/>
      <w:szCs w:val="21"/>
      <w:u w:val="none"/>
    </w:rPr>
  </w:style>
  <w:style w:type="paragraph" w:customStyle="1" w:styleId="115">
    <w:name w:val="Char"/>
    <w:basedOn w:val="1"/>
    <w:next w:val="1"/>
    <w:qFormat/>
    <w:uiPriority w:val="0"/>
    <w:rPr>
      <w:rFonts w:ascii="Tahoma" w:hAnsi="Tahoma"/>
      <w:szCs w:val="20"/>
    </w:rPr>
  </w:style>
  <w:style w:type="paragraph" w:customStyle="1" w:styleId="116">
    <w:name w:val="msolistparagraph"/>
    <w:basedOn w:val="1"/>
    <w:qFormat/>
    <w:uiPriority w:val="0"/>
    <w:pPr>
      <w:ind w:firstLine="420"/>
    </w:pPr>
    <w:rPr>
      <w:rFonts w:ascii="Calibri" w:hAnsi="Calibri"/>
    </w:rPr>
  </w:style>
  <w:style w:type="paragraph" w:customStyle="1" w:styleId="117">
    <w:name w:val="_标题1"/>
    <w:basedOn w:val="118"/>
    <w:next w:val="118"/>
    <w:qFormat/>
    <w:uiPriority w:val="0"/>
    <w:pPr>
      <w:keepNext/>
      <w:pageBreakBefore/>
      <w:widowControl w:val="0"/>
      <w:spacing w:before="50" w:beforeLines="50" w:after="50" w:afterLines="50"/>
      <w:ind w:left="425" w:firstLine="0" w:firstLineChars="0"/>
      <w:outlineLvl w:val="0"/>
    </w:pPr>
    <w:rPr>
      <w:b/>
      <w:sz w:val="44"/>
      <w:szCs w:val="44"/>
    </w:rPr>
  </w:style>
  <w:style w:type="paragraph" w:customStyle="1" w:styleId="118">
    <w:name w:val="__正文"/>
    <w:basedOn w:val="1"/>
    <w:link w:val="126"/>
    <w:qFormat/>
    <w:uiPriority w:val="0"/>
    <w:pPr>
      <w:widowControl/>
      <w:spacing w:line="360" w:lineRule="auto"/>
      <w:jc w:val="left"/>
    </w:pPr>
    <w:rPr>
      <w:rFonts w:ascii="Calibri" w:hAnsi="Calibri"/>
      <w:sz w:val="21"/>
      <w:szCs w:val="21"/>
    </w:rPr>
  </w:style>
  <w:style w:type="paragraph" w:customStyle="1" w:styleId="119">
    <w:name w:val="_标题2"/>
    <w:basedOn w:val="118"/>
    <w:next w:val="118"/>
    <w:qFormat/>
    <w:uiPriority w:val="0"/>
    <w:pPr>
      <w:keepNext/>
      <w:widowControl w:val="0"/>
      <w:spacing w:before="50" w:beforeLines="50" w:after="50" w:afterLines="50"/>
      <w:ind w:firstLine="0" w:firstLineChars="0"/>
      <w:outlineLvl w:val="1"/>
    </w:pPr>
    <w:rPr>
      <w:b/>
      <w:sz w:val="32"/>
      <w:szCs w:val="32"/>
    </w:rPr>
  </w:style>
  <w:style w:type="paragraph" w:customStyle="1" w:styleId="120">
    <w:name w:val="_标题3"/>
    <w:basedOn w:val="118"/>
    <w:next w:val="118"/>
    <w:qFormat/>
    <w:uiPriority w:val="0"/>
    <w:pPr>
      <w:keepNext/>
      <w:widowControl w:val="0"/>
      <w:spacing w:before="50" w:beforeLines="50" w:after="50" w:afterLines="50"/>
      <w:ind w:firstLine="0" w:firstLineChars="0"/>
      <w:outlineLvl w:val="2"/>
    </w:pPr>
    <w:rPr>
      <w:b/>
      <w:sz w:val="30"/>
      <w:szCs w:val="30"/>
    </w:rPr>
  </w:style>
  <w:style w:type="paragraph" w:customStyle="1" w:styleId="121">
    <w:name w:val="_标题4"/>
    <w:basedOn w:val="118"/>
    <w:next w:val="118"/>
    <w:qFormat/>
    <w:uiPriority w:val="0"/>
    <w:pPr>
      <w:keepNext/>
      <w:widowControl w:val="0"/>
      <w:spacing w:before="50" w:beforeLines="50"/>
      <w:ind w:firstLine="0" w:firstLineChars="0"/>
      <w:outlineLvl w:val="3"/>
    </w:pPr>
    <w:rPr>
      <w:b/>
      <w:sz w:val="28"/>
      <w:szCs w:val="28"/>
    </w:rPr>
  </w:style>
  <w:style w:type="paragraph" w:customStyle="1" w:styleId="122">
    <w:name w:val="_标题5"/>
    <w:basedOn w:val="118"/>
    <w:next w:val="118"/>
    <w:qFormat/>
    <w:uiPriority w:val="0"/>
    <w:pPr>
      <w:keepNext/>
      <w:spacing w:before="50" w:beforeLines="50"/>
      <w:ind w:firstLine="0" w:firstLineChars="0"/>
      <w:outlineLvl w:val="4"/>
    </w:pPr>
    <w:rPr>
      <w:b/>
      <w:sz w:val="24"/>
      <w:szCs w:val="24"/>
    </w:rPr>
  </w:style>
  <w:style w:type="paragraph" w:customStyle="1" w:styleId="123">
    <w:name w:val="_正文"/>
    <w:basedOn w:val="1"/>
    <w:qFormat/>
    <w:uiPriority w:val="0"/>
    <w:pPr>
      <w:widowControl/>
      <w:spacing w:line="360" w:lineRule="auto"/>
      <w:jc w:val="left"/>
    </w:pPr>
    <w:rPr>
      <w:rFonts w:ascii="Calibri" w:hAnsi="Calibri"/>
    </w:rPr>
  </w:style>
  <w:style w:type="paragraph" w:customStyle="1" w:styleId="124">
    <w:name w:val="列表段落2"/>
    <w:basedOn w:val="1"/>
    <w:qFormat/>
    <w:uiPriority w:val="0"/>
    <w:pPr>
      <w:spacing w:line="360" w:lineRule="auto"/>
      <w:ind w:firstLine="420"/>
    </w:pPr>
    <w:rPr>
      <w:rFonts w:ascii="Calibri" w:hAnsi="Calibri"/>
      <w:lang w:val="zh-CN"/>
    </w:rPr>
  </w:style>
  <w:style w:type="paragraph" w:customStyle="1" w:styleId="125">
    <w:name w:val="WPSOffice手动目录 3"/>
    <w:qFormat/>
    <w:uiPriority w:val="0"/>
    <w:pPr>
      <w:ind w:left="400" w:leftChars="400"/>
    </w:pPr>
    <w:rPr>
      <w:rFonts w:ascii="Calibri" w:hAnsi="Calibri" w:eastAsia="宋体" w:cs="Times New Roman"/>
      <w:lang w:val="en-US" w:eastAsia="zh-CN" w:bidi="ar-SA"/>
    </w:rPr>
  </w:style>
  <w:style w:type="character" w:customStyle="1" w:styleId="126">
    <w:name w:val="__正文 Char"/>
    <w:basedOn w:val="39"/>
    <w:link w:val="118"/>
    <w:qFormat/>
    <w:uiPriority w:val="0"/>
    <w:rPr>
      <w:kern w:val="2"/>
      <w:sz w:val="21"/>
      <w:szCs w:val="21"/>
    </w:rPr>
  </w:style>
  <w:style w:type="paragraph" w:customStyle="1" w:styleId="127">
    <w:name w:val="样式3"/>
    <w:basedOn w:val="20"/>
    <w:next w:val="1"/>
    <w:qFormat/>
    <w:uiPriority w:val="0"/>
    <w:pPr>
      <w:tabs>
        <w:tab w:val="left" w:pos="709"/>
      </w:tabs>
      <w:ind w:left="709" w:hanging="709"/>
    </w:pPr>
    <w:rPr>
      <w:rFonts w:ascii="Tahoma" w:hAnsi="Tahoma"/>
      <w:sz w:val="28"/>
    </w:rPr>
  </w:style>
  <w:style w:type="paragraph" w:customStyle="1" w:styleId="128">
    <w:name w:val="样式1"/>
    <w:basedOn w:val="1"/>
    <w:qFormat/>
    <w:uiPriority w:val="0"/>
    <w:rPr>
      <w:rFonts w:ascii="宋体"/>
    </w:rPr>
  </w:style>
  <w:style w:type="character" w:customStyle="1" w:styleId="129">
    <w:name w:val="正文文本 (2) + 9 pt"/>
    <w:basedOn w:val="39"/>
    <w:qFormat/>
    <w:uiPriority w:val="0"/>
    <w:rPr>
      <w:rFonts w:ascii="MingLiU" w:hAnsi="MingLiU" w:eastAsia="MingLiU"/>
      <w:b/>
      <w:bCs/>
      <w:color w:val="000000"/>
      <w:spacing w:val="0"/>
      <w:w w:val="100"/>
      <w:position w:val="0"/>
      <w:sz w:val="18"/>
      <w:szCs w:val="18"/>
      <w:u w:val="none"/>
      <w:shd w:val="clear" w:color="auto" w:fill="FFFFFF"/>
      <w:lang w:val="zh-CN" w:eastAsia="zh-CN" w:bidi="ar-SA"/>
    </w:rPr>
  </w:style>
  <w:style w:type="paragraph" w:customStyle="1" w:styleId="130">
    <w:name w:val="_Style 3"/>
    <w:basedOn w:val="1"/>
    <w:qFormat/>
    <w:uiPriority w:val="0"/>
    <w:pPr>
      <w:ind w:firstLine="420"/>
    </w:pPr>
    <w:rPr>
      <w:rFonts w:ascii="Calibri" w:hAnsi="Calibri"/>
      <w:szCs w:val="22"/>
    </w:rPr>
  </w:style>
  <w:style w:type="character" w:customStyle="1" w:styleId="131">
    <w:name w:val="标题 1 Char Char"/>
    <w:basedOn w:val="39"/>
    <w:qFormat/>
    <w:uiPriority w:val="0"/>
    <w:rPr>
      <w:rFonts w:eastAsia="仿宋"/>
      <w:b/>
      <w:spacing w:val="-2"/>
      <w:sz w:val="28"/>
      <w:lang w:val="en-US" w:eastAsia="zh-CN" w:bidi="ar-SA"/>
    </w:rPr>
  </w:style>
  <w:style w:type="paragraph" w:customStyle="1" w:styleId="132">
    <w:name w:val="样式2"/>
    <w:basedOn w:val="2"/>
    <w:qFormat/>
    <w:uiPriority w:val="0"/>
    <w:pPr>
      <w:numPr>
        <w:ilvl w:val="2"/>
        <w:numId w:val="4"/>
      </w:numPr>
      <w:tabs>
        <w:tab w:val="left" w:pos="0"/>
      </w:tabs>
      <w:adjustRightInd w:val="0"/>
      <w:spacing w:before="120" w:line="480" w:lineRule="auto"/>
      <w:textAlignment w:val="baseline"/>
    </w:pPr>
    <w:rPr>
      <w:rFonts w:ascii="宋体"/>
      <w:kern w:val="0"/>
      <w:sz w:val="18"/>
      <w:szCs w:val="18"/>
    </w:rPr>
  </w:style>
  <w:style w:type="character" w:customStyle="1" w:styleId="133">
    <w:name w:val="标题 2 字符"/>
    <w:basedOn w:val="39"/>
    <w:link w:val="5"/>
    <w:qFormat/>
    <w:uiPriority w:val="0"/>
    <w:rPr>
      <w:rFonts w:eastAsia="仿宋" w:asciiTheme="majorHAnsi" w:hAnsiTheme="majorHAnsi" w:cstheme="majorBidi"/>
      <w:b/>
      <w:bCs/>
      <w:sz w:val="30"/>
      <w:szCs w:val="32"/>
    </w:rPr>
  </w:style>
  <w:style w:type="paragraph" w:customStyle="1" w:styleId="134">
    <w:name w:val="正文缩进2格"/>
    <w:basedOn w:val="1"/>
    <w:qFormat/>
    <w:uiPriority w:val="0"/>
    <w:pPr>
      <w:spacing w:line="600" w:lineRule="exact"/>
      <w:ind w:firstLine="639" w:firstLineChars="206"/>
    </w:pPr>
    <w:rPr>
      <w:rFonts w:hint="eastAsia" w:ascii="仿宋_GB2312" w:hAnsi="宋体" w:eastAsia="仿宋_GB2312"/>
      <w:sz w:val="31"/>
      <w:szCs w:val="31"/>
    </w:rPr>
  </w:style>
  <w:style w:type="character" w:customStyle="1" w:styleId="135">
    <w:name w:val="10"/>
    <w:basedOn w:val="39"/>
    <w:qFormat/>
    <w:uiPriority w:val="0"/>
    <w:rPr>
      <w:rFonts w:hint="default" w:ascii="Times New Roman" w:hAnsi="Times New Roman" w:cs="Times New Roman"/>
    </w:rPr>
  </w:style>
  <w:style w:type="character" w:customStyle="1" w:styleId="136">
    <w:name w:val="15"/>
    <w:basedOn w:val="39"/>
    <w:qFormat/>
    <w:uiPriority w:val="0"/>
    <w:rPr>
      <w:rFonts w:hint="default" w:ascii="Times New Roman" w:hAnsi="Times New Roman" w:cs="Times New Roman"/>
    </w:rPr>
  </w:style>
  <w:style w:type="character" w:customStyle="1" w:styleId="137">
    <w:name w:val="标题 3 字符1"/>
    <w:link w:val="6"/>
    <w:qFormat/>
    <w:uiPriority w:val="9"/>
    <w:rPr>
      <w:rFonts w:ascii="仿宋_GB2312" w:hAnsi="仿宋_GB2312" w:eastAsia="仿宋" w:cs="Times New Roman"/>
      <w:b/>
      <w:bCs/>
      <w:sz w:val="24"/>
      <w:szCs w:val="20"/>
    </w:rPr>
  </w:style>
  <w:style w:type="paragraph" w:customStyle="1" w:styleId="138">
    <w:name w:val="_标题6"/>
    <w:qFormat/>
    <w:uiPriority w:val="0"/>
    <w:pPr>
      <w:spacing w:before="50" w:beforeLines="50" w:after="50" w:afterLines="50" w:line="360" w:lineRule="auto"/>
      <w:outlineLvl w:val="5"/>
    </w:pPr>
    <w:rPr>
      <w:rFonts w:ascii="Calibri" w:hAnsi="Calibri" w:eastAsia="宋体" w:cs="Times New Roman"/>
      <w:b/>
      <w:kern w:val="2"/>
      <w:sz w:val="24"/>
      <w:szCs w:val="24"/>
      <w:lang w:val="en-US" w:eastAsia="zh-CN" w:bidi="ar-SA"/>
    </w:rPr>
  </w:style>
  <w:style w:type="table" w:customStyle="1" w:styleId="139">
    <w:name w:val="Table Normal"/>
    <w:basedOn w:val="37"/>
    <w:qFormat/>
    <w:uiPriority w:val="0"/>
    <w:tblPr>
      <w:tblCellMar>
        <w:left w:w="0" w:type="dxa"/>
        <w:right w:w="0" w:type="dxa"/>
      </w:tblCellMar>
    </w:tblPr>
  </w:style>
  <w:style w:type="character" w:customStyle="1" w:styleId="140">
    <w:name w:val="无"/>
    <w:qFormat/>
    <w:uiPriority w:val="0"/>
  </w:style>
  <w:style w:type="paragraph" w:customStyle="1" w:styleId="141">
    <w:name w:val="缩进内容"/>
    <w:basedOn w:val="1"/>
    <w:qFormat/>
    <w:uiPriority w:val="0"/>
    <w:pPr>
      <w:spacing w:line="520" w:lineRule="exact"/>
    </w:pPr>
    <w:rPr>
      <w:rFonts w:cs="仿宋"/>
      <w:sz w:val="28"/>
      <w:szCs w:val="30"/>
    </w:rPr>
  </w:style>
  <w:style w:type="paragraph" w:customStyle="1" w:styleId="142">
    <w:name w:val="半括号小标题"/>
    <w:basedOn w:val="1"/>
    <w:qFormat/>
    <w:uiPriority w:val="0"/>
    <w:pPr>
      <w:widowControl/>
      <w:spacing w:line="360" w:lineRule="auto"/>
      <w:ind w:firstLine="480"/>
      <w:jc w:val="left"/>
    </w:pPr>
    <w:rPr>
      <w:rFonts w:ascii="黑体" w:eastAsia="黑体"/>
      <w:kern w:val="0"/>
      <w:szCs w:val="20"/>
    </w:rPr>
  </w:style>
  <w:style w:type="paragraph" w:customStyle="1" w:styleId="143">
    <w:name w:val="样式 首行缩进:  2 字符"/>
    <w:basedOn w:val="1"/>
    <w:qFormat/>
    <w:uiPriority w:val="0"/>
    <w:pPr>
      <w:spacing w:line="400" w:lineRule="exact"/>
    </w:pPr>
    <w:rPr>
      <w:rFonts w:cs="宋体"/>
    </w:rPr>
  </w:style>
  <w:style w:type="paragraph" w:customStyle="1" w:styleId="144">
    <w:name w:val="Revision"/>
    <w:hidden/>
    <w:semiHidden/>
    <w:qFormat/>
    <w:uiPriority w:val="99"/>
    <w:rPr>
      <w:rFonts w:ascii="Times New Roman" w:hAnsi="Times New Roman" w:eastAsia="宋体" w:cs="Times New Roman"/>
      <w:kern w:val="2"/>
      <w:sz w:val="24"/>
      <w:szCs w:val="24"/>
      <w:lang w:val="en-US" w:eastAsia="zh-CN" w:bidi="ar-SA"/>
    </w:rPr>
  </w:style>
  <w:style w:type="paragraph" w:customStyle="1" w:styleId="145">
    <w:name w:val="_Style 1"/>
    <w:basedOn w:val="1"/>
    <w:qFormat/>
    <w:uiPriority w:val="0"/>
    <w:pPr>
      <w:ind w:firstLine="420" w:firstLineChars="200"/>
    </w:pPr>
    <w:rPr>
      <w:sz w:val="20"/>
    </w:rPr>
  </w:style>
  <w:style w:type="paragraph" w:customStyle="1" w:styleId="146">
    <w:name w:val="正文首行缩进两字符"/>
    <w:basedOn w:val="1"/>
    <w:qFormat/>
    <w:uiPriority w:val="0"/>
    <w:pPr>
      <w:spacing w:line="360" w:lineRule="auto"/>
      <w:ind w:firstLine="200" w:firstLineChars="200"/>
    </w:pPr>
  </w:style>
  <w:style w:type="paragraph" w:customStyle="1" w:styleId="147">
    <w:name w:val="p17"/>
    <w:basedOn w:val="1"/>
    <w:qFormat/>
    <w:uiPriority w:val="0"/>
    <w:pPr>
      <w:widowControl/>
      <w:snapToGrid w:val="0"/>
      <w:spacing w:line="315" w:lineRule="atLeast"/>
      <w:ind w:firstLine="420"/>
      <w:jc w:val="left"/>
    </w:pPr>
    <w:rPr>
      <w:rFonts w:hint="eastAsia"/>
      <w:szCs w:val="21"/>
    </w:rPr>
  </w:style>
  <w:style w:type="paragraph" w:customStyle="1" w:styleId="148">
    <w:name w:val="无间隔2"/>
    <w:qFormat/>
    <w:uiPriority w:val="1"/>
    <w:rPr>
      <w:rFonts w:ascii="Times New Roman" w:hAnsi="Times New Roman" w:eastAsia="宋体" w:cs="Times New Roman"/>
      <w:sz w:val="22"/>
      <w:szCs w:val="22"/>
      <w:lang w:val="en-US" w:eastAsia="en-US" w:bidi="en-US"/>
    </w:rPr>
  </w:style>
  <w:style w:type="paragraph" w:customStyle="1" w:styleId="149">
    <w:name w:val="正文_1"/>
    <w:next w:val="150"/>
    <w:qFormat/>
    <w:uiPriority w:val="1"/>
    <w:pPr>
      <w:jc w:val="both"/>
    </w:pPr>
    <w:rPr>
      <w:rFonts w:ascii="Times New Roman" w:hAnsi="Times New Roman" w:eastAsia="宋体" w:cs="Times New Roman"/>
      <w:sz w:val="21"/>
      <w:szCs w:val="21"/>
      <w:lang w:val="en-US" w:eastAsia="zh-CN" w:bidi="ar-SA"/>
    </w:rPr>
  </w:style>
  <w:style w:type="paragraph" w:customStyle="1" w:styleId="150">
    <w:name w:val="标题 2_1"/>
    <w:basedOn w:val="151"/>
    <w:next w:val="149"/>
    <w:qFormat/>
    <w:uiPriority w:val="8"/>
    <w:pPr>
      <w:keepNext/>
      <w:keepLines/>
      <w:outlineLvl w:val="1"/>
    </w:pPr>
    <w:rPr>
      <w:rFonts w:ascii="Arial" w:hAnsi="Arial" w:eastAsia="Arial"/>
      <w:b/>
      <w:sz w:val="24"/>
      <w:szCs w:val="24"/>
    </w:rPr>
  </w:style>
  <w:style w:type="paragraph" w:customStyle="1" w:styleId="151">
    <w:name w:val="正文_5_0"/>
    <w:qFormat/>
    <w:uiPriority w:val="1"/>
    <w:pPr>
      <w:jc w:val="both"/>
    </w:pPr>
    <w:rPr>
      <w:rFonts w:ascii="等线" w:hAnsi="等线" w:eastAsia="等线" w:cs="Times New Roman"/>
      <w:sz w:val="21"/>
      <w:szCs w:val="21"/>
      <w:lang w:val="en-US" w:eastAsia="zh-CN" w:bidi="ar-SA"/>
    </w:rPr>
  </w:style>
  <w:style w:type="paragraph" w:customStyle="1" w:styleId="152">
    <w:name w:val="内文正文"/>
    <w:basedOn w:val="20"/>
    <w:qFormat/>
    <w:uiPriority w:val="0"/>
    <w:pPr>
      <w:snapToGrid w:val="0"/>
      <w:spacing w:line="400" w:lineRule="exact"/>
      <w:ind w:firstLine="200"/>
    </w:pPr>
    <w:rPr>
      <w:rFonts w:ascii="Arial" w:hAnsi="Arial" w:cs="Courier New"/>
      <w:color w:val="000000"/>
      <w:sz w:val="21"/>
      <w:szCs w:val="21"/>
    </w:rPr>
  </w:style>
  <w:style w:type="paragraph" w:customStyle="1" w:styleId="153">
    <w:name w:val="reader-word-layer reader-word-s27-4"/>
    <w:basedOn w:val="1"/>
    <w:qFormat/>
    <w:uiPriority w:val="99"/>
    <w:pPr>
      <w:widowControl/>
      <w:spacing w:before="100" w:beforeAutospacing="1" w:after="100" w:afterAutospacing="1" w:line="440" w:lineRule="exact"/>
      <w:ind w:firstLine="1040"/>
      <w:jc w:val="left"/>
    </w:pPr>
    <w:rPr>
      <w:rFonts w:ascii="宋体" w:hAnsi="宋体" w:eastAsia="微软雅黑" w:cs="宋体"/>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66</Pages>
  <Words>36532</Words>
  <Characters>39570</Characters>
  <Lines>1</Lines>
  <Paragraphs>1</Paragraphs>
  <TotalTime>1</TotalTime>
  <ScaleCrop>false</ScaleCrop>
  <LinksUpToDate>false</LinksUpToDate>
  <CharactersWithSpaces>42340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2020-10-15T17:14:00Z</dcterms:created>
  <dc:creator>宇正-王</dc:creator>
  <cp:lastModifiedBy>Administrator</cp:lastModifiedBy>
  <cp:lastPrinted>2023-05-23T03:40:00Z</cp:lastPrinted>
  <dcterms:modified xsi:type="dcterms:W3CDTF">2023-07-14T11:04:17Z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8998888AB8D144A1992B6A49AE809674_13</vt:lpwstr>
  </property>
</Properties>
</file>