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tabs>
          <w:tab w:val="left" w:pos="1080"/>
        </w:tabs>
        <w:kinsoku/>
        <w:wordWrap/>
        <w:overflowPunct/>
        <w:topLinePunct w:val="0"/>
        <w:autoSpaceDE w:val="0"/>
        <w:autoSpaceDN w:val="0"/>
        <w:bidi w:val="0"/>
        <w:adjustRightInd w:val="0"/>
        <w:snapToGrid w:val="0"/>
        <w:jc w:val="center"/>
        <w:textAlignment w:val="auto"/>
        <w:rPr>
          <w:rFonts w:hint="default" w:ascii="黑体" w:hAnsi="黑体" w:eastAsia="黑体" w:cs="黑体"/>
          <w:b/>
          <w:bCs/>
          <w:color w:val="auto"/>
          <w:kern w:val="44"/>
          <w:sz w:val="36"/>
          <w:szCs w:val="36"/>
          <w:highlight w:val="none"/>
          <w:lang w:val="en-US" w:eastAsia="zh-CN"/>
        </w:rPr>
      </w:pPr>
      <w:bookmarkStart w:id="4" w:name="_GoBack"/>
      <w:bookmarkEnd w:id="4"/>
      <w:r>
        <w:rPr>
          <w:rFonts w:hint="eastAsia" w:ascii="黑体" w:hAnsi="黑体" w:eastAsia="黑体" w:cs="黑体"/>
          <w:b/>
          <w:bCs/>
          <w:color w:val="auto"/>
          <w:kern w:val="44"/>
          <w:sz w:val="36"/>
          <w:szCs w:val="36"/>
          <w:highlight w:val="none"/>
          <w:lang w:val="zh-CN"/>
        </w:rPr>
        <w:t>2026年-2028年综合养老服务中心（颐康中心）及社区颐康服务站运营项目</w:t>
      </w:r>
      <w:r>
        <w:rPr>
          <w:rFonts w:hint="eastAsia" w:ascii="黑体" w:hAnsi="黑体" w:eastAsia="黑体" w:cs="黑体"/>
          <w:b/>
          <w:bCs/>
          <w:color w:val="auto"/>
          <w:kern w:val="44"/>
          <w:sz w:val="36"/>
          <w:szCs w:val="36"/>
          <w:highlight w:val="none"/>
          <w:lang w:val="en-US" w:eastAsia="zh-CN"/>
        </w:rPr>
        <w:t>采购需求</w:t>
      </w:r>
    </w:p>
    <w:p>
      <w:pPr>
        <w:pStyle w:val="8"/>
        <w:ind w:firstLine="420" w:firstLineChars="200"/>
        <w:rPr>
          <w:rFonts w:hint="eastAsia"/>
          <w:color w:val="auto"/>
          <w:sz w:val="21"/>
          <w:highlight w:val="none"/>
          <w:lang w:val="en-US" w:eastAsia="zh-CN"/>
        </w:rPr>
      </w:pPr>
    </w:p>
    <w:p>
      <w:pPr>
        <w:pStyle w:val="8"/>
        <w:keepNext w:val="0"/>
        <w:keepLines w:val="0"/>
        <w:pageBreakBefore w:val="0"/>
        <w:widowControl/>
        <w:kinsoku/>
        <w:wordWrap/>
        <w:overflowPunct/>
        <w:topLinePunct w:val="0"/>
        <w:autoSpaceDE/>
        <w:autoSpaceDN/>
        <w:bidi w:val="0"/>
        <w:adjustRightInd/>
        <w:snapToGrid/>
        <w:spacing w:line="360" w:lineRule="exact"/>
        <w:ind w:firstLine="422"/>
        <w:jc w:val="both"/>
        <w:textAlignment w:val="auto"/>
        <w:rPr>
          <w:rFonts w:hint="default"/>
          <w:b/>
          <w:color w:val="auto"/>
          <w:sz w:val="21"/>
          <w:szCs w:val="21"/>
          <w:highlight w:val="none"/>
          <w:lang w:val="en-US" w:eastAsia="zh-CN"/>
        </w:rPr>
      </w:pPr>
      <w:r>
        <w:rPr>
          <w:rFonts w:hint="eastAsia"/>
          <w:b/>
          <w:color w:val="auto"/>
          <w:sz w:val="21"/>
          <w:szCs w:val="21"/>
          <w:highlight w:val="none"/>
          <w:lang w:val="en-US" w:eastAsia="zh-CN"/>
        </w:rPr>
        <w:t>一、项目概况</w:t>
      </w:r>
    </w:p>
    <w:p>
      <w:pPr>
        <w:pStyle w:val="8"/>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color w:val="auto"/>
          <w:sz w:val="21"/>
          <w:szCs w:val="21"/>
          <w:highlight w:val="none"/>
        </w:rPr>
      </w:pPr>
      <w:r>
        <w:rPr>
          <w:color w:val="auto"/>
          <w:sz w:val="21"/>
          <w:szCs w:val="21"/>
          <w:highlight w:val="none"/>
        </w:rPr>
        <w:t>项目属性：服务类</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品目分类：养老服务</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本项目属于不专门面向中小企业预留采购份额的项目，原因和情形为：按照《政府采购促进中小企业发展管理办法》规定预留采购份额无法确保充分供应、充分竞争，或者存在可能影响政府采购目标实现的情形。</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 xml:space="preserve">本项目对应的中小企业划分标准所属行业为：其他未列明行业       </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打“★”号条款为实质性条款，若有任何一条负偏离或不满足则导致投标无效。</w:t>
      </w:r>
      <w:r>
        <w:rPr>
          <w:color w:val="auto"/>
          <w:sz w:val="21"/>
          <w:szCs w:val="21"/>
          <w:highlight w:val="none"/>
        </w:rPr>
        <w:br w:type="textWrapping"/>
      </w:r>
      <w:r>
        <w:rPr>
          <w:color w:val="auto"/>
          <w:sz w:val="21"/>
          <w:szCs w:val="21"/>
          <w:highlight w:val="none"/>
        </w:rPr>
        <w:t>打“▲”号条款为重要技术参数，若有部分“▲”条款未响应或不满足，将导致其响应性评审加重扣分，但不作为无效投标条款。</w:t>
      </w:r>
    </w:p>
    <w:p>
      <w:pPr>
        <w:pStyle w:val="8"/>
        <w:keepNext w:val="0"/>
        <w:keepLines w:val="0"/>
        <w:pageBreakBefore w:val="0"/>
        <w:widowControl/>
        <w:kinsoku/>
        <w:wordWrap/>
        <w:overflowPunct/>
        <w:topLinePunct w:val="0"/>
        <w:autoSpaceDE/>
        <w:autoSpaceDN/>
        <w:bidi w:val="0"/>
        <w:adjustRightInd/>
        <w:snapToGrid/>
        <w:spacing w:line="360" w:lineRule="exact"/>
        <w:ind w:firstLine="422"/>
        <w:jc w:val="both"/>
        <w:textAlignment w:val="auto"/>
        <w:rPr>
          <w:color w:val="auto"/>
          <w:sz w:val="21"/>
          <w:szCs w:val="21"/>
          <w:highlight w:val="none"/>
        </w:rPr>
      </w:pPr>
      <w:r>
        <w:rPr>
          <w:b/>
          <w:color w:val="auto"/>
          <w:sz w:val="21"/>
          <w:szCs w:val="21"/>
          <w:highlight w:val="none"/>
        </w:rPr>
        <w:t>二、项目名称</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2026年-2028年综合养老服务中心（颐康中心）及社区颐康服务站运营项目</w:t>
      </w:r>
    </w:p>
    <w:p>
      <w:pPr>
        <w:pStyle w:val="8"/>
        <w:keepNext w:val="0"/>
        <w:keepLines w:val="0"/>
        <w:pageBreakBefore w:val="0"/>
        <w:widowControl/>
        <w:kinsoku/>
        <w:wordWrap/>
        <w:overflowPunct/>
        <w:topLinePunct w:val="0"/>
        <w:autoSpaceDE/>
        <w:autoSpaceDN/>
        <w:bidi w:val="0"/>
        <w:adjustRightInd/>
        <w:snapToGrid/>
        <w:spacing w:line="360" w:lineRule="exact"/>
        <w:ind w:firstLine="422"/>
        <w:jc w:val="both"/>
        <w:textAlignment w:val="auto"/>
        <w:rPr>
          <w:color w:val="auto"/>
          <w:sz w:val="21"/>
          <w:szCs w:val="21"/>
          <w:highlight w:val="none"/>
        </w:rPr>
      </w:pPr>
      <w:r>
        <w:rPr>
          <w:b/>
          <w:color w:val="auto"/>
          <w:sz w:val="21"/>
          <w:szCs w:val="21"/>
          <w:highlight w:val="none"/>
        </w:rPr>
        <w:t>三、项目经费</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（一）本项目采购预算为</w:t>
      </w:r>
      <w:r>
        <w:rPr>
          <w:rFonts w:hint="eastAsia"/>
          <w:color w:val="auto"/>
          <w:sz w:val="21"/>
          <w:szCs w:val="21"/>
          <w:highlight w:val="none"/>
          <w:lang w:val="en-US" w:eastAsia="zh-CN"/>
        </w:rPr>
        <w:t>223.54</w:t>
      </w:r>
      <w:r>
        <w:rPr>
          <w:color w:val="auto"/>
          <w:sz w:val="21"/>
          <w:szCs w:val="21"/>
          <w:highlight w:val="none"/>
        </w:rPr>
        <w:t>万元，服务期</w:t>
      </w:r>
      <w:r>
        <w:rPr>
          <w:rFonts w:hint="eastAsia"/>
          <w:color w:val="auto"/>
          <w:sz w:val="21"/>
          <w:szCs w:val="21"/>
          <w:highlight w:val="none"/>
        </w:rPr>
        <w:t>自2026年5月15日至2028年12月31日结束</w:t>
      </w:r>
      <w:r>
        <w:rPr>
          <w:color w:val="auto"/>
          <w:sz w:val="21"/>
          <w:szCs w:val="21"/>
          <w:highlight w:val="none"/>
        </w:rPr>
        <w:t>，合同一年一签。</w:t>
      </w:r>
      <w:r>
        <w:rPr>
          <w:rFonts w:hint="eastAsia"/>
          <w:color w:val="auto"/>
          <w:sz w:val="21"/>
          <w:szCs w:val="21"/>
          <w:highlight w:val="none"/>
          <w:lang w:val="en-US" w:eastAsia="zh-CN"/>
        </w:rPr>
        <w:t>2026年</w:t>
      </w:r>
      <w:r>
        <w:rPr>
          <w:color w:val="auto"/>
          <w:sz w:val="21"/>
          <w:szCs w:val="21"/>
          <w:highlight w:val="none"/>
        </w:rPr>
        <w:t>采购预算为</w:t>
      </w:r>
      <w:r>
        <w:rPr>
          <w:rFonts w:hint="eastAsia"/>
          <w:color w:val="auto"/>
          <w:sz w:val="21"/>
          <w:szCs w:val="21"/>
          <w:highlight w:val="none"/>
          <w:lang w:val="en-US" w:eastAsia="zh-CN"/>
        </w:rPr>
        <w:t>53.54万元，2027年</w:t>
      </w:r>
      <w:r>
        <w:rPr>
          <w:color w:val="auto"/>
          <w:sz w:val="21"/>
          <w:szCs w:val="21"/>
          <w:highlight w:val="none"/>
        </w:rPr>
        <w:t>采购预算为</w:t>
      </w:r>
      <w:r>
        <w:rPr>
          <w:rFonts w:hint="eastAsia"/>
          <w:color w:val="auto"/>
          <w:sz w:val="21"/>
          <w:szCs w:val="21"/>
          <w:highlight w:val="none"/>
          <w:lang w:val="en-US" w:eastAsia="zh-CN"/>
        </w:rPr>
        <w:t>85万元，2028年</w:t>
      </w:r>
      <w:r>
        <w:rPr>
          <w:color w:val="auto"/>
          <w:sz w:val="21"/>
          <w:szCs w:val="21"/>
          <w:highlight w:val="none"/>
        </w:rPr>
        <w:t>采购预算为</w:t>
      </w:r>
      <w:r>
        <w:rPr>
          <w:rFonts w:hint="eastAsia"/>
          <w:color w:val="auto"/>
          <w:sz w:val="21"/>
          <w:szCs w:val="21"/>
          <w:highlight w:val="none"/>
          <w:lang w:val="en-US" w:eastAsia="zh-CN"/>
        </w:rPr>
        <w:t>85万元。</w:t>
      </w:r>
      <w:r>
        <w:rPr>
          <w:color w:val="auto"/>
          <w:sz w:val="21"/>
          <w:szCs w:val="21"/>
          <w:highlight w:val="none"/>
        </w:rPr>
        <w:t>其中</w:t>
      </w:r>
      <w:r>
        <w:rPr>
          <w:rFonts w:hint="eastAsia"/>
          <w:color w:val="auto"/>
          <w:sz w:val="21"/>
          <w:szCs w:val="21"/>
          <w:highlight w:val="none"/>
          <w:lang w:eastAsia="zh-CN"/>
        </w:rPr>
        <w:t>综合养老服务中心（颐康中心）</w:t>
      </w:r>
      <w:r>
        <w:rPr>
          <w:color w:val="auto"/>
          <w:sz w:val="21"/>
          <w:szCs w:val="21"/>
          <w:highlight w:val="none"/>
        </w:rPr>
        <w:t>运营经费为40万元</w:t>
      </w:r>
      <w:r>
        <w:rPr>
          <w:rFonts w:hint="eastAsia"/>
          <w:color w:val="auto"/>
          <w:sz w:val="21"/>
          <w:szCs w:val="21"/>
          <w:highlight w:val="none"/>
          <w:lang w:val="en-US" w:eastAsia="zh-CN"/>
        </w:rPr>
        <w:t>/年</w:t>
      </w:r>
      <w:r>
        <w:rPr>
          <w:color w:val="auto"/>
          <w:sz w:val="21"/>
          <w:szCs w:val="21"/>
          <w:highlight w:val="none"/>
        </w:rPr>
        <w:t>，</w:t>
      </w:r>
      <w:r>
        <w:rPr>
          <w:rFonts w:hint="eastAsia"/>
          <w:color w:val="auto"/>
          <w:sz w:val="21"/>
          <w:szCs w:val="21"/>
          <w:highlight w:val="none"/>
          <w:lang w:val="en-US" w:eastAsia="zh-CN"/>
        </w:rPr>
        <w:t>9</w:t>
      </w:r>
      <w:r>
        <w:rPr>
          <w:color w:val="auto"/>
          <w:sz w:val="21"/>
          <w:szCs w:val="21"/>
          <w:highlight w:val="none"/>
        </w:rPr>
        <w:t>个颐康服务站运营经费为</w:t>
      </w:r>
      <w:r>
        <w:rPr>
          <w:rFonts w:hint="eastAsia"/>
          <w:color w:val="auto"/>
          <w:sz w:val="21"/>
          <w:szCs w:val="21"/>
          <w:highlight w:val="none"/>
          <w:lang w:val="en-US" w:eastAsia="zh-CN"/>
        </w:rPr>
        <w:t>45</w:t>
      </w:r>
      <w:r>
        <w:rPr>
          <w:color w:val="auto"/>
          <w:sz w:val="21"/>
          <w:szCs w:val="21"/>
          <w:highlight w:val="none"/>
        </w:rPr>
        <w:t>万元</w:t>
      </w:r>
      <w:r>
        <w:rPr>
          <w:rFonts w:hint="eastAsia"/>
          <w:color w:val="auto"/>
          <w:sz w:val="21"/>
          <w:szCs w:val="21"/>
          <w:highlight w:val="none"/>
          <w:lang w:val="en-US" w:eastAsia="zh-CN"/>
        </w:rPr>
        <w:t>/年</w:t>
      </w:r>
      <w:r>
        <w:rPr>
          <w:rFonts w:hint="eastAsia"/>
          <w:color w:val="auto"/>
          <w:sz w:val="21"/>
          <w:szCs w:val="21"/>
          <w:highlight w:val="none"/>
          <w:lang w:eastAsia="zh-CN"/>
        </w:rPr>
        <w:t>。</w:t>
      </w:r>
      <w:r>
        <w:rPr>
          <w:color w:val="auto"/>
          <w:sz w:val="21"/>
          <w:szCs w:val="21"/>
          <w:highlight w:val="none"/>
        </w:rPr>
        <w:t>服务期内，经营本项目的全部成本（包含但不限于场地建设、设备采购、人力成本、能耗成本、日常维修、水电费、物业费、场地租金以及其他各项税费等）中超出项目预算外的部分由成交供应商自行承担支付；除上级文件政策规定外，在服务期内采购人不再增加任何费用。</w:t>
      </w:r>
    </w:p>
    <w:p>
      <w:pPr>
        <w:pStyle w:val="8"/>
        <w:keepNext w:val="0"/>
        <w:keepLines w:val="0"/>
        <w:pageBreakBefore w:val="0"/>
        <w:kinsoku/>
        <w:wordWrap/>
        <w:overflowPunct/>
        <w:topLinePunct w:val="0"/>
        <w:bidi w:val="0"/>
        <w:snapToGrid/>
        <w:spacing w:line="360" w:lineRule="exact"/>
        <w:ind w:left="0" w:leftChars="0" w:firstLine="0" w:firstLineChars="0"/>
        <w:jc w:val="center"/>
        <w:textAlignment w:val="auto"/>
        <w:rPr>
          <w:b/>
          <w:bCs/>
          <w:color w:val="auto"/>
          <w:sz w:val="21"/>
          <w:szCs w:val="21"/>
          <w:highlight w:val="none"/>
        </w:rPr>
      </w:pPr>
      <w:r>
        <w:rPr>
          <w:b/>
          <w:bCs/>
          <w:color w:val="auto"/>
          <w:sz w:val="21"/>
          <w:szCs w:val="21"/>
          <w:highlight w:val="none"/>
        </w:rPr>
        <w:t>表1运营经费一览表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3"/>
        <w:gridCol w:w="2286"/>
        <w:gridCol w:w="915"/>
        <w:gridCol w:w="1575"/>
        <w:gridCol w:w="15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项目内容</w:t>
            </w:r>
          </w:p>
        </w:tc>
        <w:tc>
          <w:tcPr>
            <w:tcW w:w="22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项目运营内容</w:t>
            </w:r>
          </w:p>
        </w:tc>
        <w:tc>
          <w:tcPr>
            <w:tcW w:w="9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数量</w:t>
            </w:r>
          </w:p>
        </w:tc>
        <w:tc>
          <w:tcPr>
            <w:tcW w:w="1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服务期</w:t>
            </w:r>
          </w:p>
        </w:tc>
        <w:tc>
          <w:tcPr>
            <w:tcW w:w="15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rFonts w:hint="eastAsia"/>
                <w:b/>
                <w:bCs/>
                <w:color w:val="auto"/>
                <w:sz w:val="21"/>
                <w:szCs w:val="21"/>
                <w:highlight w:val="none"/>
                <w:lang w:val="en-US" w:eastAsia="zh-CN"/>
              </w:rPr>
              <w:t>运营经费标准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00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rFonts w:hint="eastAsia"/>
                <w:color w:val="auto"/>
                <w:sz w:val="21"/>
                <w:szCs w:val="21"/>
                <w:highlight w:val="none"/>
                <w:lang w:eastAsia="zh-CN"/>
              </w:rPr>
              <w:t>云城街2026年-2028年综合养老服务中心（颐康中心）及社区颐康服务站运营项目</w:t>
            </w:r>
          </w:p>
        </w:tc>
        <w:tc>
          <w:tcPr>
            <w:tcW w:w="228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eastAsia"/>
                <w:color w:val="auto"/>
                <w:sz w:val="21"/>
                <w:szCs w:val="21"/>
                <w:highlight w:val="none"/>
                <w:lang w:eastAsia="zh-CN"/>
              </w:rPr>
            </w:pPr>
            <w:r>
              <w:rPr>
                <w:rFonts w:hint="eastAsia"/>
                <w:color w:val="auto"/>
                <w:sz w:val="21"/>
                <w:szCs w:val="21"/>
                <w:highlight w:val="none"/>
                <w:lang w:eastAsia="zh-CN"/>
              </w:rPr>
              <w:t>综合养老服务中心</w:t>
            </w:r>
          </w:p>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rFonts w:hint="eastAsia"/>
                <w:color w:val="auto"/>
                <w:sz w:val="21"/>
                <w:szCs w:val="21"/>
                <w:highlight w:val="none"/>
                <w:lang w:eastAsia="zh-CN"/>
              </w:rPr>
              <w:t>（颐康中心）</w:t>
            </w: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1个</w:t>
            </w:r>
          </w:p>
        </w:tc>
        <w:tc>
          <w:tcPr>
            <w:tcW w:w="1575"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rFonts w:hint="eastAsia"/>
                <w:color w:val="auto"/>
                <w:sz w:val="21"/>
                <w:szCs w:val="21"/>
                <w:highlight w:val="none"/>
              </w:rPr>
              <w:t>2026年5月15日至2028年12月31日</w:t>
            </w:r>
            <w:r>
              <w:rPr>
                <w:color w:val="auto"/>
                <w:sz w:val="21"/>
                <w:szCs w:val="21"/>
                <w:highlight w:val="none"/>
              </w:rPr>
              <w:t>，合同一年一签。</w:t>
            </w:r>
          </w:p>
        </w:tc>
        <w:tc>
          <w:tcPr>
            <w:tcW w:w="15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default"/>
                <w:color w:val="auto"/>
                <w:sz w:val="21"/>
                <w:szCs w:val="21"/>
                <w:highlight w:val="none"/>
                <w:lang w:val="en-US"/>
              </w:rPr>
            </w:pPr>
            <w:r>
              <w:rPr>
                <w:rFonts w:hint="eastAsia"/>
                <w:color w:val="auto"/>
                <w:sz w:val="21"/>
                <w:szCs w:val="21"/>
                <w:highlight w:val="none"/>
                <w:lang w:val="en-US" w:eastAsia="zh-CN"/>
              </w:rPr>
              <w:t>40万</w:t>
            </w:r>
            <w:bookmarkStart w:id="0" w:name="OLE_LINK2"/>
            <w:r>
              <w:rPr>
                <w:rFonts w:hint="eastAsia"/>
                <w:color w:val="auto"/>
                <w:sz w:val="21"/>
                <w:szCs w:val="21"/>
                <w:highlight w:val="none"/>
                <w:lang w:val="en-US" w:eastAsia="zh-CN"/>
              </w:rPr>
              <w:t>元</w:t>
            </w:r>
            <w:bookmarkEnd w:id="0"/>
            <w:r>
              <w:rPr>
                <w:rFonts w:hint="eastAsia"/>
                <w:color w:val="auto"/>
                <w:sz w:val="21"/>
                <w:szCs w:val="21"/>
                <w:highlight w:val="none"/>
                <w:lang w:val="en-US" w:eastAsia="zh-CN"/>
              </w:rPr>
              <w:t>/年/个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c>
          <w:tcPr>
            <w:tcW w:w="228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颐康服务站</w:t>
            </w: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个</w:t>
            </w:r>
          </w:p>
        </w:tc>
        <w:tc>
          <w:tcPr>
            <w:tcW w:w="157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c>
          <w:tcPr>
            <w:tcW w:w="152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5万元/年/个</w:t>
            </w:r>
          </w:p>
        </w:tc>
      </w:tr>
    </w:tbl>
    <w:p>
      <w:pPr>
        <w:pStyle w:val="8"/>
        <w:keepNext w:val="0"/>
        <w:keepLines w:val="0"/>
        <w:pageBreakBefore w:val="0"/>
        <w:kinsoku/>
        <w:wordWrap/>
        <w:overflowPunct/>
        <w:topLinePunct w:val="0"/>
        <w:bidi w:val="0"/>
        <w:snapToGrid/>
        <w:spacing w:line="360" w:lineRule="exact"/>
        <w:ind w:firstLine="420"/>
        <w:jc w:val="left"/>
        <w:textAlignment w:val="auto"/>
        <w:rPr>
          <w:b w:val="0"/>
          <w:bCs w:val="0"/>
          <w:color w:val="auto"/>
          <w:sz w:val="21"/>
          <w:szCs w:val="21"/>
          <w:highlight w:val="none"/>
        </w:rPr>
      </w:pPr>
      <w:r>
        <w:rPr>
          <w:rFonts w:hint="eastAsia"/>
          <w:b w:val="0"/>
          <w:bCs w:val="0"/>
          <w:color w:val="auto"/>
          <w:sz w:val="21"/>
          <w:szCs w:val="21"/>
          <w:highlight w:val="none"/>
        </w:rPr>
        <w:t>说明：其中</w:t>
      </w:r>
      <w:r>
        <w:rPr>
          <w:rFonts w:hint="eastAsia"/>
          <w:b w:val="0"/>
          <w:bCs w:val="0"/>
          <w:color w:val="auto"/>
          <w:sz w:val="21"/>
          <w:szCs w:val="21"/>
          <w:highlight w:val="none"/>
          <w:lang w:val="en-US" w:eastAsia="zh-CN"/>
        </w:rPr>
        <w:t>9</w:t>
      </w:r>
      <w:r>
        <w:rPr>
          <w:rFonts w:hint="eastAsia"/>
          <w:b w:val="0"/>
          <w:bCs w:val="0"/>
          <w:color w:val="auto"/>
          <w:sz w:val="21"/>
          <w:szCs w:val="21"/>
          <w:highlight w:val="none"/>
        </w:rPr>
        <w:t>个社区级社区养老服务设施中，</w:t>
      </w:r>
      <w:r>
        <w:rPr>
          <w:rFonts w:hint="eastAsia"/>
          <w:color w:val="auto"/>
          <w:sz w:val="21"/>
          <w:szCs w:val="21"/>
          <w:highlight w:val="none"/>
          <w:lang w:val="en-US" w:eastAsia="zh-CN"/>
        </w:rPr>
        <w:t>萧岗南社区颐康服务站、萧岗东安社区颐康服务站、萧岗得朋社区颐康服务站及连远桥颐康服务站</w:t>
      </w:r>
      <w:r>
        <w:rPr>
          <w:rFonts w:hint="eastAsia"/>
          <w:b w:val="0"/>
          <w:bCs w:val="0"/>
          <w:color w:val="auto"/>
          <w:sz w:val="21"/>
          <w:szCs w:val="21"/>
          <w:highlight w:val="none"/>
        </w:rPr>
        <w:t>，根据《广州市白云区人民政府征收土地预公告》（穗云府预征〔2025〕24号、穗云府预征〔2025〕178号、穗云府预征〔2025〕179号、穗云府预征〔2025〕185号</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及《广州市白云区人民政府征地补偿安置方案公告》（穗云府征前公</w:t>
      </w:r>
      <w:r>
        <w:rPr>
          <w:rFonts w:hint="eastAsia"/>
          <w:b w:val="0"/>
          <w:bCs w:val="0"/>
          <w:color w:val="auto"/>
          <w:sz w:val="21"/>
          <w:szCs w:val="21"/>
          <w:highlight w:val="none"/>
        </w:rPr>
        <w:t>〔</w:t>
      </w:r>
      <w:r>
        <w:rPr>
          <w:rFonts w:hint="eastAsia"/>
          <w:b w:val="0"/>
          <w:bCs w:val="0"/>
          <w:color w:val="auto"/>
          <w:sz w:val="21"/>
          <w:szCs w:val="21"/>
          <w:highlight w:val="none"/>
          <w:lang w:val="en-US" w:eastAsia="zh-CN"/>
        </w:rPr>
        <w:t>2026</w:t>
      </w:r>
      <w:r>
        <w:rPr>
          <w:rFonts w:hint="eastAsia"/>
          <w:b w:val="0"/>
          <w:bCs w:val="0"/>
          <w:color w:val="auto"/>
          <w:sz w:val="21"/>
          <w:szCs w:val="21"/>
          <w:highlight w:val="none"/>
        </w:rPr>
        <w:t>〕</w:t>
      </w:r>
      <w:r>
        <w:rPr>
          <w:rFonts w:hint="eastAsia"/>
          <w:b w:val="0"/>
          <w:bCs w:val="0"/>
          <w:color w:val="auto"/>
          <w:sz w:val="21"/>
          <w:szCs w:val="21"/>
          <w:highlight w:val="none"/>
          <w:lang w:val="en-US" w:eastAsia="zh-CN"/>
        </w:rPr>
        <w:t>5号）</w:t>
      </w:r>
      <w:r>
        <w:rPr>
          <w:rFonts w:hint="eastAsia"/>
          <w:b w:val="0"/>
          <w:bCs w:val="0"/>
          <w:color w:val="auto"/>
          <w:sz w:val="21"/>
          <w:szCs w:val="21"/>
          <w:highlight w:val="none"/>
        </w:rPr>
        <w:t>，可能会出现上述</w:t>
      </w:r>
      <w:r>
        <w:rPr>
          <w:rFonts w:hint="eastAsia"/>
          <w:b w:val="0"/>
          <w:bCs w:val="0"/>
          <w:color w:val="auto"/>
          <w:sz w:val="21"/>
          <w:szCs w:val="21"/>
          <w:highlight w:val="none"/>
          <w:lang w:val="en-US" w:eastAsia="zh-CN"/>
        </w:rPr>
        <w:t>4</w:t>
      </w:r>
      <w:r>
        <w:rPr>
          <w:rFonts w:hint="eastAsia"/>
          <w:b w:val="0"/>
          <w:bCs w:val="0"/>
          <w:color w:val="auto"/>
          <w:sz w:val="21"/>
          <w:szCs w:val="21"/>
          <w:highlight w:val="none"/>
        </w:rPr>
        <w:t>个颐康服务站在服务期内撤点的情形。供应商参与项目时，应当充分</w:t>
      </w:r>
      <w:r>
        <w:rPr>
          <w:rFonts w:hint="eastAsia"/>
          <w:b w:val="0"/>
          <w:bCs w:val="0"/>
          <w:color w:val="auto"/>
          <w:sz w:val="21"/>
          <w:szCs w:val="21"/>
          <w:highlight w:val="none"/>
          <w:lang w:eastAsia="zh-CN"/>
        </w:rPr>
        <w:t>考虑</w:t>
      </w:r>
      <w:r>
        <w:rPr>
          <w:rFonts w:hint="eastAsia"/>
          <w:b w:val="0"/>
          <w:bCs w:val="0"/>
          <w:color w:val="auto"/>
          <w:sz w:val="21"/>
          <w:szCs w:val="21"/>
          <w:highlight w:val="none"/>
        </w:rPr>
        <w:t>此情形。</w:t>
      </w:r>
    </w:p>
    <w:p>
      <w:pPr>
        <w:pStyle w:val="8"/>
        <w:keepNext w:val="0"/>
        <w:keepLines w:val="0"/>
        <w:pageBreakBefore w:val="0"/>
        <w:kinsoku/>
        <w:wordWrap/>
        <w:overflowPunct/>
        <w:topLinePunct w:val="0"/>
        <w:bidi w:val="0"/>
        <w:snapToGrid/>
        <w:spacing w:line="360" w:lineRule="exact"/>
        <w:ind w:firstLine="420"/>
        <w:jc w:val="center"/>
        <w:textAlignment w:val="auto"/>
        <w:rPr>
          <w:b/>
          <w:bCs/>
          <w:color w:val="auto"/>
          <w:sz w:val="21"/>
          <w:szCs w:val="21"/>
          <w:highlight w:val="none"/>
        </w:rPr>
      </w:pPr>
      <w:r>
        <w:rPr>
          <w:b/>
          <w:bCs/>
          <w:color w:val="auto"/>
          <w:sz w:val="21"/>
          <w:szCs w:val="21"/>
          <w:highlight w:val="none"/>
        </w:rPr>
        <w:t>表2服务资助经费一览表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09"/>
        <w:gridCol w:w="2539"/>
        <w:gridCol w:w="25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资助对象类型</w:t>
            </w:r>
          </w:p>
        </w:tc>
        <w:tc>
          <w:tcPr>
            <w:tcW w:w="25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服务人数</w:t>
            </w:r>
          </w:p>
        </w:tc>
        <w:tc>
          <w:tcPr>
            <w:tcW w:w="25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b/>
                <w:bCs/>
                <w:color w:val="auto"/>
                <w:sz w:val="21"/>
                <w:szCs w:val="21"/>
                <w:highlight w:val="none"/>
              </w:rPr>
            </w:pPr>
            <w:r>
              <w:rPr>
                <w:b/>
                <w:bCs/>
                <w:color w:val="auto"/>
                <w:sz w:val="21"/>
                <w:szCs w:val="21"/>
                <w:highlight w:val="none"/>
              </w:rPr>
              <w:t>资助金额（人/元/月）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第一类资助对象中重度失能的</w:t>
            </w:r>
          </w:p>
        </w:tc>
        <w:tc>
          <w:tcPr>
            <w:tcW w:w="253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据实结算</w:t>
            </w:r>
          </w:p>
        </w:tc>
        <w:tc>
          <w:tcPr>
            <w:tcW w:w="255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第一类资助对象中非重度失能的</w:t>
            </w:r>
          </w:p>
        </w:tc>
        <w:tc>
          <w:tcPr>
            <w:tcW w:w="253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据实结算</w:t>
            </w:r>
          </w:p>
        </w:tc>
        <w:tc>
          <w:tcPr>
            <w:tcW w:w="255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第二类资助对象</w:t>
            </w:r>
          </w:p>
        </w:tc>
        <w:tc>
          <w:tcPr>
            <w:tcW w:w="2539"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据实结算</w:t>
            </w:r>
          </w:p>
        </w:tc>
        <w:tc>
          <w:tcPr>
            <w:tcW w:w="255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200</w:t>
            </w:r>
          </w:p>
        </w:tc>
      </w:tr>
    </w:tbl>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注：1.居家社区养老服务资助对象类型对应《广州市居家社区养老服务管理办法》第二十六条的资助对象类型，第一类资助对象每人每月400元，第二类资助对象每人每月200元。经评估为重度失能的，每人每月增加护理资助200元。</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2.服务资助对象人数以广州市为老服务综合平台上实际数为准，根据系统实际人数和服务据实结算。</w:t>
      </w:r>
    </w:p>
    <w:p>
      <w:pPr>
        <w:pStyle w:val="8"/>
        <w:keepNext w:val="0"/>
        <w:keepLines w:val="0"/>
        <w:pageBreakBefore w:val="0"/>
        <w:widowControl/>
        <w:kinsoku/>
        <w:wordWrap/>
        <w:overflowPunct/>
        <w:topLinePunct w:val="0"/>
        <w:autoSpaceDE/>
        <w:autoSpaceDN/>
        <w:bidi w:val="0"/>
        <w:adjustRightInd/>
        <w:snapToGrid/>
        <w:spacing w:line="360" w:lineRule="exact"/>
        <w:jc w:val="both"/>
        <w:textAlignment w:val="auto"/>
        <w:rPr>
          <w:color w:val="auto"/>
          <w:sz w:val="21"/>
          <w:szCs w:val="21"/>
          <w:highlight w:val="none"/>
        </w:rPr>
      </w:pPr>
      <w:r>
        <w:rPr>
          <w:color w:val="auto"/>
          <w:sz w:val="21"/>
          <w:szCs w:val="21"/>
          <w:highlight w:val="none"/>
        </w:rPr>
        <w:t xml:space="preserve">    3.上述服务人数按照实际人数动态调整。</w:t>
      </w:r>
    </w:p>
    <w:p>
      <w:pPr>
        <w:pStyle w:val="8"/>
        <w:keepNext w:val="0"/>
        <w:keepLines w:val="0"/>
        <w:pageBreakBefore w:val="0"/>
        <w:widowControl/>
        <w:kinsoku/>
        <w:wordWrap/>
        <w:overflowPunct/>
        <w:topLinePunct w:val="0"/>
        <w:autoSpaceDE/>
        <w:autoSpaceDN/>
        <w:bidi w:val="0"/>
        <w:adjustRightInd/>
        <w:snapToGrid/>
        <w:spacing w:line="360" w:lineRule="exact"/>
        <w:ind w:firstLine="422"/>
        <w:jc w:val="both"/>
        <w:textAlignment w:val="auto"/>
        <w:rPr>
          <w:color w:val="auto"/>
          <w:sz w:val="21"/>
          <w:szCs w:val="21"/>
          <w:highlight w:val="none"/>
        </w:rPr>
      </w:pPr>
      <w:r>
        <w:rPr>
          <w:b/>
          <w:color w:val="auto"/>
          <w:sz w:val="21"/>
          <w:szCs w:val="21"/>
          <w:highlight w:val="none"/>
        </w:rPr>
        <w:t>四、项目需求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（一）服务区域：广州市白云区</w:t>
      </w:r>
      <w:r>
        <w:rPr>
          <w:rFonts w:hint="eastAsia"/>
          <w:color w:val="auto"/>
          <w:sz w:val="21"/>
          <w:szCs w:val="21"/>
          <w:highlight w:val="none"/>
          <w:lang w:eastAsia="zh-CN"/>
        </w:rPr>
        <w:t>云城街</w:t>
      </w:r>
      <w:r>
        <w:rPr>
          <w:color w:val="auto"/>
          <w:sz w:val="21"/>
          <w:szCs w:val="21"/>
          <w:highlight w:val="none"/>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（二）服务对象：</w:t>
      </w:r>
      <w:r>
        <w:rPr>
          <w:rFonts w:hint="eastAsia"/>
          <w:color w:val="auto"/>
          <w:sz w:val="21"/>
          <w:szCs w:val="21"/>
          <w:highlight w:val="none"/>
          <w:lang w:eastAsia="zh-CN"/>
        </w:rPr>
        <w:t>云城街</w:t>
      </w:r>
      <w:r>
        <w:rPr>
          <w:color w:val="auto"/>
          <w:sz w:val="21"/>
          <w:szCs w:val="21"/>
          <w:highlight w:val="none"/>
        </w:rPr>
        <w:t>户籍以及居住在</w:t>
      </w:r>
      <w:r>
        <w:rPr>
          <w:rFonts w:hint="eastAsia"/>
          <w:color w:val="auto"/>
          <w:sz w:val="21"/>
          <w:szCs w:val="21"/>
          <w:highlight w:val="none"/>
          <w:lang w:eastAsia="zh-CN"/>
        </w:rPr>
        <w:t>云城街</w:t>
      </w:r>
      <w:r>
        <w:rPr>
          <w:color w:val="auto"/>
          <w:sz w:val="21"/>
          <w:szCs w:val="21"/>
          <w:highlight w:val="none"/>
        </w:rPr>
        <w:t>辖内的60周岁及以上老年人。以享受政府资助的符合《广州市居家社区养老服务管理办法》规定的老年群体作为重点对象，服务率须达到100%；同时发展区域内的老年群体成为服务对象，覆盖率须达到100%。</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（三）服务形式：根据提供</w:t>
      </w:r>
      <w:r>
        <w:rPr>
          <w:rFonts w:hint="eastAsia"/>
          <w:color w:val="auto"/>
          <w:sz w:val="21"/>
          <w:szCs w:val="21"/>
          <w:highlight w:val="none"/>
          <w:lang w:eastAsia="zh-CN"/>
        </w:rPr>
        <w:t>服务</w:t>
      </w:r>
      <w:r>
        <w:rPr>
          <w:color w:val="auto"/>
          <w:sz w:val="21"/>
          <w:szCs w:val="21"/>
          <w:highlight w:val="none"/>
        </w:rPr>
        <w:t>的场所不同，分为上门服务和到服务点服务。</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四）项目内容：根据《广州市人民政府办公厅关于印发广州市居家社区养老服务管理办法的通知》（穗府办规〔2022〕13号）规定，提供养老服务向导、助餐配餐、生活照料、定期巡访、辅具租赁、平安通、家庭照护培训、文体教育、居家适老化改造、家庭养老床位、日间托管、临时托养、医养康养、康复护理等基本养老服务的功能，重点为有需求的失能、失智老年人提供服务。服务项目应当根据本市基本养老服务清单进行动态调整。</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（五）服务设施：颐康中心1个，颐康服务站</w:t>
      </w:r>
      <w:r>
        <w:rPr>
          <w:rFonts w:hint="eastAsia"/>
          <w:color w:val="auto"/>
          <w:sz w:val="21"/>
          <w:szCs w:val="21"/>
          <w:highlight w:val="none"/>
          <w:lang w:val="en-US" w:eastAsia="zh-CN"/>
        </w:rPr>
        <w:t>9</w:t>
      </w:r>
      <w:r>
        <w:rPr>
          <w:color w:val="auto"/>
          <w:sz w:val="21"/>
          <w:szCs w:val="21"/>
          <w:highlight w:val="none"/>
        </w:rPr>
        <w:t>个，成交供应商有运营综合养老服务的能力，在获得成交后60日历天内能够在采购人辖区内固定的、建筑面积</w:t>
      </w:r>
      <w:r>
        <w:rPr>
          <w:rFonts w:hint="eastAsia"/>
          <w:color w:val="auto"/>
          <w:sz w:val="21"/>
          <w:szCs w:val="21"/>
          <w:highlight w:val="none"/>
          <w:lang w:val="en-US" w:eastAsia="zh-CN"/>
        </w:rPr>
        <w:t>15</w:t>
      </w:r>
      <w:r>
        <w:rPr>
          <w:color w:val="auto"/>
          <w:sz w:val="21"/>
          <w:szCs w:val="21"/>
          <w:highlight w:val="none"/>
        </w:rPr>
        <w:t>00平方米以上且已通过消防验收的场所配置相关办公区与服务接待区，充分发挥场地设备的功能作用，以片区服务点为依托，为长者开展专业化服务。</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color w:val="auto"/>
          <w:sz w:val="21"/>
          <w:szCs w:val="21"/>
          <w:highlight w:val="none"/>
        </w:rPr>
      </w:pPr>
      <w:r>
        <w:rPr>
          <w:color w:val="auto"/>
          <w:sz w:val="21"/>
          <w:szCs w:val="21"/>
          <w:highlight w:val="none"/>
        </w:rPr>
        <w:t>本项目服务设施详见表3，如有变更，由采购人以书面形式通知服务机构，并作为本项目协议附件。</w:t>
      </w:r>
    </w:p>
    <w:p>
      <w:pPr>
        <w:pStyle w:val="8"/>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auto"/>
          <w:sz w:val="21"/>
          <w:szCs w:val="21"/>
          <w:highlight w:val="none"/>
        </w:rPr>
      </w:pPr>
      <w:r>
        <w:rPr>
          <w:b/>
          <w:bCs/>
          <w:color w:val="auto"/>
          <w:sz w:val="21"/>
          <w:szCs w:val="21"/>
          <w:highlight w:val="none"/>
        </w:rPr>
        <w:t>表3服务设施一览表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2577"/>
        <w:gridCol w:w="2651"/>
        <w:gridCol w:w="22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b/>
                <w:bCs/>
                <w:color w:val="auto"/>
                <w:szCs w:val="21"/>
                <w:highlight w:val="none"/>
              </w:rPr>
            </w:pPr>
            <w:r>
              <w:rPr>
                <w:b/>
                <w:bCs/>
                <w:color w:val="auto"/>
                <w:sz w:val="21"/>
                <w:szCs w:val="21"/>
                <w:highlight w:val="none"/>
              </w:rPr>
              <w:t>序号</w:t>
            </w:r>
          </w:p>
        </w:tc>
        <w:tc>
          <w:tcPr>
            <w:tcW w:w="2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b/>
                <w:bCs/>
                <w:color w:val="auto"/>
                <w:szCs w:val="21"/>
                <w:highlight w:val="none"/>
              </w:rPr>
            </w:pPr>
            <w:r>
              <w:rPr>
                <w:b/>
                <w:bCs/>
                <w:color w:val="auto"/>
                <w:sz w:val="21"/>
                <w:szCs w:val="21"/>
                <w:highlight w:val="none"/>
              </w:rPr>
              <w:t>设施名称</w:t>
            </w:r>
          </w:p>
        </w:tc>
        <w:tc>
          <w:tcPr>
            <w:tcW w:w="2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b/>
                <w:bCs/>
                <w:color w:val="auto"/>
                <w:szCs w:val="21"/>
                <w:highlight w:val="none"/>
              </w:rPr>
            </w:pPr>
            <w:r>
              <w:rPr>
                <w:b/>
                <w:bCs/>
                <w:color w:val="auto"/>
                <w:sz w:val="21"/>
                <w:szCs w:val="21"/>
                <w:highlight w:val="none"/>
              </w:rPr>
              <w:t>设施地址</w:t>
            </w:r>
          </w:p>
        </w:tc>
        <w:tc>
          <w:tcPr>
            <w:tcW w:w="22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b/>
                <w:bCs/>
                <w:color w:val="auto"/>
                <w:szCs w:val="21"/>
                <w:highlight w:val="none"/>
              </w:rPr>
            </w:pPr>
            <w:r>
              <w:rPr>
                <w:b/>
                <w:bCs/>
                <w:color w:val="auto"/>
                <w:sz w:val="21"/>
                <w:szCs w:val="21"/>
                <w:highlight w:val="none"/>
              </w:rPr>
              <w:t>可使用面积（</w:t>
            </w:r>
            <w:r>
              <w:rPr>
                <w:rFonts w:hint="eastAsia"/>
                <w:b/>
                <w:bCs/>
                <w:color w:val="auto"/>
                <w:sz w:val="21"/>
                <w:szCs w:val="21"/>
                <w:highlight w:val="none"/>
              </w:rPr>
              <w:t>平方米</w:t>
            </w:r>
            <w:r>
              <w:rPr>
                <w:b/>
                <w:bCs/>
                <w:color w:val="auto"/>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云城街综合养老服务中心</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（颐康中心）</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b/>
                <w:color w:val="auto"/>
                <w:sz w:val="21"/>
                <w:szCs w:val="21"/>
                <w:highlight w:val="none"/>
              </w:rPr>
              <w:t>由成交供应商提供</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b/>
                <w:color w:val="auto"/>
                <w:sz w:val="21"/>
                <w:szCs w:val="21"/>
                <w:highlight w:val="none"/>
              </w:rPr>
              <w:t>1500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2</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连元桥社区颐康服务站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连元桥辖内</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3</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齐富社区颐康服务站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方圆小区内</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4</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萧岗南社区颐康服务站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北门大街1号</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5</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萧岗北社区颐康服务站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萧岗北社区辖内</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6</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萧岗花园社区颐康服务站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萧岗花园社区辖内</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7</w:t>
            </w:r>
          </w:p>
        </w:tc>
        <w:tc>
          <w:tcPr>
            <w:tcW w:w="2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萧岗东安社区颐康服务站</w:t>
            </w:r>
          </w:p>
        </w:tc>
        <w:tc>
          <w:tcPr>
            <w:tcW w:w="265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萧岗东安社区辖内</w:t>
            </w:r>
          </w:p>
        </w:tc>
        <w:tc>
          <w:tcPr>
            <w:tcW w:w="227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nil"/>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8</w:t>
            </w:r>
          </w:p>
        </w:tc>
        <w:tc>
          <w:tcPr>
            <w:tcW w:w="2577" w:type="dxa"/>
            <w:tcBorders>
              <w:top w:val="nil"/>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萧岗得朋社区颐康服务站</w:t>
            </w:r>
          </w:p>
        </w:tc>
        <w:tc>
          <w:tcPr>
            <w:tcW w:w="2651" w:type="dxa"/>
            <w:tcBorders>
              <w:top w:val="nil"/>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萧岗得朋社区辖内</w:t>
            </w:r>
          </w:p>
        </w:tc>
        <w:tc>
          <w:tcPr>
            <w:tcW w:w="2271" w:type="dxa"/>
            <w:tcBorders>
              <w:top w:val="nil"/>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9</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明珠社区颐康服务站</w:t>
            </w:r>
          </w:p>
        </w:tc>
        <w:tc>
          <w:tcPr>
            <w:tcW w:w="2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明珠社区辖内</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Cs w:val="21"/>
                <w:highlight w:val="none"/>
              </w:rPr>
            </w:pPr>
            <w:r>
              <w:rPr>
                <w:color w:val="auto"/>
                <w:sz w:val="21"/>
                <w:szCs w:val="21"/>
                <w:highlight w:val="none"/>
              </w:rPr>
              <w:t>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云山社区</w:t>
            </w:r>
            <w:r>
              <w:rPr>
                <w:color w:val="auto"/>
                <w:sz w:val="21"/>
                <w:szCs w:val="21"/>
                <w:highlight w:val="none"/>
              </w:rPr>
              <w:t>颐康服务站</w:t>
            </w:r>
          </w:p>
        </w:tc>
        <w:tc>
          <w:tcPr>
            <w:tcW w:w="2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云山社区</w:t>
            </w:r>
            <w:r>
              <w:rPr>
                <w:color w:val="auto"/>
                <w:sz w:val="21"/>
                <w:szCs w:val="21"/>
                <w:highlight w:val="none"/>
              </w:rPr>
              <w:t>辖内</w:t>
            </w:r>
          </w:p>
        </w:tc>
        <w:tc>
          <w:tcPr>
            <w:tcW w:w="2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color w:val="auto"/>
                <w:sz w:val="21"/>
                <w:szCs w:val="21"/>
                <w:highlight w:val="none"/>
              </w:rPr>
            </w:pPr>
            <w:r>
              <w:rPr>
                <w:color w:val="auto"/>
                <w:sz w:val="21"/>
                <w:szCs w:val="21"/>
                <w:highlight w:val="none"/>
              </w:rPr>
              <w:t>150</w:t>
            </w:r>
          </w:p>
        </w:tc>
      </w:tr>
    </w:tbl>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注：1.成交供应商根据实际情况及</w:t>
      </w:r>
      <w:r>
        <w:rPr>
          <w:rFonts w:hint="eastAsia"/>
          <w:color w:val="auto"/>
          <w:sz w:val="21"/>
          <w:szCs w:val="21"/>
          <w:highlight w:val="none"/>
          <w:lang w:eastAsia="zh-CN"/>
        </w:rPr>
        <w:t>采购人</w:t>
      </w:r>
      <w:r>
        <w:rPr>
          <w:color w:val="auto"/>
          <w:sz w:val="21"/>
          <w:szCs w:val="21"/>
          <w:highlight w:val="none"/>
        </w:rPr>
        <w:t>要求开展养老设施运营工作，因成交供应商自身原因导致服务设施年度运营时间不足12个月的，采购人有权按比例扣除运营费用；服务设施运营年度评估不合格，且整改后经查仍不合格的，采购人有权不支付对应设施运营经费至成交供应商，该不合格设施年度运营成本由成交供应商自行承担。</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w:t>
      </w:r>
      <w:r>
        <w:rPr>
          <w:color w:val="auto"/>
          <w:sz w:val="21"/>
          <w:szCs w:val="21"/>
          <w:highlight w:val="none"/>
        </w:rPr>
        <w:t>2.成交供应商应配合采购人根据上级工作要求完成社区颐康服务站建设、验收并负责其运营工作（如广州养老服务政策变更，则遵照最新政策执行）。社区颐康服务站地址根据实际地点调整。</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五、运营要求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一）总体要求：颐康中心应当具备全托、日托、上门服务、对下指导、统筹调配资源等功能，为有需要的长者重点是失能、失智长者提供养老服务向导、助餐配餐、生活照料、定期巡访、辅具租赁、平安通、家庭照护培训、文体教育、居家适老化改造、家庭养老床位、日间托管、临时托养、医养康养、康复护理等覆盖长者全生命周期的一站式和到户式综合养老服务（根据广州市基本养老服务清单进行动态调整）。</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二）功能要求：颐康中心应符合养老设施建筑设计规范及国家、省、市养老机构和居家社区养老服务相关规范，符合环境保护、消防安全、卫生和食品药品安全等相应技术标准及安全质量、适老化和无障碍设施要求。提供餐饮、医疗服务的，服务设施应取得相应行政许可。合理设置长者的生活服务、医疗康复、娱乐及辅助用房，并设置长者饭堂。中心应配置供电、给排水、采暖通风、通讯、消防和网络，以及生活服务、保健康复、娱乐、安防等设施设备和必要的交通工具。除全托外的日间照料、餐饮服务等功能区域不少于200平方米。</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（三）床位要求：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1.颐康中心全托区设置床位数不少于10张，其中护理型床位占总床位数不低于80%；日托区日间照料床位数占总床位数不低于10%。成交供应商应投入资金用于颐康中心固定资产改建和完善</w:t>
      </w:r>
      <w:r>
        <w:rPr>
          <w:rFonts w:hint="eastAsia"/>
          <w:color w:val="auto"/>
          <w:sz w:val="21"/>
          <w:szCs w:val="21"/>
          <w:highlight w:val="none"/>
          <w:lang w:eastAsia="zh-CN"/>
        </w:rPr>
        <w:t>，</w:t>
      </w:r>
      <w:r>
        <w:rPr>
          <w:color w:val="auto"/>
          <w:sz w:val="21"/>
          <w:szCs w:val="21"/>
          <w:highlight w:val="none"/>
        </w:rPr>
        <w:t>根据养老机构的相关文件要求配齐、配足、配强工作人员。</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2.成交供应商需按实际总床位数的10%（不少于1张）预留床位，无条件接收</w:t>
      </w:r>
      <w:r>
        <w:rPr>
          <w:rFonts w:hint="eastAsia"/>
          <w:color w:val="auto"/>
          <w:sz w:val="21"/>
          <w:szCs w:val="21"/>
          <w:highlight w:val="none"/>
          <w:lang w:eastAsia="zh-CN"/>
        </w:rPr>
        <w:t>云城街</w:t>
      </w:r>
      <w:r>
        <w:rPr>
          <w:color w:val="auto"/>
          <w:sz w:val="21"/>
          <w:szCs w:val="21"/>
          <w:highlight w:val="none"/>
        </w:rPr>
        <w:t>户籍的政府保障对象。如政府保障对象人数超出床位数10%的，双方另行协商解决。</w:t>
      </w:r>
      <w:r>
        <w:rPr>
          <w:rFonts w:hint="eastAsia"/>
          <w:color w:val="auto"/>
          <w:sz w:val="21"/>
          <w:szCs w:val="21"/>
          <w:highlight w:val="none"/>
          <w:lang w:eastAsia="zh-CN"/>
        </w:rPr>
        <w:t>云城街</w:t>
      </w:r>
      <w:r>
        <w:rPr>
          <w:color w:val="auto"/>
          <w:sz w:val="21"/>
          <w:szCs w:val="21"/>
          <w:highlight w:val="none"/>
        </w:rPr>
        <w:t>户籍的自费长者实施优先办理入住。政府保障人员所享受的养老服务标准与自费入住长者一致。</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3.成交供应商须按照广州市养老政策规定，设置家庭养老床位，将专业照料服务延伸至家庭。设置数量以政策任务规定为准。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四）资质要求：成交供应商应按广州市养老政策有关规定进行运营登记并取得开展养老、医疗、餐饮等各类专项服务的法定资质。颐康中心开展全托服务前，成交供应商应到白云区民政局完成养老机构备案手续。</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（五）人员要求：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1.成交供应商应按照养老机构标准规范、居家社区养老服务规范，配备与服务和运营相适应的养老护理员、执业医师、执业护士、家政服务员、康复治疗师、心理咨询师、社会工作师、财务人员、工勤人员等。</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2.成交供应商投入项目服务的养老护理员或家政员须参加由市、区民政、人社等部门组织的培训课程。成交供应商应根据市、区民政、人社等部门的通知，及时组织有关人员参加培训。保证有关人员100%参加培训。</w:t>
      </w:r>
    </w:p>
    <w:p>
      <w:pPr>
        <w:pStyle w:val="8"/>
        <w:keepNext w:val="0"/>
        <w:keepLines w:val="0"/>
        <w:pageBreakBefore w:val="0"/>
        <w:kinsoku/>
        <w:wordWrap/>
        <w:overflowPunct/>
        <w:topLinePunct w:val="0"/>
        <w:bidi w:val="0"/>
        <w:snapToGrid/>
        <w:spacing w:line="360" w:lineRule="exact"/>
        <w:ind w:firstLine="420"/>
        <w:jc w:val="both"/>
        <w:textAlignment w:val="auto"/>
        <w:rPr>
          <w:rFonts w:hint="default" w:eastAsiaTheme="minorEastAsia"/>
          <w:color w:val="auto"/>
          <w:sz w:val="21"/>
          <w:szCs w:val="21"/>
          <w:highlight w:val="none"/>
          <w:lang w:val="en-US" w:eastAsia="zh-CN"/>
        </w:rPr>
      </w:pPr>
      <w:r>
        <w:rPr>
          <w:color w:val="auto"/>
          <w:sz w:val="21"/>
          <w:szCs w:val="21"/>
          <w:highlight w:val="none"/>
        </w:rPr>
        <w:t>3.</w:t>
      </w:r>
      <w:r>
        <w:rPr>
          <w:rFonts w:hint="eastAsia"/>
          <w:color w:val="auto"/>
          <w:sz w:val="21"/>
          <w:szCs w:val="21"/>
          <w:highlight w:val="none"/>
          <w:lang w:val="en-US" w:eastAsia="zh-CN"/>
        </w:rPr>
        <w:t>具体要求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（1）成交供应商应为本项目综合养老服务中心（颐康中心）</w:t>
      </w:r>
      <w:r>
        <w:rPr>
          <w:rFonts w:hint="eastAsia"/>
          <w:color w:val="auto"/>
          <w:sz w:val="21"/>
          <w:szCs w:val="21"/>
          <w:highlight w:val="none"/>
        </w:rPr>
        <w:t>配备不少于</w:t>
      </w:r>
      <w:r>
        <w:rPr>
          <w:rFonts w:hint="eastAsia"/>
          <w:color w:val="auto"/>
          <w:sz w:val="21"/>
          <w:szCs w:val="21"/>
          <w:highlight w:val="none"/>
          <w:lang w:val="en-US" w:eastAsia="zh-CN"/>
        </w:rPr>
        <w:t>9</w:t>
      </w:r>
      <w:r>
        <w:rPr>
          <w:rFonts w:hint="eastAsia"/>
          <w:color w:val="auto"/>
          <w:sz w:val="21"/>
          <w:szCs w:val="21"/>
          <w:highlight w:val="none"/>
        </w:rPr>
        <w:t>名工作人员，其中，专职人员不少于5人。执业医师1人，执业护士1人，康复治疗师1人，</w:t>
      </w:r>
      <w:bookmarkStart w:id="1" w:name="OLE_LINK4"/>
      <w:r>
        <w:rPr>
          <w:rFonts w:hint="eastAsia"/>
          <w:color w:val="auto"/>
          <w:sz w:val="21"/>
          <w:szCs w:val="21"/>
          <w:highlight w:val="none"/>
        </w:rPr>
        <w:t>社会工作师</w:t>
      </w:r>
      <w:bookmarkEnd w:id="1"/>
      <w:r>
        <w:rPr>
          <w:rFonts w:hint="eastAsia"/>
          <w:color w:val="auto"/>
          <w:sz w:val="21"/>
          <w:szCs w:val="21"/>
          <w:highlight w:val="none"/>
        </w:rPr>
        <w:t>1人，养老护理员1人，</w:t>
      </w:r>
      <w:bookmarkStart w:id="2" w:name="OLE_LINK3"/>
      <w:r>
        <w:rPr>
          <w:rFonts w:hint="eastAsia"/>
          <w:color w:val="auto"/>
          <w:sz w:val="21"/>
          <w:szCs w:val="21"/>
          <w:highlight w:val="none"/>
        </w:rPr>
        <w:t>养老服务向导</w:t>
      </w:r>
      <w:bookmarkEnd w:id="2"/>
      <w:r>
        <w:rPr>
          <w:rFonts w:hint="eastAsia"/>
          <w:color w:val="auto"/>
          <w:sz w:val="21"/>
          <w:szCs w:val="21"/>
          <w:highlight w:val="none"/>
        </w:rPr>
        <w:t>1人</w:t>
      </w:r>
      <w:r>
        <w:rPr>
          <w:color w:val="auto"/>
          <w:sz w:val="21"/>
          <w:szCs w:val="21"/>
          <w:highlight w:val="none"/>
        </w:rPr>
        <w:t>。</w:t>
      </w:r>
      <w:r>
        <w:rPr>
          <w:rFonts w:hint="eastAsia"/>
          <w:color w:val="auto"/>
          <w:sz w:val="21"/>
          <w:szCs w:val="21"/>
          <w:highlight w:val="none"/>
        </w:rPr>
        <w:t>（</w:t>
      </w:r>
      <w:r>
        <w:t>采购人可根据项目实际需求协商及时进行人员要求调整。</w:t>
      </w:r>
      <w:r>
        <w:rPr>
          <w:rFonts w:hint="eastAsia"/>
          <w:color w:val="auto"/>
          <w:sz w:val="21"/>
          <w:szCs w:val="21"/>
          <w:highlight w:val="none"/>
        </w:rPr>
        <w:t>）</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（2）为每个社区</w:t>
      </w:r>
      <w:r>
        <w:rPr>
          <w:rFonts w:hint="eastAsia"/>
          <w:color w:val="auto"/>
          <w:sz w:val="21"/>
          <w:szCs w:val="21"/>
          <w:highlight w:val="none"/>
          <w:lang w:eastAsia="zh-CN"/>
        </w:rPr>
        <w:t>（</w:t>
      </w:r>
      <w:r>
        <w:rPr>
          <w:color w:val="auto"/>
          <w:sz w:val="21"/>
          <w:szCs w:val="21"/>
          <w:highlight w:val="none"/>
        </w:rPr>
        <w:t>村</w:t>
      </w:r>
      <w:r>
        <w:rPr>
          <w:rFonts w:hint="eastAsia"/>
          <w:color w:val="auto"/>
          <w:sz w:val="21"/>
          <w:szCs w:val="21"/>
          <w:highlight w:val="none"/>
          <w:lang w:eastAsia="zh-CN"/>
        </w:rPr>
        <w:t>）</w:t>
      </w:r>
      <w:r>
        <w:rPr>
          <w:color w:val="auto"/>
          <w:sz w:val="21"/>
          <w:szCs w:val="21"/>
          <w:highlight w:val="none"/>
        </w:rPr>
        <w:t>颐康服务站配备不少于1名</w:t>
      </w:r>
      <w:r>
        <w:rPr>
          <w:rFonts w:hint="eastAsia"/>
          <w:color w:val="auto"/>
          <w:sz w:val="21"/>
          <w:szCs w:val="21"/>
          <w:highlight w:val="none"/>
          <w:lang w:val="en-US" w:eastAsia="zh-CN"/>
        </w:rPr>
        <w:t>养老服务向导人员</w:t>
      </w:r>
      <w:r>
        <w:rPr>
          <w:color w:val="auto"/>
          <w:sz w:val="21"/>
          <w:szCs w:val="21"/>
          <w:highlight w:val="none"/>
        </w:rPr>
        <w:t>负责日常管理。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（3）为综合养老服务中心</w:t>
      </w:r>
      <w:r>
        <w:rPr>
          <w:rFonts w:hint="eastAsia"/>
          <w:color w:val="auto"/>
          <w:sz w:val="21"/>
          <w:szCs w:val="21"/>
          <w:highlight w:val="none"/>
          <w:lang w:eastAsia="zh-CN"/>
        </w:rPr>
        <w:t>（</w:t>
      </w:r>
      <w:r>
        <w:rPr>
          <w:color w:val="auto"/>
          <w:sz w:val="21"/>
          <w:szCs w:val="21"/>
          <w:highlight w:val="none"/>
        </w:rPr>
        <w:t>颐康中心</w:t>
      </w:r>
      <w:r>
        <w:rPr>
          <w:rFonts w:hint="eastAsia"/>
          <w:color w:val="auto"/>
          <w:sz w:val="21"/>
          <w:szCs w:val="21"/>
          <w:highlight w:val="none"/>
          <w:lang w:eastAsia="zh-CN"/>
        </w:rPr>
        <w:t>）</w:t>
      </w:r>
      <w:r>
        <w:rPr>
          <w:color w:val="auto"/>
          <w:sz w:val="21"/>
          <w:szCs w:val="21"/>
          <w:highlight w:val="none"/>
        </w:rPr>
        <w:t>配备专职的项目负责人1名，</w:t>
      </w:r>
      <w:r>
        <w:rPr>
          <w:rFonts w:hint="eastAsia"/>
          <w:color w:val="auto"/>
          <w:sz w:val="21"/>
          <w:szCs w:val="21"/>
          <w:highlight w:val="none"/>
          <w:lang w:val="en-US" w:eastAsia="zh-CN"/>
        </w:rPr>
        <w:t>项目负责人</w:t>
      </w:r>
      <w:r>
        <w:rPr>
          <w:rFonts w:hint="eastAsia"/>
          <w:color w:val="auto"/>
          <w:sz w:val="21"/>
          <w:szCs w:val="21"/>
          <w:highlight w:val="none"/>
        </w:rPr>
        <w:t>应</w:t>
      </w:r>
      <w:r>
        <w:rPr>
          <w:rFonts w:hint="eastAsia"/>
          <w:color w:val="auto"/>
          <w:sz w:val="21"/>
          <w:szCs w:val="21"/>
          <w:highlight w:val="none"/>
          <w:lang w:eastAsia="zh-CN"/>
        </w:rPr>
        <w:t>具</w:t>
      </w:r>
      <w:r>
        <w:rPr>
          <w:rFonts w:hint="eastAsia"/>
          <w:color w:val="auto"/>
          <w:sz w:val="21"/>
          <w:szCs w:val="21"/>
          <w:highlight w:val="none"/>
        </w:rPr>
        <w:t>有</w:t>
      </w:r>
      <w:r>
        <w:rPr>
          <w:rFonts w:hint="eastAsia"/>
          <w:color w:val="auto"/>
          <w:sz w:val="21"/>
          <w:szCs w:val="21"/>
          <w:highlight w:val="none"/>
          <w:lang w:val="en-US" w:eastAsia="zh-CN"/>
        </w:rPr>
        <w:t>3</w:t>
      </w:r>
      <w:r>
        <w:rPr>
          <w:rFonts w:hint="eastAsia"/>
          <w:color w:val="auto"/>
          <w:sz w:val="21"/>
          <w:szCs w:val="21"/>
          <w:highlight w:val="none"/>
        </w:rPr>
        <w:t>年以上养老行业工作经验</w:t>
      </w:r>
      <w:r>
        <w:rPr>
          <w:rFonts w:hint="eastAsia"/>
          <w:color w:val="auto"/>
          <w:sz w:val="21"/>
          <w:szCs w:val="21"/>
          <w:highlight w:val="none"/>
          <w:lang w:val="en-US" w:eastAsia="zh-CN"/>
        </w:rPr>
        <w:t>及初级或以上社会工作师职称</w:t>
      </w:r>
      <w:r>
        <w:rPr>
          <w:rFonts w:hint="eastAsia"/>
          <w:color w:val="auto"/>
          <w:sz w:val="21"/>
          <w:szCs w:val="21"/>
          <w:highlight w:val="none"/>
        </w:rPr>
        <w:t>，除本项目外不得同时兼任其他居家社区养老项目负责人</w:t>
      </w:r>
      <w:r>
        <w:rPr>
          <w:color w:val="auto"/>
          <w:sz w:val="21"/>
          <w:szCs w:val="21"/>
          <w:highlight w:val="none"/>
        </w:rPr>
        <w:t>。</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★（4）成交供应商在服务期内保证投入的专业（职）工作人员数量不能减少，保证达到磋商时承诺投入的人员水平标准。服务期中如有人事变动的，同一工作岗位人员空档时间累计不得超过2个月。</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4.养老服务向导应当经民政部门培训后上岗。</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5.提供上门生活照料服务的，保障上门服务人员与服务对象的比例不低于1:10。</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6.养老管理员与自主对象配备比例不低于1</w:t>
      </w:r>
      <w:r>
        <w:rPr>
          <w:rFonts w:hint="eastAsia"/>
          <w:color w:val="auto"/>
          <w:sz w:val="21"/>
          <w:szCs w:val="21"/>
          <w:highlight w:val="none"/>
          <w:lang w:eastAsia="zh-CN"/>
        </w:rPr>
        <w:t>:</w:t>
      </w:r>
      <w:r>
        <w:rPr>
          <w:color w:val="auto"/>
          <w:sz w:val="21"/>
          <w:szCs w:val="21"/>
          <w:highlight w:val="none"/>
        </w:rPr>
        <w:t>50。</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rFonts w:hint="eastAsia"/>
          <w:color w:val="auto"/>
          <w:sz w:val="21"/>
          <w:szCs w:val="21"/>
          <w:highlight w:val="none"/>
          <w:lang w:val="en-US" w:eastAsia="zh-CN"/>
        </w:rPr>
        <w:t>7</w:t>
      </w:r>
      <w:r>
        <w:rPr>
          <w:color w:val="auto"/>
          <w:sz w:val="21"/>
          <w:szCs w:val="21"/>
          <w:highlight w:val="none"/>
        </w:rPr>
        <w:t>.养老护理人员数（含护士、护理员）与自理对象人数比例达到1</w:t>
      </w:r>
      <w:r>
        <w:rPr>
          <w:rFonts w:hint="eastAsia"/>
          <w:color w:val="auto"/>
          <w:sz w:val="21"/>
          <w:szCs w:val="21"/>
          <w:highlight w:val="none"/>
          <w:lang w:eastAsia="zh-CN"/>
        </w:rPr>
        <w:t>:</w:t>
      </w:r>
      <w:r>
        <w:rPr>
          <w:color w:val="auto"/>
          <w:sz w:val="21"/>
          <w:szCs w:val="21"/>
          <w:highlight w:val="none"/>
        </w:rPr>
        <w:t>10，与轻度及中度失能对象人数比例达到1</w:t>
      </w:r>
      <w:r>
        <w:rPr>
          <w:rFonts w:hint="eastAsia"/>
          <w:color w:val="auto"/>
          <w:sz w:val="21"/>
          <w:szCs w:val="21"/>
          <w:highlight w:val="none"/>
          <w:lang w:eastAsia="zh-CN"/>
        </w:rPr>
        <w:t>:</w:t>
      </w:r>
      <w:r>
        <w:rPr>
          <w:color w:val="auto"/>
          <w:sz w:val="21"/>
          <w:szCs w:val="21"/>
          <w:highlight w:val="none"/>
        </w:rPr>
        <w:t>5，与重度失能对象人数比例达到1</w:t>
      </w:r>
      <w:r>
        <w:rPr>
          <w:rFonts w:hint="eastAsia"/>
          <w:color w:val="auto"/>
          <w:sz w:val="21"/>
          <w:szCs w:val="21"/>
          <w:highlight w:val="none"/>
          <w:lang w:eastAsia="zh-CN"/>
        </w:rPr>
        <w:t>:</w:t>
      </w:r>
      <w:r>
        <w:rPr>
          <w:color w:val="auto"/>
          <w:sz w:val="21"/>
          <w:szCs w:val="21"/>
          <w:highlight w:val="none"/>
        </w:rPr>
        <w:t>3；护理人员应具有护理、康复治疗专业技术教育背景或从业资格。</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rFonts w:hint="eastAsia"/>
          <w:color w:val="auto"/>
          <w:sz w:val="21"/>
          <w:szCs w:val="21"/>
          <w:highlight w:val="none"/>
          <w:lang w:val="en-US" w:eastAsia="zh-CN"/>
        </w:rPr>
        <w:t>8</w:t>
      </w:r>
      <w:r>
        <w:rPr>
          <w:color w:val="auto"/>
          <w:sz w:val="21"/>
          <w:szCs w:val="21"/>
          <w:highlight w:val="none"/>
        </w:rPr>
        <w:t>.提供医疗保健类服务的，应配备执业医生、执业护士、康复治疗师等专业人员，明确医疗服务团队分工。由于服务对象均是长者，成交供应商可安排中医医师，为服务对象进行日常的中药调理。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.提供助餐配餐服务的，从事接触直接入口食品工作的食品生产经营人员100%持有有效健康证。</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0</w:t>
      </w:r>
      <w:r>
        <w:rPr>
          <w:color w:val="auto"/>
          <w:sz w:val="21"/>
          <w:szCs w:val="21"/>
          <w:highlight w:val="none"/>
        </w:rPr>
        <w:t>.应配备具有财会专业教育背景或持有财会职业资格证书的专职人员管理财务。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1</w:t>
      </w:r>
      <w:r>
        <w:rPr>
          <w:color w:val="auto"/>
          <w:sz w:val="21"/>
          <w:szCs w:val="21"/>
          <w:highlight w:val="none"/>
        </w:rPr>
        <w:t>.成交供应商应保证服务人员上岗前接受不少于10学时的岗前培训并进行培训考核；管理人员每年参加不少于1次的区级及以上管理培训活动，专业人员每年在岗培训不少于15学时，服务人员每年在岗培训不少于12学时。</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2</w:t>
      </w:r>
      <w:r>
        <w:rPr>
          <w:color w:val="auto"/>
          <w:sz w:val="21"/>
          <w:szCs w:val="21"/>
          <w:highlight w:val="none"/>
        </w:rPr>
        <w:t>.成交供应商建立防范服务风险制度，为工作人员购买人身意外保险。</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六）财务要求：具有合理、详细的项目经费使用计划和预算明细，严格遵守相关财政财务规定，加强自身监督，确保政府购买服务项目资金规范管理和使用，并按要求及时向政府部门提供资金的使用情况、项目执行情况、成果总结等材料。</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（七）其他要求：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1.成交供应商应当按照建筑、消防、食品安全、医疗卫生等法律、法规和国家、省、市有关标准开展服务活动；应与服务对象签订服务协议，购买机构责任保险和场地险。</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2.成交供应商应当规范使用广州市养老服务专用标识，在提供的服务场地室外醒目位置悬挂由区民政部门编号管理的全市统一养老标识。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3.成交供应商应当建立并实施相应安全管理制度，包括但不限于消防安全、服务防护、食品安全、感染控制、信息安全等方面。</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成交供应商承办综合养老服务中心、社区颐康服务站开展服务，应当与采购人协商定价，收费标准符合普惠性养老服务要求，其中全托服务月收费标准（不含特需照护）不得高于广州城市常住居民上年度月人均可支配收入的1.5倍或整体收费价格不超过同等市场化价格的70%。服务机构调整收费标准的，应当经采购人书面同意后方可按最新收费标准执行。服务收费标准应当在服务设施醒目位置进行公示。</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5.运营期间，成交供应商应守法经营，遵守国家的各项法律规定，遵守上级部门的管理公约，必须按有关部门要求认真落实安全生产工作，如因成交供应商原因（包括但不限于安全生产等工作落实不到位等）造成事故，或被有关行政主管部门处罚或者责令整改的，因此造成的一切损害损失及有关法律责任均由成交供应商承担。</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6.成交供应商不得以本项目的经营权向第三方进行分包、转包、担保、保证、抵押、融资、贷款或</w:t>
      </w:r>
      <w:r>
        <w:rPr>
          <w:rFonts w:hint="eastAsia"/>
          <w:color w:val="auto"/>
          <w:sz w:val="21"/>
          <w:szCs w:val="21"/>
          <w:highlight w:val="none"/>
          <w:lang w:eastAsia="zh-CN"/>
        </w:rPr>
        <w:t>其他</w:t>
      </w:r>
      <w:r>
        <w:rPr>
          <w:color w:val="auto"/>
          <w:sz w:val="21"/>
          <w:szCs w:val="21"/>
          <w:highlight w:val="none"/>
        </w:rPr>
        <w:t>损害采购人权益的行为。</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7.成交供应商应自行负责相关行政审批。运营期间未经采购人同意，成交供应商不得转租或改变经营项目。</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8.运营期间，不得发生欺老、虐老等违法行为，不得从事与养老服务无关的经营活动，不得利用本项目场地从事违法犯罪行为（包括但不限于生产、销售、经营国家规定的违禁品等），不得从事任何其他违法活动。成交供应商不得发行与本项目相关的商业预付卡，不得利用本项目的任何场地以产品展示的方式向服务对象推销所谓的保健食品或者保健器材等，如经发现上述任一情况的，采购人可视严重程度自行选择单方立即解除合同并按相关法律追究法律责任。运营期间，因成交供应商经营活动发生的一切纠纷，由成交供应商自行承担全部法律责任。</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9.如采购人或政府职能部门收到关于成交供应商</w:t>
      </w:r>
      <w:r>
        <w:rPr>
          <w:rFonts w:hint="eastAsia"/>
          <w:color w:val="auto"/>
          <w:sz w:val="21"/>
          <w:szCs w:val="21"/>
          <w:highlight w:val="none"/>
          <w:lang w:eastAsia="zh-CN"/>
        </w:rPr>
        <w:t>违法建设</w:t>
      </w:r>
      <w:r>
        <w:rPr>
          <w:color w:val="auto"/>
          <w:sz w:val="21"/>
          <w:szCs w:val="21"/>
          <w:highlight w:val="none"/>
        </w:rPr>
        <w:t>、对老人存在暴力或不文明的行为的投诉或反映，采购人有权责令成交供应商限期内改正，并依照相关的规定追究成交供应商的违约责任。</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10.成交供应商建立居家养老服务内部监管监控体系制度，提升项目服务质量。</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11.成交供应商在提供服务过程中能够整合</w:t>
      </w:r>
      <w:r>
        <w:rPr>
          <w:rFonts w:hint="eastAsia"/>
          <w:color w:val="auto"/>
          <w:sz w:val="21"/>
          <w:szCs w:val="21"/>
          <w:highlight w:val="none"/>
          <w:lang w:eastAsia="zh-CN"/>
        </w:rPr>
        <w:t>云城街</w:t>
      </w:r>
      <w:r>
        <w:rPr>
          <w:color w:val="auto"/>
          <w:sz w:val="21"/>
          <w:szCs w:val="21"/>
          <w:highlight w:val="none"/>
        </w:rPr>
        <w:t>资源，建</w:t>
      </w:r>
      <w:r>
        <w:rPr>
          <w:rFonts w:hint="eastAsia"/>
          <w:color w:val="auto"/>
          <w:sz w:val="21"/>
          <w:szCs w:val="21"/>
          <w:highlight w:val="none"/>
          <w:lang w:eastAsia="zh-CN"/>
        </w:rPr>
        <w:t>立具</w:t>
      </w:r>
      <w:r>
        <w:rPr>
          <w:color w:val="auto"/>
          <w:sz w:val="21"/>
          <w:szCs w:val="21"/>
          <w:highlight w:val="none"/>
        </w:rPr>
        <w:t>有</w:t>
      </w:r>
      <w:r>
        <w:rPr>
          <w:rFonts w:hint="eastAsia"/>
          <w:color w:val="auto"/>
          <w:sz w:val="21"/>
          <w:szCs w:val="21"/>
          <w:highlight w:val="none"/>
          <w:lang w:eastAsia="zh-CN"/>
        </w:rPr>
        <w:t>云城街</w:t>
      </w:r>
      <w:r>
        <w:rPr>
          <w:color w:val="auto"/>
          <w:sz w:val="21"/>
          <w:szCs w:val="21"/>
          <w:highlight w:val="none"/>
        </w:rPr>
        <w:t>特色的服务模式。</w:t>
      </w:r>
    </w:p>
    <w:p>
      <w:pPr>
        <w:pStyle w:val="8"/>
        <w:keepNext w:val="0"/>
        <w:keepLines w:val="0"/>
        <w:pageBreakBefore w:val="0"/>
        <w:kinsoku/>
        <w:wordWrap/>
        <w:overflowPunct/>
        <w:topLinePunct w:val="0"/>
        <w:bidi w:val="0"/>
        <w:snapToGrid/>
        <w:spacing w:line="360" w:lineRule="exact"/>
        <w:ind w:firstLine="420"/>
        <w:jc w:val="both"/>
        <w:textAlignment w:val="auto"/>
        <w:rPr>
          <w:rFonts w:hint="default" w:eastAsiaTheme="minorEastAsia"/>
          <w:color w:val="auto"/>
          <w:sz w:val="21"/>
          <w:szCs w:val="21"/>
          <w:highlight w:val="none"/>
          <w:lang w:val="en-US" w:eastAsia="zh-CN"/>
        </w:rPr>
      </w:pPr>
      <w:r>
        <w:rPr>
          <w:color w:val="auto"/>
          <w:sz w:val="21"/>
          <w:szCs w:val="21"/>
          <w:highlight w:val="none"/>
        </w:rPr>
        <w:t>12.如服务对象需要，成交供应商可为</w:t>
      </w:r>
      <w:r>
        <w:rPr>
          <w:b w:val="0"/>
          <w:bCs w:val="0"/>
          <w:color w:val="auto"/>
          <w:sz w:val="21"/>
          <w:szCs w:val="21"/>
          <w:highlight w:val="none"/>
        </w:rPr>
        <w:t>其提供有偿的住院</w:t>
      </w:r>
      <w:r>
        <w:rPr>
          <w:rFonts w:hint="eastAsia"/>
          <w:b w:val="0"/>
          <w:bCs w:val="0"/>
          <w:color w:val="auto"/>
          <w:sz w:val="21"/>
          <w:szCs w:val="21"/>
          <w:highlight w:val="none"/>
          <w:lang w:val="en-US" w:eastAsia="zh-CN"/>
        </w:rPr>
        <w:t>转运服务。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13.如服务对象需要，成交供应商可为其提供有偿的体检服务。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（八）与成交供应商的特殊约定：</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1.颐康中心及颐康服务站由采购人按上级要求命名，成交供应商不得冠名。</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服务期间，如市、区关于养老服务的相关政策调整（包括但不限于居家社区养老政策、综合养老服务项目建设及运营政策等）、重点服务对象人数、补贴标准发生变化等，成交供应商必须无条件接受，并严格按有关要求执行，成交供应商与采购人应根据最新政策签订补充协议，补充协议和原运营合同具有同等法律效力。</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服务期间，政府资助、奖励、补助经费（包括但不限于助餐配餐补贴、政府资助对象上门补助等经费）根据《广州市居家社区养老服务管理办法》等养老相关政策规定拨付，不纳入本项目采购预算内。根据实际服务时间及服务量进行结算。因</w:t>
      </w:r>
      <w:r>
        <w:rPr>
          <w:rFonts w:hint="eastAsia"/>
          <w:color w:val="auto"/>
          <w:sz w:val="21"/>
          <w:szCs w:val="21"/>
          <w:highlight w:val="none"/>
          <w:lang w:eastAsia="zh-CN"/>
        </w:rPr>
        <w:t>采购人</w:t>
      </w:r>
      <w:r>
        <w:rPr>
          <w:color w:val="auto"/>
          <w:sz w:val="21"/>
          <w:szCs w:val="21"/>
          <w:highlight w:val="none"/>
        </w:rPr>
        <w:t>使用的是财政资金，</w:t>
      </w:r>
      <w:r>
        <w:rPr>
          <w:rFonts w:hint="eastAsia"/>
          <w:color w:val="auto"/>
          <w:sz w:val="21"/>
          <w:szCs w:val="21"/>
          <w:highlight w:val="none"/>
          <w:lang w:eastAsia="zh-CN"/>
        </w:rPr>
        <w:t>采购人</w:t>
      </w:r>
      <w:r>
        <w:rPr>
          <w:color w:val="auto"/>
          <w:sz w:val="21"/>
          <w:szCs w:val="21"/>
          <w:highlight w:val="none"/>
        </w:rPr>
        <w:t>在合同约定的付款时间为向政府采购支付部门提出办理财政支付申请手续的时间（不含政府财政支付部门审核的时间），在约定时间内提出支付申请手续后即视为</w:t>
      </w:r>
      <w:r>
        <w:rPr>
          <w:rFonts w:hint="eastAsia"/>
          <w:color w:val="auto"/>
          <w:sz w:val="21"/>
          <w:szCs w:val="21"/>
          <w:highlight w:val="none"/>
          <w:lang w:eastAsia="zh-CN"/>
        </w:rPr>
        <w:t>采购人</w:t>
      </w:r>
      <w:r>
        <w:rPr>
          <w:color w:val="auto"/>
          <w:sz w:val="21"/>
          <w:szCs w:val="21"/>
          <w:highlight w:val="none"/>
        </w:rPr>
        <w:t>已经按期支付。</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（九）颐康中心每年（12个月）的指标量</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9"/>
        <w:gridCol w:w="1195"/>
        <w:gridCol w:w="5625"/>
        <w:gridCol w:w="9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序号</w:t>
            </w:r>
          </w:p>
        </w:tc>
        <w:tc>
          <w:tcPr>
            <w:tcW w:w="11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服务事项</w:t>
            </w:r>
          </w:p>
        </w:tc>
        <w:tc>
          <w:tcPr>
            <w:tcW w:w="56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服务内容</w:t>
            </w:r>
          </w:p>
        </w:tc>
        <w:tc>
          <w:tcPr>
            <w:tcW w:w="9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人员培训</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（1）项目负责人每年参加2次以上的市或区民政部门组织的居家社区养老服务相关培训。</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（2）新员工上岗前应接受不少于10学时的岗前培训；工作人员每年应接受不少于12学时的在岗培训。</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rFonts w:hint="eastAsia"/>
                <w:color w:val="auto"/>
                <w:sz w:val="21"/>
                <w:szCs w:val="21"/>
                <w:highlight w:val="none"/>
              </w:rPr>
              <w:t>（3）养老服务向导近3年内经过市、区民政部门培训上岗。</w:t>
            </w:r>
          </w:p>
        </w:tc>
        <w:tc>
          <w:tcPr>
            <w:tcW w:w="911" w:type="dxa"/>
            <w:vMerge w:val="restart"/>
            <w:tcBorders>
              <w:top w:val="nil"/>
              <w:left w:val="nil"/>
              <w:bottom w:val="nil"/>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2</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信息化管理</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服务数据接入“广州市为老服务综合平台”，配备智能设备，自动采集服务数据并上传至系统，服务机构、服务设施、工作人员等信息100%准确录入系统并及时更新。</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3</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服务管理</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1"/>
              </w:numPr>
              <w:kinsoku/>
              <w:wordWrap/>
              <w:overflowPunct/>
              <w:topLinePunct w:val="0"/>
              <w:bidi w:val="0"/>
              <w:snapToGrid/>
              <w:spacing w:line="360" w:lineRule="exact"/>
              <w:jc w:val="both"/>
              <w:textAlignment w:val="auto"/>
              <w:rPr>
                <w:color w:val="auto"/>
                <w:sz w:val="21"/>
                <w:szCs w:val="21"/>
                <w:highlight w:val="none"/>
              </w:rPr>
            </w:pPr>
            <w:r>
              <w:rPr>
                <w:rFonts w:hint="eastAsia"/>
                <w:color w:val="auto"/>
                <w:sz w:val="21"/>
                <w:szCs w:val="21"/>
                <w:highlight w:val="none"/>
              </w:rPr>
              <w:t>制定完善的档案管理制度和信息保密制度，明确服务对象档案建立、更新、保存、查阅等全流程要求。指定专人负责档案管理，及时整理、归档服务协议、文件记录等资料。档案满足工作延续性和后期监督管理需要，确保制度执行到位。</w:t>
            </w:r>
          </w:p>
          <w:p>
            <w:pPr>
              <w:pStyle w:val="8"/>
              <w:keepNext w:val="0"/>
              <w:keepLines w:val="0"/>
              <w:pageBreakBefore w:val="0"/>
              <w:numPr>
                <w:ilvl w:val="0"/>
                <w:numId w:val="1"/>
              </w:numPr>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签约对象一人一档且建档率100%，非签约服务对象建立花名册，至少每半年检视一次档案内容，按需更新服务档案。</w:t>
            </w:r>
          </w:p>
          <w:p>
            <w:pPr>
              <w:pStyle w:val="8"/>
              <w:keepNext w:val="0"/>
              <w:keepLines w:val="0"/>
              <w:pageBreakBefore w:val="0"/>
              <w:numPr>
                <w:ilvl w:val="0"/>
                <w:numId w:val="1"/>
              </w:numPr>
              <w:kinsoku/>
              <w:wordWrap/>
              <w:overflowPunct/>
              <w:topLinePunct w:val="0"/>
              <w:bidi w:val="0"/>
              <w:snapToGrid/>
              <w:spacing w:line="360" w:lineRule="exact"/>
              <w:ind w:left="0" w:leftChars="0" w:firstLine="0" w:firstLineChars="0"/>
              <w:jc w:val="both"/>
              <w:textAlignment w:val="auto"/>
              <w:rPr>
                <w:color w:val="auto"/>
                <w:sz w:val="21"/>
                <w:szCs w:val="21"/>
                <w:highlight w:val="none"/>
              </w:rPr>
            </w:pPr>
            <w:r>
              <w:rPr>
                <w:color w:val="auto"/>
                <w:sz w:val="21"/>
                <w:szCs w:val="21"/>
                <w:highlight w:val="none"/>
              </w:rPr>
              <w:t>定期进行需求调查，了解并掌握本街有服务需求的老年人数据，每年≥</w:t>
            </w:r>
            <w:r>
              <w:rPr>
                <w:rFonts w:hint="eastAsia"/>
                <w:color w:val="auto"/>
                <w:sz w:val="21"/>
                <w:szCs w:val="21"/>
                <w:highlight w:val="none"/>
                <w:lang w:val="en-US" w:eastAsia="zh-CN"/>
              </w:rPr>
              <w:t>2</w:t>
            </w:r>
            <w:r>
              <w:rPr>
                <w:color w:val="auto"/>
                <w:sz w:val="21"/>
                <w:szCs w:val="21"/>
                <w:highlight w:val="none"/>
              </w:rPr>
              <w:t>次。</w:t>
            </w:r>
          </w:p>
          <w:p>
            <w:pPr>
              <w:pStyle w:val="8"/>
              <w:keepNext w:val="0"/>
              <w:keepLines w:val="0"/>
              <w:pageBreakBefore w:val="0"/>
              <w:numPr>
                <w:ilvl w:val="0"/>
                <w:numId w:val="1"/>
              </w:numPr>
              <w:kinsoku/>
              <w:wordWrap/>
              <w:overflowPunct/>
              <w:topLinePunct w:val="0"/>
              <w:bidi w:val="0"/>
              <w:snapToGrid/>
              <w:spacing w:line="360" w:lineRule="exact"/>
              <w:ind w:left="0" w:leftChars="0" w:firstLine="0" w:firstLineChars="0"/>
              <w:jc w:val="both"/>
              <w:textAlignment w:val="auto"/>
              <w:rPr>
                <w:rFonts w:hint="eastAsia"/>
                <w:color w:val="auto"/>
                <w:sz w:val="21"/>
                <w:szCs w:val="21"/>
                <w:highlight w:val="none"/>
              </w:rPr>
            </w:pPr>
            <w:r>
              <w:rPr>
                <w:rFonts w:hint="eastAsia"/>
                <w:color w:val="auto"/>
                <w:sz w:val="21"/>
                <w:szCs w:val="21"/>
                <w:highlight w:val="none"/>
              </w:rPr>
              <w:t>建立并实施相应的服务质量管理</w:t>
            </w:r>
            <w:r>
              <w:rPr>
                <w:rFonts w:hint="eastAsia"/>
                <w:color w:val="auto"/>
                <w:sz w:val="21"/>
                <w:szCs w:val="21"/>
                <w:highlight w:val="none"/>
                <w:lang w:eastAsia="zh-CN"/>
              </w:rPr>
              <w:t>，具</w:t>
            </w:r>
            <w:r>
              <w:rPr>
                <w:rFonts w:hint="eastAsia"/>
                <w:color w:val="auto"/>
                <w:sz w:val="21"/>
                <w:szCs w:val="21"/>
                <w:highlight w:val="none"/>
              </w:rPr>
              <w:t>有明确的质量检查实施方案及配套制度、考核标准和质量指标。</w:t>
            </w:r>
          </w:p>
          <w:p>
            <w:pPr>
              <w:pStyle w:val="8"/>
              <w:keepNext w:val="0"/>
              <w:keepLines w:val="0"/>
              <w:pageBreakBefore w:val="0"/>
              <w:numPr>
                <w:ilvl w:val="0"/>
                <w:numId w:val="1"/>
              </w:numPr>
              <w:kinsoku/>
              <w:wordWrap/>
              <w:overflowPunct/>
              <w:topLinePunct w:val="0"/>
              <w:bidi w:val="0"/>
              <w:snapToGrid/>
              <w:spacing w:line="360" w:lineRule="exact"/>
              <w:ind w:left="0" w:leftChars="0" w:firstLine="0" w:firstLineChars="0"/>
              <w:jc w:val="both"/>
              <w:textAlignment w:val="auto"/>
              <w:rPr>
                <w:color w:val="auto"/>
                <w:sz w:val="21"/>
                <w:szCs w:val="21"/>
                <w:highlight w:val="none"/>
              </w:rPr>
            </w:pPr>
            <w:r>
              <w:rPr>
                <w:rFonts w:hint="eastAsia"/>
                <w:color w:val="auto"/>
                <w:sz w:val="21"/>
                <w:szCs w:val="21"/>
                <w:highlight w:val="none"/>
              </w:rPr>
              <w:t>定期检查服务执行情况并记录，每季度≥1次。</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4</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安全管理</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（1）制定涉及消防、服务防护、食品安全、感染控制、信息安全的安全管理制度和场地管理制度。</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（2）购买公众责任保险/综合责任保险。</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）消防安全管理制度内容完善、科学，包括但不限于教育培训、防火检查、电气设备安全检查、安全疏散设备检查、灭火设备安全检查、隐患整改、应急预案等，并执行到位。</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）消防安全演练每半年≥1次且有完善记录。</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）老年人服务防护制度内容完善、科学，包括但不限于如噎食、食品药品误食、烫伤、坠床、跌倒、走失、文娱活动意外等应急演练预案，并执行到位。</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）应急预案演练每年≥1次且有完善记录。</w:t>
            </w:r>
          </w:p>
          <w:p>
            <w:pPr>
              <w:pStyle w:val="8"/>
              <w:keepNext w:val="0"/>
              <w:keepLines w:val="0"/>
              <w:pageBreakBefore w:val="0"/>
              <w:kinsoku/>
              <w:wordWrap/>
              <w:overflowPunct/>
              <w:topLinePunct w:val="0"/>
              <w:bidi w:val="0"/>
              <w:snapToGrid/>
              <w:spacing w:line="360" w:lineRule="exact"/>
              <w:jc w:val="both"/>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）工作人员掌握消防安全、老年人服务防护等制度相关要求。</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5</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宣传推介</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1.每年组织开展线下居家社区养老服务推介活动，宣传本市居家社区养老服务政策：推介活动≥12次。</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w:t>
            </w:r>
            <w:r>
              <w:rPr>
                <w:rFonts w:hint="eastAsia"/>
                <w:color w:val="auto"/>
                <w:sz w:val="21"/>
                <w:szCs w:val="21"/>
                <w:highlight w:val="none"/>
                <w:lang w:eastAsia="zh-CN"/>
              </w:rPr>
              <w:t>通过网站、公众号、微信群、抖音、宣传单张等多种宣传渠道（≥3种）进行服务宣传和动态更新，每月≥1次，内容准确丰富</w:t>
            </w:r>
            <w:r>
              <w:rPr>
                <w:color w:val="auto"/>
                <w:sz w:val="21"/>
                <w:szCs w:val="21"/>
                <w:highlight w:val="none"/>
              </w:rPr>
              <w:t>。</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3.在百度地图、腾讯地图和高德地图等主流地图软件上完善服务设施信息。</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6</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开展养老服务向导</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1.设立养老服务向导点，协助有需要的老年人进行服务申请、查询或转介。养老服务向导员熟悉相关政策内容，能及时、准确回答群众咨询的问题。</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2.</w:t>
            </w:r>
            <w:r>
              <w:rPr>
                <w:rFonts w:hint="eastAsia"/>
                <w:color w:val="auto"/>
                <w:sz w:val="21"/>
                <w:szCs w:val="21"/>
                <w:highlight w:val="none"/>
              </w:rPr>
              <w:t>服务人次≥50，或服务人次大于（含本数）所在镇街户籍老年人数的0.5%</w:t>
            </w:r>
            <w:r>
              <w:rPr>
                <w:color w:val="auto"/>
                <w:sz w:val="21"/>
                <w:szCs w:val="21"/>
                <w:highlight w:val="none"/>
              </w:rPr>
              <w:t>。</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7</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开展助餐配餐服务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1.为本街有就餐需求的老年人提供集中用餐或上门送餐服务。</w:t>
            </w:r>
            <w:r>
              <w:rPr>
                <w:rFonts w:hint="eastAsia"/>
                <w:color w:val="auto"/>
                <w:sz w:val="21"/>
                <w:szCs w:val="21"/>
                <w:highlight w:val="none"/>
              </w:rPr>
              <w:t>工作人员熟知工作流程和要求。</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2.按照本市助餐配餐服务政策规定及地方标准《居家社区养老助餐配餐服务规范》</w:t>
            </w:r>
            <w:r>
              <w:rPr>
                <w:rFonts w:hint="eastAsia"/>
                <w:color w:val="auto"/>
                <w:sz w:val="21"/>
                <w:szCs w:val="21"/>
                <w:highlight w:val="none"/>
                <w:lang w:eastAsia="zh-CN"/>
              </w:rPr>
              <w:t>（</w:t>
            </w:r>
            <w:r>
              <w:rPr>
                <w:color w:val="auto"/>
                <w:sz w:val="21"/>
                <w:szCs w:val="21"/>
                <w:highlight w:val="none"/>
              </w:rPr>
              <w:t>DB4401/T214-2023</w:t>
            </w:r>
            <w:r>
              <w:rPr>
                <w:rFonts w:hint="eastAsia"/>
                <w:color w:val="auto"/>
                <w:sz w:val="21"/>
                <w:szCs w:val="21"/>
                <w:highlight w:val="none"/>
                <w:lang w:eastAsia="zh-CN"/>
              </w:rPr>
              <w:t>），</w:t>
            </w:r>
            <w:r>
              <w:rPr>
                <w:color w:val="auto"/>
                <w:sz w:val="21"/>
                <w:szCs w:val="21"/>
                <w:highlight w:val="none"/>
              </w:rPr>
              <w:t>规范开展服务。</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3.</w:t>
            </w:r>
            <w:r>
              <w:rPr>
                <w:rFonts w:hint="eastAsia"/>
                <w:color w:val="auto"/>
                <w:sz w:val="21"/>
                <w:szCs w:val="21"/>
                <w:highlight w:val="none"/>
              </w:rPr>
              <w:t>服务人次≥6000，或服务人数大于（含本数）所在镇街户籍老年人口数的4%</w:t>
            </w:r>
            <w:r>
              <w:rPr>
                <w:rFonts w:hint="eastAsia"/>
                <w:color w:val="auto"/>
                <w:sz w:val="21"/>
                <w:szCs w:val="21"/>
                <w:highlight w:val="none"/>
                <w:lang w:eastAsia="zh-CN"/>
              </w:rPr>
              <w:t>。</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8</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开展生活照料服务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0"/>
              </w:numPr>
              <w:kinsoku/>
              <w:wordWrap/>
              <w:overflowPunct/>
              <w:topLinePunct w:val="0"/>
              <w:bidi w:val="0"/>
              <w:snapToGrid/>
              <w:spacing w:line="360" w:lineRule="exac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lang w:val="en-US" w:eastAsia="zh-CN"/>
              </w:rPr>
              <w:t>.</w:t>
            </w:r>
            <w:r>
              <w:rPr>
                <w:rFonts w:hint="eastAsia"/>
                <w:color w:val="auto"/>
                <w:sz w:val="21"/>
                <w:szCs w:val="21"/>
                <w:highlight w:val="none"/>
                <w:lang w:eastAsia="zh-CN"/>
              </w:rPr>
              <w:t>服务项目多样化，实际开展的上门生活照料服务项目数量≥5项（包括助洁服务、洗涤服务、陪伴就医、陪同外出、上门做餐、代办服务、个人护理等）。</w:t>
            </w:r>
          </w:p>
          <w:p>
            <w:pPr>
              <w:pStyle w:val="8"/>
              <w:keepNext w:val="0"/>
              <w:keepLines w:val="0"/>
              <w:pageBreakBefore w:val="0"/>
              <w:numPr>
                <w:ilvl w:val="0"/>
                <w:numId w:val="0"/>
              </w:numPr>
              <w:kinsoku/>
              <w:wordWrap/>
              <w:overflowPunct/>
              <w:topLinePunct w:val="0"/>
              <w:bidi w:val="0"/>
              <w:snapToGrid/>
              <w:spacing w:line="360" w:lineRule="exact"/>
              <w:textAlignment w:val="auto"/>
              <w:rPr>
                <w:rFonts w:hint="eastAsia"/>
                <w:color w:val="auto"/>
                <w:sz w:val="21"/>
                <w:szCs w:val="21"/>
                <w:highlight w:val="none"/>
                <w:lang w:eastAsia="zh-CN"/>
              </w:rPr>
            </w:pPr>
            <w:r>
              <w:rPr>
                <w:rFonts w:hint="eastAsia"/>
                <w:color w:val="auto"/>
                <w:sz w:val="21"/>
                <w:szCs w:val="21"/>
                <w:highlight w:val="none"/>
                <w:lang w:eastAsia="zh-CN"/>
              </w:rPr>
              <w:t>2</w:t>
            </w:r>
            <w:r>
              <w:rPr>
                <w:rFonts w:hint="eastAsia"/>
                <w:color w:val="auto"/>
                <w:sz w:val="21"/>
                <w:szCs w:val="21"/>
                <w:highlight w:val="none"/>
                <w:lang w:val="en-US" w:eastAsia="zh-CN"/>
              </w:rPr>
              <w:t>.</w:t>
            </w:r>
            <w:r>
              <w:rPr>
                <w:rFonts w:hint="eastAsia"/>
                <w:color w:val="auto"/>
                <w:sz w:val="21"/>
                <w:szCs w:val="21"/>
                <w:highlight w:val="none"/>
                <w:lang w:eastAsia="zh-CN"/>
              </w:rPr>
              <w:t>所开展的服务项目符合广州市地方标准《社区居家养老服务规范》（DB4401/T 82-2020）的要求。</w:t>
            </w:r>
          </w:p>
          <w:p>
            <w:pPr>
              <w:pStyle w:val="8"/>
              <w:keepNext w:val="0"/>
              <w:keepLines w:val="0"/>
              <w:pageBreakBefore w:val="0"/>
              <w:numPr>
                <w:ilvl w:val="0"/>
                <w:numId w:val="0"/>
              </w:numPr>
              <w:kinsoku/>
              <w:wordWrap/>
              <w:overflowPunct/>
              <w:topLinePunct w:val="0"/>
              <w:bidi w:val="0"/>
              <w:snapToGrid/>
              <w:spacing w:line="360" w:lineRule="exact"/>
              <w:textAlignment w:val="auto"/>
              <w:rPr>
                <w:rFonts w:hint="eastAsia"/>
                <w:color w:val="auto"/>
                <w:sz w:val="21"/>
                <w:szCs w:val="21"/>
                <w:highlight w:val="none"/>
                <w:lang w:eastAsia="zh-CN"/>
              </w:rPr>
            </w:pPr>
            <w:r>
              <w:rPr>
                <w:rFonts w:hint="eastAsia"/>
                <w:color w:val="auto"/>
                <w:sz w:val="21"/>
                <w:szCs w:val="21"/>
                <w:highlight w:val="none"/>
                <w:lang w:eastAsia="zh-CN"/>
              </w:rPr>
              <w:t>3</w:t>
            </w:r>
            <w:r>
              <w:rPr>
                <w:rFonts w:hint="eastAsia"/>
                <w:color w:val="auto"/>
                <w:sz w:val="21"/>
                <w:szCs w:val="21"/>
                <w:highlight w:val="none"/>
                <w:lang w:val="en-US" w:eastAsia="zh-CN"/>
              </w:rPr>
              <w:t>.</w:t>
            </w:r>
            <w:r>
              <w:rPr>
                <w:rFonts w:hint="eastAsia"/>
                <w:color w:val="auto"/>
                <w:sz w:val="21"/>
                <w:szCs w:val="21"/>
                <w:highlight w:val="none"/>
                <w:lang w:eastAsia="zh-CN"/>
              </w:rPr>
              <w:t>为老平台服务记录详实，服务项目与佐证照片相对应。</w:t>
            </w:r>
          </w:p>
          <w:p>
            <w:pPr>
              <w:pStyle w:val="8"/>
              <w:keepNext w:val="0"/>
              <w:keepLines w:val="0"/>
              <w:pageBreakBefore w:val="0"/>
              <w:numPr>
                <w:ilvl w:val="0"/>
                <w:numId w:val="0"/>
              </w:numPr>
              <w:kinsoku/>
              <w:wordWrap/>
              <w:overflowPunct/>
              <w:topLinePunct w:val="0"/>
              <w:bidi w:val="0"/>
              <w:snapToGrid/>
              <w:spacing w:line="360" w:lineRule="exact"/>
              <w:textAlignment w:val="auto"/>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服务人次≥500，或服务人次大于（含本数）所在镇街户籍老年人数的3%</w:t>
            </w:r>
            <w:r>
              <w:rPr>
                <w:color w:val="auto"/>
                <w:sz w:val="21"/>
                <w:szCs w:val="21"/>
                <w:highlight w:val="none"/>
              </w:rPr>
              <w:t>。根据每年的评估指标适时调整。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9</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开展定期巡访服务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安排专人管理巡访工作，根据巡访对象评估情况、风险等级和个人意愿合理确定巡访频次，制定巡访方案。一般对象应至少每月巡访一次，重点帮扶对象适当缩短巡访时间间隔，提高巡访频次，巡访覆盖率100%。特殊困难老年人根据省市关于开展困难老年人探访关爱服务的文件要求进行探访。</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2.采取电话</w:t>
            </w:r>
            <w:r>
              <w:rPr>
                <w:rFonts w:hint="eastAsia"/>
                <w:color w:val="auto"/>
                <w:sz w:val="21"/>
                <w:szCs w:val="21"/>
                <w:highlight w:val="none"/>
                <w:lang w:eastAsia="zh-CN"/>
              </w:rPr>
              <w:t>（</w:t>
            </w:r>
            <w:r>
              <w:rPr>
                <w:color w:val="auto"/>
                <w:sz w:val="21"/>
                <w:szCs w:val="21"/>
                <w:highlight w:val="none"/>
              </w:rPr>
              <w:t>视频</w:t>
            </w:r>
            <w:r>
              <w:rPr>
                <w:rFonts w:hint="eastAsia"/>
                <w:color w:val="auto"/>
                <w:sz w:val="21"/>
                <w:szCs w:val="21"/>
                <w:highlight w:val="none"/>
                <w:lang w:eastAsia="zh-CN"/>
              </w:rPr>
              <w:t>）</w:t>
            </w:r>
            <w:r>
              <w:rPr>
                <w:color w:val="auto"/>
                <w:sz w:val="21"/>
                <w:szCs w:val="21"/>
                <w:highlight w:val="none"/>
              </w:rPr>
              <w:t>问候、上门访问等方式开展巡访，记录巡访情况，巡访对象生日或遇到传统节日时应进行问候。</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3.安排专业人员定期检查巡访对象家庭的水、电、煤气等设施运行情况，排除安全隐患，并有相关记录。</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4.巡访方案执行率100%。</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5.</w:t>
            </w:r>
            <w:r>
              <w:rPr>
                <w:rFonts w:hint="eastAsia"/>
                <w:color w:val="auto"/>
                <w:sz w:val="21"/>
                <w:szCs w:val="21"/>
                <w:highlight w:val="none"/>
              </w:rPr>
              <w:t>服务人次≥500，或服务人次大于（含本数）所在镇街户籍老年人数的5%</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开展辅助租赁服务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1.展示与介绍轮椅、助行器、生活辅助器具等常用的适老辅具并提供租赁服务；为有需求的老年人提供电话预订、线上预订、送货上门等服务。</w:t>
            </w:r>
            <w:r>
              <w:rPr>
                <w:rFonts w:hint="eastAsia"/>
                <w:color w:val="auto"/>
                <w:sz w:val="21"/>
                <w:szCs w:val="21"/>
                <w:highlight w:val="none"/>
              </w:rPr>
              <w:t>租赁双方规范签订租赁协议，档案资料完整，交易凭证清晰。</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2.租赁期满的用品应统一回收、清洗、消毒。</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3.</w:t>
            </w:r>
            <w:r>
              <w:rPr>
                <w:rFonts w:hint="eastAsia"/>
                <w:color w:val="auto"/>
                <w:sz w:val="21"/>
                <w:szCs w:val="21"/>
                <w:highlight w:val="none"/>
              </w:rPr>
              <w:t>服务人次≥5，或服务人次大于（含本数）所在镇街户籍老年人数的0.05%</w:t>
            </w:r>
            <w:r>
              <w:rPr>
                <w:rFonts w:hint="eastAsia"/>
                <w:color w:val="auto"/>
                <w:sz w:val="21"/>
                <w:szCs w:val="21"/>
                <w:highlight w:val="none"/>
                <w:lang w:eastAsia="zh-CN"/>
              </w:rPr>
              <w:t>。</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11</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开展家庭照护培训</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1.面向服务对象的家庭照护者进行培训需求调研，制定家庭照护培训计划，明确工作流程、培训对象、培训方式、培训内容等信息。</w:t>
            </w:r>
            <w:r>
              <w:rPr>
                <w:rFonts w:hint="eastAsia"/>
                <w:color w:val="auto"/>
                <w:sz w:val="21"/>
                <w:szCs w:val="21"/>
                <w:highlight w:val="none"/>
              </w:rPr>
              <w:t>培训执行与培训计划相匹配。</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2.培训内容包括但不限于照护知识与技能培训、心理健康咨询和健康管理以及其他有助于支持家庭承担养老功能的服务。</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3.</w:t>
            </w:r>
            <w:r>
              <w:rPr>
                <w:rFonts w:hint="eastAsia"/>
                <w:color w:val="auto"/>
                <w:sz w:val="21"/>
                <w:szCs w:val="21"/>
                <w:highlight w:val="none"/>
              </w:rPr>
              <w:t>服务人次≥15，或服务人次大于（含本数）所在镇街户籍老年人数的0.15%</w:t>
            </w:r>
            <w:r>
              <w:rPr>
                <w:rFonts w:hint="eastAsia"/>
                <w:color w:val="auto"/>
                <w:sz w:val="21"/>
                <w:szCs w:val="21"/>
                <w:highlight w:val="none"/>
                <w:lang w:eastAsia="zh-CN"/>
              </w:rPr>
              <w:t>。</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12</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开展文体教育服务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1.开展丰富多样的娱乐活动，如阅读、书法、绘画、音乐、棋牌、歌舞等常态化的文体康乐活动不少于6项；逢传统节日能够安排相应的主题活动，每年≥</w:t>
            </w:r>
            <w:r>
              <w:rPr>
                <w:rFonts w:hint="eastAsia"/>
                <w:color w:val="auto"/>
                <w:sz w:val="21"/>
                <w:szCs w:val="21"/>
                <w:highlight w:val="none"/>
                <w:lang w:val="en-US" w:eastAsia="zh-CN"/>
              </w:rPr>
              <w:t>5</w:t>
            </w:r>
            <w:r>
              <w:rPr>
                <w:color w:val="auto"/>
                <w:sz w:val="21"/>
                <w:szCs w:val="21"/>
                <w:highlight w:val="none"/>
              </w:rPr>
              <w:t>次。</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color w:val="auto"/>
                <w:sz w:val="21"/>
                <w:szCs w:val="21"/>
                <w:highlight w:val="none"/>
              </w:rPr>
              <w:t>2.</w:t>
            </w:r>
            <w:r>
              <w:rPr>
                <w:rFonts w:hint="eastAsia"/>
                <w:color w:val="auto"/>
                <w:sz w:val="21"/>
                <w:szCs w:val="21"/>
                <w:highlight w:val="none"/>
              </w:rPr>
              <w:t>在服务设施内有长期开展教育类活动（如老年大学、老年教育、老年培训、长者学堂等），且同一课程持续时间≥3个月。</w:t>
            </w:r>
          </w:p>
          <w:p>
            <w:pPr>
              <w:pStyle w:val="8"/>
              <w:keepNext w:val="0"/>
              <w:keepLines w:val="0"/>
              <w:pageBreakBefore w:val="0"/>
              <w:kinsoku/>
              <w:wordWrap/>
              <w:overflowPunct/>
              <w:topLinePunct w:val="0"/>
              <w:bidi w:val="0"/>
              <w:snapToGrid/>
              <w:spacing w:line="360" w:lineRule="exact"/>
              <w:jc w:val="both"/>
              <w:textAlignment w:val="auto"/>
              <w:rPr>
                <w:rFonts w:hint="eastAsia"/>
                <w:color w:val="auto"/>
                <w:sz w:val="21"/>
                <w:szCs w:val="21"/>
                <w:highlight w:val="none"/>
              </w:rPr>
            </w:pPr>
            <w:r>
              <w:rPr>
                <w:rFonts w:hint="eastAsia"/>
                <w:color w:val="auto"/>
                <w:sz w:val="21"/>
                <w:szCs w:val="21"/>
                <w:highlight w:val="none"/>
              </w:rPr>
              <w:t>（1）课程数量≥3个。</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rFonts w:hint="eastAsia"/>
                <w:color w:val="auto"/>
                <w:sz w:val="21"/>
                <w:szCs w:val="21"/>
                <w:highlight w:val="none"/>
              </w:rPr>
              <w:t>（2）开展展示老年人学习成果的活动，每年≥1次。</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3.</w:t>
            </w:r>
            <w:r>
              <w:rPr>
                <w:rFonts w:hint="eastAsia"/>
                <w:color w:val="auto"/>
                <w:sz w:val="21"/>
                <w:szCs w:val="21"/>
                <w:highlight w:val="none"/>
              </w:rPr>
              <w:t>服务人次≥1500，或服务人次大于（含本数）所在镇街户籍老年人数的15%</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13</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开展日间托管服务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2"/>
              </w:numPr>
              <w:kinsoku/>
              <w:wordWrap/>
              <w:overflowPunct/>
              <w:topLinePunct w:val="0"/>
              <w:bidi w:val="0"/>
              <w:snapToGrid/>
              <w:spacing w:line="360" w:lineRule="exact"/>
              <w:textAlignment w:val="auto"/>
              <w:rPr>
                <w:rFonts w:hint="eastAsia"/>
                <w:color w:val="auto"/>
                <w:sz w:val="21"/>
                <w:szCs w:val="21"/>
                <w:highlight w:val="none"/>
                <w:lang w:val="en-US" w:eastAsia="zh-CN"/>
              </w:rPr>
            </w:pPr>
            <w:r>
              <w:rPr>
                <w:rFonts w:hint="eastAsia"/>
                <w:color w:val="auto"/>
                <w:sz w:val="21"/>
                <w:szCs w:val="21"/>
                <w:highlight w:val="none"/>
                <w:lang w:val="en-US" w:eastAsia="zh-CN"/>
              </w:rPr>
              <w:t>应建立日间托管服务应急处置机制，制定服务对象走失、跌倒、自伤/他伤、财产损失等相关风险预案，明确具体应对措施。制度内容完善、科学、合理，且执行到位。</w:t>
            </w:r>
          </w:p>
          <w:p>
            <w:pPr>
              <w:pStyle w:val="8"/>
              <w:keepNext w:val="0"/>
              <w:keepLines w:val="0"/>
              <w:pageBreakBefore w:val="0"/>
              <w:numPr>
                <w:ilvl w:val="0"/>
                <w:numId w:val="2"/>
              </w:numPr>
              <w:kinsoku/>
              <w:wordWrap/>
              <w:overflowPunct/>
              <w:topLinePunct w:val="0"/>
              <w:bidi w:val="0"/>
              <w:snapToGrid/>
              <w:spacing w:line="360" w:lineRule="exact"/>
              <w:textAlignment w:val="auto"/>
              <w:rPr>
                <w:color w:val="auto"/>
                <w:sz w:val="21"/>
                <w:szCs w:val="21"/>
                <w:highlight w:val="none"/>
              </w:rPr>
            </w:pPr>
            <w:r>
              <w:rPr>
                <w:rFonts w:hint="default"/>
                <w:color w:val="auto"/>
                <w:sz w:val="21"/>
                <w:szCs w:val="21"/>
                <w:highlight w:val="none"/>
                <w:lang w:val="en-US" w:eastAsia="zh-CN"/>
              </w:rPr>
              <w:t>在服务场所醒目位置公示日间托管服务信息。公示信息包括服务内容、收费项目和标准、日托活动安排/作息安排等，公示的收费标准与服务协议及实际收费一致。</w:t>
            </w:r>
          </w:p>
          <w:p>
            <w:pPr>
              <w:pStyle w:val="8"/>
              <w:keepNext w:val="0"/>
              <w:keepLines w:val="0"/>
              <w:pageBreakBefore w:val="0"/>
              <w:numPr>
                <w:ilvl w:val="0"/>
                <w:numId w:val="2"/>
              </w:numPr>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在服务前为老年人进行照护需求评估，制定个性化的照顾计划。</w:t>
            </w:r>
          </w:p>
          <w:p>
            <w:pPr>
              <w:pStyle w:val="8"/>
              <w:keepNext w:val="0"/>
              <w:keepLines w:val="0"/>
              <w:pageBreakBefore w:val="0"/>
              <w:numPr>
                <w:ilvl w:val="0"/>
                <w:numId w:val="2"/>
              </w:numPr>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每日有相对固定的活动安排。</w:t>
            </w:r>
          </w:p>
          <w:p>
            <w:pPr>
              <w:pStyle w:val="8"/>
              <w:keepNext w:val="0"/>
              <w:keepLines w:val="0"/>
              <w:pageBreakBefore w:val="0"/>
              <w:numPr>
                <w:ilvl w:val="0"/>
                <w:numId w:val="2"/>
              </w:numPr>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服务对象中失能老人占比≥50%，或服务对象中失智老人人数≥3人。</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服务人次≥100，或服务人次大于（含本数）所在镇街户籍老年人数的1%</w:t>
            </w:r>
            <w:r>
              <w:rPr>
                <w:rFonts w:hint="eastAsia"/>
                <w:color w:val="auto"/>
                <w:sz w:val="21"/>
                <w:szCs w:val="21"/>
                <w:highlight w:val="none"/>
                <w:lang w:eastAsia="zh-CN"/>
              </w:rPr>
              <w:t>。</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14</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开展临时托养（长期托养）服务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为本街有需要的老年人提供临时托养服务。</w:t>
            </w:r>
            <w:r>
              <w:rPr>
                <w:rFonts w:hint="eastAsia"/>
                <w:b/>
                <w:bCs/>
                <w:color w:val="auto"/>
                <w:sz w:val="21"/>
                <w:szCs w:val="21"/>
                <w:highlight w:val="none"/>
              </w:rPr>
              <w:t>服务人次≥2</w:t>
            </w:r>
            <w:r>
              <w:rPr>
                <w:rFonts w:hint="eastAsia"/>
                <w:color w:val="auto"/>
                <w:sz w:val="21"/>
                <w:szCs w:val="21"/>
                <w:highlight w:val="none"/>
                <w:lang w:eastAsia="zh-CN"/>
              </w:rPr>
              <w:t>；</w:t>
            </w:r>
            <w:r>
              <w:rPr>
                <w:color w:val="auto"/>
                <w:sz w:val="21"/>
                <w:szCs w:val="21"/>
                <w:highlight w:val="none"/>
              </w:rPr>
              <w:t>为本街有需要的老年人提供长期托养服务，长期托养床位不少于10张，</w:t>
            </w:r>
            <w:r>
              <w:rPr>
                <w:rFonts w:hint="eastAsia"/>
                <w:b/>
                <w:bCs/>
                <w:color w:val="auto"/>
                <w:sz w:val="21"/>
                <w:szCs w:val="21"/>
                <w:highlight w:val="none"/>
              </w:rPr>
              <w:t>入住率≥80%</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15</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开展医养康养/康复护理服务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1.取得医疗服务资质或与医疗机构签订合作协议，或具备互联网医院资质、能提供智慧医疗系统辅助开展服务。</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2.为本街60岁及以上老年人提供康复咨询、器材锻炼、康复训练、康复理疗、健康管理、生理指数监测等服务。</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3.开展康复护理服务前由专业人员评估服务对象的身体状况并制订训练计划，对服务对象的身体情况、训练情况、效果及反馈等进行记录。</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4.</w:t>
            </w:r>
            <w:r>
              <w:rPr>
                <w:rFonts w:hint="eastAsia"/>
                <w:color w:val="auto"/>
                <w:sz w:val="21"/>
                <w:szCs w:val="21"/>
                <w:highlight w:val="none"/>
              </w:rPr>
              <w:t>服务人次≥250，或服务人次大于（含本数）所在镇街户籍老年人数的2.5%</w:t>
            </w:r>
            <w:r>
              <w:rPr>
                <w:rFonts w:hint="eastAsia"/>
                <w:color w:val="auto"/>
                <w:sz w:val="21"/>
                <w:szCs w:val="21"/>
                <w:highlight w:val="none"/>
                <w:lang w:eastAsia="zh-CN"/>
              </w:rPr>
              <w:t>。</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16</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开展居家适老化改造服务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1.为老年人开展居家环境安全检查和评估、居家安全教育工作。将有居家适老化改造需求的老年人转介至有改造资质的服务机构。</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2.居家适老化改造应由有资质的机构或专业人员提供服务。实施的改造项目须符合《无障碍设计规范》</w:t>
            </w:r>
            <w:r>
              <w:rPr>
                <w:rFonts w:hint="eastAsia"/>
                <w:color w:val="auto"/>
                <w:sz w:val="21"/>
                <w:szCs w:val="21"/>
                <w:highlight w:val="none"/>
                <w:lang w:eastAsia="zh-CN"/>
              </w:rPr>
              <w:t>（</w:t>
            </w:r>
            <w:r>
              <w:rPr>
                <w:color w:val="auto"/>
                <w:sz w:val="21"/>
                <w:szCs w:val="21"/>
                <w:highlight w:val="none"/>
              </w:rPr>
              <w:t>GB50763-2012</w:t>
            </w:r>
            <w:r>
              <w:rPr>
                <w:rFonts w:hint="eastAsia"/>
                <w:color w:val="auto"/>
                <w:sz w:val="21"/>
                <w:szCs w:val="21"/>
                <w:highlight w:val="none"/>
                <w:lang w:eastAsia="zh-CN"/>
              </w:rPr>
              <w:t>）</w:t>
            </w:r>
            <w:r>
              <w:rPr>
                <w:color w:val="auto"/>
                <w:sz w:val="21"/>
                <w:szCs w:val="21"/>
                <w:highlight w:val="none"/>
              </w:rPr>
              <w:t>、《无障碍设施施工验收及维护规范》</w:t>
            </w:r>
            <w:r>
              <w:rPr>
                <w:rFonts w:hint="eastAsia"/>
                <w:color w:val="auto"/>
                <w:sz w:val="21"/>
                <w:szCs w:val="21"/>
                <w:highlight w:val="none"/>
                <w:lang w:eastAsia="zh-CN"/>
              </w:rPr>
              <w:t>（</w:t>
            </w:r>
            <w:r>
              <w:rPr>
                <w:color w:val="auto"/>
                <w:sz w:val="21"/>
                <w:szCs w:val="21"/>
                <w:highlight w:val="none"/>
              </w:rPr>
              <w:t>GB50642-2011</w:t>
            </w:r>
            <w:r>
              <w:rPr>
                <w:rFonts w:hint="eastAsia"/>
                <w:color w:val="auto"/>
                <w:sz w:val="21"/>
                <w:szCs w:val="21"/>
                <w:highlight w:val="none"/>
                <w:lang w:eastAsia="zh-CN"/>
              </w:rPr>
              <w:t>）</w:t>
            </w:r>
            <w:r>
              <w:rPr>
                <w:color w:val="auto"/>
                <w:sz w:val="21"/>
                <w:szCs w:val="21"/>
                <w:highlight w:val="none"/>
              </w:rPr>
              <w:t>等标准规范，施工所需物资、产品、器材等须符合国家质量标准。</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3.改造前，应对服务对象的家居环境、房屋结构进行科学、专业</w:t>
            </w:r>
            <w:r>
              <w:rPr>
                <w:rFonts w:hint="eastAsia"/>
                <w:color w:val="auto"/>
                <w:sz w:val="21"/>
                <w:szCs w:val="21"/>
                <w:highlight w:val="none"/>
                <w:lang w:eastAsia="zh-CN"/>
              </w:rPr>
              <w:t>的</w:t>
            </w:r>
            <w:r>
              <w:rPr>
                <w:color w:val="auto"/>
                <w:sz w:val="21"/>
                <w:szCs w:val="21"/>
                <w:highlight w:val="none"/>
              </w:rPr>
              <w:t>评估，并制定合理的改造方案。</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4.</w:t>
            </w:r>
            <w:r>
              <w:rPr>
                <w:b/>
                <w:bCs/>
                <w:color w:val="auto"/>
                <w:sz w:val="21"/>
                <w:szCs w:val="21"/>
                <w:highlight w:val="none"/>
              </w:rPr>
              <w:t>改造户数≥</w:t>
            </w:r>
            <w:r>
              <w:rPr>
                <w:rFonts w:hint="eastAsia"/>
                <w:b/>
                <w:bCs/>
                <w:color w:val="auto"/>
                <w:sz w:val="21"/>
                <w:szCs w:val="21"/>
                <w:highlight w:val="none"/>
                <w:lang w:val="en-US" w:eastAsia="zh-CN"/>
              </w:rPr>
              <w:t>5</w:t>
            </w:r>
            <w:r>
              <w:rPr>
                <w:color w:val="auto"/>
                <w:sz w:val="21"/>
                <w:szCs w:val="21"/>
                <w:highlight w:val="none"/>
              </w:rPr>
              <w:t>。每年根据上级下达任务适时调整。</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17</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开展家庭养老床位服务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rFonts w:hint="eastAsia" w:eastAsiaTheme="minorEastAsia"/>
                <w:color w:val="auto"/>
                <w:sz w:val="21"/>
                <w:szCs w:val="21"/>
                <w:highlight w:val="none"/>
                <w:lang w:eastAsia="zh-CN"/>
              </w:rPr>
            </w:pPr>
            <w:r>
              <w:rPr>
                <w:color w:val="auto"/>
                <w:sz w:val="21"/>
                <w:szCs w:val="21"/>
                <w:highlight w:val="none"/>
              </w:rPr>
              <w:t>根据上级家庭养老床位相关文件要求，为本街有需求且符合资助条件的户籍老年人提供家庭养老床位建设，确保应建尽建，每月根据老年人照护需求评估等级提供相应频次的护理服务。</w:t>
            </w:r>
            <w:r>
              <w:rPr>
                <w:rFonts w:hint="eastAsia"/>
                <w:b/>
                <w:bCs/>
                <w:color w:val="auto"/>
                <w:sz w:val="21"/>
                <w:szCs w:val="21"/>
                <w:highlight w:val="none"/>
              </w:rPr>
              <w:t>评定周期内有至少6个月上门服务记录的床位数≥</w:t>
            </w:r>
            <w:r>
              <w:rPr>
                <w:rFonts w:hint="eastAsia"/>
                <w:b/>
                <w:bCs/>
                <w:color w:val="auto"/>
                <w:sz w:val="21"/>
                <w:szCs w:val="21"/>
                <w:highlight w:val="none"/>
                <w:lang w:val="en-US" w:eastAsia="zh-CN"/>
              </w:rPr>
              <w:t>1（具体养老床位数建设指标按采购人有需求且符合资助条件的户籍老年人数为准）</w:t>
            </w:r>
            <w:r>
              <w:rPr>
                <w:rFonts w:hint="eastAsia"/>
                <w:b/>
                <w:bCs/>
                <w:color w:val="auto"/>
                <w:sz w:val="21"/>
                <w:szCs w:val="21"/>
                <w:highlight w:val="none"/>
                <w:lang w:eastAsia="zh-CN"/>
              </w:rPr>
              <w:t>。</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18</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自费服务对象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1.实际提供辅具租赁、居家适老化改造、家庭养老床位、日间托管、医养康养/康复护理等收费项目。</w:t>
            </w:r>
          </w:p>
          <w:p>
            <w:pPr>
              <w:pStyle w:val="8"/>
              <w:keepNext w:val="0"/>
              <w:keepLines w:val="0"/>
              <w:pageBreakBefore w:val="0"/>
              <w:kinsoku/>
              <w:wordWrap/>
              <w:overflowPunct/>
              <w:topLinePunct w:val="0"/>
              <w:bidi w:val="0"/>
              <w:snapToGrid/>
              <w:spacing w:line="360" w:lineRule="exact"/>
              <w:textAlignment w:val="auto"/>
              <w:rPr>
                <w:color w:val="auto"/>
                <w:sz w:val="21"/>
                <w:szCs w:val="21"/>
                <w:highlight w:val="none"/>
              </w:rPr>
            </w:pPr>
            <w:r>
              <w:rPr>
                <w:color w:val="auto"/>
                <w:sz w:val="21"/>
                <w:szCs w:val="21"/>
                <w:highlight w:val="none"/>
              </w:rPr>
              <w:t>2.发展自费服务对象，每年≥</w:t>
            </w:r>
            <w:r>
              <w:rPr>
                <w:rFonts w:hint="eastAsia"/>
                <w:color w:val="auto"/>
                <w:sz w:val="21"/>
                <w:szCs w:val="21"/>
                <w:highlight w:val="none"/>
                <w:lang w:val="en-US" w:eastAsia="zh-CN"/>
              </w:rPr>
              <w:t>200</w:t>
            </w:r>
            <w:r>
              <w:rPr>
                <w:color w:val="auto"/>
                <w:sz w:val="21"/>
                <w:szCs w:val="21"/>
                <w:highlight w:val="none"/>
              </w:rPr>
              <w:t>人次。</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19</w:t>
            </w:r>
          </w:p>
        </w:tc>
        <w:tc>
          <w:tcPr>
            <w:tcW w:w="119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bCs/>
                <w:color w:val="auto"/>
                <w:sz w:val="21"/>
                <w:szCs w:val="21"/>
                <w:highlight w:val="none"/>
              </w:rPr>
              <w:t>特色服务</w:t>
            </w:r>
          </w:p>
        </w:tc>
        <w:tc>
          <w:tcPr>
            <w:tcW w:w="56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 xml:space="preserve">1.除《广州市居家社区养老服务管理办法》 </w:t>
            </w:r>
            <w:r>
              <w:rPr>
                <w:rFonts w:hint="eastAsia"/>
                <w:color w:val="auto"/>
                <w:sz w:val="21"/>
                <w:szCs w:val="21"/>
                <w:highlight w:val="none"/>
                <w:lang w:eastAsia="zh-CN"/>
              </w:rPr>
              <w:t>（</w:t>
            </w:r>
            <w:r>
              <w:rPr>
                <w:color w:val="auto"/>
                <w:sz w:val="21"/>
                <w:szCs w:val="21"/>
                <w:highlight w:val="none"/>
              </w:rPr>
              <w:t xml:space="preserve">穗府办规 </w:t>
            </w:r>
            <w:r>
              <w:rPr>
                <w:rFonts w:hint="eastAsia"/>
                <w:color w:val="auto"/>
                <w:sz w:val="21"/>
                <w:szCs w:val="21"/>
                <w:highlight w:val="none"/>
                <w:lang w:eastAsia="zh-CN"/>
              </w:rPr>
              <w:t>〔2022〕13号）</w:t>
            </w:r>
            <w:r>
              <w:rPr>
                <w:color w:val="auto"/>
                <w:sz w:val="21"/>
                <w:szCs w:val="21"/>
                <w:highlight w:val="none"/>
              </w:rPr>
              <w:t>第十八条规定的服务项目和长期托养服务外，创新推出并实践开展以医促养、医养结合为老服务项目。</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2.通过前期充分调研，结合街情民意，形成独具本街特色的品牌化居家社区养老服务项目，制定切实可行的实施方案，服务目标清晰且完成率达到80%以上，有阶段性评价报告，服务对象满意度达到80%以上，取得一定效应。</w:t>
            </w:r>
          </w:p>
        </w:tc>
        <w:tc>
          <w:tcPr>
            <w:tcW w:w="911"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bl>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注：1.如遇市、区对以上服务项目、服务指标有新要求，按照市、区最新文件要求调整相关指标并执行，服务机构应在完成服务指标的前提下，按照市、区最新评估文件标准继续拓展服务。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2.服务开展过程中，考虑客观情况确需调整相关安排计划的，需与采购人协商确定后实施。</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（十）单个社区颐康服务站每年（12个月）的指标量</w:t>
      </w:r>
    </w:p>
    <w:tbl>
      <w:tblPr>
        <w:tblStyle w:val="6"/>
        <w:tblW w:w="0" w:type="auto"/>
        <w:tblInd w:w="13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487"/>
        <w:gridCol w:w="5141"/>
        <w:gridCol w:w="9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序号</w:t>
            </w:r>
          </w:p>
        </w:tc>
        <w:tc>
          <w:tcPr>
            <w:tcW w:w="14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服务事项</w:t>
            </w:r>
          </w:p>
        </w:tc>
        <w:tc>
          <w:tcPr>
            <w:tcW w:w="51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服务内容</w:t>
            </w:r>
          </w:p>
        </w:tc>
        <w:tc>
          <w:tcPr>
            <w:tcW w:w="9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人员队伍</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3"/>
              </w:numPr>
              <w:kinsoku/>
              <w:wordWrap/>
              <w:overflowPunct/>
              <w:topLinePunct w:val="0"/>
              <w:bidi w:val="0"/>
              <w:snapToGrid/>
              <w:spacing w:line="360" w:lineRule="exact"/>
              <w:jc w:val="left"/>
              <w:textAlignment w:val="auto"/>
              <w:rPr>
                <w:rFonts w:hint="eastAsia"/>
                <w:color w:val="auto"/>
                <w:sz w:val="21"/>
                <w:szCs w:val="21"/>
                <w:highlight w:val="none"/>
              </w:rPr>
            </w:pPr>
            <w:r>
              <w:rPr>
                <w:rFonts w:hint="eastAsia"/>
                <w:color w:val="auto"/>
                <w:sz w:val="21"/>
                <w:szCs w:val="21"/>
                <w:highlight w:val="none"/>
              </w:rPr>
              <w:t>聘请1名或以上专（兼）职工作人员负责日常管理。</w:t>
            </w:r>
          </w:p>
          <w:p>
            <w:pPr>
              <w:pStyle w:val="8"/>
              <w:keepNext w:val="0"/>
              <w:keepLines w:val="0"/>
              <w:pageBreakBefore w:val="0"/>
              <w:numPr>
                <w:ilvl w:val="0"/>
                <w:numId w:val="3"/>
              </w:numPr>
              <w:kinsoku/>
              <w:wordWrap/>
              <w:overflowPunct/>
              <w:topLinePunct w:val="0"/>
              <w:bidi w:val="0"/>
              <w:snapToGrid/>
              <w:spacing w:line="360" w:lineRule="exact"/>
              <w:jc w:val="left"/>
              <w:textAlignment w:val="auto"/>
              <w:rPr>
                <w:rFonts w:hint="eastAsia"/>
                <w:color w:val="auto"/>
                <w:sz w:val="21"/>
                <w:szCs w:val="21"/>
                <w:highlight w:val="none"/>
              </w:rPr>
            </w:pPr>
            <w:r>
              <w:rPr>
                <w:rFonts w:hint="eastAsia"/>
                <w:color w:val="auto"/>
                <w:sz w:val="21"/>
                <w:szCs w:val="21"/>
                <w:highlight w:val="none"/>
              </w:rPr>
              <w:t>按规定为专职人员购买社保，为兼职一线服务人员</w:t>
            </w:r>
            <w:r>
              <w:rPr>
                <w:rFonts w:hint="eastAsia"/>
                <w:color w:val="auto"/>
                <w:sz w:val="21"/>
                <w:szCs w:val="21"/>
                <w:highlight w:val="none"/>
                <w:lang w:eastAsia="zh-CN"/>
              </w:rPr>
              <w:t>（</w:t>
            </w:r>
            <w:r>
              <w:rPr>
                <w:rFonts w:hint="eastAsia"/>
                <w:color w:val="auto"/>
                <w:sz w:val="21"/>
                <w:szCs w:val="21"/>
                <w:highlight w:val="none"/>
              </w:rPr>
              <w:t>含退休返聘）购买人身意外险。</w:t>
            </w:r>
          </w:p>
          <w:p>
            <w:pPr>
              <w:pStyle w:val="8"/>
              <w:keepNext w:val="0"/>
              <w:keepLines w:val="0"/>
              <w:pageBreakBefore w:val="0"/>
              <w:numPr>
                <w:ilvl w:val="0"/>
                <w:numId w:val="3"/>
              </w:numPr>
              <w:kinsoku/>
              <w:wordWrap/>
              <w:overflowPunct/>
              <w:topLinePunct w:val="0"/>
              <w:bidi w:val="0"/>
              <w:snapToGrid/>
              <w:spacing w:line="360" w:lineRule="exact"/>
              <w:ind w:left="0" w:leftChars="0" w:firstLine="0" w:firstLineChars="0"/>
              <w:jc w:val="left"/>
              <w:textAlignment w:val="auto"/>
              <w:rPr>
                <w:color w:val="auto"/>
                <w:sz w:val="21"/>
                <w:szCs w:val="21"/>
                <w:highlight w:val="none"/>
              </w:rPr>
            </w:pPr>
            <w:r>
              <w:rPr>
                <w:rFonts w:hint="eastAsia"/>
                <w:color w:val="auto"/>
                <w:sz w:val="21"/>
                <w:szCs w:val="21"/>
                <w:highlight w:val="none"/>
              </w:rPr>
              <w:t>新员工上岗前应接受不少于10学时的岗前培训；工作人员每年应接受不少于12学时的在岗培训</w:t>
            </w:r>
            <w:r>
              <w:rPr>
                <w:color w:val="auto"/>
                <w:sz w:val="21"/>
                <w:szCs w:val="21"/>
                <w:highlight w:val="none"/>
              </w:rPr>
              <w:t>，建立培训档案。</w:t>
            </w:r>
          </w:p>
          <w:p>
            <w:pPr>
              <w:pStyle w:val="8"/>
              <w:keepNext w:val="0"/>
              <w:keepLines w:val="0"/>
              <w:pageBreakBefore w:val="0"/>
              <w:numPr>
                <w:ilvl w:val="0"/>
                <w:numId w:val="3"/>
              </w:numPr>
              <w:kinsoku/>
              <w:wordWrap/>
              <w:overflowPunct/>
              <w:topLinePunct w:val="0"/>
              <w:bidi w:val="0"/>
              <w:snapToGrid/>
              <w:spacing w:line="360" w:lineRule="exact"/>
              <w:ind w:left="0" w:leftChars="0" w:firstLine="0" w:firstLineChars="0"/>
              <w:jc w:val="left"/>
              <w:textAlignment w:val="auto"/>
              <w:rPr>
                <w:rFonts w:hint="eastAsia"/>
                <w:color w:val="auto"/>
                <w:sz w:val="21"/>
                <w:szCs w:val="21"/>
                <w:highlight w:val="none"/>
              </w:rPr>
            </w:pPr>
            <w:r>
              <w:rPr>
                <w:rFonts w:hint="eastAsia"/>
                <w:color w:val="auto"/>
                <w:sz w:val="21"/>
                <w:szCs w:val="21"/>
                <w:highlight w:val="none"/>
              </w:rPr>
              <w:t>养老服务向导近3年内经过市、区民政部门培训上岗。</w:t>
            </w:r>
          </w:p>
          <w:p>
            <w:pPr>
              <w:pStyle w:val="8"/>
              <w:keepNext w:val="0"/>
              <w:keepLines w:val="0"/>
              <w:pageBreakBefore w:val="0"/>
              <w:numPr>
                <w:ilvl w:val="0"/>
                <w:numId w:val="3"/>
              </w:numPr>
              <w:kinsoku/>
              <w:wordWrap/>
              <w:overflowPunct/>
              <w:topLinePunct w:val="0"/>
              <w:bidi w:val="0"/>
              <w:snapToGrid/>
              <w:spacing w:line="360" w:lineRule="exact"/>
              <w:ind w:left="0" w:leftChars="0" w:firstLine="0" w:firstLineChars="0"/>
              <w:jc w:val="left"/>
              <w:textAlignment w:val="auto"/>
              <w:rPr>
                <w:color w:val="auto"/>
                <w:sz w:val="21"/>
                <w:szCs w:val="21"/>
                <w:highlight w:val="none"/>
              </w:rPr>
            </w:pPr>
            <w:r>
              <w:rPr>
                <w:rFonts w:hint="eastAsia"/>
                <w:color w:val="auto"/>
                <w:sz w:val="21"/>
                <w:szCs w:val="21"/>
                <w:highlight w:val="none"/>
              </w:rPr>
              <w:t>工作人员在岗期间至少参与过1次本区综合养老服务中心组织的培训。</w:t>
            </w:r>
          </w:p>
        </w:tc>
        <w:tc>
          <w:tcPr>
            <w:tcW w:w="937" w:type="dxa"/>
            <w:vMerge w:val="restart"/>
            <w:tcBorders>
              <w:top w:val="nil"/>
              <w:left w:val="nil"/>
              <w:bottom w:val="nil"/>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2</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服务管理</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4"/>
              </w:numPr>
              <w:kinsoku/>
              <w:wordWrap/>
              <w:overflowPunct/>
              <w:topLinePunct w:val="0"/>
              <w:bidi w:val="0"/>
              <w:snapToGrid/>
              <w:spacing w:line="360" w:lineRule="exact"/>
              <w:jc w:val="left"/>
              <w:textAlignment w:val="auto"/>
              <w:rPr>
                <w:rFonts w:hint="eastAsia"/>
                <w:color w:val="auto"/>
                <w:sz w:val="21"/>
                <w:szCs w:val="21"/>
                <w:highlight w:val="none"/>
                <w:lang w:eastAsia="zh-CN"/>
              </w:rPr>
            </w:pPr>
            <w:r>
              <w:rPr>
                <w:color w:val="auto"/>
                <w:sz w:val="21"/>
                <w:szCs w:val="21"/>
                <w:highlight w:val="none"/>
              </w:rPr>
              <w:t>签约对象一人一档且建档率100%，非签约服务对象建立花名册，</w:t>
            </w:r>
            <w:r>
              <w:rPr>
                <w:rFonts w:hint="eastAsia"/>
                <w:color w:val="auto"/>
                <w:sz w:val="21"/>
                <w:szCs w:val="21"/>
                <w:highlight w:val="none"/>
                <w:lang w:eastAsia="zh-CN"/>
              </w:rPr>
              <w:t>及时更新。</w:t>
            </w:r>
          </w:p>
          <w:p>
            <w:pPr>
              <w:pStyle w:val="8"/>
              <w:keepNext w:val="0"/>
              <w:keepLines w:val="0"/>
              <w:pageBreakBefore w:val="0"/>
              <w:numPr>
                <w:ilvl w:val="0"/>
                <w:numId w:val="0"/>
              </w:numPr>
              <w:kinsoku/>
              <w:wordWrap/>
              <w:overflowPunct/>
              <w:topLinePunct w:val="0"/>
              <w:bidi w:val="0"/>
              <w:snapToGrid/>
              <w:spacing w:line="360" w:lineRule="exact"/>
              <w:jc w:val="left"/>
              <w:textAlignment w:val="auto"/>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定期检查服务执行情况并记录，每季度≥1次</w:t>
            </w:r>
            <w:r>
              <w:rPr>
                <w:color w:val="auto"/>
                <w:sz w:val="21"/>
                <w:szCs w:val="21"/>
                <w:highlight w:val="none"/>
              </w:rPr>
              <w:t>按需更新。</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3</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安全管理</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1.制定完善的消防安全管理制度，包括教育培训、防火检查、电气设备安全检查、安全疏散设备检查、灭火设备安全检查、隐患整改、应急预案等内容。</w:t>
            </w:r>
            <w:r>
              <w:rPr>
                <w:rFonts w:hint="eastAsia"/>
                <w:color w:val="auto"/>
                <w:sz w:val="21"/>
                <w:szCs w:val="21"/>
                <w:highlight w:val="none"/>
              </w:rPr>
              <w:t>制度执行到位，且进行消防安全演练，每半年≥1次</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2.制定完善的老年人服务防护制度，包括噎食、压疮、坠床、烫伤、跌倒、走失、他伤和自伤、食品药品误食、文娱活动意外突发事件等应急预案。</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3.至少每周对全部场室进行一次消毒，公用物品应在使用后进行清洗、消毒，有记录。</w:t>
            </w:r>
          </w:p>
          <w:p>
            <w:pPr>
              <w:pStyle w:val="8"/>
              <w:keepNext w:val="0"/>
              <w:keepLines w:val="0"/>
              <w:pageBreakBefore w:val="0"/>
              <w:kinsoku/>
              <w:wordWrap/>
              <w:overflowPunct/>
              <w:topLinePunct w:val="0"/>
              <w:bidi w:val="0"/>
              <w:snapToGrid/>
              <w:spacing w:line="360" w:lineRule="exact"/>
              <w:jc w:val="left"/>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4.购买公众责任保险。</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4</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宣传推介</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5"/>
              </w:numPr>
              <w:kinsoku/>
              <w:wordWrap/>
              <w:overflowPunct/>
              <w:topLinePunct w:val="0"/>
              <w:bidi w:val="0"/>
              <w:snapToGrid/>
              <w:spacing w:line="360" w:lineRule="exact"/>
              <w:jc w:val="left"/>
              <w:textAlignment w:val="auto"/>
              <w:rPr>
                <w:color w:val="auto"/>
                <w:sz w:val="21"/>
                <w:szCs w:val="21"/>
                <w:highlight w:val="none"/>
              </w:rPr>
            </w:pPr>
            <w:r>
              <w:rPr>
                <w:rFonts w:hint="eastAsia"/>
                <w:color w:val="auto"/>
                <w:sz w:val="21"/>
                <w:szCs w:val="21"/>
                <w:highlight w:val="none"/>
              </w:rPr>
              <w:t>运营周期内采取至少2种形式进行服务宣传和动态更新，如网站、公众号、微信群、宣传单张等，每月≥1次。</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2.在百度地图、腾讯地图和高德地图等主流地图软件上完善服务设施信息。</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5</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养老服务向导</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1.协助有需要的老人进行服务申请、查询或转介。</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w:t>
            </w:r>
            <w:r>
              <w:rPr>
                <w:rFonts w:hint="eastAsia"/>
                <w:color w:val="auto"/>
                <w:sz w:val="21"/>
                <w:szCs w:val="21"/>
                <w:highlight w:val="none"/>
              </w:rPr>
              <w:t>服务人次≥25，或服务人次大于（含本数）所在村居户籍老年人数的2.5%</w:t>
            </w:r>
            <w:r>
              <w:rPr>
                <w:color w:val="auto"/>
                <w:sz w:val="21"/>
                <w:szCs w:val="21"/>
                <w:highlight w:val="none"/>
              </w:rPr>
              <w:t>。</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6</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助餐配餐服务</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1.按照本市助餐配餐服务政策规定及地方标准《居家社区养老 助餐配餐服务规范》</w:t>
            </w:r>
            <w:r>
              <w:rPr>
                <w:rFonts w:hint="eastAsia"/>
                <w:color w:val="auto"/>
                <w:sz w:val="21"/>
                <w:szCs w:val="21"/>
                <w:highlight w:val="none"/>
                <w:lang w:eastAsia="zh-CN"/>
              </w:rPr>
              <w:t>（</w:t>
            </w:r>
            <w:r>
              <w:rPr>
                <w:color w:val="auto"/>
                <w:sz w:val="21"/>
                <w:szCs w:val="21"/>
                <w:highlight w:val="none"/>
              </w:rPr>
              <w:t>DB 4401/T 214-2023</w:t>
            </w:r>
            <w:r>
              <w:rPr>
                <w:rFonts w:hint="eastAsia"/>
                <w:color w:val="auto"/>
                <w:sz w:val="21"/>
                <w:szCs w:val="21"/>
                <w:highlight w:val="none"/>
                <w:lang w:eastAsia="zh-CN"/>
              </w:rPr>
              <w:t>）</w:t>
            </w:r>
            <w:r>
              <w:rPr>
                <w:color w:val="auto"/>
                <w:sz w:val="21"/>
                <w:szCs w:val="21"/>
                <w:highlight w:val="none"/>
              </w:rPr>
              <w:t>，规范开展服务。</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w:t>
            </w:r>
            <w:r>
              <w:rPr>
                <w:rFonts w:hint="eastAsia"/>
                <w:color w:val="auto"/>
                <w:sz w:val="21"/>
                <w:szCs w:val="21"/>
                <w:highlight w:val="none"/>
              </w:rPr>
              <w:t>服务人次≥200，或服务人数大于</w:t>
            </w:r>
            <w:r>
              <w:rPr>
                <w:rFonts w:hint="eastAsia"/>
                <w:color w:val="auto"/>
                <w:sz w:val="21"/>
                <w:szCs w:val="21"/>
                <w:highlight w:val="none"/>
                <w:lang w:eastAsia="zh-CN"/>
              </w:rPr>
              <w:t>（</w:t>
            </w:r>
            <w:r>
              <w:rPr>
                <w:rFonts w:hint="eastAsia"/>
                <w:color w:val="auto"/>
                <w:sz w:val="21"/>
                <w:szCs w:val="21"/>
                <w:highlight w:val="none"/>
              </w:rPr>
              <w:t>含本数）所在村居户籍老年人数的20%</w:t>
            </w:r>
            <w:r>
              <w:rPr>
                <w:color w:val="auto"/>
                <w:sz w:val="21"/>
                <w:szCs w:val="21"/>
                <w:highlight w:val="none"/>
              </w:rPr>
              <w:t>。</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7</w:t>
            </w:r>
          </w:p>
        </w:tc>
        <w:tc>
          <w:tcPr>
            <w:tcW w:w="148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生活照料服务</w:t>
            </w:r>
          </w:p>
        </w:tc>
        <w:tc>
          <w:tcPr>
            <w:tcW w:w="51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6"/>
              </w:numPr>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按照广州市地方标准《社区居家养老服务规范》</w:t>
            </w:r>
            <w:r>
              <w:rPr>
                <w:rFonts w:hint="eastAsia"/>
                <w:color w:val="auto"/>
                <w:sz w:val="21"/>
                <w:szCs w:val="21"/>
                <w:highlight w:val="none"/>
                <w:lang w:eastAsia="zh-CN"/>
              </w:rPr>
              <w:t>（</w:t>
            </w:r>
            <w:r>
              <w:rPr>
                <w:color w:val="auto"/>
                <w:sz w:val="21"/>
                <w:szCs w:val="21"/>
                <w:highlight w:val="none"/>
              </w:rPr>
              <w:t>DB4401/T 82-2020</w:t>
            </w:r>
            <w:r>
              <w:rPr>
                <w:rFonts w:hint="eastAsia"/>
                <w:color w:val="auto"/>
                <w:sz w:val="21"/>
                <w:szCs w:val="21"/>
                <w:highlight w:val="none"/>
                <w:lang w:eastAsia="zh-CN"/>
              </w:rPr>
              <w:t>）</w:t>
            </w:r>
            <w:r>
              <w:rPr>
                <w:color w:val="auto"/>
                <w:sz w:val="21"/>
                <w:szCs w:val="21"/>
                <w:highlight w:val="none"/>
              </w:rPr>
              <w:t>开展服务。</w:t>
            </w:r>
          </w:p>
          <w:p>
            <w:pPr>
              <w:pStyle w:val="8"/>
              <w:keepNext w:val="0"/>
              <w:keepLines w:val="0"/>
              <w:pageBreakBefore w:val="0"/>
              <w:kinsoku/>
              <w:wordWrap/>
              <w:overflowPunct/>
              <w:topLinePunct w:val="0"/>
              <w:bidi w:val="0"/>
              <w:snapToGrid/>
              <w:spacing w:line="360" w:lineRule="exact"/>
              <w:jc w:val="left"/>
              <w:textAlignment w:val="auto"/>
              <w:rPr>
                <w:rFonts w:hint="eastAsia" w:eastAsiaTheme="minorEastAsia"/>
                <w:color w:val="auto"/>
                <w:sz w:val="21"/>
                <w:szCs w:val="21"/>
                <w:highlight w:val="none"/>
                <w:lang w:eastAsia="zh-CN"/>
              </w:rPr>
            </w:pPr>
            <w:r>
              <w:rPr>
                <w:color w:val="auto"/>
                <w:sz w:val="21"/>
                <w:szCs w:val="21"/>
                <w:highlight w:val="none"/>
              </w:rPr>
              <w:t>2.</w:t>
            </w:r>
            <w:r>
              <w:rPr>
                <w:rFonts w:hint="eastAsia"/>
                <w:color w:val="auto"/>
                <w:sz w:val="21"/>
                <w:szCs w:val="21"/>
                <w:highlight w:val="none"/>
              </w:rPr>
              <w:t>服务人次≥25，或服务人次大于</w:t>
            </w:r>
            <w:r>
              <w:rPr>
                <w:rFonts w:hint="eastAsia"/>
                <w:color w:val="auto"/>
                <w:sz w:val="21"/>
                <w:szCs w:val="21"/>
                <w:highlight w:val="none"/>
                <w:lang w:eastAsia="zh-CN"/>
              </w:rPr>
              <w:t>（</w:t>
            </w:r>
            <w:r>
              <w:rPr>
                <w:rFonts w:hint="eastAsia"/>
                <w:color w:val="auto"/>
                <w:sz w:val="21"/>
                <w:szCs w:val="21"/>
                <w:highlight w:val="none"/>
              </w:rPr>
              <w:t>含本数）所在村居户籍老年人数的2.5%</w:t>
            </w:r>
            <w:r>
              <w:rPr>
                <w:rFonts w:hint="eastAsia"/>
                <w:color w:val="auto"/>
                <w:sz w:val="21"/>
                <w:szCs w:val="21"/>
                <w:highlight w:val="none"/>
                <w:lang w:eastAsia="zh-CN"/>
              </w:rPr>
              <w:t>。</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8</w:t>
            </w:r>
          </w:p>
        </w:tc>
        <w:tc>
          <w:tcPr>
            <w:tcW w:w="1487" w:type="dxa"/>
            <w:tcBorders>
              <w:top w:val="nil"/>
              <w:left w:val="nil"/>
              <w:bottom w:val="single" w:color="auto"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文体教育</w:t>
            </w:r>
          </w:p>
        </w:tc>
        <w:tc>
          <w:tcPr>
            <w:tcW w:w="5141" w:type="dxa"/>
            <w:tcBorders>
              <w:top w:val="nil"/>
              <w:left w:val="nil"/>
              <w:bottom w:val="single" w:color="auto" w:sz="4" w:space="0"/>
              <w:right w:val="single" w:color="000000" w:sz="4" w:space="0"/>
            </w:tcBorders>
            <w:tcMar>
              <w:top w:w="0" w:type="dxa"/>
              <w:left w:w="105" w:type="dxa"/>
              <w:bottom w:w="0" w:type="dxa"/>
              <w:right w:w="105" w:type="dxa"/>
            </w:tcMar>
            <w:vAlign w:val="center"/>
          </w:tcPr>
          <w:p>
            <w:pPr>
              <w:pStyle w:val="8"/>
              <w:keepNext w:val="0"/>
              <w:keepLines w:val="0"/>
              <w:pageBreakBefore w:val="0"/>
              <w:numPr>
                <w:ilvl w:val="0"/>
                <w:numId w:val="7"/>
              </w:numPr>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开展的文体康乐活动≥6项，如阅览、书法、绘画、音乐、棋牌、歌舞等。</w:t>
            </w:r>
          </w:p>
          <w:p>
            <w:pPr>
              <w:pStyle w:val="8"/>
              <w:keepNext w:val="0"/>
              <w:keepLines w:val="0"/>
              <w:pageBreakBefore w:val="0"/>
              <w:numPr>
                <w:ilvl w:val="0"/>
                <w:numId w:val="7"/>
              </w:numPr>
              <w:kinsoku/>
              <w:wordWrap/>
              <w:overflowPunct/>
              <w:topLinePunct w:val="0"/>
              <w:bidi w:val="0"/>
              <w:snapToGrid/>
              <w:spacing w:line="360" w:lineRule="exact"/>
              <w:jc w:val="left"/>
              <w:textAlignment w:val="auto"/>
              <w:rPr>
                <w:color w:val="auto"/>
                <w:sz w:val="21"/>
                <w:szCs w:val="21"/>
                <w:highlight w:val="none"/>
              </w:rPr>
            </w:pPr>
            <w:r>
              <w:rPr>
                <w:rFonts w:hint="eastAsia"/>
                <w:color w:val="auto"/>
                <w:sz w:val="21"/>
                <w:szCs w:val="21"/>
                <w:highlight w:val="none"/>
              </w:rPr>
              <w:t>逢传统节日能够安排相应的主题活动，每年≥2次，活动档案资料完整。</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w:t>
            </w:r>
            <w:r>
              <w:rPr>
                <w:rFonts w:hint="eastAsia"/>
                <w:color w:val="auto"/>
                <w:sz w:val="21"/>
                <w:szCs w:val="21"/>
                <w:highlight w:val="none"/>
              </w:rPr>
              <w:t>服务人次≥250，或服务人次大于</w:t>
            </w:r>
            <w:r>
              <w:rPr>
                <w:rFonts w:hint="eastAsia"/>
                <w:color w:val="auto"/>
                <w:sz w:val="21"/>
                <w:szCs w:val="21"/>
                <w:highlight w:val="none"/>
                <w:lang w:eastAsia="zh-CN"/>
              </w:rPr>
              <w:t>（</w:t>
            </w:r>
            <w:r>
              <w:rPr>
                <w:rFonts w:hint="eastAsia"/>
                <w:color w:val="auto"/>
                <w:sz w:val="21"/>
                <w:szCs w:val="21"/>
                <w:highlight w:val="none"/>
              </w:rPr>
              <w:t>含本数）所在村居户籍老年人数的25%</w:t>
            </w:r>
            <w:r>
              <w:rPr>
                <w:color w:val="auto"/>
                <w:sz w:val="21"/>
                <w:szCs w:val="21"/>
                <w:highlight w:val="none"/>
              </w:rPr>
              <w:t>。</w:t>
            </w:r>
          </w:p>
        </w:tc>
        <w:tc>
          <w:tcPr>
            <w:tcW w:w="937" w:type="dxa"/>
            <w:vMerge w:val="continue"/>
            <w:tcBorders>
              <w:top w:val="nil"/>
              <w:left w:val="nil"/>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9</w:t>
            </w:r>
          </w:p>
        </w:tc>
        <w:tc>
          <w:tcPr>
            <w:tcW w:w="14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日间托管</w:t>
            </w:r>
          </w:p>
        </w:tc>
        <w:tc>
          <w:tcPr>
            <w:tcW w:w="51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1.每日有相对固定的活动安排。</w:t>
            </w:r>
          </w:p>
          <w:p>
            <w:pPr>
              <w:pStyle w:val="8"/>
              <w:keepNext w:val="0"/>
              <w:keepLines w:val="0"/>
              <w:pageBreakBefore w:val="0"/>
              <w:kinsoku/>
              <w:wordWrap/>
              <w:overflowPunct/>
              <w:topLinePunct w:val="0"/>
              <w:bidi w:val="0"/>
              <w:snapToGrid/>
              <w:spacing w:line="360" w:lineRule="exact"/>
              <w:jc w:val="left"/>
              <w:textAlignment w:val="auto"/>
              <w:rPr>
                <w:color w:val="auto"/>
                <w:sz w:val="21"/>
                <w:szCs w:val="21"/>
                <w:highlight w:val="none"/>
              </w:rPr>
            </w:pPr>
            <w:r>
              <w:rPr>
                <w:color w:val="auto"/>
                <w:sz w:val="21"/>
                <w:szCs w:val="21"/>
                <w:highlight w:val="none"/>
              </w:rPr>
              <w:t>2.</w:t>
            </w:r>
            <w:r>
              <w:rPr>
                <w:rFonts w:hint="eastAsia"/>
                <w:color w:val="auto"/>
                <w:sz w:val="21"/>
                <w:szCs w:val="21"/>
                <w:highlight w:val="none"/>
              </w:rPr>
              <w:t>服务人次≥5，或服务人次大于</w:t>
            </w:r>
            <w:r>
              <w:rPr>
                <w:rFonts w:hint="eastAsia"/>
                <w:color w:val="auto"/>
                <w:sz w:val="21"/>
                <w:szCs w:val="21"/>
                <w:highlight w:val="none"/>
                <w:lang w:eastAsia="zh-CN"/>
              </w:rPr>
              <w:t>（</w:t>
            </w:r>
            <w:r>
              <w:rPr>
                <w:rFonts w:hint="eastAsia"/>
                <w:color w:val="auto"/>
                <w:sz w:val="21"/>
                <w:szCs w:val="21"/>
                <w:highlight w:val="none"/>
              </w:rPr>
              <w:t>含本数）所在村居户籍老年人数的0.5%</w:t>
            </w:r>
            <w:r>
              <w:rPr>
                <w:color w:val="auto"/>
                <w:sz w:val="21"/>
                <w:szCs w:val="21"/>
                <w:highlight w:val="none"/>
              </w:rPr>
              <w:t>。</w:t>
            </w:r>
          </w:p>
        </w:tc>
        <w:tc>
          <w:tcPr>
            <w:tcW w:w="937" w:type="dxa"/>
            <w:vMerge w:val="continue"/>
            <w:tcBorders>
              <w:top w:val="nil"/>
              <w:left w:val="single" w:color="auto" w:sz="4" w:space="0"/>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10</w:t>
            </w:r>
          </w:p>
        </w:tc>
        <w:tc>
          <w:tcPr>
            <w:tcW w:w="148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康复护理</w:t>
            </w:r>
          </w:p>
        </w:tc>
        <w:tc>
          <w:tcPr>
            <w:tcW w:w="51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left"/>
              <w:textAlignment w:val="auto"/>
              <w:rPr>
                <w:rFonts w:hint="eastAsia"/>
                <w:color w:val="auto"/>
                <w:sz w:val="21"/>
                <w:szCs w:val="21"/>
                <w:highlight w:val="none"/>
              </w:rPr>
            </w:pPr>
            <w:r>
              <w:rPr>
                <w:rFonts w:hint="eastAsia"/>
                <w:color w:val="auto"/>
                <w:sz w:val="21"/>
                <w:szCs w:val="21"/>
                <w:highlight w:val="none"/>
              </w:rPr>
              <w:t>（1）配备专职或兼职的康复护理工作人员，或与周边卫生服务中心等签订医养合作协议，每月定期开展康复护理服务。</w:t>
            </w:r>
          </w:p>
          <w:p>
            <w:pPr>
              <w:pStyle w:val="8"/>
              <w:keepNext w:val="0"/>
              <w:keepLines w:val="0"/>
              <w:pageBreakBefore w:val="0"/>
              <w:kinsoku/>
              <w:wordWrap/>
              <w:overflowPunct/>
              <w:topLinePunct w:val="0"/>
              <w:bidi w:val="0"/>
              <w:snapToGrid/>
              <w:spacing w:line="360" w:lineRule="exact"/>
              <w:jc w:val="left"/>
              <w:textAlignment w:val="auto"/>
              <w:rPr>
                <w:rFonts w:hint="eastAsia"/>
                <w:color w:val="auto"/>
                <w:sz w:val="21"/>
                <w:szCs w:val="21"/>
                <w:highlight w:val="none"/>
              </w:rPr>
            </w:pPr>
            <w:r>
              <w:rPr>
                <w:rFonts w:hint="eastAsia"/>
                <w:color w:val="auto"/>
                <w:sz w:val="21"/>
                <w:szCs w:val="21"/>
                <w:highlight w:val="none"/>
              </w:rPr>
              <w:t>（2）场地内配有适合老人使用的康复训练和进行日常健康监测的设施设备，工作人员能够熟练操作使用。</w:t>
            </w:r>
          </w:p>
          <w:p>
            <w:pPr>
              <w:pStyle w:val="8"/>
              <w:keepNext w:val="0"/>
              <w:keepLines w:val="0"/>
              <w:pageBreakBefore w:val="0"/>
              <w:kinsoku/>
              <w:wordWrap/>
              <w:overflowPunct/>
              <w:topLinePunct w:val="0"/>
              <w:bidi w:val="0"/>
              <w:snapToGrid/>
              <w:spacing w:line="360" w:lineRule="exact"/>
              <w:jc w:val="left"/>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）服务人次≥60，或服务人次大于（含本数）所在村居户籍老年人数的6%</w:t>
            </w:r>
          </w:p>
        </w:tc>
        <w:tc>
          <w:tcPr>
            <w:tcW w:w="937" w:type="dxa"/>
            <w:tcBorders>
              <w:top w:val="nil"/>
              <w:left w:val="single" w:color="auto" w:sz="4" w:space="0"/>
              <w:bottom w:val="nil"/>
              <w:right w:val="single" w:color="000000" w:sz="4" w:space="0"/>
            </w:tcBorders>
            <w:vAlign w:val="center"/>
          </w:tcPr>
          <w:p>
            <w:pPr>
              <w:keepNext w:val="0"/>
              <w:keepLines w:val="0"/>
              <w:pageBreakBefore w:val="0"/>
              <w:kinsoku/>
              <w:wordWrap/>
              <w:overflowPunct/>
              <w:topLinePunct w:val="0"/>
              <w:bidi w:val="0"/>
              <w:snapToGrid/>
              <w:spacing w:line="360" w:lineRule="exact"/>
              <w:textAlignment w:val="auto"/>
              <w:rPr>
                <w:color w:val="auto"/>
                <w:szCs w:val="21"/>
                <w:highlight w:val="none"/>
              </w:rPr>
            </w:pPr>
          </w:p>
        </w:tc>
      </w:tr>
    </w:tbl>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注：1.如遇市、区对以上服务项目、服务指标有新要求，按照市、区最新文件要求调整相关指标并执行，服务机构应在完成服务指标的前提下，按照市、区最新评估文件标准继续拓展服务。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2.服务开展过程中，考虑客观情况确需调整相关安排计划的，需与采购人协商确定后实施。</w:t>
      </w:r>
    </w:p>
    <w:p>
      <w:pPr>
        <w:pStyle w:val="8"/>
        <w:keepNext w:val="0"/>
        <w:keepLines w:val="0"/>
        <w:pageBreakBefore w:val="0"/>
        <w:kinsoku/>
        <w:wordWrap/>
        <w:overflowPunct/>
        <w:topLinePunct w:val="0"/>
        <w:bidi w:val="0"/>
        <w:snapToGrid/>
        <w:spacing w:line="360" w:lineRule="exact"/>
        <w:jc w:val="both"/>
        <w:textAlignment w:val="auto"/>
        <w:rPr>
          <w:color w:val="auto"/>
          <w:sz w:val="21"/>
          <w:szCs w:val="21"/>
          <w:highlight w:val="none"/>
        </w:rPr>
      </w:pPr>
      <w:r>
        <w:rPr>
          <w:color w:val="auto"/>
          <w:sz w:val="21"/>
          <w:szCs w:val="21"/>
          <w:highlight w:val="none"/>
        </w:rPr>
        <w:t>（十一）关键指标要求</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32"/>
        <w:gridCol w:w="29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3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指标</w:t>
            </w:r>
          </w:p>
        </w:tc>
        <w:tc>
          <w:tcPr>
            <w:tcW w:w="29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b/>
                <w:color w:val="auto"/>
                <w:sz w:val="21"/>
                <w:szCs w:val="21"/>
                <w:highlight w:val="none"/>
              </w:rPr>
              <w:t>任务目标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颐康中心运营</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颐康服务站运营</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rFonts w:hint="eastAsia" w:eastAsiaTheme="minorEastAsia"/>
                <w:color w:val="auto"/>
                <w:sz w:val="21"/>
                <w:szCs w:val="21"/>
                <w:highlight w:val="none"/>
                <w:lang w:eastAsia="zh-CN"/>
              </w:rPr>
            </w:pPr>
            <w:r>
              <w:rPr>
                <w:rFonts w:hint="eastAsia"/>
                <w:color w:val="auto"/>
                <w:sz w:val="21"/>
                <w:szCs w:val="21"/>
                <w:highlight w:val="none"/>
                <w:lang w:val="en-US" w:eastAsia="zh-CN"/>
              </w:rPr>
              <w:t>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社区日间照料机构建设数量覆盖率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辖内老年人服务覆盖率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“家政+养老”服务社区覆盖率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“家政+养老”上门服务人数覆盖率</w:t>
            </w:r>
          </w:p>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（根据上级部门当年考核指标确定）</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享受大配餐服务的60周岁及以上老年人覆盖率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rFonts w:hint="eastAsia"/>
                <w:color w:val="auto"/>
                <w:sz w:val="21"/>
                <w:szCs w:val="21"/>
                <w:highlight w:val="none"/>
              </w:rPr>
              <w:t>服务人次≥6000，或服务人数大于（含本数）所在镇街户籍老年人口数的4%</w:t>
            </w:r>
            <w:r>
              <w:rPr>
                <w:rFonts w:hint="eastAsia"/>
                <w:color w:val="auto"/>
                <w:sz w:val="21"/>
                <w:szCs w:val="21"/>
                <w:highlight w:val="none"/>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自建厨房模式的长者饭堂建设个数</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建设家庭养老床位完成率</w:t>
            </w:r>
          </w:p>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（根据上级部门文件规定确定）</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与基层卫生服务机构（含护理站）签约开展医疗服务的签约率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完成上级民政部门下发的各项养老服务考核指标</w:t>
            </w:r>
          </w:p>
        </w:tc>
        <w:tc>
          <w:tcPr>
            <w:tcW w:w="297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8"/>
              <w:keepNext w:val="0"/>
              <w:keepLines w:val="0"/>
              <w:pageBreakBefore w:val="0"/>
              <w:kinsoku/>
              <w:wordWrap/>
              <w:overflowPunct/>
              <w:topLinePunct w:val="0"/>
              <w:bidi w:val="0"/>
              <w:snapToGrid/>
              <w:spacing w:line="360" w:lineRule="exact"/>
              <w:jc w:val="center"/>
              <w:textAlignment w:val="auto"/>
              <w:rPr>
                <w:color w:val="auto"/>
                <w:sz w:val="21"/>
                <w:szCs w:val="21"/>
                <w:highlight w:val="none"/>
              </w:rPr>
            </w:pPr>
            <w:r>
              <w:rPr>
                <w:color w:val="auto"/>
                <w:sz w:val="21"/>
                <w:szCs w:val="21"/>
                <w:highlight w:val="none"/>
              </w:rPr>
              <w:t>100%</w:t>
            </w:r>
          </w:p>
        </w:tc>
      </w:tr>
    </w:tbl>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注：截至2025年</w:t>
      </w:r>
      <w:r>
        <w:rPr>
          <w:rFonts w:hint="eastAsia"/>
          <w:color w:val="auto"/>
          <w:sz w:val="21"/>
          <w:szCs w:val="21"/>
          <w:highlight w:val="none"/>
          <w:lang w:val="en-US" w:eastAsia="zh-CN"/>
        </w:rPr>
        <w:t>12</w:t>
      </w:r>
      <w:r>
        <w:rPr>
          <w:color w:val="auto"/>
          <w:sz w:val="21"/>
          <w:szCs w:val="21"/>
          <w:highlight w:val="none"/>
        </w:rPr>
        <w:t>月，</w:t>
      </w:r>
      <w:r>
        <w:rPr>
          <w:rFonts w:hint="eastAsia"/>
          <w:color w:val="auto"/>
          <w:sz w:val="21"/>
          <w:szCs w:val="21"/>
          <w:highlight w:val="none"/>
          <w:lang w:eastAsia="zh-CN"/>
        </w:rPr>
        <w:t>云城街</w:t>
      </w:r>
      <w:r>
        <w:rPr>
          <w:color w:val="auto"/>
          <w:sz w:val="21"/>
          <w:szCs w:val="21"/>
          <w:highlight w:val="none"/>
        </w:rPr>
        <w:t>辖内户籍长者</w:t>
      </w:r>
      <w:r>
        <w:rPr>
          <w:rFonts w:hint="eastAsia"/>
          <w:color w:val="auto"/>
          <w:sz w:val="21"/>
          <w:szCs w:val="21"/>
          <w:highlight w:val="none"/>
          <w:u w:val="single"/>
          <w:lang w:val="en-US" w:eastAsia="zh-CN"/>
        </w:rPr>
        <w:t xml:space="preserve">  3339  </w:t>
      </w:r>
      <w:r>
        <w:rPr>
          <w:color w:val="auto"/>
          <w:sz w:val="21"/>
          <w:szCs w:val="21"/>
          <w:highlight w:val="none"/>
        </w:rPr>
        <w:t>人，如人数变更，以采购人通知为准。</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六、服务期限</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成交供应商运营白云区</w:t>
      </w:r>
      <w:r>
        <w:rPr>
          <w:rFonts w:hint="eastAsia"/>
          <w:color w:val="auto"/>
          <w:sz w:val="21"/>
          <w:szCs w:val="21"/>
          <w:highlight w:val="none"/>
          <w:lang w:eastAsia="zh-CN"/>
        </w:rPr>
        <w:t>云城街</w:t>
      </w:r>
      <w:r>
        <w:rPr>
          <w:color w:val="auto"/>
          <w:sz w:val="21"/>
          <w:szCs w:val="21"/>
          <w:highlight w:val="none"/>
        </w:rPr>
        <w:t>综合养老服务中心（颐康中心）及颐康服务站，服务期限为</w:t>
      </w:r>
      <w:r>
        <w:rPr>
          <w:rFonts w:hint="eastAsia"/>
          <w:color w:val="auto"/>
          <w:sz w:val="21"/>
          <w:szCs w:val="21"/>
          <w:highlight w:val="none"/>
        </w:rPr>
        <w:t>2026年5月15日至2028年12月31日</w:t>
      </w:r>
      <w:r>
        <w:rPr>
          <w:color w:val="auto"/>
          <w:sz w:val="21"/>
          <w:szCs w:val="21"/>
          <w:highlight w:val="none"/>
        </w:rPr>
        <w:t>，合同一年一签。</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七、收费方式约定</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w:t>
      </w:r>
      <w:r>
        <w:rPr>
          <w:rFonts w:hint="eastAsia"/>
          <w:color w:val="auto"/>
          <w:sz w:val="21"/>
          <w:szCs w:val="21"/>
          <w:highlight w:val="none"/>
          <w:lang w:eastAsia="zh-CN"/>
        </w:rPr>
        <w:t>云城街</w:t>
      </w:r>
      <w:r>
        <w:rPr>
          <w:color w:val="auto"/>
          <w:sz w:val="21"/>
          <w:szCs w:val="21"/>
          <w:highlight w:val="none"/>
        </w:rPr>
        <w:t>颐康中心收住政府保障对象的，其基本养老服务收费按照广州市公布的城镇最低生活保障标准收取；政府保障对象以外的其他社会老年人收费标准不得高于普惠性养老服务标准，其他居家社区养老服务按项目收费的在协议中明确参照《广州市居家养老服务指导中心关于印发</w:t>
      </w:r>
      <w:r>
        <w:rPr>
          <w:rFonts w:hint="eastAsia"/>
          <w:color w:val="auto"/>
          <w:sz w:val="21"/>
          <w:szCs w:val="21"/>
          <w:highlight w:val="none"/>
          <w:lang w:eastAsia="zh-CN"/>
        </w:rPr>
        <w:t>〈</w:t>
      </w:r>
      <w:r>
        <w:rPr>
          <w:color w:val="auto"/>
          <w:sz w:val="21"/>
          <w:szCs w:val="21"/>
          <w:highlight w:val="none"/>
        </w:rPr>
        <w:t>广州市社区居家养老服务项目清单与指导参考价（试行）</w:t>
      </w:r>
      <w:r>
        <w:rPr>
          <w:rFonts w:hint="eastAsia"/>
          <w:color w:val="auto"/>
          <w:sz w:val="21"/>
          <w:szCs w:val="21"/>
          <w:highlight w:val="none"/>
          <w:lang w:eastAsia="zh-CN"/>
        </w:rPr>
        <w:t>〉的通知》</w:t>
      </w:r>
      <w:r>
        <w:rPr>
          <w:color w:val="auto"/>
          <w:sz w:val="21"/>
          <w:szCs w:val="21"/>
          <w:highlight w:val="none"/>
        </w:rPr>
        <w:t>（穗居家养老服务指导中心办〔2018〕6号）执行，否则成交供应商退出运营。</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2.成交供应商不得向政府保障对象收取一次性生活设施设备费。</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3.成交供应商收费标准必须向社会公开，公开载体包括各级人民政府或民政部门官方网站、成交供应商的网站、宣传栏等。</w:t>
      </w:r>
    </w:p>
    <w:p>
      <w:pPr>
        <w:ind w:firstLine="422" w:firstLineChars="200"/>
        <w:jc w:val="both"/>
        <w:rPr>
          <w:color w:val="auto"/>
          <w:szCs w:val="21"/>
          <w:highlight w:val="none"/>
        </w:rPr>
      </w:pPr>
      <w:r>
        <w:rPr>
          <w:b/>
          <w:color w:val="auto"/>
          <w:sz w:val="21"/>
          <w:szCs w:val="21"/>
          <w:highlight w:val="none"/>
        </w:rPr>
        <w:t>★</w:t>
      </w:r>
      <w:r>
        <w:rPr>
          <w:rFonts w:hint="eastAsia"/>
          <w:b/>
          <w:color w:val="auto"/>
          <w:sz w:val="21"/>
          <w:szCs w:val="21"/>
          <w:highlight w:val="none"/>
          <w:lang w:val="en-US" w:eastAsia="zh-CN"/>
        </w:rPr>
        <w:t>八</w:t>
      </w:r>
      <w:r>
        <w:rPr>
          <w:b/>
          <w:color w:val="auto"/>
          <w:sz w:val="21"/>
          <w:szCs w:val="21"/>
          <w:highlight w:val="none"/>
        </w:rPr>
        <w:t>、场地建设及设施设置要求（提供承诺函）</w:t>
      </w:r>
    </w:p>
    <w:p>
      <w:pPr>
        <w:keepNext w:val="0"/>
        <w:keepLines w:val="0"/>
        <w:pageBreakBefore w:val="0"/>
        <w:kinsoku/>
        <w:wordWrap/>
        <w:overflowPunct/>
        <w:topLinePunct w:val="0"/>
        <w:bidi w:val="0"/>
        <w:snapToGrid/>
        <w:spacing w:line="360" w:lineRule="exact"/>
        <w:ind w:firstLine="420" w:firstLineChars="200"/>
        <w:jc w:val="both"/>
        <w:textAlignment w:val="auto"/>
        <w:rPr>
          <w:rFonts w:hint="eastAsia" w:asciiTheme="minorHAnsi" w:hAnsiTheme="minorHAnsi" w:eastAsiaTheme="minorEastAsia" w:cstheme="minorBidi"/>
          <w:color w:val="auto"/>
          <w:sz w:val="21"/>
          <w:szCs w:val="21"/>
          <w:highlight w:val="none"/>
          <w:lang w:val="en-US" w:eastAsia="zh-Hans"/>
        </w:rPr>
      </w:pPr>
      <w:r>
        <w:rPr>
          <w:rFonts w:hint="eastAsia" w:asciiTheme="minorHAnsi" w:hAnsiTheme="minorHAnsi" w:eastAsiaTheme="minorEastAsia" w:cstheme="minorBidi"/>
          <w:color w:val="auto"/>
          <w:sz w:val="21"/>
          <w:szCs w:val="21"/>
          <w:highlight w:val="none"/>
          <w:lang w:val="en-US" w:eastAsia="zh-Hans"/>
        </w:rPr>
        <w:t>1.项目场地建设包括房屋建筑及建筑设备、场地和基本装备，场地建设和设施设备须符合安全质量、适老化和无障碍设施要求</w:t>
      </w:r>
      <w:r>
        <w:rPr>
          <w:rFonts w:hint="eastAsia" w:asciiTheme="minorHAnsi" w:hAnsiTheme="minorHAnsi" w:eastAsiaTheme="minorEastAsia" w:cstheme="minorBidi"/>
          <w:color w:val="auto"/>
          <w:sz w:val="21"/>
          <w:szCs w:val="21"/>
          <w:highlight w:val="none"/>
          <w:lang w:val="en-US" w:eastAsia="zh-CN"/>
        </w:rPr>
        <w:t>，</w:t>
      </w:r>
      <w:r>
        <w:rPr>
          <w:rFonts w:hint="eastAsia" w:asciiTheme="minorHAnsi" w:hAnsiTheme="minorHAnsi" w:eastAsiaTheme="minorEastAsia" w:cstheme="minorBidi"/>
          <w:color w:val="auto"/>
          <w:sz w:val="21"/>
          <w:szCs w:val="21"/>
          <w:highlight w:val="none"/>
          <w:lang w:val="en-US" w:eastAsia="zh-Hans"/>
        </w:rPr>
        <w:t>符合国家、省、市养老机构和社区居家养老服务相关规范和国家、地方关于养老设施建设行业标准。对需要报建、审批的，必须按照规定报建、通过审批。场地建成后</w:t>
      </w:r>
      <w:r>
        <w:rPr>
          <w:rFonts w:hint="eastAsia" w:asciiTheme="minorHAnsi" w:hAnsiTheme="minorHAnsi" w:eastAsiaTheme="minorEastAsia" w:cstheme="minorBidi"/>
          <w:color w:val="auto"/>
          <w:sz w:val="21"/>
          <w:szCs w:val="21"/>
          <w:highlight w:val="none"/>
          <w:lang w:val="en-US" w:eastAsia="zh-CN"/>
        </w:rPr>
        <w:t>须</w:t>
      </w:r>
      <w:r>
        <w:rPr>
          <w:rFonts w:hint="eastAsia" w:asciiTheme="minorHAnsi" w:hAnsiTheme="minorHAnsi" w:eastAsiaTheme="minorEastAsia" w:cstheme="minorBidi"/>
          <w:color w:val="auto"/>
          <w:sz w:val="21"/>
          <w:szCs w:val="21"/>
          <w:highlight w:val="none"/>
          <w:lang w:val="en-US" w:eastAsia="zh-Hans"/>
        </w:rPr>
        <w:t>通过相关部门验收。</w:t>
      </w:r>
    </w:p>
    <w:p>
      <w:pPr>
        <w:pStyle w:val="8"/>
        <w:keepNext w:val="0"/>
        <w:keepLines w:val="0"/>
        <w:pageBreakBefore w:val="0"/>
        <w:kinsoku/>
        <w:wordWrap/>
        <w:overflowPunct/>
        <w:topLinePunct w:val="0"/>
        <w:bidi w:val="0"/>
        <w:snapToGrid/>
        <w:spacing w:line="360" w:lineRule="exact"/>
        <w:ind w:firstLine="422"/>
        <w:jc w:val="both"/>
        <w:textAlignment w:val="auto"/>
        <w:rPr>
          <w:rFonts w:hint="eastAsia" w:asciiTheme="minorHAnsi" w:hAnsiTheme="minorHAnsi" w:eastAsiaTheme="minorEastAsia" w:cstheme="minorBidi"/>
          <w:color w:val="auto"/>
          <w:sz w:val="21"/>
          <w:szCs w:val="21"/>
          <w:highlight w:val="none"/>
          <w:lang w:val="en-US" w:eastAsia="zh-Hans"/>
        </w:rPr>
      </w:pPr>
      <w:r>
        <w:rPr>
          <w:rFonts w:hint="eastAsia" w:asciiTheme="minorHAnsi" w:hAnsiTheme="minorHAnsi" w:eastAsiaTheme="minorEastAsia" w:cstheme="minorBidi"/>
          <w:color w:val="auto"/>
          <w:sz w:val="21"/>
          <w:szCs w:val="21"/>
          <w:highlight w:val="none"/>
          <w:lang w:val="en-US" w:eastAsia="zh-Hans"/>
        </w:rPr>
        <w:t>2.场地应根据建设规模和实际需要，合理设置长者的生活服务、医疗康复、文化娱乐、心理疏导及辅助用房，并设置长者饭堂（含自建厨房）、护理站（或与周边护理站合作）。除卫生间、沐浴间、办公室外，其他功能区（室）宜一区（室）多用，即可换用、兼用。场地应配置供电、给排水、采暖通风、通讯、消防和网络，以及生活服务、保健康复、娱乐、安防、疫情防控等设施设备和</w:t>
      </w:r>
      <w:r>
        <w:rPr>
          <w:rFonts w:hint="eastAsia" w:asciiTheme="minorHAnsi" w:hAnsiTheme="minorHAnsi" w:eastAsiaTheme="minorEastAsia" w:cstheme="minorBidi"/>
          <w:b/>
          <w:bCs/>
          <w:color w:val="auto"/>
          <w:sz w:val="21"/>
          <w:szCs w:val="21"/>
          <w:highlight w:val="none"/>
          <w:lang w:val="en-US" w:eastAsia="zh-Hans"/>
        </w:rPr>
        <w:t>必要的交通工具（</w:t>
      </w:r>
      <w:r>
        <w:rPr>
          <w:rFonts w:hint="eastAsia" w:cstheme="minorBidi"/>
          <w:b/>
          <w:bCs/>
          <w:color w:val="auto"/>
          <w:sz w:val="21"/>
          <w:szCs w:val="21"/>
          <w:highlight w:val="none"/>
          <w:lang w:val="en-US" w:eastAsia="zh-CN"/>
        </w:rPr>
        <w:t>应急车辆</w:t>
      </w:r>
      <w:r>
        <w:rPr>
          <w:rFonts w:hint="eastAsia" w:asciiTheme="minorHAnsi" w:hAnsiTheme="minorHAnsi" w:eastAsiaTheme="minorEastAsia" w:cstheme="minorBidi"/>
          <w:b/>
          <w:bCs/>
          <w:color w:val="auto"/>
          <w:sz w:val="21"/>
          <w:szCs w:val="21"/>
          <w:highlight w:val="none"/>
          <w:lang w:val="en-US" w:eastAsia="zh-Hans"/>
        </w:rPr>
        <w:t>）</w:t>
      </w:r>
      <w:r>
        <w:rPr>
          <w:rFonts w:hint="eastAsia" w:asciiTheme="minorHAnsi" w:hAnsiTheme="minorHAnsi" w:eastAsiaTheme="minorEastAsia" w:cstheme="minorBidi"/>
          <w:color w:val="auto"/>
          <w:sz w:val="21"/>
          <w:szCs w:val="21"/>
          <w:highlight w:val="none"/>
          <w:lang w:val="en-US" w:eastAsia="zh-Hans"/>
        </w:rPr>
        <w:t>。按照省、市、区颐康中心建设要求，合理设置全托、日托床位。设置后如暂无全托需求的，可利用全托床位开展日托等长者需要的服务。床位面积按照国家行业标准《长者照料设施建筑设计标准》（JGJ451-2018）的相关规定。场地设置无障碍电梯且至少1台为医用电梯。</w:t>
      </w:r>
    </w:p>
    <w:p>
      <w:pPr>
        <w:pStyle w:val="8"/>
        <w:keepNext w:val="0"/>
        <w:keepLines w:val="0"/>
        <w:pageBreakBefore w:val="0"/>
        <w:kinsoku/>
        <w:wordWrap/>
        <w:overflowPunct/>
        <w:topLinePunct w:val="0"/>
        <w:bidi w:val="0"/>
        <w:snapToGrid/>
        <w:spacing w:line="360" w:lineRule="exact"/>
        <w:ind w:firstLine="422"/>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3.</w:t>
      </w:r>
      <w:r>
        <w:rPr>
          <w:rFonts w:hint="eastAsia"/>
          <w:b w:val="0"/>
          <w:bCs w:val="0"/>
          <w:color w:val="auto"/>
          <w:sz w:val="21"/>
          <w:szCs w:val="21"/>
          <w:highlight w:val="none"/>
        </w:rPr>
        <w:t>根据《广州市白云区人民政府征收土地预公告》（穗云府预征〔2025〕24号、穗云府预征〔2025〕178号、穗云府预征〔2025〕179号、穗云府预征〔2025〕185号</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及《广州市白云区人民政府征地补偿安置方案公告》（穗云府征前公</w:t>
      </w:r>
      <w:r>
        <w:rPr>
          <w:rFonts w:hint="eastAsia"/>
          <w:b w:val="0"/>
          <w:bCs w:val="0"/>
          <w:color w:val="auto"/>
          <w:sz w:val="21"/>
          <w:szCs w:val="21"/>
          <w:highlight w:val="none"/>
        </w:rPr>
        <w:t>〔</w:t>
      </w:r>
      <w:r>
        <w:rPr>
          <w:rFonts w:hint="eastAsia"/>
          <w:b w:val="0"/>
          <w:bCs w:val="0"/>
          <w:color w:val="auto"/>
          <w:sz w:val="21"/>
          <w:szCs w:val="21"/>
          <w:highlight w:val="none"/>
          <w:lang w:val="en-US" w:eastAsia="zh-CN"/>
        </w:rPr>
        <w:t>2026</w:t>
      </w:r>
      <w:r>
        <w:rPr>
          <w:rFonts w:hint="eastAsia"/>
          <w:b w:val="0"/>
          <w:bCs w:val="0"/>
          <w:color w:val="auto"/>
          <w:sz w:val="21"/>
          <w:szCs w:val="21"/>
          <w:highlight w:val="none"/>
        </w:rPr>
        <w:t>〕</w:t>
      </w:r>
      <w:r>
        <w:rPr>
          <w:rFonts w:hint="eastAsia"/>
          <w:b w:val="0"/>
          <w:bCs w:val="0"/>
          <w:color w:val="auto"/>
          <w:sz w:val="21"/>
          <w:szCs w:val="21"/>
          <w:highlight w:val="none"/>
          <w:lang w:val="en-US" w:eastAsia="zh-CN"/>
        </w:rPr>
        <w:t>5号）</w:t>
      </w:r>
      <w:r>
        <w:rPr>
          <w:color w:val="auto"/>
          <w:sz w:val="21"/>
          <w:szCs w:val="21"/>
          <w:highlight w:val="none"/>
        </w:rPr>
        <w:t>，如成交供应商的办公场所在</w:t>
      </w:r>
      <w:r>
        <w:rPr>
          <w:rFonts w:hint="eastAsia"/>
          <w:color w:val="auto"/>
          <w:sz w:val="21"/>
          <w:szCs w:val="21"/>
          <w:highlight w:val="none"/>
          <w:lang w:val="en-US" w:eastAsia="zh-CN"/>
        </w:rPr>
        <w:t>上述公告的征地</w:t>
      </w:r>
      <w:r>
        <w:rPr>
          <w:color w:val="auto"/>
          <w:sz w:val="21"/>
          <w:szCs w:val="21"/>
          <w:highlight w:val="none"/>
        </w:rPr>
        <w:t>范围内，出现导致办公场所无法继续使用的情况，则成交供应商须通过另外购买或者租赁其它场地以保证</w:t>
      </w:r>
      <w:r>
        <w:rPr>
          <w:rFonts w:hint="eastAsia"/>
          <w:color w:val="auto"/>
          <w:sz w:val="21"/>
          <w:szCs w:val="21"/>
          <w:highlight w:val="none"/>
          <w:lang w:val="en-US" w:eastAsia="zh-CN"/>
        </w:rPr>
        <w:t>在云城街道对应社区范围内</w:t>
      </w:r>
      <w:r>
        <w:rPr>
          <w:color w:val="auto"/>
          <w:sz w:val="21"/>
          <w:szCs w:val="21"/>
          <w:highlight w:val="none"/>
        </w:rPr>
        <w:t>拥有固定的办公场所来履行本项目</w:t>
      </w:r>
      <w:r>
        <w:rPr>
          <w:rFonts w:hint="eastAsia"/>
          <w:color w:val="auto"/>
          <w:sz w:val="21"/>
          <w:szCs w:val="21"/>
          <w:highlight w:val="none"/>
          <w:lang w:eastAsia="zh-CN"/>
        </w:rPr>
        <w:t>。</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rFonts w:hint="eastAsia"/>
          <w:b/>
          <w:color w:val="auto"/>
          <w:sz w:val="21"/>
          <w:szCs w:val="21"/>
          <w:highlight w:val="none"/>
          <w:lang w:val="en-US" w:eastAsia="zh-CN"/>
        </w:rPr>
        <w:t>九</w:t>
      </w:r>
      <w:r>
        <w:rPr>
          <w:b/>
          <w:color w:val="auto"/>
          <w:sz w:val="21"/>
          <w:szCs w:val="21"/>
          <w:highlight w:val="none"/>
        </w:rPr>
        <w:t>、监管条款</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1.成交供应商必须无条件接受采购人及上级部门的监督管理。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2.采购人有权制定、修订对本项目的考核制度和评分标准，对成交供应商的运营行为进行考核、评分，并根据考评结果作出相应的处理。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3.成交供应商应能按时完成项目协议约定的服务内容，服务对象满意率达到80%及以上。</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4.成交供应商应当根据社区养老服务设施建设相关规定按时完成建设，并应当通过区民政部门组织的验收。</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5.成交供应商应当严格按照《中华人民共和国老年人权益保障法》《广东省养老服务条例》《广东省老年人权益保障条例》《广州市养老服务条例》《广州市居家社区养老服务管理办法》等各级养老服务、医疗卫生、食品安全等领域法律法规及政策文件，以及相关标准开展服务。如有最新政策要求的应当及时调整。</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6.成交供应商须建立健全项目和资金管理办法，建立专款专用制度，单独使用和核算项目经费，制定项目预算表并报送</w:t>
      </w:r>
      <w:r>
        <w:rPr>
          <w:rFonts w:hint="eastAsia"/>
          <w:color w:val="auto"/>
          <w:sz w:val="21"/>
          <w:szCs w:val="21"/>
          <w:highlight w:val="none"/>
          <w:lang w:eastAsia="zh-CN"/>
        </w:rPr>
        <w:t>采购人</w:t>
      </w:r>
      <w:r>
        <w:rPr>
          <w:color w:val="auto"/>
          <w:sz w:val="21"/>
          <w:szCs w:val="21"/>
          <w:highlight w:val="none"/>
        </w:rPr>
        <w:t>审核，接受财政、审计、民政、街（镇）等有关部门的监督管理。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7.成交供应商未经</w:t>
      </w:r>
      <w:r>
        <w:rPr>
          <w:rFonts w:hint="eastAsia"/>
          <w:color w:val="auto"/>
          <w:sz w:val="21"/>
          <w:szCs w:val="21"/>
          <w:highlight w:val="none"/>
          <w:lang w:val="en-US" w:eastAsia="zh-CN"/>
        </w:rPr>
        <w:t>采购人</w:t>
      </w:r>
      <w:r>
        <w:rPr>
          <w:color w:val="auto"/>
          <w:sz w:val="21"/>
          <w:szCs w:val="21"/>
          <w:highlight w:val="none"/>
        </w:rPr>
        <w:t>书面同意，不得停止或者暂停本项目，不得出现减少服务内容、变更服务场地、缩减服务场地面积或者将场地用于其他用途等行为。</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8.成交供应商在履行协议过程中，原则上不得将服务项目委托给第三方，非主体、非关键性工作若因专业性较强的资质原因需委托第三方开展服务的，需经过</w:t>
      </w:r>
      <w:r>
        <w:rPr>
          <w:rFonts w:hint="eastAsia"/>
          <w:color w:val="auto"/>
          <w:sz w:val="21"/>
          <w:szCs w:val="21"/>
          <w:highlight w:val="none"/>
          <w:lang w:eastAsia="zh-CN"/>
        </w:rPr>
        <w:t>采购人</w:t>
      </w:r>
      <w:r>
        <w:rPr>
          <w:color w:val="auto"/>
          <w:sz w:val="21"/>
          <w:szCs w:val="21"/>
          <w:highlight w:val="none"/>
        </w:rPr>
        <w:t>书面审核同意后签署服务委托协议，成交供应商对第三方开展的服务负责。</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9.成交供应商无正当理由不得拒绝老年人入住服务设施或拒绝为老年人提供服务。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10.成交供应商应当按照规定制订项目运营服务计划书并提交</w:t>
      </w:r>
      <w:r>
        <w:rPr>
          <w:rFonts w:hint="eastAsia"/>
          <w:color w:val="auto"/>
          <w:sz w:val="21"/>
          <w:szCs w:val="21"/>
          <w:highlight w:val="none"/>
          <w:lang w:val="en-US" w:eastAsia="zh-CN"/>
        </w:rPr>
        <w:t>采购人</w:t>
      </w:r>
      <w:r>
        <w:rPr>
          <w:color w:val="auto"/>
          <w:sz w:val="21"/>
          <w:szCs w:val="21"/>
          <w:highlight w:val="none"/>
        </w:rPr>
        <w:t>审核。</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11.成交供应商应当定期向</w:t>
      </w:r>
      <w:r>
        <w:rPr>
          <w:rFonts w:hint="eastAsia"/>
          <w:color w:val="auto"/>
          <w:sz w:val="21"/>
          <w:szCs w:val="21"/>
          <w:highlight w:val="none"/>
          <w:lang w:eastAsia="zh-CN"/>
        </w:rPr>
        <w:t>采购人</w:t>
      </w:r>
      <w:r>
        <w:rPr>
          <w:color w:val="auto"/>
          <w:sz w:val="21"/>
          <w:szCs w:val="21"/>
          <w:highlight w:val="none"/>
        </w:rPr>
        <w:t>反馈服务开展情况，配合</w:t>
      </w:r>
      <w:r>
        <w:rPr>
          <w:rFonts w:hint="eastAsia"/>
          <w:color w:val="auto"/>
          <w:sz w:val="21"/>
          <w:szCs w:val="21"/>
          <w:highlight w:val="none"/>
          <w:lang w:eastAsia="zh-CN"/>
        </w:rPr>
        <w:t>采购人</w:t>
      </w:r>
      <w:r>
        <w:rPr>
          <w:color w:val="auto"/>
          <w:sz w:val="21"/>
          <w:szCs w:val="21"/>
          <w:highlight w:val="none"/>
        </w:rPr>
        <w:t>及其他政府部门的监督与检查。应当按规定定期接受民政部门组织的服务评估。</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12.成交供应商应当按照三防、消防、安全生产、疫情防控等有关要求，做好人员、场地、设施设备等的防控及安全管理，建立服务风险应对预案和应急处置机制，落实安全管理主体责任，确保项目实施过程安全有序。</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13.成交供应商应当严格按照有关法律法规规定，负责其工作人员的工资、社保等薪酬待遇保障以及有关意外安全责任，包括人员上下班途中和工作中的安全问题，</w:t>
      </w:r>
      <w:r>
        <w:rPr>
          <w:rFonts w:hint="eastAsia"/>
          <w:color w:val="auto"/>
          <w:sz w:val="21"/>
          <w:szCs w:val="21"/>
          <w:highlight w:val="none"/>
          <w:lang w:eastAsia="zh-CN"/>
        </w:rPr>
        <w:t>采购人</w:t>
      </w:r>
      <w:r>
        <w:rPr>
          <w:color w:val="auto"/>
          <w:sz w:val="21"/>
          <w:szCs w:val="21"/>
          <w:highlight w:val="none"/>
        </w:rPr>
        <w:t>无须承担任何责任。如成交供应商员工被</w:t>
      </w:r>
      <w:r>
        <w:rPr>
          <w:rFonts w:hint="eastAsia"/>
          <w:color w:val="auto"/>
          <w:sz w:val="21"/>
          <w:szCs w:val="21"/>
          <w:highlight w:val="none"/>
          <w:lang w:eastAsia="zh-CN"/>
        </w:rPr>
        <w:t>采购人</w:t>
      </w:r>
      <w:r>
        <w:rPr>
          <w:color w:val="auto"/>
          <w:sz w:val="21"/>
          <w:szCs w:val="21"/>
          <w:highlight w:val="none"/>
        </w:rPr>
        <w:t>安排参加防疫、救灾等有关应急工作，</w:t>
      </w:r>
      <w:r>
        <w:rPr>
          <w:rFonts w:hint="eastAsia"/>
          <w:color w:val="auto"/>
          <w:sz w:val="21"/>
          <w:szCs w:val="21"/>
          <w:highlight w:val="none"/>
          <w:lang w:eastAsia="zh-CN"/>
        </w:rPr>
        <w:t>采购人</w:t>
      </w:r>
      <w:r>
        <w:rPr>
          <w:color w:val="auto"/>
          <w:sz w:val="21"/>
          <w:szCs w:val="21"/>
          <w:highlight w:val="none"/>
        </w:rPr>
        <w:t>为其提供相应的安全保障措施。</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14.成交供应商须提供安全设施给予工作人员以保障其工作安全，并须加强对员工的监管，若成交供应商员工有任何不当行为，引致</w:t>
      </w:r>
      <w:r>
        <w:rPr>
          <w:rFonts w:hint="eastAsia"/>
          <w:color w:val="auto"/>
          <w:sz w:val="21"/>
          <w:szCs w:val="21"/>
          <w:highlight w:val="none"/>
          <w:lang w:eastAsia="zh-CN"/>
        </w:rPr>
        <w:t>采购人</w:t>
      </w:r>
      <w:r>
        <w:rPr>
          <w:color w:val="auto"/>
          <w:sz w:val="21"/>
          <w:szCs w:val="21"/>
          <w:highlight w:val="none"/>
        </w:rPr>
        <w:t>或其他第三方的任何物质或名誉损失，成交供应商应当及时采取适当措施消除不良影响并赔偿由此造成的损失。</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15.成交供应商开展项目过程中不得出现广州市地方标准《综合养老服务中心基本规范》附录C规定的颐康中心、颐康服务站负面清单有关情形。</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rFonts w:hint="eastAsia"/>
          <w:b/>
          <w:color w:val="auto"/>
          <w:sz w:val="21"/>
          <w:szCs w:val="21"/>
          <w:highlight w:val="none"/>
          <w:lang w:val="en-US" w:eastAsia="zh-CN"/>
        </w:rPr>
        <w:t>十</w:t>
      </w:r>
      <w:r>
        <w:rPr>
          <w:b/>
          <w:color w:val="auto"/>
          <w:sz w:val="21"/>
          <w:szCs w:val="21"/>
          <w:highlight w:val="none"/>
        </w:rPr>
        <w:t>、服务评估（验收要求）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每年接受区养老服务指导单位的服务评估。对承接的服务项目评估定级不合格的成交供应商，由区民政部门督促整改，整改后仍不合格的，采购人有权不支付对应设施运营经费，该不合格设施年度运营成本由成交供应商自行承担，合同不予续签。</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十</w:t>
      </w:r>
      <w:r>
        <w:rPr>
          <w:rFonts w:hint="eastAsia"/>
          <w:b/>
          <w:color w:val="auto"/>
          <w:sz w:val="21"/>
          <w:szCs w:val="21"/>
          <w:highlight w:val="none"/>
          <w:lang w:val="en-US" w:eastAsia="zh-CN"/>
        </w:rPr>
        <w:t>一</w:t>
      </w:r>
      <w:r>
        <w:rPr>
          <w:b/>
          <w:color w:val="auto"/>
          <w:sz w:val="21"/>
          <w:szCs w:val="21"/>
          <w:highlight w:val="none"/>
        </w:rPr>
        <w:t>、中止和退出机制</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项目运营过程中，如运营期届满或成交供应商提前终止时，成交供应商应及时做好机构交接工作，保障机构正常运营或入住老人妥善安置，双方应在合同终止60日前向白云区民政部门提交终止合同情况报告及入住对象安置方案，经批准后实施。双方共同委托专业会计师事务所进行资产清算，妥善做好资产和账目交接，运营届满应按时移交政府，移交前产生的一切债务或纠纷由成交供应商自行负责。</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因不可抗力因素或政府政策原因影响本合同执行的，双方不承担违约责任，相关补偿按当期有关政策执行。</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本项目合同生效后即具有法律约束力，双方均不得随意变更或解除。合同需要变更或解除时，须经双方共同协商，达成一致意见。</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成交供应商有下列情形之一的，采购人及民政部门有权责令其限期整改；情节严重的，解除合同，并移交有关部门依法追究责任：</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1.利用本项目场所实施非法活动，违法经营或损害公共利益及违反本合同相关约定的。若因成交供应商违悖法律法规行为可能造成采购人在行政、经济上的责任，对造成损失的由成交供应商负全责；</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2.以本项目的经营权向第三方进行转包、担保、保证、抵押或其他有损害采购人权益的，以及以国有资产进行抵押、融资、贷款，或违反协议约定的收费标准或捐赠管理制度，造成严重后果的；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3.未经采购人同意，擅自变更法人代表或运营方的；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4.擅自改变经营范围的；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5.损毁设施或改变设施用途的，无法保障养老机构设施、设备正常运转的；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6.造成重大安全事故的；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7.经采购人或上级部门评估为不合格、要求整改后未按时整改或整改后仍然</w:t>
      </w:r>
      <w:r>
        <w:rPr>
          <w:rFonts w:hint="eastAsia"/>
          <w:color w:val="auto"/>
          <w:sz w:val="21"/>
          <w:szCs w:val="21"/>
          <w:highlight w:val="none"/>
          <w:lang w:eastAsia="zh-CN"/>
        </w:rPr>
        <w:t>不符</w:t>
      </w:r>
      <w:r>
        <w:rPr>
          <w:color w:val="auto"/>
          <w:sz w:val="21"/>
          <w:szCs w:val="21"/>
          <w:highlight w:val="none"/>
        </w:rPr>
        <w:t>合要求的；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8.经营资质降级或丧失的；</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9.违反国家法律法规、违反本合同的其他情形。</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十</w:t>
      </w:r>
      <w:r>
        <w:rPr>
          <w:rFonts w:hint="eastAsia"/>
          <w:b/>
          <w:color w:val="auto"/>
          <w:sz w:val="21"/>
          <w:szCs w:val="21"/>
          <w:highlight w:val="none"/>
          <w:lang w:val="en-US" w:eastAsia="zh-CN"/>
        </w:rPr>
        <w:t>二</w:t>
      </w:r>
      <w:r>
        <w:rPr>
          <w:b/>
          <w:color w:val="auto"/>
          <w:sz w:val="21"/>
          <w:szCs w:val="21"/>
          <w:highlight w:val="none"/>
        </w:rPr>
        <w:t>、其他要求</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1.成交供应商应承担社会公共服务职能，保证养老服务设施公益性。</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2.严格按照《广州市人民政府办公厅关于印发广州市居家社区养老服务管理办法的通知》和广州市地方标准《社区居家养老服务规范》的要求开展服务。</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3.根据服务对象实际需求制订详细具体服务方案，并做好服务记录。</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4.服务期间如遇到国家规定的广州市职工最低工资标准发生调整，须以广州市有关部门颁发的文件为准，成交供应商须及时调整本项目工作人员工作。</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5.成交供应商须对本项目涉及服务对象的个人相关信息进行保密，未经服务对象或其法定监护人书面许可，不得对外披露，不得以任何形式提供给第三方，不得在参与本项目工作之外使用这些保密信息。</w:t>
      </w:r>
    </w:p>
    <w:p>
      <w:pPr>
        <w:pStyle w:val="8"/>
        <w:keepNext w:val="0"/>
        <w:keepLines w:val="0"/>
        <w:pageBreakBefore w:val="0"/>
        <w:kinsoku/>
        <w:wordWrap/>
        <w:overflowPunct/>
        <w:topLinePunct w:val="0"/>
        <w:bidi w:val="0"/>
        <w:snapToGrid/>
        <w:spacing w:line="360" w:lineRule="exact"/>
        <w:ind w:firstLine="420"/>
        <w:jc w:val="left"/>
        <w:textAlignment w:val="auto"/>
        <w:rPr>
          <w:color w:val="auto"/>
          <w:sz w:val="21"/>
          <w:szCs w:val="21"/>
          <w:highlight w:val="none"/>
        </w:rPr>
      </w:pPr>
      <w:r>
        <w:rPr>
          <w:color w:val="auto"/>
          <w:sz w:val="21"/>
          <w:szCs w:val="21"/>
          <w:highlight w:val="none"/>
        </w:rPr>
        <w:t>6.成交供应商在本项目终止后不得保留以任何形式存储的服务对象的任何信息数据，不得利用该项目的信息数据为其他的单位（包括自办单位）或项目服务。</w:t>
      </w:r>
    </w:p>
    <w:p>
      <w:pPr>
        <w:pStyle w:val="8"/>
        <w:keepNext w:val="0"/>
        <w:keepLines w:val="0"/>
        <w:pageBreakBefore w:val="0"/>
        <w:kinsoku/>
        <w:wordWrap/>
        <w:overflowPunct/>
        <w:topLinePunct w:val="0"/>
        <w:bidi w:val="0"/>
        <w:snapToGrid/>
        <w:spacing w:line="360" w:lineRule="exact"/>
        <w:ind w:firstLine="422"/>
        <w:jc w:val="both"/>
        <w:textAlignment w:val="auto"/>
        <w:rPr>
          <w:color w:val="auto"/>
          <w:sz w:val="21"/>
          <w:szCs w:val="21"/>
          <w:highlight w:val="none"/>
        </w:rPr>
      </w:pPr>
      <w:r>
        <w:rPr>
          <w:b/>
          <w:color w:val="auto"/>
          <w:sz w:val="21"/>
          <w:szCs w:val="21"/>
          <w:highlight w:val="none"/>
        </w:rPr>
        <w:t>十</w:t>
      </w:r>
      <w:r>
        <w:rPr>
          <w:rFonts w:hint="eastAsia"/>
          <w:b/>
          <w:color w:val="auto"/>
          <w:sz w:val="21"/>
          <w:szCs w:val="21"/>
          <w:highlight w:val="none"/>
          <w:lang w:val="en-US" w:eastAsia="zh-CN"/>
        </w:rPr>
        <w:t>三</w:t>
      </w:r>
      <w:r>
        <w:rPr>
          <w:b/>
          <w:color w:val="auto"/>
          <w:sz w:val="21"/>
          <w:szCs w:val="21"/>
          <w:highlight w:val="none"/>
        </w:rPr>
        <w:t>、支付方式</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（一）运营经费</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本项目运营经费总计</w:t>
      </w:r>
      <w:r>
        <w:rPr>
          <w:rFonts w:hint="eastAsia"/>
          <w:color w:val="auto"/>
          <w:sz w:val="21"/>
          <w:szCs w:val="21"/>
          <w:highlight w:val="none"/>
          <w:u w:val="single"/>
          <w:lang w:val="en-US" w:eastAsia="zh-CN"/>
        </w:rPr>
        <w:t>223.54</w:t>
      </w:r>
      <w:r>
        <w:rPr>
          <w:color w:val="auto"/>
          <w:sz w:val="21"/>
          <w:szCs w:val="21"/>
          <w:highlight w:val="none"/>
          <w:u w:val="single"/>
        </w:rPr>
        <w:t>万</w:t>
      </w:r>
      <w:r>
        <w:rPr>
          <w:color w:val="auto"/>
          <w:sz w:val="21"/>
          <w:szCs w:val="21"/>
          <w:highlight w:val="none"/>
        </w:rPr>
        <w:t>元人民币</w:t>
      </w:r>
      <w:r>
        <w:rPr>
          <w:rFonts w:hint="eastAsia"/>
          <w:color w:val="auto"/>
          <w:sz w:val="21"/>
          <w:szCs w:val="21"/>
          <w:highlight w:val="none"/>
          <w:lang w:eastAsia="zh-CN"/>
        </w:rPr>
        <w:t>（</w:t>
      </w:r>
      <w:r>
        <w:rPr>
          <w:rFonts w:hint="eastAsia"/>
          <w:color w:val="auto"/>
          <w:sz w:val="21"/>
          <w:szCs w:val="21"/>
          <w:highlight w:val="none"/>
          <w:lang w:val="en-US" w:eastAsia="zh-CN"/>
        </w:rPr>
        <w:t>2026年</w:t>
      </w:r>
      <w:r>
        <w:rPr>
          <w:color w:val="auto"/>
          <w:sz w:val="21"/>
          <w:szCs w:val="21"/>
          <w:highlight w:val="none"/>
        </w:rPr>
        <w:t>运营经费为</w:t>
      </w:r>
      <w:r>
        <w:rPr>
          <w:rFonts w:hint="eastAsia"/>
          <w:color w:val="auto"/>
          <w:sz w:val="21"/>
          <w:szCs w:val="21"/>
          <w:highlight w:val="none"/>
          <w:lang w:val="en-US" w:eastAsia="zh-CN"/>
        </w:rPr>
        <w:t>53.54万元，2027年</w:t>
      </w:r>
      <w:r>
        <w:rPr>
          <w:color w:val="auto"/>
          <w:sz w:val="21"/>
          <w:szCs w:val="21"/>
          <w:highlight w:val="none"/>
        </w:rPr>
        <w:t>运营经费为</w:t>
      </w:r>
      <w:r>
        <w:rPr>
          <w:rFonts w:hint="eastAsia"/>
          <w:color w:val="auto"/>
          <w:sz w:val="21"/>
          <w:szCs w:val="21"/>
          <w:highlight w:val="none"/>
          <w:lang w:val="en-US" w:eastAsia="zh-CN"/>
        </w:rPr>
        <w:t>85万元，2028年</w:t>
      </w:r>
      <w:r>
        <w:rPr>
          <w:color w:val="auto"/>
          <w:sz w:val="21"/>
          <w:szCs w:val="21"/>
          <w:highlight w:val="none"/>
        </w:rPr>
        <w:t>运营经费为</w:t>
      </w:r>
      <w:r>
        <w:rPr>
          <w:rFonts w:hint="eastAsia"/>
          <w:color w:val="auto"/>
          <w:sz w:val="21"/>
          <w:szCs w:val="21"/>
          <w:highlight w:val="none"/>
          <w:lang w:val="en-US" w:eastAsia="zh-CN"/>
        </w:rPr>
        <w:t>85万元</w:t>
      </w:r>
      <w:r>
        <w:rPr>
          <w:rFonts w:hint="eastAsia"/>
          <w:color w:val="auto"/>
          <w:sz w:val="21"/>
          <w:szCs w:val="21"/>
          <w:highlight w:val="none"/>
          <w:lang w:eastAsia="zh-CN"/>
        </w:rPr>
        <w:t>）</w:t>
      </w:r>
      <w:r>
        <w:rPr>
          <w:color w:val="auto"/>
          <w:sz w:val="21"/>
          <w:szCs w:val="21"/>
          <w:highlight w:val="none"/>
        </w:rPr>
        <w:t>，每年</w:t>
      </w:r>
      <w:r>
        <w:rPr>
          <w:rFonts w:hint="eastAsia"/>
          <w:color w:val="auto"/>
          <w:sz w:val="21"/>
          <w:szCs w:val="21"/>
          <w:highlight w:val="none"/>
          <w:lang w:val="en-US" w:eastAsia="zh-CN"/>
        </w:rPr>
        <w:t>85</w:t>
      </w:r>
      <w:r>
        <w:rPr>
          <w:color w:val="auto"/>
          <w:sz w:val="21"/>
          <w:szCs w:val="21"/>
          <w:highlight w:val="none"/>
        </w:rPr>
        <w:t>万元（其中颐康中心运营经费为40万元，</w:t>
      </w:r>
      <w:r>
        <w:rPr>
          <w:rFonts w:hint="eastAsia"/>
          <w:color w:val="auto"/>
          <w:sz w:val="21"/>
          <w:szCs w:val="21"/>
          <w:highlight w:val="none"/>
          <w:lang w:val="en-US" w:eastAsia="zh-CN"/>
        </w:rPr>
        <w:t>9</w:t>
      </w:r>
      <w:r>
        <w:rPr>
          <w:color w:val="auto"/>
          <w:sz w:val="21"/>
          <w:szCs w:val="21"/>
          <w:highlight w:val="none"/>
        </w:rPr>
        <w:t>个颐康服务站运营经费为</w:t>
      </w:r>
      <w:r>
        <w:rPr>
          <w:rFonts w:hint="eastAsia"/>
          <w:color w:val="auto"/>
          <w:sz w:val="21"/>
          <w:szCs w:val="21"/>
          <w:highlight w:val="none"/>
          <w:lang w:val="en-US" w:eastAsia="zh-CN"/>
        </w:rPr>
        <w:t>45</w:t>
      </w:r>
      <w:r>
        <w:rPr>
          <w:color w:val="auto"/>
          <w:sz w:val="21"/>
          <w:szCs w:val="21"/>
          <w:highlight w:val="none"/>
        </w:rPr>
        <w:t>万元），含人员经费、服务支持经费、专业支持经费、办公经费及由项目开展而产生的其他费用，颐康中心、颐康服务站运营经费按以下方式拨付：</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1.本项目颐康中心运营经费每合同期分二期支付。第一期款自合同签订生效之日起5个工作日内办理支付综合养老服务中心（颐康中心）60%运营经费；第二期款在项目进行年度评估后，评估结果为合格以上并且全部投入运营，符合采购人日常监督管理要求的，支付综合养老服务中心（颐康中心）40%运营经费以及颐康服务站全额运营经费。评估结果不合格的，未</w:t>
      </w:r>
      <w:r>
        <w:rPr>
          <w:rFonts w:hint="eastAsia"/>
          <w:color w:val="auto"/>
          <w:sz w:val="21"/>
          <w:szCs w:val="21"/>
          <w:highlight w:val="none"/>
          <w:lang w:eastAsia="zh-CN"/>
        </w:rPr>
        <w:t>达到</w:t>
      </w:r>
      <w:r>
        <w:rPr>
          <w:color w:val="auto"/>
          <w:sz w:val="21"/>
          <w:szCs w:val="21"/>
          <w:highlight w:val="none"/>
        </w:rPr>
        <w:t>采购人日常监督管理要求的，采购人可根据实际情况扣减相应比例运营经费，并终止本项目。</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2.如相关政策文件对运营经费的支付方式有新的要求，按最新要求执行。</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采购人每次办理支付费用前，成交供应商需提供对应金额的正式增值税发票。因采购人使用的是财政资金，采购人在前款规定的付款时间为向支付部门提出办理财政支付申请手续的时间（不含政府财政支付部门审核的时间），在规定时间内提出支付申请手续后即视为采购人已经按期支付。</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（二）服务资助</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服务对象属于《广州市居家社区养老服务管理办法》规定的资助对象，资助标准按规定执行。资助费用由采购人按照财务管理规定，以成交供应商与资助对象的服务协议、“广州市为老服务平台”服务记录为依据，按期支付给成交供应商。</w:t>
      </w:r>
    </w:p>
    <w:p>
      <w:pPr>
        <w:pStyle w:val="8"/>
        <w:keepNext w:val="0"/>
        <w:keepLines w:val="0"/>
        <w:pageBreakBefore w:val="0"/>
        <w:kinsoku/>
        <w:wordWrap/>
        <w:overflowPunct/>
        <w:topLinePunct w:val="0"/>
        <w:bidi w:val="0"/>
        <w:snapToGrid/>
        <w:spacing w:line="360" w:lineRule="exact"/>
        <w:ind w:firstLine="420"/>
        <w:jc w:val="both"/>
        <w:textAlignment w:val="auto"/>
        <w:rPr>
          <w:color w:val="auto"/>
          <w:sz w:val="21"/>
          <w:szCs w:val="21"/>
          <w:highlight w:val="none"/>
        </w:rPr>
      </w:pPr>
      <w:r>
        <w:rPr>
          <w:color w:val="auto"/>
          <w:sz w:val="21"/>
          <w:szCs w:val="21"/>
          <w:highlight w:val="none"/>
        </w:rPr>
        <w:t>（三）服务奖励</w:t>
      </w:r>
    </w:p>
    <w:p>
      <w:pPr>
        <w:pStyle w:val="8"/>
        <w:keepNext w:val="0"/>
        <w:keepLines w:val="0"/>
        <w:pageBreakBefore w:val="0"/>
        <w:kinsoku/>
        <w:wordWrap/>
        <w:overflowPunct/>
        <w:topLinePunct w:val="0"/>
        <w:bidi w:val="0"/>
        <w:snapToGrid/>
        <w:spacing w:line="360" w:lineRule="exact"/>
        <w:ind w:firstLine="420" w:firstLineChars="200"/>
        <w:jc w:val="both"/>
        <w:textAlignment w:val="auto"/>
        <w:rPr>
          <w:color w:val="auto"/>
          <w:sz w:val="21"/>
          <w:szCs w:val="21"/>
          <w:highlight w:val="none"/>
        </w:rPr>
      </w:pPr>
      <w:r>
        <w:rPr>
          <w:color w:val="auto"/>
          <w:sz w:val="21"/>
          <w:szCs w:val="21"/>
          <w:highlight w:val="none"/>
        </w:rPr>
        <w:t>成交供应商运营颐康中心、社区颐康服务站且经民政部门组织评估为合格及以上等级的，可以根据《广州市居家社区养老服务管理办法》规定享受相应等级的服务奖励，运营时间不足或超出12个月的按比例支付奖励资金。</w:t>
      </w:r>
    </w:p>
    <w:p>
      <w:pPr>
        <w:pStyle w:val="8"/>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p>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eastAsia="zh-CN"/>
        </w:rPr>
        <w:t>云城街2026年-2028年综合养老服务中心（颐康中心）及社区颐康服务站运营项目</w:t>
      </w:r>
      <w:r>
        <w:rPr>
          <w:rFonts w:hint="eastAsia" w:ascii="宋体" w:hAnsi="宋体" w:eastAsia="宋体" w:cs="宋体"/>
          <w:color w:val="auto"/>
          <w:sz w:val="21"/>
          <w:szCs w:val="21"/>
          <w:highlight w:val="none"/>
        </w:rPr>
        <w:t>）</w:t>
      </w:r>
    </w:p>
    <w:p>
      <w:pPr>
        <w:pStyle w:val="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8"/>
        <w:gridCol w:w="6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7" w:hRule="atLeast"/>
        </w:trPr>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2026年5月15日至2028年12月31日，合同一年一签。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详见《第二章采购需求》。</w:t>
            </w:r>
          </w:p>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1期：详见《第二章采购需求》。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3" w:hRule="atLeast"/>
        </w:trPr>
        <w:tc>
          <w:tcPr>
            <w:tcW w:w="1858"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65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★报价要求，本项目采购预算金额为固定费用，不得修改，在广东政府采购智慧云平台投标客户端上填报固定总价</w:t>
            </w:r>
            <w:r>
              <w:rPr>
                <w:rFonts w:hint="eastAsia" w:ascii="宋体" w:hAnsi="宋体" w:eastAsia="宋体" w:cs="宋体"/>
                <w:color w:val="auto"/>
                <w:sz w:val="21"/>
                <w:szCs w:val="21"/>
                <w:highlight w:val="none"/>
                <w:lang w:val="en-US" w:eastAsia="zh-CN"/>
              </w:rPr>
              <w:t>2,235,400.00</w:t>
            </w:r>
            <w:r>
              <w:rPr>
                <w:rFonts w:hint="eastAsia" w:ascii="宋体" w:hAnsi="宋体" w:eastAsia="宋体" w:cs="宋体"/>
                <w:color w:val="auto"/>
                <w:sz w:val="21"/>
                <w:szCs w:val="21"/>
                <w:highlight w:val="none"/>
              </w:rPr>
              <w:t>元，否则按无效响应处理。价格不作为评审因素，采购文件所涉及价格部分条款均不适用</w:t>
            </w:r>
          </w:p>
        </w:tc>
      </w:tr>
    </w:tbl>
    <w:p>
      <w:pPr>
        <w:pStyle w:val="8"/>
        <w:rPr>
          <w:rFonts w:hint="eastAsia" w:ascii="宋体" w:hAnsi="宋体" w:eastAsia="宋体" w:cs="宋体"/>
          <w:b/>
          <w:color w:val="auto"/>
          <w:sz w:val="21"/>
          <w:szCs w:val="21"/>
          <w:highlight w:val="none"/>
        </w:rPr>
      </w:pPr>
    </w:p>
    <w:p>
      <w:pPr>
        <w:pStyle w:val="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0"/>
        <w:gridCol w:w="700"/>
        <w:gridCol w:w="1550"/>
        <w:gridCol w:w="533"/>
        <w:gridCol w:w="683"/>
        <w:gridCol w:w="1550"/>
        <w:gridCol w:w="1567"/>
        <w:gridCol w:w="700"/>
        <w:gridCol w:w="6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0"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00"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1550"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533"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3"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50"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1567"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70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669"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0" w:type="dxa"/>
            <w:vAlign w:val="center"/>
          </w:tcPr>
          <w:p>
            <w:pPr>
              <w:pStyle w:val="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0" w:type="dxa"/>
            <w:vAlign w:val="center"/>
          </w:tcPr>
          <w:p>
            <w:pPr>
              <w:pStyle w:val="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养老服务</w:t>
            </w:r>
          </w:p>
        </w:tc>
        <w:tc>
          <w:tcPr>
            <w:tcW w:w="1550" w:type="dxa"/>
            <w:vAlign w:val="center"/>
          </w:tcPr>
          <w:p>
            <w:pPr>
              <w:pStyle w:val="8"/>
              <w:jc w:val="left"/>
              <w:rPr>
                <w:rFonts w:hint="eastAsia" w:ascii="宋体" w:hAnsi="宋体" w:eastAsia="宋体" w:cs="宋体"/>
                <w:color w:val="auto"/>
                <w:sz w:val="21"/>
                <w:szCs w:val="21"/>
                <w:highlight w:val="none"/>
              </w:rPr>
            </w:pPr>
            <w:bookmarkStart w:id="3" w:name="OLE_LINK1"/>
            <w:r>
              <w:rPr>
                <w:rFonts w:hint="eastAsia" w:ascii="宋体" w:hAnsi="宋体" w:eastAsia="宋体" w:cs="宋体"/>
                <w:color w:val="auto"/>
                <w:sz w:val="21"/>
                <w:szCs w:val="21"/>
                <w:highlight w:val="none"/>
                <w:lang w:eastAsia="zh-CN"/>
              </w:rPr>
              <w:t>云城街2026年-2028年综合养老服务中心（颐康中心）及社区颐康服务站运营项目</w:t>
            </w:r>
            <w:bookmarkEnd w:id="3"/>
          </w:p>
        </w:tc>
        <w:tc>
          <w:tcPr>
            <w:tcW w:w="533" w:type="dxa"/>
            <w:vAlign w:val="center"/>
          </w:tcPr>
          <w:p>
            <w:pPr>
              <w:pStyle w:val="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w:t>
            </w:r>
          </w:p>
        </w:tc>
        <w:tc>
          <w:tcPr>
            <w:tcW w:w="683" w:type="dxa"/>
            <w:vAlign w:val="center"/>
          </w:tcPr>
          <w:p>
            <w:pPr>
              <w:pStyle w:val="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w:t>
            </w:r>
          </w:p>
        </w:tc>
        <w:tc>
          <w:tcPr>
            <w:tcW w:w="1550" w:type="dxa"/>
            <w:vAlign w:val="center"/>
          </w:tcPr>
          <w:p>
            <w:pPr>
              <w:pStyle w:val="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2,235,400.00</w:t>
            </w:r>
          </w:p>
        </w:tc>
        <w:tc>
          <w:tcPr>
            <w:tcW w:w="1567" w:type="dxa"/>
            <w:vAlign w:val="center"/>
          </w:tcPr>
          <w:p>
            <w:pPr>
              <w:pStyle w:val="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2,235,400.00</w:t>
            </w:r>
          </w:p>
        </w:tc>
        <w:tc>
          <w:tcPr>
            <w:tcW w:w="700"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669"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pStyle w:val="8"/>
        <w:rPr>
          <w:rFonts w:hint="eastAsia" w:ascii="宋体" w:hAnsi="宋体" w:eastAsia="宋体" w:cs="宋体"/>
          <w:b/>
          <w:color w:val="auto"/>
          <w:sz w:val="21"/>
          <w:szCs w:val="21"/>
          <w:highlight w:val="none"/>
        </w:rPr>
      </w:pPr>
    </w:p>
    <w:p>
      <w:pPr>
        <w:pStyle w:val="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附表一：综合养老服务中心（颐康中心）及颐康服务站运营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15"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14"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pPr>
              <w:rPr>
                <w:rFonts w:hint="eastAsia" w:ascii="宋体" w:hAnsi="宋体" w:eastAsia="宋体" w:cs="宋体"/>
                <w:color w:val="auto"/>
                <w:sz w:val="21"/>
                <w:szCs w:val="21"/>
                <w:highlight w:val="none"/>
              </w:rPr>
            </w:pPr>
          </w:p>
        </w:tc>
        <w:tc>
          <w:tcPr>
            <w:tcW w:w="415"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14" w:type="dxa"/>
            <w:vAlign w:val="center"/>
          </w:tcPr>
          <w:p>
            <w:pPr>
              <w:pStyle w:val="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见《第二章采购需求》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229" w:type="dxa"/>
            <w:gridSpan w:val="2"/>
            <w:vAlign w:val="center"/>
          </w:tcPr>
          <w:p>
            <w:pPr>
              <w:pStyle w:val="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打“★”号条款为实质性条款，若有任何一条负偏离或不满足则导致投标无效。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打“▲”号条款为重要技术参数，若有部分“▲”条款未响应或不满足，不作为无效投标条款。</w:t>
            </w:r>
          </w:p>
        </w:tc>
      </w:tr>
    </w:tbl>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rPr>
          <w:rFonts w:hint="eastAsia" w:ascii="宋体" w:hAnsi="宋体" w:eastAsia="宋体" w:cs="宋体"/>
          <w:color w:val="auto"/>
          <w:sz w:val="21"/>
          <w:szCs w:val="21"/>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6495E"/>
    <w:multiLevelType w:val="singleLevel"/>
    <w:tmpl w:val="C246495E"/>
    <w:lvl w:ilvl="0" w:tentative="0">
      <w:start w:val="1"/>
      <w:numFmt w:val="decimal"/>
      <w:lvlText w:val="%1."/>
      <w:lvlJc w:val="left"/>
      <w:pPr>
        <w:tabs>
          <w:tab w:val="left" w:pos="312"/>
        </w:tabs>
      </w:pPr>
    </w:lvl>
  </w:abstractNum>
  <w:abstractNum w:abstractNumId="1">
    <w:nsid w:val="0F3C5F3F"/>
    <w:multiLevelType w:val="singleLevel"/>
    <w:tmpl w:val="0F3C5F3F"/>
    <w:lvl w:ilvl="0" w:tentative="0">
      <w:start w:val="1"/>
      <w:numFmt w:val="decimal"/>
      <w:lvlText w:val="%1."/>
      <w:lvlJc w:val="left"/>
      <w:pPr>
        <w:tabs>
          <w:tab w:val="left" w:pos="312"/>
        </w:tabs>
      </w:pPr>
    </w:lvl>
  </w:abstractNum>
  <w:abstractNum w:abstractNumId="2">
    <w:nsid w:val="2349943F"/>
    <w:multiLevelType w:val="singleLevel"/>
    <w:tmpl w:val="2349943F"/>
    <w:lvl w:ilvl="0" w:tentative="0">
      <w:start w:val="1"/>
      <w:numFmt w:val="decimal"/>
      <w:lvlText w:val="%1."/>
      <w:lvlJc w:val="left"/>
      <w:pPr>
        <w:tabs>
          <w:tab w:val="left" w:pos="312"/>
        </w:tabs>
      </w:pPr>
    </w:lvl>
  </w:abstractNum>
  <w:abstractNum w:abstractNumId="3">
    <w:nsid w:val="2873F56B"/>
    <w:multiLevelType w:val="singleLevel"/>
    <w:tmpl w:val="2873F56B"/>
    <w:lvl w:ilvl="0" w:tentative="0">
      <w:start w:val="1"/>
      <w:numFmt w:val="decimal"/>
      <w:suff w:val="nothing"/>
      <w:lvlText w:val="（%1）"/>
      <w:lvlJc w:val="left"/>
    </w:lvl>
  </w:abstractNum>
  <w:abstractNum w:abstractNumId="4">
    <w:nsid w:val="2C485E10"/>
    <w:multiLevelType w:val="singleLevel"/>
    <w:tmpl w:val="2C485E10"/>
    <w:lvl w:ilvl="0" w:tentative="0">
      <w:start w:val="1"/>
      <w:numFmt w:val="decimal"/>
      <w:lvlText w:val="%1."/>
      <w:lvlJc w:val="left"/>
      <w:pPr>
        <w:tabs>
          <w:tab w:val="left" w:pos="312"/>
        </w:tabs>
      </w:pPr>
    </w:lvl>
  </w:abstractNum>
  <w:abstractNum w:abstractNumId="5">
    <w:nsid w:val="5038BAA6"/>
    <w:multiLevelType w:val="singleLevel"/>
    <w:tmpl w:val="5038BAA6"/>
    <w:lvl w:ilvl="0" w:tentative="0">
      <w:start w:val="1"/>
      <w:numFmt w:val="decimal"/>
      <w:suff w:val="nothing"/>
      <w:lvlText w:val="（%1）"/>
      <w:lvlJc w:val="left"/>
    </w:lvl>
  </w:abstractNum>
  <w:abstractNum w:abstractNumId="6">
    <w:nsid w:val="54FA9F8E"/>
    <w:multiLevelType w:val="singleLevel"/>
    <w:tmpl w:val="54FA9F8E"/>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kxZjg0MzkxNjlmNWRiZDRlZjYxYTEyMzJlMjMifQ=="/>
  </w:docVars>
  <w:rsids>
    <w:rsidRoot w:val="127D4636"/>
    <w:rsid w:val="011E1FE4"/>
    <w:rsid w:val="06F04422"/>
    <w:rsid w:val="085D1644"/>
    <w:rsid w:val="0C545FE7"/>
    <w:rsid w:val="0D2C5A88"/>
    <w:rsid w:val="0D716E7D"/>
    <w:rsid w:val="0D735465"/>
    <w:rsid w:val="0FA76ED7"/>
    <w:rsid w:val="103B70AE"/>
    <w:rsid w:val="11291DD2"/>
    <w:rsid w:val="127D4636"/>
    <w:rsid w:val="15213694"/>
    <w:rsid w:val="17885FB1"/>
    <w:rsid w:val="1E7159F1"/>
    <w:rsid w:val="1FB77434"/>
    <w:rsid w:val="200F54C2"/>
    <w:rsid w:val="21A1039B"/>
    <w:rsid w:val="27624129"/>
    <w:rsid w:val="27BC344F"/>
    <w:rsid w:val="287A0CF0"/>
    <w:rsid w:val="29166CFD"/>
    <w:rsid w:val="29AA2685"/>
    <w:rsid w:val="2A1548C3"/>
    <w:rsid w:val="2BB807BB"/>
    <w:rsid w:val="32DF2AD1"/>
    <w:rsid w:val="374E0226"/>
    <w:rsid w:val="38CC7F9C"/>
    <w:rsid w:val="3C7F060C"/>
    <w:rsid w:val="3E8E35FE"/>
    <w:rsid w:val="3F87259A"/>
    <w:rsid w:val="440C3A96"/>
    <w:rsid w:val="47024A58"/>
    <w:rsid w:val="488D5B16"/>
    <w:rsid w:val="4A062BE2"/>
    <w:rsid w:val="4A6F4C2B"/>
    <w:rsid w:val="4E4243F2"/>
    <w:rsid w:val="4EFD089C"/>
    <w:rsid w:val="513A1AEF"/>
    <w:rsid w:val="53FD32A8"/>
    <w:rsid w:val="54213B13"/>
    <w:rsid w:val="55A97243"/>
    <w:rsid w:val="5CAA0015"/>
    <w:rsid w:val="5D9E1657"/>
    <w:rsid w:val="5F6661A5"/>
    <w:rsid w:val="645B2050"/>
    <w:rsid w:val="6EF74724"/>
    <w:rsid w:val="713927AA"/>
    <w:rsid w:val="72B648F6"/>
    <w:rsid w:val="73607959"/>
    <w:rsid w:val="75A5137D"/>
    <w:rsid w:val="75E3026A"/>
    <w:rsid w:val="793A6280"/>
    <w:rsid w:val="7A1A39BC"/>
    <w:rsid w:val="7C1D207D"/>
    <w:rsid w:val="7F2C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1"/>
      <w:szCs w:val="24"/>
      <w:lang w:val="en-US" w:eastAsia="zh-CN" w:bidi="ar-SA"/>
    </w:rPr>
  </w:style>
  <w:style w:type="paragraph" w:styleId="2">
    <w:name w:val="heading 1"/>
    <w:basedOn w:val="1"/>
    <w:next w:val="1"/>
    <w:qFormat/>
    <w:uiPriority w:val="0"/>
    <w:pPr>
      <w:outlineLvl w:val="0"/>
    </w:pPr>
    <w:rPr>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2026-01-14T07:38:00Z</dcterms:created>
  <dc:creator>D</dc:creator>
  <cp:lastModifiedBy>D</cp:lastModifiedBy>
  <dcterms:modified xsi:type="dcterms:W3CDTF">2026-02-02T01:15:02Z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9E460BEC671B47B2B8D9F89F726C2622_13</vt:lpwstr>
  </property>
</Properties>
</file>